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7E3BA8">
      <w:pPr>
        <w:rPr>
          <w:rFonts w:eastAsia="仿宋_GB2312"/>
          <w:sz w:val="36"/>
          <w:szCs w:val="36"/>
        </w:rPr>
      </w:pPr>
    </w:p>
    <w:p w14:paraId="7DE9EB23">
      <w:pPr>
        <w:rPr>
          <w:rFonts w:eastAsia="仿宋_GB2312"/>
          <w:sz w:val="36"/>
          <w:szCs w:val="36"/>
        </w:rPr>
      </w:pPr>
    </w:p>
    <w:p w14:paraId="3C51C0FA">
      <w:pPr>
        <w:rPr>
          <w:rFonts w:eastAsia="仿宋_GB2312"/>
          <w:sz w:val="36"/>
          <w:szCs w:val="36"/>
        </w:rPr>
      </w:pPr>
    </w:p>
    <w:p w14:paraId="48E20D4B">
      <w:pPr>
        <w:rPr>
          <w:rFonts w:eastAsia="仿宋_GB2312"/>
          <w:sz w:val="36"/>
          <w:szCs w:val="36"/>
        </w:rPr>
      </w:pPr>
    </w:p>
    <w:p w14:paraId="79AE04E8">
      <w:pPr>
        <w:rPr>
          <w:rFonts w:eastAsia="仿宋_GB2312"/>
          <w:sz w:val="36"/>
          <w:szCs w:val="36"/>
        </w:rPr>
      </w:pPr>
    </w:p>
    <w:p w14:paraId="27F327CA">
      <w:pPr>
        <w:adjustRightInd w:val="0"/>
        <w:snapToGrid w:val="0"/>
        <w:jc w:val="center"/>
        <w:rPr>
          <w:rFonts w:eastAsia="仿宋_GB2312"/>
          <w:bCs/>
          <w:sz w:val="72"/>
          <w:szCs w:val="72"/>
        </w:rPr>
      </w:pPr>
      <w:bookmarkStart w:id="0" w:name="_Toc6876"/>
      <w:r>
        <w:rPr>
          <w:rFonts w:eastAsia="仿宋_GB2312"/>
          <w:bCs/>
          <w:sz w:val="72"/>
          <w:szCs w:val="72"/>
        </w:rPr>
        <w:t>建设项目环境影响报告表</w:t>
      </w:r>
      <w:bookmarkEnd w:id="0"/>
    </w:p>
    <w:p w14:paraId="6BC3271D">
      <w:pPr>
        <w:adjustRightInd w:val="0"/>
        <w:snapToGrid w:val="0"/>
        <w:spacing w:beforeLines="80"/>
        <w:jc w:val="center"/>
        <w:rPr>
          <w:rFonts w:eastAsia="仿宋_GB2312"/>
          <w:bCs/>
          <w:sz w:val="48"/>
          <w:szCs w:val="48"/>
        </w:rPr>
      </w:pPr>
      <w:r>
        <w:rPr>
          <w:rFonts w:eastAsia="仿宋_GB2312"/>
          <w:bCs/>
          <w:sz w:val="48"/>
          <w:szCs w:val="48"/>
        </w:rPr>
        <w:t>（污染影响类）</w:t>
      </w:r>
    </w:p>
    <w:p w14:paraId="793BBBF9">
      <w:pPr>
        <w:adjustRightInd w:val="0"/>
        <w:snapToGrid w:val="0"/>
        <w:spacing w:line="288" w:lineRule="auto"/>
        <w:jc w:val="center"/>
        <w:rPr>
          <w:rFonts w:eastAsia="仿宋_GB2312"/>
          <w:kern w:val="44"/>
          <w:sz w:val="44"/>
          <w:szCs w:val="44"/>
        </w:rPr>
      </w:pPr>
    </w:p>
    <w:p w14:paraId="5ACE4DD9">
      <w:pPr>
        <w:jc w:val="center"/>
        <w:rPr>
          <w:rFonts w:eastAsia="仿宋_GB2312"/>
          <w:sz w:val="52"/>
          <w:szCs w:val="52"/>
        </w:rPr>
      </w:pPr>
    </w:p>
    <w:p w14:paraId="2EFE375C">
      <w:pPr>
        <w:ind w:firstLine="1040"/>
        <w:rPr>
          <w:rFonts w:eastAsia="仿宋_GB2312"/>
          <w:sz w:val="44"/>
          <w:szCs w:val="44"/>
        </w:rPr>
      </w:pPr>
    </w:p>
    <w:p w14:paraId="70C35191">
      <w:pPr>
        <w:ind w:firstLine="1040"/>
        <w:rPr>
          <w:rFonts w:eastAsia="仿宋_GB2312"/>
          <w:sz w:val="44"/>
          <w:szCs w:val="44"/>
        </w:rPr>
      </w:pPr>
    </w:p>
    <w:p w14:paraId="6BA96D09">
      <w:pPr>
        <w:ind w:firstLine="1040"/>
        <w:rPr>
          <w:rFonts w:eastAsia="仿宋_GB2312"/>
          <w:sz w:val="44"/>
          <w:szCs w:val="44"/>
        </w:rPr>
      </w:pPr>
    </w:p>
    <w:p w14:paraId="582C5FA2">
      <w:pPr>
        <w:ind w:firstLine="1040"/>
        <w:rPr>
          <w:rFonts w:eastAsia="仿宋_GB2312"/>
          <w:sz w:val="44"/>
          <w:szCs w:val="44"/>
        </w:rPr>
      </w:pPr>
    </w:p>
    <w:p w14:paraId="45BA93C2">
      <w:pPr>
        <w:adjustRightInd w:val="0"/>
        <w:snapToGrid w:val="0"/>
        <w:spacing w:line="288" w:lineRule="auto"/>
        <w:ind w:firstLine="737"/>
        <w:rPr>
          <w:rFonts w:eastAsia="仿宋_GB2312"/>
          <w:sz w:val="36"/>
          <w:szCs w:val="36"/>
          <w:u w:val="single"/>
        </w:rPr>
      </w:pPr>
      <w:r>
        <w:rPr>
          <w:rFonts w:eastAsia="仿宋_GB2312"/>
          <w:sz w:val="36"/>
          <w:szCs w:val="36"/>
        </w:rPr>
        <w:t xml:space="preserve">项目名称： </w:t>
      </w:r>
      <w:r>
        <w:rPr>
          <w:rFonts w:hint="eastAsia" w:eastAsia="仿宋_GB2312"/>
          <w:sz w:val="36"/>
          <w:szCs w:val="36"/>
          <w:u w:val="single"/>
        </w:rPr>
        <w:t>食品工厂改造（一期）项目</w:t>
      </w:r>
    </w:p>
    <w:p w14:paraId="1DCBA75E">
      <w:pPr>
        <w:adjustRightInd w:val="0"/>
        <w:snapToGrid w:val="0"/>
        <w:spacing w:line="288" w:lineRule="auto"/>
        <w:ind w:firstLine="737"/>
        <w:rPr>
          <w:rFonts w:eastAsia="仿宋_GB2312"/>
          <w:sz w:val="36"/>
          <w:szCs w:val="36"/>
          <w:u w:val="single"/>
        </w:rPr>
      </w:pPr>
      <w:r>
        <w:rPr>
          <w:rFonts w:eastAsia="仿宋_GB2312"/>
          <w:sz w:val="36"/>
          <w:szCs w:val="36"/>
        </w:rPr>
        <w:t>建设单位（盖章）：</w:t>
      </w:r>
      <w:r>
        <w:rPr>
          <w:rFonts w:hint="eastAsia" w:eastAsia="仿宋_GB2312"/>
          <w:sz w:val="36"/>
          <w:szCs w:val="36"/>
          <w:u w:val="single"/>
        </w:rPr>
        <w:t>中盐金坛盐化有限责任公司</w:t>
      </w:r>
    </w:p>
    <w:p w14:paraId="18BE962C">
      <w:pPr>
        <w:adjustRightInd w:val="0"/>
        <w:snapToGrid w:val="0"/>
        <w:spacing w:line="288" w:lineRule="auto"/>
        <w:ind w:firstLine="737"/>
        <w:rPr>
          <w:rFonts w:eastAsia="仿宋_GB2312"/>
          <w:sz w:val="36"/>
          <w:szCs w:val="36"/>
          <w:u w:val="single"/>
        </w:rPr>
      </w:pPr>
      <w:r>
        <w:rPr>
          <w:rFonts w:eastAsia="仿宋_GB2312"/>
          <w:sz w:val="36"/>
          <w:szCs w:val="36"/>
        </w:rPr>
        <w:t>编制日期：</w:t>
      </w:r>
      <w:r>
        <w:rPr>
          <w:rFonts w:hint="eastAsia" w:eastAsia="仿宋_GB2312"/>
          <w:b w:val="0"/>
          <w:bCs w:val="0"/>
          <w:sz w:val="36"/>
          <w:szCs w:val="36"/>
          <w:u w:val="single"/>
        </w:rPr>
        <w:t>二零二</w:t>
      </w:r>
      <w:r>
        <w:rPr>
          <w:rFonts w:hint="eastAsia" w:eastAsia="仿宋_GB2312"/>
          <w:b w:val="0"/>
          <w:bCs w:val="0"/>
          <w:sz w:val="36"/>
          <w:szCs w:val="36"/>
          <w:u w:val="single"/>
          <w:lang w:val="en-US" w:eastAsia="zh-CN"/>
        </w:rPr>
        <w:t>六</w:t>
      </w:r>
      <w:r>
        <w:rPr>
          <w:rFonts w:hint="eastAsia" w:eastAsia="仿宋_GB2312"/>
          <w:b w:val="0"/>
          <w:bCs w:val="0"/>
          <w:sz w:val="36"/>
          <w:szCs w:val="36"/>
          <w:u w:val="single"/>
        </w:rPr>
        <w:t>年</w:t>
      </w:r>
      <w:r>
        <w:rPr>
          <w:rFonts w:hint="eastAsia" w:eastAsia="仿宋_GB2312"/>
          <w:b w:val="0"/>
          <w:bCs w:val="0"/>
          <w:sz w:val="36"/>
          <w:szCs w:val="36"/>
          <w:u w:val="single"/>
          <w:lang w:val="en-US" w:eastAsia="zh-CN"/>
        </w:rPr>
        <w:t>一</w:t>
      </w:r>
      <w:r>
        <w:rPr>
          <w:rFonts w:hint="eastAsia" w:eastAsia="仿宋_GB2312"/>
          <w:b w:val="0"/>
          <w:bCs w:val="0"/>
          <w:sz w:val="36"/>
          <w:szCs w:val="36"/>
          <w:u w:val="single"/>
        </w:rPr>
        <w:t xml:space="preserve">月  </w:t>
      </w:r>
      <w:r>
        <w:rPr>
          <w:rFonts w:hint="eastAsia" w:eastAsia="仿宋_GB2312"/>
          <w:b w:val="0"/>
          <w:bCs w:val="0"/>
          <w:sz w:val="36"/>
          <w:szCs w:val="36"/>
          <w:u w:val="single"/>
          <w:lang w:val="en-US" w:eastAsia="zh-CN"/>
        </w:rPr>
        <w:t xml:space="preserve"> </w:t>
      </w:r>
      <w:r>
        <w:rPr>
          <w:rFonts w:hint="eastAsia" w:eastAsia="仿宋_GB2312"/>
          <w:b w:val="0"/>
          <w:bCs w:val="0"/>
          <w:sz w:val="36"/>
          <w:szCs w:val="36"/>
          <w:u w:val="single"/>
        </w:rPr>
        <w:t xml:space="preserve">  </w:t>
      </w:r>
      <w:r>
        <w:rPr>
          <w:rFonts w:hint="eastAsia" w:eastAsia="仿宋_GB2312"/>
          <w:sz w:val="36"/>
          <w:szCs w:val="36"/>
          <w:u w:val="single"/>
        </w:rPr>
        <w:t xml:space="preserve"> </w:t>
      </w:r>
    </w:p>
    <w:p w14:paraId="73D47E9A">
      <w:pPr>
        <w:adjustRightInd w:val="0"/>
        <w:snapToGrid w:val="0"/>
        <w:spacing w:line="288" w:lineRule="auto"/>
        <w:ind w:firstLine="1040"/>
        <w:rPr>
          <w:rFonts w:eastAsia="仿宋_GB2312"/>
          <w:sz w:val="36"/>
          <w:szCs w:val="36"/>
          <w:u w:val="single"/>
        </w:rPr>
      </w:pPr>
      <w:bookmarkStart w:id="1" w:name="_Hlk57884087"/>
    </w:p>
    <w:p w14:paraId="77ACE6ED">
      <w:pPr>
        <w:adjustRightInd w:val="0"/>
        <w:snapToGrid w:val="0"/>
        <w:spacing w:line="288" w:lineRule="auto"/>
        <w:ind w:firstLine="1040"/>
        <w:rPr>
          <w:rFonts w:eastAsia="仿宋_GB2312"/>
          <w:sz w:val="36"/>
          <w:szCs w:val="36"/>
        </w:rPr>
      </w:pPr>
    </w:p>
    <w:p w14:paraId="5BCB2962">
      <w:pPr>
        <w:adjustRightInd w:val="0"/>
        <w:snapToGrid w:val="0"/>
        <w:spacing w:line="288" w:lineRule="auto"/>
        <w:ind w:firstLine="1040"/>
        <w:rPr>
          <w:rFonts w:eastAsia="仿宋_GB2312"/>
          <w:sz w:val="36"/>
          <w:szCs w:val="36"/>
        </w:rPr>
      </w:pPr>
    </w:p>
    <w:p w14:paraId="666D36CA">
      <w:pPr>
        <w:adjustRightInd w:val="0"/>
        <w:snapToGrid w:val="0"/>
        <w:spacing w:line="288" w:lineRule="auto"/>
        <w:ind w:firstLine="1040"/>
        <w:rPr>
          <w:rFonts w:eastAsia="仿宋_GB2312"/>
          <w:sz w:val="36"/>
          <w:szCs w:val="36"/>
        </w:rPr>
      </w:pPr>
    </w:p>
    <w:p w14:paraId="72E04D03">
      <w:pPr>
        <w:adjustRightInd w:val="0"/>
        <w:snapToGrid w:val="0"/>
        <w:spacing w:line="288" w:lineRule="auto"/>
        <w:ind w:firstLine="1040"/>
        <w:rPr>
          <w:rFonts w:eastAsia="仿宋_GB2312"/>
          <w:sz w:val="36"/>
          <w:szCs w:val="36"/>
        </w:rPr>
      </w:pPr>
    </w:p>
    <w:bookmarkEnd w:id="1"/>
    <w:p w14:paraId="017FD907">
      <w:pPr>
        <w:adjustRightInd w:val="0"/>
        <w:snapToGrid w:val="0"/>
        <w:spacing w:line="288" w:lineRule="auto"/>
        <w:jc w:val="center"/>
        <w:rPr>
          <w:rFonts w:eastAsia="仿宋_GB2312"/>
          <w:sz w:val="36"/>
          <w:szCs w:val="36"/>
        </w:rPr>
      </w:pPr>
      <w:r>
        <w:rPr>
          <w:rFonts w:eastAsia="仿宋_GB2312"/>
          <w:sz w:val="36"/>
          <w:szCs w:val="36"/>
        </w:rPr>
        <w:t>中华人民共和国生态环境部制</w:t>
      </w:r>
    </w:p>
    <w:p w14:paraId="4789A251">
      <w:pPr>
        <w:adjustRightInd w:val="0"/>
        <w:snapToGrid w:val="0"/>
        <w:spacing w:line="288" w:lineRule="auto"/>
        <w:ind w:firstLine="1040"/>
        <w:rPr>
          <w:rFonts w:eastAsia="仿宋_GB2312"/>
          <w:sz w:val="36"/>
          <w:szCs w:val="36"/>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25EDE2C5">
      <w:pPr>
        <w:spacing w:line="360" w:lineRule="auto"/>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drawing>
          <wp:inline distT="0" distB="0" distL="114300" distR="114300">
            <wp:extent cx="5551805" cy="8077835"/>
            <wp:effectExtent l="0" t="0" r="10795" b="14605"/>
            <wp:docPr id="16" name="图片 16" descr="扫描件_2026-03-17 16·48·45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扫描件_2026-03-17 16·48·45_01"/>
                    <pic:cNvPicPr>
                      <a:picLocks noChangeAspect="1"/>
                    </pic:cNvPicPr>
                  </pic:nvPicPr>
                  <pic:blipFill>
                    <a:blip r:embed="rId20"/>
                    <a:stretch>
                      <a:fillRect/>
                    </a:stretch>
                  </pic:blipFill>
                  <pic:spPr>
                    <a:xfrm>
                      <a:off x="0" y="0"/>
                      <a:ext cx="5551805" cy="8077835"/>
                    </a:xfrm>
                    <a:prstGeom prst="rect">
                      <a:avLst/>
                    </a:prstGeom>
                  </pic:spPr>
                </pic:pic>
              </a:graphicData>
            </a:graphic>
          </wp:inline>
        </w:drawing>
      </w:r>
    </w:p>
    <w:p w14:paraId="4BD49273">
      <w:pP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br w:type="page"/>
      </w:r>
    </w:p>
    <w:p w14:paraId="6C715BC0">
      <w:pPr>
        <w:spacing w:line="360" w:lineRule="auto"/>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目录</w:t>
      </w:r>
    </w:p>
    <w:p w14:paraId="4ADAD4A8">
      <w:pPr>
        <w:pStyle w:val="23"/>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sz w:val="24"/>
          <w:szCs w:val="24"/>
        </w:rPr>
      </w:pPr>
      <w:r>
        <w:rPr>
          <w:rFonts w:eastAsia="仿宋_GB2312"/>
          <w:snapToGrid w:val="0"/>
          <w:sz w:val="24"/>
          <w:szCs w:val="24"/>
        </w:rPr>
        <w:fldChar w:fldCharType="begin"/>
      </w:r>
      <w:r>
        <w:rPr>
          <w:rFonts w:eastAsia="仿宋_GB2312"/>
          <w:snapToGrid w:val="0"/>
          <w:sz w:val="24"/>
          <w:szCs w:val="24"/>
        </w:rPr>
        <w:instrText xml:space="preserve">TOC \o "1-1" \h \u </w:instrText>
      </w:r>
      <w:r>
        <w:rPr>
          <w:rFonts w:eastAsia="仿宋_GB2312"/>
          <w:snapToGrid w:val="0"/>
          <w:sz w:val="24"/>
          <w:szCs w:val="24"/>
        </w:rPr>
        <w:fldChar w:fldCharType="separate"/>
      </w:r>
      <w:r>
        <w:rPr>
          <w:rFonts w:eastAsia="仿宋_GB2312"/>
          <w:snapToGrid w:val="0"/>
          <w:sz w:val="24"/>
          <w:szCs w:val="32"/>
        </w:rPr>
        <w:fldChar w:fldCharType="begin"/>
      </w:r>
      <w:r>
        <w:rPr>
          <w:rFonts w:eastAsia="仿宋_GB2312"/>
          <w:snapToGrid w:val="0"/>
          <w:sz w:val="24"/>
          <w:szCs w:val="32"/>
        </w:rPr>
        <w:instrText xml:space="preserve"> HYPERLINK \l _Toc25784 </w:instrText>
      </w:r>
      <w:r>
        <w:rPr>
          <w:rFonts w:eastAsia="仿宋_GB2312"/>
          <w:snapToGrid w:val="0"/>
          <w:sz w:val="24"/>
          <w:szCs w:val="32"/>
        </w:rPr>
        <w:fldChar w:fldCharType="separate"/>
      </w:r>
      <w:r>
        <w:rPr>
          <w:rFonts w:ascii="Times New Roman" w:hAnsi="Times New Roman" w:eastAsia="仿宋_GB2312"/>
          <w:bCs/>
          <w:snapToGrid w:val="0"/>
          <w:sz w:val="24"/>
          <w:szCs w:val="36"/>
        </w:rPr>
        <w:t>一、建设项目基本情况</w:t>
      </w:r>
      <w:r>
        <w:rPr>
          <w:sz w:val="24"/>
          <w:szCs w:val="24"/>
        </w:rPr>
        <w:tab/>
      </w:r>
      <w:r>
        <w:rPr>
          <w:sz w:val="24"/>
          <w:szCs w:val="24"/>
        </w:rPr>
        <w:fldChar w:fldCharType="begin"/>
      </w:r>
      <w:r>
        <w:rPr>
          <w:sz w:val="24"/>
          <w:szCs w:val="24"/>
        </w:rPr>
        <w:instrText xml:space="preserve"> PAGEREF _Toc25784 \h </w:instrText>
      </w:r>
      <w:r>
        <w:rPr>
          <w:sz w:val="24"/>
          <w:szCs w:val="24"/>
        </w:rPr>
        <w:fldChar w:fldCharType="separate"/>
      </w:r>
      <w:r>
        <w:rPr>
          <w:sz w:val="24"/>
          <w:szCs w:val="24"/>
        </w:rPr>
        <w:t>1</w:t>
      </w:r>
      <w:r>
        <w:rPr>
          <w:sz w:val="24"/>
          <w:szCs w:val="24"/>
        </w:rPr>
        <w:fldChar w:fldCharType="end"/>
      </w:r>
      <w:r>
        <w:rPr>
          <w:rFonts w:eastAsia="仿宋_GB2312"/>
          <w:snapToGrid w:val="0"/>
          <w:sz w:val="24"/>
          <w:szCs w:val="32"/>
        </w:rPr>
        <w:fldChar w:fldCharType="end"/>
      </w:r>
    </w:p>
    <w:p w14:paraId="46B04F8E">
      <w:pPr>
        <w:pStyle w:val="23"/>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sz w:val="24"/>
          <w:szCs w:val="24"/>
        </w:rPr>
      </w:pPr>
      <w:r>
        <w:rPr>
          <w:rFonts w:ascii="Times New Roman" w:hAnsi="Times New Roman" w:eastAsia="仿宋_GB2312"/>
          <w:snapToGrid w:val="0"/>
          <w:sz w:val="24"/>
          <w:szCs w:val="32"/>
        </w:rPr>
        <w:fldChar w:fldCharType="begin"/>
      </w:r>
      <w:r>
        <w:rPr>
          <w:rFonts w:ascii="Times New Roman" w:hAnsi="Times New Roman" w:eastAsia="仿宋_GB2312"/>
          <w:snapToGrid w:val="0"/>
          <w:sz w:val="24"/>
          <w:szCs w:val="32"/>
        </w:rPr>
        <w:instrText xml:space="preserve"> HYPERLINK \l _Toc20554 </w:instrText>
      </w:r>
      <w:r>
        <w:rPr>
          <w:rFonts w:ascii="Times New Roman" w:hAnsi="Times New Roman" w:eastAsia="仿宋_GB2312"/>
          <w:snapToGrid w:val="0"/>
          <w:sz w:val="24"/>
          <w:szCs w:val="32"/>
        </w:rPr>
        <w:fldChar w:fldCharType="separate"/>
      </w:r>
      <w:r>
        <w:rPr>
          <w:rFonts w:ascii="Times New Roman" w:hAnsi="Times New Roman" w:eastAsia="仿宋_GB2312"/>
          <w:bCs/>
          <w:snapToGrid w:val="0"/>
          <w:sz w:val="24"/>
          <w:szCs w:val="36"/>
        </w:rPr>
        <w:t>二、建设项目工程分析</w:t>
      </w:r>
      <w:r>
        <w:rPr>
          <w:sz w:val="24"/>
          <w:szCs w:val="24"/>
        </w:rPr>
        <w:tab/>
      </w:r>
      <w:r>
        <w:rPr>
          <w:sz w:val="24"/>
          <w:szCs w:val="24"/>
        </w:rPr>
        <w:fldChar w:fldCharType="begin"/>
      </w:r>
      <w:r>
        <w:rPr>
          <w:sz w:val="24"/>
          <w:szCs w:val="24"/>
        </w:rPr>
        <w:instrText xml:space="preserve"> PAGEREF _Toc20554 \h </w:instrText>
      </w:r>
      <w:r>
        <w:rPr>
          <w:sz w:val="24"/>
          <w:szCs w:val="24"/>
        </w:rPr>
        <w:fldChar w:fldCharType="separate"/>
      </w:r>
      <w:r>
        <w:rPr>
          <w:sz w:val="24"/>
          <w:szCs w:val="24"/>
        </w:rPr>
        <w:t>31</w:t>
      </w:r>
      <w:r>
        <w:rPr>
          <w:sz w:val="24"/>
          <w:szCs w:val="24"/>
        </w:rPr>
        <w:fldChar w:fldCharType="end"/>
      </w:r>
      <w:r>
        <w:rPr>
          <w:rFonts w:ascii="Times New Roman" w:hAnsi="Times New Roman" w:eastAsia="仿宋_GB2312"/>
          <w:snapToGrid w:val="0"/>
          <w:sz w:val="24"/>
          <w:szCs w:val="32"/>
        </w:rPr>
        <w:fldChar w:fldCharType="end"/>
      </w:r>
    </w:p>
    <w:p w14:paraId="5A9D1778">
      <w:pPr>
        <w:pStyle w:val="23"/>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sz w:val="24"/>
          <w:szCs w:val="24"/>
        </w:rPr>
      </w:pPr>
      <w:r>
        <w:rPr>
          <w:rFonts w:ascii="Times New Roman" w:hAnsi="Times New Roman" w:eastAsia="仿宋_GB2312"/>
          <w:snapToGrid w:val="0"/>
          <w:sz w:val="24"/>
          <w:szCs w:val="32"/>
        </w:rPr>
        <w:fldChar w:fldCharType="begin"/>
      </w:r>
      <w:r>
        <w:rPr>
          <w:rFonts w:ascii="Times New Roman" w:hAnsi="Times New Roman" w:eastAsia="仿宋_GB2312"/>
          <w:snapToGrid w:val="0"/>
          <w:sz w:val="24"/>
          <w:szCs w:val="32"/>
        </w:rPr>
        <w:instrText xml:space="preserve"> HYPERLINK \l _Toc31869 </w:instrText>
      </w:r>
      <w:r>
        <w:rPr>
          <w:rFonts w:ascii="Times New Roman" w:hAnsi="Times New Roman" w:eastAsia="仿宋_GB2312"/>
          <w:snapToGrid w:val="0"/>
          <w:sz w:val="24"/>
          <w:szCs w:val="32"/>
        </w:rPr>
        <w:fldChar w:fldCharType="separate"/>
      </w:r>
      <w:r>
        <w:rPr>
          <w:rFonts w:ascii="Times New Roman" w:hAnsi="Times New Roman" w:eastAsia="仿宋_GB2312"/>
          <w:bCs/>
          <w:snapToGrid w:val="0"/>
          <w:sz w:val="24"/>
          <w:szCs w:val="36"/>
        </w:rPr>
        <w:t>三、区域环境质量现状、环境保护目标及评价标准</w:t>
      </w:r>
      <w:r>
        <w:rPr>
          <w:sz w:val="24"/>
          <w:szCs w:val="24"/>
        </w:rPr>
        <w:tab/>
      </w:r>
      <w:r>
        <w:rPr>
          <w:sz w:val="24"/>
          <w:szCs w:val="24"/>
        </w:rPr>
        <w:fldChar w:fldCharType="begin"/>
      </w:r>
      <w:r>
        <w:rPr>
          <w:sz w:val="24"/>
          <w:szCs w:val="24"/>
        </w:rPr>
        <w:instrText xml:space="preserve"> PAGEREF _Toc31869 \h </w:instrText>
      </w:r>
      <w:r>
        <w:rPr>
          <w:sz w:val="24"/>
          <w:szCs w:val="24"/>
        </w:rPr>
        <w:fldChar w:fldCharType="separate"/>
      </w:r>
      <w:r>
        <w:rPr>
          <w:sz w:val="24"/>
          <w:szCs w:val="24"/>
        </w:rPr>
        <w:t>79</w:t>
      </w:r>
      <w:r>
        <w:rPr>
          <w:sz w:val="24"/>
          <w:szCs w:val="24"/>
        </w:rPr>
        <w:fldChar w:fldCharType="end"/>
      </w:r>
      <w:r>
        <w:rPr>
          <w:rFonts w:ascii="Times New Roman" w:hAnsi="Times New Roman" w:eastAsia="仿宋_GB2312"/>
          <w:snapToGrid w:val="0"/>
          <w:sz w:val="24"/>
          <w:szCs w:val="32"/>
        </w:rPr>
        <w:fldChar w:fldCharType="end"/>
      </w:r>
    </w:p>
    <w:p w14:paraId="038BE591">
      <w:pPr>
        <w:pStyle w:val="23"/>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sz w:val="24"/>
          <w:szCs w:val="24"/>
        </w:rPr>
      </w:pPr>
      <w:r>
        <w:rPr>
          <w:rFonts w:ascii="Times New Roman" w:hAnsi="Times New Roman" w:eastAsia="仿宋_GB2312"/>
          <w:snapToGrid w:val="0"/>
          <w:sz w:val="24"/>
          <w:szCs w:val="32"/>
        </w:rPr>
        <w:fldChar w:fldCharType="begin"/>
      </w:r>
      <w:r>
        <w:rPr>
          <w:rFonts w:ascii="Times New Roman" w:hAnsi="Times New Roman" w:eastAsia="仿宋_GB2312"/>
          <w:snapToGrid w:val="0"/>
          <w:sz w:val="24"/>
          <w:szCs w:val="32"/>
        </w:rPr>
        <w:instrText xml:space="preserve"> HYPERLINK \l _Toc22095 </w:instrText>
      </w:r>
      <w:r>
        <w:rPr>
          <w:rFonts w:ascii="Times New Roman" w:hAnsi="Times New Roman" w:eastAsia="仿宋_GB2312"/>
          <w:snapToGrid w:val="0"/>
          <w:sz w:val="24"/>
          <w:szCs w:val="32"/>
        </w:rPr>
        <w:fldChar w:fldCharType="separate"/>
      </w:r>
      <w:r>
        <w:rPr>
          <w:rFonts w:ascii="Times New Roman" w:hAnsi="Times New Roman" w:eastAsia="仿宋_GB2312"/>
          <w:bCs/>
          <w:snapToGrid w:val="0"/>
          <w:sz w:val="24"/>
          <w:szCs w:val="36"/>
        </w:rPr>
        <w:t>四、主要环境影响和保护措施</w:t>
      </w:r>
      <w:r>
        <w:rPr>
          <w:sz w:val="24"/>
          <w:szCs w:val="24"/>
        </w:rPr>
        <w:tab/>
      </w:r>
      <w:r>
        <w:rPr>
          <w:sz w:val="24"/>
          <w:szCs w:val="24"/>
        </w:rPr>
        <w:fldChar w:fldCharType="begin"/>
      </w:r>
      <w:r>
        <w:rPr>
          <w:sz w:val="24"/>
          <w:szCs w:val="24"/>
        </w:rPr>
        <w:instrText xml:space="preserve"> PAGEREF _Toc22095 \h </w:instrText>
      </w:r>
      <w:r>
        <w:rPr>
          <w:sz w:val="24"/>
          <w:szCs w:val="24"/>
        </w:rPr>
        <w:fldChar w:fldCharType="separate"/>
      </w:r>
      <w:r>
        <w:rPr>
          <w:sz w:val="24"/>
          <w:szCs w:val="24"/>
        </w:rPr>
        <w:t>90</w:t>
      </w:r>
      <w:r>
        <w:rPr>
          <w:sz w:val="24"/>
          <w:szCs w:val="24"/>
        </w:rPr>
        <w:fldChar w:fldCharType="end"/>
      </w:r>
      <w:r>
        <w:rPr>
          <w:rFonts w:ascii="Times New Roman" w:hAnsi="Times New Roman" w:eastAsia="仿宋_GB2312"/>
          <w:snapToGrid w:val="0"/>
          <w:sz w:val="24"/>
          <w:szCs w:val="32"/>
        </w:rPr>
        <w:fldChar w:fldCharType="end"/>
      </w:r>
    </w:p>
    <w:p w14:paraId="40D42463">
      <w:pPr>
        <w:pStyle w:val="23"/>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sz w:val="24"/>
          <w:szCs w:val="24"/>
        </w:rPr>
      </w:pPr>
      <w:r>
        <w:rPr>
          <w:rFonts w:ascii="Times New Roman" w:hAnsi="Times New Roman" w:eastAsia="仿宋_GB2312"/>
          <w:snapToGrid w:val="0"/>
          <w:sz w:val="24"/>
          <w:szCs w:val="32"/>
        </w:rPr>
        <w:fldChar w:fldCharType="begin"/>
      </w:r>
      <w:r>
        <w:rPr>
          <w:rFonts w:ascii="Times New Roman" w:hAnsi="Times New Roman" w:eastAsia="仿宋_GB2312"/>
          <w:snapToGrid w:val="0"/>
          <w:sz w:val="24"/>
          <w:szCs w:val="32"/>
        </w:rPr>
        <w:instrText xml:space="preserve"> HYPERLINK \l _Toc1165 </w:instrText>
      </w:r>
      <w:r>
        <w:rPr>
          <w:rFonts w:ascii="Times New Roman" w:hAnsi="Times New Roman" w:eastAsia="仿宋_GB2312"/>
          <w:snapToGrid w:val="0"/>
          <w:sz w:val="24"/>
          <w:szCs w:val="32"/>
        </w:rPr>
        <w:fldChar w:fldCharType="separate"/>
      </w:r>
      <w:r>
        <w:rPr>
          <w:rFonts w:ascii="Times New Roman" w:hAnsi="Times New Roman" w:eastAsia="仿宋_GB2312"/>
          <w:bCs/>
          <w:snapToGrid w:val="0"/>
          <w:sz w:val="24"/>
          <w:szCs w:val="36"/>
        </w:rPr>
        <w:t>五、环境保护措施监督检查清单</w:t>
      </w:r>
      <w:r>
        <w:rPr>
          <w:sz w:val="24"/>
          <w:szCs w:val="24"/>
        </w:rPr>
        <w:tab/>
      </w:r>
      <w:r>
        <w:rPr>
          <w:sz w:val="24"/>
          <w:szCs w:val="24"/>
        </w:rPr>
        <w:fldChar w:fldCharType="begin"/>
      </w:r>
      <w:r>
        <w:rPr>
          <w:sz w:val="24"/>
          <w:szCs w:val="24"/>
        </w:rPr>
        <w:instrText xml:space="preserve"> PAGEREF _Toc1165 \h </w:instrText>
      </w:r>
      <w:r>
        <w:rPr>
          <w:sz w:val="24"/>
          <w:szCs w:val="24"/>
        </w:rPr>
        <w:fldChar w:fldCharType="separate"/>
      </w:r>
      <w:r>
        <w:rPr>
          <w:sz w:val="24"/>
          <w:szCs w:val="24"/>
        </w:rPr>
        <w:t>138</w:t>
      </w:r>
      <w:r>
        <w:rPr>
          <w:sz w:val="24"/>
          <w:szCs w:val="24"/>
        </w:rPr>
        <w:fldChar w:fldCharType="end"/>
      </w:r>
      <w:r>
        <w:rPr>
          <w:rFonts w:ascii="Times New Roman" w:hAnsi="Times New Roman" w:eastAsia="仿宋_GB2312"/>
          <w:snapToGrid w:val="0"/>
          <w:sz w:val="24"/>
          <w:szCs w:val="32"/>
        </w:rPr>
        <w:fldChar w:fldCharType="end"/>
      </w:r>
    </w:p>
    <w:p w14:paraId="098FF683">
      <w:pPr>
        <w:pStyle w:val="23"/>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sz w:val="24"/>
          <w:szCs w:val="24"/>
        </w:rPr>
      </w:pPr>
      <w:r>
        <w:rPr>
          <w:rFonts w:ascii="Times New Roman" w:hAnsi="Times New Roman" w:eastAsia="仿宋_GB2312"/>
          <w:snapToGrid w:val="0"/>
          <w:sz w:val="24"/>
          <w:szCs w:val="32"/>
        </w:rPr>
        <w:fldChar w:fldCharType="begin"/>
      </w:r>
      <w:r>
        <w:rPr>
          <w:rFonts w:ascii="Times New Roman" w:hAnsi="Times New Roman" w:eastAsia="仿宋_GB2312"/>
          <w:snapToGrid w:val="0"/>
          <w:sz w:val="24"/>
          <w:szCs w:val="32"/>
        </w:rPr>
        <w:instrText xml:space="preserve"> HYPERLINK \l _Toc484 </w:instrText>
      </w:r>
      <w:r>
        <w:rPr>
          <w:rFonts w:ascii="Times New Roman" w:hAnsi="Times New Roman" w:eastAsia="仿宋_GB2312"/>
          <w:snapToGrid w:val="0"/>
          <w:sz w:val="24"/>
          <w:szCs w:val="32"/>
        </w:rPr>
        <w:fldChar w:fldCharType="separate"/>
      </w:r>
      <w:r>
        <w:rPr>
          <w:rFonts w:ascii="Times New Roman" w:hAnsi="Times New Roman" w:eastAsia="仿宋_GB2312"/>
          <w:bCs/>
          <w:snapToGrid w:val="0"/>
          <w:sz w:val="24"/>
          <w:szCs w:val="36"/>
        </w:rPr>
        <w:t>六、结论</w:t>
      </w:r>
      <w:r>
        <w:rPr>
          <w:sz w:val="24"/>
          <w:szCs w:val="24"/>
        </w:rPr>
        <w:tab/>
      </w:r>
      <w:r>
        <w:rPr>
          <w:sz w:val="24"/>
          <w:szCs w:val="24"/>
        </w:rPr>
        <w:fldChar w:fldCharType="begin"/>
      </w:r>
      <w:r>
        <w:rPr>
          <w:sz w:val="24"/>
          <w:szCs w:val="24"/>
        </w:rPr>
        <w:instrText xml:space="preserve"> PAGEREF _Toc484 \h </w:instrText>
      </w:r>
      <w:r>
        <w:rPr>
          <w:sz w:val="24"/>
          <w:szCs w:val="24"/>
        </w:rPr>
        <w:fldChar w:fldCharType="separate"/>
      </w:r>
      <w:r>
        <w:rPr>
          <w:sz w:val="24"/>
          <w:szCs w:val="24"/>
        </w:rPr>
        <w:t>145</w:t>
      </w:r>
      <w:r>
        <w:rPr>
          <w:sz w:val="24"/>
          <w:szCs w:val="24"/>
        </w:rPr>
        <w:fldChar w:fldCharType="end"/>
      </w:r>
      <w:r>
        <w:rPr>
          <w:rFonts w:ascii="Times New Roman" w:hAnsi="Times New Roman" w:eastAsia="仿宋_GB2312"/>
          <w:snapToGrid w:val="0"/>
          <w:sz w:val="24"/>
          <w:szCs w:val="32"/>
        </w:rPr>
        <w:fldChar w:fldCharType="end"/>
      </w:r>
    </w:p>
    <w:p w14:paraId="1C544CA9">
      <w:pPr>
        <w:pStyle w:val="23"/>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pPr>
      <w:r>
        <w:rPr>
          <w:rFonts w:ascii="Times New Roman" w:hAnsi="Times New Roman" w:eastAsia="仿宋_GB2312"/>
          <w:snapToGrid w:val="0"/>
          <w:sz w:val="24"/>
          <w:szCs w:val="32"/>
        </w:rPr>
        <w:fldChar w:fldCharType="begin"/>
      </w:r>
      <w:r>
        <w:rPr>
          <w:rFonts w:ascii="Times New Roman" w:hAnsi="Times New Roman" w:eastAsia="仿宋_GB2312"/>
          <w:snapToGrid w:val="0"/>
          <w:sz w:val="24"/>
          <w:szCs w:val="32"/>
        </w:rPr>
        <w:instrText xml:space="preserve"> HYPERLINK \l _Toc27 </w:instrText>
      </w:r>
      <w:r>
        <w:rPr>
          <w:rFonts w:ascii="Times New Roman" w:hAnsi="Times New Roman" w:eastAsia="仿宋_GB2312"/>
          <w:snapToGrid w:val="0"/>
          <w:sz w:val="24"/>
          <w:szCs w:val="32"/>
        </w:rPr>
        <w:fldChar w:fldCharType="separate"/>
      </w:r>
      <w:r>
        <w:rPr>
          <w:rFonts w:ascii="Times New Roman" w:hAnsi="Times New Roman" w:eastAsia="仿宋_GB2312"/>
          <w:snapToGrid w:val="0"/>
          <w:sz w:val="24"/>
          <w:szCs w:val="40"/>
        </w:rPr>
        <w:t>附表</w:t>
      </w:r>
      <w:r>
        <w:rPr>
          <w:sz w:val="24"/>
          <w:szCs w:val="24"/>
        </w:rPr>
        <w:tab/>
      </w:r>
      <w:r>
        <w:rPr>
          <w:sz w:val="24"/>
          <w:szCs w:val="24"/>
        </w:rPr>
        <w:fldChar w:fldCharType="begin"/>
      </w:r>
      <w:r>
        <w:rPr>
          <w:sz w:val="24"/>
          <w:szCs w:val="24"/>
        </w:rPr>
        <w:instrText xml:space="preserve"> PAGEREF _Toc27 \h </w:instrText>
      </w:r>
      <w:r>
        <w:rPr>
          <w:sz w:val="24"/>
          <w:szCs w:val="24"/>
        </w:rPr>
        <w:fldChar w:fldCharType="separate"/>
      </w:r>
      <w:r>
        <w:rPr>
          <w:sz w:val="24"/>
          <w:szCs w:val="24"/>
        </w:rPr>
        <w:t>146</w:t>
      </w:r>
      <w:r>
        <w:rPr>
          <w:sz w:val="24"/>
          <w:szCs w:val="24"/>
        </w:rPr>
        <w:fldChar w:fldCharType="end"/>
      </w:r>
      <w:r>
        <w:rPr>
          <w:rFonts w:ascii="Times New Roman" w:hAnsi="Times New Roman" w:eastAsia="仿宋_GB2312"/>
          <w:snapToGrid w:val="0"/>
          <w:sz w:val="24"/>
          <w:szCs w:val="32"/>
        </w:rPr>
        <w:fldChar w:fldCharType="end"/>
      </w:r>
    </w:p>
    <w:p w14:paraId="4BC00CF6">
      <w:pPr>
        <w:pStyle w:val="28"/>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firstLine="480" w:firstLineChars="200"/>
        <w:jc w:val="left"/>
        <w:textAlignment w:val="auto"/>
        <w:rPr>
          <w:rFonts w:ascii="Times New Roman" w:hAnsi="Times New Roman" w:eastAsia="仿宋_GB2312"/>
          <w:snapToGrid w:val="0"/>
          <w:szCs w:val="24"/>
        </w:rPr>
      </w:pPr>
      <w:r>
        <w:rPr>
          <w:rFonts w:ascii="Times New Roman" w:hAnsi="Times New Roman" w:eastAsia="仿宋_GB2312"/>
          <w:snapToGrid w:val="0"/>
          <w:szCs w:val="24"/>
        </w:rPr>
        <w:fldChar w:fldCharType="end"/>
      </w:r>
    </w:p>
    <w:p w14:paraId="1A888647">
      <w:pPr>
        <w:rPr>
          <w:rFonts w:ascii="Times New Roman" w:hAnsi="Times New Roman" w:eastAsia="仿宋_GB2312"/>
          <w:snapToGrid w:val="0"/>
          <w:szCs w:val="24"/>
        </w:rPr>
      </w:pPr>
      <w:r>
        <w:rPr>
          <w:rFonts w:ascii="Times New Roman" w:hAnsi="Times New Roman" w:eastAsia="仿宋_GB2312"/>
          <w:snapToGrid w:val="0"/>
          <w:szCs w:val="24"/>
        </w:rPr>
        <w:br w:type="page"/>
      </w:r>
    </w:p>
    <w:p w14:paraId="738E00CA">
      <w:pPr>
        <w:pStyle w:val="28"/>
        <w:keepNext w:val="0"/>
        <w:keepLines w:val="0"/>
        <w:pageBreakBefore w:val="0"/>
        <w:kinsoku/>
        <w:wordWrap/>
        <w:overflowPunct/>
        <w:topLinePunct w:val="0"/>
        <w:autoSpaceDE/>
        <w:autoSpaceDN/>
        <w:bidi w:val="0"/>
        <w:adjustRightInd w:val="0"/>
        <w:snapToGrid w:val="0"/>
        <w:spacing w:before="0" w:beforeAutospacing="0" w:after="0" w:afterAutospacing="0" w:line="480" w:lineRule="exact"/>
        <w:ind w:firstLine="482" w:firstLineChars="200"/>
        <w:jc w:val="both"/>
        <w:textAlignment w:val="auto"/>
        <w:rPr>
          <w:rFonts w:ascii="Times New Roman" w:hAnsi="Times New Roman" w:eastAsia="仿宋_GB2312"/>
          <w:b/>
          <w:szCs w:val="24"/>
        </w:rPr>
      </w:pPr>
      <w:r>
        <w:rPr>
          <w:rStyle w:val="35"/>
          <w:rFonts w:ascii="Times New Roman" w:hAnsi="Times New Roman" w:eastAsia="仿宋_GB2312"/>
          <w:b/>
          <w:color w:val="auto"/>
          <w:szCs w:val="24"/>
          <w:u w:val="none"/>
        </w:rPr>
        <w:t>附图</w:t>
      </w:r>
    </w:p>
    <w:p w14:paraId="59B1AAF5">
      <w:pPr>
        <w:keepNext w:val="0"/>
        <w:keepLines w:val="0"/>
        <w:pageBreakBefore w:val="0"/>
        <w:tabs>
          <w:tab w:val="right" w:leader="dot" w:pos="8640"/>
          <w:tab w:val="right" w:leader="dot" w:pos="9180"/>
        </w:tabs>
        <w:kinsoku/>
        <w:wordWrap/>
        <w:overflowPunct/>
        <w:topLinePunct w:val="0"/>
        <w:autoSpaceDE/>
        <w:autoSpaceDN/>
        <w:bidi w:val="0"/>
        <w:adjustRightInd w:val="0"/>
        <w:snapToGrid w:val="0"/>
        <w:spacing w:line="480" w:lineRule="exact"/>
        <w:ind w:firstLine="480" w:firstLineChars="200"/>
        <w:jc w:val="both"/>
        <w:textAlignment w:val="auto"/>
        <w:rPr>
          <w:rFonts w:eastAsia="仿宋_GB2312"/>
          <w:sz w:val="24"/>
          <w:szCs w:val="24"/>
        </w:rPr>
      </w:pPr>
      <w:r>
        <w:rPr>
          <w:rFonts w:eastAsia="仿宋_GB2312"/>
          <w:sz w:val="24"/>
          <w:szCs w:val="24"/>
        </w:rPr>
        <w:t>附图</w:t>
      </w:r>
      <w:r>
        <w:rPr>
          <w:rFonts w:hint="eastAsia" w:eastAsia="仿宋_GB2312"/>
          <w:sz w:val="24"/>
          <w:szCs w:val="24"/>
          <w:lang w:val="en-US" w:eastAsia="zh-CN"/>
        </w:rPr>
        <w:t>1</w:t>
      </w:r>
      <w:r>
        <w:rPr>
          <w:rFonts w:eastAsia="仿宋_GB2312"/>
          <w:sz w:val="24"/>
          <w:szCs w:val="24"/>
        </w:rPr>
        <w:t xml:space="preserve">   项目地理位置图</w:t>
      </w:r>
    </w:p>
    <w:p w14:paraId="2123DF5D">
      <w:pPr>
        <w:keepNext w:val="0"/>
        <w:keepLines w:val="0"/>
        <w:pageBreakBefore w:val="0"/>
        <w:kinsoku/>
        <w:wordWrap/>
        <w:overflowPunct/>
        <w:topLinePunct w:val="0"/>
        <w:autoSpaceDE/>
        <w:autoSpaceDN/>
        <w:bidi w:val="0"/>
        <w:adjustRightInd w:val="0"/>
        <w:snapToGrid w:val="0"/>
        <w:spacing w:line="480" w:lineRule="exact"/>
        <w:ind w:firstLine="480" w:firstLineChars="200"/>
        <w:jc w:val="both"/>
        <w:textAlignment w:val="auto"/>
        <w:rPr>
          <w:rFonts w:eastAsia="仿宋_GB2312"/>
          <w:sz w:val="24"/>
          <w:szCs w:val="24"/>
        </w:rPr>
      </w:pPr>
      <w:r>
        <w:rPr>
          <w:rFonts w:eastAsia="仿宋_GB2312"/>
          <w:sz w:val="24"/>
          <w:szCs w:val="24"/>
        </w:rPr>
        <w:t>附图</w:t>
      </w:r>
      <w:r>
        <w:rPr>
          <w:rFonts w:hint="eastAsia" w:eastAsia="仿宋_GB2312"/>
          <w:sz w:val="24"/>
          <w:szCs w:val="24"/>
          <w:lang w:val="en-US" w:eastAsia="zh-CN"/>
        </w:rPr>
        <w:t>2</w:t>
      </w:r>
      <w:r>
        <w:rPr>
          <w:rFonts w:eastAsia="仿宋_GB2312"/>
          <w:sz w:val="24"/>
          <w:szCs w:val="24"/>
        </w:rPr>
        <w:t xml:space="preserve">   项目周边500m概况图</w:t>
      </w:r>
    </w:p>
    <w:p w14:paraId="148668E1">
      <w:pPr>
        <w:keepNext w:val="0"/>
        <w:keepLines w:val="0"/>
        <w:pageBreakBefore w:val="0"/>
        <w:kinsoku/>
        <w:wordWrap/>
        <w:overflowPunct/>
        <w:topLinePunct w:val="0"/>
        <w:autoSpaceDE/>
        <w:autoSpaceDN/>
        <w:bidi w:val="0"/>
        <w:adjustRightInd w:val="0"/>
        <w:snapToGrid w:val="0"/>
        <w:spacing w:line="480" w:lineRule="exact"/>
        <w:ind w:firstLine="480" w:firstLineChars="200"/>
        <w:jc w:val="both"/>
        <w:textAlignment w:val="auto"/>
        <w:rPr>
          <w:rFonts w:eastAsia="仿宋_GB2312"/>
          <w:sz w:val="24"/>
          <w:szCs w:val="24"/>
        </w:rPr>
      </w:pPr>
      <w:r>
        <w:rPr>
          <w:rFonts w:eastAsia="仿宋_GB2312"/>
          <w:sz w:val="24"/>
          <w:szCs w:val="24"/>
        </w:rPr>
        <w:t>附图</w:t>
      </w:r>
      <w:r>
        <w:rPr>
          <w:rFonts w:hint="eastAsia" w:eastAsia="仿宋_GB2312"/>
          <w:sz w:val="24"/>
          <w:szCs w:val="24"/>
          <w:lang w:val="en-US" w:eastAsia="zh-CN"/>
        </w:rPr>
        <w:t>3</w:t>
      </w:r>
      <w:r>
        <w:rPr>
          <w:rFonts w:eastAsia="仿宋_GB2312"/>
          <w:sz w:val="24"/>
          <w:szCs w:val="24"/>
        </w:rPr>
        <w:t xml:space="preserve">   </w:t>
      </w:r>
      <w:r>
        <w:rPr>
          <w:rFonts w:hint="eastAsia" w:eastAsia="仿宋_GB2312"/>
          <w:sz w:val="24"/>
          <w:szCs w:val="24"/>
          <w:lang w:val="en-US" w:eastAsia="zh-CN"/>
        </w:rPr>
        <w:t>技改前</w:t>
      </w:r>
      <w:r>
        <w:rPr>
          <w:rFonts w:eastAsia="仿宋_GB2312"/>
          <w:sz w:val="24"/>
          <w:szCs w:val="24"/>
        </w:rPr>
        <w:t>厂区平面布置图</w:t>
      </w:r>
    </w:p>
    <w:p w14:paraId="6230B9CE">
      <w:pPr>
        <w:keepNext w:val="0"/>
        <w:keepLines w:val="0"/>
        <w:pageBreakBefore w:val="0"/>
        <w:kinsoku/>
        <w:wordWrap/>
        <w:overflowPunct/>
        <w:topLinePunct w:val="0"/>
        <w:autoSpaceDE/>
        <w:autoSpaceDN/>
        <w:bidi w:val="0"/>
        <w:adjustRightInd w:val="0"/>
        <w:snapToGrid w:val="0"/>
        <w:spacing w:line="480" w:lineRule="exact"/>
        <w:ind w:firstLine="480" w:firstLineChars="200"/>
        <w:jc w:val="both"/>
        <w:textAlignment w:val="auto"/>
        <w:rPr>
          <w:rFonts w:hint="default" w:eastAsia="仿宋_GB2312"/>
          <w:sz w:val="24"/>
          <w:szCs w:val="24"/>
          <w:lang w:val="en-US" w:eastAsia="zh-CN"/>
        </w:rPr>
      </w:pPr>
      <w:r>
        <w:rPr>
          <w:rFonts w:eastAsia="仿宋_GB2312"/>
          <w:sz w:val="24"/>
          <w:szCs w:val="24"/>
        </w:rPr>
        <w:t>附图</w:t>
      </w:r>
      <w:r>
        <w:rPr>
          <w:rFonts w:hint="eastAsia" w:eastAsia="仿宋_GB2312"/>
          <w:sz w:val="24"/>
          <w:szCs w:val="24"/>
          <w:lang w:val="en-US" w:eastAsia="zh-CN"/>
        </w:rPr>
        <w:t>4   技改后</w:t>
      </w:r>
      <w:r>
        <w:rPr>
          <w:rFonts w:eastAsia="仿宋_GB2312"/>
          <w:sz w:val="24"/>
          <w:szCs w:val="24"/>
        </w:rPr>
        <w:t>厂区平面布置图</w:t>
      </w:r>
    </w:p>
    <w:p w14:paraId="22E32C44">
      <w:pPr>
        <w:keepNext w:val="0"/>
        <w:keepLines w:val="0"/>
        <w:pageBreakBefore w:val="0"/>
        <w:kinsoku/>
        <w:wordWrap/>
        <w:overflowPunct/>
        <w:topLinePunct w:val="0"/>
        <w:autoSpaceDE/>
        <w:autoSpaceDN/>
        <w:bidi w:val="0"/>
        <w:adjustRightInd w:val="0"/>
        <w:snapToGrid w:val="0"/>
        <w:spacing w:line="480" w:lineRule="exact"/>
        <w:ind w:firstLine="480" w:firstLineChars="200"/>
        <w:jc w:val="both"/>
        <w:textAlignment w:val="auto"/>
        <w:rPr>
          <w:rFonts w:hint="default" w:eastAsia="仿宋_GB2312"/>
          <w:sz w:val="24"/>
          <w:szCs w:val="24"/>
          <w:lang w:val="en-US" w:eastAsia="zh-CN"/>
        </w:rPr>
      </w:pPr>
      <w:r>
        <w:rPr>
          <w:rFonts w:eastAsia="仿宋_GB2312"/>
          <w:sz w:val="24"/>
          <w:szCs w:val="24"/>
        </w:rPr>
        <w:t>附图</w:t>
      </w:r>
      <w:r>
        <w:rPr>
          <w:rFonts w:hint="eastAsia" w:eastAsia="仿宋_GB2312"/>
          <w:sz w:val="24"/>
          <w:szCs w:val="24"/>
          <w:lang w:val="en-US" w:eastAsia="zh-CN"/>
        </w:rPr>
        <w:t>5</w:t>
      </w:r>
      <w:r>
        <w:rPr>
          <w:rFonts w:eastAsia="仿宋_GB2312"/>
          <w:sz w:val="24"/>
          <w:szCs w:val="24"/>
        </w:rPr>
        <w:t xml:space="preserve">   </w:t>
      </w:r>
      <w:r>
        <w:rPr>
          <w:rFonts w:hint="eastAsia" w:eastAsia="仿宋_GB2312"/>
          <w:sz w:val="24"/>
          <w:szCs w:val="24"/>
          <w:lang w:val="en-US" w:eastAsia="zh-CN"/>
        </w:rPr>
        <w:t>厂区雨污管线及事故废水控制图</w:t>
      </w:r>
    </w:p>
    <w:p w14:paraId="12A0000C">
      <w:pPr>
        <w:keepNext w:val="0"/>
        <w:keepLines w:val="0"/>
        <w:pageBreakBefore w:val="0"/>
        <w:kinsoku/>
        <w:wordWrap/>
        <w:overflowPunct/>
        <w:topLinePunct w:val="0"/>
        <w:autoSpaceDE/>
        <w:autoSpaceDN/>
        <w:bidi w:val="0"/>
        <w:adjustRightInd w:val="0"/>
        <w:snapToGrid w:val="0"/>
        <w:spacing w:line="480" w:lineRule="exact"/>
        <w:ind w:firstLine="480" w:firstLineChars="200"/>
        <w:jc w:val="both"/>
        <w:textAlignment w:val="auto"/>
        <w:rPr>
          <w:rFonts w:hint="default" w:eastAsia="仿宋_GB2312"/>
          <w:sz w:val="24"/>
          <w:szCs w:val="24"/>
          <w:lang w:val="en-US" w:eastAsia="zh-CN"/>
        </w:rPr>
      </w:pPr>
      <w:r>
        <w:rPr>
          <w:rFonts w:eastAsia="仿宋_GB2312"/>
          <w:sz w:val="24"/>
          <w:szCs w:val="24"/>
        </w:rPr>
        <w:t>附图</w:t>
      </w:r>
      <w:r>
        <w:rPr>
          <w:rFonts w:hint="eastAsia" w:eastAsia="仿宋_GB2312"/>
          <w:sz w:val="24"/>
          <w:szCs w:val="24"/>
          <w:lang w:val="en-US" w:eastAsia="zh-CN"/>
        </w:rPr>
        <w:t>6</w:t>
      </w:r>
      <w:r>
        <w:rPr>
          <w:rFonts w:eastAsia="仿宋_GB2312"/>
          <w:sz w:val="24"/>
          <w:szCs w:val="24"/>
        </w:rPr>
        <w:t xml:space="preserve">   </w:t>
      </w:r>
      <w:r>
        <w:rPr>
          <w:rFonts w:hint="eastAsia" w:eastAsia="仿宋_GB2312"/>
          <w:sz w:val="24"/>
          <w:szCs w:val="24"/>
          <w:lang w:val="en-US" w:eastAsia="zh-CN"/>
        </w:rPr>
        <w:t>厂区防腐防渗图</w:t>
      </w:r>
    </w:p>
    <w:p w14:paraId="623F05C3">
      <w:pPr>
        <w:keepNext w:val="0"/>
        <w:keepLines w:val="0"/>
        <w:pageBreakBefore w:val="0"/>
        <w:kinsoku/>
        <w:wordWrap/>
        <w:overflowPunct/>
        <w:topLinePunct w:val="0"/>
        <w:autoSpaceDE/>
        <w:autoSpaceDN/>
        <w:bidi w:val="0"/>
        <w:adjustRightInd w:val="0"/>
        <w:snapToGrid w:val="0"/>
        <w:spacing w:line="480" w:lineRule="exact"/>
        <w:ind w:firstLine="480" w:firstLineChars="200"/>
        <w:jc w:val="both"/>
        <w:textAlignment w:val="auto"/>
        <w:rPr>
          <w:rFonts w:hint="eastAsia" w:eastAsia="仿宋_GB2312"/>
          <w:sz w:val="24"/>
          <w:szCs w:val="24"/>
          <w:lang w:val="en-US" w:eastAsia="zh-CN"/>
        </w:rPr>
      </w:pPr>
      <w:r>
        <w:rPr>
          <w:rFonts w:eastAsia="仿宋_GB2312"/>
          <w:sz w:val="24"/>
          <w:szCs w:val="24"/>
        </w:rPr>
        <w:t>附图</w:t>
      </w:r>
      <w:r>
        <w:rPr>
          <w:rFonts w:hint="eastAsia" w:eastAsia="仿宋_GB2312"/>
          <w:sz w:val="24"/>
          <w:szCs w:val="24"/>
          <w:lang w:val="en-US" w:eastAsia="zh-CN"/>
        </w:rPr>
        <w:t>7</w:t>
      </w:r>
      <w:r>
        <w:rPr>
          <w:rFonts w:eastAsia="仿宋_GB2312"/>
          <w:sz w:val="24"/>
          <w:szCs w:val="24"/>
        </w:rPr>
        <w:t xml:space="preserve">   </w:t>
      </w:r>
      <w:r>
        <w:rPr>
          <w:rFonts w:hint="eastAsia" w:eastAsia="仿宋_GB2312"/>
          <w:sz w:val="24"/>
          <w:szCs w:val="24"/>
          <w:lang w:val="en-US" w:eastAsia="zh-CN"/>
        </w:rPr>
        <w:t>卤水管线路径图</w:t>
      </w:r>
    </w:p>
    <w:p w14:paraId="2461F82B">
      <w:pPr>
        <w:keepNext w:val="0"/>
        <w:keepLines w:val="0"/>
        <w:pageBreakBefore w:val="0"/>
        <w:kinsoku/>
        <w:wordWrap/>
        <w:overflowPunct/>
        <w:topLinePunct w:val="0"/>
        <w:autoSpaceDE/>
        <w:autoSpaceDN/>
        <w:bidi w:val="0"/>
        <w:adjustRightInd w:val="0"/>
        <w:snapToGrid w:val="0"/>
        <w:spacing w:line="480" w:lineRule="exact"/>
        <w:ind w:firstLine="480" w:firstLineChars="200"/>
        <w:jc w:val="both"/>
        <w:textAlignment w:val="auto"/>
        <w:rPr>
          <w:rFonts w:eastAsia="仿宋_GB2312"/>
          <w:sz w:val="24"/>
          <w:szCs w:val="24"/>
        </w:rPr>
      </w:pPr>
      <w:r>
        <w:rPr>
          <w:rFonts w:eastAsia="仿宋_GB2312"/>
          <w:sz w:val="24"/>
          <w:szCs w:val="24"/>
        </w:rPr>
        <w:t>附图</w:t>
      </w:r>
      <w:r>
        <w:rPr>
          <w:rFonts w:hint="eastAsia" w:eastAsia="仿宋_GB2312"/>
          <w:sz w:val="24"/>
          <w:szCs w:val="24"/>
          <w:lang w:val="en-US" w:eastAsia="zh-CN"/>
        </w:rPr>
        <w:t>8</w:t>
      </w:r>
      <w:r>
        <w:rPr>
          <w:rFonts w:eastAsia="仿宋_GB2312"/>
          <w:sz w:val="24"/>
          <w:szCs w:val="24"/>
        </w:rPr>
        <w:t xml:space="preserve">   周边水系概况图</w:t>
      </w:r>
    </w:p>
    <w:p w14:paraId="38511CA6">
      <w:pPr>
        <w:keepNext w:val="0"/>
        <w:keepLines w:val="0"/>
        <w:pageBreakBefore w:val="0"/>
        <w:kinsoku/>
        <w:wordWrap/>
        <w:overflowPunct/>
        <w:topLinePunct w:val="0"/>
        <w:autoSpaceDE/>
        <w:autoSpaceDN/>
        <w:bidi w:val="0"/>
        <w:adjustRightInd w:val="0"/>
        <w:snapToGrid w:val="0"/>
        <w:spacing w:line="480" w:lineRule="exact"/>
        <w:ind w:firstLine="480" w:firstLineChars="200"/>
        <w:jc w:val="both"/>
        <w:textAlignment w:val="auto"/>
        <w:rPr>
          <w:rFonts w:eastAsia="仿宋_GB2312"/>
          <w:sz w:val="24"/>
          <w:szCs w:val="24"/>
        </w:rPr>
      </w:pPr>
      <w:r>
        <w:rPr>
          <w:rFonts w:eastAsia="仿宋_GB2312"/>
          <w:sz w:val="24"/>
          <w:szCs w:val="24"/>
        </w:rPr>
        <w:t>附图</w:t>
      </w:r>
      <w:r>
        <w:rPr>
          <w:rFonts w:hint="eastAsia" w:eastAsia="仿宋_GB2312"/>
          <w:sz w:val="24"/>
          <w:szCs w:val="24"/>
          <w:lang w:val="en-US" w:eastAsia="zh-CN"/>
        </w:rPr>
        <w:t>9</w:t>
      </w:r>
      <w:r>
        <w:rPr>
          <w:rFonts w:eastAsia="仿宋_GB2312"/>
          <w:sz w:val="24"/>
          <w:szCs w:val="24"/>
        </w:rPr>
        <w:t xml:space="preserve">   江苏省环境管控单元图</w:t>
      </w:r>
    </w:p>
    <w:p w14:paraId="5B6B5399">
      <w:pPr>
        <w:keepNext w:val="0"/>
        <w:keepLines w:val="0"/>
        <w:pageBreakBefore w:val="0"/>
        <w:kinsoku/>
        <w:wordWrap/>
        <w:overflowPunct/>
        <w:topLinePunct w:val="0"/>
        <w:autoSpaceDE/>
        <w:autoSpaceDN/>
        <w:bidi w:val="0"/>
        <w:adjustRightInd w:val="0"/>
        <w:snapToGrid w:val="0"/>
        <w:spacing w:line="480" w:lineRule="exact"/>
        <w:ind w:firstLine="480" w:firstLineChars="200"/>
        <w:jc w:val="both"/>
        <w:textAlignment w:val="auto"/>
        <w:rPr>
          <w:rFonts w:eastAsia="仿宋_GB2312"/>
          <w:sz w:val="24"/>
          <w:szCs w:val="24"/>
        </w:rPr>
      </w:pPr>
      <w:r>
        <w:rPr>
          <w:rFonts w:hint="eastAsia" w:eastAsia="仿宋_GB2312"/>
          <w:sz w:val="24"/>
          <w:szCs w:val="24"/>
          <w:lang w:val="en-US" w:eastAsia="zh-CN"/>
        </w:rPr>
        <w:t xml:space="preserve">附图10  </w:t>
      </w:r>
      <w:r>
        <w:rPr>
          <w:rFonts w:eastAsia="仿宋_GB2312"/>
          <w:sz w:val="24"/>
          <w:szCs w:val="24"/>
        </w:rPr>
        <w:t>生态</w:t>
      </w:r>
      <w:r>
        <w:rPr>
          <w:rFonts w:hint="eastAsia" w:eastAsia="仿宋_GB2312"/>
          <w:sz w:val="24"/>
          <w:szCs w:val="24"/>
        </w:rPr>
        <w:t>空间保护区域分布图</w:t>
      </w:r>
    </w:p>
    <w:p w14:paraId="53ADA0AB">
      <w:pPr>
        <w:keepNext w:val="0"/>
        <w:keepLines w:val="0"/>
        <w:pageBreakBefore w:val="0"/>
        <w:kinsoku/>
        <w:wordWrap/>
        <w:overflowPunct/>
        <w:topLinePunct w:val="0"/>
        <w:autoSpaceDE/>
        <w:autoSpaceDN/>
        <w:bidi w:val="0"/>
        <w:adjustRightInd w:val="0"/>
        <w:snapToGrid w:val="0"/>
        <w:spacing w:line="480" w:lineRule="exact"/>
        <w:ind w:firstLine="480" w:firstLineChars="200"/>
        <w:jc w:val="both"/>
        <w:textAlignment w:val="auto"/>
        <w:rPr>
          <w:rFonts w:hint="default" w:eastAsia="仿宋_GB2312"/>
          <w:sz w:val="24"/>
          <w:szCs w:val="24"/>
          <w:lang w:val="en-US" w:eastAsia="zh-CN"/>
        </w:rPr>
      </w:pPr>
      <w:r>
        <w:rPr>
          <w:rFonts w:hint="eastAsia" w:eastAsia="仿宋_GB2312"/>
          <w:sz w:val="24"/>
          <w:szCs w:val="24"/>
          <w:lang w:val="en-US" w:eastAsia="zh-CN"/>
        </w:rPr>
        <w:t>附图11  项目与“三区三线”位置关系图</w:t>
      </w:r>
    </w:p>
    <w:p w14:paraId="3655457F">
      <w:pPr>
        <w:keepNext w:val="0"/>
        <w:keepLines w:val="0"/>
        <w:pageBreakBefore w:val="0"/>
        <w:kinsoku/>
        <w:wordWrap/>
        <w:overflowPunct/>
        <w:topLinePunct w:val="0"/>
        <w:autoSpaceDE/>
        <w:autoSpaceDN/>
        <w:bidi w:val="0"/>
        <w:adjustRightInd w:val="0"/>
        <w:snapToGrid w:val="0"/>
        <w:spacing w:line="480" w:lineRule="exact"/>
        <w:ind w:firstLine="480" w:firstLineChars="200"/>
        <w:jc w:val="both"/>
        <w:textAlignment w:val="auto"/>
        <w:rPr>
          <w:rFonts w:eastAsia="仿宋_GB2312"/>
          <w:sz w:val="24"/>
          <w:szCs w:val="24"/>
        </w:rPr>
      </w:pPr>
      <w:r>
        <w:rPr>
          <w:rFonts w:hint="eastAsia" w:eastAsia="仿宋_GB2312"/>
          <w:sz w:val="24"/>
          <w:szCs w:val="24"/>
          <w:lang w:val="en-US" w:eastAsia="zh-CN"/>
        </w:rPr>
        <w:t xml:space="preserve">附图12  </w:t>
      </w:r>
      <w:r>
        <w:rPr>
          <w:rFonts w:hint="eastAsia" w:eastAsia="仿宋_GB2312"/>
          <w:sz w:val="24"/>
          <w:szCs w:val="24"/>
        </w:rPr>
        <w:t>金坛经济开发区</w:t>
      </w:r>
      <w:r>
        <w:rPr>
          <w:rFonts w:eastAsia="仿宋_GB2312"/>
          <w:sz w:val="24"/>
          <w:szCs w:val="24"/>
        </w:rPr>
        <w:t>土地利用规划图</w:t>
      </w:r>
    </w:p>
    <w:p w14:paraId="24FB3AE0">
      <w:pPr>
        <w:keepNext w:val="0"/>
        <w:keepLines w:val="0"/>
        <w:pageBreakBefore w:val="0"/>
        <w:kinsoku/>
        <w:wordWrap/>
        <w:overflowPunct/>
        <w:topLinePunct w:val="0"/>
        <w:autoSpaceDE/>
        <w:autoSpaceDN/>
        <w:bidi w:val="0"/>
        <w:adjustRightInd w:val="0"/>
        <w:snapToGrid w:val="0"/>
        <w:spacing w:line="480" w:lineRule="exact"/>
        <w:ind w:firstLine="480" w:firstLineChars="200"/>
        <w:jc w:val="both"/>
        <w:textAlignment w:val="auto"/>
        <w:rPr>
          <w:rFonts w:eastAsia="仿宋_GB2312"/>
          <w:sz w:val="24"/>
          <w:szCs w:val="24"/>
        </w:rPr>
      </w:pPr>
      <w:r>
        <w:rPr>
          <w:rFonts w:hint="eastAsia" w:eastAsia="仿宋_GB2312"/>
          <w:sz w:val="24"/>
          <w:szCs w:val="24"/>
          <w:lang w:val="en-US" w:eastAsia="zh-CN"/>
        </w:rPr>
        <w:t xml:space="preserve">附图13  </w:t>
      </w:r>
      <w:r>
        <w:rPr>
          <w:rFonts w:hint="eastAsia" w:eastAsia="仿宋_GB2312"/>
          <w:sz w:val="24"/>
          <w:szCs w:val="24"/>
        </w:rPr>
        <w:t>金坛经济开发区</w:t>
      </w:r>
      <w:r>
        <w:rPr>
          <w:rFonts w:eastAsia="仿宋_GB2312"/>
          <w:sz w:val="24"/>
          <w:szCs w:val="24"/>
        </w:rPr>
        <w:t>声功能区划图</w:t>
      </w:r>
    </w:p>
    <w:p w14:paraId="280AA2D0">
      <w:pPr>
        <w:keepNext w:val="0"/>
        <w:keepLines w:val="0"/>
        <w:pageBreakBefore w:val="0"/>
        <w:kinsoku/>
        <w:wordWrap/>
        <w:overflowPunct/>
        <w:topLinePunct w:val="0"/>
        <w:autoSpaceDE/>
        <w:autoSpaceDN/>
        <w:bidi w:val="0"/>
        <w:adjustRightInd w:val="0"/>
        <w:snapToGrid w:val="0"/>
        <w:spacing w:line="480" w:lineRule="exact"/>
        <w:ind w:firstLine="480" w:firstLineChars="200"/>
        <w:jc w:val="both"/>
        <w:textAlignment w:val="auto"/>
        <w:rPr>
          <w:rFonts w:eastAsia="仿宋_GB2312"/>
          <w:sz w:val="24"/>
          <w:szCs w:val="24"/>
        </w:rPr>
      </w:pPr>
      <w:r>
        <w:rPr>
          <w:rFonts w:hint="eastAsia" w:eastAsia="仿宋_GB2312"/>
          <w:sz w:val="24"/>
          <w:szCs w:val="24"/>
        </w:rPr>
        <w:t>附图</w:t>
      </w:r>
      <w:r>
        <w:rPr>
          <w:rFonts w:hint="eastAsia" w:eastAsia="仿宋_GB2312"/>
          <w:sz w:val="24"/>
          <w:szCs w:val="24"/>
          <w:lang w:val="en-US" w:eastAsia="zh-CN"/>
        </w:rPr>
        <w:t>14</w:t>
      </w:r>
      <w:r>
        <w:rPr>
          <w:rFonts w:hint="eastAsia" w:eastAsia="仿宋_GB2312"/>
          <w:sz w:val="24"/>
          <w:szCs w:val="24"/>
        </w:rPr>
        <w:t xml:space="preserve">  企业周边现状照片</w:t>
      </w:r>
    </w:p>
    <w:p w14:paraId="2D7B8349">
      <w:pPr>
        <w:keepNext w:val="0"/>
        <w:keepLines w:val="0"/>
        <w:pageBreakBefore w:val="0"/>
        <w:tabs>
          <w:tab w:val="right" w:leader="dot" w:pos="8640"/>
          <w:tab w:val="right" w:leader="dot" w:pos="9180"/>
        </w:tabs>
        <w:kinsoku/>
        <w:wordWrap/>
        <w:overflowPunct/>
        <w:topLinePunct w:val="0"/>
        <w:autoSpaceDE/>
        <w:autoSpaceDN/>
        <w:bidi w:val="0"/>
        <w:adjustRightInd w:val="0"/>
        <w:snapToGrid w:val="0"/>
        <w:spacing w:line="480" w:lineRule="exact"/>
        <w:ind w:firstLine="482" w:firstLineChars="200"/>
        <w:jc w:val="both"/>
        <w:textAlignment w:val="auto"/>
        <w:rPr>
          <w:rStyle w:val="35"/>
          <w:rFonts w:eastAsia="仿宋_GB2312"/>
          <w:b/>
          <w:color w:val="auto"/>
          <w:sz w:val="24"/>
          <w:szCs w:val="24"/>
          <w:u w:val="none"/>
        </w:rPr>
      </w:pPr>
      <w:r>
        <w:rPr>
          <w:rStyle w:val="35"/>
          <w:rFonts w:eastAsia="仿宋_GB2312"/>
          <w:b/>
          <w:color w:val="auto"/>
          <w:sz w:val="24"/>
          <w:szCs w:val="24"/>
          <w:u w:val="none"/>
        </w:rPr>
        <w:t>附件</w:t>
      </w:r>
    </w:p>
    <w:p w14:paraId="0774E299">
      <w:pPr>
        <w:keepNext w:val="0"/>
        <w:keepLines w:val="0"/>
        <w:pageBreakBefore w:val="0"/>
        <w:kinsoku/>
        <w:wordWrap/>
        <w:overflowPunct/>
        <w:topLinePunct w:val="0"/>
        <w:autoSpaceDE/>
        <w:autoSpaceDN/>
        <w:bidi w:val="0"/>
        <w:adjustRightInd w:val="0"/>
        <w:snapToGrid w:val="0"/>
        <w:spacing w:line="480" w:lineRule="exact"/>
        <w:ind w:firstLine="480" w:firstLineChars="200"/>
        <w:jc w:val="both"/>
        <w:textAlignment w:val="auto"/>
        <w:rPr>
          <w:rFonts w:eastAsia="仿宋_GB2312"/>
          <w:sz w:val="24"/>
          <w:szCs w:val="24"/>
        </w:rPr>
      </w:pPr>
      <w:r>
        <w:rPr>
          <w:rFonts w:eastAsia="仿宋_GB2312"/>
          <w:sz w:val="24"/>
          <w:szCs w:val="24"/>
        </w:rPr>
        <w:t>附件1   项目委托书</w:t>
      </w:r>
    </w:p>
    <w:p w14:paraId="3353EFA3">
      <w:pPr>
        <w:keepNext w:val="0"/>
        <w:keepLines w:val="0"/>
        <w:pageBreakBefore w:val="0"/>
        <w:kinsoku/>
        <w:wordWrap/>
        <w:overflowPunct/>
        <w:topLinePunct w:val="0"/>
        <w:autoSpaceDE/>
        <w:autoSpaceDN/>
        <w:bidi w:val="0"/>
        <w:adjustRightInd w:val="0"/>
        <w:snapToGrid w:val="0"/>
        <w:spacing w:line="480" w:lineRule="exact"/>
        <w:ind w:firstLine="480" w:firstLineChars="200"/>
        <w:jc w:val="both"/>
        <w:textAlignment w:val="auto"/>
        <w:rPr>
          <w:rFonts w:eastAsia="仿宋_GB2312"/>
          <w:sz w:val="24"/>
          <w:szCs w:val="24"/>
        </w:rPr>
      </w:pPr>
      <w:r>
        <w:rPr>
          <w:rFonts w:eastAsia="仿宋_GB2312"/>
          <w:sz w:val="24"/>
          <w:szCs w:val="24"/>
        </w:rPr>
        <w:t xml:space="preserve">附件2   </w:t>
      </w:r>
      <w:r>
        <w:rPr>
          <w:rFonts w:hint="eastAsia" w:eastAsia="仿宋_GB2312"/>
          <w:sz w:val="24"/>
          <w:szCs w:val="32"/>
        </w:rPr>
        <w:t>江苏省投资项目备案证</w:t>
      </w:r>
    </w:p>
    <w:p w14:paraId="1E4BD322">
      <w:pPr>
        <w:keepNext w:val="0"/>
        <w:keepLines w:val="0"/>
        <w:pageBreakBefore w:val="0"/>
        <w:kinsoku/>
        <w:wordWrap/>
        <w:overflowPunct/>
        <w:topLinePunct w:val="0"/>
        <w:autoSpaceDE/>
        <w:autoSpaceDN/>
        <w:bidi w:val="0"/>
        <w:adjustRightInd w:val="0"/>
        <w:snapToGrid w:val="0"/>
        <w:spacing w:line="480" w:lineRule="exact"/>
        <w:ind w:firstLine="480" w:firstLineChars="200"/>
        <w:jc w:val="both"/>
        <w:textAlignment w:val="auto"/>
        <w:rPr>
          <w:rFonts w:eastAsia="仿宋_GB2312"/>
          <w:sz w:val="24"/>
          <w:szCs w:val="24"/>
        </w:rPr>
      </w:pPr>
      <w:r>
        <w:rPr>
          <w:rFonts w:eastAsia="仿宋_GB2312"/>
          <w:sz w:val="24"/>
          <w:szCs w:val="24"/>
        </w:rPr>
        <w:t>附件</w:t>
      </w:r>
      <w:r>
        <w:rPr>
          <w:rFonts w:hint="eastAsia" w:eastAsia="仿宋_GB2312"/>
          <w:sz w:val="24"/>
          <w:szCs w:val="24"/>
        </w:rPr>
        <w:t>3</w:t>
      </w:r>
      <w:r>
        <w:rPr>
          <w:rFonts w:hint="eastAsia" w:eastAsia="仿宋_GB2312"/>
          <w:sz w:val="24"/>
          <w:szCs w:val="24"/>
          <w:lang w:val="en-US" w:eastAsia="zh-CN"/>
        </w:rPr>
        <w:t xml:space="preserve">   </w:t>
      </w:r>
      <w:r>
        <w:rPr>
          <w:rFonts w:hint="eastAsia" w:eastAsia="仿宋_GB2312"/>
          <w:sz w:val="24"/>
          <w:szCs w:val="32"/>
        </w:rPr>
        <w:t>企业营业执照及法人身份证复印件</w:t>
      </w:r>
    </w:p>
    <w:p w14:paraId="515D28F2">
      <w:pPr>
        <w:keepNext w:val="0"/>
        <w:keepLines w:val="0"/>
        <w:pageBreakBefore w:val="0"/>
        <w:kinsoku/>
        <w:wordWrap/>
        <w:overflowPunct/>
        <w:topLinePunct w:val="0"/>
        <w:autoSpaceDE/>
        <w:autoSpaceDN/>
        <w:bidi w:val="0"/>
        <w:adjustRightInd w:val="0"/>
        <w:snapToGrid w:val="0"/>
        <w:spacing w:line="480" w:lineRule="exact"/>
        <w:ind w:firstLine="480" w:firstLineChars="200"/>
        <w:jc w:val="both"/>
        <w:textAlignment w:val="auto"/>
        <w:rPr>
          <w:rFonts w:eastAsia="仿宋_GB2312"/>
          <w:sz w:val="24"/>
          <w:szCs w:val="24"/>
        </w:rPr>
      </w:pPr>
      <w:r>
        <w:rPr>
          <w:rFonts w:eastAsia="仿宋_GB2312"/>
          <w:sz w:val="24"/>
          <w:szCs w:val="24"/>
        </w:rPr>
        <w:t>附件</w:t>
      </w:r>
      <w:r>
        <w:rPr>
          <w:rFonts w:hint="eastAsia" w:eastAsia="仿宋_GB2312"/>
          <w:sz w:val="24"/>
          <w:szCs w:val="24"/>
        </w:rPr>
        <w:t>4</w:t>
      </w:r>
      <w:r>
        <w:rPr>
          <w:rFonts w:eastAsia="仿宋_GB2312"/>
          <w:sz w:val="24"/>
          <w:szCs w:val="24"/>
        </w:rPr>
        <w:t xml:space="preserve">   土地</w:t>
      </w:r>
      <w:r>
        <w:rPr>
          <w:rFonts w:hint="eastAsia" w:eastAsia="仿宋_GB2312"/>
          <w:sz w:val="24"/>
          <w:szCs w:val="24"/>
        </w:rPr>
        <w:t>使用</w:t>
      </w:r>
      <w:r>
        <w:rPr>
          <w:rFonts w:eastAsia="仿宋_GB2312"/>
          <w:sz w:val="24"/>
          <w:szCs w:val="24"/>
        </w:rPr>
        <w:t>证</w:t>
      </w:r>
    </w:p>
    <w:p w14:paraId="0FA6B39C">
      <w:pPr>
        <w:keepNext w:val="0"/>
        <w:keepLines w:val="0"/>
        <w:pageBreakBefore w:val="0"/>
        <w:kinsoku/>
        <w:wordWrap/>
        <w:overflowPunct/>
        <w:topLinePunct w:val="0"/>
        <w:autoSpaceDE/>
        <w:autoSpaceDN/>
        <w:bidi w:val="0"/>
        <w:adjustRightInd w:val="0"/>
        <w:snapToGrid w:val="0"/>
        <w:spacing w:line="480" w:lineRule="exact"/>
        <w:ind w:firstLine="480" w:firstLineChars="200"/>
        <w:jc w:val="both"/>
        <w:textAlignment w:val="auto"/>
        <w:rPr>
          <w:rFonts w:eastAsia="仿宋_GB2312"/>
          <w:sz w:val="24"/>
          <w:szCs w:val="24"/>
        </w:rPr>
      </w:pPr>
      <w:r>
        <w:rPr>
          <w:rFonts w:eastAsia="仿宋_GB2312"/>
          <w:sz w:val="24"/>
          <w:szCs w:val="24"/>
        </w:rPr>
        <w:t>附件5   建设单位承诺书</w:t>
      </w:r>
    </w:p>
    <w:p w14:paraId="6C2770F3">
      <w:pPr>
        <w:keepNext w:val="0"/>
        <w:keepLines w:val="0"/>
        <w:pageBreakBefore w:val="0"/>
        <w:kinsoku/>
        <w:wordWrap/>
        <w:overflowPunct/>
        <w:topLinePunct w:val="0"/>
        <w:autoSpaceDE/>
        <w:autoSpaceDN/>
        <w:bidi w:val="0"/>
        <w:adjustRightInd w:val="0"/>
        <w:snapToGrid w:val="0"/>
        <w:spacing w:line="480" w:lineRule="exact"/>
        <w:ind w:firstLine="480" w:firstLineChars="200"/>
        <w:jc w:val="both"/>
        <w:textAlignment w:val="auto"/>
        <w:rPr>
          <w:rFonts w:eastAsia="仿宋_GB2312"/>
          <w:sz w:val="24"/>
          <w:szCs w:val="24"/>
        </w:rPr>
      </w:pPr>
      <w:r>
        <w:rPr>
          <w:rFonts w:eastAsia="仿宋_GB2312"/>
          <w:sz w:val="24"/>
          <w:szCs w:val="24"/>
        </w:rPr>
        <w:t xml:space="preserve">附件6   </w:t>
      </w:r>
      <w:r>
        <w:rPr>
          <w:rFonts w:hint="eastAsia" w:eastAsia="仿宋_GB2312"/>
          <w:sz w:val="24"/>
          <w:szCs w:val="32"/>
        </w:rPr>
        <w:t>原有项目批复及验收意见</w:t>
      </w:r>
    </w:p>
    <w:p w14:paraId="7BA8F7BD">
      <w:pPr>
        <w:keepNext w:val="0"/>
        <w:keepLines w:val="0"/>
        <w:pageBreakBefore w:val="0"/>
        <w:kinsoku/>
        <w:wordWrap/>
        <w:overflowPunct/>
        <w:topLinePunct w:val="0"/>
        <w:autoSpaceDE/>
        <w:autoSpaceDN/>
        <w:bidi w:val="0"/>
        <w:adjustRightInd w:val="0"/>
        <w:snapToGrid w:val="0"/>
        <w:spacing w:line="480" w:lineRule="exact"/>
        <w:ind w:firstLine="480" w:firstLineChars="200"/>
        <w:jc w:val="both"/>
        <w:textAlignment w:val="auto"/>
        <w:rPr>
          <w:rFonts w:eastAsia="仿宋_GB2312"/>
          <w:sz w:val="24"/>
          <w:szCs w:val="24"/>
        </w:rPr>
      </w:pPr>
      <w:r>
        <w:rPr>
          <w:rFonts w:eastAsia="仿宋_GB2312"/>
          <w:sz w:val="24"/>
          <w:szCs w:val="24"/>
        </w:rPr>
        <w:t xml:space="preserve">附件7   </w:t>
      </w:r>
      <w:r>
        <w:rPr>
          <w:rFonts w:hint="eastAsia" w:eastAsia="仿宋_GB2312"/>
          <w:sz w:val="24"/>
          <w:szCs w:val="24"/>
        </w:rPr>
        <w:t>金坛经济开发区跟踪环境影响报告书的审查意见</w:t>
      </w:r>
    </w:p>
    <w:p w14:paraId="6DB9254A">
      <w:pPr>
        <w:keepNext w:val="0"/>
        <w:keepLines w:val="0"/>
        <w:pageBreakBefore w:val="0"/>
        <w:kinsoku/>
        <w:wordWrap/>
        <w:overflowPunct/>
        <w:topLinePunct w:val="0"/>
        <w:autoSpaceDE/>
        <w:autoSpaceDN/>
        <w:bidi w:val="0"/>
        <w:adjustRightInd w:val="0"/>
        <w:snapToGrid w:val="0"/>
        <w:spacing w:line="480" w:lineRule="exact"/>
        <w:ind w:firstLine="480" w:firstLineChars="200"/>
        <w:jc w:val="both"/>
        <w:textAlignment w:val="auto"/>
        <w:rPr>
          <w:rFonts w:eastAsia="仿宋_GB2312"/>
          <w:sz w:val="24"/>
          <w:szCs w:val="24"/>
        </w:rPr>
      </w:pPr>
      <w:r>
        <w:rPr>
          <w:rFonts w:eastAsia="仿宋_GB2312"/>
          <w:sz w:val="24"/>
          <w:szCs w:val="24"/>
        </w:rPr>
        <w:t xml:space="preserve">附件8   </w:t>
      </w:r>
      <w:r>
        <w:rPr>
          <w:rFonts w:hint="eastAsia" w:eastAsia="仿宋_GB2312"/>
          <w:sz w:val="24"/>
          <w:szCs w:val="24"/>
        </w:rPr>
        <w:t>金坛第二污水处理厂环评批复</w:t>
      </w:r>
    </w:p>
    <w:p w14:paraId="259F3BCC">
      <w:pPr>
        <w:keepNext w:val="0"/>
        <w:keepLines w:val="0"/>
        <w:pageBreakBefore w:val="0"/>
        <w:kinsoku/>
        <w:wordWrap/>
        <w:overflowPunct/>
        <w:topLinePunct w:val="0"/>
        <w:autoSpaceDE/>
        <w:autoSpaceDN/>
        <w:bidi w:val="0"/>
        <w:adjustRightInd w:val="0"/>
        <w:snapToGrid w:val="0"/>
        <w:spacing w:line="480" w:lineRule="exact"/>
        <w:ind w:firstLine="480" w:firstLineChars="200"/>
        <w:jc w:val="both"/>
        <w:textAlignment w:val="auto"/>
        <w:rPr>
          <w:rFonts w:eastAsia="仿宋_GB2312"/>
          <w:sz w:val="24"/>
          <w:szCs w:val="24"/>
        </w:rPr>
      </w:pPr>
      <w:r>
        <w:rPr>
          <w:rFonts w:eastAsia="仿宋_GB2312"/>
          <w:sz w:val="24"/>
          <w:szCs w:val="24"/>
        </w:rPr>
        <w:t xml:space="preserve">附件9   </w:t>
      </w:r>
      <w:r>
        <w:rPr>
          <w:rFonts w:hint="eastAsia" w:eastAsia="仿宋_GB2312"/>
          <w:sz w:val="24"/>
          <w:szCs w:val="24"/>
        </w:rPr>
        <w:t>现状监测报告</w:t>
      </w:r>
    </w:p>
    <w:p w14:paraId="4E7059BB">
      <w:pPr>
        <w:keepNext w:val="0"/>
        <w:keepLines w:val="0"/>
        <w:pageBreakBefore w:val="0"/>
        <w:kinsoku/>
        <w:wordWrap/>
        <w:overflowPunct/>
        <w:topLinePunct w:val="0"/>
        <w:autoSpaceDE/>
        <w:autoSpaceDN/>
        <w:bidi w:val="0"/>
        <w:adjustRightInd w:val="0"/>
        <w:snapToGrid w:val="0"/>
        <w:spacing w:line="480" w:lineRule="exact"/>
        <w:ind w:firstLine="480" w:firstLineChars="200"/>
        <w:jc w:val="both"/>
        <w:textAlignment w:val="auto"/>
        <w:rPr>
          <w:rFonts w:eastAsia="仿宋_GB2312"/>
          <w:color w:val="auto"/>
          <w:sz w:val="24"/>
          <w:szCs w:val="24"/>
        </w:rPr>
      </w:pPr>
      <w:r>
        <w:rPr>
          <w:rFonts w:eastAsia="仿宋_GB2312"/>
          <w:color w:val="auto"/>
          <w:sz w:val="24"/>
          <w:szCs w:val="24"/>
        </w:rPr>
        <w:t>附件</w:t>
      </w:r>
      <w:r>
        <w:rPr>
          <w:rFonts w:hint="eastAsia" w:eastAsia="仿宋_GB2312"/>
          <w:color w:val="auto"/>
          <w:sz w:val="24"/>
          <w:szCs w:val="24"/>
        </w:rPr>
        <w:t>10</w:t>
      </w:r>
      <w:r>
        <w:rPr>
          <w:rFonts w:hint="eastAsia" w:eastAsia="仿宋_GB2312"/>
          <w:color w:val="auto"/>
          <w:sz w:val="24"/>
          <w:szCs w:val="24"/>
          <w:lang w:val="en-US" w:eastAsia="zh-CN"/>
        </w:rPr>
        <w:t xml:space="preserve">  </w:t>
      </w:r>
      <w:r>
        <w:rPr>
          <w:rFonts w:hint="eastAsia" w:eastAsia="仿宋_GB2312"/>
          <w:color w:val="auto"/>
          <w:sz w:val="24"/>
          <w:szCs w:val="24"/>
        </w:rPr>
        <w:t>环评</w:t>
      </w:r>
      <w:r>
        <w:rPr>
          <w:rFonts w:eastAsia="仿宋_GB2312"/>
          <w:color w:val="auto"/>
          <w:sz w:val="24"/>
          <w:szCs w:val="24"/>
        </w:rPr>
        <w:t>咨询合同</w:t>
      </w:r>
    </w:p>
    <w:p w14:paraId="5A9C687F">
      <w:pPr>
        <w:keepNext w:val="0"/>
        <w:keepLines w:val="0"/>
        <w:pageBreakBefore w:val="0"/>
        <w:kinsoku/>
        <w:wordWrap/>
        <w:overflowPunct/>
        <w:topLinePunct w:val="0"/>
        <w:autoSpaceDE/>
        <w:autoSpaceDN/>
        <w:bidi w:val="0"/>
        <w:adjustRightInd w:val="0"/>
        <w:snapToGrid w:val="0"/>
        <w:spacing w:line="480" w:lineRule="exact"/>
        <w:ind w:firstLine="480" w:firstLineChars="200"/>
        <w:jc w:val="both"/>
        <w:textAlignment w:val="auto"/>
        <w:rPr>
          <w:rFonts w:eastAsia="仿宋_GB2312"/>
          <w:sz w:val="24"/>
          <w:szCs w:val="24"/>
        </w:rPr>
      </w:pPr>
      <w:r>
        <w:rPr>
          <w:rFonts w:eastAsia="仿宋_GB2312"/>
          <w:sz w:val="24"/>
          <w:szCs w:val="24"/>
        </w:rPr>
        <w:t>附件1</w:t>
      </w:r>
      <w:r>
        <w:rPr>
          <w:rFonts w:hint="eastAsia" w:eastAsia="仿宋_GB2312"/>
          <w:sz w:val="24"/>
          <w:szCs w:val="24"/>
        </w:rPr>
        <w:t>1</w:t>
      </w:r>
      <w:r>
        <w:rPr>
          <w:rFonts w:eastAsia="仿宋_GB2312"/>
          <w:sz w:val="24"/>
          <w:szCs w:val="24"/>
        </w:rPr>
        <w:t xml:space="preserve">  危废处置承诺书</w:t>
      </w:r>
    </w:p>
    <w:p w14:paraId="2AD6838E">
      <w:pPr>
        <w:keepNext w:val="0"/>
        <w:keepLines w:val="0"/>
        <w:pageBreakBefore w:val="0"/>
        <w:kinsoku/>
        <w:wordWrap/>
        <w:overflowPunct/>
        <w:topLinePunct w:val="0"/>
        <w:autoSpaceDE/>
        <w:autoSpaceDN/>
        <w:bidi w:val="0"/>
        <w:adjustRightInd w:val="0"/>
        <w:snapToGrid w:val="0"/>
        <w:spacing w:line="480" w:lineRule="exact"/>
        <w:ind w:firstLine="480" w:firstLineChars="200"/>
        <w:jc w:val="both"/>
        <w:textAlignment w:val="auto"/>
        <w:rPr>
          <w:rFonts w:eastAsia="仿宋_GB2312"/>
          <w:sz w:val="24"/>
          <w:szCs w:val="24"/>
        </w:rPr>
      </w:pPr>
      <w:r>
        <w:rPr>
          <w:rFonts w:eastAsia="仿宋_GB2312"/>
          <w:sz w:val="24"/>
          <w:szCs w:val="24"/>
        </w:rPr>
        <w:t>附件1</w:t>
      </w:r>
      <w:r>
        <w:rPr>
          <w:rFonts w:hint="eastAsia" w:eastAsia="仿宋_GB2312"/>
          <w:sz w:val="24"/>
          <w:szCs w:val="24"/>
        </w:rPr>
        <w:t>2</w:t>
      </w:r>
      <w:r>
        <w:rPr>
          <w:rFonts w:hint="eastAsia" w:eastAsia="仿宋_GB2312"/>
          <w:sz w:val="24"/>
          <w:szCs w:val="24"/>
          <w:lang w:val="en-US" w:eastAsia="zh-CN"/>
        </w:rPr>
        <w:t xml:space="preserve">  </w:t>
      </w:r>
      <w:r>
        <w:rPr>
          <w:rFonts w:hint="eastAsia" w:eastAsia="仿宋_GB2312"/>
          <w:sz w:val="24"/>
          <w:szCs w:val="32"/>
        </w:rPr>
        <w:t>公示承诺书</w:t>
      </w:r>
    </w:p>
    <w:p w14:paraId="4B658EEE">
      <w:pPr>
        <w:keepNext w:val="0"/>
        <w:keepLines w:val="0"/>
        <w:pageBreakBefore w:val="0"/>
        <w:kinsoku/>
        <w:wordWrap/>
        <w:overflowPunct/>
        <w:topLinePunct w:val="0"/>
        <w:autoSpaceDE/>
        <w:autoSpaceDN/>
        <w:bidi w:val="0"/>
        <w:adjustRightInd w:val="0"/>
        <w:snapToGrid w:val="0"/>
        <w:spacing w:line="480" w:lineRule="exact"/>
        <w:ind w:firstLine="480" w:firstLineChars="200"/>
        <w:jc w:val="both"/>
        <w:textAlignment w:val="auto"/>
        <w:rPr>
          <w:rFonts w:eastAsia="仿宋_GB2312"/>
          <w:color w:val="auto"/>
          <w:sz w:val="24"/>
          <w:szCs w:val="32"/>
        </w:rPr>
      </w:pPr>
      <w:r>
        <w:rPr>
          <w:rFonts w:eastAsia="仿宋_GB2312"/>
          <w:color w:val="auto"/>
          <w:sz w:val="24"/>
          <w:szCs w:val="24"/>
        </w:rPr>
        <w:t>附件1</w:t>
      </w:r>
      <w:r>
        <w:rPr>
          <w:rFonts w:hint="eastAsia" w:eastAsia="仿宋_GB2312"/>
          <w:color w:val="auto"/>
          <w:sz w:val="24"/>
          <w:szCs w:val="24"/>
        </w:rPr>
        <w:t>3</w:t>
      </w:r>
      <w:r>
        <w:rPr>
          <w:rFonts w:hint="eastAsia" w:eastAsia="仿宋_GB2312"/>
          <w:color w:val="auto"/>
          <w:sz w:val="24"/>
          <w:szCs w:val="24"/>
          <w:lang w:val="en-US" w:eastAsia="zh-CN"/>
        </w:rPr>
        <w:t xml:space="preserve">  </w:t>
      </w:r>
      <w:r>
        <w:rPr>
          <w:rFonts w:hint="eastAsia" w:eastAsia="仿宋_GB2312"/>
          <w:color w:val="auto"/>
          <w:sz w:val="24"/>
          <w:szCs w:val="32"/>
        </w:rPr>
        <w:t>现有应急预案备案证</w:t>
      </w:r>
    </w:p>
    <w:p w14:paraId="2BF4C027">
      <w:pPr>
        <w:keepNext w:val="0"/>
        <w:keepLines w:val="0"/>
        <w:pageBreakBefore w:val="0"/>
        <w:kinsoku/>
        <w:wordWrap/>
        <w:overflowPunct/>
        <w:topLinePunct w:val="0"/>
        <w:autoSpaceDE/>
        <w:autoSpaceDN/>
        <w:bidi w:val="0"/>
        <w:adjustRightInd w:val="0"/>
        <w:snapToGrid w:val="0"/>
        <w:spacing w:line="480" w:lineRule="exact"/>
        <w:ind w:firstLine="480" w:firstLineChars="200"/>
        <w:jc w:val="both"/>
        <w:textAlignment w:val="auto"/>
        <w:rPr>
          <w:rFonts w:hint="default" w:eastAsia="仿宋_GB2312"/>
          <w:color w:val="auto"/>
          <w:sz w:val="24"/>
          <w:szCs w:val="24"/>
          <w:lang w:val="en-US" w:eastAsia="zh-CN"/>
        </w:rPr>
      </w:pPr>
      <w:r>
        <w:rPr>
          <w:rFonts w:eastAsia="仿宋_GB2312"/>
          <w:color w:val="auto"/>
          <w:sz w:val="24"/>
          <w:szCs w:val="24"/>
        </w:rPr>
        <w:t>附件1</w:t>
      </w:r>
      <w:r>
        <w:rPr>
          <w:rFonts w:hint="eastAsia" w:eastAsia="仿宋_GB2312"/>
          <w:color w:val="auto"/>
          <w:sz w:val="24"/>
          <w:szCs w:val="24"/>
        </w:rPr>
        <w:t>4</w:t>
      </w:r>
      <w:r>
        <w:rPr>
          <w:rFonts w:eastAsia="仿宋_GB2312"/>
          <w:color w:val="auto"/>
          <w:sz w:val="24"/>
          <w:szCs w:val="24"/>
        </w:rPr>
        <w:t xml:space="preserve">  </w:t>
      </w:r>
      <w:r>
        <w:rPr>
          <w:rFonts w:hint="eastAsia" w:eastAsia="仿宋_GB2312"/>
          <w:color w:val="auto"/>
          <w:sz w:val="24"/>
          <w:szCs w:val="24"/>
          <w:lang w:val="en-US" w:eastAsia="zh-CN"/>
        </w:rPr>
        <w:t>水性漆MSDS</w:t>
      </w:r>
    </w:p>
    <w:p w14:paraId="73372354">
      <w:pPr>
        <w:keepNext w:val="0"/>
        <w:keepLines w:val="0"/>
        <w:pageBreakBefore w:val="0"/>
        <w:kinsoku/>
        <w:wordWrap/>
        <w:overflowPunct/>
        <w:topLinePunct w:val="0"/>
        <w:autoSpaceDE/>
        <w:autoSpaceDN/>
        <w:bidi w:val="0"/>
        <w:adjustRightInd w:val="0"/>
        <w:snapToGrid w:val="0"/>
        <w:spacing w:line="480" w:lineRule="exact"/>
        <w:ind w:firstLine="480" w:firstLineChars="200"/>
        <w:jc w:val="both"/>
        <w:textAlignment w:val="auto"/>
        <w:rPr>
          <w:rFonts w:hint="default" w:eastAsia="仿宋_GB2312"/>
          <w:color w:val="auto"/>
          <w:sz w:val="24"/>
          <w:szCs w:val="24"/>
          <w:lang w:val="en-US" w:eastAsia="zh-CN"/>
        </w:rPr>
      </w:pPr>
      <w:r>
        <w:rPr>
          <w:rFonts w:eastAsia="仿宋_GB2312"/>
          <w:color w:val="auto"/>
          <w:sz w:val="24"/>
          <w:szCs w:val="24"/>
        </w:rPr>
        <w:t>附件1</w:t>
      </w:r>
      <w:r>
        <w:rPr>
          <w:rFonts w:hint="eastAsia" w:eastAsia="仿宋_GB2312"/>
          <w:color w:val="auto"/>
          <w:sz w:val="24"/>
          <w:szCs w:val="24"/>
          <w:lang w:val="en-US" w:eastAsia="zh-CN"/>
        </w:rPr>
        <w:t>5</w:t>
      </w:r>
      <w:r>
        <w:rPr>
          <w:rFonts w:eastAsia="仿宋_GB2312"/>
          <w:color w:val="auto"/>
          <w:sz w:val="24"/>
          <w:szCs w:val="24"/>
        </w:rPr>
        <w:t xml:space="preserve">  </w:t>
      </w:r>
      <w:r>
        <w:rPr>
          <w:rFonts w:hint="eastAsia" w:eastAsia="仿宋_GB2312"/>
          <w:color w:val="auto"/>
          <w:sz w:val="24"/>
          <w:szCs w:val="24"/>
          <w:lang w:val="en-US" w:eastAsia="zh-CN"/>
        </w:rPr>
        <w:t>食盐食盐定点单位证书</w:t>
      </w:r>
    </w:p>
    <w:p w14:paraId="59DB3FB8">
      <w:pPr>
        <w:keepNext w:val="0"/>
        <w:keepLines w:val="0"/>
        <w:pageBreakBefore w:val="0"/>
        <w:kinsoku/>
        <w:wordWrap/>
        <w:overflowPunct/>
        <w:topLinePunct w:val="0"/>
        <w:autoSpaceDE/>
        <w:autoSpaceDN/>
        <w:bidi w:val="0"/>
        <w:adjustRightInd w:val="0"/>
        <w:snapToGrid w:val="0"/>
        <w:spacing w:line="480" w:lineRule="exact"/>
        <w:ind w:firstLine="480" w:firstLineChars="200"/>
        <w:jc w:val="both"/>
        <w:textAlignment w:val="auto"/>
        <w:rPr>
          <w:rFonts w:hint="default" w:eastAsia="仿宋_GB2312"/>
          <w:color w:val="auto"/>
          <w:sz w:val="24"/>
          <w:szCs w:val="24"/>
          <w:lang w:val="en-US" w:eastAsia="zh-CN"/>
        </w:rPr>
      </w:pPr>
      <w:r>
        <w:rPr>
          <w:rFonts w:hint="eastAsia" w:eastAsia="仿宋_GB2312"/>
          <w:color w:val="auto"/>
          <w:sz w:val="24"/>
          <w:szCs w:val="24"/>
          <w:lang w:val="en-US" w:eastAsia="zh-CN"/>
        </w:rPr>
        <w:t>附件16  江苏省生态环境管控综合查询报告书</w:t>
      </w:r>
    </w:p>
    <w:p w14:paraId="15CF66DF">
      <w:pPr>
        <w:keepNext w:val="0"/>
        <w:keepLines w:val="0"/>
        <w:pageBreakBefore w:val="0"/>
        <w:kinsoku/>
        <w:wordWrap/>
        <w:overflowPunct/>
        <w:topLinePunct w:val="0"/>
        <w:autoSpaceDE/>
        <w:autoSpaceDN/>
        <w:bidi w:val="0"/>
        <w:adjustRightInd w:val="0"/>
        <w:snapToGrid w:val="0"/>
        <w:spacing w:line="480" w:lineRule="exact"/>
        <w:ind w:firstLine="480" w:firstLineChars="200"/>
        <w:jc w:val="both"/>
        <w:textAlignment w:val="auto"/>
        <w:rPr>
          <w:rFonts w:eastAsia="仿宋_GB2312"/>
          <w:color w:val="FF0000"/>
          <w:sz w:val="24"/>
          <w:szCs w:val="24"/>
        </w:rPr>
      </w:pPr>
      <w:r>
        <w:rPr>
          <w:rFonts w:hint="eastAsia" w:eastAsia="仿宋_GB2312"/>
          <w:color w:val="auto"/>
          <w:sz w:val="24"/>
          <w:szCs w:val="24"/>
          <w:lang w:val="en-US" w:eastAsia="zh-CN"/>
        </w:rPr>
        <w:t xml:space="preserve">附件17  </w:t>
      </w:r>
      <w:r>
        <w:rPr>
          <w:rFonts w:eastAsia="仿宋_GB2312"/>
          <w:color w:val="auto"/>
          <w:sz w:val="24"/>
          <w:szCs w:val="24"/>
        </w:rPr>
        <w:t>工程师</w:t>
      </w:r>
      <w:r>
        <w:rPr>
          <w:rFonts w:hint="eastAsia" w:eastAsia="仿宋_GB2312"/>
          <w:color w:val="auto"/>
          <w:sz w:val="24"/>
          <w:szCs w:val="24"/>
        </w:rPr>
        <w:t>勘查照片</w:t>
      </w:r>
    </w:p>
    <w:p w14:paraId="1BA4F24C">
      <w:pPr>
        <w:pStyle w:val="28"/>
        <w:jc w:val="center"/>
        <w:outlineLvl w:val="0"/>
        <w:rPr>
          <w:rFonts w:ascii="Times New Roman" w:hAnsi="Times New Roman" w:eastAsia="仿宋_GB2312"/>
          <w:snapToGrid w:val="0"/>
          <w:sz w:val="30"/>
          <w:szCs w:val="30"/>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46E423D3">
      <w:pPr>
        <w:pStyle w:val="28"/>
        <w:jc w:val="center"/>
        <w:outlineLvl w:val="0"/>
        <w:rPr>
          <w:rFonts w:ascii="Times New Roman" w:hAnsi="Times New Roman" w:eastAsia="仿宋_GB2312"/>
          <w:b/>
          <w:bCs/>
          <w:snapToGrid w:val="0"/>
          <w:sz w:val="30"/>
          <w:szCs w:val="30"/>
        </w:rPr>
      </w:pPr>
      <w:bookmarkStart w:id="2" w:name="_Toc27516"/>
      <w:bookmarkStart w:id="3" w:name="_Toc25784"/>
      <w:bookmarkStart w:id="4" w:name="_Toc4542"/>
      <w:r>
        <w:rPr>
          <w:rFonts w:ascii="Times New Roman" w:hAnsi="Times New Roman" w:eastAsia="仿宋_GB2312"/>
          <w:b/>
          <w:bCs/>
          <w:snapToGrid w:val="0"/>
          <w:sz w:val="30"/>
          <w:szCs w:val="30"/>
        </w:rPr>
        <w:t>一、建设项目基本情况</w:t>
      </w:r>
      <w:bookmarkEnd w:id="2"/>
      <w:bookmarkEnd w:id="3"/>
      <w:bookmarkEnd w:id="4"/>
    </w:p>
    <w:tbl>
      <w:tblPr>
        <w:tblStyle w:val="3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159"/>
        <w:gridCol w:w="2860"/>
        <w:gridCol w:w="2212"/>
        <w:gridCol w:w="2639"/>
      </w:tblGrid>
      <w:tr w14:paraId="1B53A1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59" w:type="dxa"/>
            <w:tcMar>
              <w:top w:w="16" w:type="dxa"/>
              <w:left w:w="16" w:type="dxa"/>
              <w:right w:w="16" w:type="dxa"/>
            </w:tcMar>
            <w:vAlign w:val="center"/>
          </w:tcPr>
          <w:p w14:paraId="794768D5">
            <w:pPr>
              <w:adjustRightInd w:val="0"/>
              <w:snapToGrid w:val="0"/>
              <w:jc w:val="center"/>
              <w:rPr>
                <w:rFonts w:eastAsia="仿宋_GB2312"/>
                <w:sz w:val="24"/>
                <w:szCs w:val="24"/>
              </w:rPr>
            </w:pPr>
            <w:r>
              <w:rPr>
                <w:rFonts w:eastAsia="仿宋_GB2312"/>
                <w:sz w:val="24"/>
                <w:szCs w:val="24"/>
              </w:rPr>
              <w:t>建设项目名称</w:t>
            </w:r>
          </w:p>
        </w:tc>
        <w:tc>
          <w:tcPr>
            <w:tcW w:w="7711" w:type="dxa"/>
            <w:gridSpan w:val="3"/>
            <w:vAlign w:val="center"/>
          </w:tcPr>
          <w:p w14:paraId="46F43A8E">
            <w:pPr>
              <w:adjustRightInd w:val="0"/>
              <w:snapToGrid w:val="0"/>
              <w:jc w:val="center"/>
              <w:rPr>
                <w:rFonts w:eastAsia="仿宋_GB2312"/>
              </w:rPr>
            </w:pPr>
            <w:bookmarkStart w:id="5" w:name="_Hlk199853558"/>
            <w:r>
              <w:rPr>
                <w:rFonts w:hint="eastAsia" w:eastAsia="仿宋_GB2312"/>
              </w:rPr>
              <w:t>食品工厂改造（一期）项目</w:t>
            </w:r>
            <w:bookmarkEnd w:id="5"/>
          </w:p>
        </w:tc>
      </w:tr>
      <w:tr w14:paraId="5BEB38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59" w:type="dxa"/>
            <w:tcMar>
              <w:top w:w="16" w:type="dxa"/>
              <w:left w:w="16" w:type="dxa"/>
              <w:right w:w="16" w:type="dxa"/>
            </w:tcMar>
            <w:vAlign w:val="center"/>
          </w:tcPr>
          <w:p w14:paraId="731FF836">
            <w:pPr>
              <w:adjustRightInd w:val="0"/>
              <w:snapToGrid w:val="0"/>
              <w:jc w:val="center"/>
              <w:rPr>
                <w:rFonts w:eastAsia="仿宋_GB2312"/>
                <w:sz w:val="24"/>
                <w:szCs w:val="24"/>
              </w:rPr>
            </w:pPr>
            <w:r>
              <w:rPr>
                <w:rFonts w:eastAsia="仿宋_GB2312"/>
                <w:sz w:val="24"/>
                <w:szCs w:val="24"/>
              </w:rPr>
              <w:t>项目代码</w:t>
            </w:r>
          </w:p>
        </w:tc>
        <w:tc>
          <w:tcPr>
            <w:tcW w:w="7711" w:type="dxa"/>
            <w:gridSpan w:val="3"/>
            <w:vAlign w:val="center"/>
          </w:tcPr>
          <w:p w14:paraId="5924C1FF">
            <w:pPr>
              <w:adjustRightInd w:val="0"/>
              <w:snapToGrid w:val="0"/>
              <w:jc w:val="center"/>
              <w:rPr>
                <w:rFonts w:eastAsia="仿宋_GB2312"/>
              </w:rPr>
            </w:pPr>
            <w:r>
              <w:rPr>
                <w:rFonts w:hint="eastAsia" w:eastAsia="仿宋_GB2312"/>
              </w:rPr>
              <w:t>2020-320413-14-03-654271</w:t>
            </w:r>
          </w:p>
        </w:tc>
      </w:tr>
      <w:tr w14:paraId="05FAB1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59" w:type="dxa"/>
            <w:tcMar>
              <w:top w:w="16" w:type="dxa"/>
              <w:left w:w="16" w:type="dxa"/>
              <w:right w:w="16" w:type="dxa"/>
            </w:tcMar>
            <w:vAlign w:val="center"/>
          </w:tcPr>
          <w:p w14:paraId="4E866641">
            <w:pPr>
              <w:adjustRightInd w:val="0"/>
              <w:snapToGrid w:val="0"/>
              <w:jc w:val="center"/>
              <w:rPr>
                <w:rFonts w:eastAsia="仿宋_GB2312"/>
                <w:sz w:val="24"/>
                <w:szCs w:val="24"/>
              </w:rPr>
            </w:pPr>
            <w:r>
              <w:rPr>
                <w:rFonts w:eastAsia="仿宋_GB2312"/>
                <w:sz w:val="24"/>
                <w:szCs w:val="24"/>
              </w:rPr>
              <w:t>建设单位联系人</w:t>
            </w:r>
          </w:p>
        </w:tc>
        <w:tc>
          <w:tcPr>
            <w:tcW w:w="2860" w:type="dxa"/>
            <w:vAlign w:val="center"/>
          </w:tcPr>
          <w:p w14:paraId="1B85FDD0">
            <w:pPr>
              <w:adjustRightInd w:val="0"/>
              <w:snapToGrid w:val="0"/>
              <w:jc w:val="center"/>
              <w:rPr>
                <w:rFonts w:eastAsia="仿宋_GB2312"/>
              </w:rPr>
            </w:pPr>
            <w:r>
              <w:rPr>
                <w:rFonts w:hint="eastAsia" w:eastAsia="仿宋_GB2312"/>
              </w:rPr>
              <w:t>滕丽</w:t>
            </w:r>
          </w:p>
        </w:tc>
        <w:tc>
          <w:tcPr>
            <w:tcW w:w="2212" w:type="dxa"/>
            <w:vAlign w:val="center"/>
          </w:tcPr>
          <w:p w14:paraId="585AAA12">
            <w:pPr>
              <w:adjustRightInd w:val="0"/>
              <w:snapToGrid w:val="0"/>
              <w:jc w:val="center"/>
              <w:rPr>
                <w:rFonts w:eastAsia="仿宋_GB2312"/>
              </w:rPr>
            </w:pPr>
            <w:r>
              <w:rPr>
                <w:rFonts w:eastAsia="仿宋_GB2312"/>
              </w:rPr>
              <w:t>联系方式</w:t>
            </w:r>
          </w:p>
        </w:tc>
        <w:tc>
          <w:tcPr>
            <w:tcW w:w="2639" w:type="dxa"/>
            <w:vAlign w:val="center"/>
          </w:tcPr>
          <w:p w14:paraId="0E397963">
            <w:pPr>
              <w:adjustRightInd w:val="0"/>
              <w:snapToGrid w:val="0"/>
              <w:jc w:val="center"/>
              <w:rPr>
                <w:rFonts w:eastAsia="仿宋_GB2312"/>
              </w:rPr>
            </w:pPr>
            <w:r>
              <w:rPr>
                <w:rFonts w:eastAsia="仿宋_GB2312"/>
              </w:rPr>
              <w:t>13776389810</w:t>
            </w:r>
          </w:p>
        </w:tc>
      </w:tr>
      <w:tr w14:paraId="6C0EE5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59" w:type="dxa"/>
            <w:tcMar>
              <w:top w:w="16" w:type="dxa"/>
              <w:left w:w="16" w:type="dxa"/>
              <w:right w:w="16" w:type="dxa"/>
            </w:tcMar>
            <w:vAlign w:val="center"/>
          </w:tcPr>
          <w:p w14:paraId="1A31EBF8">
            <w:pPr>
              <w:adjustRightInd w:val="0"/>
              <w:snapToGrid w:val="0"/>
              <w:jc w:val="center"/>
              <w:rPr>
                <w:rFonts w:eastAsia="仿宋_GB2312"/>
                <w:sz w:val="24"/>
                <w:szCs w:val="24"/>
              </w:rPr>
            </w:pPr>
            <w:r>
              <w:rPr>
                <w:rFonts w:eastAsia="仿宋_GB2312"/>
                <w:sz w:val="24"/>
                <w:szCs w:val="24"/>
              </w:rPr>
              <w:t>建设地点</w:t>
            </w:r>
          </w:p>
        </w:tc>
        <w:tc>
          <w:tcPr>
            <w:tcW w:w="7711" w:type="dxa"/>
            <w:gridSpan w:val="3"/>
            <w:vAlign w:val="center"/>
          </w:tcPr>
          <w:p w14:paraId="3392851F">
            <w:pPr>
              <w:adjustRightInd w:val="0"/>
              <w:snapToGrid w:val="0"/>
              <w:jc w:val="center"/>
              <w:rPr>
                <w:rFonts w:eastAsia="仿宋_GB2312"/>
              </w:rPr>
            </w:pPr>
            <w:r>
              <w:rPr>
                <w:rFonts w:eastAsia="仿宋_GB2312"/>
              </w:rPr>
              <w:t>江苏省常州市</w:t>
            </w:r>
            <w:r>
              <w:rPr>
                <w:rFonts w:hint="eastAsia" w:eastAsia="仿宋_GB2312"/>
              </w:rPr>
              <w:t>金坛区经济开发区盐厂路1号</w:t>
            </w:r>
          </w:p>
        </w:tc>
      </w:tr>
      <w:tr w14:paraId="14EB61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59" w:type="dxa"/>
            <w:tcMar>
              <w:top w:w="16" w:type="dxa"/>
              <w:left w:w="16" w:type="dxa"/>
              <w:right w:w="16" w:type="dxa"/>
            </w:tcMar>
            <w:vAlign w:val="center"/>
          </w:tcPr>
          <w:p w14:paraId="7A2E76A0">
            <w:pPr>
              <w:adjustRightInd w:val="0"/>
              <w:snapToGrid w:val="0"/>
              <w:jc w:val="center"/>
              <w:rPr>
                <w:rFonts w:eastAsia="仿宋_GB2312"/>
                <w:sz w:val="24"/>
                <w:szCs w:val="24"/>
              </w:rPr>
            </w:pPr>
            <w:r>
              <w:rPr>
                <w:rFonts w:eastAsia="仿宋_GB2312"/>
                <w:sz w:val="24"/>
                <w:szCs w:val="24"/>
              </w:rPr>
              <w:t>地理坐标</w:t>
            </w:r>
          </w:p>
        </w:tc>
        <w:tc>
          <w:tcPr>
            <w:tcW w:w="7711" w:type="dxa"/>
            <w:gridSpan w:val="3"/>
            <w:vAlign w:val="center"/>
          </w:tcPr>
          <w:p w14:paraId="552F582E">
            <w:pPr>
              <w:jc w:val="center"/>
              <w:rPr>
                <w:rFonts w:eastAsia="仿宋_GB2312"/>
              </w:rPr>
            </w:pPr>
            <w:r>
              <w:rPr>
                <w:rFonts w:eastAsia="仿宋_GB2312"/>
              </w:rPr>
              <w:t>（</w:t>
            </w:r>
            <w:r>
              <w:rPr>
                <w:rFonts w:eastAsia="仿宋_GB2312"/>
                <w:u w:val="single"/>
              </w:rPr>
              <w:t xml:space="preserve"> 119 </w:t>
            </w:r>
            <w:r>
              <w:rPr>
                <w:rFonts w:eastAsia="仿宋_GB2312"/>
              </w:rPr>
              <w:t>度</w:t>
            </w:r>
            <w:r>
              <w:rPr>
                <w:rFonts w:hint="eastAsia" w:eastAsia="仿宋_GB2312"/>
                <w:u w:val="single"/>
              </w:rPr>
              <w:t>34</w:t>
            </w:r>
            <w:r>
              <w:rPr>
                <w:rFonts w:eastAsia="仿宋_GB2312"/>
              </w:rPr>
              <w:t>分</w:t>
            </w:r>
            <w:r>
              <w:rPr>
                <w:rFonts w:hint="eastAsia" w:eastAsia="仿宋_GB2312"/>
                <w:u w:val="single"/>
              </w:rPr>
              <w:t>53.529</w:t>
            </w:r>
            <w:r>
              <w:rPr>
                <w:rFonts w:eastAsia="仿宋_GB2312"/>
              </w:rPr>
              <w:t>秒，</w:t>
            </w:r>
            <w:r>
              <w:rPr>
                <w:rFonts w:eastAsia="仿宋_GB2312"/>
                <w:u w:val="single"/>
              </w:rPr>
              <w:t xml:space="preserve"> 31 </w:t>
            </w:r>
            <w:r>
              <w:rPr>
                <w:rFonts w:eastAsia="仿宋_GB2312"/>
              </w:rPr>
              <w:t>度</w:t>
            </w:r>
            <w:r>
              <w:rPr>
                <w:rFonts w:eastAsia="仿宋_GB2312"/>
                <w:u w:val="single"/>
              </w:rPr>
              <w:t xml:space="preserve"> 4</w:t>
            </w:r>
            <w:r>
              <w:rPr>
                <w:rFonts w:hint="eastAsia" w:eastAsia="仿宋_GB2312"/>
                <w:u w:val="single"/>
              </w:rPr>
              <w:t>6</w:t>
            </w:r>
            <w:r>
              <w:rPr>
                <w:rFonts w:eastAsia="仿宋_GB2312"/>
              </w:rPr>
              <w:t>分</w:t>
            </w:r>
            <w:r>
              <w:rPr>
                <w:rFonts w:hint="eastAsia" w:eastAsia="仿宋_GB2312"/>
                <w:u w:val="single"/>
              </w:rPr>
              <w:t>31.661</w:t>
            </w:r>
            <w:r>
              <w:rPr>
                <w:rFonts w:eastAsia="仿宋_GB2312"/>
              </w:rPr>
              <w:t>秒）</w:t>
            </w:r>
          </w:p>
        </w:tc>
      </w:tr>
      <w:tr w14:paraId="65355B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159" w:type="dxa"/>
            <w:tcMar>
              <w:top w:w="16" w:type="dxa"/>
              <w:left w:w="16" w:type="dxa"/>
              <w:right w:w="16" w:type="dxa"/>
            </w:tcMar>
            <w:vAlign w:val="center"/>
          </w:tcPr>
          <w:p w14:paraId="489A07E6">
            <w:pPr>
              <w:adjustRightInd w:val="0"/>
              <w:snapToGrid w:val="0"/>
              <w:jc w:val="center"/>
              <w:rPr>
                <w:rFonts w:eastAsia="仿宋_GB2312"/>
                <w:sz w:val="24"/>
                <w:szCs w:val="24"/>
              </w:rPr>
            </w:pPr>
            <w:r>
              <w:rPr>
                <w:rFonts w:eastAsia="仿宋_GB2312"/>
                <w:sz w:val="24"/>
                <w:szCs w:val="24"/>
              </w:rPr>
              <w:t>国民经济</w:t>
            </w:r>
          </w:p>
          <w:p w14:paraId="5BB5DC6E">
            <w:pPr>
              <w:adjustRightInd w:val="0"/>
              <w:snapToGrid w:val="0"/>
              <w:jc w:val="center"/>
              <w:rPr>
                <w:rFonts w:eastAsia="仿宋_GB2312"/>
                <w:sz w:val="24"/>
                <w:szCs w:val="24"/>
              </w:rPr>
            </w:pPr>
            <w:r>
              <w:rPr>
                <w:rFonts w:eastAsia="仿宋_GB2312"/>
                <w:sz w:val="24"/>
                <w:szCs w:val="24"/>
              </w:rPr>
              <w:t>行业类别</w:t>
            </w:r>
          </w:p>
        </w:tc>
        <w:tc>
          <w:tcPr>
            <w:tcW w:w="2860" w:type="dxa"/>
            <w:vAlign w:val="center"/>
          </w:tcPr>
          <w:p w14:paraId="1A66DBD2">
            <w:pPr>
              <w:adjustRightInd w:val="0"/>
              <w:snapToGrid w:val="0"/>
              <w:jc w:val="center"/>
              <w:rPr>
                <w:rFonts w:eastAsia="仿宋_GB2312"/>
              </w:rPr>
            </w:pPr>
            <w:r>
              <w:rPr>
                <w:rFonts w:hint="eastAsia" w:eastAsia="仿宋_GB2312"/>
                <w:kern w:val="0"/>
              </w:rPr>
              <w:t>C1494盐加工</w:t>
            </w:r>
          </w:p>
        </w:tc>
        <w:tc>
          <w:tcPr>
            <w:tcW w:w="2212" w:type="dxa"/>
            <w:vAlign w:val="center"/>
          </w:tcPr>
          <w:p w14:paraId="5B0B611E">
            <w:pPr>
              <w:adjustRightInd w:val="0"/>
              <w:snapToGrid w:val="0"/>
              <w:jc w:val="center"/>
              <w:rPr>
                <w:rFonts w:eastAsia="仿宋_GB2312"/>
              </w:rPr>
            </w:pPr>
            <w:bookmarkStart w:id="6" w:name="_Hlk49843745"/>
            <w:r>
              <w:rPr>
                <w:rFonts w:eastAsia="仿宋_GB2312"/>
              </w:rPr>
              <w:t>建设项目</w:t>
            </w:r>
          </w:p>
          <w:p w14:paraId="26977410">
            <w:pPr>
              <w:adjustRightInd w:val="0"/>
              <w:snapToGrid w:val="0"/>
              <w:jc w:val="center"/>
              <w:rPr>
                <w:rFonts w:eastAsia="仿宋_GB2312"/>
              </w:rPr>
            </w:pPr>
            <w:r>
              <w:rPr>
                <w:rFonts w:eastAsia="仿宋_GB2312"/>
              </w:rPr>
              <w:t>行业类别</w:t>
            </w:r>
            <w:bookmarkEnd w:id="6"/>
          </w:p>
        </w:tc>
        <w:tc>
          <w:tcPr>
            <w:tcW w:w="2639" w:type="dxa"/>
            <w:vAlign w:val="center"/>
          </w:tcPr>
          <w:p w14:paraId="34AEA29B">
            <w:pPr>
              <w:adjustRightInd w:val="0"/>
              <w:snapToGrid w:val="0"/>
              <w:rPr>
                <w:rFonts w:hint="default" w:eastAsia="仿宋_GB2312"/>
                <w:lang w:val="en-US"/>
              </w:rPr>
            </w:pPr>
            <w:r>
              <w:rPr>
                <w:rFonts w:hint="eastAsia" w:eastAsia="仿宋_GB2312"/>
              </w:rPr>
              <w:t>十一、食品制造业14、24其他食品制造149</w:t>
            </w:r>
            <w:r>
              <w:rPr>
                <w:rStyle w:val="36"/>
                <w:rFonts w:hint="eastAsia"/>
                <w:kern w:val="0"/>
                <w:szCs w:val="20"/>
                <w:lang w:eastAsia="zh-CN"/>
              </w:rPr>
              <w:t>，</w:t>
            </w:r>
            <w:r>
              <w:rPr>
                <w:rStyle w:val="36"/>
                <w:rFonts w:hint="eastAsia" w:ascii="仿宋_GB2312" w:hAnsi="仿宋_GB2312" w:eastAsia="仿宋_GB2312" w:cs="仿宋_GB2312"/>
                <w:kern w:val="0"/>
                <w:szCs w:val="20"/>
                <w:lang w:val="en-US" w:eastAsia="zh-CN"/>
              </w:rPr>
              <w:t>盐加工</w:t>
            </w:r>
          </w:p>
        </w:tc>
      </w:tr>
      <w:tr w14:paraId="0EB78D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159" w:type="dxa"/>
            <w:tcMar>
              <w:top w:w="16" w:type="dxa"/>
              <w:left w:w="16" w:type="dxa"/>
              <w:right w:w="16" w:type="dxa"/>
            </w:tcMar>
            <w:vAlign w:val="center"/>
          </w:tcPr>
          <w:p w14:paraId="33D5C129">
            <w:pPr>
              <w:adjustRightInd w:val="0"/>
              <w:snapToGrid w:val="0"/>
              <w:jc w:val="center"/>
              <w:rPr>
                <w:rFonts w:eastAsia="仿宋_GB2312"/>
                <w:sz w:val="24"/>
                <w:szCs w:val="24"/>
              </w:rPr>
            </w:pPr>
            <w:r>
              <w:rPr>
                <w:rFonts w:eastAsia="仿宋_GB2312"/>
                <w:sz w:val="24"/>
                <w:szCs w:val="24"/>
              </w:rPr>
              <w:t>建设性质</w:t>
            </w:r>
          </w:p>
        </w:tc>
        <w:tc>
          <w:tcPr>
            <w:tcW w:w="2860" w:type="dxa"/>
            <w:vAlign w:val="center"/>
          </w:tcPr>
          <w:p w14:paraId="58C5B378">
            <w:pPr>
              <w:jc w:val="left"/>
              <w:rPr>
                <w:rFonts w:eastAsia="仿宋_GB2312"/>
              </w:rPr>
            </w:pPr>
            <w:r>
              <w:rPr>
                <w:rFonts w:eastAsia="仿宋_GB2312"/>
              </w:rPr>
              <w:sym w:font="Wingdings 2" w:char="00A3"/>
            </w:r>
            <w:r>
              <w:rPr>
                <w:rFonts w:eastAsia="仿宋_GB2312"/>
              </w:rPr>
              <w:t>新建（迁建）</w:t>
            </w:r>
          </w:p>
          <w:p w14:paraId="29479D23">
            <w:pPr>
              <w:jc w:val="left"/>
              <w:rPr>
                <w:rFonts w:eastAsia="仿宋_GB2312"/>
              </w:rPr>
            </w:pPr>
            <w:r>
              <w:rPr>
                <w:rFonts w:eastAsia="仿宋_GB2312"/>
              </w:rPr>
              <w:sym w:font="Wingdings 2" w:char="0052"/>
            </w:r>
            <w:r>
              <w:rPr>
                <w:rFonts w:eastAsia="仿宋_GB2312"/>
              </w:rPr>
              <w:t>改建</w:t>
            </w:r>
          </w:p>
          <w:p w14:paraId="721436E0">
            <w:pPr>
              <w:jc w:val="left"/>
              <w:rPr>
                <w:rFonts w:eastAsia="仿宋_GB2312"/>
              </w:rPr>
            </w:pPr>
            <w:r>
              <w:rPr>
                <w:rFonts w:hint="eastAsia" w:eastAsia="仿宋_GB2312"/>
              </w:rPr>
              <w:t>□</w:t>
            </w:r>
            <w:r>
              <w:rPr>
                <w:rFonts w:eastAsia="仿宋_GB2312"/>
              </w:rPr>
              <w:t>扩建</w:t>
            </w:r>
          </w:p>
          <w:p w14:paraId="2ACE3698">
            <w:pPr>
              <w:jc w:val="left"/>
              <w:rPr>
                <w:rFonts w:eastAsia="仿宋_GB2312"/>
              </w:rPr>
            </w:pPr>
            <w:r>
              <w:rPr>
                <w:rFonts w:hint="eastAsia" w:eastAsia="仿宋_GB2312"/>
              </w:rPr>
              <w:t>□</w:t>
            </w:r>
            <w:r>
              <w:rPr>
                <w:rFonts w:eastAsia="仿宋_GB2312"/>
              </w:rPr>
              <w:t>技术改造</w:t>
            </w:r>
          </w:p>
        </w:tc>
        <w:tc>
          <w:tcPr>
            <w:tcW w:w="2212" w:type="dxa"/>
            <w:vAlign w:val="center"/>
          </w:tcPr>
          <w:p w14:paraId="71FA32CA">
            <w:pPr>
              <w:adjustRightInd w:val="0"/>
              <w:snapToGrid w:val="0"/>
              <w:jc w:val="center"/>
              <w:rPr>
                <w:rFonts w:eastAsia="仿宋_GB2312"/>
              </w:rPr>
            </w:pPr>
            <w:r>
              <w:rPr>
                <w:rFonts w:eastAsia="仿宋_GB2312"/>
              </w:rPr>
              <w:t>建设项目</w:t>
            </w:r>
          </w:p>
          <w:p w14:paraId="45002955">
            <w:pPr>
              <w:adjustRightInd w:val="0"/>
              <w:snapToGrid w:val="0"/>
              <w:jc w:val="center"/>
              <w:rPr>
                <w:rFonts w:eastAsia="仿宋_GB2312"/>
              </w:rPr>
            </w:pPr>
            <w:r>
              <w:rPr>
                <w:rFonts w:eastAsia="仿宋_GB2312"/>
              </w:rPr>
              <w:t>申报情形</w:t>
            </w:r>
          </w:p>
        </w:tc>
        <w:tc>
          <w:tcPr>
            <w:tcW w:w="2639" w:type="dxa"/>
            <w:vAlign w:val="center"/>
          </w:tcPr>
          <w:p w14:paraId="125A1675">
            <w:pPr>
              <w:jc w:val="left"/>
              <w:rPr>
                <w:rFonts w:eastAsia="仿宋_GB2312"/>
              </w:rPr>
            </w:pPr>
            <w:r>
              <w:rPr>
                <w:rFonts w:hint="eastAsia" w:eastAsia="仿宋_GB2312"/>
              </w:rPr>
              <w:t>☑</w:t>
            </w:r>
            <w:r>
              <w:rPr>
                <w:rFonts w:eastAsia="仿宋_GB2312"/>
              </w:rPr>
              <w:t xml:space="preserve">首次申报项目             </w:t>
            </w:r>
          </w:p>
          <w:p w14:paraId="483783D4">
            <w:pPr>
              <w:jc w:val="left"/>
              <w:rPr>
                <w:rFonts w:eastAsia="仿宋_GB2312"/>
              </w:rPr>
            </w:pPr>
            <w:r>
              <w:rPr>
                <w:rFonts w:hint="eastAsia" w:eastAsia="仿宋_GB2312"/>
              </w:rPr>
              <w:t>□</w:t>
            </w:r>
            <w:r>
              <w:rPr>
                <w:rFonts w:eastAsia="仿宋_GB2312"/>
              </w:rPr>
              <w:t>不予批准后再次申报项目</w:t>
            </w:r>
          </w:p>
          <w:p w14:paraId="0CBFC933">
            <w:pPr>
              <w:jc w:val="left"/>
              <w:rPr>
                <w:rFonts w:eastAsia="仿宋_GB2312"/>
              </w:rPr>
            </w:pPr>
            <w:r>
              <w:rPr>
                <w:rFonts w:hint="eastAsia" w:eastAsia="仿宋_GB2312"/>
              </w:rPr>
              <w:t>□</w:t>
            </w:r>
            <w:r>
              <w:rPr>
                <w:rFonts w:eastAsia="仿宋_GB2312"/>
              </w:rPr>
              <w:t xml:space="preserve">超五年重新审核项目     </w:t>
            </w:r>
          </w:p>
          <w:p w14:paraId="51D88BA1">
            <w:pPr>
              <w:jc w:val="left"/>
              <w:rPr>
                <w:rFonts w:eastAsia="仿宋_GB2312"/>
              </w:rPr>
            </w:pPr>
            <w:r>
              <w:rPr>
                <w:rFonts w:hint="eastAsia" w:eastAsia="仿宋_GB2312"/>
              </w:rPr>
              <w:t>□</w:t>
            </w:r>
            <w:r>
              <w:rPr>
                <w:rFonts w:eastAsia="仿宋_GB2312"/>
              </w:rPr>
              <w:t>重大变动重新报批项目</w:t>
            </w:r>
          </w:p>
        </w:tc>
      </w:tr>
      <w:tr w14:paraId="0F3754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159" w:type="dxa"/>
            <w:tcMar>
              <w:top w:w="16" w:type="dxa"/>
              <w:left w:w="16" w:type="dxa"/>
              <w:right w:w="16" w:type="dxa"/>
            </w:tcMar>
            <w:vAlign w:val="center"/>
          </w:tcPr>
          <w:p w14:paraId="4E0A83E3">
            <w:pPr>
              <w:adjustRightInd w:val="0"/>
              <w:snapToGrid w:val="0"/>
              <w:jc w:val="center"/>
              <w:rPr>
                <w:rFonts w:eastAsia="仿宋_GB2312"/>
                <w:sz w:val="24"/>
                <w:szCs w:val="24"/>
              </w:rPr>
            </w:pPr>
            <w:r>
              <w:rPr>
                <w:rFonts w:eastAsia="仿宋_GB2312"/>
                <w:sz w:val="24"/>
                <w:szCs w:val="24"/>
              </w:rPr>
              <w:t>项目审批（核准/</w:t>
            </w:r>
          </w:p>
          <w:p w14:paraId="456B3316">
            <w:pPr>
              <w:adjustRightInd w:val="0"/>
              <w:snapToGrid w:val="0"/>
              <w:jc w:val="center"/>
              <w:rPr>
                <w:rFonts w:eastAsia="仿宋_GB2312"/>
                <w:sz w:val="24"/>
                <w:szCs w:val="24"/>
              </w:rPr>
            </w:pPr>
            <w:r>
              <w:rPr>
                <w:rFonts w:eastAsia="仿宋_GB2312"/>
                <w:sz w:val="24"/>
                <w:szCs w:val="24"/>
              </w:rPr>
              <w:t>备案）部门（选填）</w:t>
            </w:r>
          </w:p>
        </w:tc>
        <w:tc>
          <w:tcPr>
            <w:tcW w:w="2860" w:type="dxa"/>
            <w:vAlign w:val="center"/>
          </w:tcPr>
          <w:p w14:paraId="55159044">
            <w:pPr>
              <w:adjustRightInd w:val="0"/>
              <w:snapToGrid w:val="0"/>
              <w:jc w:val="center"/>
              <w:rPr>
                <w:rFonts w:eastAsia="仿宋_GB2312"/>
              </w:rPr>
            </w:pPr>
            <w:r>
              <w:rPr>
                <w:rFonts w:hint="eastAsia" w:eastAsia="仿宋_GB2312"/>
              </w:rPr>
              <w:t>常州市金坛区工业和信息化局</w:t>
            </w:r>
          </w:p>
        </w:tc>
        <w:tc>
          <w:tcPr>
            <w:tcW w:w="2212" w:type="dxa"/>
            <w:vAlign w:val="center"/>
          </w:tcPr>
          <w:p w14:paraId="0A91DA20">
            <w:pPr>
              <w:adjustRightInd w:val="0"/>
              <w:snapToGrid w:val="0"/>
              <w:jc w:val="center"/>
              <w:rPr>
                <w:rFonts w:eastAsia="仿宋_GB2312"/>
              </w:rPr>
            </w:pPr>
            <w:r>
              <w:rPr>
                <w:rFonts w:eastAsia="仿宋_GB2312"/>
              </w:rPr>
              <w:t>项目审批（核准/</w:t>
            </w:r>
          </w:p>
          <w:p w14:paraId="6CA6A039">
            <w:pPr>
              <w:adjustRightInd w:val="0"/>
              <w:snapToGrid w:val="0"/>
              <w:jc w:val="center"/>
              <w:rPr>
                <w:rFonts w:eastAsia="仿宋_GB2312"/>
              </w:rPr>
            </w:pPr>
            <w:r>
              <w:rPr>
                <w:rFonts w:eastAsia="仿宋_GB2312"/>
              </w:rPr>
              <w:t>备案）文号（选填）</w:t>
            </w:r>
          </w:p>
        </w:tc>
        <w:tc>
          <w:tcPr>
            <w:tcW w:w="2639" w:type="dxa"/>
            <w:vAlign w:val="center"/>
          </w:tcPr>
          <w:p w14:paraId="2C2BF941">
            <w:pPr>
              <w:adjustRightInd w:val="0"/>
              <w:snapToGrid w:val="0"/>
              <w:jc w:val="center"/>
              <w:rPr>
                <w:rFonts w:eastAsia="仿宋_GB2312"/>
              </w:rPr>
            </w:pPr>
            <w:r>
              <w:rPr>
                <w:rFonts w:eastAsia="仿宋_GB2312"/>
              </w:rPr>
              <w:t>坛</w:t>
            </w:r>
            <w:r>
              <w:rPr>
                <w:rFonts w:hint="eastAsia" w:eastAsia="仿宋_GB2312"/>
              </w:rPr>
              <w:t>工信备[2021]34号</w:t>
            </w:r>
          </w:p>
        </w:tc>
      </w:tr>
      <w:tr w14:paraId="6BD038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59" w:type="dxa"/>
            <w:tcMar>
              <w:top w:w="16" w:type="dxa"/>
              <w:left w:w="16" w:type="dxa"/>
              <w:right w:w="16" w:type="dxa"/>
            </w:tcMar>
            <w:vAlign w:val="center"/>
          </w:tcPr>
          <w:p w14:paraId="08605F3C">
            <w:pPr>
              <w:adjustRightInd w:val="0"/>
              <w:snapToGrid w:val="0"/>
              <w:jc w:val="center"/>
              <w:rPr>
                <w:rFonts w:eastAsia="仿宋_GB2312"/>
                <w:sz w:val="24"/>
                <w:szCs w:val="24"/>
              </w:rPr>
            </w:pPr>
            <w:r>
              <w:rPr>
                <w:rFonts w:eastAsia="仿宋_GB2312"/>
                <w:sz w:val="24"/>
                <w:szCs w:val="24"/>
              </w:rPr>
              <w:t>总投资（万元）</w:t>
            </w:r>
          </w:p>
        </w:tc>
        <w:tc>
          <w:tcPr>
            <w:tcW w:w="2860" w:type="dxa"/>
            <w:vAlign w:val="center"/>
          </w:tcPr>
          <w:p w14:paraId="76ED4C67">
            <w:pPr>
              <w:adjustRightInd w:val="0"/>
              <w:snapToGrid w:val="0"/>
              <w:jc w:val="center"/>
              <w:rPr>
                <w:rFonts w:eastAsia="仿宋_GB2312"/>
              </w:rPr>
            </w:pPr>
            <w:r>
              <w:rPr>
                <w:rFonts w:hint="eastAsia" w:eastAsia="仿宋_GB2312"/>
                <w:kern w:val="0"/>
              </w:rPr>
              <w:t>7500</w:t>
            </w:r>
          </w:p>
        </w:tc>
        <w:tc>
          <w:tcPr>
            <w:tcW w:w="2212" w:type="dxa"/>
            <w:tcMar>
              <w:top w:w="16" w:type="dxa"/>
              <w:left w:w="16" w:type="dxa"/>
              <w:right w:w="16" w:type="dxa"/>
            </w:tcMar>
            <w:vAlign w:val="center"/>
          </w:tcPr>
          <w:p w14:paraId="73BFA0C6">
            <w:pPr>
              <w:adjustRightInd w:val="0"/>
              <w:snapToGrid w:val="0"/>
              <w:jc w:val="center"/>
              <w:rPr>
                <w:rFonts w:eastAsia="仿宋_GB2312"/>
              </w:rPr>
            </w:pPr>
            <w:r>
              <w:rPr>
                <w:rFonts w:eastAsia="仿宋_GB2312"/>
              </w:rPr>
              <w:t>环保投资（万元）</w:t>
            </w:r>
          </w:p>
        </w:tc>
        <w:tc>
          <w:tcPr>
            <w:tcW w:w="2639" w:type="dxa"/>
            <w:vAlign w:val="center"/>
          </w:tcPr>
          <w:p w14:paraId="3C233198">
            <w:pPr>
              <w:adjustRightInd w:val="0"/>
              <w:snapToGrid w:val="0"/>
              <w:jc w:val="center"/>
              <w:rPr>
                <w:rFonts w:eastAsia="仿宋_GB2312"/>
              </w:rPr>
            </w:pPr>
            <w:r>
              <w:rPr>
                <w:rFonts w:hint="eastAsia" w:eastAsia="仿宋_GB2312"/>
              </w:rPr>
              <w:t>300</w:t>
            </w:r>
          </w:p>
        </w:tc>
      </w:tr>
      <w:tr w14:paraId="67C7C5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59" w:type="dxa"/>
            <w:tcMar>
              <w:top w:w="16" w:type="dxa"/>
              <w:left w:w="16" w:type="dxa"/>
              <w:right w:w="16" w:type="dxa"/>
            </w:tcMar>
            <w:vAlign w:val="center"/>
          </w:tcPr>
          <w:p w14:paraId="63594A10">
            <w:pPr>
              <w:adjustRightInd w:val="0"/>
              <w:snapToGrid w:val="0"/>
              <w:jc w:val="center"/>
              <w:rPr>
                <w:rFonts w:eastAsia="仿宋_GB2312"/>
                <w:sz w:val="24"/>
                <w:szCs w:val="24"/>
              </w:rPr>
            </w:pPr>
            <w:r>
              <w:rPr>
                <w:rFonts w:eastAsia="仿宋_GB2312"/>
                <w:sz w:val="24"/>
                <w:szCs w:val="24"/>
              </w:rPr>
              <w:t>环保投资占比（%）</w:t>
            </w:r>
          </w:p>
        </w:tc>
        <w:tc>
          <w:tcPr>
            <w:tcW w:w="2860" w:type="dxa"/>
            <w:vAlign w:val="center"/>
          </w:tcPr>
          <w:p w14:paraId="5EE7FDCE">
            <w:pPr>
              <w:adjustRightInd w:val="0"/>
              <w:snapToGrid w:val="0"/>
              <w:jc w:val="center"/>
              <w:rPr>
                <w:rFonts w:eastAsia="仿宋_GB2312"/>
              </w:rPr>
            </w:pPr>
            <w:r>
              <w:rPr>
                <w:rFonts w:hint="eastAsia" w:eastAsia="仿宋_GB2312"/>
              </w:rPr>
              <w:t>4</w:t>
            </w:r>
            <w:r>
              <w:rPr>
                <w:rFonts w:eastAsia="仿宋_GB2312"/>
              </w:rPr>
              <w:t>%</w:t>
            </w:r>
          </w:p>
        </w:tc>
        <w:tc>
          <w:tcPr>
            <w:tcW w:w="2212" w:type="dxa"/>
            <w:tcMar>
              <w:top w:w="16" w:type="dxa"/>
              <w:left w:w="16" w:type="dxa"/>
              <w:right w:w="16" w:type="dxa"/>
            </w:tcMar>
            <w:vAlign w:val="center"/>
          </w:tcPr>
          <w:p w14:paraId="6F9774B8">
            <w:pPr>
              <w:adjustRightInd w:val="0"/>
              <w:snapToGrid w:val="0"/>
              <w:jc w:val="center"/>
              <w:rPr>
                <w:rFonts w:eastAsia="仿宋_GB2312"/>
              </w:rPr>
            </w:pPr>
            <w:r>
              <w:rPr>
                <w:rFonts w:eastAsia="仿宋_GB2312"/>
              </w:rPr>
              <w:t>施工工期</w:t>
            </w:r>
          </w:p>
        </w:tc>
        <w:tc>
          <w:tcPr>
            <w:tcW w:w="2639" w:type="dxa"/>
            <w:vAlign w:val="center"/>
          </w:tcPr>
          <w:p w14:paraId="3D6D005A">
            <w:pPr>
              <w:adjustRightInd w:val="0"/>
              <w:snapToGrid w:val="0"/>
              <w:jc w:val="center"/>
              <w:rPr>
                <w:rFonts w:eastAsia="仿宋_GB2312"/>
              </w:rPr>
            </w:pPr>
            <w:r>
              <w:rPr>
                <w:rFonts w:hint="eastAsia" w:eastAsia="仿宋_GB2312"/>
              </w:rPr>
              <w:t>6</w:t>
            </w:r>
            <w:r>
              <w:rPr>
                <w:rFonts w:eastAsia="仿宋_GB2312"/>
              </w:rPr>
              <w:t>个月</w:t>
            </w:r>
          </w:p>
        </w:tc>
      </w:tr>
      <w:tr w14:paraId="1E97E8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59" w:type="dxa"/>
            <w:tcMar>
              <w:top w:w="16" w:type="dxa"/>
              <w:left w:w="16" w:type="dxa"/>
              <w:right w:w="16" w:type="dxa"/>
            </w:tcMar>
            <w:vAlign w:val="center"/>
          </w:tcPr>
          <w:p w14:paraId="7B6046EA">
            <w:pPr>
              <w:adjustRightInd w:val="0"/>
              <w:snapToGrid w:val="0"/>
              <w:jc w:val="center"/>
              <w:rPr>
                <w:rFonts w:eastAsia="仿宋_GB2312"/>
                <w:sz w:val="24"/>
                <w:szCs w:val="24"/>
              </w:rPr>
            </w:pPr>
            <w:r>
              <w:rPr>
                <w:rFonts w:eastAsia="仿宋_GB2312"/>
                <w:sz w:val="24"/>
                <w:szCs w:val="24"/>
              </w:rPr>
              <w:t>是否开工建设</w:t>
            </w:r>
          </w:p>
        </w:tc>
        <w:tc>
          <w:tcPr>
            <w:tcW w:w="2860" w:type="dxa"/>
            <w:vAlign w:val="center"/>
          </w:tcPr>
          <w:p w14:paraId="3D93AA77">
            <w:pPr>
              <w:adjustRightInd w:val="0"/>
              <w:snapToGrid w:val="0"/>
              <w:rPr>
                <w:rFonts w:eastAsia="仿宋_GB2312"/>
              </w:rPr>
            </w:pPr>
            <w:r>
              <w:rPr>
                <w:rFonts w:eastAsia="仿宋_GB2312"/>
              </w:rPr>
              <w:sym w:font="Wingdings 2" w:char="0052"/>
            </w:r>
            <w:r>
              <w:rPr>
                <w:rFonts w:eastAsia="仿宋_GB2312"/>
              </w:rPr>
              <w:t>否</w:t>
            </w:r>
          </w:p>
          <w:p w14:paraId="6B24937B">
            <w:pPr>
              <w:adjustRightInd w:val="0"/>
              <w:snapToGrid w:val="0"/>
              <w:rPr>
                <w:rFonts w:eastAsia="仿宋_GB2312"/>
              </w:rPr>
            </w:pPr>
            <w:r>
              <w:rPr>
                <w:rFonts w:eastAsia="仿宋_GB2312"/>
              </w:rPr>
              <w:sym w:font="Wingdings 2" w:char="00A3"/>
            </w:r>
            <w:r>
              <w:rPr>
                <w:rFonts w:eastAsia="仿宋_GB2312"/>
              </w:rPr>
              <w:t>是：</w:t>
            </w:r>
          </w:p>
        </w:tc>
        <w:tc>
          <w:tcPr>
            <w:tcW w:w="2212" w:type="dxa"/>
            <w:tcMar>
              <w:top w:w="16" w:type="dxa"/>
              <w:left w:w="16" w:type="dxa"/>
              <w:right w:w="16" w:type="dxa"/>
            </w:tcMar>
            <w:vAlign w:val="center"/>
          </w:tcPr>
          <w:p w14:paraId="0A9D7E9B">
            <w:pPr>
              <w:adjustRightInd w:val="0"/>
              <w:snapToGrid w:val="0"/>
              <w:jc w:val="center"/>
              <w:rPr>
                <w:rFonts w:eastAsia="仿宋_GB2312"/>
                <w:spacing w:val="-6"/>
              </w:rPr>
            </w:pPr>
            <w:r>
              <w:rPr>
                <w:rFonts w:eastAsia="仿宋_GB2312"/>
                <w:spacing w:val="-6"/>
              </w:rPr>
              <w:t>用地（用海）</w:t>
            </w:r>
          </w:p>
          <w:p w14:paraId="220C6464">
            <w:pPr>
              <w:adjustRightInd w:val="0"/>
              <w:snapToGrid w:val="0"/>
              <w:jc w:val="center"/>
              <w:rPr>
                <w:rFonts w:eastAsia="仿宋_GB2312"/>
              </w:rPr>
            </w:pPr>
            <w:r>
              <w:rPr>
                <w:rFonts w:eastAsia="仿宋_GB2312"/>
                <w:spacing w:val="-6"/>
              </w:rPr>
              <w:t>面积（m</w:t>
            </w:r>
            <w:r>
              <w:rPr>
                <w:rFonts w:eastAsia="仿宋_GB2312"/>
                <w:spacing w:val="-6"/>
                <w:vertAlign w:val="superscript"/>
              </w:rPr>
              <w:t>2</w:t>
            </w:r>
            <w:r>
              <w:rPr>
                <w:rFonts w:eastAsia="仿宋_GB2312"/>
                <w:spacing w:val="-6"/>
              </w:rPr>
              <w:t>）</w:t>
            </w:r>
          </w:p>
        </w:tc>
        <w:tc>
          <w:tcPr>
            <w:tcW w:w="2639" w:type="dxa"/>
            <w:vAlign w:val="center"/>
          </w:tcPr>
          <w:p w14:paraId="3DE26C85">
            <w:pPr>
              <w:adjustRightInd w:val="0"/>
              <w:snapToGrid w:val="0"/>
              <w:jc w:val="center"/>
              <w:rPr>
                <w:rFonts w:hint="eastAsia" w:eastAsia="宋体"/>
                <w:lang w:val="en-US" w:eastAsia="zh-CN"/>
              </w:rPr>
            </w:pPr>
            <w:r>
              <w:rPr>
                <w:rFonts w:hint="eastAsia" w:eastAsia="仿宋_GB2312"/>
                <w:kern w:val="0"/>
                <w:lang w:val="en-US" w:eastAsia="zh-CN"/>
              </w:rPr>
              <w:t>全厂115925.8</w:t>
            </w:r>
            <w:r>
              <w:rPr>
                <w:rStyle w:val="36"/>
                <w:rFonts w:hint="eastAsia"/>
                <w:kern w:val="0"/>
                <w:szCs w:val="20"/>
                <w:lang w:eastAsia="zh-CN"/>
              </w:rPr>
              <w:t>（</w:t>
            </w:r>
            <w:r>
              <w:rPr>
                <w:rFonts w:hint="eastAsia" w:eastAsia="仿宋_GB2312"/>
                <w:kern w:val="0"/>
                <w:lang w:val="en-US" w:eastAsia="zh-CN"/>
              </w:rPr>
              <w:t>本项目</w:t>
            </w:r>
            <w:r>
              <w:rPr>
                <w:rFonts w:hint="eastAsia" w:eastAsia="仿宋_GB2312"/>
                <w:kern w:val="0"/>
              </w:rPr>
              <w:t>3240</w:t>
            </w:r>
            <w:r>
              <w:rPr>
                <w:rStyle w:val="36"/>
                <w:rFonts w:hint="eastAsia"/>
                <w:kern w:val="0"/>
                <w:szCs w:val="20"/>
                <w:lang w:eastAsia="zh-CN"/>
              </w:rPr>
              <w:t>）</w:t>
            </w:r>
          </w:p>
        </w:tc>
      </w:tr>
      <w:tr w14:paraId="2E62B8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59" w:type="dxa"/>
            <w:vAlign w:val="center"/>
          </w:tcPr>
          <w:p w14:paraId="74EA15FE">
            <w:pPr>
              <w:autoSpaceDE w:val="0"/>
              <w:autoSpaceDN w:val="0"/>
              <w:adjustRightInd w:val="0"/>
              <w:snapToGrid w:val="0"/>
              <w:jc w:val="center"/>
              <w:rPr>
                <w:rFonts w:eastAsia="仿宋_GB2312"/>
                <w:kern w:val="0"/>
                <w:sz w:val="24"/>
                <w:szCs w:val="24"/>
              </w:rPr>
            </w:pPr>
            <w:r>
              <w:rPr>
                <w:rFonts w:eastAsia="仿宋_GB2312"/>
                <w:kern w:val="0"/>
                <w:sz w:val="24"/>
                <w:szCs w:val="24"/>
              </w:rPr>
              <w:t>专项评价设置情况</w:t>
            </w:r>
          </w:p>
        </w:tc>
        <w:tc>
          <w:tcPr>
            <w:tcW w:w="7711" w:type="dxa"/>
            <w:gridSpan w:val="3"/>
            <w:vAlign w:val="center"/>
          </w:tcPr>
          <w:p w14:paraId="66D648DA">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ind w:left="0" w:leftChars="0" w:right="0" w:firstLine="420" w:firstLineChars="200"/>
              <w:jc w:val="both"/>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对照专项评价具体设置原则，本项目需设置大气专项评价</w:t>
            </w:r>
            <w:r>
              <w:rPr>
                <w:rFonts w:hint="eastAsia" w:ascii="Times New Roman" w:hAnsi="Times New Roman" w:eastAsia="仿宋_GB2312" w:cs="Times New Roman"/>
                <w:kern w:val="2"/>
                <w:sz w:val="21"/>
                <w:szCs w:val="21"/>
                <w:lang w:val="en-US" w:eastAsia="zh-CN" w:bidi="ar-SA"/>
              </w:rPr>
              <w:t>和风险专项评价</w:t>
            </w:r>
            <w:r>
              <w:rPr>
                <w:rFonts w:hint="default" w:ascii="Times New Roman" w:hAnsi="Times New Roman" w:eastAsia="仿宋_GB2312" w:cs="Times New Roman"/>
                <w:kern w:val="2"/>
                <w:sz w:val="21"/>
                <w:szCs w:val="21"/>
                <w:lang w:val="en-US" w:eastAsia="zh-CN" w:bidi="ar-SA"/>
              </w:rPr>
              <w:t>。</w:t>
            </w:r>
          </w:p>
          <w:tbl>
            <w:tblPr>
              <w:tblStyle w:val="31"/>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28" w:type="dxa"/>
                <w:bottom w:w="0" w:type="dxa"/>
                <w:right w:w="28" w:type="dxa"/>
              </w:tblCellMar>
            </w:tblPr>
            <w:tblGrid>
              <w:gridCol w:w="944"/>
              <w:gridCol w:w="4217"/>
              <w:gridCol w:w="2334"/>
            </w:tblGrid>
            <w:tr w14:paraId="684EFF0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964" w:type="dxa"/>
                  <w:tcBorders>
                    <w:tl2br w:val="nil"/>
                    <w:tr2bl w:val="nil"/>
                  </w:tcBorders>
                  <w:noWrap w:val="0"/>
                  <w:vAlign w:val="center"/>
                </w:tcPr>
                <w:p w14:paraId="74E77623">
                  <w:pPr>
                    <w:keepNext w:val="0"/>
                    <w:keepLines w:val="0"/>
                    <w:pageBreakBefore w:val="0"/>
                    <w:widowControl/>
                    <w:kinsoku/>
                    <w:wordWrap/>
                    <w:overflowPunct/>
                    <w:topLinePunct w:val="0"/>
                    <w:autoSpaceDE/>
                    <w:autoSpaceDN/>
                    <w:bidi w:val="0"/>
                    <w:adjustRightInd w:val="0"/>
                    <w:snapToGrid w:val="0"/>
                    <w:spacing w:beforeAutospacing="0" w:afterAutospacing="0"/>
                    <w:ind w:left="0" w:leftChars="0" w:right="0"/>
                    <w:jc w:val="center"/>
                    <w:textAlignment w:val="auto"/>
                    <w:rPr>
                      <w:rFonts w:hint="default" w:ascii="Times New Roman" w:hAnsi="Times New Roman" w:eastAsia="仿宋_GB2312" w:cs="Times New Roman"/>
                      <w:b/>
                      <w:bCs w:val="0"/>
                      <w:color w:val="auto"/>
                      <w:spacing w:val="0"/>
                      <w:kern w:val="0"/>
                      <w:position w:val="0"/>
                      <w:sz w:val="21"/>
                      <w:szCs w:val="21"/>
                      <w:lang w:val="en-US" w:eastAsia="zh-CN"/>
                    </w:rPr>
                  </w:pPr>
                  <w:r>
                    <w:rPr>
                      <w:rFonts w:hint="default" w:ascii="Times New Roman" w:hAnsi="Times New Roman" w:eastAsia="仿宋_GB2312" w:cs="Times New Roman"/>
                      <w:b/>
                      <w:bCs w:val="0"/>
                      <w:color w:val="auto"/>
                      <w:spacing w:val="0"/>
                      <w:kern w:val="0"/>
                      <w:position w:val="0"/>
                      <w:sz w:val="21"/>
                      <w:szCs w:val="21"/>
                      <w:lang w:val="en-US" w:eastAsia="zh-CN"/>
                    </w:rPr>
                    <w:t>专项评价的类别</w:t>
                  </w:r>
                </w:p>
              </w:tc>
              <w:tc>
                <w:tcPr>
                  <w:tcW w:w="4311" w:type="dxa"/>
                  <w:tcBorders>
                    <w:tl2br w:val="nil"/>
                    <w:tr2bl w:val="nil"/>
                  </w:tcBorders>
                  <w:noWrap w:val="0"/>
                  <w:vAlign w:val="center"/>
                </w:tcPr>
                <w:p w14:paraId="7DF69E85">
                  <w:pPr>
                    <w:keepNext w:val="0"/>
                    <w:keepLines w:val="0"/>
                    <w:pageBreakBefore w:val="0"/>
                    <w:widowControl/>
                    <w:kinsoku/>
                    <w:wordWrap/>
                    <w:overflowPunct/>
                    <w:topLinePunct w:val="0"/>
                    <w:autoSpaceDE/>
                    <w:autoSpaceDN/>
                    <w:bidi w:val="0"/>
                    <w:adjustRightInd w:val="0"/>
                    <w:snapToGrid w:val="0"/>
                    <w:spacing w:beforeAutospacing="0" w:afterAutospacing="0"/>
                    <w:ind w:left="0" w:leftChars="0" w:right="0"/>
                    <w:jc w:val="center"/>
                    <w:textAlignment w:val="auto"/>
                    <w:rPr>
                      <w:rFonts w:hint="default" w:ascii="Times New Roman" w:hAnsi="Times New Roman" w:eastAsia="仿宋_GB2312" w:cs="Times New Roman"/>
                      <w:b/>
                      <w:bCs w:val="0"/>
                      <w:color w:val="auto"/>
                      <w:spacing w:val="0"/>
                      <w:kern w:val="0"/>
                      <w:position w:val="0"/>
                      <w:sz w:val="21"/>
                      <w:szCs w:val="21"/>
                      <w:lang w:val="en-US" w:eastAsia="zh-CN"/>
                    </w:rPr>
                  </w:pPr>
                  <w:r>
                    <w:rPr>
                      <w:rFonts w:hint="default" w:ascii="Times New Roman" w:hAnsi="Times New Roman" w:eastAsia="仿宋_GB2312" w:cs="Times New Roman"/>
                      <w:b/>
                      <w:bCs w:val="0"/>
                      <w:color w:val="auto"/>
                      <w:spacing w:val="0"/>
                      <w:kern w:val="0"/>
                      <w:position w:val="0"/>
                      <w:sz w:val="21"/>
                      <w:szCs w:val="21"/>
                      <w:lang w:val="en-US" w:eastAsia="zh-CN"/>
                    </w:rPr>
                    <w:t>设置原则</w:t>
                  </w:r>
                </w:p>
              </w:tc>
              <w:tc>
                <w:tcPr>
                  <w:tcW w:w="2385" w:type="dxa"/>
                  <w:tcBorders>
                    <w:tl2br w:val="nil"/>
                    <w:tr2bl w:val="nil"/>
                  </w:tcBorders>
                  <w:noWrap w:val="0"/>
                  <w:vAlign w:val="center"/>
                </w:tcPr>
                <w:p w14:paraId="72C96A52">
                  <w:pPr>
                    <w:keepNext w:val="0"/>
                    <w:keepLines w:val="0"/>
                    <w:pageBreakBefore w:val="0"/>
                    <w:widowControl/>
                    <w:kinsoku/>
                    <w:wordWrap/>
                    <w:overflowPunct/>
                    <w:topLinePunct w:val="0"/>
                    <w:autoSpaceDE/>
                    <w:autoSpaceDN/>
                    <w:bidi w:val="0"/>
                    <w:adjustRightInd w:val="0"/>
                    <w:snapToGrid w:val="0"/>
                    <w:spacing w:beforeAutospacing="0" w:afterAutospacing="0"/>
                    <w:ind w:left="0" w:leftChars="0" w:right="0"/>
                    <w:jc w:val="center"/>
                    <w:textAlignment w:val="auto"/>
                    <w:rPr>
                      <w:rFonts w:hint="default" w:ascii="Times New Roman" w:hAnsi="Times New Roman" w:eastAsia="仿宋_GB2312" w:cs="Times New Roman"/>
                      <w:b/>
                      <w:bCs w:val="0"/>
                      <w:color w:val="auto"/>
                      <w:spacing w:val="0"/>
                      <w:kern w:val="0"/>
                      <w:position w:val="0"/>
                      <w:sz w:val="21"/>
                      <w:szCs w:val="21"/>
                      <w:lang w:val="en-US" w:eastAsia="zh-CN"/>
                    </w:rPr>
                  </w:pPr>
                  <w:r>
                    <w:rPr>
                      <w:rFonts w:hint="default" w:ascii="Times New Roman" w:hAnsi="Times New Roman" w:eastAsia="仿宋_GB2312" w:cs="Times New Roman"/>
                      <w:b/>
                      <w:bCs w:val="0"/>
                      <w:color w:val="auto"/>
                      <w:spacing w:val="0"/>
                      <w:kern w:val="0"/>
                      <w:position w:val="0"/>
                      <w:sz w:val="21"/>
                      <w:szCs w:val="21"/>
                      <w:lang w:val="en-US" w:eastAsia="zh-CN"/>
                    </w:rPr>
                    <w:t>是否涉及</w:t>
                  </w:r>
                </w:p>
              </w:tc>
            </w:tr>
            <w:tr w14:paraId="6ECE3F3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964" w:type="dxa"/>
                  <w:tcBorders>
                    <w:tl2br w:val="nil"/>
                    <w:tr2bl w:val="nil"/>
                  </w:tcBorders>
                  <w:noWrap w:val="0"/>
                  <w:vAlign w:val="center"/>
                </w:tcPr>
                <w:p w14:paraId="333655A7">
                  <w:pPr>
                    <w:pStyle w:val="111"/>
                    <w:keepNext w:val="0"/>
                    <w:keepLines w:val="0"/>
                    <w:pageBreakBefore w:val="0"/>
                    <w:widowControl/>
                    <w:kinsoku/>
                    <w:wordWrap/>
                    <w:overflowPunct/>
                    <w:topLinePunct w:val="0"/>
                    <w:autoSpaceDE/>
                    <w:autoSpaceDN/>
                    <w:bidi w:val="0"/>
                    <w:adjustRightInd w:val="0"/>
                    <w:snapToGrid w:val="0"/>
                    <w:spacing w:beforeAutospacing="0" w:afterAutospacing="0"/>
                    <w:ind w:left="0" w:leftChars="0" w:right="0"/>
                    <w:jc w:val="center"/>
                    <w:textAlignment w:val="auto"/>
                    <w:rPr>
                      <w:rFonts w:hint="default" w:ascii="Times New Roman" w:hAnsi="Times New Roman" w:eastAsia="仿宋_GB2312" w:cs="Times New Roman"/>
                      <w:b w:val="0"/>
                      <w:bCs/>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大气</w:t>
                  </w:r>
                </w:p>
              </w:tc>
              <w:tc>
                <w:tcPr>
                  <w:tcW w:w="4311" w:type="dxa"/>
                  <w:tcBorders>
                    <w:tl2br w:val="nil"/>
                    <w:tr2bl w:val="nil"/>
                  </w:tcBorders>
                  <w:noWrap w:val="0"/>
                  <w:vAlign w:val="center"/>
                </w:tcPr>
                <w:p w14:paraId="04C0F126">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 w:val="0"/>
                      <w:bCs/>
                      <w:color w:val="auto"/>
                      <w:spacing w:val="0"/>
                      <w:kern w:val="0"/>
                      <w:position w:val="0"/>
                      <w:sz w:val="21"/>
                      <w:szCs w:val="21"/>
                      <w:lang w:val="en-US" w:eastAsia="zh-CN" w:bidi="ar"/>
                    </w:rPr>
                  </w:pPr>
                  <w:r>
                    <w:rPr>
                      <w:rFonts w:hint="default" w:ascii="Times New Roman" w:hAnsi="Times New Roman" w:eastAsia="仿宋_GB2312" w:cs="Times New Roman"/>
                      <w:color w:val="auto"/>
                      <w:spacing w:val="0"/>
                      <w:kern w:val="0"/>
                      <w:position w:val="0"/>
                      <w:sz w:val="21"/>
                      <w:szCs w:val="21"/>
                    </w:rPr>
                    <w:t>排放废气含有毒有害污染物、二噁英、苯并[a]芘、氰化物、氯气且厂界外500米范围内有环境空气保护目标的建设项目</w:t>
                  </w:r>
                </w:p>
              </w:tc>
              <w:tc>
                <w:tcPr>
                  <w:tcW w:w="2385" w:type="dxa"/>
                  <w:tcBorders>
                    <w:tl2br w:val="nil"/>
                    <w:tr2bl w:val="nil"/>
                  </w:tcBorders>
                  <w:noWrap w:val="0"/>
                  <w:vAlign w:val="center"/>
                </w:tcPr>
                <w:p w14:paraId="0385E0CE">
                  <w:pPr>
                    <w:keepNext w:val="0"/>
                    <w:keepLines w:val="0"/>
                    <w:pageBreakBefore w:val="0"/>
                    <w:widowControl/>
                    <w:kinsoku/>
                    <w:wordWrap/>
                    <w:overflowPunct/>
                    <w:topLinePunct w:val="0"/>
                    <w:autoSpaceDE/>
                    <w:autoSpaceDN/>
                    <w:bidi w:val="0"/>
                    <w:adjustRightInd w:val="0"/>
                    <w:snapToGrid w:val="0"/>
                    <w:spacing w:beforeAutospacing="0" w:afterAutospacing="0"/>
                    <w:ind w:left="0" w:leftChars="0" w:right="0"/>
                    <w:jc w:val="center"/>
                    <w:textAlignment w:val="auto"/>
                    <w:rPr>
                      <w:rFonts w:hint="default" w:ascii="Times New Roman" w:hAnsi="Times New Roman" w:eastAsia="仿宋_GB2312" w:cs="Times New Roman"/>
                      <w:b w:val="0"/>
                      <w:bCs/>
                      <w:color w:val="auto"/>
                      <w:spacing w:val="0"/>
                      <w:kern w:val="0"/>
                      <w:position w:val="0"/>
                      <w:sz w:val="21"/>
                      <w:szCs w:val="21"/>
                      <w:lang w:val="en-US" w:eastAsia="zh-CN" w:bidi="ar"/>
                    </w:rPr>
                  </w:pPr>
                  <w:r>
                    <w:rPr>
                      <w:rFonts w:hint="default" w:ascii="Times New Roman" w:hAnsi="Times New Roman" w:eastAsia="仿宋_GB2312" w:cs="Times New Roman"/>
                      <w:b w:val="0"/>
                      <w:bCs/>
                      <w:color w:val="auto"/>
                      <w:spacing w:val="0"/>
                      <w:kern w:val="0"/>
                      <w:position w:val="0"/>
                      <w:sz w:val="21"/>
                      <w:szCs w:val="21"/>
                      <w:lang w:val="en-US" w:eastAsia="zh-CN" w:bidi="ar"/>
                    </w:rPr>
                    <w:t>不涉及</w:t>
                  </w:r>
                </w:p>
              </w:tc>
            </w:tr>
            <w:tr w14:paraId="339ED3C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964" w:type="dxa"/>
                  <w:tcBorders>
                    <w:tl2br w:val="nil"/>
                    <w:tr2bl w:val="nil"/>
                  </w:tcBorders>
                  <w:noWrap w:val="0"/>
                  <w:vAlign w:val="center"/>
                </w:tcPr>
                <w:p w14:paraId="04B54343">
                  <w:pPr>
                    <w:pStyle w:val="111"/>
                    <w:keepNext w:val="0"/>
                    <w:keepLines w:val="0"/>
                    <w:pageBreakBefore w:val="0"/>
                    <w:widowControl/>
                    <w:kinsoku/>
                    <w:wordWrap/>
                    <w:overflowPunct/>
                    <w:topLinePunct w:val="0"/>
                    <w:autoSpaceDE/>
                    <w:autoSpaceDN/>
                    <w:bidi w:val="0"/>
                    <w:adjustRightInd w:val="0"/>
                    <w:snapToGrid w:val="0"/>
                    <w:spacing w:beforeAutospacing="0" w:afterAutospacing="0"/>
                    <w:ind w:left="0" w:leftChars="0" w:right="0"/>
                    <w:jc w:val="center"/>
                    <w:textAlignment w:val="auto"/>
                    <w:rPr>
                      <w:rFonts w:hint="default" w:ascii="Times New Roman" w:hAnsi="Times New Roman" w:eastAsia="仿宋_GB2312" w:cs="Times New Roman"/>
                      <w:b w:val="0"/>
                      <w:bCs/>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地表水</w:t>
                  </w:r>
                </w:p>
              </w:tc>
              <w:tc>
                <w:tcPr>
                  <w:tcW w:w="4311" w:type="dxa"/>
                  <w:tcBorders>
                    <w:tl2br w:val="nil"/>
                    <w:tr2bl w:val="nil"/>
                  </w:tcBorders>
                  <w:noWrap w:val="0"/>
                  <w:vAlign w:val="center"/>
                </w:tcPr>
                <w:p w14:paraId="30E3A495">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 w:val="0"/>
                      <w:bCs/>
                      <w:color w:val="auto"/>
                      <w:spacing w:val="0"/>
                      <w:kern w:val="0"/>
                      <w:position w:val="0"/>
                      <w:sz w:val="21"/>
                      <w:szCs w:val="21"/>
                      <w:lang w:eastAsia="zh-CN"/>
                    </w:rPr>
                  </w:pPr>
                  <w:r>
                    <w:rPr>
                      <w:rFonts w:hint="default" w:ascii="Times New Roman" w:hAnsi="Times New Roman" w:eastAsia="仿宋_GB2312" w:cs="Times New Roman"/>
                      <w:color w:val="auto"/>
                      <w:spacing w:val="0"/>
                      <w:kern w:val="0"/>
                      <w:position w:val="0"/>
                      <w:sz w:val="21"/>
                      <w:szCs w:val="21"/>
                    </w:rPr>
                    <w:t>新增工业废水直排建设项目（槽罐车外送污水处理厂的除外）；新增废水直排的污水集中处理厂</w:t>
                  </w:r>
                </w:p>
              </w:tc>
              <w:tc>
                <w:tcPr>
                  <w:tcW w:w="2385" w:type="dxa"/>
                  <w:tcBorders>
                    <w:tl2br w:val="nil"/>
                    <w:tr2bl w:val="nil"/>
                  </w:tcBorders>
                  <w:noWrap w:val="0"/>
                  <w:vAlign w:val="center"/>
                </w:tcPr>
                <w:p w14:paraId="1173E5D4">
                  <w:pPr>
                    <w:keepNext w:val="0"/>
                    <w:keepLines w:val="0"/>
                    <w:pageBreakBefore w:val="0"/>
                    <w:widowControl/>
                    <w:kinsoku/>
                    <w:wordWrap/>
                    <w:overflowPunct/>
                    <w:topLinePunct w:val="0"/>
                    <w:autoSpaceDE/>
                    <w:autoSpaceDN/>
                    <w:bidi w:val="0"/>
                    <w:adjustRightInd w:val="0"/>
                    <w:snapToGrid w:val="0"/>
                    <w:spacing w:beforeAutospacing="0" w:afterAutospacing="0"/>
                    <w:ind w:left="0" w:leftChars="0" w:right="0"/>
                    <w:jc w:val="center"/>
                    <w:textAlignment w:val="auto"/>
                    <w:rPr>
                      <w:rFonts w:hint="default" w:ascii="Times New Roman" w:hAnsi="Times New Roman" w:eastAsia="仿宋_GB2312" w:cs="Times New Roman"/>
                      <w:b w:val="0"/>
                      <w:bCs/>
                      <w:color w:val="auto"/>
                      <w:spacing w:val="0"/>
                      <w:kern w:val="0"/>
                      <w:position w:val="0"/>
                      <w:sz w:val="21"/>
                      <w:szCs w:val="21"/>
                    </w:rPr>
                  </w:pPr>
                  <w:r>
                    <w:rPr>
                      <w:rFonts w:hint="default" w:ascii="Times New Roman" w:hAnsi="Times New Roman" w:eastAsia="仿宋_GB2312" w:cs="Times New Roman"/>
                      <w:b w:val="0"/>
                      <w:bCs/>
                      <w:color w:val="auto"/>
                      <w:spacing w:val="0"/>
                      <w:kern w:val="0"/>
                      <w:position w:val="0"/>
                      <w:sz w:val="21"/>
                      <w:szCs w:val="21"/>
                      <w:lang w:val="en-US" w:eastAsia="zh-CN" w:bidi="ar"/>
                    </w:rPr>
                    <w:t>不涉及</w:t>
                  </w:r>
                </w:p>
              </w:tc>
            </w:tr>
            <w:tr w14:paraId="79ADB3B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964" w:type="dxa"/>
                  <w:tcBorders>
                    <w:tl2br w:val="nil"/>
                    <w:tr2bl w:val="nil"/>
                  </w:tcBorders>
                  <w:noWrap w:val="0"/>
                  <w:vAlign w:val="center"/>
                </w:tcPr>
                <w:p w14:paraId="7A5BB2E8">
                  <w:pPr>
                    <w:pStyle w:val="111"/>
                    <w:keepNext w:val="0"/>
                    <w:keepLines w:val="0"/>
                    <w:pageBreakBefore w:val="0"/>
                    <w:widowControl/>
                    <w:kinsoku/>
                    <w:wordWrap/>
                    <w:overflowPunct/>
                    <w:topLinePunct w:val="0"/>
                    <w:autoSpaceDE/>
                    <w:autoSpaceDN/>
                    <w:bidi w:val="0"/>
                    <w:adjustRightInd w:val="0"/>
                    <w:snapToGrid w:val="0"/>
                    <w:spacing w:beforeAutospacing="0" w:afterAutospacing="0"/>
                    <w:ind w:left="0" w:leftChars="0" w:right="0"/>
                    <w:jc w:val="center"/>
                    <w:textAlignment w:val="auto"/>
                    <w:rPr>
                      <w:rFonts w:hint="default" w:ascii="Times New Roman" w:hAnsi="Times New Roman" w:eastAsia="仿宋_GB2312" w:cs="Times New Roman"/>
                      <w:b w:val="0"/>
                      <w:bCs/>
                      <w:color w:val="auto"/>
                      <w:spacing w:val="0"/>
                      <w:kern w:val="0"/>
                      <w:position w:val="0"/>
                      <w:sz w:val="21"/>
                      <w:szCs w:val="21"/>
                      <w:lang w:val="en-US" w:eastAsia="zh-CN"/>
                    </w:rPr>
                  </w:pPr>
                  <w:r>
                    <w:rPr>
                      <w:rFonts w:hint="default" w:ascii="Times New Roman" w:hAnsi="Times New Roman" w:eastAsia="仿宋_GB2312" w:cs="Times New Roman"/>
                      <w:color w:val="auto"/>
                      <w:spacing w:val="0"/>
                      <w:kern w:val="0"/>
                      <w:position w:val="0"/>
                      <w:sz w:val="21"/>
                      <w:szCs w:val="21"/>
                    </w:rPr>
                    <w:t>环境风</w:t>
                  </w:r>
                  <w:r>
                    <w:rPr>
                      <w:rFonts w:hint="default" w:ascii="Times New Roman" w:hAnsi="Times New Roman" w:eastAsia="仿宋_GB2312" w:cs="Times New Roman"/>
                      <w:color w:val="auto"/>
                      <w:spacing w:val="0"/>
                      <w:kern w:val="0"/>
                      <w:position w:val="0"/>
                      <w:sz w:val="21"/>
                      <w:szCs w:val="21"/>
                      <w:lang w:val="en-US" w:eastAsia="zh-CN"/>
                    </w:rPr>
                    <w:t>险</w:t>
                  </w:r>
                </w:p>
              </w:tc>
              <w:tc>
                <w:tcPr>
                  <w:tcW w:w="4311" w:type="dxa"/>
                  <w:tcBorders>
                    <w:tl2br w:val="nil"/>
                    <w:tr2bl w:val="nil"/>
                  </w:tcBorders>
                  <w:noWrap w:val="0"/>
                  <w:vAlign w:val="center"/>
                </w:tcPr>
                <w:p w14:paraId="541BD280">
                  <w:pPr>
                    <w:keepNext w:val="0"/>
                    <w:keepLines w:val="0"/>
                    <w:pageBreakBefore w:val="0"/>
                    <w:widowControl/>
                    <w:kinsoku/>
                    <w:wordWrap/>
                    <w:overflowPunct/>
                    <w:topLinePunct w:val="0"/>
                    <w:autoSpaceDE/>
                    <w:autoSpaceDN/>
                    <w:bidi w:val="0"/>
                    <w:adjustRightInd w:val="0"/>
                    <w:snapToGrid w:val="0"/>
                    <w:spacing w:beforeAutospacing="0" w:afterAutospacing="0"/>
                    <w:ind w:left="0" w:leftChars="0" w:right="0"/>
                    <w:jc w:val="center"/>
                    <w:textAlignment w:val="auto"/>
                    <w:rPr>
                      <w:rFonts w:hint="default" w:ascii="Times New Roman" w:hAnsi="Times New Roman" w:eastAsia="仿宋_GB2312" w:cs="Times New Roman"/>
                      <w:b w:val="0"/>
                      <w:bCs/>
                      <w:color w:val="auto"/>
                      <w:spacing w:val="0"/>
                      <w:kern w:val="0"/>
                      <w:position w:val="0"/>
                      <w:sz w:val="21"/>
                      <w:szCs w:val="21"/>
                      <w:lang w:eastAsia="zh-CN"/>
                    </w:rPr>
                  </w:pPr>
                  <w:r>
                    <w:rPr>
                      <w:rFonts w:hint="default" w:ascii="Times New Roman" w:hAnsi="Times New Roman" w:eastAsia="仿宋_GB2312" w:cs="Times New Roman"/>
                      <w:color w:val="auto"/>
                      <w:spacing w:val="0"/>
                      <w:kern w:val="0"/>
                      <w:position w:val="0"/>
                      <w:sz w:val="21"/>
                      <w:szCs w:val="21"/>
                    </w:rPr>
                    <w:t>有毒有害和易燃易爆危险物质存储量超过临界量的建设项目</w:t>
                  </w:r>
                </w:p>
              </w:tc>
              <w:tc>
                <w:tcPr>
                  <w:tcW w:w="2385" w:type="dxa"/>
                  <w:tcBorders>
                    <w:tl2br w:val="nil"/>
                    <w:tr2bl w:val="nil"/>
                  </w:tcBorders>
                  <w:noWrap w:val="0"/>
                  <w:vAlign w:val="center"/>
                </w:tcPr>
                <w:p w14:paraId="4689039B">
                  <w:pPr>
                    <w:keepNext w:val="0"/>
                    <w:keepLines w:val="0"/>
                    <w:pageBreakBefore w:val="0"/>
                    <w:widowControl/>
                    <w:kinsoku/>
                    <w:wordWrap/>
                    <w:overflowPunct/>
                    <w:topLinePunct w:val="0"/>
                    <w:autoSpaceDE/>
                    <w:autoSpaceDN/>
                    <w:bidi w:val="0"/>
                    <w:adjustRightInd w:val="0"/>
                    <w:snapToGrid w:val="0"/>
                    <w:spacing w:beforeAutospacing="0" w:afterAutospacing="0"/>
                    <w:ind w:left="0" w:leftChars="0" w:right="0"/>
                    <w:jc w:val="center"/>
                    <w:textAlignment w:val="auto"/>
                    <w:rPr>
                      <w:rFonts w:hint="default" w:ascii="Times New Roman" w:hAnsi="Times New Roman" w:eastAsia="仿宋_GB2312" w:cs="Times New Roman"/>
                      <w:b w:val="0"/>
                      <w:bCs/>
                      <w:color w:val="auto"/>
                      <w:spacing w:val="0"/>
                      <w:kern w:val="0"/>
                      <w:position w:val="0"/>
                      <w:sz w:val="21"/>
                      <w:szCs w:val="21"/>
                      <w:lang w:val="en-US"/>
                    </w:rPr>
                  </w:pPr>
                  <w:r>
                    <w:rPr>
                      <w:rFonts w:hint="default" w:ascii="Times New Roman" w:hAnsi="Times New Roman" w:eastAsia="仿宋_GB2312" w:cs="Times New Roman"/>
                      <w:b w:val="0"/>
                      <w:bCs/>
                      <w:color w:val="auto"/>
                      <w:spacing w:val="0"/>
                      <w:kern w:val="0"/>
                      <w:position w:val="0"/>
                      <w:sz w:val="21"/>
                      <w:szCs w:val="21"/>
                      <w:lang w:val="en-US" w:eastAsia="zh-CN" w:bidi="ar"/>
                    </w:rPr>
                    <w:t>临界量大于1，设置风险专项</w:t>
                  </w:r>
                </w:p>
              </w:tc>
            </w:tr>
            <w:tr w14:paraId="2417BA5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964" w:type="dxa"/>
                  <w:tcBorders>
                    <w:tl2br w:val="nil"/>
                    <w:tr2bl w:val="nil"/>
                  </w:tcBorders>
                  <w:noWrap w:val="0"/>
                  <w:vAlign w:val="center"/>
                </w:tcPr>
                <w:p w14:paraId="42F0BB3A">
                  <w:pPr>
                    <w:pStyle w:val="111"/>
                    <w:keepNext w:val="0"/>
                    <w:keepLines w:val="0"/>
                    <w:pageBreakBefore w:val="0"/>
                    <w:widowControl/>
                    <w:kinsoku/>
                    <w:wordWrap/>
                    <w:overflowPunct/>
                    <w:topLinePunct w:val="0"/>
                    <w:autoSpaceDE/>
                    <w:autoSpaceDN/>
                    <w:bidi w:val="0"/>
                    <w:adjustRightInd w:val="0"/>
                    <w:snapToGrid w:val="0"/>
                    <w:spacing w:beforeAutospacing="0" w:afterAutospacing="0"/>
                    <w:ind w:left="0" w:leftChars="0" w:right="0"/>
                    <w:jc w:val="center"/>
                    <w:textAlignment w:val="auto"/>
                    <w:rPr>
                      <w:rFonts w:hint="default" w:ascii="Times New Roman" w:hAnsi="Times New Roman" w:eastAsia="仿宋_GB2312" w:cs="Times New Roman"/>
                      <w:b w:val="0"/>
                      <w:bCs/>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生态</w:t>
                  </w:r>
                </w:p>
              </w:tc>
              <w:tc>
                <w:tcPr>
                  <w:tcW w:w="4311" w:type="dxa"/>
                  <w:tcBorders>
                    <w:tl2br w:val="nil"/>
                    <w:tr2bl w:val="nil"/>
                  </w:tcBorders>
                  <w:noWrap w:val="0"/>
                  <w:vAlign w:val="center"/>
                </w:tcPr>
                <w:p w14:paraId="3EB5258D">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 w:val="0"/>
                      <w:bCs/>
                      <w:color w:val="auto"/>
                      <w:spacing w:val="0"/>
                      <w:kern w:val="0"/>
                      <w:position w:val="0"/>
                      <w:sz w:val="21"/>
                      <w:szCs w:val="21"/>
                      <w:lang w:eastAsia="zh-CN"/>
                    </w:rPr>
                  </w:pPr>
                  <w:r>
                    <w:rPr>
                      <w:rFonts w:hint="default" w:ascii="Times New Roman" w:hAnsi="Times New Roman" w:eastAsia="仿宋_GB2312" w:cs="Times New Roman"/>
                      <w:color w:val="auto"/>
                      <w:spacing w:val="0"/>
                      <w:kern w:val="0"/>
                      <w:position w:val="0"/>
                      <w:sz w:val="21"/>
                      <w:szCs w:val="21"/>
                    </w:rPr>
                    <w:t>取水口下游500米范围内有重要水生生物的自然产卵场、索饵场、越冬场和洄游通道的新增河道取水的污染类建设项目</w:t>
                  </w:r>
                </w:p>
              </w:tc>
              <w:tc>
                <w:tcPr>
                  <w:tcW w:w="2385" w:type="dxa"/>
                  <w:tcBorders>
                    <w:tl2br w:val="nil"/>
                    <w:tr2bl w:val="nil"/>
                  </w:tcBorders>
                  <w:noWrap w:val="0"/>
                  <w:vAlign w:val="center"/>
                </w:tcPr>
                <w:p w14:paraId="5BD6B4EB">
                  <w:pPr>
                    <w:keepNext w:val="0"/>
                    <w:keepLines w:val="0"/>
                    <w:pageBreakBefore w:val="0"/>
                    <w:widowControl/>
                    <w:kinsoku/>
                    <w:wordWrap/>
                    <w:overflowPunct/>
                    <w:topLinePunct w:val="0"/>
                    <w:autoSpaceDE/>
                    <w:autoSpaceDN/>
                    <w:bidi w:val="0"/>
                    <w:adjustRightInd w:val="0"/>
                    <w:snapToGrid w:val="0"/>
                    <w:spacing w:beforeAutospacing="0" w:afterAutospacing="0"/>
                    <w:ind w:left="0" w:leftChars="0" w:right="0"/>
                    <w:jc w:val="center"/>
                    <w:textAlignment w:val="auto"/>
                    <w:rPr>
                      <w:rFonts w:hint="default" w:ascii="Times New Roman" w:hAnsi="Times New Roman" w:eastAsia="仿宋_GB2312" w:cs="Times New Roman"/>
                      <w:b w:val="0"/>
                      <w:bCs/>
                      <w:color w:val="auto"/>
                      <w:spacing w:val="0"/>
                      <w:kern w:val="0"/>
                      <w:position w:val="0"/>
                      <w:sz w:val="21"/>
                      <w:szCs w:val="21"/>
                    </w:rPr>
                  </w:pPr>
                  <w:r>
                    <w:rPr>
                      <w:rFonts w:hint="default" w:ascii="Times New Roman" w:hAnsi="Times New Roman" w:eastAsia="仿宋_GB2312" w:cs="Times New Roman"/>
                      <w:b w:val="0"/>
                      <w:bCs/>
                      <w:color w:val="auto"/>
                      <w:spacing w:val="0"/>
                      <w:kern w:val="0"/>
                      <w:position w:val="0"/>
                      <w:sz w:val="21"/>
                      <w:szCs w:val="21"/>
                      <w:lang w:val="en-US" w:eastAsia="zh-CN" w:bidi="ar"/>
                    </w:rPr>
                    <w:t>不涉及</w:t>
                  </w:r>
                </w:p>
              </w:tc>
            </w:tr>
            <w:tr w14:paraId="77F6654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964" w:type="dxa"/>
                  <w:tcBorders>
                    <w:tl2br w:val="nil"/>
                    <w:tr2bl w:val="nil"/>
                  </w:tcBorders>
                  <w:noWrap w:val="0"/>
                  <w:vAlign w:val="center"/>
                </w:tcPr>
                <w:p w14:paraId="6B1F7CE3">
                  <w:pPr>
                    <w:pStyle w:val="111"/>
                    <w:keepNext w:val="0"/>
                    <w:keepLines w:val="0"/>
                    <w:pageBreakBefore w:val="0"/>
                    <w:widowControl/>
                    <w:kinsoku/>
                    <w:wordWrap/>
                    <w:overflowPunct/>
                    <w:topLinePunct w:val="0"/>
                    <w:autoSpaceDE/>
                    <w:autoSpaceDN/>
                    <w:bidi w:val="0"/>
                    <w:adjustRightInd w:val="0"/>
                    <w:snapToGrid w:val="0"/>
                    <w:spacing w:beforeAutospacing="0" w:afterAutospacing="0"/>
                    <w:ind w:left="0" w:leftChars="0" w:right="0"/>
                    <w:jc w:val="center"/>
                    <w:textAlignment w:val="auto"/>
                    <w:rPr>
                      <w:rFonts w:hint="default" w:ascii="Times New Roman" w:hAnsi="Times New Roman" w:eastAsia="仿宋_GB2312" w:cs="Times New Roman"/>
                      <w:b w:val="0"/>
                      <w:bCs/>
                      <w:color w:val="auto"/>
                      <w:spacing w:val="0"/>
                      <w:kern w:val="0"/>
                      <w:position w:val="0"/>
                      <w:sz w:val="21"/>
                      <w:szCs w:val="21"/>
                      <w:lang w:val="en-US" w:eastAsia="zh-CN"/>
                    </w:rPr>
                  </w:pPr>
                  <w:r>
                    <w:rPr>
                      <w:rFonts w:hint="default" w:ascii="Times New Roman" w:hAnsi="Times New Roman" w:eastAsia="仿宋_GB2312" w:cs="Times New Roman"/>
                      <w:color w:val="auto"/>
                      <w:spacing w:val="0"/>
                      <w:kern w:val="0"/>
                      <w:position w:val="0"/>
                      <w:sz w:val="21"/>
                      <w:szCs w:val="21"/>
                    </w:rPr>
                    <w:t>海</w:t>
                  </w:r>
                  <w:r>
                    <w:rPr>
                      <w:rFonts w:hint="default" w:ascii="Times New Roman" w:hAnsi="Times New Roman" w:eastAsia="仿宋_GB2312" w:cs="Times New Roman"/>
                      <w:color w:val="auto"/>
                      <w:spacing w:val="0"/>
                      <w:kern w:val="0"/>
                      <w:position w:val="0"/>
                      <w:sz w:val="21"/>
                      <w:szCs w:val="21"/>
                      <w:lang w:val="en-US" w:eastAsia="zh-CN"/>
                    </w:rPr>
                    <w:t>洋</w:t>
                  </w:r>
                </w:p>
              </w:tc>
              <w:tc>
                <w:tcPr>
                  <w:tcW w:w="4311" w:type="dxa"/>
                  <w:tcBorders>
                    <w:tl2br w:val="nil"/>
                    <w:tr2bl w:val="nil"/>
                  </w:tcBorders>
                  <w:noWrap w:val="0"/>
                  <w:vAlign w:val="center"/>
                </w:tcPr>
                <w:p w14:paraId="4A0B4999">
                  <w:pPr>
                    <w:keepNext w:val="0"/>
                    <w:keepLines w:val="0"/>
                    <w:pageBreakBefore w:val="0"/>
                    <w:widowControl/>
                    <w:kinsoku/>
                    <w:wordWrap/>
                    <w:overflowPunct/>
                    <w:topLinePunct w:val="0"/>
                    <w:autoSpaceDE/>
                    <w:autoSpaceDN/>
                    <w:bidi w:val="0"/>
                    <w:adjustRightInd w:val="0"/>
                    <w:snapToGrid w:val="0"/>
                    <w:spacing w:beforeAutospacing="0" w:afterAutospacing="0"/>
                    <w:ind w:left="0" w:leftChars="0" w:right="0"/>
                    <w:jc w:val="center"/>
                    <w:textAlignment w:val="auto"/>
                    <w:rPr>
                      <w:rFonts w:hint="default" w:ascii="Times New Roman" w:hAnsi="Times New Roman" w:eastAsia="仿宋_GB2312" w:cs="Times New Roman"/>
                      <w:b w:val="0"/>
                      <w:bCs/>
                      <w:color w:val="auto"/>
                      <w:spacing w:val="0"/>
                      <w:kern w:val="0"/>
                      <w:position w:val="0"/>
                      <w:sz w:val="21"/>
                      <w:szCs w:val="21"/>
                      <w:lang w:eastAsia="zh-CN"/>
                    </w:rPr>
                  </w:pPr>
                  <w:r>
                    <w:rPr>
                      <w:rFonts w:hint="default" w:ascii="Times New Roman" w:hAnsi="Times New Roman" w:eastAsia="仿宋_GB2312" w:cs="Times New Roman"/>
                      <w:color w:val="auto"/>
                      <w:spacing w:val="0"/>
                      <w:kern w:val="0"/>
                      <w:position w:val="0"/>
                      <w:sz w:val="21"/>
                      <w:szCs w:val="21"/>
                    </w:rPr>
                    <w:t>直接向海排放污染物的海洋工程建设项目</w:t>
                  </w:r>
                </w:p>
              </w:tc>
              <w:tc>
                <w:tcPr>
                  <w:tcW w:w="2385" w:type="dxa"/>
                  <w:tcBorders>
                    <w:tl2br w:val="nil"/>
                    <w:tr2bl w:val="nil"/>
                  </w:tcBorders>
                  <w:noWrap w:val="0"/>
                  <w:vAlign w:val="center"/>
                </w:tcPr>
                <w:p w14:paraId="45119A0A">
                  <w:pPr>
                    <w:keepNext w:val="0"/>
                    <w:keepLines w:val="0"/>
                    <w:pageBreakBefore w:val="0"/>
                    <w:widowControl/>
                    <w:kinsoku/>
                    <w:wordWrap/>
                    <w:overflowPunct/>
                    <w:topLinePunct w:val="0"/>
                    <w:autoSpaceDE/>
                    <w:autoSpaceDN/>
                    <w:bidi w:val="0"/>
                    <w:adjustRightInd w:val="0"/>
                    <w:snapToGrid w:val="0"/>
                    <w:spacing w:beforeAutospacing="0" w:afterAutospacing="0"/>
                    <w:ind w:left="0" w:leftChars="0" w:right="0"/>
                    <w:jc w:val="center"/>
                    <w:textAlignment w:val="auto"/>
                    <w:rPr>
                      <w:rFonts w:hint="default" w:ascii="Times New Roman" w:hAnsi="Times New Roman" w:eastAsia="仿宋_GB2312" w:cs="Times New Roman"/>
                      <w:b w:val="0"/>
                      <w:bCs/>
                      <w:color w:val="auto"/>
                      <w:spacing w:val="0"/>
                      <w:kern w:val="0"/>
                      <w:position w:val="0"/>
                      <w:sz w:val="21"/>
                      <w:szCs w:val="21"/>
                    </w:rPr>
                  </w:pPr>
                  <w:r>
                    <w:rPr>
                      <w:rFonts w:hint="default" w:ascii="Times New Roman" w:hAnsi="Times New Roman" w:eastAsia="仿宋_GB2312" w:cs="Times New Roman"/>
                      <w:b w:val="0"/>
                      <w:bCs/>
                      <w:color w:val="auto"/>
                      <w:spacing w:val="0"/>
                      <w:kern w:val="0"/>
                      <w:position w:val="0"/>
                      <w:sz w:val="21"/>
                      <w:szCs w:val="21"/>
                      <w:lang w:val="en-US" w:eastAsia="zh-CN" w:bidi="ar"/>
                    </w:rPr>
                    <w:t>不涉及</w:t>
                  </w:r>
                </w:p>
              </w:tc>
            </w:tr>
          </w:tbl>
          <w:p w14:paraId="7F58BD06">
            <w:pPr>
              <w:autoSpaceDE w:val="0"/>
              <w:autoSpaceDN w:val="0"/>
              <w:adjustRightInd w:val="0"/>
              <w:snapToGrid w:val="0"/>
              <w:jc w:val="center"/>
              <w:rPr>
                <w:rFonts w:eastAsia="仿宋_GB2312"/>
                <w:kern w:val="0"/>
                <w:sz w:val="24"/>
                <w:szCs w:val="24"/>
              </w:rPr>
            </w:pPr>
          </w:p>
        </w:tc>
      </w:tr>
      <w:tr w14:paraId="6F4D32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8" w:hRule="atLeast"/>
          <w:jc w:val="center"/>
        </w:trPr>
        <w:tc>
          <w:tcPr>
            <w:tcW w:w="1159" w:type="dxa"/>
            <w:vAlign w:val="center"/>
          </w:tcPr>
          <w:p w14:paraId="3B604280">
            <w:pPr>
              <w:autoSpaceDE w:val="0"/>
              <w:autoSpaceDN w:val="0"/>
              <w:adjustRightInd w:val="0"/>
              <w:snapToGrid w:val="0"/>
              <w:jc w:val="center"/>
              <w:rPr>
                <w:rFonts w:eastAsia="仿宋_GB2312"/>
                <w:kern w:val="0"/>
                <w:sz w:val="24"/>
                <w:szCs w:val="24"/>
              </w:rPr>
            </w:pPr>
            <w:r>
              <w:rPr>
                <w:rFonts w:eastAsia="仿宋_GB2312"/>
                <w:sz w:val="24"/>
                <w:szCs w:val="24"/>
              </w:rPr>
              <w:t>规划情况</w:t>
            </w:r>
          </w:p>
        </w:tc>
        <w:tc>
          <w:tcPr>
            <w:tcW w:w="7711" w:type="dxa"/>
            <w:gridSpan w:val="3"/>
            <w:vAlign w:val="center"/>
          </w:tcPr>
          <w:p w14:paraId="33047099">
            <w:pPr>
              <w:pStyle w:val="69"/>
              <w:adjustRightInd w:val="0"/>
              <w:snapToGrid w:val="0"/>
              <w:spacing w:line="360" w:lineRule="auto"/>
              <w:rPr>
                <w:rFonts w:ascii="Times New Roman" w:hAnsi="Times New Roman" w:eastAsia="仿宋_GB2312" w:cs="Times New Roman"/>
              </w:rPr>
            </w:pPr>
            <w:r>
              <w:rPr>
                <w:rFonts w:ascii="Times New Roman" w:hAnsi="Times New Roman" w:eastAsia="仿宋_GB2312" w:cs="Times New Roman"/>
              </w:rPr>
              <w:t>规划名称：规划名称：《金坛经济开发区发展规划》</w:t>
            </w:r>
          </w:p>
          <w:p w14:paraId="2C0C181B">
            <w:pPr>
              <w:pStyle w:val="69"/>
              <w:adjustRightInd w:val="0"/>
              <w:snapToGrid w:val="0"/>
              <w:spacing w:line="360" w:lineRule="auto"/>
              <w:rPr>
                <w:rFonts w:ascii="Times New Roman" w:hAnsi="Times New Roman" w:eastAsia="仿宋_GB2312" w:cs="Times New Roman"/>
              </w:rPr>
            </w:pPr>
            <w:r>
              <w:rPr>
                <w:rFonts w:ascii="Times New Roman" w:hAnsi="Times New Roman" w:eastAsia="仿宋_GB2312" w:cs="Times New Roman"/>
              </w:rPr>
              <w:t>审查机关：</w:t>
            </w:r>
            <w:r>
              <w:rPr>
                <w:rFonts w:hint="default" w:ascii="Times New Roman" w:hAnsi="Times New Roman" w:eastAsia="仿宋_GB2312" w:cs="Times New Roman"/>
              </w:rPr>
              <w:t>金坛市人民政府</w:t>
            </w:r>
          </w:p>
          <w:p w14:paraId="3362603E">
            <w:pPr>
              <w:pStyle w:val="69"/>
              <w:adjustRightInd w:val="0"/>
              <w:snapToGrid w:val="0"/>
              <w:spacing w:line="360" w:lineRule="auto"/>
              <w:rPr>
                <w:rFonts w:ascii="Times New Roman" w:hAnsi="Times New Roman" w:eastAsia="仿宋_GB2312" w:cs="Times New Roman"/>
                <w:kern w:val="0"/>
                <w:sz w:val="24"/>
                <w:szCs w:val="24"/>
              </w:rPr>
            </w:pPr>
            <w:r>
              <w:rPr>
                <w:rFonts w:ascii="Times New Roman" w:hAnsi="Times New Roman" w:eastAsia="仿宋_GB2312" w:cs="Times New Roman"/>
              </w:rPr>
              <w:t>审查文件名称及文号：</w:t>
            </w:r>
            <w:r>
              <w:rPr>
                <w:rFonts w:hint="default" w:ascii="Times New Roman" w:hAnsi="Times New Roman" w:eastAsia="仿宋_GB2312" w:cs="Times New Roman"/>
              </w:rPr>
              <w:t>坛政复〔2015〕3号</w:t>
            </w:r>
          </w:p>
        </w:tc>
      </w:tr>
      <w:tr w14:paraId="1D7932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49" w:hRule="atLeast"/>
          <w:jc w:val="center"/>
        </w:trPr>
        <w:tc>
          <w:tcPr>
            <w:tcW w:w="1159" w:type="dxa"/>
            <w:vAlign w:val="center"/>
          </w:tcPr>
          <w:p w14:paraId="62ADA707">
            <w:pPr>
              <w:adjustRightInd w:val="0"/>
              <w:snapToGrid w:val="0"/>
              <w:jc w:val="center"/>
              <w:rPr>
                <w:rFonts w:eastAsia="仿宋_GB2312"/>
                <w:sz w:val="24"/>
                <w:szCs w:val="24"/>
              </w:rPr>
            </w:pPr>
            <w:r>
              <w:rPr>
                <w:rFonts w:eastAsia="仿宋_GB2312"/>
                <w:sz w:val="24"/>
                <w:szCs w:val="24"/>
              </w:rPr>
              <w:t>规划环境影响</w:t>
            </w:r>
          </w:p>
          <w:p w14:paraId="6EF8800A">
            <w:pPr>
              <w:adjustRightInd w:val="0"/>
              <w:snapToGrid w:val="0"/>
              <w:jc w:val="center"/>
              <w:rPr>
                <w:rFonts w:eastAsia="仿宋_GB2312"/>
                <w:kern w:val="0"/>
                <w:sz w:val="24"/>
                <w:szCs w:val="24"/>
              </w:rPr>
            </w:pPr>
            <w:r>
              <w:rPr>
                <w:rFonts w:eastAsia="仿宋_GB2312"/>
                <w:sz w:val="24"/>
                <w:szCs w:val="24"/>
              </w:rPr>
              <w:t>评价情况</w:t>
            </w:r>
          </w:p>
        </w:tc>
        <w:tc>
          <w:tcPr>
            <w:tcW w:w="7711" w:type="dxa"/>
            <w:gridSpan w:val="3"/>
            <w:vAlign w:val="center"/>
          </w:tcPr>
          <w:p w14:paraId="2997CD39">
            <w:pPr>
              <w:pStyle w:val="69"/>
              <w:adjustRightInd w:val="0"/>
              <w:snapToGrid w:val="0"/>
              <w:spacing w:line="360" w:lineRule="auto"/>
              <w:rPr>
                <w:rFonts w:ascii="Times New Roman" w:hAnsi="Times New Roman" w:eastAsia="仿宋_GB2312" w:cs="Times New Roman"/>
              </w:rPr>
            </w:pPr>
            <w:r>
              <w:rPr>
                <w:rFonts w:ascii="Times New Roman" w:hAnsi="Times New Roman" w:eastAsia="仿宋_GB2312" w:cs="Times New Roman"/>
              </w:rPr>
              <w:t>文件名称：《金坛经济开发区发展规划环境影响报告书》</w:t>
            </w:r>
          </w:p>
          <w:p w14:paraId="53239F8D">
            <w:pPr>
              <w:pStyle w:val="69"/>
              <w:adjustRightInd w:val="0"/>
              <w:snapToGrid w:val="0"/>
              <w:spacing w:line="360" w:lineRule="auto"/>
              <w:rPr>
                <w:rFonts w:ascii="Times New Roman" w:hAnsi="Times New Roman" w:eastAsia="仿宋_GB2312" w:cs="Times New Roman"/>
              </w:rPr>
            </w:pPr>
            <w:r>
              <w:rPr>
                <w:rFonts w:ascii="Times New Roman" w:hAnsi="Times New Roman" w:eastAsia="仿宋_GB2312" w:cs="Times New Roman"/>
              </w:rPr>
              <w:t>召集审查机关：江苏省环境保护厅</w:t>
            </w:r>
          </w:p>
          <w:p w14:paraId="5060A4C7">
            <w:pPr>
              <w:pStyle w:val="69"/>
              <w:adjustRightInd w:val="0"/>
              <w:snapToGrid w:val="0"/>
              <w:spacing w:line="360" w:lineRule="auto"/>
              <w:rPr>
                <w:rFonts w:ascii="Times New Roman" w:hAnsi="Times New Roman" w:eastAsia="仿宋_GB2312" w:cs="Times New Roman"/>
              </w:rPr>
            </w:pPr>
            <w:r>
              <w:rPr>
                <w:rFonts w:ascii="Times New Roman" w:hAnsi="Times New Roman" w:eastAsia="仿宋_GB2312" w:cs="Times New Roman"/>
              </w:rPr>
              <w:t>审查文件名称及文号：《关于金坛经济开发区发展规划环境影响评价审查意见》苏环审[2015]52号</w:t>
            </w:r>
          </w:p>
          <w:p w14:paraId="6FA68951">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right="0"/>
              <w:jc w:val="both"/>
              <w:rPr>
                <w:rFonts w:ascii="Times New Roman" w:hAnsi="Times New Roman" w:eastAsia="仿宋_GB2312" w:cs="Times New Roman"/>
              </w:rPr>
            </w:pPr>
            <w:r>
              <w:rPr>
                <w:rFonts w:ascii="Times New Roman" w:hAnsi="Times New Roman" w:eastAsia="仿宋_GB2312" w:cs="Times New Roman"/>
                <w:kern w:val="2"/>
                <w:sz w:val="21"/>
                <w:szCs w:val="21"/>
                <w:lang w:val="en-US" w:eastAsia="zh-CN" w:bidi="ar-SA"/>
              </w:rPr>
              <w:t>最新的《</w:t>
            </w:r>
            <w:r>
              <w:rPr>
                <w:rFonts w:hint="eastAsia" w:ascii="Times New Roman" w:hAnsi="Times New Roman" w:eastAsia="仿宋_GB2312" w:cs="Times New Roman"/>
                <w:kern w:val="2"/>
                <w:sz w:val="21"/>
                <w:szCs w:val="21"/>
                <w:lang w:val="en-US" w:eastAsia="zh-CN" w:bidi="ar-SA"/>
              </w:rPr>
              <w:t>江苏金坛经济开发区开发建设规划（2023-2035）环境影响报告书》正在委托江苏龙环环境科技有限公司更新编制中</w:t>
            </w:r>
          </w:p>
        </w:tc>
      </w:tr>
      <w:tr w14:paraId="023DA6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1159" w:type="dxa"/>
            <w:vAlign w:val="center"/>
          </w:tcPr>
          <w:p w14:paraId="79A13333">
            <w:pPr>
              <w:autoSpaceDE w:val="0"/>
              <w:autoSpaceDN w:val="0"/>
              <w:adjustRightInd w:val="0"/>
              <w:snapToGrid w:val="0"/>
              <w:jc w:val="center"/>
              <w:rPr>
                <w:rFonts w:eastAsia="仿宋_GB2312"/>
                <w:kern w:val="0"/>
                <w:sz w:val="24"/>
                <w:szCs w:val="24"/>
              </w:rPr>
            </w:pPr>
            <w:r>
              <w:rPr>
                <w:rFonts w:eastAsia="仿宋_GB2312"/>
                <w:kern w:val="0"/>
                <w:sz w:val="24"/>
                <w:szCs w:val="24"/>
              </w:rPr>
              <w:t>规划及规划环境影响评价符合性分析</w:t>
            </w:r>
          </w:p>
        </w:tc>
        <w:tc>
          <w:tcPr>
            <w:tcW w:w="7711" w:type="dxa"/>
            <w:gridSpan w:val="3"/>
            <w:vAlign w:val="center"/>
          </w:tcPr>
          <w:p w14:paraId="760B921B">
            <w:pPr>
              <w:adjustRightInd w:val="0"/>
              <w:snapToGrid w:val="0"/>
              <w:spacing w:line="360" w:lineRule="auto"/>
              <w:ind w:firstLine="422" w:firstLineChars="200"/>
              <w:rPr>
                <w:rFonts w:eastAsia="仿宋_GB2312"/>
                <w:b/>
                <w:color w:val="000000"/>
                <w:kern w:val="0"/>
              </w:rPr>
            </w:pPr>
            <w:r>
              <w:rPr>
                <w:rFonts w:hint="eastAsia" w:eastAsia="仿宋_GB2312"/>
                <w:b/>
                <w:color w:val="000000"/>
                <w:kern w:val="0"/>
              </w:rPr>
              <w:t>1、</w:t>
            </w:r>
            <w:r>
              <w:rPr>
                <w:rFonts w:eastAsia="仿宋_GB2312"/>
                <w:b/>
                <w:color w:val="000000"/>
                <w:kern w:val="0"/>
              </w:rPr>
              <w:t>本项目与金坛经济开发区规划相符性分析</w:t>
            </w:r>
          </w:p>
          <w:p w14:paraId="0D910E79">
            <w:pPr>
              <w:pStyle w:val="28"/>
              <w:keepNext w:val="0"/>
              <w:keepLines w:val="0"/>
              <w:pageBreakBefore w:val="0"/>
              <w:widowControl w:val="0"/>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eastAsia" w:ascii="Times New Roman" w:hAnsi="Times New Roman" w:eastAsia="仿宋_GB2312" w:cs="Times New Roman"/>
                <w:kern w:val="2"/>
                <w:sz w:val="21"/>
                <w:szCs w:val="21"/>
                <w:lang w:val="zh-CN" w:eastAsia="zh-CN" w:bidi="ar-SA"/>
              </w:rPr>
            </w:pPr>
            <w:r>
              <w:rPr>
                <w:rFonts w:hint="eastAsia" w:ascii="Times New Roman" w:hAnsi="Times New Roman" w:eastAsia="仿宋_GB2312" w:cs="Times New Roman"/>
                <w:kern w:val="2"/>
                <w:sz w:val="21"/>
                <w:szCs w:val="21"/>
                <w:lang w:val="zh-CN" w:eastAsia="zh-CN" w:bidi="ar-SA"/>
              </w:rPr>
              <w:t>金坛经济开发区规划范围为：东至在建省道203（东环路），南至规划沿江城际铁路，西至金湖路（金宜路）-S340-丹金溧漕河，北近开发区行政界线，距金坛和丹阳市界500m处，总面积71.3km</w:t>
            </w:r>
            <w:r>
              <w:rPr>
                <w:rFonts w:hint="eastAsia" w:ascii="Times New Roman" w:hAnsi="Times New Roman" w:eastAsia="仿宋_GB2312" w:cs="Times New Roman"/>
                <w:kern w:val="2"/>
                <w:sz w:val="21"/>
                <w:szCs w:val="21"/>
                <w:vertAlign w:val="superscript"/>
                <w:lang w:val="zh-CN" w:eastAsia="zh-CN" w:bidi="ar-SA"/>
              </w:rPr>
              <w:t>2</w:t>
            </w:r>
            <w:r>
              <w:rPr>
                <w:rFonts w:hint="eastAsia" w:ascii="Times New Roman" w:hAnsi="Times New Roman" w:eastAsia="仿宋_GB2312" w:cs="Times New Roman"/>
                <w:kern w:val="2"/>
                <w:sz w:val="21"/>
                <w:szCs w:val="21"/>
                <w:lang w:val="zh-CN" w:eastAsia="zh-CN" w:bidi="ar-SA"/>
              </w:rPr>
              <w:t>。按照产业划分形成传统产业园区（产业北区）和创新型产业园区（产业南区），其中传统产业园区：位于金武公路以北，主要发展以服装、电子、机械、新材料和新能源等为主导的产业，规划整合为盐化工产业园、综合制造产业园、高端制造产业园、中小企业园、新能源新材料产业园；创新产业园：位于延政西路以南，从事高新技术产品的研制、开发或提供技术外包服务和业务流程外包服务的企业用地，主要发展以新医药、环保、新传感网等新兴产业的研发、设计与营销为主。环保设施规划：采用雨污分流排水体制，污水经收集后排入常州金坛区第二污水处理有限公司集中处理。环卫：采用垃圾分类处理方式，分类后的无机物、废品垃圾尽量回收利用，有机垃圾以焚烧为主。</w:t>
            </w:r>
          </w:p>
          <w:p w14:paraId="14E00131">
            <w:pPr>
              <w:pStyle w:val="28"/>
              <w:keepNext w:val="0"/>
              <w:keepLines w:val="0"/>
              <w:pageBreakBefore w:val="0"/>
              <w:widowControl w:val="0"/>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eastAsia" w:ascii="Times New Roman" w:hAnsi="Times New Roman" w:eastAsia="仿宋_GB2312" w:cs="Times New Roman"/>
                <w:kern w:val="2"/>
                <w:sz w:val="21"/>
                <w:szCs w:val="21"/>
                <w:lang w:val="zh-CN" w:eastAsia="zh-CN" w:bidi="ar-SA"/>
              </w:rPr>
            </w:pPr>
            <w:r>
              <w:rPr>
                <w:rFonts w:hint="eastAsia" w:ascii="Times New Roman" w:hAnsi="Times New Roman" w:eastAsia="仿宋_GB2312" w:cs="Times New Roman"/>
                <w:kern w:val="2"/>
                <w:sz w:val="21"/>
                <w:szCs w:val="21"/>
                <w:lang w:val="zh-CN" w:eastAsia="zh-CN" w:bidi="ar-SA"/>
              </w:rPr>
              <w:t>本项目位于江苏省常州市金坛经济开发区</w:t>
            </w:r>
            <w:r>
              <w:rPr>
                <w:rFonts w:hint="eastAsia" w:ascii="Times New Roman" w:hAnsi="Times New Roman" w:eastAsia="仿宋_GB2312" w:cs="Times New Roman"/>
                <w:kern w:val="2"/>
                <w:sz w:val="21"/>
                <w:szCs w:val="21"/>
                <w:lang w:val="en-US" w:eastAsia="zh-CN" w:bidi="ar-SA"/>
              </w:rPr>
              <w:t>盐厂路1</w:t>
            </w:r>
            <w:r>
              <w:rPr>
                <w:rFonts w:hint="eastAsia" w:ascii="Times New Roman" w:hAnsi="Times New Roman" w:eastAsia="仿宋_GB2312" w:cs="Times New Roman"/>
                <w:kern w:val="2"/>
                <w:sz w:val="21"/>
                <w:szCs w:val="21"/>
                <w:lang w:val="zh-CN" w:eastAsia="zh-CN" w:bidi="ar-SA"/>
              </w:rPr>
              <w:t>号，在金坛经济开发区规划范围内，从事</w:t>
            </w:r>
            <w:r>
              <w:rPr>
                <w:rFonts w:hint="eastAsia" w:ascii="Times New Roman" w:hAnsi="Times New Roman" w:eastAsia="仿宋_GB2312" w:cs="Times New Roman"/>
                <w:kern w:val="2"/>
                <w:sz w:val="21"/>
                <w:szCs w:val="21"/>
                <w:lang w:val="en-US" w:eastAsia="zh-CN" w:bidi="ar-SA"/>
              </w:rPr>
              <w:t>盐化工产业</w:t>
            </w:r>
            <w:r>
              <w:rPr>
                <w:rFonts w:hint="eastAsia" w:ascii="Times New Roman" w:hAnsi="Times New Roman" w:eastAsia="仿宋_GB2312" w:cs="Times New Roman"/>
                <w:kern w:val="2"/>
                <w:sz w:val="21"/>
                <w:szCs w:val="21"/>
                <w:lang w:val="zh-CN" w:eastAsia="zh-CN" w:bidi="ar-SA"/>
              </w:rPr>
              <w:t>，符合盐化工产业园区产业定位；根据《金坛经济开发区土地利用规划图》（</w:t>
            </w:r>
            <w:r>
              <w:rPr>
                <w:rFonts w:hint="eastAsia" w:ascii="Times New Roman" w:hAnsi="Times New Roman" w:eastAsia="仿宋_GB2312" w:cs="Times New Roman"/>
                <w:color w:val="auto"/>
                <w:kern w:val="2"/>
                <w:sz w:val="21"/>
                <w:szCs w:val="21"/>
                <w:lang w:val="zh-CN" w:eastAsia="zh-CN" w:bidi="ar-SA"/>
              </w:rPr>
              <w:t>见附图</w:t>
            </w:r>
            <w:r>
              <w:rPr>
                <w:rFonts w:hint="eastAsia" w:ascii="Times New Roman" w:hAnsi="Times New Roman" w:eastAsia="仿宋_GB2312" w:cs="Times New Roman"/>
                <w:color w:val="auto"/>
                <w:kern w:val="2"/>
                <w:sz w:val="21"/>
                <w:szCs w:val="21"/>
                <w:lang w:val="en-US" w:eastAsia="zh-CN" w:bidi="ar-SA"/>
              </w:rPr>
              <w:t>7</w:t>
            </w:r>
            <w:r>
              <w:rPr>
                <w:rFonts w:hint="eastAsia" w:ascii="Times New Roman" w:hAnsi="Times New Roman" w:eastAsia="仿宋_GB2312" w:cs="Times New Roman"/>
                <w:kern w:val="2"/>
                <w:sz w:val="21"/>
                <w:szCs w:val="21"/>
                <w:lang w:val="zh-CN" w:eastAsia="zh-CN" w:bidi="ar-SA"/>
              </w:rPr>
              <w:t>），本项目所在地块规划为二类工业用地，且根据建设单位提供的《不动产权证》（</w:t>
            </w:r>
            <w:r>
              <w:rPr>
                <w:rFonts w:hint="eastAsia" w:ascii="Times New Roman" w:hAnsi="Times New Roman" w:eastAsia="仿宋_GB2312" w:cs="Times New Roman"/>
                <w:color w:val="auto"/>
                <w:kern w:val="2"/>
                <w:sz w:val="21"/>
                <w:szCs w:val="21"/>
                <w:lang w:val="en-US" w:eastAsia="zh-CN" w:bidi="ar-SA"/>
              </w:rPr>
              <w:t>坛国用（2003）第1217号</w:t>
            </w:r>
            <w:r>
              <w:rPr>
                <w:rFonts w:hint="eastAsia" w:ascii="Times New Roman" w:hAnsi="Times New Roman" w:eastAsia="仿宋_GB2312" w:cs="Times New Roman"/>
                <w:kern w:val="2"/>
                <w:sz w:val="21"/>
                <w:szCs w:val="21"/>
                <w:lang w:val="zh-CN" w:eastAsia="zh-CN" w:bidi="ar-SA"/>
              </w:rPr>
              <w:t>），项目所在地块用地性质为工业用地，其用地功能与规划用地性质相符。</w:t>
            </w:r>
          </w:p>
          <w:p w14:paraId="0B504175">
            <w:pPr>
              <w:adjustRightInd w:val="0"/>
              <w:snapToGrid w:val="0"/>
              <w:spacing w:line="360" w:lineRule="auto"/>
              <w:ind w:firstLine="422" w:firstLineChars="200"/>
              <w:jc w:val="left"/>
              <w:rPr>
                <w:rFonts w:eastAsia="仿宋_GB2312"/>
                <w:b/>
                <w:color w:val="000000"/>
                <w:kern w:val="0"/>
              </w:rPr>
            </w:pPr>
            <w:r>
              <w:rPr>
                <w:rFonts w:hint="eastAsia" w:eastAsia="仿宋_GB2312"/>
                <w:b/>
                <w:color w:val="000000"/>
                <w:kern w:val="0"/>
              </w:rPr>
              <w:t>2、</w:t>
            </w:r>
            <w:r>
              <w:rPr>
                <w:rFonts w:eastAsia="仿宋_GB2312"/>
                <w:b/>
                <w:color w:val="000000"/>
                <w:kern w:val="0"/>
              </w:rPr>
              <w:t>本项目与金坛经济开发区发展规划环境影响评价相符性分析</w:t>
            </w:r>
          </w:p>
          <w:p w14:paraId="359369A1">
            <w:pPr>
              <w:adjustRightInd w:val="0"/>
              <w:snapToGrid w:val="0"/>
              <w:spacing w:line="360" w:lineRule="auto"/>
              <w:ind w:firstLine="420" w:firstLineChars="200"/>
              <w:rPr>
                <w:rFonts w:eastAsia="仿宋_GB2312"/>
                <w:color w:val="000000"/>
                <w:kern w:val="0"/>
              </w:rPr>
            </w:pPr>
            <w:r>
              <w:rPr>
                <w:rFonts w:eastAsia="仿宋_GB2312"/>
                <w:color w:val="000000"/>
                <w:kern w:val="0"/>
              </w:rPr>
              <w:t>本项目与金坛经济开发区发展规划环境影响评价分析见表1-</w:t>
            </w:r>
            <w:r>
              <w:rPr>
                <w:rFonts w:hint="eastAsia" w:eastAsia="仿宋_GB2312"/>
                <w:color w:val="000000"/>
                <w:kern w:val="0"/>
                <w:lang w:val="en-US" w:eastAsia="zh-CN"/>
              </w:rPr>
              <w:t>1</w:t>
            </w:r>
            <w:r>
              <w:rPr>
                <w:rFonts w:eastAsia="仿宋_GB2312"/>
                <w:color w:val="000000"/>
                <w:kern w:val="0"/>
              </w:rPr>
              <w:t>。</w:t>
            </w:r>
          </w:p>
          <w:p w14:paraId="747F3B78">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eastAsia="仿宋_GB2312"/>
                <w:color w:val="000000"/>
                <w:kern w:val="0"/>
              </w:rPr>
            </w:pPr>
            <w:r>
              <w:rPr>
                <w:rFonts w:eastAsia="仿宋_GB2312"/>
                <w:b/>
                <w:bCs/>
                <w:color w:val="000000"/>
              </w:rPr>
              <w:t>表1-</w:t>
            </w:r>
            <w:r>
              <w:rPr>
                <w:rFonts w:hint="eastAsia" w:eastAsia="仿宋_GB2312"/>
                <w:b/>
                <w:bCs/>
                <w:color w:val="000000"/>
                <w:lang w:val="en-US" w:eastAsia="zh-CN"/>
              </w:rPr>
              <w:t xml:space="preserve">1  </w:t>
            </w:r>
            <w:r>
              <w:rPr>
                <w:rFonts w:eastAsia="仿宋_GB2312"/>
                <w:b/>
                <w:bCs/>
                <w:color w:val="000000"/>
              </w:rPr>
              <w:t>与金坛经济开发区发展规划环评相符性分析</w:t>
            </w:r>
          </w:p>
          <w:tbl>
            <w:tblPr>
              <w:tblStyle w:val="31"/>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8"/>
              <w:gridCol w:w="4929"/>
              <w:gridCol w:w="2137"/>
            </w:tblGrid>
            <w:tr w14:paraId="4363CC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286" w:type="pct"/>
                  <w:vAlign w:val="center"/>
                </w:tcPr>
                <w:p w14:paraId="75A5A6E6">
                  <w:pPr>
                    <w:autoSpaceDE w:val="0"/>
                    <w:autoSpaceDN w:val="0"/>
                    <w:adjustRightInd w:val="0"/>
                    <w:snapToGrid w:val="0"/>
                    <w:jc w:val="center"/>
                    <w:rPr>
                      <w:rFonts w:eastAsia="仿宋_GB2312"/>
                      <w:b/>
                      <w:bCs/>
                      <w:color w:val="000000"/>
                      <w:kern w:val="0"/>
                      <w:sz w:val="21"/>
                      <w:szCs w:val="21"/>
                    </w:rPr>
                  </w:pPr>
                  <w:r>
                    <w:rPr>
                      <w:rFonts w:eastAsia="仿宋_GB2312"/>
                      <w:b/>
                      <w:bCs/>
                      <w:color w:val="000000"/>
                      <w:kern w:val="0"/>
                      <w:sz w:val="21"/>
                      <w:szCs w:val="21"/>
                    </w:rPr>
                    <w:t>序号</w:t>
                  </w:r>
                </w:p>
              </w:tc>
              <w:tc>
                <w:tcPr>
                  <w:tcW w:w="3287" w:type="pct"/>
                  <w:vAlign w:val="center"/>
                </w:tcPr>
                <w:p w14:paraId="52EEC1C8">
                  <w:pPr>
                    <w:autoSpaceDE w:val="0"/>
                    <w:autoSpaceDN w:val="0"/>
                    <w:adjustRightInd w:val="0"/>
                    <w:snapToGrid w:val="0"/>
                    <w:jc w:val="center"/>
                    <w:rPr>
                      <w:rFonts w:eastAsia="仿宋_GB2312"/>
                      <w:b/>
                      <w:bCs/>
                      <w:color w:val="000000"/>
                      <w:kern w:val="0"/>
                      <w:sz w:val="21"/>
                      <w:szCs w:val="21"/>
                    </w:rPr>
                  </w:pPr>
                  <w:r>
                    <w:rPr>
                      <w:rFonts w:eastAsia="仿宋_GB2312"/>
                      <w:b/>
                      <w:bCs/>
                      <w:color w:val="000000"/>
                      <w:kern w:val="0"/>
                      <w:sz w:val="21"/>
                      <w:szCs w:val="21"/>
                    </w:rPr>
                    <w:t>批复要求</w:t>
                  </w:r>
                </w:p>
              </w:tc>
              <w:tc>
                <w:tcPr>
                  <w:tcW w:w="1425" w:type="pct"/>
                  <w:vAlign w:val="center"/>
                </w:tcPr>
                <w:p w14:paraId="18CBA7AF">
                  <w:pPr>
                    <w:autoSpaceDE w:val="0"/>
                    <w:autoSpaceDN w:val="0"/>
                    <w:adjustRightInd w:val="0"/>
                    <w:snapToGrid w:val="0"/>
                    <w:jc w:val="center"/>
                    <w:rPr>
                      <w:rFonts w:eastAsia="仿宋_GB2312"/>
                      <w:b/>
                      <w:bCs/>
                      <w:color w:val="000000"/>
                      <w:kern w:val="0"/>
                      <w:sz w:val="21"/>
                      <w:szCs w:val="21"/>
                    </w:rPr>
                  </w:pPr>
                  <w:r>
                    <w:rPr>
                      <w:rFonts w:eastAsia="仿宋_GB2312"/>
                      <w:b/>
                      <w:bCs/>
                      <w:color w:val="000000"/>
                      <w:kern w:val="0"/>
                      <w:sz w:val="21"/>
                      <w:szCs w:val="21"/>
                    </w:rPr>
                    <w:t>相符性分析</w:t>
                  </w:r>
                </w:p>
              </w:tc>
            </w:tr>
            <w:tr w14:paraId="0EE5B7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6" w:type="pct"/>
                  <w:vAlign w:val="center"/>
                </w:tcPr>
                <w:p w14:paraId="2A3AF80E">
                  <w:pPr>
                    <w:autoSpaceDE w:val="0"/>
                    <w:autoSpaceDN w:val="0"/>
                    <w:adjustRightInd w:val="0"/>
                    <w:snapToGrid w:val="0"/>
                    <w:jc w:val="center"/>
                    <w:rPr>
                      <w:rFonts w:eastAsia="仿宋_GB2312"/>
                      <w:color w:val="000000"/>
                      <w:kern w:val="0"/>
                      <w:sz w:val="21"/>
                      <w:szCs w:val="21"/>
                    </w:rPr>
                  </w:pPr>
                  <w:r>
                    <w:rPr>
                      <w:rFonts w:eastAsia="仿宋_GB2312"/>
                      <w:color w:val="000000"/>
                      <w:kern w:val="0"/>
                      <w:sz w:val="21"/>
                      <w:szCs w:val="21"/>
                    </w:rPr>
                    <w:t>1</w:t>
                  </w:r>
                </w:p>
              </w:tc>
              <w:tc>
                <w:tcPr>
                  <w:tcW w:w="3287" w:type="pct"/>
                  <w:vAlign w:val="center"/>
                </w:tcPr>
                <w:p w14:paraId="156E0BAB">
                  <w:pPr>
                    <w:autoSpaceDE w:val="0"/>
                    <w:autoSpaceDN w:val="0"/>
                    <w:adjustRightInd w:val="0"/>
                    <w:snapToGrid w:val="0"/>
                    <w:jc w:val="center"/>
                    <w:rPr>
                      <w:rFonts w:eastAsia="仿宋_GB2312"/>
                      <w:color w:val="000000"/>
                      <w:kern w:val="0"/>
                      <w:sz w:val="21"/>
                      <w:szCs w:val="21"/>
                    </w:rPr>
                  </w:pPr>
                  <w:r>
                    <w:rPr>
                      <w:rFonts w:eastAsia="仿宋_GB2312"/>
                      <w:color w:val="000000"/>
                      <w:kern w:val="0"/>
                      <w:sz w:val="21"/>
                      <w:szCs w:val="21"/>
                    </w:rPr>
                    <w:t>机械装备、电子行业禁止引进电镀、表面处理类项目，化工行业禁止引进与盐化工及下游产品生产不相关的化工项目、农药项目，新材料禁止引进太阳能电池切片、钢铁等传统型金属材料、水泥等传统型非金属材料的生产项目，纺织禁止引进废水排放量较大的纯印染和纯染整类企业和项目。在园区大气中HCl稳定达标排放前禁止引进排放大气污染物HCl的企业和项目。</w:t>
                  </w:r>
                </w:p>
              </w:tc>
              <w:tc>
                <w:tcPr>
                  <w:tcW w:w="1425" w:type="pct"/>
                  <w:vAlign w:val="center"/>
                </w:tcPr>
                <w:p w14:paraId="6D14894A">
                  <w:pPr>
                    <w:autoSpaceDE w:val="0"/>
                    <w:autoSpaceDN w:val="0"/>
                    <w:adjustRightInd w:val="0"/>
                    <w:snapToGrid w:val="0"/>
                    <w:jc w:val="center"/>
                    <w:rPr>
                      <w:rFonts w:eastAsia="仿宋_GB2312"/>
                      <w:color w:val="000000"/>
                      <w:kern w:val="0"/>
                      <w:sz w:val="21"/>
                      <w:szCs w:val="21"/>
                    </w:rPr>
                  </w:pPr>
                  <w:r>
                    <w:rPr>
                      <w:rFonts w:eastAsia="仿宋_GB2312"/>
                      <w:color w:val="000000"/>
                      <w:kern w:val="0"/>
                      <w:sz w:val="21"/>
                      <w:szCs w:val="21"/>
                    </w:rPr>
                    <w:t>本项目不属于开发区禁止引进的项目和企业</w:t>
                  </w:r>
                  <w:r>
                    <w:rPr>
                      <w:rFonts w:hint="eastAsia" w:eastAsia="仿宋_GB2312"/>
                      <w:color w:val="000000"/>
                      <w:kern w:val="0"/>
                      <w:sz w:val="21"/>
                      <w:szCs w:val="21"/>
                    </w:rPr>
                    <w:t>，</w:t>
                  </w:r>
                  <w:r>
                    <w:rPr>
                      <w:rFonts w:eastAsia="仿宋_GB2312"/>
                      <w:color w:val="000000"/>
                      <w:kern w:val="0"/>
                      <w:sz w:val="21"/>
                      <w:szCs w:val="21"/>
                    </w:rPr>
                    <w:t>本项目</w:t>
                  </w:r>
                  <w:r>
                    <w:rPr>
                      <w:rFonts w:hint="eastAsia" w:eastAsia="仿宋_GB2312"/>
                      <w:color w:val="000000"/>
                      <w:kern w:val="0"/>
                      <w:sz w:val="21"/>
                      <w:szCs w:val="21"/>
                    </w:rPr>
                    <w:t>严格控制</w:t>
                  </w:r>
                  <w:r>
                    <w:rPr>
                      <w:rFonts w:hint="eastAsia" w:eastAsia="仿宋_GB2312"/>
                      <w:color w:val="000000"/>
                      <w:kern w:val="0"/>
                      <w:sz w:val="21"/>
                      <w:szCs w:val="21"/>
                      <w:lang w:val="en-US" w:eastAsia="zh-CN"/>
                    </w:rPr>
                    <w:t>HCl排放，保障</w:t>
                  </w:r>
                  <w:r>
                    <w:rPr>
                      <w:rFonts w:eastAsia="仿宋_GB2312"/>
                      <w:color w:val="000000"/>
                      <w:kern w:val="0"/>
                      <w:sz w:val="21"/>
                      <w:szCs w:val="21"/>
                    </w:rPr>
                    <w:t>园区大气中HCl稳定达标排放。</w:t>
                  </w:r>
                </w:p>
              </w:tc>
            </w:tr>
            <w:tr w14:paraId="6EB07E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6" w:type="pct"/>
                  <w:vAlign w:val="center"/>
                </w:tcPr>
                <w:p w14:paraId="71AD6BA5">
                  <w:pPr>
                    <w:autoSpaceDE w:val="0"/>
                    <w:autoSpaceDN w:val="0"/>
                    <w:adjustRightInd w:val="0"/>
                    <w:snapToGrid w:val="0"/>
                    <w:jc w:val="center"/>
                    <w:rPr>
                      <w:rFonts w:eastAsia="仿宋_GB2312"/>
                      <w:color w:val="000000"/>
                      <w:kern w:val="0"/>
                      <w:sz w:val="21"/>
                      <w:szCs w:val="21"/>
                    </w:rPr>
                  </w:pPr>
                  <w:r>
                    <w:rPr>
                      <w:rFonts w:eastAsia="仿宋_GB2312"/>
                      <w:color w:val="000000"/>
                      <w:kern w:val="0"/>
                      <w:sz w:val="21"/>
                      <w:szCs w:val="21"/>
                    </w:rPr>
                    <w:t>2</w:t>
                  </w:r>
                </w:p>
              </w:tc>
              <w:tc>
                <w:tcPr>
                  <w:tcW w:w="3287" w:type="pct"/>
                  <w:vAlign w:val="center"/>
                </w:tcPr>
                <w:p w14:paraId="4A531BB5">
                  <w:pPr>
                    <w:autoSpaceDE w:val="0"/>
                    <w:autoSpaceDN w:val="0"/>
                    <w:adjustRightInd w:val="0"/>
                    <w:snapToGrid w:val="0"/>
                    <w:jc w:val="center"/>
                    <w:rPr>
                      <w:rFonts w:eastAsia="仿宋_GB2312"/>
                      <w:color w:val="000000"/>
                      <w:kern w:val="0"/>
                      <w:sz w:val="21"/>
                      <w:szCs w:val="21"/>
                    </w:rPr>
                  </w:pPr>
                  <w:r>
                    <w:rPr>
                      <w:rFonts w:eastAsia="仿宋_GB2312"/>
                      <w:color w:val="000000"/>
                      <w:kern w:val="0"/>
                      <w:sz w:val="21"/>
                      <w:szCs w:val="21"/>
                    </w:rPr>
                    <w:t>开发区临近金坛中心城区的地区应布设居住区或者低污染的一类工业用地，建设不小于50米宽的绿化隔离带；道路周边20米范围应适当控制，不宜建设厂房、居住楼等；与钱资荡生态红线区边界相邻2000米内用地布置为污染程度低的工业项目。</w:t>
                  </w:r>
                </w:p>
              </w:tc>
              <w:tc>
                <w:tcPr>
                  <w:tcW w:w="1425" w:type="pct"/>
                  <w:vAlign w:val="center"/>
                </w:tcPr>
                <w:p w14:paraId="039C755F">
                  <w:pPr>
                    <w:autoSpaceDE w:val="0"/>
                    <w:autoSpaceDN w:val="0"/>
                    <w:adjustRightInd w:val="0"/>
                    <w:snapToGrid w:val="0"/>
                    <w:jc w:val="center"/>
                    <w:rPr>
                      <w:rFonts w:eastAsia="仿宋_GB2312"/>
                      <w:color w:val="000000"/>
                      <w:kern w:val="0"/>
                      <w:sz w:val="21"/>
                      <w:szCs w:val="21"/>
                    </w:rPr>
                  </w:pPr>
                  <w:r>
                    <w:rPr>
                      <w:rFonts w:eastAsia="仿宋_GB2312"/>
                      <w:color w:val="000000"/>
                      <w:kern w:val="0"/>
                      <w:sz w:val="21"/>
                      <w:szCs w:val="21"/>
                    </w:rPr>
                    <w:t>本项目</w:t>
                  </w:r>
                  <w:r>
                    <w:rPr>
                      <w:rFonts w:hint="eastAsia" w:eastAsia="仿宋_GB2312"/>
                      <w:color w:val="000000"/>
                      <w:kern w:val="0"/>
                      <w:sz w:val="21"/>
                      <w:szCs w:val="21"/>
                    </w:rPr>
                    <w:t>最近敏感目标为东侧139m</w:t>
                  </w:r>
                  <w:r>
                    <w:rPr>
                      <w:rFonts w:hint="eastAsia" w:eastAsia="仿宋_GB2312"/>
                      <w:color w:val="auto"/>
                      <w:kern w:val="0"/>
                      <w:sz w:val="21"/>
                      <w:szCs w:val="21"/>
                    </w:rPr>
                    <w:t>的</w:t>
                  </w:r>
                  <w:r>
                    <w:rPr>
                      <w:rFonts w:hint="eastAsia" w:eastAsia="仿宋_GB2312"/>
                      <w:color w:val="auto"/>
                      <w:kern w:val="0"/>
                      <w:sz w:val="21"/>
                      <w:szCs w:val="21"/>
                      <w:lang w:val="en-US" w:eastAsia="zh-CN"/>
                    </w:rPr>
                    <w:t>庵上</w:t>
                  </w:r>
                  <w:r>
                    <w:rPr>
                      <w:rFonts w:hint="eastAsia" w:eastAsia="仿宋_GB2312"/>
                      <w:color w:val="auto"/>
                      <w:kern w:val="0"/>
                      <w:sz w:val="21"/>
                      <w:szCs w:val="21"/>
                    </w:rPr>
                    <w:t>，距离钱资荡</w:t>
                  </w:r>
                  <w:r>
                    <w:rPr>
                      <w:rFonts w:eastAsia="仿宋_GB2312"/>
                      <w:color w:val="auto"/>
                      <w:kern w:val="0"/>
                      <w:sz w:val="21"/>
                      <w:szCs w:val="21"/>
                    </w:rPr>
                    <w:t>生态红线区边界</w:t>
                  </w:r>
                  <w:r>
                    <w:rPr>
                      <w:rFonts w:hint="eastAsia" w:eastAsia="仿宋_GB2312"/>
                      <w:color w:val="auto"/>
                      <w:kern w:val="0"/>
                      <w:sz w:val="21"/>
                      <w:szCs w:val="21"/>
                    </w:rPr>
                    <w:t>6.3km，</w:t>
                  </w:r>
                  <w:r>
                    <w:rPr>
                      <w:rFonts w:eastAsia="仿宋_GB2312"/>
                      <w:color w:val="000000"/>
                      <w:kern w:val="0"/>
                      <w:sz w:val="21"/>
                      <w:szCs w:val="21"/>
                    </w:rPr>
                    <w:t>符合开发区规划要求。</w:t>
                  </w:r>
                </w:p>
              </w:tc>
            </w:tr>
            <w:tr w14:paraId="721BB9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6" w:type="pct"/>
                  <w:vAlign w:val="center"/>
                </w:tcPr>
                <w:p w14:paraId="09ABC893">
                  <w:pPr>
                    <w:autoSpaceDE w:val="0"/>
                    <w:autoSpaceDN w:val="0"/>
                    <w:adjustRightInd w:val="0"/>
                    <w:snapToGrid w:val="0"/>
                    <w:jc w:val="center"/>
                    <w:rPr>
                      <w:rFonts w:eastAsia="仿宋_GB2312"/>
                      <w:color w:val="000000"/>
                      <w:kern w:val="0"/>
                      <w:sz w:val="21"/>
                      <w:szCs w:val="21"/>
                    </w:rPr>
                  </w:pPr>
                  <w:r>
                    <w:rPr>
                      <w:rFonts w:eastAsia="仿宋_GB2312"/>
                      <w:color w:val="000000"/>
                      <w:kern w:val="0"/>
                      <w:sz w:val="21"/>
                      <w:szCs w:val="21"/>
                    </w:rPr>
                    <w:t>3</w:t>
                  </w:r>
                </w:p>
              </w:tc>
              <w:tc>
                <w:tcPr>
                  <w:tcW w:w="3287" w:type="pct"/>
                  <w:vAlign w:val="center"/>
                </w:tcPr>
                <w:p w14:paraId="6456E284">
                  <w:pPr>
                    <w:autoSpaceDE w:val="0"/>
                    <w:autoSpaceDN w:val="0"/>
                    <w:adjustRightInd w:val="0"/>
                    <w:snapToGrid w:val="0"/>
                    <w:jc w:val="center"/>
                    <w:rPr>
                      <w:rFonts w:eastAsia="仿宋_GB2312"/>
                      <w:color w:val="000000"/>
                      <w:kern w:val="0"/>
                      <w:sz w:val="21"/>
                      <w:szCs w:val="21"/>
                    </w:rPr>
                  </w:pPr>
                  <w:r>
                    <w:rPr>
                      <w:rFonts w:eastAsia="仿宋_GB2312"/>
                      <w:color w:val="000000"/>
                      <w:kern w:val="0"/>
                      <w:sz w:val="21"/>
                      <w:szCs w:val="21"/>
                    </w:rPr>
                    <w:t>园区实施雨污分流、清污分流和污水集中处理，建设完善区内污水管网；加快实施中水回用工程，污水处理厂中水回用率达30%。加强固体废物的集中处理处置，危险废物交由有资质的单位处理。</w:t>
                  </w:r>
                </w:p>
              </w:tc>
              <w:tc>
                <w:tcPr>
                  <w:tcW w:w="1425" w:type="pct"/>
                  <w:vAlign w:val="center"/>
                </w:tcPr>
                <w:p w14:paraId="507BE60E">
                  <w:pPr>
                    <w:autoSpaceDE w:val="0"/>
                    <w:autoSpaceDN w:val="0"/>
                    <w:adjustRightInd w:val="0"/>
                    <w:snapToGrid w:val="0"/>
                    <w:jc w:val="center"/>
                    <w:rPr>
                      <w:color w:val="000000"/>
                      <w:kern w:val="0"/>
                      <w:sz w:val="21"/>
                      <w:szCs w:val="21"/>
                    </w:rPr>
                  </w:pPr>
                  <w:r>
                    <w:rPr>
                      <w:rFonts w:eastAsia="仿宋_GB2312"/>
                      <w:color w:val="000000"/>
                      <w:kern w:val="0"/>
                      <w:sz w:val="21"/>
                      <w:szCs w:val="21"/>
                    </w:rPr>
                    <w:t>本项目</w:t>
                  </w:r>
                  <w:r>
                    <w:rPr>
                      <w:rFonts w:eastAsia="仿宋_GB2312"/>
                      <w:color w:val="000000"/>
                      <w:sz w:val="21"/>
                      <w:szCs w:val="21"/>
                    </w:rPr>
                    <w:t>生活污水</w:t>
                  </w:r>
                  <w:r>
                    <w:rPr>
                      <w:rFonts w:eastAsia="仿宋_GB2312"/>
                      <w:color w:val="000000"/>
                      <w:kern w:val="0"/>
                      <w:sz w:val="21"/>
                      <w:szCs w:val="21"/>
                    </w:rPr>
                    <w:t>接管到金坛第二污水处理厂进行处理，达标后排入尧塘河，危险废物交由有资质的单位处理，</w:t>
                  </w:r>
                  <w:r>
                    <w:rPr>
                      <w:rFonts w:eastAsia="仿宋_GB2312"/>
                      <w:color w:val="000000"/>
                      <w:kern w:val="0"/>
                      <w:sz w:val="21"/>
                      <w:szCs w:val="21"/>
                      <w:highlight w:val="none"/>
                    </w:rPr>
                    <w:t>符合开发区规划要求。</w:t>
                  </w:r>
                  <w:r>
                    <w:rPr>
                      <w:rFonts w:hint="eastAsia" w:eastAsia="仿宋_GB2312"/>
                      <w:color w:val="000000"/>
                      <w:kern w:val="0"/>
                      <w:sz w:val="21"/>
                      <w:szCs w:val="21"/>
                      <w:highlight w:val="none"/>
                    </w:rPr>
                    <w:t>金坛第二</w:t>
                  </w:r>
                  <w:r>
                    <w:rPr>
                      <w:rFonts w:hint="eastAsia" w:eastAsia="仿宋_GB2312"/>
                      <w:color w:val="000000"/>
                      <w:kern w:val="0"/>
                      <w:sz w:val="21"/>
                      <w:szCs w:val="21"/>
                      <w:highlight w:val="none"/>
                      <w:lang w:eastAsia="zh-CN"/>
                    </w:rPr>
                    <w:t>污水</w:t>
                  </w:r>
                  <w:r>
                    <w:rPr>
                      <w:rFonts w:hint="eastAsia" w:eastAsia="仿宋_GB2312"/>
                      <w:color w:val="000000"/>
                      <w:kern w:val="0"/>
                      <w:sz w:val="21"/>
                      <w:szCs w:val="21"/>
                      <w:highlight w:val="none"/>
                    </w:rPr>
                    <w:t>厂目前中水回用系统已投入运行。</w:t>
                  </w:r>
                </w:p>
              </w:tc>
            </w:tr>
            <w:tr w14:paraId="4505A3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6" w:type="pct"/>
                  <w:vAlign w:val="center"/>
                </w:tcPr>
                <w:p w14:paraId="2C301DF6">
                  <w:pPr>
                    <w:autoSpaceDE w:val="0"/>
                    <w:autoSpaceDN w:val="0"/>
                    <w:adjustRightInd w:val="0"/>
                    <w:snapToGrid w:val="0"/>
                    <w:jc w:val="center"/>
                    <w:rPr>
                      <w:rFonts w:eastAsia="仿宋_GB2312"/>
                      <w:color w:val="000000"/>
                      <w:kern w:val="0"/>
                      <w:sz w:val="21"/>
                      <w:szCs w:val="21"/>
                    </w:rPr>
                  </w:pPr>
                  <w:r>
                    <w:rPr>
                      <w:rFonts w:eastAsia="仿宋_GB2312"/>
                      <w:color w:val="000000"/>
                      <w:kern w:val="0"/>
                      <w:sz w:val="21"/>
                      <w:szCs w:val="21"/>
                    </w:rPr>
                    <w:t>4</w:t>
                  </w:r>
                </w:p>
              </w:tc>
              <w:tc>
                <w:tcPr>
                  <w:tcW w:w="3287" w:type="pct"/>
                  <w:vAlign w:val="center"/>
                </w:tcPr>
                <w:p w14:paraId="580B6B73">
                  <w:pPr>
                    <w:autoSpaceDE w:val="0"/>
                    <w:autoSpaceDN w:val="0"/>
                    <w:adjustRightInd w:val="0"/>
                    <w:snapToGrid w:val="0"/>
                    <w:jc w:val="center"/>
                    <w:rPr>
                      <w:rFonts w:eastAsia="仿宋_GB2312"/>
                      <w:color w:val="000000"/>
                      <w:kern w:val="0"/>
                      <w:sz w:val="21"/>
                      <w:szCs w:val="21"/>
                    </w:rPr>
                  </w:pPr>
                  <w:r>
                    <w:rPr>
                      <w:rFonts w:eastAsia="仿宋_GB2312"/>
                      <w:color w:val="000000"/>
                      <w:sz w:val="21"/>
                      <w:szCs w:val="21"/>
                    </w:rPr>
                    <w:t>加快园区环保基础设施建设。建设完善区内供热管网，2018年底前实现区内全部集中供热或使用清洁能源；加快现有燃煤设施拆除工作，改用集中供热或改造使用天然气等清洁能源；严禁自建燃煤设施。加强区域大气环境保护，推进区内加怡热电烟气脱硝工程，</w:t>
                  </w:r>
                  <w:r>
                    <w:rPr>
                      <w:rFonts w:eastAsia="仿宋_GB2312"/>
                      <w:color w:val="000000"/>
                      <w:kern w:val="0"/>
                      <w:sz w:val="21"/>
                      <w:szCs w:val="21"/>
                    </w:rPr>
                    <w:t>严格落实HCl等大气特征污染物防治措施，强化恶臭、VOCs等特征污染物的控制与治理，严格控制SO</w:t>
                  </w:r>
                  <w:r>
                    <w:rPr>
                      <w:rFonts w:eastAsia="仿宋_GB2312"/>
                      <w:color w:val="000000"/>
                      <w:kern w:val="0"/>
                      <w:sz w:val="21"/>
                      <w:szCs w:val="21"/>
                      <w:vertAlign w:val="subscript"/>
                    </w:rPr>
                    <w:t>2</w:t>
                  </w:r>
                  <w:r>
                    <w:rPr>
                      <w:rFonts w:eastAsia="仿宋_GB2312"/>
                      <w:color w:val="000000"/>
                      <w:kern w:val="0"/>
                      <w:sz w:val="21"/>
                      <w:szCs w:val="21"/>
                    </w:rPr>
                    <w:t>、NO</w:t>
                  </w:r>
                  <w:r>
                    <w:rPr>
                      <w:rFonts w:eastAsia="仿宋_GB2312"/>
                      <w:color w:val="000000"/>
                      <w:kern w:val="0"/>
                      <w:sz w:val="21"/>
                      <w:szCs w:val="21"/>
                      <w:vertAlign w:val="subscript"/>
                    </w:rPr>
                    <w:t>X</w:t>
                  </w:r>
                  <w:r>
                    <w:rPr>
                      <w:rFonts w:eastAsia="仿宋_GB2312"/>
                      <w:color w:val="000000"/>
                      <w:kern w:val="0"/>
                      <w:sz w:val="21"/>
                      <w:szCs w:val="21"/>
                    </w:rPr>
                    <w:t>、VOCs等大气污染物排放总量，确保重点区域大气环境质量如期改善与稳定达标。</w:t>
                  </w:r>
                </w:p>
              </w:tc>
              <w:tc>
                <w:tcPr>
                  <w:tcW w:w="1425" w:type="pct"/>
                  <w:vAlign w:val="center"/>
                </w:tcPr>
                <w:p w14:paraId="44972341">
                  <w:pPr>
                    <w:autoSpaceDE w:val="0"/>
                    <w:autoSpaceDN w:val="0"/>
                    <w:adjustRightInd w:val="0"/>
                    <w:snapToGrid w:val="0"/>
                    <w:jc w:val="center"/>
                    <w:rPr>
                      <w:rFonts w:eastAsia="仿宋_GB2312"/>
                      <w:color w:val="000000"/>
                      <w:kern w:val="0"/>
                      <w:sz w:val="21"/>
                      <w:szCs w:val="21"/>
                    </w:rPr>
                  </w:pPr>
                  <w:r>
                    <w:rPr>
                      <w:rFonts w:eastAsia="仿宋_GB2312"/>
                      <w:color w:val="000000"/>
                      <w:kern w:val="0"/>
                      <w:sz w:val="21"/>
                      <w:szCs w:val="21"/>
                    </w:rPr>
                    <w:t>本项目</w:t>
                  </w:r>
                  <w:r>
                    <w:rPr>
                      <w:rFonts w:hint="eastAsia" w:eastAsia="仿宋_GB2312"/>
                      <w:color w:val="000000"/>
                      <w:kern w:val="0"/>
                      <w:sz w:val="21"/>
                      <w:szCs w:val="21"/>
                    </w:rPr>
                    <w:t>严格控制</w:t>
                  </w:r>
                  <w:r>
                    <w:rPr>
                      <w:rFonts w:hint="eastAsia" w:eastAsia="仿宋_GB2312"/>
                      <w:color w:val="000000"/>
                      <w:kern w:val="0"/>
                      <w:sz w:val="21"/>
                      <w:szCs w:val="21"/>
                      <w:lang w:val="en-US" w:eastAsia="zh-CN"/>
                    </w:rPr>
                    <w:t>HCl</w:t>
                  </w:r>
                  <w:r>
                    <w:rPr>
                      <w:rFonts w:hint="eastAsia" w:eastAsia="仿宋_GB2312"/>
                      <w:color w:val="000000"/>
                      <w:kern w:val="0"/>
                      <w:sz w:val="21"/>
                      <w:szCs w:val="21"/>
                    </w:rPr>
                    <w:t>、VOCs等大气污染物排放总量</w:t>
                  </w:r>
                  <w:r>
                    <w:rPr>
                      <w:rFonts w:eastAsia="仿宋_GB2312"/>
                      <w:color w:val="000000"/>
                      <w:kern w:val="0"/>
                      <w:sz w:val="21"/>
                      <w:szCs w:val="21"/>
                    </w:rPr>
                    <w:t>。</w:t>
                  </w:r>
                </w:p>
              </w:tc>
            </w:tr>
            <w:tr w14:paraId="50E939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6" w:type="pct"/>
                  <w:vAlign w:val="center"/>
                </w:tcPr>
                <w:p w14:paraId="61A39A04">
                  <w:pPr>
                    <w:autoSpaceDE w:val="0"/>
                    <w:autoSpaceDN w:val="0"/>
                    <w:adjustRightInd w:val="0"/>
                    <w:snapToGrid w:val="0"/>
                    <w:jc w:val="center"/>
                    <w:rPr>
                      <w:rFonts w:eastAsia="仿宋_GB2312"/>
                      <w:color w:val="000000"/>
                      <w:kern w:val="0"/>
                      <w:sz w:val="21"/>
                      <w:szCs w:val="21"/>
                    </w:rPr>
                  </w:pPr>
                  <w:r>
                    <w:rPr>
                      <w:rFonts w:hint="eastAsia" w:eastAsia="仿宋_GB2312"/>
                      <w:color w:val="000000"/>
                      <w:kern w:val="0"/>
                      <w:sz w:val="21"/>
                      <w:szCs w:val="21"/>
                    </w:rPr>
                    <w:t>5</w:t>
                  </w:r>
                </w:p>
              </w:tc>
              <w:tc>
                <w:tcPr>
                  <w:tcW w:w="3287" w:type="pct"/>
                  <w:vAlign w:val="center"/>
                </w:tcPr>
                <w:p w14:paraId="02727ABE">
                  <w:pPr>
                    <w:autoSpaceDE w:val="0"/>
                    <w:autoSpaceDN w:val="0"/>
                    <w:adjustRightInd w:val="0"/>
                    <w:snapToGrid w:val="0"/>
                    <w:jc w:val="center"/>
                    <w:rPr>
                      <w:rFonts w:eastAsia="仿宋_GB2312"/>
                      <w:color w:val="000000"/>
                      <w:kern w:val="0"/>
                      <w:sz w:val="21"/>
                      <w:szCs w:val="21"/>
                    </w:rPr>
                  </w:pPr>
                  <w:r>
                    <w:rPr>
                      <w:rFonts w:eastAsia="仿宋_GB2312"/>
                      <w:color w:val="000000"/>
                      <w:sz w:val="21"/>
                      <w:szCs w:val="21"/>
                    </w:rPr>
                    <w:t>落实《省政府关于印发江苏省生态空间管控区域规划的通知》（苏政发[2020]1号）和《江苏省太湖水污染防治条例》要求，加强太湖流域水环境保护。以丹金溧漕河、尧塘河为重点，加大区域河流综合政治力度。严格控制园区人口规模和用水定额，减少工业企业用水量和污水排放量，严格控制COD、氨氮、总磷等污染物排放量，加快实现水环境功能区达标。</w:t>
                  </w:r>
                </w:p>
              </w:tc>
              <w:tc>
                <w:tcPr>
                  <w:tcW w:w="1425" w:type="pct"/>
                  <w:vAlign w:val="center"/>
                </w:tcPr>
                <w:p w14:paraId="0CB7BE2E">
                  <w:pPr>
                    <w:autoSpaceDE w:val="0"/>
                    <w:autoSpaceDN w:val="0"/>
                    <w:adjustRightInd w:val="0"/>
                    <w:snapToGrid w:val="0"/>
                    <w:jc w:val="center"/>
                    <w:rPr>
                      <w:rFonts w:eastAsia="仿宋_GB2312"/>
                      <w:color w:val="000000"/>
                      <w:kern w:val="0"/>
                      <w:sz w:val="21"/>
                      <w:szCs w:val="21"/>
                    </w:rPr>
                  </w:pPr>
                  <w:r>
                    <w:rPr>
                      <w:rFonts w:hint="eastAsia" w:ascii="Times New Roman" w:hAnsi="Times New Roman" w:eastAsia="仿宋_GB2312" w:cs="Times New Roman"/>
                      <w:color w:val="000000"/>
                      <w:kern w:val="0"/>
                      <w:sz w:val="21"/>
                      <w:szCs w:val="21"/>
                    </w:rPr>
                    <w:t>本项目</w:t>
                  </w:r>
                  <w:r>
                    <w:rPr>
                      <w:rFonts w:hint="eastAsia" w:ascii="Times New Roman" w:hAnsi="Times New Roman" w:eastAsia="仿宋_GB2312" w:cs="Times New Roman"/>
                      <w:color w:val="000000"/>
                      <w:kern w:val="0"/>
                      <w:sz w:val="21"/>
                      <w:szCs w:val="21"/>
                      <w:lang w:val="en-US" w:eastAsia="zh-CN"/>
                    </w:rPr>
                    <w:t>依托现有员工，无</w:t>
                  </w:r>
                  <w:r>
                    <w:rPr>
                      <w:rFonts w:hint="eastAsia" w:ascii="Times New Roman" w:hAnsi="Times New Roman" w:eastAsia="仿宋_GB2312" w:cs="Times New Roman"/>
                      <w:color w:val="000000"/>
                      <w:kern w:val="0"/>
                      <w:sz w:val="21"/>
                      <w:szCs w:val="21"/>
                    </w:rPr>
                    <w:t>生活污水</w:t>
                  </w:r>
                  <w:r>
                    <w:rPr>
                      <w:rFonts w:hint="eastAsia" w:ascii="Times New Roman" w:hAnsi="Times New Roman" w:eastAsia="仿宋_GB2312" w:cs="Times New Roman"/>
                      <w:color w:val="000000"/>
                      <w:kern w:val="0"/>
                      <w:sz w:val="21"/>
                      <w:szCs w:val="21"/>
                      <w:lang w:val="en-US" w:eastAsia="zh-CN"/>
                    </w:rPr>
                    <w:t>产生排放，生产废水</w:t>
                  </w:r>
                  <w:r>
                    <w:rPr>
                      <w:rFonts w:hint="eastAsia" w:ascii="Times New Roman" w:hAnsi="Times New Roman" w:eastAsia="仿宋_GB2312" w:cs="Times New Roman"/>
                      <w:color w:val="000000"/>
                      <w:kern w:val="0"/>
                      <w:sz w:val="21"/>
                      <w:szCs w:val="21"/>
                    </w:rPr>
                    <w:t>经含盐废水专用管网打入反冲洗池后，通过回用管道回用至矿区采卤</w:t>
                  </w:r>
                  <w:r>
                    <w:rPr>
                      <w:rFonts w:hint="eastAsia" w:eastAsia="仿宋_GB2312"/>
                      <w:color w:val="000000"/>
                      <w:kern w:val="0"/>
                      <w:sz w:val="21"/>
                      <w:szCs w:val="21"/>
                    </w:rPr>
                    <w:t>，</w:t>
                  </w:r>
                  <w:r>
                    <w:rPr>
                      <w:rFonts w:hint="eastAsia" w:eastAsia="仿宋_GB2312"/>
                      <w:color w:val="000000"/>
                      <w:kern w:val="0"/>
                      <w:sz w:val="21"/>
                      <w:szCs w:val="21"/>
                      <w:lang w:val="en-US" w:eastAsia="zh-CN"/>
                    </w:rPr>
                    <w:t>不外排</w:t>
                  </w:r>
                  <w:r>
                    <w:rPr>
                      <w:rFonts w:hint="eastAsia" w:eastAsia="仿宋_GB2312"/>
                      <w:color w:val="000000"/>
                      <w:kern w:val="0"/>
                      <w:sz w:val="21"/>
                      <w:szCs w:val="21"/>
                    </w:rPr>
                    <w:t>。</w:t>
                  </w:r>
                </w:p>
              </w:tc>
            </w:tr>
          </w:tbl>
          <w:p w14:paraId="1BD706B9">
            <w:pPr>
              <w:autoSpaceDE w:val="0"/>
              <w:autoSpaceDN w:val="0"/>
              <w:adjustRightInd w:val="0"/>
              <w:snapToGrid w:val="0"/>
              <w:spacing w:line="360" w:lineRule="auto"/>
              <w:ind w:firstLine="422" w:firstLineChars="200"/>
              <w:jc w:val="center"/>
              <w:rPr>
                <w:rFonts w:eastAsia="仿宋_GB2312"/>
                <w:color w:val="000000"/>
                <w:kern w:val="0"/>
              </w:rPr>
            </w:pPr>
            <w:r>
              <w:rPr>
                <w:rFonts w:eastAsia="仿宋_GB2312"/>
                <w:b/>
                <w:bCs/>
                <w:color w:val="000000"/>
              </w:rPr>
              <w:t>表1-</w:t>
            </w:r>
            <w:r>
              <w:rPr>
                <w:rFonts w:hint="eastAsia" w:eastAsia="仿宋_GB2312"/>
                <w:b/>
                <w:bCs/>
                <w:color w:val="000000"/>
                <w:lang w:val="en-US" w:eastAsia="zh-CN"/>
              </w:rPr>
              <w:t xml:space="preserve">2  </w:t>
            </w:r>
            <w:r>
              <w:rPr>
                <w:rFonts w:eastAsia="仿宋_GB2312"/>
                <w:b/>
                <w:bCs/>
                <w:color w:val="000000"/>
              </w:rPr>
              <w:t>与规划环评</w:t>
            </w:r>
            <w:r>
              <w:rPr>
                <w:rFonts w:hint="eastAsia" w:eastAsia="仿宋_GB2312"/>
                <w:b/>
                <w:bCs/>
                <w:color w:val="000000"/>
                <w:lang w:val="en-US" w:eastAsia="zh-CN"/>
              </w:rPr>
              <w:t>项目准入清单</w:t>
            </w:r>
            <w:r>
              <w:rPr>
                <w:rFonts w:eastAsia="仿宋_GB2312"/>
                <w:b/>
                <w:bCs/>
                <w:color w:val="000000"/>
              </w:rPr>
              <w:t>相符性分析</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8"/>
              <w:gridCol w:w="3837"/>
              <w:gridCol w:w="1946"/>
              <w:gridCol w:w="854"/>
            </w:tblGrid>
            <w:tr w14:paraId="344D16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2" w:type="pct"/>
                  <w:tcBorders>
                    <w:tl2br w:val="nil"/>
                    <w:tr2bl w:val="nil"/>
                  </w:tcBorders>
                  <w:vAlign w:val="center"/>
                </w:tcPr>
                <w:p w14:paraId="5862FDA3">
                  <w:pPr>
                    <w:autoSpaceDE w:val="0"/>
                    <w:autoSpaceDN w:val="0"/>
                    <w:adjustRightInd w:val="0"/>
                    <w:snapToGrid w:val="0"/>
                    <w:jc w:val="center"/>
                    <w:rPr>
                      <w:rFonts w:hint="default" w:ascii="Times New Roman" w:hAnsi="Times New Roman" w:eastAsia="仿宋_GB2312" w:cs="Times New Roman"/>
                      <w:b/>
                      <w:bCs/>
                      <w:color w:val="000000"/>
                      <w:kern w:val="0"/>
                      <w:sz w:val="21"/>
                      <w:szCs w:val="21"/>
                    </w:rPr>
                  </w:pPr>
                  <w:r>
                    <w:rPr>
                      <w:rFonts w:hint="default" w:ascii="Times New Roman" w:hAnsi="Times New Roman" w:eastAsia="仿宋_GB2312" w:cs="Times New Roman"/>
                      <w:b/>
                      <w:bCs/>
                      <w:color w:val="000000"/>
                      <w:kern w:val="0"/>
                      <w:sz w:val="21"/>
                      <w:szCs w:val="21"/>
                    </w:rPr>
                    <w:t>开发区</w:t>
                  </w:r>
                </w:p>
              </w:tc>
              <w:tc>
                <w:tcPr>
                  <w:tcW w:w="2559" w:type="pct"/>
                  <w:tcBorders>
                    <w:tl2br w:val="nil"/>
                    <w:tr2bl w:val="nil"/>
                  </w:tcBorders>
                  <w:vAlign w:val="center"/>
                </w:tcPr>
                <w:p w14:paraId="7473B0DC">
                  <w:pPr>
                    <w:autoSpaceDE w:val="0"/>
                    <w:autoSpaceDN w:val="0"/>
                    <w:adjustRightInd w:val="0"/>
                    <w:snapToGrid w:val="0"/>
                    <w:jc w:val="center"/>
                    <w:rPr>
                      <w:rFonts w:hint="default" w:ascii="Times New Roman" w:hAnsi="Times New Roman" w:eastAsia="仿宋_GB2312" w:cs="Times New Roman"/>
                      <w:b/>
                      <w:bCs/>
                      <w:color w:val="000000"/>
                      <w:kern w:val="0"/>
                      <w:sz w:val="21"/>
                      <w:szCs w:val="21"/>
                    </w:rPr>
                  </w:pPr>
                  <w:r>
                    <w:rPr>
                      <w:rFonts w:hint="default" w:ascii="Times New Roman" w:hAnsi="Times New Roman" w:eastAsia="仿宋_GB2312" w:cs="Times New Roman"/>
                      <w:b/>
                      <w:bCs/>
                      <w:color w:val="000000"/>
                      <w:kern w:val="0"/>
                      <w:sz w:val="21"/>
                      <w:szCs w:val="21"/>
                    </w:rPr>
                    <w:t>管控要求</w:t>
                  </w:r>
                </w:p>
              </w:tc>
              <w:tc>
                <w:tcPr>
                  <w:tcW w:w="1298" w:type="pct"/>
                  <w:tcBorders>
                    <w:tl2br w:val="nil"/>
                    <w:tr2bl w:val="nil"/>
                  </w:tcBorders>
                  <w:vAlign w:val="center"/>
                </w:tcPr>
                <w:p w14:paraId="6B67230A">
                  <w:pPr>
                    <w:autoSpaceDE w:val="0"/>
                    <w:autoSpaceDN w:val="0"/>
                    <w:adjustRightInd w:val="0"/>
                    <w:snapToGrid w:val="0"/>
                    <w:jc w:val="center"/>
                    <w:rPr>
                      <w:rFonts w:hint="default" w:ascii="Times New Roman" w:hAnsi="Times New Roman" w:eastAsia="仿宋_GB2312" w:cs="Times New Roman"/>
                      <w:b/>
                      <w:bCs/>
                      <w:color w:val="000000"/>
                      <w:kern w:val="0"/>
                      <w:sz w:val="21"/>
                      <w:szCs w:val="21"/>
                    </w:rPr>
                  </w:pPr>
                  <w:r>
                    <w:rPr>
                      <w:rFonts w:hint="default" w:ascii="Times New Roman" w:hAnsi="Times New Roman" w:eastAsia="仿宋_GB2312" w:cs="Times New Roman"/>
                      <w:b/>
                      <w:bCs/>
                      <w:color w:val="000000"/>
                      <w:kern w:val="0"/>
                      <w:sz w:val="21"/>
                      <w:szCs w:val="21"/>
                    </w:rPr>
                    <w:t>本项目情况</w:t>
                  </w:r>
                </w:p>
              </w:tc>
              <w:tc>
                <w:tcPr>
                  <w:tcW w:w="569" w:type="pct"/>
                  <w:tcBorders>
                    <w:tl2br w:val="nil"/>
                    <w:tr2bl w:val="nil"/>
                  </w:tcBorders>
                  <w:vAlign w:val="center"/>
                </w:tcPr>
                <w:p w14:paraId="5535F056">
                  <w:pPr>
                    <w:autoSpaceDE w:val="0"/>
                    <w:autoSpaceDN w:val="0"/>
                    <w:adjustRightInd w:val="0"/>
                    <w:snapToGrid w:val="0"/>
                    <w:jc w:val="center"/>
                    <w:rPr>
                      <w:rFonts w:hint="default" w:ascii="Times New Roman" w:hAnsi="Times New Roman" w:eastAsia="仿宋_GB2312" w:cs="Times New Roman"/>
                      <w:b/>
                      <w:bCs/>
                      <w:color w:val="000000"/>
                      <w:kern w:val="0"/>
                      <w:sz w:val="21"/>
                      <w:szCs w:val="21"/>
                    </w:rPr>
                  </w:pPr>
                  <w:r>
                    <w:rPr>
                      <w:rFonts w:hint="default" w:ascii="Times New Roman" w:hAnsi="Times New Roman" w:eastAsia="仿宋_GB2312" w:cs="Times New Roman"/>
                      <w:b/>
                      <w:bCs/>
                      <w:color w:val="000000"/>
                      <w:kern w:val="0"/>
                      <w:sz w:val="21"/>
                      <w:szCs w:val="21"/>
                    </w:rPr>
                    <w:t>相符性</w:t>
                  </w:r>
                </w:p>
              </w:tc>
            </w:tr>
            <w:tr w14:paraId="720F93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2" w:type="pct"/>
                  <w:tcBorders>
                    <w:tl2br w:val="nil"/>
                    <w:tr2bl w:val="nil"/>
                  </w:tcBorders>
                  <w:vAlign w:val="center"/>
                </w:tcPr>
                <w:p w14:paraId="61C014E8">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rFonts w:hint="default" w:ascii="Times New Roman" w:hAnsi="Times New Roman" w:eastAsia="仿宋_GB2312" w:cs="Times New Roman"/>
                      <w:color w:val="000000"/>
                      <w:kern w:val="2"/>
                      <w:sz w:val="21"/>
                      <w:szCs w:val="21"/>
                      <w:lang w:val="en-US" w:eastAsia="zh-CN" w:bidi="ar-SA"/>
                    </w:rPr>
                  </w:pPr>
                  <w:r>
                    <w:rPr>
                      <w:rFonts w:hint="default" w:ascii="Times New Roman" w:hAnsi="Times New Roman" w:eastAsia="仿宋_GB2312" w:cs="Times New Roman"/>
                      <w:color w:val="000000"/>
                      <w:kern w:val="2"/>
                      <w:sz w:val="21"/>
                      <w:szCs w:val="21"/>
                      <w:lang w:val="en-US" w:eastAsia="zh-CN" w:bidi="ar-SA"/>
                    </w:rPr>
                    <w:t>环境</w:t>
                  </w:r>
                </w:p>
                <w:p w14:paraId="495D134E">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rFonts w:hint="default" w:ascii="Times New Roman" w:hAnsi="Times New Roman" w:eastAsia="仿宋_GB2312" w:cs="Times New Roman"/>
                      <w:color w:val="000000"/>
                      <w:kern w:val="2"/>
                      <w:sz w:val="21"/>
                      <w:szCs w:val="21"/>
                      <w:lang w:val="en-US" w:eastAsia="zh-CN" w:bidi="ar-SA"/>
                    </w:rPr>
                  </w:pPr>
                  <w:r>
                    <w:rPr>
                      <w:rFonts w:hint="default" w:ascii="Times New Roman" w:hAnsi="Times New Roman" w:eastAsia="仿宋_GB2312" w:cs="Times New Roman"/>
                      <w:color w:val="000000"/>
                      <w:kern w:val="2"/>
                      <w:sz w:val="21"/>
                      <w:szCs w:val="21"/>
                      <w:lang w:val="en-US" w:eastAsia="zh-CN" w:bidi="ar-SA"/>
                    </w:rPr>
                    <w:t>准入</w:t>
                  </w:r>
                </w:p>
              </w:tc>
              <w:tc>
                <w:tcPr>
                  <w:tcW w:w="2559" w:type="pct"/>
                  <w:tcBorders>
                    <w:tl2br w:val="nil"/>
                    <w:tr2bl w:val="nil"/>
                  </w:tcBorders>
                  <w:vAlign w:val="center"/>
                </w:tcPr>
                <w:p w14:paraId="45BBD01E">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both"/>
                    <w:rPr>
                      <w:rFonts w:hint="default" w:ascii="Times New Roman" w:hAnsi="Times New Roman" w:eastAsia="仿宋_GB2312" w:cs="Times New Roman"/>
                      <w:color w:val="000000"/>
                      <w:kern w:val="2"/>
                      <w:sz w:val="21"/>
                      <w:szCs w:val="21"/>
                      <w:lang w:val="en-US" w:eastAsia="zh-CN" w:bidi="ar-SA"/>
                    </w:rPr>
                  </w:pPr>
                  <w:r>
                    <w:rPr>
                      <w:rFonts w:hint="default" w:ascii="Times New Roman" w:hAnsi="Times New Roman" w:eastAsia="仿宋_GB2312" w:cs="Times New Roman"/>
                      <w:color w:val="000000"/>
                      <w:kern w:val="2"/>
                      <w:sz w:val="21"/>
                      <w:szCs w:val="21"/>
                      <w:lang w:val="en-US" w:eastAsia="zh-CN" w:bidi="ar-SA"/>
                    </w:rPr>
                    <w:t>入区项目必须与国家、江苏省及常州市、金坛市产业政策相符，必须与开发的产业导向相符。优先引进国家《产业结构调整目录》鼓励类项目，禁止引进限制类、淘汰类项目。属于《产业结构调整指导目录（2011年本）》(2013年修正，中华人民共和国国家发展和改革委员会令 2013第21号)、《外商投资产业指导目录(2011年修订)》、及《江苏省工业和信息产业结构调整指导目录(2012年本)》及《关于修改&lt;江苏省工业和信息产业结构调整指导目录(2012年本)&gt;部分条目的通知》鼓励类且符合开发区产业规划的项目。</w:t>
                  </w:r>
                </w:p>
                <w:p w14:paraId="220288DF">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both"/>
                    <w:rPr>
                      <w:rFonts w:hint="default" w:ascii="Times New Roman" w:hAnsi="Times New Roman" w:eastAsia="仿宋_GB2312" w:cs="Times New Roman"/>
                      <w:color w:val="000000"/>
                      <w:kern w:val="2"/>
                      <w:sz w:val="21"/>
                      <w:szCs w:val="21"/>
                      <w:lang w:val="en-US" w:eastAsia="zh-CN" w:bidi="ar-SA"/>
                    </w:rPr>
                  </w:pPr>
                  <w:r>
                    <w:rPr>
                      <w:rFonts w:hint="default" w:ascii="Times New Roman" w:hAnsi="Times New Roman" w:eastAsia="仿宋_GB2312" w:cs="Times New Roman"/>
                      <w:color w:val="000000"/>
                      <w:kern w:val="2"/>
                      <w:sz w:val="21"/>
                      <w:szCs w:val="21"/>
                      <w:lang w:val="en-US" w:eastAsia="zh-CN" w:bidi="ar-SA"/>
                    </w:rPr>
                    <w:t>（1）进区项目应是科技含量高、产品附加值高、无污染或者污染很轻的项目，其生产工艺、设备和环保设施应达到同类国际先进水平，至少是国内先进水平；</w:t>
                  </w:r>
                </w:p>
                <w:p w14:paraId="5ADC7185">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both"/>
                    <w:rPr>
                      <w:rFonts w:hint="default" w:ascii="Times New Roman" w:hAnsi="Times New Roman" w:eastAsia="仿宋_GB2312" w:cs="Times New Roman"/>
                      <w:color w:val="000000"/>
                      <w:kern w:val="2"/>
                      <w:sz w:val="21"/>
                      <w:szCs w:val="21"/>
                      <w:lang w:val="en-US" w:eastAsia="zh-CN" w:bidi="ar-SA"/>
                    </w:rPr>
                  </w:pPr>
                  <w:r>
                    <w:rPr>
                      <w:rFonts w:hint="default" w:ascii="Times New Roman" w:hAnsi="Times New Roman" w:eastAsia="仿宋_GB2312" w:cs="Times New Roman"/>
                      <w:color w:val="000000"/>
                      <w:kern w:val="2"/>
                      <w:sz w:val="21"/>
                      <w:szCs w:val="21"/>
                      <w:lang w:val="en-US" w:eastAsia="zh-CN" w:bidi="ar-SA"/>
                    </w:rPr>
                    <w:t>（2）废水经预处理可达到开发区污水处理厂的接管标准，并确保不影响污水处理厂的处理效果，“三废”排放能实现稳定达标排放；</w:t>
                  </w:r>
                </w:p>
                <w:p w14:paraId="327B7331">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both"/>
                    <w:rPr>
                      <w:rFonts w:hint="default" w:ascii="Times New Roman" w:hAnsi="Times New Roman" w:eastAsia="仿宋_GB2312" w:cs="Times New Roman"/>
                      <w:color w:val="000000"/>
                      <w:kern w:val="2"/>
                      <w:sz w:val="21"/>
                      <w:szCs w:val="21"/>
                      <w:lang w:val="en-US" w:eastAsia="zh-CN" w:bidi="ar-SA"/>
                    </w:rPr>
                  </w:pPr>
                  <w:r>
                    <w:rPr>
                      <w:rFonts w:hint="default" w:ascii="Times New Roman" w:hAnsi="Times New Roman" w:eastAsia="仿宋_GB2312" w:cs="Times New Roman"/>
                      <w:color w:val="000000"/>
                      <w:kern w:val="2"/>
                      <w:sz w:val="21"/>
                      <w:szCs w:val="21"/>
                      <w:lang w:val="en-US" w:eastAsia="zh-CN" w:bidi="ar-SA"/>
                    </w:rPr>
                    <w:t>（3）采用有效的回收、回用技术，包括余热利用、物料回收套用、各类废水回用等。</w:t>
                  </w:r>
                </w:p>
              </w:tc>
              <w:tc>
                <w:tcPr>
                  <w:tcW w:w="1298" w:type="pct"/>
                  <w:tcBorders>
                    <w:tl2br w:val="nil"/>
                    <w:tr2bl w:val="nil"/>
                  </w:tcBorders>
                  <w:vAlign w:val="center"/>
                </w:tcPr>
                <w:p w14:paraId="5B8E023B">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both"/>
                    <w:rPr>
                      <w:rFonts w:hint="default" w:ascii="Times New Roman" w:hAnsi="Times New Roman" w:eastAsia="仿宋_GB2312" w:cs="Times New Roman"/>
                      <w:color w:val="000000"/>
                      <w:kern w:val="2"/>
                      <w:sz w:val="21"/>
                      <w:szCs w:val="21"/>
                      <w:lang w:val="en-US" w:eastAsia="zh-CN" w:bidi="ar-SA"/>
                    </w:rPr>
                  </w:pPr>
                  <w:r>
                    <w:rPr>
                      <w:rFonts w:hint="default" w:ascii="Times New Roman" w:hAnsi="Times New Roman" w:eastAsia="仿宋_GB2312" w:cs="Times New Roman"/>
                      <w:color w:val="000000"/>
                      <w:kern w:val="2"/>
                      <w:sz w:val="21"/>
                      <w:szCs w:val="21"/>
                      <w:lang w:val="en-US" w:eastAsia="zh-CN" w:bidi="ar-SA"/>
                    </w:rPr>
                    <w:t>本项目</w:t>
                  </w:r>
                  <w:r>
                    <w:rPr>
                      <w:rFonts w:hint="eastAsia" w:ascii="Times New Roman" w:hAnsi="Times New Roman" w:eastAsia="仿宋_GB2312" w:cs="Times New Roman"/>
                      <w:color w:val="000000"/>
                      <w:kern w:val="2"/>
                      <w:sz w:val="21"/>
                      <w:szCs w:val="21"/>
                      <w:lang w:val="en-US" w:eastAsia="zh-CN" w:bidi="ar-SA"/>
                    </w:rPr>
                    <w:t>盐产品加工项目</w:t>
                  </w:r>
                  <w:r>
                    <w:rPr>
                      <w:rFonts w:hint="default" w:ascii="Times New Roman" w:hAnsi="Times New Roman" w:eastAsia="仿宋_GB2312" w:cs="Times New Roman"/>
                      <w:color w:val="000000"/>
                      <w:kern w:val="2"/>
                      <w:sz w:val="21"/>
                      <w:szCs w:val="21"/>
                      <w:lang w:val="en-US" w:eastAsia="zh-CN" w:bidi="ar-SA"/>
                    </w:rPr>
                    <w:t>，不属于淘汰、限制类项目，不属于本区域禁止引入产业。本项目生产废水</w:t>
                  </w:r>
                  <w:r>
                    <w:rPr>
                      <w:rFonts w:hint="eastAsia" w:ascii="Times New Roman" w:hAnsi="Times New Roman" w:eastAsia="仿宋_GB2312" w:cs="Times New Roman"/>
                      <w:color w:val="000000"/>
                      <w:kern w:val="2"/>
                      <w:sz w:val="21"/>
                      <w:szCs w:val="21"/>
                      <w:lang w:val="en-US" w:eastAsia="zh-CN" w:bidi="ar-SA"/>
                    </w:rPr>
                    <w:t>经含盐废水专用管网打入反冲洗池后，通过回用管道回用至矿区采卤</w:t>
                  </w:r>
                  <w:r>
                    <w:rPr>
                      <w:rFonts w:hint="default" w:ascii="Times New Roman" w:hAnsi="Times New Roman" w:eastAsia="仿宋_GB2312" w:cs="Times New Roman"/>
                      <w:color w:val="000000"/>
                      <w:kern w:val="2"/>
                      <w:sz w:val="21"/>
                      <w:szCs w:val="21"/>
                      <w:lang w:val="en-US" w:eastAsia="zh-CN" w:bidi="ar-SA"/>
                    </w:rPr>
                    <w:t>，</w:t>
                  </w:r>
                  <w:r>
                    <w:rPr>
                      <w:rFonts w:hint="eastAsia" w:ascii="Times New Roman" w:hAnsi="Times New Roman" w:eastAsia="仿宋_GB2312" w:cs="Times New Roman"/>
                      <w:color w:val="000000"/>
                      <w:kern w:val="2"/>
                      <w:sz w:val="21"/>
                      <w:szCs w:val="21"/>
                      <w:lang w:val="en-US" w:eastAsia="zh-CN" w:bidi="ar-SA"/>
                    </w:rPr>
                    <w:t>利用现有员工，无</w:t>
                  </w:r>
                  <w:r>
                    <w:rPr>
                      <w:rFonts w:hint="default" w:ascii="Times New Roman" w:hAnsi="Times New Roman" w:eastAsia="仿宋_GB2312" w:cs="Times New Roman"/>
                      <w:color w:val="000000"/>
                      <w:kern w:val="2"/>
                      <w:sz w:val="21"/>
                      <w:szCs w:val="21"/>
                      <w:lang w:val="en-US" w:eastAsia="zh-CN" w:bidi="ar-SA"/>
                    </w:rPr>
                    <w:t>生活污水</w:t>
                  </w:r>
                  <w:r>
                    <w:rPr>
                      <w:rFonts w:hint="eastAsia" w:ascii="Times New Roman" w:hAnsi="Times New Roman" w:eastAsia="仿宋_GB2312" w:cs="Times New Roman"/>
                      <w:color w:val="000000"/>
                      <w:kern w:val="2"/>
                      <w:sz w:val="21"/>
                      <w:szCs w:val="21"/>
                      <w:lang w:val="en-US" w:eastAsia="zh-CN" w:bidi="ar-SA"/>
                    </w:rPr>
                    <w:t>产生</w:t>
                  </w:r>
                  <w:r>
                    <w:rPr>
                      <w:rFonts w:hint="default" w:ascii="Times New Roman" w:hAnsi="Times New Roman" w:eastAsia="仿宋_GB2312" w:cs="Times New Roman"/>
                      <w:color w:val="000000"/>
                      <w:kern w:val="2"/>
                      <w:sz w:val="21"/>
                      <w:szCs w:val="21"/>
                      <w:lang w:val="en-US" w:eastAsia="zh-CN" w:bidi="ar-SA"/>
                    </w:rPr>
                    <w:t>；</w:t>
                  </w:r>
                  <w:r>
                    <w:rPr>
                      <w:rFonts w:hint="eastAsia" w:ascii="Times New Roman" w:hAnsi="Times New Roman" w:eastAsia="仿宋_GB2312" w:cs="Times New Roman"/>
                      <w:color w:val="000000"/>
                      <w:kern w:val="2"/>
                      <w:sz w:val="21"/>
                      <w:szCs w:val="21"/>
                      <w:lang w:val="en-US" w:eastAsia="zh-CN" w:bidi="ar-SA"/>
                    </w:rPr>
                    <w:t>平板膜过滤废气、盐酸储罐呼吸废气</w:t>
                  </w:r>
                  <w:r>
                    <w:rPr>
                      <w:rFonts w:hint="default" w:ascii="Times New Roman" w:hAnsi="Times New Roman" w:eastAsia="仿宋_GB2312" w:cs="Times New Roman"/>
                      <w:color w:val="000000"/>
                      <w:kern w:val="2"/>
                      <w:sz w:val="21"/>
                      <w:szCs w:val="21"/>
                      <w:lang w:val="en-US" w:eastAsia="zh-CN" w:bidi="ar-SA"/>
                    </w:rPr>
                    <w:t>经收集处理后</w:t>
                  </w:r>
                  <w:r>
                    <w:rPr>
                      <w:rFonts w:hint="eastAsia" w:ascii="Times New Roman" w:hAnsi="Times New Roman" w:eastAsia="仿宋_GB2312" w:cs="Times New Roman"/>
                      <w:color w:val="000000"/>
                      <w:kern w:val="2"/>
                      <w:sz w:val="21"/>
                      <w:szCs w:val="21"/>
                      <w:lang w:val="en-US" w:eastAsia="zh-CN" w:bidi="ar-SA"/>
                    </w:rPr>
                    <w:t>无</w:t>
                  </w:r>
                  <w:r>
                    <w:rPr>
                      <w:rFonts w:hint="default" w:ascii="Times New Roman" w:hAnsi="Times New Roman" w:eastAsia="仿宋_GB2312" w:cs="Times New Roman"/>
                      <w:color w:val="000000"/>
                      <w:kern w:val="2"/>
                      <w:sz w:val="21"/>
                      <w:szCs w:val="21"/>
                      <w:lang w:val="en-US" w:eastAsia="zh-CN" w:bidi="ar-SA"/>
                    </w:rPr>
                    <w:t>组织达标排放</w:t>
                  </w:r>
                  <w:r>
                    <w:rPr>
                      <w:rFonts w:hint="default" w:ascii="Times New Roman" w:hAnsi="Times New Roman" w:eastAsia="仿宋_GB2312" w:cs="Times New Roman"/>
                      <w:color w:val="auto"/>
                      <w:kern w:val="2"/>
                      <w:sz w:val="21"/>
                      <w:szCs w:val="21"/>
                      <w:lang w:val="en-US" w:eastAsia="zh-CN" w:bidi="ar-SA"/>
                    </w:rPr>
                    <w:t>；危</w:t>
                  </w:r>
                  <w:r>
                    <w:rPr>
                      <w:rFonts w:hint="default" w:ascii="Times New Roman" w:hAnsi="Times New Roman" w:eastAsia="仿宋_GB2312" w:cs="Times New Roman"/>
                      <w:color w:val="000000"/>
                      <w:kern w:val="2"/>
                      <w:sz w:val="21"/>
                      <w:szCs w:val="21"/>
                      <w:lang w:val="en-US" w:eastAsia="zh-CN" w:bidi="ar-SA"/>
                    </w:rPr>
                    <w:t>险废物委托有资质单位处置，生活垃圾环卫清运，各类固废均可落实处置途径，可做到安全处置零排放。</w:t>
                  </w:r>
                </w:p>
              </w:tc>
              <w:tc>
                <w:tcPr>
                  <w:tcW w:w="569" w:type="pct"/>
                  <w:tcBorders>
                    <w:tl2br w:val="nil"/>
                    <w:tr2bl w:val="nil"/>
                  </w:tcBorders>
                  <w:vAlign w:val="center"/>
                </w:tcPr>
                <w:p w14:paraId="36C17D33">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rFonts w:hint="default" w:ascii="Times New Roman" w:hAnsi="Times New Roman" w:eastAsia="仿宋_GB2312" w:cs="Times New Roman"/>
                      <w:color w:val="000000"/>
                      <w:kern w:val="2"/>
                      <w:sz w:val="21"/>
                      <w:szCs w:val="21"/>
                      <w:lang w:val="en-US" w:eastAsia="zh-CN" w:bidi="ar-SA"/>
                    </w:rPr>
                  </w:pPr>
                  <w:r>
                    <w:rPr>
                      <w:rFonts w:hint="default" w:ascii="Times New Roman" w:hAnsi="Times New Roman" w:eastAsia="仿宋_GB2312" w:cs="Times New Roman"/>
                      <w:color w:val="000000"/>
                      <w:kern w:val="2"/>
                      <w:sz w:val="21"/>
                      <w:szCs w:val="21"/>
                      <w:lang w:val="en-US" w:eastAsia="zh-CN" w:bidi="ar-SA"/>
                    </w:rPr>
                    <w:t>相符</w:t>
                  </w:r>
                </w:p>
              </w:tc>
            </w:tr>
            <w:tr w14:paraId="2031AF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2" w:type="pct"/>
                  <w:tcBorders>
                    <w:tl2br w:val="nil"/>
                    <w:tr2bl w:val="nil"/>
                  </w:tcBorders>
                  <w:vAlign w:val="center"/>
                </w:tcPr>
                <w:p w14:paraId="2A61ACD6">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rFonts w:hint="default" w:ascii="Times New Roman" w:hAnsi="Times New Roman" w:eastAsia="仿宋_GB2312" w:cs="Times New Roman"/>
                      <w:color w:val="000000"/>
                      <w:kern w:val="2"/>
                      <w:sz w:val="21"/>
                      <w:szCs w:val="21"/>
                      <w:lang w:val="en-US" w:eastAsia="zh-CN" w:bidi="ar-SA"/>
                    </w:rPr>
                  </w:pPr>
                  <w:r>
                    <w:rPr>
                      <w:rFonts w:hint="default" w:ascii="Times New Roman" w:hAnsi="Times New Roman" w:eastAsia="仿宋_GB2312" w:cs="Times New Roman"/>
                      <w:color w:val="000000"/>
                      <w:kern w:val="2"/>
                      <w:sz w:val="21"/>
                      <w:szCs w:val="21"/>
                      <w:lang w:val="en-US" w:eastAsia="zh-CN" w:bidi="ar-SA"/>
                    </w:rPr>
                    <w:t>环境</w:t>
                  </w:r>
                </w:p>
                <w:p w14:paraId="5066742D">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rFonts w:hint="default" w:ascii="Times New Roman" w:hAnsi="Times New Roman" w:eastAsia="仿宋_GB2312" w:cs="Times New Roman"/>
                      <w:color w:val="000000"/>
                      <w:kern w:val="2"/>
                      <w:sz w:val="21"/>
                      <w:szCs w:val="21"/>
                      <w:lang w:val="en-US" w:eastAsia="zh-CN" w:bidi="ar-SA"/>
                    </w:rPr>
                  </w:pPr>
                  <w:r>
                    <w:rPr>
                      <w:rFonts w:hint="default" w:ascii="Times New Roman" w:hAnsi="Times New Roman" w:eastAsia="仿宋_GB2312" w:cs="Times New Roman"/>
                      <w:color w:val="000000"/>
                      <w:kern w:val="2"/>
                      <w:sz w:val="21"/>
                      <w:szCs w:val="21"/>
                      <w:lang w:val="en-US" w:eastAsia="zh-CN" w:bidi="ar-SA"/>
                    </w:rPr>
                    <w:t>禁止</w:t>
                  </w:r>
                </w:p>
              </w:tc>
              <w:tc>
                <w:tcPr>
                  <w:tcW w:w="2559" w:type="pct"/>
                  <w:tcBorders>
                    <w:tl2br w:val="nil"/>
                    <w:tr2bl w:val="nil"/>
                  </w:tcBorders>
                  <w:vAlign w:val="center"/>
                </w:tcPr>
                <w:p w14:paraId="1AAD1BA4">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both"/>
                    <w:rPr>
                      <w:rFonts w:hint="default" w:ascii="Times New Roman" w:hAnsi="Times New Roman" w:eastAsia="仿宋_GB2312" w:cs="Times New Roman"/>
                      <w:color w:val="000000"/>
                      <w:kern w:val="2"/>
                      <w:sz w:val="21"/>
                      <w:szCs w:val="21"/>
                      <w:lang w:val="en-US" w:eastAsia="zh-CN" w:bidi="ar-SA"/>
                    </w:rPr>
                  </w:pPr>
                  <w:r>
                    <w:rPr>
                      <w:rFonts w:hint="default" w:ascii="Times New Roman" w:hAnsi="Times New Roman" w:eastAsia="仿宋_GB2312" w:cs="Times New Roman"/>
                      <w:color w:val="000000"/>
                      <w:kern w:val="2"/>
                      <w:sz w:val="21"/>
                      <w:szCs w:val="21"/>
                      <w:lang w:val="en-US" w:eastAsia="zh-CN" w:bidi="ar-SA"/>
                    </w:rPr>
                    <w:t>（1）严把环境禁止关，不符合开发区产业定位的项目禁止建设。</w:t>
                  </w:r>
                </w:p>
                <w:p w14:paraId="1EC513BE">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both"/>
                    <w:rPr>
                      <w:rFonts w:hint="default" w:ascii="Times New Roman" w:hAnsi="Times New Roman" w:eastAsia="仿宋_GB2312" w:cs="Times New Roman"/>
                      <w:color w:val="000000"/>
                      <w:kern w:val="2"/>
                      <w:sz w:val="21"/>
                      <w:szCs w:val="21"/>
                      <w:lang w:val="en-US" w:eastAsia="zh-CN" w:bidi="ar-SA"/>
                    </w:rPr>
                  </w:pPr>
                  <w:r>
                    <w:rPr>
                      <w:rFonts w:hint="default" w:ascii="Times New Roman" w:hAnsi="Times New Roman" w:eastAsia="仿宋_GB2312" w:cs="Times New Roman"/>
                      <w:color w:val="000000"/>
                      <w:kern w:val="2"/>
                      <w:sz w:val="21"/>
                      <w:szCs w:val="21"/>
                      <w:lang w:val="en-US" w:eastAsia="zh-CN" w:bidi="ar-SA"/>
                    </w:rPr>
                    <w:t>（2）凡是列入国家《产业结构调整指导目录(2011年本)》(2013年修正，中华人民共和国国家发展和改革委员会令 2013第21号)淘汰类的项目禁止建设，《外商投资产业指导目录(2011年修订)》禁止外商投资的产业项目禁止建设，违反国家规定，采用国家明令淘汰的落后工艺、技术和设备，不符合国家产业政策和环保政策的项目禁止建设。</w:t>
                  </w:r>
                </w:p>
                <w:p w14:paraId="044D11E5">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both"/>
                    <w:rPr>
                      <w:rFonts w:hint="default" w:ascii="Times New Roman" w:hAnsi="Times New Roman" w:eastAsia="仿宋_GB2312" w:cs="Times New Roman"/>
                      <w:color w:val="000000"/>
                      <w:kern w:val="2"/>
                      <w:sz w:val="21"/>
                      <w:szCs w:val="21"/>
                      <w:lang w:val="en-US" w:eastAsia="zh-CN" w:bidi="ar-SA"/>
                    </w:rPr>
                  </w:pPr>
                  <w:r>
                    <w:rPr>
                      <w:rFonts w:hint="default" w:ascii="Times New Roman" w:hAnsi="Times New Roman" w:eastAsia="仿宋_GB2312" w:cs="Times New Roman"/>
                      <w:color w:val="000000"/>
                      <w:kern w:val="2"/>
                      <w:sz w:val="21"/>
                      <w:szCs w:val="21"/>
                      <w:lang w:val="en-US" w:eastAsia="zh-CN" w:bidi="ar-SA"/>
                    </w:rPr>
                    <w:t>（3）未开展环境影响评价、未经环境保护行政主管部门批准的企业项目禁止建设。</w:t>
                  </w:r>
                </w:p>
                <w:p w14:paraId="605AF3E7">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both"/>
                    <w:rPr>
                      <w:rFonts w:hint="default" w:ascii="Times New Roman" w:hAnsi="Times New Roman" w:eastAsia="仿宋_GB2312" w:cs="Times New Roman"/>
                      <w:color w:val="000000"/>
                      <w:kern w:val="2"/>
                      <w:sz w:val="21"/>
                      <w:szCs w:val="21"/>
                      <w:lang w:val="en-US" w:eastAsia="zh-CN" w:bidi="ar-SA"/>
                    </w:rPr>
                  </w:pPr>
                  <w:r>
                    <w:rPr>
                      <w:rFonts w:hint="default" w:ascii="Times New Roman" w:hAnsi="Times New Roman" w:eastAsia="仿宋_GB2312" w:cs="Times New Roman"/>
                      <w:color w:val="000000"/>
                      <w:kern w:val="2"/>
                      <w:sz w:val="21"/>
                      <w:szCs w:val="21"/>
                      <w:lang w:val="en-US" w:eastAsia="zh-CN" w:bidi="ar-SA"/>
                    </w:rPr>
                    <w:t>（4）不符合《太湖流域管理条例》(中华人民共和国国务院令 第604号)、《江苏省太湖水污染防治条例》等相关太湖流域管理规定的项目禁止建设。禁止新建、改建、扩建化学制浆造纸、制革、酿造、染料、印染、电镀以及其他排放含磷、氮等污染物的企业和项目。</w:t>
                  </w:r>
                </w:p>
                <w:p w14:paraId="242B8BE3">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both"/>
                    <w:rPr>
                      <w:rFonts w:hint="default" w:ascii="Times New Roman" w:hAnsi="Times New Roman" w:eastAsia="仿宋_GB2312" w:cs="Times New Roman"/>
                      <w:color w:val="000000"/>
                      <w:kern w:val="2"/>
                      <w:sz w:val="21"/>
                      <w:szCs w:val="21"/>
                      <w:lang w:val="en-US" w:eastAsia="zh-CN" w:bidi="ar-SA"/>
                    </w:rPr>
                  </w:pPr>
                  <w:r>
                    <w:rPr>
                      <w:rFonts w:hint="default" w:ascii="Times New Roman" w:hAnsi="Times New Roman" w:eastAsia="仿宋_GB2312" w:cs="Times New Roman"/>
                      <w:color w:val="000000"/>
                      <w:kern w:val="2"/>
                      <w:sz w:val="21"/>
                      <w:szCs w:val="21"/>
                      <w:lang w:val="en-US" w:eastAsia="zh-CN" w:bidi="ar-SA"/>
                    </w:rPr>
                    <w:t>（5）改建、扩建和技术改造项目属于下列情况之一的禁止建设：①无法通过采取“以新带老”、“以大带小”的措施，实现增产不增污、削减污染负荷的建设项目；②不履行环保“三同时”的建设项目；③建设单位目前污染物排放超过标准或总量控制指标，需要配套的污染防治设施和生态保护措施未落实的建设项目。</w:t>
                  </w:r>
                </w:p>
                <w:p w14:paraId="0B4E5B5B">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both"/>
                    <w:rPr>
                      <w:rFonts w:hint="default" w:ascii="Times New Roman" w:hAnsi="Times New Roman" w:eastAsia="仿宋_GB2312" w:cs="Times New Roman"/>
                      <w:color w:val="000000"/>
                      <w:kern w:val="2"/>
                      <w:sz w:val="21"/>
                      <w:szCs w:val="21"/>
                      <w:lang w:val="en-US" w:eastAsia="zh-CN" w:bidi="ar-SA"/>
                    </w:rPr>
                  </w:pPr>
                  <w:r>
                    <w:rPr>
                      <w:rFonts w:hint="default" w:ascii="Times New Roman" w:hAnsi="Times New Roman" w:eastAsia="仿宋_GB2312" w:cs="Times New Roman"/>
                      <w:color w:val="000000"/>
                      <w:kern w:val="2"/>
                      <w:sz w:val="21"/>
                      <w:szCs w:val="21"/>
                      <w:lang w:val="en-US" w:eastAsia="zh-CN" w:bidi="ar-SA"/>
                    </w:rPr>
                    <w:t>（6）对于建设单位目前污染物排放超过相关环境标准或超过总量控制指标的企业，需要配套建设污染防治设施和生态保护措施，否则，将视为环境禁止项目。</w:t>
                  </w:r>
                </w:p>
              </w:tc>
              <w:tc>
                <w:tcPr>
                  <w:tcW w:w="1298" w:type="pct"/>
                  <w:tcBorders>
                    <w:tl2br w:val="nil"/>
                    <w:tr2bl w:val="nil"/>
                  </w:tcBorders>
                  <w:vAlign w:val="center"/>
                </w:tcPr>
                <w:p w14:paraId="23260B57">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both"/>
                    <w:rPr>
                      <w:rFonts w:hint="default" w:ascii="Times New Roman" w:hAnsi="Times New Roman" w:eastAsia="仿宋_GB2312" w:cs="Times New Roman"/>
                      <w:color w:val="000000"/>
                      <w:kern w:val="2"/>
                      <w:sz w:val="21"/>
                      <w:szCs w:val="21"/>
                      <w:lang w:val="en-US" w:eastAsia="zh-CN" w:bidi="ar-SA"/>
                    </w:rPr>
                  </w:pPr>
                  <w:r>
                    <w:rPr>
                      <w:rFonts w:hint="default" w:ascii="Times New Roman" w:hAnsi="Times New Roman" w:eastAsia="仿宋_GB2312" w:cs="Times New Roman"/>
                      <w:color w:val="000000"/>
                      <w:kern w:val="2"/>
                      <w:sz w:val="21"/>
                      <w:szCs w:val="21"/>
                      <w:lang w:val="en-US" w:eastAsia="zh-CN" w:bidi="ar-SA"/>
                    </w:rPr>
                    <w:t>（1）本项目与金坛经济开发区产业定位相符。</w:t>
                  </w:r>
                </w:p>
                <w:p w14:paraId="1BBFCD4E">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both"/>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000000"/>
                      <w:kern w:val="2"/>
                      <w:sz w:val="21"/>
                      <w:szCs w:val="21"/>
                      <w:lang w:val="en-US" w:eastAsia="zh-CN" w:bidi="ar-SA"/>
                    </w:rPr>
                    <w:t>（2）本项目不属于淘汰、限制类项目，</w:t>
                  </w:r>
                  <w:r>
                    <w:rPr>
                      <w:rFonts w:hint="default" w:ascii="Times New Roman" w:hAnsi="Times New Roman" w:eastAsia="仿宋_GB2312" w:cs="Times New Roman"/>
                      <w:color w:val="auto"/>
                      <w:kern w:val="2"/>
                      <w:sz w:val="21"/>
                      <w:szCs w:val="21"/>
                      <w:lang w:val="en-US" w:eastAsia="zh-CN" w:bidi="ar-SA"/>
                    </w:rPr>
                    <w:t>不属于本区域禁止引入产业。</w:t>
                  </w:r>
                </w:p>
                <w:p w14:paraId="6AE6646C">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both"/>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kern w:val="2"/>
                      <w:sz w:val="21"/>
                      <w:szCs w:val="21"/>
                      <w:lang w:val="en-US" w:eastAsia="zh-CN" w:bidi="ar-SA"/>
                    </w:rPr>
                    <w:t>（3）本项目暂未建设，目前正在开展环境影响评价。</w:t>
                  </w:r>
                </w:p>
                <w:p w14:paraId="71E4E998">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both"/>
                    <w:rPr>
                      <w:rFonts w:hint="default" w:ascii="Times New Roman" w:hAnsi="Times New Roman" w:eastAsia="仿宋_GB2312" w:cs="Times New Roman"/>
                      <w:color w:val="000000"/>
                      <w:kern w:val="2"/>
                      <w:sz w:val="21"/>
                      <w:szCs w:val="21"/>
                      <w:lang w:val="en-US" w:eastAsia="zh-CN" w:bidi="ar-SA"/>
                    </w:rPr>
                  </w:pPr>
                  <w:r>
                    <w:rPr>
                      <w:rFonts w:hint="default" w:ascii="Times New Roman" w:hAnsi="Times New Roman" w:eastAsia="仿宋_GB2312" w:cs="Times New Roman"/>
                      <w:color w:val="000000"/>
                      <w:kern w:val="2"/>
                      <w:sz w:val="21"/>
                      <w:szCs w:val="21"/>
                      <w:lang w:val="en-US" w:eastAsia="zh-CN" w:bidi="ar-SA"/>
                    </w:rPr>
                    <w:t>（4）本项目位于太湖流域三级保护区内，不在该条例规定的禁止建设项目之列，且不处于太湖河道岸线内及两侧1000米范围内。本项目</w:t>
                  </w:r>
                  <w:r>
                    <w:rPr>
                      <w:rFonts w:hint="eastAsia" w:ascii="Times New Roman" w:hAnsi="Times New Roman" w:eastAsia="仿宋_GB2312" w:cs="Times New Roman"/>
                      <w:color w:val="000000"/>
                      <w:kern w:val="2"/>
                      <w:sz w:val="21"/>
                      <w:szCs w:val="21"/>
                      <w:lang w:val="en-US" w:eastAsia="zh-CN" w:bidi="ar-SA"/>
                    </w:rPr>
                    <w:t>无废水排放</w:t>
                  </w:r>
                  <w:r>
                    <w:rPr>
                      <w:rFonts w:hint="default" w:ascii="Times New Roman" w:hAnsi="Times New Roman" w:eastAsia="仿宋_GB2312" w:cs="Times New Roman"/>
                      <w:color w:val="000000"/>
                      <w:kern w:val="2"/>
                      <w:sz w:val="21"/>
                      <w:szCs w:val="21"/>
                      <w:lang w:val="en-US" w:eastAsia="zh-CN" w:bidi="ar-SA"/>
                    </w:rPr>
                    <w:t>。</w:t>
                  </w:r>
                </w:p>
                <w:p w14:paraId="31557F90">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both"/>
                    <w:rPr>
                      <w:rFonts w:hint="default" w:ascii="Times New Roman" w:hAnsi="Times New Roman" w:eastAsia="仿宋_GB2312" w:cs="Times New Roman"/>
                      <w:color w:val="000000"/>
                      <w:kern w:val="2"/>
                      <w:sz w:val="21"/>
                      <w:szCs w:val="21"/>
                      <w:lang w:val="en-US" w:eastAsia="zh-CN" w:bidi="ar-SA"/>
                    </w:rPr>
                  </w:pPr>
                  <w:r>
                    <w:rPr>
                      <w:rFonts w:hint="default" w:ascii="Times New Roman" w:hAnsi="Times New Roman" w:eastAsia="仿宋_GB2312" w:cs="Times New Roman"/>
                      <w:color w:val="000000"/>
                      <w:kern w:val="2"/>
                      <w:sz w:val="21"/>
                      <w:szCs w:val="21"/>
                      <w:lang w:val="en-US" w:eastAsia="zh-CN" w:bidi="ar-SA"/>
                    </w:rPr>
                    <w:t>（5）本项目不存在改建、扩建和技术改造项目禁止建设情况。</w:t>
                  </w:r>
                </w:p>
                <w:p w14:paraId="0FDD5C82">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both"/>
                    <w:rPr>
                      <w:rFonts w:hint="default" w:ascii="Times New Roman" w:hAnsi="Times New Roman" w:eastAsia="仿宋_GB2312" w:cs="Times New Roman"/>
                      <w:color w:val="000000"/>
                      <w:kern w:val="2"/>
                      <w:sz w:val="21"/>
                      <w:szCs w:val="21"/>
                      <w:lang w:val="en-US" w:eastAsia="zh-CN" w:bidi="ar-SA"/>
                    </w:rPr>
                  </w:pPr>
                  <w:r>
                    <w:rPr>
                      <w:rFonts w:hint="default" w:ascii="Times New Roman" w:hAnsi="Times New Roman" w:eastAsia="仿宋_GB2312" w:cs="Times New Roman"/>
                      <w:color w:val="000000"/>
                      <w:kern w:val="2"/>
                      <w:sz w:val="21"/>
                      <w:szCs w:val="21"/>
                      <w:lang w:val="en-US" w:eastAsia="zh-CN" w:bidi="ar-SA"/>
                    </w:rPr>
                    <w:t>综上，本项目不属于金坛经济开发区环境禁止项目。</w:t>
                  </w:r>
                </w:p>
              </w:tc>
              <w:tc>
                <w:tcPr>
                  <w:tcW w:w="569" w:type="pct"/>
                  <w:tcBorders>
                    <w:tl2br w:val="nil"/>
                    <w:tr2bl w:val="nil"/>
                  </w:tcBorders>
                  <w:vAlign w:val="center"/>
                </w:tcPr>
                <w:p w14:paraId="4BDA1050">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rFonts w:hint="default" w:ascii="Times New Roman" w:hAnsi="Times New Roman" w:eastAsia="仿宋_GB2312" w:cs="Times New Roman"/>
                      <w:color w:val="000000"/>
                      <w:kern w:val="2"/>
                      <w:sz w:val="21"/>
                      <w:szCs w:val="21"/>
                      <w:lang w:val="en-US" w:eastAsia="zh-CN" w:bidi="ar-SA"/>
                    </w:rPr>
                  </w:pPr>
                  <w:r>
                    <w:rPr>
                      <w:rFonts w:hint="default" w:ascii="Times New Roman" w:hAnsi="Times New Roman" w:eastAsia="仿宋_GB2312" w:cs="Times New Roman"/>
                      <w:color w:val="000000"/>
                      <w:kern w:val="2"/>
                      <w:sz w:val="21"/>
                      <w:szCs w:val="21"/>
                      <w:lang w:val="en-US" w:eastAsia="zh-CN" w:bidi="ar-SA"/>
                    </w:rPr>
                    <w:t>相符</w:t>
                  </w:r>
                </w:p>
              </w:tc>
            </w:tr>
          </w:tbl>
          <w:p w14:paraId="4E2AA881">
            <w:pPr>
              <w:adjustRightInd w:val="0"/>
              <w:snapToGrid w:val="0"/>
              <w:spacing w:line="360" w:lineRule="auto"/>
              <w:ind w:firstLine="422" w:firstLineChars="200"/>
              <w:jc w:val="left"/>
              <w:rPr>
                <w:rFonts w:hint="eastAsia" w:eastAsia="仿宋_GB2312"/>
                <w:b/>
                <w:color w:val="000000"/>
                <w:kern w:val="0"/>
              </w:rPr>
            </w:pPr>
            <w:r>
              <w:rPr>
                <w:rFonts w:hint="eastAsia" w:eastAsia="仿宋_GB2312"/>
                <w:b/>
                <w:color w:val="000000"/>
                <w:kern w:val="0"/>
              </w:rPr>
              <w:t>3、与园区调整后的规划及规划环评对照分析</w:t>
            </w:r>
          </w:p>
          <w:p w14:paraId="090593FC">
            <w:pPr>
              <w:pStyle w:val="28"/>
              <w:keepNext w:val="0"/>
              <w:keepLines w:val="0"/>
              <w:pageBreakBefore w:val="0"/>
              <w:widowControl w:val="0"/>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eastAsia" w:ascii="Times New Roman" w:hAnsi="Times New Roman" w:eastAsia="仿宋_GB2312" w:cs="Times New Roman"/>
                <w:kern w:val="2"/>
                <w:sz w:val="21"/>
                <w:szCs w:val="21"/>
                <w:lang w:val="zh-CN" w:eastAsia="zh-CN" w:bidi="ar-SA"/>
              </w:rPr>
            </w:pPr>
            <w:r>
              <w:rPr>
                <w:rFonts w:hint="eastAsia" w:ascii="Times New Roman" w:hAnsi="Times New Roman" w:eastAsia="仿宋_GB2312" w:cs="Times New Roman"/>
                <w:kern w:val="2"/>
                <w:sz w:val="21"/>
                <w:szCs w:val="21"/>
                <w:lang w:val="zh-CN" w:eastAsia="zh-CN" w:bidi="ar-SA"/>
              </w:rPr>
              <w:t>园区经过多年的发展，原规划范围内的华罗庚科技产业园片区和新材料产业园片区（化工片区）实际已从园区管辖范畴脱离，走上了各自独立的发展道路，最新的《江苏金坛经济开发区开发建设规划（2023-2035）环境影响报告书》正在委托江苏龙环环境科技有限公司更新编制中。</w:t>
            </w:r>
          </w:p>
          <w:p w14:paraId="5CEE51E8">
            <w:pPr>
              <w:keepNext w:val="0"/>
              <w:keepLines w:val="0"/>
              <w:pageBreakBefore w:val="0"/>
              <w:widowControl/>
              <w:suppressLineNumbers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仿宋_GB2312" w:cs="Times New Roman"/>
                <w:kern w:val="2"/>
                <w:sz w:val="21"/>
                <w:szCs w:val="21"/>
                <w:lang w:val="zh-CN" w:eastAsia="zh-CN" w:bidi="ar-SA"/>
              </w:rPr>
            </w:pPr>
            <w:r>
              <w:rPr>
                <w:rFonts w:hint="default" w:ascii="Times New Roman" w:hAnsi="Times New Roman" w:eastAsia="仿宋_GB2312" w:cs="Times New Roman"/>
                <w:b/>
                <w:bCs/>
                <w:color w:val="000000"/>
                <w:sz w:val="21"/>
                <w:szCs w:val="21"/>
              </w:rPr>
              <w:t>规划范围：</w:t>
            </w:r>
            <w:r>
              <w:rPr>
                <w:rFonts w:hint="eastAsia" w:ascii="Times New Roman" w:hAnsi="Times New Roman" w:eastAsia="仿宋_GB2312" w:cs="Times New Roman"/>
                <w:kern w:val="2"/>
                <w:sz w:val="21"/>
                <w:szCs w:val="21"/>
                <w:lang w:val="en-US" w:eastAsia="zh-CN" w:bidi="ar-SA"/>
              </w:rPr>
              <w:t>东至银湖路、南至金坛大道</w:t>
            </w:r>
            <w:r>
              <w:rPr>
                <w:rFonts w:hint="default" w:ascii="Times New Roman" w:hAnsi="Times New Roman" w:eastAsia="仿宋_GB2312" w:cs="Times New Roman"/>
                <w:kern w:val="2"/>
                <w:sz w:val="21"/>
                <w:szCs w:val="21"/>
                <w:lang w:val="en-US" w:eastAsia="zh-CN" w:bidi="ar-SA"/>
              </w:rPr>
              <w:t>—</w:t>
            </w:r>
            <w:r>
              <w:rPr>
                <w:rFonts w:hint="eastAsia" w:ascii="Times New Roman" w:hAnsi="Times New Roman" w:eastAsia="仿宋_GB2312" w:cs="Times New Roman"/>
                <w:kern w:val="2"/>
                <w:sz w:val="21"/>
                <w:szCs w:val="21"/>
                <w:lang w:val="en-US" w:eastAsia="zh-CN" w:bidi="ar-SA"/>
              </w:rPr>
              <w:t>鑫城大道</w:t>
            </w:r>
            <w:r>
              <w:rPr>
                <w:rFonts w:hint="default" w:ascii="Times New Roman" w:hAnsi="Times New Roman" w:eastAsia="仿宋_GB2312" w:cs="Times New Roman"/>
                <w:kern w:val="2"/>
                <w:sz w:val="21"/>
                <w:szCs w:val="21"/>
                <w:lang w:val="en-US" w:eastAsia="zh-CN" w:bidi="ar-SA"/>
              </w:rPr>
              <w:t>—</w:t>
            </w:r>
            <w:r>
              <w:rPr>
                <w:rFonts w:hint="eastAsia" w:ascii="Times New Roman" w:hAnsi="Times New Roman" w:eastAsia="仿宋_GB2312" w:cs="Times New Roman"/>
                <w:kern w:val="2"/>
                <w:sz w:val="21"/>
                <w:szCs w:val="21"/>
                <w:lang w:val="en-US" w:eastAsia="zh-CN" w:bidi="ar-SA"/>
              </w:rPr>
              <w:t xml:space="preserve">华城路，西至丹金溧漕河，北至华洲路—通闸路—金湖北路—金城大道，总用地面积 </w:t>
            </w:r>
            <w:r>
              <w:rPr>
                <w:rFonts w:hint="default" w:ascii="Times New Roman" w:hAnsi="Times New Roman" w:eastAsia="仿宋_GB2312" w:cs="Times New Roman"/>
                <w:kern w:val="2"/>
                <w:sz w:val="21"/>
                <w:szCs w:val="21"/>
                <w:lang w:val="en-US" w:eastAsia="zh-CN" w:bidi="ar-SA"/>
              </w:rPr>
              <w:t>37.81km</w:t>
            </w:r>
            <w:r>
              <w:rPr>
                <w:rFonts w:hint="default" w:ascii="Times New Roman" w:hAnsi="Times New Roman" w:eastAsia="仿宋_GB2312" w:cs="Times New Roman"/>
                <w:kern w:val="2"/>
                <w:sz w:val="21"/>
                <w:szCs w:val="21"/>
                <w:vertAlign w:val="superscript"/>
                <w:lang w:val="en-US" w:eastAsia="zh-CN" w:bidi="ar-SA"/>
              </w:rPr>
              <w:t>2</w:t>
            </w:r>
            <w:r>
              <w:rPr>
                <w:rFonts w:hint="default" w:ascii="Times New Roman" w:hAnsi="Times New Roman" w:eastAsia="仿宋_GB2312" w:cs="Times New Roman"/>
                <w:kern w:val="2"/>
                <w:sz w:val="21"/>
                <w:szCs w:val="21"/>
                <w:lang w:val="zh-CN" w:eastAsia="zh-CN" w:bidi="ar-SA"/>
              </w:rPr>
              <w:t>。</w:t>
            </w:r>
          </w:p>
          <w:p w14:paraId="6AB1AF95">
            <w:pPr>
              <w:keepNext w:val="0"/>
              <w:keepLines w:val="0"/>
              <w:pageBreakBefore w:val="0"/>
              <w:widowControl/>
              <w:suppressLineNumbers w:val="0"/>
              <w:kinsoku/>
              <w:wordWrap/>
              <w:overflowPunct/>
              <w:topLinePunct w:val="0"/>
              <w:autoSpaceDE/>
              <w:autoSpaceDN/>
              <w:bidi w:val="0"/>
              <w:adjustRightInd/>
              <w:snapToGrid/>
              <w:spacing w:line="360" w:lineRule="auto"/>
              <w:ind w:firstLine="422" w:firstLineChars="200"/>
              <w:jc w:val="both"/>
              <w:textAlignment w:val="auto"/>
              <w:rPr>
                <w:rFonts w:hint="default" w:ascii="Times New Roman" w:hAnsi="Times New Roman" w:eastAsia="仿宋_GB2312" w:cs="Times New Roman"/>
                <w:color w:val="000000"/>
                <w:kern w:val="0"/>
                <w:sz w:val="21"/>
                <w:szCs w:val="21"/>
                <w:lang w:val="en-US" w:eastAsia="zh-CN" w:bidi="ar-SA"/>
              </w:rPr>
            </w:pPr>
            <w:r>
              <w:rPr>
                <w:rFonts w:hint="eastAsia" w:ascii="Times New Roman" w:hAnsi="Times New Roman" w:eastAsia="仿宋_GB2312" w:cs="Times New Roman"/>
                <w:b/>
                <w:bCs/>
                <w:color w:val="000000"/>
                <w:kern w:val="0"/>
                <w:sz w:val="21"/>
                <w:szCs w:val="21"/>
                <w:lang w:val="en-US" w:eastAsia="zh-CN" w:bidi="ar-SA"/>
              </w:rPr>
              <w:t>功能布局：</w:t>
            </w:r>
            <w:r>
              <w:rPr>
                <w:rFonts w:hint="eastAsia" w:ascii="Times New Roman" w:hAnsi="Times New Roman" w:eastAsia="仿宋_GB2312" w:cs="Times New Roman"/>
                <w:color w:val="000000"/>
                <w:kern w:val="0"/>
                <w:sz w:val="21"/>
                <w:szCs w:val="21"/>
                <w:lang w:val="en-US" w:eastAsia="zh-CN" w:bidi="ar-SA"/>
              </w:rPr>
              <w:t>金坛经济开发区总体形成</w:t>
            </w:r>
            <w:r>
              <w:rPr>
                <w:rFonts w:hint="default" w:ascii="Times New Roman" w:hAnsi="Times New Roman" w:eastAsia="仿宋_GB2312" w:cs="Times New Roman"/>
                <w:color w:val="000000"/>
                <w:kern w:val="0"/>
                <w:sz w:val="21"/>
                <w:szCs w:val="21"/>
                <w:lang w:val="en-US" w:eastAsia="zh-CN" w:bidi="ar-SA"/>
              </w:rPr>
              <w:t>“</w:t>
            </w:r>
            <w:r>
              <w:rPr>
                <w:rFonts w:hint="eastAsia" w:ascii="Times New Roman" w:hAnsi="Times New Roman" w:eastAsia="仿宋_GB2312" w:cs="Times New Roman"/>
                <w:color w:val="000000"/>
                <w:kern w:val="0"/>
                <w:sz w:val="21"/>
                <w:szCs w:val="21"/>
                <w:lang w:val="en-US" w:eastAsia="zh-CN" w:bidi="ar-SA"/>
              </w:rPr>
              <w:t>一轴两带两心两片多节点</w:t>
            </w:r>
            <w:r>
              <w:rPr>
                <w:rFonts w:hint="default" w:ascii="Times New Roman" w:hAnsi="Times New Roman" w:eastAsia="仿宋_GB2312" w:cs="Times New Roman"/>
                <w:color w:val="000000"/>
                <w:kern w:val="0"/>
                <w:sz w:val="21"/>
                <w:szCs w:val="21"/>
                <w:lang w:val="en-US" w:eastAsia="zh-CN" w:bidi="ar-SA"/>
              </w:rPr>
              <w:t>”</w:t>
            </w:r>
            <w:r>
              <w:rPr>
                <w:rFonts w:hint="eastAsia" w:ascii="Times New Roman" w:hAnsi="Times New Roman" w:eastAsia="仿宋_GB2312" w:cs="Times New Roman"/>
                <w:color w:val="000000"/>
                <w:kern w:val="0"/>
                <w:sz w:val="21"/>
                <w:szCs w:val="21"/>
                <w:lang w:val="en-US" w:eastAsia="zh-CN" w:bidi="ar-SA"/>
              </w:rPr>
              <w:t>的规划空间结构。</w:t>
            </w:r>
          </w:p>
          <w:p w14:paraId="63FB16EC">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仿宋_GB2312" w:cs="Times New Roman"/>
                <w:color w:val="000000"/>
                <w:kern w:val="0"/>
                <w:sz w:val="21"/>
                <w:szCs w:val="21"/>
                <w:lang w:val="en-US" w:eastAsia="zh-CN" w:bidi="ar-SA"/>
              </w:rPr>
            </w:pPr>
            <w:r>
              <w:rPr>
                <w:rFonts w:hint="default" w:ascii="Times New Roman" w:hAnsi="Times New Roman" w:eastAsia="仿宋_GB2312" w:cs="Times New Roman"/>
                <w:color w:val="000000"/>
                <w:kern w:val="0"/>
                <w:sz w:val="21"/>
                <w:szCs w:val="21"/>
                <w:lang w:val="en-US" w:eastAsia="zh-CN" w:bidi="ar-SA"/>
              </w:rPr>
              <w:t>“</w:t>
            </w:r>
            <w:r>
              <w:rPr>
                <w:rFonts w:hint="eastAsia" w:ascii="Times New Roman" w:hAnsi="Times New Roman" w:eastAsia="仿宋_GB2312" w:cs="Times New Roman"/>
                <w:color w:val="000000"/>
                <w:kern w:val="0"/>
                <w:sz w:val="21"/>
                <w:szCs w:val="21"/>
                <w:lang w:val="en-US" w:eastAsia="zh-CN" w:bidi="ar-SA"/>
              </w:rPr>
              <w:t>一轴</w:t>
            </w:r>
            <w:r>
              <w:rPr>
                <w:rFonts w:hint="default" w:ascii="Times New Roman" w:hAnsi="Times New Roman" w:eastAsia="仿宋_GB2312" w:cs="Times New Roman"/>
                <w:color w:val="000000"/>
                <w:kern w:val="0"/>
                <w:sz w:val="21"/>
                <w:szCs w:val="21"/>
                <w:lang w:val="en-US" w:eastAsia="zh-CN" w:bidi="ar-SA"/>
              </w:rPr>
              <w:t>”</w:t>
            </w:r>
            <w:r>
              <w:rPr>
                <w:rFonts w:hint="eastAsia" w:ascii="Times New Roman" w:hAnsi="Times New Roman" w:eastAsia="仿宋_GB2312" w:cs="Times New Roman"/>
                <w:color w:val="000000"/>
                <w:kern w:val="0"/>
                <w:sz w:val="21"/>
                <w:szCs w:val="21"/>
                <w:lang w:val="en-US" w:eastAsia="zh-CN" w:bidi="ar-SA"/>
              </w:rPr>
              <w:t xml:space="preserve">：复兴路，链接核心区域金科园重要的交通廊道和产业功能集聚轴线。 </w:t>
            </w:r>
          </w:p>
          <w:p w14:paraId="619B8CFE">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仿宋_GB2312" w:cs="Times New Roman"/>
                <w:color w:val="000000"/>
                <w:kern w:val="0"/>
                <w:sz w:val="21"/>
                <w:szCs w:val="21"/>
                <w:lang w:val="en-US" w:eastAsia="zh-CN" w:bidi="ar-SA"/>
              </w:rPr>
            </w:pPr>
            <w:r>
              <w:rPr>
                <w:rFonts w:hint="default" w:ascii="Times New Roman" w:hAnsi="Times New Roman" w:eastAsia="仿宋_GB2312" w:cs="Times New Roman"/>
                <w:color w:val="000000"/>
                <w:kern w:val="0"/>
                <w:sz w:val="21"/>
                <w:szCs w:val="21"/>
                <w:lang w:val="en-US" w:eastAsia="zh-CN" w:bidi="ar-SA"/>
              </w:rPr>
              <w:t>“</w:t>
            </w:r>
            <w:r>
              <w:rPr>
                <w:rFonts w:hint="eastAsia" w:ascii="Times New Roman" w:hAnsi="Times New Roman" w:eastAsia="仿宋_GB2312" w:cs="Times New Roman"/>
                <w:color w:val="000000"/>
                <w:kern w:val="0"/>
                <w:sz w:val="21"/>
                <w:szCs w:val="21"/>
                <w:lang w:val="en-US" w:eastAsia="zh-CN" w:bidi="ar-SA"/>
              </w:rPr>
              <w:t>两带</w:t>
            </w:r>
            <w:r>
              <w:rPr>
                <w:rFonts w:hint="default" w:ascii="Times New Roman" w:hAnsi="Times New Roman" w:eastAsia="仿宋_GB2312" w:cs="Times New Roman"/>
                <w:color w:val="000000"/>
                <w:kern w:val="0"/>
                <w:sz w:val="21"/>
                <w:szCs w:val="21"/>
                <w:lang w:val="en-US" w:eastAsia="zh-CN" w:bidi="ar-SA"/>
              </w:rPr>
              <w:t>”</w:t>
            </w:r>
            <w:r>
              <w:rPr>
                <w:rFonts w:hint="eastAsia" w:ascii="Times New Roman" w:hAnsi="Times New Roman" w:eastAsia="仿宋_GB2312" w:cs="Times New Roman"/>
                <w:color w:val="000000"/>
                <w:kern w:val="0"/>
                <w:sz w:val="21"/>
                <w:szCs w:val="21"/>
                <w:lang w:val="en-US" w:eastAsia="zh-CN" w:bidi="ar-SA"/>
              </w:rPr>
              <w:t>：盐港路、华城路产城融合带，链接各片区产业中心和生活服务中心，在金坛城区范围内促进产业功能和城市功能的融合互通。</w:t>
            </w:r>
          </w:p>
          <w:p w14:paraId="5970C3FD">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仿宋_GB2312" w:cs="Times New Roman"/>
                <w:color w:val="000000"/>
                <w:kern w:val="0"/>
                <w:sz w:val="21"/>
                <w:szCs w:val="21"/>
                <w:lang w:val="en-US" w:eastAsia="zh-CN" w:bidi="ar-SA"/>
              </w:rPr>
            </w:pPr>
            <w:r>
              <w:rPr>
                <w:rFonts w:hint="default" w:ascii="Times New Roman" w:hAnsi="Times New Roman" w:eastAsia="仿宋_GB2312" w:cs="Times New Roman"/>
                <w:color w:val="000000"/>
                <w:kern w:val="0"/>
                <w:sz w:val="21"/>
                <w:szCs w:val="21"/>
                <w:lang w:val="en-US" w:eastAsia="zh-CN" w:bidi="ar-SA"/>
              </w:rPr>
              <w:t>“</w:t>
            </w:r>
            <w:r>
              <w:rPr>
                <w:rFonts w:hint="eastAsia" w:ascii="Times New Roman" w:hAnsi="Times New Roman" w:eastAsia="仿宋_GB2312" w:cs="Times New Roman"/>
                <w:color w:val="000000"/>
                <w:kern w:val="0"/>
                <w:sz w:val="21"/>
                <w:szCs w:val="21"/>
                <w:lang w:val="en-US" w:eastAsia="zh-CN" w:bidi="ar-SA"/>
              </w:rPr>
              <w:t>两心</w:t>
            </w:r>
            <w:r>
              <w:rPr>
                <w:rFonts w:hint="default" w:ascii="Times New Roman" w:hAnsi="Times New Roman" w:eastAsia="仿宋_GB2312" w:cs="Times New Roman"/>
                <w:color w:val="000000"/>
                <w:kern w:val="0"/>
                <w:sz w:val="21"/>
                <w:szCs w:val="21"/>
                <w:lang w:val="en-US" w:eastAsia="zh-CN" w:bidi="ar-SA"/>
              </w:rPr>
              <w:t>”</w:t>
            </w:r>
            <w:r>
              <w:rPr>
                <w:rFonts w:hint="eastAsia" w:ascii="Times New Roman" w:hAnsi="Times New Roman" w:eastAsia="仿宋_GB2312" w:cs="Times New Roman"/>
                <w:color w:val="000000"/>
                <w:kern w:val="0"/>
                <w:sz w:val="21"/>
                <w:szCs w:val="21"/>
                <w:lang w:val="en-US" w:eastAsia="zh-CN" w:bidi="ar-SA"/>
              </w:rPr>
              <w:t>：分别为开发区产业发展核、金科园产业发展核。其中开发区产业发展核为开发区综合服务核心，承载全区科技服务、创新研发、商务商贸等生产性服务功能，是全区动力源头和形象核心。金科园产业发展核作为金科园的生产性江苏金坛经济开发区开发建设规划（</w:t>
            </w:r>
            <w:r>
              <w:rPr>
                <w:rFonts w:hint="default" w:ascii="Times New Roman" w:hAnsi="Times New Roman" w:eastAsia="仿宋_GB2312" w:cs="Times New Roman"/>
                <w:color w:val="000000"/>
                <w:kern w:val="0"/>
                <w:sz w:val="21"/>
                <w:szCs w:val="21"/>
                <w:lang w:val="en-US" w:eastAsia="zh-CN" w:bidi="ar-SA"/>
              </w:rPr>
              <w:t>2023-2035</w:t>
            </w:r>
            <w:r>
              <w:rPr>
                <w:rFonts w:hint="eastAsia" w:ascii="Times New Roman" w:hAnsi="Times New Roman" w:eastAsia="仿宋_GB2312" w:cs="Times New Roman"/>
                <w:color w:val="000000"/>
                <w:kern w:val="0"/>
                <w:sz w:val="21"/>
                <w:szCs w:val="21"/>
                <w:lang w:val="en-US" w:eastAsia="zh-CN" w:bidi="ar-SA"/>
              </w:rPr>
              <w:t xml:space="preserve">）环境影响评价报告书 </w:t>
            </w:r>
          </w:p>
          <w:p w14:paraId="162AF047">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仿宋_GB2312" w:cs="Times New Roman"/>
                <w:color w:val="000000"/>
                <w:kern w:val="0"/>
                <w:sz w:val="21"/>
                <w:szCs w:val="21"/>
                <w:lang w:val="en-US" w:eastAsia="zh-CN" w:bidi="ar-SA"/>
              </w:rPr>
            </w:pPr>
            <w:r>
              <w:rPr>
                <w:rFonts w:hint="eastAsia" w:ascii="Times New Roman" w:hAnsi="Times New Roman" w:eastAsia="仿宋_GB2312" w:cs="Times New Roman"/>
                <w:color w:val="000000"/>
                <w:kern w:val="0"/>
                <w:sz w:val="21"/>
                <w:szCs w:val="21"/>
                <w:lang w:val="en-US" w:eastAsia="zh-CN" w:bidi="ar-SA"/>
              </w:rPr>
              <w:t>服务业核心，集聚片区内科技研发、服务、创新功能，作为开发区产业发展核的支撑与补充。</w:t>
            </w:r>
          </w:p>
          <w:p w14:paraId="5EA219E4">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仿宋_GB2312" w:cs="Times New Roman"/>
                <w:color w:val="000000"/>
                <w:kern w:val="0"/>
                <w:sz w:val="21"/>
                <w:szCs w:val="21"/>
                <w:lang w:val="en-US" w:eastAsia="zh-CN" w:bidi="ar-SA"/>
              </w:rPr>
            </w:pPr>
            <w:r>
              <w:rPr>
                <w:rFonts w:hint="default" w:ascii="Times New Roman" w:hAnsi="Times New Roman" w:eastAsia="仿宋_GB2312" w:cs="Times New Roman"/>
                <w:color w:val="000000"/>
                <w:kern w:val="0"/>
                <w:sz w:val="21"/>
                <w:szCs w:val="21"/>
                <w:lang w:val="en-US" w:eastAsia="zh-CN" w:bidi="ar-SA"/>
              </w:rPr>
              <w:t>“</w:t>
            </w:r>
            <w:r>
              <w:rPr>
                <w:rFonts w:hint="eastAsia" w:ascii="Times New Roman" w:hAnsi="Times New Roman" w:eastAsia="仿宋_GB2312" w:cs="Times New Roman"/>
                <w:color w:val="000000"/>
                <w:kern w:val="0"/>
                <w:sz w:val="21"/>
                <w:szCs w:val="21"/>
                <w:lang w:val="en-US" w:eastAsia="zh-CN" w:bidi="ar-SA"/>
              </w:rPr>
              <w:t>两片</w:t>
            </w:r>
            <w:r>
              <w:rPr>
                <w:rFonts w:hint="default" w:ascii="Times New Roman" w:hAnsi="Times New Roman" w:eastAsia="仿宋_GB2312" w:cs="Times New Roman"/>
                <w:color w:val="000000"/>
                <w:kern w:val="0"/>
                <w:sz w:val="21"/>
                <w:szCs w:val="21"/>
                <w:lang w:val="en-US" w:eastAsia="zh-CN" w:bidi="ar-SA"/>
              </w:rPr>
              <w:t>”</w:t>
            </w:r>
            <w:r>
              <w:rPr>
                <w:rFonts w:hint="eastAsia" w:ascii="Times New Roman" w:hAnsi="Times New Roman" w:eastAsia="仿宋_GB2312" w:cs="Times New Roman"/>
                <w:color w:val="000000"/>
                <w:kern w:val="0"/>
                <w:sz w:val="21"/>
                <w:szCs w:val="21"/>
                <w:lang w:val="en-US" w:eastAsia="zh-CN" w:bidi="ar-SA"/>
              </w:rPr>
              <w:t>：核心区产业板块、金科园产业板块，根据产业空间布局和功能定位，承载具体产业发展。</w:t>
            </w:r>
          </w:p>
          <w:p w14:paraId="25AC6F43">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仿宋_GB2312" w:cs="Times New Roman"/>
                <w:color w:val="000000"/>
                <w:kern w:val="0"/>
                <w:sz w:val="21"/>
                <w:szCs w:val="21"/>
                <w:lang w:val="en-US" w:eastAsia="zh-CN" w:bidi="ar-SA"/>
              </w:rPr>
            </w:pPr>
            <w:r>
              <w:rPr>
                <w:rFonts w:hint="eastAsia" w:ascii="Times New Roman" w:hAnsi="Times New Roman" w:eastAsia="仿宋_GB2312" w:cs="Times New Roman"/>
                <w:color w:val="000000"/>
                <w:kern w:val="0"/>
                <w:sz w:val="21"/>
                <w:szCs w:val="21"/>
                <w:lang w:val="en-US" w:eastAsia="zh-CN" w:bidi="ar-SA"/>
              </w:rPr>
              <w:t>多节点：打造的多个生活服务节点，为片区发展提供完备的生活配套服务。</w:t>
            </w:r>
          </w:p>
          <w:p w14:paraId="7664152A">
            <w:pPr>
              <w:pStyle w:val="28"/>
              <w:keepNext w:val="0"/>
              <w:keepLines w:val="0"/>
              <w:pageBreakBefore w:val="0"/>
              <w:widowControl w:val="0"/>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beforeAutospacing="0" w:after="0" w:afterAutospacing="0" w:line="360" w:lineRule="auto"/>
              <w:ind w:left="0" w:firstLine="422" w:firstLineChars="200"/>
              <w:jc w:val="both"/>
              <w:textAlignment w:val="auto"/>
              <w:rPr>
                <w:rFonts w:hint="default" w:ascii="Times New Roman" w:hAnsi="Times New Roman" w:eastAsia="仿宋_GB2312" w:cs="Times New Roman"/>
                <w:b/>
                <w:bCs/>
                <w:color w:val="000000"/>
                <w:sz w:val="21"/>
                <w:szCs w:val="21"/>
              </w:rPr>
            </w:pPr>
            <w:r>
              <w:rPr>
                <w:rFonts w:hint="default" w:ascii="Times New Roman" w:hAnsi="Times New Roman" w:eastAsia="仿宋_GB2312" w:cs="Times New Roman"/>
                <w:b/>
                <w:bCs/>
                <w:color w:val="000000"/>
                <w:sz w:val="21"/>
                <w:szCs w:val="21"/>
              </w:rPr>
              <w:t>产业定位：</w:t>
            </w:r>
          </w:p>
          <w:p w14:paraId="15B7479B">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both"/>
              <w:textAlignment w:val="auto"/>
              <w:rPr>
                <w:rFonts w:hint="eastAsia" w:ascii="Times New Roman" w:hAnsi="Times New Roman" w:eastAsia="仿宋_GB2312" w:cs="Times New Roman"/>
                <w:color w:val="000000"/>
                <w:kern w:val="0"/>
                <w:sz w:val="21"/>
                <w:szCs w:val="21"/>
                <w:lang w:val="en-US" w:eastAsia="zh-CN" w:bidi="ar-SA"/>
              </w:rPr>
            </w:pPr>
            <w:r>
              <w:rPr>
                <w:rFonts w:hint="default" w:ascii="Times New Roman" w:hAnsi="Times New Roman" w:eastAsia="仿宋_GB2312" w:cs="Times New Roman"/>
                <w:color w:val="000000"/>
                <w:kern w:val="0"/>
                <w:sz w:val="21"/>
                <w:szCs w:val="21"/>
                <w:lang w:val="en-US" w:eastAsia="zh-CN" w:bidi="ar-SA"/>
              </w:rPr>
              <w:t>1</w:t>
            </w:r>
            <w:r>
              <w:rPr>
                <w:rFonts w:hint="eastAsia" w:ascii="Times New Roman" w:hAnsi="Times New Roman" w:eastAsia="仿宋_GB2312" w:cs="Times New Roman"/>
                <w:color w:val="000000"/>
                <w:kern w:val="0"/>
                <w:sz w:val="21"/>
                <w:szCs w:val="21"/>
                <w:lang w:val="en-US" w:eastAsia="zh-CN" w:bidi="ar-SA"/>
              </w:rPr>
              <w:t>、传统产业提升改造</w:t>
            </w:r>
          </w:p>
          <w:p w14:paraId="05E96022">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both"/>
              <w:textAlignment w:val="auto"/>
              <w:rPr>
                <w:rFonts w:hint="eastAsia" w:ascii="Times New Roman" w:hAnsi="Times New Roman" w:eastAsia="仿宋_GB2312" w:cs="Times New Roman"/>
                <w:color w:val="000000"/>
                <w:kern w:val="0"/>
                <w:sz w:val="21"/>
                <w:szCs w:val="21"/>
                <w:lang w:val="en-US" w:eastAsia="zh-CN" w:bidi="ar-SA"/>
              </w:rPr>
            </w:pPr>
            <w:r>
              <w:rPr>
                <w:rFonts w:hint="eastAsia" w:ascii="Times New Roman" w:hAnsi="Times New Roman" w:eastAsia="仿宋_GB2312" w:cs="Times New Roman"/>
                <w:color w:val="000000"/>
                <w:kern w:val="0"/>
                <w:sz w:val="21"/>
                <w:szCs w:val="21"/>
                <w:lang w:val="en-US" w:eastAsia="zh-CN" w:bidi="ar-SA"/>
              </w:rPr>
              <w:t>针对园区内原有的纺织服装、装备制造、机械电子等传统产业，要立足新发展阶段，完整、准确、全面贯彻新发展理念，积极融入新发展格局，深入实施转型战略，坚持按企业、行业、区域分类推进传统产业向高端化、智能化和绿色化转型，强化服务支撑，完善基础设施，推动传统产业转型升级和高质量发展。</w:t>
            </w:r>
          </w:p>
          <w:p w14:paraId="05CFFD07">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both"/>
              <w:textAlignment w:val="auto"/>
              <w:rPr>
                <w:rFonts w:hint="eastAsia" w:ascii="Times New Roman" w:hAnsi="Times New Roman" w:eastAsia="仿宋_GB2312" w:cs="Times New Roman"/>
                <w:color w:val="000000"/>
                <w:kern w:val="0"/>
                <w:sz w:val="21"/>
                <w:szCs w:val="21"/>
                <w:lang w:val="en-US" w:eastAsia="zh-CN" w:bidi="ar-SA"/>
              </w:rPr>
            </w:pPr>
            <w:r>
              <w:rPr>
                <w:rFonts w:hint="eastAsia" w:ascii="Times New Roman" w:hAnsi="Times New Roman" w:eastAsia="仿宋_GB2312" w:cs="Times New Roman"/>
                <w:color w:val="000000"/>
                <w:kern w:val="0"/>
                <w:sz w:val="21"/>
                <w:szCs w:val="21"/>
                <w:lang w:val="en-US" w:eastAsia="zh-CN" w:bidi="ar-SA"/>
              </w:rPr>
              <w:t>加快推进区内纺织印染产业向时尚织染园（片区）集聚，打造“创意、时尚、前卫”的纺织印染集聚区，来带动周边区域发展，构建生态产业链条，实现协同发展。从创新驱动、产品升级、智能转型、绿色低碳、品牌培育、优化供给、开放合作等方面出发，加快创新驱动发展，培育纺织印染高端制造和智能制造，推进绿色循环低碳和废旧纺织品循环利用，打造专业化特色化世界级纺织产业集群，推进产业链供应链高水平对外开放合作。</w:t>
            </w:r>
          </w:p>
          <w:p w14:paraId="1F83F733">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both"/>
              <w:textAlignment w:val="auto"/>
              <w:rPr>
                <w:rFonts w:hint="eastAsia" w:ascii="Times New Roman" w:hAnsi="Times New Roman" w:eastAsia="仿宋_GB2312" w:cs="Times New Roman"/>
                <w:color w:val="000000"/>
                <w:kern w:val="0"/>
                <w:sz w:val="21"/>
                <w:szCs w:val="21"/>
                <w:lang w:val="en-US" w:eastAsia="zh-CN" w:bidi="ar-SA"/>
              </w:rPr>
            </w:pPr>
            <w:r>
              <w:rPr>
                <w:rFonts w:hint="eastAsia" w:ascii="Times New Roman" w:hAnsi="Times New Roman" w:eastAsia="仿宋_GB2312" w:cs="Times New Roman"/>
                <w:color w:val="000000"/>
                <w:kern w:val="0"/>
                <w:sz w:val="21"/>
                <w:szCs w:val="21"/>
                <w:lang w:val="en-US" w:eastAsia="zh-CN" w:bidi="ar-SA"/>
              </w:rPr>
              <w:t xml:space="preserve">对园区内的机械电子、装备制造等传统行业，着眼于园区新兴的新能源汽车、新智能产业，瞄准产业发展前沿，抢占产业发展制高点、形成先发优势实施区内机械电子、装备制造等传统产业升级，促进传统产业与新兴产业深度融合，大力培育行业龙头企业、科技领军企业、独角兽企业。 </w:t>
            </w:r>
          </w:p>
          <w:p w14:paraId="4CE35F42">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both"/>
              <w:textAlignment w:val="auto"/>
              <w:rPr>
                <w:rFonts w:hint="eastAsia" w:ascii="Times New Roman" w:hAnsi="Times New Roman" w:eastAsia="仿宋_GB2312" w:cs="Times New Roman"/>
                <w:color w:val="000000"/>
                <w:kern w:val="0"/>
                <w:sz w:val="21"/>
                <w:szCs w:val="21"/>
                <w:lang w:val="en-US" w:eastAsia="zh-CN" w:bidi="ar-SA"/>
              </w:rPr>
            </w:pPr>
            <w:r>
              <w:rPr>
                <w:rFonts w:hint="eastAsia" w:ascii="Times New Roman" w:hAnsi="Times New Roman" w:eastAsia="仿宋_GB2312" w:cs="Times New Roman"/>
                <w:color w:val="000000"/>
                <w:kern w:val="0"/>
                <w:sz w:val="21"/>
                <w:szCs w:val="21"/>
                <w:lang w:val="en-US" w:eastAsia="zh-CN" w:bidi="ar-SA"/>
              </w:rPr>
              <w:t xml:space="preserve">对于园区内原有的传统光伏能源产业，要努力拓展上下游产业环节，优化自身产能布局和配比，提高一体化产业链竞争优势，推动业务多元化布局，积极尝试在光能、风能和氢能领域拓展发展空间。 </w:t>
            </w:r>
          </w:p>
          <w:p w14:paraId="08AE00CB">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both"/>
              <w:textAlignment w:val="auto"/>
              <w:rPr>
                <w:rFonts w:hint="eastAsia" w:ascii="Times New Roman" w:hAnsi="Times New Roman" w:eastAsia="仿宋_GB2312" w:cs="Times New Roman"/>
                <w:color w:val="000000"/>
                <w:kern w:val="0"/>
                <w:sz w:val="21"/>
                <w:szCs w:val="21"/>
                <w:lang w:val="en-US" w:eastAsia="zh-CN" w:bidi="ar-SA"/>
              </w:rPr>
            </w:pPr>
            <w:r>
              <w:rPr>
                <w:rFonts w:hint="default" w:ascii="Times New Roman" w:hAnsi="Times New Roman" w:eastAsia="仿宋_GB2312" w:cs="Times New Roman"/>
                <w:color w:val="000000"/>
                <w:kern w:val="0"/>
                <w:sz w:val="21"/>
                <w:szCs w:val="21"/>
                <w:lang w:val="en-US" w:eastAsia="zh-CN" w:bidi="ar-SA"/>
              </w:rPr>
              <w:t>2</w:t>
            </w:r>
            <w:r>
              <w:rPr>
                <w:rFonts w:hint="eastAsia" w:ascii="Times New Roman" w:hAnsi="Times New Roman" w:eastAsia="仿宋_GB2312" w:cs="Times New Roman"/>
                <w:color w:val="000000"/>
                <w:kern w:val="0"/>
                <w:sz w:val="21"/>
                <w:szCs w:val="21"/>
                <w:lang w:val="en-US" w:eastAsia="zh-CN" w:bidi="ar-SA"/>
              </w:rPr>
              <w:t xml:space="preserve">、新兴产业发展 </w:t>
            </w:r>
          </w:p>
          <w:p w14:paraId="1B3173C6">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both"/>
              <w:textAlignment w:val="auto"/>
              <w:rPr>
                <w:rFonts w:hint="eastAsia" w:ascii="Times New Roman" w:hAnsi="Times New Roman" w:eastAsia="仿宋_GB2312" w:cs="Times New Roman"/>
                <w:color w:val="000000"/>
                <w:kern w:val="0"/>
                <w:sz w:val="21"/>
                <w:szCs w:val="21"/>
                <w:lang w:val="en-US" w:eastAsia="zh-CN" w:bidi="ar-SA"/>
              </w:rPr>
            </w:pPr>
            <w:r>
              <w:rPr>
                <w:rFonts w:hint="eastAsia" w:ascii="Times New Roman" w:hAnsi="Times New Roman" w:eastAsia="仿宋_GB2312" w:cs="Times New Roman"/>
                <w:color w:val="000000"/>
                <w:kern w:val="0"/>
                <w:sz w:val="21"/>
                <w:szCs w:val="21"/>
                <w:lang w:val="en-US" w:eastAsia="zh-CN" w:bidi="ar-SA"/>
              </w:rPr>
              <w:t xml:space="preserve">依托园区现有的产业基础，进一步巩固壮大新能源、新能源汽车、新智能、新医药、新材料 </w:t>
            </w:r>
            <w:r>
              <w:rPr>
                <w:rFonts w:hint="default" w:ascii="Times New Roman" w:hAnsi="Times New Roman" w:eastAsia="仿宋_GB2312" w:cs="Times New Roman"/>
                <w:color w:val="000000"/>
                <w:kern w:val="0"/>
                <w:sz w:val="21"/>
                <w:szCs w:val="21"/>
                <w:lang w:val="en-US" w:eastAsia="zh-CN" w:bidi="ar-SA"/>
              </w:rPr>
              <w:t xml:space="preserve">5 </w:t>
            </w:r>
            <w:r>
              <w:rPr>
                <w:rFonts w:hint="eastAsia" w:ascii="Times New Roman" w:hAnsi="Times New Roman" w:eastAsia="仿宋_GB2312" w:cs="Times New Roman"/>
                <w:color w:val="000000"/>
                <w:kern w:val="0"/>
                <w:sz w:val="21"/>
                <w:szCs w:val="21"/>
                <w:lang w:val="en-US" w:eastAsia="zh-CN" w:bidi="ar-SA"/>
              </w:rPr>
              <w:t>大新兴产业，构建“五新产业”发展体系，提速发展数字经济，加快智能化改造、数字化转型。</w:t>
            </w:r>
          </w:p>
          <w:p w14:paraId="5F693E46">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both"/>
              <w:textAlignment w:val="auto"/>
              <w:rPr>
                <w:rFonts w:hint="eastAsia" w:ascii="Times New Roman" w:hAnsi="Times New Roman" w:eastAsia="仿宋_GB2312" w:cs="Times New Roman"/>
                <w:color w:val="000000"/>
                <w:kern w:val="0"/>
                <w:sz w:val="21"/>
                <w:szCs w:val="21"/>
                <w:lang w:val="en-US" w:eastAsia="zh-CN" w:bidi="ar-SA"/>
              </w:rPr>
            </w:pPr>
            <w:r>
              <w:rPr>
                <w:rFonts w:hint="eastAsia" w:ascii="Times New Roman" w:hAnsi="Times New Roman" w:eastAsia="仿宋_GB2312" w:cs="Times New Roman"/>
                <w:color w:val="000000"/>
                <w:kern w:val="0"/>
                <w:sz w:val="21"/>
                <w:szCs w:val="21"/>
                <w:lang w:val="en-US" w:eastAsia="zh-CN" w:bidi="ar-SA"/>
              </w:rPr>
              <w:t>（</w:t>
            </w:r>
            <w:r>
              <w:rPr>
                <w:rFonts w:hint="default" w:ascii="Times New Roman" w:hAnsi="Times New Roman" w:eastAsia="仿宋_GB2312" w:cs="Times New Roman"/>
                <w:color w:val="000000"/>
                <w:kern w:val="0"/>
                <w:sz w:val="21"/>
                <w:szCs w:val="21"/>
                <w:lang w:val="en-US" w:eastAsia="zh-CN" w:bidi="ar-SA"/>
              </w:rPr>
              <w:t>1</w:t>
            </w:r>
            <w:r>
              <w:rPr>
                <w:rFonts w:hint="eastAsia" w:ascii="Times New Roman" w:hAnsi="Times New Roman" w:eastAsia="仿宋_GB2312" w:cs="Times New Roman"/>
                <w:color w:val="000000"/>
                <w:kern w:val="0"/>
                <w:sz w:val="21"/>
                <w:szCs w:val="21"/>
                <w:lang w:val="en-US" w:eastAsia="zh-CN" w:bidi="ar-SA"/>
              </w:rPr>
              <w:t xml:space="preserve">）新能源产业组团 </w:t>
            </w:r>
          </w:p>
          <w:p w14:paraId="36D6F1D7">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both"/>
              <w:textAlignment w:val="auto"/>
              <w:rPr>
                <w:rFonts w:hint="eastAsia" w:ascii="Times New Roman" w:hAnsi="Times New Roman" w:eastAsia="仿宋_GB2312" w:cs="Times New Roman"/>
                <w:color w:val="000000"/>
                <w:kern w:val="0"/>
                <w:sz w:val="21"/>
                <w:szCs w:val="21"/>
                <w:lang w:val="en-US" w:eastAsia="zh-CN" w:bidi="ar-SA"/>
              </w:rPr>
            </w:pPr>
            <w:r>
              <w:rPr>
                <w:rFonts w:hint="eastAsia" w:ascii="Times New Roman" w:hAnsi="Times New Roman" w:eastAsia="仿宋_GB2312" w:cs="Times New Roman"/>
                <w:color w:val="000000"/>
                <w:kern w:val="0"/>
                <w:sz w:val="21"/>
                <w:szCs w:val="21"/>
                <w:lang w:val="en-US" w:eastAsia="zh-CN" w:bidi="ar-SA"/>
              </w:rPr>
              <w:t xml:space="preserve">重点发展光伏产业，坚持上游改良、中游突破、下游衍生，支持发展光能、风能、氢能等新能源产业，积极打造智慧能源体系。整合更新现状低效企业，前瞻布局以光伏、风能、氢能为主的新能源产业和储能产业。 </w:t>
            </w:r>
          </w:p>
          <w:p w14:paraId="720A0700">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both"/>
              <w:textAlignment w:val="auto"/>
              <w:rPr>
                <w:rFonts w:hint="eastAsia" w:ascii="Times New Roman" w:hAnsi="Times New Roman" w:eastAsia="仿宋_GB2312" w:cs="Times New Roman"/>
                <w:color w:val="000000"/>
                <w:kern w:val="0"/>
                <w:sz w:val="21"/>
                <w:szCs w:val="21"/>
                <w:lang w:val="en-US" w:eastAsia="zh-CN" w:bidi="ar-SA"/>
              </w:rPr>
            </w:pPr>
            <w:r>
              <w:rPr>
                <w:rFonts w:hint="eastAsia" w:ascii="Times New Roman" w:hAnsi="Times New Roman" w:eastAsia="仿宋_GB2312" w:cs="Times New Roman"/>
                <w:color w:val="000000"/>
                <w:kern w:val="0"/>
                <w:sz w:val="21"/>
                <w:szCs w:val="21"/>
                <w:lang w:val="en-US" w:eastAsia="zh-CN" w:bidi="ar-SA"/>
              </w:rPr>
              <w:t>（</w:t>
            </w:r>
            <w:r>
              <w:rPr>
                <w:rFonts w:hint="default" w:ascii="Times New Roman" w:hAnsi="Times New Roman" w:eastAsia="仿宋_GB2312" w:cs="Times New Roman"/>
                <w:color w:val="000000"/>
                <w:kern w:val="0"/>
                <w:sz w:val="21"/>
                <w:szCs w:val="21"/>
                <w:lang w:val="en-US" w:eastAsia="zh-CN" w:bidi="ar-SA"/>
              </w:rPr>
              <w:t>2</w:t>
            </w:r>
            <w:r>
              <w:rPr>
                <w:rFonts w:hint="eastAsia" w:ascii="Times New Roman" w:hAnsi="Times New Roman" w:eastAsia="仿宋_GB2312" w:cs="Times New Roman"/>
                <w:color w:val="000000"/>
                <w:kern w:val="0"/>
                <w:sz w:val="21"/>
                <w:szCs w:val="21"/>
                <w:lang w:val="en-US" w:eastAsia="zh-CN" w:bidi="ar-SA"/>
              </w:rPr>
              <w:t>）新能源汽车组团</w:t>
            </w:r>
          </w:p>
          <w:p w14:paraId="53B39028">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both"/>
              <w:textAlignment w:val="auto"/>
              <w:rPr>
                <w:rFonts w:hint="eastAsia" w:ascii="Times New Roman" w:hAnsi="Times New Roman" w:eastAsia="仿宋_GB2312" w:cs="Times New Roman"/>
                <w:color w:val="000000"/>
                <w:kern w:val="0"/>
                <w:sz w:val="21"/>
                <w:szCs w:val="21"/>
                <w:lang w:val="en-US" w:eastAsia="zh-CN" w:bidi="ar-SA"/>
              </w:rPr>
            </w:pPr>
            <w:r>
              <w:rPr>
                <w:rFonts w:hint="eastAsia" w:ascii="Times New Roman" w:hAnsi="Times New Roman" w:eastAsia="仿宋_GB2312" w:cs="Times New Roman"/>
                <w:color w:val="000000"/>
                <w:kern w:val="0"/>
                <w:sz w:val="21"/>
                <w:szCs w:val="21"/>
                <w:lang w:val="en-US" w:eastAsia="zh-CN" w:bidi="ar-SA"/>
              </w:rPr>
              <w:t xml:space="preserve">发展以正负极、隔膜等动力电池配套材料为主的产业，优先招引大型龙头企业，强化产业链较为完整优势和领军企业带动作用，加快形成一批原创性、标志性创新成果，培育一批龙头和骨干企业。积极向产业链上游探索发展新能源整车制造、动力电池、驱动电机、电控系统等领域产业。 </w:t>
            </w:r>
          </w:p>
          <w:p w14:paraId="7E8B67C0">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both"/>
              <w:textAlignment w:val="auto"/>
              <w:rPr>
                <w:rFonts w:hint="eastAsia" w:ascii="Times New Roman" w:hAnsi="Times New Roman" w:eastAsia="仿宋_GB2312" w:cs="Times New Roman"/>
                <w:color w:val="000000"/>
                <w:kern w:val="0"/>
                <w:sz w:val="21"/>
                <w:szCs w:val="21"/>
                <w:lang w:val="en-US" w:eastAsia="zh-CN" w:bidi="ar-SA"/>
              </w:rPr>
            </w:pPr>
            <w:r>
              <w:rPr>
                <w:rFonts w:hint="eastAsia" w:ascii="Times New Roman" w:hAnsi="Times New Roman" w:eastAsia="仿宋_GB2312" w:cs="Times New Roman"/>
                <w:color w:val="000000"/>
                <w:kern w:val="0"/>
                <w:sz w:val="21"/>
                <w:szCs w:val="21"/>
                <w:lang w:val="en-US" w:eastAsia="zh-CN" w:bidi="ar-SA"/>
              </w:rPr>
              <w:t>（</w:t>
            </w:r>
            <w:r>
              <w:rPr>
                <w:rFonts w:hint="default" w:ascii="Times New Roman" w:hAnsi="Times New Roman" w:eastAsia="仿宋_GB2312" w:cs="Times New Roman"/>
                <w:color w:val="000000"/>
                <w:kern w:val="0"/>
                <w:sz w:val="21"/>
                <w:szCs w:val="21"/>
                <w:lang w:val="en-US" w:eastAsia="zh-CN" w:bidi="ar-SA"/>
              </w:rPr>
              <w:t>3</w:t>
            </w:r>
            <w:r>
              <w:rPr>
                <w:rFonts w:hint="eastAsia" w:ascii="Times New Roman" w:hAnsi="Times New Roman" w:eastAsia="仿宋_GB2312" w:cs="Times New Roman"/>
                <w:color w:val="000000"/>
                <w:kern w:val="0"/>
                <w:sz w:val="21"/>
                <w:szCs w:val="21"/>
                <w:lang w:val="en-US" w:eastAsia="zh-CN" w:bidi="ar-SA"/>
              </w:rPr>
              <w:t>）新智能产业组团</w:t>
            </w:r>
          </w:p>
          <w:p w14:paraId="457106D9">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both"/>
              <w:textAlignment w:val="auto"/>
              <w:rPr>
                <w:rFonts w:hint="eastAsia" w:ascii="Times New Roman" w:hAnsi="Times New Roman" w:eastAsia="仿宋_GB2312" w:cs="Times New Roman"/>
                <w:color w:val="000000"/>
                <w:kern w:val="0"/>
                <w:sz w:val="21"/>
                <w:szCs w:val="21"/>
                <w:lang w:val="en-US" w:eastAsia="zh-CN" w:bidi="ar-SA"/>
              </w:rPr>
            </w:pPr>
            <w:r>
              <w:rPr>
                <w:rFonts w:hint="eastAsia" w:ascii="Times New Roman" w:hAnsi="Times New Roman" w:eastAsia="仿宋_GB2312" w:cs="Times New Roman"/>
                <w:color w:val="000000"/>
                <w:kern w:val="0"/>
                <w:sz w:val="21"/>
                <w:szCs w:val="21"/>
                <w:lang w:val="en-US" w:eastAsia="zh-CN" w:bidi="ar-SA"/>
              </w:rPr>
              <w:t>以高新技术为引领，打造产业链高端和核心环节，生产制造高技术、高附加值的先进工业设施设备。推进产业园区中小企业升级，积极培育新智能、新基建等高端装备制造业，通过提质增效、</w:t>
            </w:r>
            <w:r>
              <w:rPr>
                <w:rFonts w:hint="default" w:ascii="Times New Roman" w:hAnsi="Times New Roman" w:eastAsia="仿宋_GB2312" w:cs="Times New Roman"/>
                <w:color w:val="000000"/>
                <w:kern w:val="0"/>
                <w:sz w:val="21"/>
                <w:szCs w:val="21"/>
                <w:lang w:val="en-US" w:eastAsia="zh-CN" w:bidi="ar-SA"/>
              </w:rPr>
              <w:t>“</w:t>
            </w:r>
            <w:r>
              <w:rPr>
                <w:rFonts w:hint="eastAsia" w:ascii="Times New Roman" w:hAnsi="Times New Roman" w:eastAsia="仿宋_GB2312" w:cs="Times New Roman"/>
                <w:color w:val="000000"/>
                <w:kern w:val="0"/>
                <w:sz w:val="21"/>
                <w:szCs w:val="21"/>
                <w:lang w:val="en-US" w:eastAsia="zh-CN" w:bidi="ar-SA"/>
              </w:rPr>
              <w:t>智改数转</w:t>
            </w:r>
            <w:r>
              <w:rPr>
                <w:rFonts w:hint="default" w:ascii="Times New Roman" w:hAnsi="Times New Roman" w:eastAsia="仿宋_GB2312" w:cs="Times New Roman"/>
                <w:color w:val="000000"/>
                <w:kern w:val="0"/>
                <w:sz w:val="21"/>
                <w:szCs w:val="21"/>
                <w:lang w:val="en-US" w:eastAsia="zh-CN" w:bidi="ar-SA"/>
              </w:rPr>
              <w:t>”</w:t>
            </w:r>
            <w:r>
              <w:rPr>
                <w:rFonts w:hint="eastAsia" w:ascii="Times New Roman" w:hAnsi="Times New Roman" w:eastAsia="仿宋_GB2312" w:cs="Times New Roman"/>
                <w:color w:val="000000"/>
                <w:kern w:val="0"/>
                <w:sz w:val="21"/>
                <w:szCs w:val="21"/>
                <w:lang w:val="en-US" w:eastAsia="zh-CN" w:bidi="ar-SA"/>
              </w:rPr>
              <w:t xml:space="preserve">促进装备制造业由大变强。兴隆北路以东区域围绕新能源装备配套制造产业，重点关注减速机、智能装备、充换电、储能装备等方向，招引技术先进、有潜力的高新技术企业。 </w:t>
            </w:r>
          </w:p>
          <w:p w14:paraId="7241E686">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both"/>
              <w:textAlignment w:val="auto"/>
              <w:rPr>
                <w:rFonts w:hint="eastAsia" w:ascii="Times New Roman" w:hAnsi="Times New Roman" w:eastAsia="仿宋_GB2312" w:cs="Times New Roman"/>
                <w:color w:val="000000"/>
                <w:kern w:val="0"/>
                <w:sz w:val="21"/>
                <w:szCs w:val="21"/>
                <w:lang w:val="en-US" w:eastAsia="zh-CN" w:bidi="ar-SA"/>
              </w:rPr>
            </w:pPr>
            <w:r>
              <w:rPr>
                <w:rFonts w:hint="eastAsia" w:ascii="Times New Roman" w:hAnsi="Times New Roman" w:eastAsia="仿宋_GB2312" w:cs="Times New Roman"/>
                <w:color w:val="000000"/>
                <w:kern w:val="0"/>
                <w:sz w:val="21"/>
                <w:szCs w:val="21"/>
                <w:lang w:val="en-US" w:eastAsia="zh-CN" w:bidi="ar-SA"/>
              </w:rPr>
              <w:t>（</w:t>
            </w:r>
            <w:r>
              <w:rPr>
                <w:rFonts w:hint="default" w:ascii="Times New Roman" w:hAnsi="Times New Roman" w:eastAsia="仿宋_GB2312" w:cs="Times New Roman"/>
                <w:color w:val="000000"/>
                <w:kern w:val="0"/>
                <w:sz w:val="21"/>
                <w:szCs w:val="21"/>
                <w:lang w:val="en-US" w:eastAsia="zh-CN" w:bidi="ar-SA"/>
              </w:rPr>
              <w:t>4</w:t>
            </w:r>
            <w:r>
              <w:rPr>
                <w:rFonts w:hint="eastAsia" w:ascii="Times New Roman" w:hAnsi="Times New Roman" w:eastAsia="仿宋_GB2312" w:cs="Times New Roman"/>
                <w:color w:val="000000"/>
                <w:kern w:val="0"/>
                <w:sz w:val="21"/>
                <w:szCs w:val="21"/>
                <w:lang w:val="en-US" w:eastAsia="zh-CN" w:bidi="ar-SA"/>
              </w:rPr>
              <w:t xml:space="preserve">）新医药产业组团 </w:t>
            </w:r>
          </w:p>
          <w:p w14:paraId="7E28639F">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both"/>
              <w:textAlignment w:val="auto"/>
              <w:rPr>
                <w:rFonts w:hint="eastAsia" w:ascii="Times New Roman" w:hAnsi="Times New Roman" w:eastAsia="仿宋_GB2312" w:cs="Times New Roman"/>
                <w:color w:val="000000"/>
                <w:kern w:val="0"/>
                <w:sz w:val="21"/>
                <w:szCs w:val="21"/>
                <w:lang w:val="en-US" w:eastAsia="zh-CN" w:bidi="ar-SA"/>
              </w:rPr>
            </w:pPr>
            <w:r>
              <w:rPr>
                <w:rFonts w:hint="eastAsia" w:ascii="Times New Roman" w:hAnsi="Times New Roman" w:eastAsia="仿宋_GB2312" w:cs="Times New Roman"/>
                <w:color w:val="000000"/>
                <w:kern w:val="0"/>
                <w:sz w:val="21"/>
                <w:szCs w:val="21"/>
                <w:lang w:val="en-US" w:eastAsia="zh-CN" w:bidi="ar-SA"/>
              </w:rPr>
              <w:t xml:space="preserve">抢抓长三角一体化区域联动发展机遇，依托华大工程生物学长荡湖研究所，加快生物技术开发、医药生产、医疗器械制造等关键资源要素集聚，打造绿色医药产业创新基地，建立产业载体和平台体系。 </w:t>
            </w:r>
          </w:p>
          <w:p w14:paraId="28694C8A">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both"/>
              <w:textAlignment w:val="auto"/>
              <w:rPr>
                <w:rFonts w:hint="eastAsia" w:ascii="Times New Roman" w:hAnsi="Times New Roman" w:eastAsia="仿宋_GB2312" w:cs="Times New Roman"/>
                <w:color w:val="000000"/>
                <w:kern w:val="0"/>
                <w:sz w:val="21"/>
                <w:szCs w:val="21"/>
                <w:lang w:val="en-US" w:eastAsia="zh-CN" w:bidi="ar-SA"/>
              </w:rPr>
            </w:pPr>
            <w:r>
              <w:rPr>
                <w:rFonts w:hint="eastAsia" w:ascii="Times New Roman" w:hAnsi="Times New Roman" w:eastAsia="仿宋_GB2312" w:cs="Times New Roman"/>
                <w:color w:val="000000"/>
                <w:kern w:val="0"/>
                <w:sz w:val="21"/>
                <w:szCs w:val="21"/>
                <w:lang w:val="en-US" w:eastAsia="zh-CN" w:bidi="ar-SA"/>
              </w:rPr>
              <w:t>（</w:t>
            </w:r>
            <w:r>
              <w:rPr>
                <w:rFonts w:hint="default" w:ascii="Times New Roman" w:hAnsi="Times New Roman" w:eastAsia="仿宋_GB2312" w:cs="Times New Roman"/>
                <w:color w:val="000000"/>
                <w:kern w:val="0"/>
                <w:sz w:val="21"/>
                <w:szCs w:val="21"/>
                <w:lang w:val="en-US" w:eastAsia="zh-CN" w:bidi="ar-SA"/>
              </w:rPr>
              <w:t>5</w:t>
            </w:r>
            <w:r>
              <w:rPr>
                <w:rFonts w:hint="eastAsia" w:ascii="Times New Roman" w:hAnsi="Times New Roman" w:eastAsia="仿宋_GB2312" w:cs="Times New Roman"/>
                <w:color w:val="000000"/>
                <w:kern w:val="0"/>
                <w:sz w:val="21"/>
                <w:szCs w:val="21"/>
                <w:lang w:val="en-US" w:eastAsia="zh-CN" w:bidi="ar-SA"/>
              </w:rPr>
              <w:t xml:space="preserve">）新材料产业组团 </w:t>
            </w:r>
          </w:p>
          <w:p w14:paraId="181EB04B">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both"/>
              <w:textAlignment w:val="auto"/>
              <w:rPr>
                <w:rFonts w:hint="eastAsia" w:ascii="Times New Roman" w:hAnsi="Times New Roman" w:eastAsia="仿宋_GB2312" w:cs="Times New Roman"/>
                <w:color w:val="000000"/>
                <w:kern w:val="0"/>
                <w:sz w:val="21"/>
                <w:szCs w:val="21"/>
                <w:lang w:val="en-US" w:eastAsia="zh-CN" w:bidi="ar-SA"/>
              </w:rPr>
            </w:pPr>
            <w:r>
              <w:rPr>
                <w:rFonts w:hint="eastAsia" w:ascii="Times New Roman" w:hAnsi="Times New Roman" w:eastAsia="仿宋_GB2312" w:cs="Times New Roman"/>
                <w:color w:val="000000"/>
                <w:kern w:val="0"/>
                <w:sz w:val="21"/>
                <w:szCs w:val="21"/>
                <w:lang w:val="en-US" w:eastAsia="zh-CN" w:bidi="ar-SA"/>
              </w:rPr>
              <w:t>新材料产业尽快培育龙头企业，推进建链、延链、补链、强链各环节项目的引进与建设，打造产业集群，可重点引导向高端结构材料、先进高分子材料、高性能复合材料、前沿新材料、</w:t>
            </w:r>
            <w:r>
              <w:rPr>
                <w:rFonts w:hint="default" w:ascii="Times New Roman" w:hAnsi="Times New Roman" w:eastAsia="仿宋_GB2312" w:cs="Times New Roman"/>
                <w:color w:val="000000"/>
                <w:kern w:val="0"/>
                <w:sz w:val="21"/>
                <w:szCs w:val="21"/>
                <w:lang w:val="en-US" w:eastAsia="zh-CN" w:bidi="ar-SA"/>
              </w:rPr>
              <w:t xml:space="preserve">3D </w:t>
            </w:r>
            <w:r>
              <w:rPr>
                <w:rFonts w:hint="eastAsia" w:ascii="Times New Roman" w:hAnsi="Times New Roman" w:eastAsia="仿宋_GB2312" w:cs="Times New Roman"/>
                <w:color w:val="000000"/>
                <w:kern w:val="0"/>
                <w:sz w:val="21"/>
                <w:szCs w:val="21"/>
                <w:lang w:val="en-US" w:eastAsia="zh-CN" w:bidi="ar-SA"/>
              </w:rPr>
              <w:t>打印材料等方向发展。</w:t>
            </w:r>
          </w:p>
          <w:p w14:paraId="706DEE9B">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both"/>
              <w:textAlignment w:val="auto"/>
              <w:rPr>
                <w:rFonts w:hint="eastAsia" w:ascii="Times New Roman" w:hAnsi="Times New Roman" w:eastAsia="仿宋_GB2312" w:cs="Times New Roman"/>
                <w:color w:val="000000"/>
                <w:kern w:val="0"/>
                <w:sz w:val="21"/>
                <w:szCs w:val="21"/>
                <w:lang w:val="en-US" w:eastAsia="zh-CN" w:bidi="ar-SA"/>
              </w:rPr>
            </w:pPr>
            <w:r>
              <w:rPr>
                <w:rFonts w:hint="default" w:ascii="Times New Roman" w:hAnsi="Times New Roman" w:eastAsia="仿宋_GB2312" w:cs="Times New Roman"/>
                <w:color w:val="000000"/>
                <w:kern w:val="0"/>
                <w:sz w:val="21"/>
                <w:szCs w:val="21"/>
                <w:lang w:val="en-US" w:eastAsia="zh-CN" w:bidi="ar-SA"/>
              </w:rPr>
              <w:t>3</w:t>
            </w:r>
            <w:r>
              <w:rPr>
                <w:rFonts w:hint="eastAsia" w:ascii="Times New Roman" w:hAnsi="Times New Roman" w:eastAsia="仿宋_GB2312" w:cs="Times New Roman"/>
                <w:color w:val="000000"/>
                <w:kern w:val="0"/>
                <w:sz w:val="21"/>
                <w:szCs w:val="21"/>
                <w:lang w:val="en-US" w:eastAsia="zh-CN" w:bidi="ar-SA"/>
              </w:rPr>
              <w:t xml:space="preserve">、园区减污降碳协同创新 </w:t>
            </w:r>
          </w:p>
          <w:p w14:paraId="1EFD6033">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both"/>
              <w:textAlignment w:val="auto"/>
              <w:rPr>
                <w:rFonts w:hint="eastAsia" w:ascii="Times New Roman" w:hAnsi="Times New Roman" w:eastAsia="仿宋_GB2312" w:cs="Times New Roman"/>
                <w:color w:val="000000"/>
                <w:kern w:val="0"/>
                <w:sz w:val="21"/>
                <w:szCs w:val="21"/>
                <w:lang w:val="en-US" w:eastAsia="zh-CN" w:bidi="ar-SA"/>
              </w:rPr>
            </w:pPr>
            <w:r>
              <w:rPr>
                <w:rFonts w:hint="eastAsia" w:ascii="Times New Roman" w:hAnsi="Times New Roman" w:eastAsia="仿宋_GB2312" w:cs="Times New Roman"/>
                <w:color w:val="000000"/>
                <w:kern w:val="0"/>
                <w:sz w:val="21"/>
                <w:szCs w:val="21"/>
                <w:lang w:val="en-US" w:eastAsia="zh-CN" w:bidi="ar-SA"/>
              </w:rPr>
              <w:t>园区将根据自身规划主导产业和污染物、碳排放水平积极探索推进减污降碳协同增效，优化园区空间布局，大力推广使用新能源，促进园区能源系统优化和梯级利用、水资源集约节约高效循环利用和废物综合利用，全面提升基础设施绿色低碳发展水平。</w:t>
            </w:r>
          </w:p>
          <w:p w14:paraId="63E08DCB">
            <w:pPr>
              <w:pStyle w:val="28"/>
              <w:keepNext w:val="0"/>
              <w:keepLines w:val="0"/>
              <w:pageBreakBefore w:val="0"/>
              <w:widowControl w:val="0"/>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beforeAutospacing="0" w:after="0" w:afterAutospacing="0" w:line="360" w:lineRule="auto"/>
              <w:ind w:left="0" w:firstLine="482"/>
              <w:jc w:val="both"/>
              <w:textAlignment w:val="auto"/>
            </w:pPr>
            <w:r>
              <w:rPr>
                <w:rFonts w:hint="default" w:ascii="Times New Roman" w:hAnsi="Times New Roman" w:eastAsia="仿宋_GB2312" w:cs="Times New Roman"/>
                <w:b/>
                <w:bCs/>
                <w:color w:val="000000"/>
                <w:sz w:val="21"/>
                <w:szCs w:val="21"/>
              </w:rPr>
              <w:t>对照分析：</w:t>
            </w:r>
            <w:r>
              <w:rPr>
                <w:rFonts w:hint="default" w:ascii="Times New Roman" w:hAnsi="Times New Roman" w:eastAsia="仿宋_GB2312" w:cs="Times New Roman"/>
                <w:color w:val="000000"/>
                <w:sz w:val="21"/>
                <w:szCs w:val="21"/>
              </w:rPr>
              <w:t>本项目位于江苏省常州市金坛经济开发区</w:t>
            </w:r>
            <w:r>
              <w:rPr>
                <w:rFonts w:hint="eastAsia" w:ascii="Times New Roman" w:hAnsi="Times New Roman" w:eastAsia="仿宋_GB2312" w:cs="Times New Roman"/>
                <w:color w:val="000000"/>
                <w:sz w:val="21"/>
                <w:szCs w:val="21"/>
                <w:lang w:val="en-US" w:eastAsia="zh-CN"/>
              </w:rPr>
              <w:t>盐厂路1</w:t>
            </w:r>
            <w:r>
              <w:rPr>
                <w:rFonts w:hint="default" w:ascii="Times New Roman" w:hAnsi="Times New Roman" w:eastAsia="仿宋_GB2312" w:cs="Times New Roman"/>
                <w:color w:val="000000"/>
                <w:sz w:val="21"/>
                <w:szCs w:val="21"/>
              </w:rPr>
              <w:t>号，在金坛经济开发区规划范围内，从事</w:t>
            </w:r>
            <w:r>
              <w:rPr>
                <w:rFonts w:hint="eastAsia" w:ascii="Times New Roman" w:hAnsi="Times New Roman" w:eastAsia="仿宋_GB2312" w:cs="Times New Roman"/>
                <w:color w:val="000000"/>
                <w:sz w:val="21"/>
                <w:szCs w:val="21"/>
                <w:lang w:val="en-US" w:eastAsia="zh-CN"/>
              </w:rPr>
              <w:t>盐产品加工提升改造项目</w:t>
            </w:r>
            <w:r>
              <w:rPr>
                <w:rFonts w:hint="default" w:ascii="Times New Roman" w:hAnsi="Times New Roman" w:eastAsia="仿宋_GB2312" w:cs="Times New Roman"/>
                <w:color w:val="000000"/>
                <w:sz w:val="21"/>
                <w:szCs w:val="21"/>
              </w:rPr>
              <w:t>，</w:t>
            </w:r>
            <w:r>
              <w:rPr>
                <w:rFonts w:hint="eastAsia" w:ascii="Times New Roman" w:hAnsi="Times New Roman" w:eastAsia="仿宋_GB2312" w:cs="Times New Roman"/>
                <w:color w:val="000000"/>
                <w:sz w:val="21"/>
                <w:szCs w:val="21"/>
                <w:lang w:val="en-US" w:eastAsia="zh-CN"/>
              </w:rPr>
              <w:t>属于</w:t>
            </w:r>
            <w:r>
              <w:rPr>
                <w:rFonts w:hint="eastAsia" w:ascii="Times New Roman" w:hAnsi="Times New Roman" w:eastAsia="仿宋_GB2312" w:cs="Times New Roman"/>
                <w:color w:val="000000"/>
                <w:kern w:val="0"/>
                <w:sz w:val="21"/>
                <w:szCs w:val="21"/>
                <w:lang w:val="en-US" w:eastAsia="zh-CN" w:bidi="ar-SA"/>
              </w:rPr>
              <w:t>传统产业提升改造，</w:t>
            </w:r>
            <w:r>
              <w:rPr>
                <w:rFonts w:hint="default" w:ascii="Times New Roman" w:hAnsi="Times New Roman" w:eastAsia="仿宋_GB2312" w:cs="Times New Roman"/>
                <w:color w:val="000000"/>
                <w:sz w:val="21"/>
                <w:szCs w:val="21"/>
              </w:rPr>
              <w:t>符合园区新一轮规划产业定位。</w:t>
            </w:r>
          </w:p>
          <w:p w14:paraId="68B6CFBC">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eastAsia="仿宋_GB2312"/>
                <w:b/>
                <w:bCs/>
                <w:color w:val="000000"/>
              </w:rPr>
            </w:pPr>
            <w:r>
              <w:rPr>
                <w:rFonts w:eastAsia="仿宋_GB2312"/>
                <w:b/>
                <w:bCs/>
                <w:color w:val="000000"/>
              </w:rPr>
              <w:t>表1-</w:t>
            </w:r>
            <w:r>
              <w:rPr>
                <w:rFonts w:hint="eastAsia" w:eastAsia="仿宋_GB2312"/>
                <w:b/>
                <w:bCs/>
                <w:color w:val="000000"/>
                <w:lang w:val="en-US" w:eastAsia="zh-CN"/>
              </w:rPr>
              <w:t xml:space="preserve">3  </w:t>
            </w:r>
            <w:r>
              <w:rPr>
                <w:rFonts w:eastAsia="仿宋_GB2312"/>
                <w:b/>
                <w:bCs/>
                <w:color w:val="000000"/>
              </w:rPr>
              <w:t>项目与园区新一轮规划环评生态环境准入清单相符性分析</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79"/>
              <w:gridCol w:w="675"/>
              <w:gridCol w:w="3355"/>
              <w:gridCol w:w="1645"/>
              <w:gridCol w:w="841"/>
            </w:tblGrid>
            <w:tr w14:paraId="2CB1BD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3" w:type="pct"/>
                  <w:tcBorders>
                    <w:tl2br w:val="nil"/>
                    <w:tr2bl w:val="nil"/>
                  </w:tcBorders>
                  <w:vAlign w:val="center"/>
                </w:tcPr>
                <w:p w14:paraId="6A5D8ACA">
                  <w:pPr>
                    <w:pageBreakBefore w:val="0"/>
                    <w:kinsoku/>
                    <w:wordWrap/>
                    <w:overflowPunct/>
                    <w:topLinePunct w:val="0"/>
                    <w:autoSpaceDE/>
                    <w:autoSpaceDN/>
                    <w:bidi w:val="0"/>
                    <w:adjustRightInd/>
                    <w:snapToGrid/>
                    <w:spacing w:before="0" w:after="0" w:line="240" w:lineRule="auto"/>
                    <w:ind w:left="0" w:right="0"/>
                    <w:jc w:val="center"/>
                    <w:textAlignment w:val="auto"/>
                    <w:outlineLvl w:val="9"/>
                    <w:rPr>
                      <w:rFonts w:hint="default" w:ascii="Times New Roman" w:hAnsi="Times New Roman" w:eastAsia="仿宋_GB2312" w:cs="Times New Roman"/>
                      <w:color w:val="000000"/>
                      <w:kern w:val="0"/>
                      <w:sz w:val="21"/>
                      <w:szCs w:val="21"/>
                      <w:vertAlign w:val="baseline"/>
                    </w:rPr>
                  </w:pPr>
                  <w:r>
                    <w:rPr>
                      <w:rFonts w:hint="default" w:ascii="Times New Roman" w:hAnsi="Times New Roman" w:eastAsia="仿宋_GB2312" w:cs="Times New Roman"/>
                      <w:b/>
                      <w:bCs/>
                      <w:color w:val="000000"/>
                      <w:sz w:val="21"/>
                      <w:szCs w:val="21"/>
                    </w:rPr>
                    <w:t>清单类型</w:t>
                  </w:r>
                </w:p>
              </w:tc>
              <w:tc>
                <w:tcPr>
                  <w:tcW w:w="2688" w:type="pct"/>
                  <w:gridSpan w:val="2"/>
                  <w:tcBorders>
                    <w:tl2br w:val="nil"/>
                    <w:tr2bl w:val="nil"/>
                  </w:tcBorders>
                  <w:vAlign w:val="center"/>
                </w:tcPr>
                <w:p w14:paraId="176BF0BE">
                  <w:pPr>
                    <w:pStyle w:val="28"/>
                    <w:keepNext w:val="0"/>
                    <w:keepLines w:val="0"/>
                    <w:pageBreakBefore w:val="0"/>
                    <w:widowControl w:val="0"/>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仿宋_GB2312" w:cs="Times New Roman"/>
                      <w:color w:val="000000"/>
                      <w:kern w:val="0"/>
                      <w:sz w:val="21"/>
                      <w:szCs w:val="21"/>
                      <w:vertAlign w:val="baseline"/>
                    </w:rPr>
                  </w:pPr>
                  <w:r>
                    <w:rPr>
                      <w:rFonts w:hint="default" w:ascii="Times New Roman" w:hAnsi="Times New Roman" w:eastAsia="仿宋_GB2312" w:cs="Times New Roman"/>
                      <w:b/>
                      <w:bCs/>
                      <w:color w:val="000000"/>
                      <w:sz w:val="21"/>
                      <w:szCs w:val="21"/>
                    </w:rPr>
                    <w:t>准入内容</w:t>
                  </w:r>
                </w:p>
              </w:tc>
              <w:tc>
                <w:tcPr>
                  <w:tcW w:w="1097" w:type="pct"/>
                  <w:tcBorders>
                    <w:tl2br w:val="nil"/>
                    <w:tr2bl w:val="nil"/>
                  </w:tcBorders>
                  <w:vAlign w:val="center"/>
                </w:tcPr>
                <w:p w14:paraId="5E69414E">
                  <w:pPr>
                    <w:pStyle w:val="28"/>
                    <w:keepNext w:val="0"/>
                    <w:keepLines w:val="0"/>
                    <w:pageBreakBefore w:val="0"/>
                    <w:widowControl w:val="0"/>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default" w:ascii="Times New Roman" w:hAnsi="Times New Roman" w:eastAsia="仿宋_GB2312" w:cs="Times New Roman"/>
                      <w:color w:val="000000"/>
                      <w:kern w:val="0"/>
                      <w:sz w:val="21"/>
                      <w:szCs w:val="21"/>
                      <w:vertAlign w:val="baseline"/>
                    </w:rPr>
                  </w:pPr>
                  <w:r>
                    <w:rPr>
                      <w:rFonts w:hint="default" w:ascii="Times New Roman" w:hAnsi="Times New Roman" w:eastAsia="仿宋_GB2312" w:cs="Times New Roman"/>
                      <w:b/>
                      <w:bCs/>
                      <w:color w:val="000000"/>
                      <w:sz w:val="21"/>
                      <w:szCs w:val="21"/>
                    </w:rPr>
                    <w:t>本项目情况</w:t>
                  </w:r>
                </w:p>
              </w:tc>
              <w:tc>
                <w:tcPr>
                  <w:tcW w:w="561" w:type="pct"/>
                  <w:tcBorders>
                    <w:tl2br w:val="nil"/>
                    <w:tr2bl w:val="nil"/>
                  </w:tcBorders>
                  <w:vAlign w:val="center"/>
                </w:tcPr>
                <w:p w14:paraId="02596CE9">
                  <w:pPr>
                    <w:pageBreakBefore w:val="0"/>
                    <w:kinsoku/>
                    <w:wordWrap/>
                    <w:overflowPunct/>
                    <w:topLinePunct w:val="0"/>
                    <w:autoSpaceDE/>
                    <w:autoSpaceDN/>
                    <w:bidi w:val="0"/>
                    <w:adjustRightInd/>
                    <w:snapToGrid/>
                    <w:spacing w:before="0" w:after="0" w:line="240" w:lineRule="auto"/>
                    <w:ind w:left="0" w:right="0"/>
                    <w:jc w:val="center"/>
                    <w:textAlignment w:val="auto"/>
                    <w:outlineLvl w:val="9"/>
                    <w:rPr>
                      <w:rFonts w:hint="default" w:ascii="Times New Roman" w:hAnsi="Times New Roman" w:eastAsia="仿宋_GB2312" w:cs="Times New Roman"/>
                      <w:color w:val="000000"/>
                      <w:kern w:val="0"/>
                      <w:sz w:val="21"/>
                      <w:szCs w:val="21"/>
                      <w:vertAlign w:val="baseline"/>
                    </w:rPr>
                  </w:pPr>
                  <w:r>
                    <w:rPr>
                      <w:rFonts w:hint="default" w:ascii="Times New Roman" w:hAnsi="Times New Roman" w:eastAsia="仿宋_GB2312" w:cs="Times New Roman"/>
                      <w:b/>
                      <w:bCs/>
                      <w:color w:val="000000"/>
                      <w:sz w:val="21"/>
                      <w:szCs w:val="21"/>
                    </w:rPr>
                    <w:t>相符性</w:t>
                  </w:r>
                </w:p>
              </w:tc>
            </w:tr>
            <w:tr w14:paraId="345B9C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3" w:type="pct"/>
                  <w:vMerge w:val="restart"/>
                  <w:tcBorders>
                    <w:tl2br w:val="nil"/>
                    <w:tr2bl w:val="nil"/>
                  </w:tcBorders>
                  <w:vAlign w:val="center"/>
                </w:tcPr>
                <w:p w14:paraId="631EBC03">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仿宋_GB2312" w:cs="Times New Roman"/>
                      <w:color w:val="000000"/>
                      <w:kern w:val="0"/>
                      <w:sz w:val="21"/>
                      <w:szCs w:val="21"/>
                      <w:vertAlign w:val="baseline"/>
                    </w:rPr>
                  </w:pPr>
                  <w:r>
                    <w:rPr>
                      <w:rFonts w:hint="default" w:ascii="Times New Roman" w:hAnsi="Times New Roman" w:eastAsia="仿宋_GB2312" w:cs="Times New Roman"/>
                      <w:color w:val="000000"/>
                      <w:sz w:val="21"/>
                      <w:szCs w:val="21"/>
                    </w:rPr>
                    <w:t>项目准入</w:t>
                  </w:r>
                </w:p>
              </w:tc>
              <w:tc>
                <w:tcPr>
                  <w:tcW w:w="450" w:type="pct"/>
                  <w:tcBorders>
                    <w:tl2br w:val="nil"/>
                    <w:tr2bl w:val="nil"/>
                  </w:tcBorders>
                  <w:vAlign w:val="center"/>
                </w:tcPr>
                <w:p w14:paraId="57BF88C8">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default" w:ascii="Times New Roman" w:hAnsi="Times New Roman" w:eastAsia="仿宋_GB2312" w:cs="Times New Roman"/>
                      <w:color w:val="000000"/>
                      <w:kern w:val="0"/>
                      <w:sz w:val="21"/>
                      <w:szCs w:val="21"/>
                      <w:vertAlign w:val="baseline"/>
                    </w:rPr>
                  </w:pPr>
                  <w:r>
                    <w:rPr>
                      <w:rFonts w:hint="default" w:ascii="Times New Roman" w:hAnsi="Times New Roman" w:eastAsia="仿宋_GB2312" w:cs="Times New Roman"/>
                      <w:color w:val="000000"/>
                      <w:sz w:val="21"/>
                      <w:szCs w:val="21"/>
                    </w:rPr>
                    <w:t>优先引入</w:t>
                  </w:r>
                </w:p>
              </w:tc>
              <w:tc>
                <w:tcPr>
                  <w:tcW w:w="2238" w:type="pct"/>
                  <w:tcBorders>
                    <w:tl2br w:val="nil"/>
                    <w:tr2bl w:val="nil"/>
                  </w:tcBorders>
                  <w:vAlign w:val="center"/>
                </w:tcPr>
                <w:p w14:paraId="4BCAA083">
                  <w:pPr>
                    <w:pStyle w:val="28"/>
                    <w:keepNext w:val="0"/>
                    <w:keepLines w:val="0"/>
                    <w:pageBreakBefore w:val="0"/>
                    <w:widowControl w:val="0"/>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sz w:val="21"/>
                      <w:szCs w:val="21"/>
                    </w:rPr>
                    <w:t>1、优先引入符合园区产业定位、排污负荷小、技术先进、清洁生产水平达到国际先进水平的项目；</w:t>
                  </w:r>
                </w:p>
                <w:p w14:paraId="38A1336E">
                  <w:pPr>
                    <w:pStyle w:val="28"/>
                    <w:keepNext w:val="0"/>
                    <w:keepLines w:val="0"/>
                    <w:pageBreakBefore w:val="0"/>
                    <w:widowControl w:val="0"/>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outlineLvl w:val="9"/>
                    <w:rPr>
                      <w:rFonts w:hint="default" w:ascii="Times New Roman" w:hAnsi="Times New Roman" w:eastAsia="仿宋_GB2312" w:cs="Times New Roman"/>
                      <w:color w:val="000000"/>
                      <w:kern w:val="0"/>
                      <w:sz w:val="21"/>
                      <w:szCs w:val="21"/>
                      <w:vertAlign w:val="baseline"/>
                    </w:rPr>
                  </w:pPr>
                  <w:r>
                    <w:rPr>
                      <w:rFonts w:hint="default" w:ascii="Times New Roman" w:hAnsi="Times New Roman" w:eastAsia="仿宋_GB2312" w:cs="Times New Roman"/>
                      <w:color w:val="000000"/>
                      <w:sz w:val="21"/>
                      <w:szCs w:val="21"/>
                    </w:rPr>
                    <w:t>2、优先引入《产业结构调整指导目录》鼓励类项目。</w:t>
                  </w:r>
                </w:p>
              </w:tc>
              <w:tc>
                <w:tcPr>
                  <w:tcW w:w="1097" w:type="pct"/>
                  <w:tcBorders>
                    <w:tl2br w:val="nil"/>
                    <w:tr2bl w:val="nil"/>
                  </w:tcBorders>
                  <w:vAlign w:val="center"/>
                </w:tcPr>
                <w:p w14:paraId="57D80D0F">
                  <w:pPr>
                    <w:pStyle w:val="28"/>
                    <w:keepNext w:val="0"/>
                    <w:keepLines w:val="0"/>
                    <w:pageBreakBefore w:val="0"/>
                    <w:widowControl w:val="0"/>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default" w:ascii="Times New Roman" w:hAnsi="Times New Roman" w:eastAsia="仿宋_GB2312" w:cs="Times New Roman"/>
                      <w:color w:val="000000"/>
                      <w:kern w:val="0"/>
                      <w:sz w:val="21"/>
                      <w:szCs w:val="21"/>
                      <w:vertAlign w:val="baseline"/>
                    </w:rPr>
                  </w:pPr>
                  <w:r>
                    <w:rPr>
                      <w:rFonts w:hint="default" w:ascii="Times New Roman" w:hAnsi="Times New Roman" w:eastAsia="仿宋_GB2312" w:cs="Times New Roman"/>
                      <w:color w:val="000000"/>
                      <w:sz w:val="21"/>
                      <w:szCs w:val="21"/>
                    </w:rPr>
                    <w:t>本项目从事</w:t>
                  </w:r>
                  <w:r>
                    <w:rPr>
                      <w:rFonts w:hint="eastAsia" w:ascii="Times New Roman" w:hAnsi="Times New Roman" w:eastAsia="仿宋_GB2312" w:cs="Times New Roman"/>
                      <w:color w:val="000000"/>
                      <w:sz w:val="21"/>
                      <w:szCs w:val="21"/>
                      <w:lang w:val="en-US" w:eastAsia="zh-CN"/>
                    </w:rPr>
                    <w:t>盐产品加工</w:t>
                  </w:r>
                  <w:r>
                    <w:rPr>
                      <w:rFonts w:hint="default" w:ascii="Times New Roman" w:hAnsi="Times New Roman" w:eastAsia="仿宋_GB2312" w:cs="Times New Roman"/>
                      <w:color w:val="000000"/>
                      <w:sz w:val="21"/>
                      <w:szCs w:val="21"/>
                    </w:rPr>
                    <w:t>，符合园区新一轮规划产业定位。</w:t>
                  </w:r>
                </w:p>
              </w:tc>
              <w:tc>
                <w:tcPr>
                  <w:tcW w:w="561" w:type="pct"/>
                  <w:tcBorders>
                    <w:tl2br w:val="nil"/>
                    <w:tr2bl w:val="nil"/>
                  </w:tcBorders>
                  <w:vAlign w:val="center"/>
                </w:tcPr>
                <w:p w14:paraId="57C9372F">
                  <w:pPr>
                    <w:pageBreakBefore w:val="0"/>
                    <w:kinsoku/>
                    <w:wordWrap/>
                    <w:overflowPunct/>
                    <w:topLinePunct w:val="0"/>
                    <w:autoSpaceDE/>
                    <w:autoSpaceDN/>
                    <w:bidi w:val="0"/>
                    <w:adjustRightInd/>
                    <w:snapToGrid/>
                    <w:spacing w:before="0" w:after="0" w:line="240" w:lineRule="auto"/>
                    <w:ind w:left="0" w:right="0"/>
                    <w:jc w:val="center"/>
                    <w:textAlignment w:val="auto"/>
                    <w:outlineLvl w:val="9"/>
                    <w:rPr>
                      <w:rFonts w:hint="eastAsia" w:ascii="Times New Roman" w:hAnsi="Times New Roman" w:eastAsia="仿宋_GB2312" w:cs="Times New Roman"/>
                      <w:color w:val="000000"/>
                      <w:kern w:val="0"/>
                      <w:sz w:val="21"/>
                      <w:szCs w:val="21"/>
                      <w:vertAlign w:val="baseline"/>
                      <w:lang w:val="en-US" w:eastAsia="zh-CN"/>
                    </w:rPr>
                  </w:pPr>
                  <w:r>
                    <w:rPr>
                      <w:rFonts w:hint="eastAsia" w:eastAsia="仿宋_GB2312" w:cs="Times New Roman"/>
                      <w:color w:val="000000"/>
                      <w:kern w:val="0"/>
                      <w:sz w:val="21"/>
                      <w:szCs w:val="21"/>
                      <w:vertAlign w:val="baseline"/>
                      <w:lang w:val="en-US" w:eastAsia="zh-CN"/>
                    </w:rPr>
                    <w:t>相符</w:t>
                  </w:r>
                </w:p>
              </w:tc>
            </w:tr>
            <w:tr w14:paraId="701CDA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3" w:type="pct"/>
                  <w:vMerge w:val="continue"/>
                  <w:tcBorders>
                    <w:tl2br w:val="nil"/>
                    <w:tr2bl w:val="nil"/>
                  </w:tcBorders>
                  <w:vAlign w:val="center"/>
                </w:tcPr>
                <w:p w14:paraId="39523B1E">
                  <w:pPr>
                    <w:pageBreakBefore w:val="0"/>
                    <w:kinsoku/>
                    <w:wordWrap/>
                    <w:overflowPunct/>
                    <w:topLinePunct w:val="0"/>
                    <w:autoSpaceDE/>
                    <w:autoSpaceDN/>
                    <w:bidi w:val="0"/>
                    <w:adjustRightInd/>
                    <w:snapToGrid/>
                    <w:spacing w:before="0" w:after="0" w:line="240" w:lineRule="auto"/>
                    <w:ind w:left="0" w:right="0"/>
                    <w:jc w:val="center"/>
                    <w:textAlignment w:val="auto"/>
                    <w:outlineLvl w:val="9"/>
                    <w:rPr>
                      <w:rFonts w:hint="default" w:ascii="Times New Roman" w:hAnsi="Times New Roman" w:eastAsia="仿宋_GB2312" w:cs="Times New Roman"/>
                      <w:color w:val="000000"/>
                      <w:kern w:val="0"/>
                      <w:sz w:val="21"/>
                      <w:szCs w:val="21"/>
                      <w:vertAlign w:val="baseline"/>
                    </w:rPr>
                  </w:pPr>
                </w:p>
              </w:tc>
              <w:tc>
                <w:tcPr>
                  <w:tcW w:w="450" w:type="pct"/>
                  <w:tcBorders>
                    <w:tl2br w:val="nil"/>
                    <w:tr2bl w:val="nil"/>
                  </w:tcBorders>
                  <w:vAlign w:val="center"/>
                </w:tcPr>
                <w:p w14:paraId="141B0955">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default" w:ascii="Times New Roman" w:hAnsi="Times New Roman" w:eastAsia="仿宋_GB2312" w:cs="Times New Roman"/>
                      <w:color w:val="000000"/>
                      <w:kern w:val="0"/>
                      <w:sz w:val="21"/>
                      <w:szCs w:val="21"/>
                      <w:vertAlign w:val="baseline"/>
                    </w:rPr>
                  </w:pPr>
                  <w:r>
                    <w:rPr>
                      <w:rFonts w:hint="default" w:ascii="Times New Roman" w:hAnsi="Times New Roman" w:eastAsia="仿宋_GB2312" w:cs="Times New Roman"/>
                      <w:color w:val="000000"/>
                      <w:sz w:val="21"/>
                      <w:szCs w:val="21"/>
                    </w:rPr>
                    <w:t>限制引入</w:t>
                  </w:r>
                </w:p>
              </w:tc>
              <w:tc>
                <w:tcPr>
                  <w:tcW w:w="2238" w:type="pct"/>
                  <w:tcBorders>
                    <w:tl2br w:val="nil"/>
                    <w:tr2bl w:val="nil"/>
                  </w:tcBorders>
                  <w:vAlign w:val="center"/>
                </w:tcPr>
                <w:p w14:paraId="60C5D2F7">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sz w:val="21"/>
                      <w:szCs w:val="21"/>
                    </w:rPr>
                    <w:t>1、《产业结构调整指导目录（2024年本）》、《江苏省太湖流域禁止和限制的产业产品目录(2024年本)》、《江苏省工业和信息产业结构调整限制淘汰目录和能耗限额》等中限制类项目；</w:t>
                  </w:r>
                </w:p>
                <w:p w14:paraId="12709FD2">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sz w:val="21"/>
                      <w:szCs w:val="21"/>
                    </w:rPr>
                    <w:t>2、限制“两高”项目进驻，若有“两高”项目进驻，满足《关于加强高耗能、高排放建设项目生态环境源头防控的指导意见》中相关要求；</w:t>
                  </w:r>
                </w:p>
                <w:p w14:paraId="502D9753">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outlineLvl w:val="9"/>
                    <w:rPr>
                      <w:rFonts w:hint="default" w:ascii="Times New Roman" w:hAnsi="Times New Roman" w:eastAsia="仿宋_GB2312" w:cs="Times New Roman"/>
                      <w:color w:val="000000"/>
                      <w:kern w:val="0"/>
                      <w:sz w:val="21"/>
                      <w:szCs w:val="21"/>
                      <w:vertAlign w:val="baseline"/>
                    </w:rPr>
                  </w:pPr>
                  <w:r>
                    <w:rPr>
                      <w:rFonts w:hint="default" w:ascii="Times New Roman" w:hAnsi="Times New Roman" w:eastAsia="仿宋_GB2312" w:cs="Times New Roman"/>
                      <w:color w:val="000000"/>
                      <w:sz w:val="21"/>
                      <w:szCs w:val="21"/>
                    </w:rPr>
                    <w:t>3、限制在居民区、学校附近布局排放异味废气污染物的企业。</w:t>
                  </w:r>
                </w:p>
              </w:tc>
              <w:tc>
                <w:tcPr>
                  <w:tcW w:w="1097" w:type="pct"/>
                  <w:vMerge w:val="restart"/>
                  <w:tcBorders>
                    <w:tl2br w:val="nil"/>
                    <w:tr2bl w:val="nil"/>
                  </w:tcBorders>
                  <w:vAlign w:val="center"/>
                </w:tcPr>
                <w:p w14:paraId="0835A59B">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仿宋_GB2312" w:cs="Times New Roman"/>
                      <w:color w:val="000000"/>
                      <w:kern w:val="0"/>
                      <w:sz w:val="21"/>
                      <w:szCs w:val="21"/>
                      <w:vertAlign w:val="baseline"/>
                    </w:rPr>
                  </w:pPr>
                  <w:r>
                    <w:rPr>
                      <w:rFonts w:hint="default" w:ascii="Times New Roman" w:hAnsi="Times New Roman" w:eastAsia="仿宋_GB2312" w:cs="Times New Roman"/>
                      <w:color w:val="000000"/>
                      <w:sz w:val="21"/>
                      <w:szCs w:val="21"/>
                    </w:rPr>
                    <w:t>本项目从事</w:t>
                  </w:r>
                  <w:r>
                    <w:rPr>
                      <w:rFonts w:hint="eastAsia" w:ascii="Times New Roman" w:hAnsi="Times New Roman" w:eastAsia="仿宋_GB2312" w:cs="Times New Roman"/>
                      <w:color w:val="000000"/>
                      <w:sz w:val="21"/>
                      <w:szCs w:val="21"/>
                      <w:lang w:val="en-US" w:eastAsia="zh-CN"/>
                    </w:rPr>
                    <w:t>盐产品加工</w:t>
                  </w:r>
                  <w:r>
                    <w:rPr>
                      <w:rFonts w:hint="default" w:ascii="Times New Roman" w:hAnsi="Times New Roman" w:eastAsia="仿宋_GB2312" w:cs="Times New Roman"/>
                      <w:color w:val="000000"/>
                      <w:sz w:val="21"/>
                      <w:szCs w:val="21"/>
                    </w:rPr>
                    <w:t>，项目所在地附近无居民区、学校，且不属于限制进驻的“两高”项目及精制引入项目，符合国家及地方产业政策。</w:t>
                  </w:r>
                </w:p>
              </w:tc>
              <w:tc>
                <w:tcPr>
                  <w:tcW w:w="561" w:type="pct"/>
                  <w:tcBorders>
                    <w:tl2br w:val="nil"/>
                    <w:tr2bl w:val="nil"/>
                  </w:tcBorders>
                  <w:vAlign w:val="center"/>
                </w:tcPr>
                <w:p w14:paraId="3E9C2644">
                  <w:pPr>
                    <w:pageBreakBefore w:val="0"/>
                    <w:kinsoku/>
                    <w:wordWrap/>
                    <w:overflowPunct/>
                    <w:topLinePunct w:val="0"/>
                    <w:autoSpaceDE/>
                    <w:autoSpaceDN/>
                    <w:bidi w:val="0"/>
                    <w:adjustRightInd/>
                    <w:snapToGrid/>
                    <w:spacing w:before="0" w:after="0" w:line="240" w:lineRule="auto"/>
                    <w:ind w:left="0" w:right="0"/>
                    <w:jc w:val="center"/>
                    <w:textAlignment w:val="auto"/>
                    <w:outlineLvl w:val="9"/>
                    <w:rPr>
                      <w:rFonts w:hint="default" w:ascii="Times New Roman" w:hAnsi="Times New Roman" w:eastAsia="仿宋_GB2312" w:cs="Times New Roman"/>
                      <w:color w:val="000000"/>
                      <w:kern w:val="0"/>
                      <w:sz w:val="21"/>
                      <w:szCs w:val="21"/>
                      <w:vertAlign w:val="baseline"/>
                    </w:rPr>
                  </w:pPr>
                  <w:r>
                    <w:rPr>
                      <w:rFonts w:hint="eastAsia" w:eastAsia="仿宋_GB2312" w:cs="Times New Roman"/>
                      <w:color w:val="000000"/>
                      <w:kern w:val="0"/>
                      <w:sz w:val="21"/>
                      <w:szCs w:val="21"/>
                      <w:vertAlign w:val="baseline"/>
                      <w:lang w:val="en-US" w:eastAsia="zh-CN"/>
                    </w:rPr>
                    <w:t>相符</w:t>
                  </w:r>
                </w:p>
              </w:tc>
            </w:tr>
            <w:tr w14:paraId="3091B4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3" w:type="pct"/>
                  <w:vMerge w:val="continue"/>
                  <w:tcBorders>
                    <w:tl2br w:val="nil"/>
                    <w:tr2bl w:val="nil"/>
                  </w:tcBorders>
                  <w:vAlign w:val="center"/>
                </w:tcPr>
                <w:p w14:paraId="26641072">
                  <w:pPr>
                    <w:pageBreakBefore w:val="0"/>
                    <w:kinsoku/>
                    <w:wordWrap/>
                    <w:overflowPunct/>
                    <w:topLinePunct w:val="0"/>
                    <w:autoSpaceDE/>
                    <w:autoSpaceDN/>
                    <w:bidi w:val="0"/>
                    <w:adjustRightInd/>
                    <w:snapToGrid/>
                    <w:spacing w:before="0" w:after="0" w:line="240" w:lineRule="auto"/>
                    <w:ind w:left="0" w:right="0"/>
                    <w:jc w:val="center"/>
                    <w:textAlignment w:val="auto"/>
                    <w:outlineLvl w:val="9"/>
                    <w:rPr>
                      <w:rFonts w:hint="default" w:ascii="Times New Roman" w:hAnsi="Times New Roman" w:eastAsia="仿宋_GB2312" w:cs="Times New Roman"/>
                      <w:color w:val="000000"/>
                      <w:kern w:val="0"/>
                      <w:sz w:val="21"/>
                      <w:szCs w:val="21"/>
                      <w:vertAlign w:val="baseline"/>
                    </w:rPr>
                  </w:pPr>
                </w:p>
              </w:tc>
              <w:tc>
                <w:tcPr>
                  <w:tcW w:w="450" w:type="pct"/>
                  <w:tcBorders>
                    <w:tl2br w:val="nil"/>
                    <w:tr2bl w:val="nil"/>
                  </w:tcBorders>
                  <w:vAlign w:val="center"/>
                </w:tcPr>
                <w:p w14:paraId="326F9D65">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default" w:ascii="Times New Roman" w:hAnsi="Times New Roman" w:eastAsia="仿宋_GB2312" w:cs="Times New Roman"/>
                      <w:color w:val="000000"/>
                      <w:kern w:val="0"/>
                      <w:sz w:val="21"/>
                      <w:szCs w:val="21"/>
                      <w:vertAlign w:val="baseline"/>
                    </w:rPr>
                  </w:pPr>
                  <w:r>
                    <w:rPr>
                      <w:rFonts w:hint="default" w:ascii="Times New Roman" w:hAnsi="Times New Roman" w:eastAsia="仿宋_GB2312" w:cs="Times New Roman"/>
                      <w:color w:val="000000"/>
                      <w:sz w:val="21"/>
                      <w:szCs w:val="21"/>
                    </w:rPr>
                    <w:t>禁止引入</w:t>
                  </w:r>
                </w:p>
              </w:tc>
              <w:tc>
                <w:tcPr>
                  <w:tcW w:w="2238" w:type="pct"/>
                  <w:tcBorders>
                    <w:tl2br w:val="nil"/>
                    <w:tr2bl w:val="nil"/>
                  </w:tcBorders>
                  <w:vAlign w:val="center"/>
                </w:tcPr>
                <w:p w14:paraId="4163B93F">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sz w:val="21"/>
                      <w:szCs w:val="21"/>
                    </w:rPr>
                    <w:t>1、禁止引入《产业结构调整指导目录》、《江苏省太湖流域禁止和限制的产业产品目录（2024年本）》及其他国家和地方产业政策中淘汰或禁止类的建设项目和工艺；</w:t>
                  </w:r>
                </w:p>
                <w:p w14:paraId="78729355">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sz w:val="21"/>
                      <w:szCs w:val="21"/>
                    </w:rPr>
                    <w:t>2、禁止引入不符合《江苏省太湖水污染防治条例》、《长江经济带发展负面清单指南(试行)》、《长江经济带发展负面清单指南(试行)江苏省实施细则》的项目；</w:t>
                  </w:r>
                </w:p>
                <w:p w14:paraId="1071B9CF">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sz w:val="21"/>
                      <w:szCs w:val="21"/>
                    </w:rPr>
                    <w:t>3、禁止新建钢铁、煤电、化工项目；</w:t>
                  </w:r>
                </w:p>
                <w:p w14:paraId="47BB57F8">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sz w:val="21"/>
                      <w:szCs w:val="21"/>
                    </w:rPr>
                    <w:t>4、禁止引入危险化学品仓储企业；</w:t>
                  </w:r>
                </w:p>
                <w:p w14:paraId="1625E0D5">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sz w:val="21"/>
                      <w:szCs w:val="21"/>
                    </w:rPr>
                    <w:t>5、禁止引入纯电镀加工(仅进行电镀加工工段，项目部分工段涉及电镀工艺的除外)；</w:t>
                  </w:r>
                </w:p>
                <w:p w14:paraId="16703169">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sz w:val="21"/>
                      <w:szCs w:val="21"/>
                    </w:rPr>
                    <w:t>6、新能源、新能源汽车，新智能：禁止建设使用高VOCs含量的溶剂型涂料、油墨、胶粘剂等项目(具有不可替代性除外)；</w:t>
                  </w:r>
                </w:p>
                <w:p w14:paraId="76F787B6">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sz w:val="21"/>
                      <w:szCs w:val="21"/>
                    </w:rPr>
                    <w:t>7、新医药：禁止引进医药中间体的项目；</w:t>
                  </w:r>
                </w:p>
                <w:p w14:paraId="41BB39AF">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sz w:val="21"/>
                      <w:szCs w:val="21"/>
                    </w:rPr>
                    <w:t>8、新材料：禁止引入化工类新材料项目；</w:t>
                  </w:r>
                </w:p>
                <w:p w14:paraId="1B9BB78D">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outlineLvl w:val="9"/>
                    <w:rPr>
                      <w:rFonts w:hint="default" w:ascii="Times New Roman" w:hAnsi="Times New Roman" w:eastAsia="仿宋_GB2312" w:cs="Times New Roman"/>
                      <w:color w:val="000000"/>
                      <w:kern w:val="0"/>
                      <w:sz w:val="21"/>
                      <w:szCs w:val="21"/>
                      <w:vertAlign w:val="baseline"/>
                    </w:rPr>
                  </w:pPr>
                  <w:r>
                    <w:rPr>
                      <w:rFonts w:hint="default" w:ascii="Times New Roman" w:hAnsi="Times New Roman" w:eastAsia="仿宋_GB2312" w:cs="Times New Roman"/>
                      <w:color w:val="000000"/>
                      <w:sz w:val="21"/>
                      <w:szCs w:val="21"/>
                    </w:rPr>
                    <w:t>9、禁止引入不符合新污染物管控要求的项目。</w:t>
                  </w:r>
                </w:p>
              </w:tc>
              <w:tc>
                <w:tcPr>
                  <w:tcW w:w="1097" w:type="pct"/>
                  <w:vMerge w:val="continue"/>
                  <w:tcBorders>
                    <w:tl2br w:val="nil"/>
                    <w:tr2bl w:val="nil"/>
                  </w:tcBorders>
                  <w:vAlign w:val="center"/>
                </w:tcPr>
                <w:p w14:paraId="717C2901">
                  <w:pPr>
                    <w:pageBreakBefore w:val="0"/>
                    <w:kinsoku/>
                    <w:wordWrap/>
                    <w:overflowPunct/>
                    <w:topLinePunct w:val="0"/>
                    <w:autoSpaceDE/>
                    <w:autoSpaceDN/>
                    <w:bidi w:val="0"/>
                    <w:adjustRightInd/>
                    <w:snapToGrid/>
                    <w:spacing w:before="0" w:after="0" w:line="240" w:lineRule="auto"/>
                    <w:ind w:left="0" w:right="0"/>
                    <w:jc w:val="center"/>
                    <w:textAlignment w:val="auto"/>
                    <w:outlineLvl w:val="9"/>
                    <w:rPr>
                      <w:rFonts w:hint="default" w:ascii="Times New Roman" w:hAnsi="Times New Roman" w:eastAsia="仿宋_GB2312" w:cs="Times New Roman"/>
                      <w:color w:val="000000"/>
                      <w:kern w:val="0"/>
                      <w:sz w:val="21"/>
                      <w:szCs w:val="21"/>
                      <w:vertAlign w:val="baseline"/>
                    </w:rPr>
                  </w:pPr>
                </w:p>
              </w:tc>
              <w:tc>
                <w:tcPr>
                  <w:tcW w:w="561" w:type="pct"/>
                  <w:tcBorders>
                    <w:tl2br w:val="nil"/>
                    <w:tr2bl w:val="nil"/>
                  </w:tcBorders>
                  <w:vAlign w:val="center"/>
                </w:tcPr>
                <w:p w14:paraId="33797F27">
                  <w:pPr>
                    <w:pageBreakBefore w:val="0"/>
                    <w:kinsoku/>
                    <w:wordWrap/>
                    <w:overflowPunct/>
                    <w:topLinePunct w:val="0"/>
                    <w:autoSpaceDE/>
                    <w:autoSpaceDN/>
                    <w:bidi w:val="0"/>
                    <w:adjustRightInd/>
                    <w:snapToGrid/>
                    <w:spacing w:before="0" w:after="0" w:line="240" w:lineRule="auto"/>
                    <w:ind w:left="0" w:right="0"/>
                    <w:jc w:val="center"/>
                    <w:textAlignment w:val="auto"/>
                    <w:outlineLvl w:val="9"/>
                    <w:rPr>
                      <w:rFonts w:hint="default" w:ascii="Times New Roman" w:hAnsi="Times New Roman" w:eastAsia="仿宋_GB2312" w:cs="Times New Roman"/>
                      <w:color w:val="000000"/>
                      <w:kern w:val="0"/>
                      <w:sz w:val="21"/>
                      <w:szCs w:val="21"/>
                      <w:vertAlign w:val="baseline"/>
                    </w:rPr>
                  </w:pPr>
                  <w:r>
                    <w:rPr>
                      <w:rFonts w:hint="eastAsia" w:eastAsia="仿宋_GB2312" w:cs="Times New Roman"/>
                      <w:color w:val="000000"/>
                      <w:kern w:val="0"/>
                      <w:sz w:val="21"/>
                      <w:szCs w:val="21"/>
                      <w:vertAlign w:val="baseline"/>
                      <w:lang w:val="en-US" w:eastAsia="zh-CN"/>
                    </w:rPr>
                    <w:t>相符</w:t>
                  </w:r>
                </w:p>
              </w:tc>
            </w:tr>
            <w:tr w14:paraId="271D7A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3" w:type="pct"/>
                  <w:tcBorders>
                    <w:tl2br w:val="nil"/>
                    <w:tr2bl w:val="nil"/>
                  </w:tcBorders>
                  <w:vAlign w:val="center"/>
                </w:tcPr>
                <w:p w14:paraId="20293A71">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仿宋_GB2312" w:cs="Times New Roman"/>
                      <w:color w:val="000000"/>
                      <w:kern w:val="0"/>
                      <w:sz w:val="21"/>
                      <w:szCs w:val="21"/>
                      <w:vertAlign w:val="baseline"/>
                    </w:rPr>
                  </w:pPr>
                  <w:r>
                    <w:rPr>
                      <w:rFonts w:hint="default" w:ascii="Times New Roman" w:hAnsi="Times New Roman" w:eastAsia="仿宋_GB2312" w:cs="Times New Roman"/>
                      <w:color w:val="000000"/>
                      <w:sz w:val="21"/>
                      <w:szCs w:val="21"/>
                    </w:rPr>
                    <w:t>空间布局约束</w:t>
                  </w:r>
                </w:p>
              </w:tc>
              <w:tc>
                <w:tcPr>
                  <w:tcW w:w="2688" w:type="pct"/>
                  <w:gridSpan w:val="2"/>
                  <w:tcBorders>
                    <w:tl2br w:val="nil"/>
                    <w:tr2bl w:val="nil"/>
                  </w:tcBorders>
                  <w:vAlign w:val="center"/>
                </w:tcPr>
                <w:p w14:paraId="585571C3">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sz w:val="21"/>
                      <w:szCs w:val="21"/>
                    </w:rPr>
                    <w:t>1、在居住用地与工业用地之间设置不少于50m的空间隔离带；</w:t>
                  </w:r>
                </w:p>
                <w:p w14:paraId="118BF5C7">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sz w:val="21"/>
                      <w:szCs w:val="21"/>
                    </w:rPr>
                    <w:t>2、入区项目严格按照环评要求设置相应的卫生防护距离或环境防护距离，确保该范围内不涉及住宅、学校等敏感目标；</w:t>
                  </w:r>
                </w:p>
                <w:p w14:paraId="498C1AF9">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outlineLvl w:val="9"/>
                    <w:rPr>
                      <w:rFonts w:hint="default" w:ascii="Times New Roman" w:hAnsi="Times New Roman" w:eastAsia="仿宋_GB2312" w:cs="Times New Roman"/>
                      <w:color w:val="000000"/>
                      <w:kern w:val="0"/>
                      <w:sz w:val="21"/>
                      <w:szCs w:val="21"/>
                      <w:vertAlign w:val="baseline"/>
                    </w:rPr>
                  </w:pPr>
                  <w:r>
                    <w:rPr>
                      <w:rFonts w:hint="default" w:ascii="Times New Roman" w:hAnsi="Times New Roman" w:eastAsia="仿宋_GB2312" w:cs="Times New Roman"/>
                      <w:color w:val="000000"/>
                      <w:sz w:val="21"/>
                      <w:szCs w:val="21"/>
                    </w:rPr>
                    <w:t>3、禁止突破城镇开发边界和占用永久基本农田。</w:t>
                  </w:r>
                </w:p>
              </w:tc>
              <w:tc>
                <w:tcPr>
                  <w:tcW w:w="1097" w:type="pct"/>
                  <w:tcBorders>
                    <w:tl2br w:val="nil"/>
                    <w:tr2bl w:val="nil"/>
                  </w:tcBorders>
                  <w:vAlign w:val="center"/>
                </w:tcPr>
                <w:p w14:paraId="76721A82">
                  <w:pPr>
                    <w:pageBreakBefore w:val="0"/>
                    <w:kinsoku/>
                    <w:wordWrap/>
                    <w:overflowPunct/>
                    <w:topLinePunct w:val="0"/>
                    <w:autoSpaceDE/>
                    <w:autoSpaceDN/>
                    <w:bidi w:val="0"/>
                    <w:adjustRightInd/>
                    <w:snapToGrid/>
                    <w:spacing w:before="0" w:after="0" w:line="240" w:lineRule="auto"/>
                    <w:ind w:left="0" w:right="0"/>
                    <w:jc w:val="center"/>
                    <w:textAlignment w:val="auto"/>
                    <w:outlineLvl w:val="9"/>
                    <w:rPr>
                      <w:rFonts w:hint="default" w:ascii="Times New Roman" w:hAnsi="Times New Roman" w:eastAsia="仿宋_GB2312" w:cs="Times New Roman"/>
                      <w:color w:val="000000"/>
                      <w:kern w:val="0"/>
                      <w:sz w:val="21"/>
                      <w:szCs w:val="21"/>
                      <w:vertAlign w:val="baseline"/>
                    </w:rPr>
                  </w:pPr>
                  <w:r>
                    <w:rPr>
                      <w:rFonts w:hint="default" w:ascii="Times New Roman" w:hAnsi="Times New Roman" w:eastAsia="仿宋_GB2312" w:cs="Times New Roman"/>
                      <w:color w:val="000000"/>
                      <w:sz w:val="21"/>
                      <w:szCs w:val="21"/>
                    </w:rPr>
                    <w:t>本项目所在地属于工业发展区，不占用耕地和永久基本农田，同时项目</w:t>
                  </w:r>
                  <w:r>
                    <w:rPr>
                      <w:rFonts w:hint="eastAsia" w:eastAsia="仿宋_GB2312" w:cs="Times New Roman"/>
                      <w:color w:val="000000"/>
                      <w:sz w:val="21"/>
                      <w:szCs w:val="21"/>
                      <w:lang w:val="en-US" w:eastAsia="zh-CN"/>
                    </w:rPr>
                    <w:t>5</w:t>
                  </w:r>
                  <w:r>
                    <w:rPr>
                      <w:rFonts w:hint="default" w:ascii="Times New Roman" w:hAnsi="Times New Roman" w:eastAsia="仿宋_GB2312" w:cs="Times New Roman"/>
                      <w:color w:val="000000"/>
                      <w:sz w:val="21"/>
                      <w:szCs w:val="21"/>
                    </w:rPr>
                    <w:t>0米卫生防护距离范围内不涉及住宅、学校等敏感目标。</w:t>
                  </w:r>
                </w:p>
              </w:tc>
              <w:tc>
                <w:tcPr>
                  <w:tcW w:w="561" w:type="pct"/>
                  <w:tcBorders>
                    <w:tl2br w:val="nil"/>
                    <w:tr2bl w:val="nil"/>
                  </w:tcBorders>
                  <w:vAlign w:val="center"/>
                </w:tcPr>
                <w:p w14:paraId="6C165BE2">
                  <w:pPr>
                    <w:pageBreakBefore w:val="0"/>
                    <w:kinsoku/>
                    <w:wordWrap/>
                    <w:overflowPunct/>
                    <w:topLinePunct w:val="0"/>
                    <w:autoSpaceDE/>
                    <w:autoSpaceDN/>
                    <w:bidi w:val="0"/>
                    <w:adjustRightInd/>
                    <w:snapToGrid/>
                    <w:spacing w:before="0" w:after="0" w:line="240" w:lineRule="auto"/>
                    <w:ind w:left="0" w:right="0"/>
                    <w:jc w:val="center"/>
                    <w:textAlignment w:val="auto"/>
                    <w:outlineLvl w:val="9"/>
                    <w:rPr>
                      <w:rFonts w:hint="default" w:ascii="Times New Roman" w:hAnsi="Times New Roman" w:eastAsia="仿宋_GB2312" w:cs="Times New Roman"/>
                      <w:color w:val="000000"/>
                      <w:kern w:val="0"/>
                      <w:sz w:val="21"/>
                      <w:szCs w:val="21"/>
                      <w:vertAlign w:val="baseline"/>
                    </w:rPr>
                  </w:pPr>
                  <w:r>
                    <w:rPr>
                      <w:rFonts w:hint="eastAsia" w:eastAsia="仿宋_GB2312" w:cs="Times New Roman"/>
                      <w:color w:val="000000"/>
                      <w:kern w:val="0"/>
                      <w:sz w:val="21"/>
                      <w:szCs w:val="21"/>
                      <w:vertAlign w:val="baseline"/>
                      <w:lang w:val="en-US" w:eastAsia="zh-CN"/>
                    </w:rPr>
                    <w:t>相符</w:t>
                  </w:r>
                </w:p>
              </w:tc>
            </w:tr>
            <w:tr w14:paraId="7A4DCA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3" w:type="pct"/>
                  <w:vMerge w:val="restart"/>
                  <w:tcBorders>
                    <w:tl2br w:val="nil"/>
                    <w:tr2bl w:val="nil"/>
                  </w:tcBorders>
                  <w:vAlign w:val="center"/>
                </w:tcPr>
                <w:p w14:paraId="4C8A544A">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仿宋_GB2312" w:cs="Times New Roman"/>
                      <w:color w:val="000000"/>
                      <w:kern w:val="0"/>
                      <w:sz w:val="21"/>
                      <w:szCs w:val="21"/>
                      <w:vertAlign w:val="baseline"/>
                    </w:rPr>
                  </w:pPr>
                  <w:r>
                    <w:rPr>
                      <w:rFonts w:hint="default" w:ascii="Times New Roman" w:hAnsi="Times New Roman" w:eastAsia="仿宋_GB2312" w:cs="Times New Roman"/>
                      <w:color w:val="000000"/>
                      <w:sz w:val="21"/>
                      <w:szCs w:val="21"/>
                    </w:rPr>
                    <w:t>污染物排放管控</w:t>
                  </w:r>
                </w:p>
              </w:tc>
              <w:tc>
                <w:tcPr>
                  <w:tcW w:w="450" w:type="pct"/>
                  <w:tcBorders>
                    <w:tl2br w:val="nil"/>
                    <w:tr2bl w:val="nil"/>
                  </w:tcBorders>
                  <w:vAlign w:val="center"/>
                </w:tcPr>
                <w:p w14:paraId="6747602D">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default" w:ascii="Times New Roman" w:hAnsi="Times New Roman" w:eastAsia="仿宋_GB2312" w:cs="Times New Roman"/>
                      <w:color w:val="000000"/>
                      <w:kern w:val="0"/>
                      <w:sz w:val="21"/>
                      <w:szCs w:val="21"/>
                      <w:vertAlign w:val="baseline"/>
                    </w:rPr>
                  </w:pPr>
                  <w:r>
                    <w:rPr>
                      <w:rFonts w:hint="default" w:ascii="Times New Roman" w:hAnsi="Times New Roman" w:eastAsia="仿宋_GB2312" w:cs="Times New Roman"/>
                      <w:color w:val="000000"/>
                      <w:sz w:val="21"/>
                      <w:szCs w:val="21"/>
                    </w:rPr>
                    <w:t>总体要求</w:t>
                  </w:r>
                </w:p>
              </w:tc>
              <w:tc>
                <w:tcPr>
                  <w:tcW w:w="2238" w:type="pct"/>
                  <w:tcBorders>
                    <w:tl2br w:val="nil"/>
                    <w:tr2bl w:val="nil"/>
                  </w:tcBorders>
                  <w:vAlign w:val="center"/>
                </w:tcPr>
                <w:p w14:paraId="320B49E8">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sz w:val="21"/>
                      <w:szCs w:val="21"/>
                    </w:rPr>
                    <w:t>1、排放污染物必须达到国家和地方规定的污染物排放标准；</w:t>
                  </w:r>
                </w:p>
                <w:p w14:paraId="7F974166">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sz w:val="21"/>
                      <w:szCs w:val="21"/>
                    </w:rPr>
                    <w:t>2、建设项目主要污染物（颗粒物、二氧化硫、氮氧化物、VOCs）排放总量控制因子，根据省、市相关要求，进行污染物总量2倍减量替代；</w:t>
                  </w:r>
                </w:p>
                <w:p w14:paraId="20D0483B">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outlineLvl w:val="9"/>
                    <w:rPr>
                      <w:rFonts w:hint="default" w:ascii="Times New Roman" w:hAnsi="Times New Roman" w:eastAsia="仿宋_GB2312" w:cs="Times New Roman"/>
                      <w:color w:val="000000"/>
                      <w:kern w:val="0"/>
                      <w:sz w:val="21"/>
                      <w:szCs w:val="21"/>
                      <w:vertAlign w:val="baseline"/>
                    </w:rPr>
                  </w:pPr>
                  <w:r>
                    <w:rPr>
                      <w:rFonts w:hint="default" w:ascii="Times New Roman" w:hAnsi="Times New Roman" w:eastAsia="仿宋_GB2312" w:cs="Times New Roman"/>
                      <w:color w:val="000000"/>
                      <w:sz w:val="21"/>
                      <w:szCs w:val="21"/>
                    </w:rPr>
                    <w:t>3、按照《江苏省挥发性有机物清洁原料替代工作方案》(苏大气办〔2021〕2号)要求，积极开展园区挥发性有机物清洁原料推广替代工作。</w:t>
                  </w:r>
                </w:p>
              </w:tc>
              <w:tc>
                <w:tcPr>
                  <w:tcW w:w="1097" w:type="pct"/>
                  <w:vMerge w:val="restart"/>
                  <w:tcBorders>
                    <w:tl2br w:val="nil"/>
                    <w:tr2bl w:val="nil"/>
                  </w:tcBorders>
                  <w:vAlign w:val="center"/>
                </w:tcPr>
                <w:p w14:paraId="52A9C733">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仿宋_GB2312" w:cs="Times New Roman"/>
                      <w:color w:val="000000"/>
                      <w:kern w:val="0"/>
                      <w:sz w:val="21"/>
                      <w:szCs w:val="21"/>
                      <w:vertAlign w:val="baseline"/>
                    </w:rPr>
                  </w:pPr>
                  <w:r>
                    <w:rPr>
                      <w:rFonts w:hint="default" w:ascii="Times New Roman" w:hAnsi="Times New Roman" w:eastAsia="仿宋_GB2312" w:cs="Times New Roman"/>
                      <w:color w:val="000000"/>
                      <w:sz w:val="21"/>
                      <w:szCs w:val="21"/>
                    </w:rPr>
                    <w:t>本项目废气、废水均采取有效的收集、治理措施，以减少污染物排放量，并在项目获批前取得相关总量指标。</w:t>
                  </w:r>
                </w:p>
              </w:tc>
              <w:tc>
                <w:tcPr>
                  <w:tcW w:w="561" w:type="pct"/>
                  <w:vMerge w:val="restart"/>
                  <w:tcBorders>
                    <w:tl2br w:val="nil"/>
                    <w:tr2bl w:val="nil"/>
                  </w:tcBorders>
                  <w:vAlign w:val="center"/>
                </w:tcPr>
                <w:p w14:paraId="752C2690">
                  <w:pPr>
                    <w:pageBreakBefore w:val="0"/>
                    <w:kinsoku/>
                    <w:wordWrap/>
                    <w:overflowPunct/>
                    <w:topLinePunct w:val="0"/>
                    <w:autoSpaceDE/>
                    <w:autoSpaceDN/>
                    <w:bidi w:val="0"/>
                    <w:adjustRightInd/>
                    <w:snapToGrid/>
                    <w:spacing w:before="0" w:after="0" w:line="240" w:lineRule="auto"/>
                    <w:ind w:left="0" w:right="0"/>
                    <w:jc w:val="center"/>
                    <w:textAlignment w:val="auto"/>
                    <w:outlineLvl w:val="9"/>
                    <w:rPr>
                      <w:rFonts w:hint="default" w:ascii="Times New Roman" w:hAnsi="Times New Roman" w:eastAsia="仿宋_GB2312" w:cs="Times New Roman"/>
                      <w:color w:val="000000"/>
                      <w:kern w:val="0"/>
                      <w:sz w:val="21"/>
                      <w:szCs w:val="21"/>
                      <w:vertAlign w:val="baseline"/>
                    </w:rPr>
                  </w:pPr>
                  <w:r>
                    <w:rPr>
                      <w:rFonts w:hint="eastAsia" w:eastAsia="仿宋_GB2312" w:cs="Times New Roman"/>
                      <w:color w:val="000000"/>
                      <w:kern w:val="0"/>
                      <w:sz w:val="21"/>
                      <w:szCs w:val="21"/>
                      <w:vertAlign w:val="baseline"/>
                      <w:lang w:val="en-US" w:eastAsia="zh-CN"/>
                    </w:rPr>
                    <w:t>相符</w:t>
                  </w:r>
                </w:p>
              </w:tc>
            </w:tr>
            <w:tr w14:paraId="5C36B1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3" w:type="pct"/>
                  <w:vMerge w:val="continue"/>
                  <w:tcBorders>
                    <w:tl2br w:val="nil"/>
                    <w:tr2bl w:val="nil"/>
                  </w:tcBorders>
                  <w:vAlign w:val="center"/>
                </w:tcPr>
                <w:p w14:paraId="0147AED2">
                  <w:pPr>
                    <w:pageBreakBefore w:val="0"/>
                    <w:kinsoku/>
                    <w:wordWrap/>
                    <w:overflowPunct/>
                    <w:topLinePunct w:val="0"/>
                    <w:autoSpaceDE/>
                    <w:autoSpaceDN/>
                    <w:bidi w:val="0"/>
                    <w:adjustRightInd/>
                    <w:snapToGrid/>
                    <w:spacing w:before="0" w:after="0" w:line="240" w:lineRule="auto"/>
                    <w:ind w:left="0" w:right="0"/>
                    <w:jc w:val="center"/>
                    <w:textAlignment w:val="auto"/>
                    <w:outlineLvl w:val="9"/>
                    <w:rPr>
                      <w:rFonts w:hint="default" w:ascii="Times New Roman" w:hAnsi="Times New Roman" w:eastAsia="仿宋_GB2312" w:cs="Times New Roman"/>
                      <w:color w:val="000000"/>
                      <w:kern w:val="0"/>
                      <w:sz w:val="21"/>
                      <w:szCs w:val="21"/>
                      <w:vertAlign w:val="baseline"/>
                    </w:rPr>
                  </w:pPr>
                </w:p>
              </w:tc>
              <w:tc>
                <w:tcPr>
                  <w:tcW w:w="450" w:type="pct"/>
                  <w:tcBorders>
                    <w:tl2br w:val="nil"/>
                    <w:tr2bl w:val="nil"/>
                  </w:tcBorders>
                  <w:vAlign w:val="center"/>
                </w:tcPr>
                <w:p w14:paraId="3CE3B78F">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default" w:ascii="Times New Roman" w:hAnsi="Times New Roman" w:eastAsia="仿宋_GB2312" w:cs="Times New Roman"/>
                      <w:color w:val="000000"/>
                      <w:kern w:val="0"/>
                      <w:sz w:val="21"/>
                      <w:szCs w:val="21"/>
                      <w:vertAlign w:val="baseline"/>
                    </w:rPr>
                  </w:pPr>
                  <w:r>
                    <w:rPr>
                      <w:rFonts w:hint="default" w:ascii="Times New Roman" w:hAnsi="Times New Roman" w:eastAsia="仿宋_GB2312" w:cs="Times New Roman"/>
                      <w:color w:val="000000"/>
                      <w:sz w:val="21"/>
                      <w:szCs w:val="21"/>
                    </w:rPr>
                    <w:t>环境质量</w:t>
                  </w:r>
                </w:p>
              </w:tc>
              <w:tc>
                <w:tcPr>
                  <w:tcW w:w="2238" w:type="pct"/>
                  <w:tcBorders>
                    <w:tl2br w:val="nil"/>
                    <w:tr2bl w:val="nil"/>
                  </w:tcBorders>
                  <w:vAlign w:val="center"/>
                </w:tcPr>
                <w:p w14:paraId="248AFA26">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sz w:val="21"/>
                      <w:szCs w:val="21"/>
                    </w:rPr>
                    <w:t>1、到2027年，PM</w:t>
                  </w:r>
                  <w:r>
                    <w:rPr>
                      <w:rFonts w:hint="default" w:ascii="Times New Roman" w:hAnsi="Times New Roman" w:eastAsia="仿宋_GB2312" w:cs="Times New Roman"/>
                      <w:color w:val="000000"/>
                      <w:sz w:val="21"/>
                      <w:szCs w:val="21"/>
                      <w:vertAlign w:val="subscript"/>
                    </w:rPr>
                    <w:t>2.5</w:t>
                  </w:r>
                  <w:r>
                    <w:rPr>
                      <w:rFonts w:hint="default" w:ascii="Times New Roman" w:hAnsi="Times New Roman" w:eastAsia="仿宋_GB2312" w:cs="Times New Roman"/>
                      <w:color w:val="000000"/>
                      <w:sz w:val="21"/>
                      <w:szCs w:val="21"/>
                    </w:rPr>
                    <w:t>、臭氧、二氧化氮年均值分别达到30、158、25微克/立方米；</w:t>
                  </w:r>
                </w:p>
                <w:p w14:paraId="3F0758D6">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sz w:val="21"/>
                      <w:szCs w:val="21"/>
                    </w:rPr>
                    <w:t>2、丹金溧漕河、尧塘河(金坛段)河道水质分别达到Ⅳ类、Ⅲ类标准，下塘河、金花河、小柘荡河、薛庄河等其他河道达到Ⅳ类标准；</w:t>
                  </w:r>
                </w:p>
                <w:p w14:paraId="1C8ACB42">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sz w:val="21"/>
                      <w:szCs w:val="21"/>
                    </w:rPr>
                    <w:t>3、土壤环境质量达到《土壤环境质量 建设用地土壤污染风险管控标准(试行)》(GB36600-2018)表1和表2中的第一类、第二类用地筛选值标准。</w:t>
                  </w:r>
                </w:p>
                <w:p w14:paraId="70052DAF">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outlineLvl w:val="9"/>
                    <w:rPr>
                      <w:rFonts w:hint="default" w:ascii="Times New Roman" w:hAnsi="Times New Roman" w:eastAsia="仿宋_GB2312" w:cs="Times New Roman"/>
                      <w:color w:val="000000"/>
                      <w:kern w:val="0"/>
                      <w:sz w:val="21"/>
                      <w:szCs w:val="21"/>
                      <w:vertAlign w:val="baseline"/>
                    </w:rPr>
                  </w:pPr>
                  <w:r>
                    <w:rPr>
                      <w:rFonts w:hint="default" w:ascii="Times New Roman" w:hAnsi="Times New Roman" w:eastAsia="仿宋_GB2312" w:cs="Times New Roman"/>
                      <w:color w:val="000000"/>
                      <w:sz w:val="21"/>
                      <w:szCs w:val="21"/>
                    </w:rPr>
                    <w:t>4声环境质量：满足《声环境质量标准》(GB3096-2008)中相应声环境功能区标准要求。</w:t>
                  </w:r>
                </w:p>
              </w:tc>
              <w:tc>
                <w:tcPr>
                  <w:tcW w:w="1097" w:type="pct"/>
                  <w:vMerge w:val="continue"/>
                  <w:tcBorders>
                    <w:tl2br w:val="nil"/>
                    <w:tr2bl w:val="nil"/>
                  </w:tcBorders>
                  <w:vAlign w:val="center"/>
                </w:tcPr>
                <w:p w14:paraId="2B0A88E1">
                  <w:pPr>
                    <w:pageBreakBefore w:val="0"/>
                    <w:kinsoku/>
                    <w:wordWrap/>
                    <w:overflowPunct/>
                    <w:topLinePunct w:val="0"/>
                    <w:autoSpaceDE/>
                    <w:autoSpaceDN/>
                    <w:bidi w:val="0"/>
                    <w:adjustRightInd/>
                    <w:snapToGrid/>
                    <w:spacing w:before="0" w:after="0" w:line="240" w:lineRule="auto"/>
                    <w:ind w:left="0" w:right="0"/>
                    <w:jc w:val="center"/>
                    <w:textAlignment w:val="auto"/>
                    <w:outlineLvl w:val="9"/>
                    <w:rPr>
                      <w:rFonts w:hint="default" w:ascii="Times New Roman" w:hAnsi="Times New Roman" w:eastAsia="仿宋_GB2312" w:cs="Times New Roman"/>
                      <w:color w:val="000000"/>
                      <w:kern w:val="0"/>
                      <w:sz w:val="21"/>
                      <w:szCs w:val="21"/>
                      <w:vertAlign w:val="baseline"/>
                    </w:rPr>
                  </w:pPr>
                </w:p>
              </w:tc>
              <w:tc>
                <w:tcPr>
                  <w:tcW w:w="561" w:type="pct"/>
                  <w:vMerge w:val="continue"/>
                  <w:tcBorders>
                    <w:tl2br w:val="nil"/>
                    <w:tr2bl w:val="nil"/>
                  </w:tcBorders>
                  <w:vAlign w:val="center"/>
                </w:tcPr>
                <w:p w14:paraId="42C8BF0E">
                  <w:pPr>
                    <w:pageBreakBefore w:val="0"/>
                    <w:kinsoku/>
                    <w:wordWrap/>
                    <w:overflowPunct/>
                    <w:topLinePunct w:val="0"/>
                    <w:autoSpaceDE/>
                    <w:autoSpaceDN/>
                    <w:bidi w:val="0"/>
                    <w:adjustRightInd/>
                    <w:snapToGrid/>
                    <w:spacing w:before="0" w:after="0" w:line="240" w:lineRule="auto"/>
                    <w:ind w:left="0" w:right="0"/>
                    <w:jc w:val="center"/>
                    <w:textAlignment w:val="auto"/>
                    <w:outlineLvl w:val="9"/>
                    <w:rPr>
                      <w:rFonts w:hint="default" w:ascii="Times New Roman" w:hAnsi="Times New Roman" w:eastAsia="仿宋_GB2312" w:cs="Times New Roman"/>
                      <w:color w:val="000000"/>
                      <w:kern w:val="0"/>
                      <w:sz w:val="21"/>
                      <w:szCs w:val="21"/>
                      <w:vertAlign w:val="baseline"/>
                    </w:rPr>
                  </w:pPr>
                </w:p>
              </w:tc>
            </w:tr>
            <w:tr w14:paraId="169264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3" w:type="pct"/>
                  <w:vMerge w:val="continue"/>
                  <w:tcBorders>
                    <w:tl2br w:val="nil"/>
                    <w:tr2bl w:val="nil"/>
                  </w:tcBorders>
                  <w:vAlign w:val="center"/>
                </w:tcPr>
                <w:p w14:paraId="080CB3C6">
                  <w:pPr>
                    <w:pageBreakBefore w:val="0"/>
                    <w:kinsoku/>
                    <w:wordWrap/>
                    <w:overflowPunct/>
                    <w:topLinePunct w:val="0"/>
                    <w:autoSpaceDE/>
                    <w:autoSpaceDN/>
                    <w:bidi w:val="0"/>
                    <w:adjustRightInd/>
                    <w:snapToGrid/>
                    <w:spacing w:before="0" w:after="0" w:line="240" w:lineRule="auto"/>
                    <w:ind w:left="0" w:right="0"/>
                    <w:jc w:val="center"/>
                    <w:textAlignment w:val="auto"/>
                    <w:outlineLvl w:val="9"/>
                    <w:rPr>
                      <w:rFonts w:hint="default" w:ascii="Times New Roman" w:hAnsi="Times New Roman" w:eastAsia="仿宋_GB2312" w:cs="Times New Roman"/>
                      <w:color w:val="000000"/>
                      <w:kern w:val="0"/>
                      <w:sz w:val="21"/>
                      <w:szCs w:val="21"/>
                      <w:vertAlign w:val="baseline"/>
                    </w:rPr>
                  </w:pPr>
                </w:p>
              </w:tc>
              <w:tc>
                <w:tcPr>
                  <w:tcW w:w="450" w:type="pct"/>
                  <w:tcBorders>
                    <w:tl2br w:val="nil"/>
                    <w:tr2bl w:val="nil"/>
                  </w:tcBorders>
                  <w:vAlign w:val="center"/>
                </w:tcPr>
                <w:p w14:paraId="3F1A2548">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default" w:ascii="Times New Roman" w:hAnsi="Times New Roman" w:eastAsia="仿宋_GB2312" w:cs="Times New Roman"/>
                      <w:color w:val="000000"/>
                      <w:kern w:val="0"/>
                      <w:sz w:val="21"/>
                      <w:szCs w:val="21"/>
                      <w:vertAlign w:val="baseline"/>
                    </w:rPr>
                  </w:pPr>
                  <w:r>
                    <w:rPr>
                      <w:rFonts w:hint="default" w:ascii="Times New Roman" w:hAnsi="Times New Roman" w:eastAsia="仿宋_GB2312" w:cs="Times New Roman"/>
                      <w:color w:val="000000"/>
                      <w:sz w:val="21"/>
                      <w:szCs w:val="21"/>
                    </w:rPr>
                    <w:t>排污总量</w:t>
                  </w:r>
                </w:p>
              </w:tc>
              <w:tc>
                <w:tcPr>
                  <w:tcW w:w="2238" w:type="pct"/>
                  <w:tcBorders>
                    <w:tl2br w:val="nil"/>
                    <w:tr2bl w:val="nil"/>
                  </w:tcBorders>
                  <w:vAlign w:val="center"/>
                </w:tcPr>
                <w:p w14:paraId="205AC3EA">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sz w:val="21"/>
                      <w:szCs w:val="21"/>
                    </w:rPr>
                    <w:t>1、大气污染物</w:t>
                  </w:r>
                </w:p>
                <w:p w14:paraId="4DDD99C1">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sz w:val="21"/>
                      <w:szCs w:val="21"/>
                    </w:rPr>
                    <w:t>大气污染物规划近期排放总量(2027年)：颗粒物391.44t/a、SO</w:t>
                  </w:r>
                  <w:r>
                    <w:rPr>
                      <w:rFonts w:hint="default" w:ascii="Times New Roman" w:hAnsi="Times New Roman" w:eastAsia="仿宋_GB2312" w:cs="Times New Roman"/>
                      <w:color w:val="000000"/>
                      <w:sz w:val="21"/>
                      <w:szCs w:val="21"/>
                      <w:vertAlign w:val="subscript"/>
                    </w:rPr>
                    <w:t xml:space="preserve">2 </w:t>
                  </w:r>
                  <w:r>
                    <w:rPr>
                      <w:rFonts w:hint="default" w:ascii="Times New Roman" w:hAnsi="Times New Roman" w:eastAsia="仿宋_GB2312" w:cs="Times New Roman"/>
                      <w:color w:val="000000"/>
                      <w:sz w:val="21"/>
                      <w:szCs w:val="21"/>
                    </w:rPr>
                    <w:t>672.52t/a、NO</w:t>
                  </w:r>
                  <w:r>
                    <w:rPr>
                      <w:rFonts w:hint="default" w:ascii="Times New Roman" w:hAnsi="Times New Roman" w:eastAsia="仿宋_GB2312" w:cs="Times New Roman"/>
                      <w:color w:val="000000"/>
                      <w:sz w:val="21"/>
                      <w:szCs w:val="21"/>
                      <w:vertAlign w:val="subscript"/>
                    </w:rPr>
                    <w:t>X </w:t>
                  </w:r>
                  <w:r>
                    <w:rPr>
                      <w:rFonts w:hint="default" w:ascii="Times New Roman" w:hAnsi="Times New Roman" w:eastAsia="仿宋_GB2312" w:cs="Times New Roman"/>
                      <w:color w:val="000000"/>
                      <w:sz w:val="21"/>
                      <w:szCs w:val="21"/>
                    </w:rPr>
                    <w:t>2060.77t/a、VOCs239.22t/a。</w:t>
                  </w:r>
                </w:p>
                <w:p w14:paraId="355ED90E">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sz w:val="21"/>
                      <w:szCs w:val="21"/>
                    </w:rPr>
                    <w:t>废气污染物规划末期排放总量(2035年)：颗粒物398.35t/a、SO</w:t>
                  </w:r>
                  <w:r>
                    <w:rPr>
                      <w:rFonts w:hint="default" w:ascii="Times New Roman" w:hAnsi="Times New Roman" w:eastAsia="仿宋_GB2312" w:cs="Times New Roman"/>
                      <w:color w:val="000000"/>
                      <w:sz w:val="21"/>
                      <w:szCs w:val="21"/>
                      <w:vertAlign w:val="subscript"/>
                    </w:rPr>
                    <w:t xml:space="preserve">2 </w:t>
                  </w:r>
                  <w:r>
                    <w:rPr>
                      <w:rFonts w:hint="default" w:ascii="Times New Roman" w:hAnsi="Times New Roman" w:eastAsia="仿宋_GB2312" w:cs="Times New Roman"/>
                      <w:color w:val="000000"/>
                      <w:sz w:val="21"/>
                      <w:szCs w:val="21"/>
                    </w:rPr>
                    <w:t>676.18t/a、NO</w:t>
                  </w:r>
                  <w:r>
                    <w:rPr>
                      <w:rFonts w:hint="default" w:ascii="Times New Roman" w:hAnsi="Times New Roman" w:eastAsia="仿宋_GB2312" w:cs="Times New Roman"/>
                      <w:color w:val="000000"/>
                      <w:sz w:val="21"/>
                      <w:szCs w:val="21"/>
                      <w:vertAlign w:val="subscript"/>
                    </w:rPr>
                    <w:t>X </w:t>
                  </w:r>
                  <w:r>
                    <w:rPr>
                      <w:rFonts w:hint="default" w:ascii="Times New Roman" w:hAnsi="Times New Roman" w:eastAsia="仿宋_GB2312" w:cs="Times New Roman"/>
                      <w:color w:val="000000"/>
                      <w:sz w:val="21"/>
                      <w:szCs w:val="21"/>
                    </w:rPr>
                    <w:t>2070.25t/a、VOCs249.64t/a。</w:t>
                  </w:r>
                </w:p>
                <w:p w14:paraId="60E28373">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sz w:val="21"/>
                      <w:szCs w:val="21"/>
                    </w:rPr>
                    <w:t>2、水污染物（外排量）</w:t>
                  </w:r>
                </w:p>
                <w:p w14:paraId="4C55268F">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sz w:val="21"/>
                      <w:szCs w:val="21"/>
                    </w:rPr>
                    <w:t>水污染物规划近期排放总量（2027年）：废水量1675.11万t/a、COD 837.56t/a、氨氮67.00t/a、总磷8.38/a、总氮201.01t/a。</w:t>
                  </w:r>
                </w:p>
                <w:p w14:paraId="3841FFCB">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sz w:val="21"/>
                      <w:szCs w:val="21"/>
                    </w:rPr>
                    <w:t>废水污染物规划末期排放总量(2035年)：废水量1754.36万t/a、COD 877.18t/a、氨氮70.17t/a、总磷8.77t/a、总氮210.52t/a。</w:t>
                  </w:r>
                </w:p>
                <w:p w14:paraId="7091B27C">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sz w:val="21"/>
                      <w:szCs w:val="21"/>
                    </w:rPr>
                    <w:t>3、碳排放量</w:t>
                  </w:r>
                </w:p>
                <w:p w14:paraId="0CCDAD62">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sz w:val="21"/>
                      <w:szCs w:val="21"/>
                    </w:rPr>
                    <w:t>近期碳排放量（2027年）：614.50万吨。</w:t>
                  </w:r>
                </w:p>
                <w:p w14:paraId="274BBBE6">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outlineLvl w:val="9"/>
                    <w:rPr>
                      <w:rFonts w:hint="default" w:ascii="Times New Roman" w:hAnsi="Times New Roman" w:eastAsia="仿宋_GB2312" w:cs="Times New Roman"/>
                      <w:color w:val="000000"/>
                      <w:kern w:val="0"/>
                      <w:sz w:val="21"/>
                      <w:szCs w:val="21"/>
                      <w:vertAlign w:val="baseline"/>
                    </w:rPr>
                  </w:pPr>
                  <w:r>
                    <w:rPr>
                      <w:rFonts w:hint="default" w:ascii="Times New Roman" w:hAnsi="Times New Roman" w:eastAsia="仿宋_GB2312" w:cs="Times New Roman"/>
                      <w:color w:val="000000"/>
                      <w:sz w:val="21"/>
                      <w:szCs w:val="21"/>
                    </w:rPr>
                    <w:t>远期碳排放量（2035年）：562.41万吨。</w:t>
                  </w:r>
                </w:p>
              </w:tc>
              <w:tc>
                <w:tcPr>
                  <w:tcW w:w="1097" w:type="pct"/>
                  <w:vMerge w:val="continue"/>
                  <w:tcBorders>
                    <w:tl2br w:val="nil"/>
                    <w:tr2bl w:val="nil"/>
                  </w:tcBorders>
                  <w:vAlign w:val="center"/>
                </w:tcPr>
                <w:p w14:paraId="324C83EE">
                  <w:pPr>
                    <w:pageBreakBefore w:val="0"/>
                    <w:kinsoku/>
                    <w:wordWrap/>
                    <w:overflowPunct/>
                    <w:topLinePunct w:val="0"/>
                    <w:autoSpaceDE/>
                    <w:autoSpaceDN/>
                    <w:bidi w:val="0"/>
                    <w:adjustRightInd/>
                    <w:snapToGrid/>
                    <w:spacing w:before="0" w:after="0" w:line="240" w:lineRule="auto"/>
                    <w:ind w:left="0" w:right="0"/>
                    <w:jc w:val="center"/>
                    <w:textAlignment w:val="auto"/>
                    <w:outlineLvl w:val="9"/>
                    <w:rPr>
                      <w:rFonts w:hint="default" w:ascii="Times New Roman" w:hAnsi="Times New Roman" w:eastAsia="仿宋_GB2312" w:cs="Times New Roman"/>
                      <w:color w:val="000000"/>
                      <w:kern w:val="0"/>
                      <w:sz w:val="21"/>
                      <w:szCs w:val="21"/>
                      <w:vertAlign w:val="baseline"/>
                    </w:rPr>
                  </w:pPr>
                </w:p>
              </w:tc>
              <w:tc>
                <w:tcPr>
                  <w:tcW w:w="561" w:type="pct"/>
                  <w:vMerge w:val="continue"/>
                  <w:tcBorders>
                    <w:tl2br w:val="nil"/>
                    <w:tr2bl w:val="nil"/>
                  </w:tcBorders>
                  <w:vAlign w:val="center"/>
                </w:tcPr>
                <w:p w14:paraId="69B51765">
                  <w:pPr>
                    <w:pageBreakBefore w:val="0"/>
                    <w:kinsoku/>
                    <w:wordWrap/>
                    <w:overflowPunct/>
                    <w:topLinePunct w:val="0"/>
                    <w:autoSpaceDE/>
                    <w:autoSpaceDN/>
                    <w:bidi w:val="0"/>
                    <w:adjustRightInd/>
                    <w:snapToGrid/>
                    <w:spacing w:before="0" w:after="0" w:line="240" w:lineRule="auto"/>
                    <w:ind w:left="0" w:right="0"/>
                    <w:jc w:val="center"/>
                    <w:textAlignment w:val="auto"/>
                    <w:outlineLvl w:val="9"/>
                    <w:rPr>
                      <w:rFonts w:hint="default" w:ascii="Times New Roman" w:hAnsi="Times New Roman" w:eastAsia="仿宋_GB2312" w:cs="Times New Roman"/>
                      <w:color w:val="000000"/>
                      <w:kern w:val="0"/>
                      <w:sz w:val="21"/>
                      <w:szCs w:val="21"/>
                      <w:vertAlign w:val="baseline"/>
                    </w:rPr>
                  </w:pPr>
                </w:p>
              </w:tc>
            </w:tr>
            <w:tr w14:paraId="5368C9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3" w:type="pct"/>
                  <w:vMerge w:val="restart"/>
                  <w:tcBorders>
                    <w:tl2br w:val="nil"/>
                    <w:tr2bl w:val="nil"/>
                  </w:tcBorders>
                  <w:vAlign w:val="center"/>
                </w:tcPr>
                <w:p w14:paraId="6FF414D7">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仿宋_GB2312" w:cs="Times New Roman"/>
                      <w:color w:val="000000"/>
                      <w:kern w:val="0"/>
                      <w:sz w:val="21"/>
                      <w:szCs w:val="21"/>
                      <w:vertAlign w:val="baseline"/>
                    </w:rPr>
                  </w:pPr>
                  <w:r>
                    <w:rPr>
                      <w:rFonts w:hint="default" w:ascii="Times New Roman" w:hAnsi="Times New Roman" w:eastAsia="仿宋_GB2312" w:cs="Times New Roman"/>
                      <w:color w:val="000000"/>
                      <w:sz w:val="21"/>
                      <w:szCs w:val="21"/>
                    </w:rPr>
                    <w:t>环境风险防控</w:t>
                  </w:r>
                </w:p>
              </w:tc>
              <w:tc>
                <w:tcPr>
                  <w:tcW w:w="450" w:type="pct"/>
                  <w:tcBorders>
                    <w:tl2br w:val="nil"/>
                    <w:tr2bl w:val="nil"/>
                  </w:tcBorders>
                  <w:vAlign w:val="center"/>
                </w:tcPr>
                <w:p w14:paraId="38B59A5F">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企业环境风险防控要求</w:t>
                  </w:r>
                </w:p>
              </w:tc>
              <w:tc>
                <w:tcPr>
                  <w:tcW w:w="2238" w:type="pct"/>
                  <w:tcBorders>
                    <w:tl2br w:val="nil"/>
                    <w:tr2bl w:val="nil"/>
                  </w:tcBorders>
                  <w:vAlign w:val="center"/>
                </w:tcPr>
                <w:p w14:paraId="7A63921B">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sz w:val="21"/>
                      <w:szCs w:val="21"/>
                    </w:rPr>
                    <w:t>1、针对搬迁关闭的土壤污染重点监管企业，由土地使用权人负责开展土壤环境状况调查评估，以保障工业企业场地再开发利用的环境安全；</w:t>
                  </w:r>
                </w:p>
                <w:p w14:paraId="27292628">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outlineLvl w:val="9"/>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2、产生危险废物及一般固体废物的企事业单位，在贮存、转移、利用固体废物（含危险废物）过程中，应配备防扬散、防流失、防渗漏及其他防止污染环境的措施。</w:t>
                  </w:r>
                </w:p>
              </w:tc>
              <w:tc>
                <w:tcPr>
                  <w:tcW w:w="1097" w:type="pct"/>
                  <w:tcBorders>
                    <w:tl2br w:val="nil"/>
                    <w:tr2bl w:val="nil"/>
                  </w:tcBorders>
                  <w:vAlign w:val="center"/>
                </w:tcPr>
                <w:p w14:paraId="0B9703E5">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default" w:ascii="Times New Roman" w:hAnsi="Times New Roman" w:eastAsia="仿宋_GB2312" w:cs="Times New Roman"/>
                      <w:color w:val="000000"/>
                      <w:kern w:val="0"/>
                      <w:sz w:val="21"/>
                      <w:szCs w:val="21"/>
                      <w:vertAlign w:val="baseline"/>
                    </w:rPr>
                  </w:pPr>
                  <w:r>
                    <w:rPr>
                      <w:rFonts w:hint="default" w:ascii="Times New Roman" w:hAnsi="Times New Roman" w:eastAsia="仿宋_GB2312" w:cs="Times New Roman"/>
                      <w:color w:val="000000"/>
                      <w:sz w:val="21"/>
                      <w:szCs w:val="21"/>
                    </w:rPr>
                    <w:t>本项目为</w:t>
                  </w:r>
                  <w:r>
                    <w:rPr>
                      <w:rFonts w:hint="eastAsia" w:ascii="Times New Roman" w:hAnsi="Times New Roman" w:eastAsia="仿宋_GB2312" w:cs="Times New Roman"/>
                      <w:color w:val="000000"/>
                      <w:sz w:val="21"/>
                      <w:szCs w:val="21"/>
                      <w:lang w:val="en-US" w:eastAsia="zh-CN"/>
                    </w:rPr>
                    <w:t>改建</w:t>
                  </w:r>
                  <w:r>
                    <w:rPr>
                      <w:rFonts w:hint="default" w:ascii="Times New Roman" w:hAnsi="Times New Roman" w:eastAsia="仿宋_GB2312" w:cs="Times New Roman"/>
                      <w:color w:val="000000"/>
                      <w:sz w:val="21"/>
                      <w:szCs w:val="21"/>
                    </w:rPr>
                    <w:t>项目，企业将按相关要求建设规范化固废暂存场所，并建立贮存、转移管理制度。</w:t>
                  </w:r>
                </w:p>
              </w:tc>
              <w:tc>
                <w:tcPr>
                  <w:tcW w:w="561" w:type="pct"/>
                  <w:tcBorders>
                    <w:tl2br w:val="nil"/>
                    <w:tr2bl w:val="nil"/>
                  </w:tcBorders>
                  <w:vAlign w:val="center"/>
                </w:tcPr>
                <w:p w14:paraId="656919D9">
                  <w:pPr>
                    <w:pageBreakBefore w:val="0"/>
                    <w:kinsoku/>
                    <w:wordWrap/>
                    <w:overflowPunct/>
                    <w:topLinePunct w:val="0"/>
                    <w:autoSpaceDE/>
                    <w:autoSpaceDN/>
                    <w:bidi w:val="0"/>
                    <w:adjustRightInd/>
                    <w:snapToGrid/>
                    <w:spacing w:before="0" w:after="0" w:line="240" w:lineRule="auto"/>
                    <w:ind w:left="0" w:right="0"/>
                    <w:jc w:val="center"/>
                    <w:textAlignment w:val="auto"/>
                    <w:outlineLvl w:val="9"/>
                    <w:rPr>
                      <w:rFonts w:hint="eastAsia" w:ascii="Times New Roman" w:hAnsi="Times New Roman" w:eastAsia="仿宋_GB2312" w:cs="Times New Roman"/>
                      <w:color w:val="000000"/>
                      <w:kern w:val="0"/>
                      <w:sz w:val="21"/>
                      <w:szCs w:val="21"/>
                      <w:vertAlign w:val="baseline"/>
                      <w:lang w:val="en-US" w:eastAsia="zh-CN"/>
                    </w:rPr>
                  </w:pPr>
                  <w:r>
                    <w:rPr>
                      <w:rFonts w:hint="eastAsia" w:eastAsia="仿宋_GB2312" w:cs="Times New Roman"/>
                      <w:color w:val="000000"/>
                      <w:kern w:val="0"/>
                      <w:sz w:val="21"/>
                      <w:szCs w:val="21"/>
                      <w:vertAlign w:val="baseline"/>
                      <w:lang w:val="en-US" w:eastAsia="zh-CN"/>
                    </w:rPr>
                    <w:t>相符</w:t>
                  </w:r>
                </w:p>
              </w:tc>
            </w:tr>
            <w:tr w14:paraId="79B774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3" w:type="pct"/>
                  <w:vMerge w:val="continue"/>
                  <w:tcBorders>
                    <w:tl2br w:val="nil"/>
                    <w:tr2bl w:val="nil"/>
                  </w:tcBorders>
                  <w:vAlign w:val="center"/>
                </w:tcPr>
                <w:p w14:paraId="16F855DB">
                  <w:pPr>
                    <w:pageBreakBefore w:val="0"/>
                    <w:kinsoku/>
                    <w:wordWrap/>
                    <w:overflowPunct/>
                    <w:topLinePunct w:val="0"/>
                    <w:autoSpaceDE/>
                    <w:autoSpaceDN/>
                    <w:bidi w:val="0"/>
                    <w:adjustRightInd/>
                    <w:snapToGrid/>
                    <w:spacing w:before="0" w:after="0" w:line="240" w:lineRule="auto"/>
                    <w:ind w:left="0" w:right="0"/>
                    <w:jc w:val="center"/>
                    <w:textAlignment w:val="auto"/>
                    <w:outlineLvl w:val="9"/>
                    <w:rPr>
                      <w:rFonts w:hint="default" w:ascii="Times New Roman" w:hAnsi="Times New Roman" w:eastAsia="仿宋_GB2312" w:cs="Times New Roman"/>
                      <w:color w:val="000000"/>
                      <w:kern w:val="0"/>
                      <w:sz w:val="21"/>
                      <w:szCs w:val="21"/>
                      <w:vertAlign w:val="baseline"/>
                    </w:rPr>
                  </w:pPr>
                </w:p>
              </w:tc>
              <w:tc>
                <w:tcPr>
                  <w:tcW w:w="450" w:type="pct"/>
                  <w:tcBorders>
                    <w:tl2br w:val="nil"/>
                    <w:tr2bl w:val="nil"/>
                  </w:tcBorders>
                  <w:vAlign w:val="center"/>
                </w:tcPr>
                <w:p w14:paraId="38C64873">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园区环境风险防控要求</w:t>
                  </w:r>
                </w:p>
              </w:tc>
              <w:tc>
                <w:tcPr>
                  <w:tcW w:w="2238" w:type="pct"/>
                  <w:tcBorders>
                    <w:tl2br w:val="nil"/>
                    <w:tr2bl w:val="nil"/>
                  </w:tcBorders>
                  <w:vAlign w:val="center"/>
                </w:tcPr>
                <w:p w14:paraId="557DC171">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sz w:val="21"/>
                      <w:szCs w:val="21"/>
                    </w:rPr>
                    <w:t>1、按相关文件要求及时更新编制园区突发环境事件应急预案；</w:t>
                  </w:r>
                </w:p>
                <w:p w14:paraId="0F27FCE2">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outlineLvl w:val="9"/>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2、建立突发环境事件隐患排查制度及突发环境事件应急管理长效机制，完善环境应急物资储备和应急队伍建设，强化环境应急演练，提升园区环境风险防控水平。</w:t>
                  </w:r>
                </w:p>
              </w:tc>
              <w:tc>
                <w:tcPr>
                  <w:tcW w:w="1097" w:type="pct"/>
                  <w:tcBorders>
                    <w:tl2br w:val="nil"/>
                    <w:tr2bl w:val="nil"/>
                  </w:tcBorders>
                  <w:vAlign w:val="center"/>
                </w:tcPr>
                <w:p w14:paraId="0C2E4D08">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default" w:ascii="Times New Roman" w:hAnsi="Times New Roman" w:eastAsia="仿宋_GB2312" w:cs="Times New Roman"/>
                      <w:color w:val="000000"/>
                      <w:kern w:val="0"/>
                      <w:sz w:val="21"/>
                      <w:szCs w:val="21"/>
                      <w:vertAlign w:val="baseline"/>
                    </w:rPr>
                  </w:pPr>
                  <w:r>
                    <w:rPr>
                      <w:rFonts w:hint="default" w:ascii="Times New Roman" w:hAnsi="Times New Roman" w:eastAsia="仿宋_GB2312" w:cs="Times New Roman"/>
                      <w:color w:val="000000"/>
                      <w:sz w:val="21"/>
                      <w:szCs w:val="21"/>
                    </w:rPr>
                    <w:t>本项目通过审批后，将及时</w:t>
                  </w:r>
                  <w:r>
                    <w:rPr>
                      <w:rFonts w:hint="eastAsia" w:ascii="Times New Roman" w:hAnsi="Times New Roman" w:eastAsia="仿宋_GB2312" w:cs="Times New Roman"/>
                      <w:color w:val="000000"/>
                      <w:sz w:val="21"/>
                      <w:szCs w:val="21"/>
                      <w:lang w:val="en-US" w:eastAsia="zh-CN"/>
                    </w:rPr>
                    <w:t>修编</w:t>
                  </w:r>
                  <w:r>
                    <w:rPr>
                      <w:rFonts w:hint="default" w:ascii="Times New Roman" w:hAnsi="Times New Roman" w:eastAsia="仿宋_GB2312" w:cs="Times New Roman"/>
                      <w:color w:val="000000"/>
                      <w:sz w:val="21"/>
                      <w:szCs w:val="21"/>
                    </w:rPr>
                    <w:t>突发环境事件应急预案并报相关部门备案。</w:t>
                  </w:r>
                </w:p>
              </w:tc>
              <w:tc>
                <w:tcPr>
                  <w:tcW w:w="561" w:type="pct"/>
                  <w:tcBorders>
                    <w:tl2br w:val="nil"/>
                    <w:tr2bl w:val="nil"/>
                  </w:tcBorders>
                  <w:vAlign w:val="center"/>
                </w:tcPr>
                <w:p w14:paraId="3B77BF27">
                  <w:pPr>
                    <w:pageBreakBefore w:val="0"/>
                    <w:kinsoku/>
                    <w:wordWrap/>
                    <w:overflowPunct/>
                    <w:topLinePunct w:val="0"/>
                    <w:autoSpaceDE/>
                    <w:autoSpaceDN/>
                    <w:bidi w:val="0"/>
                    <w:adjustRightInd/>
                    <w:snapToGrid/>
                    <w:spacing w:before="0" w:after="0" w:line="240" w:lineRule="auto"/>
                    <w:ind w:left="0" w:right="0"/>
                    <w:jc w:val="center"/>
                    <w:textAlignment w:val="auto"/>
                    <w:outlineLvl w:val="9"/>
                    <w:rPr>
                      <w:rFonts w:hint="default" w:ascii="Times New Roman" w:hAnsi="Times New Roman" w:eastAsia="仿宋_GB2312" w:cs="Times New Roman"/>
                      <w:color w:val="000000"/>
                      <w:kern w:val="0"/>
                      <w:sz w:val="21"/>
                      <w:szCs w:val="21"/>
                      <w:vertAlign w:val="baseline"/>
                    </w:rPr>
                  </w:pPr>
                  <w:r>
                    <w:rPr>
                      <w:rFonts w:hint="eastAsia" w:eastAsia="仿宋_GB2312" w:cs="Times New Roman"/>
                      <w:color w:val="000000"/>
                      <w:kern w:val="0"/>
                      <w:sz w:val="21"/>
                      <w:szCs w:val="21"/>
                      <w:vertAlign w:val="baseline"/>
                      <w:lang w:val="en-US" w:eastAsia="zh-CN"/>
                    </w:rPr>
                    <w:t>相符</w:t>
                  </w:r>
                </w:p>
              </w:tc>
            </w:tr>
            <w:tr w14:paraId="2E016E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3" w:type="pct"/>
                  <w:tcBorders>
                    <w:tl2br w:val="nil"/>
                    <w:tr2bl w:val="nil"/>
                  </w:tcBorders>
                  <w:vAlign w:val="center"/>
                </w:tcPr>
                <w:p w14:paraId="0D6CD071">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仿宋_GB2312" w:cs="Times New Roman"/>
                      <w:color w:val="000000"/>
                      <w:kern w:val="0"/>
                      <w:sz w:val="21"/>
                      <w:szCs w:val="21"/>
                      <w:vertAlign w:val="baseline"/>
                    </w:rPr>
                  </w:pPr>
                  <w:r>
                    <w:rPr>
                      <w:rFonts w:hint="default" w:ascii="Times New Roman" w:hAnsi="Times New Roman" w:eastAsia="仿宋_GB2312" w:cs="Times New Roman"/>
                      <w:color w:val="000000"/>
                      <w:sz w:val="21"/>
                      <w:szCs w:val="21"/>
                    </w:rPr>
                    <w:t>资源开发利用要求</w:t>
                  </w:r>
                </w:p>
              </w:tc>
              <w:tc>
                <w:tcPr>
                  <w:tcW w:w="2688" w:type="pct"/>
                  <w:gridSpan w:val="2"/>
                  <w:tcBorders>
                    <w:tl2br w:val="nil"/>
                    <w:tr2bl w:val="nil"/>
                  </w:tcBorders>
                  <w:vAlign w:val="center"/>
                </w:tcPr>
                <w:p w14:paraId="1FF434D0">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sz w:val="21"/>
                      <w:szCs w:val="21"/>
                    </w:rPr>
                    <w:t>1、到2035年，园区单位工业增加值新鲜水耗≤2.5m</w:t>
                  </w:r>
                  <w:r>
                    <w:rPr>
                      <w:rFonts w:hint="default" w:ascii="Times New Roman" w:hAnsi="Times New Roman" w:eastAsia="仿宋_GB2312" w:cs="Times New Roman"/>
                      <w:color w:val="000000"/>
                      <w:sz w:val="21"/>
                      <w:szCs w:val="21"/>
                      <w:vertAlign w:val="superscript"/>
                    </w:rPr>
                    <w:t>3</w:t>
                  </w:r>
                  <w:r>
                    <w:rPr>
                      <w:rFonts w:hint="default" w:ascii="Times New Roman" w:hAnsi="Times New Roman" w:eastAsia="仿宋_GB2312" w:cs="Times New Roman"/>
                      <w:color w:val="000000"/>
                      <w:sz w:val="21"/>
                      <w:szCs w:val="21"/>
                    </w:rPr>
                    <w:t>/万元；</w:t>
                  </w:r>
                </w:p>
                <w:p w14:paraId="7EFF3664">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sz w:val="21"/>
                      <w:szCs w:val="21"/>
                    </w:rPr>
                    <w:t>2、到2035年，园区单位工业增加值综合能耗≤0.45吨标煤/万元；</w:t>
                  </w:r>
                </w:p>
                <w:p w14:paraId="1D5E15B0">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sz w:val="21"/>
                      <w:szCs w:val="21"/>
                    </w:rPr>
                    <w:t>3、土地资源可利用总面积上限36.53平方公里，建设用地总面积上限32.53平方公里，工业用地总面积上限20.98平方公里。</w:t>
                  </w:r>
                </w:p>
                <w:p w14:paraId="24FB5784">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outlineLvl w:val="9"/>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4、引进项目的生产工艺、设备，以及单位产品水耗、能耗、污染物排放和资源利用效率等应达到清洁生产2级水平，其中引入的印染项目水重复利用率要达到40%以上。</w:t>
                  </w:r>
                </w:p>
              </w:tc>
              <w:tc>
                <w:tcPr>
                  <w:tcW w:w="1097" w:type="pct"/>
                  <w:tcBorders>
                    <w:tl2br w:val="nil"/>
                    <w:tr2bl w:val="nil"/>
                  </w:tcBorders>
                  <w:shd w:val="clear" w:color="auto" w:fill="auto"/>
                  <w:vAlign w:val="center"/>
                </w:tcPr>
                <w:p w14:paraId="776941C0">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default" w:ascii="Times New Roman" w:hAnsi="Times New Roman" w:eastAsia="仿宋_GB2312" w:cs="Times New Roman"/>
                      <w:color w:val="000000"/>
                      <w:kern w:val="0"/>
                      <w:sz w:val="21"/>
                      <w:szCs w:val="21"/>
                      <w:lang w:val="en-US" w:eastAsia="zh-CN" w:bidi="ar-SA"/>
                    </w:rPr>
                  </w:pPr>
                  <w:r>
                    <w:rPr>
                      <w:rFonts w:hint="default" w:ascii="Times New Roman" w:hAnsi="Times New Roman" w:eastAsia="仿宋_GB2312" w:cs="Times New Roman"/>
                      <w:color w:val="000000"/>
                      <w:sz w:val="21"/>
                      <w:szCs w:val="21"/>
                    </w:rPr>
                    <w:t>本项目</w:t>
                  </w:r>
                  <w:r>
                    <w:rPr>
                      <w:rFonts w:hint="eastAsia" w:ascii="Times New Roman" w:hAnsi="Times New Roman" w:eastAsia="仿宋_GB2312" w:cs="Times New Roman"/>
                      <w:color w:val="000000"/>
                      <w:sz w:val="21"/>
                      <w:szCs w:val="21"/>
                      <w:lang w:val="en-US" w:eastAsia="zh-CN"/>
                    </w:rPr>
                    <w:t>在现有厂区内建设，</w:t>
                  </w:r>
                  <w:r>
                    <w:rPr>
                      <w:rFonts w:hint="default" w:ascii="Times New Roman" w:hAnsi="Times New Roman" w:eastAsia="仿宋_GB2312" w:cs="Times New Roman"/>
                      <w:color w:val="000000"/>
                      <w:sz w:val="21"/>
                      <w:szCs w:val="21"/>
                    </w:rPr>
                    <w:t>不新增用地，</w:t>
                  </w:r>
                  <w:r>
                    <w:rPr>
                      <w:rFonts w:hint="eastAsia" w:ascii="Times New Roman" w:hAnsi="Times New Roman" w:eastAsia="仿宋_GB2312" w:cs="Times New Roman"/>
                      <w:color w:val="000000"/>
                      <w:sz w:val="21"/>
                      <w:szCs w:val="21"/>
                      <w:lang w:val="en-US" w:eastAsia="zh-CN"/>
                    </w:rPr>
                    <w:t>项目通过提升改造工艺，对产品进行深加工，</w:t>
                  </w:r>
                  <w:r>
                    <w:rPr>
                      <w:rFonts w:hint="default" w:ascii="Times New Roman" w:hAnsi="Times New Roman" w:eastAsia="仿宋_GB2312" w:cs="Times New Roman"/>
                      <w:color w:val="000000"/>
                      <w:sz w:val="21"/>
                      <w:szCs w:val="21"/>
                    </w:rPr>
                    <w:t>不涉及产品</w:t>
                  </w:r>
                  <w:r>
                    <w:rPr>
                      <w:rFonts w:hint="eastAsia" w:ascii="Times New Roman" w:hAnsi="Times New Roman" w:eastAsia="仿宋_GB2312" w:cs="Times New Roman"/>
                      <w:color w:val="000000"/>
                      <w:sz w:val="21"/>
                      <w:szCs w:val="21"/>
                      <w:lang w:val="en-US" w:eastAsia="zh-CN"/>
                    </w:rPr>
                    <w:t>产量增加</w:t>
                  </w:r>
                  <w:r>
                    <w:rPr>
                      <w:rFonts w:hint="default" w:ascii="Times New Roman" w:hAnsi="Times New Roman" w:eastAsia="仿宋_GB2312" w:cs="Times New Roman"/>
                      <w:color w:val="000000"/>
                      <w:sz w:val="21"/>
                      <w:szCs w:val="21"/>
                    </w:rPr>
                    <w:t>，且运营期间仅消耗少量的电和自来水，能耗较低。</w:t>
                  </w:r>
                </w:p>
              </w:tc>
              <w:tc>
                <w:tcPr>
                  <w:tcW w:w="561" w:type="pct"/>
                  <w:tcBorders>
                    <w:tl2br w:val="nil"/>
                    <w:tr2bl w:val="nil"/>
                  </w:tcBorders>
                  <w:shd w:val="clear" w:color="auto" w:fill="auto"/>
                  <w:vAlign w:val="center"/>
                </w:tcPr>
                <w:p w14:paraId="3631A3E7">
                  <w:pPr>
                    <w:pageBreakBefore w:val="0"/>
                    <w:kinsoku/>
                    <w:wordWrap/>
                    <w:overflowPunct/>
                    <w:topLinePunct w:val="0"/>
                    <w:autoSpaceDE/>
                    <w:autoSpaceDN/>
                    <w:bidi w:val="0"/>
                    <w:adjustRightInd/>
                    <w:snapToGrid/>
                    <w:spacing w:before="0" w:after="0" w:line="240" w:lineRule="auto"/>
                    <w:ind w:left="0" w:leftChars="0" w:right="0" w:rightChars="0"/>
                    <w:jc w:val="center"/>
                    <w:textAlignment w:val="auto"/>
                    <w:outlineLvl w:val="9"/>
                    <w:rPr>
                      <w:rFonts w:hint="default" w:ascii="Times New Roman" w:hAnsi="Times New Roman" w:eastAsia="仿宋_GB2312" w:cs="Times New Roman"/>
                      <w:color w:val="000000"/>
                      <w:kern w:val="0"/>
                      <w:sz w:val="21"/>
                      <w:szCs w:val="21"/>
                      <w:vertAlign w:val="baseline"/>
                      <w:lang w:val="en-US" w:eastAsia="zh-CN" w:bidi="ar-SA"/>
                    </w:rPr>
                  </w:pPr>
                  <w:r>
                    <w:rPr>
                      <w:rFonts w:hint="eastAsia" w:eastAsia="仿宋_GB2312" w:cs="Times New Roman"/>
                      <w:color w:val="000000"/>
                      <w:kern w:val="0"/>
                      <w:sz w:val="21"/>
                      <w:szCs w:val="21"/>
                      <w:vertAlign w:val="baseline"/>
                      <w:lang w:val="en-US" w:eastAsia="zh-CN"/>
                    </w:rPr>
                    <w:t>相符</w:t>
                  </w:r>
                </w:p>
              </w:tc>
            </w:tr>
          </w:tbl>
          <w:p w14:paraId="71964894">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120" w:beforeAutospacing="0" w:after="0" w:afterAutospacing="0" w:line="348" w:lineRule="auto"/>
              <w:ind w:left="0" w:right="0" w:firstLine="480"/>
              <w:jc w:val="both"/>
              <w:rPr>
                <w:rFonts w:ascii="Times New Roman" w:hAnsi="Times New Roman" w:eastAsia="仿宋_GB2312" w:cs="Times New Roman"/>
                <w:color w:val="000000"/>
                <w:kern w:val="0"/>
                <w:sz w:val="21"/>
                <w:szCs w:val="21"/>
                <w:lang w:val="en-US" w:eastAsia="zh-CN" w:bidi="ar-SA"/>
              </w:rPr>
            </w:pPr>
            <w:r>
              <w:rPr>
                <w:rFonts w:ascii="Times New Roman" w:hAnsi="Times New Roman" w:eastAsia="仿宋_GB2312" w:cs="Times New Roman"/>
                <w:color w:val="000000"/>
                <w:kern w:val="0"/>
                <w:sz w:val="21"/>
                <w:szCs w:val="21"/>
                <w:lang w:val="en-US" w:eastAsia="zh-CN" w:bidi="ar-SA"/>
              </w:rPr>
              <w:t>综上，本项目与区域规划、</w:t>
            </w:r>
            <w:r>
              <w:rPr>
                <w:rFonts w:hint="eastAsia" w:ascii="Times New Roman" w:hAnsi="Times New Roman" w:eastAsia="仿宋_GB2312" w:cs="Times New Roman"/>
                <w:color w:val="000000"/>
                <w:kern w:val="0"/>
                <w:sz w:val="21"/>
                <w:szCs w:val="21"/>
                <w:lang w:val="en-US" w:eastAsia="zh-CN" w:bidi="ar-SA"/>
              </w:rPr>
              <w:t>规划环评及其审查意见相符。</w:t>
            </w:r>
          </w:p>
          <w:p w14:paraId="7835CBB8">
            <w:pPr>
              <w:adjustRightInd w:val="0"/>
              <w:snapToGrid w:val="0"/>
              <w:spacing w:line="360" w:lineRule="auto"/>
              <w:ind w:firstLine="422" w:firstLineChars="200"/>
              <w:jc w:val="left"/>
              <w:rPr>
                <w:rFonts w:hint="eastAsia" w:eastAsia="仿宋_GB2312"/>
                <w:b/>
                <w:color w:val="000000"/>
                <w:kern w:val="0"/>
                <w:lang w:val="en-US" w:eastAsia="zh-CN"/>
              </w:rPr>
            </w:pPr>
            <w:r>
              <w:rPr>
                <w:rFonts w:hint="eastAsia" w:eastAsia="仿宋_GB2312"/>
                <w:b/>
                <w:color w:val="000000"/>
                <w:kern w:val="0"/>
                <w:lang w:val="en-US" w:eastAsia="zh-CN"/>
              </w:rPr>
              <w:t>4、与国土空间规划及“三区三线”相符性分析</w:t>
            </w:r>
          </w:p>
          <w:p w14:paraId="79558D67">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48" w:lineRule="auto"/>
              <w:ind w:left="0" w:right="0" w:firstLine="480"/>
              <w:jc w:val="both"/>
              <w:rPr>
                <w:rFonts w:hint="eastAsia" w:ascii="Times New Roman" w:hAnsi="Times New Roman" w:eastAsia="仿宋_GB2312" w:cs="Times New Roman"/>
                <w:b/>
                <w:bCs/>
                <w:color w:val="000000"/>
                <w:kern w:val="0"/>
                <w:sz w:val="21"/>
                <w:szCs w:val="21"/>
                <w:lang w:val="en-US" w:eastAsia="zh-CN" w:bidi="ar-SA"/>
              </w:rPr>
            </w:pPr>
            <w:r>
              <w:rPr>
                <w:rFonts w:hint="eastAsia" w:ascii="Times New Roman" w:hAnsi="Times New Roman" w:eastAsia="仿宋_GB2312" w:cs="Times New Roman"/>
                <w:b/>
                <w:bCs/>
                <w:color w:val="000000"/>
                <w:kern w:val="0"/>
                <w:sz w:val="21"/>
                <w:szCs w:val="21"/>
                <w:lang w:val="en-US" w:eastAsia="zh-CN" w:bidi="ar-SA"/>
              </w:rPr>
              <w:t>（1）与《江苏省国土空间规划（2021-2035年）》（国函[2023]69号）、《常州市国土空间总体规划（2021-2035年）》（国函[2025]9号）相符性分析</w:t>
            </w:r>
          </w:p>
          <w:p w14:paraId="6840D084">
            <w:pPr>
              <w:pStyle w:val="28"/>
              <w:keepNext w:val="0"/>
              <w:keepLines w:val="0"/>
              <w:pageBreakBefore w:val="0"/>
              <w:widowControl w:val="0"/>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2"/>
              <w:jc w:val="both"/>
              <w:textAlignment w:val="auto"/>
              <w:rPr>
                <w:rFonts w:ascii="Times New Roman" w:hAnsi="Times New Roman" w:eastAsia="仿宋_GB2312" w:cs="Times New Roman"/>
                <w:color w:val="000000"/>
                <w:kern w:val="0"/>
                <w:sz w:val="21"/>
                <w:szCs w:val="21"/>
                <w:lang w:val="en-US" w:eastAsia="zh-CN" w:bidi="ar-SA"/>
              </w:rPr>
            </w:pPr>
            <w:r>
              <w:rPr>
                <w:rFonts w:hint="eastAsia" w:ascii="Times New Roman" w:hAnsi="Times New Roman" w:eastAsia="仿宋_GB2312" w:cs="Times New Roman"/>
                <w:color w:val="000000"/>
                <w:kern w:val="0"/>
                <w:sz w:val="21"/>
                <w:szCs w:val="21"/>
                <w:lang w:val="en-US" w:eastAsia="zh-CN" w:bidi="ar-SA"/>
              </w:rPr>
              <w:t>根据《自然资源部关于在全国开展“三区三线”划定工作的函》（自然资函[2022]47号）、《江苏省国土空间规划（2021-2035年）》（国函[2023]69号）以及《常州市国土空间总体规划（2021-2035年）》（国函[2025]9号），文件提出创建全国生态文明试验区，以底线约束和安全韧性</w:t>
            </w:r>
            <w:r>
              <w:rPr>
                <w:rFonts w:ascii="Times New Roman" w:hAnsi="Times New Roman" w:eastAsia="仿宋_GB2312" w:cs="Times New Roman"/>
                <w:color w:val="000000"/>
                <w:kern w:val="0"/>
                <w:sz w:val="21"/>
                <w:szCs w:val="21"/>
                <w:lang w:val="en-US" w:eastAsia="zh-CN" w:bidi="ar-SA"/>
              </w:rPr>
              <w:t>为前提，优先保障生态、农业、安全等保护性空间。按照耕地和永久基本农田、生态保护红线、城镇开发边界的优先序，统筹划定“三区三线”：到2035年，江苏省耕地保有量不低于5977万亩，其中永久基本农田保护面积不低于5344万亩；生态保护红线不低于1.82万平方千米，其中海洋生态保护红线不低于0.95万平方千米；城镇开发边界扩展倍数控制在基于2020年城镇建设用地规模的1.3倍以内。</w:t>
            </w:r>
            <w:r>
              <w:rPr>
                <w:rFonts w:hint="eastAsia" w:ascii="Times New Roman" w:hAnsi="Times New Roman" w:eastAsia="仿宋_GB2312" w:cs="Times New Roman"/>
                <w:color w:val="000000"/>
                <w:kern w:val="0"/>
                <w:sz w:val="21"/>
                <w:szCs w:val="21"/>
                <w:lang w:val="en-US" w:eastAsia="zh-CN" w:bidi="ar-SA"/>
              </w:rPr>
              <w:t>到2035年，常州市耕地保有量不低于126.08万亩，其中永久基本农田保护面积不低于114.96万亩；生态保护红线面积不低于346.10平方千米；城镇开发边界面积控制在925.06平方千米以内。加强自然资源整体保护与高效利用，统筹安排防灾减灾救灾和重大突发公共事件的应急空间，为保障粮食安全、生态安全、能源安全提供了基础保障。</w:t>
            </w:r>
          </w:p>
          <w:p w14:paraId="294097E7">
            <w:pPr>
              <w:pStyle w:val="28"/>
              <w:keepNext w:val="0"/>
              <w:keepLines w:val="0"/>
              <w:pageBreakBefore w:val="0"/>
              <w:widowControl w:val="0"/>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beforeAutospacing="0" w:after="0" w:afterAutospacing="0" w:line="360" w:lineRule="auto"/>
              <w:ind w:left="0" w:firstLine="482"/>
              <w:jc w:val="both"/>
              <w:textAlignment w:val="auto"/>
              <w:rPr>
                <w:rFonts w:hint="eastAsia" w:ascii="Times New Roman" w:hAnsi="Times New Roman" w:eastAsia="仿宋_GB2312" w:cs="Times New Roman"/>
                <w:color w:val="000000"/>
                <w:kern w:val="0"/>
                <w:sz w:val="21"/>
                <w:szCs w:val="21"/>
                <w:lang w:val="en-US" w:eastAsia="zh-CN" w:bidi="ar-SA"/>
              </w:rPr>
            </w:pPr>
            <w:r>
              <w:rPr>
                <w:rFonts w:hint="eastAsia" w:ascii="Times New Roman" w:hAnsi="Times New Roman" w:eastAsia="仿宋_GB2312" w:cs="Times New Roman"/>
                <w:b/>
                <w:bCs/>
                <w:color w:val="000000"/>
                <w:kern w:val="0"/>
                <w:sz w:val="21"/>
                <w:szCs w:val="21"/>
                <w:lang w:val="en-US" w:eastAsia="zh-CN" w:bidi="ar-SA"/>
              </w:rPr>
              <w:t>对照分析：</w:t>
            </w:r>
            <w:r>
              <w:rPr>
                <w:rFonts w:hint="eastAsia" w:ascii="Times New Roman" w:hAnsi="Times New Roman" w:eastAsia="仿宋_GB2312" w:cs="Times New Roman"/>
                <w:color w:val="000000"/>
                <w:kern w:val="0"/>
                <w:sz w:val="21"/>
                <w:szCs w:val="21"/>
                <w:lang w:val="en-US" w:eastAsia="zh-CN" w:bidi="ar-SA"/>
              </w:rPr>
              <w:t>本项目位于江苏省常州市金坛经济开发区盐厂路1号，不占用耕地和永久基本农田，不涉及生态保护红线，同时根据国土空间规划分区图，项目所在地属于工业发展区，</w:t>
            </w:r>
            <w:r>
              <w:rPr>
                <w:rFonts w:hint="eastAsia" w:ascii="Times New Roman" w:hAnsi="Times New Roman" w:eastAsia="仿宋_GB2312" w:cs="Times New Roman"/>
                <w:b/>
                <w:bCs/>
                <w:color w:val="000000"/>
                <w:kern w:val="0"/>
                <w:sz w:val="21"/>
                <w:szCs w:val="21"/>
                <w:lang w:val="en-US" w:eastAsia="zh-CN" w:bidi="ar-SA"/>
              </w:rPr>
              <w:t>位于城区开发边界内</w:t>
            </w:r>
            <w:r>
              <w:rPr>
                <w:rFonts w:hint="eastAsia" w:ascii="Times New Roman" w:hAnsi="Times New Roman" w:eastAsia="仿宋_GB2312" w:cs="Times New Roman"/>
                <w:color w:val="000000"/>
                <w:kern w:val="0"/>
                <w:sz w:val="21"/>
                <w:szCs w:val="21"/>
                <w:lang w:val="en-US" w:eastAsia="zh-CN" w:bidi="ar-SA"/>
              </w:rPr>
              <w:t>，符合国家“三区三线”要求及江苏省、常州市国土空间总体规划的要求。</w:t>
            </w:r>
          </w:p>
          <w:p w14:paraId="66057B92">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48" w:lineRule="auto"/>
              <w:ind w:left="0" w:right="0" w:firstLine="480"/>
              <w:jc w:val="both"/>
              <w:rPr>
                <w:rFonts w:hint="default" w:ascii="Times New Roman" w:hAnsi="Times New Roman" w:eastAsia="仿宋_GB2312" w:cs="Times New Roman"/>
                <w:b/>
                <w:bCs/>
                <w:color w:val="000000"/>
                <w:kern w:val="0"/>
                <w:sz w:val="21"/>
                <w:szCs w:val="21"/>
                <w:lang w:val="en-US" w:eastAsia="zh-CN" w:bidi="ar-SA"/>
              </w:rPr>
            </w:pPr>
            <w:r>
              <w:rPr>
                <w:rFonts w:hint="eastAsia" w:ascii="Times New Roman" w:hAnsi="Times New Roman" w:eastAsia="仿宋_GB2312" w:cs="Times New Roman"/>
                <w:b/>
                <w:bCs/>
                <w:color w:val="000000"/>
                <w:kern w:val="0"/>
                <w:sz w:val="21"/>
                <w:szCs w:val="21"/>
                <w:lang w:val="en-US" w:eastAsia="zh-CN" w:bidi="ar-SA"/>
              </w:rPr>
              <w:t>（2）与《省政府关于金坛区国土空间总体规划（2021－2035年）的批复》（苏政复〔2025〕6号）相符性分析</w:t>
            </w:r>
          </w:p>
          <w:p w14:paraId="0C281E69">
            <w:pPr>
              <w:pStyle w:val="28"/>
              <w:keepNext w:val="0"/>
              <w:keepLines w:val="0"/>
              <w:pageBreakBefore w:val="0"/>
              <w:widowControl w:val="0"/>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beforeAutospacing="0" w:after="0" w:afterAutospacing="0" w:line="360" w:lineRule="auto"/>
              <w:ind w:left="0" w:firstLine="482"/>
              <w:jc w:val="both"/>
              <w:textAlignment w:val="auto"/>
              <w:rPr>
                <w:rFonts w:hint="default" w:ascii="Times New Roman" w:hAnsi="Times New Roman" w:eastAsia="仿宋_GB2312" w:cs="Times New Roman"/>
                <w:color w:val="000000"/>
                <w:kern w:val="0"/>
                <w:sz w:val="21"/>
                <w:szCs w:val="21"/>
                <w:lang w:val="en-US" w:eastAsia="zh-CN" w:bidi="ar-SA"/>
              </w:rPr>
            </w:pPr>
            <w:r>
              <w:rPr>
                <w:rFonts w:hint="default" w:ascii="Times New Roman" w:hAnsi="Times New Roman" w:eastAsia="仿宋_GB2312" w:cs="Times New Roman"/>
                <w:color w:val="000000"/>
                <w:kern w:val="0"/>
                <w:sz w:val="21"/>
                <w:szCs w:val="21"/>
                <w:lang w:val="en-US" w:eastAsia="zh-CN" w:bidi="ar-SA"/>
              </w:rPr>
              <w:t>三区三线：根据城镇空间、农业空间、生态空间三种类型的空间，分别对应划定的城镇开发边界、永久基本农田保护红线、生态保护红线三条控制线。</w:t>
            </w:r>
          </w:p>
          <w:p w14:paraId="62771E8B">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仿宋_GB2312" w:cs="Times New Roman"/>
                <w:color w:val="000000"/>
                <w:kern w:val="0"/>
                <w:sz w:val="21"/>
                <w:szCs w:val="21"/>
                <w:lang w:val="en-US" w:eastAsia="zh-CN" w:bidi="ar-SA"/>
              </w:rPr>
            </w:pPr>
            <w:r>
              <w:rPr>
                <w:rFonts w:hint="default" w:ascii="Times New Roman" w:hAnsi="Times New Roman" w:eastAsia="仿宋_GB2312" w:cs="Times New Roman"/>
                <w:b/>
                <w:bCs/>
                <w:color w:val="000000"/>
                <w:kern w:val="0"/>
                <w:sz w:val="21"/>
                <w:szCs w:val="21"/>
                <w:lang w:val="en-US" w:eastAsia="zh-CN" w:bidi="ar-SA"/>
              </w:rPr>
              <w:t>耕地和永久基本农田</w:t>
            </w:r>
            <w:r>
              <w:rPr>
                <w:rFonts w:hint="eastAsia" w:ascii="Times New Roman" w:hAnsi="Times New Roman" w:eastAsia="仿宋_GB2312" w:cs="Times New Roman"/>
                <w:b/>
                <w:bCs/>
                <w:color w:val="000000"/>
                <w:kern w:val="0"/>
                <w:sz w:val="21"/>
                <w:szCs w:val="21"/>
                <w:lang w:val="en-US" w:eastAsia="zh-CN" w:bidi="ar-SA"/>
              </w:rPr>
              <w:t>：</w:t>
            </w:r>
            <w:r>
              <w:rPr>
                <w:rFonts w:hint="default" w:ascii="Times New Roman" w:hAnsi="Times New Roman" w:eastAsia="仿宋_GB2312" w:cs="Times New Roman"/>
                <w:color w:val="000000"/>
                <w:kern w:val="0"/>
                <w:sz w:val="21"/>
                <w:szCs w:val="21"/>
                <w:lang w:val="en-US" w:eastAsia="zh-CN" w:bidi="ar-SA"/>
              </w:rPr>
              <w:t>落实市级下达的耕地保护任务，耕地保有量不低于209.1800平方千米（31.3770 万亩），全区实际划定耕地保有量 209.1926平方千米（31.3789 万亩）。市级下达金坛区永久基本农田保护任务 192.0933平方千米（28.8140 万亩 ），全区划定永久基本农田188.4269平方千米（28.2640 万亩），主要分布在直溪镇、金城镇、薛埠镇、指前镇等区域，由常州市统筹与盐城市签署协议易地调剂3.6667 平方千米（0.5500 万亩）。</w:t>
            </w:r>
          </w:p>
          <w:p w14:paraId="546DCC59">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仿宋_GB2312" w:cs="Times New Roman"/>
                <w:color w:val="000000"/>
                <w:kern w:val="0"/>
                <w:sz w:val="21"/>
                <w:szCs w:val="21"/>
                <w:lang w:val="en-US" w:eastAsia="zh-CN" w:bidi="ar-SA"/>
              </w:rPr>
            </w:pPr>
            <w:r>
              <w:rPr>
                <w:rFonts w:hint="default" w:ascii="Times New Roman" w:hAnsi="Times New Roman" w:eastAsia="仿宋_GB2312" w:cs="Times New Roman"/>
                <w:b/>
                <w:bCs/>
                <w:color w:val="000000"/>
                <w:kern w:val="0"/>
                <w:sz w:val="21"/>
                <w:szCs w:val="21"/>
                <w:lang w:val="en-US" w:eastAsia="zh-CN" w:bidi="ar-SA"/>
              </w:rPr>
              <w:t>生态保护红线</w:t>
            </w:r>
            <w:r>
              <w:rPr>
                <w:rFonts w:hint="eastAsia" w:ascii="Times New Roman" w:hAnsi="Times New Roman" w:eastAsia="仿宋_GB2312" w:cs="Times New Roman"/>
                <w:b/>
                <w:bCs/>
                <w:color w:val="000000"/>
                <w:kern w:val="0"/>
                <w:sz w:val="21"/>
                <w:szCs w:val="21"/>
                <w:lang w:val="en-US" w:eastAsia="zh-CN" w:bidi="ar-SA"/>
              </w:rPr>
              <w:t>：</w:t>
            </w:r>
            <w:r>
              <w:rPr>
                <w:rFonts w:hint="default" w:ascii="Times New Roman" w:hAnsi="Times New Roman" w:eastAsia="仿宋_GB2312" w:cs="Times New Roman"/>
                <w:color w:val="000000"/>
                <w:kern w:val="0"/>
                <w:sz w:val="21"/>
                <w:szCs w:val="21"/>
                <w:lang w:val="en-US" w:eastAsia="zh-CN" w:bidi="ar-SA"/>
              </w:rPr>
              <w:t>金坛区划定 2 处生态保护红线，总面积98.6663平方千米，占全区国土面积的10.11%。包括江苏常州金坛茅东省级森林公园与江苏金坛长荡湖国家湿地公园。生态保护红线内禁止开发性、生产性建设活动，在符合法律法规的前提下，仅允许对生态功能 不造成破坏的有限人为活动。</w:t>
            </w:r>
          </w:p>
          <w:p w14:paraId="7BC02C20">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仿宋_GB2312" w:cs="Times New Roman"/>
                <w:color w:val="000000"/>
                <w:kern w:val="0"/>
                <w:sz w:val="21"/>
                <w:szCs w:val="21"/>
                <w:lang w:val="en-US" w:eastAsia="zh-CN" w:bidi="ar-SA"/>
              </w:rPr>
            </w:pPr>
            <w:r>
              <w:rPr>
                <w:rFonts w:hint="default" w:ascii="Times New Roman" w:hAnsi="Times New Roman" w:eastAsia="仿宋_GB2312" w:cs="Times New Roman"/>
                <w:b/>
                <w:bCs/>
                <w:color w:val="000000"/>
                <w:kern w:val="0"/>
                <w:sz w:val="21"/>
                <w:szCs w:val="21"/>
                <w:lang w:val="en-US" w:eastAsia="zh-CN" w:bidi="ar-SA"/>
              </w:rPr>
              <w:t>城镇开发边界</w:t>
            </w:r>
            <w:r>
              <w:rPr>
                <w:rFonts w:hint="eastAsia" w:ascii="Times New Roman" w:hAnsi="Times New Roman" w:eastAsia="仿宋_GB2312" w:cs="Times New Roman"/>
                <w:b/>
                <w:bCs/>
                <w:color w:val="000000"/>
                <w:kern w:val="0"/>
                <w:sz w:val="21"/>
                <w:szCs w:val="21"/>
                <w:lang w:val="en-US" w:eastAsia="zh-CN" w:bidi="ar-SA"/>
              </w:rPr>
              <w:t>：</w:t>
            </w:r>
            <w:r>
              <w:rPr>
                <w:rFonts w:hint="default" w:ascii="Times New Roman" w:hAnsi="Times New Roman" w:eastAsia="仿宋_GB2312" w:cs="Times New Roman"/>
                <w:color w:val="000000"/>
                <w:kern w:val="0"/>
                <w:sz w:val="21"/>
                <w:szCs w:val="21"/>
                <w:lang w:val="en-US" w:eastAsia="zh-CN" w:bidi="ar-SA"/>
              </w:rPr>
              <w:t>金坛区划定城镇开发边界 115.6774 平方千米，占全区国土面积的11.86%。城镇开发边界扩展倍数为1.3636。城镇开发边界划定及调整应避让地质灾害极高风险区和高风险区等不适宜城镇建设区域，确实无法避让的应当充分论证并说明理由，明确减缓不良影响的措施。逐步引导城镇建设用地向城镇开发边界内集中，批后公布 14 促进城镇集约集聚建设，提高土地节约集约利用水平。城镇开发边界外不得进行城镇集中建设，不得规划建设各类开发区和产业园区，不得规划城镇居住用地。</w:t>
            </w:r>
          </w:p>
          <w:p w14:paraId="3BAF596D">
            <w:pPr>
              <w:pStyle w:val="28"/>
              <w:keepNext w:val="0"/>
              <w:keepLines w:val="0"/>
              <w:pageBreakBefore w:val="0"/>
              <w:widowControl w:val="0"/>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beforeAutospacing="0" w:after="0" w:afterAutospacing="0" w:line="360" w:lineRule="auto"/>
              <w:ind w:left="0" w:firstLine="482"/>
              <w:jc w:val="both"/>
              <w:textAlignment w:val="auto"/>
              <w:rPr>
                <w:rFonts w:hint="default" w:ascii="Times New Roman" w:hAnsi="Times New Roman" w:eastAsia="仿宋_GB2312" w:cs="Times New Roman"/>
                <w:b/>
                <w:bCs/>
                <w:color w:val="000000"/>
                <w:kern w:val="0"/>
                <w:sz w:val="21"/>
                <w:szCs w:val="21"/>
                <w:lang w:val="en-US" w:eastAsia="zh-CN" w:bidi="ar-SA"/>
              </w:rPr>
            </w:pPr>
            <w:r>
              <w:rPr>
                <w:rFonts w:hint="eastAsia" w:ascii="Times New Roman" w:hAnsi="Times New Roman" w:eastAsia="仿宋_GB2312" w:cs="Times New Roman"/>
                <w:b/>
                <w:bCs/>
                <w:color w:val="000000"/>
                <w:kern w:val="0"/>
                <w:sz w:val="21"/>
                <w:szCs w:val="21"/>
                <w:lang w:val="en-US" w:eastAsia="zh-CN" w:bidi="ar-SA"/>
              </w:rPr>
              <w:t>对照分析：</w:t>
            </w:r>
            <w:r>
              <w:rPr>
                <w:rFonts w:hint="eastAsia" w:ascii="Times New Roman" w:hAnsi="Times New Roman" w:eastAsia="仿宋_GB2312" w:cs="Times New Roman"/>
                <w:color w:val="000000"/>
                <w:kern w:val="0"/>
                <w:sz w:val="21"/>
                <w:szCs w:val="21"/>
                <w:lang w:val="en-US" w:eastAsia="zh-CN" w:bidi="ar-SA"/>
              </w:rPr>
              <w:t>本项目位于江苏省常州市金坛经济开发区盐厂路1号，不占用耕地和永久基本农田，不涉及生态保护红线。项目所在地属于工业发展区，</w:t>
            </w:r>
            <w:r>
              <w:rPr>
                <w:rFonts w:hint="eastAsia" w:ascii="Times New Roman" w:hAnsi="Times New Roman" w:eastAsia="仿宋_GB2312" w:cs="Times New Roman"/>
                <w:b/>
                <w:bCs/>
                <w:color w:val="000000"/>
                <w:kern w:val="0"/>
                <w:sz w:val="21"/>
                <w:szCs w:val="21"/>
                <w:lang w:val="en-US" w:eastAsia="zh-CN" w:bidi="ar-SA"/>
              </w:rPr>
              <w:t>位于城区开发边界内</w:t>
            </w:r>
            <w:r>
              <w:rPr>
                <w:rFonts w:hint="eastAsia" w:ascii="Times New Roman" w:hAnsi="Times New Roman" w:eastAsia="仿宋_GB2312" w:cs="Times New Roman"/>
                <w:color w:val="000000"/>
                <w:kern w:val="0"/>
                <w:sz w:val="21"/>
                <w:szCs w:val="21"/>
                <w:lang w:val="en-US" w:eastAsia="zh-CN" w:bidi="ar-SA"/>
              </w:rPr>
              <w:t>，符合金坛区国土空间总体规划的要求。</w:t>
            </w:r>
          </w:p>
        </w:tc>
      </w:tr>
      <w:tr w14:paraId="40585A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40" w:hRule="atLeast"/>
          <w:jc w:val="center"/>
        </w:trPr>
        <w:tc>
          <w:tcPr>
            <w:tcW w:w="1159" w:type="dxa"/>
            <w:vAlign w:val="center"/>
          </w:tcPr>
          <w:p w14:paraId="6DB28E39">
            <w:pPr>
              <w:autoSpaceDE w:val="0"/>
              <w:autoSpaceDN w:val="0"/>
              <w:adjustRightInd w:val="0"/>
              <w:snapToGrid w:val="0"/>
              <w:jc w:val="center"/>
              <w:rPr>
                <w:rFonts w:eastAsia="仿宋_GB2312"/>
                <w:kern w:val="0"/>
                <w:sz w:val="24"/>
                <w:szCs w:val="24"/>
              </w:rPr>
            </w:pPr>
            <w:r>
              <w:rPr>
                <w:rFonts w:eastAsia="仿宋_GB2312"/>
                <w:kern w:val="0"/>
                <w:sz w:val="24"/>
                <w:szCs w:val="24"/>
              </w:rPr>
              <w:t>其他符合性分析</w:t>
            </w:r>
          </w:p>
        </w:tc>
        <w:tc>
          <w:tcPr>
            <w:tcW w:w="7711" w:type="dxa"/>
            <w:gridSpan w:val="3"/>
            <w:vAlign w:val="center"/>
          </w:tcPr>
          <w:p w14:paraId="16D4C251">
            <w:pPr>
              <w:widowControl/>
              <w:adjustRightInd w:val="0"/>
              <w:snapToGrid w:val="0"/>
              <w:spacing w:line="360" w:lineRule="auto"/>
              <w:ind w:firstLine="422" w:firstLineChars="200"/>
              <w:rPr>
                <w:rFonts w:eastAsia="仿宋_GB2312"/>
                <w:b/>
                <w:color w:val="000000"/>
                <w:kern w:val="0"/>
              </w:rPr>
            </w:pPr>
            <w:r>
              <w:rPr>
                <w:rFonts w:eastAsia="仿宋_GB2312"/>
                <w:b/>
                <w:color w:val="000000"/>
                <w:kern w:val="0"/>
              </w:rPr>
              <w:t>一、“三线一单”相符性</w:t>
            </w:r>
          </w:p>
          <w:p w14:paraId="094C3E7D">
            <w:pPr>
              <w:adjustRightInd w:val="0"/>
              <w:snapToGrid w:val="0"/>
              <w:spacing w:line="360" w:lineRule="auto"/>
              <w:ind w:firstLine="420" w:firstLineChars="200"/>
              <w:rPr>
                <w:rFonts w:eastAsia="仿宋_GB2312"/>
                <w:color w:val="000000"/>
                <w:kern w:val="0"/>
              </w:rPr>
            </w:pPr>
            <w:r>
              <w:rPr>
                <w:rFonts w:eastAsia="仿宋_GB2312"/>
                <w:color w:val="000000"/>
                <w:kern w:val="0"/>
              </w:rPr>
              <w:t>（1）生态红线相符性分析</w:t>
            </w:r>
          </w:p>
          <w:p w14:paraId="2BEA50AC">
            <w:pPr>
              <w:pStyle w:val="11"/>
              <w:keepNext w:val="0"/>
              <w:keepLines w:val="0"/>
              <w:pageBreakBefore w:val="0"/>
              <w:widowControl w:val="0"/>
              <w:kinsoku/>
              <w:wordWrap/>
              <w:overflowPunct/>
              <w:topLinePunct w:val="0"/>
              <w:autoSpaceDE/>
              <w:autoSpaceDN/>
              <w:bidi w:val="0"/>
              <w:spacing w:line="360" w:lineRule="auto"/>
              <w:ind w:firstLine="420" w:firstLineChars="200"/>
              <w:jc w:val="both"/>
              <w:textAlignment w:val="auto"/>
              <w:rPr>
                <w:rFonts w:hint="default" w:ascii="Times New Roman" w:hAnsi="Times New Roman" w:eastAsia="仿宋_GB2312" w:cs="Times New Roman"/>
                <w:color w:val="000000"/>
                <w:kern w:val="0"/>
                <w:sz w:val="21"/>
                <w:szCs w:val="21"/>
              </w:rPr>
            </w:pPr>
            <w:r>
              <w:rPr>
                <w:rFonts w:hint="default" w:ascii="Times New Roman" w:hAnsi="Times New Roman" w:eastAsia="仿宋_GB2312" w:cs="Times New Roman"/>
                <w:color w:val="000000"/>
                <w:kern w:val="0"/>
                <w:sz w:val="21"/>
                <w:szCs w:val="21"/>
              </w:rPr>
              <w:t>根据《省政府关于印发江苏省生态空间管控区域规划的通知》（苏政发〔2020〕1号）》和《江苏省国家级生态保护红线规划》（苏政发〔2018〕74号）结合项目地理位置，本项目与最近的生态空间管控区域丹金溧漕河（金坛区）洪水调蓄区相距1.98km，项目不在管控区内，与管控区无水力关系，符合江苏省生态红线区域保护规划要求。对照《江苏省人民政府关于印发江苏省“三线一单”生态环境分区管控方案的通知苏政发〔2020〕49号》。本项目生产生活不</w:t>
            </w:r>
            <w:r>
              <w:rPr>
                <w:rFonts w:hint="default" w:ascii="Times New Roman" w:hAnsi="Times New Roman" w:eastAsia="仿宋_GB2312" w:cs="Times New Roman"/>
                <w:color w:val="000000"/>
                <w:kern w:val="0"/>
                <w:sz w:val="21"/>
                <w:szCs w:val="21"/>
                <w:lang w:val="en-US" w:eastAsia="zh-CN" w:bidi="ar-SA"/>
              </w:rPr>
              <w:t>涉及已明确的生态保护红线及生态空间管控区域</w:t>
            </w:r>
            <w:r>
              <w:rPr>
                <w:rFonts w:hint="default" w:ascii="Times New Roman" w:hAnsi="Times New Roman" w:eastAsia="仿宋_GB2312" w:cs="Times New Roman"/>
                <w:color w:val="000000"/>
                <w:kern w:val="0"/>
                <w:sz w:val="21"/>
                <w:szCs w:val="21"/>
              </w:rPr>
              <w:t>，开发建设不突破资源环境承载力，与该文件相符。详见附图</w:t>
            </w:r>
            <w:r>
              <w:rPr>
                <w:rFonts w:hint="eastAsia" w:eastAsia="仿宋_GB2312" w:cs="Times New Roman"/>
                <w:color w:val="000000"/>
                <w:kern w:val="0"/>
                <w:sz w:val="21"/>
                <w:szCs w:val="21"/>
                <w:lang w:val="en-US" w:eastAsia="zh-CN"/>
              </w:rPr>
              <w:t>6</w:t>
            </w:r>
            <w:r>
              <w:rPr>
                <w:rFonts w:hint="default" w:ascii="Times New Roman" w:hAnsi="Times New Roman" w:eastAsia="仿宋_GB2312" w:cs="Times New Roman"/>
                <w:color w:val="000000"/>
                <w:kern w:val="0"/>
                <w:sz w:val="21"/>
                <w:szCs w:val="21"/>
              </w:rPr>
              <w:t>。</w:t>
            </w:r>
          </w:p>
          <w:p w14:paraId="320416C9">
            <w:pPr>
              <w:adjustRightInd w:val="0"/>
              <w:snapToGrid w:val="0"/>
              <w:spacing w:line="360" w:lineRule="auto"/>
              <w:ind w:firstLine="420" w:firstLineChars="200"/>
              <w:rPr>
                <w:rFonts w:eastAsia="仿宋_GB2312"/>
                <w:color w:val="000000"/>
                <w:kern w:val="0"/>
              </w:rPr>
            </w:pPr>
            <w:r>
              <w:rPr>
                <w:rFonts w:hint="eastAsia" w:eastAsia="仿宋_GB2312"/>
                <w:color w:val="000000"/>
                <w:kern w:val="0"/>
                <w:lang w:val="en-US" w:eastAsia="zh-CN"/>
              </w:rPr>
              <w:t>对照</w:t>
            </w:r>
            <w:r>
              <w:rPr>
                <w:rFonts w:hint="eastAsia" w:eastAsia="仿宋_GB2312"/>
                <w:color w:val="000000"/>
                <w:kern w:val="0"/>
              </w:rPr>
              <w:t>《关于印发常州市“三线一单”生态环境分区管控实施方案的通知》（常环[2020]95号）</w:t>
            </w:r>
            <w:r>
              <w:rPr>
                <w:rFonts w:hint="eastAsia" w:eastAsia="仿宋_GB2312"/>
                <w:color w:val="000000"/>
                <w:kern w:val="0"/>
                <w:lang w:eastAsia="zh-CN"/>
              </w:rPr>
              <w:t>，</w:t>
            </w:r>
            <w:r>
              <w:rPr>
                <w:rFonts w:hint="eastAsia" w:ascii="Times New Roman" w:hAnsi="Times New Roman" w:eastAsia="仿宋_GB2312" w:cs="Times New Roman"/>
                <w:color w:val="000000"/>
                <w:kern w:val="0"/>
                <w:sz w:val="21"/>
                <w:szCs w:val="21"/>
                <w:lang w:val="en-US" w:eastAsia="zh-CN" w:bidi="ar-SA"/>
              </w:rPr>
              <w:t>本项目与《关于印发常州市“三线一单”生态环境分区管控实施方案的通知》（常环[2020]95号）</w:t>
            </w:r>
            <w:r>
              <w:rPr>
                <w:rFonts w:hint="default" w:ascii="Times New Roman" w:hAnsi="Times New Roman" w:eastAsia="仿宋_GB2312" w:cs="Times New Roman"/>
                <w:color w:val="000000"/>
                <w:kern w:val="0"/>
                <w:sz w:val="21"/>
                <w:szCs w:val="21"/>
                <w:lang w:val="en-US" w:eastAsia="zh-CN" w:bidi="ar-SA"/>
              </w:rPr>
              <w:t>相符性分析</w:t>
            </w:r>
            <w:r>
              <w:rPr>
                <w:rFonts w:hint="eastAsia" w:ascii="Times New Roman" w:hAnsi="Times New Roman" w:eastAsia="仿宋_GB2312" w:cs="Times New Roman"/>
                <w:color w:val="000000"/>
                <w:kern w:val="0"/>
                <w:sz w:val="21"/>
                <w:szCs w:val="21"/>
                <w:lang w:val="en-US" w:eastAsia="zh-CN" w:bidi="ar-SA"/>
              </w:rPr>
              <w:t>见表1-4。</w:t>
            </w:r>
          </w:p>
          <w:p w14:paraId="3122F5B5">
            <w:pPr>
              <w:adjustRightInd w:val="0"/>
              <w:snapToGrid w:val="0"/>
              <w:spacing w:beforeLines="50" w:line="360" w:lineRule="auto"/>
              <w:jc w:val="center"/>
              <w:rPr>
                <w:rFonts w:eastAsia="仿宋_GB2312"/>
                <w:b/>
                <w:bCs/>
                <w:color w:val="000000"/>
                <w:kern w:val="0"/>
              </w:rPr>
            </w:pPr>
            <w:r>
              <w:rPr>
                <w:rFonts w:hint="eastAsia" w:eastAsia="仿宋_GB2312"/>
                <w:b/>
                <w:bCs/>
                <w:color w:val="000000"/>
                <w:kern w:val="0"/>
              </w:rPr>
              <w:t>表1-</w:t>
            </w:r>
            <w:r>
              <w:rPr>
                <w:rFonts w:hint="eastAsia" w:eastAsia="仿宋_GB2312"/>
                <w:b/>
                <w:bCs/>
                <w:color w:val="000000"/>
                <w:kern w:val="0"/>
                <w:lang w:val="en-US" w:eastAsia="zh-CN"/>
              </w:rPr>
              <w:t xml:space="preserve">4  </w:t>
            </w:r>
            <w:r>
              <w:rPr>
                <w:rFonts w:hint="eastAsia" w:eastAsia="仿宋_GB2312"/>
                <w:b/>
                <w:bCs/>
                <w:color w:val="000000"/>
                <w:kern w:val="0"/>
              </w:rPr>
              <w:t>与《关于印发常州市“三线一单”生态环境分区管控实施方案的通知》（常环[2020]95号）中环境管控单元江苏金坛经济开发区相符性分析</w:t>
            </w:r>
          </w:p>
          <w:tbl>
            <w:tblPr>
              <w:tblStyle w:val="3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4287"/>
              <w:gridCol w:w="1788"/>
            </w:tblGrid>
            <w:tr w14:paraId="310FBF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947" w:type="pct"/>
                  <w:vAlign w:val="center"/>
                </w:tcPr>
                <w:p w14:paraId="5169879E">
                  <w:pPr>
                    <w:adjustRightInd w:val="0"/>
                    <w:snapToGrid w:val="0"/>
                    <w:jc w:val="center"/>
                    <w:rPr>
                      <w:rFonts w:eastAsia="仿宋_GB2312"/>
                      <w:b/>
                      <w:bCs/>
                      <w:color w:val="000000"/>
                      <w:kern w:val="0"/>
                      <w:sz w:val="21"/>
                      <w:szCs w:val="21"/>
                    </w:rPr>
                  </w:pPr>
                  <w:r>
                    <w:rPr>
                      <w:rFonts w:eastAsia="仿宋_GB2312"/>
                      <w:b/>
                      <w:bCs/>
                      <w:color w:val="000000"/>
                      <w:kern w:val="0"/>
                      <w:sz w:val="21"/>
                      <w:szCs w:val="21"/>
                    </w:rPr>
                    <w:t>管控类别</w:t>
                  </w:r>
                </w:p>
              </w:tc>
              <w:tc>
                <w:tcPr>
                  <w:tcW w:w="2860" w:type="pct"/>
                  <w:vAlign w:val="center"/>
                </w:tcPr>
                <w:p w14:paraId="4A657FCF">
                  <w:pPr>
                    <w:adjustRightInd w:val="0"/>
                    <w:snapToGrid w:val="0"/>
                    <w:jc w:val="center"/>
                    <w:rPr>
                      <w:rFonts w:eastAsia="仿宋_GB2312"/>
                      <w:b/>
                      <w:bCs/>
                      <w:color w:val="000000"/>
                      <w:kern w:val="0"/>
                      <w:sz w:val="21"/>
                      <w:szCs w:val="21"/>
                    </w:rPr>
                  </w:pPr>
                  <w:r>
                    <w:rPr>
                      <w:rFonts w:eastAsia="仿宋_GB2312"/>
                      <w:b/>
                      <w:bCs/>
                      <w:color w:val="000000"/>
                      <w:kern w:val="0"/>
                      <w:sz w:val="21"/>
                      <w:szCs w:val="21"/>
                    </w:rPr>
                    <w:t>管控要求</w:t>
                  </w:r>
                </w:p>
              </w:tc>
              <w:tc>
                <w:tcPr>
                  <w:tcW w:w="1193" w:type="pct"/>
                  <w:vAlign w:val="center"/>
                </w:tcPr>
                <w:p w14:paraId="48D8097D">
                  <w:pPr>
                    <w:adjustRightInd w:val="0"/>
                    <w:snapToGrid w:val="0"/>
                    <w:jc w:val="center"/>
                    <w:rPr>
                      <w:rFonts w:eastAsia="仿宋_GB2312"/>
                      <w:b/>
                      <w:bCs/>
                      <w:color w:val="000000"/>
                      <w:kern w:val="0"/>
                      <w:sz w:val="21"/>
                      <w:szCs w:val="21"/>
                    </w:rPr>
                  </w:pPr>
                  <w:r>
                    <w:rPr>
                      <w:rFonts w:eastAsia="仿宋_GB2312"/>
                      <w:b/>
                      <w:bCs/>
                      <w:color w:val="000000"/>
                      <w:kern w:val="0"/>
                      <w:sz w:val="21"/>
                      <w:szCs w:val="21"/>
                    </w:rPr>
                    <w:t>相符性分析</w:t>
                  </w:r>
                </w:p>
              </w:tc>
            </w:tr>
            <w:tr w14:paraId="6E022E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47" w:type="pct"/>
                  <w:vAlign w:val="center"/>
                </w:tcPr>
                <w:p w14:paraId="38A141BB">
                  <w:pPr>
                    <w:adjustRightInd w:val="0"/>
                    <w:snapToGrid w:val="0"/>
                    <w:jc w:val="center"/>
                    <w:rPr>
                      <w:rFonts w:eastAsia="仿宋_GB2312"/>
                      <w:color w:val="000000"/>
                      <w:kern w:val="0"/>
                      <w:sz w:val="21"/>
                      <w:szCs w:val="21"/>
                    </w:rPr>
                  </w:pPr>
                  <w:r>
                    <w:rPr>
                      <w:rFonts w:eastAsia="仿宋_GB2312"/>
                      <w:color w:val="000000"/>
                      <w:kern w:val="0"/>
                      <w:sz w:val="21"/>
                      <w:szCs w:val="21"/>
                    </w:rPr>
                    <w:t>空间布局约束</w:t>
                  </w:r>
                </w:p>
              </w:tc>
              <w:tc>
                <w:tcPr>
                  <w:tcW w:w="2860" w:type="pct"/>
                  <w:vAlign w:val="center"/>
                </w:tcPr>
                <w:p w14:paraId="6852414A">
                  <w:pPr>
                    <w:adjustRightInd w:val="0"/>
                    <w:snapToGrid w:val="0"/>
                    <w:jc w:val="center"/>
                    <w:rPr>
                      <w:rFonts w:eastAsia="仿宋_GB2312"/>
                      <w:color w:val="000000"/>
                      <w:kern w:val="0"/>
                      <w:sz w:val="21"/>
                      <w:szCs w:val="21"/>
                    </w:rPr>
                  </w:pPr>
                  <w:r>
                    <w:rPr>
                      <w:rFonts w:eastAsia="仿宋_GB2312"/>
                      <w:color w:val="000000"/>
                      <w:kern w:val="0"/>
                      <w:sz w:val="21"/>
                      <w:szCs w:val="21"/>
                    </w:rPr>
                    <w:t>（1）禁止引入纺织服装中废水排放量较大的纯印染和纯染整类企业（除金坛时尚织染集聚区）。</w:t>
                  </w:r>
                </w:p>
                <w:p w14:paraId="11DE22A3">
                  <w:pPr>
                    <w:adjustRightInd w:val="0"/>
                    <w:snapToGrid w:val="0"/>
                    <w:jc w:val="center"/>
                    <w:rPr>
                      <w:rFonts w:eastAsia="仿宋_GB2312"/>
                      <w:color w:val="000000"/>
                      <w:kern w:val="0"/>
                      <w:sz w:val="21"/>
                      <w:szCs w:val="21"/>
                    </w:rPr>
                  </w:pPr>
                  <w:r>
                    <w:rPr>
                      <w:rFonts w:eastAsia="仿宋_GB2312"/>
                      <w:color w:val="000000"/>
                      <w:kern w:val="0"/>
                      <w:sz w:val="21"/>
                      <w:szCs w:val="21"/>
                    </w:rPr>
                    <w:t>（2）禁止引入机械电子、高端装备制造业中电镀、表面处理类企业，淘汰、限制类的如普通高速钢钻头、铣刀、锯片、丝锥、板牙项目、普通微小型球轴承制造项目；禁止生产国家禁止或公告停止销售的车辆；有害物质含量超标准的汽车。</w:t>
                  </w:r>
                </w:p>
                <w:p w14:paraId="0A9A84DB">
                  <w:pPr>
                    <w:adjustRightInd w:val="0"/>
                    <w:snapToGrid w:val="0"/>
                    <w:jc w:val="center"/>
                    <w:rPr>
                      <w:rFonts w:eastAsia="仿宋_GB2312"/>
                      <w:color w:val="000000"/>
                      <w:kern w:val="0"/>
                      <w:sz w:val="21"/>
                      <w:szCs w:val="21"/>
                    </w:rPr>
                  </w:pPr>
                  <w:r>
                    <w:rPr>
                      <w:rFonts w:eastAsia="仿宋_GB2312"/>
                      <w:color w:val="000000"/>
                      <w:kern w:val="0"/>
                      <w:sz w:val="21"/>
                      <w:szCs w:val="21"/>
                    </w:rPr>
                    <w:t>（3）禁止引入化工中与盐化工及下游产品生产不相关的化工项目。</w:t>
                  </w:r>
                </w:p>
                <w:p w14:paraId="53FB1D33">
                  <w:pPr>
                    <w:adjustRightInd w:val="0"/>
                    <w:snapToGrid w:val="0"/>
                    <w:jc w:val="center"/>
                    <w:rPr>
                      <w:rFonts w:eastAsia="仿宋_GB2312"/>
                      <w:color w:val="000000"/>
                      <w:kern w:val="0"/>
                      <w:sz w:val="21"/>
                      <w:szCs w:val="21"/>
                    </w:rPr>
                  </w:pPr>
                  <w:r>
                    <w:rPr>
                      <w:rFonts w:eastAsia="仿宋_GB2312"/>
                      <w:color w:val="000000"/>
                      <w:kern w:val="0"/>
                      <w:sz w:val="21"/>
                      <w:szCs w:val="21"/>
                    </w:rPr>
                    <w:t>（4）禁止引入新材料产业中太阳能电池切片生产项目。</w:t>
                  </w:r>
                </w:p>
                <w:p w14:paraId="71EAC4EA">
                  <w:pPr>
                    <w:adjustRightInd w:val="0"/>
                    <w:snapToGrid w:val="0"/>
                    <w:jc w:val="center"/>
                    <w:rPr>
                      <w:rFonts w:eastAsia="仿宋_GB2312"/>
                      <w:color w:val="000000"/>
                      <w:kern w:val="0"/>
                      <w:sz w:val="21"/>
                      <w:szCs w:val="21"/>
                    </w:rPr>
                  </w:pPr>
                  <w:r>
                    <w:rPr>
                      <w:rFonts w:eastAsia="仿宋_GB2312"/>
                      <w:color w:val="000000"/>
                      <w:kern w:val="0"/>
                      <w:sz w:val="21"/>
                      <w:szCs w:val="21"/>
                    </w:rPr>
                    <w:t>（5）禁止引入化工新材料中钢铁等传统型金属材料；水泥等传统型非金属材料。</w:t>
                  </w:r>
                </w:p>
                <w:p w14:paraId="5B61E408">
                  <w:pPr>
                    <w:adjustRightInd w:val="0"/>
                    <w:snapToGrid w:val="0"/>
                    <w:jc w:val="center"/>
                    <w:rPr>
                      <w:rFonts w:eastAsia="仿宋_GB2312"/>
                      <w:color w:val="000000"/>
                      <w:kern w:val="0"/>
                      <w:sz w:val="21"/>
                      <w:szCs w:val="21"/>
                    </w:rPr>
                  </w:pPr>
                  <w:r>
                    <w:rPr>
                      <w:rFonts w:eastAsia="仿宋_GB2312"/>
                      <w:color w:val="000000"/>
                      <w:kern w:val="0"/>
                      <w:sz w:val="21"/>
                      <w:szCs w:val="21"/>
                    </w:rPr>
                    <w:t>（6）禁止引入新医药产业中不符合GMP要求的安瓿拉丝灌封机、劳动保护、安瓿灌装注射用无菌粉末、非易折安瓿等。</w:t>
                  </w:r>
                </w:p>
              </w:tc>
              <w:tc>
                <w:tcPr>
                  <w:tcW w:w="1193" w:type="pct"/>
                  <w:vAlign w:val="center"/>
                </w:tcPr>
                <w:p w14:paraId="0DD2B619">
                  <w:pPr>
                    <w:adjustRightInd w:val="0"/>
                    <w:snapToGrid w:val="0"/>
                    <w:jc w:val="center"/>
                    <w:rPr>
                      <w:rFonts w:eastAsia="仿宋_GB2312"/>
                      <w:color w:val="000000"/>
                      <w:sz w:val="21"/>
                      <w:szCs w:val="21"/>
                    </w:rPr>
                  </w:pPr>
                  <w:r>
                    <w:rPr>
                      <w:rFonts w:hint="eastAsia" w:eastAsia="仿宋_GB2312"/>
                      <w:color w:val="000000"/>
                      <w:sz w:val="21"/>
                      <w:szCs w:val="21"/>
                    </w:rPr>
                    <w:t>本项目不属于园区内禁止产业类别</w:t>
                  </w:r>
                </w:p>
              </w:tc>
            </w:tr>
            <w:tr w14:paraId="02468D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47" w:type="pct"/>
                  <w:vAlign w:val="center"/>
                </w:tcPr>
                <w:p w14:paraId="0E249120">
                  <w:pPr>
                    <w:adjustRightInd w:val="0"/>
                    <w:snapToGrid w:val="0"/>
                    <w:jc w:val="center"/>
                    <w:rPr>
                      <w:rFonts w:eastAsia="仿宋_GB2312"/>
                      <w:color w:val="000000"/>
                      <w:kern w:val="0"/>
                      <w:sz w:val="21"/>
                      <w:szCs w:val="21"/>
                    </w:rPr>
                  </w:pPr>
                  <w:r>
                    <w:rPr>
                      <w:rFonts w:eastAsia="仿宋_GB2312"/>
                      <w:color w:val="000000"/>
                      <w:kern w:val="0"/>
                      <w:sz w:val="21"/>
                      <w:szCs w:val="21"/>
                    </w:rPr>
                    <w:t>污染物排放管控</w:t>
                  </w:r>
                </w:p>
              </w:tc>
              <w:tc>
                <w:tcPr>
                  <w:tcW w:w="2860" w:type="pct"/>
                  <w:vAlign w:val="center"/>
                </w:tcPr>
                <w:p w14:paraId="51E0A302">
                  <w:pPr>
                    <w:adjustRightInd w:val="0"/>
                    <w:snapToGrid w:val="0"/>
                    <w:jc w:val="center"/>
                    <w:rPr>
                      <w:rFonts w:eastAsia="仿宋_GB2312"/>
                      <w:color w:val="000000"/>
                      <w:kern w:val="0"/>
                      <w:sz w:val="21"/>
                      <w:szCs w:val="21"/>
                    </w:rPr>
                  </w:pPr>
                  <w:r>
                    <w:rPr>
                      <w:rFonts w:eastAsia="仿宋_GB2312"/>
                      <w:color w:val="000000"/>
                      <w:kern w:val="0"/>
                      <w:sz w:val="21"/>
                      <w:szCs w:val="21"/>
                    </w:rPr>
                    <w:t>（1）严格实施污染物总量控制制度，根据区域环境质量改善目标，采取有效措施减少主要污染物排放总量，确保区域环境质量持续改善。</w:t>
                  </w:r>
                </w:p>
                <w:p w14:paraId="27A128C8">
                  <w:pPr>
                    <w:adjustRightInd w:val="0"/>
                    <w:snapToGrid w:val="0"/>
                    <w:jc w:val="center"/>
                    <w:rPr>
                      <w:rFonts w:eastAsia="仿宋_GB2312"/>
                      <w:color w:val="000000"/>
                      <w:kern w:val="0"/>
                      <w:sz w:val="21"/>
                      <w:szCs w:val="21"/>
                    </w:rPr>
                  </w:pPr>
                  <w:r>
                    <w:rPr>
                      <w:rFonts w:eastAsia="仿宋_GB2312"/>
                      <w:color w:val="000000"/>
                      <w:kern w:val="0"/>
                      <w:sz w:val="21"/>
                      <w:szCs w:val="21"/>
                    </w:rPr>
                    <w:t>（2）园区污染物排放总量不得突破环评报告及批复的总量。</w:t>
                  </w:r>
                </w:p>
              </w:tc>
              <w:tc>
                <w:tcPr>
                  <w:tcW w:w="1193" w:type="pct"/>
                  <w:vAlign w:val="center"/>
                </w:tcPr>
                <w:p w14:paraId="2B973BEC">
                  <w:pPr>
                    <w:pStyle w:val="7"/>
                    <w:adjustRightInd w:val="0"/>
                    <w:snapToGrid w:val="0"/>
                    <w:jc w:val="center"/>
                    <w:rPr>
                      <w:color w:val="000000"/>
                      <w:sz w:val="21"/>
                      <w:szCs w:val="21"/>
                    </w:rPr>
                  </w:pPr>
                  <w:r>
                    <w:rPr>
                      <w:rFonts w:hint="eastAsia" w:eastAsia="仿宋_GB2312"/>
                      <w:color w:val="000000"/>
                      <w:kern w:val="0"/>
                      <w:sz w:val="21"/>
                      <w:szCs w:val="21"/>
                    </w:rPr>
                    <w:t>本项目污染物排放总量不突破</w:t>
                  </w:r>
                  <w:r>
                    <w:rPr>
                      <w:rFonts w:eastAsia="仿宋_GB2312"/>
                      <w:color w:val="000000"/>
                      <w:kern w:val="0"/>
                      <w:sz w:val="21"/>
                      <w:szCs w:val="21"/>
                    </w:rPr>
                    <w:t>环评报告及批复的总量。</w:t>
                  </w:r>
                </w:p>
              </w:tc>
            </w:tr>
            <w:tr w14:paraId="4A1744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47" w:type="pct"/>
                  <w:vAlign w:val="center"/>
                </w:tcPr>
                <w:p w14:paraId="76DC1307">
                  <w:pPr>
                    <w:adjustRightInd w:val="0"/>
                    <w:snapToGrid w:val="0"/>
                    <w:jc w:val="center"/>
                    <w:rPr>
                      <w:rFonts w:eastAsia="仿宋_GB2312"/>
                      <w:color w:val="000000"/>
                      <w:kern w:val="0"/>
                      <w:sz w:val="21"/>
                      <w:szCs w:val="21"/>
                    </w:rPr>
                  </w:pPr>
                  <w:r>
                    <w:rPr>
                      <w:rFonts w:eastAsia="仿宋_GB2312"/>
                      <w:color w:val="000000"/>
                      <w:kern w:val="0"/>
                      <w:sz w:val="21"/>
                      <w:szCs w:val="21"/>
                    </w:rPr>
                    <w:t>环境风险防控</w:t>
                  </w:r>
                </w:p>
              </w:tc>
              <w:tc>
                <w:tcPr>
                  <w:tcW w:w="2860" w:type="pct"/>
                  <w:vAlign w:val="center"/>
                </w:tcPr>
                <w:p w14:paraId="7BAD7D5B">
                  <w:pPr>
                    <w:adjustRightInd w:val="0"/>
                    <w:snapToGrid w:val="0"/>
                    <w:jc w:val="center"/>
                    <w:rPr>
                      <w:rFonts w:eastAsia="仿宋_GB2312"/>
                      <w:color w:val="000000"/>
                      <w:kern w:val="0"/>
                      <w:sz w:val="21"/>
                      <w:szCs w:val="21"/>
                    </w:rPr>
                  </w:pPr>
                  <w:r>
                    <w:rPr>
                      <w:rFonts w:eastAsia="仿宋_GB2312"/>
                      <w:color w:val="000000"/>
                      <w:kern w:val="0"/>
                      <w:sz w:val="21"/>
                      <w:szCs w:val="21"/>
                    </w:rPr>
                    <w:t>（1）园区建立环境应急体系，完善事故应急救援体系，加强应急物资装备储备，编制突发环境事件应急预案，定期开展演练。</w:t>
                  </w:r>
                </w:p>
                <w:p w14:paraId="524F85F6">
                  <w:pPr>
                    <w:adjustRightInd w:val="0"/>
                    <w:snapToGrid w:val="0"/>
                    <w:jc w:val="center"/>
                    <w:rPr>
                      <w:rFonts w:eastAsia="仿宋_GB2312"/>
                      <w:color w:val="000000"/>
                      <w:kern w:val="0"/>
                      <w:sz w:val="21"/>
                      <w:szCs w:val="21"/>
                    </w:rPr>
                  </w:pPr>
                  <w:r>
                    <w:rPr>
                      <w:rFonts w:eastAsia="仿宋_GB2312"/>
                      <w:color w:val="000000"/>
                      <w:kern w:val="0"/>
                      <w:sz w:val="21"/>
                      <w:szCs w:val="21"/>
                    </w:rPr>
                    <w:t>（2）生产、使用、储存危险化学品或其他存在环境风险的企事业单位，应当制定风险防范措施，编制完善突发环境事件应急预案，防止发生环境污染事故。</w:t>
                  </w:r>
                </w:p>
                <w:p w14:paraId="6F90F37D">
                  <w:pPr>
                    <w:adjustRightInd w:val="0"/>
                    <w:snapToGrid w:val="0"/>
                    <w:jc w:val="center"/>
                    <w:rPr>
                      <w:rFonts w:eastAsia="仿宋_GB2312"/>
                      <w:color w:val="000000"/>
                      <w:kern w:val="0"/>
                      <w:sz w:val="21"/>
                      <w:szCs w:val="21"/>
                    </w:rPr>
                  </w:pPr>
                  <w:r>
                    <w:rPr>
                      <w:rFonts w:eastAsia="仿宋_GB2312"/>
                      <w:color w:val="000000"/>
                      <w:kern w:val="0"/>
                      <w:sz w:val="21"/>
                      <w:szCs w:val="21"/>
                    </w:rPr>
                    <w:t>（3）加强环境影响跟踪监测，建立健全各环境要素监控体系，完善并落实园区日常环境监测与污染源监控计划。</w:t>
                  </w:r>
                </w:p>
              </w:tc>
              <w:tc>
                <w:tcPr>
                  <w:tcW w:w="1193" w:type="pct"/>
                  <w:vAlign w:val="center"/>
                </w:tcPr>
                <w:p w14:paraId="3F32107D">
                  <w:pPr>
                    <w:adjustRightInd w:val="0"/>
                    <w:snapToGrid w:val="0"/>
                    <w:jc w:val="center"/>
                    <w:rPr>
                      <w:rFonts w:hint="default" w:eastAsia="仿宋_GB2312"/>
                      <w:color w:val="000000"/>
                      <w:sz w:val="21"/>
                      <w:szCs w:val="21"/>
                      <w:lang w:val="en-US" w:eastAsia="zh-CN"/>
                    </w:rPr>
                  </w:pPr>
                  <w:r>
                    <w:rPr>
                      <w:rFonts w:hint="eastAsia" w:eastAsia="仿宋_GB2312"/>
                      <w:color w:val="000000"/>
                      <w:sz w:val="21"/>
                      <w:szCs w:val="21"/>
                      <w:lang w:val="en-US" w:eastAsia="zh-CN"/>
                    </w:rPr>
                    <w:t>项目完成后应修编</w:t>
                  </w:r>
                  <w:r>
                    <w:rPr>
                      <w:rFonts w:eastAsia="仿宋_GB2312"/>
                      <w:color w:val="000000"/>
                      <w:kern w:val="0"/>
                      <w:sz w:val="21"/>
                      <w:szCs w:val="21"/>
                    </w:rPr>
                    <w:t>突发环境事件应急预案</w:t>
                  </w:r>
                  <w:r>
                    <w:rPr>
                      <w:rFonts w:hint="eastAsia" w:eastAsia="仿宋_GB2312"/>
                      <w:color w:val="000000"/>
                      <w:kern w:val="0"/>
                      <w:sz w:val="21"/>
                      <w:szCs w:val="21"/>
                      <w:lang w:eastAsia="zh-CN"/>
                    </w:rPr>
                    <w:t>，</w:t>
                  </w:r>
                  <w:r>
                    <w:rPr>
                      <w:rFonts w:hint="eastAsia" w:eastAsia="仿宋_GB2312"/>
                      <w:color w:val="000000"/>
                      <w:kern w:val="0"/>
                      <w:sz w:val="21"/>
                      <w:szCs w:val="21"/>
                      <w:lang w:val="en-US" w:eastAsia="zh-CN"/>
                    </w:rPr>
                    <w:t>定期开展演练，并与园区应急预案相衔接。</w:t>
                  </w:r>
                </w:p>
              </w:tc>
            </w:tr>
            <w:tr w14:paraId="66E0B6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47" w:type="pct"/>
                  <w:vAlign w:val="center"/>
                </w:tcPr>
                <w:p w14:paraId="26E8DCF8">
                  <w:pPr>
                    <w:adjustRightInd w:val="0"/>
                    <w:snapToGrid w:val="0"/>
                    <w:jc w:val="center"/>
                    <w:rPr>
                      <w:rFonts w:eastAsia="仿宋_GB2312"/>
                      <w:color w:val="000000"/>
                      <w:kern w:val="0"/>
                      <w:sz w:val="21"/>
                      <w:szCs w:val="21"/>
                    </w:rPr>
                  </w:pPr>
                  <w:r>
                    <w:rPr>
                      <w:rFonts w:eastAsia="仿宋_GB2312"/>
                      <w:color w:val="000000"/>
                      <w:kern w:val="0"/>
                      <w:sz w:val="21"/>
                      <w:szCs w:val="21"/>
                    </w:rPr>
                    <w:t>资源利用效率要求</w:t>
                  </w:r>
                </w:p>
              </w:tc>
              <w:tc>
                <w:tcPr>
                  <w:tcW w:w="2860" w:type="pct"/>
                  <w:vAlign w:val="center"/>
                </w:tcPr>
                <w:p w14:paraId="72E3F925">
                  <w:pPr>
                    <w:adjustRightInd w:val="0"/>
                    <w:snapToGrid w:val="0"/>
                    <w:jc w:val="center"/>
                    <w:rPr>
                      <w:rFonts w:eastAsia="仿宋_GB2312"/>
                      <w:color w:val="000000"/>
                      <w:kern w:val="0"/>
                      <w:sz w:val="21"/>
                      <w:szCs w:val="21"/>
                    </w:rPr>
                  </w:pPr>
                  <w:r>
                    <w:rPr>
                      <w:rFonts w:eastAsia="仿宋_GB2312"/>
                      <w:color w:val="000000"/>
                      <w:kern w:val="0"/>
                      <w:sz w:val="21"/>
                      <w:szCs w:val="21"/>
                    </w:rPr>
                    <w:t>（1）大力倡导使用清洁能源。</w:t>
                  </w:r>
                </w:p>
                <w:p w14:paraId="11F89BA1">
                  <w:pPr>
                    <w:adjustRightInd w:val="0"/>
                    <w:snapToGrid w:val="0"/>
                    <w:jc w:val="center"/>
                    <w:rPr>
                      <w:rFonts w:eastAsia="仿宋_GB2312"/>
                      <w:color w:val="000000"/>
                      <w:kern w:val="0"/>
                      <w:sz w:val="21"/>
                      <w:szCs w:val="21"/>
                    </w:rPr>
                  </w:pPr>
                  <w:r>
                    <w:rPr>
                      <w:rFonts w:eastAsia="仿宋_GB2312"/>
                      <w:color w:val="000000"/>
                      <w:kern w:val="0"/>
                      <w:sz w:val="21"/>
                      <w:szCs w:val="21"/>
                    </w:rPr>
                    <w:t>（2）提升废水资源化技术，提高水资源回用率。</w:t>
                  </w:r>
                </w:p>
                <w:p w14:paraId="7A3CB14C">
                  <w:pPr>
                    <w:adjustRightInd w:val="0"/>
                    <w:snapToGrid w:val="0"/>
                    <w:jc w:val="center"/>
                    <w:rPr>
                      <w:rFonts w:eastAsia="仿宋_GB2312"/>
                      <w:color w:val="000000"/>
                      <w:kern w:val="0"/>
                      <w:sz w:val="21"/>
                      <w:szCs w:val="21"/>
                    </w:rPr>
                  </w:pPr>
                  <w:r>
                    <w:rPr>
                      <w:rFonts w:eastAsia="仿宋_GB2312"/>
                      <w:color w:val="000000"/>
                      <w:kern w:val="0"/>
                      <w:sz w:val="21"/>
                      <w:szCs w:val="21"/>
                    </w:rPr>
                    <w:t>（3）严禁自建燃煤设施。</w:t>
                  </w:r>
                </w:p>
              </w:tc>
              <w:tc>
                <w:tcPr>
                  <w:tcW w:w="1193" w:type="pct"/>
                  <w:vAlign w:val="center"/>
                </w:tcPr>
                <w:p w14:paraId="6F7F8337">
                  <w:pPr>
                    <w:adjustRightInd w:val="0"/>
                    <w:snapToGrid w:val="0"/>
                    <w:jc w:val="center"/>
                    <w:rPr>
                      <w:rFonts w:eastAsia="仿宋_GB2312"/>
                      <w:color w:val="000000"/>
                      <w:kern w:val="0"/>
                      <w:sz w:val="21"/>
                      <w:szCs w:val="21"/>
                    </w:rPr>
                  </w:pPr>
                  <w:r>
                    <w:rPr>
                      <w:rFonts w:hint="eastAsia" w:eastAsia="仿宋_GB2312"/>
                      <w:color w:val="000000"/>
                      <w:kern w:val="0"/>
                      <w:sz w:val="21"/>
                      <w:szCs w:val="21"/>
                    </w:rPr>
                    <w:t>本项目无自建燃煤设施</w:t>
                  </w:r>
                </w:p>
              </w:tc>
            </w:tr>
          </w:tbl>
          <w:p w14:paraId="5809C57B">
            <w:pPr>
              <w:adjustRightInd w:val="0"/>
              <w:snapToGrid w:val="0"/>
              <w:spacing w:line="360" w:lineRule="auto"/>
              <w:ind w:firstLine="420" w:firstLineChars="200"/>
              <w:rPr>
                <w:rFonts w:hint="eastAsia" w:eastAsia="仿宋_GB2312"/>
                <w:color w:val="000000"/>
                <w:kern w:val="0"/>
                <w:lang w:val="en-US" w:eastAsia="zh-CN"/>
              </w:rPr>
            </w:pPr>
          </w:p>
          <w:p w14:paraId="733FE555">
            <w:pPr>
              <w:adjustRightInd w:val="0"/>
              <w:snapToGrid w:val="0"/>
              <w:spacing w:line="360" w:lineRule="auto"/>
              <w:ind w:firstLine="420" w:firstLineChars="200"/>
              <w:rPr>
                <w:rFonts w:hint="eastAsia" w:eastAsia="仿宋_GB2312"/>
                <w:color w:val="000000"/>
                <w:kern w:val="0"/>
                <w:lang w:val="en-US" w:eastAsia="zh-CN"/>
              </w:rPr>
            </w:pPr>
            <w:r>
              <w:rPr>
                <w:rFonts w:hint="eastAsia" w:eastAsia="仿宋_GB2312"/>
                <w:color w:val="000000"/>
                <w:kern w:val="0"/>
                <w:lang w:val="en-US" w:eastAsia="zh-CN"/>
              </w:rPr>
              <w:t>本项目位于江苏省常州市金坛经济开发区盐厂路1号，对照《江苏省2023年度生态环境分区管控动态更新成果》可知，属于太湖流域，属于重点管控单元--江苏金坛经济开发区。本项目与《江苏省2023年度生态环境分区管控动态更新成果》相符性分析见下表。</w:t>
            </w:r>
          </w:p>
          <w:p w14:paraId="0FB93793">
            <w:pPr>
              <w:pStyle w:val="28"/>
              <w:keepNext w:val="0"/>
              <w:keepLines w:val="0"/>
              <w:pageBreakBefore w:val="0"/>
              <w:widowControl w:val="0"/>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120" w:beforeAutospacing="0" w:after="0" w:afterAutospacing="0" w:line="360" w:lineRule="auto"/>
              <w:ind w:left="0" w:right="0" w:firstLine="0"/>
              <w:jc w:val="center"/>
              <w:textAlignment w:val="auto"/>
              <w:rPr>
                <w:rFonts w:hint="eastAsia" w:ascii="Times New Roman" w:hAnsi="Times New Roman" w:eastAsia="仿宋_GB2312" w:cs="Times New Roman"/>
                <w:color w:val="000000"/>
                <w:kern w:val="0"/>
                <w:sz w:val="21"/>
                <w:szCs w:val="21"/>
                <w:lang w:val="en-US" w:eastAsia="zh-CN" w:bidi="ar-SA"/>
              </w:rPr>
            </w:pPr>
            <w:r>
              <w:rPr>
                <w:rFonts w:hint="eastAsia" w:ascii="Times New Roman" w:hAnsi="Times New Roman" w:eastAsia="仿宋_GB2312" w:cs="Times New Roman"/>
                <w:color w:val="000000"/>
                <w:kern w:val="0"/>
                <w:sz w:val="21"/>
                <w:szCs w:val="21"/>
                <w:lang w:val="en-US" w:eastAsia="zh-CN" w:bidi="ar-SA"/>
              </w:rPr>
              <w:drawing>
                <wp:inline distT="0" distB="0" distL="114300" distR="114300">
                  <wp:extent cx="4752340" cy="2317115"/>
                  <wp:effectExtent l="0" t="0" r="10160" b="6985"/>
                  <wp:docPr id="1" name="图片 1" descr="ae0e64e5c8f8a0e72973fcf7c870fc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e0e64e5c8f8a0e72973fcf7c870fc5d"/>
                          <pic:cNvPicPr>
                            <a:picLocks noChangeAspect="1"/>
                          </pic:cNvPicPr>
                        </pic:nvPicPr>
                        <pic:blipFill>
                          <a:blip r:embed="rId21"/>
                          <a:stretch>
                            <a:fillRect/>
                          </a:stretch>
                        </pic:blipFill>
                        <pic:spPr>
                          <a:xfrm>
                            <a:off x="0" y="0"/>
                            <a:ext cx="4752340" cy="2317115"/>
                          </a:xfrm>
                          <a:prstGeom prst="rect">
                            <a:avLst/>
                          </a:prstGeom>
                        </pic:spPr>
                      </pic:pic>
                    </a:graphicData>
                  </a:graphic>
                </wp:inline>
              </w:drawing>
            </w:r>
          </w:p>
          <w:p w14:paraId="0F7B26EC">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ind w:left="0" w:right="0"/>
              <w:jc w:val="center"/>
              <w:rPr>
                <w:rFonts w:hint="eastAsia" w:ascii="Times New Roman" w:hAnsi="Times New Roman" w:eastAsia="仿宋_GB2312" w:cs="Times New Roman"/>
                <w:b/>
                <w:bCs/>
                <w:color w:val="000000"/>
                <w:kern w:val="0"/>
                <w:sz w:val="21"/>
                <w:szCs w:val="21"/>
                <w:lang w:val="en-US" w:eastAsia="zh-CN" w:bidi="ar-SA"/>
              </w:rPr>
            </w:pPr>
            <w:r>
              <w:rPr>
                <w:rFonts w:hint="eastAsia" w:ascii="Times New Roman" w:hAnsi="Times New Roman" w:eastAsia="仿宋_GB2312" w:cs="Times New Roman"/>
                <w:b/>
                <w:bCs/>
                <w:color w:val="000000"/>
                <w:kern w:val="0"/>
                <w:sz w:val="21"/>
                <w:szCs w:val="21"/>
                <w:lang w:val="en-US" w:eastAsia="zh-CN" w:bidi="ar-SA"/>
              </w:rPr>
              <w:t>图 1-1 项目与江苏省生态环境分区管控综合服务平台对照图</w:t>
            </w:r>
          </w:p>
          <w:p w14:paraId="35CFD0F2">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120" w:beforeAutospacing="0" w:after="0" w:afterAutospacing="0" w:line="360" w:lineRule="auto"/>
              <w:ind w:left="0" w:right="0" w:firstLine="480"/>
              <w:jc w:val="both"/>
              <w:rPr>
                <w:rFonts w:hint="eastAsia" w:ascii="Times New Roman" w:hAnsi="Times New Roman" w:eastAsia="仿宋_GB2312" w:cs="Times New Roman"/>
                <w:color w:val="000000"/>
                <w:kern w:val="0"/>
                <w:sz w:val="21"/>
                <w:szCs w:val="21"/>
                <w:lang w:val="en-US" w:eastAsia="zh-CN" w:bidi="ar-SA"/>
              </w:rPr>
            </w:pPr>
          </w:p>
          <w:p w14:paraId="51540015">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ind w:left="0" w:right="0"/>
              <w:jc w:val="center"/>
              <w:rPr>
                <w:rFonts w:hint="eastAsia" w:ascii="Times New Roman" w:hAnsi="Times New Roman" w:eastAsia="仿宋_GB2312" w:cs="Times New Roman"/>
                <w:b/>
                <w:bCs/>
                <w:color w:val="000000"/>
                <w:kern w:val="0"/>
                <w:sz w:val="21"/>
                <w:szCs w:val="21"/>
                <w:lang w:val="en-US" w:eastAsia="zh-CN" w:bidi="ar-SA"/>
              </w:rPr>
            </w:pPr>
            <w:r>
              <w:rPr>
                <w:rFonts w:hint="eastAsia" w:ascii="Times New Roman" w:hAnsi="Times New Roman" w:eastAsia="仿宋_GB2312" w:cs="Times New Roman"/>
                <w:b/>
                <w:bCs/>
                <w:color w:val="000000"/>
                <w:kern w:val="0"/>
                <w:sz w:val="21"/>
                <w:szCs w:val="21"/>
                <w:lang w:val="en-US" w:eastAsia="zh-CN" w:bidi="ar-SA"/>
              </w:rPr>
              <w:t>表1-5  与《江苏省2023年度生态环境分区管控动态更新成果》相符性分析</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27"/>
              <w:gridCol w:w="4231"/>
              <w:gridCol w:w="2137"/>
            </w:tblGrid>
            <w:tr w14:paraId="62B2B6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752" w:type="pct"/>
                  <w:tcBorders>
                    <w:tl2br w:val="nil"/>
                    <w:tr2bl w:val="nil"/>
                  </w:tcBorders>
                  <w:vAlign w:val="center"/>
                </w:tcPr>
                <w:p w14:paraId="09C5D9C9">
                  <w:pPr>
                    <w:pStyle w:val="28"/>
                    <w:keepNext w:val="0"/>
                    <w:keepLines w:val="0"/>
                    <w:pageBreakBefore w:val="0"/>
                    <w:widowControl w:val="0"/>
                    <w:suppressLineNumbers w:val="0"/>
                    <w:pBdr>
                      <w:top w:val="none" w:color="auto" w:sz="0" w:space="0"/>
                      <w:left w:val="none" w:color="auto" w:sz="0" w:space="0"/>
                      <w:bottom w:val="none" w:color="auto" w:sz="0" w:space="0"/>
                      <w:right w:val="none" w:color="auto" w:sz="0" w:space="0"/>
                      <w:between w:val="none" w:color="auto" w:sz="0" w:space="0"/>
                    </w:pBdr>
                    <w:tabs>
                      <w:tab w:val="left" w:pos="1937"/>
                    </w:tabs>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000000"/>
                      <w:kern w:val="0"/>
                      <w:sz w:val="21"/>
                      <w:szCs w:val="21"/>
                      <w:vertAlign w:val="baseline"/>
                    </w:rPr>
                  </w:pPr>
                  <w:r>
                    <w:rPr>
                      <w:rFonts w:hint="default" w:ascii="Times New Roman" w:hAnsi="Times New Roman" w:eastAsia="仿宋_GB2312" w:cs="Times New Roman"/>
                      <w:b/>
                      <w:bCs/>
                      <w:color w:val="000000"/>
                      <w:sz w:val="21"/>
                      <w:szCs w:val="21"/>
                    </w:rPr>
                    <w:t>环境管控单元名称</w:t>
                  </w:r>
                </w:p>
              </w:tc>
              <w:tc>
                <w:tcPr>
                  <w:tcW w:w="2822" w:type="pct"/>
                  <w:tcBorders>
                    <w:tl2br w:val="nil"/>
                    <w:tr2bl w:val="nil"/>
                  </w:tcBorders>
                  <w:vAlign w:val="center"/>
                </w:tcPr>
                <w:p w14:paraId="7FB0A76D">
                  <w:pPr>
                    <w:pStyle w:val="28"/>
                    <w:keepNext w:val="0"/>
                    <w:keepLines w:val="0"/>
                    <w:pageBreakBefore w:val="0"/>
                    <w:widowControl w:val="0"/>
                    <w:suppressLineNumbers w:val="0"/>
                    <w:pBdr>
                      <w:top w:val="none" w:color="auto" w:sz="0" w:space="0"/>
                      <w:left w:val="none" w:color="auto" w:sz="0" w:space="0"/>
                      <w:bottom w:val="none" w:color="auto" w:sz="0" w:space="0"/>
                      <w:right w:val="none" w:color="auto" w:sz="0" w:space="0"/>
                      <w:between w:val="none" w:color="auto" w:sz="0" w:space="0"/>
                    </w:pBdr>
                    <w:tabs>
                      <w:tab w:val="left" w:pos="1937"/>
                    </w:tabs>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000000"/>
                      <w:kern w:val="0"/>
                      <w:sz w:val="21"/>
                      <w:szCs w:val="21"/>
                      <w:vertAlign w:val="baseline"/>
                    </w:rPr>
                  </w:pPr>
                  <w:r>
                    <w:rPr>
                      <w:rFonts w:hint="default" w:ascii="Times New Roman" w:hAnsi="Times New Roman" w:eastAsia="仿宋_GB2312" w:cs="Times New Roman"/>
                      <w:b/>
                      <w:bCs/>
                      <w:color w:val="000000"/>
                      <w:sz w:val="21"/>
                      <w:szCs w:val="21"/>
                    </w:rPr>
                    <w:t>生态环境准入清单</w:t>
                  </w:r>
                </w:p>
              </w:tc>
              <w:tc>
                <w:tcPr>
                  <w:tcW w:w="1425" w:type="pct"/>
                  <w:tcBorders>
                    <w:tl2br w:val="nil"/>
                    <w:tr2bl w:val="nil"/>
                  </w:tcBorders>
                  <w:vAlign w:val="center"/>
                </w:tcPr>
                <w:p w14:paraId="280FFF58">
                  <w:pPr>
                    <w:pStyle w:val="28"/>
                    <w:keepNext w:val="0"/>
                    <w:keepLines w:val="0"/>
                    <w:pageBreakBefore w:val="0"/>
                    <w:widowControl w:val="0"/>
                    <w:suppressLineNumbers w:val="0"/>
                    <w:pBdr>
                      <w:top w:val="none" w:color="auto" w:sz="0" w:space="0"/>
                      <w:left w:val="none" w:color="auto" w:sz="0" w:space="0"/>
                      <w:bottom w:val="none" w:color="auto" w:sz="0" w:space="0"/>
                      <w:right w:val="none" w:color="auto" w:sz="0" w:space="0"/>
                      <w:between w:val="none" w:color="auto" w:sz="0" w:space="0"/>
                    </w:pBdr>
                    <w:tabs>
                      <w:tab w:val="left" w:pos="1937"/>
                    </w:tabs>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000000"/>
                      <w:kern w:val="0"/>
                      <w:sz w:val="21"/>
                      <w:szCs w:val="21"/>
                      <w:vertAlign w:val="baseline"/>
                    </w:rPr>
                  </w:pPr>
                  <w:r>
                    <w:rPr>
                      <w:rFonts w:hint="default" w:ascii="Times New Roman" w:hAnsi="Times New Roman" w:eastAsia="仿宋_GB2312" w:cs="Times New Roman"/>
                      <w:b/>
                      <w:bCs/>
                      <w:color w:val="000000"/>
                      <w:sz w:val="21"/>
                      <w:szCs w:val="21"/>
                    </w:rPr>
                    <w:t>对照分析</w:t>
                  </w:r>
                </w:p>
              </w:tc>
            </w:tr>
            <w:tr w14:paraId="04FDD2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2" w:type="pct"/>
                  <w:vMerge w:val="restart"/>
                  <w:tcBorders>
                    <w:tl2br w:val="nil"/>
                    <w:tr2bl w:val="nil"/>
                  </w:tcBorders>
                  <w:vAlign w:val="center"/>
                </w:tcPr>
                <w:p w14:paraId="52C35AB9">
                  <w:pPr>
                    <w:pStyle w:val="28"/>
                    <w:keepNext w:val="0"/>
                    <w:keepLines w:val="0"/>
                    <w:pageBreakBefore w:val="0"/>
                    <w:widowControl w:val="0"/>
                    <w:suppressLineNumbers w:val="0"/>
                    <w:pBdr>
                      <w:top w:val="none" w:color="auto" w:sz="0" w:space="0"/>
                      <w:left w:val="none" w:color="auto" w:sz="0" w:space="0"/>
                      <w:bottom w:val="none" w:color="auto" w:sz="0" w:space="0"/>
                      <w:right w:val="none" w:color="auto" w:sz="0" w:space="0"/>
                      <w:between w:val="none" w:color="auto" w:sz="0" w:space="0"/>
                    </w:pBdr>
                    <w:tabs>
                      <w:tab w:val="left" w:pos="1937"/>
                    </w:tabs>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000000"/>
                      <w:kern w:val="0"/>
                      <w:sz w:val="21"/>
                      <w:szCs w:val="21"/>
                      <w:vertAlign w:val="baseline"/>
                    </w:rPr>
                  </w:pPr>
                  <w:r>
                    <w:rPr>
                      <w:rFonts w:hint="default" w:ascii="Times New Roman" w:hAnsi="Times New Roman" w:eastAsia="仿宋_GB2312" w:cs="Times New Roman"/>
                      <w:color w:val="000000"/>
                      <w:sz w:val="21"/>
                      <w:szCs w:val="21"/>
                    </w:rPr>
                    <w:t>太湖流域</w:t>
                  </w:r>
                </w:p>
              </w:tc>
              <w:tc>
                <w:tcPr>
                  <w:tcW w:w="2822" w:type="pct"/>
                  <w:tcBorders>
                    <w:tl2br w:val="nil"/>
                    <w:tr2bl w:val="nil"/>
                  </w:tcBorders>
                  <w:vAlign w:val="center"/>
                </w:tcPr>
                <w:p w14:paraId="0D9300BC">
                  <w:pPr>
                    <w:pStyle w:val="28"/>
                    <w:keepNext w:val="0"/>
                    <w:keepLines w:val="0"/>
                    <w:pageBreakBefore w:val="0"/>
                    <w:widowControl w:val="0"/>
                    <w:suppressLineNumbers w:val="0"/>
                    <w:pBdr>
                      <w:top w:val="none" w:color="auto" w:sz="0" w:space="0"/>
                      <w:left w:val="none" w:color="auto" w:sz="0" w:space="0"/>
                      <w:bottom w:val="none" w:color="auto" w:sz="0" w:space="0"/>
                      <w:right w:val="none" w:color="auto" w:sz="0" w:space="0"/>
                      <w:between w:val="none" w:color="auto" w:sz="0" w:space="0"/>
                    </w:pBdr>
                    <w:tabs>
                      <w:tab w:val="left" w:pos="1937"/>
                    </w:tabs>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000000"/>
                      <w:kern w:val="0"/>
                      <w:sz w:val="21"/>
                      <w:szCs w:val="21"/>
                      <w:vertAlign w:val="baseline"/>
                    </w:rPr>
                  </w:pPr>
                  <w:r>
                    <w:rPr>
                      <w:rFonts w:hint="default" w:ascii="Times New Roman" w:hAnsi="Times New Roman" w:eastAsia="仿宋_GB2312" w:cs="Times New Roman"/>
                      <w:color w:val="000000"/>
                      <w:sz w:val="21"/>
                      <w:szCs w:val="21"/>
                    </w:rPr>
                    <w:t>空间布局约束：1．在太湖流域一、二、三级保护区，禁止新建、改建、扩建化学制浆造纸、制革、酿造、染料、印染、电镀以及其他排放含磷、氮等污染物的企业和项目，城镇污水集中处理等环境基础设施项目和《江苏省太湖水污染防治条例》第四十六条规定的情形除外。2．在太湖流域一级保护区，禁止新建、扩建向水体排放污染物的建设项目，禁止新建、扩建畜禽养殖场，禁止新建、扩建高尔夫球场、水上游乐等开发项目以及设置水上餐饮经营设施。3．在太湖流域二级保护区，禁止新建、扩建化工、医药生产项目，禁止新建、扩建污水集中处理设施排污口以外的排污口。</w:t>
                  </w:r>
                </w:p>
              </w:tc>
              <w:tc>
                <w:tcPr>
                  <w:tcW w:w="1425" w:type="pct"/>
                  <w:tcBorders>
                    <w:tl2br w:val="nil"/>
                    <w:tr2bl w:val="nil"/>
                  </w:tcBorders>
                  <w:vAlign w:val="center"/>
                </w:tcPr>
                <w:p w14:paraId="67769FF6">
                  <w:pPr>
                    <w:pStyle w:val="28"/>
                    <w:keepNext w:val="0"/>
                    <w:keepLines w:val="0"/>
                    <w:pageBreakBefore w:val="0"/>
                    <w:widowControl w:val="0"/>
                    <w:suppressLineNumbers w:val="0"/>
                    <w:pBdr>
                      <w:top w:val="none" w:color="auto" w:sz="0" w:space="0"/>
                      <w:left w:val="none" w:color="auto" w:sz="0" w:space="0"/>
                      <w:bottom w:val="none" w:color="auto" w:sz="0" w:space="0"/>
                      <w:right w:val="none" w:color="auto" w:sz="0" w:space="0"/>
                      <w:between w:val="none" w:color="auto" w:sz="0" w:space="0"/>
                    </w:pBdr>
                    <w:tabs>
                      <w:tab w:val="left" w:pos="1937"/>
                    </w:tabs>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000000"/>
                      <w:kern w:val="0"/>
                      <w:sz w:val="21"/>
                      <w:szCs w:val="21"/>
                      <w:vertAlign w:val="baseline"/>
                    </w:rPr>
                  </w:pPr>
                  <w:r>
                    <w:rPr>
                      <w:rFonts w:hint="default" w:ascii="Times New Roman" w:hAnsi="Times New Roman" w:eastAsia="仿宋_GB2312" w:cs="Times New Roman"/>
                      <w:color w:val="000000"/>
                      <w:sz w:val="21"/>
                      <w:szCs w:val="21"/>
                    </w:rPr>
                    <w:t>本项目为</w:t>
                  </w:r>
                  <w:r>
                    <w:rPr>
                      <w:rFonts w:hint="eastAsia" w:ascii="Times New Roman" w:hAnsi="Times New Roman" w:eastAsia="仿宋_GB2312" w:cs="Times New Roman"/>
                      <w:color w:val="000000"/>
                      <w:sz w:val="21"/>
                      <w:szCs w:val="21"/>
                      <w:lang w:val="en-US" w:eastAsia="zh-CN"/>
                    </w:rPr>
                    <w:t>盐加工</w:t>
                  </w:r>
                  <w:r>
                    <w:rPr>
                      <w:rFonts w:hint="default" w:ascii="Times New Roman" w:hAnsi="Times New Roman" w:eastAsia="仿宋_GB2312" w:cs="Times New Roman"/>
                      <w:color w:val="000000"/>
                      <w:sz w:val="21"/>
                      <w:szCs w:val="21"/>
                    </w:rPr>
                    <w:t>项目，位于太湖流域三级保护区，无含磷、氮工业废水外排。</w:t>
                  </w:r>
                </w:p>
              </w:tc>
            </w:tr>
            <w:tr w14:paraId="25259F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2" w:type="pct"/>
                  <w:vMerge w:val="continue"/>
                  <w:tcBorders>
                    <w:tl2br w:val="nil"/>
                    <w:tr2bl w:val="nil"/>
                  </w:tcBorders>
                  <w:vAlign w:val="center"/>
                </w:tcPr>
                <w:p w14:paraId="6D623139">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仿宋_GB2312" w:cs="Times New Roman"/>
                      <w:color w:val="000000"/>
                      <w:kern w:val="0"/>
                      <w:sz w:val="21"/>
                      <w:szCs w:val="21"/>
                      <w:vertAlign w:val="baseline"/>
                    </w:rPr>
                  </w:pPr>
                </w:p>
              </w:tc>
              <w:tc>
                <w:tcPr>
                  <w:tcW w:w="2822" w:type="pct"/>
                  <w:tcBorders>
                    <w:tl2br w:val="nil"/>
                    <w:tr2bl w:val="nil"/>
                  </w:tcBorders>
                  <w:vAlign w:val="center"/>
                </w:tcPr>
                <w:p w14:paraId="59F09A9C">
                  <w:pPr>
                    <w:pStyle w:val="28"/>
                    <w:keepNext w:val="0"/>
                    <w:keepLines w:val="0"/>
                    <w:pageBreakBefore w:val="0"/>
                    <w:widowControl w:val="0"/>
                    <w:suppressLineNumbers w:val="0"/>
                    <w:pBdr>
                      <w:top w:val="none" w:color="auto" w:sz="0" w:space="0"/>
                      <w:left w:val="none" w:color="auto" w:sz="0" w:space="0"/>
                      <w:bottom w:val="none" w:color="auto" w:sz="0" w:space="0"/>
                      <w:right w:val="none" w:color="auto" w:sz="0" w:space="0"/>
                      <w:between w:val="none" w:color="auto" w:sz="0" w:space="0"/>
                    </w:pBdr>
                    <w:tabs>
                      <w:tab w:val="left" w:pos="1937"/>
                    </w:tabs>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污染物排放管控：城镇污水处理厂、纺织工业、化学工业、造纸工业、钢铁工业、电镀工业和食品工业的污水处理设施执行《太湖地区城镇污水处理厂及重点工业行业主要水污染物排放限值》。</w:t>
                  </w:r>
                </w:p>
              </w:tc>
              <w:tc>
                <w:tcPr>
                  <w:tcW w:w="1425" w:type="pct"/>
                  <w:tcBorders>
                    <w:tl2br w:val="nil"/>
                    <w:tr2bl w:val="nil"/>
                  </w:tcBorders>
                  <w:vAlign w:val="center"/>
                </w:tcPr>
                <w:p w14:paraId="64C7045A">
                  <w:pPr>
                    <w:pStyle w:val="28"/>
                    <w:keepNext w:val="0"/>
                    <w:keepLines w:val="0"/>
                    <w:pageBreakBefore w:val="0"/>
                    <w:widowControl w:val="0"/>
                    <w:suppressLineNumbers w:val="0"/>
                    <w:pBdr>
                      <w:top w:val="none" w:color="auto" w:sz="0" w:space="0"/>
                      <w:left w:val="none" w:color="auto" w:sz="0" w:space="0"/>
                      <w:bottom w:val="none" w:color="auto" w:sz="0" w:space="0"/>
                      <w:right w:val="none" w:color="auto" w:sz="0" w:space="0"/>
                      <w:between w:val="none" w:color="auto" w:sz="0" w:space="0"/>
                    </w:pBdr>
                    <w:tabs>
                      <w:tab w:val="left" w:pos="1937"/>
                    </w:tabs>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本项目</w:t>
                  </w:r>
                  <w:r>
                    <w:rPr>
                      <w:rFonts w:hint="eastAsia" w:ascii="Times New Roman" w:hAnsi="Times New Roman" w:eastAsia="仿宋_GB2312" w:cs="Times New Roman"/>
                      <w:color w:val="000000"/>
                      <w:sz w:val="21"/>
                      <w:szCs w:val="21"/>
                      <w:lang w:val="en-US" w:eastAsia="zh-CN"/>
                    </w:rPr>
                    <w:t>生产废水</w:t>
                  </w:r>
                  <w:r>
                    <w:rPr>
                      <w:rFonts w:hint="eastAsia" w:ascii="Times New Roman" w:hAnsi="Times New Roman" w:eastAsia="仿宋_GB2312" w:cs="Times New Roman"/>
                      <w:color w:val="000000"/>
                      <w:sz w:val="21"/>
                      <w:szCs w:val="21"/>
                    </w:rPr>
                    <w:t>经含盐废水专用管网打入反冲洗池后，通过回用管道回用至矿区采卤</w:t>
                  </w:r>
                  <w:r>
                    <w:rPr>
                      <w:rFonts w:hint="eastAsia" w:ascii="Times New Roman" w:hAnsi="Times New Roman" w:eastAsia="仿宋_GB2312" w:cs="Times New Roman"/>
                      <w:color w:val="000000"/>
                      <w:sz w:val="21"/>
                      <w:szCs w:val="21"/>
                      <w:lang w:eastAsia="zh-CN"/>
                    </w:rPr>
                    <w:t>，</w:t>
                  </w:r>
                  <w:r>
                    <w:rPr>
                      <w:rFonts w:hint="eastAsia" w:ascii="Times New Roman" w:hAnsi="Times New Roman" w:eastAsia="仿宋_GB2312" w:cs="Times New Roman"/>
                      <w:color w:val="000000"/>
                      <w:sz w:val="21"/>
                      <w:szCs w:val="21"/>
                      <w:lang w:val="en-US" w:eastAsia="zh-CN"/>
                    </w:rPr>
                    <w:t>利用现有员工，无生活污水产生</w:t>
                  </w:r>
                  <w:r>
                    <w:rPr>
                      <w:rFonts w:hint="default" w:ascii="Times New Roman" w:hAnsi="Times New Roman" w:eastAsia="仿宋_GB2312" w:cs="Times New Roman"/>
                      <w:color w:val="000000"/>
                      <w:sz w:val="21"/>
                      <w:szCs w:val="21"/>
                    </w:rPr>
                    <w:t>。</w:t>
                  </w:r>
                </w:p>
              </w:tc>
            </w:tr>
            <w:tr w14:paraId="455337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2" w:type="pct"/>
                  <w:vMerge w:val="continue"/>
                  <w:tcBorders>
                    <w:tl2br w:val="nil"/>
                    <w:tr2bl w:val="nil"/>
                  </w:tcBorders>
                  <w:vAlign w:val="center"/>
                </w:tcPr>
                <w:p w14:paraId="5F491A40">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仿宋_GB2312" w:cs="Times New Roman"/>
                      <w:color w:val="000000"/>
                      <w:kern w:val="0"/>
                      <w:sz w:val="21"/>
                      <w:szCs w:val="21"/>
                      <w:vertAlign w:val="baseline"/>
                    </w:rPr>
                  </w:pPr>
                </w:p>
              </w:tc>
              <w:tc>
                <w:tcPr>
                  <w:tcW w:w="2822" w:type="pct"/>
                  <w:tcBorders>
                    <w:tl2br w:val="nil"/>
                    <w:tr2bl w:val="nil"/>
                  </w:tcBorders>
                  <w:vAlign w:val="center"/>
                </w:tcPr>
                <w:p w14:paraId="22E23229">
                  <w:pPr>
                    <w:pStyle w:val="28"/>
                    <w:keepNext w:val="0"/>
                    <w:keepLines w:val="0"/>
                    <w:pageBreakBefore w:val="0"/>
                    <w:widowControl w:val="0"/>
                    <w:suppressLineNumbers w:val="0"/>
                    <w:pBdr>
                      <w:top w:val="none" w:color="auto" w:sz="0" w:space="0"/>
                      <w:left w:val="none" w:color="auto" w:sz="0" w:space="0"/>
                      <w:bottom w:val="none" w:color="auto" w:sz="0" w:space="0"/>
                      <w:right w:val="none" w:color="auto" w:sz="0" w:space="0"/>
                      <w:between w:val="none" w:color="auto" w:sz="0" w:space="0"/>
                    </w:pBdr>
                    <w:tabs>
                      <w:tab w:val="left" w:pos="1937"/>
                    </w:tabs>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000000"/>
                      <w:kern w:val="0"/>
                      <w:sz w:val="21"/>
                      <w:szCs w:val="21"/>
                      <w:vertAlign w:val="baseline"/>
                    </w:rPr>
                  </w:pPr>
                  <w:r>
                    <w:rPr>
                      <w:rFonts w:hint="default" w:ascii="Times New Roman" w:hAnsi="Times New Roman" w:eastAsia="仿宋_GB2312" w:cs="Times New Roman"/>
                      <w:color w:val="000000"/>
                      <w:sz w:val="21"/>
                      <w:szCs w:val="21"/>
                    </w:rPr>
                    <w:t>环境风险防控：1．运输剧毒物质、危险化学品的船舶不得进入太湖。2．禁止向太湖流域水体排放或者倾倒油类、酸液、碱液、剧毒废渣废液、含放射性废渣废液、含病原体污水、工业废渣以及其他废弃物。3．加强太湖流域生态环境风险应急管控，着力提高防控太湖蓝藻水华风险预警和应急处置能力。</w:t>
                  </w:r>
                </w:p>
              </w:tc>
              <w:tc>
                <w:tcPr>
                  <w:tcW w:w="1425" w:type="pct"/>
                  <w:tcBorders>
                    <w:tl2br w:val="nil"/>
                    <w:tr2bl w:val="nil"/>
                  </w:tcBorders>
                  <w:vAlign w:val="center"/>
                </w:tcPr>
                <w:p w14:paraId="54BABC1D">
                  <w:pPr>
                    <w:pStyle w:val="28"/>
                    <w:keepNext w:val="0"/>
                    <w:keepLines w:val="0"/>
                    <w:pageBreakBefore w:val="0"/>
                    <w:widowControl w:val="0"/>
                    <w:suppressLineNumbers w:val="0"/>
                    <w:pBdr>
                      <w:top w:val="none" w:color="auto" w:sz="0" w:space="0"/>
                      <w:left w:val="none" w:color="auto" w:sz="0" w:space="0"/>
                      <w:bottom w:val="none" w:color="auto" w:sz="0" w:space="0"/>
                      <w:right w:val="none" w:color="auto" w:sz="0" w:space="0"/>
                      <w:between w:val="none" w:color="auto" w:sz="0" w:space="0"/>
                    </w:pBdr>
                    <w:tabs>
                      <w:tab w:val="left" w:pos="1937"/>
                    </w:tabs>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000000"/>
                      <w:kern w:val="0"/>
                      <w:sz w:val="21"/>
                      <w:szCs w:val="21"/>
                      <w:vertAlign w:val="baseline"/>
                    </w:rPr>
                  </w:pPr>
                  <w:r>
                    <w:rPr>
                      <w:rFonts w:hint="default" w:ascii="Times New Roman" w:hAnsi="Times New Roman" w:eastAsia="仿宋_GB2312" w:cs="Times New Roman"/>
                      <w:color w:val="000000"/>
                      <w:sz w:val="21"/>
                      <w:szCs w:val="21"/>
                    </w:rPr>
                    <w:t>本项目不涉及船舶运输，各类危废委托有资质单位处置，并在项目投产前落实处置途径。</w:t>
                  </w:r>
                </w:p>
              </w:tc>
            </w:tr>
            <w:tr w14:paraId="33EA85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2" w:type="pct"/>
                  <w:vMerge w:val="continue"/>
                  <w:tcBorders>
                    <w:tl2br w:val="nil"/>
                    <w:tr2bl w:val="nil"/>
                  </w:tcBorders>
                  <w:vAlign w:val="center"/>
                </w:tcPr>
                <w:p w14:paraId="1C09E474">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仿宋_GB2312" w:cs="Times New Roman"/>
                      <w:color w:val="000000"/>
                      <w:kern w:val="0"/>
                      <w:sz w:val="21"/>
                      <w:szCs w:val="21"/>
                      <w:vertAlign w:val="baseline"/>
                    </w:rPr>
                  </w:pPr>
                </w:p>
              </w:tc>
              <w:tc>
                <w:tcPr>
                  <w:tcW w:w="2822" w:type="pct"/>
                  <w:tcBorders>
                    <w:tl2br w:val="nil"/>
                    <w:tr2bl w:val="nil"/>
                  </w:tcBorders>
                  <w:vAlign w:val="center"/>
                </w:tcPr>
                <w:p w14:paraId="1708187F">
                  <w:pPr>
                    <w:pStyle w:val="28"/>
                    <w:keepNext w:val="0"/>
                    <w:keepLines w:val="0"/>
                    <w:pageBreakBefore w:val="0"/>
                    <w:widowControl w:val="0"/>
                    <w:suppressLineNumbers w:val="0"/>
                    <w:pBdr>
                      <w:top w:val="none" w:color="auto" w:sz="0" w:space="0"/>
                      <w:left w:val="none" w:color="auto" w:sz="0" w:space="0"/>
                      <w:bottom w:val="none" w:color="auto" w:sz="0" w:space="0"/>
                      <w:right w:val="none" w:color="auto" w:sz="0" w:space="0"/>
                      <w:between w:val="none" w:color="auto" w:sz="0" w:space="0"/>
                    </w:pBdr>
                    <w:tabs>
                      <w:tab w:val="left" w:pos="1937"/>
                    </w:tabs>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000000"/>
                      <w:kern w:val="0"/>
                      <w:sz w:val="21"/>
                      <w:szCs w:val="21"/>
                      <w:vertAlign w:val="baseline"/>
                    </w:rPr>
                  </w:pPr>
                  <w:r>
                    <w:rPr>
                      <w:rFonts w:hint="default" w:ascii="Times New Roman" w:hAnsi="Times New Roman" w:eastAsia="仿宋_GB2312" w:cs="Times New Roman"/>
                      <w:color w:val="000000"/>
                      <w:sz w:val="21"/>
                      <w:szCs w:val="21"/>
                    </w:rPr>
                    <w:t>资源开发效率要求：1．严格用水定额管理制度，推进取用水规范化管理，科学制定用水定额并动态调整，对超过用水定额标准的企业分类分步先期实施节水改造，鼓励重点用水企业、园区建立智慧用水管理系统。2．推进新孟河、新沟河、望虞河、走马塘等河道联合调度，科学调控太湖水位。</w:t>
                  </w:r>
                </w:p>
              </w:tc>
              <w:tc>
                <w:tcPr>
                  <w:tcW w:w="1425" w:type="pct"/>
                  <w:tcBorders>
                    <w:tl2br w:val="nil"/>
                    <w:tr2bl w:val="nil"/>
                  </w:tcBorders>
                  <w:vAlign w:val="center"/>
                </w:tcPr>
                <w:p w14:paraId="4F5A476E">
                  <w:pPr>
                    <w:pStyle w:val="28"/>
                    <w:keepNext w:val="0"/>
                    <w:keepLines w:val="0"/>
                    <w:pageBreakBefore w:val="0"/>
                    <w:widowControl w:val="0"/>
                    <w:suppressLineNumbers w:val="0"/>
                    <w:pBdr>
                      <w:top w:val="none" w:color="auto" w:sz="0" w:space="0"/>
                      <w:left w:val="none" w:color="auto" w:sz="0" w:space="0"/>
                      <w:bottom w:val="none" w:color="auto" w:sz="0" w:space="0"/>
                      <w:right w:val="none" w:color="auto" w:sz="0" w:space="0"/>
                      <w:between w:val="none" w:color="auto" w:sz="0" w:space="0"/>
                    </w:pBdr>
                    <w:tabs>
                      <w:tab w:val="left" w:pos="1937"/>
                    </w:tabs>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仿宋_GB2312" w:cs="Times New Roman"/>
                      <w:color w:val="000000"/>
                      <w:kern w:val="0"/>
                      <w:sz w:val="21"/>
                      <w:szCs w:val="21"/>
                      <w:vertAlign w:val="baseline"/>
                    </w:rPr>
                  </w:pPr>
                  <w:r>
                    <w:rPr>
                      <w:rFonts w:hint="default" w:ascii="Times New Roman" w:hAnsi="Times New Roman" w:eastAsia="仿宋_GB2312" w:cs="Times New Roman"/>
                      <w:color w:val="000000"/>
                      <w:sz w:val="21"/>
                      <w:szCs w:val="21"/>
                    </w:rPr>
                    <w:t>本项目利用已建成的水资源供应系统，不涉及资源开发。</w:t>
                  </w:r>
                </w:p>
              </w:tc>
            </w:tr>
          </w:tbl>
          <w:p w14:paraId="53F93388">
            <w:pPr>
              <w:adjustRightInd w:val="0"/>
              <w:snapToGrid w:val="0"/>
              <w:spacing w:line="360" w:lineRule="auto"/>
              <w:ind w:firstLine="420" w:firstLineChars="200"/>
              <w:rPr>
                <w:rFonts w:eastAsia="仿宋_GB2312"/>
                <w:color w:val="000000"/>
                <w:kern w:val="0"/>
              </w:rPr>
            </w:pPr>
            <w:r>
              <w:rPr>
                <w:rFonts w:eastAsia="仿宋_GB2312"/>
                <w:color w:val="000000"/>
                <w:kern w:val="0"/>
              </w:rPr>
              <w:t>（2）环境质量底线</w:t>
            </w:r>
          </w:p>
          <w:p w14:paraId="338FF254">
            <w:pPr>
              <w:adjustRightInd w:val="0"/>
              <w:snapToGrid w:val="0"/>
              <w:spacing w:line="360" w:lineRule="auto"/>
              <w:ind w:firstLine="420" w:firstLineChars="200"/>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环境空气：根据《</w:t>
            </w:r>
            <w:r>
              <w:rPr>
                <w:rFonts w:hint="default" w:ascii="Times New Roman" w:hAnsi="Times New Roman" w:eastAsia="仿宋_GB2312" w:cs="Times New Roman"/>
                <w:kern w:val="0"/>
                <w:sz w:val="21"/>
                <w:szCs w:val="21"/>
                <w:lang w:val="en-US" w:eastAsia="zh-CN"/>
              </w:rPr>
              <w:t>2024</w:t>
            </w:r>
            <w:r>
              <w:rPr>
                <w:rFonts w:hint="default" w:ascii="Times New Roman" w:hAnsi="Times New Roman" w:eastAsia="仿宋_GB2312" w:cs="Times New Roman"/>
                <w:kern w:val="0"/>
                <w:sz w:val="21"/>
                <w:szCs w:val="21"/>
                <w:lang w:eastAsia="zh-CN"/>
              </w:rPr>
              <w:t>年常州市生态环境状况公报</w:t>
            </w:r>
            <w:r>
              <w:rPr>
                <w:rFonts w:hint="default" w:ascii="Times New Roman" w:hAnsi="Times New Roman" w:eastAsia="仿宋_GB2312" w:cs="Times New Roman"/>
                <w:kern w:val="0"/>
                <w:sz w:val="21"/>
                <w:szCs w:val="21"/>
              </w:rPr>
              <w:t>》，</w:t>
            </w:r>
            <w:r>
              <w:rPr>
                <w:rFonts w:hint="default" w:ascii="Times New Roman" w:hAnsi="Times New Roman" w:eastAsia="仿宋_GB2312" w:cs="Times New Roman"/>
                <w:kern w:val="0"/>
                <w:sz w:val="21"/>
                <w:szCs w:val="21"/>
                <w:lang w:val="en-US" w:eastAsia="zh-CN"/>
              </w:rPr>
              <w:t>2024年度常州市环境空气中SO</w:t>
            </w:r>
            <w:r>
              <w:rPr>
                <w:rFonts w:hint="default" w:ascii="Times New Roman" w:hAnsi="Times New Roman" w:eastAsia="仿宋_GB2312" w:cs="Times New Roman"/>
                <w:kern w:val="0"/>
                <w:sz w:val="21"/>
                <w:szCs w:val="21"/>
                <w:vertAlign w:val="subscript"/>
                <w:lang w:val="en-US" w:eastAsia="zh-CN"/>
              </w:rPr>
              <w:t>2</w:t>
            </w:r>
            <w:r>
              <w:rPr>
                <w:rFonts w:hint="default" w:ascii="Times New Roman" w:hAnsi="Times New Roman" w:eastAsia="仿宋_GB2312" w:cs="Times New Roman"/>
                <w:kern w:val="0"/>
                <w:sz w:val="21"/>
                <w:szCs w:val="21"/>
                <w:lang w:val="en-US" w:eastAsia="zh-CN"/>
              </w:rPr>
              <w:t>、NO</w:t>
            </w:r>
            <w:r>
              <w:rPr>
                <w:rFonts w:hint="default" w:ascii="Times New Roman" w:hAnsi="Times New Roman" w:eastAsia="仿宋_GB2312" w:cs="Times New Roman"/>
                <w:kern w:val="0"/>
                <w:sz w:val="21"/>
                <w:szCs w:val="21"/>
                <w:vertAlign w:val="subscript"/>
                <w:lang w:val="en-US" w:eastAsia="zh-CN"/>
              </w:rPr>
              <w:t>2</w:t>
            </w:r>
            <w:r>
              <w:rPr>
                <w:rFonts w:hint="default" w:ascii="Times New Roman" w:hAnsi="Times New Roman" w:eastAsia="仿宋_GB2312" w:cs="Times New Roman"/>
                <w:kern w:val="0"/>
                <w:sz w:val="21"/>
                <w:szCs w:val="21"/>
                <w:lang w:val="en-US" w:eastAsia="zh-CN"/>
              </w:rPr>
              <w:t>、PM</w:t>
            </w:r>
            <w:r>
              <w:rPr>
                <w:rFonts w:hint="default" w:ascii="Times New Roman" w:hAnsi="Times New Roman" w:eastAsia="仿宋_GB2312" w:cs="Times New Roman"/>
                <w:kern w:val="0"/>
                <w:sz w:val="21"/>
                <w:szCs w:val="21"/>
                <w:vertAlign w:val="subscript"/>
                <w:lang w:val="en-US" w:eastAsia="zh-CN"/>
              </w:rPr>
              <w:t>10</w:t>
            </w:r>
            <w:r>
              <w:rPr>
                <w:rFonts w:hint="default" w:ascii="Times New Roman" w:hAnsi="Times New Roman" w:eastAsia="仿宋_GB2312" w:cs="Times New Roman"/>
                <w:kern w:val="0"/>
                <w:sz w:val="21"/>
                <w:szCs w:val="21"/>
                <w:lang w:val="en-US" w:eastAsia="zh-CN"/>
              </w:rPr>
              <w:t>、PM</w:t>
            </w:r>
            <w:r>
              <w:rPr>
                <w:rFonts w:hint="default" w:ascii="Times New Roman" w:hAnsi="Times New Roman" w:eastAsia="仿宋_GB2312" w:cs="Times New Roman"/>
                <w:kern w:val="0"/>
                <w:sz w:val="21"/>
                <w:szCs w:val="21"/>
                <w:vertAlign w:val="subscript"/>
                <w:lang w:val="en-US" w:eastAsia="zh-CN"/>
              </w:rPr>
              <w:t>2.5</w:t>
            </w:r>
            <w:r>
              <w:rPr>
                <w:rFonts w:hint="default" w:ascii="Times New Roman" w:hAnsi="Times New Roman" w:eastAsia="仿宋_GB2312" w:cs="Times New Roman"/>
                <w:kern w:val="0"/>
                <w:sz w:val="21"/>
                <w:szCs w:val="21"/>
                <w:lang w:val="en-US" w:eastAsia="zh-CN"/>
              </w:rPr>
              <w:t>的年平均质量浓度、CO的24小时平均第95百分位数浓度达到《环境空气质量标准》（GB3095-2012）及其修改单中二级标准要求，O</w:t>
            </w:r>
            <w:r>
              <w:rPr>
                <w:rFonts w:hint="default" w:ascii="Times New Roman" w:hAnsi="Times New Roman" w:eastAsia="仿宋_GB2312" w:cs="Times New Roman"/>
                <w:kern w:val="0"/>
                <w:sz w:val="21"/>
                <w:szCs w:val="21"/>
                <w:vertAlign w:val="subscript"/>
                <w:lang w:val="en-US" w:eastAsia="zh-CN"/>
              </w:rPr>
              <w:t>3</w:t>
            </w:r>
            <w:r>
              <w:rPr>
                <w:rFonts w:hint="default" w:ascii="Times New Roman" w:hAnsi="Times New Roman" w:eastAsia="仿宋_GB2312" w:cs="Times New Roman"/>
                <w:kern w:val="0"/>
                <w:sz w:val="21"/>
                <w:szCs w:val="21"/>
                <w:lang w:val="en-US" w:eastAsia="zh-CN"/>
              </w:rPr>
              <w:t>的日最大8h滑动平均值第90百分位数浓度超标；金坛区环境空气中SO</w:t>
            </w:r>
            <w:r>
              <w:rPr>
                <w:rFonts w:hint="default" w:ascii="Times New Roman" w:hAnsi="Times New Roman" w:eastAsia="仿宋_GB2312" w:cs="Times New Roman"/>
                <w:kern w:val="0"/>
                <w:sz w:val="21"/>
                <w:szCs w:val="21"/>
                <w:vertAlign w:val="subscript"/>
                <w:lang w:val="en-US" w:eastAsia="zh-CN"/>
              </w:rPr>
              <w:t>2</w:t>
            </w:r>
            <w:r>
              <w:rPr>
                <w:rFonts w:hint="default" w:ascii="Times New Roman" w:hAnsi="Times New Roman" w:eastAsia="仿宋_GB2312" w:cs="Times New Roman"/>
                <w:kern w:val="0"/>
                <w:sz w:val="21"/>
                <w:szCs w:val="21"/>
                <w:lang w:val="en-US" w:eastAsia="zh-CN"/>
              </w:rPr>
              <w:t>、NO</w:t>
            </w:r>
            <w:r>
              <w:rPr>
                <w:rFonts w:hint="default" w:ascii="Times New Roman" w:hAnsi="Times New Roman" w:eastAsia="仿宋_GB2312" w:cs="Times New Roman"/>
                <w:kern w:val="0"/>
                <w:sz w:val="21"/>
                <w:szCs w:val="21"/>
                <w:vertAlign w:val="subscript"/>
                <w:lang w:val="en-US" w:eastAsia="zh-CN"/>
              </w:rPr>
              <w:t>2</w:t>
            </w:r>
            <w:r>
              <w:rPr>
                <w:rFonts w:hint="default" w:ascii="Times New Roman" w:hAnsi="Times New Roman" w:eastAsia="仿宋_GB2312" w:cs="Times New Roman"/>
                <w:kern w:val="0"/>
                <w:sz w:val="21"/>
                <w:szCs w:val="21"/>
                <w:lang w:val="en-US" w:eastAsia="zh-CN"/>
              </w:rPr>
              <w:t>、PM</w:t>
            </w:r>
            <w:r>
              <w:rPr>
                <w:rFonts w:hint="default" w:ascii="Times New Roman" w:hAnsi="Times New Roman" w:eastAsia="仿宋_GB2312" w:cs="Times New Roman"/>
                <w:kern w:val="0"/>
                <w:sz w:val="21"/>
                <w:szCs w:val="21"/>
                <w:vertAlign w:val="subscript"/>
                <w:lang w:val="en-US" w:eastAsia="zh-CN"/>
              </w:rPr>
              <w:t>10</w:t>
            </w:r>
            <w:r>
              <w:rPr>
                <w:rFonts w:hint="default" w:ascii="Times New Roman" w:hAnsi="Times New Roman" w:eastAsia="仿宋_GB2312" w:cs="Times New Roman"/>
                <w:kern w:val="0"/>
                <w:sz w:val="21"/>
                <w:szCs w:val="21"/>
                <w:lang w:val="en-US" w:eastAsia="zh-CN"/>
              </w:rPr>
              <w:t>、PM</w:t>
            </w:r>
            <w:r>
              <w:rPr>
                <w:rFonts w:hint="default" w:ascii="Times New Roman" w:hAnsi="Times New Roman" w:eastAsia="仿宋_GB2312" w:cs="Times New Roman"/>
                <w:kern w:val="0"/>
                <w:sz w:val="21"/>
                <w:szCs w:val="21"/>
                <w:vertAlign w:val="subscript"/>
                <w:lang w:val="en-US" w:eastAsia="zh-CN"/>
              </w:rPr>
              <w:t>2.5</w:t>
            </w:r>
            <w:r>
              <w:rPr>
                <w:rFonts w:hint="default" w:ascii="Times New Roman" w:hAnsi="Times New Roman" w:eastAsia="仿宋_GB2312" w:cs="Times New Roman"/>
                <w:kern w:val="0"/>
                <w:sz w:val="21"/>
                <w:szCs w:val="21"/>
                <w:lang w:val="en-US" w:eastAsia="zh-CN"/>
              </w:rPr>
              <w:t>的年平均质量浓度、CO的24小时平均第95百分位数浓度达到《环境空气质量标准》（GB3095-2012）及其修改单中二级标准要求，O</w:t>
            </w:r>
            <w:r>
              <w:rPr>
                <w:rFonts w:hint="default" w:ascii="Times New Roman" w:hAnsi="Times New Roman" w:eastAsia="仿宋_GB2312" w:cs="Times New Roman"/>
                <w:kern w:val="0"/>
                <w:sz w:val="21"/>
                <w:szCs w:val="21"/>
                <w:vertAlign w:val="subscript"/>
                <w:lang w:val="en-US" w:eastAsia="zh-CN"/>
              </w:rPr>
              <w:t>3</w:t>
            </w:r>
            <w:r>
              <w:rPr>
                <w:rFonts w:hint="default" w:ascii="Times New Roman" w:hAnsi="Times New Roman" w:eastAsia="仿宋_GB2312" w:cs="Times New Roman"/>
                <w:kern w:val="0"/>
                <w:sz w:val="21"/>
                <w:szCs w:val="21"/>
                <w:lang w:val="en-US" w:eastAsia="zh-CN"/>
              </w:rPr>
              <w:t>的日最大8h滑动平均值第90百分位数浓度超标。根据《环境影响评价技术导则-大气环境》（HJ2.2-2018）SO</w:t>
            </w:r>
            <w:r>
              <w:rPr>
                <w:rFonts w:hint="default" w:ascii="Times New Roman" w:hAnsi="Times New Roman" w:eastAsia="仿宋_GB2312" w:cs="Times New Roman"/>
                <w:kern w:val="0"/>
                <w:sz w:val="21"/>
                <w:szCs w:val="21"/>
                <w:vertAlign w:val="subscript"/>
                <w:lang w:val="en-US" w:eastAsia="zh-CN"/>
              </w:rPr>
              <w:t>2</w:t>
            </w:r>
            <w:r>
              <w:rPr>
                <w:rFonts w:hint="default" w:ascii="Times New Roman" w:hAnsi="Times New Roman" w:eastAsia="仿宋_GB2312" w:cs="Times New Roman"/>
                <w:kern w:val="0"/>
                <w:sz w:val="21"/>
                <w:szCs w:val="21"/>
                <w:lang w:val="en-US" w:eastAsia="zh-CN"/>
              </w:rPr>
              <w:t>、NO</w:t>
            </w:r>
            <w:r>
              <w:rPr>
                <w:rFonts w:hint="default" w:ascii="Times New Roman" w:hAnsi="Times New Roman" w:eastAsia="仿宋_GB2312" w:cs="Times New Roman"/>
                <w:kern w:val="0"/>
                <w:sz w:val="21"/>
                <w:szCs w:val="21"/>
                <w:vertAlign w:val="subscript"/>
                <w:lang w:val="en-US" w:eastAsia="zh-CN"/>
              </w:rPr>
              <w:t>2</w:t>
            </w:r>
            <w:r>
              <w:rPr>
                <w:rFonts w:hint="default" w:ascii="Times New Roman" w:hAnsi="Times New Roman" w:eastAsia="仿宋_GB2312" w:cs="Times New Roman"/>
                <w:kern w:val="0"/>
                <w:sz w:val="21"/>
                <w:szCs w:val="21"/>
                <w:lang w:val="en-US" w:eastAsia="zh-CN"/>
              </w:rPr>
              <w:t>、PM</w:t>
            </w:r>
            <w:r>
              <w:rPr>
                <w:rFonts w:hint="default" w:ascii="Times New Roman" w:hAnsi="Times New Roman" w:eastAsia="仿宋_GB2312" w:cs="Times New Roman"/>
                <w:kern w:val="0"/>
                <w:sz w:val="21"/>
                <w:szCs w:val="21"/>
                <w:vertAlign w:val="subscript"/>
                <w:lang w:val="en-US" w:eastAsia="zh-CN"/>
              </w:rPr>
              <w:t>10</w:t>
            </w:r>
            <w:r>
              <w:rPr>
                <w:rFonts w:hint="default" w:ascii="Times New Roman" w:hAnsi="Times New Roman" w:eastAsia="仿宋_GB2312" w:cs="Times New Roman"/>
                <w:kern w:val="0"/>
                <w:sz w:val="21"/>
                <w:szCs w:val="21"/>
                <w:lang w:val="en-US" w:eastAsia="zh-CN"/>
              </w:rPr>
              <w:t>、PM</w:t>
            </w:r>
            <w:r>
              <w:rPr>
                <w:rFonts w:hint="default" w:ascii="Times New Roman" w:hAnsi="Times New Roman" w:eastAsia="仿宋_GB2312" w:cs="Times New Roman"/>
                <w:kern w:val="0"/>
                <w:sz w:val="21"/>
                <w:szCs w:val="21"/>
                <w:vertAlign w:val="subscript"/>
                <w:lang w:val="en-US" w:eastAsia="zh-CN"/>
              </w:rPr>
              <w:t>2.5</w:t>
            </w:r>
            <w:r>
              <w:rPr>
                <w:rFonts w:hint="default" w:ascii="Times New Roman" w:hAnsi="Times New Roman" w:eastAsia="仿宋_GB2312" w:cs="Times New Roman"/>
                <w:kern w:val="0"/>
                <w:sz w:val="21"/>
                <w:szCs w:val="21"/>
                <w:lang w:val="en-US" w:eastAsia="zh-CN"/>
              </w:rPr>
              <w:t>、CO和O</w:t>
            </w:r>
            <w:r>
              <w:rPr>
                <w:rFonts w:hint="default" w:ascii="Times New Roman" w:hAnsi="Times New Roman" w:eastAsia="仿宋_GB2312" w:cs="Times New Roman"/>
                <w:kern w:val="0"/>
                <w:sz w:val="21"/>
                <w:szCs w:val="21"/>
                <w:vertAlign w:val="subscript"/>
                <w:lang w:val="en-US" w:eastAsia="zh-CN"/>
              </w:rPr>
              <w:t>3</w:t>
            </w:r>
            <w:r>
              <w:rPr>
                <w:rFonts w:hint="default" w:ascii="Times New Roman" w:hAnsi="Times New Roman" w:eastAsia="仿宋_GB2312" w:cs="Times New Roman"/>
                <w:kern w:val="0"/>
                <w:sz w:val="21"/>
                <w:szCs w:val="21"/>
                <w:lang w:val="en-US" w:eastAsia="zh-CN"/>
              </w:rPr>
              <w:t>等6项污染物全部达标即为城市环境空气质量达标，故常州市和金坛目前均属于环境空气质量不达标区。</w:t>
            </w:r>
            <w:r>
              <w:rPr>
                <w:rFonts w:hint="default" w:ascii="Times New Roman" w:hAnsi="Times New Roman" w:eastAsia="仿宋_GB2312" w:cs="Times New Roman"/>
                <w:kern w:val="0"/>
                <w:sz w:val="21"/>
                <w:szCs w:val="21"/>
              </w:rPr>
              <w:t>根据</w:t>
            </w:r>
            <w:r>
              <w:rPr>
                <w:rFonts w:hint="default" w:ascii="Times New Roman" w:hAnsi="Times New Roman" w:eastAsia="仿宋_GB2312" w:cs="Times New Roman"/>
                <w:kern w:val="0"/>
                <w:sz w:val="21"/>
                <w:szCs w:val="21"/>
                <w:lang w:val="en-US" w:eastAsia="zh-CN"/>
              </w:rPr>
              <w:t>《2024年度全面推进美丽常州建设工作方案》中提出的相关削减措施</w:t>
            </w:r>
            <w:r>
              <w:rPr>
                <w:rFonts w:hint="default" w:ascii="Times New Roman" w:hAnsi="Times New Roman" w:eastAsia="仿宋_GB2312" w:cs="Times New Roman"/>
                <w:kern w:val="0"/>
                <w:sz w:val="21"/>
                <w:szCs w:val="21"/>
              </w:rPr>
              <w:t>：</w:t>
            </w:r>
            <w:r>
              <w:rPr>
                <w:rFonts w:hint="default" w:ascii="Times New Roman" w:hAnsi="Times New Roman" w:eastAsia="仿宋_GB2312" w:cs="Times New Roman"/>
                <w:kern w:val="0"/>
                <w:sz w:val="21"/>
                <w:szCs w:val="21"/>
                <w:lang w:val="en-US" w:eastAsia="zh-CN"/>
              </w:rPr>
              <w:t>推进固定源深度治理、着力打好臭氧污染防治攻坚战、实施扬尘污染精细化治理、开展餐饮油烟、恶臭异味专项治理、着力打好重污染天气消除攻坚战</w:t>
            </w:r>
            <w:r>
              <w:rPr>
                <w:rFonts w:hint="default" w:ascii="Times New Roman" w:hAnsi="Times New Roman" w:eastAsia="仿宋_GB2312" w:cs="Times New Roman"/>
                <w:kern w:val="0"/>
                <w:sz w:val="21"/>
                <w:szCs w:val="21"/>
                <w:lang w:eastAsia="zh-CN"/>
              </w:rPr>
              <w:t>，</w:t>
            </w:r>
            <w:r>
              <w:rPr>
                <w:rFonts w:hint="default" w:ascii="Times New Roman" w:hAnsi="Times New Roman" w:eastAsia="仿宋_GB2312" w:cs="Times New Roman"/>
                <w:kern w:val="0"/>
                <w:sz w:val="21"/>
                <w:szCs w:val="21"/>
              </w:rPr>
              <w:t>采取上述措施后，常州市大气环境质量将得到改善。</w:t>
            </w:r>
          </w:p>
          <w:p w14:paraId="353252C9">
            <w:pPr>
              <w:adjustRightInd w:val="0"/>
              <w:snapToGrid w:val="0"/>
              <w:spacing w:line="360" w:lineRule="auto"/>
              <w:ind w:firstLine="420" w:firstLineChars="200"/>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本项目建成后，产生的废气得到有效收集和处理后可达标排放，排放量较小，对周围环境影响较小，总体来说，本项目建成后不会加剧大气环境质量状况的恶化。因此，本项目的建设符合大气环境质量底线的要求。</w:t>
            </w:r>
          </w:p>
          <w:p w14:paraId="4600A726">
            <w:pPr>
              <w:adjustRightInd w:val="0"/>
              <w:snapToGrid w:val="0"/>
              <w:spacing w:line="360" w:lineRule="auto"/>
              <w:ind w:firstLine="420" w:firstLineChars="200"/>
              <w:rPr>
                <w:rFonts w:hint="eastAsia"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水环境：</w:t>
            </w:r>
            <w:r>
              <w:rPr>
                <w:rFonts w:hint="default" w:ascii="Times New Roman" w:hAnsi="Times New Roman" w:eastAsia="仿宋_GB2312" w:cs="Times New Roman"/>
                <w:color w:val="000000"/>
                <w:sz w:val="21"/>
                <w:szCs w:val="21"/>
              </w:rPr>
              <w:t>尧塘河地表水断面中pH、COD、NH</w:t>
            </w:r>
            <w:r>
              <w:rPr>
                <w:rFonts w:hint="default" w:ascii="Times New Roman" w:hAnsi="Times New Roman" w:eastAsia="仿宋_GB2312" w:cs="Times New Roman"/>
                <w:color w:val="000000"/>
                <w:sz w:val="21"/>
                <w:szCs w:val="21"/>
                <w:vertAlign w:val="subscript"/>
              </w:rPr>
              <w:t>3</w:t>
            </w:r>
            <w:r>
              <w:rPr>
                <w:rFonts w:hint="default" w:ascii="Times New Roman" w:hAnsi="Times New Roman" w:eastAsia="仿宋_GB2312" w:cs="Times New Roman"/>
                <w:color w:val="000000"/>
                <w:sz w:val="21"/>
                <w:szCs w:val="21"/>
              </w:rPr>
              <w:t>-N、TP、TN均达到《地表水</w:t>
            </w:r>
            <w:r>
              <w:rPr>
                <w:rFonts w:hint="default" w:ascii="Times New Roman" w:hAnsi="Times New Roman" w:eastAsia="仿宋_GB2312" w:cs="Times New Roman"/>
                <w:color w:val="auto"/>
                <w:sz w:val="21"/>
                <w:szCs w:val="21"/>
              </w:rPr>
              <w:t>环境质量标准》（GB3838-2002）中Ⅲ类水质标准限值。</w:t>
            </w:r>
            <w:r>
              <w:rPr>
                <w:rFonts w:hint="eastAsia" w:ascii="Times New Roman" w:hAnsi="Times New Roman" w:eastAsia="仿宋_GB2312" w:cs="Times New Roman"/>
                <w:color w:val="auto"/>
                <w:kern w:val="0"/>
                <w:sz w:val="21"/>
                <w:szCs w:val="21"/>
              </w:rPr>
              <w:t>本项目所在区域地表水环境质量较好。</w:t>
            </w:r>
          </w:p>
          <w:p w14:paraId="3F9CA44A">
            <w:pPr>
              <w:adjustRightInd w:val="0"/>
              <w:snapToGrid w:val="0"/>
              <w:spacing w:line="360" w:lineRule="auto"/>
              <w:ind w:firstLine="420" w:firstLineChars="200"/>
              <w:rPr>
                <w:rFonts w:eastAsia="仿宋_GB2312"/>
                <w:color w:val="000000"/>
                <w:kern w:val="0"/>
                <w:sz w:val="24"/>
                <w:szCs w:val="24"/>
              </w:rPr>
            </w:pPr>
            <w:r>
              <w:rPr>
                <w:rFonts w:hint="default" w:ascii="Times New Roman" w:hAnsi="Times New Roman" w:eastAsia="仿宋_GB2312" w:cs="Times New Roman"/>
                <w:kern w:val="0"/>
                <w:sz w:val="21"/>
                <w:szCs w:val="21"/>
              </w:rPr>
              <w:t>声环境</w:t>
            </w:r>
            <w:r>
              <w:rPr>
                <w:rFonts w:hint="default" w:ascii="Times New Roman" w:hAnsi="Times New Roman" w:eastAsia="仿宋_GB2312" w:cs="Times New Roman"/>
                <w:kern w:val="0"/>
                <w:sz w:val="21"/>
                <w:szCs w:val="21"/>
                <w:lang w:eastAsia="zh-CN"/>
              </w:rPr>
              <w:t>：</w:t>
            </w:r>
            <w:r>
              <w:rPr>
                <w:rFonts w:hint="eastAsia" w:ascii="Times New Roman" w:hAnsi="Times New Roman" w:eastAsia="仿宋_GB2312" w:cs="Times New Roman"/>
                <w:kern w:val="0"/>
                <w:sz w:val="21"/>
                <w:szCs w:val="21"/>
              </w:rPr>
              <w:t>根据《常州市生态环境质量报告书（202</w:t>
            </w:r>
            <w:r>
              <w:rPr>
                <w:rFonts w:hint="eastAsia" w:ascii="Times New Roman" w:hAnsi="Times New Roman" w:eastAsia="仿宋_GB2312" w:cs="Times New Roman"/>
                <w:kern w:val="0"/>
                <w:sz w:val="21"/>
                <w:szCs w:val="21"/>
                <w:lang w:val="en-US" w:eastAsia="zh-CN"/>
              </w:rPr>
              <w:t>4</w:t>
            </w:r>
            <w:r>
              <w:rPr>
                <w:rFonts w:hint="eastAsia" w:ascii="Times New Roman" w:hAnsi="Times New Roman" w:eastAsia="仿宋_GB2312" w:cs="Times New Roman"/>
                <w:kern w:val="0"/>
                <w:sz w:val="21"/>
                <w:szCs w:val="21"/>
              </w:rPr>
              <w:t>年度）》中相关内容：202</w:t>
            </w:r>
            <w:r>
              <w:rPr>
                <w:rFonts w:hint="eastAsia" w:ascii="Times New Roman" w:hAnsi="Times New Roman" w:eastAsia="仿宋_GB2312" w:cs="Times New Roman"/>
                <w:kern w:val="0"/>
                <w:sz w:val="21"/>
                <w:szCs w:val="21"/>
                <w:lang w:val="en-US" w:eastAsia="zh-CN"/>
              </w:rPr>
              <w:t>4</w:t>
            </w:r>
            <w:r>
              <w:rPr>
                <w:rFonts w:hint="eastAsia" w:ascii="Times New Roman" w:hAnsi="Times New Roman" w:eastAsia="仿宋_GB2312" w:cs="Times New Roman"/>
                <w:kern w:val="0"/>
                <w:sz w:val="21"/>
                <w:szCs w:val="21"/>
              </w:rPr>
              <w:t>年，全市区域环境噪声昼间平均值为53.</w:t>
            </w:r>
            <w:r>
              <w:rPr>
                <w:rFonts w:hint="eastAsia" w:ascii="Times New Roman" w:hAnsi="Times New Roman" w:eastAsia="仿宋_GB2312" w:cs="Times New Roman"/>
                <w:kern w:val="0"/>
                <w:sz w:val="21"/>
                <w:szCs w:val="21"/>
                <w:lang w:val="en-US" w:eastAsia="zh-CN"/>
              </w:rPr>
              <w:t>6</w:t>
            </w:r>
            <w:r>
              <w:rPr>
                <w:rFonts w:hint="eastAsia" w:ascii="Times New Roman" w:hAnsi="Times New Roman" w:eastAsia="仿宋_GB2312" w:cs="Times New Roman"/>
                <w:kern w:val="0"/>
                <w:sz w:val="21"/>
                <w:szCs w:val="21"/>
              </w:rPr>
              <w:t xml:space="preserve"> dB(A)，较上年下降</w:t>
            </w:r>
            <w:r>
              <w:rPr>
                <w:rFonts w:hint="eastAsia" w:ascii="Times New Roman" w:hAnsi="Times New Roman" w:eastAsia="仿宋_GB2312" w:cs="Times New Roman"/>
                <w:kern w:val="0"/>
                <w:sz w:val="21"/>
                <w:szCs w:val="21"/>
                <w:lang w:val="en-US" w:eastAsia="zh-CN"/>
              </w:rPr>
              <w:t>0.1</w:t>
            </w:r>
            <w:r>
              <w:rPr>
                <w:rFonts w:hint="eastAsia" w:ascii="Times New Roman" w:hAnsi="Times New Roman" w:eastAsia="仿宋_GB2312" w:cs="Times New Roman"/>
                <w:kern w:val="0"/>
                <w:sz w:val="21"/>
                <w:szCs w:val="21"/>
              </w:rPr>
              <w:t xml:space="preserve"> dB(A)</w:t>
            </w:r>
            <w:r>
              <w:rPr>
                <w:rFonts w:hint="eastAsia" w:eastAsia="仿宋_GB2312" w:cs="Times New Roman"/>
                <w:kern w:val="0"/>
                <w:sz w:val="21"/>
                <w:szCs w:val="21"/>
                <w:lang w:val="en-US" w:eastAsia="zh-CN"/>
              </w:rPr>
              <w:t>，</w:t>
            </w:r>
            <w:r>
              <w:rPr>
                <w:rFonts w:hint="eastAsia" w:ascii="Times New Roman" w:hAnsi="Times New Roman" w:eastAsia="仿宋_GB2312" w:cs="Times New Roman"/>
                <w:kern w:val="0"/>
                <w:sz w:val="21"/>
                <w:szCs w:val="21"/>
              </w:rPr>
              <w:t>按照《环境噪声监测技术规范城市声环境常规监测》（HJ 640-2012），城市区域昼间环境噪声总体水平等级均为“二级”，属于“较好”水平。</w:t>
            </w:r>
          </w:p>
          <w:p w14:paraId="4D05A3AB">
            <w:pPr>
              <w:widowControl/>
              <w:adjustRightInd w:val="0"/>
              <w:snapToGrid w:val="0"/>
              <w:spacing w:line="360" w:lineRule="auto"/>
              <w:ind w:firstLine="420" w:firstLineChars="200"/>
              <w:rPr>
                <w:rFonts w:eastAsia="仿宋_GB2312"/>
                <w:color w:val="000000"/>
                <w:kern w:val="0"/>
              </w:rPr>
            </w:pPr>
            <w:r>
              <w:rPr>
                <w:rFonts w:eastAsia="仿宋_GB2312"/>
                <w:color w:val="000000"/>
                <w:kern w:val="0"/>
              </w:rPr>
              <w:t>（3）资源利用上线</w:t>
            </w:r>
          </w:p>
          <w:p w14:paraId="25B0C4D6">
            <w:pPr>
              <w:widowControl/>
              <w:adjustRightInd w:val="0"/>
              <w:snapToGrid w:val="0"/>
              <w:spacing w:line="360" w:lineRule="auto"/>
              <w:ind w:firstLine="420" w:firstLineChars="200"/>
              <w:rPr>
                <w:rFonts w:eastAsia="仿宋_GB2312"/>
                <w:color w:val="000000"/>
                <w:kern w:val="0"/>
              </w:rPr>
            </w:pPr>
            <w:r>
              <w:rPr>
                <w:rFonts w:eastAsia="仿宋_GB2312"/>
                <w:color w:val="000000"/>
                <w:kern w:val="0"/>
              </w:rPr>
              <w:t>本项目营运过程中用水主要为生活用水</w:t>
            </w:r>
            <w:r>
              <w:rPr>
                <w:rFonts w:hint="eastAsia" w:eastAsia="仿宋_GB2312"/>
                <w:color w:val="000000"/>
                <w:kern w:val="0"/>
              </w:rPr>
              <w:t>、生产</w:t>
            </w:r>
            <w:r>
              <w:rPr>
                <w:rFonts w:eastAsia="仿宋_GB2312"/>
                <w:color w:val="000000"/>
                <w:kern w:val="0"/>
              </w:rPr>
              <w:t>用水，</w:t>
            </w:r>
            <w:r>
              <w:rPr>
                <w:rFonts w:hint="eastAsia" w:eastAsia="仿宋_GB2312"/>
                <w:color w:val="000000"/>
                <w:kern w:val="0"/>
              </w:rPr>
              <w:t>自来水</w:t>
            </w:r>
            <w:r>
              <w:rPr>
                <w:rFonts w:eastAsia="仿宋_GB2312"/>
                <w:color w:val="000000"/>
                <w:kern w:val="0"/>
              </w:rPr>
              <w:t>由市政供水管网提供，</w:t>
            </w:r>
            <w:r>
              <w:rPr>
                <w:rFonts w:hint="eastAsia" w:eastAsia="仿宋_GB2312"/>
                <w:color w:val="000000"/>
                <w:kern w:val="0"/>
              </w:rPr>
              <w:t>河水由江苏加怡热电有限公司提供，</w:t>
            </w:r>
            <w:r>
              <w:rPr>
                <w:rFonts w:eastAsia="仿宋_GB2312"/>
                <w:color w:val="000000"/>
                <w:kern w:val="0"/>
              </w:rPr>
              <w:t>电能由当地电网提供，本项目位于</w:t>
            </w:r>
            <w:r>
              <w:rPr>
                <w:rFonts w:hint="eastAsia" w:eastAsia="仿宋_GB2312"/>
                <w:color w:val="000000"/>
                <w:kern w:val="0"/>
              </w:rPr>
              <w:t>金坛区金坛经济开发区</w:t>
            </w:r>
            <w:r>
              <w:rPr>
                <w:rFonts w:eastAsia="仿宋_GB2312"/>
                <w:color w:val="000000"/>
                <w:kern w:val="0"/>
              </w:rPr>
              <w:t>范围内，为工业用地，本项目不超出当地资源利用上线。</w:t>
            </w:r>
          </w:p>
          <w:p w14:paraId="42A37D74">
            <w:pPr>
              <w:widowControl/>
              <w:adjustRightInd w:val="0"/>
              <w:snapToGrid w:val="0"/>
              <w:spacing w:line="360" w:lineRule="auto"/>
              <w:ind w:firstLine="420" w:firstLineChars="200"/>
              <w:rPr>
                <w:rFonts w:eastAsia="仿宋_GB2312"/>
                <w:color w:val="000000"/>
                <w:kern w:val="0"/>
              </w:rPr>
            </w:pPr>
            <w:r>
              <w:rPr>
                <w:rFonts w:eastAsia="仿宋_GB2312"/>
                <w:color w:val="000000"/>
                <w:kern w:val="0"/>
              </w:rPr>
              <w:t>（4）环境准入负面清单</w:t>
            </w:r>
          </w:p>
          <w:p w14:paraId="5A14BA69">
            <w:pPr>
              <w:adjustRightInd w:val="0"/>
              <w:snapToGrid w:val="0"/>
              <w:spacing w:line="360" w:lineRule="auto"/>
              <w:ind w:firstLine="420" w:firstLineChars="200"/>
              <w:rPr>
                <w:rFonts w:hint="default" w:eastAsia="仿宋_GB2312"/>
                <w:color w:val="000000"/>
                <w:kern w:val="0"/>
                <w:lang w:val="en-US" w:eastAsia="zh-CN"/>
              </w:rPr>
            </w:pPr>
            <w:r>
              <w:rPr>
                <w:rFonts w:hint="eastAsia" w:eastAsia="仿宋_GB2312"/>
                <w:color w:val="000000"/>
                <w:kern w:val="0"/>
              </w:rPr>
              <w:t>本</w:t>
            </w:r>
            <w:r>
              <w:rPr>
                <w:rFonts w:eastAsia="仿宋_GB2312"/>
                <w:color w:val="000000"/>
                <w:kern w:val="0"/>
              </w:rPr>
              <w:t>项目</w:t>
            </w:r>
            <w:r>
              <w:rPr>
                <w:rFonts w:hint="eastAsia" w:eastAsia="仿宋_GB2312"/>
                <w:color w:val="000000"/>
                <w:kern w:val="0"/>
              </w:rPr>
              <w:t>不属于</w:t>
            </w:r>
            <w:r>
              <w:rPr>
                <w:rFonts w:eastAsia="仿宋_GB2312"/>
                <w:color w:val="000000"/>
                <w:kern w:val="0"/>
              </w:rPr>
              <w:t>金坛经济开发区禁止项目清单</w:t>
            </w:r>
            <w:r>
              <w:rPr>
                <w:rFonts w:hint="eastAsia" w:eastAsia="仿宋_GB2312"/>
                <w:color w:val="000000"/>
                <w:kern w:val="0"/>
              </w:rPr>
              <w:t>中禁止项目，具体分析详见表1-</w:t>
            </w:r>
            <w:r>
              <w:rPr>
                <w:rFonts w:hint="eastAsia" w:eastAsia="仿宋_GB2312"/>
                <w:color w:val="000000"/>
                <w:kern w:val="0"/>
                <w:lang w:val="en-US" w:eastAsia="zh-CN"/>
              </w:rPr>
              <w:t>6。</w:t>
            </w:r>
          </w:p>
          <w:p w14:paraId="5B731722">
            <w:pPr>
              <w:pStyle w:val="84"/>
              <w:keepNext w:val="0"/>
              <w:keepLines w:val="0"/>
              <w:pageBreakBefore w:val="0"/>
              <w:widowControl w:val="0"/>
              <w:kinsoku/>
              <w:wordWrap/>
              <w:overflowPunct/>
              <w:topLinePunct w:val="0"/>
              <w:autoSpaceDE/>
              <w:autoSpaceDN/>
              <w:bidi w:val="0"/>
              <w:adjustRightInd/>
              <w:snapToGrid/>
              <w:spacing w:line="360" w:lineRule="auto"/>
              <w:textAlignment w:val="auto"/>
              <w:rPr>
                <w:rFonts w:eastAsia="仿宋_GB2312"/>
                <w:b/>
                <w:bCs/>
                <w:color w:val="000000"/>
                <w:szCs w:val="21"/>
              </w:rPr>
            </w:pPr>
            <w:r>
              <w:rPr>
                <w:rFonts w:eastAsia="仿宋_GB2312"/>
                <w:b/>
                <w:bCs/>
                <w:color w:val="000000"/>
                <w:szCs w:val="21"/>
              </w:rPr>
              <w:t>表</w:t>
            </w:r>
            <w:r>
              <w:rPr>
                <w:rFonts w:hint="eastAsia" w:eastAsia="仿宋_GB2312"/>
                <w:b/>
                <w:bCs/>
                <w:color w:val="000000"/>
                <w:szCs w:val="21"/>
              </w:rPr>
              <w:t>1-</w:t>
            </w:r>
            <w:r>
              <w:rPr>
                <w:rFonts w:hint="eastAsia" w:eastAsia="仿宋_GB2312"/>
                <w:b/>
                <w:bCs/>
                <w:color w:val="000000"/>
                <w:szCs w:val="21"/>
                <w:lang w:val="en-US" w:eastAsia="zh-CN"/>
              </w:rPr>
              <w:t xml:space="preserve">6  </w:t>
            </w:r>
            <w:r>
              <w:rPr>
                <w:rFonts w:eastAsia="仿宋_GB2312"/>
                <w:b/>
                <w:bCs/>
                <w:color w:val="000000"/>
                <w:szCs w:val="21"/>
              </w:rPr>
              <w:t>金坛经济开发区</w:t>
            </w:r>
            <w:r>
              <w:rPr>
                <w:rFonts w:hint="eastAsia" w:eastAsia="仿宋_GB2312"/>
                <w:b/>
                <w:bCs/>
                <w:color w:val="000000"/>
                <w:szCs w:val="21"/>
              </w:rPr>
              <w:t>优先引入及禁止类</w:t>
            </w:r>
            <w:r>
              <w:rPr>
                <w:rFonts w:eastAsia="仿宋_GB2312"/>
                <w:b/>
                <w:bCs/>
                <w:color w:val="000000"/>
                <w:szCs w:val="21"/>
              </w:rPr>
              <w:t>项目清单</w:t>
            </w:r>
          </w:p>
          <w:tbl>
            <w:tblPr>
              <w:tblStyle w:val="31"/>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7"/>
              <w:gridCol w:w="3019"/>
              <w:gridCol w:w="2066"/>
              <w:gridCol w:w="1327"/>
            </w:tblGrid>
            <w:tr w14:paraId="2A3583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227" w:hRule="atLeast"/>
                <w:tblHeader/>
                <w:jc w:val="center"/>
              </w:trPr>
              <w:tc>
                <w:tcPr>
                  <w:tcW w:w="719" w:type="pct"/>
                  <w:vAlign w:val="center"/>
                </w:tcPr>
                <w:p w14:paraId="0B49BD20">
                  <w:pPr>
                    <w:adjustRightInd w:val="0"/>
                    <w:snapToGrid w:val="0"/>
                    <w:jc w:val="center"/>
                    <w:rPr>
                      <w:rFonts w:eastAsia="仿宋_GB2312"/>
                      <w:b/>
                      <w:bCs/>
                      <w:color w:val="000000"/>
                      <w:sz w:val="21"/>
                      <w:szCs w:val="21"/>
                    </w:rPr>
                  </w:pPr>
                  <w:r>
                    <w:rPr>
                      <w:rFonts w:eastAsia="仿宋_GB2312"/>
                      <w:b/>
                      <w:bCs/>
                      <w:color w:val="000000"/>
                      <w:sz w:val="21"/>
                      <w:szCs w:val="21"/>
                    </w:rPr>
                    <w:t>主导行业</w:t>
                  </w:r>
                </w:p>
              </w:tc>
              <w:tc>
                <w:tcPr>
                  <w:tcW w:w="2015" w:type="pct"/>
                  <w:vAlign w:val="center"/>
                </w:tcPr>
                <w:p w14:paraId="006661A3">
                  <w:pPr>
                    <w:adjustRightInd w:val="0"/>
                    <w:snapToGrid w:val="0"/>
                    <w:jc w:val="center"/>
                    <w:rPr>
                      <w:rFonts w:eastAsia="仿宋_GB2312"/>
                      <w:b/>
                      <w:bCs/>
                      <w:color w:val="000000"/>
                      <w:sz w:val="21"/>
                      <w:szCs w:val="21"/>
                    </w:rPr>
                  </w:pPr>
                  <w:r>
                    <w:rPr>
                      <w:rFonts w:eastAsia="仿宋_GB2312"/>
                      <w:b/>
                      <w:bCs/>
                      <w:color w:val="000000"/>
                      <w:sz w:val="21"/>
                      <w:szCs w:val="21"/>
                    </w:rPr>
                    <w:t>优先引入类别</w:t>
                  </w:r>
                </w:p>
              </w:tc>
              <w:tc>
                <w:tcPr>
                  <w:tcW w:w="1379" w:type="pct"/>
                  <w:vAlign w:val="center"/>
                </w:tcPr>
                <w:p w14:paraId="019BE6D9">
                  <w:pPr>
                    <w:adjustRightInd w:val="0"/>
                    <w:snapToGrid w:val="0"/>
                    <w:jc w:val="center"/>
                    <w:rPr>
                      <w:rFonts w:eastAsia="仿宋_GB2312"/>
                      <w:b/>
                      <w:bCs/>
                      <w:color w:val="000000"/>
                      <w:sz w:val="21"/>
                      <w:szCs w:val="21"/>
                    </w:rPr>
                  </w:pPr>
                  <w:r>
                    <w:rPr>
                      <w:rFonts w:eastAsia="仿宋_GB2312"/>
                      <w:b/>
                      <w:bCs/>
                      <w:color w:val="000000"/>
                      <w:sz w:val="21"/>
                      <w:szCs w:val="21"/>
                    </w:rPr>
                    <w:t>禁止引入类别</w:t>
                  </w:r>
                </w:p>
              </w:tc>
              <w:tc>
                <w:tcPr>
                  <w:tcW w:w="885" w:type="pct"/>
                  <w:vAlign w:val="center"/>
                </w:tcPr>
                <w:p w14:paraId="2D17C9EC">
                  <w:pPr>
                    <w:adjustRightInd w:val="0"/>
                    <w:snapToGrid w:val="0"/>
                    <w:jc w:val="center"/>
                    <w:rPr>
                      <w:rFonts w:eastAsia="仿宋_GB2312"/>
                      <w:b/>
                      <w:bCs/>
                      <w:color w:val="000000"/>
                      <w:sz w:val="21"/>
                      <w:szCs w:val="21"/>
                    </w:rPr>
                  </w:pPr>
                  <w:r>
                    <w:rPr>
                      <w:rFonts w:hint="eastAsia" w:eastAsia="仿宋_GB2312"/>
                      <w:b/>
                      <w:bCs/>
                      <w:color w:val="000000"/>
                      <w:sz w:val="21"/>
                      <w:szCs w:val="21"/>
                    </w:rPr>
                    <w:t>相符性分析</w:t>
                  </w:r>
                </w:p>
              </w:tc>
            </w:tr>
            <w:tr w14:paraId="1A15D9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719" w:type="pct"/>
                  <w:vAlign w:val="center"/>
                </w:tcPr>
                <w:p w14:paraId="7D1C82F0">
                  <w:pPr>
                    <w:adjustRightInd w:val="0"/>
                    <w:snapToGrid w:val="0"/>
                    <w:jc w:val="center"/>
                    <w:rPr>
                      <w:rFonts w:eastAsia="仿宋_GB2312"/>
                      <w:color w:val="000000"/>
                      <w:sz w:val="21"/>
                      <w:szCs w:val="21"/>
                    </w:rPr>
                  </w:pPr>
                  <w:r>
                    <w:rPr>
                      <w:rFonts w:eastAsia="仿宋_GB2312"/>
                      <w:color w:val="000000"/>
                      <w:sz w:val="21"/>
                      <w:szCs w:val="21"/>
                    </w:rPr>
                    <w:t>纺织服装</w:t>
                  </w:r>
                </w:p>
              </w:tc>
              <w:tc>
                <w:tcPr>
                  <w:tcW w:w="2015" w:type="pct"/>
                  <w:vAlign w:val="center"/>
                </w:tcPr>
                <w:p w14:paraId="35ED2B05">
                  <w:pPr>
                    <w:adjustRightInd w:val="0"/>
                    <w:snapToGrid w:val="0"/>
                    <w:jc w:val="center"/>
                    <w:rPr>
                      <w:rFonts w:eastAsia="仿宋_GB2312"/>
                      <w:color w:val="000000"/>
                      <w:sz w:val="21"/>
                      <w:szCs w:val="21"/>
                    </w:rPr>
                  </w:pPr>
                  <w:r>
                    <w:rPr>
                      <w:rFonts w:eastAsia="仿宋_GB2312"/>
                      <w:color w:val="000000"/>
                      <w:sz w:val="21"/>
                      <w:szCs w:val="21"/>
                    </w:rPr>
                    <w:t>废旧纺织品回收再利用技术与产品生产、服装企业计算机集成制造及数字化、信息化、自动化技术和装备的应用</w:t>
                  </w:r>
                </w:p>
              </w:tc>
              <w:tc>
                <w:tcPr>
                  <w:tcW w:w="1379" w:type="pct"/>
                  <w:vAlign w:val="center"/>
                </w:tcPr>
                <w:p w14:paraId="45319889">
                  <w:pPr>
                    <w:adjustRightInd w:val="0"/>
                    <w:snapToGrid w:val="0"/>
                    <w:jc w:val="center"/>
                    <w:rPr>
                      <w:rFonts w:eastAsia="仿宋_GB2312"/>
                      <w:color w:val="000000"/>
                      <w:sz w:val="21"/>
                      <w:szCs w:val="21"/>
                    </w:rPr>
                  </w:pPr>
                  <w:r>
                    <w:rPr>
                      <w:rFonts w:eastAsia="仿宋_GB2312"/>
                      <w:color w:val="000000"/>
                      <w:sz w:val="21"/>
                      <w:szCs w:val="21"/>
                    </w:rPr>
                    <w:t>废水排放量较大的纯印染和纯染整类企业</w:t>
                  </w:r>
                </w:p>
              </w:tc>
              <w:tc>
                <w:tcPr>
                  <w:tcW w:w="885" w:type="pct"/>
                  <w:vAlign w:val="center"/>
                </w:tcPr>
                <w:p w14:paraId="43716DFD">
                  <w:pPr>
                    <w:adjustRightInd w:val="0"/>
                    <w:snapToGrid w:val="0"/>
                    <w:jc w:val="center"/>
                    <w:rPr>
                      <w:rFonts w:eastAsia="仿宋_GB2312"/>
                      <w:color w:val="000000"/>
                      <w:sz w:val="21"/>
                      <w:szCs w:val="21"/>
                    </w:rPr>
                  </w:pPr>
                  <w:r>
                    <w:rPr>
                      <w:rFonts w:hint="eastAsia" w:eastAsia="仿宋_GB2312"/>
                      <w:color w:val="000000"/>
                      <w:sz w:val="21"/>
                      <w:szCs w:val="21"/>
                    </w:rPr>
                    <w:t>不属于</w:t>
                  </w:r>
                </w:p>
              </w:tc>
            </w:tr>
            <w:tr w14:paraId="666920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9" w:type="pct"/>
                  <w:vAlign w:val="center"/>
                </w:tcPr>
                <w:p w14:paraId="6CB3429E">
                  <w:pPr>
                    <w:adjustRightInd w:val="0"/>
                    <w:snapToGrid w:val="0"/>
                    <w:jc w:val="center"/>
                    <w:rPr>
                      <w:rFonts w:eastAsia="仿宋_GB2312"/>
                      <w:color w:val="000000"/>
                      <w:sz w:val="21"/>
                      <w:szCs w:val="21"/>
                    </w:rPr>
                  </w:pPr>
                  <w:r>
                    <w:rPr>
                      <w:rFonts w:eastAsia="仿宋_GB2312"/>
                      <w:color w:val="000000"/>
                      <w:sz w:val="21"/>
                      <w:szCs w:val="21"/>
                    </w:rPr>
                    <w:t>机械电子、高端装备制造业</w:t>
                  </w:r>
                </w:p>
              </w:tc>
              <w:tc>
                <w:tcPr>
                  <w:tcW w:w="2015" w:type="pct"/>
                  <w:vAlign w:val="center"/>
                </w:tcPr>
                <w:p w14:paraId="2E2A1B2E">
                  <w:pPr>
                    <w:adjustRightInd w:val="0"/>
                    <w:snapToGrid w:val="0"/>
                    <w:jc w:val="center"/>
                    <w:rPr>
                      <w:rFonts w:eastAsia="仿宋_GB2312"/>
                      <w:color w:val="000000"/>
                      <w:sz w:val="21"/>
                      <w:szCs w:val="21"/>
                    </w:rPr>
                  </w:pPr>
                  <w:r>
                    <w:rPr>
                      <w:rFonts w:eastAsia="仿宋_GB2312"/>
                      <w:color w:val="000000"/>
                      <w:sz w:val="21"/>
                      <w:szCs w:val="21"/>
                    </w:rPr>
                    <w:t>轨道交通、通用航空交通、智能化制造装备、电子设备和系统、输配电及控制设备、海洋工程装备等成套设备及其零部件、工程机械系列、矿山机械系列、建材机械系列、农林机械系列、环保机械设备、关键零部件（发动机、液压传输设备）、其它在传统产业基础上应用的新工艺、新技术，汽车关键零部件、新能源汽车关键零部件、车载充电机、非车载充电设备、汽车电子控制系统、汽车产品开发、试验、检测设备及设施建设</w:t>
                  </w:r>
                </w:p>
              </w:tc>
              <w:tc>
                <w:tcPr>
                  <w:tcW w:w="1379" w:type="pct"/>
                  <w:vAlign w:val="center"/>
                </w:tcPr>
                <w:p w14:paraId="64CCE25A">
                  <w:pPr>
                    <w:adjustRightInd w:val="0"/>
                    <w:snapToGrid w:val="0"/>
                    <w:jc w:val="center"/>
                    <w:rPr>
                      <w:rFonts w:eastAsia="仿宋_GB2312"/>
                      <w:color w:val="000000"/>
                      <w:sz w:val="21"/>
                      <w:szCs w:val="21"/>
                    </w:rPr>
                  </w:pPr>
                  <w:r>
                    <w:rPr>
                      <w:rFonts w:eastAsia="仿宋_GB2312"/>
                      <w:color w:val="000000"/>
                      <w:sz w:val="21"/>
                      <w:szCs w:val="21"/>
                    </w:rPr>
                    <w:t>电镀、表面处理类企业，淘汰、限制类的如普通高速钢钻头、铣刀、锯片、丝锥、板牙项目、普通微小型球轴承制造项目；禁止生产国家禁止或公告停止销售的车辆；有害物质含量超标准的汽车</w:t>
                  </w:r>
                </w:p>
              </w:tc>
              <w:tc>
                <w:tcPr>
                  <w:tcW w:w="885" w:type="pct"/>
                  <w:vAlign w:val="center"/>
                </w:tcPr>
                <w:p w14:paraId="645216C8">
                  <w:pPr>
                    <w:adjustRightInd w:val="0"/>
                    <w:snapToGrid w:val="0"/>
                    <w:jc w:val="center"/>
                    <w:rPr>
                      <w:rFonts w:eastAsia="仿宋_GB2312"/>
                      <w:color w:val="000000"/>
                      <w:sz w:val="21"/>
                      <w:szCs w:val="21"/>
                    </w:rPr>
                  </w:pPr>
                  <w:r>
                    <w:rPr>
                      <w:rFonts w:hint="eastAsia" w:eastAsia="仿宋_GB2312"/>
                      <w:color w:val="000000"/>
                      <w:sz w:val="21"/>
                      <w:szCs w:val="21"/>
                    </w:rPr>
                    <w:t>不属于</w:t>
                  </w:r>
                </w:p>
              </w:tc>
            </w:tr>
            <w:tr w14:paraId="3823CA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719" w:type="pct"/>
                  <w:vAlign w:val="center"/>
                </w:tcPr>
                <w:p w14:paraId="62CAC58A">
                  <w:pPr>
                    <w:adjustRightInd w:val="0"/>
                    <w:snapToGrid w:val="0"/>
                    <w:jc w:val="center"/>
                    <w:rPr>
                      <w:rFonts w:eastAsia="仿宋_GB2312"/>
                      <w:color w:val="000000"/>
                      <w:sz w:val="21"/>
                      <w:szCs w:val="21"/>
                    </w:rPr>
                  </w:pPr>
                  <w:r>
                    <w:rPr>
                      <w:rFonts w:eastAsia="仿宋_GB2312"/>
                      <w:color w:val="000000"/>
                      <w:sz w:val="21"/>
                      <w:szCs w:val="21"/>
                    </w:rPr>
                    <w:t>化工</w:t>
                  </w:r>
                </w:p>
              </w:tc>
              <w:tc>
                <w:tcPr>
                  <w:tcW w:w="2015" w:type="pct"/>
                  <w:vAlign w:val="center"/>
                </w:tcPr>
                <w:p w14:paraId="766F6F24">
                  <w:pPr>
                    <w:adjustRightInd w:val="0"/>
                    <w:snapToGrid w:val="0"/>
                    <w:jc w:val="center"/>
                    <w:rPr>
                      <w:rFonts w:eastAsia="仿宋_GB2312"/>
                      <w:color w:val="000000"/>
                      <w:sz w:val="21"/>
                      <w:szCs w:val="21"/>
                    </w:rPr>
                  </w:pPr>
                  <w:r>
                    <w:rPr>
                      <w:rFonts w:eastAsia="仿宋_GB2312"/>
                      <w:color w:val="000000"/>
                      <w:sz w:val="21"/>
                      <w:szCs w:val="21"/>
                    </w:rPr>
                    <w:t>卤水为主要原料、真空制盐和氯碱项目为支撑的盐化工特色产业</w:t>
                  </w:r>
                </w:p>
              </w:tc>
              <w:tc>
                <w:tcPr>
                  <w:tcW w:w="1379" w:type="pct"/>
                  <w:vAlign w:val="center"/>
                </w:tcPr>
                <w:p w14:paraId="590DFD92">
                  <w:pPr>
                    <w:adjustRightInd w:val="0"/>
                    <w:snapToGrid w:val="0"/>
                    <w:jc w:val="center"/>
                    <w:rPr>
                      <w:rFonts w:eastAsia="仿宋_GB2312"/>
                      <w:color w:val="000000"/>
                      <w:sz w:val="21"/>
                      <w:szCs w:val="21"/>
                      <w:highlight w:val="yellow"/>
                    </w:rPr>
                  </w:pPr>
                  <w:r>
                    <w:rPr>
                      <w:rFonts w:eastAsia="仿宋_GB2312"/>
                      <w:color w:val="000000"/>
                      <w:sz w:val="21"/>
                      <w:szCs w:val="21"/>
                    </w:rPr>
                    <w:t>与盐化工及下游产品生产不相关的化工项目</w:t>
                  </w:r>
                </w:p>
              </w:tc>
              <w:tc>
                <w:tcPr>
                  <w:tcW w:w="885" w:type="pct"/>
                  <w:vAlign w:val="center"/>
                </w:tcPr>
                <w:p w14:paraId="5800DA32">
                  <w:pPr>
                    <w:adjustRightInd w:val="0"/>
                    <w:snapToGrid w:val="0"/>
                    <w:jc w:val="center"/>
                    <w:rPr>
                      <w:rFonts w:hint="default" w:eastAsia="仿宋_GB2312"/>
                      <w:color w:val="000000"/>
                      <w:sz w:val="21"/>
                      <w:szCs w:val="21"/>
                      <w:lang w:val="en-US" w:eastAsia="zh-CN"/>
                    </w:rPr>
                  </w:pPr>
                  <w:r>
                    <w:rPr>
                      <w:rFonts w:hint="eastAsia" w:eastAsia="仿宋_GB2312"/>
                      <w:color w:val="000000"/>
                      <w:sz w:val="21"/>
                      <w:szCs w:val="21"/>
                      <w:lang w:val="en-US" w:eastAsia="zh-CN"/>
                    </w:rPr>
                    <w:t>本项目属于</w:t>
                  </w:r>
                  <w:r>
                    <w:rPr>
                      <w:rFonts w:eastAsia="仿宋_GB2312"/>
                      <w:color w:val="000000"/>
                      <w:sz w:val="21"/>
                      <w:szCs w:val="21"/>
                    </w:rPr>
                    <w:t>卤水为主要原料、真空制盐和氯碱项目为支撑的盐化工特色产业</w:t>
                  </w:r>
                  <w:r>
                    <w:rPr>
                      <w:rFonts w:hint="eastAsia" w:eastAsia="仿宋_GB2312"/>
                      <w:color w:val="000000"/>
                      <w:sz w:val="21"/>
                      <w:szCs w:val="21"/>
                      <w:lang w:eastAsia="zh-CN"/>
                    </w:rPr>
                    <w:t>，</w:t>
                  </w:r>
                  <w:r>
                    <w:rPr>
                      <w:rFonts w:hint="eastAsia" w:eastAsia="仿宋_GB2312"/>
                      <w:color w:val="000000"/>
                      <w:sz w:val="21"/>
                      <w:szCs w:val="21"/>
                      <w:lang w:val="en-US" w:eastAsia="zh-CN"/>
                    </w:rPr>
                    <w:t>为优先引入的项目</w:t>
                  </w:r>
                </w:p>
              </w:tc>
            </w:tr>
            <w:tr w14:paraId="26C18B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719" w:type="pct"/>
                  <w:vAlign w:val="center"/>
                </w:tcPr>
                <w:p w14:paraId="16CEE519">
                  <w:pPr>
                    <w:adjustRightInd w:val="0"/>
                    <w:snapToGrid w:val="0"/>
                    <w:jc w:val="center"/>
                    <w:rPr>
                      <w:rFonts w:eastAsia="仿宋_GB2312"/>
                      <w:color w:val="000000"/>
                      <w:sz w:val="21"/>
                      <w:szCs w:val="21"/>
                    </w:rPr>
                  </w:pPr>
                  <w:r>
                    <w:rPr>
                      <w:rFonts w:eastAsia="仿宋_GB2312"/>
                      <w:color w:val="000000"/>
                      <w:sz w:val="21"/>
                      <w:szCs w:val="21"/>
                    </w:rPr>
                    <w:t>新能源产业</w:t>
                  </w:r>
                </w:p>
              </w:tc>
              <w:tc>
                <w:tcPr>
                  <w:tcW w:w="2015" w:type="pct"/>
                  <w:vAlign w:val="center"/>
                </w:tcPr>
                <w:p w14:paraId="2C6C3EE6">
                  <w:pPr>
                    <w:adjustRightInd w:val="0"/>
                    <w:snapToGrid w:val="0"/>
                    <w:jc w:val="center"/>
                    <w:rPr>
                      <w:rFonts w:eastAsia="仿宋_GB2312"/>
                      <w:color w:val="000000"/>
                      <w:sz w:val="21"/>
                      <w:szCs w:val="21"/>
                    </w:rPr>
                  </w:pPr>
                  <w:r>
                    <w:rPr>
                      <w:rFonts w:eastAsia="仿宋_GB2312"/>
                      <w:color w:val="000000"/>
                      <w:sz w:val="21"/>
                      <w:szCs w:val="21"/>
                    </w:rPr>
                    <w:t>太阳能热发电集热系统、太阳能光伏发电系统集成技术开发应用、逆变控制系统开发制造、风电与光伏发电互补系统技术开发与应用</w:t>
                  </w:r>
                </w:p>
              </w:tc>
              <w:tc>
                <w:tcPr>
                  <w:tcW w:w="1379" w:type="pct"/>
                  <w:vAlign w:val="center"/>
                </w:tcPr>
                <w:p w14:paraId="2F0F7144">
                  <w:pPr>
                    <w:adjustRightInd w:val="0"/>
                    <w:snapToGrid w:val="0"/>
                    <w:jc w:val="center"/>
                    <w:rPr>
                      <w:rFonts w:eastAsia="仿宋_GB2312"/>
                      <w:color w:val="000000"/>
                      <w:sz w:val="21"/>
                      <w:szCs w:val="21"/>
                    </w:rPr>
                  </w:pPr>
                  <w:r>
                    <w:rPr>
                      <w:rFonts w:eastAsia="仿宋_GB2312"/>
                      <w:color w:val="000000"/>
                      <w:sz w:val="21"/>
                      <w:szCs w:val="21"/>
                    </w:rPr>
                    <w:t>/</w:t>
                  </w:r>
                </w:p>
              </w:tc>
              <w:tc>
                <w:tcPr>
                  <w:tcW w:w="885" w:type="pct"/>
                  <w:vAlign w:val="center"/>
                </w:tcPr>
                <w:p w14:paraId="5F5B2BFA">
                  <w:pPr>
                    <w:adjustRightInd w:val="0"/>
                    <w:snapToGrid w:val="0"/>
                    <w:jc w:val="center"/>
                    <w:rPr>
                      <w:rFonts w:eastAsia="仿宋_GB2312"/>
                      <w:color w:val="000000"/>
                      <w:sz w:val="21"/>
                      <w:szCs w:val="21"/>
                    </w:rPr>
                  </w:pPr>
                  <w:r>
                    <w:rPr>
                      <w:rFonts w:hint="eastAsia" w:eastAsia="仿宋_GB2312"/>
                      <w:color w:val="000000"/>
                      <w:sz w:val="21"/>
                      <w:szCs w:val="21"/>
                    </w:rPr>
                    <w:t>/</w:t>
                  </w:r>
                </w:p>
              </w:tc>
            </w:tr>
            <w:tr w14:paraId="44446E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19" w:type="pct"/>
                  <w:vAlign w:val="center"/>
                </w:tcPr>
                <w:p w14:paraId="2DB0B9C5">
                  <w:pPr>
                    <w:adjustRightInd w:val="0"/>
                    <w:snapToGrid w:val="0"/>
                    <w:jc w:val="center"/>
                    <w:rPr>
                      <w:rFonts w:eastAsia="仿宋_GB2312"/>
                      <w:color w:val="000000"/>
                      <w:sz w:val="21"/>
                      <w:szCs w:val="21"/>
                    </w:rPr>
                  </w:pPr>
                  <w:r>
                    <w:rPr>
                      <w:rFonts w:eastAsia="仿宋_GB2312"/>
                      <w:color w:val="000000"/>
                      <w:sz w:val="21"/>
                      <w:szCs w:val="21"/>
                    </w:rPr>
                    <w:t>新材料产业</w:t>
                  </w:r>
                </w:p>
              </w:tc>
              <w:tc>
                <w:tcPr>
                  <w:tcW w:w="2015" w:type="pct"/>
                  <w:vAlign w:val="center"/>
                </w:tcPr>
                <w:p w14:paraId="3B124478">
                  <w:pPr>
                    <w:adjustRightInd w:val="0"/>
                    <w:snapToGrid w:val="0"/>
                    <w:jc w:val="center"/>
                    <w:rPr>
                      <w:rFonts w:eastAsia="仿宋_GB2312"/>
                      <w:color w:val="000000"/>
                      <w:sz w:val="21"/>
                      <w:szCs w:val="21"/>
                    </w:rPr>
                  </w:pPr>
                  <w:r>
                    <w:rPr>
                      <w:rFonts w:eastAsia="仿宋_GB2312"/>
                      <w:color w:val="000000"/>
                      <w:sz w:val="21"/>
                      <w:szCs w:val="21"/>
                    </w:rPr>
                    <w:t>直径200mm以上的硅单晶及抛光片、各类晶体硅和薄膜太阳能光伏电池生产设备、先进的各类太阳能光伏电池及高纯晶体硅材料、硅材料下游项目，光电板、太阳能电池组件、光电子科学和光机电一体化技术，新型墙体和屋面材料、绝热隔音材料、建筑防水和密封等材料的开发与生产，新型节能环保材料</w:t>
                  </w:r>
                </w:p>
              </w:tc>
              <w:tc>
                <w:tcPr>
                  <w:tcW w:w="1379" w:type="pct"/>
                  <w:vAlign w:val="center"/>
                </w:tcPr>
                <w:p w14:paraId="0C08E271">
                  <w:pPr>
                    <w:adjustRightInd w:val="0"/>
                    <w:snapToGrid w:val="0"/>
                    <w:jc w:val="center"/>
                    <w:rPr>
                      <w:rFonts w:eastAsia="仿宋_GB2312"/>
                      <w:color w:val="000000"/>
                      <w:sz w:val="21"/>
                      <w:szCs w:val="21"/>
                    </w:rPr>
                  </w:pPr>
                  <w:r>
                    <w:rPr>
                      <w:rFonts w:eastAsia="仿宋_GB2312"/>
                      <w:color w:val="000000"/>
                      <w:sz w:val="21"/>
                      <w:szCs w:val="21"/>
                    </w:rPr>
                    <w:t>太阳能电池切片生产项目</w:t>
                  </w:r>
                </w:p>
              </w:tc>
              <w:tc>
                <w:tcPr>
                  <w:tcW w:w="885" w:type="pct"/>
                  <w:vAlign w:val="center"/>
                </w:tcPr>
                <w:p w14:paraId="1399F0B8">
                  <w:pPr>
                    <w:adjustRightInd w:val="0"/>
                    <w:snapToGrid w:val="0"/>
                    <w:jc w:val="center"/>
                    <w:rPr>
                      <w:rFonts w:eastAsia="仿宋_GB2312"/>
                      <w:color w:val="000000"/>
                      <w:sz w:val="21"/>
                      <w:szCs w:val="21"/>
                    </w:rPr>
                  </w:pPr>
                  <w:r>
                    <w:rPr>
                      <w:rFonts w:hint="eastAsia" w:eastAsia="仿宋_GB2312"/>
                      <w:color w:val="000000"/>
                      <w:sz w:val="21"/>
                      <w:szCs w:val="21"/>
                    </w:rPr>
                    <w:t>不属于</w:t>
                  </w:r>
                </w:p>
              </w:tc>
            </w:tr>
            <w:tr w14:paraId="0A05B4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719" w:type="pct"/>
                  <w:vAlign w:val="center"/>
                </w:tcPr>
                <w:p w14:paraId="567C18D5">
                  <w:pPr>
                    <w:adjustRightInd w:val="0"/>
                    <w:snapToGrid w:val="0"/>
                    <w:jc w:val="center"/>
                    <w:rPr>
                      <w:rFonts w:eastAsia="仿宋_GB2312"/>
                      <w:color w:val="000000"/>
                      <w:sz w:val="21"/>
                      <w:szCs w:val="21"/>
                    </w:rPr>
                  </w:pPr>
                  <w:r>
                    <w:rPr>
                      <w:rFonts w:eastAsia="仿宋_GB2312"/>
                      <w:color w:val="000000"/>
                      <w:sz w:val="21"/>
                      <w:szCs w:val="21"/>
                    </w:rPr>
                    <w:t>节能环保产业</w:t>
                  </w:r>
                </w:p>
              </w:tc>
              <w:tc>
                <w:tcPr>
                  <w:tcW w:w="2015" w:type="pct"/>
                  <w:vAlign w:val="center"/>
                </w:tcPr>
                <w:p w14:paraId="0106D98A">
                  <w:pPr>
                    <w:adjustRightInd w:val="0"/>
                    <w:snapToGrid w:val="0"/>
                    <w:jc w:val="center"/>
                    <w:rPr>
                      <w:rFonts w:eastAsia="仿宋_GB2312"/>
                      <w:color w:val="000000"/>
                      <w:sz w:val="21"/>
                      <w:szCs w:val="21"/>
                    </w:rPr>
                  </w:pPr>
                  <w:r>
                    <w:rPr>
                      <w:rFonts w:eastAsia="仿宋_GB2312"/>
                      <w:color w:val="000000"/>
                      <w:sz w:val="21"/>
                      <w:szCs w:val="21"/>
                    </w:rPr>
                    <w:t>高效节能、先进环保和资源循环利用、半导体照明、太阳能利用技术、风力发电等新技术装备与产品、新型墙体材料、节能建筑材料</w:t>
                  </w:r>
                </w:p>
              </w:tc>
              <w:tc>
                <w:tcPr>
                  <w:tcW w:w="1379" w:type="pct"/>
                  <w:vAlign w:val="center"/>
                </w:tcPr>
                <w:p w14:paraId="01A0E835">
                  <w:pPr>
                    <w:adjustRightInd w:val="0"/>
                    <w:snapToGrid w:val="0"/>
                    <w:jc w:val="center"/>
                    <w:rPr>
                      <w:rFonts w:eastAsia="仿宋_GB2312"/>
                      <w:color w:val="000000"/>
                      <w:sz w:val="21"/>
                      <w:szCs w:val="21"/>
                    </w:rPr>
                  </w:pPr>
                  <w:r>
                    <w:rPr>
                      <w:rFonts w:eastAsia="仿宋_GB2312"/>
                      <w:color w:val="000000"/>
                      <w:sz w:val="21"/>
                      <w:szCs w:val="21"/>
                    </w:rPr>
                    <w:t>/</w:t>
                  </w:r>
                </w:p>
              </w:tc>
              <w:tc>
                <w:tcPr>
                  <w:tcW w:w="885" w:type="pct"/>
                  <w:vAlign w:val="center"/>
                </w:tcPr>
                <w:p w14:paraId="196A7E13">
                  <w:pPr>
                    <w:adjustRightInd w:val="0"/>
                    <w:snapToGrid w:val="0"/>
                    <w:jc w:val="center"/>
                    <w:rPr>
                      <w:rFonts w:eastAsia="仿宋_GB2312"/>
                      <w:color w:val="000000"/>
                      <w:sz w:val="21"/>
                      <w:szCs w:val="21"/>
                    </w:rPr>
                  </w:pPr>
                  <w:r>
                    <w:rPr>
                      <w:rFonts w:hint="eastAsia" w:eastAsia="仿宋_GB2312"/>
                      <w:color w:val="000000"/>
                      <w:sz w:val="21"/>
                      <w:szCs w:val="21"/>
                    </w:rPr>
                    <w:t>/</w:t>
                  </w:r>
                </w:p>
              </w:tc>
            </w:tr>
            <w:tr w14:paraId="3170BF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719" w:type="pct"/>
                  <w:vAlign w:val="center"/>
                </w:tcPr>
                <w:p w14:paraId="4CA2D787">
                  <w:pPr>
                    <w:adjustRightInd w:val="0"/>
                    <w:snapToGrid w:val="0"/>
                    <w:jc w:val="center"/>
                    <w:rPr>
                      <w:rFonts w:eastAsia="仿宋_GB2312"/>
                      <w:color w:val="000000"/>
                      <w:sz w:val="21"/>
                      <w:szCs w:val="21"/>
                    </w:rPr>
                  </w:pPr>
                  <w:r>
                    <w:rPr>
                      <w:rFonts w:eastAsia="仿宋_GB2312"/>
                      <w:color w:val="000000"/>
                      <w:sz w:val="21"/>
                      <w:szCs w:val="21"/>
                    </w:rPr>
                    <w:t>化工新材料</w:t>
                  </w:r>
                </w:p>
              </w:tc>
              <w:tc>
                <w:tcPr>
                  <w:tcW w:w="2015" w:type="pct"/>
                  <w:vAlign w:val="center"/>
                </w:tcPr>
                <w:p w14:paraId="24D80C1A">
                  <w:pPr>
                    <w:adjustRightInd w:val="0"/>
                    <w:snapToGrid w:val="0"/>
                    <w:jc w:val="center"/>
                    <w:rPr>
                      <w:rFonts w:eastAsia="仿宋_GB2312"/>
                      <w:color w:val="000000"/>
                      <w:sz w:val="21"/>
                      <w:szCs w:val="21"/>
                    </w:rPr>
                  </w:pPr>
                  <w:r>
                    <w:rPr>
                      <w:rFonts w:eastAsia="仿宋_GB2312"/>
                      <w:color w:val="000000"/>
                      <w:sz w:val="21"/>
                      <w:szCs w:val="21"/>
                    </w:rPr>
                    <w:t>有机硅材料、有机氟材料、工程塑料、高性能聚氨酯、高性能纤维、生物基化工新材料</w:t>
                  </w:r>
                </w:p>
              </w:tc>
              <w:tc>
                <w:tcPr>
                  <w:tcW w:w="1379" w:type="pct"/>
                  <w:vAlign w:val="center"/>
                </w:tcPr>
                <w:p w14:paraId="3CDC6B41">
                  <w:pPr>
                    <w:adjustRightInd w:val="0"/>
                    <w:snapToGrid w:val="0"/>
                    <w:jc w:val="center"/>
                    <w:rPr>
                      <w:rFonts w:eastAsia="仿宋_GB2312"/>
                      <w:color w:val="000000"/>
                      <w:sz w:val="21"/>
                      <w:szCs w:val="21"/>
                    </w:rPr>
                  </w:pPr>
                  <w:r>
                    <w:rPr>
                      <w:rFonts w:eastAsia="仿宋_GB2312"/>
                      <w:color w:val="000000"/>
                      <w:sz w:val="21"/>
                      <w:szCs w:val="21"/>
                    </w:rPr>
                    <w:t>钢铁等传统型金属材料；水泥等传统型非金属材料</w:t>
                  </w:r>
                </w:p>
              </w:tc>
              <w:tc>
                <w:tcPr>
                  <w:tcW w:w="885" w:type="pct"/>
                  <w:vAlign w:val="center"/>
                </w:tcPr>
                <w:p w14:paraId="116CB394">
                  <w:pPr>
                    <w:adjustRightInd w:val="0"/>
                    <w:snapToGrid w:val="0"/>
                    <w:jc w:val="center"/>
                    <w:rPr>
                      <w:rFonts w:eastAsia="仿宋_GB2312"/>
                      <w:color w:val="000000"/>
                      <w:sz w:val="21"/>
                      <w:szCs w:val="21"/>
                    </w:rPr>
                  </w:pPr>
                  <w:r>
                    <w:rPr>
                      <w:rFonts w:hint="eastAsia" w:eastAsia="仿宋_GB2312"/>
                      <w:color w:val="000000"/>
                      <w:sz w:val="21"/>
                      <w:szCs w:val="21"/>
                    </w:rPr>
                    <w:t>不属于</w:t>
                  </w:r>
                </w:p>
              </w:tc>
            </w:tr>
            <w:tr w14:paraId="257025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719" w:type="pct"/>
                  <w:vAlign w:val="center"/>
                </w:tcPr>
                <w:p w14:paraId="7F37C587">
                  <w:pPr>
                    <w:adjustRightInd w:val="0"/>
                    <w:snapToGrid w:val="0"/>
                    <w:jc w:val="center"/>
                    <w:rPr>
                      <w:rFonts w:eastAsia="仿宋_GB2312"/>
                      <w:color w:val="000000"/>
                      <w:sz w:val="21"/>
                      <w:szCs w:val="21"/>
                    </w:rPr>
                  </w:pPr>
                  <w:r>
                    <w:rPr>
                      <w:rFonts w:eastAsia="仿宋_GB2312"/>
                      <w:color w:val="000000"/>
                      <w:sz w:val="21"/>
                      <w:szCs w:val="21"/>
                    </w:rPr>
                    <w:t>新医药产业</w:t>
                  </w:r>
                </w:p>
              </w:tc>
              <w:tc>
                <w:tcPr>
                  <w:tcW w:w="2015" w:type="pct"/>
                  <w:vAlign w:val="center"/>
                </w:tcPr>
                <w:p w14:paraId="7FA69E0B">
                  <w:pPr>
                    <w:adjustRightInd w:val="0"/>
                    <w:snapToGrid w:val="0"/>
                    <w:jc w:val="center"/>
                    <w:rPr>
                      <w:rFonts w:eastAsia="仿宋_GB2312"/>
                      <w:color w:val="000000"/>
                      <w:sz w:val="21"/>
                      <w:szCs w:val="21"/>
                    </w:rPr>
                  </w:pPr>
                  <w:r>
                    <w:rPr>
                      <w:rFonts w:eastAsia="仿宋_GB2312"/>
                      <w:color w:val="000000"/>
                      <w:sz w:val="21"/>
                      <w:szCs w:val="21"/>
                    </w:rPr>
                    <w:t>生物制药、化学药品、医疗器械与卫生材料、中药、生物工业、生物农业、生物环保、生物能源</w:t>
                  </w:r>
                </w:p>
              </w:tc>
              <w:tc>
                <w:tcPr>
                  <w:tcW w:w="1379" w:type="pct"/>
                  <w:vAlign w:val="center"/>
                </w:tcPr>
                <w:p w14:paraId="3A0DD29A">
                  <w:pPr>
                    <w:adjustRightInd w:val="0"/>
                    <w:snapToGrid w:val="0"/>
                    <w:jc w:val="center"/>
                    <w:rPr>
                      <w:rFonts w:eastAsia="仿宋_GB2312"/>
                      <w:color w:val="000000"/>
                      <w:sz w:val="21"/>
                      <w:szCs w:val="21"/>
                    </w:rPr>
                  </w:pPr>
                  <w:r>
                    <w:rPr>
                      <w:rFonts w:eastAsia="仿宋_GB2312"/>
                      <w:color w:val="000000"/>
                      <w:sz w:val="21"/>
                      <w:szCs w:val="21"/>
                    </w:rPr>
                    <w:t>不符合GMP要求的安瓿拉丝灌封机、劳动保护、安瓿灌装注射用无菌粉末、非易折安瓿等，以及《产业结构调整指导目录（2011年本）》（2013年修正）规定的淘汰类产业及工艺</w:t>
                  </w:r>
                </w:p>
              </w:tc>
              <w:tc>
                <w:tcPr>
                  <w:tcW w:w="885" w:type="pct"/>
                  <w:vAlign w:val="center"/>
                </w:tcPr>
                <w:p w14:paraId="16DB5656">
                  <w:pPr>
                    <w:adjustRightInd w:val="0"/>
                    <w:snapToGrid w:val="0"/>
                    <w:jc w:val="center"/>
                    <w:rPr>
                      <w:rFonts w:eastAsia="仿宋_GB2312"/>
                      <w:color w:val="000000"/>
                      <w:sz w:val="21"/>
                      <w:szCs w:val="21"/>
                    </w:rPr>
                  </w:pPr>
                  <w:r>
                    <w:rPr>
                      <w:rFonts w:hint="eastAsia" w:eastAsia="仿宋_GB2312"/>
                      <w:color w:val="000000"/>
                      <w:sz w:val="21"/>
                      <w:szCs w:val="21"/>
                    </w:rPr>
                    <w:t>不属于</w:t>
                  </w:r>
                </w:p>
              </w:tc>
            </w:tr>
          </w:tbl>
          <w:p w14:paraId="61C8841B">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22" w:firstLineChars="200"/>
              <w:textAlignment w:val="auto"/>
              <w:rPr>
                <w:rFonts w:ascii="Times New Roman" w:hAnsi="Times New Roman" w:eastAsia="仿宋_GB2312" w:cs="Times New Roman"/>
                <w:b/>
                <w:color w:val="000000"/>
                <w:kern w:val="0"/>
              </w:rPr>
            </w:pPr>
            <w:r>
              <w:rPr>
                <w:rFonts w:hint="eastAsia" w:ascii="Times New Roman" w:hAnsi="Times New Roman" w:eastAsia="仿宋_GB2312" w:cs="Times New Roman"/>
                <w:b/>
                <w:color w:val="000000"/>
                <w:kern w:val="0"/>
                <w:lang w:val="en-US" w:eastAsia="zh-CN"/>
              </w:rPr>
              <w:t>二、</w:t>
            </w:r>
            <w:r>
              <w:rPr>
                <w:rFonts w:ascii="Times New Roman" w:hAnsi="Times New Roman" w:eastAsia="仿宋_GB2312" w:cs="Times New Roman"/>
                <w:b/>
                <w:color w:val="000000"/>
                <w:kern w:val="0"/>
              </w:rPr>
              <w:t>与产业政策的相符性分析</w:t>
            </w:r>
          </w:p>
          <w:p w14:paraId="795863C7">
            <w:pPr>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Times New Roman" w:hAnsi="Times New Roman" w:eastAsia="仿宋_GB2312" w:cs="Times New Roman"/>
                <w:kern w:val="0"/>
                <w:sz w:val="21"/>
                <w:szCs w:val="24"/>
                <w:lang w:val="en-US" w:eastAsia="zh-CN"/>
              </w:rPr>
            </w:pPr>
            <w:r>
              <w:rPr>
                <w:rFonts w:hint="default" w:ascii="Times New Roman" w:hAnsi="Times New Roman" w:eastAsia="仿宋_GB2312" w:cs="Times New Roman"/>
                <w:kern w:val="0"/>
                <w:sz w:val="21"/>
                <w:szCs w:val="24"/>
                <w:lang w:val="en-US" w:eastAsia="zh-CN"/>
              </w:rPr>
              <w:t>对照产业政策，本项目</w:t>
            </w:r>
            <w:r>
              <w:rPr>
                <w:rFonts w:hint="default" w:ascii="Times New Roman" w:hAnsi="Times New Roman" w:eastAsia="仿宋_GB2312" w:cs="Times New Roman"/>
                <w:kern w:val="0"/>
                <w:sz w:val="21"/>
                <w:szCs w:val="24"/>
              </w:rPr>
              <w:t>与产业政策的相符性分析</w:t>
            </w:r>
            <w:r>
              <w:rPr>
                <w:rFonts w:hint="default" w:ascii="Times New Roman" w:hAnsi="Times New Roman" w:eastAsia="仿宋_GB2312" w:cs="Times New Roman"/>
                <w:kern w:val="0"/>
                <w:sz w:val="21"/>
                <w:szCs w:val="24"/>
                <w:lang w:val="en-US" w:eastAsia="zh-CN"/>
              </w:rPr>
              <w:t>见表1-</w:t>
            </w:r>
            <w:r>
              <w:rPr>
                <w:rFonts w:hint="eastAsia" w:eastAsia="仿宋_GB2312" w:cs="Times New Roman"/>
                <w:kern w:val="0"/>
                <w:sz w:val="21"/>
                <w:szCs w:val="24"/>
                <w:lang w:val="en-US" w:eastAsia="zh-CN"/>
              </w:rPr>
              <w:t>7</w:t>
            </w:r>
            <w:r>
              <w:rPr>
                <w:rFonts w:hint="default" w:ascii="Times New Roman" w:hAnsi="Times New Roman" w:eastAsia="仿宋_GB2312" w:cs="Times New Roman"/>
                <w:kern w:val="0"/>
                <w:sz w:val="21"/>
                <w:szCs w:val="24"/>
                <w:lang w:val="en-US" w:eastAsia="zh-CN"/>
              </w:rPr>
              <w:t>。</w:t>
            </w:r>
          </w:p>
          <w:p w14:paraId="1BB7AC39">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仿宋_GB2312" w:cs="Times New Roman"/>
                <w:b/>
                <w:bCs/>
                <w:color w:val="000000"/>
                <w:lang w:val="en-US" w:eastAsia="zh-CN"/>
              </w:rPr>
            </w:pPr>
            <w:r>
              <w:rPr>
                <w:rFonts w:hint="eastAsia" w:ascii="Times New Roman" w:hAnsi="Times New Roman" w:eastAsia="仿宋_GB2312" w:cs="Times New Roman"/>
                <w:b/>
                <w:bCs/>
                <w:color w:val="000000"/>
                <w:lang w:val="en-US" w:eastAsia="zh-CN"/>
              </w:rPr>
              <w:t xml:space="preserve">表1-7  </w:t>
            </w:r>
            <w:r>
              <w:rPr>
                <w:rFonts w:ascii="Times New Roman" w:hAnsi="Times New Roman" w:eastAsia="仿宋_GB2312" w:cs="Times New Roman"/>
                <w:b/>
                <w:bCs/>
                <w:color w:val="000000"/>
              </w:rPr>
              <w:t>产业政策的相符性分析</w:t>
            </w:r>
          </w:p>
          <w:tbl>
            <w:tblPr>
              <w:tblStyle w:val="31"/>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15"/>
              <w:gridCol w:w="2468"/>
              <w:gridCol w:w="4126"/>
              <w:gridCol w:w="483"/>
            </w:tblGrid>
            <w:tr w14:paraId="352484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3" w:hRule="atLeast"/>
              </w:trPr>
              <w:tc>
                <w:tcPr>
                  <w:tcW w:w="277" w:type="pct"/>
                  <w:noWrap w:val="0"/>
                  <w:vAlign w:val="center"/>
                </w:tcPr>
                <w:p w14:paraId="3F9CE319">
                  <w:pPr>
                    <w:pStyle w:val="100"/>
                    <w:keepNext w:val="0"/>
                    <w:keepLines w:val="0"/>
                    <w:pageBreakBefore w:val="0"/>
                    <w:widowControl w:val="0"/>
                    <w:kinsoku/>
                    <w:wordWrap/>
                    <w:overflowPunct/>
                    <w:topLinePunct w:val="0"/>
                    <w:bidi w:val="0"/>
                    <w:adjustRightInd w:val="0"/>
                    <w:spacing w:line="240" w:lineRule="auto"/>
                    <w:rPr>
                      <w:rFonts w:eastAsia="仿宋_GB2312"/>
                      <w:b/>
                      <w:bCs/>
                      <w:sz w:val="21"/>
                      <w:szCs w:val="21"/>
                    </w:rPr>
                  </w:pPr>
                  <w:r>
                    <w:rPr>
                      <w:rFonts w:eastAsia="仿宋_GB2312"/>
                      <w:b/>
                      <w:bCs/>
                      <w:sz w:val="21"/>
                      <w:szCs w:val="21"/>
                    </w:rPr>
                    <w:t>判断</w:t>
                  </w:r>
                </w:p>
                <w:p w14:paraId="205C0796">
                  <w:pPr>
                    <w:pStyle w:val="100"/>
                    <w:keepNext w:val="0"/>
                    <w:keepLines w:val="0"/>
                    <w:pageBreakBefore w:val="0"/>
                    <w:widowControl w:val="0"/>
                    <w:kinsoku/>
                    <w:wordWrap/>
                    <w:overflowPunct/>
                    <w:topLinePunct w:val="0"/>
                    <w:bidi w:val="0"/>
                    <w:adjustRightInd w:val="0"/>
                    <w:spacing w:line="240" w:lineRule="auto"/>
                    <w:rPr>
                      <w:rFonts w:eastAsia="仿宋_GB2312"/>
                      <w:b/>
                      <w:bCs/>
                      <w:sz w:val="21"/>
                      <w:szCs w:val="21"/>
                    </w:rPr>
                  </w:pPr>
                  <w:r>
                    <w:rPr>
                      <w:rFonts w:eastAsia="仿宋_GB2312"/>
                      <w:b/>
                      <w:bCs/>
                      <w:sz w:val="21"/>
                      <w:szCs w:val="21"/>
                    </w:rPr>
                    <w:t>类型</w:t>
                  </w:r>
                </w:p>
              </w:tc>
              <w:tc>
                <w:tcPr>
                  <w:tcW w:w="1646" w:type="pct"/>
                  <w:noWrap w:val="0"/>
                  <w:vAlign w:val="center"/>
                </w:tcPr>
                <w:p w14:paraId="3518BAA6">
                  <w:pPr>
                    <w:pStyle w:val="100"/>
                    <w:keepNext w:val="0"/>
                    <w:keepLines w:val="0"/>
                    <w:pageBreakBefore w:val="0"/>
                    <w:widowControl w:val="0"/>
                    <w:kinsoku/>
                    <w:wordWrap/>
                    <w:overflowPunct/>
                    <w:topLinePunct w:val="0"/>
                    <w:bidi w:val="0"/>
                    <w:adjustRightInd w:val="0"/>
                    <w:spacing w:line="240" w:lineRule="auto"/>
                    <w:rPr>
                      <w:rFonts w:eastAsia="仿宋_GB2312"/>
                      <w:b/>
                      <w:bCs/>
                      <w:sz w:val="21"/>
                      <w:szCs w:val="21"/>
                    </w:rPr>
                  </w:pPr>
                  <w:r>
                    <w:rPr>
                      <w:rFonts w:eastAsia="仿宋_GB2312"/>
                      <w:b/>
                      <w:bCs/>
                      <w:sz w:val="21"/>
                      <w:szCs w:val="21"/>
                    </w:rPr>
                    <w:t>相关政策文件</w:t>
                  </w:r>
                </w:p>
              </w:tc>
              <w:tc>
                <w:tcPr>
                  <w:tcW w:w="2752" w:type="pct"/>
                  <w:noWrap w:val="0"/>
                  <w:vAlign w:val="center"/>
                </w:tcPr>
                <w:p w14:paraId="6CED5064">
                  <w:pPr>
                    <w:pStyle w:val="100"/>
                    <w:keepNext w:val="0"/>
                    <w:keepLines w:val="0"/>
                    <w:pageBreakBefore w:val="0"/>
                    <w:widowControl w:val="0"/>
                    <w:kinsoku/>
                    <w:wordWrap/>
                    <w:overflowPunct/>
                    <w:topLinePunct w:val="0"/>
                    <w:bidi w:val="0"/>
                    <w:adjustRightInd w:val="0"/>
                    <w:spacing w:line="240" w:lineRule="auto"/>
                    <w:rPr>
                      <w:rFonts w:eastAsia="仿宋_GB2312"/>
                      <w:b/>
                      <w:bCs/>
                      <w:sz w:val="21"/>
                      <w:szCs w:val="21"/>
                    </w:rPr>
                  </w:pPr>
                  <w:r>
                    <w:rPr>
                      <w:rFonts w:eastAsia="仿宋_GB2312"/>
                      <w:b/>
                      <w:bCs/>
                      <w:sz w:val="21"/>
                      <w:szCs w:val="21"/>
                    </w:rPr>
                    <w:t>对照简析</w:t>
                  </w:r>
                </w:p>
              </w:tc>
              <w:tc>
                <w:tcPr>
                  <w:tcW w:w="322" w:type="pct"/>
                  <w:noWrap w:val="0"/>
                  <w:vAlign w:val="center"/>
                </w:tcPr>
                <w:p w14:paraId="6EF26100">
                  <w:pPr>
                    <w:pStyle w:val="100"/>
                    <w:keepNext w:val="0"/>
                    <w:keepLines w:val="0"/>
                    <w:pageBreakBefore w:val="0"/>
                    <w:widowControl w:val="0"/>
                    <w:kinsoku/>
                    <w:wordWrap/>
                    <w:overflowPunct/>
                    <w:topLinePunct w:val="0"/>
                    <w:bidi w:val="0"/>
                    <w:adjustRightInd w:val="0"/>
                    <w:spacing w:line="240" w:lineRule="auto"/>
                    <w:rPr>
                      <w:rFonts w:eastAsia="仿宋_GB2312"/>
                      <w:b/>
                      <w:bCs/>
                      <w:sz w:val="21"/>
                      <w:szCs w:val="21"/>
                    </w:rPr>
                  </w:pPr>
                  <w:r>
                    <w:rPr>
                      <w:rFonts w:eastAsia="仿宋_GB2312"/>
                      <w:b/>
                      <w:bCs/>
                      <w:sz w:val="21"/>
                      <w:szCs w:val="21"/>
                    </w:rPr>
                    <w:t>是否相符</w:t>
                  </w:r>
                </w:p>
              </w:tc>
            </w:tr>
            <w:tr w14:paraId="2AAA36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3" w:hRule="atLeast"/>
              </w:trPr>
              <w:tc>
                <w:tcPr>
                  <w:tcW w:w="277" w:type="pct"/>
                  <w:vMerge w:val="restart"/>
                  <w:noWrap w:val="0"/>
                  <w:vAlign w:val="center"/>
                </w:tcPr>
                <w:p w14:paraId="2389F978">
                  <w:pPr>
                    <w:pStyle w:val="100"/>
                    <w:rPr>
                      <w:rFonts w:eastAsia="仿宋_GB2312"/>
                      <w:sz w:val="21"/>
                      <w:szCs w:val="21"/>
                    </w:rPr>
                  </w:pPr>
                  <w:r>
                    <w:rPr>
                      <w:rFonts w:eastAsia="仿宋_GB2312"/>
                      <w:sz w:val="21"/>
                      <w:szCs w:val="21"/>
                    </w:rPr>
                    <w:t>产业</w:t>
                  </w:r>
                </w:p>
                <w:p w14:paraId="7FAE9D33">
                  <w:pPr>
                    <w:pStyle w:val="100"/>
                    <w:rPr>
                      <w:rFonts w:eastAsia="仿宋_GB2312"/>
                      <w:sz w:val="21"/>
                      <w:szCs w:val="21"/>
                    </w:rPr>
                  </w:pPr>
                  <w:r>
                    <w:rPr>
                      <w:rFonts w:eastAsia="仿宋_GB2312"/>
                      <w:sz w:val="21"/>
                      <w:szCs w:val="21"/>
                    </w:rPr>
                    <w:t>政策</w:t>
                  </w:r>
                </w:p>
              </w:tc>
              <w:tc>
                <w:tcPr>
                  <w:tcW w:w="1646" w:type="pct"/>
                  <w:noWrap w:val="0"/>
                  <w:vAlign w:val="center"/>
                </w:tcPr>
                <w:p w14:paraId="0B5898AC">
                  <w:pPr>
                    <w:pStyle w:val="100"/>
                    <w:rPr>
                      <w:rFonts w:eastAsia="仿宋_GB2312"/>
                      <w:sz w:val="21"/>
                      <w:szCs w:val="21"/>
                    </w:rPr>
                  </w:pPr>
                  <w:r>
                    <w:rPr>
                      <w:rFonts w:eastAsia="仿宋_GB2312"/>
                      <w:sz w:val="21"/>
                      <w:szCs w:val="21"/>
                    </w:rPr>
                    <w:t>《产业结构调整指导目录（2024年本）》</w:t>
                  </w:r>
                </w:p>
              </w:tc>
              <w:tc>
                <w:tcPr>
                  <w:tcW w:w="2752" w:type="pct"/>
                  <w:noWrap w:val="0"/>
                  <w:vAlign w:val="center"/>
                </w:tcPr>
                <w:p w14:paraId="49271F50">
                  <w:pPr>
                    <w:pStyle w:val="100"/>
                    <w:rPr>
                      <w:rFonts w:eastAsia="仿宋_GB2312"/>
                      <w:sz w:val="21"/>
                      <w:szCs w:val="21"/>
                    </w:rPr>
                  </w:pPr>
                  <w:r>
                    <w:rPr>
                      <w:rFonts w:eastAsia="仿宋_GB2312"/>
                      <w:sz w:val="21"/>
                      <w:szCs w:val="21"/>
                    </w:rPr>
                    <w:t>本项目为</w:t>
                  </w:r>
                  <w:r>
                    <w:rPr>
                      <w:rFonts w:hint="eastAsia" w:eastAsia="仿宋_GB2312"/>
                      <w:sz w:val="21"/>
                      <w:szCs w:val="21"/>
                      <w:lang w:val="en-US" w:eastAsia="zh-CN"/>
                    </w:rPr>
                    <w:t>盐加工</w:t>
                  </w:r>
                  <w:r>
                    <w:rPr>
                      <w:rFonts w:eastAsia="仿宋_GB2312"/>
                      <w:sz w:val="21"/>
                      <w:szCs w:val="21"/>
                    </w:rPr>
                    <w:t>项目，</w:t>
                  </w:r>
                  <w:r>
                    <w:rPr>
                      <w:rFonts w:hint="eastAsia" w:eastAsia="仿宋_GB2312"/>
                      <w:sz w:val="21"/>
                      <w:szCs w:val="21"/>
                      <w:lang w:val="en-US" w:eastAsia="zh-CN"/>
                    </w:rPr>
                    <w:t>不</w:t>
                  </w:r>
                  <w:r>
                    <w:rPr>
                      <w:rFonts w:eastAsia="仿宋_GB2312"/>
                      <w:sz w:val="21"/>
                      <w:szCs w:val="21"/>
                    </w:rPr>
                    <w:t>属于《产业结构调整指导目录（2024年本）》</w:t>
                  </w:r>
                  <w:r>
                    <w:rPr>
                      <w:rFonts w:hint="eastAsia" w:eastAsia="仿宋_GB2312"/>
                      <w:sz w:val="21"/>
                      <w:szCs w:val="21"/>
                      <w:lang w:val="en-US" w:eastAsia="zh-CN"/>
                    </w:rPr>
                    <w:t>中限制类项目</w:t>
                  </w:r>
                  <w:r>
                    <w:rPr>
                      <w:rFonts w:eastAsia="仿宋_GB2312"/>
                      <w:sz w:val="21"/>
                      <w:szCs w:val="21"/>
                    </w:rPr>
                    <w:t>。</w:t>
                  </w:r>
                </w:p>
              </w:tc>
              <w:tc>
                <w:tcPr>
                  <w:tcW w:w="322" w:type="pct"/>
                  <w:noWrap w:val="0"/>
                  <w:vAlign w:val="center"/>
                </w:tcPr>
                <w:p w14:paraId="440CF4BE">
                  <w:pPr>
                    <w:pStyle w:val="100"/>
                    <w:rPr>
                      <w:rFonts w:eastAsia="仿宋_GB2312"/>
                      <w:sz w:val="21"/>
                      <w:szCs w:val="21"/>
                    </w:rPr>
                  </w:pPr>
                  <w:r>
                    <w:rPr>
                      <w:rFonts w:eastAsia="仿宋_GB2312"/>
                      <w:sz w:val="21"/>
                      <w:szCs w:val="21"/>
                    </w:rPr>
                    <w:t>是</w:t>
                  </w:r>
                </w:p>
              </w:tc>
            </w:tr>
            <w:tr w14:paraId="196186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6" w:hRule="atLeast"/>
              </w:trPr>
              <w:tc>
                <w:tcPr>
                  <w:tcW w:w="277" w:type="pct"/>
                  <w:vMerge w:val="continue"/>
                  <w:noWrap w:val="0"/>
                  <w:vAlign w:val="center"/>
                </w:tcPr>
                <w:p w14:paraId="131C77C6">
                  <w:pPr>
                    <w:pStyle w:val="100"/>
                    <w:rPr>
                      <w:rFonts w:eastAsia="仿宋_GB2312"/>
                      <w:sz w:val="21"/>
                      <w:szCs w:val="21"/>
                    </w:rPr>
                  </w:pPr>
                </w:p>
              </w:tc>
              <w:tc>
                <w:tcPr>
                  <w:tcW w:w="1646" w:type="pct"/>
                  <w:noWrap w:val="0"/>
                  <w:vAlign w:val="center"/>
                </w:tcPr>
                <w:p w14:paraId="05DB4256">
                  <w:pPr>
                    <w:pStyle w:val="100"/>
                    <w:rPr>
                      <w:rFonts w:ascii="Times New Roman" w:hAnsi="Times New Roman" w:eastAsia="仿宋_GB2312" w:cs="Times New Roman"/>
                      <w:sz w:val="21"/>
                      <w:szCs w:val="21"/>
                    </w:rPr>
                  </w:pPr>
                  <w:r>
                    <w:rPr>
                      <w:rFonts w:ascii="Times New Roman" w:hAnsi="Times New Roman" w:eastAsia="仿宋_GB2312" w:cs="Times New Roman"/>
                      <w:sz w:val="21"/>
                      <w:szCs w:val="21"/>
                    </w:rPr>
                    <w:t>《</w:t>
                  </w:r>
                  <w:r>
                    <w:rPr>
                      <w:rFonts w:hint="default" w:ascii="Times New Roman" w:hAnsi="Times New Roman" w:eastAsia="仿宋_GB2312" w:cs="Times New Roman"/>
                      <w:sz w:val="21"/>
                      <w:szCs w:val="21"/>
                    </w:rPr>
                    <w:t>江苏省太湖流域禁止和限制的产业产品目录（2024年本）</w:t>
                  </w:r>
                  <w:r>
                    <w:rPr>
                      <w:rFonts w:ascii="Times New Roman" w:hAnsi="Times New Roman" w:eastAsia="仿宋_GB2312" w:cs="Times New Roman"/>
                      <w:sz w:val="21"/>
                      <w:szCs w:val="21"/>
                    </w:rPr>
                    <w:t>》</w:t>
                  </w:r>
                </w:p>
              </w:tc>
              <w:tc>
                <w:tcPr>
                  <w:tcW w:w="2752" w:type="pct"/>
                  <w:noWrap w:val="0"/>
                  <w:vAlign w:val="center"/>
                </w:tcPr>
                <w:p w14:paraId="63C8B8DA">
                  <w:pPr>
                    <w:pStyle w:val="100"/>
                    <w:rPr>
                      <w:rFonts w:eastAsia="仿宋_GB2312"/>
                      <w:sz w:val="21"/>
                      <w:szCs w:val="21"/>
                    </w:rPr>
                  </w:pPr>
                  <w:r>
                    <w:rPr>
                      <w:rFonts w:eastAsia="仿宋_GB2312"/>
                      <w:sz w:val="21"/>
                      <w:szCs w:val="21"/>
                    </w:rPr>
                    <w:t>本项目为</w:t>
                  </w:r>
                  <w:r>
                    <w:rPr>
                      <w:rFonts w:hint="eastAsia" w:eastAsia="仿宋_GB2312"/>
                      <w:sz w:val="21"/>
                      <w:szCs w:val="21"/>
                      <w:lang w:val="en-US" w:eastAsia="zh-CN"/>
                    </w:rPr>
                    <w:t>盐加工</w:t>
                  </w:r>
                  <w:r>
                    <w:rPr>
                      <w:rFonts w:eastAsia="仿宋_GB2312"/>
                      <w:sz w:val="21"/>
                      <w:szCs w:val="21"/>
                    </w:rPr>
                    <w:t>项目，不属于</w:t>
                  </w:r>
                  <w:r>
                    <w:rPr>
                      <w:rFonts w:ascii="Times New Roman" w:hAnsi="Times New Roman" w:eastAsia="仿宋_GB2312" w:cs="Times New Roman"/>
                      <w:sz w:val="21"/>
                      <w:szCs w:val="21"/>
                    </w:rPr>
                    <w:t>《</w:t>
                  </w:r>
                  <w:r>
                    <w:rPr>
                      <w:rFonts w:hint="default" w:ascii="Times New Roman" w:hAnsi="Times New Roman" w:eastAsia="仿宋_GB2312" w:cs="Times New Roman"/>
                      <w:sz w:val="21"/>
                      <w:szCs w:val="21"/>
                    </w:rPr>
                    <w:t>江苏省太湖流域禁止和限制的产业产品目录（2024年本）</w:t>
                  </w:r>
                  <w:r>
                    <w:rPr>
                      <w:rFonts w:ascii="Times New Roman" w:hAnsi="Times New Roman" w:eastAsia="仿宋_GB2312" w:cs="Times New Roman"/>
                      <w:sz w:val="21"/>
                      <w:szCs w:val="21"/>
                    </w:rPr>
                    <w:t>》</w:t>
                  </w:r>
                  <w:r>
                    <w:rPr>
                      <w:rFonts w:eastAsia="仿宋_GB2312"/>
                      <w:sz w:val="21"/>
                      <w:szCs w:val="21"/>
                    </w:rPr>
                    <w:t>限制类、淘汰类</w:t>
                  </w:r>
                  <w:r>
                    <w:rPr>
                      <w:rFonts w:hint="eastAsia" w:eastAsia="仿宋_GB2312"/>
                      <w:sz w:val="21"/>
                      <w:szCs w:val="21"/>
                      <w:lang w:val="en-US" w:eastAsia="zh-CN"/>
                    </w:rPr>
                    <w:t>或</w:t>
                  </w:r>
                  <w:r>
                    <w:rPr>
                      <w:rFonts w:eastAsia="仿宋_GB2312"/>
                      <w:sz w:val="21"/>
                      <w:szCs w:val="21"/>
                    </w:rPr>
                    <w:t>禁止类。</w:t>
                  </w:r>
                </w:p>
              </w:tc>
              <w:tc>
                <w:tcPr>
                  <w:tcW w:w="322" w:type="pct"/>
                  <w:noWrap w:val="0"/>
                  <w:vAlign w:val="center"/>
                </w:tcPr>
                <w:p w14:paraId="7C62BC8C">
                  <w:pPr>
                    <w:pStyle w:val="100"/>
                    <w:rPr>
                      <w:rFonts w:eastAsia="仿宋_GB2312"/>
                      <w:sz w:val="21"/>
                      <w:szCs w:val="21"/>
                    </w:rPr>
                  </w:pPr>
                  <w:r>
                    <w:rPr>
                      <w:rFonts w:eastAsia="仿宋_GB2312"/>
                      <w:sz w:val="21"/>
                      <w:szCs w:val="21"/>
                    </w:rPr>
                    <w:t>是</w:t>
                  </w:r>
                </w:p>
              </w:tc>
            </w:tr>
            <w:tr w14:paraId="371006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3" w:hRule="atLeast"/>
              </w:trPr>
              <w:tc>
                <w:tcPr>
                  <w:tcW w:w="277" w:type="pct"/>
                  <w:vMerge w:val="continue"/>
                  <w:noWrap w:val="0"/>
                  <w:vAlign w:val="center"/>
                </w:tcPr>
                <w:p w14:paraId="02B2CD1B">
                  <w:pPr>
                    <w:pStyle w:val="100"/>
                    <w:rPr>
                      <w:rFonts w:eastAsia="仿宋_GB2312"/>
                      <w:sz w:val="21"/>
                      <w:szCs w:val="21"/>
                    </w:rPr>
                  </w:pPr>
                </w:p>
              </w:tc>
              <w:tc>
                <w:tcPr>
                  <w:tcW w:w="1646" w:type="pct"/>
                  <w:noWrap w:val="0"/>
                  <w:vAlign w:val="center"/>
                </w:tcPr>
                <w:p w14:paraId="79E2EFB4">
                  <w:pPr>
                    <w:pStyle w:val="100"/>
                    <w:rPr>
                      <w:rFonts w:ascii="Times New Roman" w:hAnsi="Times New Roman" w:eastAsia="仿宋_GB2312" w:cs="Times New Roman"/>
                      <w:sz w:val="21"/>
                      <w:szCs w:val="21"/>
                    </w:rPr>
                  </w:pPr>
                  <w:r>
                    <w:rPr>
                      <w:rFonts w:ascii="Times New Roman" w:hAnsi="Times New Roman" w:eastAsia="仿宋_GB2312" w:cs="Times New Roman"/>
                      <w:sz w:val="21"/>
                      <w:szCs w:val="21"/>
                    </w:rPr>
                    <w:t>《长江经济带发展负面清单指南》（试行，2022年版）及《关于印发〈长江经济带发展负面清单指南（试行，2022年版）〉江苏省实施细则的通知》（苏长江办发〔2022〕55号）</w:t>
                  </w:r>
                </w:p>
              </w:tc>
              <w:tc>
                <w:tcPr>
                  <w:tcW w:w="2752" w:type="pct"/>
                  <w:noWrap w:val="0"/>
                  <w:vAlign w:val="center"/>
                </w:tcPr>
                <w:p w14:paraId="69F27193">
                  <w:pPr>
                    <w:pStyle w:val="100"/>
                    <w:rPr>
                      <w:rFonts w:hint="eastAsia" w:eastAsia="仿宋_GB2312"/>
                      <w:sz w:val="21"/>
                      <w:szCs w:val="21"/>
                      <w:lang w:eastAsia="zh-CN"/>
                    </w:rPr>
                  </w:pPr>
                  <w:r>
                    <w:rPr>
                      <w:rFonts w:eastAsia="仿宋_GB2312"/>
                      <w:sz w:val="21"/>
                      <w:szCs w:val="21"/>
                    </w:rPr>
                    <w:t>本项目不属于《长江经济带发展负面清单指南》（试行，2022年版）及《关于印发〈长江经济带发展负面清单指南（试行，2022年版）〉江苏省实施细则的通知》（苏长江办发〔2022〕55号）中的禁止入驻类项目</w:t>
                  </w:r>
                  <w:r>
                    <w:rPr>
                      <w:rFonts w:hint="eastAsia" w:eastAsia="仿宋_GB2312"/>
                      <w:sz w:val="21"/>
                      <w:szCs w:val="21"/>
                      <w:lang w:eastAsia="zh-CN"/>
                    </w:rPr>
                    <w:t>。</w:t>
                  </w:r>
                </w:p>
              </w:tc>
              <w:tc>
                <w:tcPr>
                  <w:tcW w:w="322" w:type="pct"/>
                  <w:noWrap w:val="0"/>
                  <w:vAlign w:val="center"/>
                </w:tcPr>
                <w:p w14:paraId="51D849B6">
                  <w:pPr>
                    <w:pStyle w:val="100"/>
                    <w:rPr>
                      <w:rFonts w:eastAsia="仿宋_GB2312"/>
                      <w:sz w:val="21"/>
                      <w:szCs w:val="21"/>
                    </w:rPr>
                  </w:pPr>
                  <w:r>
                    <w:rPr>
                      <w:rFonts w:eastAsia="仿宋_GB2312"/>
                      <w:sz w:val="21"/>
                      <w:szCs w:val="21"/>
                    </w:rPr>
                    <w:t>是</w:t>
                  </w:r>
                </w:p>
              </w:tc>
            </w:tr>
            <w:tr w14:paraId="47C8FA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3" w:hRule="atLeast"/>
              </w:trPr>
              <w:tc>
                <w:tcPr>
                  <w:tcW w:w="277" w:type="pct"/>
                  <w:vMerge w:val="continue"/>
                  <w:noWrap w:val="0"/>
                  <w:vAlign w:val="center"/>
                </w:tcPr>
                <w:p w14:paraId="6B4D7FA5">
                  <w:pPr>
                    <w:pStyle w:val="100"/>
                    <w:rPr>
                      <w:rFonts w:eastAsia="仿宋_GB2312"/>
                      <w:sz w:val="21"/>
                      <w:szCs w:val="21"/>
                    </w:rPr>
                  </w:pPr>
                </w:p>
              </w:tc>
              <w:tc>
                <w:tcPr>
                  <w:tcW w:w="1646" w:type="pct"/>
                  <w:noWrap w:val="0"/>
                  <w:vAlign w:val="center"/>
                </w:tcPr>
                <w:p w14:paraId="6785E5AF">
                  <w:pPr>
                    <w:pStyle w:val="100"/>
                    <w:rPr>
                      <w:rFonts w:eastAsia="仿宋_GB2312"/>
                      <w:color w:val="auto"/>
                      <w:sz w:val="21"/>
                      <w:szCs w:val="21"/>
                    </w:rPr>
                  </w:pPr>
                  <w:r>
                    <w:rPr>
                      <w:rFonts w:eastAsia="仿宋_GB2312"/>
                      <w:color w:val="auto"/>
                      <w:sz w:val="21"/>
                      <w:szCs w:val="21"/>
                    </w:rPr>
                    <w:t>《市场准入负面清单（202</w:t>
                  </w:r>
                  <w:r>
                    <w:rPr>
                      <w:rFonts w:hint="eastAsia" w:eastAsia="仿宋_GB2312"/>
                      <w:color w:val="auto"/>
                      <w:sz w:val="21"/>
                      <w:szCs w:val="21"/>
                      <w:lang w:val="en-US" w:eastAsia="zh-CN"/>
                    </w:rPr>
                    <w:t>5</w:t>
                  </w:r>
                  <w:r>
                    <w:rPr>
                      <w:rFonts w:eastAsia="仿宋_GB2312"/>
                      <w:color w:val="auto"/>
                      <w:sz w:val="21"/>
                      <w:szCs w:val="21"/>
                    </w:rPr>
                    <w:t>年版）》</w:t>
                  </w:r>
                </w:p>
              </w:tc>
              <w:tc>
                <w:tcPr>
                  <w:tcW w:w="2752" w:type="pct"/>
                  <w:noWrap w:val="0"/>
                  <w:vAlign w:val="center"/>
                </w:tcPr>
                <w:p w14:paraId="0921C5C9">
                  <w:pPr>
                    <w:pStyle w:val="100"/>
                    <w:rPr>
                      <w:rFonts w:eastAsia="仿宋_GB2312"/>
                      <w:color w:val="auto"/>
                      <w:sz w:val="21"/>
                      <w:szCs w:val="21"/>
                    </w:rPr>
                  </w:pPr>
                  <w:r>
                    <w:rPr>
                      <w:rFonts w:eastAsia="仿宋_GB2312"/>
                      <w:color w:val="auto"/>
                      <w:sz w:val="21"/>
                      <w:szCs w:val="21"/>
                    </w:rPr>
                    <w:t>不属于《市场准入负面清单（202</w:t>
                  </w:r>
                  <w:r>
                    <w:rPr>
                      <w:rFonts w:hint="eastAsia" w:eastAsia="仿宋_GB2312"/>
                      <w:color w:val="auto"/>
                      <w:sz w:val="21"/>
                      <w:szCs w:val="21"/>
                      <w:lang w:val="en-US" w:eastAsia="zh-CN"/>
                    </w:rPr>
                    <w:t>5</w:t>
                  </w:r>
                  <w:r>
                    <w:rPr>
                      <w:rFonts w:eastAsia="仿宋_GB2312"/>
                      <w:color w:val="auto"/>
                      <w:sz w:val="21"/>
                      <w:szCs w:val="21"/>
                    </w:rPr>
                    <w:t>年版）》中的禁止准入类，为许可准入类项目。</w:t>
                  </w:r>
                </w:p>
              </w:tc>
              <w:tc>
                <w:tcPr>
                  <w:tcW w:w="322" w:type="pct"/>
                  <w:noWrap w:val="0"/>
                  <w:vAlign w:val="center"/>
                </w:tcPr>
                <w:p w14:paraId="2B1C89FA">
                  <w:pPr>
                    <w:pStyle w:val="100"/>
                    <w:rPr>
                      <w:rFonts w:eastAsia="仿宋_GB2312"/>
                      <w:color w:val="auto"/>
                      <w:sz w:val="21"/>
                      <w:szCs w:val="21"/>
                    </w:rPr>
                  </w:pPr>
                  <w:r>
                    <w:rPr>
                      <w:rFonts w:eastAsia="仿宋_GB2312"/>
                      <w:color w:val="auto"/>
                      <w:sz w:val="21"/>
                      <w:szCs w:val="21"/>
                    </w:rPr>
                    <w:t>是</w:t>
                  </w:r>
                </w:p>
              </w:tc>
            </w:tr>
          </w:tbl>
          <w:p w14:paraId="523E3941">
            <w:pPr>
              <w:widowControl/>
              <w:adjustRightInd w:val="0"/>
              <w:snapToGrid w:val="0"/>
              <w:spacing w:line="360" w:lineRule="auto"/>
              <w:ind w:firstLine="422" w:firstLineChars="200"/>
              <w:rPr>
                <w:rFonts w:eastAsia="仿宋_GB2312"/>
                <w:color w:val="000000"/>
                <w:kern w:val="0"/>
              </w:rPr>
            </w:pPr>
            <w:r>
              <w:rPr>
                <w:rFonts w:hint="eastAsia" w:ascii="Times New Roman" w:hAnsi="Times New Roman" w:eastAsia="仿宋_GB2312" w:cs="Times New Roman"/>
                <w:b/>
                <w:color w:val="000000"/>
                <w:kern w:val="0"/>
                <w:lang w:val="en-US" w:eastAsia="zh-CN"/>
              </w:rPr>
              <w:t>三、与地方管理法律法规的相符性</w:t>
            </w:r>
          </w:p>
          <w:p w14:paraId="3DEF47A7">
            <w:pPr>
              <w:adjustRightInd w:val="0"/>
              <w:snapToGrid w:val="0"/>
              <w:spacing w:line="360" w:lineRule="auto"/>
              <w:ind w:firstLine="411" w:firstLineChars="196"/>
              <w:rPr>
                <w:rFonts w:eastAsia="仿宋_GB2312"/>
                <w:color w:val="000000"/>
                <w:kern w:val="0"/>
              </w:rPr>
            </w:pPr>
            <w:r>
              <w:rPr>
                <w:rFonts w:eastAsia="仿宋_GB2312"/>
                <w:color w:val="000000"/>
                <w:kern w:val="0"/>
              </w:rPr>
              <w:t>根据《太湖流域管理条例》（国务院令604号）规定：禁止在太湖流域设置不符合国家产业政策和水环境综合治理要求的造纸、制革、酒精、淀粉、冶金、酿造、印染、电镀等排放水污染物的生产项目。本项目生产过程无含氮、磷的生产废水排放，符合国家和地方产业发展政策，不属于《太湖流域管理条例》禁止建设项目。</w:t>
            </w:r>
          </w:p>
          <w:p w14:paraId="76655D7E">
            <w:pPr>
              <w:adjustRightInd w:val="0"/>
              <w:snapToGrid w:val="0"/>
              <w:spacing w:line="360" w:lineRule="auto"/>
              <w:ind w:firstLine="411" w:firstLineChars="196"/>
              <w:rPr>
                <w:rFonts w:eastAsia="仿宋_GB2312"/>
                <w:color w:val="000000"/>
                <w:kern w:val="0"/>
              </w:rPr>
            </w:pPr>
            <w:r>
              <w:rPr>
                <w:rFonts w:eastAsia="仿宋_GB2312"/>
                <w:color w:val="000000"/>
                <w:kern w:val="0"/>
              </w:rPr>
              <w:t>同时，根据《江苏省太湖水污染防治条例》（2018年修订）第四十三条：太湖流域一、二、三级保护区禁止下列行为：①新建、改建、扩建化学制浆造纸、制革、酿造、染料、电镀以及其他排放含磷、氮等污染物的企业和项目，城镇污水集中处理等环境基础设施项目和第四十六条规定的情形除外；②销售、使用含磷洗涤用品；③向水体排放或者倾倒油类、酸液、碱液、剧毒废渣废液、含放射性废渣废液、含病原体污水、工业废渣以及其他废弃物；④在水体清洗装贮过油类或者有毒有害污染物的车辆、船舶和容器等；⑤使用农药等有毒物毒杀水生生物；⑥向水体直接排放人畜粪便、倾倒垃圾；⑦围湖造地；⑧违法开山采石，或者进行破坏林木、植被、水生生物的活动；⑨法律、法规禁止的其他行为。本项目生产过程无含氮、磷的生产废水排放，因此，本项目不属于《江苏省太湖水污染防治条例》中禁止行为。</w:t>
            </w:r>
          </w:p>
          <w:p w14:paraId="5D6618BB">
            <w:pPr>
              <w:adjustRightInd w:val="0"/>
              <w:snapToGrid w:val="0"/>
              <w:spacing w:line="360" w:lineRule="auto"/>
              <w:ind w:firstLine="413" w:firstLineChars="196"/>
              <w:rPr>
                <w:rFonts w:eastAsia="仿宋_GB2312"/>
                <w:b/>
                <w:bCs/>
                <w:color w:val="000000"/>
                <w:kern w:val="0"/>
              </w:rPr>
            </w:pPr>
            <w:r>
              <w:rPr>
                <w:rFonts w:hint="eastAsia" w:eastAsia="仿宋_GB2312"/>
                <w:b/>
                <w:bCs/>
                <w:color w:val="000000"/>
                <w:kern w:val="0"/>
                <w:lang w:val="en-US" w:eastAsia="zh-CN"/>
              </w:rPr>
              <w:t>四</w:t>
            </w:r>
            <w:r>
              <w:rPr>
                <w:rFonts w:eastAsia="仿宋_GB2312"/>
                <w:b/>
                <w:bCs/>
                <w:color w:val="000000"/>
                <w:kern w:val="0"/>
              </w:rPr>
              <w:t>、与《关于发布长江经济带发展负面清单指南（试行</w:t>
            </w:r>
            <w:r>
              <w:rPr>
                <w:rFonts w:hint="eastAsia" w:eastAsia="仿宋_GB2312"/>
                <w:b/>
                <w:bCs/>
                <w:color w:val="000000"/>
                <w:kern w:val="0"/>
              </w:rPr>
              <w:t>，2022年版</w:t>
            </w:r>
            <w:r>
              <w:rPr>
                <w:rFonts w:eastAsia="仿宋_GB2312"/>
                <w:b/>
                <w:bCs/>
                <w:color w:val="000000"/>
                <w:kern w:val="0"/>
              </w:rPr>
              <w:t>）的通知》相符性分析</w:t>
            </w:r>
          </w:p>
          <w:p w14:paraId="6057732B">
            <w:pPr>
              <w:adjustRightInd w:val="0"/>
              <w:snapToGrid w:val="0"/>
              <w:spacing w:line="360" w:lineRule="auto"/>
              <w:ind w:firstLine="411" w:firstLineChars="196"/>
              <w:rPr>
                <w:rFonts w:eastAsia="仿宋_GB2312"/>
                <w:color w:val="000000"/>
                <w:kern w:val="0"/>
              </w:rPr>
            </w:pPr>
            <w:r>
              <w:rPr>
                <w:rFonts w:eastAsia="仿宋_GB2312"/>
                <w:color w:val="000000"/>
                <w:kern w:val="0"/>
              </w:rPr>
              <w:t>本项目不属于《关于发布长江经济带发展负面清单指南（试行）的通知》中规定的禁止项目，符合相关要求。</w:t>
            </w:r>
          </w:p>
          <w:p w14:paraId="5FD9C8C0">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eastAsia="仿宋_GB2312"/>
                <w:b/>
                <w:bCs/>
                <w:color w:val="000000"/>
              </w:rPr>
            </w:pPr>
            <w:r>
              <w:rPr>
                <w:rFonts w:eastAsia="仿宋_GB2312"/>
                <w:b/>
                <w:bCs/>
                <w:color w:val="000000"/>
              </w:rPr>
              <w:t>表1-</w:t>
            </w:r>
            <w:r>
              <w:rPr>
                <w:rFonts w:hint="eastAsia" w:eastAsia="仿宋_GB2312"/>
                <w:b/>
                <w:bCs/>
                <w:color w:val="000000"/>
                <w:lang w:val="en-US" w:eastAsia="zh-CN"/>
              </w:rPr>
              <w:t xml:space="preserve">8  </w:t>
            </w:r>
            <w:r>
              <w:rPr>
                <w:rFonts w:eastAsia="仿宋_GB2312"/>
                <w:b/>
                <w:bCs/>
                <w:color w:val="000000"/>
              </w:rPr>
              <w:t>与《关于发布长江经济带发展负面清单指南（试行）的通知》相符性分析</w:t>
            </w:r>
          </w:p>
          <w:tbl>
            <w:tblPr>
              <w:tblStyle w:val="31"/>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3"/>
              <w:gridCol w:w="5838"/>
              <w:gridCol w:w="950"/>
            </w:tblGrid>
            <w:tr w14:paraId="7A0B5A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9" w:type="pct"/>
                  <w:vAlign w:val="center"/>
                </w:tcPr>
                <w:p w14:paraId="6622219D">
                  <w:pPr>
                    <w:adjustRightInd w:val="0"/>
                    <w:snapToGrid w:val="0"/>
                    <w:jc w:val="center"/>
                    <w:rPr>
                      <w:rFonts w:eastAsia="仿宋_GB2312"/>
                      <w:b/>
                      <w:bCs/>
                      <w:color w:val="000000"/>
                      <w:kern w:val="0"/>
                      <w:sz w:val="21"/>
                      <w:szCs w:val="21"/>
                    </w:rPr>
                  </w:pPr>
                  <w:r>
                    <w:rPr>
                      <w:rFonts w:eastAsia="仿宋_GB2312"/>
                      <w:b/>
                      <w:bCs/>
                      <w:color w:val="000000"/>
                      <w:kern w:val="0"/>
                      <w:sz w:val="21"/>
                      <w:szCs w:val="21"/>
                    </w:rPr>
                    <w:t>序号</w:t>
                  </w:r>
                </w:p>
              </w:tc>
              <w:tc>
                <w:tcPr>
                  <w:tcW w:w="3895" w:type="pct"/>
                  <w:vAlign w:val="center"/>
                </w:tcPr>
                <w:p w14:paraId="43C8BC3E">
                  <w:pPr>
                    <w:adjustRightInd w:val="0"/>
                    <w:snapToGrid w:val="0"/>
                    <w:jc w:val="center"/>
                    <w:rPr>
                      <w:rFonts w:eastAsia="仿宋_GB2312"/>
                      <w:b/>
                      <w:bCs/>
                      <w:color w:val="000000"/>
                      <w:kern w:val="0"/>
                      <w:sz w:val="21"/>
                      <w:szCs w:val="21"/>
                    </w:rPr>
                  </w:pPr>
                  <w:r>
                    <w:rPr>
                      <w:rFonts w:eastAsia="仿宋_GB2312"/>
                      <w:b/>
                      <w:bCs/>
                      <w:color w:val="000000"/>
                      <w:kern w:val="0"/>
                      <w:sz w:val="21"/>
                      <w:szCs w:val="21"/>
                    </w:rPr>
                    <w:t>条例</w:t>
                  </w:r>
                </w:p>
              </w:tc>
              <w:tc>
                <w:tcPr>
                  <w:tcW w:w="634" w:type="pct"/>
                  <w:vAlign w:val="center"/>
                </w:tcPr>
                <w:p w14:paraId="1192F307">
                  <w:pPr>
                    <w:adjustRightInd w:val="0"/>
                    <w:snapToGrid w:val="0"/>
                    <w:jc w:val="center"/>
                    <w:rPr>
                      <w:rFonts w:eastAsia="仿宋_GB2312"/>
                      <w:b/>
                      <w:bCs/>
                      <w:color w:val="000000"/>
                      <w:kern w:val="0"/>
                      <w:sz w:val="21"/>
                      <w:szCs w:val="21"/>
                    </w:rPr>
                  </w:pPr>
                  <w:r>
                    <w:rPr>
                      <w:rFonts w:eastAsia="仿宋_GB2312"/>
                      <w:b/>
                      <w:bCs/>
                      <w:color w:val="000000"/>
                      <w:kern w:val="0"/>
                      <w:sz w:val="21"/>
                      <w:szCs w:val="21"/>
                    </w:rPr>
                    <w:t>相符性分析</w:t>
                  </w:r>
                </w:p>
              </w:tc>
            </w:tr>
            <w:tr w14:paraId="7C2454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9" w:type="pct"/>
                  <w:vAlign w:val="center"/>
                </w:tcPr>
                <w:p w14:paraId="1CDF64DA">
                  <w:pPr>
                    <w:adjustRightInd w:val="0"/>
                    <w:snapToGrid w:val="0"/>
                    <w:jc w:val="center"/>
                    <w:rPr>
                      <w:rFonts w:eastAsia="仿宋_GB2312"/>
                      <w:color w:val="000000"/>
                      <w:kern w:val="0"/>
                      <w:sz w:val="21"/>
                      <w:szCs w:val="21"/>
                    </w:rPr>
                  </w:pPr>
                  <w:r>
                    <w:rPr>
                      <w:rFonts w:eastAsia="仿宋_GB2312"/>
                      <w:color w:val="000000"/>
                      <w:kern w:val="0"/>
                      <w:sz w:val="21"/>
                      <w:szCs w:val="21"/>
                    </w:rPr>
                    <w:t>1</w:t>
                  </w:r>
                </w:p>
              </w:tc>
              <w:tc>
                <w:tcPr>
                  <w:tcW w:w="3895" w:type="pct"/>
                  <w:vAlign w:val="center"/>
                </w:tcPr>
                <w:p w14:paraId="0A17B09C">
                  <w:pPr>
                    <w:adjustRightInd w:val="0"/>
                    <w:snapToGrid w:val="0"/>
                    <w:jc w:val="center"/>
                    <w:rPr>
                      <w:rFonts w:eastAsia="仿宋_GB2312"/>
                      <w:color w:val="000000"/>
                      <w:kern w:val="0"/>
                      <w:sz w:val="21"/>
                      <w:szCs w:val="21"/>
                    </w:rPr>
                  </w:pPr>
                  <w:r>
                    <w:rPr>
                      <w:rFonts w:eastAsia="仿宋_GB2312"/>
                      <w:color w:val="000000"/>
                      <w:kern w:val="0"/>
                      <w:sz w:val="21"/>
                      <w:szCs w:val="21"/>
                    </w:rPr>
                    <w:t>禁止建设不符合全国和省级港口布局规划以及港口总体</w:t>
                  </w:r>
                  <w:r>
                    <w:rPr>
                      <w:rFonts w:hint="eastAsia" w:eastAsia="仿宋_GB2312"/>
                      <w:color w:val="000000"/>
                      <w:kern w:val="0"/>
                      <w:sz w:val="21"/>
                      <w:szCs w:val="21"/>
                      <w:lang w:eastAsia="zh-CN"/>
                    </w:rPr>
                    <w:t>规</w:t>
                  </w:r>
                  <w:bookmarkStart w:id="551" w:name="_GoBack"/>
                  <w:bookmarkEnd w:id="551"/>
                  <w:r>
                    <w:rPr>
                      <w:rFonts w:eastAsia="仿宋_GB2312"/>
                      <w:color w:val="000000"/>
                      <w:kern w:val="0"/>
                      <w:sz w:val="21"/>
                      <w:szCs w:val="21"/>
                    </w:rPr>
                    <w:t>划的码头项目，禁止建设不符合《长江干线过江通道布局规划》的过长江通道项目</w:t>
                  </w:r>
                </w:p>
              </w:tc>
              <w:tc>
                <w:tcPr>
                  <w:tcW w:w="634" w:type="pct"/>
                  <w:vAlign w:val="center"/>
                </w:tcPr>
                <w:p w14:paraId="5E2B6E6E">
                  <w:pPr>
                    <w:adjustRightInd w:val="0"/>
                    <w:snapToGrid w:val="0"/>
                    <w:jc w:val="center"/>
                    <w:rPr>
                      <w:rFonts w:eastAsia="仿宋_GB2312"/>
                      <w:color w:val="000000"/>
                      <w:kern w:val="0"/>
                      <w:sz w:val="21"/>
                      <w:szCs w:val="21"/>
                    </w:rPr>
                  </w:pPr>
                  <w:r>
                    <w:rPr>
                      <w:rFonts w:eastAsia="仿宋_GB2312"/>
                      <w:color w:val="000000"/>
                      <w:kern w:val="0"/>
                      <w:sz w:val="21"/>
                      <w:szCs w:val="21"/>
                    </w:rPr>
                    <w:t>符合</w:t>
                  </w:r>
                </w:p>
              </w:tc>
            </w:tr>
            <w:tr w14:paraId="598E9D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9" w:type="pct"/>
                  <w:vAlign w:val="center"/>
                </w:tcPr>
                <w:p w14:paraId="201EB0D9">
                  <w:pPr>
                    <w:adjustRightInd w:val="0"/>
                    <w:snapToGrid w:val="0"/>
                    <w:jc w:val="center"/>
                    <w:rPr>
                      <w:rFonts w:eastAsia="仿宋_GB2312"/>
                      <w:color w:val="000000"/>
                      <w:kern w:val="0"/>
                      <w:sz w:val="21"/>
                      <w:szCs w:val="21"/>
                    </w:rPr>
                  </w:pPr>
                  <w:r>
                    <w:rPr>
                      <w:rFonts w:eastAsia="仿宋_GB2312"/>
                      <w:color w:val="000000"/>
                      <w:kern w:val="0"/>
                      <w:sz w:val="21"/>
                      <w:szCs w:val="21"/>
                    </w:rPr>
                    <w:t>2</w:t>
                  </w:r>
                </w:p>
              </w:tc>
              <w:tc>
                <w:tcPr>
                  <w:tcW w:w="3895" w:type="pct"/>
                  <w:vAlign w:val="center"/>
                </w:tcPr>
                <w:p w14:paraId="6B361F9B">
                  <w:pPr>
                    <w:adjustRightInd w:val="0"/>
                    <w:snapToGrid w:val="0"/>
                    <w:jc w:val="center"/>
                    <w:rPr>
                      <w:rFonts w:eastAsia="仿宋_GB2312"/>
                      <w:color w:val="000000"/>
                      <w:kern w:val="0"/>
                      <w:sz w:val="21"/>
                      <w:szCs w:val="21"/>
                    </w:rPr>
                  </w:pPr>
                  <w:r>
                    <w:rPr>
                      <w:rFonts w:eastAsia="仿宋_GB2312"/>
                      <w:color w:val="000000"/>
                      <w:kern w:val="0"/>
                      <w:sz w:val="21"/>
                      <w:szCs w:val="21"/>
                    </w:rPr>
                    <w:t>禁止在自然保护区核心区、缓冲区的岸线和河段范围内投资建设旅游和生产经营项目。禁止在风景名胜区核心景区的岸线和河段范围内投资建设与风景名胜资源保护无关的项目</w:t>
                  </w:r>
                </w:p>
              </w:tc>
              <w:tc>
                <w:tcPr>
                  <w:tcW w:w="634" w:type="pct"/>
                  <w:vAlign w:val="center"/>
                </w:tcPr>
                <w:p w14:paraId="0A698C57">
                  <w:pPr>
                    <w:adjustRightInd w:val="0"/>
                    <w:snapToGrid w:val="0"/>
                    <w:jc w:val="center"/>
                    <w:rPr>
                      <w:rFonts w:eastAsia="仿宋_GB2312"/>
                      <w:color w:val="000000"/>
                      <w:kern w:val="0"/>
                      <w:sz w:val="21"/>
                      <w:szCs w:val="21"/>
                    </w:rPr>
                  </w:pPr>
                  <w:r>
                    <w:rPr>
                      <w:rFonts w:eastAsia="仿宋_GB2312"/>
                      <w:color w:val="000000"/>
                      <w:kern w:val="0"/>
                      <w:sz w:val="21"/>
                      <w:szCs w:val="21"/>
                    </w:rPr>
                    <w:t>符合</w:t>
                  </w:r>
                </w:p>
              </w:tc>
            </w:tr>
            <w:tr w14:paraId="699CFD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9" w:type="pct"/>
                  <w:vAlign w:val="center"/>
                </w:tcPr>
                <w:p w14:paraId="111BE3F0">
                  <w:pPr>
                    <w:adjustRightInd w:val="0"/>
                    <w:snapToGrid w:val="0"/>
                    <w:jc w:val="center"/>
                    <w:rPr>
                      <w:rFonts w:eastAsia="仿宋_GB2312"/>
                      <w:color w:val="000000"/>
                      <w:kern w:val="0"/>
                      <w:sz w:val="21"/>
                      <w:szCs w:val="21"/>
                    </w:rPr>
                  </w:pPr>
                  <w:r>
                    <w:rPr>
                      <w:rFonts w:eastAsia="仿宋_GB2312"/>
                      <w:color w:val="000000"/>
                      <w:kern w:val="0"/>
                      <w:sz w:val="21"/>
                      <w:szCs w:val="21"/>
                    </w:rPr>
                    <w:t>3</w:t>
                  </w:r>
                </w:p>
              </w:tc>
              <w:tc>
                <w:tcPr>
                  <w:tcW w:w="3895" w:type="pct"/>
                  <w:vAlign w:val="center"/>
                </w:tcPr>
                <w:p w14:paraId="5AFE650F">
                  <w:pPr>
                    <w:adjustRightInd w:val="0"/>
                    <w:snapToGrid w:val="0"/>
                    <w:jc w:val="center"/>
                    <w:rPr>
                      <w:rFonts w:eastAsia="仿宋_GB2312"/>
                      <w:color w:val="000000"/>
                      <w:kern w:val="0"/>
                      <w:sz w:val="21"/>
                      <w:szCs w:val="21"/>
                    </w:rPr>
                  </w:pPr>
                  <w:r>
                    <w:rPr>
                      <w:rFonts w:eastAsia="仿宋_GB2312"/>
                      <w:color w:val="000000"/>
                      <w:kern w:val="0"/>
                      <w:sz w:val="21"/>
                      <w:szCs w:val="21"/>
                    </w:rPr>
                    <w:t>禁止在饮用水水源一级保护区的岸线和河段范围内新建、改建、扩建与供水设施和保护水源无关的项目，以及网箱养殖、</w:t>
                  </w:r>
                  <w:r>
                    <w:rPr>
                      <w:rFonts w:hint="eastAsia" w:eastAsia="仿宋_GB2312"/>
                      <w:color w:val="000000"/>
                      <w:kern w:val="0"/>
                      <w:sz w:val="21"/>
                      <w:szCs w:val="21"/>
                    </w:rPr>
                    <w:t>畜禽养殖、</w:t>
                  </w:r>
                  <w:r>
                    <w:rPr>
                      <w:rFonts w:eastAsia="仿宋_GB2312"/>
                      <w:color w:val="000000"/>
                      <w:kern w:val="0"/>
                      <w:sz w:val="21"/>
                      <w:szCs w:val="21"/>
                    </w:rPr>
                    <w:t>旅游等可能污染饮用水水体的投资建设项目。禁止在饮用水水源二级保护区的岸线和河段范围内新建、改建扩建排放污染物的投资建设项目</w:t>
                  </w:r>
                </w:p>
              </w:tc>
              <w:tc>
                <w:tcPr>
                  <w:tcW w:w="634" w:type="pct"/>
                  <w:vAlign w:val="center"/>
                </w:tcPr>
                <w:p w14:paraId="5C878F6D">
                  <w:pPr>
                    <w:adjustRightInd w:val="0"/>
                    <w:snapToGrid w:val="0"/>
                    <w:jc w:val="center"/>
                    <w:rPr>
                      <w:rFonts w:eastAsia="仿宋_GB2312"/>
                      <w:color w:val="000000"/>
                      <w:kern w:val="0"/>
                      <w:sz w:val="21"/>
                      <w:szCs w:val="21"/>
                    </w:rPr>
                  </w:pPr>
                  <w:r>
                    <w:rPr>
                      <w:rFonts w:eastAsia="仿宋_GB2312"/>
                      <w:color w:val="000000"/>
                      <w:kern w:val="0"/>
                      <w:sz w:val="21"/>
                      <w:szCs w:val="21"/>
                    </w:rPr>
                    <w:t>符合</w:t>
                  </w:r>
                </w:p>
              </w:tc>
            </w:tr>
            <w:tr w14:paraId="3598ED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9" w:type="pct"/>
                  <w:vAlign w:val="center"/>
                </w:tcPr>
                <w:p w14:paraId="316726A7">
                  <w:pPr>
                    <w:adjustRightInd w:val="0"/>
                    <w:snapToGrid w:val="0"/>
                    <w:jc w:val="center"/>
                    <w:rPr>
                      <w:rFonts w:eastAsia="仿宋_GB2312"/>
                      <w:color w:val="000000"/>
                      <w:kern w:val="0"/>
                      <w:sz w:val="21"/>
                      <w:szCs w:val="21"/>
                    </w:rPr>
                  </w:pPr>
                  <w:r>
                    <w:rPr>
                      <w:rFonts w:eastAsia="仿宋_GB2312"/>
                      <w:color w:val="000000"/>
                      <w:kern w:val="0"/>
                      <w:sz w:val="21"/>
                      <w:szCs w:val="21"/>
                    </w:rPr>
                    <w:t>4</w:t>
                  </w:r>
                </w:p>
              </w:tc>
              <w:tc>
                <w:tcPr>
                  <w:tcW w:w="3895" w:type="pct"/>
                  <w:vAlign w:val="center"/>
                </w:tcPr>
                <w:p w14:paraId="3EAABCE1">
                  <w:pPr>
                    <w:adjustRightInd w:val="0"/>
                    <w:snapToGrid w:val="0"/>
                    <w:jc w:val="center"/>
                    <w:rPr>
                      <w:rFonts w:eastAsia="仿宋_GB2312"/>
                      <w:color w:val="000000"/>
                      <w:kern w:val="0"/>
                      <w:sz w:val="21"/>
                      <w:szCs w:val="21"/>
                    </w:rPr>
                  </w:pPr>
                  <w:r>
                    <w:rPr>
                      <w:rFonts w:eastAsia="仿宋_GB2312"/>
                      <w:color w:val="000000"/>
                      <w:kern w:val="0"/>
                      <w:sz w:val="21"/>
                      <w:szCs w:val="21"/>
                    </w:rPr>
                    <w:t>禁止在水产种质资源保护区的岸线和河段范围内新建排污口，以及围湖造田、围海造地或围填海等投资建设项目。禁止在国家湿地公园的岸线和河段范围内挖沙、采矿以及任何不符合主体功能定位的投资建设项目</w:t>
                  </w:r>
                </w:p>
              </w:tc>
              <w:tc>
                <w:tcPr>
                  <w:tcW w:w="634" w:type="pct"/>
                  <w:vAlign w:val="center"/>
                </w:tcPr>
                <w:p w14:paraId="42998378">
                  <w:pPr>
                    <w:adjustRightInd w:val="0"/>
                    <w:snapToGrid w:val="0"/>
                    <w:jc w:val="center"/>
                    <w:rPr>
                      <w:rFonts w:eastAsia="仿宋_GB2312"/>
                      <w:color w:val="000000"/>
                      <w:kern w:val="0"/>
                      <w:sz w:val="21"/>
                      <w:szCs w:val="21"/>
                    </w:rPr>
                  </w:pPr>
                  <w:r>
                    <w:rPr>
                      <w:rFonts w:eastAsia="仿宋_GB2312"/>
                      <w:color w:val="000000"/>
                      <w:kern w:val="0"/>
                      <w:sz w:val="21"/>
                      <w:szCs w:val="21"/>
                    </w:rPr>
                    <w:t>符合</w:t>
                  </w:r>
                </w:p>
              </w:tc>
            </w:tr>
            <w:tr w14:paraId="3388EE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9" w:type="pct"/>
                  <w:vAlign w:val="center"/>
                </w:tcPr>
                <w:p w14:paraId="3D9D5CA8">
                  <w:pPr>
                    <w:adjustRightInd w:val="0"/>
                    <w:snapToGrid w:val="0"/>
                    <w:jc w:val="center"/>
                    <w:rPr>
                      <w:rFonts w:eastAsia="仿宋_GB2312"/>
                      <w:color w:val="000000"/>
                      <w:kern w:val="0"/>
                      <w:sz w:val="21"/>
                      <w:szCs w:val="21"/>
                    </w:rPr>
                  </w:pPr>
                  <w:r>
                    <w:rPr>
                      <w:rFonts w:eastAsia="仿宋_GB2312"/>
                      <w:color w:val="000000"/>
                      <w:kern w:val="0"/>
                      <w:sz w:val="21"/>
                      <w:szCs w:val="21"/>
                    </w:rPr>
                    <w:t>5</w:t>
                  </w:r>
                </w:p>
              </w:tc>
              <w:tc>
                <w:tcPr>
                  <w:tcW w:w="3895" w:type="pct"/>
                  <w:vAlign w:val="center"/>
                </w:tcPr>
                <w:p w14:paraId="0B7C8D41">
                  <w:pPr>
                    <w:adjustRightInd w:val="0"/>
                    <w:snapToGrid w:val="0"/>
                    <w:jc w:val="center"/>
                    <w:rPr>
                      <w:rFonts w:eastAsia="仿宋_GB2312"/>
                      <w:color w:val="000000"/>
                      <w:kern w:val="0"/>
                      <w:sz w:val="21"/>
                      <w:szCs w:val="21"/>
                    </w:rPr>
                  </w:pPr>
                  <w:r>
                    <w:rPr>
                      <w:rFonts w:hint="eastAsia" w:eastAsia="仿宋_GB2312"/>
                      <w:color w:val="000000"/>
                      <w:kern w:val="0"/>
                      <w:sz w:val="21"/>
                      <w:szCs w:val="21"/>
                    </w:rPr>
                    <w:t>禁止违法利用、占用长江流域河潮岸线。禁止在《长江岸线保护和开发利用总体规划》划定的岸线保护区和保留区内投资建设除事关公共安全及公众利益的防洪护岸、河道治理、供水、生态环境保护、航道整治、国家重要基础设施以外的项目。禁止在《全国重要江河潮泊水功能区划》划定的河段及湖泊保护区、保留区内投资建设不利于水资源及自然生态保护的项目。</w:t>
                  </w:r>
                </w:p>
              </w:tc>
              <w:tc>
                <w:tcPr>
                  <w:tcW w:w="634" w:type="pct"/>
                  <w:vAlign w:val="center"/>
                </w:tcPr>
                <w:p w14:paraId="3FBA1BCA">
                  <w:pPr>
                    <w:adjustRightInd w:val="0"/>
                    <w:snapToGrid w:val="0"/>
                    <w:jc w:val="center"/>
                    <w:rPr>
                      <w:rFonts w:eastAsia="仿宋_GB2312"/>
                      <w:color w:val="000000"/>
                      <w:kern w:val="0"/>
                      <w:sz w:val="21"/>
                      <w:szCs w:val="21"/>
                    </w:rPr>
                  </w:pPr>
                  <w:r>
                    <w:rPr>
                      <w:rFonts w:eastAsia="仿宋_GB2312"/>
                      <w:color w:val="000000"/>
                      <w:kern w:val="0"/>
                      <w:sz w:val="21"/>
                      <w:szCs w:val="21"/>
                    </w:rPr>
                    <w:t>符合</w:t>
                  </w:r>
                </w:p>
              </w:tc>
            </w:tr>
            <w:tr w14:paraId="1B5CA7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9" w:type="pct"/>
                  <w:vAlign w:val="center"/>
                </w:tcPr>
                <w:p w14:paraId="380564F3">
                  <w:pPr>
                    <w:adjustRightInd w:val="0"/>
                    <w:snapToGrid w:val="0"/>
                    <w:jc w:val="center"/>
                    <w:rPr>
                      <w:rFonts w:eastAsia="仿宋_GB2312"/>
                      <w:color w:val="000000"/>
                      <w:kern w:val="0"/>
                      <w:sz w:val="21"/>
                      <w:szCs w:val="21"/>
                    </w:rPr>
                  </w:pPr>
                  <w:r>
                    <w:rPr>
                      <w:rFonts w:eastAsia="仿宋_GB2312"/>
                      <w:color w:val="000000"/>
                      <w:kern w:val="0"/>
                      <w:sz w:val="21"/>
                      <w:szCs w:val="21"/>
                    </w:rPr>
                    <w:t>6</w:t>
                  </w:r>
                </w:p>
              </w:tc>
              <w:tc>
                <w:tcPr>
                  <w:tcW w:w="3895" w:type="pct"/>
                  <w:vAlign w:val="center"/>
                </w:tcPr>
                <w:p w14:paraId="3AA9D47E">
                  <w:pPr>
                    <w:adjustRightInd w:val="0"/>
                    <w:snapToGrid w:val="0"/>
                    <w:jc w:val="center"/>
                    <w:rPr>
                      <w:rFonts w:eastAsia="仿宋_GB2312"/>
                      <w:color w:val="000000"/>
                      <w:kern w:val="0"/>
                      <w:sz w:val="21"/>
                      <w:szCs w:val="21"/>
                    </w:rPr>
                  </w:pPr>
                  <w:r>
                    <w:rPr>
                      <w:rFonts w:eastAsia="仿宋_GB2312"/>
                      <w:color w:val="000000"/>
                      <w:kern w:val="0"/>
                      <w:sz w:val="21"/>
                      <w:szCs w:val="21"/>
                    </w:rPr>
                    <w:t>禁止未经许可在长江干支流及潮泊新设、改设或扩大排污口</w:t>
                  </w:r>
                  <w:r>
                    <w:rPr>
                      <w:rFonts w:hint="eastAsia" w:eastAsia="仿宋_GB2312"/>
                      <w:color w:val="000000"/>
                      <w:kern w:val="0"/>
                      <w:sz w:val="21"/>
                      <w:szCs w:val="21"/>
                    </w:rPr>
                    <w:t>。</w:t>
                  </w:r>
                </w:p>
              </w:tc>
              <w:tc>
                <w:tcPr>
                  <w:tcW w:w="634" w:type="pct"/>
                  <w:vAlign w:val="center"/>
                </w:tcPr>
                <w:p w14:paraId="0B048815">
                  <w:pPr>
                    <w:adjustRightInd w:val="0"/>
                    <w:snapToGrid w:val="0"/>
                    <w:jc w:val="center"/>
                    <w:rPr>
                      <w:rFonts w:eastAsia="仿宋_GB2312"/>
                      <w:color w:val="000000"/>
                      <w:kern w:val="0"/>
                      <w:sz w:val="21"/>
                      <w:szCs w:val="21"/>
                    </w:rPr>
                  </w:pPr>
                  <w:r>
                    <w:rPr>
                      <w:rFonts w:eastAsia="仿宋_GB2312"/>
                      <w:color w:val="000000"/>
                      <w:kern w:val="0"/>
                      <w:sz w:val="21"/>
                      <w:szCs w:val="21"/>
                    </w:rPr>
                    <w:t>符合</w:t>
                  </w:r>
                </w:p>
              </w:tc>
            </w:tr>
            <w:tr w14:paraId="22396C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9" w:type="pct"/>
                  <w:vAlign w:val="center"/>
                </w:tcPr>
                <w:p w14:paraId="2AE1260A">
                  <w:pPr>
                    <w:adjustRightInd w:val="0"/>
                    <w:snapToGrid w:val="0"/>
                    <w:jc w:val="center"/>
                    <w:rPr>
                      <w:rFonts w:eastAsia="仿宋_GB2312"/>
                      <w:color w:val="000000"/>
                      <w:kern w:val="0"/>
                      <w:sz w:val="21"/>
                      <w:szCs w:val="21"/>
                    </w:rPr>
                  </w:pPr>
                  <w:r>
                    <w:rPr>
                      <w:rFonts w:eastAsia="仿宋_GB2312"/>
                      <w:color w:val="000000"/>
                      <w:kern w:val="0"/>
                      <w:sz w:val="21"/>
                      <w:szCs w:val="21"/>
                    </w:rPr>
                    <w:t>7</w:t>
                  </w:r>
                </w:p>
              </w:tc>
              <w:tc>
                <w:tcPr>
                  <w:tcW w:w="3895" w:type="pct"/>
                  <w:vAlign w:val="center"/>
                </w:tcPr>
                <w:p w14:paraId="4C19447F">
                  <w:pPr>
                    <w:adjustRightInd w:val="0"/>
                    <w:snapToGrid w:val="0"/>
                    <w:jc w:val="center"/>
                    <w:rPr>
                      <w:rFonts w:eastAsia="仿宋_GB2312"/>
                      <w:color w:val="000000"/>
                      <w:kern w:val="0"/>
                      <w:sz w:val="21"/>
                      <w:szCs w:val="21"/>
                    </w:rPr>
                  </w:pPr>
                  <w:r>
                    <w:rPr>
                      <w:rFonts w:eastAsia="仿宋_GB2312"/>
                      <w:color w:val="000000"/>
                      <w:kern w:val="0"/>
                      <w:sz w:val="21"/>
                      <w:szCs w:val="21"/>
                    </w:rPr>
                    <w:t>禁止在“一江一口两潮七河”和332个水生生物保护区开展生产性捕捞</w:t>
                  </w:r>
                  <w:r>
                    <w:rPr>
                      <w:rFonts w:hint="eastAsia" w:eastAsia="仿宋_GB2312"/>
                      <w:color w:val="000000"/>
                      <w:kern w:val="0"/>
                      <w:sz w:val="21"/>
                      <w:szCs w:val="21"/>
                    </w:rPr>
                    <w:t>。</w:t>
                  </w:r>
                </w:p>
              </w:tc>
              <w:tc>
                <w:tcPr>
                  <w:tcW w:w="634" w:type="pct"/>
                  <w:vAlign w:val="center"/>
                </w:tcPr>
                <w:p w14:paraId="3475881D">
                  <w:pPr>
                    <w:adjustRightInd w:val="0"/>
                    <w:snapToGrid w:val="0"/>
                    <w:jc w:val="center"/>
                    <w:rPr>
                      <w:rFonts w:eastAsia="仿宋_GB2312"/>
                      <w:color w:val="000000"/>
                      <w:kern w:val="0"/>
                      <w:sz w:val="21"/>
                      <w:szCs w:val="21"/>
                    </w:rPr>
                  </w:pPr>
                  <w:r>
                    <w:rPr>
                      <w:rFonts w:eastAsia="仿宋_GB2312"/>
                      <w:color w:val="000000"/>
                      <w:kern w:val="0"/>
                      <w:sz w:val="21"/>
                      <w:szCs w:val="21"/>
                    </w:rPr>
                    <w:t>符合</w:t>
                  </w:r>
                </w:p>
              </w:tc>
            </w:tr>
            <w:tr w14:paraId="0511C8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9" w:type="pct"/>
                  <w:vAlign w:val="center"/>
                </w:tcPr>
                <w:p w14:paraId="4AC7D252">
                  <w:pPr>
                    <w:adjustRightInd w:val="0"/>
                    <w:snapToGrid w:val="0"/>
                    <w:jc w:val="center"/>
                    <w:rPr>
                      <w:rFonts w:eastAsia="仿宋_GB2312"/>
                      <w:color w:val="000000"/>
                      <w:kern w:val="0"/>
                      <w:sz w:val="21"/>
                      <w:szCs w:val="21"/>
                    </w:rPr>
                  </w:pPr>
                  <w:r>
                    <w:rPr>
                      <w:rFonts w:eastAsia="仿宋_GB2312"/>
                      <w:color w:val="000000"/>
                      <w:kern w:val="0"/>
                      <w:sz w:val="21"/>
                      <w:szCs w:val="21"/>
                    </w:rPr>
                    <w:t>8</w:t>
                  </w:r>
                </w:p>
              </w:tc>
              <w:tc>
                <w:tcPr>
                  <w:tcW w:w="3895" w:type="pct"/>
                  <w:vAlign w:val="center"/>
                </w:tcPr>
                <w:p w14:paraId="1C216D22">
                  <w:pPr>
                    <w:adjustRightInd w:val="0"/>
                    <w:snapToGrid w:val="0"/>
                    <w:jc w:val="center"/>
                    <w:rPr>
                      <w:rFonts w:eastAsia="仿宋_GB2312"/>
                      <w:color w:val="000000"/>
                      <w:kern w:val="0"/>
                      <w:sz w:val="21"/>
                      <w:szCs w:val="21"/>
                    </w:rPr>
                  </w:pPr>
                  <w:r>
                    <w:rPr>
                      <w:rFonts w:eastAsia="仿宋_GB2312"/>
                      <w:color w:val="000000"/>
                      <w:kern w:val="0"/>
                      <w:sz w:val="21"/>
                      <w:szCs w:val="21"/>
                    </w:rPr>
                    <w:t>禁止在长江干支流</w:t>
                  </w:r>
                  <w:r>
                    <w:rPr>
                      <w:rFonts w:hint="eastAsia" w:eastAsia="仿宋_GB2312"/>
                      <w:color w:val="000000"/>
                      <w:kern w:val="0"/>
                      <w:sz w:val="21"/>
                      <w:szCs w:val="21"/>
                    </w:rPr>
                    <w:t>、</w:t>
                  </w:r>
                  <w:r>
                    <w:rPr>
                      <w:rFonts w:eastAsia="仿宋_GB2312"/>
                      <w:color w:val="000000"/>
                      <w:kern w:val="0"/>
                      <w:sz w:val="21"/>
                      <w:szCs w:val="21"/>
                    </w:rPr>
                    <w:t>重要潮泊岸线公里范围内新建、扩建化工园区和化工项目</w:t>
                  </w:r>
                  <w:r>
                    <w:rPr>
                      <w:rFonts w:hint="eastAsia" w:eastAsia="仿宋_GB2312"/>
                      <w:color w:val="000000"/>
                      <w:kern w:val="0"/>
                      <w:sz w:val="21"/>
                      <w:szCs w:val="21"/>
                    </w:rPr>
                    <w:t>。</w:t>
                  </w:r>
                  <w:r>
                    <w:rPr>
                      <w:rFonts w:eastAsia="仿宋_GB2312"/>
                      <w:color w:val="000000"/>
                      <w:kern w:val="0"/>
                      <w:sz w:val="21"/>
                      <w:szCs w:val="21"/>
                    </w:rPr>
                    <w:t>禁止在长江干流岸线三公里范围内和重要支流岸线一公里范围内新建、改建、扩建尾矿库、冶炼渣库和磷石膏库，以提升安全、生态环境保护水早为目约的改建除</w:t>
                  </w:r>
                  <w:r>
                    <w:rPr>
                      <w:rFonts w:hint="eastAsia" w:eastAsia="仿宋_GB2312"/>
                      <w:color w:val="000000"/>
                      <w:kern w:val="0"/>
                      <w:sz w:val="21"/>
                      <w:szCs w:val="21"/>
                    </w:rPr>
                    <w:t>外。</w:t>
                  </w:r>
                </w:p>
              </w:tc>
              <w:tc>
                <w:tcPr>
                  <w:tcW w:w="634" w:type="pct"/>
                  <w:vAlign w:val="center"/>
                </w:tcPr>
                <w:p w14:paraId="216ECB3B">
                  <w:pPr>
                    <w:adjustRightInd w:val="0"/>
                    <w:snapToGrid w:val="0"/>
                    <w:jc w:val="center"/>
                    <w:rPr>
                      <w:rFonts w:eastAsia="仿宋_GB2312"/>
                      <w:color w:val="000000"/>
                      <w:kern w:val="0"/>
                      <w:sz w:val="21"/>
                      <w:szCs w:val="21"/>
                    </w:rPr>
                  </w:pPr>
                  <w:r>
                    <w:rPr>
                      <w:rFonts w:eastAsia="仿宋_GB2312"/>
                      <w:color w:val="000000"/>
                      <w:kern w:val="0"/>
                      <w:sz w:val="21"/>
                      <w:szCs w:val="21"/>
                    </w:rPr>
                    <w:t>符合</w:t>
                  </w:r>
                </w:p>
              </w:tc>
            </w:tr>
            <w:tr w14:paraId="4E7B8F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9" w:type="pct"/>
                  <w:vAlign w:val="center"/>
                </w:tcPr>
                <w:p w14:paraId="00A7E5C3">
                  <w:pPr>
                    <w:adjustRightInd w:val="0"/>
                    <w:snapToGrid w:val="0"/>
                    <w:jc w:val="center"/>
                    <w:rPr>
                      <w:rFonts w:eastAsia="仿宋_GB2312"/>
                      <w:color w:val="000000"/>
                      <w:kern w:val="0"/>
                      <w:sz w:val="21"/>
                      <w:szCs w:val="21"/>
                    </w:rPr>
                  </w:pPr>
                  <w:r>
                    <w:rPr>
                      <w:rFonts w:eastAsia="仿宋_GB2312"/>
                      <w:color w:val="000000"/>
                      <w:kern w:val="0"/>
                      <w:sz w:val="21"/>
                      <w:szCs w:val="21"/>
                    </w:rPr>
                    <w:t>9</w:t>
                  </w:r>
                </w:p>
              </w:tc>
              <w:tc>
                <w:tcPr>
                  <w:tcW w:w="3895" w:type="pct"/>
                  <w:vAlign w:val="center"/>
                </w:tcPr>
                <w:p w14:paraId="0E8344BF">
                  <w:pPr>
                    <w:adjustRightInd w:val="0"/>
                    <w:snapToGrid w:val="0"/>
                    <w:jc w:val="center"/>
                    <w:rPr>
                      <w:rFonts w:eastAsia="仿宋_GB2312"/>
                      <w:color w:val="000000"/>
                      <w:kern w:val="0"/>
                      <w:sz w:val="21"/>
                      <w:szCs w:val="21"/>
                    </w:rPr>
                  </w:pPr>
                  <w:r>
                    <w:rPr>
                      <w:rFonts w:eastAsia="仿宋_GB2312"/>
                      <w:color w:val="000000"/>
                      <w:kern w:val="0"/>
                      <w:sz w:val="21"/>
                      <w:szCs w:val="21"/>
                    </w:rPr>
                    <w:t>禁止在合规圈区外新建、扩建钢铁、石化、化工、焦化、廷材、有色、制浆造纸等高污染项目。</w:t>
                  </w:r>
                </w:p>
              </w:tc>
              <w:tc>
                <w:tcPr>
                  <w:tcW w:w="634" w:type="pct"/>
                  <w:vAlign w:val="center"/>
                </w:tcPr>
                <w:p w14:paraId="27ABABA9">
                  <w:pPr>
                    <w:adjustRightInd w:val="0"/>
                    <w:snapToGrid w:val="0"/>
                    <w:jc w:val="center"/>
                    <w:rPr>
                      <w:rFonts w:eastAsia="仿宋_GB2312"/>
                      <w:color w:val="000000"/>
                      <w:kern w:val="0"/>
                      <w:sz w:val="21"/>
                      <w:szCs w:val="21"/>
                    </w:rPr>
                  </w:pPr>
                  <w:r>
                    <w:rPr>
                      <w:rFonts w:eastAsia="仿宋_GB2312"/>
                      <w:color w:val="000000"/>
                      <w:kern w:val="0"/>
                      <w:sz w:val="21"/>
                      <w:szCs w:val="21"/>
                    </w:rPr>
                    <w:t>符合</w:t>
                  </w:r>
                </w:p>
              </w:tc>
            </w:tr>
            <w:tr w14:paraId="3257DD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9" w:type="pct"/>
                  <w:vAlign w:val="center"/>
                </w:tcPr>
                <w:p w14:paraId="0D96DC0A">
                  <w:pPr>
                    <w:adjustRightInd w:val="0"/>
                    <w:snapToGrid w:val="0"/>
                    <w:jc w:val="center"/>
                    <w:rPr>
                      <w:rFonts w:eastAsia="仿宋_GB2312"/>
                      <w:color w:val="000000"/>
                      <w:kern w:val="0"/>
                      <w:sz w:val="21"/>
                      <w:szCs w:val="21"/>
                    </w:rPr>
                  </w:pPr>
                  <w:r>
                    <w:rPr>
                      <w:rFonts w:eastAsia="仿宋_GB2312"/>
                      <w:color w:val="000000"/>
                      <w:kern w:val="0"/>
                      <w:sz w:val="21"/>
                      <w:szCs w:val="21"/>
                    </w:rPr>
                    <w:t>10</w:t>
                  </w:r>
                </w:p>
              </w:tc>
              <w:tc>
                <w:tcPr>
                  <w:tcW w:w="3895" w:type="pct"/>
                  <w:vAlign w:val="center"/>
                </w:tcPr>
                <w:p w14:paraId="1ABE6A7A">
                  <w:pPr>
                    <w:adjustRightInd w:val="0"/>
                    <w:snapToGrid w:val="0"/>
                    <w:jc w:val="center"/>
                    <w:rPr>
                      <w:rFonts w:eastAsia="仿宋_GB2312"/>
                      <w:color w:val="000000"/>
                      <w:kern w:val="0"/>
                      <w:sz w:val="21"/>
                      <w:szCs w:val="21"/>
                    </w:rPr>
                  </w:pPr>
                  <w:r>
                    <w:rPr>
                      <w:rFonts w:eastAsia="仿宋_GB2312"/>
                      <w:color w:val="000000"/>
                      <w:kern w:val="0"/>
                      <w:sz w:val="21"/>
                      <w:szCs w:val="21"/>
                    </w:rPr>
                    <w:t>禁止新建、扩建不符合国家石化、现代煤化工等产业布局规划的项目</w:t>
                  </w:r>
                  <w:r>
                    <w:rPr>
                      <w:rFonts w:hint="eastAsia" w:eastAsia="仿宋_GB2312"/>
                      <w:color w:val="000000"/>
                      <w:kern w:val="0"/>
                      <w:sz w:val="21"/>
                      <w:szCs w:val="21"/>
                    </w:rPr>
                    <w:t>。</w:t>
                  </w:r>
                </w:p>
              </w:tc>
              <w:tc>
                <w:tcPr>
                  <w:tcW w:w="634" w:type="pct"/>
                  <w:vAlign w:val="center"/>
                </w:tcPr>
                <w:p w14:paraId="1AEF797C">
                  <w:pPr>
                    <w:adjustRightInd w:val="0"/>
                    <w:snapToGrid w:val="0"/>
                    <w:jc w:val="center"/>
                    <w:rPr>
                      <w:rFonts w:eastAsia="仿宋_GB2312"/>
                      <w:color w:val="000000"/>
                      <w:kern w:val="0"/>
                      <w:sz w:val="21"/>
                      <w:szCs w:val="21"/>
                    </w:rPr>
                  </w:pPr>
                  <w:r>
                    <w:rPr>
                      <w:rFonts w:eastAsia="仿宋_GB2312"/>
                      <w:color w:val="000000"/>
                      <w:kern w:val="0"/>
                      <w:sz w:val="21"/>
                      <w:szCs w:val="21"/>
                    </w:rPr>
                    <w:t>符合</w:t>
                  </w:r>
                </w:p>
              </w:tc>
            </w:tr>
            <w:tr w14:paraId="0E16F8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9" w:type="pct"/>
                  <w:vAlign w:val="center"/>
                </w:tcPr>
                <w:p w14:paraId="4441CBCB">
                  <w:pPr>
                    <w:adjustRightInd w:val="0"/>
                    <w:snapToGrid w:val="0"/>
                    <w:jc w:val="center"/>
                    <w:rPr>
                      <w:rFonts w:eastAsia="仿宋_GB2312"/>
                      <w:color w:val="000000"/>
                      <w:kern w:val="0"/>
                      <w:sz w:val="21"/>
                      <w:szCs w:val="21"/>
                    </w:rPr>
                  </w:pPr>
                  <w:r>
                    <w:rPr>
                      <w:rFonts w:hint="eastAsia" w:eastAsia="仿宋_GB2312"/>
                      <w:color w:val="000000"/>
                      <w:kern w:val="0"/>
                      <w:sz w:val="21"/>
                      <w:szCs w:val="21"/>
                    </w:rPr>
                    <w:t>11</w:t>
                  </w:r>
                </w:p>
              </w:tc>
              <w:tc>
                <w:tcPr>
                  <w:tcW w:w="3895" w:type="pct"/>
                  <w:vAlign w:val="center"/>
                </w:tcPr>
                <w:p w14:paraId="7DBEA0E2">
                  <w:pPr>
                    <w:adjustRightInd w:val="0"/>
                    <w:snapToGrid w:val="0"/>
                    <w:jc w:val="center"/>
                    <w:rPr>
                      <w:rFonts w:eastAsia="仿宋_GB2312"/>
                      <w:color w:val="000000"/>
                      <w:kern w:val="0"/>
                      <w:sz w:val="21"/>
                      <w:szCs w:val="21"/>
                    </w:rPr>
                  </w:pPr>
                  <w:r>
                    <w:rPr>
                      <w:rFonts w:eastAsia="仿宋_GB2312"/>
                      <w:color w:val="000000"/>
                      <w:kern w:val="0"/>
                      <w:sz w:val="21"/>
                      <w:szCs w:val="21"/>
                    </w:rPr>
                    <w:t>禁止新建、扩建法律法规和相关政策明令禁止的落后产能项目。禁止新建、扩建不符合国家产能置换要求的严重过剩产能行业的项目禁止新建、扩建不符合要求的高耗能高排放项目</w:t>
                  </w:r>
                  <w:r>
                    <w:rPr>
                      <w:rFonts w:hint="eastAsia" w:eastAsia="仿宋_GB2312"/>
                      <w:color w:val="000000"/>
                      <w:kern w:val="0"/>
                      <w:sz w:val="21"/>
                      <w:szCs w:val="21"/>
                    </w:rPr>
                    <w:t>。</w:t>
                  </w:r>
                </w:p>
              </w:tc>
              <w:tc>
                <w:tcPr>
                  <w:tcW w:w="634" w:type="pct"/>
                  <w:vAlign w:val="center"/>
                </w:tcPr>
                <w:p w14:paraId="02BEBBF8">
                  <w:pPr>
                    <w:adjustRightInd w:val="0"/>
                    <w:snapToGrid w:val="0"/>
                    <w:jc w:val="center"/>
                    <w:rPr>
                      <w:rFonts w:eastAsia="仿宋_GB2312"/>
                      <w:color w:val="000000"/>
                      <w:kern w:val="0"/>
                      <w:sz w:val="21"/>
                      <w:szCs w:val="21"/>
                    </w:rPr>
                  </w:pPr>
                  <w:r>
                    <w:rPr>
                      <w:rFonts w:eastAsia="仿宋_GB2312"/>
                      <w:color w:val="000000"/>
                      <w:kern w:val="0"/>
                      <w:sz w:val="21"/>
                      <w:szCs w:val="21"/>
                    </w:rPr>
                    <w:t>符合</w:t>
                  </w:r>
                </w:p>
              </w:tc>
            </w:tr>
            <w:tr w14:paraId="3B3395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9" w:type="pct"/>
                  <w:vAlign w:val="center"/>
                </w:tcPr>
                <w:p w14:paraId="773A76AA">
                  <w:pPr>
                    <w:adjustRightInd w:val="0"/>
                    <w:snapToGrid w:val="0"/>
                    <w:jc w:val="center"/>
                    <w:rPr>
                      <w:rFonts w:eastAsia="仿宋_GB2312"/>
                      <w:color w:val="000000"/>
                      <w:kern w:val="0"/>
                      <w:sz w:val="21"/>
                      <w:szCs w:val="21"/>
                    </w:rPr>
                  </w:pPr>
                  <w:r>
                    <w:rPr>
                      <w:rFonts w:hint="eastAsia" w:eastAsia="仿宋_GB2312"/>
                      <w:color w:val="000000"/>
                      <w:kern w:val="0"/>
                      <w:sz w:val="21"/>
                      <w:szCs w:val="21"/>
                    </w:rPr>
                    <w:t>12</w:t>
                  </w:r>
                </w:p>
              </w:tc>
              <w:tc>
                <w:tcPr>
                  <w:tcW w:w="3895" w:type="pct"/>
                  <w:vAlign w:val="center"/>
                </w:tcPr>
                <w:p w14:paraId="2A9913BC">
                  <w:pPr>
                    <w:adjustRightInd w:val="0"/>
                    <w:snapToGrid w:val="0"/>
                    <w:jc w:val="center"/>
                    <w:rPr>
                      <w:rFonts w:eastAsia="仿宋_GB2312"/>
                      <w:color w:val="000000"/>
                      <w:kern w:val="0"/>
                      <w:sz w:val="21"/>
                      <w:szCs w:val="21"/>
                    </w:rPr>
                  </w:pPr>
                  <w:r>
                    <w:rPr>
                      <w:rFonts w:eastAsia="仿宋_GB2312"/>
                      <w:color w:val="000000"/>
                      <w:kern w:val="0"/>
                      <w:sz w:val="21"/>
                      <w:szCs w:val="21"/>
                    </w:rPr>
                    <w:t>法律法规及相关政策文件有更加严格规定的从其规定</w:t>
                  </w:r>
                  <w:r>
                    <w:rPr>
                      <w:rFonts w:hint="eastAsia" w:eastAsia="仿宋_GB2312"/>
                      <w:color w:val="000000"/>
                      <w:kern w:val="0"/>
                      <w:sz w:val="21"/>
                      <w:szCs w:val="21"/>
                    </w:rPr>
                    <w:t>。</w:t>
                  </w:r>
                </w:p>
              </w:tc>
              <w:tc>
                <w:tcPr>
                  <w:tcW w:w="634" w:type="pct"/>
                  <w:vAlign w:val="center"/>
                </w:tcPr>
                <w:p w14:paraId="1DF08284">
                  <w:pPr>
                    <w:adjustRightInd w:val="0"/>
                    <w:snapToGrid w:val="0"/>
                    <w:jc w:val="center"/>
                    <w:rPr>
                      <w:rFonts w:eastAsia="仿宋_GB2312"/>
                      <w:color w:val="000000"/>
                      <w:kern w:val="0"/>
                      <w:sz w:val="21"/>
                      <w:szCs w:val="21"/>
                    </w:rPr>
                  </w:pPr>
                  <w:r>
                    <w:rPr>
                      <w:rFonts w:eastAsia="仿宋_GB2312"/>
                      <w:color w:val="000000"/>
                      <w:kern w:val="0"/>
                      <w:sz w:val="21"/>
                      <w:szCs w:val="21"/>
                    </w:rPr>
                    <w:t>符合</w:t>
                  </w:r>
                </w:p>
              </w:tc>
            </w:tr>
          </w:tbl>
          <w:p w14:paraId="2D60D0AA">
            <w:pPr>
              <w:adjustRightInd w:val="0"/>
              <w:snapToGrid w:val="0"/>
              <w:spacing w:line="360" w:lineRule="auto"/>
              <w:ind w:firstLine="422" w:firstLineChars="200"/>
              <w:rPr>
                <w:rFonts w:eastAsia="仿宋_GB2312"/>
                <w:b/>
                <w:bCs/>
                <w:color w:val="000000"/>
                <w:kern w:val="0"/>
              </w:rPr>
            </w:pPr>
            <w:r>
              <w:rPr>
                <w:rFonts w:hint="eastAsia" w:eastAsia="仿宋_GB2312"/>
                <w:b/>
                <w:bCs/>
                <w:color w:val="000000"/>
                <w:kern w:val="0"/>
                <w:lang w:val="en-US" w:eastAsia="zh-CN"/>
              </w:rPr>
              <w:t>五</w:t>
            </w:r>
            <w:r>
              <w:rPr>
                <w:rFonts w:eastAsia="仿宋_GB2312"/>
                <w:b/>
                <w:bCs/>
                <w:color w:val="000000"/>
                <w:kern w:val="0"/>
              </w:rPr>
              <w:t>、与苏环办[2020]101号文、苏环办[2019]406号文相符性分析</w:t>
            </w:r>
          </w:p>
          <w:p w14:paraId="494E488B">
            <w:pPr>
              <w:adjustRightInd w:val="0"/>
              <w:snapToGrid w:val="0"/>
              <w:spacing w:beforeLines="50" w:line="360" w:lineRule="auto"/>
              <w:jc w:val="center"/>
              <w:rPr>
                <w:rFonts w:eastAsia="仿宋_GB2312"/>
                <w:b/>
                <w:bCs/>
                <w:color w:val="000000"/>
                <w:kern w:val="0"/>
              </w:rPr>
            </w:pPr>
            <w:r>
              <w:rPr>
                <w:rFonts w:eastAsia="仿宋_GB2312"/>
                <w:b/>
                <w:bCs/>
                <w:color w:val="000000"/>
                <w:kern w:val="0"/>
              </w:rPr>
              <w:t>表1-</w:t>
            </w:r>
            <w:r>
              <w:rPr>
                <w:rFonts w:hint="eastAsia" w:eastAsia="仿宋_GB2312"/>
                <w:b/>
                <w:bCs/>
                <w:color w:val="000000"/>
                <w:kern w:val="0"/>
                <w:lang w:val="en-US" w:eastAsia="zh-CN"/>
              </w:rPr>
              <w:t xml:space="preserve">9  </w:t>
            </w:r>
            <w:r>
              <w:rPr>
                <w:rFonts w:eastAsia="仿宋_GB2312"/>
                <w:b/>
                <w:bCs/>
                <w:color w:val="000000"/>
                <w:kern w:val="0"/>
              </w:rPr>
              <w:t>与苏环办[2020]101号文、苏环办[2019]406号文相符性分析</w:t>
            </w:r>
          </w:p>
          <w:tbl>
            <w:tblPr>
              <w:tblStyle w:val="31"/>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021"/>
              <w:gridCol w:w="615"/>
              <w:gridCol w:w="2115"/>
              <w:gridCol w:w="2872"/>
              <w:gridCol w:w="869"/>
            </w:tblGrid>
            <w:tr w14:paraId="5729370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681" w:type="pct"/>
                  <w:vAlign w:val="center"/>
                </w:tcPr>
                <w:p w14:paraId="6FF6C0E1">
                  <w:pPr>
                    <w:pStyle w:val="69"/>
                    <w:adjustRightInd w:val="0"/>
                    <w:snapToGrid w:val="0"/>
                    <w:jc w:val="center"/>
                    <w:rPr>
                      <w:rFonts w:ascii="Times New Roman" w:hAnsi="Times New Roman" w:eastAsia="仿宋_GB2312" w:cs="Times New Roman"/>
                      <w:b/>
                      <w:snapToGrid w:val="0"/>
                      <w:color w:val="000000"/>
                      <w:sz w:val="21"/>
                      <w:szCs w:val="21"/>
                    </w:rPr>
                  </w:pPr>
                  <w:r>
                    <w:rPr>
                      <w:rFonts w:ascii="Times New Roman" w:hAnsi="Times New Roman" w:eastAsia="仿宋_GB2312" w:cs="Times New Roman"/>
                      <w:b/>
                      <w:snapToGrid w:val="0"/>
                      <w:color w:val="000000"/>
                      <w:sz w:val="21"/>
                      <w:szCs w:val="21"/>
                    </w:rPr>
                    <w:t>名称</w:t>
                  </w:r>
                </w:p>
              </w:tc>
              <w:tc>
                <w:tcPr>
                  <w:tcW w:w="1821" w:type="pct"/>
                  <w:gridSpan w:val="2"/>
                  <w:vAlign w:val="center"/>
                </w:tcPr>
                <w:p w14:paraId="4546ED62">
                  <w:pPr>
                    <w:pStyle w:val="69"/>
                    <w:adjustRightInd w:val="0"/>
                    <w:snapToGrid w:val="0"/>
                    <w:jc w:val="center"/>
                    <w:rPr>
                      <w:rFonts w:ascii="Times New Roman" w:hAnsi="Times New Roman" w:eastAsia="仿宋_GB2312" w:cs="Times New Roman"/>
                      <w:b/>
                      <w:snapToGrid w:val="0"/>
                      <w:color w:val="000000"/>
                      <w:sz w:val="21"/>
                      <w:szCs w:val="21"/>
                    </w:rPr>
                  </w:pPr>
                  <w:r>
                    <w:rPr>
                      <w:rFonts w:ascii="Times New Roman" w:hAnsi="Times New Roman" w:eastAsia="仿宋_GB2312" w:cs="Times New Roman"/>
                      <w:b/>
                      <w:snapToGrid w:val="0"/>
                      <w:color w:val="000000"/>
                      <w:sz w:val="21"/>
                      <w:szCs w:val="21"/>
                    </w:rPr>
                    <w:t>具体内容</w:t>
                  </w:r>
                </w:p>
              </w:tc>
              <w:tc>
                <w:tcPr>
                  <w:tcW w:w="1916" w:type="pct"/>
                  <w:vAlign w:val="center"/>
                </w:tcPr>
                <w:p w14:paraId="259C1395">
                  <w:pPr>
                    <w:pStyle w:val="69"/>
                    <w:adjustRightInd w:val="0"/>
                    <w:snapToGrid w:val="0"/>
                    <w:jc w:val="center"/>
                    <w:rPr>
                      <w:rFonts w:ascii="Times New Roman" w:hAnsi="Times New Roman" w:eastAsia="仿宋_GB2312" w:cs="Times New Roman"/>
                      <w:b/>
                      <w:snapToGrid w:val="0"/>
                      <w:color w:val="000000"/>
                      <w:sz w:val="21"/>
                      <w:szCs w:val="21"/>
                    </w:rPr>
                  </w:pPr>
                  <w:r>
                    <w:rPr>
                      <w:rFonts w:ascii="Times New Roman" w:hAnsi="Times New Roman" w:eastAsia="仿宋_GB2312" w:cs="Times New Roman"/>
                      <w:b/>
                      <w:snapToGrid w:val="0"/>
                      <w:color w:val="000000"/>
                      <w:sz w:val="21"/>
                      <w:szCs w:val="21"/>
                    </w:rPr>
                    <w:t>本项目情况</w:t>
                  </w:r>
                </w:p>
              </w:tc>
              <w:tc>
                <w:tcPr>
                  <w:tcW w:w="580" w:type="pct"/>
                  <w:vAlign w:val="center"/>
                </w:tcPr>
                <w:p w14:paraId="5A5B96AD">
                  <w:pPr>
                    <w:pStyle w:val="69"/>
                    <w:adjustRightInd w:val="0"/>
                    <w:snapToGrid w:val="0"/>
                    <w:jc w:val="center"/>
                    <w:rPr>
                      <w:rFonts w:ascii="Times New Roman" w:hAnsi="Times New Roman" w:eastAsia="仿宋_GB2312" w:cs="Times New Roman"/>
                      <w:b/>
                      <w:snapToGrid w:val="0"/>
                      <w:color w:val="000000"/>
                      <w:sz w:val="21"/>
                      <w:szCs w:val="21"/>
                    </w:rPr>
                  </w:pPr>
                  <w:r>
                    <w:rPr>
                      <w:rFonts w:ascii="Times New Roman" w:hAnsi="Times New Roman" w:eastAsia="仿宋_GB2312" w:cs="Times New Roman"/>
                      <w:b/>
                      <w:snapToGrid w:val="0"/>
                      <w:color w:val="000000"/>
                      <w:sz w:val="21"/>
                      <w:szCs w:val="21"/>
                    </w:rPr>
                    <w:t>相符性</w:t>
                  </w:r>
                </w:p>
              </w:tc>
            </w:tr>
            <w:tr w14:paraId="4F5D03C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681" w:type="pct"/>
                  <w:vMerge w:val="restart"/>
                  <w:vAlign w:val="center"/>
                </w:tcPr>
                <w:p w14:paraId="4BF1DDEB">
                  <w:pPr>
                    <w:pStyle w:val="69"/>
                    <w:adjustRightInd w:val="0"/>
                    <w:snapToGrid w:val="0"/>
                    <w:jc w:val="center"/>
                    <w:rPr>
                      <w:rFonts w:ascii="Times New Roman" w:hAnsi="Times New Roman" w:eastAsia="仿宋_GB2312" w:cs="Times New Roman"/>
                      <w:snapToGrid w:val="0"/>
                      <w:color w:val="000000"/>
                      <w:sz w:val="21"/>
                      <w:szCs w:val="21"/>
                    </w:rPr>
                  </w:pPr>
                  <w:r>
                    <w:rPr>
                      <w:rFonts w:ascii="Times New Roman" w:hAnsi="Times New Roman" w:eastAsia="仿宋_GB2312" w:cs="Times New Roman"/>
                      <w:snapToGrid w:val="0"/>
                      <w:color w:val="000000"/>
                      <w:sz w:val="21"/>
                      <w:szCs w:val="21"/>
                    </w:rPr>
                    <w:t>《关于做好生态环境和应急管理部门联动工作的意见》（苏环办[2020]101号）《省生态环境厅关于推进生态环境保护与安全生产联动工作的通知》（苏环办[2019]406号）</w:t>
                  </w:r>
                </w:p>
              </w:tc>
              <w:tc>
                <w:tcPr>
                  <w:tcW w:w="410" w:type="pct"/>
                  <w:vAlign w:val="center"/>
                </w:tcPr>
                <w:p w14:paraId="4CB8AF9A">
                  <w:pPr>
                    <w:pStyle w:val="69"/>
                    <w:adjustRightInd w:val="0"/>
                    <w:snapToGrid w:val="0"/>
                    <w:jc w:val="center"/>
                    <w:rPr>
                      <w:rFonts w:ascii="Times New Roman" w:hAnsi="Times New Roman" w:eastAsia="仿宋_GB2312" w:cs="Times New Roman"/>
                      <w:snapToGrid w:val="0"/>
                      <w:color w:val="000000"/>
                      <w:sz w:val="21"/>
                      <w:szCs w:val="21"/>
                    </w:rPr>
                  </w:pPr>
                  <w:r>
                    <w:rPr>
                      <w:rFonts w:ascii="Times New Roman" w:hAnsi="Times New Roman" w:eastAsia="仿宋_GB2312" w:cs="Times New Roman"/>
                      <w:snapToGrid w:val="0"/>
                      <w:color w:val="000000"/>
                      <w:sz w:val="21"/>
                      <w:szCs w:val="21"/>
                    </w:rPr>
                    <w:t>建立危险废物监管联动机制</w:t>
                  </w:r>
                </w:p>
              </w:tc>
              <w:tc>
                <w:tcPr>
                  <w:tcW w:w="1410" w:type="pct"/>
                  <w:vAlign w:val="center"/>
                </w:tcPr>
                <w:p w14:paraId="477B1D7B">
                  <w:pPr>
                    <w:pStyle w:val="69"/>
                    <w:adjustRightInd w:val="0"/>
                    <w:snapToGrid w:val="0"/>
                    <w:jc w:val="center"/>
                    <w:rPr>
                      <w:rFonts w:ascii="Times New Roman" w:hAnsi="Times New Roman" w:eastAsia="仿宋_GB2312" w:cs="Times New Roman"/>
                      <w:snapToGrid w:val="0"/>
                      <w:color w:val="000000"/>
                      <w:sz w:val="21"/>
                      <w:szCs w:val="21"/>
                    </w:rPr>
                  </w:pPr>
                  <w:r>
                    <w:rPr>
                      <w:rFonts w:ascii="Times New Roman" w:hAnsi="Times New Roman" w:eastAsia="仿宋_GB2312" w:cs="Times New Roman"/>
                      <w:snapToGrid w:val="0"/>
                      <w:color w:val="000000"/>
                      <w:sz w:val="21"/>
                      <w:szCs w:val="21"/>
                    </w:rPr>
                    <w:t>企业法定代表人和实际控制人是企业废弃危险化学品等危险废物安全环保全过程管理的第一责任人。企业要切实履行好从危险废物产生、收集、贮存、运输、利用、处置等环节各项环保和安全职责；要制定危险废物管理计划并报属地生态环境部门备案。申请备案时，对废弃危险化学品、物理危险性尚不确定、根据相关文件无法认定达到稳定化要求的，要提供有资质单位出具的化学品物理危险性报告及其他证明材料，认定达到稳定化要求。</w:t>
                  </w:r>
                </w:p>
              </w:tc>
              <w:tc>
                <w:tcPr>
                  <w:tcW w:w="1916" w:type="pct"/>
                  <w:vAlign w:val="center"/>
                </w:tcPr>
                <w:p w14:paraId="0D9709ED">
                  <w:pPr>
                    <w:pStyle w:val="69"/>
                    <w:adjustRightInd w:val="0"/>
                    <w:snapToGrid w:val="0"/>
                    <w:jc w:val="center"/>
                    <w:rPr>
                      <w:rFonts w:ascii="Times New Roman" w:hAnsi="Times New Roman" w:eastAsia="仿宋_GB2312" w:cs="Times New Roman"/>
                      <w:snapToGrid w:val="0"/>
                      <w:color w:val="000000"/>
                      <w:sz w:val="21"/>
                      <w:szCs w:val="21"/>
                    </w:rPr>
                  </w:pPr>
                  <w:r>
                    <w:rPr>
                      <w:rFonts w:ascii="Times New Roman" w:hAnsi="Times New Roman" w:eastAsia="仿宋_GB2312" w:cs="Times New Roman"/>
                      <w:snapToGrid w:val="0"/>
                      <w:color w:val="000000"/>
                      <w:sz w:val="21"/>
                      <w:szCs w:val="21"/>
                    </w:rPr>
                    <w:t>本项目企业法定代表人为危险废物安全环保全过程管理的第一责任人，产生的危废均按照《</w:t>
                  </w:r>
                  <w:r>
                    <w:rPr>
                      <w:rFonts w:ascii="Times New Roman" w:hAnsi="Times New Roman" w:eastAsia="仿宋_GB2312" w:cs="Times New Roman"/>
                      <w:snapToGrid w:val="0"/>
                      <w:color w:val="auto"/>
                      <w:sz w:val="21"/>
                      <w:szCs w:val="21"/>
                    </w:rPr>
                    <w:t>危险废物贮存污染控制标准》（GB18597-20</w:t>
                  </w:r>
                  <w:r>
                    <w:rPr>
                      <w:rFonts w:hint="eastAsia" w:ascii="Times New Roman" w:hAnsi="Times New Roman" w:eastAsia="仿宋_GB2312" w:cs="Times New Roman"/>
                      <w:snapToGrid w:val="0"/>
                      <w:color w:val="auto"/>
                      <w:sz w:val="21"/>
                      <w:szCs w:val="21"/>
                      <w:lang w:val="en-US" w:eastAsia="zh-CN"/>
                    </w:rPr>
                    <w:t>23</w:t>
                  </w:r>
                  <w:r>
                    <w:rPr>
                      <w:rFonts w:ascii="Times New Roman" w:hAnsi="Times New Roman" w:eastAsia="仿宋_GB2312" w:cs="Times New Roman"/>
                      <w:snapToGrid w:val="0"/>
                      <w:color w:val="auto"/>
                      <w:sz w:val="21"/>
                      <w:szCs w:val="21"/>
                    </w:rPr>
                    <w:t>）</w:t>
                  </w:r>
                  <w:r>
                    <w:rPr>
                      <w:rFonts w:ascii="Times New Roman" w:hAnsi="Times New Roman" w:eastAsia="仿宋_GB2312" w:cs="Times New Roman"/>
                      <w:snapToGrid w:val="0"/>
                      <w:color w:val="000000"/>
                      <w:sz w:val="21"/>
                      <w:szCs w:val="21"/>
                    </w:rPr>
                    <w:t>及其修改单的要求设置，将危险废品暂存于危废暂存库内，项目危险废物均委托有资质单位处置。企业制定了危险废物管理计划，并报属地生态环境部门备案。</w:t>
                  </w:r>
                </w:p>
              </w:tc>
              <w:tc>
                <w:tcPr>
                  <w:tcW w:w="580" w:type="pct"/>
                  <w:vAlign w:val="center"/>
                </w:tcPr>
                <w:p w14:paraId="59A517EB">
                  <w:pPr>
                    <w:pStyle w:val="69"/>
                    <w:adjustRightInd w:val="0"/>
                    <w:snapToGrid w:val="0"/>
                    <w:jc w:val="center"/>
                    <w:rPr>
                      <w:rFonts w:ascii="Times New Roman" w:hAnsi="Times New Roman" w:eastAsia="仿宋_GB2312" w:cs="Times New Roman"/>
                      <w:snapToGrid w:val="0"/>
                      <w:color w:val="000000"/>
                      <w:sz w:val="21"/>
                      <w:szCs w:val="21"/>
                    </w:rPr>
                  </w:pPr>
                  <w:r>
                    <w:rPr>
                      <w:rFonts w:ascii="Times New Roman" w:hAnsi="Times New Roman" w:eastAsia="仿宋_GB2312" w:cs="Times New Roman"/>
                      <w:snapToGrid w:val="0"/>
                      <w:color w:val="000000"/>
                      <w:sz w:val="21"/>
                      <w:szCs w:val="21"/>
                    </w:rPr>
                    <w:t>相符</w:t>
                  </w:r>
                </w:p>
              </w:tc>
            </w:tr>
            <w:tr w14:paraId="7ACBD13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681" w:type="pct"/>
                  <w:vMerge w:val="continue"/>
                  <w:vAlign w:val="center"/>
                </w:tcPr>
                <w:p w14:paraId="1022F606">
                  <w:pPr>
                    <w:adjustRightInd w:val="0"/>
                    <w:snapToGrid w:val="0"/>
                    <w:jc w:val="center"/>
                    <w:rPr>
                      <w:rFonts w:eastAsia="仿宋_GB2312"/>
                      <w:snapToGrid w:val="0"/>
                      <w:color w:val="000000"/>
                      <w:sz w:val="21"/>
                      <w:szCs w:val="21"/>
                    </w:rPr>
                  </w:pPr>
                </w:p>
              </w:tc>
              <w:tc>
                <w:tcPr>
                  <w:tcW w:w="410" w:type="pct"/>
                  <w:vAlign w:val="center"/>
                </w:tcPr>
                <w:p w14:paraId="6FB0D1EB">
                  <w:pPr>
                    <w:pStyle w:val="69"/>
                    <w:adjustRightInd w:val="0"/>
                    <w:snapToGrid w:val="0"/>
                    <w:jc w:val="center"/>
                    <w:rPr>
                      <w:rFonts w:ascii="Times New Roman" w:hAnsi="Times New Roman" w:eastAsia="仿宋_GB2312" w:cs="Times New Roman"/>
                      <w:snapToGrid w:val="0"/>
                      <w:color w:val="000000"/>
                      <w:sz w:val="21"/>
                      <w:szCs w:val="21"/>
                    </w:rPr>
                  </w:pPr>
                  <w:r>
                    <w:rPr>
                      <w:rFonts w:ascii="Times New Roman" w:hAnsi="Times New Roman" w:eastAsia="仿宋_GB2312" w:cs="Times New Roman"/>
                      <w:snapToGrid w:val="0"/>
                      <w:color w:val="000000"/>
                      <w:sz w:val="21"/>
                      <w:szCs w:val="21"/>
                    </w:rPr>
                    <w:t>建立环境治理设施监管联动机制</w:t>
                  </w:r>
                </w:p>
              </w:tc>
              <w:tc>
                <w:tcPr>
                  <w:tcW w:w="1410" w:type="pct"/>
                  <w:vAlign w:val="center"/>
                </w:tcPr>
                <w:p w14:paraId="04600064">
                  <w:pPr>
                    <w:pStyle w:val="69"/>
                    <w:adjustRightInd w:val="0"/>
                    <w:snapToGrid w:val="0"/>
                    <w:jc w:val="center"/>
                    <w:rPr>
                      <w:rFonts w:ascii="Times New Roman" w:hAnsi="Times New Roman" w:eastAsia="仿宋_GB2312" w:cs="Times New Roman"/>
                      <w:snapToGrid w:val="0"/>
                      <w:color w:val="000000"/>
                      <w:sz w:val="21"/>
                      <w:szCs w:val="21"/>
                    </w:rPr>
                  </w:pPr>
                  <w:r>
                    <w:rPr>
                      <w:rFonts w:ascii="Times New Roman" w:hAnsi="Times New Roman" w:eastAsia="仿宋_GB2312" w:cs="Times New Roman"/>
                      <w:snapToGrid w:val="0"/>
                      <w:color w:val="000000"/>
                      <w:sz w:val="21"/>
                      <w:szCs w:val="21"/>
                    </w:rPr>
                    <w:t>企业是各类环境治理设施建设、运行、维护、拆除的责任主体。企业要对脱硫脱硝、煤改气、挥发性有机物回收、污水处理、粉尘治理、RTO焚烧炉等六类环境治理设施开展安全风险辨识管控，要健全内部污染防治设施稳定运行和管理责任制度，严格依据标准规范建设环境治理设施，确保环境治理设施安全、稳定、有效运行。</w:t>
                  </w:r>
                </w:p>
              </w:tc>
              <w:tc>
                <w:tcPr>
                  <w:tcW w:w="1916" w:type="pct"/>
                  <w:vAlign w:val="center"/>
                </w:tcPr>
                <w:p w14:paraId="1BD655CB">
                  <w:pPr>
                    <w:pStyle w:val="69"/>
                    <w:adjustRightInd w:val="0"/>
                    <w:snapToGrid w:val="0"/>
                    <w:jc w:val="center"/>
                    <w:rPr>
                      <w:rFonts w:ascii="Times New Roman" w:hAnsi="Times New Roman" w:eastAsia="仿宋_GB2312" w:cs="Times New Roman"/>
                      <w:snapToGrid w:val="0"/>
                      <w:color w:val="000000"/>
                      <w:sz w:val="21"/>
                      <w:szCs w:val="21"/>
                    </w:rPr>
                  </w:pPr>
                  <w:r>
                    <w:rPr>
                      <w:rFonts w:ascii="Times New Roman" w:hAnsi="Times New Roman" w:eastAsia="仿宋_GB2312" w:cs="Times New Roman"/>
                      <w:snapToGrid w:val="0"/>
                      <w:color w:val="000000"/>
                      <w:sz w:val="21"/>
                      <w:szCs w:val="21"/>
                    </w:rPr>
                    <w:t>本项目</w:t>
                  </w:r>
                  <w:r>
                    <w:rPr>
                      <w:rFonts w:hint="eastAsia" w:ascii="Times New Roman" w:hAnsi="Times New Roman" w:eastAsia="仿宋_GB2312" w:cs="Times New Roman"/>
                      <w:snapToGrid w:val="0"/>
                      <w:color w:val="000000"/>
                      <w:sz w:val="21"/>
                      <w:szCs w:val="21"/>
                    </w:rPr>
                    <w:t>不产生有组织废气，</w:t>
                  </w:r>
                  <w:r>
                    <w:rPr>
                      <w:rFonts w:ascii="Times New Roman" w:hAnsi="Times New Roman" w:eastAsia="仿宋_GB2312" w:cs="Times New Roman"/>
                      <w:snapToGrid w:val="0"/>
                      <w:color w:val="000000"/>
                      <w:sz w:val="21"/>
                      <w:szCs w:val="21"/>
                    </w:rPr>
                    <w:t>如果出现废水超标排放现象，应立即组织人员检查引起废水水质超标的原因和所在的位置，并立即解决废水超标问题。</w:t>
                  </w:r>
                </w:p>
                <w:p w14:paraId="7E866D34">
                  <w:pPr>
                    <w:pStyle w:val="69"/>
                    <w:adjustRightInd w:val="0"/>
                    <w:snapToGrid w:val="0"/>
                    <w:jc w:val="center"/>
                    <w:rPr>
                      <w:rFonts w:ascii="Times New Roman" w:hAnsi="Times New Roman" w:eastAsia="仿宋_GB2312" w:cs="Times New Roman"/>
                      <w:snapToGrid w:val="0"/>
                      <w:color w:val="000000"/>
                      <w:sz w:val="21"/>
                      <w:szCs w:val="21"/>
                    </w:rPr>
                  </w:pPr>
                  <w:r>
                    <w:rPr>
                      <w:rFonts w:ascii="Times New Roman" w:hAnsi="Times New Roman" w:eastAsia="仿宋_GB2312" w:cs="Times New Roman"/>
                      <w:snapToGrid w:val="0"/>
                      <w:color w:val="000000"/>
                      <w:sz w:val="21"/>
                      <w:szCs w:val="21"/>
                    </w:rPr>
                    <w:t>一旦风险事故发生并得到有效控制后，企业应及时对风险事故发生源进行修复和完善，以满足正常生产的要求，待项目所在地环境保护主管部门环境监测数据满足区域环境功能区划要求时，邻近区域并被解除事故警戒后，应急救援指挥中心可终止应急状态程序。</w:t>
                  </w:r>
                </w:p>
              </w:tc>
              <w:tc>
                <w:tcPr>
                  <w:tcW w:w="580" w:type="pct"/>
                  <w:vAlign w:val="center"/>
                </w:tcPr>
                <w:p w14:paraId="41B5A25C">
                  <w:pPr>
                    <w:pStyle w:val="69"/>
                    <w:adjustRightInd w:val="0"/>
                    <w:snapToGrid w:val="0"/>
                    <w:jc w:val="center"/>
                    <w:rPr>
                      <w:rFonts w:ascii="Times New Roman" w:hAnsi="Times New Roman" w:eastAsia="仿宋_GB2312" w:cs="Times New Roman"/>
                      <w:snapToGrid w:val="0"/>
                      <w:color w:val="000000"/>
                      <w:sz w:val="21"/>
                      <w:szCs w:val="21"/>
                    </w:rPr>
                  </w:pPr>
                  <w:r>
                    <w:rPr>
                      <w:rFonts w:ascii="Times New Roman" w:hAnsi="Times New Roman" w:eastAsia="仿宋_GB2312" w:cs="Times New Roman"/>
                      <w:snapToGrid w:val="0"/>
                      <w:color w:val="000000"/>
                      <w:sz w:val="21"/>
                      <w:szCs w:val="21"/>
                    </w:rPr>
                    <w:t>相符</w:t>
                  </w:r>
                </w:p>
              </w:tc>
            </w:tr>
          </w:tbl>
          <w:p w14:paraId="5C3B1BA6">
            <w:pPr>
              <w:adjustRightInd w:val="0"/>
              <w:snapToGrid w:val="0"/>
              <w:spacing w:line="360" w:lineRule="auto"/>
              <w:ind w:firstLine="420" w:firstLineChars="200"/>
              <w:rPr>
                <w:rFonts w:eastAsia="仿宋_GB2312"/>
                <w:color w:val="000000"/>
                <w:kern w:val="0"/>
              </w:rPr>
            </w:pPr>
            <w:r>
              <w:rPr>
                <w:rFonts w:eastAsia="仿宋_GB2312"/>
                <w:color w:val="000000"/>
                <w:kern w:val="0"/>
              </w:rPr>
              <w:t>企业按要求推进专业培训，提升生态环境保护、安全生产从业人员能力，并配合相关部门积极有效地开展生态环境保护和安全生产联动工作，符合文件要求。</w:t>
            </w:r>
          </w:p>
          <w:p w14:paraId="38FAAFD0">
            <w:pPr>
              <w:adjustRightInd w:val="0"/>
              <w:snapToGrid w:val="0"/>
              <w:spacing w:line="360" w:lineRule="auto"/>
              <w:ind w:firstLine="422" w:firstLineChars="200"/>
              <w:rPr>
                <w:rFonts w:eastAsia="仿宋_GB2312"/>
                <w:b/>
                <w:bCs/>
                <w:color w:val="000000"/>
              </w:rPr>
            </w:pPr>
            <w:r>
              <w:rPr>
                <w:rFonts w:hint="eastAsia" w:eastAsia="仿宋_GB2312"/>
                <w:b/>
                <w:bCs/>
                <w:color w:val="000000"/>
                <w:lang w:val="en-US" w:eastAsia="zh-CN"/>
              </w:rPr>
              <w:t>六</w:t>
            </w:r>
            <w:r>
              <w:rPr>
                <w:rFonts w:hint="eastAsia" w:eastAsia="仿宋_GB2312"/>
                <w:b/>
                <w:bCs/>
                <w:color w:val="000000"/>
              </w:rPr>
              <w:t>、与《省生态环境厅关于进一步做好建设项目环评审批工作的通知》（苏环办[2019]36号）相符性分析</w:t>
            </w:r>
          </w:p>
          <w:p w14:paraId="64AB80DA">
            <w:pPr>
              <w:adjustRightInd w:val="0"/>
              <w:snapToGrid w:val="0"/>
              <w:spacing w:line="360" w:lineRule="auto"/>
              <w:ind w:firstLine="420" w:firstLineChars="200"/>
              <w:rPr>
                <w:rFonts w:eastAsia="仿宋_GB2312"/>
                <w:color w:val="000000"/>
                <w:kern w:val="0"/>
              </w:rPr>
            </w:pPr>
            <w:r>
              <w:rPr>
                <w:rFonts w:hint="eastAsia" w:eastAsia="仿宋_GB2312"/>
                <w:color w:val="000000"/>
                <w:kern w:val="0"/>
              </w:rPr>
              <w:t>对照苏环办[2019]36号文中的环评审批要点，相符性分析见下表。</w:t>
            </w:r>
          </w:p>
          <w:p w14:paraId="374B498A">
            <w:pPr>
              <w:adjustRightInd w:val="0"/>
              <w:snapToGrid w:val="0"/>
              <w:spacing w:beforeLines="50" w:line="360" w:lineRule="auto"/>
              <w:jc w:val="center"/>
              <w:rPr>
                <w:rFonts w:eastAsia="仿宋_GB2312"/>
                <w:b/>
                <w:bCs/>
                <w:color w:val="000000"/>
                <w:kern w:val="0"/>
              </w:rPr>
            </w:pPr>
            <w:r>
              <w:rPr>
                <w:rFonts w:hint="eastAsia" w:eastAsia="仿宋_GB2312"/>
                <w:b/>
                <w:bCs/>
                <w:color w:val="000000"/>
                <w:kern w:val="0"/>
              </w:rPr>
              <w:t>表1-</w:t>
            </w:r>
            <w:r>
              <w:rPr>
                <w:rFonts w:hint="eastAsia" w:eastAsia="仿宋_GB2312"/>
                <w:b/>
                <w:bCs/>
                <w:color w:val="000000"/>
                <w:kern w:val="0"/>
                <w:lang w:val="en-US" w:eastAsia="zh-CN"/>
              </w:rPr>
              <w:t xml:space="preserve">10  </w:t>
            </w:r>
            <w:r>
              <w:rPr>
                <w:rFonts w:hint="eastAsia" w:eastAsia="仿宋_GB2312"/>
                <w:b/>
                <w:bCs/>
                <w:color w:val="000000"/>
                <w:kern w:val="0"/>
              </w:rPr>
              <w:t>与《省生态环境厅关于进一步做好建设项目环评审批工作的通知》（苏环办[2019]36号）相符性分析</w:t>
            </w:r>
          </w:p>
          <w:tbl>
            <w:tblPr>
              <w:tblStyle w:val="31"/>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3409"/>
              <w:gridCol w:w="3062"/>
              <w:gridCol w:w="1021"/>
            </w:tblGrid>
            <w:tr w14:paraId="6C774A8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275" w:type="pct"/>
                  <w:vAlign w:val="center"/>
                </w:tcPr>
                <w:p w14:paraId="3674446A">
                  <w:pPr>
                    <w:pStyle w:val="69"/>
                    <w:adjustRightInd w:val="0"/>
                    <w:snapToGrid w:val="0"/>
                    <w:ind w:left="42" w:leftChars="20" w:right="42" w:rightChars="20"/>
                    <w:jc w:val="center"/>
                    <w:rPr>
                      <w:rFonts w:ascii="Times New Roman" w:hAnsi="Times New Roman" w:eastAsia="仿宋_GB2312" w:cs="Times New Roman"/>
                      <w:b/>
                      <w:snapToGrid w:val="0"/>
                      <w:color w:val="000000"/>
                      <w:kern w:val="0"/>
                      <w:sz w:val="21"/>
                      <w:szCs w:val="21"/>
                    </w:rPr>
                  </w:pPr>
                  <w:r>
                    <w:rPr>
                      <w:rFonts w:ascii="Times New Roman" w:hAnsi="Times New Roman" w:eastAsia="仿宋_GB2312" w:cs="Times New Roman"/>
                      <w:b/>
                      <w:snapToGrid w:val="0"/>
                      <w:color w:val="000000"/>
                      <w:kern w:val="0"/>
                      <w:sz w:val="21"/>
                      <w:szCs w:val="21"/>
                    </w:rPr>
                    <w:t>具体内容</w:t>
                  </w:r>
                </w:p>
              </w:tc>
              <w:tc>
                <w:tcPr>
                  <w:tcW w:w="2043" w:type="pct"/>
                  <w:vAlign w:val="center"/>
                </w:tcPr>
                <w:p w14:paraId="04BD78C8">
                  <w:pPr>
                    <w:pStyle w:val="69"/>
                    <w:adjustRightInd w:val="0"/>
                    <w:snapToGrid w:val="0"/>
                    <w:ind w:left="42" w:leftChars="20" w:right="42" w:rightChars="20"/>
                    <w:jc w:val="center"/>
                    <w:rPr>
                      <w:rFonts w:ascii="Times New Roman" w:hAnsi="Times New Roman" w:eastAsia="仿宋_GB2312" w:cs="Times New Roman"/>
                      <w:b/>
                      <w:snapToGrid w:val="0"/>
                      <w:color w:val="000000"/>
                      <w:kern w:val="0"/>
                      <w:sz w:val="21"/>
                      <w:szCs w:val="21"/>
                    </w:rPr>
                  </w:pPr>
                  <w:r>
                    <w:rPr>
                      <w:rFonts w:ascii="Times New Roman" w:hAnsi="Times New Roman" w:eastAsia="仿宋_GB2312" w:cs="Times New Roman"/>
                      <w:b/>
                      <w:snapToGrid w:val="0"/>
                      <w:color w:val="000000"/>
                      <w:kern w:val="0"/>
                      <w:sz w:val="21"/>
                      <w:szCs w:val="21"/>
                    </w:rPr>
                    <w:t>本项目情况</w:t>
                  </w:r>
                </w:p>
              </w:tc>
              <w:tc>
                <w:tcPr>
                  <w:tcW w:w="681" w:type="pct"/>
                  <w:vAlign w:val="center"/>
                </w:tcPr>
                <w:p w14:paraId="18B79FBC">
                  <w:pPr>
                    <w:pStyle w:val="69"/>
                    <w:adjustRightInd w:val="0"/>
                    <w:snapToGrid w:val="0"/>
                    <w:ind w:left="42" w:leftChars="20" w:right="42" w:rightChars="20"/>
                    <w:jc w:val="center"/>
                    <w:rPr>
                      <w:rFonts w:ascii="Times New Roman" w:hAnsi="Times New Roman" w:eastAsia="仿宋_GB2312" w:cs="Times New Roman"/>
                      <w:b/>
                      <w:snapToGrid w:val="0"/>
                      <w:color w:val="000000"/>
                      <w:kern w:val="0"/>
                      <w:sz w:val="21"/>
                      <w:szCs w:val="21"/>
                    </w:rPr>
                  </w:pPr>
                  <w:r>
                    <w:rPr>
                      <w:rFonts w:ascii="Times New Roman" w:hAnsi="Times New Roman" w:eastAsia="仿宋_GB2312" w:cs="Times New Roman"/>
                      <w:b/>
                      <w:snapToGrid w:val="0"/>
                      <w:color w:val="000000"/>
                      <w:kern w:val="0"/>
                      <w:sz w:val="21"/>
                      <w:szCs w:val="21"/>
                    </w:rPr>
                    <w:t>相符性</w:t>
                  </w:r>
                </w:p>
              </w:tc>
            </w:tr>
            <w:tr w14:paraId="7925542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275" w:type="pct"/>
                  <w:vAlign w:val="center"/>
                </w:tcPr>
                <w:p w14:paraId="0E9F91DA">
                  <w:pPr>
                    <w:pStyle w:val="69"/>
                    <w:adjustRightInd w:val="0"/>
                    <w:snapToGrid w:val="0"/>
                    <w:ind w:left="42" w:leftChars="20" w:right="42" w:rightChars="20"/>
                    <w:jc w:val="center"/>
                    <w:rPr>
                      <w:rFonts w:ascii="仿宋_GB2312" w:hAnsi="Times New Roman" w:eastAsia="仿宋_GB2312" w:cs="Times New Roman"/>
                      <w:snapToGrid w:val="0"/>
                      <w:color w:val="000000"/>
                      <w:kern w:val="0"/>
                      <w:sz w:val="21"/>
                      <w:szCs w:val="21"/>
                    </w:rPr>
                  </w:pPr>
                  <w:r>
                    <w:rPr>
                      <w:rFonts w:hint="eastAsia" w:ascii="仿宋_GB2312" w:hAnsi="Times New Roman" w:eastAsia="仿宋_GB2312" w:cs="Times New Roman"/>
                      <w:snapToGrid w:val="0"/>
                      <w:color w:val="000000"/>
                      <w:kern w:val="0"/>
                      <w:sz w:val="21"/>
                      <w:szCs w:val="21"/>
                    </w:rPr>
                    <w:t>一、有下列情形之一的，不予批准：(1)建设项目类型及其选址、布局、规模等不符合环境保护法律法规和相关法定规划；(2)所在区域环境质量未达到国家或者地方环境质量标准，且建设项目拟</w:t>
                  </w:r>
                  <w:r>
                    <w:rPr>
                      <w:rFonts w:hint="eastAsia" w:ascii="仿宋_GB2312" w:hAnsi="微软雅黑" w:eastAsia="仿宋_GB2312" w:cs="微软雅黑"/>
                      <w:snapToGrid w:val="0"/>
                      <w:color w:val="000000"/>
                      <w:kern w:val="0"/>
                      <w:sz w:val="21"/>
                      <w:szCs w:val="21"/>
                    </w:rPr>
                    <w:t>采</w:t>
                  </w:r>
                  <w:r>
                    <w:rPr>
                      <w:rFonts w:hint="eastAsia" w:ascii="仿宋_GB2312" w:hAnsi="仿宋_GB2312" w:eastAsia="仿宋_GB2312" w:cs="仿宋_GB2312"/>
                      <w:snapToGrid w:val="0"/>
                      <w:color w:val="000000"/>
                      <w:kern w:val="0"/>
                      <w:sz w:val="21"/>
                      <w:szCs w:val="21"/>
                    </w:rPr>
                    <w:t>取的措施不能满足区域环境质量改善目标管理要求；</w:t>
                  </w:r>
                  <w:r>
                    <w:rPr>
                      <w:rFonts w:hint="eastAsia" w:ascii="仿宋_GB2312" w:hAnsi="Times New Roman" w:eastAsia="仿宋_GB2312" w:cs="Times New Roman"/>
                      <w:snapToGrid w:val="0"/>
                      <w:color w:val="000000"/>
                      <w:kern w:val="0"/>
                      <w:sz w:val="21"/>
                      <w:szCs w:val="21"/>
                    </w:rPr>
                    <w:t>(3)建设项目</w:t>
                  </w:r>
                  <w:r>
                    <w:rPr>
                      <w:rFonts w:hint="eastAsia" w:ascii="仿宋_GB2312" w:hAnsi="微软雅黑" w:eastAsia="仿宋_GB2312" w:cs="微软雅黑"/>
                      <w:snapToGrid w:val="0"/>
                      <w:color w:val="000000"/>
                      <w:kern w:val="0"/>
                      <w:sz w:val="21"/>
                      <w:szCs w:val="21"/>
                    </w:rPr>
                    <w:t>采</w:t>
                  </w:r>
                  <w:r>
                    <w:rPr>
                      <w:rFonts w:hint="eastAsia" w:ascii="仿宋_GB2312" w:hAnsi="仿宋_GB2312" w:eastAsia="仿宋_GB2312" w:cs="仿宋_GB2312"/>
                      <w:snapToGrid w:val="0"/>
                      <w:color w:val="000000"/>
                      <w:kern w:val="0"/>
                      <w:sz w:val="21"/>
                      <w:szCs w:val="21"/>
                    </w:rPr>
                    <w:t>取的污染防治措施无法确保污染物排放达到国家和地方排放标准，或者未</w:t>
                  </w:r>
                  <w:r>
                    <w:rPr>
                      <w:rFonts w:hint="eastAsia" w:ascii="仿宋_GB2312" w:hAnsi="微软雅黑" w:eastAsia="仿宋_GB2312" w:cs="微软雅黑"/>
                      <w:snapToGrid w:val="0"/>
                      <w:color w:val="000000"/>
                      <w:kern w:val="0"/>
                      <w:sz w:val="21"/>
                      <w:szCs w:val="21"/>
                    </w:rPr>
                    <w:t>采</w:t>
                  </w:r>
                  <w:r>
                    <w:rPr>
                      <w:rFonts w:hint="eastAsia" w:ascii="仿宋_GB2312" w:hAnsi="仿宋_GB2312" w:eastAsia="仿宋_GB2312" w:cs="仿宋_GB2312"/>
                      <w:snapToGrid w:val="0"/>
                      <w:color w:val="000000"/>
                      <w:kern w:val="0"/>
                      <w:sz w:val="21"/>
                      <w:szCs w:val="21"/>
                    </w:rPr>
                    <w:t>取必要措施预防和控制生态破坏；</w:t>
                  </w:r>
                  <w:r>
                    <w:rPr>
                      <w:rFonts w:hint="eastAsia" w:ascii="仿宋_GB2312" w:hAnsi="Times New Roman" w:eastAsia="仿宋_GB2312" w:cs="Times New Roman"/>
                      <w:snapToGrid w:val="0"/>
                      <w:color w:val="000000"/>
                      <w:kern w:val="0"/>
                      <w:sz w:val="21"/>
                      <w:szCs w:val="21"/>
                    </w:rPr>
                    <w:t>(4)改建、扩建和技术改造项目，未针对项目原有环境污染和生态破坏提出有效防止措施；(5)建设项目的环境影响报告书、环境影响报告表的基础资料数据明显不实，内容存在重大缺陷、遗漏，或者环境影响评价结论不明确、不合理。</w:t>
                  </w:r>
                </w:p>
              </w:tc>
              <w:tc>
                <w:tcPr>
                  <w:tcW w:w="2043" w:type="pct"/>
                  <w:vAlign w:val="center"/>
                </w:tcPr>
                <w:p w14:paraId="187ABD41">
                  <w:pPr>
                    <w:pStyle w:val="69"/>
                    <w:adjustRightInd w:val="0"/>
                    <w:snapToGrid w:val="0"/>
                    <w:ind w:left="42" w:leftChars="20" w:right="42" w:rightChars="20"/>
                    <w:jc w:val="center"/>
                    <w:rPr>
                      <w:rFonts w:ascii="Times New Roman" w:hAnsi="Times New Roman" w:eastAsia="仿宋_GB2312" w:cs="Times New Roman"/>
                      <w:snapToGrid w:val="0"/>
                      <w:color w:val="000000"/>
                      <w:kern w:val="0"/>
                      <w:sz w:val="21"/>
                      <w:szCs w:val="21"/>
                    </w:rPr>
                  </w:pPr>
                  <w:r>
                    <w:rPr>
                      <w:rFonts w:hint="eastAsia" w:ascii="Times New Roman" w:hAnsi="Times New Roman" w:eastAsia="仿宋_GB2312" w:cs="Times New Roman"/>
                      <w:snapToGrid w:val="0"/>
                      <w:color w:val="000000"/>
                      <w:kern w:val="0"/>
                      <w:sz w:val="21"/>
                      <w:szCs w:val="21"/>
                      <w:lang w:eastAsia="zh-CN"/>
                    </w:rPr>
                    <w:t>（</w:t>
                  </w:r>
                  <w:r>
                    <w:rPr>
                      <w:rFonts w:hint="eastAsia" w:ascii="Times New Roman" w:hAnsi="Times New Roman" w:eastAsia="仿宋_GB2312" w:cs="Times New Roman"/>
                      <w:snapToGrid w:val="0"/>
                      <w:color w:val="000000"/>
                      <w:kern w:val="0"/>
                      <w:sz w:val="21"/>
                      <w:szCs w:val="21"/>
                      <w:lang w:val="en-US" w:eastAsia="zh-CN"/>
                    </w:rPr>
                    <w:t>1</w:t>
                  </w:r>
                  <w:r>
                    <w:rPr>
                      <w:rFonts w:hint="eastAsia" w:ascii="Times New Roman" w:hAnsi="Times New Roman" w:eastAsia="仿宋_GB2312" w:cs="Times New Roman"/>
                      <w:snapToGrid w:val="0"/>
                      <w:color w:val="000000"/>
                      <w:kern w:val="0"/>
                      <w:sz w:val="21"/>
                      <w:szCs w:val="21"/>
                      <w:lang w:eastAsia="zh-CN"/>
                    </w:rPr>
                    <w:t>）</w:t>
                  </w:r>
                  <w:r>
                    <w:rPr>
                      <w:rFonts w:hint="eastAsia" w:ascii="Times New Roman" w:hAnsi="Times New Roman" w:eastAsia="仿宋_GB2312" w:cs="Times New Roman"/>
                      <w:snapToGrid w:val="0"/>
                      <w:color w:val="000000"/>
                      <w:kern w:val="0"/>
                      <w:sz w:val="21"/>
                      <w:szCs w:val="21"/>
                    </w:rPr>
                    <w:t>建设项目类型及其选址、布局、规模等符合环境保护法律法规和相关法定规划；</w:t>
                  </w:r>
                  <w:r>
                    <w:rPr>
                      <w:rFonts w:hint="eastAsia" w:ascii="Times New Roman" w:hAnsi="Times New Roman" w:eastAsia="仿宋_GB2312" w:cs="Times New Roman"/>
                      <w:snapToGrid w:val="0"/>
                      <w:color w:val="000000"/>
                      <w:kern w:val="0"/>
                      <w:sz w:val="21"/>
                      <w:szCs w:val="21"/>
                      <w:lang w:eastAsia="zh-CN"/>
                    </w:rPr>
                    <w:t>（</w:t>
                  </w:r>
                  <w:r>
                    <w:rPr>
                      <w:rFonts w:hint="eastAsia" w:ascii="Times New Roman" w:hAnsi="Times New Roman" w:eastAsia="仿宋_GB2312" w:cs="Times New Roman"/>
                      <w:snapToGrid w:val="0"/>
                      <w:color w:val="000000"/>
                      <w:kern w:val="0"/>
                      <w:sz w:val="21"/>
                      <w:szCs w:val="21"/>
                      <w:lang w:val="en-US" w:eastAsia="zh-CN"/>
                    </w:rPr>
                    <w:t>2</w:t>
                  </w:r>
                  <w:r>
                    <w:rPr>
                      <w:rFonts w:hint="eastAsia" w:ascii="Times New Roman" w:hAnsi="Times New Roman" w:eastAsia="仿宋_GB2312" w:cs="Times New Roman"/>
                      <w:snapToGrid w:val="0"/>
                      <w:color w:val="000000"/>
                      <w:kern w:val="0"/>
                      <w:sz w:val="21"/>
                      <w:szCs w:val="21"/>
                      <w:lang w:eastAsia="zh-CN"/>
                    </w:rPr>
                    <w:t>）</w:t>
                  </w:r>
                  <w:r>
                    <w:rPr>
                      <w:rFonts w:ascii="Times New Roman" w:hAnsi="Times New Roman" w:eastAsia="仿宋_GB2312" w:cs="Times New Roman"/>
                      <w:color w:val="000000"/>
                      <w:sz w:val="21"/>
                      <w:szCs w:val="21"/>
                    </w:rPr>
                    <w:t>项目所在区域的声环境、地表水的环境质量均较好，均可达到相应的环境功能区划要求</w:t>
                  </w:r>
                  <w:r>
                    <w:rPr>
                      <w:rFonts w:ascii="Times New Roman" w:hAnsi="Times New Roman" w:eastAsia="仿宋_GB2312" w:cs="Times New Roman"/>
                      <w:bCs/>
                      <w:color w:val="000000"/>
                      <w:kern w:val="0"/>
                      <w:sz w:val="21"/>
                      <w:szCs w:val="21"/>
                    </w:rPr>
                    <w:t>；环境空气经金坛人民政府采取整改措施整改后，可达到相应的环境功能区划要求</w:t>
                  </w:r>
                  <w:r>
                    <w:rPr>
                      <w:rFonts w:hint="eastAsia" w:ascii="Times New Roman" w:hAnsi="Times New Roman" w:eastAsia="仿宋_GB2312" w:cs="Times New Roman"/>
                      <w:snapToGrid w:val="0"/>
                      <w:color w:val="000000"/>
                      <w:kern w:val="0"/>
                      <w:sz w:val="21"/>
                      <w:szCs w:val="21"/>
                    </w:rPr>
                    <w:t>；</w:t>
                  </w:r>
                  <w:r>
                    <w:rPr>
                      <w:rFonts w:hint="eastAsia" w:ascii="Times New Roman" w:hAnsi="Times New Roman" w:eastAsia="仿宋_GB2312" w:cs="Times New Roman"/>
                      <w:snapToGrid w:val="0"/>
                      <w:color w:val="000000"/>
                      <w:kern w:val="0"/>
                      <w:sz w:val="21"/>
                      <w:szCs w:val="21"/>
                      <w:lang w:eastAsia="zh-CN"/>
                    </w:rPr>
                    <w:t>（</w:t>
                  </w:r>
                  <w:r>
                    <w:rPr>
                      <w:rFonts w:hint="eastAsia" w:ascii="Times New Roman" w:hAnsi="Times New Roman" w:eastAsia="仿宋_GB2312" w:cs="Times New Roman"/>
                      <w:snapToGrid w:val="0"/>
                      <w:color w:val="000000"/>
                      <w:kern w:val="0"/>
                      <w:sz w:val="21"/>
                      <w:szCs w:val="21"/>
                      <w:lang w:val="en-US" w:eastAsia="zh-CN"/>
                    </w:rPr>
                    <w:t>3</w:t>
                  </w:r>
                  <w:r>
                    <w:rPr>
                      <w:rFonts w:hint="eastAsia" w:ascii="Times New Roman" w:hAnsi="Times New Roman" w:eastAsia="仿宋_GB2312" w:cs="Times New Roman"/>
                      <w:snapToGrid w:val="0"/>
                      <w:color w:val="000000"/>
                      <w:kern w:val="0"/>
                      <w:sz w:val="21"/>
                      <w:szCs w:val="21"/>
                      <w:lang w:eastAsia="zh-CN"/>
                    </w:rPr>
                    <w:t>）</w:t>
                  </w:r>
                  <w:r>
                    <w:rPr>
                      <w:rFonts w:hint="eastAsia" w:ascii="Times New Roman" w:hAnsi="Times New Roman" w:eastAsia="仿宋_GB2312" w:cs="Times New Roman"/>
                      <w:snapToGrid w:val="0"/>
                      <w:color w:val="000000"/>
                      <w:kern w:val="0"/>
                      <w:sz w:val="21"/>
                      <w:szCs w:val="21"/>
                    </w:rPr>
                    <w:t>建设项目采取的污染防治措施可确保污染物排放达到国家和地方排放标准，</w:t>
                  </w:r>
                  <w:r>
                    <w:rPr>
                      <w:rFonts w:hint="eastAsia" w:ascii="Times New Roman" w:hAnsi="Times New Roman" w:eastAsia="仿宋_GB2312" w:cs="Times New Roman"/>
                      <w:snapToGrid w:val="0"/>
                      <w:color w:val="000000"/>
                      <w:kern w:val="0"/>
                      <w:sz w:val="21"/>
                      <w:szCs w:val="21"/>
                      <w:lang w:eastAsia="zh-CN"/>
                    </w:rPr>
                    <w:t>（</w:t>
                  </w:r>
                  <w:r>
                    <w:rPr>
                      <w:rFonts w:hint="eastAsia" w:ascii="Times New Roman" w:hAnsi="Times New Roman" w:eastAsia="仿宋_GB2312" w:cs="Times New Roman"/>
                      <w:snapToGrid w:val="0"/>
                      <w:color w:val="000000"/>
                      <w:kern w:val="0"/>
                      <w:sz w:val="21"/>
                      <w:szCs w:val="21"/>
                      <w:lang w:val="en-US" w:eastAsia="zh-CN"/>
                    </w:rPr>
                    <w:t>4</w:t>
                  </w:r>
                  <w:r>
                    <w:rPr>
                      <w:rFonts w:hint="eastAsia" w:ascii="Times New Roman" w:hAnsi="Times New Roman" w:eastAsia="仿宋_GB2312" w:cs="Times New Roman"/>
                      <w:snapToGrid w:val="0"/>
                      <w:color w:val="000000"/>
                      <w:kern w:val="0"/>
                      <w:sz w:val="21"/>
                      <w:szCs w:val="21"/>
                      <w:lang w:eastAsia="zh-CN"/>
                    </w:rPr>
                    <w:t>）</w:t>
                  </w:r>
                  <w:r>
                    <w:rPr>
                      <w:rFonts w:hint="eastAsia" w:ascii="Times New Roman" w:hAnsi="Times New Roman" w:eastAsia="仿宋_GB2312" w:cs="Times New Roman"/>
                      <w:snapToGrid w:val="0"/>
                      <w:color w:val="000000"/>
                      <w:kern w:val="0"/>
                      <w:sz w:val="21"/>
                      <w:szCs w:val="21"/>
                    </w:rPr>
                    <w:t>本次针对项目原有环境污染和生态破坏提出有效</w:t>
                  </w:r>
                  <w:r>
                    <w:rPr>
                      <w:rFonts w:hint="eastAsia" w:ascii="Times New Roman" w:hAnsi="Times New Roman" w:eastAsia="仿宋_GB2312" w:cs="Times New Roman"/>
                      <w:snapToGrid w:val="0"/>
                      <w:color w:val="000000"/>
                      <w:kern w:val="0"/>
                      <w:sz w:val="21"/>
                      <w:szCs w:val="21"/>
                      <w:lang w:val="en-US" w:eastAsia="zh-CN"/>
                    </w:rPr>
                    <w:t>防治</w:t>
                  </w:r>
                  <w:r>
                    <w:rPr>
                      <w:rFonts w:hint="eastAsia" w:ascii="Times New Roman" w:hAnsi="Times New Roman" w:eastAsia="仿宋_GB2312" w:cs="Times New Roman"/>
                      <w:snapToGrid w:val="0"/>
                      <w:color w:val="000000"/>
                      <w:kern w:val="0"/>
                      <w:sz w:val="21"/>
                      <w:szCs w:val="21"/>
                    </w:rPr>
                    <w:t>措施；</w:t>
                  </w:r>
                  <w:r>
                    <w:rPr>
                      <w:rFonts w:hint="eastAsia" w:ascii="Times New Roman" w:hAnsi="Times New Roman" w:eastAsia="仿宋_GB2312" w:cs="Times New Roman"/>
                      <w:snapToGrid w:val="0"/>
                      <w:color w:val="000000"/>
                      <w:kern w:val="0"/>
                      <w:sz w:val="21"/>
                      <w:szCs w:val="21"/>
                      <w:lang w:eastAsia="zh-CN"/>
                    </w:rPr>
                    <w:t>（</w:t>
                  </w:r>
                  <w:r>
                    <w:rPr>
                      <w:rFonts w:hint="eastAsia" w:ascii="Times New Roman" w:hAnsi="Times New Roman" w:eastAsia="仿宋_GB2312" w:cs="Times New Roman"/>
                      <w:snapToGrid w:val="0"/>
                      <w:color w:val="000000"/>
                      <w:kern w:val="0"/>
                      <w:sz w:val="21"/>
                      <w:szCs w:val="21"/>
                      <w:lang w:val="en-US" w:eastAsia="zh-CN"/>
                    </w:rPr>
                    <w:t>5</w:t>
                  </w:r>
                  <w:r>
                    <w:rPr>
                      <w:rFonts w:hint="eastAsia" w:ascii="Times New Roman" w:hAnsi="Times New Roman" w:eastAsia="仿宋_GB2312" w:cs="Times New Roman"/>
                      <w:snapToGrid w:val="0"/>
                      <w:color w:val="000000"/>
                      <w:kern w:val="0"/>
                      <w:sz w:val="21"/>
                      <w:szCs w:val="21"/>
                      <w:lang w:eastAsia="zh-CN"/>
                    </w:rPr>
                    <w:t>）</w:t>
                  </w:r>
                  <w:r>
                    <w:rPr>
                      <w:rFonts w:hint="eastAsia" w:ascii="Times New Roman" w:hAnsi="Times New Roman" w:eastAsia="仿宋_GB2312" w:cs="Times New Roman"/>
                      <w:snapToGrid w:val="0"/>
                      <w:color w:val="000000"/>
                      <w:kern w:val="0"/>
                      <w:sz w:val="21"/>
                      <w:szCs w:val="21"/>
                    </w:rPr>
                    <w:t>本项目基础资料数据详实，内容不存在重大缺陷、遗漏，环境影响评价结论明确、合理。</w:t>
                  </w:r>
                </w:p>
              </w:tc>
              <w:tc>
                <w:tcPr>
                  <w:tcW w:w="681" w:type="pct"/>
                  <w:vAlign w:val="center"/>
                </w:tcPr>
                <w:p w14:paraId="20E398EF">
                  <w:pPr>
                    <w:pStyle w:val="69"/>
                    <w:adjustRightInd w:val="0"/>
                    <w:snapToGrid w:val="0"/>
                    <w:ind w:left="42" w:leftChars="20" w:right="42" w:rightChars="20"/>
                    <w:jc w:val="center"/>
                    <w:rPr>
                      <w:rFonts w:ascii="Times New Roman" w:hAnsi="Times New Roman" w:eastAsia="仿宋_GB2312" w:cs="Times New Roman"/>
                      <w:snapToGrid w:val="0"/>
                      <w:color w:val="000000"/>
                      <w:kern w:val="0"/>
                      <w:sz w:val="21"/>
                      <w:szCs w:val="21"/>
                    </w:rPr>
                  </w:pPr>
                  <w:r>
                    <w:rPr>
                      <w:rFonts w:ascii="Times New Roman" w:hAnsi="Times New Roman" w:eastAsia="仿宋_GB2312" w:cs="Times New Roman"/>
                      <w:snapToGrid w:val="0"/>
                      <w:color w:val="000000"/>
                      <w:kern w:val="0"/>
                      <w:sz w:val="21"/>
                      <w:szCs w:val="21"/>
                    </w:rPr>
                    <w:t>相符</w:t>
                  </w:r>
                </w:p>
              </w:tc>
            </w:tr>
            <w:tr w14:paraId="1DD2D8D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275" w:type="pct"/>
                  <w:vAlign w:val="center"/>
                </w:tcPr>
                <w:p w14:paraId="2EC37351">
                  <w:pPr>
                    <w:pStyle w:val="69"/>
                    <w:adjustRightInd w:val="0"/>
                    <w:snapToGrid w:val="0"/>
                    <w:ind w:left="42" w:leftChars="20" w:right="42" w:rightChars="20"/>
                    <w:jc w:val="center"/>
                    <w:rPr>
                      <w:rFonts w:ascii="Times New Roman" w:hAnsi="Times New Roman" w:eastAsia="仿宋_GB2312" w:cs="Times New Roman"/>
                      <w:snapToGrid w:val="0"/>
                      <w:color w:val="000000"/>
                      <w:kern w:val="0"/>
                      <w:sz w:val="21"/>
                      <w:szCs w:val="21"/>
                    </w:rPr>
                  </w:pPr>
                  <w:r>
                    <w:rPr>
                      <w:rFonts w:hint="eastAsia" w:ascii="Times New Roman" w:hAnsi="Times New Roman" w:eastAsia="仿宋_GB2312" w:cs="Times New Roman"/>
                      <w:snapToGrid w:val="0"/>
                      <w:color w:val="000000"/>
                      <w:kern w:val="0"/>
                      <w:sz w:val="21"/>
                      <w:szCs w:val="21"/>
                    </w:rPr>
                    <w:t>二、严格控制在优先保护类耕地集中区域新建有色金属冶炼、石油加工、化工、焦化、电镀、制革等行业企业，有关环境保护主管部门依法不予审批可能造成耕地土壤污染的建设项目环境影响报告书或者报告表。</w:t>
                  </w:r>
                </w:p>
              </w:tc>
              <w:tc>
                <w:tcPr>
                  <w:tcW w:w="2043" w:type="pct"/>
                  <w:vAlign w:val="center"/>
                </w:tcPr>
                <w:p w14:paraId="43339CF2">
                  <w:pPr>
                    <w:pStyle w:val="69"/>
                    <w:adjustRightInd w:val="0"/>
                    <w:snapToGrid w:val="0"/>
                    <w:ind w:left="42" w:leftChars="20" w:right="42" w:rightChars="20"/>
                    <w:jc w:val="center"/>
                    <w:rPr>
                      <w:rFonts w:ascii="Times New Roman" w:hAnsi="Times New Roman" w:eastAsia="仿宋_GB2312" w:cs="Times New Roman"/>
                      <w:snapToGrid w:val="0"/>
                      <w:color w:val="000000"/>
                      <w:kern w:val="0"/>
                      <w:sz w:val="21"/>
                      <w:szCs w:val="21"/>
                    </w:rPr>
                  </w:pPr>
                  <w:r>
                    <w:rPr>
                      <w:rFonts w:hint="eastAsia" w:ascii="Times New Roman" w:hAnsi="Times New Roman" w:eastAsia="仿宋_GB2312" w:cs="Times New Roman"/>
                      <w:snapToGrid w:val="0"/>
                      <w:color w:val="000000"/>
                      <w:kern w:val="0"/>
                      <w:sz w:val="21"/>
                      <w:szCs w:val="21"/>
                    </w:rPr>
                    <w:t>本项目位于工业集中区，属于工业用地，不属于有色金属冶炼、石油加工、化工、焦化、电镀、制革等行业企业。</w:t>
                  </w:r>
                </w:p>
              </w:tc>
              <w:tc>
                <w:tcPr>
                  <w:tcW w:w="681" w:type="pct"/>
                  <w:vAlign w:val="center"/>
                </w:tcPr>
                <w:p w14:paraId="0CA86ECC">
                  <w:pPr>
                    <w:pStyle w:val="69"/>
                    <w:adjustRightInd w:val="0"/>
                    <w:snapToGrid w:val="0"/>
                    <w:ind w:left="42" w:leftChars="20" w:right="42" w:rightChars="20"/>
                    <w:jc w:val="center"/>
                    <w:rPr>
                      <w:rFonts w:ascii="Times New Roman" w:hAnsi="Times New Roman" w:eastAsia="仿宋_GB2312" w:cs="Times New Roman"/>
                      <w:snapToGrid w:val="0"/>
                      <w:color w:val="000000"/>
                      <w:kern w:val="0"/>
                      <w:sz w:val="21"/>
                      <w:szCs w:val="21"/>
                    </w:rPr>
                  </w:pPr>
                  <w:r>
                    <w:rPr>
                      <w:rFonts w:ascii="Times New Roman" w:hAnsi="Times New Roman" w:eastAsia="仿宋_GB2312" w:cs="Times New Roman"/>
                      <w:snapToGrid w:val="0"/>
                      <w:color w:val="000000"/>
                      <w:kern w:val="0"/>
                      <w:sz w:val="21"/>
                      <w:szCs w:val="21"/>
                    </w:rPr>
                    <w:t>相符</w:t>
                  </w:r>
                </w:p>
              </w:tc>
            </w:tr>
            <w:tr w14:paraId="7AE9CC3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275" w:type="pct"/>
                  <w:vAlign w:val="center"/>
                </w:tcPr>
                <w:p w14:paraId="7496602F">
                  <w:pPr>
                    <w:pStyle w:val="69"/>
                    <w:adjustRightInd w:val="0"/>
                    <w:snapToGrid w:val="0"/>
                    <w:ind w:left="42" w:leftChars="20" w:right="42" w:rightChars="20"/>
                    <w:jc w:val="center"/>
                    <w:rPr>
                      <w:rFonts w:ascii="Times New Roman" w:hAnsi="Times New Roman" w:eastAsia="仿宋_GB2312" w:cs="Times New Roman"/>
                      <w:snapToGrid w:val="0"/>
                      <w:color w:val="000000"/>
                      <w:kern w:val="0"/>
                      <w:sz w:val="21"/>
                      <w:szCs w:val="21"/>
                    </w:rPr>
                  </w:pPr>
                  <w:r>
                    <w:rPr>
                      <w:rFonts w:hint="eastAsia" w:ascii="Times New Roman" w:hAnsi="Times New Roman" w:eastAsia="仿宋_GB2312" w:cs="Times New Roman"/>
                      <w:snapToGrid w:val="0"/>
                      <w:color w:val="000000"/>
                      <w:kern w:val="0"/>
                      <w:sz w:val="21"/>
                      <w:szCs w:val="21"/>
                    </w:rPr>
                    <w:t>三、严格落实污染物排放总量控制制度，把主要污染物排放总量指标作为建设项目环境影响评价审批的前置条件。排放主要污染物的建设项目，在环境影响评价文件审批前，须取得主要污染物排放总量指标。</w:t>
                  </w:r>
                </w:p>
              </w:tc>
              <w:tc>
                <w:tcPr>
                  <w:tcW w:w="2043" w:type="pct"/>
                  <w:vAlign w:val="center"/>
                </w:tcPr>
                <w:p w14:paraId="2F5C4A7B">
                  <w:pPr>
                    <w:pStyle w:val="69"/>
                    <w:adjustRightInd w:val="0"/>
                    <w:snapToGrid w:val="0"/>
                    <w:ind w:left="42" w:leftChars="20" w:right="42" w:rightChars="20"/>
                    <w:jc w:val="center"/>
                    <w:rPr>
                      <w:rFonts w:ascii="Times New Roman" w:hAnsi="Times New Roman" w:eastAsia="仿宋_GB2312" w:cs="Times New Roman"/>
                      <w:snapToGrid w:val="0"/>
                      <w:color w:val="000000"/>
                      <w:kern w:val="0"/>
                      <w:sz w:val="21"/>
                      <w:szCs w:val="21"/>
                    </w:rPr>
                  </w:pPr>
                  <w:r>
                    <w:rPr>
                      <w:rFonts w:hint="eastAsia" w:ascii="Times New Roman" w:hAnsi="Times New Roman" w:eastAsia="仿宋_GB2312" w:cs="Times New Roman"/>
                      <w:snapToGrid w:val="0"/>
                      <w:color w:val="000000"/>
                      <w:kern w:val="0"/>
                      <w:sz w:val="21"/>
                      <w:szCs w:val="21"/>
                    </w:rPr>
                    <w:t>本项目将在环境影响评价文件审批前，取得主要污染物排放总量指标。</w:t>
                  </w:r>
                </w:p>
              </w:tc>
              <w:tc>
                <w:tcPr>
                  <w:tcW w:w="681" w:type="pct"/>
                  <w:vAlign w:val="center"/>
                </w:tcPr>
                <w:p w14:paraId="533B709E">
                  <w:pPr>
                    <w:pStyle w:val="69"/>
                    <w:adjustRightInd w:val="0"/>
                    <w:snapToGrid w:val="0"/>
                    <w:ind w:left="42" w:leftChars="20" w:right="42" w:rightChars="20"/>
                    <w:jc w:val="center"/>
                    <w:rPr>
                      <w:rFonts w:ascii="Times New Roman" w:hAnsi="Times New Roman" w:eastAsia="仿宋_GB2312" w:cs="Times New Roman"/>
                      <w:snapToGrid w:val="0"/>
                      <w:color w:val="000000"/>
                      <w:kern w:val="0"/>
                      <w:sz w:val="21"/>
                      <w:szCs w:val="21"/>
                    </w:rPr>
                  </w:pPr>
                  <w:r>
                    <w:rPr>
                      <w:rFonts w:ascii="Times New Roman" w:hAnsi="Times New Roman" w:eastAsia="仿宋_GB2312" w:cs="Times New Roman"/>
                      <w:snapToGrid w:val="0"/>
                      <w:color w:val="000000"/>
                      <w:kern w:val="0"/>
                      <w:sz w:val="21"/>
                      <w:szCs w:val="21"/>
                    </w:rPr>
                    <w:t>相符</w:t>
                  </w:r>
                </w:p>
              </w:tc>
            </w:tr>
            <w:tr w14:paraId="3E4258F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275" w:type="pct"/>
                  <w:vAlign w:val="center"/>
                </w:tcPr>
                <w:p w14:paraId="271F6CAB">
                  <w:pPr>
                    <w:pStyle w:val="69"/>
                    <w:adjustRightInd w:val="0"/>
                    <w:snapToGrid w:val="0"/>
                    <w:ind w:left="42" w:leftChars="20" w:right="42" w:rightChars="20"/>
                    <w:jc w:val="center"/>
                    <w:rPr>
                      <w:rFonts w:ascii="Times New Roman" w:hAnsi="Times New Roman" w:eastAsia="仿宋_GB2312" w:cs="Times New Roman"/>
                      <w:snapToGrid w:val="0"/>
                      <w:color w:val="000000"/>
                      <w:kern w:val="0"/>
                      <w:sz w:val="21"/>
                      <w:szCs w:val="21"/>
                    </w:rPr>
                  </w:pPr>
                  <w:r>
                    <w:rPr>
                      <w:rFonts w:hint="eastAsia" w:ascii="Times New Roman" w:hAnsi="Times New Roman" w:eastAsia="仿宋_GB2312" w:cs="Times New Roman"/>
                      <w:snapToGrid w:val="0"/>
                      <w:color w:val="000000"/>
                      <w:kern w:val="0"/>
                      <w:sz w:val="21"/>
                      <w:szCs w:val="21"/>
                    </w:rPr>
                    <w:t>四、（1）规划环评要作为规划所包含项目环评的重要依据,对于不符合规划环评结论及审查意见的项目环评，依法不予审批。（2）对于现有同类型项目环境污染或生态破坏严重、环境违法违规现象多发，致使环境容量接近或超过承载能力的地区，在现有问题整改到位前，依法暂停审批该地区同类行业的项目环评文件。（3）对环境质量现状超标的地区，项目拟采取的措施不能满足区域环境质量改善目标管理要求的，依法不予审批其环评文件。对未达到环境质量目标考核要求的地区，除民生项目与节能减排项目外，依法暂停审批该地区新增排放相应重点污染物的项目环评文件。除受自然条件限制、确实无法避让的铁路、公路、航道、防洪、管道、干渠、通讯、输变电等重要基础设施项目外，在生态保护红线范围内，严控各类开发建设活动，依法不予审批新建工业项目和矿产开发项目的环评文件。</w:t>
                  </w:r>
                </w:p>
              </w:tc>
              <w:tc>
                <w:tcPr>
                  <w:tcW w:w="2043" w:type="pct"/>
                  <w:vAlign w:val="center"/>
                </w:tcPr>
                <w:p w14:paraId="34D7D921">
                  <w:pPr>
                    <w:pStyle w:val="69"/>
                    <w:adjustRightInd w:val="0"/>
                    <w:snapToGrid w:val="0"/>
                    <w:ind w:left="42" w:leftChars="20" w:right="42" w:rightChars="20"/>
                    <w:jc w:val="center"/>
                    <w:rPr>
                      <w:rFonts w:ascii="Times New Roman" w:hAnsi="Times New Roman" w:eastAsia="仿宋_GB2312" w:cs="Times New Roman"/>
                      <w:snapToGrid w:val="0"/>
                      <w:color w:val="000000"/>
                      <w:kern w:val="0"/>
                      <w:sz w:val="21"/>
                      <w:szCs w:val="21"/>
                    </w:rPr>
                  </w:pPr>
                  <w:r>
                    <w:rPr>
                      <w:rFonts w:hint="eastAsia" w:ascii="Times New Roman" w:hAnsi="Times New Roman" w:eastAsia="仿宋_GB2312" w:cs="Times New Roman"/>
                      <w:snapToGrid w:val="0"/>
                      <w:color w:val="000000"/>
                      <w:kern w:val="0"/>
                      <w:sz w:val="21"/>
                      <w:szCs w:val="21"/>
                    </w:rPr>
                    <w:t>（1）本项目符合规划环评结论及审查意见的项目环评。（2）项目所在地无对同类型项目环境污染或生态破坏严重、环境违法违规现象。（3）</w:t>
                  </w:r>
                  <w:r>
                    <w:rPr>
                      <w:rFonts w:ascii="Times New Roman" w:hAnsi="Times New Roman" w:eastAsia="仿宋_GB2312" w:cs="Times New Roman"/>
                      <w:color w:val="000000"/>
                      <w:sz w:val="21"/>
                      <w:szCs w:val="21"/>
                    </w:rPr>
                    <w:t>项目所在区域的声环境、地表水的环境质量均较好，均可达到相应的环境功能区划要求</w:t>
                  </w:r>
                  <w:r>
                    <w:rPr>
                      <w:rFonts w:ascii="Times New Roman" w:hAnsi="Times New Roman" w:eastAsia="仿宋_GB2312" w:cs="Times New Roman"/>
                      <w:bCs/>
                      <w:color w:val="000000"/>
                      <w:kern w:val="0"/>
                      <w:sz w:val="21"/>
                      <w:szCs w:val="21"/>
                    </w:rPr>
                    <w:t>；环境空气经金坛人民政府采取整改措施整改后，可达到相应的环境功能区划要求</w:t>
                  </w:r>
                  <w:r>
                    <w:rPr>
                      <w:rFonts w:hint="eastAsia" w:ascii="Times New Roman" w:hAnsi="Times New Roman" w:eastAsia="仿宋_GB2312" w:cs="Times New Roman"/>
                      <w:bCs/>
                      <w:color w:val="000000"/>
                      <w:kern w:val="0"/>
                      <w:sz w:val="21"/>
                      <w:szCs w:val="21"/>
                    </w:rPr>
                    <w:t>。</w:t>
                  </w:r>
                  <w:r>
                    <w:rPr>
                      <w:rFonts w:hint="eastAsia" w:ascii="Times New Roman" w:hAnsi="Times New Roman" w:eastAsia="仿宋_GB2312" w:cs="Times New Roman"/>
                      <w:snapToGrid w:val="0"/>
                      <w:color w:val="000000"/>
                      <w:kern w:val="0"/>
                      <w:sz w:val="21"/>
                      <w:szCs w:val="21"/>
                    </w:rPr>
                    <w:t>本项目不在生态保护红线范围。</w:t>
                  </w:r>
                </w:p>
              </w:tc>
              <w:tc>
                <w:tcPr>
                  <w:tcW w:w="681" w:type="pct"/>
                  <w:vAlign w:val="center"/>
                </w:tcPr>
                <w:p w14:paraId="3619E78C">
                  <w:pPr>
                    <w:pStyle w:val="69"/>
                    <w:adjustRightInd w:val="0"/>
                    <w:snapToGrid w:val="0"/>
                    <w:ind w:left="42" w:leftChars="20" w:right="42" w:rightChars="20"/>
                    <w:jc w:val="center"/>
                    <w:rPr>
                      <w:rFonts w:ascii="Times New Roman" w:hAnsi="Times New Roman" w:eastAsia="仿宋_GB2312" w:cs="Times New Roman"/>
                      <w:snapToGrid w:val="0"/>
                      <w:color w:val="000000"/>
                      <w:kern w:val="0"/>
                      <w:sz w:val="21"/>
                      <w:szCs w:val="21"/>
                    </w:rPr>
                  </w:pPr>
                  <w:r>
                    <w:rPr>
                      <w:rFonts w:ascii="Times New Roman" w:hAnsi="Times New Roman" w:eastAsia="仿宋_GB2312" w:cs="Times New Roman"/>
                      <w:snapToGrid w:val="0"/>
                      <w:color w:val="000000"/>
                      <w:kern w:val="0"/>
                      <w:sz w:val="21"/>
                      <w:szCs w:val="21"/>
                    </w:rPr>
                    <w:t>相符</w:t>
                  </w:r>
                </w:p>
              </w:tc>
            </w:tr>
            <w:tr w14:paraId="1B72A7D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275" w:type="pct"/>
                  <w:vAlign w:val="center"/>
                </w:tcPr>
                <w:p w14:paraId="6EE4FB71">
                  <w:pPr>
                    <w:pStyle w:val="69"/>
                    <w:adjustRightInd w:val="0"/>
                    <w:snapToGrid w:val="0"/>
                    <w:ind w:left="42" w:leftChars="20" w:right="42" w:rightChars="20"/>
                    <w:jc w:val="center"/>
                    <w:rPr>
                      <w:rFonts w:ascii="Times New Roman" w:hAnsi="Times New Roman" w:eastAsia="仿宋_GB2312" w:cs="Times New Roman"/>
                      <w:snapToGrid w:val="0"/>
                      <w:color w:val="000000"/>
                      <w:kern w:val="0"/>
                      <w:sz w:val="21"/>
                      <w:szCs w:val="21"/>
                    </w:rPr>
                  </w:pPr>
                  <w:r>
                    <w:rPr>
                      <w:rFonts w:hint="eastAsia" w:ascii="Times New Roman" w:hAnsi="Times New Roman" w:eastAsia="仿宋_GB2312" w:cs="Times New Roman"/>
                      <w:snapToGrid w:val="0"/>
                      <w:color w:val="000000"/>
                      <w:kern w:val="0"/>
                      <w:sz w:val="21"/>
                      <w:szCs w:val="21"/>
                    </w:rPr>
                    <w:t>五、严禁在长江干流及主要支流岸线1公里范围内新建布局化工园区和化工企业。严格化工项目环评审批，提高准入门槛，新建化工项目原则上投资额不得低于10亿元，不得新建、改建、扩建三类中间体项目。</w:t>
                  </w:r>
                </w:p>
              </w:tc>
              <w:tc>
                <w:tcPr>
                  <w:tcW w:w="2043" w:type="pct"/>
                  <w:vAlign w:val="center"/>
                </w:tcPr>
                <w:p w14:paraId="2403C74E">
                  <w:pPr>
                    <w:pStyle w:val="69"/>
                    <w:adjustRightInd w:val="0"/>
                    <w:snapToGrid w:val="0"/>
                    <w:ind w:left="42" w:leftChars="20" w:right="42" w:rightChars="20"/>
                    <w:jc w:val="center"/>
                    <w:rPr>
                      <w:rFonts w:ascii="Times New Roman" w:hAnsi="Times New Roman" w:eastAsia="仿宋_GB2312" w:cs="Times New Roman"/>
                      <w:snapToGrid w:val="0"/>
                      <w:color w:val="000000"/>
                      <w:kern w:val="0"/>
                      <w:sz w:val="21"/>
                      <w:szCs w:val="21"/>
                    </w:rPr>
                  </w:pPr>
                  <w:r>
                    <w:rPr>
                      <w:rFonts w:hint="eastAsia" w:ascii="Times New Roman" w:hAnsi="Times New Roman" w:eastAsia="仿宋_GB2312" w:cs="Times New Roman"/>
                      <w:snapToGrid w:val="0"/>
                      <w:color w:val="000000"/>
                      <w:kern w:val="0"/>
                      <w:sz w:val="21"/>
                      <w:szCs w:val="21"/>
                    </w:rPr>
                    <w:t>本项目不在长江干流及主要支流岸线1公里范围内，不属于化工项目。</w:t>
                  </w:r>
                </w:p>
              </w:tc>
              <w:tc>
                <w:tcPr>
                  <w:tcW w:w="681" w:type="pct"/>
                  <w:vAlign w:val="center"/>
                </w:tcPr>
                <w:p w14:paraId="0DE4876D">
                  <w:pPr>
                    <w:pStyle w:val="69"/>
                    <w:adjustRightInd w:val="0"/>
                    <w:snapToGrid w:val="0"/>
                    <w:ind w:left="42" w:leftChars="20" w:right="42" w:rightChars="20"/>
                    <w:jc w:val="center"/>
                    <w:rPr>
                      <w:rFonts w:ascii="Times New Roman" w:hAnsi="Times New Roman" w:eastAsia="仿宋_GB2312" w:cs="Times New Roman"/>
                      <w:snapToGrid w:val="0"/>
                      <w:color w:val="000000"/>
                      <w:kern w:val="0"/>
                      <w:sz w:val="21"/>
                      <w:szCs w:val="21"/>
                    </w:rPr>
                  </w:pPr>
                  <w:r>
                    <w:rPr>
                      <w:rFonts w:ascii="Times New Roman" w:hAnsi="Times New Roman" w:eastAsia="仿宋_GB2312" w:cs="Times New Roman"/>
                      <w:snapToGrid w:val="0"/>
                      <w:color w:val="000000"/>
                      <w:kern w:val="0"/>
                      <w:sz w:val="21"/>
                      <w:szCs w:val="21"/>
                    </w:rPr>
                    <w:t>相符</w:t>
                  </w:r>
                </w:p>
              </w:tc>
            </w:tr>
            <w:tr w14:paraId="079A982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275" w:type="pct"/>
                  <w:vAlign w:val="center"/>
                </w:tcPr>
                <w:p w14:paraId="6DEC0247">
                  <w:pPr>
                    <w:pStyle w:val="69"/>
                    <w:adjustRightInd w:val="0"/>
                    <w:snapToGrid w:val="0"/>
                    <w:ind w:left="42" w:leftChars="20" w:right="42" w:rightChars="20"/>
                    <w:jc w:val="center"/>
                    <w:rPr>
                      <w:rFonts w:ascii="Times New Roman" w:hAnsi="Times New Roman" w:eastAsia="仿宋_GB2312" w:cs="Times New Roman"/>
                      <w:snapToGrid w:val="0"/>
                      <w:color w:val="000000"/>
                      <w:kern w:val="0"/>
                      <w:sz w:val="21"/>
                      <w:szCs w:val="21"/>
                    </w:rPr>
                  </w:pPr>
                  <w:r>
                    <w:rPr>
                      <w:rFonts w:hint="eastAsia" w:ascii="Times New Roman" w:hAnsi="Times New Roman" w:eastAsia="仿宋_GB2312" w:cs="Times New Roman"/>
                      <w:snapToGrid w:val="0"/>
                      <w:color w:val="000000"/>
                      <w:kern w:val="0"/>
                      <w:sz w:val="21"/>
                      <w:szCs w:val="21"/>
                    </w:rPr>
                    <w:t>六、禁止新建燃煤自备电厂。在重点地区执行《江苏省化工钢铁煤电行业环境准入和排放标准》。燃煤电厂2019年底前全部实行超低排放。</w:t>
                  </w:r>
                </w:p>
              </w:tc>
              <w:tc>
                <w:tcPr>
                  <w:tcW w:w="2043" w:type="pct"/>
                  <w:vAlign w:val="center"/>
                </w:tcPr>
                <w:p w14:paraId="30593894">
                  <w:pPr>
                    <w:pStyle w:val="69"/>
                    <w:adjustRightInd w:val="0"/>
                    <w:snapToGrid w:val="0"/>
                    <w:ind w:left="42" w:leftChars="20" w:right="42" w:rightChars="20"/>
                    <w:jc w:val="center"/>
                    <w:rPr>
                      <w:rFonts w:ascii="Times New Roman" w:hAnsi="Times New Roman" w:eastAsia="仿宋_GB2312" w:cs="Times New Roman"/>
                      <w:snapToGrid w:val="0"/>
                      <w:color w:val="000000"/>
                      <w:kern w:val="0"/>
                      <w:sz w:val="21"/>
                      <w:szCs w:val="21"/>
                    </w:rPr>
                  </w:pPr>
                  <w:r>
                    <w:rPr>
                      <w:rFonts w:hint="eastAsia" w:ascii="Times New Roman" w:hAnsi="Times New Roman" w:eastAsia="仿宋_GB2312" w:cs="Times New Roman"/>
                      <w:snapToGrid w:val="0"/>
                      <w:color w:val="000000"/>
                      <w:kern w:val="0"/>
                      <w:sz w:val="21"/>
                      <w:szCs w:val="21"/>
                    </w:rPr>
                    <w:t>本项目未建设燃煤自备电厂。</w:t>
                  </w:r>
                </w:p>
              </w:tc>
              <w:tc>
                <w:tcPr>
                  <w:tcW w:w="681" w:type="pct"/>
                  <w:vAlign w:val="center"/>
                </w:tcPr>
                <w:p w14:paraId="5F538D1E">
                  <w:pPr>
                    <w:pStyle w:val="69"/>
                    <w:adjustRightInd w:val="0"/>
                    <w:snapToGrid w:val="0"/>
                    <w:ind w:left="42" w:leftChars="20" w:right="42" w:rightChars="20"/>
                    <w:jc w:val="center"/>
                    <w:rPr>
                      <w:rFonts w:ascii="Times New Roman" w:hAnsi="Times New Roman" w:eastAsia="仿宋_GB2312" w:cs="Times New Roman"/>
                      <w:snapToGrid w:val="0"/>
                      <w:color w:val="000000"/>
                      <w:kern w:val="0"/>
                      <w:sz w:val="21"/>
                      <w:szCs w:val="21"/>
                    </w:rPr>
                  </w:pPr>
                  <w:r>
                    <w:rPr>
                      <w:rFonts w:ascii="Times New Roman" w:hAnsi="Times New Roman" w:eastAsia="仿宋_GB2312" w:cs="Times New Roman"/>
                      <w:snapToGrid w:val="0"/>
                      <w:color w:val="000000"/>
                      <w:kern w:val="0"/>
                      <w:sz w:val="21"/>
                      <w:szCs w:val="21"/>
                    </w:rPr>
                    <w:t>相符</w:t>
                  </w:r>
                </w:p>
              </w:tc>
            </w:tr>
            <w:tr w14:paraId="76862B4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275" w:type="pct"/>
                  <w:vAlign w:val="center"/>
                </w:tcPr>
                <w:p w14:paraId="44C8FAE9">
                  <w:pPr>
                    <w:pStyle w:val="69"/>
                    <w:adjustRightInd w:val="0"/>
                    <w:snapToGrid w:val="0"/>
                    <w:ind w:left="42" w:leftChars="20" w:right="42" w:rightChars="20"/>
                    <w:jc w:val="center"/>
                    <w:rPr>
                      <w:rFonts w:ascii="Times New Roman" w:hAnsi="Times New Roman" w:eastAsia="仿宋_GB2312" w:cs="Times New Roman"/>
                      <w:snapToGrid w:val="0"/>
                      <w:color w:val="000000"/>
                      <w:kern w:val="0"/>
                      <w:sz w:val="21"/>
                      <w:szCs w:val="21"/>
                    </w:rPr>
                  </w:pPr>
                  <w:r>
                    <w:rPr>
                      <w:rFonts w:hint="eastAsia" w:ascii="Times New Roman" w:hAnsi="Times New Roman" w:eastAsia="仿宋_GB2312" w:cs="Times New Roman"/>
                      <w:snapToGrid w:val="0"/>
                      <w:color w:val="000000"/>
                      <w:kern w:val="0"/>
                      <w:sz w:val="21"/>
                      <w:szCs w:val="21"/>
                    </w:rPr>
                    <w:t>七、禁止建设生产和使用高VOCs含量的溶剂型涂料、油墨、胶粘剂等项目。</w:t>
                  </w:r>
                </w:p>
              </w:tc>
              <w:tc>
                <w:tcPr>
                  <w:tcW w:w="2043" w:type="pct"/>
                  <w:vAlign w:val="center"/>
                </w:tcPr>
                <w:p w14:paraId="5C2B549B">
                  <w:pPr>
                    <w:pStyle w:val="69"/>
                    <w:adjustRightInd w:val="0"/>
                    <w:snapToGrid w:val="0"/>
                    <w:ind w:left="42" w:leftChars="20" w:right="42" w:rightChars="20"/>
                    <w:jc w:val="center"/>
                    <w:rPr>
                      <w:rFonts w:ascii="Times New Roman" w:hAnsi="Times New Roman" w:eastAsia="仿宋_GB2312" w:cs="Times New Roman"/>
                      <w:snapToGrid w:val="0"/>
                      <w:color w:val="000000"/>
                      <w:kern w:val="0"/>
                      <w:sz w:val="21"/>
                      <w:szCs w:val="21"/>
                    </w:rPr>
                  </w:pPr>
                  <w:r>
                    <w:rPr>
                      <w:rFonts w:hint="eastAsia" w:ascii="Times New Roman" w:hAnsi="Times New Roman" w:eastAsia="仿宋_GB2312" w:cs="Times New Roman"/>
                      <w:snapToGrid w:val="0"/>
                      <w:color w:val="000000"/>
                      <w:kern w:val="0"/>
                      <w:sz w:val="21"/>
                      <w:szCs w:val="21"/>
                    </w:rPr>
                    <w:t>本项目不生产和使用高VOCs含量的溶剂型涂料、油墨、胶粘剂。</w:t>
                  </w:r>
                </w:p>
              </w:tc>
              <w:tc>
                <w:tcPr>
                  <w:tcW w:w="681" w:type="pct"/>
                  <w:vAlign w:val="center"/>
                </w:tcPr>
                <w:p w14:paraId="2E90F511">
                  <w:pPr>
                    <w:pStyle w:val="69"/>
                    <w:adjustRightInd w:val="0"/>
                    <w:snapToGrid w:val="0"/>
                    <w:ind w:left="42" w:leftChars="20" w:right="42" w:rightChars="20"/>
                    <w:jc w:val="center"/>
                    <w:rPr>
                      <w:rFonts w:ascii="Times New Roman" w:hAnsi="Times New Roman" w:eastAsia="仿宋_GB2312" w:cs="Times New Roman"/>
                      <w:snapToGrid w:val="0"/>
                      <w:color w:val="000000"/>
                      <w:kern w:val="0"/>
                      <w:sz w:val="21"/>
                      <w:szCs w:val="21"/>
                    </w:rPr>
                  </w:pPr>
                  <w:r>
                    <w:rPr>
                      <w:rFonts w:ascii="Times New Roman" w:hAnsi="Times New Roman" w:eastAsia="仿宋_GB2312" w:cs="Times New Roman"/>
                      <w:snapToGrid w:val="0"/>
                      <w:color w:val="000000"/>
                      <w:kern w:val="0"/>
                      <w:sz w:val="21"/>
                      <w:szCs w:val="21"/>
                    </w:rPr>
                    <w:t>相符</w:t>
                  </w:r>
                </w:p>
              </w:tc>
            </w:tr>
            <w:tr w14:paraId="3876048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275" w:type="pct"/>
                  <w:vAlign w:val="center"/>
                </w:tcPr>
                <w:p w14:paraId="4797E4A2">
                  <w:pPr>
                    <w:pStyle w:val="69"/>
                    <w:adjustRightInd w:val="0"/>
                    <w:snapToGrid w:val="0"/>
                    <w:ind w:left="42" w:leftChars="20" w:right="42" w:rightChars="20"/>
                    <w:jc w:val="center"/>
                    <w:rPr>
                      <w:rFonts w:ascii="Times New Roman" w:hAnsi="Times New Roman" w:eastAsia="仿宋_GB2312" w:cs="Times New Roman"/>
                      <w:snapToGrid w:val="0"/>
                      <w:color w:val="000000"/>
                      <w:kern w:val="0"/>
                      <w:sz w:val="21"/>
                      <w:szCs w:val="21"/>
                    </w:rPr>
                  </w:pPr>
                  <w:r>
                    <w:rPr>
                      <w:rFonts w:hint="eastAsia" w:ascii="Times New Roman" w:hAnsi="Times New Roman" w:eastAsia="仿宋_GB2312" w:cs="Times New Roman"/>
                      <w:snapToGrid w:val="0"/>
                      <w:color w:val="000000"/>
                      <w:kern w:val="0"/>
                      <w:sz w:val="21"/>
                      <w:szCs w:val="21"/>
                    </w:rPr>
                    <w:t>八、一律不批新的化工园区，一律不批化工园区外化工企业（除化工重点监测点和提升安全、环保、节能水平及油品质量升级、结构调整以外的改扩建项目），一律不批化工园区内环境基础设施不完善或长期不能稳定运行企业的新改扩建化工项目。新建（含搬迁）化工项目必须进入已经依法完成规划环评审查的化工园区。严禁在长江干流及主要支流岸线1公里范围内新建危化品码头。</w:t>
                  </w:r>
                </w:p>
              </w:tc>
              <w:tc>
                <w:tcPr>
                  <w:tcW w:w="2043" w:type="pct"/>
                  <w:vAlign w:val="center"/>
                </w:tcPr>
                <w:p w14:paraId="54F10723">
                  <w:pPr>
                    <w:pStyle w:val="69"/>
                    <w:adjustRightInd w:val="0"/>
                    <w:snapToGrid w:val="0"/>
                    <w:ind w:left="42" w:leftChars="20" w:right="42" w:rightChars="20"/>
                    <w:jc w:val="center"/>
                    <w:rPr>
                      <w:rFonts w:ascii="Times New Roman" w:hAnsi="Times New Roman" w:eastAsia="仿宋_GB2312" w:cs="Times New Roman"/>
                      <w:snapToGrid w:val="0"/>
                      <w:color w:val="000000"/>
                      <w:kern w:val="0"/>
                      <w:sz w:val="21"/>
                      <w:szCs w:val="21"/>
                    </w:rPr>
                  </w:pPr>
                  <w:r>
                    <w:rPr>
                      <w:rFonts w:hint="eastAsia" w:ascii="Times New Roman" w:hAnsi="Times New Roman" w:eastAsia="仿宋_GB2312" w:cs="Times New Roman"/>
                      <w:snapToGrid w:val="0"/>
                      <w:color w:val="000000"/>
                      <w:kern w:val="0"/>
                      <w:sz w:val="21"/>
                      <w:szCs w:val="21"/>
                    </w:rPr>
                    <w:t>本项目不属于化工项目。</w:t>
                  </w:r>
                </w:p>
              </w:tc>
              <w:tc>
                <w:tcPr>
                  <w:tcW w:w="681" w:type="pct"/>
                  <w:vAlign w:val="center"/>
                </w:tcPr>
                <w:p w14:paraId="33397CCF">
                  <w:pPr>
                    <w:pStyle w:val="69"/>
                    <w:adjustRightInd w:val="0"/>
                    <w:snapToGrid w:val="0"/>
                    <w:ind w:left="42" w:leftChars="20" w:right="42" w:rightChars="20"/>
                    <w:jc w:val="center"/>
                    <w:rPr>
                      <w:rFonts w:ascii="Times New Roman" w:hAnsi="Times New Roman" w:eastAsia="仿宋_GB2312" w:cs="Times New Roman"/>
                      <w:snapToGrid w:val="0"/>
                      <w:color w:val="000000"/>
                      <w:kern w:val="0"/>
                      <w:sz w:val="21"/>
                      <w:szCs w:val="21"/>
                    </w:rPr>
                  </w:pPr>
                  <w:r>
                    <w:rPr>
                      <w:rFonts w:ascii="Times New Roman" w:hAnsi="Times New Roman" w:eastAsia="仿宋_GB2312" w:cs="Times New Roman"/>
                      <w:snapToGrid w:val="0"/>
                      <w:color w:val="000000"/>
                      <w:kern w:val="0"/>
                      <w:sz w:val="21"/>
                      <w:szCs w:val="21"/>
                    </w:rPr>
                    <w:t>相符</w:t>
                  </w:r>
                </w:p>
              </w:tc>
            </w:tr>
            <w:tr w14:paraId="61DF22D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275" w:type="pct"/>
                  <w:vAlign w:val="center"/>
                </w:tcPr>
                <w:p w14:paraId="57CCDD57">
                  <w:pPr>
                    <w:pStyle w:val="69"/>
                    <w:adjustRightInd w:val="0"/>
                    <w:snapToGrid w:val="0"/>
                    <w:ind w:left="42" w:leftChars="20" w:right="42" w:rightChars="20"/>
                    <w:jc w:val="center"/>
                    <w:rPr>
                      <w:rFonts w:ascii="Times New Roman" w:hAnsi="Times New Roman" w:eastAsia="仿宋_GB2312" w:cs="Times New Roman"/>
                      <w:snapToGrid w:val="0"/>
                      <w:color w:val="000000"/>
                      <w:kern w:val="0"/>
                      <w:sz w:val="21"/>
                      <w:szCs w:val="21"/>
                    </w:rPr>
                  </w:pPr>
                  <w:r>
                    <w:rPr>
                      <w:rFonts w:hint="eastAsia" w:ascii="Times New Roman" w:hAnsi="Times New Roman" w:eastAsia="仿宋_GB2312" w:cs="Times New Roman"/>
                      <w:snapToGrid w:val="0"/>
                      <w:color w:val="000000"/>
                      <w:kern w:val="0"/>
                      <w:sz w:val="21"/>
                      <w:szCs w:val="21"/>
                    </w:rPr>
                    <w:t>九、生态保护红线原则上按禁止开发区域的要求进行管理,严禁不符合主体功能定位的各类开发活动，严禁任意改变用途。</w:t>
                  </w:r>
                </w:p>
              </w:tc>
              <w:tc>
                <w:tcPr>
                  <w:tcW w:w="2043" w:type="pct"/>
                  <w:vAlign w:val="center"/>
                </w:tcPr>
                <w:p w14:paraId="538031C5">
                  <w:pPr>
                    <w:pStyle w:val="69"/>
                    <w:adjustRightInd w:val="0"/>
                    <w:snapToGrid w:val="0"/>
                    <w:ind w:left="42" w:leftChars="20" w:right="42" w:rightChars="20"/>
                    <w:jc w:val="center"/>
                    <w:rPr>
                      <w:rFonts w:ascii="Times New Roman" w:hAnsi="Times New Roman" w:eastAsia="仿宋_GB2312" w:cs="Times New Roman"/>
                      <w:snapToGrid w:val="0"/>
                      <w:color w:val="000000"/>
                      <w:kern w:val="0"/>
                      <w:sz w:val="21"/>
                      <w:szCs w:val="21"/>
                    </w:rPr>
                  </w:pPr>
                  <w:r>
                    <w:rPr>
                      <w:rFonts w:hint="eastAsia" w:ascii="Times New Roman" w:hAnsi="Times New Roman" w:eastAsia="仿宋_GB2312" w:cs="Times New Roman"/>
                      <w:snapToGrid w:val="0"/>
                      <w:color w:val="000000"/>
                      <w:kern w:val="0"/>
                      <w:sz w:val="21"/>
                      <w:szCs w:val="21"/>
                    </w:rPr>
                    <w:t>本项目不在生态保护红线范围内。</w:t>
                  </w:r>
                </w:p>
              </w:tc>
              <w:tc>
                <w:tcPr>
                  <w:tcW w:w="681" w:type="pct"/>
                  <w:vAlign w:val="center"/>
                </w:tcPr>
                <w:p w14:paraId="779EEB9B">
                  <w:pPr>
                    <w:pStyle w:val="69"/>
                    <w:adjustRightInd w:val="0"/>
                    <w:snapToGrid w:val="0"/>
                    <w:ind w:left="42" w:leftChars="20" w:right="42" w:rightChars="20"/>
                    <w:jc w:val="center"/>
                    <w:rPr>
                      <w:rFonts w:ascii="Times New Roman" w:hAnsi="Times New Roman" w:eastAsia="仿宋_GB2312" w:cs="Times New Roman"/>
                      <w:snapToGrid w:val="0"/>
                      <w:color w:val="000000"/>
                      <w:kern w:val="0"/>
                      <w:sz w:val="21"/>
                      <w:szCs w:val="21"/>
                    </w:rPr>
                  </w:pPr>
                  <w:r>
                    <w:rPr>
                      <w:rFonts w:ascii="Times New Roman" w:hAnsi="Times New Roman" w:eastAsia="仿宋_GB2312" w:cs="Times New Roman"/>
                      <w:snapToGrid w:val="0"/>
                      <w:color w:val="000000"/>
                      <w:kern w:val="0"/>
                      <w:sz w:val="21"/>
                      <w:szCs w:val="21"/>
                    </w:rPr>
                    <w:t>相符</w:t>
                  </w:r>
                </w:p>
              </w:tc>
            </w:tr>
            <w:tr w14:paraId="7FFD952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275" w:type="pct"/>
                  <w:vAlign w:val="center"/>
                </w:tcPr>
                <w:p w14:paraId="53F2B25B">
                  <w:pPr>
                    <w:pStyle w:val="69"/>
                    <w:adjustRightInd w:val="0"/>
                    <w:snapToGrid w:val="0"/>
                    <w:ind w:left="42" w:leftChars="20" w:right="42" w:rightChars="20"/>
                    <w:jc w:val="center"/>
                    <w:rPr>
                      <w:rFonts w:ascii="Times New Roman" w:hAnsi="Times New Roman" w:eastAsia="仿宋_GB2312" w:cs="Times New Roman"/>
                      <w:snapToGrid w:val="0"/>
                      <w:color w:val="000000"/>
                      <w:kern w:val="0"/>
                      <w:sz w:val="21"/>
                      <w:szCs w:val="21"/>
                    </w:rPr>
                  </w:pPr>
                  <w:r>
                    <w:rPr>
                      <w:rFonts w:hint="eastAsia" w:ascii="Times New Roman" w:hAnsi="Times New Roman" w:eastAsia="仿宋_GB2312" w:cs="Times New Roman"/>
                      <w:snapToGrid w:val="0"/>
                      <w:color w:val="000000"/>
                      <w:kern w:val="0"/>
                      <w:sz w:val="21"/>
                      <w:szCs w:val="21"/>
                    </w:rPr>
                    <w:t>十、禁止审批无法落实危险废物利用、处置途径的项目，从严审批危险废物产生量大、本地无配套利用处置能力、且需设区市统筹解决的项目。</w:t>
                  </w:r>
                </w:p>
              </w:tc>
              <w:tc>
                <w:tcPr>
                  <w:tcW w:w="2043" w:type="pct"/>
                  <w:vAlign w:val="center"/>
                </w:tcPr>
                <w:p w14:paraId="6C30D3B7">
                  <w:pPr>
                    <w:pStyle w:val="69"/>
                    <w:adjustRightInd w:val="0"/>
                    <w:snapToGrid w:val="0"/>
                    <w:ind w:left="42" w:leftChars="20" w:right="42" w:rightChars="20"/>
                    <w:jc w:val="center"/>
                    <w:rPr>
                      <w:rFonts w:ascii="Times New Roman" w:hAnsi="Times New Roman" w:eastAsia="仿宋_GB2312" w:cs="Times New Roman"/>
                      <w:snapToGrid w:val="0"/>
                      <w:color w:val="000000"/>
                      <w:kern w:val="0"/>
                      <w:sz w:val="21"/>
                      <w:szCs w:val="21"/>
                    </w:rPr>
                  </w:pPr>
                  <w:r>
                    <w:rPr>
                      <w:rFonts w:hint="eastAsia" w:ascii="Times New Roman" w:hAnsi="Times New Roman" w:eastAsia="仿宋_GB2312" w:cs="Times New Roman"/>
                      <w:snapToGrid w:val="0"/>
                      <w:color w:val="000000"/>
                      <w:kern w:val="0"/>
                      <w:sz w:val="21"/>
                      <w:szCs w:val="21"/>
                    </w:rPr>
                    <w:t>本项目危废委托有资质单位进行处置，金坛当地多家危废处置单位可处置本项目危废。</w:t>
                  </w:r>
                </w:p>
              </w:tc>
              <w:tc>
                <w:tcPr>
                  <w:tcW w:w="681" w:type="pct"/>
                  <w:vAlign w:val="center"/>
                </w:tcPr>
                <w:p w14:paraId="084DC800">
                  <w:pPr>
                    <w:pStyle w:val="69"/>
                    <w:adjustRightInd w:val="0"/>
                    <w:snapToGrid w:val="0"/>
                    <w:ind w:left="42" w:leftChars="20" w:right="42" w:rightChars="20"/>
                    <w:jc w:val="center"/>
                    <w:rPr>
                      <w:rFonts w:ascii="Times New Roman" w:hAnsi="Times New Roman" w:eastAsia="仿宋_GB2312" w:cs="Times New Roman"/>
                      <w:snapToGrid w:val="0"/>
                      <w:color w:val="000000"/>
                      <w:kern w:val="0"/>
                      <w:sz w:val="21"/>
                      <w:szCs w:val="21"/>
                    </w:rPr>
                  </w:pPr>
                  <w:r>
                    <w:rPr>
                      <w:rFonts w:ascii="Times New Roman" w:hAnsi="Times New Roman" w:eastAsia="仿宋_GB2312" w:cs="Times New Roman"/>
                      <w:snapToGrid w:val="0"/>
                      <w:color w:val="000000"/>
                      <w:kern w:val="0"/>
                      <w:sz w:val="21"/>
                      <w:szCs w:val="21"/>
                    </w:rPr>
                    <w:t>相符</w:t>
                  </w:r>
                </w:p>
              </w:tc>
            </w:tr>
            <w:tr w14:paraId="73EB119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275" w:type="pct"/>
                  <w:vAlign w:val="center"/>
                </w:tcPr>
                <w:p w14:paraId="24CA4966">
                  <w:pPr>
                    <w:pStyle w:val="69"/>
                    <w:adjustRightInd w:val="0"/>
                    <w:snapToGrid w:val="0"/>
                    <w:ind w:left="42" w:leftChars="20" w:right="42" w:rightChars="20"/>
                    <w:jc w:val="center"/>
                    <w:rPr>
                      <w:rFonts w:ascii="Times New Roman" w:hAnsi="Times New Roman" w:eastAsia="仿宋_GB2312" w:cs="Times New Roman"/>
                      <w:snapToGrid w:val="0"/>
                      <w:color w:val="000000"/>
                      <w:kern w:val="0"/>
                      <w:sz w:val="21"/>
                      <w:szCs w:val="21"/>
                    </w:rPr>
                  </w:pPr>
                  <w:r>
                    <w:rPr>
                      <w:rFonts w:hint="eastAsia" w:ascii="Times New Roman" w:hAnsi="Times New Roman" w:eastAsia="仿宋_GB2312" w:cs="Times New Roman"/>
                      <w:snapToGrid w:val="0"/>
                      <w:color w:val="000000"/>
                      <w:kern w:val="0"/>
                      <w:sz w:val="21"/>
                      <w:szCs w:val="21"/>
                    </w:rPr>
                    <w:t>十一、（1）禁止建设不符合全国和省级港口布局规划以及港口总体规划的码头项目，禁止建设不符合《长江干线过江通道布局规划》的过长江通道项目。（2）禁止在自然保护区核心区、缓冲区的岸线和河段范围内投资建设旅游和生产经营项目。禁止在风景名胜区核心景区的岸线和河段范围内投资建设与风景名胜资源保护无关的项目。（3）禁止在饮用水水源一级保护区的岸线和河段范围内新建、改建、扩建与供水设施和保护水源无关的项目，以及网箱养殖、旅游等可能污染饮用水水体的投资建设项目。禁止在饮用水水源二级保护区的岸线和河段范围内新建、改建、扩建排放污染物的投资建设项目。（4）禁止在水产种质资源保护区的岸线和河段范围内新建排污口，以及围湖造田、围海造地或围填海等投资建设项目。禁止在国家湿地公园的岸线和河段范围内挖沙、采矿，以及任何不符合主体功能定位的投资建设项目。（5）禁止在《长江岸线保护和开发利用总体规划》划定的岸线保护区内投资建设除保障防洪安全、河势稳定、供水安全以及保护生态环境、已建重要枢纽工程以外的项目，禁止在岸线保留区内投资建设除保障防洪安全、河势稳定、供水安全、航道稳定以及保护生态环境以外的项目。禁止在《全国重要江河湖泊水功能区划》划定的河段保护区、保留区内投资建设不利于水资源及自然生态保护的项目。（6）禁止在生态保护红线和永久基本农田范围内投资建设除国家重大战略资源勘查项目、生态保护修复和环境治理项目、重大基础设施项目、军事国防项目以及农牧民基本生产生活等必要的民生项目以外的项目。（7）禁止在长江干支流1公里范围内新建、扩建化工园区和化工项目。禁止在合规园区外新建、扩建钢铁、石化、化工、焦化、建材、有色等高污染项目。（8）禁止新建、扩建不符合国家石化、现代煤化工等产业布局规划的项目。（9）禁止新建、扩建法律法规和相关政策明令禁止的落后产能项目。（10）禁止新建、扩建不符合国家产能置换要求的严重过剩产能行业的项目。</w:t>
                  </w:r>
                </w:p>
              </w:tc>
              <w:tc>
                <w:tcPr>
                  <w:tcW w:w="2043" w:type="pct"/>
                  <w:vAlign w:val="center"/>
                </w:tcPr>
                <w:p w14:paraId="2D8385E8">
                  <w:pPr>
                    <w:pStyle w:val="69"/>
                    <w:adjustRightInd w:val="0"/>
                    <w:snapToGrid w:val="0"/>
                    <w:ind w:left="42" w:leftChars="20" w:right="42" w:rightChars="20"/>
                    <w:jc w:val="center"/>
                    <w:rPr>
                      <w:rFonts w:ascii="Times New Roman" w:hAnsi="Times New Roman" w:eastAsia="仿宋_GB2312" w:cs="Times New Roman"/>
                      <w:snapToGrid w:val="0"/>
                      <w:color w:val="000000"/>
                      <w:kern w:val="0"/>
                      <w:sz w:val="21"/>
                      <w:szCs w:val="21"/>
                    </w:rPr>
                  </w:pPr>
                  <w:r>
                    <w:rPr>
                      <w:rFonts w:hint="eastAsia" w:ascii="Times New Roman" w:hAnsi="Times New Roman" w:eastAsia="仿宋_GB2312" w:cs="Times New Roman"/>
                      <w:snapToGrid w:val="0"/>
                      <w:color w:val="000000"/>
                      <w:kern w:val="0"/>
                      <w:sz w:val="21"/>
                      <w:szCs w:val="21"/>
                    </w:rPr>
                    <w:t>本项目不属于以上不符合要求的项目</w:t>
                  </w:r>
                </w:p>
              </w:tc>
              <w:tc>
                <w:tcPr>
                  <w:tcW w:w="681" w:type="pct"/>
                  <w:vAlign w:val="center"/>
                </w:tcPr>
                <w:p w14:paraId="7339FEF6">
                  <w:pPr>
                    <w:pStyle w:val="69"/>
                    <w:adjustRightInd w:val="0"/>
                    <w:snapToGrid w:val="0"/>
                    <w:ind w:left="42" w:leftChars="20" w:right="42" w:rightChars="20"/>
                    <w:jc w:val="center"/>
                    <w:rPr>
                      <w:rFonts w:ascii="Times New Roman" w:hAnsi="Times New Roman" w:eastAsia="仿宋_GB2312" w:cs="Times New Roman"/>
                      <w:snapToGrid w:val="0"/>
                      <w:color w:val="000000"/>
                      <w:kern w:val="0"/>
                      <w:sz w:val="21"/>
                      <w:szCs w:val="21"/>
                    </w:rPr>
                  </w:pPr>
                  <w:r>
                    <w:rPr>
                      <w:rFonts w:ascii="Times New Roman" w:hAnsi="Times New Roman" w:eastAsia="仿宋_GB2312" w:cs="Times New Roman"/>
                      <w:snapToGrid w:val="0"/>
                      <w:color w:val="000000"/>
                      <w:kern w:val="0"/>
                      <w:sz w:val="21"/>
                      <w:szCs w:val="21"/>
                    </w:rPr>
                    <w:t>相符</w:t>
                  </w:r>
                </w:p>
              </w:tc>
            </w:tr>
          </w:tbl>
          <w:p w14:paraId="60F816BF">
            <w:pPr>
              <w:pStyle w:val="83"/>
              <w:spacing w:line="360" w:lineRule="auto"/>
              <w:ind w:firstLine="422"/>
              <w:jc w:val="both"/>
              <w:rPr>
                <w:b/>
                <w:color w:val="000000"/>
                <w:sz w:val="21"/>
                <w:szCs w:val="21"/>
              </w:rPr>
            </w:pPr>
            <w:r>
              <w:rPr>
                <w:rFonts w:hint="eastAsia"/>
                <w:b/>
                <w:color w:val="000000"/>
                <w:sz w:val="21"/>
                <w:szCs w:val="21"/>
                <w:lang w:val="en-US" w:eastAsia="zh-CN"/>
              </w:rPr>
              <w:t>七</w:t>
            </w:r>
            <w:r>
              <w:rPr>
                <w:rFonts w:hint="eastAsia"/>
                <w:b/>
                <w:color w:val="000000"/>
                <w:sz w:val="21"/>
                <w:szCs w:val="21"/>
              </w:rPr>
              <w:t>、</w:t>
            </w:r>
            <w:r>
              <w:rPr>
                <w:b/>
                <w:color w:val="000000"/>
                <w:sz w:val="21"/>
                <w:szCs w:val="21"/>
              </w:rPr>
              <w:t>与</w:t>
            </w:r>
            <w:r>
              <w:rPr>
                <w:rFonts w:hint="eastAsia"/>
                <w:b/>
                <w:color w:val="000000"/>
                <w:sz w:val="21"/>
                <w:szCs w:val="21"/>
              </w:rPr>
              <w:t>《关于加强高耗能、高排放建设项目生态环境源头防控的指导意见》（环评[2021]45号）</w:t>
            </w:r>
            <w:r>
              <w:rPr>
                <w:b/>
                <w:color w:val="000000"/>
                <w:sz w:val="21"/>
                <w:szCs w:val="21"/>
              </w:rPr>
              <w:t>的相符性分析</w:t>
            </w:r>
          </w:p>
          <w:p w14:paraId="49966983">
            <w:pPr>
              <w:adjustRightInd w:val="0"/>
              <w:snapToGrid w:val="0"/>
              <w:jc w:val="center"/>
              <w:rPr>
                <w:rFonts w:eastAsia="仿宋_GB2312"/>
                <w:b/>
                <w:bCs/>
                <w:color w:val="000000"/>
                <w:kern w:val="0"/>
              </w:rPr>
            </w:pPr>
            <w:r>
              <w:rPr>
                <w:rFonts w:eastAsia="仿宋_GB2312"/>
                <w:b/>
                <w:bCs/>
                <w:color w:val="000000"/>
                <w:kern w:val="0"/>
              </w:rPr>
              <w:t>表1-</w:t>
            </w:r>
            <w:r>
              <w:rPr>
                <w:rFonts w:hint="eastAsia" w:eastAsia="仿宋_GB2312"/>
                <w:b/>
                <w:bCs/>
                <w:color w:val="000000"/>
                <w:kern w:val="0"/>
                <w:lang w:val="en-US" w:eastAsia="zh-CN"/>
              </w:rPr>
              <w:t xml:space="preserve">11  </w:t>
            </w:r>
            <w:r>
              <w:rPr>
                <w:rFonts w:hint="eastAsia" w:eastAsia="仿宋_GB2312"/>
                <w:b/>
                <w:bCs/>
                <w:color w:val="000000"/>
                <w:kern w:val="0"/>
              </w:rPr>
              <w:t>与《关于加强高耗能、高排放建设项目生态环境源头防控的指导意见》（环环评[2021]45号）的相符性分析</w:t>
            </w:r>
          </w:p>
          <w:tbl>
            <w:tblPr>
              <w:tblStyle w:val="31"/>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779"/>
              <w:gridCol w:w="1715"/>
            </w:tblGrid>
            <w:tr w14:paraId="65EBF0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55" w:type="pct"/>
                  <w:vAlign w:val="center"/>
                </w:tcPr>
                <w:p w14:paraId="58BC94A2">
                  <w:pPr>
                    <w:pStyle w:val="46"/>
                    <w:snapToGrid w:val="0"/>
                    <w:spacing w:line="240" w:lineRule="auto"/>
                    <w:jc w:val="center"/>
                    <w:rPr>
                      <w:rFonts w:ascii="Times New Roman" w:eastAsia="仿宋_GB2312" w:cs="Times New Roman"/>
                      <w:sz w:val="21"/>
                      <w:szCs w:val="21"/>
                    </w:rPr>
                  </w:pPr>
                  <w:r>
                    <w:rPr>
                      <w:rFonts w:ascii="Times New Roman" w:eastAsia="仿宋_GB2312" w:cs="Times New Roman"/>
                      <w:sz w:val="21"/>
                      <w:szCs w:val="21"/>
                    </w:rPr>
                    <w:t>条例</w:t>
                  </w:r>
                </w:p>
              </w:tc>
              <w:tc>
                <w:tcPr>
                  <w:tcW w:w="1144" w:type="pct"/>
                  <w:vAlign w:val="center"/>
                </w:tcPr>
                <w:p w14:paraId="15601DAD">
                  <w:pPr>
                    <w:pStyle w:val="46"/>
                    <w:snapToGrid w:val="0"/>
                    <w:spacing w:line="240" w:lineRule="auto"/>
                    <w:jc w:val="center"/>
                    <w:rPr>
                      <w:rFonts w:ascii="Times New Roman" w:eastAsia="仿宋_GB2312" w:cs="Times New Roman"/>
                      <w:sz w:val="21"/>
                      <w:szCs w:val="21"/>
                    </w:rPr>
                  </w:pPr>
                  <w:r>
                    <w:rPr>
                      <w:rFonts w:ascii="Times New Roman" w:eastAsia="仿宋_GB2312" w:cs="Times New Roman"/>
                      <w:sz w:val="21"/>
                      <w:szCs w:val="21"/>
                    </w:rPr>
                    <w:t>相符性</w:t>
                  </w:r>
                </w:p>
              </w:tc>
            </w:tr>
            <w:tr w14:paraId="439F3F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55" w:type="pct"/>
                  <w:vAlign w:val="center"/>
                </w:tcPr>
                <w:p w14:paraId="63F20D8C">
                  <w:pPr>
                    <w:pStyle w:val="46"/>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outlineLvl w:val="9"/>
                    <w:rPr>
                      <w:rFonts w:ascii="Times New Roman" w:eastAsia="仿宋_GB2312" w:cs="Times New Roman"/>
                      <w:b w:val="0"/>
                      <w:bCs/>
                      <w:sz w:val="21"/>
                      <w:szCs w:val="21"/>
                    </w:rPr>
                  </w:pPr>
                  <w:r>
                    <w:rPr>
                      <w:rFonts w:ascii="Times New Roman" w:eastAsia="仿宋_GB2312" w:cs="Times New Roman"/>
                      <w:b w:val="0"/>
                      <w:bCs/>
                      <w:sz w:val="21"/>
                      <w:szCs w:val="21"/>
                    </w:rPr>
                    <w:t>（一）深入实施“三线一单”。各级生态环境部门应加快推进“三线一单”成果在“两高”行业产业布局和结构调整、重大项目选址中的应用。地方生态环境部门组织“三线一单”地市落地细化及后续更新调整时，应在生态环境准入清单中深化“两高”项目环境准入及管控要求；承接钢铁、电解铝等产业转移地区应严格落实生态环境分区管控要求，将环境质量底线作为硬约束。</w:t>
                  </w:r>
                </w:p>
              </w:tc>
              <w:tc>
                <w:tcPr>
                  <w:tcW w:w="1144" w:type="pct"/>
                  <w:vAlign w:val="center"/>
                </w:tcPr>
                <w:p w14:paraId="1FAC8524">
                  <w:pPr>
                    <w:pStyle w:val="46"/>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outlineLvl w:val="9"/>
                    <w:rPr>
                      <w:rFonts w:ascii="Times New Roman" w:eastAsia="仿宋_GB2312" w:cs="Times New Roman"/>
                      <w:b w:val="0"/>
                      <w:bCs/>
                      <w:sz w:val="21"/>
                      <w:szCs w:val="21"/>
                    </w:rPr>
                  </w:pPr>
                  <w:r>
                    <w:rPr>
                      <w:rFonts w:hint="eastAsia" w:ascii="Times New Roman" w:eastAsia="仿宋_GB2312" w:cs="Times New Roman"/>
                      <w:b w:val="0"/>
                      <w:bCs/>
                      <w:sz w:val="21"/>
                      <w:szCs w:val="21"/>
                    </w:rPr>
                    <w:t>本项目符合“三线一单”的要求</w:t>
                  </w:r>
                </w:p>
              </w:tc>
            </w:tr>
            <w:tr w14:paraId="0DFCDA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55" w:type="pct"/>
                  <w:vAlign w:val="center"/>
                </w:tcPr>
                <w:p w14:paraId="0E6964BA">
                  <w:pPr>
                    <w:pStyle w:val="46"/>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outlineLvl w:val="9"/>
                    <w:rPr>
                      <w:rFonts w:ascii="Times New Roman" w:eastAsia="仿宋_GB2312" w:cs="Times New Roman"/>
                      <w:b w:val="0"/>
                      <w:bCs/>
                      <w:sz w:val="21"/>
                      <w:szCs w:val="21"/>
                    </w:rPr>
                  </w:pPr>
                  <w:r>
                    <w:rPr>
                      <w:rFonts w:ascii="Times New Roman" w:eastAsia="仿宋_GB2312" w:cs="Times New Roman"/>
                      <w:b w:val="0"/>
                      <w:bCs/>
                      <w:sz w:val="21"/>
                      <w:szCs w:val="21"/>
                    </w:rPr>
                    <w:t>（二）强化规划环评效力。各级生态环境部门应严格审查涉“两高”行业的有关综合性规划和工业、能源等专项规划环评，特别对为上马“两高”项目而修编的规划，在环评审查中应严格控制“两高”行业发展规模，优化规划布局、产业结构与实施时序。以“两高”行业为主导产业的园区规划环评应增加碳排放情况与减排潜力分析，推动园区绿色低碳发展。推动煤电能源基地、现代煤化工示范区、石化产业基地等开展规划环境影响跟踪评价，完善生态环境保护措施并适时优化调整规划。</w:t>
                  </w:r>
                </w:p>
              </w:tc>
              <w:tc>
                <w:tcPr>
                  <w:tcW w:w="1144" w:type="pct"/>
                  <w:vAlign w:val="center"/>
                </w:tcPr>
                <w:p w14:paraId="77631563">
                  <w:pPr>
                    <w:pStyle w:val="46"/>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outlineLvl w:val="9"/>
                    <w:rPr>
                      <w:rFonts w:ascii="Times New Roman" w:eastAsia="仿宋_GB2312" w:cs="Times New Roman"/>
                      <w:b w:val="0"/>
                      <w:bCs/>
                      <w:sz w:val="21"/>
                      <w:szCs w:val="21"/>
                    </w:rPr>
                  </w:pPr>
                  <w:r>
                    <w:rPr>
                      <w:rFonts w:hint="eastAsia" w:ascii="Times New Roman" w:eastAsia="仿宋_GB2312" w:cs="Times New Roman"/>
                      <w:b w:val="0"/>
                      <w:bCs/>
                      <w:sz w:val="21"/>
                      <w:szCs w:val="21"/>
                    </w:rPr>
                    <w:t>/</w:t>
                  </w:r>
                </w:p>
              </w:tc>
            </w:tr>
            <w:tr w14:paraId="0CFEA6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55" w:type="pct"/>
                  <w:vAlign w:val="center"/>
                </w:tcPr>
                <w:p w14:paraId="1D7EEC4A">
                  <w:pPr>
                    <w:pStyle w:val="46"/>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outlineLvl w:val="9"/>
                    <w:rPr>
                      <w:rFonts w:ascii="Times New Roman" w:eastAsia="仿宋_GB2312" w:cs="Times New Roman"/>
                      <w:b w:val="0"/>
                      <w:bCs/>
                      <w:sz w:val="21"/>
                      <w:szCs w:val="21"/>
                    </w:rPr>
                  </w:pPr>
                  <w:r>
                    <w:rPr>
                      <w:rFonts w:ascii="Times New Roman" w:eastAsia="仿宋_GB2312" w:cs="Times New Roman"/>
                      <w:b w:val="0"/>
                      <w:bCs/>
                      <w:sz w:val="21"/>
                      <w:szCs w:val="21"/>
                    </w:rPr>
                    <w:t>（三）严把建设项目环境准入关。新建、改建、扩建“两高”项目须符合生态环境保护法律法规和相关法定规划，满足重点污染物排放总量控制、碳排放达峰目标、生态环境准入清单、相关规划环评和相应行业建设项目环境准入条件、环评文件审批原则要求。石化、现代煤化工项目应纳入国家产业规划。新建、扩建石化、化工、焦化、有色金属冶炼、平板玻璃项目应布设在依法合规设立并经规划环评的产业园区。各级生态环境部门和行政审批部门要严格把关，对于不符合相关法律法规的，依法不予审批。</w:t>
                  </w:r>
                </w:p>
              </w:tc>
              <w:tc>
                <w:tcPr>
                  <w:tcW w:w="1144" w:type="pct"/>
                  <w:vAlign w:val="center"/>
                </w:tcPr>
                <w:p w14:paraId="7528F598">
                  <w:pPr>
                    <w:pStyle w:val="46"/>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outlineLvl w:val="9"/>
                    <w:rPr>
                      <w:rFonts w:ascii="Times New Roman" w:eastAsia="仿宋_GB2312" w:cs="Times New Roman"/>
                      <w:b w:val="0"/>
                      <w:bCs/>
                      <w:sz w:val="21"/>
                      <w:szCs w:val="21"/>
                    </w:rPr>
                  </w:pPr>
                  <w:r>
                    <w:rPr>
                      <w:rFonts w:ascii="Times New Roman" w:eastAsia="仿宋_GB2312" w:cs="Times New Roman"/>
                      <w:b w:val="0"/>
                      <w:bCs/>
                      <w:sz w:val="21"/>
                      <w:szCs w:val="21"/>
                    </w:rPr>
                    <w:t>本项目属于</w:t>
                  </w:r>
                  <w:r>
                    <w:rPr>
                      <w:rFonts w:hint="eastAsia" w:ascii="Times New Roman" w:eastAsia="仿宋_GB2312" w:cs="Times New Roman"/>
                      <w:b w:val="0"/>
                      <w:bCs/>
                      <w:sz w:val="21"/>
                      <w:szCs w:val="21"/>
                    </w:rPr>
                    <w:t>盐加工</w:t>
                  </w:r>
                  <w:r>
                    <w:rPr>
                      <w:rFonts w:ascii="Times New Roman" w:eastAsia="仿宋_GB2312" w:cs="Times New Roman"/>
                      <w:b w:val="0"/>
                      <w:bCs/>
                      <w:sz w:val="21"/>
                      <w:szCs w:val="21"/>
                    </w:rPr>
                    <w:t>，</w:t>
                  </w:r>
                  <w:r>
                    <w:rPr>
                      <w:rFonts w:hint="eastAsia" w:ascii="Times New Roman" w:eastAsia="仿宋_GB2312" w:cs="Times New Roman"/>
                      <w:b w:val="0"/>
                      <w:bCs/>
                      <w:sz w:val="21"/>
                      <w:szCs w:val="21"/>
                    </w:rPr>
                    <w:t>不属于</w:t>
                  </w:r>
                  <w:r>
                    <w:rPr>
                      <w:rFonts w:ascii="Times New Roman" w:eastAsia="仿宋_GB2312" w:cs="Times New Roman"/>
                      <w:b w:val="0"/>
                      <w:bCs/>
                      <w:sz w:val="21"/>
                      <w:szCs w:val="21"/>
                    </w:rPr>
                    <w:t>“两高”项目范围</w:t>
                  </w:r>
                  <w:r>
                    <w:rPr>
                      <w:rFonts w:hint="eastAsia" w:ascii="Times New Roman" w:eastAsia="仿宋_GB2312" w:cs="Times New Roman"/>
                      <w:b w:val="0"/>
                      <w:bCs/>
                      <w:sz w:val="21"/>
                      <w:szCs w:val="21"/>
                    </w:rPr>
                    <w:t>，满足</w:t>
                  </w:r>
                  <w:r>
                    <w:rPr>
                      <w:rFonts w:ascii="Times New Roman" w:eastAsia="仿宋_GB2312" w:cs="Times New Roman"/>
                      <w:b w:val="0"/>
                      <w:bCs/>
                      <w:sz w:val="21"/>
                      <w:szCs w:val="21"/>
                    </w:rPr>
                    <w:t>生态环境保护法律法规和相关法定规划</w:t>
                  </w:r>
                </w:p>
              </w:tc>
            </w:tr>
            <w:tr w14:paraId="2F82F3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55" w:type="pct"/>
                  <w:vAlign w:val="center"/>
                </w:tcPr>
                <w:p w14:paraId="1F055894">
                  <w:pPr>
                    <w:pStyle w:val="46"/>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outlineLvl w:val="9"/>
                    <w:rPr>
                      <w:rFonts w:ascii="Times New Roman" w:eastAsia="仿宋_GB2312" w:cs="Times New Roman"/>
                      <w:b w:val="0"/>
                      <w:bCs/>
                      <w:sz w:val="21"/>
                      <w:szCs w:val="21"/>
                    </w:rPr>
                  </w:pPr>
                  <w:r>
                    <w:rPr>
                      <w:rFonts w:ascii="Times New Roman" w:eastAsia="仿宋_GB2312" w:cs="Times New Roman"/>
                      <w:b w:val="0"/>
                      <w:bCs/>
                      <w:sz w:val="21"/>
                      <w:szCs w:val="21"/>
                    </w:rPr>
                    <w:t>（四）落实区域削减要求。新建“两高”项目应按照《关于加强重点行业建设项目区域削减措施监督管理的通知》要求，依据区域环境质量改善目标，制定配套区域污染物削减方案，采取有效的污染物区域削减措施，腾出足够的环境容量。国家大气污染防治重点区域(以下称重点区域)内新建耗煤项目还应严格按规定采取煤炭消费减量替代措施，不得使用高污染燃料作为煤炭减量替代措施。</w:t>
                  </w:r>
                </w:p>
              </w:tc>
              <w:tc>
                <w:tcPr>
                  <w:tcW w:w="1144" w:type="pct"/>
                  <w:vAlign w:val="center"/>
                </w:tcPr>
                <w:p w14:paraId="45786CEA">
                  <w:pPr>
                    <w:pStyle w:val="46"/>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outlineLvl w:val="9"/>
                    <w:rPr>
                      <w:rFonts w:ascii="Times New Roman" w:eastAsia="仿宋_GB2312" w:cs="Times New Roman"/>
                      <w:b w:val="0"/>
                      <w:bCs/>
                      <w:sz w:val="21"/>
                      <w:szCs w:val="21"/>
                    </w:rPr>
                  </w:pPr>
                  <w:r>
                    <w:rPr>
                      <w:rFonts w:ascii="Times New Roman" w:eastAsia="仿宋_GB2312" w:cs="Times New Roman"/>
                      <w:b w:val="0"/>
                      <w:bCs/>
                      <w:sz w:val="21"/>
                      <w:szCs w:val="21"/>
                    </w:rPr>
                    <w:t>本项目属于</w:t>
                  </w:r>
                  <w:r>
                    <w:rPr>
                      <w:rFonts w:hint="eastAsia" w:ascii="Times New Roman" w:eastAsia="仿宋_GB2312" w:cs="Times New Roman"/>
                      <w:b w:val="0"/>
                      <w:bCs/>
                      <w:sz w:val="21"/>
                      <w:szCs w:val="21"/>
                    </w:rPr>
                    <w:t>盐加工</w:t>
                  </w:r>
                  <w:r>
                    <w:rPr>
                      <w:rFonts w:ascii="Times New Roman" w:eastAsia="仿宋_GB2312" w:cs="Times New Roman"/>
                      <w:b w:val="0"/>
                      <w:bCs/>
                      <w:sz w:val="21"/>
                      <w:szCs w:val="21"/>
                    </w:rPr>
                    <w:t>，</w:t>
                  </w:r>
                  <w:r>
                    <w:rPr>
                      <w:rFonts w:hint="eastAsia" w:ascii="Times New Roman" w:eastAsia="仿宋_GB2312" w:cs="Times New Roman"/>
                      <w:b w:val="0"/>
                      <w:bCs/>
                      <w:sz w:val="21"/>
                      <w:szCs w:val="21"/>
                    </w:rPr>
                    <w:t>不属于</w:t>
                  </w:r>
                  <w:r>
                    <w:rPr>
                      <w:rFonts w:ascii="Times New Roman" w:eastAsia="仿宋_GB2312" w:cs="Times New Roman"/>
                      <w:b w:val="0"/>
                      <w:bCs/>
                      <w:sz w:val="21"/>
                      <w:szCs w:val="21"/>
                    </w:rPr>
                    <w:t>“两高”项目范围</w:t>
                  </w:r>
                  <w:r>
                    <w:rPr>
                      <w:rFonts w:hint="eastAsia" w:ascii="Times New Roman" w:eastAsia="仿宋_GB2312" w:cs="Times New Roman"/>
                      <w:b w:val="0"/>
                      <w:bCs/>
                      <w:sz w:val="21"/>
                      <w:szCs w:val="21"/>
                    </w:rPr>
                    <w:t>，不新增煤耗，不使用高污染燃料</w:t>
                  </w:r>
                </w:p>
              </w:tc>
            </w:tr>
            <w:tr w14:paraId="77C746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55" w:type="pct"/>
                  <w:vAlign w:val="center"/>
                </w:tcPr>
                <w:p w14:paraId="793627ED">
                  <w:pPr>
                    <w:pStyle w:val="46"/>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outlineLvl w:val="9"/>
                    <w:rPr>
                      <w:rFonts w:ascii="Times New Roman" w:eastAsia="仿宋_GB2312" w:cs="Times New Roman"/>
                      <w:b w:val="0"/>
                      <w:bCs/>
                      <w:sz w:val="21"/>
                      <w:szCs w:val="21"/>
                    </w:rPr>
                  </w:pPr>
                  <w:r>
                    <w:rPr>
                      <w:rFonts w:ascii="Times New Roman" w:eastAsia="仿宋_GB2312" w:cs="Times New Roman"/>
                      <w:b w:val="0"/>
                      <w:bCs/>
                      <w:sz w:val="21"/>
                      <w:szCs w:val="21"/>
                    </w:rPr>
                    <w:t>（五）合理划分事权。省级生态环境部门应加强对基层“两高”项目环评审批程序、审批结果的监督与评估，对审批能力不适应的依法调整上收。对炼油、乙烯、钢铁、焦化、煤化工、燃煤发电、电解铝、水泥熟料、平板玻璃、铜铅锌硅冶炼等环境影响大或环境风险高的项目类别，不得以改革试点名义随意下放环评审批权限或降低审批要求。</w:t>
                  </w:r>
                </w:p>
              </w:tc>
              <w:tc>
                <w:tcPr>
                  <w:tcW w:w="1144" w:type="pct"/>
                  <w:vAlign w:val="center"/>
                </w:tcPr>
                <w:p w14:paraId="3C3D3E8C">
                  <w:pPr>
                    <w:pStyle w:val="46"/>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outlineLvl w:val="9"/>
                    <w:rPr>
                      <w:rFonts w:ascii="Times New Roman" w:eastAsia="仿宋_GB2312" w:cs="Times New Roman"/>
                      <w:b w:val="0"/>
                      <w:bCs/>
                      <w:sz w:val="21"/>
                      <w:szCs w:val="21"/>
                    </w:rPr>
                  </w:pPr>
                  <w:r>
                    <w:rPr>
                      <w:rFonts w:hint="eastAsia" w:ascii="Times New Roman" w:eastAsia="仿宋_GB2312" w:cs="Times New Roman"/>
                      <w:b w:val="0"/>
                      <w:bCs/>
                      <w:sz w:val="21"/>
                      <w:szCs w:val="21"/>
                    </w:rPr>
                    <w:t>/</w:t>
                  </w:r>
                </w:p>
              </w:tc>
            </w:tr>
            <w:tr w14:paraId="661EA5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55" w:type="pct"/>
                  <w:vAlign w:val="center"/>
                </w:tcPr>
                <w:p w14:paraId="4905538F">
                  <w:pPr>
                    <w:pStyle w:val="46"/>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outlineLvl w:val="9"/>
                    <w:rPr>
                      <w:rFonts w:ascii="Times New Roman" w:eastAsia="仿宋_GB2312" w:cs="Times New Roman"/>
                      <w:b w:val="0"/>
                      <w:bCs/>
                      <w:sz w:val="21"/>
                      <w:szCs w:val="21"/>
                    </w:rPr>
                  </w:pPr>
                  <w:r>
                    <w:rPr>
                      <w:rFonts w:ascii="Times New Roman" w:eastAsia="仿宋_GB2312" w:cs="Times New Roman"/>
                      <w:b w:val="0"/>
                      <w:bCs/>
                      <w:sz w:val="21"/>
                      <w:szCs w:val="21"/>
                    </w:rPr>
                    <w:t>（六）提升清洁生产和污染防治水平。新建、扩建“两高”项目应采用先进适用的工艺技术和装备，单位产品物耗、能耗、水耗等达到清洁生产先进水平，依法制定并严格落实防治土壤与地下水污染的措施。国家或地方已出台超低排放要求的“两高”行业建设项目应满足超低排放要求。鼓励使用清洁燃料，重点区域建设项目原则上不新建燃煤自备锅炉。鼓励重点区域高炉-转炉长流程钢铁企业转型为电炉短流程企业。大宗物料优先采用铁路、管道或水路运输，短途接驳优先使用新能源车辆运输。</w:t>
                  </w:r>
                </w:p>
              </w:tc>
              <w:tc>
                <w:tcPr>
                  <w:tcW w:w="1144" w:type="pct"/>
                  <w:vAlign w:val="center"/>
                </w:tcPr>
                <w:p w14:paraId="3C663E52">
                  <w:pPr>
                    <w:pStyle w:val="46"/>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outlineLvl w:val="9"/>
                    <w:rPr>
                      <w:rFonts w:ascii="Times New Roman" w:eastAsia="仿宋_GB2312" w:cs="Times New Roman"/>
                      <w:b w:val="0"/>
                      <w:bCs/>
                      <w:sz w:val="21"/>
                      <w:szCs w:val="21"/>
                    </w:rPr>
                  </w:pPr>
                  <w:r>
                    <w:rPr>
                      <w:rFonts w:hint="eastAsia" w:ascii="Times New Roman" w:eastAsia="仿宋_GB2312" w:cs="Times New Roman"/>
                      <w:b w:val="0"/>
                      <w:bCs/>
                      <w:sz w:val="21"/>
                      <w:szCs w:val="21"/>
                    </w:rPr>
                    <w:t>本项目使用电能等清洁能源。</w:t>
                  </w:r>
                </w:p>
              </w:tc>
            </w:tr>
            <w:tr w14:paraId="4A94C1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55" w:type="pct"/>
                  <w:vAlign w:val="center"/>
                </w:tcPr>
                <w:p w14:paraId="0647E3E4">
                  <w:pPr>
                    <w:pStyle w:val="46"/>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outlineLvl w:val="9"/>
                    <w:rPr>
                      <w:rFonts w:ascii="Times New Roman" w:eastAsia="仿宋_GB2312" w:cs="Times New Roman"/>
                      <w:b w:val="0"/>
                      <w:bCs/>
                      <w:sz w:val="21"/>
                      <w:szCs w:val="21"/>
                    </w:rPr>
                  </w:pPr>
                  <w:r>
                    <w:rPr>
                      <w:rFonts w:ascii="Times New Roman" w:eastAsia="仿宋_GB2312" w:cs="Times New Roman"/>
                      <w:b w:val="0"/>
                      <w:bCs/>
                      <w:sz w:val="21"/>
                      <w:szCs w:val="21"/>
                    </w:rPr>
                    <w:t>（七）将碳排放影响评价纳入环境影响评价体系。各级生态环境部门和行政审批部门应积极推进“两高”项目环评开展试点工作，衔接落实有关区域和行业碳达峰行动方案、清洁能源替代、清洁运输、煤炭消费总量控制等政策要求。在环评工作中，统筹开展污染物和碳排放的源项识别、源强核算、减污降碳措施可行性论证及方案比选，提出协同控制最优方案。鼓励有条件的地区、企业探索实施减污降碳协同治理和碳捕集、封存、综合利用工程试点、示范。</w:t>
                  </w:r>
                </w:p>
              </w:tc>
              <w:tc>
                <w:tcPr>
                  <w:tcW w:w="1144" w:type="pct"/>
                  <w:vAlign w:val="center"/>
                </w:tcPr>
                <w:p w14:paraId="0E70E1F3">
                  <w:pPr>
                    <w:pStyle w:val="46"/>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outlineLvl w:val="9"/>
                    <w:rPr>
                      <w:rFonts w:ascii="Times New Roman" w:eastAsia="仿宋_GB2312" w:cs="Times New Roman"/>
                      <w:b w:val="0"/>
                      <w:bCs/>
                      <w:sz w:val="21"/>
                      <w:szCs w:val="21"/>
                    </w:rPr>
                  </w:pPr>
                  <w:r>
                    <w:rPr>
                      <w:rFonts w:hint="eastAsia" w:ascii="Times New Roman" w:eastAsia="仿宋_GB2312" w:cs="Times New Roman"/>
                      <w:b w:val="0"/>
                      <w:bCs/>
                      <w:sz w:val="21"/>
                      <w:szCs w:val="21"/>
                    </w:rPr>
                    <w:t>对照省生态环境厅关于印发《江苏省重点行业建设项目碳排放环境影响评价技术指南(试行)》的通知，本项目不属于需要进行碳排放的行业。</w:t>
                  </w:r>
                </w:p>
              </w:tc>
            </w:tr>
            <w:tr w14:paraId="6A4B88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55" w:type="pct"/>
                  <w:vAlign w:val="center"/>
                </w:tcPr>
                <w:p w14:paraId="61FADCA3">
                  <w:pPr>
                    <w:pStyle w:val="46"/>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outlineLvl w:val="9"/>
                    <w:rPr>
                      <w:rFonts w:ascii="Times New Roman" w:eastAsia="仿宋_GB2312" w:cs="Times New Roman"/>
                      <w:b w:val="0"/>
                      <w:bCs/>
                      <w:sz w:val="21"/>
                      <w:szCs w:val="21"/>
                    </w:rPr>
                  </w:pPr>
                  <w:r>
                    <w:rPr>
                      <w:rFonts w:ascii="Times New Roman" w:eastAsia="仿宋_GB2312" w:cs="Times New Roman"/>
                      <w:b w:val="0"/>
                      <w:bCs/>
                      <w:sz w:val="21"/>
                      <w:szCs w:val="21"/>
                    </w:rPr>
                    <w:t>（八）加强排污许可证管理。地方生态环境部门和行政审批部门在“两高”企业排污许可证核发审查过程中，应全面核实环评及批复文件中各项生态环境保护措施及区域削减措施落实情况，对实行排污许可重点管理的“两高”企业加强现场核查，对不符合条件的依法不予许可。加强“两高”企业排污许可证质量和执行报告提交情况检查，督促企业做好台账记录、执行报告、自行监测、环境信息公开等工作。对于持有排污限期整改通知书或排污许可证中存在整改事项的“两高”企业，密切跟踪整改落实情况，发现未按期完成整改、存在无证排污行为的，依法从严查处。</w:t>
                  </w:r>
                </w:p>
              </w:tc>
              <w:tc>
                <w:tcPr>
                  <w:tcW w:w="1144" w:type="pct"/>
                  <w:vAlign w:val="center"/>
                </w:tcPr>
                <w:p w14:paraId="41483EAB">
                  <w:pPr>
                    <w:pStyle w:val="46"/>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outlineLvl w:val="9"/>
                    <w:rPr>
                      <w:rFonts w:ascii="Times New Roman" w:eastAsia="仿宋_GB2312" w:cs="Times New Roman"/>
                      <w:b w:val="0"/>
                      <w:bCs/>
                      <w:sz w:val="21"/>
                      <w:szCs w:val="21"/>
                    </w:rPr>
                  </w:pPr>
                  <w:r>
                    <w:rPr>
                      <w:rFonts w:hint="eastAsia" w:ascii="Times New Roman" w:eastAsia="仿宋_GB2312" w:cs="Times New Roman"/>
                      <w:b w:val="0"/>
                      <w:bCs/>
                      <w:sz w:val="21"/>
                      <w:szCs w:val="21"/>
                    </w:rPr>
                    <w:t>企业将于获得环评批文后，验收前进行排污许可申报。</w:t>
                  </w:r>
                </w:p>
              </w:tc>
            </w:tr>
            <w:tr w14:paraId="71156E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35" w:hRule="atLeast"/>
              </w:trPr>
              <w:tc>
                <w:tcPr>
                  <w:tcW w:w="3855" w:type="pct"/>
                  <w:vAlign w:val="center"/>
                </w:tcPr>
                <w:p w14:paraId="511E558E">
                  <w:pPr>
                    <w:pStyle w:val="46"/>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outlineLvl w:val="9"/>
                    <w:rPr>
                      <w:rFonts w:ascii="Times New Roman" w:eastAsia="仿宋_GB2312" w:cs="Times New Roman"/>
                      <w:b w:val="0"/>
                      <w:bCs/>
                      <w:sz w:val="21"/>
                      <w:szCs w:val="21"/>
                    </w:rPr>
                  </w:pPr>
                  <w:r>
                    <w:rPr>
                      <w:rFonts w:ascii="Times New Roman" w:eastAsia="仿宋_GB2312" w:cs="Times New Roman"/>
                      <w:b w:val="0"/>
                      <w:bCs/>
                      <w:sz w:val="21"/>
                      <w:szCs w:val="21"/>
                    </w:rPr>
                    <w:t>（九）强化以排污许可证为主要依据的执法监管。各地生态环境部门应将“两高”企业纳入“双随机、一公开”监管。加大“两高”企业依证排污以及环境信息依法公开情况检查力度，特别对实行排污许可重点管理的“两高”企业，应及时核查排污许可证许可事项落实情况，重点核查污染物排放浓度及排放量、无组织排放控制、特殊时段排放控制等要求的落实情况。严厉打击“两高”企业无证排污、不按证排污等各类违法行为，及时曝光违反排污许可制度的典型案例。</w:t>
                  </w:r>
                </w:p>
              </w:tc>
              <w:tc>
                <w:tcPr>
                  <w:tcW w:w="1144" w:type="pct"/>
                  <w:vAlign w:val="center"/>
                </w:tcPr>
                <w:p w14:paraId="2B0D8F61">
                  <w:pPr>
                    <w:pStyle w:val="46"/>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outlineLvl w:val="9"/>
                    <w:rPr>
                      <w:rFonts w:ascii="Times New Roman" w:eastAsia="仿宋_GB2312" w:cs="Times New Roman"/>
                      <w:b w:val="0"/>
                      <w:bCs/>
                      <w:sz w:val="21"/>
                      <w:szCs w:val="21"/>
                    </w:rPr>
                  </w:pPr>
                  <w:r>
                    <w:rPr>
                      <w:rFonts w:hint="eastAsia" w:ascii="Times New Roman" w:eastAsia="仿宋_GB2312" w:cs="Times New Roman"/>
                      <w:b w:val="0"/>
                      <w:bCs/>
                      <w:sz w:val="21"/>
                      <w:szCs w:val="21"/>
                    </w:rPr>
                    <w:t>/</w:t>
                  </w:r>
                </w:p>
              </w:tc>
            </w:tr>
            <w:tr w14:paraId="07D74B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62" w:hRule="atLeast"/>
              </w:trPr>
              <w:tc>
                <w:tcPr>
                  <w:tcW w:w="3855" w:type="pct"/>
                  <w:vAlign w:val="center"/>
                </w:tcPr>
                <w:p w14:paraId="6896731A">
                  <w:pPr>
                    <w:pStyle w:val="46"/>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outlineLvl w:val="9"/>
                    <w:rPr>
                      <w:rFonts w:ascii="Times New Roman" w:eastAsia="仿宋_GB2312" w:cs="Times New Roman"/>
                      <w:b w:val="0"/>
                      <w:bCs/>
                      <w:sz w:val="21"/>
                      <w:szCs w:val="21"/>
                    </w:rPr>
                  </w:pPr>
                  <w:r>
                    <w:rPr>
                      <w:rFonts w:ascii="Times New Roman" w:eastAsia="仿宋_GB2312" w:cs="Times New Roman"/>
                      <w:b w:val="0"/>
                      <w:bCs/>
                      <w:sz w:val="21"/>
                      <w:szCs w:val="21"/>
                    </w:rPr>
                    <w:t>（十）建立管理台账。各级生态环境部门和行政审批部门应建立“两高”项目管理台账，将自 2021 年起受理、审批环评文件以及有关部门列入计划的“两高”项目纳入台账，记录项目名称、建设地点、所属行业、建设状态、环评文件受理时间、审批部门、审批时间、审批文号等基本信息，涉及产能置换的还应记录置换产能退出装备、产能等信息。既有“两高”项目按有关要求开展复核。“两高”项目暂按煤电、石化、化工、钢铁、有色金属冶炼、建材等六个行业类别统计，后续对“两高”范围国家如有明确规定的，从其规定。省级生态环境部门应统筹调度行政区域内“两高”项目情况，于 2021年10月底前报送生态环境部，后续每半年更新。</w:t>
                  </w:r>
                </w:p>
              </w:tc>
              <w:tc>
                <w:tcPr>
                  <w:tcW w:w="1144" w:type="pct"/>
                  <w:vAlign w:val="center"/>
                </w:tcPr>
                <w:p w14:paraId="4751ABA9">
                  <w:pPr>
                    <w:pStyle w:val="46"/>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outlineLvl w:val="9"/>
                    <w:rPr>
                      <w:rFonts w:ascii="Times New Roman" w:eastAsia="仿宋_GB2312" w:cs="Times New Roman"/>
                      <w:b w:val="0"/>
                      <w:bCs/>
                      <w:sz w:val="21"/>
                      <w:szCs w:val="21"/>
                    </w:rPr>
                  </w:pPr>
                  <w:r>
                    <w:rPr>
                      <w:rFonts w:hint="eastAsia" w:ascii="Times New Roman" w:eastAsia="仿宋_GB2312" w:cs="Times New Roman"/>
                      <w:b w:val="0"/>
                      <w:bCs/>
                      <w:sz w:val="21"/>
                      <w:szCs w:val="21"/>
                    </w:rPr>
                    <w:t>对照《环境保护综合名录》（2021年版），项目产品不属于其中的“高污染、高环境风险”产品名录。对照《省生态环境厅关于报送高耗能、高排放项目清单的通知》，本项目不属于</w:t>
                  </w:r>
                  <w:r>
                    <w:rPr>
                      <w:rFonts w:ascii="Times New Roman" w:eastAsia="仿宋_GB2312" w:cs="Times New Roman"/>
                      <w:b w:val="0"/>
                      <w:bCs/>
                      <w:sz w:val="21"/>
                      <w:szCs w:val="21"/>
                    </w:rPr>
                    <w:t>“两高”</w:t>
                  </w:r>
                  <w:r>
                    <w:rPr>
                      <w:rFonts w:hint="eastAsia" w:ascii="Times New Roman" w:eastAsia="仿宋_GB2312" w:cs="Times New Roman"/>
                      <w:b w:val="0"/>
                      <w:bCs/>
                      <w:sz w:val="21"/>
                      <w:szCs w:val="21"/>
                    </w:rPr>
                    <w:t>范围。</w:t>
                  </w:r>
                </w:p>
              </w:tc>
            </w:tr>
            <w:tr w14:paraId="4F6E1B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55" w:type="pct"/>
                  <w:vAlign w:val="center"/>
                </w:tcPr>
                <w:p w14:paraId="2626FDB8">
                  <w:pPr>
                    <w:pStyle w:val="46"/>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outlineLvl w:val="9"/>
                    <w:rPr>
                      <w:rFonts w:ascii="Times New Roman" w:eastAsia="仿宋_GB2312" w:cs="Times New Roman"/>
                      <w:b w:val="0"/>
                      <w:bCs/>
                      <w:sz w:val="21"/>
                      <w:szCs w:val="21"/>
                    </w:rPr>
                  </w:pPr>
                  <w:r>
                    <w:rPr>
                      <w:rFonts w:ascii="Times New Roman" w:eastAsia="仿宋_GB2312" w:cs="Times New Roman"/>
                      <w:b w:val="0"/>
                      <w:bCs/>
                      <w:sz w:val="21"/>
                      <w:szCs w:val="21"/>
                    </w:rPr>
                    <w:t>（十一）加强监督检查。各地生态环境部门应建立“两高”项目环评与排污许可监督检查工作机制。对基层生态环境部门和行政审批部门已批复环评文件的“两高”项目，省级生态环境部门应开展复核。对已开工在建的，要重点检查生态环境保护措施是否同时实施，是否存在重大变动。对已经投入生产或者使用的，还要重点检查环评文件及批复提出的生态环境保护措施和重点污染物区域削减替代等要求落实情况、排污许可证申领和执行情况。各地生态环境部门应将监督检查中发现的问题及时记入“两高”项目管理台账。生态环境部将进一步加强督促指导。</w:t>
                  </w:r>
                </w:p>
              </w:tc>
              <w:tc>
                <w:tcPr>
                  <w:tcW w:w="1144" w:type="pct"/>
                  <w:vAlign w:val="center"/>
                </w:tcPr>
                <w:p w14:paraId="5C83BAE1">
                  <w:pPr>
                    <w:pStyle w:val="46"/>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outlineLvl w:val="9"/>
                    <w:rPr>
                      <w:rFonts w:ascii="Times New Roman" w:eastAsia="仿宋_GB2312" w:cs="Times New Roman"/>
                      <w:b w:val="0"/>
                      <w:bCs/>
                      <w:sz w:val="21"/>
                      <w:szCs w:val="21"/>
                    </w:rPr>
                  </w:pPr>
                  <w:r>
                    <w:rPr>
                      <w:rFonts w:hint="eastAsia" w:ascii="Times New Roman" w:eastAsia="仿宋_GB2312" w:cs="Times New Roman"/>
                      <w:b w:val="0"/>
                      <w:bCs/>
                      <w:sz w:val="21"/>
                      <w:szCs w:val="21"/>
                    </w:rPr>
                    <w:t>/</w:t>
                  </w:r>
                </w:p>
              </w:tc>
            </w:tr>
            <w:tr w14:paraId="6AAD4C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55" w:type="pct"/>
                  <w:vAlign w:val="center"/>
                </w:tcPr>
                <w:p w14:paraId="4B47F23B">
                  <w:pPr>
                    <w:pStyle w:val="46"/>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outlineLvl w:val="9"/>
                    <w:rPr>
                      <w:rFonts w:ascii="Times New Roman" w:eastAsia="仿宋_GB2312" w:cs="Times New Roman"/>
                      <w:b w:val="0"/>
                      <w:bCs/>
                      <w:sz w:val="21"/>
                      <w:szCs w:val="21"/>
                    </w:rPr>
                  </w:pPr>
                  <w:r>
                    <w:rPr>
                      <w:rFonts w:ascii="Times New Roman" w:eastAsia="仿宋_GB2312" w:cs="Times New Roman"/>
                      <w:b w:val="0"/>
                      <w:bCs/>
                      <w:sz w:val="21"/>
                      <w:szCs w:val="21"/>
                    </w:rPr>
                    <w:t>（十二）强化责任追究。“两高”项目建设单位应认真履行生态环境保护主体责任。对未依法报批环评文件即擅自开工建设的“两高”项目，或未依法重新报批环评文件擅自发生重大变动的，地方生态环境部门应责令立即停止建设，依法严肃查处；对不满足生态环境准入条件的，依法责令恢复原状。对不落实环评及“三同时”要求的“两高”项目，应责令按要求整改；造成重大环境污染或生态破坏的，依法责令停止生产或使用，或依法报经有批准权的人民政府责令关闭。对审批及监管部门工作人员不依法履职、把关不严的，依法给予处分，造成重大损失或影响的，依法追究相关责任人责任。地方政府落实“两高”项目生态环境防控措施不力问题突出的，依法实施区域限批，纳入中央和省级生态环境保护督察。</w:t>
                  </w:r>
                </w:p>
              </w:tc>
              <w:tc>
                <w:tcPr>
                  <w:tcW w:w="1144" w:type="pct"/>
                  <w:vAlign w:val="center"/>
                </w:tcPr>
                <w:p w14:paraId="4049D29B">
                  <w:pPr>
                    <w:pStyle w:val="46"/>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outlineLvl w:val="9"/>
                    <w:rPr>
                      <w:rFonts w:ascii="Times New Roman" w:eastAsia="仿宋_GB2312" w:cs="Times New Roman"/>
                      <w:b w:val="0"/>
                      <w:bCs/>
                      <w:sz w:val="21"/>
                      <w:szCs w:val="21"/>
                    </w:rPr>
                  </w:pPr>
                  <w:r>
                    <w:rPr>
                      <w:rFonts w:hint="eastAsia" w:ascii="Times New Roman" w:eastAsia="仿宋_GB2312" w:cs="Times New Roman"/>
                      <w:b w:val="0"/>
                      <w:bCs/>
                      <w:sz w:val="21"/>
                      <w:szCs w:val="21"/>
                    </w:rPr>
                    <w:t>/</w:t>
                  </w:r>
                </w:p>
              </w:tc>
            </w:tr>
          </w:tbl>
          <w:p w14:paraId="6E901A75">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22" w:firstLineChars="200"/>
              <w:jc w:val="both"/>
              <w:textAlignment w:val="auto"/>
              <w:rPr>
                <w:rFonts w:hint="eastAsia" w:ascii="Times New Roman" w:hAnsi="Times New Roman" w:eastAsia="仿宋_GB2312" w:cs="Times New Roman"/>
                <w:b/>
                <w:color w:val="000000"/>
                <w:kern w:val="2"/>
                <w:sz w:val="21"/>
                <w:szCs w:val="21"/>
                <w:lang w:val="en-US" w:eastAsia="zh-CN" w:bidi="ar-SA"/>
              </w:rPr>
            </w:pPr>
            <w:r>
              <w:rPr>
                <w:rFonts w:hint="eastAsia" w:eastAsia="仿宋_GB2312" w:cs="Times New Roman"/>
                <w:b/>
                <w:color w:val="000000"/>
                <w:kern w:val="2"/>
                <w:sz w:val="21"/>
                <w:szCs w:val="21"/>
                <w:lang w:val="en-US" w:eastAsia="zh-CN" w:bidi="ar-SA"/>
              </w:rPr>
              <w:t>八</w:t>
            </w:r>
            <w:r>
              <w:rPr>
                <w:rFonts w:hint="eastAsia" w:ascii="Times New Roman" w:hAnsi="Times New Roman" w:eastAsia="仿宋_GB2312" w:cs="Times New Roman"/>
                <w:b/>
                <w:color w:val="000000"/>
                <w:kern w:val="2"/>
                <w:sz w:val="21"/>
                <w:szCs w:val="21"/>
                <w:lang w:val="en-US" w:eastAsia="zh-CN" w:bidi="ar-SA"/>
              </w:rPr>
              <w:t xml:space="preserve">、《食品生产通用卫生规范》（GB14881-2013）相符性分析 </w:t>
            </w:r>
          </w:p>
          <w:p w14:paraId="49C9A45B">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i w:val="0"/>
                <w:iCs w:val="0"/>
                <w:caps w:val="0"/>
                <w:color w:val="000000"/>
                <w:spacing w:val="0"/>
                <w:kern w:val="0"/>
                <w:sz w:val="21"/>
                <w:szCs w:val="21"/>
                <w:shd w:val="clear" w:fill="FFFFFF"/>
                <w:lang w:val="en-US" w:eastAsia="zh-CN" w:bidi="ar"/>
              </w:rPr>
              <w:t>本项目与《食品生产通用卫生规范》（GB14881-2013）相符性分析见下表。</w:t>
            </w:r>
          </w:p>
          <w:p w14:paraId="2ABBC278">
            <w:pPr>
              <w:adjustRightInd w:val="0"/>
              <w:snapToGrid w:val="0"/>
              <w:spacing w:line="500" w:lineRule="exact"/>
              <w:ind w:firstLine="422" w:firstLineChars="200"/>
              <w:rPr>
                <w:rFonts w:hint="eastAsia" w:eastAsia="仿宋_GB2312"/>
                <w:b/>
                <w:bCs/>
                <w:color w:val="000000"/>
                <w:kern w:val="0"/>
                <w:lang w:val="en-US" w:eastAsia="zh-CN"/>
              </w:rPr>
            </w:pPr>
            <w:r>
              <w:rPr>
                <w:rFonts w:eastAsia="仿宋_GB2312"/>
                <w:b/>
                <w:bCs/>
                <w:color w:val="000000"/>
                <w:kern w:val="0"/>
              </w:rPr>
              <w:t>表1-</w:t>
            </w:r>
            <w:r>
              <w:rPr>
                <w:rFonts w:hint="eastAsia" w:eastAsia="仿宋_GB2312"/>
                <w:b/>
                <w:bCs/>
                <w:color w:val="000000"/>
                <w:kern w:val="0"/>
                <w:lang w:val="en-US" w:eastAsia="zh-CN"/>
              </w:rPr>
              <w:t xml:space="preserve">12  </w:t>
            </w:r>
            <w:r>
              <w:rPr>
                <w:rFonts w:hint="eastAsia" w:eastAsia="仿宋_GB2312"/>
                <w:b/>
                <w:bCs/>
                <w:color w:val="000000"/>
                <w:kern w:val="0"/>
              </w:rPr>
              <w:t>与</w:t>
            </w:r>
            <w:r>
              <w:rPr>
                <w:rFonts w:hint="eastAsia" w:ascii="Times New Roman" w:hAnsi="Times New Roman" w:eastAsia="仿宋_GB2312" w:cs="Times New Roman"/>
                <w:b/>
                <w:color w:val="000000"/>
                <w:kern w:val="2"/>
                <w:sz w:val="21"/>
                <w:szCs w:val="21"/>
                <w:lang w:val="en-US" w:eastAsia="zh-CN" w:bidi="ar-SA"/>
              </w:rPr>
              <w:t>《食品生产通用卫生规范》（GB14881-2013）</w:t>
            </w:r>
            <w:r>
              <w:rPr>
                <w:rFonts w:hint="eastAsia" w:eastAsia="仿宋_GB2312"/>
                <w:b/>
                <w:bCs/>
                <w:color w:val="000000"/>
                <w:kern w:val="0"/>
              </w:rPr>
              <w:t>相符性</w:t>
            </w:r>
            <w:r>
              <w:rPr>
                <w:rFonts w:hint="eastAsia" w:eastAsia="仿宋_GB2312"/>
                <w:b/>
                <w:bCs/>
                <w:color w:val="000000"/>
                <w:kern w:val="0"/>
                <w:lang w:val="en-US" w:eastAsia="zh-CN"/>
              </w:rPr>
              <w:t>分析</w:t>
            </w:r>
          </w:p>
          <w:tbl>
            <w:tblPr>
              <w:tblStyle w:val="32"/>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33"/>
              <w:gridCol w:w="3002"/>
              <w:gridCol w:w="2338"/>
              <w:gridCol w:w="921"/>
            </w:tblGrid>
            <w:tr w14:paraId="52B971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3" w:type="pct"/>
                  <w:tcBorders>
                    <w:tl2br w:val="nil"/>
                    <w:tr2bl w:val="nil"/>
                  </w:tcBorders>
                  <w:vAlign w:val="center"/>
                </w:tcPr>
                <w:p w14:paraId="634FE872">
                  <w:pPr>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9"/>
                    <w:rPr>
                      <w:rFonts w:hint="default" w:ascii="Times New Roman" w:hAnsi="Times New Roman" w:eastAsia="仿宋_GB2312" w:cs="Times New Roman"/>
                      <w:b/>
                      <w:bCs/>
                      <w:color w:val="000000"/>
                      <w:kern w:val="0"/>
                      <w:sz w:val="21"/>
                      <w:szCs w:val="21"/>
                      <w:vertAlign w:val="baseline"/>
                      <w:lang w:val="en-US" w:eastAsia="zh-CN"/>
                    </w:rPr>
                  </w:pPr>
                  <w:r>
                    <w:rPr>
                      <w:rFonts w:hint="default" w:ascii="Times New Roman" w:hAnsi="Times New Roman" w:eastAsia="仿宋_GB2312" w:cs="Times New Roman"/>
                      <w:b/>
                      <w:bCs/>
                      <w:color w:val="000000"/>
                      <w:kern w:val="0"/>
                      <w:sz w:val="21"/>
                      <w:szCs w:val="21"/>
                      <w:vertAlign w:val="baseline"/>
                      <w:lang w:val="en-US" w:eastAsia="zh-CN"/>
                    </w:rPr>
                    <w:t>项目</w:t>
                  </w:r>
                </w:p>
              </w:tc>
              <w:tc>
                <w:tcPr>
                  <w:tcW w:w="2002" w:type="pct"/>
                  <w:tcBorders>
                    <w:tl2br w:val="nil"/>
                    <w:tr2bl w:val="nil"/>
                  </w:tcBorders>
                  <w:vAlign w:val="center"/>
                </w:tcPr>
                <w:p w14:paraId="3F1CAB42">
                  <w:pPr>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9"/>
                    <w:rPr>
                      <w:rFonts w:hint="default" w:ascii="Times New Roman" w:hAnsi="Times New Roman" w:eastAsia="仿宋_GB2312" w:cs="Times New Roman"/>
                      <w:b/>
                      <w:bCs/>
                      <w:color w:val="000000"/>
                      <w:kern w:val="0"/>
                      <w:sz w:val="21"/>
                      <w:szCs w:val="21"/>
                      <w:vertAlign w:val="baseline"/>
                      <w:lang w:val="en-US" w:eastAsia="zh-CN"/>
                    </w:rPr>
                  </w:pPr>
                  <w:r>
                    <w:rPr>
                      <w:rFonts w:hint="default" w:ascii="Times New Roman" w:hAnsi="Times New Roman" w:eastAsia="仿宋_GB2312" w:cs="Times New Roman"/>
                      <w:b/>
                      <w:bCs/>
                      <w:color w:val="000000"/>
                      <w:kern w:val="0"/>
                      <w:sz w:val="21"/>
                      <w:szCs w:val="21"/>
                      <w:vertAlign w:val="baseline"/>
                      <w:lang w:val="en-US" w:eastAsia="zh-CN"/>
                    </w:rPr>
                    <w:t>文件要求</w:t>
                  </w:r>
                </w:p>
              </w:tc>
              <w:tc>
                <w:tcPr>
                  <w:tcW w:w="1559" w:type="pct"/>
                  <w:tcBorders>
                    <w:tl2br w:val="nil"/>
                    <w:tr2bl w:val="nil"/>
                  </w:tcBorders>
                  <w:vAlign w:val="center"/>
                </w:tcPr>
                <w:p w14:paraId="7FF98E7E">
                  <w:pPr>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9"/>
                    <w:rPr>
                      <w:rFonts w:hint="default" w:ascii="Times New Roman" w:hAnsi="Times New Roman" w:eastAsia="仿宋_GB2312" w:cs="Times New Roman"/>
                      <w:b/>
                      <w:bCs/>
                      <w:color w:val="000000"/>
                      <w:kern w:val="0"/>
                      <w:sz w:val="21"/>
                      <w:szCs w:val="21"/>
                      <w:vertAlign w:val="baseline"/>
                      <w:lang w:val="en-US" w:eastAsia="zh-CN"/>
                    </w:rPr>
                  </w:pPr>
                  <w:r>
                    <w:rPr>
                      <w:rFonts w:hint="default" w:ascii="Times New Roman" w:hAnsi="Times New Roman" w:eastAsia="仿宋_GB2312" w:cs="Times New Roman"/>
                      <w:b/>
                      <w:bCs/>
                      <w:color w:val="000000"/>
                      <w:kern w:val="0"/>
                      <w:sz w:val="21"/>
                      <w:szCs w:val="21"/>
                      <w:vertAlign w:val="baseline"/>
                      <w:lang w:val="en-US" w:eastAsia="zh-CN"/>
                    </w:rPr>
                    <w:t>本项目情况</w:t>
                  </w:r>
                </w:p>
              </w:tc>
              <w:tc>
                <w:tcPr>
                  <w:tcW w:w="614" w:type="pct"/>
                  <w:tcBorders>
                    <w:tl2br w:val="nil"/>
                    <w:tr2bl w:val="nil"/>
                  </w:tcBorders>
                  <w:vAlign w:val="center"/>
                </w:tcPr>
                <w:p w14:paraId="6C585FC3">
                  <w:pPr>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9"/>
                    <w:rPr>
                      <w:rFonts w:hint="default" w:ascii="Times New Roman" w:hAnsi="Times New Roman" w:eastAsia="仿宋_GB2312" w:cs="Times New Roman"/>
                      <w:b/>
                      <w:bCs/>
                      <w:color w:val="000000"/>
                      <w:kern w:val="0"/>
                      <w:sz w:val="21"/>
                      <w:szCs w:val="21"/>
                      <w:vertAlign w:val="baseline"/>
                      <w:lang w:val="en-US" w:eastAsia="zh-CN"/>
                    </w:rPr>
                  </w:pPr>
                  <w:r>
                    <w:rPr>
                      <w:rFonts w:hint="default" w:ascii="Times New Roman" w:hAnsi="Times New Roman" w:eastAsia="仿宋_GB2312" w:cs="Times New Roman"/>
                      <w:b/>
                      <w:bCs/>
                      <w:color w:val="000000"/>
                      <w:kern w:val="0"/>
                      <w:sz w:val="21"/>
                      <w:szCs w:val="21"/>
                      <w:vertAlign w:val="baseline"/>
                      <w:lang w:val="en-US" w:eastAsia="zh-CN"/>
                    </w:rPr>
                    <w:t>相符性</w:t>
                  </w:r>
                </w:p>
              </w:tc>
            </w:tr>
            <w:tr w14:paraId="24BEDF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3" w:type="pct"/>
                  <w:vMerge w:val="restart"/>
                  <w:tcBorders>
                    <w:tl2br w:val="nil"/>
                    <w:tr2bl w:val="nil"/>
                  </w:tcBorders>
                  <w:vAlign w:val="center"/>
                </w:tcPr>
                <w:p w14:paraId="15C5181C">
                  <w:pPr>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9"/>
                    <w:rPr>
                      <w:rFonts w:hint="default" w:ascii="Times New Roman" w:hAnsi="Times New Roman" w:eastAsia="仿宋_GB2312" w:cs="Times New Roman"/>
                      <w:b w:val="0"/>
                      <w:bCs w:val="0"/>
                      <w:color w:val="000000"/>
                      <w:kern w:val="0"/>
                      <w:sz w:val="21"/>
                      <w:szCs w:val="21"/>
                      <w:vertAlign w:val="baseline"/>
                      <w:lang w:val="en-US" w:eastAsia="zh-CN"/>
                    </w:rPr>
                  </w:pPr>
                  <w:r>
                    <w:rPr>
                      <w:rFonts w:hint="default" w:ascii="Times New Roman" w:hAnsi="Times New Roman" w:eastAsia="仿宋_GB2312" w:cs="Times New Roman"/>
                      <w:b w:val="0"/>
                      <w:bCs w:val="0"/>
                      <w:color w:val="000000"/>
                      <w:kern w:val="0"/>
                      <w:sz w:val="21"/>
                      <w:szCs w:val="21"/>
                      <w:vertAlign w:val="baseline"/>
                      <w:lang w:val="en-US" w:eastAsia="zh-CN"/>
                    </w:rPr>
                    <w:t>选址</w:t>
                  </w:r>
                </w:p>
              </w:tc>
              <w:tc>
                <w:tcPr>
                  <w:tcW w:w="2002" w:type="pct"/>
                  <w:tcBorders>
                    <w:tl2br w:val="nil"/>
                    <w:tr2bl w:val="nil"/>
                  </w:tcBorders>
                  <w:vAlign w:val="center"/>
                </w:tcPr>
                <w:p w14:paraId="0805547C">
                  <w:pPr>
                    <w:keepNext w:val="0"/>
                    <w:keepLines w:val="0"/>
                    <w:widowControl/>
                    <w:suppressLineNumbers w:val="0"/>
                    <w:jc w:val="left"/>
                    <w:rPr>
                      <w:rFonts w:hint="default" w:ascii="Times New Roman" w:hAnsi="Times New Roman" w:eastAsia="仿宋_GB2312" w:cs="Times New Roman"/>
                      <w:b/>
                      <w:bCs/>
                      <w:color w:val="000000"/>
                      <w:kern w:val="0"/>
                      <w:sz w:val="21"/>
                      <w:szCs w:val="21"/>
                      <w:vertAlign w:val="baseline"/>
                    </w:rPr>
                  </w:pPr>
                  <w:r>
                    <w:rPr>
                      <w:rFonts w:hint="default" w:ascii="Times New Roman" w:hAnsi="Times New Roman" w:eastAsia="仿宋_GB2312" w:cs="Times New Roman"/>
                      <w:i w:val="0"/>
                      <w:iCs w:val="0"/>
                      <w:caps w:val="0"/>
                      <w:color w:val="000000"/>
                      <w:spacing w:val="0"/>
                      <w:kern w:val="0"/>
                      <w:sz w:val="21"/>
                      <w:szCs w:val="21"/>
                      <w:shd w:val="clear" w:fill="FFFFFF"/>
                      <w:lang w:val="en-US" w:eastAsia="zh-CN" w:bidi="ar"/>
                    </w:rPr>
                    <w:t>厂区不应选择对食品有显著污染的区域；不应选择有害废弃物以及粉尘、有害气体、放射性物质和其他扩散性污染源不能有效清除的地址</w:t>
                  </w:r>
                </w:p>
              </w:tc>
              <w:tc>
                <w:tcPr>
                  <w:tcW w:w="1559" w:type="pct"/>
                  <w:vMerge w:val="restart"/>
                  <w:tcBorders>
                    <w:tl2br w:val="nil"/>
                    <w:tr2bl w:val="nil"/>
                  </w:tcBorders>
                  <w:vAlign w:val="center"/>
                </w:tcPr>
                <w:p w14:paraId="4B3F8430">
                  <w:pPr>
                    <w:keepNext w:val="0"/>
                    <w:keepLines w:val="0"/>
                    <w:widowControl/>
                    <w:suppressLineNumbers w:val="0"/>
                    <w:jc w:val="left"/>
                    <w:rPr>
                      <w:rFonts w:hint="default" w:ascii="Times New Roman" w:hAnsi="Times New Roman" w:eastAsia="仿宋_GB2312" w:cs="Times New Roman"/>
                      <w:b/>
                      <w:bCs/>
                      <w:color w:val="000000"/>
                      <w:kern w:val="0"/>
                      <w:sz w:val="21"/>
                      <w:szCs w:val="21"/>
                      <w:vertAlign w:val="baseline"/>
                    </w:rPr>
                  </w:pPr>
                  <w:r>
                    <w:rPr>
                      <w:rFonts w:hint="default" w:ascii="Times New Roman" w:hAnsi="Times New Roman" w:eastAsia="仿宋_GB2312" w:cs="Times New Roman"/>
                      <w:i w:val="0"/>
                      <w:iCs w:val="0"/>
                      <w:caps w:val="0"/>
                      <w:color w:val="000000"/>
                      <w:spacing w:val="0"/>
                      <w:kern w:val="0"/>
                      <w:sz w:val="21"/>
                      <w:szCs w:val="21"/>
                      <w:shd w:val="clear" w:fill="FFFFFF"/>
                      <w:lang w:val="en-US" w:eastAsia="zh-CN" w:bidi="ar"/>
                    </w:rPr>
                    <w:t>本项目所在地周围没有较大的环境污染源，厂区不属于较易发生洪涝场所和虫害滋生场所</w:t>
                  </w:r>
                </w:p>
              </w:tc>
              <w:tc>
                <w:tcPr>
                  <w:tcW w:w="614" w:type="pct"/>
                  <w:tcBorders>
                    <w:tl2br w:val="nil"/>
                    <w:tr2bl w:val="nil"/>
                  </w:tcBorders>
                  <w:vAlign w:val="center"/>
                </w:tcPr>
                <w:p w14:paraId="0E7FFE1F">
                  <w:pPr>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9"/>
                    <w:rPr>
                      <w:rFonts w:hint="eastAsia" w:ascii="Times New Roman" w:hAnsi="Times New Roman" w:eastAsia="仿宋_GB2312" w:cs="Times New Roman"/>
                      <w:b w:val="0"/>
                      <w:bCs w:val="0"/>
                      <w:color w:val="000000"/>
                      <w:kern w:val="0"/>
                      <w:sz w:val="21"/>
                      <w:szCs w:val="21"/>
                      <w:vertAlign w:val="baseline"/>
                      <w:lang w:val="en-US" w:eastAsia="zh-CN"/>
                    </w:rPr>
                  </w:pPr>
                  <w:r>
                    <w:rPr>
                      <w:rFonts w:hint="eastAsia" w:eastAsia="仿宋_GB2312" w:cs="Times New Roman"/>
                      <w:b w:val="0"/>
                      <w:bCs w:val="0"/>
                      <w:color w:val="000000"/>
                      <w:kern w:val="0"/>
                      <w:sz w:val="21"/>
                      <w:szCs w:val="21"/>
                      <w:vertAlign w:val="baseline"/>
                      <w:lang w:val="en-US" w:eastAsia="zh-CN"/>
                    </w:rPr>
                    <w:t>相符</w:t>
                  </w:r>
                </w:p>
              </w:tc>
            </w:tr>
            <w:tr w14:paraId="19B4CB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3" w:type="pct"/>
                  <w:vMerge w:val="continue"/>
                  <w:tcBorders>
                    <w:tl2br w:val="nil"/>
                    <w:tr2bl w:val="nil"/>
                  </w:tcBorders>
                  <w:vAlign w:val="center"/>
                </w:tcPr>
                <w:p w14:paraId="52B144F8">
                  <w:pPr>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9"/>
                    <w:rPr>
                      <w:rFonts w:hint="default" w:ascii="Times New Roman" w:hAnsi="Times New Roman" w:eastAsia="仿宋_GB2312" w:cs="Times New Roman"/>
                      <w:b w:val="0"/>
                      <w:bCs w:val="0"/>
                      <w:color w:val="000000"/>
                      <w:kern w:val="0"/>
                      <w:sz w:val="21"/>
                      <w:szCs w:val="21"/>
                      <w:vertAlign w:val="baseline"/>
                    </w:rPr>
                  </w:pPr>
                </w:p>
              </w:tc>
              <w:tc>
                <w:tcPr>
                  <w:tcW w:w="2002" w:type="pct"/>
                  <w:tcBorders>
                    <w:tl2br w:val="nil"/>
                    <w:tr2bl w:val="nil"/>
                  </w:tcBorders>
                  <w:vAlign w:val="center"/>
                </w:tcPr>
                <w:p w14:paraId="15320E07">
                  <w:pPr>
                    <w:keepNext w:val="0"/>
                    <w:keepLines w:val="0"/>
                    <w:widowControl/>
                    <w:suppressLineNumbers w:val="0"/>
                    <w:jc w:val="left"/>
                    <w:rPr>
                      <w:rFonts w:hint="default" w:ascii="Times New Roman" w:hAnsi="Times New Roman" w:eastAsia="仿宋_GB2312" w:cs="Times New Roman"/>
                      <w:b/>
                      <w:bCs/>
                      <w:color w:val="000000"/>
                      <w:kern w:val="0"/>
                      <w:sz w:val="21"/>
                      <w:szCs w:val="21"/>
                      <w:vertAlign w:val="baseline"/>
                    </w:rPr>
                  </w:pPr>
                  <w:r>
                    <w:rPr>
                      <w:rFonts w:hint="default" w:ascii="Times New Roman" w:hAnsi="Times New Roman" w:eastAsia="仿宋_GB2312" w:cs="Times New Roman"/>
                      <w:i w:val="0"/>
                      <w:iCs w:val="0"/>
                      <w:caps w:val="0"/>
                      <w:color w:val="000000"/>
                      <w:spacing w:val="0"/>
                      <w:kern w:val="0"/>
                      <w:sz w:val="21"/>
                      <w:szCs w:val="21"/>
                      <w:shd w:val="clear" w:fill="FFFFFF"/>
                      <w:lang w:val="en-US" w:eastAsia="zh-CN" w:bidi="ar"/>
                    </w:rPr>
                    <w:t>厂区不宜择易发生洪涝灾害地区，难以避开时相应设计必要的防范措施。厂区周围不宜有虫害滋生的潜在场所，难以避开时应设计必要的防范措施</w:t>
                  </w:r>
                </w:p>
              </w:tc>
              <w:tc>
                <w:tcPr>
                  <w:tcW w:w="1559" w:type="pct"/>
                  <w:vMerge w:val="continue"/>
                  <w:tcBorders>
                    <w:tl2br w:val="nil"/>
                    <w:tr2bl w:val="nil"/>
                  </w:tcBorders>
                  <w:vAlign w:val="center"/>
                </w:tcPr>
                <w:p w14:paraId="73A21D9B">
                  <w:pPr>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9"/>
                    <w:rPr>
                      <w:rFonts w:hint="default" w:ascii="Times New Roman" w:hAnsi="Times New Roman" w:eastAsia="仿宋_GB2312" w:cs="Times New Roman"/>
                      <w:b/>
                      <w:bCs/>
                      <w:color w:val="000000"/>
                      <w:kern w:val="0"/>
                      <w:sz w:val="21"/>
                      <w:szCs w:val="21"/>
                      <w:vertAlign w:val="baseline"/>
                    </w:rPr>
                  </w:pPr>
                </w:p>
              </w:tc>
              <w:tc>
                <w:tcPr>
                  <w:tcW w:w="614" w:type="pct"/>
                  <w:tcBorders>
                    <w:tl2br w:val="nil"/>
                    <w:tr2bl w:val="nil"/>
                  </w:tcBorders>
                  <w:vAlign w:val="center"/>
                </w:tcPr>
                <w:p w14:paraId="689586A3">
                  <w:pPr>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9"/>
                    <w:rPr>
                      <w:rFonts w:hint="default" w:ascii="Times New Roman" w:hAnsi="Times New Roman" w:eastAsia="仿宋_GB2312" w:cs="Times New Roman"/>
                      <w:b w:val="0"/>
                      <w:bCs w:val="0"/>
                      <w:color w:val="000000"/>
                      <w:kern w:val="0"/>
                      <w:sz w:val="21"/>
                      <w:szCs w:val="21"/>
                      <w:vertAlign w:val="baseline"/>
                    </w:rPr>
                  </w:pPr>
                  <w:r>
                    <w:rPr>
                      <w:rFonts w:hint="eastAsia" w:eastAsia="仿宋_GB2312" w:cs="Times New Roman"/>
                      <w:b w:val="0"/>
                      <w:bCs w:val="0"/>
                      <w:color w:val="000000"/>
                      <w:kern w:val="0"/>
                      <w:sz w:val="21"/>
                      <w:szCs w:val="21"/>
                      <w:vertAlign w:val="baseline"/>
                      <w:lang w:val="en-US" w:eastAsia="zh-CN"/>
                    </w:rPr>
                    <w:t>相符</w:t>
                  </w:r>
                </w:p>
              </w:tc>
            </w:tr>
            <w:tr w14:paraId="2ED0E2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3" w:type="pct"/>
                  <w:vMerge w:val="restart"/>
                  <w:tcBorders>
                    <w:tl2br w:val="nil"/>
                    <w:tr2bl w:val="nil"/>
                  </w:tcBorders>
                  <w:vAlign w:val="center"/>
                </w:tcPr>
                <w:p w14:paraId="493356F0">
                  <w:pPr>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9"/>
                    <w:rPr>
                      <w:rFonts w:hint="default" w:ascii="Times New Roman" w:hAnsi="Times New Roman" w:eastAsia="仿宋_GB2312" w:cs="Times New Roman"/>
                      <w:b w:val="0"/>
                      <w:bCs w:val="0"/>
                      <w:color w:val="000000"/>
                      <w:kern w:val="0"/>
                      <w:sz w:val="21"/>
                      <w:szCs w:val="21"/>
                      <w:vertAlign w:val="baseline"/>
                      <w:lang w:val="en-US" w:eastAsia="zh-CN"/>
                    </w:rPr>
                  </w:pPr>
                  <w:r>
                    <w:rPr>
                      <w:rFonts w:hint="default" w:ascii="Times New Roman" w:hAnsi="Times New Roman" w:eastAsia="仿宋_GB2312" w:cs="Times New Roman"/>
                      <w:b w:val="0"/>
                      <w:bCs w:val="0"/>
                      <w:color w:val="000000"/>
                      <w:kern w:val="0"/>
                      <w:sz w:val="21"/>
                      <w:szCs w:val="21"/>
                      <w:vertAlign w:val="baseline"/>
                      <w:lang w:val="en-US" w:eastAsia="zh-CN"/>
                    </w:rPr>
                    <w:t>厂内环境</w:t>
                  </w:r>
                </w:p>
              </w:tc>
              <w:tc>
                <w:tcPr>
                  <w:tcW w:w="2002" w:type="pct"/>
                  <w:tcBorders>
                    <w:tl2br w:val="nil"/>
                    <w:tr2bl w:val="nil"/>
                  </w:tcBorders>
                  <w:vAlign w:val="center"/>
                </w:tcPr>
                <w:p w14:paraId="39490BC7">
                  <w:pPr>
                    <w:keepNext w:val="0"/>
                    <w:keepLines w:val="0"/>
                    <w:widowControl/>
                    <w:suppressLineNumbers w:val="0"/>
                    <w:jc w:val="left"/>
                    <w:rPr>
                      <w:rFonts w:hint="default" w:ascii="Times New Roman" w:hAnsi="Times New Roman" w:eastAsia="仿宋_GB2312" w:cs="Times New Roman"/>
                      <w:b/>
                      <w:bCs/>
                      <w:color w:val="000000"/>
                      <w:kern w:val="0"/>
                      <w:sz w:val="21"/>
                      <w:szCs w:val="21"/>
                      <w:vertAlign w:val="baseline"/>
                    </w:rPr>
                  </w:pPr>
                  <w:r>
                    <w:rPr>
                      <w:rFonts w:hint="default" w:ascii="Times New Roman" w:hAnsi="Times New Roman" w:eastAsia="仿宋_GB2312" w:cs="Times New Roman"/>
                      <w:i w:val="0"/>
                      <w:iCs w:val="0"/>
                      <w:caps w:val="0"/>
                      <w:color w:val="000000"/>
                      <w:spacing w:val="0"/>
                      <w:kern w:val="0"/>
                      <w:sz w:val="21"/>
                      <w:szCs w:val="21"/>
                      <w:shd w:val="clear" w:fill="FFFFFF"/>
                      <w:lang w:val="en-US" w:eastAsia="zh-CN" w:bidi="ar"/>
                    </w:rPr>
                    <w:t>厂区应合理布局，各功能区域划分明显，并有适当的分离或分隔措施，防止交叉污染。宿舍、食堂、职工娱乐设施等生活区应与生产区保持适当距离或分隔</w:t>
                  </w:r>
                </w:p>
              </w:tc>
              <w:tc>
                <w:tcPr>
                  <w:tcW w:w="1559" w:type="pct"/>
                  <w:tcBorders>
                    <w:tl2br w:val="nil"/>
                    <w:tr2bl w:val="nil"/>
                  </w:tcBorders>
                  <w:vAlign w:val="center"/>
                </w:tcPr>
                <w:p w14:paraId="3DA18789">
                  <w:pPr>
                    <w:keepNext w:val="0"/>
                    <w:keepLines w:val="0"/>
                    <w:widowControl/>
                    <w:suppressLineNumbers w:val="0"/>
                    <w:jc w:val="left"/>
                    <w:rPr>
                      <w:rFonts w:hint="default" w:ascii="Times New Roman" w:hAnsi="Times New Roman" w:eastAsia="仿宋_GB2312" w:cs="Times New Roman"/>
                      <w:b/>
                      <w:bCs/>
                      <w:color w:val="000000"/>
                      <w:kern w:val="0"/>
                      <w:sz w:val="21"/>
                      <w:szCs w:val="21"/>
                      <w:vertAlign w:val="baseline"/>
                    </w:rPr>
                  </w:pPr>
                  <w:r>
                    <w:rPr>
                      <w:rFonts w:hint="default" w:ascii="Times New Roman" w:hAnsi="Times New Roman" w:eastAsia="仿宋_GB2312" w:cs="Times New Roman"/>
                      <w:i w:val="0"/>
                      <w:iCs w:val="0"/>
                      <w:caps w:val="0"/>
                      <w:color w:val="000000"/>
                      <w:spacing w:val="0"/>
                      <w:kern w:val="0"/>
                      <w:sz w:val="21"/>
                      <w:szCs w:val="21"/>
                      <w:shd w:val="clear" w:fill="FFFFFF"/>
                      <w:lang w:val="en-US" w:eastAsia="zh-CN" w:bidi="ar"/>
                    </w:rPr>
                    <w:t>本项目厂区内生产车间和</w:t>
                  </w:r>
                  <w:r>
                    <w:rPr>
                      <w:rFonts w:hint="eastAsia" w:eastAsia="仿宋_GB2312" w:cs="Times New Roman"/>
                      <w:i w:val="0"/>
                      <w:iCs w:val="0"/>
                      <w:caps w:val="0"/>
                      <w:color w:val="000000"/>
                      <w:spacing w:val="0"/>
                      <w:kern w:val="0"/>
                      <w:sz w:val="21"/>
                      <w:szCs w:val="21"/>
                      <w:shd w:val="clear" w:fill="FFFFFF"/>
                      <w:lang w:val="en-US" w:eastAsia="zh-CN" w:bidi="ar"/>
                    </w:rPr>
                    <w:t>办公</w:t>
                  </w:r>
                  <w:r>
                    <w:rPr>
                      <w:rFonts w:hint="default" w:ascii="Times New Roman" w:hAnsi="Times New Roman" w:eastAsia="仿宋_GB2312" w:cs="Times New Roman"/>
                      <w:i w:val="0"/>
                      <w:iCs w:val="0"/>
                      <w:caps w:val="0"/>
                      <w:color w:val="000000"/>
                      <w:spacing w:val="0"/>
                      <w:kern w:val="0"/>
                      <w:sz w:val="21"/>
                      <w:szCs w:val="21"/>
                      <w:shd w:val="clear" w:fill="FFFFFF"/>
                      <w:lang w:val="en-US" w:eastAsia="zh-CN" w:bidi="ar"/>
                    </w:rPr>
                    <w:t>区相互隔离，并保持一定的距离，满足要求</w:t>
                  </w:r>
                </w:p>
              </w:tc>
              <w:tc>
                <w:tcPr>
                  <w:tcW w:w="614" w:type="pct"/>
                  <w:tcBorders>
                    <w:tl2br w:val="nil"/>
                    <w:tr2bl w:val="nil"/>
                  </w:tcBorders>
                  <w:vAlign w:val="center"/>
                </w:tcPr>
                <w:p w14:paraId="7B54AD87">
                  <w:pPr>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9"/>
                    <w:rPr>
                      <w:rFonts w:hint="default" w:ascii="Times New Roman" w:hAnsi="Times New Roman" w:eastAsia="仿宋_GB2312" w:cs="Times New Roman"/>
                      <w:b w:val="0"/>
                      <w:bCs w:val="0"/>
                      <w:color w:val="000000"/>
                      <w:kern w:val="0"/>
                      <w:sz w:val="21"/>
                      <w:szCs w:val="21"/>
                      <w:vertAlign w:val="baseline"/>
                    </w:rPr>
                  </w:pPr>
                  <w:r>
                    <w:rPr>
                      <w:rFonts w:hint="eastAsia" w:eastAsia="仿宋_GB2312" w:cs="Times New Roman"/>
                      <w:b w:val="0"/>
                      <w:bCs w:val="0"/>
                      <w:color w:val="000000"/>
                      <w:kern w:val="0"/>
                      <w:sz w:val="21"/>
                      <w:szCs w:val="21"/>
                      <w:vertAlign w:val="baseline"/>
                      <w:lang w:val="en-US" w:eastAsia="zh-CN"/>
                    </w:rPr>
                    <w:t>相符</w:t>
                  </w:r>
                </w:p>
              </w:tc>
            </w:tr>
            <w:tr w14:paraId="328F9E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3" w:type="pct"/>
                  <w:vMerge w:val="continue"/>
                  <w:tcBorders>
                    <w:tl2br w:val="nil"/>
                    <w:tr2bl w:val="nil"/>
                  </w:tcBorders>
                  <w:vAlign w:val="center"/>
                </w:tcPr>
                <w:p w14:paraId="08C4741E">
                  <w:pPr>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9"/>
                    <w:rPr>
                      <w:rFonts w:hint="default" w:ascii="Times New Roman" w:hAnsi="Times New Roman" w:eastAsia="仿宋_GB2312" w:cs="Times New Roman"/>
                      <w:b/>
                      <w:bCs/>
                      <w:color w:val="000000"/>
                      <w:kern w:val="0"/>
                      <w:sz w:val="21"/>
                      <w:szCs w:val="21"/>
                      <w:vertAlign w:val="baseline"/>
                    </w:rPr>
                  </w:pPr>
                </w:p>
              </w:tc>
              <w:tc>
                <w:tcPr>
                  <w:tcW w:w="2002" w:type="pct"/>
                  <w:tcBorders>
                    <w:tl2br w:val="nil"/>
                    <w:tr2bl w:val="nil"/>
                  </w:tcBorders>
                  <w:vAlign w:val="center"/>
                </w:tcPr>
                <w:p w14:paraId="068BA60C">
                  <w:pPr>
                    <w:keepNext w:val="0"/>
                    <w:keepLines w:val="0"/>
                    <w:widowControl/>
                    <w:suppressLineNumbers w:val="0"/>
                    <w:jc w:val="left"/>
                    <w:rPr>
                      <w:rFonts w:hint="default" w:ascii="Times New Roman" w:hAnsi="Times New Roman" w:eastAsia="仿宋_GB2312" w:cs="Times New Roman"/>
                      <w:b/>
                      <w:bCs/>
                      <w:color w:val="000000"/>
                      <w:kern w:val="0"/>
                      <w:sz w:val="21"/>
                      <w:szCs w:val="21"/>
                      <w:vertAlign w:val="baseline"/>
                    </w:rPr>
                  </w:pPr>
                  <w:r>
                    <w:rPr>
                      <w:rFonts w:hint="default" w:ascii="Times New Roman" w:hAnsi="Times New Roman" w:eastAsia="仿宋_GB2312" w:cs="Times New Roman"/>
                      <w:i w:val="0"/>
                      <w:iCs w:val="0"/>
                      <w:caps w:val="0"/>
                      <w:color w:val="000000"/>
                      <w:spacing w:val="0"/>
                      <w:kern w:val="0"/>
                      <w:sz w:val="21"/>
                      <w:szCs w:val="21"/>
                      <w:shd w:val="clear" w:fill="FFFFFF"/>
                      <w:lang w:val="en-US" w:eastAsia="zh-CN" w:bidi="ar"/>
                    </w:rPr>
                    <w:t>厂区内的道路应铺设混凝土、沥青，或者其他硬质材料；空地应采取必要措施，如铺设水泥、地砖或铺设草坪等方式，保持环境清洁，防止正常天气下扬尘和 积水等现象的发生。厂区绿化应与生产车间保持适当距离，植被应定期维护，以防止虫害的滋生。厂区应有适当的排水系统</w:t>
                  </w:r>
                  <w:r>
                    <w:rPr>
                      <w:rFonts w:hint="default" w:ascii="Times New Roman" w:hAnsi="Times New Roman" w:eastAsia="仿宋_GB2312" w:cs="Times New Roman"/>
                      <w:kern w:val="0"/>
                      <w:sz w:val="21"/>
                      <w:szCs w:val="21"/>
                      <w:lang w:val="en-US" w:eastAsia="zh-CN" w:bidi="ar"/>
                    </w:rPr>
                    <w:t xml:space="preserve"> </w:t>
                  </w:r>
                </w:p>
              </w:tc>
              <w:tc>
                <w:tcPr>
                  <w:tcW w:w="1559" w:type="pct"/>
                  <w:tcBorders>
                    <w:tl2br w:val="nil"/>
                    <w:tr2bl w:val="nil"/>
                  </w:tcBorders>
                  <w:vAlign w:val="center"/>
                </w:tcPr>
                <w:p w14:paraId="2B2CF5E9">
                  <w:pPr>
                    <w:keepNext w:val="0"/>
                    <w:keepLines w:val="0"/>
                    <w:widowControl/>
                    <w:suppressLineNumbers w:val="0"/>
                    <w:jc w:val="left"/>
                    <w:rPr>
                      <w:rFonts w:hint="default" w:ascii="Times New Roman" w:hAnsi="Times New Roman" w:eastAsia="仿宋_GB2312" w:cs="Times New Roman"/>
                      <w:b/>
                      <w:bCs/>
                      <w:color w:val="000000"/>
                      <w:kern w:val="0"/>
                      <w:sz w:val="21"/>
                      <w:szCs w:val="21"/>
                      <w:vertAlign w:val="baseline"/>
                    </w:rPr>
                  </w:pPr>
                  <w:r>
                    <w:rPr>
                      <w:rFonts w:hint="default" w:ascii="Times New Roman" w:hAnsi="Times New Roman" w:eastAsia="仿宋_GB2312" w:cs="Times New Roman"/>
                      <w:i w:val="0"/>
                      <w:iCs w:val="0"/>
                      <w:caps w:val="0"/>
                      <w:color w:val="000000"/>
                      <w:spacing w:val="0"/>
                      <w:kern w:val="0"/>
                      <w:sz w:val="21"/>
                      <w:szCs w:val="21"/>
                      <w:shd w:val="clear" w:fill="FFFFFF"/>
                      <w:lang w:val="en-US" w:eastAsia="zh-CN" w:bidi="ar"/>
                    </w:rPr>
                    <w:t>厂区地面均进行了水泥硬化，道路平整，不易产尘和积水</w:t>
                  </w:r>
                </w:p>
              </w:tc>
              <w:tc>
                <w:tcPr>
                  <w:tcW w:w="614" w:type="pct"/>
                  <w:tcBorders>
                    <w:tl2br w:val="nil"/>
                    <w:tr2bl w:val="nil"/>
                  </w:tcBorders>
                  <w:vAlign w:val="center"/>
                </w:tcPr>
                <w:p w14:paraId="18306052">
                  <w:pPr>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9"/>
                    <w:rPr>
                      <w:rFonts w:hint="default" w:ascii="Times New Roman" w:hAnsi="Times New Roman" w:eastAsia="仿宋_GB2312" w:cs="Times New Roman"/>
                      <w:b w:val="0"/>
                      <w:bCs w:val="0"/>
                      <w:color w:val="000000"/>
                      <w:kern w:val="0"/>
                      <w:sz w:val="21"/>
                      <w:szCs w:val="21"/>
                      <w:vertAlign w:val="baseline"/>
                    </w:rPr>
                  </w:pPr>
                  <w:r>
                    <w:rPr>
                      <w:rFonts w:hint="eastAsia" w:eastAsia="仿宋_GB2312" w:cs="Times New Roman"/>
                      <w:b w:val="0"/>
                      <w:bCs w:val="0"/>
                      <w:color w:val="000000"/>
                      <w:kern w:val="0"/>
                      <w:sz w:val="21"/>
                      <w:szCs w:val="21"/>
                      <w:vertAlign w:val="baseline"/>
                      <w:lang w:val="en-US" w:eastAsia="zh-CN"/>
                    </w:rPr>
                    <w:t>相符</w:t>
                  </w:r>
                </w:p>
              </w:tc>
            </w:tr>
          </w:tbl>
          <w:p w14:paraId="47B0CA74">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22" w:firstLineChars="200"/>
              <w:jc w:val="both"/>
              <w:textAlignment w:val="auto"/>
              <w:rPr>
                <w:rFonts w:hint="eastAsia" w:ascii="Times New Roman" w:hAnsi="Times New Roman" w:eastAsia="仿宋_GB2312" w:cs="Times New Roman"/>
                <w:b/>
                <w:color w:val="000000"/>
                <w:kern w:val="2"/>
                <w:sz w:val="21"/>
                <w:szCs w:val="21"/>
                <w:lang w:val="en-US" w:eastAsia="zh-CN" w:bidi="ar-SA"/>
              </w:rPr>
            </w:pPr>
            <w:r>
              <w:rPr>
                <w:rFonts w:hint="eastAsia" w:eastAsia="仿宋_GB2312" w:cs="Times New Roman"/>
                <w:b/>
                <w:color w:val="000000"/>
                <w:kern w:val="2"/>
                <w:sz w:val="21"/>
                <w:szCs w:val="21"/>
                <w:lang w:val="en-US" w:eastAsia="zh-CN" w:bidi="ar-SA"/>
              </w:rPr>
              <w:t>九</w:t>
            </w:r>
            <w:r>
              <w:rPr>
                <w:rFonts w:hint="eastAsia" w:ascii="Times New Roman" w:hAnsi="Times New Roman" w:eastAsia="仿宋_GB2312" w:cs="Times New Roman"/>
                <w:b/>
                <w:color w:val="000000"/>
                <w:kern w:val="2"/>
                <w:sz w:val="21"/>
                <w:szCs w:val="21"/>
                <w:lang w:val="en-US" w:eastAsia="zh-CN" w:bidi="ar-SA"/>
              </w:rPr>
              <w:t xml:space="preserve">、《食盐定点企业规范条件》（中华人民共和国工业和信息化部公告2023年第20号）相符性分析 </w:t>
            </w:r>
          </w:p>
          <w:p w14:paraId="3C9CA28D">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i w:val="0"/>
                <w:iCs w:val="0"/>
                <w:caps w:val="0"/>
                <w:color w:val="000000"/>
                <w:spacing w:val="0"/>
                <w:kern w:val="0"/>
                <w:sz w:val="21"/>
                <w:szCs w:val="21"/>
                <w:shd w:val="clear" w:fill="FFFFFF"/>
                <w:lang w:val="en-US" w:eastAsia="zh-CN" w:bidi="ar"/>
              </w:rPr>
              <w:t>本项目与</w:t>
            </w:r>
            <w:r>
              <w:rPr>
                <w:rFonts w:hint="eastAsia" w:ascii="Times New Roman" w:hAnsi="Times New Roman" w:eastAsia="仿宋_GB2312" w:cs="Times New Roman"/>
                <w:b w:val="0"/>
                <w:bCs/>
                <w:color w:val="000000"/>
                <w:kern w:val="2"/>
                <w:sz w:val="21"/>
                <w:szCs w:val="21"/>
                <w:lang w:val="en-US" w:eastAsia="zh-CN" w:bidi="ar-SA"/>
              </w:rPr>
              <w:t>《食盐定点企业规范条件》（中华人民共和国工业和信息化部公告2023年第20号）</w:t>
            </w:r>
            <w:r>
              <w:rPr>
                <w:rFonts w:hint="default" w:ascii="Times New Roman" w:hAnsi="Times New Roman" w:eastAsia="仿宋_GB2312" w:cs="Times New Roman"/>
                <w:i w:val="0"/>
                <w:iCs w:val="0"/>
                <w:caps w:val="0"/>
                <w:color w:val="000000"/>
                <w:spacing w:val="0"/>
                <w:kern w:val="0"/>
                <w:sz w:val="21"/>
                <w:szCs w:val="21"/>
                <w:shd w:val="clear" w:fill="FFFFFF"/>
                <w:lang w:val="en-US" w:eastAsia="zh-CN" w:bidi="ar"/>
              </w:rPr>
              <w:t>相符性分析见下表。</w:t>
            </w:r>
          </w:p>
          <w:p w14:paraId="57555237">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eastAsia="仿宋_GB2312"/>
                <w:b/>
                <w:bCs/>
                <w:color w:val="000000"/>
                <w:kern w:val="0"/>
                <w:lang w:val="en-US" w:eastAsia="zh-CN"/>
              </w:rPr>
            </w:pPr>
            <w:r>
              <w:rPr>
                <w:rFonts w:eastAsia="仿宋_GB2312"/>
                <w:b/>
                <w:bCs/>
                <w:color w:val="000000"/>
                <w:kern w:val="0"/>
              </w:rPr>
              <w:t>表1-</w:t>
            </w:r>
            <w:r>
              <w:rPr>
                <w:rFonts w:hint="eastAsia" w:eastAsia="仿宋_GB2312"/>
                <w:b/>
                <w:bCs/>
                <w:color w:val="000000"/>
                <w:kern w:val="0"/>
                <w:lang w:val="en-US" w:eastAsia="zh-CN"/>
              </w:rPr>
              <w:t xml:space="preserve">13  </w:t>
            </w:r>
            <w:r>
              <w:rPr>
                <w:rFonts w:hint="eastAsia" w:eastAsia="仿宋_GB2312"/>
                <w:b/>
                <w:bCs/>
                <w:color w:val="000000"/>
                <w:kern w:val="0"/>
              </w:rPr>
              <w:t>与</w:t>
            </w:r>
            <w:r>
              <w:rPr>
                <w:rFonts w:hint="eastAsia" w:ascii="Times New Roman" w:hAnsi="Times New Roman" w:eastAsia="仿宋_GB2312" w:cs="Times New Roman"/>
                <w:b/>
                <w:color w:val="000000"/>
                <w:kern w:val="2"/>
                <w:sz w:val="21"/>
                <w:szCs w:val="21"/>
                <w:lang w:val="en-US" w:eastAsia="zh-CN" w:bidi="ar-SA"/>
              </w:rPr>
              <w:t>《食盐定点企业规范条件》（中华人民共和国工业和信息化部公告2023年第20号）</w:t>
            </w:r>
            <w:r>
              <w:rPr>
                <w:rFonts w:hint="eastAsia" w:eastAsia="仿宋_GB2312"/>
                <w:b/>
                <w:bCs/>
                <w:color w:val="000000"/>
                <w:kern w:val="0"/>
              </w:rPr>
              <w:t>相符性</w:t>
            </w:r>
            <w:r>
              <w:rPr>
                <w:rFonts w:hint="eastAsia" w:eastAsia="仿宋_GB2312"/>
                <w:b/>
                <w:bCs/>
                <w:color w:val="000000"/>
                <w:kern w:val="0"/>
                <w:lang w:val="en-US" w:eastAsia="zh-CN"/>
              </w:rPr>
              <w:t>分析</w:t>
            </w:r>
          </w:p>
          <w:tbl>
            <w:tblPr>
              <w:tblStyle w:val="32"/>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7"/>
              <w:gridCol w:w="3219"/>
              <w:gridCol w:w="2500"/>
              <w:gridCol w:w="855"/>
            </w:tblGrid>
            <w:tr w14:paraId="370967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60" w:type="pct"/>
                  <w:gridSpan w:val="2"/>
                  <w:tcBorders>
                    <w:tl2br w:val="nil"/>
                    <w:tr2bl w:val="nil"/>
                  </w:tcBorders>
                  <w:vAlign w:val="center"/>
                </w:tcPr>
                <w:p w14:paraId="5E6277D3">
                  <w:pPr>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9"/>
                    <w:rPr>
                      <w:rFonts w:hint="default" w:ascii="Times New Roman" w:hAnsi="Times New Roman" w:eastAsia="仿宋_GB2312" w:cs="Times New Roman"/>
                      <w:b/>
                      <w:bCs/>
                      <w:color w:val="000000"/>
                      <w:kern w:val="0"/>
                      <w:sz w:val="21"/>
                      <w:szCs w:val="21"/>
                      <w:vertAlign w:val="baseline"/>
                      <w:lang w:val="en-US" w:eastAsia="zh-CN"/>
                    </w:rPr>
                  </w:pPr>
                  <w:r>
                    <w:rPr>
                      <w:rFonts w:hint="default" w:ascii="Times New Roman" w:hAnsi="Times New Roman" w:eastAsia="仿宋_GB2312" w:cs="Times New Roman"/>
                      <w:b/>
                      <w:bCs/>
                      <w:color w:val="000000"/>
                      <w:kern w:val="0"/>
                      <w:sz w:val="21"/>
                      <w:szCs w:val="21"/>
                      <w:vertAlign w:val="baseline"/>
                      <w:lang w:val="en-US" w:eastAsia="zh-CN"/>
                    </w:rPr>
                    <w:t>文件要求</w:t>
                  </w:r>
                </w:p>
              </w:tc>
              <w:tc>
                <w:tcPr>
                  <w:tcW w:w="1668" w:type="pct"/>
                  <w:tcBorders>
                    <w:tl2br w:val="nil"/>
                    <w:tr2bl w:val="nil"/>
                  </w:tcBorders>
                  <w:vAlign w:val="center"/>
                </w:tcPr>
                <w:p w14:paraId="454BE42D">
                  <w:pPr>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9"/>
                    <w:rPr>
                      <w:rFonts w:hint="default" w:ascii="Times New Roman" w:hAnsi="Times New Roman" w:eastAsia="仿宋_GB2312" w:cs="Times New Roman"/>
                      <w:b/>
                      <w:bCs/>
                      <w:color w:val="000000"/>
                      <w:kern w:val="0"/>
                      <w:sz w:val="21"/>
                      <w:szCs w:val="21"/>
                      <w:vertAlign w:val="baseline"/>
                      <w:lang w:val="en-US" w:eastAsia="zh-CN"/>
                    </w:rPr>
                  </w:pPr>
                  <w:r>
                    <w:rPr>
                      <w:rFonts w:hint="default" w:ascii="Times New Roman" w:hAnsi="Times New Roman" w:eastAsia="仿宋_GB2312" w:cs="Times New Roman"/>
                      <w:b/>
                      <w:bCs/>
                      <w:color w:val="000000"/>
                      <w:kern w:val="0"/>
                      <w:sz w:val="21"/>
                      <w:szCs w:val="21"/>
                      <w:vertAlign w:val="baseline"/>
                      <w:lang w:val="en-US" w:eastAsia="zh-CN"/>
                    </w:rPr>
                    <w:t>本项目情况</w:t>
                  </w:r>
                </w:p>
              </w:tc>
              <w:tc>
                <w:tcPr>
                  <w:tcW w:w="570" w:type="pct"/>
                  <w:tcBorders>
                    <w:tl2br w:val="nil"/>
                    <w:tr2bl w:val="nil"/>
                  </w:tcBorders>
                  <w:vAlign w:val="center"/>
                </w:tcPr>
                <w:p w14:paraId="3B79430C">
                  <w:pPr>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9"/>
                    <w:rPr>
                      <w:rFonts w:hint="default" w:ascii="Times New Roman" w:hAnsi="Times New Roman" w:eastAsia="仿宋_GB2312" w:cs="Times New Roman"/>
                      <w:b/>
                      <w:bCs/>
                      <w:color w:val="000000"/>
                      <w:kern w:val="0"/>
                      <w:sz w:val="21"/>
                      <w:szCs w:val="21"/>
                      <w:vertAlign w:val="baseline"/>
                    </w:rPr>
                  </w:pPr>
                  <w:r>
                    <w:rPr>
                      <w:rFonts w:hint="default" w:ascii="Times New Roman" w:hAnsi="Times New Roman" w:eastAsia="仿宋_GB2312" w:cs="Times New Roman"/>
                      <w:b/>
                      <w:bCs/>
                      <w:color w:val="000000"/>
                      <w:kern w:val="0"/>
                      <w:sz w:val="21"/>
                      <w:szCs w:val="21"/>
                      <w:vertAlign w:val="baseline"/>
                      <w:lang w:val="en-US" w:eastAsia="zh-CN"/>
                    </w:rPr>
                    <w:t>相符性</w:t>
                  </w:r>
                </w:p>
              </w:tc>
            </w:tr>
            <w:tr w14:paraId="6EB59F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2" w:type="pct"/>
                  <w:vMerge w:val="restart"/>
                  <w:tcBorders>
                    <w:tl2br w:val="nil"/>
                    <w:tr2bl w:val="nil"/>
                  </w:tcBorders>
                  <w:vAlign w:val="center"/>
                </w:tcPr>
                <w:p w14:paraId="3860B29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i w:val="0"/>
                      <w:iCs w:val="0"/>
                      <w:caps w:val="0"/>
                      <w:color w:val="000000"/>
                      <w:spacing w:val="0"/>
                      <w:kern w:val="0"/>
                      <w:sz w:val="21"/>
                      <w:szCs w:val="21"/>
                      <w:shd w:val="clear" w:fill="FFFFFF"/>
                      <w:lang w:val="en-US" w:eastAsia="zh-CN" w:bidi="ar"/>
                    </w:rPr>
                  </w:pPr>
                  <w:r>
                    <w:rPr>
                      <w:rFonts w:hint="default" w:ascii="Times New Roman" w:hAnsi="Times New Roman" w:eastAsia="仿宋_GB2312" w:cs="Times New Roman"/>
                      <w:i w:val="0"/>
                      <w:iCs w:val="0"/>
                      <w:caps w:val="0"/>
                      <w:color w:val="000000"/>
                      <w:spacing w:val="0"/>
                      <w:kern w:val="0"/>
                      <w:sz w:val="21"/>
                      <w:szCs w:val="21"/>
                      <w:shd w:val="clear" w:fill="FFFFFF"/>
                      <w:lang w:val="en-US" w:eastAsia="zh-CN" w:bidi="ar"/>
                    </w:rPr>
                    <w:t>技术和设备设施条件</w:t>
                  </w:r>
                </w:p>
              </w:tc>
              <w:tc>
                <w:tcPr>
                  <w:tcW w:w="2148" w:type="pct"/>
                  <w:tcBorders>
                    <w:tl2br w:val="nil"/>
                    <w:tr2bl w:val="nil"/>
                  </w:tcBorders>
                  <w:vAlign w:val="center"/>
                </w:tcPr>
                <w:p w14:paraId="3989653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val="0"/>
                      <w:bCs w:val="0"/>
                      <w:i w:val="0"/>
                      <w:iCs w:val="0"/>
                      <w:caps w:val="0"/>
                      <w:color w:val="000000"/>
                      <w:spacing w:val="0"/>
                      <w:kern w:val="0"/>
                      <w:sz w:val="21"/>
                      <w:szCs w:val="21"/>
                      <w:shd w:val="clear" w:fill="FFFFFF"/>
                      <w:lang w:val="en-US" w:eastAsia="zh-CN" w:bidi="ar"/>
                    </w:rPr>
                  </w:pPr>
                  <w:r>
                    <w:rPr>
                      <w:rFonts w:hint="default" w:ascii="Times New Roman" w:hAnsi="Times New Roman" w:eastAsia="仿宋_GB2312" w:cs="Times New Roman"/>
                      <w:b w:val="0"/>
                      <w:bCs w:val="0"/>
                      <w:i w:val="0"/>
                      <w:iCs w:val="0"/>
                      <w:caps w:val="0"/>
                      <w:color w:val="000000"/>
                      <w:spacing w:val="0"/>
                      <w:kern w:val="0"/>
                      <w:sz w:val="21"/>
                      <w:szCs w:val="21"/>
                      <w:shd w:val="clear" w:fill="FFFFFF"/>
                      <w:lang w:val="en-US" w:eastAsia="zh-CN" w:bidi="ar"/>
                    </w:rPr>
                    <w:t>（一）海盐和湖盐食盐定点生产企业应当有较高的自动化、机械化水平，采、收、运原料盐的机械化水平达到90%以上（日晒盐工艺除外）；井矿盐食盐定点生产企业应当完全采用多效真空蒸发或机械式蒸汽再压缩生产工艺。</w:t>
                  </w:r>
                </w:p>
              </w:tc>
              <w:tc>
                <w:tcPr>
                  <w:tcW w:w="1668" w:type="pct"/>
                  <w:tcBorders>
                    <w:tl2br w:val="nil"/>
                    <w:tr2bl w:val="nil"/>
                  </w:tcBorders>
                  <w:vAlign w:val="center"/>
                </w:tcPr>
                <w:p w14:paraId="3EFAC72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i w:val="0"/>
                      <w:iCs w:val="0"/>
                      <w:caps w:val="0"/>
                      <w:color w:val="000000"/>
                      <w:spacing w:val="0"/>
                      <w:kern w:val="0"/>
                      <w:sz w:val="21"/>
                      <w:szCs w:val="21"/>
                      <w:shd w:val="clear" w:fill="FFFFFF"/>
                      <w:lang w:val="en-US" w:eastAsia="zh-CN" w:bidi="ar"/>
                    </w:rPr>
                  </w:pPr>
                  <w:r>
                    <w:rPr>
                      <w:rFonts w:hint="eastAsia" w:eastAsia="仿宋_GB2312" w:cs="Times New Roman"/>
                      <w:i w:val="0"/>
                      <w:iCs w:val="0"/>
                      <w:caps w:val="0"/>
                      <w:color w:val="000000"/>
                      <w:spacing w:val="0"/>
                      <w:kern w:val="0"/>
                      <w:sz w:val="21"/>
                      <w:szCs w:val="21"/>
                      <w:shd w:val="clear" w:fill="FFFFFF"/>
                      <w:lang w:val="en-US" w:eastAsia="zh-CN" w:bidi="ar"/>
                    </w:rPr>
                    <w:t>企业为</w:t>
                  </w:r>
                  <w:r>
                    <w:rPr>
                      <w:rFonts w:hint="default" w:ascii="Times New Roman" w:hAnsi="Times New Roman" w:eastAsia="仿宋_GB2312" w:cs="Times New Roman"/>
                      <w:b w:val="0"/>
                      <w:bCs w:val="0"/>
                      <w:i w:val="0"/>
                      <w:iCs w:val="0"/>
                      <w:caps w:val="0"/>
                      <w:color w:val="000000"/>
                      <w:spacing w:val="0"/>
                      <w:kern w:val="0"/>
                      <w:sz w:val="21"/>
                      <w:szCs w:val="21"/>
                      <w:shd w:val="clear" w:fill="FFFFFF"/>
                      <w:lang w:val="en-US" w:eastAsia="zh-CN" w:bidi="ar"/>
                    </w:rPr>
                    <w:t>井矿盐食盐定点生产企业</w:t>
                  </w:r>
                  <w:r>
                    <w:rPr>
                      <w:rFonts w:hint="eastAsia" w:ascii="Times New Roman" w:hAnsi="Times New Roman" w:eastAsia="仿宋_GB2312" w:cs="Times New Roman"/>
                      <w:b w:val="0"/>
                      <w:bCs w:val="0"/>
                      <w:i w:val="0"/>
                      <w:iCs w:val="0"/>
                      <w:caps w:val="0"/>
                      <w:color w:val="000000"/>
                      <w:spacing w:val="0"/>
                      <w:kern w:val="0"/>
                      <w:sz w:val="21"/>
                      <w:szCs w:val="21"/>
                      <w:shd w:val="clear" w:fill="FFFFFF"/>
                      <w:lang w:val="en-US" w:eastAsia="zh-CN" w:bidi="ar"/>
                    </w:rPr>
                    <w:t>，采用的是</w:t>
                  </w:r>
                  <w:r>
                    <w:rPr>
                      <w:rFonts w:hint="default" w:ascii="Times New Roman" w:hAnsi="Times New Roman" w:eastAsia="仿宋_GB2312" w:cs="Times New Roman"/>
                      <w:b w:val="0"/>
                      <w:bCs w:val="0"/>
                      <w:i w:val="0"/>
                      <w:iCs w:val="0"/>
                      <w:caps w:val="0"/>
                      <w:color w:val="auto"/>
                      <w:spacing w:val="0"/>
                      <w:kern w:val="0"/>
                      <w:sz w:val="21"/>
                      <w:szCs w:val="21"/>
                      <w:shd w:val="clear" w:fill="FFFFFF"/>
                      <w:lang w:val="en-US" w:eastAsia="zh-CN" w:bidi="ar"/>
                    </w:rPr>
                    <w:t>多效真空蒸发</w:t>
                  </w:r>
                  <w:r>
                    <w:rPr>
                      <w:rFonts w:hint="eastAsia" w:ascii="Times New Roman" w:hAnsi="Times New Roman" w:eastAsia="仿宋_GB2312" w:cs="Times New Roman"/>
                      <w:b w:val="0"/>
                      <w:bCs w:val="0"/>
                      <w:i w:val="0"/>
                      <w:iCs w:val="0"/>
                      <w:caps w:val="0"/>
                      <w:color w:val="auto"/>
                      <w:spacing w:val="0"/>
                      <w:kern w:val="0"/>
                      <w:sz w:val="21"/>
                      <w:szCs w:val="21"/>
                      <w:shd w:val="clear" w:fill="FFFFFF"/>
                      <w:lang w:val="en-US" w:eastAsia="zh-CN" w:bidi="ar"/>
                    </w:rPr>
                    <w:t>工艺</w:t>
                  </w:r>
                </w:p>
              </w:tc>
              <w:tc>
                <w:tcPr>
                  <w:tcW w:w="570" w:type="pct"/>
                  <w:tcBorders>
                    <w:tl2br w:val="nil"/>
                    <w:tr2bl w:val="nil"/>
                  </w:tcBorders>
                  <w:vAlign w:val="center"/>
                </w:tcPr>
                <w:p w14:paraId="609C5D9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i w:val="0"/>
                      <w:iCs w:val="0"/>
                      <w:caps w:val="0"/>
                      <w:color w:val="000000"/>
                      <w:spacing w:val="0"/>
                      <w:kern w:val="0"/>
                      <w:sz w:val="21"/>
                      <w:szCs w:val="21"/>
                      <w:shd w:val="clear" w:fill="FFFFFF"/>
                      <w:lang w:val="en-US" w:eastAsia="zh-CN" w:bidi="ar"/>
                    </w:rPr>
                  </w:pPr>
                  <w:r>
                    <w:rPr>
                      <w:rFonts w:hint="eastAsia" w:eastAsia="仿宋_GB2312" w:cs="Times New Roman"/>
                      <w:i w:val="0"/>
                      <w:iCs w:val="0"/>
                      <w:caps w:val="0"/>
                      <w:color w:val="000000"/>
                      <w:spacing w:val="0"/>
                      <w:kern w:val="0"/>
                      <w:sz w:val="21"/>
                      <w:szCs w:val="21"/>
                      <w:shd w:val="clear" w:fill="FFFFFF"/>
                      <w:lang w:val="en-US" w:eastAsia="zh-CN" w:bidi="ar"/>
                    </w:rPr>
                    <w:t>相符</w:t>
                  </w:r>
                </w:p>
              </w:tc>
            </w:tr>
            <w:tr w14:paraId="3CC668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2" w:type="pct"/>
                  <w:vMerge w:val="continue"/>
                  <w:tcBorders>
                    <w:tl2br w:val="nil"/>
                    <w:tr2bl w:val="nil"/>
                  </w:tcBorders>
                  <w:vAlign w:val="center"/>
                </w:tcPr>
                <w:p w14:paraId="5C80F78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i w:val="0"/>
                      <w:iCs w:val="0"/>
                      <w:caps w:val="0"/>
                      <w:color w:val="000000"/>
                      <w:spacing w:val="0"/>
                      <w:kern w:val="0"/>
                      <w:sz w:val="21"/>
                      <w:szCs w:val="21"/>
                      <w:shd w:val="clear" w:fill="FFFFFF"/>
                      <w:lang w:val="en-US" w:eastAsia="zh-CN" w:bidi="ar"/>
                    </w:rPr>
                  </w:pPr>
                </w:p>
              </w:tc>
              <w:tc>
                <w:tcPr>
                  <w:tcW w:w="2148" w:type="pct"/>
                  <w:tcBorders>
                    <w:tl2br w:val="nil"/>
                    <w:tr2bl w:val="nil"/>
                  </w:tcBorders>
                  <w:vAlign w:val="center"/>
                </w:tcPr>
                <w:p w14:paraId="75F31E5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val="0"/>
                      <w:bCs w:val="0"/>
                      <w:i w:val="0"/>
                      <w:iCs w:val="0"/>
                      <w:caps w:val="0"/>
                      <w:color w:val="000000"/>
                      <w:spacing w:val="0"/>
                      <w:kern w:val="0"/>
                      <w:sz w:val="21"/>
                      <w:szCs w:val="21"/>
                      <w:shd w:val="clear" w:fill="FFFFFF"/>
                      <w:lang w:val="en-US" w:eastAsia="zh-CN" w:bidi="ar"/>
                    </w:rPr>
                  </w:pPr>
                  <w:r>
                    <w:rPr>
                      <w:rFonts w:hint="default" w:ascii="Times New Roman" w:hAnsi="Times New Roman" w:eastAsia="仿宋_GB2312" w:cs="Times New Roman"/>
                      <w:b w:val="0"/>
                      <w:bCs w:val="0"/>
                      <w:i w:val="0"/>
                      <w:iCs w:val="0"/>
                      <w:caps w:val="0"/>
                      <w:color w:val="000000"/>
                      <w:spacing w:val="0"/>
                      <w:kern w:val="0"/>
                      <w:sz w:val="21"/>
                      <w:szCs w:val="21"/>
                      <w:shd w:val="clear" w:fill="FFFFFF"/>
                      <w:lang w:val="en-US" w:eastAsia="zh-CN" w:bidi="ar"/>
                    </w:rPr>
                    <w:t>（二）食盐定点生产企业从事食盐生产应有固定的、满足生产需要和产品质量要求的自有厂房和设备设施；食盐定点批发企业应有与其经营规模相匹配的、独立完整的营业场所和仓储设施，与其他功能区域分开设置，避免受到外部环境影响。</w:t>
                  </w:r>
                </w:p>
              </w:tc>
              <w:tc>
                <w:tcPr>
                  <w:tcW w:w="1668" w:type="pct"/>
                  <w:tcBorders>
                    <w:tl2br w:val="nil"/>
                    <w:tr2bl w:val="nil"/>
                  </w:tcBorders>
                  <w:vAlign w:val="center"/>
                </w:tcPr>
                <w:p w14:paraId="59135CC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i w:val="0"/>
                      <w:iCs w:val="0"/>
                      <w:caps w:val="0"/>
                      <w:color w:val="000000"/>
                      <w:spacing w:val="0"/>
                      <w:kern w:val="0"/>
                      <w:sz w:val="21"/>
                      <w:szCs w:val="21"/>
                      <w:shd w:val="clear" w:fill="FFFFFF"/>
                      <w:lang w:val="en-US" w:eastAsia="zh-CN" w:bidi="ar"/>
                    </w:rPr>
                  </w:pPr>
                  <w:r>
                    <w:rPr>
                      <w:rFonts w:hint="eastAsia" w:eastAsia="仿宋_GB2312" w:cs="Times New Roman"/>
                      <w:i w:val="0"/>
                      <w:iCs w:val="0"/>
                      <w:caps w:val="0"/>
                      <w:color w:val="000000"/>
                      <w:spacing w:val="0"/>
                      <w:kern w:val="0"/>
                      <w:sz w:val="21"/>
                      <w:szCs w:val="21"/>
                      <w:shd w:val="clear" w:fill="FFFFFF"/>
                      <w:lang w:val="en-US" w:eastAsia="zh-CN" w:bidi="ar"/>
                    </w:rPr>
                    <w:t>企业配备了满足</w:t>
                  </w:r>
                  <w:r>
                    <w:rPr>
                      <w:rFonts w:hint="default" w:ascii="Times New Roman" w:hAnsi="Times New Roman" w:eastAsia="仿宋_GB2312" w:cs="Times New Roman"/>
                      <w:b w:val="0"/>
                      <w:bCs w:val="0"/>
                      <w:i w:val="0"/>
                      <w:iCs w:val="0"/>
                      <w:caps w:val="0"/>
                      <w:color w:val="000000"/>
                      <w:spacing w:val="0"/>
                      <w:kern w:val="0"/>
                      <w:sz w:val="21"/>
                      <w:szCs w:val="21"/>
                      <w:shd w:val="clear" w:fill="FFFFFF"/>
                      <w:lang w:val="en-US" w:eastAsia="zh-CN" w:bidi="ar"/>
                    </w:rPr>
                    <w:t>生产需要和产品质量要求的自有厂房和设备设施</w:t>
                  </w:r>
                  <w:r>
                    <w:rPr>
                      <w:rFonts w:hint="eastAsia" w:ascii="Times New Roman" w:hAnsi="Times New Roman" w:eastAsia="仿宋_GB2312" w:cs="Times New Roman"/>
                      <w:b w:val="0"/>
                      <w:bCs w:val="0"/>
                      <w:i w:val="0"/>
                      <w:iCs w:val="0"/>
                      <w:caps w:val="0"/>
                      <w:color w:val="000000"/>
                      <w:spacing w:val="0"/>
                      <w:kern w:val="0"/>
                      <w:sz w:val="21"/>
                      <w:szCs w:val="21"/>
                      <w:shd w:val="clear" w:fill="FFFFFF"/>
                      <w:lang w:val="en-US" w:eastAsia="zh-CN" w:bidi="ar"/>
                    </w:rPr>
                    <w:t>和仓储设施，各设施分开设置</w:t>
                  </w:r>
                </w:p>
              </w:tc>
              <w:tc>
                <w:tcPr>
                  <w:tcW w:w="570" w:type="pct"/>
                  <w:tcBorders>
                    <w:tl2br w:val="nil"/>
                    <w:tr2bl w:val="nil"/>
                  </w:tcBorders>
                  <w:vAlign w:val="center"/>
                </w:tcPr>
                <w:p w14:paraId="36523D9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i w:val="0"/>
                      <w:iCs w:val="0"/>
                      <w:caps w:val="0"/>
                      <w:color w:val="000000"/>
                      <w:spacing w:val="0"/>
                      <w:kern w:val="0"/>
                      <w:sz w:val="21"/>
                      <w:szCs w:val="21"/>
                      <w:shd w:val="clear" w:fill="FFFFFF"/>
                      <w:lang w:val="en-US" w:eastAsia="zh-CN" w:bidi="ar"/>
                    </w:rPr>
                  </w:pPr>
                  <w:r>
                    <w:rPr>
                      <w:rFonts w:hint="eastAsia" w:eastAsia="仿宋_GB2312" w:cs="Times New Roman"/>
                      <w:i w:val="0"/>
                      <w:iCs w:val="0"/>
                      <w:caps w:val="0"/>
                      <w:color w:val="000000"/>
                      <w:spacing w:val="0"/>
                      <w:kern w:val="0"/>
                      <w:sz w:val="21"/>
                      <w:szCs w:val="21"/>
                      <w:shd w:val="clear" w:fill="FFFFFF"/>
                      <w:lang w:val="en-US" w:eastAsia="zh-CN" w:bidi="ar"/>
                    </w:rPr>
                    <w:t>相符</w:t>
                  </w:r>
                </w:p>
              </w:tc>
            </w:tr>
            <w:tr w14:paraId="37F3B8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2" w:type="pct"/>
                  <w:vMerge w:val="continue"/>
                  <w:tcBorders>
                    <w:tl2br w:val="nil"/>
                    <w:tr2bl w:val="nil"/>
                  </w:tcBorders>
                  <w:vAlign w:val="center"/>
                </w:tcPr>
                <w:p w14:paraId="032AD01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i w:val="0"/>
                      <w:iCs w:val="0"/>
                      <w:caps w:val="0"/>
                      <w:color w:val="000000"/>
                      <w:spacing w:val="0"/>
                      <w:kern w:val="0"/>
                      <w:sz w:val="21"/>
                      <w:szCs w:val="21"/>
                      <w:shd w:val="clear" w:fill="FFFFFF"/>
                      <w:lang w:val="en-US" w:eastAsia="zh-CN" w:bidi="ar"/>
                    </w:rPr>
                  </w:pPr>
                </w:p>
              </w:tc>
              <w:tc>
                <w:tcPr>
                  <w:tcW w:w="2148" w:type="pct"/>
                  <w:tcBorders>
                    <w:tl2br w:val="nil"/>
                    <w:tr2bl w:val="nil"/>
                  </w:tcBorders>
                  <w:vAlign w:val="center"/>
                </w:tcPr>
                <w:p w14:paraId="5000292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val="0"/>
                      <w:bCs w:val="0"/>
                      <w:i w:val="0"/>
                      <w:iCs w:val="0"/>
                      <w:caps w:val="0"/>
                      <w:color w:val="000000"/>
                      <w:spacing w:val="0"/>
                      <w:kern w:val="0"/>
                      <w:sz w:val="21"/>
                      <w:szCs w:val="21"/>
                      <w:shd w:val="clear" w:fill="FFFFFF"/>
                      <w:lang w:val="en-US" w:eastAsia="zh-CN" w:bidi="ar"/>
                    </w:rPr>
                  </w:pPr>
                  <w:r>
                    <w:rPr>
                      <w:rFonts w:hint="default" w:ascii="Times New Roman" w:hAnsi="Times New Roman" w:eastAsia="仿宋_GB2312" w:cs="Times New Roman"/>
                      <w:b w:val="0"/>
                      <w:bCs w:val="0"/>
                      <w:i w:val="0"/>
                      <w:iCs w:val="0"/>
                      <w:caps w:val="0"/>
                      <w:color w:val="000000"/>
                      <w:spacing w:val="0"/>
                      <w:kern w:val="0"/>
                      <w:sz w:val="21"/>
                      <w:szCs w:val="21"/>
                      <w:shd w:val="clear" w:fill="FFFFFF"/>
                      <w:lang w:val="en-US" w:eastAsia="zh-CN" w:bidi="ar"/>
                    </w:rPr>
                    <w:t>（三）食盐定点生产企业食盐包装设备应当采用自动的灌装和箱（袋）装设备，西部少数民族自治区的食盐定点生产企业可采用半自动的灌装和箱（袋）装设备。</w:t>
                  </w:r>
                </w:p>
              </w:tc>
              <w:tc>
                <w:tcPr>
                  <w:tcW w:w="1668" w:type="pct"/>
                  <w:tcBorders>
                    <w:tl2br w:val="nil"/>
                    <w:tr2bl w:val="nil"/>
                  </w:tcBorders>
                  <w:vAlign w:val="center"/>
                </w:tcPr>
                <w:p w14:paraId="1505DF1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val="0"/>
                      <w:bCs w:val="0"/>
                      <w:i w:val="0"/>
                      <w:iCs w:val="0"/>
                      <w:caps w:val="0"/>
                      <w:color w:val="000000"/>
                      <w:spacing w:val="0"/>
                      <w:kern w:val="0"/>
                      <w:sz w:val="21"/>
                      <w:szCs w:val="21"/>
                      <w:shd w:val="clear" w:fill="FFFFFF"/>
                      <w:lang w:val="en-US" w:eastAsia="zh-CN" w:bidi="ar"/>
                    </w:rPr>
                  </w:pPr>
                  <w:r>
                    <w:rPr>
                      <w:rFonts w:hint="default" w:ascii="Times New Roman" w:hAnsi="Times New Roman" w:eastAsia="仿宋_GB2312" w:cs="Times New Roman"/>
                      <w:b w:val="0"/>
                      <w:bCs w:val="0"/>
                      <w:i w:val="0"/>
                      <w:iCs w:val="0"/>
                      <w:caps w:val="0"/>
                      <w:color w:val="000000"/>
                      <w:spacing w:val="0"/>
                      <w:kern w:val="0"/>
                      <w:sz w:val="21"/>
                      <w:szCs w:val="21"/>
                      <w:shd w:val="clear" w:fill="FFFFFF"/>
                      <w:lang w:val="en-US" w:eastAsia="zh-CN" w:bidi="ar"/>
                    </w:rPr>
                    <w:t>企业食盐包装设备</w:t>
                  </w:r>
                  <w:r>
                    <w:rPr>
                      <w:rFonts w:hint="eastAsia" w:ascii="Times New Roman" w:hAnsi="Times New Roman" w:eastAsia="仿宋_GB2312" w:cs="Times New Roman"/>
                      <w:b w:val="0"/>
                      <w:bCs w:val="0"/>
                      <w:i w:val="0"/>
                      <w:iCs w:val="0"/>
                      <w:caps w:val="0"/>
                      <w:color w:val="000000"/>
                      <w:spacing w:val="0"/>
                      <w:kern w:val="0"/>
                      <w:sz w:val="21"/>
                      <w:szCs w:val="21"/>
                      <w:shd w:val="clear" w:fill="FFFFFF"/>
                      <w:lang w:val="en-US" w:eastAsia="zh-CN" w:bidi="ar"/>
                    </w:rPr>
                    <w:t>已</w:t>
                  </w:r>
                  <w:r>
                    <w:rPr>
                      <w:rFonts w:hint="default" w:ascii="Times New Roman" w:hAnsi="Times New Roman" w:eastAsia="仿宋_GB2312" w:cs="Times New Roman"/>
                      <w:b w:val="0"/>
                      <w:bCs w:val="0"/>
                      <w:i w:val="0"/>
                      <w:iCs w:val="0"/>
                      <w:caps w:val="0"/>
                      <w:color w:val="000000"/>
                      <w:spacing w:val="0"/>
                      <w:kern w:val="0"/>
                      <w:sz w:val="21"/>
                      <w:szCs w:val="21"/>
                      <w:shd w:val="clear" w:fill="FFFFFF"/>
                      <w:lang w:val="en-US" w:eastAsia="zh-CN" w:bidi="ar"/>
                    </w:rPr>
                    <w:t>采用自动的灌装和箱（袋）装设备</w:t>
                  </w:r>
                </w:p>
              </w:tc>
              <w:tc>
                <w:tcPr>
                  <w:tcW w:w="570" w:type="pct"/>
                  <w:tcBorders>
                    <w:tl2br w:val="nil"/>
                    <w:tr2bl w:val="nil"/>
                  </w:tcBorders>
                  <w:vAlign w:val="center"/>
                </w:tcPr>
                <w:p w14:paraId="0E27170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i w:val="0"/>
                      <w:iCs w:val="0"/>
                      <w:caps w:val="0"/>
                      <w:color w:val="000000"/>
                      <w:spacing w:val="0"/>
                      <w:kern w:val="0"/>
                      <w:sz w:val="21"/>
                      <w:szCs w:val="21"/>
                      <w:shd w:val="clear" w:fill="FFFFFF"/>
                      <w:lang w:val="en-US" w:eastAsia="zh-CN" w:bidi="ar"/>
                    </w:rPr>
                  </w:pPr>
                  <w:r>
                    <w:rPr>
                      <w:rFonts w:hint="eastAsia" w:eastAsia="仿宋_GB2312" w:cs="Times New Roman"/>
                      <w:i w:val="0"/>
                      <w:iCs w:val="0"/>
                      <w:caps w:val="0"/>
                      <w:color w:val="000000"/>
                      <w:spacing w:val="0"/>
                      <w:kern w:val="0"/>
                      <w:sz w:val="21"/>
                      <w:szCs w:val="21"/>
                      <w:shd w:val="clear" w:fill="FFFFFF"/>
                      <w:lang w:val="en-US" w:eastAsia="zh-CN" w:bidi="ar"/>
                    </w:rPr>
                    <w:t>相符</w:t>
                  </w:r>
                </w:p>
              </w:tc>
            </w:tr>
            <w:tr w14:paraId="74B5A5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2" w:type="pct"/>
                  <w:vMerge w:val="continue"/>
                  <w:tcBorders>
                    <w:tl2br w:val="nil"/>
                    <w:tr2bl w:val="nil"/>
                  </w:tcBorders>
                  <w:vAlign w:val="center"/>
                </w:tcPr>
                <w:p w14:paraId="467A58CD">
                  <w:pPr>
                    <w:pStyle w:val="2"/>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val="0"/>
                      <w:bCs w:val="0"/>
                      <w:i w:val="0"/>
                      <w:iCs w:val="0"/>
                      <w:caps w:val="0"/>
                      <w:color w:val="000000"/>
                      <w:spacing w:val="0"/>
                      <w:kern w:val="0"/>
                      <w:sz w:val="21"/>
                      <w:szCs w:val="21"/>
                      <w:shd w:val="clear" w:fill="FFFFFF"/>
                      <w:lang w:val="en-US" w:eastAsia="zh-CN" w:bidi="ar"/>
                    </w:rPr>
                  </w:pPr>
                </w:p>
              </w:tc>
              <w:tc>
                <w:tcPr>
                  <w:tcW w:w="2148" w:type="pct"/>
                  <w:tcBorders>
                    <w:tl2br w:val="nil"/>
                    <w:tr2bl w:val="nil"/>
                  </w:tcBorders>
                  <w:vAlign w:val="center"/>
                </w:tcPr>
                <w:p w14:paraId="48B799F2">
                  <w:pPr>
                    <w:pStyle w:val="2"/>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val="0"/>
                      <w:bCs w:val="0"/>
                      <w:i w:val="0"/>
                      <w:iCs w:val="0"/>
                      <w:caps w:val="0"/>
                      <w:color w:val="000000"/>
                      <w:spacing w:val="0"/>
                      <w:kern w:val="0"/>
                      <w:sz w:val="21"/>
                      <w:szCs w:val="21"/>
                      <w:shd w:val="clear" w:fill="FFFFFF"/>
                      <w:lang w:val="en-US" w:eastAsia="zh-CN" w:bidi="ar"/>
                    </w:rPr>
                  </w:pPr>
                  <w:bookmarkStart w:id="7" w:name="_Toc22537"/>
                  <w:bookmarkStart w:id="8" w:name="_Toc14241"/>
                  <w:r>
                    <w:rPr>
                      <w:rFonts w:hint="default" w:ascii="Times New Roman" w:hAnsi="Times New Roman" w:eastAsia="仿宋_GB2312" w:cs="Times New Roman"/>
                      <w:b w:val="0"/>
                      <w:bCs w:val="0"/>
                      <w:i w:val="0"/>
                      <w:iCs w:val="0"/>
                      <w:caps w:val="0"/>
                      <w:color w:val="000000"/>
                      <w:spacing w:val="0"/>
                      <w:kern w:val="0"/>
                      <w:sz w:val="21"/>
                      <w:szCs w:val="21"/>
                      <w:shd w:val="clear" w:fill="FFFFFF"/>
                      <w:lang w:val="en-US" w:eastAsia="zh-CN" w:bidi="ar"/>
                    </w:rPr>
                    <w:t>（四）食盐定点生产企业生产加碘食盐应采用自动控制加碘设备。</w:t>
                  </w:r>
                  <w:bookmarkEnd w:id="7"/>
                  <w:bookmarkEnd w:id="8"/>
                </w:p>
              </w:tc>
              <w:tc>
                <w:tcPr>
                  <w:tcW w:w="1668" w:type="pct"/>
                  <w:tcBorders>
                    <w:tl2br w:val="nil"/>
                    <w:tr2bl w:val="nil"/>
                  </w:tcBorders>
                  <w:vAlign w:val="center"/>
                </w:tcPr>
                <w:p w14:paraId="71A680BC">
                  <w:pPr>
                    <w:pStyle w:val="2"/>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val="0"/>
                      <w:bCs w:val="0"/>
                      <w:i w:val="0"/>
                      <w:iCs w:val="0"/>
                      <w:caps w:val="0"/>
                      <w:color w:val="000000"/>
                      <w:spacing w:val="0"/>
                      <w:kern w:val="0"/>
                      <w:sz w:val="21"/>
                      <w:szCs w:val="21"/>
                      <w:shd w:val="clear" w:fill="FFFFFF"/>
                      <w:lang w:val="en-US" w:eastAsia="zh-CN" w:bidi="ar"/>
                    </w:rPr>
                  </w:pPr>
                  <w:bookmarkStart w:id="9" w:name="_Toc13473"/>
                  <w:bookmarkStart w:id="10" w:name="_Toc28519"/>
                  <w:r>
                    <w:rPr>
                      <w:rFonts w:hint="default" w:ascii="Times New Roman" w:hAnsi="Times New Roman" w:eastAsia="仿宋_GB2312" w:cs="Times New Roman"/>
                      <w:b w:val="0"/>
                      <w:bCs w:val="0"/>
                      <w:i w:val="0"/>
                      <w:iCs w:val="0"/>
                      <w:caps w:val="0"/>
                      <w:color w:val="000000"/>
                      <w:spacing w:val="0"/>
                      <w:kern w:val="0"/>
                      <w:sz w:val="21"/>
                      <w:szCs w:val="21"/>
                      <w:shd w:val="clear" w:fill="FFFFFF"/>
                      <w:lang w:val="en-US" w:eastAsia="zh-CN" w:bidi="ar"/>
                    </w:rPr>
                    <w:t>企业生产加碘食盐应采用</w:t>
                  </w:r>
                  <w:r>
                    <w:rPr>
                      <w:rFonts w:hint="eastAsia" w:ascii="Times New Roman" w:hAnsi="Times New Roman" w:eastAsia="仿宋_GB2312" w:cs="Times New Roman"/>
                      <w:b w:val="0"/>
                      <w:bCs w:val="0"/>
                      <w:i w:val="0"/>
                      <w:iCs w:val="0"/>
                      <w:caps w:val="0"/>
                      <w:color w:val="000000"/>
                      <w:spacing w:val="0"/>
                      <w:kern w:val="0"/>
                      <w:sz w:val="21"/>
                      <w:szCs w:val="21"/>
                      <w:shd w:val="clear" w:fill="FFFFFF"/>
                      <w:lang w:val="en-US" w:eastAsia="zh-CN" w:bidi="ar"/>
                    </w:rPr>
                    <w:t>了</w:t>
                  </w:r>
                  <w:r>
                    <w:rPr>
                      <w:rFonts w:hint="default" w:ascii="Times New Roman" w:hAnsi="Times New Roman" w:eastAsia="仿宋_GB2312" w:cs="Times New Roman"/>
                      <w:b w:val="0"/>
                      <w:bCs w:val="0"/>
                      <w:i w:val="0"/>
                      <w:iCs w:val="0"/>
                      <w:caps w:val="0"/>
                      <w:color w:val="000000"/>
                      <w:spacing w:val="0"/>
                      <w:kern w:val="0"/>
                      <w:sz w:val="21"/>
                      <w:szCs w:val="21"/>
                      <w:shd w:val="clear" w:fill="FFFFFF"/>
                      <w:lang w:val="en-US" w:eastAsia="zh-CN" w:bidi="ar"/>
                    </w:rPr>
                    <w:t>自动控制加碘设备</w:t>
                  </w:r>
                  <w:bookmarkEnd w:id="9"/>
                  <w:bookmarkEnd w:id="10"/>
                </w:p>
              </w:tc>
              <w:tc>
                <w:tcPr>
                  <w:tcW w:w="570" w:type="pct"/>
                  <w:tcBorders>
                    <w:tl2br w:val="nil"/>
                    <w:tr2bl w:val="nil"/>
                  </w:tcBorders>
                  <w:vAlign w:val="center"/>
                </w:tcPr>
                <w:p w14:paraId="1618A1FA">
                  <w:pPr>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val="0"/>
                      <w:bCs w:val="0"/>
                      <w:i w:val="0"/>
                      <w:iCs w:val="0"/>
                      <w:caps w:val="0"/>
                      <w:color w:val="000000"/>
                      <w:spacing w:val="0"/>
                      <w:kern w:val="0"/>
                      <w:sz w:val="21"/>
                      <w:szCs w:val="21"/>
                      <w:shd w:val="clear" w:fill="FFFFFF"/>
                      <w:lang w:val="en-US" w:eastAsia="zh-CN" w:bidi="ar"/>
                    </w:rPr>
                  </w:pPr>
                  <w:r>
                    <w:rPr>
                      <w:rFonts w:hint="eastAsia" w:eastAsia="仿宋_GB2312" w:cs="Times New Roman"/>
                      <w:i w:val="0"/>
                      <w:iCs w:val="0"/>
                      <w:caps w:val="0"/>
                      <w:color w:val="000000"/>
                      <w:spacing w:val="0"/>
                      <w:kern w:val="0"/>
                      <w:sz w:val="21"/>
                      <w:szCs w:val="21"/>
                      <w:shd w:val="clear" w:fill="FFFFFF"/>
                      <w:lang w:val="en-US" w:eastAsia="zh-CN" w:bidi="ar"/>
                    </w:rPr>
                    <w:t>相符</w:t>
                  </w:r>
                </w:p>
              </w:tc>
            </w:tr>
          </w:tbl>
          <w:p w14:paraId="3DCC106C">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22" w:firstLineChars="200"/>
              <w:jc w:val="both"/>
              <w:textAlignment w:val="auto"/>
              <w:rPr>
                <w:rFonts w:hint="eastAsia" w:ascii="Times New Roman" w:hAnsi="Times New Roman" w:eastAsia="仿宋_GB2312" w:cs="Times New Roman"/>
                <w:b/>
                <w:color w:val="000000"/>
                <w:kern w:val="2"/>
                <w:sz w:val="21"/>
                <w:szCs w:val="21"/>
                <w:lang w:val="en-US" w:eastAsia="zh-CN" w:bidi="ar-SA"/>
              </w:rPr>
            </w:pPr>
            <w:r>
              <w:rPr>
                <w:rFonts w:hint="eastAsia" w:ascii="Times New Roman" w:hAnsi="Times New Roman" w:eastAsia="仿宋_GB2312" w:cs="Times New Roman"/>
                <w:b/>
                <w:color w:val="000000"/>
                <w:kern w:val="2"/>
                <w:sz w:val="21"/>
                <w:szCs w:val="21"/>
                <w:lang w:val="en-US" w:eastAsia="zh-CN" w:bidi="ar-SA"/>
              </w:rPr>
              <w:t>十、与《江苏省挥发性有机物清洁原料替代工作方案》（苏大气办〔2021〕2 号）相符性分析</w:t>
            </w:r>
          </w:p>
          <w:p w14:paraId="04F49248">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仿宋_GB2312" w:cs="Times New Roman"/>
                <w:b/>
                <w:bCs/>
                <w:color w:val="000000"/>
                <w:kern w:val="0"/>
                <w:lang w:val="en-US" w:eastAsia="zh-CN"/>
              </w:rPr>
            </w:pPr>
            <w:r>
              <w:rPr>
                <w:rFonts w:hint="eastAsia" w:ascii="Times New Roman" w:hAnsi="Times New Roman" w:eastAsia="仿宋_GB2312" w:cs="Times New Roman"/>
                <w:b/>
                <w:bCs/>
                <w:color w:val="000000"/>
                <w:kern w:val="0"/>
                <w:lang w:val="en-US" w:eastAsia="zh-CN"/>
              </w:rPr>
              <w:t>表 1-14  项目与苏大气办〔2021〕2 号文相符性分析</w:t>
            </w:r>
          </w:p>
          <w:tbl>
            <w:tblPr>
              <w:tblStyle w:val="3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441"/>
              <w:gridCol w:w="2919"/>
              <w:gridCol w:w="1135"/>
            </w:tblGrid>
            <w:tr w14:paraId="6CAC97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95" w:type="pct"/>
                  <w:noWrap w:val="0"/>
                  <w:vAlign w:val="center"/>
                </w:tcPr>
                <w:p w14:paraId="4EDA30B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仿宋_GB2312" w:cs="Times New Roman"/>
                      <w:b/>
                      <w:bCs/>
                      <w:sz w:val="21"/>
                      <w:szCs w:val="24"/>
                      <w:vertAlign w:val="baseline"/>
                      <w:lang w:val="en-US" w:eastAsia="zh-CN"/>
                    </w:rPr>
                  </w:pPr>
                  <w:r>
                    <w:rPr>
                      <w:rFonts w:hint="eastAsia" w:ascii="Times New Roman" w:hAnsi="Times New Roman" w:eastAsia="仿宋_GB2312" w:cs="Times New Roman"/>
                      <w:b/>
                      <w:bCs/>
                      <w:sz w:val="21"/>
                      <w:szCs w:val="24"/>
                      <w:vertAlign w:val="baseline"/>
                      <w:lang w:val="en-US" w:eastAsia="zh-CN"/>
                    </w:rPr>
                    <w:t>文件要求</w:t>
                  </w:r>
                </w:p>
              </w:tc>
              <w:tc>
                <w:tcPr>
                  <w:tcW w:w="1947" w:type="pct"/>
                  <w:noWrap w:val="0"/>
                  <w:vAlign w:val="center"/>
                </w:tcPr>
                <w:p w14:paraId="73C8E59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b/>
                      <w:bCs/>
                      <w:sz w:val="21"/>
                      <w:szCs w:val="24"/>
                      <w:vertAlign w:val="baseline"/>
                      <w:lang w:val="en-US" w:eastAsia="zh-CN"/>
                    </w:rPr>
                  </w:pPr>
                  <w:r>
                    <w:rPr>
                      <w:rFonts w:hint="eastAsia" w:ascii="Times New Roman" w:hAnsi="Times New Roman" w:eastAsia="仿宋_GB2312" w:cs="Times New Roman"/>
                      <w:b/>
                      <w:bCs/>
                      <w:sz w:val="21"/>
                      <w:szCs w:val="24"/>
                      <w:vertAlign w:val="baseline"/>
                      <w:lang w:val="en-US" w:eastAsia="zh-CN"/>
                    </w:rPr>
                    <w:t>相符性分析</w:t>
                  </w:r>
                </w:p>
              </w:tc>
              <w:tc>
                <w:tcPr>
                  <w:tcW w:w="757" w:type="pct"/>
                  <w:noWrap w:val="0"/>
                  <w:vAlign w:val="center"/>
                </w:tcPr>
                <w:p w14:paraId="66FF0AB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仿宋_GB2312"/>
                      <w:szCs w:val="21"/>
                    </w:rPr>
                  </w:pPr>
                  <w:r>
                    <w:rPr>
                      <w:rFonts w:hint="eastAsia" w:eastAsia="仿宋_GB2312"/>
                      <w:b/>
                      <w:bCs/>
                      <w:sz w:val="21"/>
                      <w:szCs w:val="24"/>
                      <w:vertAlign w:val="baseline"/>
                      <w:lang w:val="en-US" w:eastAsia="zh-CN"/>
                    </w:rPr>
                    <w:t>是否相符</w:t>
                  </w:r>
                </w:p>
              </w:tc>
            </w:tr>
            <w:tr w14:paraId="230316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95" w:type="pct"/>
                  <w:noWrap w:val="0"/>
                  <w:vAlign w:val="center"/>
                </w:tcPr>
                <w:p w14:paraId="36289D86">
                  <w:pPr>
                    <w:keepNext w:val="0"/>
                    <w:keepLines w:val="0"/>
                    <w:pageBreakBefore w:val="0"/>
                    <w:kinsoku/>
                    <w:overflowPunct/>
                    <w:autoSpaceDE/>
                    <w:autoSpaceDN/>
                    <w:bidi w:val="0"/>
                    <w:spacing w:line="240" w:lineRule="auto"/>
                    <w:jc w:val="center"/>
                    <w:textAlignment w:val="auto"/>
                    <w:rPr>
                      <w:rFonts w:hint="eastAsia" w:ascii="Times New Roman" w:hAnsi="Times New Roman" w:eastAsia="仿宋_GB2312" w:cs="Times New Roman"/>
                      <w:szCs w:val="21"/>
                    </w:rPr>
                  </w:pPr>
                  <w:r>
                    <w:rPr>
                      <w:rFonts w:hint="eastAsia" w:ascii="Times New Roman" w:hAnsi="Times New Roman" w:eastAsia="仿宋_GB2312" w:cs="Times New Roman"/>
                      <w:szCs w:val="21"/>
                    </w:rPr>
                    <w:t>严格准入条件。禁止建设生产和使用高VOCs 含量的涂料、油墨、胶黏剂等项目。2021 年起，全省工业涂装、包装印刷、纺织、木材加工等行业以及涂料、油墨等生产企业的新（改、扩）建项目需满足低（无）VOCs 含量限值要求。省内市场上流通的水性涂料等低挥发性有机物含量涂料产品，执行国家《低挥发性有机化合物含量涂料产品技术要求》（GB/T 38597-2020）。</w:t>
                  </w:r>
                </w:p>
              </w:tc>
              <w:tc>
                <w:tcPr>
                  <w:tcW w:w="1947" w:type="pct"/>
                  <w:noWrap w:val="0"/>
                  <w:vAlign w:val="center"/>
                </w:tcPr>
                <w:p w14:paraId="418C62F1">
                  <w:pPr>
                    <w:keepNext w:val="0"/>
                    <w:keepLines w:val="0"/>
                    <w:pageBreakBefore w:val="0"/>
                    <w:kinsoku/>
                    <w:overflowPunct/>
                    <w:autoSpaceDE/>
                    <w:autoSpaceDN/>
                    <w:bidi w:val="0"/>
                    <w:spacing w:line="240" w:lineRule="auto"/>
                    <w:jc w:val="center"/>
                    <w:textAlignment w:val="auto"/>
                    <w:rPr>
                      <w:rFonts w:hint="eastAsia" w:ascii="Times New Roman" w:hAnsi="Times New Roman" w:eastAsia="仿宋_GB2312" w:cs="Times New Roman"/>
                      <w:szCs w:val="21"/>
                      <w:lang w:eastAsia="zh-CN"/>
                    </w:rPr>
                  </w:pPr>
                  <w:r>
                    <w:rPr>
                      <w:rFonts w:hint="eastAsia" w:ascii="Times New Roman" w:hAnsi="Times New Roman" w:eastAsia="仿宋_GB2312" w:cs="Times New Roman"/>
                      <w:color w:val="auto"/>
                      <w:szCs w:val="21"/>
                    </w:rPr>
                    <w:t>本项目使用含 VOCs 较低的水性</w:t>
                  </w:r>
                  <w:r>
                    <w:rPr>
                      <w:rFonts w:hint="eastAsia" w:ascii="Times New Roman" w:hAnsi="Times New Roman" w:eastAsia="仿宋_GB2312" w:cs="Times New Roman"/>
                      <w:color w:val="auto"/>
                      <w:szCs w:val="21"/>
                      <w:lang w:val="en-US" w:eastAsia="zh-CN"/>
                    </w:rPr>
                    <w:t>漆</w:t>
                  </w:r>
                  <w:r>
                    <w:rPr>
                      <w:rFonts w:hint="eastAsia" w:ascii="Times New Roman" w:hAnsi="Times New Roman" w:eastAsia="仿宋_GB2312" w:cs="Times New Roman"/>
                      <w:color w:val="auto"/>
                      <w:szCs w:val="21"/>
                    </w:rPr>
                    <w:t>，符合限值要求</w:t>
                  </w:r>
                  <w:r>
                    <w:rPr>
                      <w:rFonts w:hint="eastAsia" w:ascii="Times New Roman" w:hAnsi="Times New Roman" w:eastAsia="仿宋_GB2312" w:cs="Times New Roman"/>
                      <w:color w:val="auto"/>
                      <w:szCs w:val="21"/>
                      <w:lang w:eastAsia="zh-CN"/>
                    </w:rPr>
                    <w:t>。</w:t>
                  </w:r>
                </w:p>
              </w:tc>
              <w:tc>
                <w:tcPr>
                  <w:tcW w:w="757" w:type="pct"/>
                  <w:noWrap w:val="0"/>
                  <w:vAlign w:val="center"/>
                </w:tcPr>
                <w:p w14:paraId="7710E305">
                  <w:pPr>
                    <w:keepNext w:val="0"/>
                    <w:keepLines w:val="0"/>
                    <w:pageBreakBefore w:val="0"/>
                    <w:kinsoku/>
                    <w:overflowPunct/>
                    <w:autoSpaceDE/>
                    <w:autoSpaceDN/>
                    <w:bidi w:val="0"/>
                    <w:spacing w:line="240" w:lineRule="auto"/>
                    <w:jc w:val="center"/>
                    <w:textAlignment w:val="auto"/>
                    <w:rPr>
                      <w:rFonts w:hint="eastAsia" w:ascii="Times New Roman" w:hAnsi="Times New Roman" w:eastAsia="仿宋_GB2312" w:cs="Times New Roman"/>
                      <w:szCs w:val="21"/>
                    </w:rPr>
                  </w:pPr>
                  <w:r>
                    <w:rPr>
                      <w:rFonts w:hint="eastAsia" w:ascii="Times New Roman" w:hAnsi="Times New Roman" w:eastAsia="仿宋_GB2312" w:cs="Times New Roman"/>
                      <w:szCs w:val="21"/>
                    </w:rPr>
                    <w:t>相符</w:t>
                  </w:r>
                </w:p>
              </w:tc>
            </w:tr>
            <w:tr w14:paraId="24486F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95" w:type="pct"/>
                  <w:noWrap w:val="0"/>
                  <w:vAlign w:val="center"/>
                </w:tcPr>
                <w:p w14:paraId="6FAB2AC8">
                  <w:pPr>
                    <w:keepNext w:val="0"/>
                    <w:keepLines w:val="0"/>
                    <w:pageBreakBefore w:val="0"/>
                    <w:kinsoku/>
                    <w:overflowPunct/>
                    <w:autoSpaceDE/>
                    <w:autoSpaceDN/>
                    <w:bidi w:val="0"/>
                    <w:spacing w:line="240" w:lineRule="auto"/>
                    <w:jc w:val="center"/>
                    <w:textAlignment w:val="auto"/>
                    <w:rPr>
                      <w:rFonts w:hint="eastAsia" w:ascii="Times New Roman" w:hAnsi="Times New Roman" w:eastAsia="仿宋_GB2312" w:cs="Times New Roman"/>
                      <w:szCs w:val="21"/>
                      <w:lang w:val="en-US" w:eastAsia="zh-CN"/>
                    </w:rPr>
                  </w:pPr>
                  <w:r>
                    <w:rPr>
                      <w:rFonts w:hint="eastAsia" w:ascii="Times New Roman" w:hAnsi="Times New Roman" w:eastAsia="仿宋_GB2312" w:cs="Times New Roman"/>
                      <w:szCs w:val="21"/>
                    </w:rPr>
                    <w:t>强化排查整治。各地在推动3130家企业实施源头替代的基础上，举一反三，对工业涂装、包装印刷、木材加工、纺织等涉VOCs重点行业进行再排查、再梳理，督促企业建立涂料等原辅材料购销台账，如实记录使用情况。对具备替代条件的，要列入治理清单，推动企业实施清洁原料替代</w:t>
                  </w:r>
                  <w:r>
                    <w:rPr>
                      <w:rFonts w:hint="eastAsia" w:ascii="Times New Roman" w:hAnsi="Times New Roman" w:eastAsia="仿宋_GB2312" w:cs="Times New Roman"/>
                      <w:szCs w:val="21"/>
                      <w:lang w:eastAsia="zh-CN"/>
                    </w:rPr>
                    <w:t>；</w:t>
                  </w:r>
                  <w:r>
                    <w:rPr>
                      <w:rFonts w:hint="eastAsia" w:ascii="Times New Roman" w:hAnsi="Times New Roman" w:eastAsia="仿宋_GB2312" w:cs="Times New Roman"/>
                      <w:szCs w:val="21"/>
                    </w:rPr>
                    <w:t>对替代技术尚不成熟的，要开展论证核实，并加强现场监管，确保VOCs无组织排放得到有效控制，废气排气口达到国家及地方VOCs排放控制标准要求。</w:t>
                  </w:r>
                </w:p>
              </w:tc>
              <w:tc>
                <w:tcPr>
                  <w:tcW w:w="1947" w:type="pct"/>
                  <w:noWrap w:val="0"/>
                  <w:vAlign w:val="center"/>
                </w:tcPr>
                <w:p w14:paraId="405F200B">
                  <w:pPr>
                    <w:keepNext w:val="0"/>
                    <w:keepLines w:val="0"/>
                    <w:pageBreakBefore w:val="0"/>
                    <w:kinsoku/>
                    <w:overflowPunct/>
                    <w:autoSpaceDE/>
                    <w:autoSpaceDN/>
                    <w:bidi w:val="0"/>
                    <w:spacing w:line="240" w:lineRule="auto"/>
                    <w:jc w:val="center"/>
                    <w:textAlignment w:val="auto"/>
                    <w:rPr>
                      <w:rFonts w:hint="default" w:ascii="Times New Roman" w:hAnsi="Times New Roman" w:eastAsia="仿宋_GB2312" w:cs="Times New Roman"/>
                      <w:szCs w:val="21"/>
                      <w:lang w:val="en-US" w:eastAsia="zh-CN"/>
                    </w:rPr>
                  </w:pPr>
                  <w:r>
                    <w:rPr>
                      <w:rFonts w:hint="eastAsia" w:ascii="Times New Roman" w:hAnsi="Times New Roman" w:eastAsia="仿宋_GB2312" w:cs="Times New Roman"/>
                      <w:szCs w:val="21"/>
                    </w:rPr>
                    <w:t>本项目</w:t>
                  </w:r>
                  <w:r>
                    <w:rPr>
                      <w:rFonts w:hint="eastAsia" w:ascii="Times New Roman" w:hAnsi="Times New Roman" w:eastAsia="仿宋_GB2312" w:cs="Times New Roman"/>
                      <w:szCs w:val="21"/>
                      <w:lang w:val="en-US" w:eastAsia="zh-CN"/>
                    </w:rPr>
                    <w:t>使用少量的水性漆进行设备刷漆</w:t>
                  </w:r>
                  <w:r>
                    <w:rPr>
                      <w:rFonts w:hint="eastAsia" w:ascii="Times New Roman" w:hAnsi="Times New Roman" w:eastAsia="仿宋_GB2312" w:cs="Times New Roman"/>
                      <w:szCs w:val="21"/>
                    </w:rPr>
                    <w:t>，项目建成后将按照要求建立涂料等涉及VOCs 原辅料的购销台账，如实记录使用情况。项目产生</w:t>
                  </w:r>
                  <w:r>
                    <w:rPr>
                      <w:rFonts w:hint="eastAsia" w:ascii="Times New Roman" w:hAnsi="Times New Roman" w:eastAsia="仿宋_GB2312" w:cs="Times New Roman"/>
                      <w:szCs w:val="21"/>
                      <w:lang w:val="en-US" w:eastAsia="zh-CN"/>
                    </w:rPr>
                    <w:t>少量</w:t>
                  </w:r>
                  <w:r>
                    <w:rPr>
                      <w:rFonts w:hint="eastAsia" w:ascii="Times New Roman" w:hAnsi="Times New Roman" w:eastAsia="仿宋_GB2312" w:cs="Times New Roman"/>
                      <w:szCs w:val="21"/>
                    </w:rPr>
                    <w:t>废气经</w:t>
                  </w:r>
                  <w:r>
                    <w:rPr>
                      <w:rFonts w:hint="eastAsia" w:ascii="Times New Roman" w:hAnsi="Times New Roman" w:eastAsia="仿宋_GB2312" w:cs="Times New Roman"/>
                      <w:szCs w:val="21"/>
                      <w:lang w:val="en-US" w:eastAsia="zh-CN"/>
                    </w:rPr>
                    <w:t>厂内绿植净化吸收</w:t>
                  </w:r>
                  <w:r>
                    <w:rPr>
                      <w:rFonts w:hint="eastAsia" w:ascii="Times New Roman" w:hAnsi="Times New Roman" w:eastAsia="仿宋_GB2312" w:cs="Times New Roman"/>
                      <w:szCs w:val="21"/>
                    </w:rPr>
                    <w:t>后达标排放。</w:t>
                  </w:r>
                </w:p>
              </w:tc>
              <w:tc>
                <w:tcPr>
                  <w:tcW w:w="757" w:type="pct"/>
                  <w:noWrap w:val="0"/>
                  <w:vAlign w:val="center"/>
                </w:tcPr>
                <w:p w14:paraId="0EB563E1">
                  <w:pPr>
                    <w:keepNext w:val="0"/>
                    <w:keepLines w:val="0"/>
                    <w:pageBreakBefore w:val="0"/>
                    <w:kinsoku/>
                    <w:overflowPunct/>
                    <w:autoSpaceDE/>
                    <w:autoSpaceDN/>
                    <w:bidi w:val="0"/>
                    <w:spacing w:line="240" w:lineRule="auto"/>
                    <w:jc w:val="center"/>
                    <w:textAlignment w:val="auto"/>
                    <w:rPr>
                      <w:rFonts w:hint="eastAsia" w:ascii="Times New Roman" w:hAnsi="Times New Roman" w:eastAsia="仿宋_GB2312" w:cs="Times New Roman"/>
                      <w:szCs w:val="21"/>
                      <w:lang w:val="en-US" w:eastAsia="zh-CN"/>
                    </w:rPr>
                  </w:pPr>
                  <w:r>
                    <w:rPr>
                      <w:rFonts w:hint="eastAsia" w:ascii="Times New Roman" w:hAnsi="Times New Roman" w:eastAsia="仿宋_GB2312" w:cs="Times New Roman"/>
                      <w:szCs w:val="21"/>
                    </w:rPr>
                    <w:t>相符</w:t>
                  </w:r>
                </w:p>
              </w:tc>
            </w:tr>
          </w:tbl>
          <w:p w14:paraId="0D5F3FF5">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22" w:firstLineChars="200"/>
              <w:jc w:val="both"/>
              <w:textAlignment w:val="auto"/>
              <w:rPr>
                <w:rFonts w:hint="eastAsia" w:ascii="Times New Roman" w:hAnsi="Times New Roman" w:eastAsia="仿宋_GB2312" w:cs="Times New Roman"/>
                <w:b/>
                <w:color w:val="000000"/>
                <w:kern w:val="2"/>
                <w:sz w:val="21"/>
                <w:szCs w:val="21"/>
                <w:lang w:val="en-US" w:eastAsia="zh-CN" w:bidi="ar-SA"/>
              </w:rPr>
            </w:pPr>
            <w:r>
              <w:rPr>
                <w:rFonts w:hint="eastAsia" w:ascii="Times New Roman" w:hAnsi="Times New Roman" w:eastAsia="仿宋_GB2312" w:cs="Times New Roman"/>
                <w:b/>
                <w:color w:val="000000"/>
                <w:kern w:val="2"/>
                <w:sz w:val="21"/>
                <w:szCs w:val="21"/>
                <w:lang w:val="en-US" w:eastAsia="zh-CN" w:bidi="ar-SA"/>
              </w:rPr>
              <w:t>十一、与《关于印发常州市挥发性有机物清洁原料替代工作方案的通知》 （常污防攻坚指办〔2021〕32 号）相符性分析</w:t>
            </w:r>
          </w:p>
          <w:p w14:paraId="101B9943">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仿宋_GB2312" w:cs="Times New Roman"/>
                <w:b/>
                <w:bCs/>
                <w:color w:val="000000"/>
                <w:kern w:val="0"/>
                <w:lang w:val="en-US" w:eastAsia="zh-CN"/>
              </w:rPr>
            </w:pPr>
            <w:r>
              <w:rPr>
                <w:rFonts w:hint="eastAsia" w:ascii="Times New Roman" w:hAnsi="Times New Roman" w:eastAsia="仿宋_GB2312" w:cs="Times New Roman"/>
                <w:b/>
                <w:bCs/>
                <w:color w:val="000000"/>
                <w:kern w:val="0"/>
                <w:lang w:val="en-US" w:eastAsia="zh-CN"/>
              </w:rPr>
              <w:t>表 1-15  项目与常污防攻坚指办〔2021〕32 号文相符性分析</w:t>
            </w:r>
          </w:p>
          <w:tbl>
            <w:tblPr>
              <w:tblStyle w:val="32"/>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20"/>
              <w:gridCol w:w="3136"/>
              <w:gridCol w:w="3026"/>
              <w:gridCol w:w="896"/>
            </w:tblGrid>
            <w:tr w14:paraId="496C10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820" w:type="dxa"/>
                  <w:tcBorders>
                    <w:tl2br w:val="nil"/>
                    <w:tr2bl w:val="nil"/>
                  </w:tcBorders>
                  <w:noWrap w:val="0"/>
                  <w:vAlign w:val="center"/>
                </w:tcPr>
                <w:p w14:paraId="7A2C6B7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仿宋_GB2312" w:cs="Times New Roman"/>
                      <w:b/>
                      <w:bCs/>
                      <w:sz w:val="21"/>
                      <w:szCs w:val="24"/>
                      <w:vertAlign w:val="baseline"/>
                      <w:lang w:val="en-US" w:eastAsia="zh-CN"/>
                    </w:rPr>
                  </w:pPr>
                  <w:r>
                    <w:rPr>
                      <w:rFonts w:hint="eastAsia" w:ascii="Times New Roman" w:hAnsi="Times New Roman" w:eastAsia="仿宋_GB2312" w:cs="Times New Roman"/>
                      <w:b/>
                      <w:bCs/>
                      <w:sz w:val="21"/>
                      <w:szCs w:val="24"/>
                      <w:vertAlign w:val="baseline"/>
                      <w:lang w:val="en-US" w:eastAsia="zh-CN"/>
                    </w:rPr>
                    <w:t>类别</w:t>
                  </w:r>
                </w:p>
              </w:tc>
              <w:tc>
                <w:tcPr>
                  <w:tcW w:w="3136" w:type="dxa"/>
                  <w:tcBorders>
                    <w:tl2br w:val="nil"/>
                    <w:tr2bl w:val="nil"/>
                  </w:tcBorders>
                  <w:noWrap w:val="0"/>
                  <w:vAlign w:val="center"/>
                </w:tcPr>
                <w:p w14:paraId="3632C9D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b/>
                      <w:bCs/>
                      <w:sz w:val="21"/>
                      <w:szCs w:val="24"/>
                      <w:vertAlign w:val="baseline"/>
                      <w:lang w:val="en-US" w:eastAsia="zh-CN"/>
                    </w:rPr>
                  </w:pPr>
                  <w:r>
                    <w:rPr>
                      <w:rFonts w:hint="eastAsia" w:ascii="Times New Roman" w:hAnsi="Times New Roman" w:eastAsia="仿宋_GB2312" w:cs="Times New Roman"/>
                      <w:b/>
                      <w:bCs/>
                      <w:sz w:val="21"/>
                      <w:szCs w:val="24"/>
                      <w:vertAlign w:val="baseline"/>
                      <w:lang w:val="en-US" w:eastAsia="zh-CN"/>
                    </w:rPr>
                    <w:t>文件要求</w:t>
                  </w:r>
                </w:p>
              </w:tc>
              <w:tc>
                <w:tcPr>
                  <w:tcW w:w="3026" w:type="dxa"/>
                  <w:tcBorders>
                    <w:tl2br w:val="nil"/>
                    <w:tr2bl w:val="nil"/>
                  </w:tcBorders>
                  <w:noWrap w:val="0"/>
                  <w:vAlign w:val="center"/>
                </w:tcPr>
                <w:p w14:paraId="2F7614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仿宋_GB2312" w:cs="Times New Roman"/>
                      <w:b/>
                      <w:bCs/>
                      <w:sz w:val="21"/>
                      <w:szCs w:val="24"/>
                      <w:vertAlign w:val="baseline"/>
                      <w:lang w:val="en-US" w:eastAsia="zh-CN"/>
                    </w:rPr>
                  </w:pPr>
                  <w:r>
                    <w:rPr>
                      <w:rFonts w:hint="eastAsia" w:ascii="Times New Roman" w:hAnsi="Times New Roman" w:eastAsia="仿宋_GB2312" w:cs="Times New Roman"/>
                      <w:b/>
                      <w:bCs/>
                      <w:sz w:val="21"/>
                      <w:szCs w:val="24"/>
                      <w:vertAlign w:val="baseline"/>
                      <w:lang w:val="en-US" w:eastAsia="zh-CN"/>
                    </w:rPr>
                    <w:t>本项目</w:t>
                  </w:r>
                </w:p>
              </w:tc>
              <w:tc>
                <w:tcPr>
                  <w:tcW w:w="896" w:type="dxa"/>
                  <w:tcBorders>
                    <w:tl2br w:val="nil"/>
                    <w:tr2bl w:val="nil"/>
                  </w:tcBorders>
                  <w:noWrap w:val="0"/>
                  <w:vAlign w:val="center"/>
                </w:tcPr>
                <w:p w14:paraId="44D766A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仿宋_GB2312" w:cs="Times New Roman"/>
                      <w:b/>
                      <w:bCs/>
                      <w:sz w:val="21"/>
                      <w:szCs w:val="24"/>
                      <w:vertAlign w:val="baseline"/>
                      <w:lang w:val="en-US" w:eastAsia="zh-CN"/>
                    </w:rPr>
                  </w:pPr>
                  <w:r>
                    <w:rPr>
                      <w:rFonts w:hint="eastAsia" w:ascii="Times New Roman" w:hAnsi="Times New Roman" w:eastAsia="仿宋_GB2312" w:cs="Times New Roman"/>
                      <w:b/>
                      <w:bCs/>
                      <w:sz w:val="21"/>
                      <w:szCs w:val="24"/>
                      <w:vertAlign w:val="baseline"/>
                      <w:lang w:val="en-US" w:eastAsia="zh-CN"/>
                    </w:rPr>
                    <w:t>相符性</w:t>
                  </w:r>
                </w:p>
              </w:tc>
            </w:tr>
            <w:tr w14:paraId="0C8E4F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20" w:type="dxa"/>
                  <w:vMerge w:val="restart"/>
                  <w:tcBorders>
                    <w:tl2br w:val="nil"/>
                    <w:tr2bl w:val="nil"/>
                  </w:tcBorders>
                  <w:noWrap w:val="0"/>
                  <w:vAlign w:val="center"/>
                </w:tcPr>
                <w:p w14:paraId="7618831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b w:val="0"/>
                      <w:bCs w:val="0"/>
                      <w:sz w:val="21"/>
                      <w:szCs w:val="24"/>
                      <w:vertAlign w:val="baseline"/>
                      <w:lang w:val="en-US" w:eastAsia="zh-CN"/>
                    </w:rPr>
                  </w:pPr>
                  <w:r>
                    <w:rPr>
                      <w:rFonts w:hint="eastAsia" w:ascii="Times New Roman" w:hAnsi="Times New Roman" w:eastAsia="仿宋_GB2312" w:cs="Times New Roman"/>
                      <w:b w:val="0"/>
                      <w:bCs w:val="0"/>
                      <w:sz w:val="21"/>
                      <w:szCs w:val="24"/>
                      <w:vertAlign w:val="baseline"/>
                      <w:lang w:val="en-US" w:eastAsia="zh-CN"/>
                    </w:rPr>
                    <w:t>重点任务</w:t>
                  </w:r>
                </w:p>
              </w:tc>
              <w:tc>
                <w:tcPr>
                  <w:tcW w:w="3136" w:type="dxa"/>
                  <w:tcBorders>
                    <w:tl2br w:val="nil"/>
                    <w:tr2bl w:val="nil"/>
                  </w:tcBorders>
                  <w:noWrap w:val="0"/>
                  <w:vAlign w:val="center"/>
                </w:tcPr>
                <w:p w14:paraId="184D239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仿宋_GB2312" w:cs="Times New Roman"/>
                      <w:b w:val="0"/>
                      <w:bCs w:val="0"/>
                      <w:sz w:val="21"/>
                      <w:szCs w:val="24"/>
                      <w:vertAlign w:val="baseline"/>
                      <w:lang w:val="en-US" w:eastAsia="zh-CN"/>
                    </w:rPr>
                  </w:pPr>
                  <w:r>
                    <w:rPr>
                      <w:rFonts w:hint="eastAsia" w:ascii="Times New Roman" w:hAnsi="Times New Roman" w:eastAsia="仿宋_GB2312" w:cs="Times New Roman"/>
                      <w:b w:val="0"/>
                      <w:bCs w:val="0"/>
                      <w:sz w:val="21"/>
                      <w:szCs w:val="24"/>
                      <w:vertAlign w:val="baseline"/>
                      <w:lang w:val="en-US" w:eastAsia="zh-CN"/>
                    </w:rPr>
                    <w:t>（一）明确替代要求。以工业涂装、包装印刷、木材加工、纺织等行业为重点，按照省大气办《关于印发江苏省挥发性有机物清洁原料替代工作方案的通知》中源头替代具体要求，加快推进182家企业清洁原料替代工作。实施替代的企业要使用符合《低挥发性有机化合物含量涂料产品技术要求》（GB/T38597-2020）规定的粉末、水性、无溶剂、辐射固化涂料产品；符合《油墨中可挥发性有机化合物（VOCs）含量的限值》（GB38507-2020）规定的水性油墨和能量固化油墨产品；符合《清洗剂挥发性有机化合物含量限值》（GB 38508-2020）规定的水基、半水基清洗剂产品；符合《胶粘剂挥发性有机化合物限量》（GB 33372-2020）规定的水基型、本体型胶粘剂产品。若确实无法达到上述要求，应提供相应的论证说明，相关涂料、油墨、清洗剂、胶粘剂等产品应符合相关标准中VOCs含量的限值要求。</w:t>
                  </w:r>
                </w:p>
              </w:tc>
              <w:tc>
                <w:tcPr>
                  <w:tcW w:w="3026" w:type="dxa"/>
                  <w:tcBorders>
                    <w:tl2br w:val="nil"/>
                    <w:tr2bl w:val="nil"/>
                  </w:tcBorders>
                  <w:noWrap w:val="0"/>
                  <w:vAlign w:val="center"/>
                </w:tcPr>
                <w:p w14:paraId="2E4DBCF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仿宋_GB2312" w:cs="Times New Roman"/>
                      <w:b w:val="0"/>
                      <w:bCs w:val="0"/>
                      <w:sz w:val="21"/>
                      <w:szCs w:val="24"/>
                      <w:vertAlign w:val="baseline"/>
                      <w:lang w:val="en-US" w:eastAsia="zh-CN"/>
                    </w:rPr>
                  </w:pPr>
                  <w:r>
                    <w:rPr>
                      <w:rFonts w:hint="eastAsia" w:ascii="Times New Roman" w:hAnsi="Times New Roman" w:eastAsia="仿宋_GB2312" w:cs="Times New Roman"/>
                      <w:b w:val="0"/>
                      <w:bCs w:val="0"/>
                      <w:sz w:val="21"/>
                      <w:szCs w:val="24"/>
                      <w:vertAlign w:val="baseline"/>
                      <w:lang w:val="en-US" w:eastAsia="zh-CN"/>
                    </w:rPr>
                    <w:t>本企业不在 182 家企业名单中，本项目涉 VOCs 的原辅料主要包括涂料（水性漆）。</w:t>
                  </w:r>
                  <w:r>
                    <w:rPr>
                      <w:rFonts w:hint="eastAsia" w:ascii="Times New Roman" w:hAnsi="Times New Roman" w:eastAsia="仿宋_GB2312" w:cs="Times New Roman"/>
                      <w:b w:val="0"/>
                      <w:bCs w:val="0"/>
                      <w:color w:val="auto"/>
                      <w:sz w:val="21"/>
                      <w:szCs w:val="24"/>
                      <w:vertAlign w:val="baseline"/>
                      <w:lang w:val="en-US" w:eastAsia="zh-CN"/>
                    </w:rPr>
                    <w:t>根据水性漆MSDS报告可知，挥发性含量极低（5%），满足相关限值要求</w:t>
                  </w:r>
                  <w:r>
                    <w:rPr>
                      <w:rFonts w:hint="eastAsia" w:ascii="Times New Roman" w:hAnsi="Times New Roman" w:eastAsia="仿宋_GB2312" w:cs="Times New Roman"/>
                      <w:b w:val="0"/>
                      <w:bCs w:val="0"/>
                      <w:sz w:val="21"/>
                      <w:szCs w:val="24"/>
                      <w:vertAlign w:val="baseline"/>
                      <w:lang w:val="en-US" w:eastAsia="zh-CN"/>
                    </w:rPr>
                    <w:t>。</w:t>
                  </w:r>
                </w:p>
              </w:tc>
              <w:tc>
                <w:tcPr>
                  <w:tcW w:w="896" w:type="dxa"/>
                  <w:tcBorders>
                    <w:tl2br w:val="nil"/>
                    <w:tr2bl w:val="nil"/>
                  </w:tcBorders>
                  <w:noWrap w:val="0"/>
                  <w:vAlign w:val="center"/>
                </w:tcPr>
                <w:p w14:paraId="284190A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仿宋_GB2312" w:cs="Times New Roman"/>
                      <w:b w:val="0"/>
                      <w:bCs w:val="0"/>
                      <w:sz w:val="21"/>
                      <w:szCs w:val="24"/>
                      <w:vertAlign w:val="baseline"/>
                      <w:lang w:val="en-US" w:eastAsia="zh-CN"/>
                    </w:rPr>
                  </w:pPr>
                  <w:r>
                    <w:rPr>
                      <w:rFonts w:hint="eastAsia" w:ascii="Times New Roman" w:hAnsi="Times New Roman" w:eastAsia="仿宋_GB2312" w:cs="Times New Roman"/>
                      <w:szCs w:val="21"/>
                    </w:rPr>
                    <w:t>相符</w:t>
                  </w:r>
                </w:p>
              </w:tc>
            </w:tr>
            <w:tr w14:paraId="24A515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20" w:type="dxa"/>
                  <w:vMerge w:val="continue"/>
                  <w:tcBorders>
                    <w:tl2br w:val="nil"/>
                    <w:tr2bl w:val="nil"/>
                  </w:tcBorders>
                  <w:noWrap w:val="0"/>
                  <w:vAlign w:val="center"/>
                </w:tcPr>
                <w:p w14:paraId="65C7445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仿宋_GB2312" w:cs="Times New Roman"/>
                      <w:b w:val="0"/>
                      <w:bCs w:val="0"/>
                      <w:sz w:val="21"/>
                      <w:szCs w:val="24"/>
                      <w:vertAlign w:val="baseline"/>
                      <w:lang w:val="en-US" w:eastAsia="zh-CN"/>
                    </w:rPr>
                  </w:pPr>
                </w:p>
              </w:tc>
              <w:tc>
                <w:tcPr>
                  <w:tcW w:w="3136" w:type="dxa"/>
                  <w:tcBorders>
                    <w:tl2br w:val="nil"/>
                    <w:tr2bl w:val="nil"/>
                  </w:tcBorders>
                  <w:noWrap w:val="0"/>
                  <w:vAlign w:val="center"/>
                </w:tcPr>
                <w:p w14:paraId="7F3835D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仿宋_GB2312" w:cs="Times New Roman"/>
                      <w:b w:val="0"/>
                      <w:bCs w:val="0"/>
                      <w:sz w:val="21"/>
                      <w:szCs w:val="24"/>
                      <w:vertAlign w:val="baseline"/>
                      <w:lang w:val="en-US" w:eastAsia="zh-CN"/>
                    </w:rPr>
                  </w:pPr>
                  <w:r>
                    <w:rPr>
                      <w:rFonts w:hint="eastAsia" w:ascii="Times New Roman" w:hAnsi="Times New Roman" w:eastAsia="仿宋_GB2312" w:cs="Times New Roman"/>
                      <w:b w:val="0"/>
                      <w:bCs w:val="0"/>
                      <w:sz w:val="21"/>
                      <w:szCs w:val="24"/>
                      <w:vertAlign w:val="baseline"/>
                      <w:lang w:val="en-US" w:eastAsia="zh-CN"/>
                    </w:rPr>
                    <w:t>（二）严格准入条件。禁止建设生产和使用高VOCs 含量的涂料、油墨、胶黏剂等项目。2021 年起，全市工业涂装、包装印刷、纺织、木材加工等行业以及涂料、油墨等生产企业的新（改、扩）建项目需满足低（无）VOCs 含量限值要求。全市市场上流通的水性涂料等低挥发性有机物含量涂料产品，执行国家《低挥发性有机化合物含量涂料产品技术要求》（GB/T 38597-2020）。</w:t>
                  </w:r>
                </w:p>
              </w:tc>
              <w:tc>
                <w:tcPr>
                  <w:tcW w:w="3026" w:type="dxa"/>
                  <w:tcBorders>
                    <w:tl2br w:val="nil"/>
                    <w:tr2bl w:val="nil"/>
                  </w:tcBorders>
                  <w:noWrap w:val="0"/>
                  <w:vAlign w:val="center"/>
                </w:tcPr>
                <w:p w14:paraId="025862C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仿宋_GB2312" w:cs="Times New Roman"/>
                      <w:b w:val="0"/>
                      <w:bCs w:val="0"/>
                      <w:sz w:val="21"/>
                      <w:szCs w:val="24"/>
                      <w:vertAlign w:val="baseline"/>
                      <w:lang w:val="en-US" w:eastAsia="zh-CN"/>
                    </w:rPr>
                  </w:pPr>
                  <w:r>
                    <w:rPr>
                      <w:rFonts w:hint="eastAsia" w:ascii="Times New Roman" w:hAnsi="Times New Roman" w:eastAsia="仿宋_GB2312" w:cs="Times New Roman"/>
                      <w:b w:val="0"/>
                      <w:bCs w:val="0"/>
                      <w:sz w:val="21"/>
                      <w:szCs w:val="24"/>
                      <w:vertAlign w:val="baseline"/>
                      <w:lang w:val="en-US" w:eastAsia="zh-CN"/>
                    </w:rPr>
                    <w:t>本项目涉 VOCs 的原辅料主要包括涂料（水性漆）。</w:t>
                  </w:r>
                  <w:r>
                    <w:rPr>
                      <w:rFonts w:hint="eastAsia" w:ascii="Times New Roman" w:hAnsi="Times New Roman" w:eastAsia="仿宋_GB2312" w:cs="Times New Roman"/>
                      <w:b w:val="0"/>
                      <w:bCs w:val="0"/>
                      <w:color w:val="auto"/>
                      <w:sz w:val="21"/>
                      <w:szCs w:val="24"/>
                      <w:vertAlign w:val="baseline"/>
                      <w:lang w:val="en-US" w:eastAsia="zh-CN"/>
                    </w:rPr>
                    <w:t>根据水性漆MSDS报告可知，挥发性含量极低（5%），满足相关限值要求</w:t>
                  </w:r>
                  <w:r>
                    <w:rPr>
                      <w:rFonts w:hint="eastAsia" w:ascii="Times New Roman" w:hAnsi="Times New Roman" w:eastAsia="仿宋_GB2312" w:cs="Times New Roman"/>
                      <w:b w:val="0"/>
                      <w:bCs w:val="0"/>
                      <w:sz w:val="21"/>
                      <w:szCs w:val="24"/>
                      <w:vertAlign w:val="baseline"/>
                      <w:lang w:val="en-US" w:eastAsia="zh-CN"/>
                    </w:rPr>
                    <w:t>。</w:t>
                  </w:r>
                </w:p>
              </w:tc>
              <w:tc>
                <w:tcPr>
                  <w:tcW w:w="896" w:type="dxa"/>
                  <w:tcBorders>
                    <w:tl2br w:val="nil"/>
                    <w:tr2bl w:val="nil"/>
                  </w:tcBorders>
                  <w:noWrap w:val="0"/>
                  <w:vAlign w:val="center"/>
                </w:tcPr>
                <w:p w14:paraId="0AE12AD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仿宋_GB2312" w:cs="Times New Roman"/>
                      <w:b w:val="0"/>
                      <w:bCs w:val="0"/>
                      <w:sz w:val="21"/>
                      <w:szCs w:val="24"/>
                      <w:vertAlign w:val="baseline"/>
                      <w:lang w:val="en-US" w:eastAsia="zh-CN"/>
                    </w:rPr>
                  </w:pPr>
                  <w:r>
                    <w:rPr>
                      <w:rFonts w:hint="eastAsia" w:ascii="Times New Roman" w:hAnsi="Times New Roman" w:eastAsia="仿宋_GB2312" w:cs="Times New Roman"/>
                      <w:szCs w:val="21"/>
                    </w:rPr>
                    <w:t>相符</w:t>
                  </w:r>
                </w:p>
              </w:tc>
            </w:tr>
            <w:tr w14:paraId="0089A2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20" w:type="dxa"/>
                  <w:vMerge w:val="continue"/>
                  <w:tcBorders>
                    <w:tl2br w:val="nil"/>
                    <w:tr2bl w:val="nil"/>
                  </w:tcBorders>
                  <w:noWrap w:val="0"/>
                  <w:vAlign w:val="center"/>
                </w:tcPr>
                <w:p w14:paraId="173454E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仿宋_GB2312" w:cs="Times New Roman"/>
                      <w:b w:val="0"/>
                      <w:bCs w:val="0"/>
                      <w:sz w:val="21"/>
                      <w:szCs w:val="24"/>
                      <w:vertAlign w:val="baseline"/>
                      <w:lang w:val="en-US" w:eastAsia="zh-CN"/>
                    </w:rPr>
                  </w:pPr>
                </w:p>
              </w:tc>
              <w:tc>
                <w:tcPr>
                  <w:tcW w:w="3136" w:type="dxa"/>
                  <w:tcBorders>
                    <w:tl2br w:val="nil"/>
                    <w:tr2bl w:val="nil"/>
                  </w:tcBorders>
                  <w:noWrap w:val="0"/>
                  <w:vAlign w:val="center"/>
                </w:tcPr>
                <w:p w14:paraId="6812124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仿宋_GB2312" w:cs="Times New Roman"/>
                      <w:b w:val="0"/>
                      <w:bCs w:val="0"/>
                      <w:sz w:val="21"/>
                      <w:szCs w:val="24"/>
                      <w:vertAlign w:val="baseline"/>
                      <w:lang w:val="en-US" w:eastAsia="zh-CN"/>
                    </w:rPr>
                  </w:pPr>
                  <w:r>
                    <w:rPr>
                      <w:rFonts w:hint="eastAsia" w:ascii="Times New Roman" w:hAnsi="Times New Roman" w:eastAsia="仿宋_GB2312" w:cs="Times New Roman"/>
                      <w:b w:val="0"/>
                      <w:bCs w:val="0"/>
                      <w:sz w:val="21"/>
                      <w:szCs w:val="24"/>
                      <w:vertAlign w:val="baseline"/>
                      <w:lang w:val="en-US" w:eastAsia="zh-CN"/>
                    </w:rPr>
                    <w:t>（三）强化排查整治。各地在推动182家企业实施源头替代的基础上，举一反三，对工业涂装、包装印刷、木材加工、纺织等涉VOCs 重点行业进行再排查、再梳理，督促企业建立涂料等原辅材料购销台账，如实记录使用情况。对具备替代条件的，要列入治理清单，推动企业实施清洁原料替代；对替代技术尚不成熟的，要开展论证核实，并加强现场监管，确保VOCs无组织排放得到有效控制，废气排气口达到国家及地方VOCs排放控制标准要求。</w:t>
                  </w:r>
                </w:p>
              </w:tc>
              <w:tc>
                <w:tcPr>
                  <w:tcW w:w="3026" w:type="dxa"/>
                  <w:tcBorders>
                    <w:tl2br w:val="nil"/>
                    <w:tr2bl w:val="nil"/>
                  </w:tcBorders>
                  <w:noWrap w:val="0"/>
                  <w:vAlign w:val="center"/>
                </w:tcPr>
                <w:p w14:paraId="0CF272CF">
                  <w:pPr>
                    <w:keepNext w:val="0"/>
                    <w:keepLines w:val="0"/>
                    <w:widowControl/>
                    <w:suppressLineNumbers w:val="0"/>
                    <w:jc w:val="left"/>
                    <w:rPr>
                      <w:rFonts w:hint="eastAsia" w:ascii="Times New Roman" w:hAnsi="Times New Roman" w:eastAsia="仿宋_GB2312" w:cs="Times New Roman"/>
                      <w:b w:val="0"/>
                      <w:bCs w:val="0"/>
                      <w:sz w:val="21"/>
                      <w:szCs w:val="24"/>
                      <w:vertAlign w:val="baseline"/>
                      <w:lang w:val="en-US" w:eastAsia="zh-CN"/>
                    </w:rPr>
                  </w:pPr>
                  <w:r>
                    <w:rPr>
                      <w:rFonts w:hint="eastAsia" w:ascii="Times New Roman" w:hAnsi="Times New Roman" w:eastAsia="仿宋_GB2312" w:cs="Times New Roman"/>
                      <w:b w:val="0"/>
                      <w:bCs w:val="0"/>
                      <w:sz w:val="21"/>
                      <w:szCs w:val="24"/>
                      <w:vertAlign w:val="baseline"/>
                      <w:lang w:val="en-US" w:eastAsia="zh-CN"/>
                    </w:rPr>
                    <w:t>企业不在全市VOCs 源头替代企业清单中，企业建立了涂料等原辅材料购销台账，如实记录使用情况，加强现场监管，确保VOCs无组织排放得到有效控制，废气排气口达到《大气污染物综合排放标准》（DB 32/4041—2021）要求。</w:t>
                  </w:r>
                </w:p>
              </w:tc>
              <w:tc>
                <w:tcPr>
                  <w:tcW w:w="896" w:type="dxa"/>
                  <w:tcBorders>
                    <w:tl2br w:val="nil"/>
                    <w:tr2bl w:val="nil"/>
                  </w:tcBorders>
                  <w:noWrap w:val="0"/>
                  <w:vAlign w:val="center"/>
                </w:tcPr>
                <w:p w14:paraId="4340C2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仿宋_GB2312" w:cs="Times New Roman"/>
                      <w:b w:val="0"/>
                      <w:bCs w:val="0"/>
                      <w:sz w:val="21"/>
                      <w:szCs w:val="24"/>
                      <w:vertAlign w:val="baseline"/>
                      <w:lang w:val="en-US" w:eastAsia="zh-CN"/>
                    </w:rPr>
                  </w:pPr>
                  <w:r>
                    <w:rPr>
                      <w:rFonts w:hint="eastAsia" w:ascii="Times New Roman" w:hAnsi="Times New Roman" w:eastAsia="仿宋_GB2312" w:cs="Times New Roman"/>
                      <w:szCs w:val="21"/>
                    </w:rPr>
                    <w:t>相符</w:t>
                  </w:r>
                </w:p>
              </w:tc>
            </w:tr>
            <w:tr w14:paraId="6D2F26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20" w:type="dxa"/>
                  <w:tcBorders>
                    <w:tl2br w:val="nil"/>
                    <w:tr2bl w:val="nil"/>
                  </w:tcBorders>
                  <w:noWrap w:val="0"/>
                  <w:vAlign w:val="center"/>
                </w:tcPr>
                <w:p w14:paraId="69D0DEA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b w:val="0"/>
                      <w:bCs w:val="0"/>
                      <w:sz w:val="21"/>
                      <w:szCs w:val="24"/>
                      <w:vertAlign w:val="baseline"/>
                      <w:lang w:val="en-US" w:eastAsia="zh-CN"/>
                    </w:rPr>
                  </w:pPr>
                  <w:r>
                    <w:rPr>
                      <w:rFonts w:hint="eastAsia" w:ascii="Times New Roman" w:hAnsi="Times New Roman" w:eastAsia="仿宋_GB2312" w:cs="Times New Roman"/>
                      <w:b w:val="0"/>
                      <w:bCs w:val="0"/>
                      <w:sz w:val="21"/>
                      <w:szCs w:val="24"/>
                      <w:vertAlign w:val="baseline"/>
                      <w:lang w:val="en-US" w:eastAsia="zh-CN"/>
                    </w:rPr>
                    <w:t>附件1：省大气办关于源头替代具体要求</w:t>
                  </w:r>
                </w:p>
              </w:tc>
              <w:tc>
                <w:tcPr>
                  <w:tcW w:w="3136" w:type="dxa"/>
                  <w:tcBorders>
                    <w:tl2br w:val="nil"/>
                    <w:tr2bl w:val="nil"/>
                  </w:tcBorders>
                  <w:noWrap w:val="0"/>
                  <w:vAlign w:val="center"/>
                </w:tcPr>
                <w:p w14:paraId="621969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仿宋_GB2312" w:cs="Times New Roman"/>
                      <w:b w:val="0"/>
                      <w:bCs w:val="0"/>
                      <w:sz w:val="21"/>
                      <w:szCs w:val="24"/>
                      <w:vertAlign w:val="baseline"/>
                      <w:lang w:val="en-US" w:eastAsia="zh-CN"/>
                    </w:rPr>
                  </w:pPr>
                  <w:r>
                    <w:rPr>
                      <w:rFonts w:hint="eastAsia" w:ascii="Times New Roman" w:hAnsi="Times New Roman" w:eastAsia="仿宋_GB2312" w:cs="Times New Roman"/>
                      <w:b w:val="0"/>
                      <w:bCs w:val="0"/>
                      <w:sz w:val="21"/>
                      <w:szCs w:val="24"/>
                      <w:vertAlign w:val="baseline"/>
                      <w:lang w:val="en-US" w:eastAsia="zh-CN"/>
                    </w:rPr>
                    <w:t>其他行业企业涉 VOCs 相关工序，要使用符合《低挥发性有机化合物含量涂料产品技术要求》（GB/T38597-2020）规定的粉末、水性、无溶剂、辐射固化涂料产品；符合《清洗剂挥发性有机化合物含量限值》（GB 38508-2020）规定的水基、半水基清洗剂产品；符合《胶粘剂挥发性有机化合物限量》（GB33372-2020）规定的水基型、本体型胶粘剂产品。</w:t>
                  </w:r>
                </w:p>
                <w:p w14:paraId="1CC4F4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仿宋_GB2312" w:cs="Times New Roman"/>
                      <w:b w:val="0"/>
                      <w:bCs w:val="0"/>
                      <w:sz w:val="21"/>
                      <w:szCs w:val="24"/>
                      <w:vertAlign w:val="baseline"/>
                      <w:lang w:val="en-US" w:eastAsia="zh-CN"/>
                    </w:rPr>
                  </w:pPr>
                  <w:r>
                    <w:rPr>
                      <w:rFonts w:hint="eastAsia" w:ascii="Times New Roman" w:hAnsi="Times New Roman" w:eastAsia="仿宋_GB2312" w:cs="Times New Roman"/>
                      <w:b w:val="0"/>
                      <w:bCs w:val="0"/>
                      <w:sz w:val="21"/>
                      <w:szCs w:val="24"/>
                      <w:vertAlign w:val="baseline"/>
                      <w:lang w:val="en-US" w:eastAsia="zh-CN"/>
                    </w:rPr>
                    <w:t>若确实无法达到上述要求，应提供相应的论证说明。</w:t>
                  </w:r>
                </w:p>
                <w:p w14:paraId="25D212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仿宋_GB2312" w:cs="Times New Roman"/>
                      <w:b w:val="0"/>
                      <w:bCs w:val="0"/>
                      <w:sz w:val="21"/>
                      <w:szCs w:val="24"/>
                      <w:vertAlign w:val="baseline"/>
                      <w:lang w:val="en-US" w:eastAsia="zh-CN"/>
                    </w:rPr>
                  </w:pPr>
                  <w:r>
                    <w:rPr>
                      <w:rFonts w:hint="eastAsia" w:ascii="Times New Roman" w:hAnsi="Times New Roman" w:eastAsia="仿宋_GB2312" w:cs="Times New Roman"/>
                      <w:b w:val="0"/>
                      <w:bCs w:val="0"/>
                      <w:sz w:val="21"/>
                      <w:szCs w:val="24"/>
                      <w:vertAlign w:val="baseline"/>
                      <w:lang w:val="en-US" w:eastAsia="zh-CN"/>
                    </w:rPr>
                    <w:t>使用的涂料、清洗剂、胶粘剂、油墨中 VOCs 含量的限值应符合《船舶涂料中有害物质限量》（GB38469-2019）、《木器涂料中有害物质限量》（GB18581-2020）、《车辆涂料中有害物质限量》（GB24409-2020）、《工业防护涂料中有害物质限量》（GB30981-2020）、《清洗剂挥发性有机化合物含量限值》（GB 38508-2020）、《胶粘剂挥发性有机化合物限量》（GB 33372-2020）、《油墨中可挥发性有机化合物（VOCs）含量的限值》（GB38507-2020）中的限值要求。</w:t>
                  </w:r>
                </w:p>
              </w:tc>
              <w:tc>
                <w:tcPr>
                  <w:tcW w:w="3026" w:type="dxa"/>
                  <w:tcBorders>
                    <w:tl2br w:val="nil"/>
                    <w:tr2bl w:val="nil"/>
                  </w:tcBorders>
                  <w:noWrap w:val="0"/>
                  <w:vAlign w:val="center"/>
                </w:tcPr>
                <w:p w14:paraId="50D21D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仿宋_GB2312" w:cs="Times New Roman"/>
                      <w:b w:val="0"/>
                      <w:bCs w:val="0"/>
                      <w:sz w:val="21"/>
                      <w:szCs w:val="24"/>
                      <w:vertAlign w:val="baseline"/>
                      <w:lang w:val="en-US" w:eastAsia="zh-CN"/>
                    </w:rPr>
                  </w:pPr>
                  <w:r>
                    <w:rPr>
                      <w:rFonts w:hint="eastAsia" w:ascii="Times New Roman" w:hAnsi="Times New Roman" w:eastAsia="仿宋_GB2312" w:cs="Times New Roman"/>
                      <w:b w:val="0"/>
                      <w:bCs w:val="0"/>
                      <w:color w:val="auto"/>
                      <w:sz w:val="21"/>
                      <w:szCs w:val="24"/>
                      <w:vertAlign w:val="baseline"/>
                      <w:lang w:val="en-US" w:eastAsia="zh-CN"/>
                    </w:rPr>
                    <w:t>根据水性漆MSDS报告可知，挥发性含量极低（5%），满足相关限值要求</w:t>
                  </w:r>
                  <w:r>
                    <w:rPr>
                      <w:rFonts w:hint="eastAsia" w:ascii="Times New Roman" w:hAnsi="Times New Roman" w:eastAsia="仿宋_GB2312" w:cs="Times New Roman"/>
                      <w:b w:val="0"/>
                      <w:bCs w:val="0"/>
                      <w:sz w:val="21"/>
                      <w:szCs w:val="24"/>
                      <w:vertAlign w:val="baseline"/>
                      <w:lang w:val="en-US" w:eastAsia="zh-CN"/>
                    </w:rPr>
                    <w:t>。</w:t>
                  </w:r>
                </w:p>
              </w:tc>
              <w:tc>
                <w:tcPr>
                  <w:tcW w:w="896" w:type="dxa"/>
                  <w:tcBorders>
                    <w:tl2br w:val="nil"/>
                    <w:tr2bl w:val="nil"/>
                  </w:tcBorders>
                  <w:noWrap w:val="0"/>
                  <w:vAlign w:val="center"/>
                </w:tcPr>
                <w:p w14:paraId="644FE8E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仿宋_GB2312" w:cs="Times New Roman"/>
                      <w:b w:val="0"/>
                      <w:bCs w:val="0"/>
                      <w:sz w:val="21"/>
                      <w:szCs w:val="24"/>
                      <w:vertAlign w:val="baseline"/>
                      <w:lang w:val="en-US" w:eastAsia="zh-CN"/>
                    </w:rPr>
                  </w:pPr>
                  <w:r>
                    <w:rPr>
                      <w:rFonts w:hint="eastAsia" w:ascii="Times New Roman" w:hAnsi="Times New Roman" w:eastAsia="仿宋_GB2312" w:cs="Times New Roman"/>
                      <w:szCs w:val="21"/>
                    </w:rPr>
                    <w:t>相符</w:t>
                  </w:r>
                </w:p>
              </w:tc>
            </w:tr>
          </w:tbl>
          <w:p w14:paraId="7DD19E6D">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22" w:firstLineChars="200"/>
              <w:jc w:val="both"/>
              <w:textAlignment w:val="auto"/>
              <w:rPr>
                <w:rFonts w:hint="eastAsia" w:ascii="Times New Roman" w:hAnsi="Times New Roman" w:eastAsia="仿宋_GB2312" w:cs="Times New Roman"/>
                <w:b/>
                <w:color w:val="000000"/>
                <w:kern w:val="2"/>
                <w:sz w:val="21"/>
                <w:szCs w:val="21"/>
                <w:lang w:val="en-US" w:eastAsia="zh-CN" w:bidi="ar-SA"/>
              </w:rPr>
            </w:pPr>
            <w:r>
              <w:rPr>
                <w:rFonts w:hint="eastAsia" w:ascii="Times New Roman" w:hAnsi="Times New Roman" w:eastAsia="仿宋_GB2312" w:cs="Times New Roman"/>
                <w:b/>
                <w:color w:val="000000"/>
                <w:kern w:val="2"/>
                <w:sz w:val="21"/>
                <w:szCs w:val="21"/>
                <w:lang w:val="en-US" w:eastAsia="zh-CN" w:bidi="ar-SA"/>
              </w:rPr>
              <w:t>十</w:t>
            </w:r>
            <w:r>
              <w:rPr>
                <w:rFonts w:hint="eastAsia" w:eastAsia="仿宋_GB2312" w:cs="Times New Roman"/>
                <w:b/>
                <w:color w:val="000000"/>
                <w:kern w:val="2"/>
                <w:sz w:val="21"/>
                <w:szCs w:val="21"/>
                <w:lang w:val="en-US" w:eastAsia="zh-CN" w:bidi="ar-SA"/>
              </w:rPr>
              <w:t>二</w:t>
            </w:r>
            <w:r>
              <w:rPr>
                <w:rFonts w:hint="eastAsia" w:ascii="Times New Roman" w:hAnsi="Times New Roman" w:eastAsia="仿宋_GB2312" w:cs="Times New Roman"/>
                <w:b/>
                <w:color w:val="000000"/>
                <w:kern w:val="2"/>
                <w:sz w:val="21"/>
                <w:szCs w:val="21"/>
                <w:lang w:val="en-US" w:eastAsia="zh-CN" w:bidi="ar-SA"/>
              </w:rPr>
              <w:t>、与《盐行业“十四五”发展指导意见》(2021-2025）相符性</w:t>
            </w:r>
          </w:p>
          <w:p w14:paraId="7B496592">
            <w:pPr>
              <w:pStyle w:val="99"/>
              <w:keepNext w:val="0"/>
              <w:keepLines w:val="0"/>
              <w:pageBreakBefore w:val="0"/>
              <w:widowControl w:val="0"/>
              <w:kinsoku/>
              <w:wordWrap/>
              <w:overflowPunct/>
              <w:topLinePunct w:val="0"/>
              <w:autoSpaceDE/>
              <w:autoSpaceDN/>
              <w:bidi w:val="0"/>
              <w:adjustRightInd/>
              <w:snapToGrid/>
              <w:spacing w:line="500" w:lineRule="exact"/>
              <w:ind w:left="0" w:right="0" w:firstLine="480" w:firstLineChars="200"/>
              <w:jc w:val="both"/>
              <w:textAlignment w:val="auto"/>
              <w:rPr>
                <w:rFonts w:ascii="Times New Roman" w:hAnsi="Times New Roman" w:eastAsia="仿宋_GB2312" w:cs="Times New Roman"/>
                <w:lang w:eastAsia="zh-CN"/>
              </w:rPr>
            </w:pPr>
            <w:r>
              <w:rPr>
                <w:rFonts w:hint="eastAsia" w:ascii="Times New Roman" w:hAnsi="Times New Roman" w:eastAsia="仿宋_GB2312" w:cs="Times New Roman"/>
                <w:lang w:eastAsia="zh-CN"/>
              </w:rPr>
              <w:t>项目与《</w:t>
            </w:r>
            <w:r>
              <w:rPr>
                <w:rFonts w:hint="eastAsia" w:ascii="Times New Roman" w:hAnsi="Times New Roman" w:eastAsia="仿宋_GB2312" w:cs="Times New Roman"/>
                <w:lang w:val="en-US" w:eastAsia="zh-CN"/>
              </w:rPr>
              <w:t>盐行业“十四五”发展指导意见</w:t>
            </w:r>
            <w:r>
              <w:rPr>
                <w:rFonts w:hint="eastAsia" w:ascii="Times New Roman" w:hAnsi="Times New Roman" w:eastAsia="仿宋_GB2312" w:cs="Times New Roman"/>
                <w:lang w:eastAsia="zh-CN"/>
              </w:rPr>
              <w:t>》</w:t>
            </w:r>
            <w:r>
              <w:rPr>
                <w:rFonts w:hint="eastAsia" w:ascii="Times New Roman" w:hAnsi="Times New Roman" w:eastAsia="仿宋_GB2312" w:cs="Times New Roman"/>
                <w:lang w:val="en-US" w:eastAsia="zh-CN"/>
              </w:rPr>
              <w:t>(2021-2025）</w:t>
            </w:r>
            <w:r>
              <w:rPr>
                <w:rFonts w:hint="eastAsia" w:ascii="Times New Roman" w:hAnsi="Times New Roman" w:eastAsia="仿宋_GB2312" w:cs="Times New Roman"/>
                <w:lang w:eastAsia="zh-CN"/>
              </w:rPr>
              <w:t>相符性分析见表1-</w:t>
            </w:r>
            <w:r>
              <w:rPr>
                <w:rFonts w:hint="eastAsia" w:ascii="Times New Roman" w:hAnsi="Times New Roman" w:eastAsia="仿宋_GB2312" w:cs="Times New Roman"/>
                <w:lang w:val="en-US" w:eastAsia="zh-CN"/>
              </w:rPr>
              <w:t>16</w:t>
            </w:r>
            <w:r>
              <w:rPr>
                <w:rFonts w:hint="eastAsia" w:ascii="Times New Roman" w:hAnsi="Times New Roman" w:eastAsia="仿宋_GB2312" w:cs="Times New Roman"/>
                <w:lang w:eastAsia="zh-CN"/>
              </w:rPr>
              <w:t>。</w:t>
            </w:r>
          </w:p>
          <w:p w14:paraId="64F5CF5B">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0" w:firstLineChars="0"/>
              <w:jc w:val="center"/>
              <w:textAlignment w:val="auto"/>
              <w:rPr>
                <w:rFonts w:hint="default" w:ascii="Times New Roman" w:hAnsi="Times New Roman" w:eastAsia="仿宋_GB2312" w:cs="Times New Roman"/>
                <w:b/>
                <w:bCs/>
                <w:color w:val="000000"/>
                <w:kern w:val="0"/>
                <w:lang w:val="en-US" w:eastAsia="zh-CN"/>
              </w:rPr>
            </w:pPr>
            <w:r>
              <w:rPr>
                <w:rFonts w:hint="default" w:ascii="Times New Roman" w:hAnsi="Times New Roman" w:eastAsia="仿宋_GB2312" w:cs="Times New Roman"/>
                <w:b/>
                <w:bCs/>
                <w:color w:val="000000"/>
                <w:kern w:val="0"/>
                <w:lang w:val="en-US" w:eastAsia="zh-CN"/>
              </w:rPr>
              <w:t>表1-</w:t>
            </w:r>
            <w:r>
              <w:rPr>
                <w:rFonts w:hint="eastAsia" w:ascii="Times New Roman" w:hAnsi="Times New Roman" w:eastAsia="仿宋_GB2312" w:cs="Times New Roman"/>
                <w:b/>
                <w:bCs/>
                <w:color w:val="000000"/>
                <w:kern w:val="0"/>
                <w:lang w:val="en-US" w:eastAsia="zh-CN"/>
              </w:rPr>
              <w:t>1</w:t>
            </w:r>
            <w:r>
              <w:rPr>
                <w:rFonts w:hint="eastAsia" w:eastAsia="仿宋_GB2312" w:cs="Times New Roman"/>
                <w:b/>
                <w:bCs/>
                <w:color w:val="000000"/>
                <w:kern w:val="0"/>
                <w:lang w:val="en-US" w:eastAsia="zh-CN"/>
              </w:rPr>
              <w:t>6</w:t>
            </w:r>
            <w:r>
              <w:rPr>
                <w:rFonts w:hint="eastAsia" w:ascii="Times New Roman" w:hAnsi="Times New Roman" w:eastAsia="仿宋_GB2312" w:cs="Times New Roman"/>
                <w:b/>
                <w:bCs/>
                <w:color w:val="000000"/>
                <w:kern w:val="0"/>
                <w:lang w:val="en-US" w:eastAsia="zh-CN"/>
              </w:rPr>
              <w:t xml:space="preserve">  </w:t>
            </w:r>
            <w:r>
              <w:rPr>
                <w:rFonts w:hint="default" w:ascii="Times New Roman" w:hAnsi="Times New Roman" w:eastAsia="仿宋_GB2312" w:cs="Times New Roman"/>
                <w:b/>
                <w:bCs/>
                <w:color w:val="000000"/>
                <w:kern w:val="0"/>
                <w:lang w:val="en-US" w:eastAsia="zh-CN"/>
              </w:rPr>
              <w:t>与</w:t>
            </w:r>
            <w:r>
              <w:rPr>
                <w:rFonts w:hint="eastAsia" w:ascii="Times New Roman" w:hAnsi="Times New Roman" w:eastAsia="仿宋_GB2312" w:cs="Times New Roman"/>
                <w:b/>
                <w:color w:val="000000"/>
                <w:kern w:val="2"/>
                <w:sz w:val="21"/>
                <w:szCs w:val="21"/>
                <w:lang w:val="en-US" w:eastAsia="zh-CN" w:bidi="ar-SA"/>
              </w:rPr>
              <w:t>《盐行业“十四五”发展指导意见》(2021-2025）</w:t>
            </w:r>
            <w:r>
              <w:rPr>
                <w:rFonts w:hint="default" w:ascii="Times New Roman" w:hAnsi="Times New Roman" w:eastAsia="仿宋_GB2312" w:cs="Times New Roman"/>
                <w:b/>
                <w:bCs/>
                <w:color w:val="000000"/>
                <w:kern w:val="0"/>
                <w:lang w:val="en-US" w:eastAsia="zh-CN"/>
              </w:rPr>
              <w:t>相符性分析</w:t>
            </w:r>
          </w:p>
          <w:tbl>
            <w:tblPr>
              <w:tblStyle w:val="32"/>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63"/>
              <w:gridCol w:w="2700"/>
              <w:gridCol w:w="687"/>
            </w:tblGrid>
            <w:tr w14:paraId="21268D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63" w:type="dxa"/>
                  <w:tcBorders>
                    <w:tl2br w:val="nil"/>
                    <w:tr2bl w:val="nil"/>
                  </w:tcBorders>
                  <w:vAlign w:val="center"/>
                </w:tcPr>
                <w:p w14:paraId="215C833D">
                  <w:pPr>
                    <w:pStyle w:val="8"/>
                    <w:spacing w:line="240" w:lineRule="auto"/>
                    <w:ind w:firstLine="0" w:firstLineChars="0"/>
                    <w:jc w:val="center"/>
                    <w:textAlignment w:val="auto"/>
                    <w:rPr>
                      <w:rFonts w:hint="eastAsia"/>
                      <w:vertAlign w:val="baseline"/>
                      <w:lang w:val="en-US" w:eastAsia="zh-CN"/>
                    </w:rPr>
                  </w:pPr>
                  <w:r>
                    <w:rPr>
                      <w:rFonts w:hint="eastAsia" w:ascii="Times New Roman" w:hAnsi="Times New Roman" w:eastAsia="仿宋_GB2312" w:cs="Times New Roman"/>
                      <w:b/>
                      <w:bCs/>
                      <w:color w:val="auto"/>
                      <w:kern w:val="2"/>
                      <w:sz w:val="21"/>
                      <w:szCs w:val="21"/>
                      <w:lang w:val="en-US" w:eastAsia="zh-CN" w:bidi="ar-SA"/>
                    </w:rPr>
                    <w:t>与项目相关要求</w:t>
                  </w:r>
                </w:p>
              </w:tc>
              <w:tc>
                <w:tcPr>
                  <w:tcW w:w="2700" w:type="dxa"/>
                  <w:tcBorders>
                    <w:tl2br w:val="nil"/>
                    <w:tr2bl w:val="nil"/>
                  </w:tcBorders>
                  <w:vAlign w:val="center"/>
                </w:tcPr>
                <w:p w14:paraId="30249345">
                  <w:pPr>
                    <w:pStyle w:val="8"/>
                    <w:spacing w:line="240" w:lineRule="auto"/>
                    <w:ind w:firstLine="0" w:firstLineChars="0"/>
                    <w:jc w:val="center"/>
                    <w:textAlignment w:val="auto"/>
                    <w:rPr>
                      <w:rFonts w:hint="eastAsia"/>
                      <w:vertAlign w:val="baseline"/>
                      <w:lang w:val="en-US" w:eastAsia="zh-CN"/>
                    </w:rPr>
                  </w:pPr>
                  <w:r>
                    <w:rPr>
                      <w:rFonts w:hint="eastAsia" w:ascii="Times New Roman" w:hAnsi="Times New Roman" w:eastAsia="仿宋_GB2312" w:cs="Times New Roman"/>
                      <w:b/>
                      <w:bCs/>
                      <w:color w:val="auto"/>
                      <w:kern w:val="2"/>
                      <w:sz w:val="21"/>
                      <w:szCs w:val="21"/>
                      <w:lang w:val="en-US" w:eastAsia="zh-CN" w:bidi="ar-SA"/>
                    </w:rPr>
                    <w:t>本项目相符性分析</w:t>
                  </w:r>
                </w:p>
              </w:tc>
              <w:tc>
                <w:tcPr>
                  <w:tcW w:w="687" w:type="dxa"/>
                  <w:tcBorders>
                    <w:tl2br w:val="nil"/>
                    <w:tr2bl w:val="nil"/>
                  </w:tcBorders>
                  <w:vAlign w:val="center"/>
                </w:tcPr>
                <w:p w14:paraId="601201BE">
                  <w:pPr>
                    <w:pStyle w:val="8"/>
                    <w:spacing w:line="240" w:lineRule="auto"/>
                    <w:ind w:firstLine="0" w:firstLineChars="0"/>
                    <w:jc w:val="center"/>
                    <w:textAlignment w:val="auto"/>
                    <w:rPr>
                      <w:rFonts w:hint="eastAsia"/>
                      <w:vertAlign w:val="baseline"/>
                      <w:lang w:val="en-US" w:eastAsia="zh-CN"/>
                    </w:rPr>
                  </w:pPr>
                  <w:r>
                    <w:rPr>
                      <w:rFonts w:hint="eastAsia" w:ascii="Times New Roman" w:hAnsi="Times New Roman" w:eastAsia="仿宋_GB2312" w:cs="Times New Roman"/>
                      <w:b/>
                      <w:bCs/>
                      <w:color w:val="auto"/>
                      <w:kern w:val="2"/>
                      <w:sz w:val="21"/>
                      <w:szCs w:val="21"/>
                      <w:lang w:val="en-US" w:eastAsia="zh-CN" w:bidi="ar-SA"/>
                    </w:rPr>
                    <w:t>是否符合</w:t>
                  </w:r>
                </w:p>
              </w:tc>
            </w:tr>
            <w:tr w14:paraId="21828F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63" w:type="dxa"/>
                  <w:tcBorders>
                    <w:tl2br w:val="nil"/>
                    <w:tr2bl w:val="nil"/>
                  </w:tcBorders>
                  <w:vAlign w:val="center"/>
                </w:tcPr>
                <w:p w14:paraId="4551EB2C">
                  <w:pPr>
                    <w:pStyle w:val="8"/>
                    <w:spacing w:line="240" w:lineRule="auto"/>
                    <w:ind w:firstLine="0"/>
                    <w:textAlignment w:val="auto"/>
                    <w:rPr>
                      <w:rFonts w:hint="eastAsia"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1、保持供需基本平衡，实现经济稳定增长：“十四五”末，根据市场需求，全行业原盐产能力争控制在12500万吨以下，保持市场供需基本平衡，防止产能过剩。</w:t>
                  </w:r>
                </w:p>
              </w:tc>
              <w:tc>
                <w:tcPr>
                  <w:tcW w:w="2700" w:type="dxa"/>
                  <w:tcBorders>
                    <w:tl2br w:val="nil"/>
                    <w:tr2bl w:val="nil"/>
                  </w:tcBorders>
                  <w:vAlign w:val="center"/>
                </w:tcPr>
                <w:p w14:paraId="247E1063">
                  <w:pPr>
                    <w:pStyle w:val="8"/>
                    <w:spacing w:line="240" w:lineRule="auto"/>
                    <w:ind w:firstLine="0"/>
                    <w:textAlignment w:val="auto"/>
                    <w:rPr>
                      <w:rFonts w:hint="default"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本项目为精制盐前处理工艺（卤水净化）改造，不涉及产能变化。</w:t>
                  </w:r>
                </w:p>
              </w:tc>
              <w:tc>
                <w:tcPr>
                  <w:tcW w:w="687" w:type="dxa"/>
                  <w:tcBorders>
                    <w:tl2br w:val="nil"/>
                    <w:tr2bl w:val="nil"/>
                  </w:tcBorders>
                  <w:vAlign w:val="center"/>
                </w:tcPr>
                <w:p w14:paraId="5C0EFEC3">
                  <w:pPr>
                    <w:pStyle w:val="8"/>
                    <w:spacing w:line="240" w:lineRule="auto"/>
                    <w:ind w:firstLine="0"/>
                    <w:textAlignment w:val="auto"/>
                    <w:rPr>
                      <w:rFonts w:hint="default"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符合</w:t>
                  </w:r>
                </w:p>
              </w:tc>
            </w:tr>
            <w:tr w14:paraId="427028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63" w:type="dxa"/>
                  <w:tcBorders>
                    <w:tl2br w:val="nil"/>
                    <w:tr2bl w:val="nil"/>
                  </w:tcBorders>
                  <w:vAlign w:val="center"/>
                </w:tcPr>
                <w:p w14:paraId="5D701354">
                  <w:pPr>
                    <w:pStyle w:val="8"/>
                    <w:spacing w:line="240" w:lineRule="auto"/>
                    <w:ind w:firstLine="0"/>
                    <w:textAlignment w:val="auto"/>
                    <w:rPr>
                      <w:rFonts w:hint="eastAsia"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4、产业结构更加合理，行业集中度进一步提高：卤水化工、盐田生物、风光发电、水产养殖及其他多种经营产业在海盐总收入中的占比持续增加。不断提高盐穴利用和其他化工产品产值在井矿盐总收入中的占比。提高产业集中度，淘汰落后工艺技术装备，培育一批行业引领能力强、发展前景好、具有竞争优势的大型企业集团，重点培养扶持创建1-2个世界一流的龙头盐业企业，形成共同发展的新格局。鼓励大型企业集团充分利用“一带一路”政策开拓国际市场，加快盐产品国际化进程。</w:t>
                  </w:r>
                </w:p>
              </w:tc>
              <w:tc>
                <w:tcPr>
                  <w:tcW w:w="2700" w:type="dxa"/>
                  <w:tcBorders>
                    <w:tl2br w:val="nil"/>
                    <w:tr2bl w:val="nil"/>
                  </w:tcBorders>
                  <w:vAlign w:val="center"/>
                </w:tcPr>
                <w:p w14:paraId="6E7EBB8F">
                  <w:pPr>
                    <w:pStyle w:val="8"/>
                    <w:spacing w:line="240" w:lineRule="auto"/>
                    <w:ind w:firstLine="0"/>
                    <w:textAlignment w:val="auto"/>
                    <w:rPr>
                      <w:rFonts w:hint="default"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本项目为精制盐前处理工艺（卤水净化）改造项目，将落后的工艺淘汰做备用产线，提升了项目生产水平。</w:t>
                  </w:r>
                </w:p>
              </w:tc>
              <w:tc>
                <w:tcPr>
                  <w:tcW w:w="687" w:type="dxa"/>
                  <w:tcBorders>
                    <w:tl2br w:val="nil"/>
                    <w:tr2bl w:val="nil"/>
                  </w:tcBorders>
                  <w:vAlign w:val="center"/>
                </w:tcPr>
                <w:p w14:paraId="3CCEDA6C">
                  <w:pPr>
                    <w:pStyle w:val="8"/>
                    <w:spacing w:line="240" w:lineRule="auto"/>
                    <w:ind w:firstLine="0"/>
                    <w:textAlignment w:val="auto"/>
                    <w:rPr>
                      <w:rFonts w:hint="eastAsia"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符合</w:t>
                  </w:r>
                </w:p>
              </w:tc>
            </w:tr>
          </w:tbl>
          <w:p w14:paraId="7FD467B1">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22" w:firstLineChars="200"/>
              <w:jc w:val="both"/>
              <w:textAlignment w:val="auto"/>
              <w:rPr>
                <w:rFonts w:hint="eastAsia" w:ascii="Times New Roman" w:hAnsi="Times New Roman" w:eastAsia="仿宋_GB2312" w:cs="Times New Roman"/>
                <w:b/>
                <w:color w:val="000000"/>
                <w:kern w:val="2"/>
                <w:sz w:val="21"/>
                <w:szCs w:val="21"/>
                <w:lang w:val="en-US" w:eastAsia="zh-CN" w:bidi="ar-SA"/>
              </w:rPr>
            </w:pPr>
            <w:r>
              <w:rPr>
                <w:rFonts w:hint="eastAsia" w:ascii="Times New Roman" w:hAnsi="Times New Roman" w:eastAsia="仿宋_GB2312" w:cs="Times New Roman"/>
                <w:b/>
                <w:color w:val="000000"/>
                <w:kern w:val="2"/>
                <w:sz w:val="21"/>
                <w:szCs w:val="21"/>
                <w:lang w:val="en-US" w:eastAsia="zh-CN" w:bidi="ar-SA"/>
              </w:rPr>
              <w:t>十三、与国务院关于印发《固体废物综合治理行动计划》的通知(国发(2025)14号相符性</w:t>
            </w:r>
          </w:p>
          <w:p w14:paraId="7CC9AC32">
            <w:pPr>
              <w:pStyle w:val="99"/>
              <w:keepNext w:val="0"/>
              <w:keepLines w:val="0"/>
              <w:pageBreakBefore w:val="0"/>
              <w:widowControl w:val="0"/>
              <w:kinsoku/>
              <w:wordWrap/>
              <w:overflowPunct/>
              <w:topLinePunct w:val="0"/>
              <w:autoSpaceDE/>
              <w:autoSpaceDN/>
              <w:bidi w:val="0"/>
              <w:adjustRightInd/>
              <w:snapToGrid/>
              <w:spacing w:line="500" w:lineRule="exact"/>
              <w:ind w:left="0" w:right="0" w:firstLine="480" w:firstLineChars="200"/>
              <w:jc w:val="both"/>
              <w:textAlignment w:val="auto"/>
              <w:rPr>
                <w:rFonts w:hint="default" w:ascii="Times New Roman" w:hAnsi="Times New Roman" w:eastAsia="仿宋_GB2312" w:cs="Times New Roman"/>
                <w:lang w:val="en-US" w:eastAsia="zh-CN"/>
              </w:rPr>
            </w:pPr>
            <w:r>
              <w:rPr>
                <w:rFonts w:hint="eastAsia" w:ascii="Times New Roman" w:hAnsi="Times New Roman" w:eastAsia="仿宋_GB2312" w:cs="Times New Roman"/>
                <w:lang w:eastAsia="zh-CN"/>
              </w:rPr>
              <w:t>项目与</w:t>
            </w:r>
            <w:r>
              <w:rPr>
                <w:rFonts w:hint="eastAsia" w:ascii="Times New Roman" w:hAnsi="Times New Roman" w:eastAsia="仿宋_GB2312" w:cs="Times New Roman"/>
                <w:lang w:val="en-US" w:eastAsia="zh-CN"/>
              </w:rPr>
              <w:t xml:space="preserve">国务院关于印发《固体废物综合治理行动计划》的通知(国发(2025)14号 </w:t>
            </w:r>
            <w:r>
              <w:rPr>
                <w:rFonts w:hint="eastAsia" w:ascii="Times New Roman" w:hAnsi="Times New Roman" w:eastAsia="仿宋_GB2312" w:cs="Times New Roman"/>
                <w:lang w:eastAsia="zh-CN"/>
              </w:rPr>
              <w:t>相符性分析见表1-</w:t>
            </w:r>
            <w:r>
              <w:rPr>
                <w:rFonts w:hint="eastAsia" w:ascii="Times New Roman" w:hAnsi="Times New Roman" w:eastAsia="仿宋_GB2312" w:cs="Times New Roman"/>
                <w:lang w:val="en-US" w:eastAsia="zh-CN"/>
              </w:rPr>
              <w:t>17</w:t>
            </w:r>
            <w:r>
              <w:rPr>
                <w:rFonts w:hint="eastAsia" w:ascii="Times New Roman" w:hAnsi="Times New Roman" w:eastAsia="仿宋_GB2312" w:cs="Times New Roman"/>
                <w:lang w:eastAsia="zh-CN"/>
              </w:rPr>
              <w:t>。</w:t>
            </w:r>
          </w:p>
          <w:p w14:paraId="2A6D61FA">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0" w:firstLineChars="0"/>
              <w:jc w:val="center"/>
              <w:textAlignment w:val="auto"/>
              <w:rPr>
                <w:rFonts w:hint="default" w:ascii="Times New Roman" w:hAnsi="Times New Roman" w:eastAsia="仿宋_GB2312" w:cs="Times New Roman"/>
                <w:b/>
                <w:bCs/>
                <w:color w:val="000000"/>
                <w:kern w:val="0"/>
                <w:lang w:val="en-US" w:eastAsia="zh-CN"/>
              </w:rPr>
            </w:pPr>
            <w:r>
              <w:rPr>
                <w:rFonts w:hint="default" w:ascii="Times New Roman" w:hAnsi="Times New Roman" w:eastAsia="仿宋_GB2312" w:cs="Times New Roman"/>
                <w:b/>
                <w:bCs/>
                <w:color w:val="000000"/>
                <w:kern w:val="0"/>
                <w:lang w:val="en-US" w:eastAsia="zh-CN"/>
              </w:rPr>
              <w:t>表1-</w:t>
            </w:r>
            <w:r>
              <w:rPr>
                <w:rFonts w:hint="eastAsia" w:ascii="Times New Roman" w:hAnsi="Times New Roman" w:eastAsia="仿宋_GB2312" w:cs="Times New Roman"/>
                <w:b/>
                <w:bCs/>
                <w:color w:val="000000"/>
                <w:kern w:val="0"/>
                <w:lang w:val="en-US" w:eastAsia="zh-CN"/>
              </w:rPr>
              <w:t xml:space="preserve">17  </w:t>
            </w:r>
            <w:r>
              <w:rPr>
                <w:rFonts w:hint="default" w:ascii="Times New Roman" w:hAnsi="Times New Roman" w:eastAsia="仿宋_GB2312" w:cs="Times New Roman"/>
                <w:b/>
                <w:bCs/>
                <w:color w:val="000000"/>
                <w:kern w:val="0"/>
                <w:lang w:val="en-US" w:eastAsia="zh-CN"/>
              </w:rPr>
              <w:t>与</w:t>
            </w:r>
            <w:r>
              <w:rPr>
                <w:rFonts w:hint="eastAsia" w:ascii="Times New Roman" w:hAnsi="Times New Roman" w:eastAsia="仿宋_GB2312" w:cs="Times New Roman"/>
                <w:b/>
                <w:bCs/>
                <w:color w:val="000000"/>
                <w:kern w:val="0"/>
                <w:lang w:val="en-US" w:eastAsia="zh-CN"/>
              </w:rPr>
              <w:t>国务院关于印发《固体废物综合治理行动计划》的通知(国发(2025)14号</w:t>
            </w:r>
            <w:r>
              <w:rPr>
                <w:rFonts w:hint="default" w:ascii="Times New Roman" w:hAnsi="Times New Roman" w:eastAsia="仿宋_GB2312" w:cs="Times New Roman"/>
                <w:b/>
                <w:bCs/>
                <w:color w:val="000000"/>
                <w:kern w:val="0"/>
                <w:lang w:val="en-US" w:eastAsia="zh-CN"/>
              </w:rPr>
              <w:t>相符性分析</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6"/>
              <w:gridCol w:w="3542"/>
              <w:gridCol w:w="2513"/>
              <w:gridCol w:w="694"/>
            </w:tblGrid>
            <w:tr w14:paraId="1ADE5A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60" w:type="pct"/>
                  <w:gridSpan w:val="2"/>
                  <w:tcBorders>
                    <w:tl2br w:val="nil"/>
                    <w:tr2bl w:val="nil"/>
                  </w:tcBorders>
                  <w:vAlign w:val="center"/>
                </w:tcPr>
                <w:p w14:paraId="6CB62333">
                  <w:pPr>
                    <w:jc w:val="center"/>
                    <w:rPr>
                      <w:vertAlign w:val="baseline"/>
                    </w:rPr>
                  </w:pPr>
                  <w:r>
                    <w:rPr>
                      <w:rFonts w:hint="eastAsia" w:ascii="Times New Roman" w:hAnsi="Times New Roman" w:eastAsia="仿宋_GB2312" w:cs="Times New Roman"/>
                      <w:b/>
                      <w:bCs/>
                      <w:color w:val="auto"/>
                      <w:kern w:val="2"/>
                      <w:sz w:val="21"/>
                      <w:szCs w:val="21"/>
                      <w:lang w:val="en-US" w:eastAsia="zh-CN" w:bidi="ar-SA"/>
                    </w:rPr>
                    <w:t>与项目相关要求</w:t>
                  </w:r>
                </w:p>
              </w:tc>
              <w:tc>
                <w:tcPr>
                  <w:tcW w:w="1676" w:type="pct"/>
                  <w:tcBorders>
                    <w:tl2br w:val="nil"/>
                    <w:tr2bl w:val="nil"/>
                  </w:tcBorders>
                  <w:vAlign w:val="center"/>
                </w:tcPr>
                <w:p w14:paraId="7C775586">
                  <w:pPr>
                    <w:jc w:val="center"/>
                    <w:rPr>
                      <w:vertAlign w:val="baseline"/>
                    </w:rPr>
                  </w:pPr>
                  <w:r>
                    <w:rPr>
                      <w:rFonts w:hint="eastAsia" w:ascii="Times New Roman" w:hAnsi="Times New Roman" w:eastAsia="仿宋_GB2312" w:cs="Times New Roman"/>
                      <w:b/>
                      <w:bCs/>
                      <w:color w:val="auto"/>
                      <w:kern w:val="2"/>
                      <w:sz w:val="21"/>
                      <w:szCs w:val="21"/>
                      <w:lang w:val="en-US" w:eastAsia="zh-CN" w:bidi="ar-SA"/>
                    </w:rPr>
                    <w:t>本项目相符性分析</w:t>
                  </w:r>
                </w:p>
              </w:tc>
              <w:tc>
                <w:tcPr>
                  <w:tcW w:w="462" w:type="pct"/>
                  <w:tcBorders>
                    <w:tl2br w:val="nil"/>
                    <w:tr2bl w:val="nil"/>
                  </w:tcBorders>
                  <w:vAlign w:val="center"/>
                </w:tcPr>
                <w:p w14:paraId="5E77F4C3">
                  <w:pPr>
                    <w:jc w:val="center"/>
                    <w:rPr>
                      <w:vertAlign w:val="baseline"/>
                    </w:rPr>
                  </w:pPr>
                  <w:r>
                    <w:rPr>
                      <w:rFonts w:hint="eastAsia" w:ascii="Times New Roman" w:hAnsi="Times New Roman" w:eastAsia="仿宋_GB2312" w:cs="Times New Roman"/>
                      <w:b/>
                      <w:bCs/>
                      <w:color w:val="auto"/>
                      <w:kern w:val="2"/>
                      <w:sz w:val="21"/>
                      <w:szCs w:val="21"/>
                      <w:lang w:val="en-US" w:eastAsia="zh-CN" w:bidi="ar-SA"/>
                    </w:rPr>
                    <w:t>是否符合</w:t>
                  </w:r>
                </w:p>
              </w:tc>
            </w:tr>
            <w:tr w14:paraId="04226A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tcBorders>
                    <w:tl2br w:val="nil"/>
                    <w:tr2bl w:val="nil"/>
                  </w:tcBorders>
                  <w:vAlign w:val="center"/>
                </w:tcPr>
                <w:p w14:paraId="7A37363E">
                  <w:pPr>
                    <w:pStyle w:val="8"/>
                    <w:spacing w:line="240" w:lineRule="auto"/>
                    <w:ind w:firstLine="0"/>
                    <w:textAlignment w:val="auto"/>
                    <w:rPr>
                      <w:rFonts w:hint="eastAsia"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二、推动源头管控和减量</w:t>
                  </w:r>
                </w:p>
              </w:tc>
              <w:tc>
                <w:tcPr>
                  <w:tcW w:w="2362" w:type="pct"/>
                  <w:tcBorders>
                    <w:tl2br w:val="nil"/>
                    <w:tr2bl w:val="nil"/>
                  </w:tcBorders>
                  <w:vAlign w:val="center"/>
                </w:tcPr>
                <w:p w14:paraId="4C478B67">
                  <w:pPr>
                    <w:pStyle w:val="8"/>
                    <w:spacing w:line="240" w:lineRule="auto"/>
                    <w:ind w:firstLine="0"/>
                    <w:jc w:val="center"/>
                    <w:textAlignment w:val="auto"/>
                    <w:rPr>
                      <w:rFonts w:hint="eastAsia"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一）加强工业固体废物源头减量。严格落实产业、环保、节能等政策，依法依规淘汰落后产能。强化工业园区固体废物源头管控。大力推行绿色设计，支持企业改进生产工艺和装备，强化工业生产精细化管控，降低固体废物产生强度。推动重有色金属矿采选一体化建设，促进尾矿就近充填回填，原则上不再批准建设无自建矿山、无配套尾矿利用处置设施的选矿项目。推动重点行业固体废物产生量与综合消纳量逐步实现动态平衡。</w:t>
                  </w:r>
                </w:p>
              </w:tc>
              <w:tc>
                <w:tcPr>
                  <w:tcW w:w="1676" w:type="pct"/>
                  <w:tcBorders>
                    <w:tl2br w:val="nil"/>
                    <w:tr2bl w:val="nil"/>
                  </w:tcBorders>
                  <w:vAlign w:val="center"/>
                </w:tcPr>
                <w:p w14:paraId="25FBE987">
                  <w:pPr>
                    <w:pStyle w:val="8"/>
                    <w:spacing w:line="240" w:lineRule="auto"/>
                    <w:ind w:firstLine="0"/>
                    <w:jc w:val="center"/>
                    <w:textAlignment w:val="auto"/>
                    <w:rPr>
                      <w:rFonts w:hint="default"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本项目采用先进生产工艺，优化装备选型，强化生产精细化管控，淘汰落后产能设备，严格控制了固体废物源头产量。</w:t>
                  </w:r>
                </w:p>
              </w:tc>
              <w:tc>
                <w:tcPr>
                  <w:tcW w:w="462" w:type="pct"/>
                  <w:tcBorders>
                    <w:tl2br w:val="nil"/>
                    <w:tr2bl w:val="nil"/>
                  </w:tcBorders>
                  <w:vAlign w:val="center"/>
                </w:tcPr>
                <w:p w14:paraId="4A1D2591">
                  <w:pPr>
                    <w:pStyle w:val="8"/>
                    <w:spacing w:line="240" w:lineRule="auto"/>
                    <w:ind w:firstLine="0"/>
                    <w:jc w:val="center"/>
                    <w:textAlignment w:val="auto"/>
                    <w:rPr>
                      <w:rFonts w:hint="default"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符合</w:t>
                  </w:r>
                </w:p>
              </w:tc>
            </w:tr>
            <w:tr w14:paraId="64786D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tcBorders>
                    <w:tl2br w:val="nil"/>
                    <w:tr2bl w:val="nil"/>
                  </w:tcBorders>
                  <w:vAlign w:val="center"/>
                </w:tcPr>
                <w:p w14:paraId="121067F7">
                  <w:pPr>
                    <w:pStyle w:val="8"/>
                    <w:spacing w:line="240" w:lineRule="auto"/>
                    <w:ind w:firstLine="0"/>
                    <w:textAlignment w:val="auto"/>
                    <w:rPr>
                      <w:rFonts w:hint="eastAsia"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三、规范收集转运和贮存</w:t>
                  </w:r>
                </w:p>
              </w:tc>
              <w:tc>
                <w:tcPr>
                  <w:tcW w:w="2362" w:type="pct"/>
                  <w:tcBorders>
                    <w:tl2br w:val="nil"/>
                    <w:tr2bl w:val="nil"/>
                  </w:tcBorders>
                  <w:vAlign w:val="center"/>
                </w:tcPr>
                <w:p w14:paraId="366A2F06">
                  <w:pPr>
                    <w:pStyle w:val="8"/>
                    <w:spacing w:line="240" w:lineRule="auto"/>
                    <w:ind w:firstLine="0"/>
                    <w:jc w:val="center"/>
                    <w:textAlignment w:val="auto"/>
                    <w:rPr>
                      <w:rFonts w:hint="eastAsia"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四）加强工业固体废物规范化管理。完善工业固体废物管理台账制度，强化全链条跟踪管控。推行工业固体废物分类收集贮存，防范混堆混排。禁止向生活垃圾收集设施中投放工业固体废物。严格执行工业固体废物、危险废物跨省转移审批制度。规范各类企业危险废物收集管理。</w:t>
                  </w:r>
                </w:p>
              </w:tc>
              <w:tc>
                <w:tcPr>
                  <w:tcW w:w="1676" w:type="pct"/>
                  <w:tcBorders>
                    <w:tl2br w:val="nil"/>
                    <w:tr2bl w:val="nil"/>
                  </w:tcBorders>
                  <w:vAlign w:val="center"/>
                </w:tcPr>
                <w:p w14:paraId="7802F81C">
                  <w:pPr>
                    <w:pStyle w:val="8"/>
                    <w:spacing w:line="240" w:lineRule="auto"/>
                    <w:ind w:firstLine="0"/>
                    <w:jc w:val="center"/>
                    <w:textAlignment w:val="auto"/>
                    <w:rPr>
                      <w:rFonts w:hint="default"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本项目设置专用贮存场所，配备防渗、防扬散、防流失设施，对一般工业固废、危险废物、生活垃圾等实行分类存放；建立固体废物全生命周期管理台账，详细记录产生量、贮存量、转运量及处置去向，实现全程追溯；委托具备相应资质的单位承运，危险废物转运严格执行转移联单制度，跨省转移依法办理审批手续。</w:t>
                  </w:r>
                </w:p>
              </w:tc>
              <w:tc>
                <w:tcPr>
                  <w:tcW w:w="462" w:type="pct"/>
                  <w:tcBorders>
                    <w:tl2br w:val="nil"/>
                    <w:tr2bl w:val="nil"/>
                  </w:tcBorders>
                  <w:vAlign w:val="center"/>
                </w:tcPr>
                <w:p w14:paraId="45717108">
                  <w:pPr>
                    <w:pStyle w:val="8"/>
                    <w:spacing w:line="240" w:lineRule="auto"/>
                    <w:ind w:firstLine="0"/>
                    <w:jc w:val="center"/>
                    <w:textAlignment w:val="auto"/>
                    <w:rPr>
                      <w:rFonts w:hint="eastAsia"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符合</w:t>
                  </w:r>
                </w:p>
              </w:tc>
            </w:tr>
            <w:tr w14:paraId="5FCB0D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tcBorders>
                    <w:tl2br w:val="nil"/>
                    <w:tr2bl w:val="nil"/>
                  </w:tcBorders>
                  <w:vAlign w:val="center"/>
                </w:tcPr>
                <w:p w14:paraId="5587A812">
                  <w:pPr>
                    <w:pStyle w:val="8"/>
                    <w:spacing w:line="240" w:lineRule="auto"/>
                    <w:ind w:firstLine="0"/>
                    <w:jc w:val="center"/>
                    <w:textAlignment w:val="auto"/>
                    <w:rPr>
                      <w:rFonts w:hint="eastAsia"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四、提升资源化利用水平</w:t>
                  </w:r>
                </w:p>
              </w:tc>
              <w:tc>
                <w:tcPr>
                  <w:tcW w:w="2362" w:type="pct"/>
                  <w:tcBorders>
                    <w:tl2br w:val="nil"/>
                    <w:tr2bl w:val="nil"/>
                  </w:tcBorders>
                  <w:vAlign w:val="center"/>
                </w:tcPr>
                <w:p w14:paraId="76899508">
                  <w:pPr>
                    <w:pStyle w:val="8"/>
                    <w:spacing w:line="240" w:lineRule="auto"/>
                    <w:ind w:firstLine="0"/>
                    <w:jc w:val="center"/>
                    <w:textAlignment w:val="auto"/>
                    <w:rPr>
                      <w:rFonts w:hint="eastAsia"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七）加强大宗固体废弃物综合利用。提升冶炼渣、尾矿、共伴生矿、赤泥、建筑垃圾综合利用能力，加强有价组分高效提取及整体利用，因地制宜推动煤矸石多元化利用。拓宽秸秆综合利用途径，提高秸秆还田科学化、规范化水平。推进畜禽养殖废弃物资源化利用。</w:t>
                  </w:r>
                </w:p>
              </w:tc>
              <w:tc>
                <w:tcPr>
                  <w:tcW w:w="1676" w:type="pct"/>
                  <w:tcBorders>
                    <w:tl2br w:val="nil"/>
                    <w:tr2bl w:val="nil"/>
                  </w:tcBorders>
                  <w:vAlign w:val="center"/>
                </w:tcPr>
                <w:p w14:paraId="62F45DA4">
                  <w:pPr>
                    <w:pStyle w:val="8"/>
                    <w:spacing w:line="240" w:lineRule="auto"/>
                    <w:ind w:firstLine="0"/>
                    <w:jc w:val="center"/>
                    <w:textAlignment w:val="auto"/>
                    <w:rPr>
                      <w:rFonts w:hint="eastAsia"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kern w:val="2"/>
                      <w:sz w:val="21"/>
                      <w:szCs w:val="21"/>
                      <w:lang w:val="en-US" w:eastAsia="zh-CN" w:bidi="ar-SA"/>
                    </w:rPr>
                    <w:t>本项目产生</w:t>
                  </w:r>
                  <w:r>
                    <w:rPr>
                      <w:rFonts w:hint="eastAsia" w:ascii="Times New Roman" w:hAnsi="Times New Roman" w:eastAsia="仿宋_GB2312" w:cs="Times New Roman"/>
                      <w:color w:val="auto"/>
                      <w:kern w:val="2"/>
                      <w:sz w:val="21"/>
                      <w:szCs w:val="21"/>
                      <w:lang w:val="en-US" w:eastAsia="zh-CN" w:bidi="ar-SA"/>
                    </w:rPr>
                    <w:t>的一般固废包括平板膜过滤盐泥、废保安过滤器滤芯、废粗过滤器滤芯及废活性炭，其中</w:t>
                  </w:r>
                  <w:r>
                    <w:rPr>
                      <w:rFonts w:hint="default" w:ascii="Times New Roman" w:hAnsi="Times New Roman" w:eastAsia="仿宋_GB2312" w:cs="Times New Roman"/>
                      <w:color w:val="auto"/>
                      <w:kern w:val="2"/>
                      <w:sz w:val="21"/>
                      <w:szCs w:val="21"/>
                      <w:lang w:val="en-US" w:eastAsia="zh-CN" w:bidi="ar-SA"/>
                    </w:rPr>
                    <w:t>盐泥收集后作为原料回用于盐泥综合利用项目</w:t>
                  </w:r>
                  <w:r>
                    <w:rPr>
                      <w:rFonts w:hint="eastAsia" w:ascii="Times New Roman" w:hAnsi="Times New Roman" w:eastAsia="仿宋_GB2312" w:cs="Times New Roman"/>
                      <w:color w:val="auto"/>
                      <w:kern w:val="2"/>
                      <w:sz w:val="21"/>
                      <w:szCs w:val="21"/>
                      <w:lang w:val="en-US" w:eastAsia="zh-CN" w:bidi="ar-SA"/>
                    </w:rPr>
                    <w:t>，其余</w:t>
                  </w:r>
                  <w:r>
                    <w:rPr>
                      <w:rFonts w:hint="default" w:ascii="Times New Roman" w:hAnsi="Times New Roman" w:eastAsia="仿宋_GB2312" w:cs="Times New Roman"/>
                      <w:color w:val="auto"/>
                      <w:kern w:val="2"/>
                      <w:sz w:val="21"/>
                      <w:szCs w:val="21"/>
                      <w:lang w:val="en-US" w:eastAsia="zh-CN" w:bidi="ar-SA"/>
                    </w:rPr>
                    <w:t>更换后由厂家回收</w:t>
                  </w:r>
                  <w:r>
                    <w:rPr>
                      <w:rFonts w:hint="eastAsia" w:ascii="Times New Roman" w:hAnsi="Times New Roman" w:eastAsia="仿宋_GB2312" w:cs="Times New Roman"/>
                      <w:color w:val="auto"/>
                      <w:kern w:val="2"/>
                      <w:sz w:val="21"/>
                      <w:szCs w:val="21"/>
                      <w:lang w:val="en-US" w:eastAsia="zh-CN" w:bidi="ar-SA"/>
                    </w:rPr>
                    <w:t>。</w:t>
                  </w:r>
                </w:p>
              </w:tc>
              <w:tc>
                <w:tcPr>
                  <w:tcW w:w="462" w:type="pct"/>
                  <w:tcBorders>
                    <w:tl2br w:val="nil"/>
                    <w:tr2bl w:val="nil"/>
                  </w:tcBorders>
                  <w:vAlign w:val="center"/>
                </w:tcPr>
                <w:p w14:paraId="09BDF312">
                  <w:pPr>
                    <w:jc w:val="center"/>
                    <w:rPr>
                      <w:vertAlign w:val="baseline"/>
                    </w:rPr>
                  </w:pPr>
                  <w:r>
                    <w:rPr>
                      <w:rFonts w:hint="eastAsia" w:ascii="Times New Roman" w:hAnsi="Times New Roman" w:eastAsia="仿宋_GB2312" w:cs="Times New Roman"/>
                      <w:color w:val="auto"/>
                      <w:kern w:val="2"/>
                      <w:sz w:val="21"/>
                      <w:szCs w:val="21"/>
                      <w:lang w:val="en-US" w:eastAsia="zh-CN" w:bidi="ar-SA"/>
                    </w:rPr>
                    <w:t>符合</w:t>
                  </w:r>
                </w:p>
              </w:tc>
            </w:tr>
            <w:tr w14:paraId="5B4A24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tcBorders>
                    <w:tl2br w:val="nil"/>
                    <w:tr2bl w:val="nil"/>
                  </w:tcBorders>
                  <w:vAlign w:val="center"/>
                </w:tcPr>
                <w:p w14:paraId="1535D81D">
                  <w:pPr>
                    <w:pStyle w:val="8"/>
                    <w:spacing w:line="240" w:lineRule="auto"/>
                    <w:ind w:firstLine="0"/>
                    <w:jc w:val="center"/>
                    <w:textAlignment w:val="auto"/>
                    <w:rPr>
                      <w:rFonts w:hint="eastAsia"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五、增加无害化治理能力</w:t>
                  </w:r>
                </w:p>
              </w:tc>
              <w:tc>
                <w:tcPr>
                  <w:tcW w:w="2362" w:type="pct"/>
                  <w:tcBorders>
                    <w:tl2br w:val="nil"/>
                    <w:tr2bl w:val="nil"/>
                  </w:tcBorders>
                  <w:vAlign w:val="center"/>
                </w:tcPr>
                <w:p w14:paraId="248D4600">
                  <w:pPr>
                    <w:pStyle w:val="8"/>
                    <w:spacing w:line="240" w:lineRule="auto"/>
                    <w:ind w:firstLine="0"/>
                    <w:jc w:val="center"/>
                    <w:textAlignment w:val="auto"/>
                    <w:rPr>
                      <w:rFonts w:hint="eastAsia"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十）提升全过程无害化水平。加强大宗工业固体废物无害化预处理，降低贮存填埋量和环境污染风险。因地制宜确定生活垃圾处理方式，合理布局建设生活垃圾焚烧处理设施，鼓励在确保安全稳定运行前提下，协同处置城镇污水处理厂污泥和工业固体废物。新建生活垃圾焚烧项目应同步落实飞灰处理途径，逐步减少飞灰填埋量。优化污泥处理处置结构，压减填埋规模。</w:t>
                  </w:r>
                </w:p>
              </w:tc>
              <w:tc>
                <w:tcPr>
                  <w:tcW w:w="1676" w:type="pct"/>
                  <w:tcBorders>
                    <w:tl2br w:val="nil"/>
                    <w:tr2bl w:val="nil"/>
                  </w:tcBorders>
                  <w:vAlign w:val="center"/>
                </w:tcPr>
                <w:p w14:paraId="5B499BF8">
                  <w:pPr>
                    <w:pStyle w:val="8"/>
                    <w:spacing w:line="240" w:lineRule="auto"/>
                    <w:ind w:firstLine="0"/>
                    <w:jc w:val="center"/>
                    <w:textAlignment w:val="auto"/>
                    <w:rPr>
                      <w:rFonts w:hint="default"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危险废物包括</w:t>
                  </w:r>
                  <w:r>
                    <w:rPr>
                      <w:rFonts w:hint="default" w:ascii="Times New Roman" w:hAnsi="Times New Roman" w:eastAsia="仿宋_GB2312" w:cs="Times New Roman"/>
                      <w:color w:val="auto"/>
                      <w:kern w:val="2"/>
                      <w:sz w:val="21"/>
                      <w:szCs w:val="21"/>
                      <w:lang w:val="en-US" w:eastAsia="zh-CN" w:bidi="ar-SA"/>
                    </w:rPr>
                    <w:t>废机油、废油桶、废漆桶、废漆刷及实验室废液</w:t>
                  </w:r>
                  <w:r>
                    <w:rPr>
                      <w:rFonts w:hint="eastAsia" w:ascii="Times New Roman" w:hAnsi="Times New Roman" w:eastAsia="仿宋_GB2312" w:cs="Times New Roman"/>
                      <w:color w:val="auto"/>
                      <w:kern w:val="2"/>
                      <w:sz w:val="21"/>
                      <w:szCs w:val="21"/>
                      <w:lang w:val="en-US" w:eastAsia="zh-CN" w:bidi="ar-SA"/>
                    </w:rPr>
                    <w:t>，</w:t>
                  </w:r>
                  <w:r>
                    <w:rPr>
                      <w:rFonts w:hint="default" w:ascii="Times New Roman" w:hAnsi="Times New Roman" w:eastAsia="仿宋_GB2312" w:cs="Times New Roman"/>
                      <w:color w:val="auto"/>
                      <w:kern w:val="2"/>
                      <w:sz w:val="21"/>
                      <w:szCs w:val="21"/>
                      <w:lang w:val="en-US" w:eastAsia="zh-CN" w:bidi="ar-SA"/>
                    </w:rPr>
                    <w:t>收集后交由有资质单位处理</w:t>
                  </w:r>
                  <w:r>
                    <w:rPr>
                      <w:rFonts w:hint="eastAsia" w:ascii="Times New Roman" w:hAnsi="Times New Roman" w:eastAsia="仿宋_GB2312" w:cs="Times New Roman"/>
                      <w:color w:val="auto"/>
                      <w:kern w:val="2"/>
                      <w:sz w:val="21"/>
                      <w:szCs w:val="21"/>
                      <w:lang w:val="en-US" w:eastAsia="zh-CN" w:bidi="ar-SA"/>
                    </w:rPr>
                    <w:t>。</w:t>
                  </w:r>
                  <w:r>
                    <w:rPr>
                      <w:rFonts w:hint="default" w:ascii="Times New Roman" w:hAnsi="Times New Roman" w:eastAsia="仿宋_GB2312" w:cs="Times New Roman"/>
                      <w:color w:val="auto"/>
                      <w:kern w:val="2"/>
                      <w:sz w:val="21"/>
                      <w:szCs w:val="21"/>
                      <w:lang w:val="en-US" w:eastAsia="zh-CN" w:bidi="ar-SA"/>
                    </w:rPr>
                    <w:t>采用焚烧、固化/稳定化等合规方式无害化处理</w:t>
                  </w:r>
                </w:p>
              </w:tc>
              <w:tc>
                <w:tcPr>
                  <w:tcW w:w="462" w:type="pct"/>
                  <w:tcBorders>
                    <w:tl2br w:val="nil"/>
                    <w:tr2bl w:val="nil"/>
                  </w:tcBorders>
                  <w:vAlign w:val="center"/>
                </w:tcPr>
                <w:p w14:paraId="24583292">
                  <w:pPr>
                    <w:pStyle w:val="8"/>
                    <w:spacing w:line="240" w:lineRule="auto"/>
                    <w:ind w:firstLine="0"/>
                    <w:jc w:val="center"/>
                    <w:textAlignment w:val="auto"/>
                    <w:rPr>
                      <w:rFonts w:hint="default"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符合</w:t>
                  </w:r>
                </w:p>
              </w:tc>
            </w:tr>
          </w:tbl>
          <w:p w14:paraId="2B984C06">
            <w:pPr>
              <w:jc w:val="center"/>
            </w:pPr>
          </w:p>
        </w:tc>
      </w:tr>
    </w:tbl>
    <w:p w14:paraId="30E9B000">
      <w:pPr>
        <w:spacing w:line="360" w:lineRule="auto"/>
        <w:rPr>
          <w:rFonts w:eastAsia="仿宋_GB2312"/>
          <w:sz w:val="30"/>
        </w:rPr>
        <w:sectPr>
          <w:footerReference r:id="rId6"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765D1763">
      <w:pPr>
        <w:pStyle w:val="28"/>
        <w:jc w:val="center"/>
        <w:outlineLvl w:val="0"/>
        <w:rPr>
          <w:rFonts w:ascii="Times New Roman" w:hAnsi="Times New Roman" w:eastAsia="仿宋_GB2312"/>
          <w:b/>
          <w:bCs/>
          <w:snapToGrid w:val="0"/>
          <w:sz w:val="30"/>
          <w:szCs w:val="30"/>
        </w:rPr>
      </w:pPr>
      <w:bookmarkStart w:id="11" w:name="_Toc11662"/>
      <w:bookmarkStart w:id="12" w:name="_Toc20554"/>
      <w:bookmarkStart w:id="13" w:name="_Toc32437"/>
      <w:r>
        <w:rPr>
          <w:rFonts w:ascii="Times New Roman" w:hAnsi="Times New Roman" w:eastAsia="仿宋_GB2312"/>
          <w:b/>
          <w:bCs/>
          <w:snapToGrid w:val="0"/>
          <w:sz w:val="30"/>
          <w:szCs w:val="30"/>
        </w:rPr>
        <w:t>二、建设项目工程分析</w:t>
      </w:r>
      <w:bookmarkEnd w:id="11"/>
      <w:bookmarkEnd w:id="12"/>
      <w:bookmarkEnd w:id="13"/>
    </w:p>
    <w:tbl>
      <w:tblPr>
        <w:tblStyle w:val="31"/>
        <w:tblW w:w="906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4"/>
        <w:gridCol w:w="8606"/>
      </w:tblGrid>
      <w:tr w14:paraId="0E8673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22" w:type="dxa"/>
            <w:vAlign w:val="center"/>
          </w:tcPr>
          <w:p w14:paraId="51931401">
            <w:pPr>
              <w:pStyle w:val="28"/>
              <w:adjustRightInd w:val="0"/>
              <w:snapToGrid w:val="0"/>
              <w:spacing w:before="0" w:beforeAutospacing="0" w:after="0" w:afterAutospacing="0"/>
              <w:jc w:val="center"/>
              <w:rPr>
                <w:rFonts w:ascii="Times New Roman" w:hAnsi="Times New Roman" w:eastAsia="仿宋_GB2312"/>
                <w:szCs w:val="24"/>
              </w:rPr>
            </w:pPr>
            <w:r>
              <w:rPr>
                <w:rFonts w:ascii="Times New Roman" w:hAnsi="Times New Roman" w:eastAsia="仿宋_GB2312"/>
                <w:szCs w:val="24"/>
              </w:rPr>
              <w:t>建设内容</w:t>
            </w:r>
          </w:p>
        </w:tc>
        <w:tc>
          <w:tcPr>
            <w:tcW w:w="8238" w:type="dxa"/>
          </w:tcPr>
          <w:p w14:paraId="14005BDF">
            <w:pPr>
              <w:autoSpaceDE w:val="0"/>
              <w:autoSpaceDN w:val="0"/>
              <w:adjustRightInd w:val="0"/>
              <w:snapToGrid w:val="0"/>
              <w:spacing w:line="360" w:lineRule="auto"/>
              <w:ind w:firstLine="422" w:firstLineChars="200"/>
              <w:rPr>
                <w:rFonts w:eastAsia="仿宋_GB2312"/>
                <w:b/>
                <w:kern w:val="0"/>
                <w:lang w:val="zh-CN"/>
              </w:rPr>
            </w:pPr>
            <w:r>
              <w:rPr>
                <w:rFonts w:eastAsia="仿宋_GB2312"/>
                <w:b/>
                <w:bCs/>
                <w:kern w:val="0"/>
              </w:rPr>
              <w:t>一、</w:t>
            </w:r>
            <w:r>
              <w:rPr>
                <w:rFonts w:eastAsia="仿宋_GB2312"/>
                <w:b/>
                <w:kern w:val="0"/>
                <w:lang w:val="zh-CN"/>
              </w:rPr>
              <w:t>项目来源</w:t>
            </w:r>
          </w:p>
          <w:p w14:paraId="45D36A99">
            <w:pPr>
              <w:adjustRightInd w:val="0"/>
              <w:snapToGrid w:val="0"/>
              <w:spacing w:line="360" w:lineRule="auto"/>
              <w:ind w:firstLine="420" w:firstLineChars="200"/>
              <w:rPr>
                <w:rFonts w:eastAsia="仿宋_GB2312"/>
                <w:kern w:val="0"/>
              </w:rPr>
            </w:pPr>
            <w:r>
              <w:rPr>
                <w:rFonts w:eastAsia="仿宋_GB2312"/>
                <w:kern w:val="0"/>
              </w:rPr>
              <w:t>中盐金坛盐化有限责任公司成立于2001年，为中国盐业集团有限公司所属国有中央企业，国家食盐定点生产、批发企业，食品生产、经营许可企业，国家“科改示范企业”，国家高新技术企业，入选“国内一流的企业研发机构培育库”，是江苏省首批产教融合试点企业。先后获得全国轻工业优秀质量管理最佳成果奖、全国轻工业质量信得过班组奖、首批国家“绿色矿山”、获批国家级“绿色工厂”，是江苏省“企业文化示范单位”，曾获“常州市市长质量奖”等荣誉。“中盐”牌、“金坛盐”牌商标获“国家生态原产地保护产品”等品牌认证，并获得清真食品认证，食用精制低钠盐获首批“江苏精品”认证。中盐金坛的业务涵盖食用盐、工业盐、电力和热力、盐穴综合利用等方面，已形成“盐碱一体化、盐电一体化、盐穴一体化”的“三个一体化”产业布局和完整的产业链。</w:t>
            </w:r>
          </w:p>
          <w:p w14:paraId="54455E40">
            <w:pPr>
              <w:adjustRightInd w:val="0"/>
              <w:snapToGrid w:val="0"/>
              <w:spacing w:line="360" w:lineRule="auto"/>
              <w:ind w:firstLine="420" w:firstLineChars="200"/>
              <w:rPr>
                <w:rFonts w:hint="eastAsia" w:eastAsia="仿宋_GB2312"/>
                <w:kern w:val="0"/>
                <w:lang w:val="en-US" w:eastAsia="zh-CN"/>
              </w:rPr>
            </w:pPr>
            <w:r>
              <w:rPr>
                <w:rFonts w:hint="eastAsia" w:eastAsia="仿宋_GB2312"/>
                <w:kern w:val="0"/>
                <w:lang w:val="en-US" w:eastAsia="zh-CN"/>
              </w:rPr>
              <w:t>公司卤水净化工艺使用的“间歇式”生产模式，该种模式存在以下缺陷：（1）反应罐利用率低；（2）精制卤水利用率低；（3）设备操作频繁，员工工作负荷大；（4）过滤设备（多管式布袋过滤器）落后，精制卤水SS含量偏高；（5）絮凝剂成本较高，而且残留在卤水中易对盐硝换热器以及系统造成堵塞等不利影响。</w:t>
            </w:r>
          </w:p>
          <w:p w14:paraId="3474B61D">
            <w:pPr>
              <w:adjustRightInd w:val="0"/>
              <w:snapToGrid w:val="0"/>
              <w:spacing w:line="360" w:lineRule="auto"/>
              <w:ind w:firstLine="420" w:firstLineChars="200"/>
              <w:rPr>
                <w:rFonts w:hint="eastAsia" w:ascii="Times New Roman" w:hAnsi="Times New Roman" w:eastAsia="仿宋_GB2312" w:cs="Times New Roman"/>
                <w:kern w:val="0"/>
                <w:lang w:val="en-US" w:eastAsia="zh-CN"/>
              </w:rPr>
            </w:pPr>
            <w:r>
              <w:rPr>
                <w:rFonts w:hint="eastAsia" w:eastAsia="仿宋_GB2312"/>
                <w:kern w:val="0"/>
                <w:lang w:val="en-US" w:eastAsia="zh-CN"/>
              </w:rPr>
              <w:t>目前，最先进的卤水净化过滤技术是膜过滤，而膜过滤“除SS”和“脱硝”已经在制盐的卤水净化领域得到了成功应用，属于成熟技术。纳滤膜能有效拦截卤水中 SO</w:t>
            </w:r>
            <w:r>
              <w:rPr>
                <w:rFonts w:hint="eastAsia" w:eastAsia="仿宋_GB2312"/>
                <w:kern w:val="0"/>
                <w:vertAlign w:val="subscript"/>
                <w:lang w:val="en-US" w:eastAsia="zh-CN"/>
              </w:rPr>
              <w:t>4</w:t>
            </w:r>
            <w:r>
              <w:rPr>
                <w:rFonts w:hint="eastAsia" w:eastAsia="仿宋_GB2312"/>
                <w:kern w:val="0"/>
                <w:vertAlign w:val="superscript"/>
                <w:lang w:val="en-US" w:eastAsia="zh-CN"/>
              </w:rPr>
              <w:t>2 -</w:t>
            </w:r>
            <w:r>
              <w:rPr>
                <w:rFonts w:hint="eastAsia" w:eastAsia="仿宋_GB2312"/>
                <w:kern w:val="0"/>
                <w:lang w:val="en-US" w:eastAsia="zh-CN"/>
              </w:rPr>
              <w:t>，低硝产水的SO</w:t>
            </w:r>
            <w:r>
              <w:rPr>
                <w:rFonts w:hint="eastAsia" w:eastAsia="仿宋_GB2312"/>
                <w:kern w:val="0"/>
                <w:vertAlign w:val="subscript"/>
                <w:lang w:val="en-US" w:eastAsia="zh-CN"/>
              </w:rPr>
              <w:t>4</w:t>
            </w:r>
            <w:r>
              <w:rPr>
                <w:rFonts w:hint="eastAsia" w:eastAsia="仿宋_GB2312"/>
                <w:kern w:val="0"/>
                <w:vertAlign w:val="superscript"/>
                <w:lang w:val="en-US" w:eastAsia="zh-CN"/>
              </w:rPr>
              <w:t>2 -</w:t>
            </w:r>
            <w:r>
              <w:rPr>
                <w:rFonts w:hint="eastAsia" w:eastAsia="仿宋_GB2312"/>
                <w:kern w:val="0"/>
                <w:lang w:val="en-US" w:eastAsia="zh-CN"/>
              </w:rPr>
              <w:t>正常值约为1g/L。经纳滤膜过滤后的低硝水再掺入其它卤水中，达到调节降低SO</w:t>
            </w:r>
            <w:r>
              <w:rPr>
                <w:rFonts w:hint="eastAsia" w:eastAsia="仿宋_GB2312"/>
                <w:kern w:val="0"/>
                <w:vertAlign w:val="subscript"/>
                <w:lang w:val="en-US" w:eastAsia="zh-CN"/>
              </w:rPr>
              <w:t>4</w:t>
            </w:r>
            <w:r>
              <w:rPr>
                <w:rFonts w:hint="eastAsia" w:eastAsia="仿宋_GB2312"/>
                <w:kern w:val="0"/>
                <w:vertAlign w:val="superscript"/>
                <w:lang w:val="en-US" w:eastAsia="zh-CN"/>
              </w:rPr>
              <w:t>2 -</w:t>
            </w:r>
            <w:r>
              <w:rPr>
                <w:rFonts w:hint="eastAsia" w:eastAsia="仿宋_GB2312"/>
                <w:kern w:val="0"/>
                <w:lang w:val="en-US" w:eastAsia="zh-CN"/>
              </w:rPr>
              <w:t>含量的目的，高硝卤水既能回用到卤水净化“石灰-烟道气法”工艺系统中，</w:t>
            </w:r>
            <w:r>
              <w:rPr>
                <w:rFonts w:hint="eastAsia" w:ascii="Times New Roman" w:hAnsi="Times New Roman" w:eastAsia="仿宋_GB2312" w:cs="Times New Roman"/>
                <w:kern w:val="0"/>
                <w:lang w:val="en-US" w:eastAsia="zh-CN"/>
              </w:rPr>
              <w:t>提高该工艺的经济性，又能直接进行“冷冻提硝”或“制盐提硝”。</w:t>
            </w:r>
          </w:p>
          <w:p w14:paraId="4AD87FA9">
            <w:pPr>
              <w:adjustRightInd w:val="0"/>
              <w:snapToGrid w:val="0"/>
              <w:spacing w:line="360" w:lineRule="auto"/>
              <w:ind w:firstLine="420" w:firstLineChars="200"/>
              <w:rPr>
                <w:rFonts w:hint="default" w:ascii="Times New Roman" w:hAnsi="Times New Roman" w:eastAsia="仿宋_GB2312" w:cs="Times New Roman"/>
                <w:kern w:val="0"/>
                <w:lang w:val="en-US" w:eastAsia="zh-CN"/>
              </w:rPr>
            </w:pPr>
            <w:r>
              <w:rPr>
                <w:rFonts w:hint="eastAsia" w:ascii="Times New Roman" w:hAnsi="Times New Roman" w:eastAsia="仿宋_GB2312" w:cs="Times New Roman"/>
                <w:kern w:val="0"/>
                <w:lang w:val="en-US" w:eastAsia="zh-CN"/>
              </w:rPr>
              <w:t>“连续式”生产模式可完全消除“间歇式”生产模式的缺陷，同时可大幅提高工业自动化。为去除卤水中钙镁离子及固体杂质，为制盐提供高质量卤水，公司采用“连续双膜法”工艺对卤水净化工艺进行提升改造。</w:t>
            </w:r>
          </w:p>
          <w:p w14:paraId="542DCCC3">
            <w:pPr>
              <w:adjustRightInd w:val="0"/>
              <w:snapToGrid w:val="0"/>
              <w:spacing w:line="360" w:lineRule="auto"/>
              <w:ind w:firstLine="420" w:firstLineChars="200"/>
              <w:rPr>
                <w:rFonts w:eastAsia="仿宋_GB2312"/>
                <w:kern w:val="0"/>
              </w:rPr>
            </w:pPr>
            <w:r>
              <w:rPr>
                <w:rFonts w:eastAsia="仿宋_GB2312"/>
                <w:kern w:val="0"/>
              </w:rPr>
              <w:t>企业拟建设食品工厂改造（一期）项目，新建钢结构厂房3240平方米和新建5条地埋输卤输水管线1063米，新增离心机、增稠器、干燥床、纳滤膜、陶瓷膜、环保应急罐、料仓、自动包装机、除湿降温机组、除尘设备、自动上袋设备、混合机、金属检测机等配套设备，对卤水净化、集控、包装等生产场所按照食品级工厂改造，食品工厂改造完成后具备达到年生产100万吨食用盐的场所条件，项目总投资约7500万元。</w:t>
            </w:r>
          </w:p>
          <w:p w14:paraId="2D8CE6A7">
            <w:pPr>
              <w:adjustRightInd w:val="0"/>
              <w:snapToGrid w:val="0"/>
              <w:spacing w:line="360" w:lineRule="auto"/>
              <w:ind w:firstLine="413" w:firstLineChars="196"/>
              <w:rPr>
                <w:rFonts w:eastAsia="仿宋_GB2312"/>
                <w:b/>
                <w:kern w:val="0"/>
              </w:rPr>
            </w:pPr>
            <w:r>
              <w:rPr>
                <w:rFonts w:eastAsia="仿宋_GB2312"/>
                <w:b/>
                <w:kern w:val="0"/>
              </w:rPr>
              <w:t>二、项目概况</w:t>
            </w:r>
          </w:p>
          <w:p w14:paraId="1D1C63F8">
            <w:pPr>
              <w:adjustRightInd w:val="0"/>
              <w:snapToGrid w:val="0"/>
              <w:spacing w:line="360" w:lineRule="auto"/>
              <w:ind w:firstLine="420" w:firstLineChars="200"/>
              <w:rPr>
                <w:rFonts w:eastAsia="仿宋_GB2312"/>
                <w:kern w:val="0"/>
              </w:rPr>
            </w:pPr>
            <w:r>
              <w:rPr>
                <w:rFonts w:eastAsia="仿宋_GB2312"/>
                <w:kern w:val="0"/>
              </w:rPr>
              <w:t>项目名称：食品工厂改造（一期）项目；</w:t>
            </w:r>
          </w:p>
          <w:p w14:paraId="21B36E0A">
            <w:pPr>
              <w:adjustRightInd w:val="0"/>
              <w:snapToGrid w:val="0"/>
              <w:spacing w:line="360" w:lineRule="auto"/>
              <w:ind w:firstLine="420" w:firstLineChars="200"/>
              <w:rPr>
                <w:rFonts w:eastAsia="仿宋_GB2312"/>
                <w:kern w:val="0"/>
              </w:rPr>
            </w:pPr>
            <w:r>
              <w:rPr>
                <w:rFonts w:eastAsia="仿宋_GB2312"/>
                <w:kern w:val="0"/>
              </w:rPr>
              <w:t>单位名称：中盐金坛盐化有限责任公司；</w:t>
            </w:r>
          </w:p>
          <w:p w14:paraId="1B99E3B6">
            <w:pPr>
              <w:adjustRightInd w:val="0"/>
              <w:snapToGrid w:val="0"/>
              <w:spacing w:line="360" w:lineRule="auto"/>
              <w:ind w:firstLine="420" w:firstLineChars="200"/>
              <w:rPr>
                <w:rFonts w:eastAsia="仿宋_GB2312"/>
                <w:kern w:val="0"/>
              </w:rPr>
            </w:pPr>
            <w:r>
              <w:rPr>
                <w:rFonts w:eastAsia="仿宋_GB2312"/>
                <w:kern w:val="0"/>
              </w:rPr>
              <w:t>项目地址：常州</w:t>
            </w:r>
            <w:r>
              <w:rPr>
                <w:rFonts w:hint="eastAsia" w:eastAsia="仿宋_GB2312"/>
                <w:kern w:val="0"/>
                <w:lang w:val="en-US" w:eastAsia="zh-CN"/>
              </w:rPr>
              <w:t>市</w:t>
            </w:r>
            <w:r>
              <w:rPr>
                <w:rFonts w:eastAsia="仿宋_GB2312"/>
                <w:kern w:val="0"/>
              </w:rPr>
              <w:t>金坛区经济开发区盐厂路1号；</w:t>
            </w:r>
          </w:p>
          <w:p w14:paraId="5F43BC10">
            <w:pPr>
              <w:adjustRightInd w:val="0"/>
              <w:snapToGrid w:val="0"/>
              <w:spacing w:line="360" w:lineRule="auto"/>
              <w:ind w:firstLine="420" w:firstLineChars="200"/>
              <w:rPr>
                <w:rFonts w:eastAsia="仿宋_GB2312"/>
                <w:kern w:val="0"/>
              </w:rPr>
            </w:pPr>
            <w:r>
              <w:rPr>
                <w:rFonts w:eastAsia="仿宋_GB2312"/>
                <w:kern w:val="0"/>
              </w:rPr>
              <w:t>建设内容及规模：新建钢结构厂房3240平方米和新建5条地埋输卤输水管线1063米，新增离心机、增稠器、干燥床、纳滤膜、陶瓷膜、环保应急罐、料仓、自动包装机、除湿降温机组、除尘设备、自动上袋设备、混合机、金属检测机等配套设备，对卤水净化、集控、包装等生产场所按照食品级工厂改造，食品工厂改造完成后具备达到年生产100万吨食用盐的场所条件；</w:t>
            </w:r>
          </w:p>
          <w:p w14:paraId="59A0D4D2">
            <w:pPr>
              <w:adjustRightInd w:val="0"/>
              <w:snapToGrid w:val="0"/>
              <w:spacing w:line="360" w:lineRule="auto"/>
              <w:ind w:firstLine="420" w:firstLineChars="200"/>
              <w:rPr>
                <w:rFonts w:eastAsia="仿宋_GB2312"/>
                <w:kern w:val="0"/>
              </w:rPr>
            </w:pPr>
            <w:r>
              <w:rPr>
                <w:rFonts w:eastAsia="仿宋_GB2312"/>
                <w:kern w:val="0"/>
              </w:rPr>
              <w:t>建设性质：改建；</w:t>
            </w:r>
          </w:p>
          <w:p w14:paraId="4217C4B7">
            <w:pPr>
              <w:adjustRightInd w:val="0"/>
              <w:snapToGrid w:val="0"/>
              <w:spacing w:line="360" w:lineRule="auto"/>
              <w:ind w:firstLine="420" w:firstLineChars="200"/>
              <w:rPr>
                <w:rFonts w:eastAsia="仿宋_GB2312"/>
                <w:color w:val="000000"/>
                <w:kern w:val="0"/>
              </w:rPr>
            </w:pPr>
            <w:r>
              <w:rPr>
                <w:rFonts w:eastAsia="仿宋_GB2312"/>
                <w:kern w:val="0"/>
              </w:rPr>
              <w:t>占地面积</w:t>
            </w:r>
            <w:r>
              <w:rPr>
                <w:rFonts w:eastAsia="仿宋_GB2312"/>
                <w:color w:val="000000"/>
                <w:kern w:val="0"/>
              </w:rPr>
              <w:t>：3240m</w:t>
            </w:r>
            <w:r>
              <w:rPr>
                <w:rFonts w:eastAsia="仿宋_GB2312"/>
                <w:color w:val="000000"/>
                <w:kern w:val="0"/>
                <w:vertAlign w:val="superscript"/>
              </w:rPr>
              <w:t>2</w:t>
            </w:r>
            <w:r>
              <w:rPr>
                <w:rFonts w:eastAsia="仿宋_GB2312"/>
                <w:color w:val="000000"/>
                <w:kern w:val="0"/>
              </w:rPr>
              <w:t>；</w:t>
            </w:r>
          </w:p>
          <w:p w14:paraId="7ED940CB">
            <w:pPr>
              <w:adjustRightInd w:val="0"/>
              <w:snapToGrid w:val="0"/>
              <w:spacing w:line="360" w:lineRule="auto"/>
              <w:ind w:firstLine="420" w:firstLineChars="200"/>
              <w:rPr>
                <w:rFonts w:eastAsia="仿宋_GB2312"/>
                <w:kern w:val="0"/>
              </w:rPr>
            </w:pPr>
            <w:r>
              <w:rPr>
                <w:rFonts w:eastAsia="仿宋_GB2312"/>
                <w:kern w:val="0"/>
              </w:rPr>
              <w:t>总投资：总投资7500万元；</w:t>
            </w:r>
          </w:p>
          <w:p w14:paraId="415C4960">
            <w:pPr>
              <w:adjustRightInd w:val="0"/>
              <w:snapToGrid w:val="0"/>
              <w:spacing w:line="360" w:lineRule="auto"/>
              <w:ind w:firstLine="420" w:firstLineChars="200"/>
              <w:rPr>
                <w:rFonts w:eastAsia="仿宋_GB2312"/>
                <w:kern w:val="0"/>
              </w:rPr>
            </w:pPr>
            <w:r>
              <w:rPr>
                <w:rFonts w:eastAsia="仿宋_GB2312"/>
                <w:kern w:val="0"/>
              </w:rPr>
              <w:t>职工人数：</w:t>
            </w:r>
            <w:r>
              <w:rPr>
                <w:rFonts w:hint="eastAsia" w:eastAsia="仿宋_GB2312"/>
                <w:kern w:val="0"/>
                <w:lang w:val="en-US" w:eastAsia="zh-CN"/>
              </w:rPr>
              <w:t>公司现有员工500人，本项目</w:t>
            </w:r>
            <w:r>
              <w:rPr>
                <w:rFonts w:eastAsia="仿宋_GB2312"/>
                <w:kern w:val="0"/>
              </w:rPr>
              <w:t>依托现有</w:t>
            </w:r>
            <w:r>
              <w:rPr>
                <w:rFonts w:hint="eastAsia" w:eastAsia="仿宋_GB2312"/>
                <w:kern w:val="0"/>
                <w:lang w:val="en-US" w:eastAsia="zh-CN"/>
              </w:rPr>
              <w:t>员工</w:t>
            </w:r>
            <w:r>
              <w:rPr>
                <w:rFonts w:eastAsia="仿宋_GB2312"/>
                <w:kern w:val="0"/>
              </w:rPr>
              <w:t>不新增；</w:t>
            </w:r>
          </w:p>
          <w:p w14:paraId="4489B7FD">
            <w:pPr>
              <w:adjustRightInd w:val="0"/>
              <w:snapToGrid w:val="0"/>
              <w:spacing w:line="360" w:lineRule="auto"/>
              <w:ind w:firstLine="420" w:firstLineChars="200"/>
              <w:rPr>
                <w:rFonts w:eastAsia="仿宋_GB2312"/>
                <w:kern w:val="0"/>
              </w:rPr>
            </w:pPr>
            <w:r>
              <w:rPr>
                <w:rFonts w:eastAsia="仿宋_GB2312"/>
                <w:kern w:val="0"/>
              </w:rPr>
              <w:t>生产制度：实行三班制工作制，每班工作8小时，年工作340天，年工作时数8160小时；</w:t>
            </w:r>
          </w:p>
          <w:p w14:paraId="2FE3DA02">
            <w:pPr>
              <w:adjustRightInd w:val="0"/>
              <w:snapToGrid w:val="0"/>
              <w:spacing w:line="360" w:lineRule="auto"/>
              <w:ind w:firstLine="411" w:firstLineChars="196"/>
              <w:rPr>
                <w:rFonts w:eastAsia="仿宋_GB2312"/>
                <w:kern w:val="0"/>
              </w:rPr>
            </w:pPr>
            <w:r>
              <w:rPr>
                <w:rFonts w:eastAsia="仿宋_GB2312"/>
                <w:kern w:val="0"/>
              </w:rPr>
              <w:t>建设进度及计划：经现场勘查，本项目尚未进行建设，</w:t>
            </w:r>
            <w:r>
              <w:rPr>
                <w:rFonts w:eastAsia="仿宋_GB2312"/>
                <w:color w:val="000000"/>
                <w:kern w:val="0"/>
              </w:rPr>
              <w:t>预计2025年</w:t>
            </w:r>
            <w:r>
              <w:rPr>
                <w:rFonts w:hint="eastAsia" w:eastAsia="仿宋_GB2312"/>
                <w:color w:val="000000"/>
                <w:kern w:val="0"/>
                <w:lang w:val="en-US" w:eastAsia="zh-CN"/>
              </w:rPr>
              <w:t>3</w:t>
            </w:r>
            <w:r>
              <w:rPr>
                <w:rFonts w:eastAsia="仿宋_GB2312"/>
                <w:color w:val="000000"/>
                <w:kern w:val="0"/>
              </w:rPr>
              <w:t>月动工建设，2026年</w:t>
            </w:r>
            <w:r>
              <w:rPr>
                <w:rFonts w:hint="eastAsia" w:eastAsia="仿宋_GB2312"/>
                <w:color w:val="000000"/>
                <w:kern w:val="0"/>
                <w:lang w:val="en-US" w:eastAsia="zh-CN"/>
              </w:rPr>
              <w:t>7</w:t>
            </w:r>
            <w:r>
              <w:rPr>
                <w:rFonts w:eastAsia="仿宋_GB2312"/>
                <w:color w:val="000000"/>
                <w:kern w:val="0"/>
              </w:rPr>
              <w:t>月调试生产，本项目一次性建设完成，</w:t>
            </w:r>
            <w:r>
              <w:rPr>
                <w:rFonts w:eastAsia="仿宋_GB2312"/>
                <w:kern w:val="0"/>
              </w:rPr>
              <w:t>不分批建设。</w:t>
            </w:r>
          </w:p>
          <w:p w14:paraId="425D278D">
            <w:pPr>
              <w:adjustRightInd w:val="0"/>
              <w:snapToGrid w:val="0"/>
              <w:spacing w:line="360" w:lineRule="auto"/>
              <w:ind w:firstLine="413" w:firstLineChars="196"/>
              <w:rPr>
                <w:rFonts w:eastAsia="仿宋_GB2312"/>
                <w:b/>
                <w:kern w:val="0"/>
              </w:rPr>
            </w:pPr>
            <w:r>
              <w:rPr>
                <w:rFonts w:eastAsia="仿宋_GB2312"/>
                <w:b/>
                <w:kern w:val="0"/>
              </w:rPr>
              <w:t>三、主体工程及产品方案</w:t>
            </w:r>
          </w:p>
          <w:p w14:paraId="65D3BECB">
            <w:pPr>
              <w:adjustRightInd w:val="0"/>
              <w:snapToGrid w:val="0"/>
              <w:spacing w:line="360" w:lineRule="auto"/>
              <w:ind w:firstLine="411" w:firstLineChars="196"/>
              <w:rPr>
                <w:rFonts w:eastAsia="仿宋_GB2312"/>
                <w:kern w:val="0"/>
              </w:rPr>
            </w:pPr>
            <w:r>
              <w:rPr>
                <w:rFonts w:hint="eastAsia" w:eastAsia="仿宋_GB2312"/>
                <w:kern w:val="0"/>
              </w:rPr>
              <w:t>本次技改只提升改造部分工艺路线，不改变现有产品种类及产能。</w:t>
            </w:r>
          </w:p>
          <w:p w14:paraId="21C63737">
            <w:pPr>
              <w:adjustRightInd w:val="0"/>
              <w:snapToGrid w:val="0"/>
              <w:jc w:val="center"/>
              <w:rPr>
                <w:rFonts w:eastAsia="仿宋_GB2312"/>
                <w:b/>
                <w:color w:val="000000"/>
                <w:kern w:val="0"/>
              </w:rPr>
            </w:pPr>
            <w:r>
              <w:rPr>
                <w:rFonts w:eastAsia="仿宋_GB2312"/>
                <w:b/>
                <w:color w:val="000000"/>
                <w:kern w:val="0"/>
              </w:rPr>
              <w:t>表2-1</w:t>
            </w:r>
            <w:r>
              <w:rPr>
                <w:rFonts w:hint="eastAsia" w:eastAsia="仿宋_GB2312"/>
                <w:b/>
                <w:color w:val="000000"/>
                <w:kern w:val="0"/>
                <w:lang w:val="en-US" w:eastAsia="zh-CN"/>
              </w:rPr>
              <w:t xml:space="preserve">  </w:t>
            </w:r>
            <w:r>
              <w:rPr>
                <w:rFonts w:eastAsia="仿宋_GB2312"/>
                <w:b/>
                <w:color w:val="000000"/>
                <w:kern w:val="0"/>
              </w:rPr>
              <w:t>全厂产品方案一览表</w:t>
            </w:r>
          </w:p>
          <w:tbl>
            <w:tblPr>
              <w:tblStyle w:val="31"/>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00"/>
              <w:gridCol w:w="1856"/>
              <w:gridCol w:w="1339"/>
              <w:gridCol w:w="1383"/>
              <w:gridCol w:w="911"/>
              <w:gridCol w:w="1244"/>
              <w:gridCol w:w="954"/>
            </w:tblGrid>
            <w:tr w14:paraId="67CBA67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jc w:val="center"/>
              </w:trPr>
              <w:tc>
                <w:tcPr>
                  <w:tcW w:w="417" w:type="pct"/>
                  <w:vMerge w:val="restart"/>
                  <w:vAlign w:val="center"/>
                </w:tcPr>
                <w:p w14:paraId="67EA22D8">
                  <w:pPr>
                    <w:adjustRightInd w:val="0"/>
                    <w:snapToGrid w:val="0"/>
                    <w:jc w:val="center"/>
                    <w:rPr>
                      <w:rFonts w:eastAsia="仿宋_GB2312"/>
                      <w:b/>
                      <w:bCs/>
                      <w:color w:val="000000"/>
                      <w:sz w:val="21"/>
                      <w:szCs w:val="21"/>
                    </w:rPr>
                  </w:pPr>
                  <w:r>
                    <w:rPr>
                      <w:rFonts w:eastAsia="仿宋_GB2312"/>
                      <w:b/>
                      <w:bCs/>
                      <w:color w:val="000000"/>
                      <w:sz w:val="21"/>
                      <w:szCs w:val="21"/>
                    </w:rPr>
                    <w:t>序号</w:t>
                  </w:r>
                </w:p>
              </w:tc>
              <w:tc>
                <w:tcPr>
                  <w:tcW w:w="1106" w:type="pct"/>
                  <w:vMerge w:val="restart"/>
                  <w:vAlign w:val="center"/>
                </w:tcPr>
                <w:p w14:paraId="117AB3BF">
                  <w:pPr>
                    <w:adjustRightInd w:val="0"/>
                    <w:snapToGrid w:val="0"/>
                    <w:jc w:val="center"/>
                    <w:rPr>
                      <w:rFonts w:eastAsia="仿宋_GB2312"/>
                      <w:b/>
                      <w:bCs/>
                      <w:color w:val="000000"/>
                      <w:sz w:val="21"/>
                      <w:szCs w:val="21"/>
                    </w:rPr>
                  </w:pPr>
                  <w:r>
                    <w:rPr>
                      <w:rFonts w:eastAsia="仿宋_GB2312"/>
                      <w:b/>
                      <w:bCs/>
                      <w:color w:val="000000"/>
                      <w:sz w:val="21"/>
                      <w:szCs w:val="21"/>
                    </w:rPr>
                    <w:t>工程名称(车间、生产装置或生产线)</w:t>
                  </w:r>
                </w:p>
              </w:tc>
              <w:tc>
                <w:tcPr>
                  <w:tcW w:w="798" w:type="pct"/>
                  <w:vMerge w:val="restart"/>
                  <w:vAlign w:val="center"/>
                </w:tcPr>
                <w:p w14:paraId="3A34D66D">
                  <w:pPr>
                    <w:adjustRightInd w:val="0"/>
                    <w:snapToGrid w:val="0"/>
                    <w:jc w:val="center"/>
                    <w:rPr>
                      <w:rFonts w:eastAsia="仿宋_GB2312"/>
                      <w:b/>
                      <w:bCs/>
                      <w:color w:val="000000"/>
                      <w:sz w:val="21"/>
                      <w:szCs w:val="21"/>
                    </w:rPr>
                  </w:pPr>
                  <w:r>
                    <w:rPr>
                      <w:rFonts w:eastAsia="仿宋_GB2312"/>
                      <w:b/>
                      <w:bCs/>
                      <w:color w:val="000000"/>
                      <w:sz w:val="21"/>
                      <w:szCs w:val="21"/>
                    </w:rPr>
                    <w:t>产品名称</w:t>
                  </w:r>
                </w:p>
              </w:tc>
              <w:tc>
                <w:tcPr>
                  <w:tcW w:w="2108" w:type="pct"/>
                  <w:gridSpan w:val="3"/>
                  <w:vAlign w:val="center"/>
                </w:tcPr>
                <w:p w14:paraId="446A0CE6">
                  <w:pPr>
                    <w:adjustRightInd w:val="0"/>
                    <w:snapToGrid w:val="0"/>
                    <w:jc w:val="center"/>
                    <w:rPr>
                      <w:rFonts w:eastAsia="仿宋_GB2312"/>
                      <w:b/>
                      <w:bCs/>
                      <w:color w:val="000000"/>
                      <w:sz w:val="21"/>
                      <w:szCs w:val="21"/>
                    </w:rPr>
                  </w:pPr>
                  <w:r>
                    <w:rPr>
                      <w:rFonts w:eastAsia="仿宋_GB2312"/>
                      <w:b/>
                      <w:bCs/>
                      <w:color w:val="000000"/>
                      <w:sz w:val="21"/>
                      <w:szCs w:val="21"/>
                    </w:rPr>
                    <w:t>产能</w:t>
                  </w:r>
                </w:p>
              </w:tc>
              <w:tc>
                <w:tcPr>
                  <w:tcW w:w="568" w:type="pct"/>
                  <w:vMerge w:val="restart"/>
                  <w:vAlign w:val="center"/>
                </w:tcPr>
                <w:p w14:paraId="61DDD6F9">
                  <w:pPr>
                    <w:adjustRightInd w:val="0"/>
                    <w:snapToGrid w:val="0"/>
                    <w:jc w:val="center"/>
                    <w:rPr>
                      <w:rFonts w:eastAsia="仿宋_GB2312"/>
                      <w:b/>
                      <w:bCs/>
                      <w:color w:val="000000"/>
                      <w:sz w:val="21"/>
                      <w:szCs w:val="21"/>
                    </w:rPr>
                  </w:pPr>
                  <w:r>
                    <w:rPr>
                      <w:rFonts w:eastAsia="仿宋_GB2312"/>
                      <w:b/>
                      <w:bCs/>
                      <w:color w:val="000000"/>
                      <w:sz w:val="21"/>
                      <w:szCs w:val="21"/>
                    </w:rPr>
                    <w:t>年运行时数h/a</w:t>
                  </w:r>
                </w:p>
              </w:tc>
            </w:tr>
            <w:tr w14:paraId="098F516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17" w:type="pct"/>
                  <w:vMerge w:val="continue"/>
                  <w:vAlign w:val="center"/>
                </w:tcPr>
                <w:p w14:paraId="11A6EE65">
                  <w:pPr>
                    <w:adjustRightInd w:val="0"/>
                    <w:snapToGrid w:val="0"/>
                    <w:jc w:val="center"/>
                    <w:rPr>
                      <w:rFonts w:eastAsia="仿宋_GB2312"/>
                      <w:color w:val="000000"/>
                      <w:sz w:val="21"/>
                      <w:szCs w:val="21"/>
                    </w:rPr>
                  </w:pPr>
                </w:p>
              </w:tc>
              <w:tc>
                <w:tcPr>
                  <w:tcW w:w="1106" w:type="pct"/>
                  <w:vMerge w:val="continue"/>
                  <w:vAlign w:val="center"/>
                </w:tcPr>
                <w:p w14:paraId="33853991">
                  <w:pPr>
                    <w:adjustRightInd w:val="0"/>
                    <w:snapToGrid w:val="0"/>
                    <w:jc w:val="center"/>
                    <w:rPr>
                      <w:rFonts w:eastAsia="仿宋_GB2312"/>
                      <w:color w:val="000000"/>
                      <w:sz w:val="21"/>
                      <w:szCs w:val="21"/>
                    </w:rPr>
                  </w:pPr>
                </w:p>
              </w:tc>
              <w:tc>
                <w:tcPr>
                  <w:tcW w:w="798" w:type="pct"/>
                  <w:vMerge w:val="continue"/>
                  <w:vAlign w:val="center"/>
                </w:tcPr>
                <w:p w14:paraId="74596F20">
                  <w:pPr>
                    <w:adjustRightInd w:val="0"/>
                    <w:snapToGrid w:val="0"/>
                    <w:jc w:val="center"/>
                    <w:rPr>
                      <w:rFonts w:eastAsia="仿宋_GB2312"/>
                      <w:color w:val="000000"/>
                      <w:sz w:val="21"/>
                      <w:szCs w:val="21"/>
                    </w:rPr>
                  </w:pPr>
                </w:p>
              </w:tc>
              <w:tc>
                <w:tcPr>
                  <w:tcW w:w="824" w:type="pct"/>
                  <w:vAlign w:val="center"/>
                </w:tcPr>
                <w:p w14:paraId="2C16E2EC">
                  <w:pPr>
                    <w:adjustRightInd w:val="0"/>
                    <w:snapToGrid w:val="0"/>
                    <w:jc w:val="center"/>
                    <w:rPr>
                      <w:rFonts w:eastAsia="仿宋_GB2312"/>
                      <w:color w:val="000000"/>
                      <w:sz w:val="21"/>
                      <w:szCs w:val="21"/>
                    </w:rPr>
                  </w:pPr>
                  <w:r>
                    <w:rPr>
                      <w:rFonts w:eastAsia="仿宋_GB2312"/>
                      <w:color w:val="000000"/>
                      <w:sz w:val="21"/>
                      <w:szCs w:val="21"/>
                    </w:rPr>
                    <w:t>现有项目</w:t>
                  </w:r>
                </w:p>
              </w:tc>
              <w:tc>
                <w:tcPr>
                  <w:tcW w:w="543" w:type="pct"/>
                  <w:vAlign w:val="center"/>
                </w:tcPr>
                <w:p w14:paraId="736CA271">
                  <w:pPr>
                    <w:adjustRightInd w:val="0"/>
                    <w:snapToGrid w:val="0"/>
                    <w:jc w:val="center"/>
                    <w:rPr>
                      <w:rFonts w:eastAsia="仿宋_GB2312"/>
                      <w:color w:val="000000"/>
                      <w:sz w:val="21"/>
                      <w:szCs w:val="21"/>
                    </w:rPr>
                  </w:pPr>
                  <w:r>
                    <w:rPr>
                      <w:rFonts w:eastAsia="仿宋_GB2312"/>
                      <w:color w:val="000000"/>
                      <w:sz w:val="21"/>
                      <w:szCs w:val="21"/>
                    </w:rPr>
                    <w:t>本项目</w:t>
                  </w:r>
                </w:p>
              </w:tc>
              <w:tc>
                <w:tcPr>
                  <w:tcW w:w="741" w:type="pct"/>
                  <w:vAlign w:val="center"/>
                </w:tcPr>
                <w:p w14:paraId="0521D7A0">
                  <w:pPr>
                    <w:adjustRightInd w:val="0"/>
                    <w:snapToGrid w:val="0"/>
                    <w:jc w:val="center"/>
                    <w:rPr>
                      <w:rFonts w:eastAsia="仿宋_GB2312"/>
                      <w:color w:val="000000"/>
                      <w:sz w:val="21"/>
                      <w:szCs w:val="21"/>
                    </w:rPr>
                  </w:pPr>
                  <w:r>
                    <w:rPr>
                      <w:rFonts w:eastAsia="仿宋_GB2312"/>
                      <w:color w:val="000000"/>
                      <w:sz w:val="21"/>
                      <w:szCs w:val="21"/>
                    </w:rPr>
                    <w:t>全厂</w:t>
                  </w:r>
                </w:p>
              </w:tc>
              <w:tc>
                <w:tcPr>
                  <w:tcW w:w="568" w:type="pct"/>
                  <w:vMerge w:val="continue"/>
                  <w:vAlign w:val="center"/>
                </w:tcPr>
                <w:p w14:paraId="4FA2F1DD">
                  <w:pPr>
                    <w:adjustRightInd w:val="0"/>
                    <w:snapToGrid w:val="0"/>
                    <w:jc w:val="center"/>
                    <w:rPr>
                      <w:rFonts w:eastAsia="仿宋_GB2312"/>
                      <w:color w:val="000000"/>
                      <w:sz w:val="21"/>
                      <w:szCs w:val="21"/>
                    </w:rPr>
                  </w:pPr>
                </w:p>
              </w:tc>
            </w:tr>
            <w:tr w14:paraId="57FEFD0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17" w:type="pct"/>
                  <w:vAlign w:val="center"/>
                </w:tcPr>
                <w:p w14:paraId="365F5D4B">
                  <w:pPr>
                    <w:adjustRightInd w:val="0"/>
                    <w:snapToGrid w:val="0"/>
                    <w:jc w:val="center"/>
                    <w:rPr>
                      <w:rFonts w:eastAsia="仿宋_GB2312"/>
                      <w:color w:val="000000"/>
                      <w:sz w:val="21"/>
                      <w:szCs w:val="21"/>
                    </w:rPr>
                  </w:pPr>
                  <w:r>
                    <w:rPr>
                      <w:rFonts w:eastAsia="仿宋_GB2312"/>
                      <w:color w:val="000000"/>
                      <w:sz w:val="21"/>
                      <w:szCs w:val="21"/>
                    </w:rPr>
                    <w:t>1</w:t>
                  </w:r>
                </w:p>
              </w:tc>
              <w:tc>
                <w:tcPr>
                  <w:tcW w:w="1106" w:type="pct"/>
                  <w:vMerge w:val="restart"/>
                  <w:vAlign w:val="center"/>
                </w:tcPr>
                <w:p w14:paraId="1EF68EBA">
                  <w:pPr>
                    <w:adjustRightInd w:val="0"/>
                    <w:snapToGrid w:val="0"/>
                    <w:jc w:val="center"/>
                    <w:rPr>
                      <w:rFonts w:eastAsia="仿宋_GB2312"/>
                      <w:color w:val="000000"/>
                      <w:kern w:val="0"/>
                      <w:sz w:val="21"/>
                      <w:szCs w:val="21"/>
                    </w:rPr>
                  </w:pPr>
                  <w:r>
                    <w:rPr>
                      <w:rFonts w:eastAsia="仿宋_GB2312"/>
                      <w:color w:val="000000"/>
                      <w:kern w:val="0"/>
                      <w:sz w:val="21"/>
                      <w:szCs w:val="21"/>
                    </w:rPr>
                    <w:t>精制盐生产线</w:t>
                  </w:r>
                </w:p>
              </w:tc>
              <w:tc>
                <w:tcPr>
                  <w:tcW w:w="798" w:type="pct"/>
                  <w:vAlign w:val="center"/>
                </w:tcPr>
                <w:p w14:paraId="2A81E64B">
                  <w:pPr>
                    <w:adjustRightInd w:val="0"/>
                    <w:snapToGrid w:val="0"/>
                    <w:jc w:val="center"/>
                    <w:rPr>
                      <w:rFonts w:eastAsia="仿宋_GB2312"/>
                      <w:color w:val="000000"/>
                      <w:kern w:val="0"/>
                      <w:sz w:val="21"/>
                      <w:szCs w:val="21"/>
                    </w:rPr>
                  </w:pPr>
                  <w:r>
                    <w:rPr>
                      <w:rFonts w:eastAsia="仿宋_GB2312"/>
                      <w:snapToGrid w:val="0"/>
                      <w:color w:val="000000"/>
                      <w:sz w:val="21"/>
                      <w:szCs w:val="21"/>
                    </w:rPr>
                    <w:t>精制盐</w:t>
                  </w:r>
                </w:p>
              </w:tc>
              <w:tc>
                <w:tcPr>
                  <w:tcW w:w="824" w:type="pct"/>
                  <w:vAlign w:val="center"/>
                </w:tcPr>
                <w:p w14:paraId="0E9EA6FA">
                  <w:pPr>
                    <w:adjustRightInd w:val="0"/>
                    <w:snapToGrid w:val="0"/>
                    <w:jc w:val="center"/>
                    <w:rPr>
                      <w:rFonts w:eastAsia="仿宋_GB2312"/>
                      <w:color w:val="000000"/>
                      <w:kern w:val="0"/>
                      <w:sz w:val="21"/>
                      <w:szCs w:val="21"/>
                    </w:rPr>
                  </w:pPr>
                  <w:r>
                    <w:rPr>
                      <w:rFonts w:eastAsia="仿宋_GB2312"/>
                      <w:color w:val="000000"/>
                      <w:kern w:val="0"/>
                      <w:sz w:val="21"/>
                      <w:szCs w:val="21"/>
                    </w:rPr>
                    <w:t>160万t/a</w:t>
                  </w:r>
                </w:p>
              </w:tc>
              <w:tc>
                <w:tcPr>
                  <w:tcW w:w="543" w:type="pct"/>
                  <w:vAlign w:val="center"/>
                </w:tcPr>
                <w:p w14:paraId="03002123">
                  <w:pPr>
                    <w:widowControl/>
                    <w:adjustRightInd w:val="0"/>
                    <w:snapToGrid w:val="0"/>
                    <w:jc w:val="center"/>
                    <w:textAlignment w:val="center"/>
                    <w:rPr>
                      <w:rFonts w:eastAsia="仿宋_GB2312"/>
                      <w:color w:val="000000"/>
                      <w:kern w:val="0"/>
                      <w:sz w:val="21"/>
                      <w:szCs w:val="21"/>
                    </w:rPr>
                  </w:pPr>
                  <w:r>
                    <w:rPr>
                      <w:rFonts w:eastAsia="仿宋_GB2312"/>
                      <w:color w:val="000000"/>
                      <w:kern w:val="0"/>
                      <w:sz w:val="21"/>
                      <w:szCs w:val="21"/>
                    </w:rPr>
                    <w:t>0</w:t>
                  </w:r>
                </w:p>
              </w:tc>
              <w:tc>
                <w:tcPr>
                  <w:tcW w:w="741" w:type="pct"/>
                  <w:vAlign w:val="center"/>
                </w:tcPr>
                <w:p w14:paraId="2EEC8A6D">
                  <w:pPr>
                    <w:adjustRightInd w:val="0"/>
                    <w:snapToGrid w:val="0"/>
                    <w:jc w:val="center"/>
                    <w:rPr>
                      <w:rFonts w:eastAsia="仿宋_GB2312"/>
                      <w:color w:val="000000"/>
                      <w:kern w:val="0"/>
                      <w:sz w:val="21"/>
                      <w:szCs w:val="21"/>
                    </w:rPr>
                  </w:pPr>
                  <w:r>
                    <w:rPr>
                      <w:rFonts w:eastAsia="仿宋_GB2312"/>
                      <w:color w:val="000000"/>
                      <w:kern w:val="0"/>
                      <w:sz w:val="21"/>
                      <w:szCs w:val="21"/>
                    </w:rPr>
                    <w:t>160万t/a</w:t>
                  </w:r>
                </w:p>
              </w:tc>
              <w:tc>
                <w:tcPr>
                  <w:tcW w:w="568" w:type="pct"/>
                  <w:vMerge w:val="restart"/>
                  <w:vAlign w:val="center"/>
                </w:tcPr>
                <w:p w14:paraId="2FB0DCD2">
                  <w:pPr>
                    <w:adjustRightInd w:val="0"/>
                    <w:snapToGrid w:val="0"/>
                    <w:jc w:val="center"/>
                    <w:rPr>
                      <w:rFonts w:hint="default" w:eastAsia="仿宋_GB2312"/>
                      <w:color w:val="000000"/>
                      <w:sz w:val="21"/>
                      <w:szCs w:val="21"/>
                      <w:lang w:val="en-US" w:eastAsia="zh-CN"/>
                    </w:rPr>
                  </w:pPr>
                  <w:r>
                    <w:rPr>
                      <w:rFonts w:hint="eastAsia" w:eastAsia="仿宋_GB2312"/>
                      <w:color w:val="000000"/>
                      <w:sz w:val="21"/>
                      <w:szCs w:val="21"/>
                      <w:lang w:val="en-US" w:eastAsia="zh-CN"/>
                    </w:rPr>
                    <w:t>8160</w:t>
                  </w:r>
                </w:p>
              </w:tc>
            </w:tr>
            <w:tr w14:paraId="77383DD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17" w:type="pct"/>
                  <w:vAlign w:val="center"/>
                </w:tcPr>
                <w:p w14:paraId="0146CBAE">
                  <w:pPr>
                    <w:adjustRightInd w:val="0"/>
                    <w:snapToGrid w:val="0"/>
                    <w:jc w:val="center"/>
                    <w:rPr>
                      <w:rFonts w:eastAsia="仿宋_GB2312"/>
                      <w:color w:val="000000"/>
                      <w:sz w:val="21"/>
                      <w:szCs w:val="21"/>
                    </w:rPr>
                  </w:pPr>
                  <w:r>
                    <w:rPr>
                      <w:rFonts w:eastAsia="仿宋_GB2312"/>
                      <w:color w:val="000000"/>
                      <w:sz w:val="21"/>
                      <w:szCs w:val="21"/>
                    </w:rPr>
                    <w:t>2</w:t>
                  </w:r>
                </w:p>
              </w:tc>
              <w:tc>
                <w:tcPr>
                  <w:tcW w:w="1106" w:type="pct"/>
                  <w:vMerge w:val="continue"/>
                </w:tcPr>
                <w:p w14:paraId="331728C5">
                  <w:pPr>
                    <w:widowControl/>
                    <w:adjustRightInd w:val="0"/>
                    <w:snapToGrid w:val="0"/>
                    <w:jc w:val="center"/>
                    <w:textAlignment w:val="center"/>
                    <w:rPr>
                      <w:rFonts w:eastAsia="仿宋_GB2312"/>
                      <w:color w:val="000000"/>
                      <w:sz w:val="21"/>
                      <w:szCs w:val="21"/>
                    </w:rPr>
                  </w:pPr>
                </w:p>
              </w:tc>
              <w:tc>
                <w:tcPr>
                  <w:tcW w:w="798" w:type="pct"/>
                  <w:vAlign w:val="center"/>
                </w:tcPr>
                <w:p w14:paraId="29F35260">
                  <w:pPr>
                    <w:adjustRightInd w:val="0"/>
                    <w:snapToGrid w:val="0"/>
                    <w:jc w:val="center"/>
                    <w:rPr>
                      <w:rFonts w:eastAsia="仿宋_GB2312"/>
                      <w:color w:val="000000"/>
                      <w:kern w:val="0"/>
                      <w:sz w:val="21"/>
                      <w:szCs w:val="21"/>
                    </w:rPr>
                  </w:pPr>
                  <w:r>
                    <w:rPr>
                      <w:rFonts w:eastAsia="仿宋_GB2312"/>
                      <w:snapToGrid w:val="0"/>
                      <w:color w:val="000000"/>
                      <w:sz w:val="21"/>
                      <w:szCs w:val="21"/>
                    </w:rPr>
                    <w:t>芒硝</w:t>
                  </w:r>
                </w:p>
              </w:tc>
              <w:tc>
                <w:tcPr>
                  <w:tcW w:w="824" w:type="pct"/>
                  <w:vAlign w:val="center"/>
                </w:tcPr>
                <w:p w14:paraId="2A46E5C8">
                  <w:pPr>
                    <w:adjustRightInd w:val="0"/>
                    <w:snapToGrid w:val="0"/>
                    <w:jc w:val="center"/>
                    <w:rPr>
                      <w:rFonts w:eastAsia="仿宋_GB2312"/>
                      <w:color w:val="000000"/>
                      <w:kern w:val="0"/>
                      <w:sz w:val="21"/>
                      <w:szCs w:val="21"/>
                    </w:rPr>
                  </w:pPr>
                  <w:r>
                    <w:rPr>
                      <w:rFonts w:eastAsia="仿宋_GB2312"/>
                      <w:color w:val="000000"/>
                      <w:kern w:val="0"/>
                      <w:sz w:val="21"/>
                      <w:szCs w:val="21"/>
                    </w:rPr>
                    <w:t>8万t/a</w:t>
                  </w:r>
                </w:p>
              </w:tc>
              <w:tc>
                <w:tcPr>
                  <w:tcW w:w="543" w:type="pct"/>
                  <w:vAlign w:val="center"/>
                </w:tcPr>
                <w:p w14:paraId="65226F69">
                  <w:pPr>
                    <w:widowControl/>
                    <w:adjustRightInd w:val="0"/>
                    <w:snapToGrid w:val="0"/>
                    <w:jc w:val="center"/>
                    <w:textAlignment w:val="center"/>
                    <w:rPr>
                      <w:rFonts w:eastAsia="仿宋_GB2312"/>
                      <w:color w:val="000000"/>
                      <w:kern w:val="0"/>
                      <w:sz w:val="21"/>
                      <w:szCs w:val="21"/>
                    </w:rPr>
                  </w:pPr>
                  <w:r>
                    <w:rPr>
                      <w:rFonts w:eastAsia="仿宋_GB2312"/>
                      <w:color w:val="000000"/>
                      <w:kern w:val="0"/>
                      <w:sz w:val="21"/>
                      <w:szCs w:val="21"/>
                    </w:rPr>
                    <w:t>0</w:t>
                  </w:r>
                </w:p>
              </w:tc>
              <w:tc>
                <w:tcPr>
                  <w:tcW w:w="741" w:type="pct"/>
                  <w:vAlign w:val="center"/>
                </w:tcPr>
                <w:p w14:paraId="7695E93D">
                  <w:pPr>
                    <w:adjustRightInd w:val="0"/>
                    <w:snapToGrid w:val="0"/>
                    <w:jc w:val="center"/>
                    <w:rPr>
                      <w:rFonts w:eastAsia="仿宋_GB2312"/>
                      <w:color w:val="000000"/>
                      <w:kern w:val="0"/>
                      <w:sz w:val="21"/>
                      <w:szCs w:val="21"/>
                    </w:rPr>
                  </w:pPr>
                  <w:r>
                    <w:rPr>
                      <w:rFonts w:eastAsia="仿宋_GB2312"/>
                      <w:color w:val="000000"/>
                      <w:kern w:val="0"/>
                      <w:sz w:val="21"/>
                      <w:szCs w:val="21"/>
                    </w:rPr>
                    <w:t>8万t/a</w:t>
                  </w:r>
                </w:p>
              </w:tc>
              <w:tc>
                <w:tcPr>
                  <w:tcW w:w="568" w:type="pct"/>
                  <w:vMerge w:val="continue"/>
                </w:tcPr>
                <w:p w14:paraId="56EE0211">
                  <w:pPr>
                    <w:adjustRightInd w:val="0"/>
                    <w:snapToGrid w:val="0"/>
                    <w:jc w:val="center"/>
                    <w:rPr>
                      <w:rFonts w:eastAsia="仿宋_GB2312"/>
                      <w:color w:val="000000"/>
                      <w:sz w:val="21"/>
                      <w:szCs w:val="21"/>
                    </w:rPr>
                  </w:pPr>
                </w:p>
              </w:tc>
            </w:tr>
            <w:tr w14:paraId="7346B82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17" w:type="pct"/>
                  <w:vAlign w:val="center"/>
                </w:tcPr>
                <w:p w14:paraId="4821ACCB">
                  <w:pPr>
                    <w:adjustRightInd w:val="0"/>
                    <w:snapToGrid w:val="0"/>
                    <w:jc w:val="center"/>
                    <w:rPr>
                      <w:rFonts w:eastAsia="仿宋_GB2312"/>
                      <w:color w:val="000000"/>
                      <w:sz w:val="21"/>
                      <w:szCs w:val="21"/>
                    </w:rPr>
                  </w:pPr>
                  <w:r>
                    <w:rPr>
                      <w:rFonts w:eastAsia="仿宋_GB2312"/>
                      <w:color w:val="000000"/>
                      <w:sz w:val="21"/>
                      <w:szCs w:val="21"/>
                    </w:rPr>
                    <w:t>3</w:t>
                  </w:r>
                </w:p>
              </w:tc>
              <w:tc>
                <w:tcPr>
                  <w:tcW w:w="1106" w:type="pct"/>
                  <w:vAlign w:val="center"/>
                </w:tcPr>
                <w:p w14:paraId="4AF12D61">
                  <w:pPr>
                    <w:adjustRightInd w:val="0"/>
                    <w:snapToGrid w:val="0"/>
                    <w:jc w:val="center"/>
                    <w:rPr>
                      <w:rFonts w:eastAsia="仿宋_GB2312"/>
                      <w:color w:val="000000"/>
                      <w:kern w:val="0"/>
                      <w:sz w:val="21"/>
                      <w:szCs w:val="21"/>
                    </w:rPr>
                  </w:pPr>
                  <w:r>
                    <w:rPr>
                      <w:rFonts w:eastAsia="仿宋_GB2312"/>
                      <w:color w:val="000000"/>
                      <w:kern w:val="0"/>
                      <w:sz w:val="21"/>
                      <w:szCs w:val="21"/>
                    </w:rPr>
                    <w:t>卤水净化生产线</w:t>
                  </w:r>
                </w:p>
              </w:tc>
              <w:tc>
                <w:tcPr>
                  <w:tcW w:w="798" w:type="pct"/>
                  <w:vAlign w:val="center"/>
                </w:tcPr>
                <w:p w14:paraId="10A9A53F">
                  <w:pPr>
                    <w:adjustRightInd w:val="0"/>
                    <w:snapToGrid w:val="0"/>
                    <w:jc w:val="center"/>
                    <w:rPr>
                      <w:rFonts w:eastAsia="仿宋_GB2312"/>
                      <w:color w:val="000000"/>
                      <w:kern w:val="0"/>
                      <w:sz w:val="21"/>
                      <w:szCs w:val="21"/>
                    </w:rPr>
                  </w:pPr>
                  <w:r>
                    <w:rPr>
                      <w:rFonts w:eastAsia="仿宋_GB2312"/>
                      <w:szCs w:val="21"/>
                    </w:rPr>
                    <w:t>卤水净化系统</w:t>
                  </w:r>
                </w:p>
              </w:tc>
              <w:tc>
                <w:tcPr>
                  <w:tcW w:w="824" w:type="pct"/>
                  <w:vAlign w:val="center"/>
                </w:tcPr>
                <w:p w14:paraId="6E458D04">
                  <w:pPr>
                    <w:adjustRightInd w:val="0"/>
                    <w:snapToGrid w:val="0"/>
                    <w:jc w:val="center"/>
                    <w:rPr>
                      <w:rFonts w:eastAsia="仿宋_GB2312"/>
                      <w:color w:val="000000"/>
                      <w:kern w:val="0"/>
                      <w:sz w:val="21"/>
                      <w:szCs w:val="21"/>
                    </w:rPr>
                  </w:pPr>
                  <w:r>
                    <w:rPr>
                      <w:rFonts w:hint="eastAsia" w:eastAsia="仿宋_GB2312"/>
                      <w:color w:val="000000"/>
                      <w:kern w:val="0"/>
                      <w:sz w:val="21"/>
                      <w:szCs w:val="21"/>
                      <w:lang w:val="en-US" w:eastAsia="zh-CN"/>
                    </w:rPr>
                    <w:t>CO</w:t>
                  </w:r>
                  <w:r>
                    <w:rPr>
                      <w:rFonts w:hint="eastAsia" w:eastAsia="仿宋_GB2312"/>
                      <w:color w:val="000000"/>
                      <w:kern w:val="0"/>
                      <w:sz w:val="21"/>
                      <w:szCs w:val="21"/>
                      <w:vertAlign w:val="subscript"/>
                      <w:lang w:val="en-US" w:eastAsia="zh-CN"/>
                    </w:rPr>
                    <w:t>2</w:t>
                  </w:r>
                  <w:r>
                    <w:rPr>
                      <w:rFonts w:hint="eastAsia" w:eastAsia="仿宋_GB2312"/>
                      <w:color w:val="000000"/>
                      <w:kern w:val="0"/>
                      <w:sz w:val="21"/>
                      <w:szCs w:val="21"/>
                      <w:lang w:val="en-US" w:eastAsia="zh-CN"/>
                    </w:rPr>
                    <w:t>间歇式法、、两碱法</w:t>
                  </w:r>
                </w:p>
              </w:tc>
              <w:tc>
                <w:tcPr>
                  <w:tcW w:w="543" w:type="pct"/>
                  <w:vAlign w:val="center"/>
                </w:tcPr>
                <w:p w14:paraId="718D9FC0">
                  <w:pPr>
                    <w:widowControl/>
                    <w:adjustRightInd w:val="0"/>
                    <w:snapToGrid w:val="0"/>
                    <w:jc w:val="center"/>
                    <w:textAlignment w:val="center"/>
                    <w:rPr>
                      <w:rFonts w:eastAsia="仿宋_GB2312"/>
                      <w:color w:val="000000"/>
                      <w:kern w:val="0"/>
                      <w:sz w:val="21"/>
                      <w:szCs w:val="21"/>
                    </w:rPr>
                  </w:pPr>
                  <w:r>
                    <w:rPr>
                      <w:rFonts w:hint="eastAsia" w:eastAsia="仿宋_GB2312"/>
                      <w:color w:val="000000"/>
                      <w:kern w:val="0"/>
                      <w:sz w:val="21"/>
                      <w:szCs w:val="21"/>
                      <w:lang w:val="en-US" w:eastAsia="zh-CN"/>
                    </w:rPr>
                    <w:t>连续式双膜法</w:t>
                  </w:r>
                </w:p>
              </w:tc>
              <w:tc>
                <w:tcPr>
                  <w:tcW w:w="741" w:type="pct"/>
                  <w:vAlign w:val="center"/>
                </w:tcPr>
                <w:p w14:paraId="2FCC8303">
                  <w:pPr>
                    <w:adjustRightInd w:val="0"/>
                    <w:snapToGrid w:val="0"/>
                    <w:jc w:val="center"/>
                    <w:rPr>
                      <w:rFonts w:hint="default" w:eastAsia="仿宋_GB2312"/>
                      <w:color w:val="000000"/>
                      <w:kern w:val="0"/>
                      <w:sz w:val="21"/>
                      <w:szCs w:val="21"/>
                      <w:lang w:val="en-US"/>
                    </w:rPr>
                  </w:pPr>
                  <w:r>
                    <w:rPr>
                      <w:rFonts w:hint="eastAsia" w:eastAsia="仿宋_GB2312"/>
                      <w:color w:val="000000"/>
                      <w:kern w:val="0"/>
                      <w:sz w:val="21"/>
                      <w:szCs w:val="21"/>
                      <w:lang w:val="en-US" w:eastAsia="zh-CN"/>
                    </w:rPr>
                    <w:t>CO</w:t>
                  </w:r>
                  <w:r>
                    <w:rPr>
                      <w:rFonts w:hint="eastAsia" w:eastAsia="仿宋_GB2312"/>
                      <w:color w:val="000000"/>
                      <w:kern w:val="0"/>
                      <w:sz w:val="21"/>
                      <w:szCs w:val="21"/>
                      <w:vertAlign w:val="subscript"/>
                      <w:lang w:val="en-US" w:eastAsia="zh-CN"/>
                    </w:rPr>
                    <w:t>2</w:t>
                  </w:r>
                  <w:r>
                    <w:rPr>
                      <w:rFonts w:hint="eastAsia" w:eastAsia="仿宋_GB2312"/>
                      <w:color w:val="000000"/>
                      <w:kern w:val="0"/>
                      <w:sz w:val="21"/>
                      <w:szCs w:val="21"/>
                      <w:lang w:val="en-US" w:eastAsia="zh-CN"/>
                    </w:rPr>
                    <w:t>间歇式法、两碱法、连续式双膜法</w:t>
                  </w:r>
                </w:p>
              </w:tc>
              <w:tc>
                <w:tcPr>
                  <w:tcW w:w="568" w:type="pct"/>
                  <w:vMerge w:val="continue"/>
                </w:tcPr>
                <w:p w14:paraId="499143DF">
                  <w:pPr>
                    <w:adjustRightInd w:val="0"/>
                    <w:snapToGrid w:val="0"/>
                    <w:jc w:val="center"/>
                    <w:rPr>
                      <w:rFonts w:eastAsia="仿宋_GB2312"/>
                      <w:color w:val="000000"/>
                      <w:sz w:val="21"/>
                      <w:szCs w:val="21"/>
                    </w:rPr>
                  </w:pPr>
                </w:p>
              </w:tc>
            </w:tr>
            <w:tr w14:paraId="57E1060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17" w:type="pct"/>
                  <w:vAlign w:val="center"/>
                </w:tcPr>
                <w:p w14:paraId="2E4FD176">
                  <w:pPr>
                    <w:adjustRightInd w:val="0"/>
                    <w:snapToGrid w:val="0"/>
                    <w:jc w:val="center"/>
                    <w:rPr>
                      <w:rFonts w:eastAsia="仿宋_GB2312"/>
                      <w:color w:val="000000"/>
                      <w:sz w:val="21"/>
                      <w:szCs w:val="21"/>
                    </w:rPr>
                  </w:pPr>
                  <w:r>
                    <w:rPr>
                      <w:rFonts w:eastAsia="仿宋_GB2312"/>
                      <w:color w:val="000000"/>
                      <w:sz w:val="21"/>
                      <w:szCs w:val="21"/>
                    </w:rPr>
                    <w:t>4</w:t>
                  </w:r>
                </w:p>
              </w:tc>
              <w:tc>
                <w:tcPr>
                  <w:tcW w:w="1106" w:type="pct"/>
                  <w:vAlign w:val="center"/>
                </w:tcPr>
                <w:p w14:paraId="49B138BE">
                  <w:pPr>
                    <w:adjustRightInd w:val="0"/>
                    <w:snapToGrid w:val="0"/>
                    <w:jc w:val="center"/>
                    <w:rPr>
                      <w:rFonts w:eastAsia="仿宋_GB2312"/>
                      <w:color w:val="000000"/>
                      <w:kern w:val="0"/>
                      <w:sz w:val="21"/>
                      <w:szCs w:val="21"/>
                    </w:rPr>
                  </w:pPr>
                  <w:r>
                    <w:rPr>
                      <w:rFonts w:eastAsia="仿宋_GB2312"/>
                      <w:color w:val="000000"/>
                      <w:kern w:val="0"/>
                      <w:sz w:val="21"/>
                      <w:szCs w:val="21"/>
                    </w:rPr>
                    <w:t>精制盐包装线</w:t>
                  </w:r>
                </w:p>
              </w:tc>
              <w:tc>
                <w:tcPr>
                  <w:tcW w:w="798" w:type="pct"/>
                  <w:vAlign w:val="center"/>
                </w:tcPr>
                <w:p w14:paraId="6783D40E">
                  <w:pPr>
                    <w:adjustRightInd w:val="0"/>
                    <w:snapToGrid w:val="0"/>
                    <w:jc w:val="center"/>
                    <w:rPr>
                      <w:rFonts w:eastAsia="仿宋_GB2312"/>
                      <w:color w:val="000000"/>
                      <w:kern w:val="0"/>
                      <w:sz w:val="21"/>
                      <w:szCs w:val="21"/>
                    </w:rPr>
                  </w:pPr>
                  <w:r>
                    <w:rPr>
                      <w:rFonts w:eastAsia="仿宋_GB2312"/>
                      <w:color w:val="000000"/>
                      <w:kern w:val="0"/>
                      <w:sz w:val="21"/>
                      <w:szCs w:val="21"/>
                    </w:rPr>
                    <w:t>精制盐包装</w:t>
                  </w:r>
                </w:p>
              </w:tc>
              <w:tc>
                <w:tcPr>
                  <w:tcW w:w="824" w:type="pct"/>
                  <w:vAlign w:val="center"/>
                </w:tcPr>
                <w:p w14:paraId="66E4E102">
                  <w:pPr>
                    <w:adjustRightInd w:val="0"/>
                    <w:snapToGrid w:val="0"/>
                    <w:jc w:val="center"/>
                    <w:rPr>
                      <w:rFonts w:eastAsia="仿宋_GB2312"/>
                      <w:color w:val="000000"/>
                      <w:kern w:val="0"/>
                      <w:sz w:val="21"/>
                      <w:szCs w:val="21"/>
                    </w:rPr>
                  </w:pPr>
                  <w:r>
                    <w:rPr>
                      <w:rFonts w:eastAsia="仿宋_GB2312"/>
                      <w:color w:val="000000"/>
                      <w:kern w:val="0"/>
                      <w:sz w:val="21"/>
                      <w:szCs w:val="21"/>
                    </w:rPr>
                    <w:t>100万t/a</w:t>
                  </w:r>
                </w:p>
              </w:tc>
              <w:tc>
                <w:tcPr>
                  <w:tcW w:w="543" w:type="pct"/>
                  <w:vAlign w:val="center"/>
                </w:tcPr>
                <w:p w14:paraId="19D7789D">
                  <w:pPr>
                    <w:widowControl/>
                    <w:adjustRightInd w:val="0"/>
                    <w:snapToGrid w:val="0"/>
                    <w:jc w:val="center"/>
                    <w:textAlignment w:val="center"/>
                    <w:rPr>
                      <w:rFonts w:eastAsia="仿宋_GB2312"/>
                      <w:color w:val="000000"/>
                      <w:kern w:val="0"/>
                      <w:sz w:val="21"/>
                      <w:szCs w:val="21"/>
                    </w:rPr>
                  </w:pPr>
                  <w:r>
                    <w:rPr>
                      <w:rFonts w:eastAsia="仿宋_GB2312"/>
                      <w:color w:val="000000"/>
                      <w:kern w:val="0"/>
                      <w:sz w:val="21"/>
                      <w:szCs w:val="21"/>
                    </w:rPr>
                    <w:t>0</w:t>
                  </w:r>
                </w:p>
              </w:tc>
              <w:tc>
                <w:tcPr>
                  <w:tcW w:w="741" w:type="pct"/>
                  <w:vAlign w:val="center"/>
                </w:tcPr>
                <w:p w14:paraId="528DFC74">
                  <w:pPr>
                    <w:adjustRightInd w:val="0"/>
                    <w:snapToGrid w:val="0"/>
                    <w:jc w:val="center"/>
                    <w:rPr>
                      <w:rFonts w:eastAsia="仿宋_GB2312"/>
                      <w:color w:val="000000"/>
                      <w:kern w:val="0"/>
                      <w:sz w:val="21"/>
                      <w:szCs w:val="21"/>
                    </w:rPr>
                  </w:pPr>
                  <w:r>
                    <w:rPr>
                      <w:rFonts w:eastAsia="仿宋_GB2312"/>
                      <w:color w:val="000000"/>
                      <w:kern w:val="0"/>
                      <w:sz w:val="21"/>
                      <w:szCs w:val="21"/>
                    </w:rPr>
                    <w:t>100万t/a</w:t>
                  </w:r>
                </w:p>
              </w:tc>
              <w:tc>
                <w:tcPr>
                  <w:tcW w:w="568" w:type="pct"/>
                  <w:vMerge w:val="continue"/>
                </w:tcPr>
                <w:p w14:paraId="003FF20E">
                  <w:pPr>
                    <w:adjustRightInd w:val="0"/>
                    <w:snapToGrid w:val="0"/>
                    <w:jc w:val="center"/>
                    <w:rPr>
                      <w:rFonts w:eastAsia="仿宋_GB2312"/>
                      <w:color w:val="000000"/>
                      <w:sz w:val="21"/>
                      <w:szCs w:val="21"/>
                    </w:rPr>
                  </w:pPr>
                </w:p>
              </w:tc>
            </w:tr>
            <w:tr w14:paraId="6319810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17" w:type="pct"/>
                  <w:vAlign w:val="center"/>
                </w:tcPr>
                <w:p w14:paraId="7D433263">
                  <w:pPr>
                    <w:adjustRightInd w:val="0"/>
                    <w:snapToGrid w:val="0"/>
                    <w:jc w:val="center"/>
                    <w:rPr>
                      <w:rFonts w:eastAsia="仿宋_GB2312"/>
                      <w:color w:val="000000"/>
                      <w:sz w:val="21"/>
                      <w:szCs w:val="21"/>
                    </w:rPr>
                  </w:pPr>
                  <w:r>
                    <w:rPr>
                      <w:rFonts w:eastAsia="仿宋_GB2312"/>
                      <w:color w:val="000000"/>
                      <w:sz w:val="21"/>
                      <w:szCs w:val="21"/>
                    </w:rPr>
                    <w:t>5</w:t>
                  </w:r>
                </w:p>
              </w:tc>
              <w:tc>
                <w:tcPr>
                  <w:tcW w:w="1106" w:type="pct"/>
                  <w:vAlign w:val="center"/>
                </w:tcPr>
                <w:p w14:paraId="6808020A">
                  <w:pPr>
                    <w:adjustRightInd w:val="0"/>
                    <w:snapToGrid w:val="0"/>
                    <w:jc w:val="center"/>
                    <w:rPr>
                      <w:rFonts w:eastAsia="仿宋_GB2312"/>
                      <w:color w:val="000000"/>
                      <w:kern w:val="0"/>
                      <w:sz w:val="21"/>
                      <w:szCs w:val="21"/>
                    </w:rPr>
                  </w:pPr>
                  <w:r>
                    <w:rPr>
                      <w:rFonts w:eastAsia="仿宋_GB2312"/>
                      <w:snapToGrid w:val="0"/>
                      <w:color w:val="000000"/>
                      <w:sz w:val="21"/>
                      <w:szCs w:val="21"/>
                    </w:rPr>
                    <w:t>集装袋盐生产线</w:t>
                  </w:r>
                </w:p>
              </w:tc>
              <w:tc>
                <w:tcPr>
                  <w:tcW w:w="798" w:type="pct"/>
                  <w:vAlign w:val="center"/>
                </w:tcPr>
                <w:p w14:paraId="4CEA51BC">
                  <w:pPr>
                    <w:adjustRightInd w:val="0"/>
                    <w:snapToGrid w:val="0"/>
                    <w:jc w:val="center"/>
                    <w:rPr>
                      <w:rFonts w:eastAsia="仿宋_GB2312"/>
                      <w:color w:val="000000"/>
                      <w:kern w:val="0"/>
                      <w:sz w:val="21"/>
                      <w:szCs w:val="21"/>
                    </w:rPr>
                  </w:pPr>
                  <w:r>
                    <w:rPr>
                      <w:rFonts w:eastAsia="仿宋_GB2312"/>
                      <w:snapToGrid w:val="0"/>
                      <w:color w:val="000000"/>
                      <w:sz w:val="21"/>
                      <w:szCs w:val="21"/>
                    </w:rPr>
                    <w:t>集装袋盐</w:t>
                  </w:r>
                </w:p>
              </w:tc>
              <w:tc>
                <w:tcPr>
                  <w:tcW w:w="824" w:type="pct"/>
                  <w:vAlign w:val="center"/>
                </w:tcPr>
                <w:p w14:paraId="6644AB5E">
                  <w:pPr>
                    <w:adjustRightInd w:val="0"/>
                    <w:snapToGrid w:val="0"/>
                    <w:jc w:val="center"/>
                    <w:rPr>
                      <w:rFonts w:eastAsia="仿宋_GB2312"/>
                      <w:color w:val="000000"/>
                      <w:kern w:val="0"/>
                      <w:sz w:val="21"/>
                      <w:szCs w:val="21"/>
                    </w:rPr>
                  </w:pPr>
                  <w:r>
                    <w:rPr>
                      <w:rFonts w:eastAsia="仿宋_GB2312"/>
                      <w:color w:val="000000"/>
                      <w:kern w:val="0"/>
                      <w:sz w:val="21"/>
                      <w:szCs w:val="21"/>
                    </w:rPr>
                    <w:t>10万t/a</w:t>
                  </w:r>
                </w:p>
              </w:tc>
              <w:tc>
                <w:tcPr>
                  <w:tcW w:w="543" w:type="pct"/>
                  <w:vAlign w:val="center"/>
                </w:tcPr>
                <w:p w14:paraId="289F536D">
                  <w:pPr>
                    <w:widowControl/>
                    <w:adjustRightInd w:val="0"/>
                    <w:snapToGrid w:val="0"/>
                    <w:jc w:val="center"/>
                    <w:textAlignment w:val="center"/>
                    <w:rPr>
                      <w:rFonts w:eastAsia="仿宋_GB2312"/>
                      <w:color w:val="000000"/>
                      <w:kern w:val="0"/>
                      <w:sz w:val="21"/>
                      <w:szCs w:val="21"/>
                    </w:rPr>
                  </w:pPr>
                  <w:r>
                    <w:rPr>
                      <w:rFonts w:eastAsia="仿宋_GB2312"/>
                      <w:color w:val="000000"/>
                      <w:kern w:val="0"/>
                      <w:sz w:val="21"/>
                      <w:szCs w:val="21"/>
                    </w:rPr>
                    <w:t>0</w:t>
                  </w:r>
                </w:p>
              </w:tc>
              <w:tc>
                <w:tcPr>
                  <w:tcW w:w="741" w:type="pct"/>
                  <w:vAlign w:val="center"/>
                </w:tcPr>
                <w:p w14:paraId="4E9D3A38">
                  <w:pPr>
                    <w:adjustRightInd w:val="0"/>
                    <w:snapToGrid w:val="0"/>
                    <w:jc w:val="center"/>
                    <w:rPr>
                      <w:rFonts w:eastAsia="仿宋_GB2312"/>
                      <w:color w:val="000000"/>
                      <w:kern w:val="0"/>
                      <w:sz w:val="21"/>
                      <w:szCs w:val="21"/>
                    </w:rPr>
                  </w:pPr>
                  <w:r>
                    <w:rPr>
                      <w:rFonts w:eastAsia="仿宋_GB2312"/>
                      <w:color w:val="000000"/>
                      <w:kern w:val="0"/>
                      <w:sz w:val="21"/>
                      <w:szCs w:val="21"/>
                    </w:rPr>
                    <w:t>10万t/a</w:t>
                  </w:r>
                </w:p>
              </w:tc>
              <w:tc>
                <w:tcPr>
                  <w:tcW w:w="568" w:type="pct"/>
                  <w:vMerge w:val="continue"/>
                </w:tcPr>
                <w:p w14:paraId="60C16D6F">
                  <w:pPr>
                    <w:adjustRightInd w:val="0"/>
                    <w:snapToGrid w:val="0"/>
                    <w:jc w:val="center"/>
                    <w:rPr>
                      <w:rFonts w:eastAsia="仿宋_GB2312"/>
                      <w:color w:val="000000"/>
                      <w:sz w:val="21"/>
                      <w:szCs w:val="21"/>
                    </w:rPr>
                  </w:pPr>
                </w:p>
              </w:tc>
            </w:tr>
            <w:tr w14:paraId="07BB259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17" w:type="pct"/>
                  <w:vMerge w:val="restart"/>
                  <w:vAlign w:val="center"/>
                </w:tcPr>
                <w:p w14:paraId="619C8FF6">
                  <w:pPr>
                    <w:adjustRightInd w:val="0"/>
                    <w:snapToGrid w:val="0"/>
                    <w:jc w:val="center"/>
                    <w:rPr>
                      <w:rFonts w:eastAsia="仿宋_GB2312"/>
                      <w:color w:val="000000"/>
                      <w:sz w:val="21"/>
                      <w:szCs w:val="21"/>
                    </w:rPr>
                  </w:pPr>
                  <w:r>
                    <w:rPr>
                      <w:rFonts w:eastAsia="仿宋_GB2312"/>
                      <w:color w:val="000000"/>
                      <w:sz w:val="21"/>
                      <w:szCs w:val="21"/>
                    </w:rPr>
                    <w:t>6</w:t>
                  </w:r>
                </w:p>
              </w:tc>
              <w:tc>
                <w:tcPr>
                  <w:tcW w:w="1106" w:type="pct"/>
                  <w:vMerge w:val="restart"/>
                  <w:vAlign w:val="center"/>
                </w:tcPr>
                <w:p w14:paraId="7F62B2C4">
                  <w:pPr>
                    <w:adjustRightInd w:val="0"/>
                    <w:snapToGrid w:val="0"/>
                    <w:jc w:val="center"/>
                    <w:rPr>
                      <w:rFonts w:eastAsia="仿宋_GB2312"/>
                      <w:snapToGrid w:val="0"/>
                      <w:color w:val="000000"/>
                      <w:sz w:val="21"/>
                      <w:szCs w:val="21"/>
                    </w:rPr>
                  </w:pPr>
                  <w:r>
                    <w:rPr>
                      <w:rFonts w:eastAsia="仿宋_GB2312"/>
                      <w:snapToGrid w:val="0"/>
                      <w:color w:val="000000"/>
                      <w:sz w:val="21"/>
                      <w:szCs w:val="21"/>
                    </w:rPr>
                    <w:t>盐泥综合利用生产线</w:t>
                  </w:r>
                </w:p>
              </w:tc>
              <w:tc>
                <w:tcPr>
                  <w:tcW w:w="798" w:type="pct"/>
                  <w:vAlign w:val="center"/>
                </w:tcPr>
                <w:p w14:paraId="09B45279">
                  <w:pPr>
                    <w:adjustRightInd w:val="0"/>
                    <w:snapToGrid w:val="0"/>
                    <w:jc w:val="center"/>
                    <w:rPr>
                      <w:rFonts w:eastAsia="仿宋_GB2312"/>
                      <w:snapToGrid w:val="0"/>
                      <w:color w:val="000000"/>
                      <w:sz w:val="21"/>
                      <w:szCs w:val="21"/>
                    </w:rPr>
                  </w:pPr>
                  <w:r>
                    <w:rPr>
                      <w:rFonts w:eastAsia="仿宋_GB2312"/>
                      <w:snapToGrid w:val="0"/>
                      <w:color w:val="000000"/>
                      <w:sz w:val="21"/>
                      <w:szCs w:val="21"/>
                    </w:rPr>
                    <w:t>碳酸钙中和剂</w:t>
                  </w:r>
                </w:p>
              </w:tc>
              <w:tc>
                <w:tcPr>
                  <w:tcW w:w="824" w:type="pct"/>
                  <w:vAlign w:val="center"/>
                </w:tcPr>
                <w:p w14:paraId="36C7E404">
                  <w:pPr>
                    <w:adjustRightInd w:val="0"/>
                    <w:snapToGrid w:val="0"/>
                    <w:jc w:val="center"/>
                    <w:rPr>
                      <w:rFonts w:eastAsia="仿宋_GB2312"/>
                      <w:color w:val="000000"/>
                      <w:kern w:val="0"/>
                      <w:sz w:val="21"/>
                      <w:szCs w:val="21"/>
                    </w:rPr>
                  </w:pPr>
                  <w:r>
                    <w:rPr>
                      <w:rFonts w:eastAsia="仿宋_GB2312"/>
                      <w:color w:val="000000"/>
                      <w:kern w:val="0"/>
                      <w:sz w:val="21"/>
                      <w:szCs w:val="21"/>
                    </w:rPr>
                    <w:t>3.4万t/a</w:t>
                  </w:r>
                </w:p>
              </w:tc>
              <w:tc>
                <w:tcPr>
                  <w:tcW w:w="543" w:type="pct"/>
                  <w:vAlign w:val="center"/>
                </w:tcPr>
                <w:p w14:paraId="505C5F69">
                  <w:pPr>
                    <w:widowControl/>
                    <w:adjustRightInd w:val="0"/>
                    <w:snapToGrid w:val="0"/>
                    <w:jc w:val="center"/>
                    <w:textAlignment w:val="center"/>
                    <w:rPr>
                      <w:rFonts w:eastAsia="仿宋_GB2312"/>
                      <w:color w:val="000000"/>
                      <w:kern w:val="0"/>
                      <w:sz w:val="21"/>
                      <w:szCs w:val="21"/>
                    </w:rPr>
                  </w:pPr>
                  <w:r>
                    <w:rPr>
                      <w:rFonts w:eastAsia="仿宋_GB2312"/>
                      <w:color w:val="000000"/>
                      <w:kern w:val="0"/>
                      <w:sz w:val="21"/>
                      <w:szCs w:val="21"/>
                    </w:rPr>
                    <w:t>0</w:t>
                  </w:r>
                </w:p>
              </w:tc>
              <w:tc>
                <w:tcPr>
                  <w:tcW w:w="741" w:type="pct"/>
                  <w:vAlign w:val="center"/>
                </w:tcPr>
                <w:p w14:paraId="71C8B22C">
                  <w:pPr>
                    <w:adjustRightInd w:val="0"/>
                    <w:snapToGrid w:val="0"/>
                    <w:jc w:val="center"/>
                    <w:rPr>
                      <w:rFonts w:eastAsia="仿宋_GB2312"/>
                      <w:color w:val="000000"/>
                      <w:kern w:val="0"/>
                      <w:sz w:val="21"/>
                      <w:szCs w:val="21"/>
                    </w:rPr>
                  </w:pPr>
                  <w:r>
                    <w:rPr>
                      <w:rFonts w:eastAsia="仿宋_GB2312"/>
                      <w:color w:val="000000"/>
                      <w:kern w:val="0"/>
                      <w:sz w:val="21"/>
                      <w:szCs w:val="21"/>
                    </w:rPr>
                    <w:t>3.4万t/a</w:t>
                  </w:r>
                </w:p>
              </w:tc>
              <w:tc>
                <w:tcPr>
                  <w:tcW w:w="568" w:type="pct"/>
                  <w:vMerge w:val="continue"/>
                </w:tcPr>
                <w:p w14:paraId="4430AF93">
                  <w:pPr>
                    <w:adjustRightInd w:val="0"/>
                    <w:snapToGrid w:val="0"/>
                    <w:jc w:val="center"/>
                    <w:rPr>
                      <w:rFonts w:eastAsia="仿宋_GB2312"/>
                      <w:color w:val="000000"/>
                      <w:sz w:val="21"/>
                      <w:szCs w:val="21"/>
                    </w:rPr>
                  </w:pPr>
                </w:p>
              </w:tc>
            </w:tr>
            <w:tr w14:paraId="30F69E8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17" w:type="pct"/>
                  <w:vMerge w:val="continue"/>
                </w:tcPr>
                <w:p w14:paraId="71DDA3CC">
                  <w:pPr>
                    <w:adjustRightInd w:val="0"/>
                    <w:snapToGrid w:val="0"/>
                    <w:jc w:val="center"/>
                    <w:rPr>
                      <w:rFonts w:eastAsia="仿宋_GB2312"/>
                      <w:color w:val="000000"/>
                      <w:sz w:val="21"/>
                      <w:szCs w:val="21"/>
                    </w:rPr>
                  </w:pPr>
                </w:p>
              </w:tc>
              <w:tc>
                <w:tcPr>
                  <w:tcW w:w="1106" w:type="pct"/>
                  <w:vMerge w:val="continue"/>
                  <w:vAlign w:val="center"/>
                </w:tcPr>
                <w:p w14:paraId="6C5E502E">
                  <w:pPr>
                    <w:adjustRightInd w:val="0"/>
                    <w:snapToGrid w:val="0"/>
                    <w:jc w:val="center"/>
                    <w:rPr>
                      <w:rFonts w:eastAsia="仿宋_GB2312"/>
                      <w:snapToGrid w:val="0"/>
                      <w:color w:val="000000"/>
                      <w:sz w:val="21"/>
                      <w:szCs w:val="21"/>
                    </w:rPr>
                  </w:pPr>
                </w:p>
              </w:tc>
              <w:tc>
                <w:tcPr>
                  <w:tcW w:w="798" w:type="pct"/>
                  <w:vAlign w:val="center"/>
                </w:tcPr>
                <w:p w14:paraId="683C7172">
                  <w:pPr>
                    <w:adjustRightInd w:val="0"/>
                    <w:snapToGrid w:val="0"/>
                    <w:jc w:val="center"/>
                    <w:rPr>
                      <w:rFonts w:eastAsia="仿宋_GB2312"/>
                      <w:snapToGrid w:val="0"/>
                      <w:color w:val="000000"/>
                      <w:sz w:val="21"/>
                      <w:szCs w:val="21"/>
                    </w:rPr>
                  </w:pPr>
                  <w:r>
                    <w:rPr>
                      <w:rFonts w:eastAsia="仿宋_GB2312"/>
                      <w:snapToGrid w:val="0"/>
                      <w:color w:val="000000"/>
                      <w:sz w:val="21"/>
                      <w:szCs w:val="21"/>
                    </w:rPr>
                    <w:t>碳酸钙脱硫</w:t>
                  </w:r>
                </w:p>
                <w:p w14:paraId="06320076">
                  <w:pPr>
                    <w:adjustRightInd w:val="0"/>
                    <w:snapToGrid w:val="0"/>
                    <w:jc w:val="center"/>
                    <w:rPr>
                      <w:rFonts w:eastAsia="仿宋_GB2312"/>
                      <w:snapToGrid w:val="0"/>
                      <w:color w:val="000000"/>
                      <w:sz w:val="21"/>
                      <w:szCs w:val="21"/>
                    </w:rPr>
                  </w:pPr>
                  <w:r>
                    <w:rPr>
                      <w:rFonts w:eastAsia="仿宋_GB2312"/>
                      <w:snapToGrid w:val="0"/>
                      <w:color w:val="000000"/>
                      <w:sz w:val="21"/>
                      <w:szCs w:val="21"/>
                    </w:rPr>
                    <w:t>剂</w:t>
                  </w:r>
                </w:p>
              </w:tc>
              <w:tc>
                <w:tcPr>
                  <w:tcW w:w="824" w:type="pct"/>
                  <w:vAlign w:val="center"/>
                </w:tcPr>
                <w:p w14:paraId="607546DD">
                  <w:pPr>
                    <w:adjustRightInd w:val="0"/>
                    <w:snapToGrid w:val="0"/>
                    <w:jc w:val="center"/>
                    <w:rPr>
                      <w:rFonts w:eastAsia="仿宋_GB2312"/>
                      <w:color w:val="000000"/>
                      <w:kern w:val="0"/>
                      <w:sz w:val="21"/>
                      <w:szCs w:val="21"/>
                    </w:rPr>
                  </w:pPr>
                  <w:r>
                    <w:rPr>
                      <w:rFonts w:eastAsia="仿宋_GB2312"/>
                      <w:color w:val="000000"/>
                      <w:kern w:val="0"/>
                      <w:sz w:val="21"/>
                      <w:szCs w:val="21"/>
                    </w:rPr>
                    <w:t>0.4万t/a</w:t>
                  </w:r>
                </w:p>
              </w:tc>
              <w:tc>
                <w:tcPr>
                  <w:tcW w:w="543" w:type="pct"/>
                  <w:vAlign w:val="center"/>
                </w:tcPr>
                <w:p w14:paraId="282CFC46">
                  <w:pPr>
                    <w:widowControl/>
                    <w:adjustRightInd w:val="0"/>
                    <w:snapToGrid w:val="0"/>
                    <w:jc w:val="center"/>
                    <w:textAlignment w:val="center"/>
                    <w:rPr>
                      <w:rFonts w:eastAsia="仿宋_GB2312"/>
                      <w:color w:val="000000"/>
                      <w:kern w:val="0"/>
                      <w:sz w:val="21"/>
                      <w:szCs w:val="21"/>
                    </w:rPr>
                  </w:pPr>
                  <w:r>
                    <w:rPr>
                      <w:rFonts w:eastAsia="仿宋_GB2312"/>
                      <w:color w:val="000000"/>
                      <w:kern w:val="0"/>
                      <w:sz w:val="21"/>
                      <w:szCs w:val="21"/>
                    </w:rPr>
                    <w:t>0</w:t>
                  </w:r>
                </w:p>
              </w:tc>
              <w:tc>
                <w:tcPr>
                  <w:tcW w:w="741" w:type="pct"/>
                  <w:vAlign w:val="center"/>
                </w:tcPr>
                <w:p w14:paraId="273BBC01">
                  <w:pPr>
                    <w:adjustRightInd w:val="0"/>
                    <w:snapToGrid w:val="0"/>
                    <w:jc w:val="center"/>
                    <w:rPr>
                      <w:rFonts w:eastAsia="仿宋_GB2312"/>
                      <w:color w:val="000000"/>
                      <w:kern w:val="0"/>
                      <w:sz w:val="21"/>
                      <w:szCs w:val="21"/>
                    </w:rPr>
                  </w:pPr>
                  <w:r>
                    <w:rPr>
                      <w:rFonts w:eastAsia="仿宋_GB2312"/>
                      <w:color w:val="000000"/>
                      <w:kern w:val="0"/>
                      <w:sz w:val="21"/>
                      <w:szCs w:val="21"/>
                    </w:rPr>
                    <w:t>0.4万t/a</w:t>
                  </w:r>
                </w:p>
              </w:tc>
              <w:tc>
                <w:tcPr>
                  <w:tcW w:w="568" w:type="pct"/>
                  <w:vMerge w:val="continue"/>
                </w:tcPr>
                <w:p w14:paraId="3CB2C3C7">
                  <w:pPr>
                    <w:adjustRightInd w:val="0"/>
                    <w:snapToGrid w:val="0"/>
                    <w:jc w:val="center"/>
                    <w:rPr>
                      <w:rFonts w:eastAsia="仿宋_GB2312"/>
                      <w:color w:val="000000"/>
                      <w:sz w:val="21"/>
                      <w:szCs w:val="21"/>
                    </w:rPr>
                  </w:pPr>
                </w:p>
              </w:tc>
            </w:tr>
            <w:tr w14:paraId="1BE18DA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17" w:type="pct"/>
                </w:tcPr>
                <w:p w14:paraId="61177299">
                  <w:pPr>
                    <w:adjustRightInd w:val="0"/>
                    <w:snapToGrid w:val="0"/>
                    <w:jc w:val="center"/>
                    <w:rPr>
                      <w:rFonts w:hint="eastAsia" w:eastAsia="仿宋_GB2312"/>
                      <w:color w:val="000000"/>
                      <w:sz w:val="21"/>
                      <w:szCs w:val="21"/>
                      <w:lang w:val="en-US" w:eastAsia="zh-CN"/>
                    </w:rPr>
                  </w:pPr>
                  <w:r>
                    <w:rPr>
                      <w:rFonts w:hint="eastAsia" w:eastAsia="仿宋_GB2312"/>
                      <w:color w:val="000000"/>
                      <w:sz w:val="21"/>
                      <w:szCs w:val="21"/>
                      <w:lang w:val="en-US" w:eastAsia="zh-CN"/>
                    </w:rPr>
                    <w:t>7</w:t>
                  </w:r>
                </w:p>
              </w:tc>
              <w:tc>
                <w:tcPr>
                  <w:tcW w:w="1106" w:type="pct"/>
                  <w:vAlign w:val="center"/>
                </w:tcPr>
                <w:p w14:paraId="0D08114E">
                  <w:pPr>
                    <w:adjustRightInd w:val="0"/>
                    <w:snapToGrid w:val="0"/>
                    <w:jc w:val="center"/>
                    <w:rPr>
                      <w:rFonts w:eastAsia="仿宋_GB2312"/>
                      <w:snapToGrid w:val="0"/>
                      <w:color w:val="000000"/>
                      <w:sz w:val="21"/>
                      <w:szCs w:val="21"/>
                    </w:rPr>
                  </w:pPr>
                  <w:r>
                    <w:rPr>
                      <w:rFonts w:ascii="Times New Roman" w:hAnsi="Times New Roman" w:eastAsia="仿宋_GB2312" w:cs="Times New Roman"/>
                      <w:snapToGrid w:val="0"/>
                      <w:color w:val="000000"/>
                      <w:sz w:val="21"/>
                      <w:szCs w:val="21"/>
                    </w:rPr>
                    <w:t>畜牧用盐砖</w:t>
                  </w:r>
                  <w:r>
                    <w:rPr>
                      <w:rFonts w:eastAsia="仿宋_GB2312"/>
                      <w:snapToGrid w:val="0"/>
                      <w:color w:val="000000"/>
                      <w:sz w:val="21"/>
                      <w:szCs w:val="21"/>
                    </w:rPr>
                    <w:t>生产线</w:t>
                  </w:r>
                </w:p>
              </w:tc>
              <w:tc>
                <w:tcPr>
                  <w:tcW w:w="798" w:type="pct"/>
                  <w:vAlign w:val="center"/>
                </w:tcPr>
                <w:p w14:paraId="08161D85">
                  <w:pPr>
                    <w:adjustRightInd w:val="0"/>
                    <w:snapToGrid w:val="0"/>
                    <w:jc w:val="center"/>
                    <w:rPr>
                      <w:rFonts w:eastAsia="仿宋_GB2312"/>
                      <w:snapToGrid w:val="0"/>
                      <w:color w:val="000000"/>
                      <w:sz w:val="21"/>
                      <w:szCs w:val="21"/>
                    </w:rPr>
                  </w:pPr>
                  <w:r>
                    <w:rPr>
                      <w:rFonts w:ascii="Times New Roman" w:hAnsi="Times New Roman" w:eastAsia="仿宋_GB2312" w:cs="Times New Roman"/>
                      <w:snapToGrid w:val="0"/>
                      <w:color w:val="000000"/>
                      <w:sz w:val="21"/>
                      <w:szCs w:val="21"/>
                    </w:rPr>
                    <w:t>畜牧用盐砖</w:t>
                  </w:r>
                </w:p>
              </w:tc>
              <w:tc>
                <w:tcPr>
                  <w:tcW w:w="824" w:type="pct"/>
                  <w:vAlign w:val="center"/>
                </w:tcPr>
                <w:p w14:paraId="418BDF0D">
                  <w:pPr>
                    <w:adjustRightInd w:val="0"/>
                    <w:snapToGrid w:val="0"/>
                    <w:jc w:val="center"/>
                    <w:rPr>
                      <w:rFonts w:hint="default" w:eastAsia="仿宋_GB2312"/>
                      <w:color w:val="000000"/>
                      <w:kern w:val="0"/>
                      <w:sz w:val="21"/>
                      <w:szCs w:val="21"/>
                      <w:lang w:val="en-US" w:eastAsia="zh-CN"/>
                    </w:rPr>
                  </w:pPr>
                  <w:r>
                    <w:rPr>
                      <w:rFonts w:hint="eastAsia" w:eastAsia="仿宋_GB2312"/>
                      <w:color w:val="000000"/>
                      <w:kern w:val="0"/>
                      <w:sz w:val="21"/>
                      <w:szCs w:val="21"/>
                      <w:lang w:val="en-US" w:eastAsia="zh-CN"/>
                    </w:rPr>
                    <w:t>3万</w:t>
                  </w:r>
                  <w:r>
                    <w:rPr>
                      <w:rFonts w:eastAsia="仿宋_GB2312"/>
                      <w:color w:val="000000"/>
                      <w:kern w:val="0"/>
                      <w:sz w:val="21"/>
                      <w:szCs w:val="21"/>
                    </w:rPr>
                    <w:t>t/a</w:t>
                  </w:r>
                </w:p>
              </w:tc>
              <w:tc>
                <w:tcPr>
                  <w:tcW w:w="543" w:type="pct"/>
                  <w:vAlign w:val="center"/>
                </w:tcPr>
                <w:p w14:paraId="3DBFAB77">
                  <w:pPr>
                    <w:widowControl/>
                    <w:adjustRightInd w:val="0"/>
                    <w:snapToGrid w:val="0"/>
                    <w:jc w:val="center"/>
                    <w:textAlignment w:val="center"/>
                    <w:rPr>
                      <w:rFonts w:hint="eastAsia" w:eastAsia="仿宋_GB2312"/>
                      <w:color w:val="000000"/>
                      <w:kern w:val="0"/>
                      <w:sz w:val="21"/>
                      <w:szCs w:val="21"/>
                      <w:lang w:val="en-US" w:eastAsia="zh-CN"/>
                    </w:rPr>
                  </w:pPr>
                  <w:r>
                    <w:rPr>
                      <w:rFonts w:hint="eastAsia" w:eastAsia="仿宋_GB2312"/>
                      <w:color w:val="000000"/>
                      <w:kern w:val="0"/>
                      <w:sz w:val="21"/>
                      <w:szCs w:val="21"/>
                      <w:lang w:val="en-US" w:eastAsia="zh-CN"/>
                    </w:rPr>
                    <w:t>0</w:t>
                  </w:r>
                </w:p>
              </w:tc>
              <w:tc>
                <w:tcPr>
                  <w:tcW w:w="741" w:type="pct"/>
                  <w:vAlign w:val="center"/>
                </w:tcPr>
                <w:p w14:paraId="65E6A262">
                  <w:pPr>
                    <w:adjustRightInd w:val="0"/>
                    <w:snapToGrid w:val="0"/>
                    <w:jc w:val="center"/>
                    <w:rPr>
                      <w:rFonts w:eastAsia="仿宋_GB2312"/>
                      <w:color w:val="000000"/>
                      <w:kern w:val="0"/>
                      <w:sz w:val="21"/>
                      <w:szCs w:val="21"/>
                    </w:rPr>
                  </w:pPr>
                  <w:r>
                    <w:rPr>
                      <w:rFonts w:hint="eastAsia" w:eastAsia="仿宋_GB2312"/>
                      <w:color w:val="000000"/>
                      <w:kern w:val="0"/>
                      <w:sz w:val="21"/>
                      <w:szCs w:val="21"/>
                      <w:lang w:val="en-US" w:eastAsia="zh-CN"/>
                    </w:rPr>
                    <w:t>3万</w:t>
                  </w:r>
                  <w:r>
                    <w:rPr>
                      <w:rFonts w:eastAsia="仿宋_GB2312"/>
                      <w:color w:val="000000"/>
                      <w:kern w:val="0"/>
                      <w:sz w:val="21"/>
                      <w:szCs w:val="21"/>
                    </w:rPr>
                    <w:t>t/a</w:t>
                  </w:r>
                </w:p>
              </w:tc>
              <w:tc>
                <w:tcPr>
                  <w:tcW w:w="568" w:type="pct"/>
                  <w:vMerge w:val="continue"/>
                </w:tcPr>
                <w:p w14:paraId="5DDDD9DB">
                  <w:pPr>
                    <w:adjustRightInd w:val="0"/>
                    <w:snapToGrid w:val="0"/>
                    <w:jc w:val="center"/>
                    <w:rPr>
                      <w:rFonts w:eastAsia="仿宋_GB2312"/>
                      <w:color w:val="000000"/>
                      <w:sz w:val="21"/>
                      <w:szCs w:val="21"/>
                    </w:rPr>
                  </w:pPr>
                </w:p>
              </w:tc>
            </w:tr>
          </w:tbl>
          <w:p w14:paraId="3FE330CB">
            <w:pPr>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jc w:val="both"/>
              <w:textAlignment w:val="auto"/>
              <w:rPr>
                <w:rFonts w:hint="eastAsia" w:eastAsia="仿宋_GB2312"/>
                <w:b/>
                <w:kern w:val="0"/>
                <w:lang w:val="en-US" w:eastAsia="zh-CN"/>
              </w:rPr>
            </w:pPr>
            <w:r>
              <w:rPr>
                <w:rFonts w:hint="eastAsia" w:eastAsia="仿宋_GB2312"/>
                <w:b/>
                <w:kern w:val="0"/>
                <w:lang w:val="en-US" w:eastAsia="zh-CN"/>
              </w:rPr>
              <w:t>注：（1）全厂精制盐为2期项目，一期为60万吨精制盐生产线，二期为100万吨精制盐生产线，其中卤水净化为前处理工段，卤水净化工艺技改前一期、二期卤水净化工艺均为“烧碱－纯碱法”两碱法工艺。</w:t>
            </w:r>
          </w:p>
          <w:p w14:paraId="4DABCFD9">
            <w:pPr>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jc w:val="both"/>
              <w:textAlignment w:val="auto"/>
              <w:rPr>
                <w:rFonts w:hint="eastAsia" w:eastAsia="仿宋_GB2312"/>
                <w:b/>
                <w:kern w:val="0"/>
                <w:lang w:val="en-US" w:eastAsia="zh-CN"/>
              </w:rPr>
            </w:pPr>
            <w:r>
              <w:rPr>
                <w:rFonts w:hint="eastAsia" w:eastAsia="仿宋_GB2312"/>
                <w:b/>
                <w:kern w:val="0"/>
                <w:lang w:val="en-US" w:eastAsia="zh-CN"/>
              </w:rPr>
              <w:t>（2）2011年中盐公司建设《</w:t>
            </w:r>
            <w:bookmarkStart w:id="14" w:name="_Toc282557113"/>
            <w:bookmarkStart w:id="15" w:name="_Toc282550698"/>
            <w:bookmarkStart w:id="16" w:name="_Toc282623761"/>
            <w:bookmarkStart w:id="17" w:name="_Toc282978821"/>
            <w:r>
              <w:rPr>
                <w:rFonts w:hint="eastAsia" w:eastAsia="仿宋_GB2312"/>
                <w:b/>
                <w:kern w:val="0"/>
                <w:lang w:val="en-US" w:eastAsia="zh-CN"/>
              </w:rPr>
              <w:t>卤水净化技术改造工程</w:t>
            </w:r>
            <w:bookmarkEnd w:id="14"/>
            <w:bookmarkEnd w:id="15"/>
            <w:bookmarkEnd w:id="16"/>
            <w:r>
              <w:rPr>
                <w:rFonts w:hint="eastAsia" w:eastAsia="仿宋_GB2312"/>
                <w:b/>
                <w:kern w:val="0"/>
                <w:lang w:val="en-US" w:eastAsia="zh-CN"/>
              </w:rPr>
              <w:t>项目</w:t>
            </w:r>
            <w:bookmarkEnd w:id="17"/>
            <w:r>
              <w:rPr>
                <w:rFonts w:hint="eastAsia" w:eastAsia="仿宋_GB2312"/>
                <w:b/>
                <w:kern w:val="0"/>
                <w:lang w:val="en-US" w:eastAsia="zh-CN"/>
              </w:rPr>
              <w:t>》，对精制盐项目（一期、二期）进行技改，技改后卤水净化工艺为CO</w:t>
            </w:r>
            <w:r>
              <w:rPr>
                <w:rFonts w:hint="eastAsia" w:eastAsia="仿宋_GB2312"/>
                <w:b/>
                <w:kern w:val="0"/>
                <w:vertAlign w:val="subscript"/>
                <w:lang w:val="en-US" w:eastAsia="zh-CN"/>
              </w:rPr>
              <w:t>2</w:t>
            </w:r>
            <w:r>
              <w:rPr>
                <w:rFonts w:hint="eastAsia" w:eastAsia="仿宋_GB2312"/>
                <w:b/>
                <w:kern w:val="0"/>
                <w:lang w:val="en-US" w:eastAsia="zh-CN"/>
              </w:rPr>
              <w:t>间歇式法，但只对一期60万吨精制盐生产线的卤水净化前处理进行技改，二期现状仍为两碱法工艺。</w:t>
            </w:r>
          </w:p>
          <w:p w14:paraId="62CAC90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22" w:firstLineChars="200"/>
              <w:jc w:val="both"/>
              <w:textAlignment w:val="auto"/>
              <w:rPr>
                <w:rFonts w:hint="eastAsia" w:eastAsia="仿宋_GB2312"/>
                <w:b/>
                <w:kern w:val="0"/>
                <w:sz w:val="21"/>
                <w:szCs w:val="21"/>
                <w:lang w:val="en-US" w:eastAsia="zh-CN"/>
              </w:rPr>
            </w:pPr>
            <w:r>
              <w:rPr>
                <w:rFonts w:hint="eastAsia" w:eastAsia="仿宋_GB2312"/>
                <w:b/>
                <w:kern w:val="0"/>
                <w:lang w:val="en-US" w:eastAsia="zh-CN"/>
              </w:rPr>
              <w:t>（3）本次技改项目新增一条卤水净化生产线，与上述一期、二期</w:t>
            </w:r>
            <w:r>
              <w:rPr>
                <w:rFonts w:hint="eastAsia" w:eastAsia="仿宋_GB2312"/>
                <w:b/>
                <w:kern w:val="0"/>
                <w:sz w:val="21"/>
                <w:szCs w:val="21"/>
                <w:lang w:val="en-US" w:eastAsia="zh-CN"/>
              </w:rPr>
              <w:t>卤水净化</w:t>
            </w:r>
            <w:r>
              <w:rPr>
                <w:rFonts w:hint="eastAsia" w:eastAsia="仿宋_GB2312"/>
                <w:b/>
                <w:kern w:val="0"/>
                <w:lang w:val="en-US" w:eastAsia="zh-CN"/>
              </w:rPr>
              <w:t>生产线为并列生产线。</w:t>
            </w:r>
            <w:r>
              <w:rPr>
                <w:rFonts w:hint="eastAsia" w:eastAsia="仿宋_GB2312"/>
                <w:b/>
                <w:kern w:val="0"/>
                <w:sz w:val="21"/>
                <w:szCs w:val="21"/>
                <w:lang w:val="en-US" w:eastAsia="zh-CN"/>
              </w:rPr>
              <w:t>一期二期卤水净化</w:t>
            </w:r>
            <w:r>
              <w:rPr>
                <w:rFonts w:hint="eastAsia" w:eastAsia="仿宋_GB2312"/>
                <w:b/>
                <w:kern w:val="0"/>
                <w:lang w:val="en-US" w:eastAsia="zh-CN"/>
              </w:rPr>
              <w:t>生产线</w:t>
            </w:r>
            <w:r>
              <w:rPr>
                <w:rFonts w:hint="eastAsia" w:eastAsia="仿宋_GB2312"/>
                <w:b/>
                <w:kern w:val="0"/>
                <w:sz w:val="21"/>
                <w:szCs w:val="21"/>
                <w:lang w:val="en-US" w:eastAsia="zh-CN"/>
              </w:rPr>
              <w:t>备用。</w:t>
            </w:r>
          </w:p>
          <w:p w14:paraId="1F187B4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22" w:firstLineChars="200"/>
              <w:jc w:val="both"/>
              <w:textAlignment w:val="auto"/>
              <w:rPr>
                <w:rFonts w:hint="eastAsia" w:eastAsia="仿宋_GB2312"/>
                <w:b/>
                <w:kern w:val="0"/>
                <w:sz w:val="21"/>
                <w:szCs w:val="21"/>
                <w:lang w:val="en-US" w:eastAsia="zh-CN"/>
              </w:rPr>
            </w:pPr>
            <w:r>
              <w:rPr>
                <w:rFonts w:hint="eastAsia" w:eastAsia="仿宋_GB2312"/>
                <w:b/>
                <w:kern w:val="0"/>
                <w:sz w:val="21"/>
                <w:szCs w:val="21"/>
                <w:lang w:val="en-US" w:eastAsia="zh-CN"/>
              </w:rPr>
              <w:t>（4）本项目卤水净化总量不发生变化，卤水为生产食用盐的主要原辅料，原辅料用量不发生变化，后端的食用盐产能也不发生变化。</w:t>
            </w:r>
          </w:p>
          <w:p w14:paraId="5614B5BE">
            <w:pPr>
              <w:keepNext w:val="0"/>
              <w:keepLines w:val="0"/>
              <w:pageBreakBefore w:val="0"/>
              <w:widowControl w:val="0"/>
              <w:kinsoku/>
              <w:wordWrap/>
              <w:overflowPunct/>
              <w:topLinePunct w:val="0"/>
              <w:autoSpaceDE/>
              <w:autoSpaceDN/>
              <w:bidi w:val="0"/>
              <w:adjustRightInd w:val="0"/>
              <w:snapToGrid w:val="0"/>
              <w:spacing w:before="157" w:beforeLines="50"/>
              <w:jc w:val="center"/>
              <w:textAlignment w:val="auto"/>
              <w:rPr>
                <w:rFonts w:hint="default" w:eastAsia="仿宋_GB2312"/>
                <w:b/>
                <w:color w:val="000000"/>
                <w:kern w:val="0"/>
                <w:lang w:val="en-US"/>
              </w:rPr>
            </w:pPr>
            <w:r>
              <w:rPr>
                <w:rFonts w:eastAsia="仿宋_GB2312"/>
                <w:b/>
                <w:color w:val="000000"/>
                <w:kern w:val="0"/>
              </w:rPr>
              <w:t>表2</w:t>
            </w:r>
            <w:r>
              <w:rPr>
                <w:rFonts w:hint="eastAsia" w:eastAsia="仿宋_GB2312"/>
                <w:b/>
                <w:color w:val="000000"/>
                <w:kern w:val="0"/>
                <w:lang w:val="en-US" w:eastAsia="zh-CN"/>
              </w:rPr>
              <w:t>-2  技改前后工艺对照分析表</w:t>
            </w:r>
          </w:p>
          <w:tbl>
            <w:tblPr>
              <w:tblStyle w:val="3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656"/>
              <w:gridCol w:w="1175"/>
              <w:gridCol w:w="827"/>
              <w:gridCol w:w="685"/>
              <w:gridCol w:w="1210"/>
              <w:gridCol w:w="708"/>
              <w:gridCol w:w="591"/>
              <w:gridCol w:w="953"/>
              <w:gridCol w:w="931"/>
            </w:tblGrid>
            <w:tr w14:paraId="6428D3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479" w:type="pct"/>
                  <w:gridSpan w:val="3"/>
                  <w:tcBorders>
                    <w:tl2br w:val="nil"/>
                    <w:tr2bl w:val="nil"/>
                  </w:tcBorders>
                  <w:vAlign w:val="center"/>
                </w:tcPr>
                <w:p w14:paraId="48F3C097">
                  <w:pPr>
                    <w:pStyle w:val="69"/>
                    <w:adjustRightInd w:val="0"/>
                    <w:snapToGrid w:val="0"/>
                    <w:jc w:val="center"/>
                    <w:rPr>
                      <w:rFonts w:hint="eastAsia" w:ascii="Times New Roman" w:hAnsi="Times New Roman" w:eastAsia="仿宋_GB2312" w:cs="Times New Roman"/>
                      <w:b/>
                      <w:snapToGrid w:val="0"/>
                      <w:kern w:val="0"/>
                      <w:sz w:val="21"/>
                      <w:szCs w:val="21"/>
                      <w:lang w:val="en-US" w:eastAsia="zh-CN"/>
                    </w:rPr>
                  </w:pPr>
                  <w:r>
                    <w:rPr>
                      <w:rFonts w:hint="eastAsia" w:ascii="Times New Roman" w:hAnsi="Times New Roman" w:eastAsia="仿宋_GB2312" w:cs="Times New Roman"/>
                      <w:b/>
                      <w:snapToGrid w:val="0"/>
                      <w:kern w:val="0"/>
                      <w:sz w:val="21"/>
                      <w:szCs w:val="21"/>
                      <w:lang w:val="en-US" w:eastAsia="zh-CN"/>
                    </w:rPr>
                    <w:t>一期技改前基本情况</w:t>
                  </w:r>
                </w:p>
              </w:tc>
              <w:tc>
                <w:tcPr>
                  <w:tcW w:w="1622" w:type="pct"/>
                  <w:gridSpan w:val="3"/>
                  <w:tcBorders>
                    <w:tl2br w:val="nil"/>
                    <w:tr2bl w:val="nil"/>
                  </w:tcBorders>
                  <w:vAlign w:val="center"/>
                </w:tcPr>
                <w:p w14:paraId="750392DD">
                  <w:pPr>
                    <w:pStyle w:val="69"/>
                    <w:adjustRightInd w:val="0"/>
                    <w:snapToGrid w:val="0"/>
                    <w:jc w:val="center"/>
                    <w:rPr>
                      <w:rFonts w:hint="default" w:ascii="Times New Roman" w:hAnsi="Times New Roman" w:eastAsia="仿宋_GB2312" w:cs="Times New Roman"/>
                      <w:b/>
                      <w:snapToGrid w:val="0"/>
                      <w:kern w:val="0"/>
                      <w:sz w:val="21"/>
                      <w:szCs w:val="21"/>
                      <w:lang w:val="en-US" w:eastAsia="zh-CN"/>
                    </w:rPr>
                  </w:pPr>
                  <w:r>
                    <w:rPr>
                      <w:rFonts w:hint="eastAsia" w:ascii="Times New Roman" w:hAnsi="Times New Roman" w:eastAsia="仿宋_GB2312" w:cs="Times New Roman"/>
                      <w:b/>
                      <w:snapToGrid w:val="0"/>
                      <w:kern w:val="0"/>
                      <w:sz w:val="21"/>
                      <w:szCs w:val="21"/>
                      <w:lang w:val="en-US" w:eastAsia="zh-CN"/>
                    </w:rPr>
                    <w:t>二期技改前基本情况</w:t>
                  </w:r>
                </w:p>
              </w:tc>
              <w:tc>
                <w:tcPr>
                  <w:tcW w:w="1342" w:type="pct"/>
                  <w:gridSpan w:val="3"/>
                  <w:tcBorders>
                    <w:tl2br w:val="nil"/>
                    <w:tr2bl w:val="nil"/>
                  </w:tcBorders>
                  <w:vAlign w:val="center"/>
                </w:tcPr>
                <w:p w14:paraId="1A92892B">
                  <w:pPr>
                    <w:pStyle w:val="69"/>
                    <w:adjustRightInd w:val="0"/>
                    <w:snapToGrid w:val="0"/>
                    <w:jc w:val="center"/>
                    <w:rPr>
                      <w:rFonts w:hint="default" w:ascii="Times New Roman" w:hAnsi="Times New Roman" w:eastAsia="仿宋_GB2312" w:cs="Times New Roman"/>
                      <w:b/>
                      <w:snapToGrid w:val="0"/>
                      <w:kern w:val="0"/>
                      <w:sz w:val="21"/>
                      <w:szCs w:val="21"/>
                      <w:lang w:val="en-US" w:eastAsia="zh-CN"/>
                    </w:rPr>
                  </w:pPr>
                  <w:r>
                    <w:rPr>
                      <w:rFonts w:hint="eastAsia" w:ascii="Times New Roman" w:hAnsi="Times New Roman" w:eastAsia="仿宋_GB2312" w:cs="Times New Roman"/>
                      <w:b/>
                      <w:snapToGrid w:val="0"/>
                      <w:kern w:val="0"/>
                      <w:sz w:val="21"/>
                      <w:szCs w:val="21"/>
                      <w:lang w:val="en-US" w:eastAsia="zh-CN"/>
                    </w:rPr>
                    <w:t>技改前基本情况</w:t>
                  </w:r>
                </w:p>
              </w:tc>
              <w:tc>
                <w:tcPr>
                  <w:tcW w:w="555" w:type="pct"/>
                  <w:vMerge w:val="restart"/>
                  <w:tcBorders>
                    <w:tl2br w:val="nil"/>
                    <w:tr2bl w:val="nil"/>
                  </w:tcBorders>
                  <w:vAlign w:val="center"/>
                </w:tcPr>
                <w:p w14:paraId="6C623291">
                  <w:pPr>
                    <w:pStyle w:val="69"/>
                    <w:adjustRightInd w:val="0"/>
                    <w:snapToGrid w:val="0"/>
                    <w:jc w:val="center"/>
                    <w:rPr>
                      <w:rFonts w:hint="default" w:ascii="Times New Roman" w:hAnsi="Times New Roman" w:eastAsia="仿宋_GB2312" w:cs="Times New Roman"/>
                      <w:b/>
                      <w:snapToGrid w:val="0"/>
                      <w:kern w:val="0"/>
                      <w:sz w:val="21"/>
                      <w:szCs w:val="21"/>
                      <w:lang w:val="en-US" w:eastAsia="zh-CN"/>
                    </w:rPr>
                  </w:pPr>
                  <w:r>
                    <w:rPr>
                      <w:rFonts w:hint="eastAsia" w:ascii="Times New Roman" w:hAnsi="Times New Roman" w:eastAsia="仿宋_GB2312" w:cs="Times New Roman"/>
                      <w:b/>
                      <w:snapToGrid w:val="0"/>
                      <w:kern w:val="0"/>
                      <w:sz w:val="21"/>
                      <w:szCs w:val="21"/>
                      <w:lang w:val="en-US" w:eastAsia="zh-CN"/>
                    </w:rPr>
                    <w:t>备注</w:t>
                  </w:r>
                </w:p>
              </w:tc>
            </w:tr>
            <w:tr w14:paraId="79C8E8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388" w:type="pct"/>
                  <w:tcBorders>
                    <w:tl2br w:val="nil"/>
                    <w:tr2bl w:val="nil"/>
                  </w:tcBorders>
                  <w:vAlign w:val="center"/>
                </w:tcPr>
                <w:p w14:paraId="7CD6A4E2">
                  <w:pPr>
                    <w:pStyle w:val="69"/>
                    <w:adjustRightInd w:val="0"/>
                    <w:snapToGrid w:val="0"/>
                    <w:jc w:val="center"/>
                    <w:rPr>
                      <w:rFonts w:hint="eastAsia" w:ascii="Times New Roman" w:hAnsi="Times New Roman" w:eastAsia="仿宋_GB2312" w:cs="Times New Roman"/>
                      <w:b/>
                      <w:snapToGrid w:val="0"/>
                      <w:kern w:val="0"/>
                      <w:sz w:val="21"/>
                      <w:szCs w:val="21"/>
                      <w:lang w:val="en-US" w:eastAsia="zh-CN"/>
                    </w:rPr>
                  </w:pPr>
                  <w:r>
                    <w:rPr>
                      <w:rFonts w:hint="eastAsia" w:ascii="Times New Roman" w:hAnsi="Times New Roman" w:eastAsia="仿宋_GB2312" w:cs="Times New Roman"/>
                      <w:b/>
                      <w:snapToGrid w:val="0"/>
                      <w:kern w:val="0"/>
                      <w:sz w:val="21"/>
                      <w:szCs w:val="21"/>
                      <w:lang w:val="en-US" w:eastAsia="zh-CN"/>
                    </w:rPr>
                    <w:t>产品名称</w:t>
                  </w:r>
                </w:p>
              </w:tc>
              <w:tc>
                <w:tcPr>
                  <w:tcW w:w="1091" w:type="pct"/>
                  <w:gridSpan w:val="2"/>
                  <w:tcBorders>
                    <w:tl2br w:val="nil"/>
                    <w:tr2bl w:val="nil"/>
                  </w:tcBorders>
                  <w:vAlign w:val="center"/>
                </w:tcPr>
                <w:p w14:paraId="29B435DF">
                  <w:pPr>
                    <w:pStyle w:val="69"/>
                    <w:adjustRightInd w:val="0"/>
                    <w:snapToGrid w:val="0"/>
                    <w:jc w:val="center"/>
                    <w:rPr>
                      <w:rFonts w:hint="eastAsia" w:ascii="Times New Roman" w:hAnsi="Times New Roman" w:eastAsia="仿宋_GB2312" w:cs="Times New Roman"/>
                      <w:b/>
                      <w:snapToGrid w:val="0"/>
                      <w:kern w:val="0"/>
                      <w:sz w:val="21"/>
                      <w:szCs w:val="21"/>
                      <w:lang w:val="en-US" w:eastAsia="zh-CN"/>
                    </w:rPr>
                  </w:pPr>
                  <w:r>
                    <w:rPr>
                      <w:rFonts w:hint="eastAsia" w:ascii="Times New Roman" w:hAnsi="Times New Roman" w:eastAsia="仿宋_GB2312" w:cs="Times New Roman"/>
                      <w:b/>
                      <w:snapToGrid w:val="0"/>
                      <w:kern w:val="0"/>
                      <w:sz w:val="21"/>
                      <w:szCs w:val="21"/>
                      <w:lang w:val="en-US" w:eastAsia="zh-CN"/>
                    </w:rPr>
                    <w:t>原环评审批主要工序</w:t>
                  </w:r>
                </w:p>
              </w:tc>
              <w:tc>
                <w:tcPr>
                  <w:tcW w:w="493" w:type="pct"/>
                  <w:tcBorders>
                    <w:tl2br w:val="nil"/>
                    <w:tr2bl w:val="nil"/>
                  </w:tcBorders>
                  <w:vAlign w:val="center"/>
                </w:tcPr>
                <w:p w14:paraId="5350C3DE">
                  <w:pPr>
                    <w:pStyle w:val="69"/>
                    <w:adjustRightInd w:val="0"/>
                    <w:snapToGrid w:val="0"/>
                    <w:jc w:val="center"/>
                    <w:rPr>
                      <w:rFonts w:hint="default" w:ascii="Times New Roman" w:hAnsi="Times New Roman" w:eastAsia="仿宋_GB2312" w:cs="Times New Roman"/>
                      <w:b/>
                      <w:snapToGrid w:val="0"/>
                      <w:kern w:val="0"/>
                      <w:sz w:val="21"/>
                      <w:szCs w:val="21"/>
                      <w:lang w:val="en-US" w:eastAsia="zh-CN"/>
                    </w:rPr>
                  </w:pPr>
                  <w:r>
                    <w:rPr>
                      <w:rFonts w:hint="eastAsia" w:ascii="Times New Roman" w:hAnsi="Times New Roman" w:eastAsia="仿宋_GB2312" w:cs="Times New Roman"/>
                      <w:b/>
                      <w:snapToGrid w:val="0"/>
                      <w:kern w:val="0"/>
                      <w:sz w:val="21"/>
                      <w:szCs w:val="21"/>
                      <w:lang w:val="en-US" w:eastAsia="zh-CN"/>
                    </w:rPr>
                    <w:t>产品名称</w:t>
                  </w:r>
                </w:p>
              </w:tc>
              <w:tc>
                <w:tcPr>
                  <w:tcW w:w="1129" w:type="pct"/>
                  <w:gridSpan w:val="2"/>
                  <w:tcBorders>
                    <w:tl2br w:val="nil"/>
                    <w:tr2bl w:val="nil"/>
                  </w:tcBorders>
                  <w:vAlign w:val="center"/>
                </w:tcPr>
                <w:p w14:paraId="55A95CE2">
                  <w:pPr>
                    <w:pStyle w:val="69"/>
                    <w:adjustRightInd w:val="0"/>
                    <w:snapToGrid w:val="0"/>
                    <w:jc w:val="center"/>
                    <w:rPr>
                      <w:rFonts w:hint="default" w:ascii="Times New Roman" w:hAnsi="Times New Roman" w:eastAsia="仿宋_GB2312" w:cs="Times New Roman"/>
                      <w:b/>
                      <w:snapToGrid w:val="0"/>
                      <w:kern w:val="0"/>
                      <w:sz w:val="21"/>
                      <w:szCs w:val="21"/>
                      <w:lang w:val="en-US" w:eastAsia="zh-CN"/>
                    </w:rPr>
                  </w:pPr>
                  <w:r>
                    <w:rPr>
                      <w:rFonts w:hint="eastAsia" w:ascii="Times New Roman" w:hAnsi="Times New Roman" w:eastAsia="仿宋_GB2312" w:cs="Times New Roman"/>
                      <w:b/>
                      <w:snapToGrid w:val="0"/>
                      <w:kern w:val="0"/>
                      <w:sz w:val="21"/>
                      <w:szCs w:val="21"/>
                      <w:lang w:val="en-US" w:eastAsia="zh-CN"/>
                    </w:rPr>
                    <w:t>原环评审批主要工序</w:t>
                  </w:r>
                </w:p>
              </w:tc>
              <w:tc>
                <w:tcPr>
                  <w:tcW w:w="422" w:type="pct"/>
                  <w:tcBorders>
                    <w:tl2br w:val="nil"/>
                    <w:tr2bl w:val="nil"/>
                  </w:tcBorders>
                  <w:vAlign w:val="center"/>
                </w:tcPr>
                <w:p w14:paraId="3BCE51D2">
                  <w:pPr>
                    <w:pStyle w:val="69"/>
                    <w:adjustRightInd w:val="0"/>
                    <w:snapToGrid w:val="0"/>
                    <w:jc w:val="center"/>
                    <w:rPr>
                      <w:rFonts w:hint="default" w:ascii="Times New Roman" w:hAnsi="Times New Roman" w:eastAsia="仿宋_GB2312" w:cs="Times New Roman"/>
                      <w:b/>
                      <w:snapToGrid w:val="0"/>
                      <w:kern w:val="0"/>
                      <w:sz w:val="21"/>
                      <w:szCs w:val="21"/>
                      <w:lang w:val="en-US" w:eastAsia="zh-CN"/>
                    </w:rPr>
                  </w:pPr>
                  <w:r>
                    <w:rPr>
                      <w:rFonts w:hint="eastAsia" w:ascii="Times New Roman" w:hAnsi="Times New Roman" w:eastAsia="仿宋_GB2312" w:cs="Times New Roman"/>
                      <w:b/>
                      <w:snapToGrid w:val="0"/>
                      <w:kern w:val="0"/>
                      <w:sz w:val="21"/>
                      <w:szCs w:val="21"/>
                      <w:lang w:val="en-US" w:eastAsia="zh-CN"/>
                    </w:rPr>
                    <w:t>产品名称</w:t>
                  </w:r>
                </w:p>
              </w:tc>
              <w:tc>
                <w:tcPr>
                  <w:tcW w:w="920" w:type="pct"/>
                  <w:gridSpan w:val="2"/>
                  <w:tcBorders>
                    <w:tl2br w:val="nil"/>
                    <w:tr2bl w:val="nil"/>
                  </w:tcBorders>
                  <w:vAlign w:val="center"/>
                </w:tcPr>
                <w:p w14:paraId="2CBED6E0">
                  <w:pPr>
                    <w:pStyle w:val="69"/>
                    <w:adjustRightInd w:val="0"/>
                    <w:snapToGrid w:val="0"/>
                    <w:jc w:val="center"/>
                    <w:rPr>
                      <w:rFonts w:hint="default" w:ascii="Times New Roman" w:hAnsi="Times New Roman" w:eastAsia="仿宋_GB2312" w:cs="Times New Roman"/>
                      <w:b/>
                      <w:snapToGrid w:val="0"/>
                      <w:kern w:val="0"/>
                      <w:sz w:val="21"/>
                      <w:szCs w:val="21"/>
                      <w:lang w:val="en-US" w:eastAsia="zh-CN"/>
                    </w:rPr>
                  </w:pPr>
                  <w:r>
                    <w:rPr>
                      <w:rFonts w:hint="eastAsia" w:ascii="Times New Roman" w:hAnsi="Times New Roman" w:eastAsia="仿宋_GB2312" w:cs="Times New Roman"/>
                      <w:b/>
                      <w:snapToGrid w:val="0"/>
                      <w:kern w:val="0"/>
                      <w:sz w:val="21"/>
                      <w:szCs w:val="21"/>
                      <w:lang w:val="en-US" w:eastAsia="zh-CN"/>
                    </w:rPr>
                    <w:t>主要工序</w:t>
                  </w:r>
                </w:p>
              </w:tc>
              <w:tc>
                <w:tcPr>
                  <w:tcW w:w="555" w:type="pct"/>
                  <w:vMerge w:val="continue"/>
                  <w:tcBorders>
                    <w:tl2br w:val="nil"/>
                    <w:tr2bl w:val="nil"/>
                  </w:tcBorders>
                  <w:vAlign w:val="center"/>
                </w:tcPr>
                <w:p w14:paraId="59A27BF6">
                  <w:pPr>
                    <w:pStyle w:val="69"/>
                    <w:adjustRightInd w:val="0"/>
                    <w:snapToGrid w:val="0"/>
                    <w:jc w:val="center"/>
                  </w:pPr>
                </w:p>
              </w:tc>
            </w:tr>
            <w:tr w14:paraId="7D6771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388" w:type="pct"/>
                  <w:tcBorders>
                    <w:tl2br w:val="nil"/>
                    <w:tr2bl w:val="nil"/>
                  </w:tcBorders>
                  <w:vAlign w:val="center"/>
                </w:tcPr>
                <w:p w14:paraId="16DF8AA5">
                  <w:pPr>
                    <w:pStyle w:val="69"/>
                    <w:adjustRightInd w:val="0"/>
                    <w:snapToGrid w:val="0"/>
                    <w:jc w:val="center"/>
                    <w:rPr>
                      <w:rFonts w:hint="default" w:ascii="Times New Roman" w:hAnsi="Times New Roman" w:eastAsia="仿宋_GB2312" w:cs="Times New Roman"/>
                      <w:b w:val="0"/>
                      <w:bCs/>
                      <w:snapToGrid w:val="0"/>
                      <w:kern w:val="0"/>
                      <w:sz w:val="21"/>
                      <w:szCs w:val="21"/>
                      <w:lang w:val="en-US" w:eastAsia="zh-CN"/>
                    </w:rPr>
                  </w:pPr>
                  <w:r>
                    <w:rPr>
                      <w:rFonts w:hint="eastAsia" w:ascii="Times New Roman" w:hAnsi="Times New Roman" w:eastAsia="仿宋_GB2312" w:cs="Times New Roman"/>
                      <w:b w:val="0"/>
                      <w:bCs/>
                      <w:snapToGrid w:val="0"/>
                      <w:kern w:val="0"/>
                      <w:sz w:val="21"/>
                      <w:szCs w:val="21"/>
                      <w:lang w:val="en-US" w:eastAsia="zh-CN"/>
                    </w:rPr>
                    <w:t>卤水</w:t>
                  </w:r>
                </w:p>
              </w:tc>
              <w:tc>
                <w:tcPr>
                  <w:tcW w:w="391" w:type="pct"/>
                  <w:tcBorders>
                    <w:tl2br w:val="nil"/>
                    <w:tr2bl w:val="nil"/>
                  </w:tcBorders>
                  <w:vAlign w:val="center"/>
                </w:tcPr>
                <w:p w14:paraId="5118E479">
                  <w:pPr>
                    <w:pStyle w:val="69"/>
                    <w:adjustRightInd w:val="0"/>
                    <w:snapToGrid w:val="0"/>
                    <w:jc w:val="center"/>
                    <w:rPr>
                      <w:rFonts w:hint="default" w:ascii="Times New Roman" w:hAnsi="Times New Roman" w:eastAsia="仿宋_GB2312" w:cs="Times New Roman"/>
                      <w:b w:val="0"/>
                      <w:bCs/>
                      <w:snapToGrid w:val="0"/>
                      <w:kern w:val="0"/>
                      <w:sz w:val="21"/>
                      <w:szCs w:val="21"/>
                      <w:lang w:val="en-US" w:eastAsia="zh-CN"/>
                    </w:rPr>
                  </w:pPr>
                  <w:r>
                    <w:rPr>
                      <w:rFonts w:hint="eastAsia" w:ascii="Times New Roman" w:hAnsi="Times New Roman" w:eastAsia="仿宋_GB2312" w:cs="Times New Roman"/>
                      <w:b w:val="0"/>
                      <w:bCs/>
                      <w:snapToGrid w:val="0"/>
                      <w:kern w:val="0"/>
                      <w:sz w:val="21"/>
                      <w:szCs w:val="21"/>
                      <w:lang w:val="en-US" w:eastAsia="zh-CN"/>
                    </w:rPr>
                    <w:t>CO</w:t>
                  </w:r>
                  <w:r>
                    <w:rPr>
                      <w:rFonts w:hint="eastAsia" w:ascii="Times New Roman" w:hAnsi="Times New Roman" w:eastAsia="仿宋_GB2312" w:cs="Times New Roman"/>
                      <w:b w:val="0"/>
                      <w:bCs/>
                      <w:snapToGrid w:val="0"/>
                      <w:kern w:val="0"/>
                      <w:sz w:val="21"/>
                      <w:szCs w:val="21"/>
                      <w:vertAlign w:val="subscript"/>
                      <w:lang w:val="en-US" w:eastAsia="zh-CN"/>
                    </w:rPr>
                    <w:t>2</w:t>
                  </w:r>
                  <w:r>
                    <w:rPr>
                      <w:rFonts w:hint="eastAsia" w:ascii="Times New Roman" w:hAnsi="Times New Roman" w:eastAsia="仿宋_GB2312" w:cs="Times New Roman"/>
                      <w:b w:val="0"/>
                      <w:bCs/>
                      <w:snapToGrid w:val="0"/>
                      <w:kern w:val="0"/>
                      <w:sz w:val="21"/>
                      <w:szCs w:val="21"/>
                      <w:lang w:val="en-US" w:eastAsia="zh-CN"/>
                    </w:rPr>
                    <w:t>间歇式法</w:t>
                  </w:r>
                </w:p>
              </w:tc>
              <w:tc>
                <w:tcPr>
                  <w:tcW w:w="700" w:type="pct"/>
                  <w:tcBorders>
                    <w:tl2br w:val="nil"/>
                    <w:tr2bl w:val="nil"/>
                  </w:tcBorders>
                  <w:vAlign w:val="center"/>
                </w:tcPr>
                <w:p w14:paraId="1C2AE65E">
                  <w:pPr>
                    <w:pStyle w:val="69"/>
                    <w:adjustRightInd w:val="0"/>
                    <w:snapToGrid w:val="0"/>
                    <w:jc w:val="center"/>
                    <w:rPr>
                      <w:rFonts w:hint="default" w:ascii="Times New Roman" w:hAnsi="Times New Roman" w:eastAsia="仿宋_GB2312" w:cs="Times New Roman"/>
                      <w:b w:val="0"/>
                      <w:bCs/>
                      <w:snapToGrid w:val="0"/>
                      <w:kern w:val="0"/>
                      <w:sz w:val="21"/>
                      <w:szCs w:val="21"/>
                      <w:lang w:val="en-US" w:eastAsia="zh-CN"/>
                    </w:rPr>
                  </w:pPr>
                  <w:r>
                    <w:rPr>
                      <w:rFonts w:ascii="Times New Roman" w:hAnsi="Times New Roman" w:eastAsia="仿宋_GB2312" w:cs="Times New Roman"/>
                      <w:kern w:val="2"/>
                      <w:sz w:val="21"/>
                      <w:szCs w:val="21"/>
                      <w:lang w:val="en-US" w:eastAsia="zh-CN" w:bidi="ar-SA"/>
                    </w:rPr>
                    <w:t>配置添加剂</w:t>
                  </w:r>
                  <w:r>
                    <w:rPr>
                      <w:rFonts w:hint="eastAsia" w:ascii="Times New Roman" w:hAnsi="Times New Roman" w:eastAsia="仿宋_GB2312" w:cs="Times New Roman"/>
                      <w:kern w:val="2"/>
                      <w:sz w:val="21"/>
                      <w:szCs w:val="21"/>
                      <w:lang w:val="en-US" w:eastAsia="zh-CN" w:bidi="ar-SA"/>
                    </w:rPr>
                    <w:t>-</w:t>
                  </w:r>
                  <w:r>
                    <w:rPr>
                      <w:rFonts w:ascii="Times New Roman" w:hAnsi="Times New Roman" w:eastAsia="仿宋_GB2312" w:cs="Times New Roman"/>
                      <w:kern w:val="2"/>
                      <w:sz w:val="21"/>
                      <w:szCs w:val="21"/>
                      <w:lang w:val="en-US" w:eastAsia="zh-CN" w:bidi="ar-SA"/>
                    </w:rPr>
                    <w:t>净化一级反应</w:t>
                  </w:r>
                  <w:r>
                    <w:rPr>
                      <w:rFonts w:hint="eastAsia" w:ascii="Times New Roman" w:hAnsi="Times New Roman" w:eastAsia="仿宋_GB2312" w:cs="Times New Roman"/>
                      <w:kern w:val="2"/>
                      <w:sz w:val="21"/>
                      <w:szCs w:val="21"/>
                      <w:lang w:val="en-US" w:eastAsia="zh-CN" w:bidi="ar-SA"/>
                    </w:rPr>
                    <w:t>-</w:t>
                  </w:r>
                  <w:r>
                    <w:rPr>
                      <w:rFonts w:ascii="Times New Roman" w:hAnsi="Times New Roman" w:eastAsia="仿宋_GB2312" w:cs="Times New Roman"/>
                      <w:kern w:val="2"/>
                      <w:sz w:val="21"/>
                      <w:szCs w:val="21"/>
                      <w:lang w:val="en-US" w:eastAsia="zh-CN" w:bidi="ar-SA"/>
                    </w:rPr>
                    <w:t>净化二级反应</w:t>
                  </w:r>
                  <w:r>
                    <w:rPr>
                      <w:rFonts w:hint="eastAsia" w:ascii="Times New Roman" w:hAnsi="Times New Roman" w:eastAsia="仿宋_GB2312" w:cs="Times New Roman"/>
                      <w:kern w:val="2"/>
                      <w:sz w:val="21"/>
                      <w:szCs w:val="21"/>
                      <w:lang w:val="en-US" w:eastAsia="zh-CN" w:bidi="ar-SA"/>
                    </w:rPr>
                    <w:t>-</w:t>
                  </w:r>
                  <w:r>
                    <w:rPr>
                      <w:rFonts w:ascii="Times New Roman" w:hAnsi="Times New Roman" w:eastAsia="仿宋_GB2312" w:cs="Times New Roman"/>
                      <w:kern w:val="2"/>
                      <w:sz w:val="21"/>
                      <w:szCs w:val="21"/>
                      <w:lang w:val="en-US" w:eastAsia="zh-CN" w:bidi="ar-SA"/>
                    </w:rPr>
                    <w:t>盐泥分离和处理</w:t>
                  </w:r>
                </w:p>
              </w:tc>
              <w:tc>
                <w:tcPr>
                  <w:tcW w:w="493" w:type="pct"/>
                  <w:tcBorders>
                    <w:tl2br w:val="nil"/>
                    <w:tr2bl w:val="nil"/>
                  </w:tcBorders>
                  <w:vAlign w:val="center"/>
                </w:tcPr>
                <w:p w14:paraId="45545F44">
                  <w:pPr>
                    <w:pStyle w:val="69"/>
                    <w:adjustRightInd w:val="0"/>
                    <w:snapToGrid w:val="0"/>
                    <w:jc w:val="center"/>
                    <w:rPr>
                      <w:rFonts w:hint="default" w:ascii="Times New Roman" w:hAnsi="Times New Roman" w:eastAsia="仿宋_GB2312" w:cs="Times New Roman"/>
                      <w:b w:val="0"/>
                      <w:bCs/>
                      <w:snapToGrid w:val="0"/>
                      <w:kern w:val="0"/>
                      <w:sz w:val="21"/>
                      <w:szCs w:val="21"/>
                      <w:lang w:val="en-US" w:eastAsia="zh-CN"/>
                    </w:rPr>
                  </w:pPr>
                  <w:r>
                    <w:rPr>
                      <w:rFonts w:hint="eastAsia" w:ascii="Times New Roman" w:hAnsi="Times New Roman" w:eastAsia="仿宋_GB2312" w:cs="Times New Roman"/>
                      <w:b w:val="0"/>
                      <w:bCs/>
                      <w:snapToGrid w:val="0"/>
                      <w:kern w:val="0"/>
                      <w:sz w:val="21"/>
                      <w:szCs w:val="21"/>
                      <w:lang w:val="en-US" w:eastAsia="zh-CN"/>
                    </w:rPr>
                    <w:t>卤水</w:t>
                  </w:r>
                </w:p>
              </w:tc>
              <w:tc>
                <w:tcPr>
                  <w:tcW w:w="408" w:type="pct"/>
                  <w:tcBorders>
                    <w:tl2br w:val="nil"/>
                    <w:tr2bl w:val="nil"/>
                  </w:tcBorders>
                  <w:vAlign w:val="center"/>
                </w:tcPr>
                <w:p w14:paraId="73ED98EE">
                  <w:pPr>
                    <w:pStyle w:val="69"/>
                    <w:adjustRightInd w:val="0"/>
                    <w:snapToGrid w:val="0"/>
                    <w:jc w:val="center"/>
                    <w:rPr>
                      <w:rFonts w:hint="default" w:ascii="Times New Roman" w:hAnsi="Times New Roman" w:eastAsia="仿宋_GB2312" w:cs="Times New Roman"/>
                      <w:b w:val="0"/>
                      <w:bCs/>
                      <w:snapToGrid w:val="0"/>
                      <w:kern w:val="0"/>
                      <w:sz w:val="21"/>
                      <w:szCs w:val="21"/>
                      <w:lang w:val="en-US" w:eastAsia="zh-CN"/>
                    </w:rPr>
                  </w:pPr>
                  <w:r>
                    <w:rPr>
                      <w:rFonts w:hint="eastAsia" w:ascii="Times New Roman" w:hAnsi="Times New Roman" w:eastAsia="仿宋_GB2312" w:cs="Times New Roman"/>
                      <w:b w:val="0"/>
                      <w:bCs/>
                      <w:snapToGrid w:val="0"/>
                      <w:kern w:val="0"/>
                      <w:sz w:val="21"/>
                      <w:szCs w:val="21"/>
                      <w:lang w:val="en-US" w:eastAsia="zh-CN"/>
                    </w:rPr>
                    <w:t>烧碱－纯碱法（间歇法）</w:t>
                  </w:r>
                </w:p>
              </w:tc>
              <w:tc>
                <w:tcPr>
                  <w:tcW w:w="721" w:type="pct"/>
                  <w:tcBorders>
                    <w:tl2br w:val="nil"/>
                    <w:tr2bl w:val="nil"/>
                  </w:tcBorders>
                  <w:vAlign w:val="center"/>
                </w:tcPr>
                <w:p w14:paraId="54B38BBB">
                  <w:pPr>
                    <w:pStyle w:val="69"/>
                    <w:adjustRightInd w:val="0"/>
                    <w:snapToGrid w:val="0"/>
                    <w:jc w:val="center"/>
                    <w:rPr>
                      <w:rFonts w:hint="default" w:ascii="Times New Roman" w:hAnsi="Times New Roman" w:eastAsia="仿宋_GB2312" w:cs="Times New Roman"/>
                      <w:b w:val="0"/>
                      <w:bCs/>
                      <w:snapToGrid w:val="0"/>
                      <w:kern w:val="0"/>
                      <w:sz w:val="21"/>
                      <w:szCs w:val="21"/>
                      <w:lang w:val="en-US" w:eastAsia="zh-CN"/>
                    </w:rPr>
                  </w:pPr>
                  <w:r>
                    <w:rPr>
                      <w:rFonts w:ascii="Times New Roman" w:hAnsi="Times New Roman" w:eastAsia="仿宋_GB2312" w:cs="Times New Roman"/>
                      <w:kern w:val="2"/>
                      <w:sz w:val="21"/>
                      <w:szCs w:val="21"/>
                      <w:lang w:val="en-US" w:eastAsia="zh-CN" w:bidi="ar-SA"/>
                    </w:rPr>
                    <w:t>配置添加剂</w:t>
                  </w:r>
                  <w:r>
                    <w:rPr>
                      <w:rFonts w:hint="eastAsia" w:ascii="Times New Roman" w:hAnsi="Times New Roman" w:eastAsia="仿宋_GB2312" w:cs="Times New Roman"/>
                      <w:kern w:val="2"/>
                      <w:sz w:val="21"/>
                      <w:szCs w:val="21"/>
                      <w:lang w:val="en-US" w:eastAsia="zh-CN" w:bidi="ar-SA"/>
                    </w:rPr>
                    <w:t>-搅拌澄清-压滤</w:t>
                  </w:r>
                </w:p>
              </w:tc>
              <w:tc>
                <w:tcPr>
                  <w:tcW w:w="422" w:type="pct"/>
                  <w:tcBorders>
                    <w:tl2br w:val="nil"/>
                    <w:tr2bl w:val="nil"/>
                  </w:tcBorders>
                  <w:vAlign w:val="center"/>
                </w:tcPr>
                <w:p w14:paraId="24E73C84">
                  <w:pPr>
                    <w:pStyle w:val="69"/>
                    <w:adjustRightInd w:val="0"/>
                    <w:snapToGrid w:val="0"/>
                    <w:jc w:val="center"/>
                    <w:rPr>
                      <w:rFonts w:hint="default" w:ascii="Times New Roman" w:hAnsi="Times New Roman" w:eastAsia="仿宋_GB2312" w:cs="Times New Roman"/>
                      <w:b w:val="0"/>
                      <w:bCs/>
                      <w:snapToGrid w:val="0"/>
                      <w:kern w:val="0"/>
                      <w:sz w:val="21"/>
                      <w:szCs w:val="21"/>
                      <w:lang w:val="en-US" w:eastAsia="zh-CN"/>
                    </w:rPr>
                  </w:pPr>
                  <w:r>
                    <w:rPr>
                      <w:rFonts w:hint="eastAsia" w:ascii="Times New Roman" w:hAnsi="Times New Roman" w:eastAsia="仿宋_GB2312" w:cs="Times New Roman"/>
                      <w:b w:val="0"/>
                      <w:bCs/>
                      <w:snapToGrid w:val="0"/>
                      <w:kern w:val="0"/>
                      <w:sz w:val="21"/>
                      <w:szCs w:val="21"/>
                      <w:lang w:val="en-US" w:eastAsia="zh-CN"/>
                    </w:rPr>
                    <w:t>卤水</w:t>
                  </w:r>
                </w:p>
              </w:tc>
              <w:tc>
                <w:tcPr>
                  <w:tcW w:w="352" w:type="pct"/>
                  <w:tcBorders>
                    <w:tl2br w:val="nil"/>
                    <w:tr2bl w:val="nil"/>
                  </w:tcBorders>
                  <w:vAlign w:val="center"/>
                </w:tcPr>
                <w:p w14:paraId="16CB26F2">
                  <w:pPr>
                    <w:pStyle w:val="69"/>
                    <w:adjustRightInd w:val="0"/>
                    <w:snapToGrid w:val="0"/>
                    <w:jc w:val="center"/>
                    <w:rPr>
                      <w:rFonts w:hint="default" w:ascii="Times New Roman" w:hAnsi="Times New Roman" w:eastAsia="仿宋_GB2312" w:cs="Times New Roman"/>
                      <w:b w:val="0"/>
                      <w:bCs/>
                      <w:snapToGrid w:val="0"/>
                      <w:kern w:val="0"/>
                      <w:sz w:val="21"/>
                      <w:szCs w:val="21"/>
                      <w:lang w:val="en-US" w:eastAsia="zh-CN"/>
                    </w:rPr>
                  </w:pPr>
                  <w:r>
                    <w:rPr>
                      <w:rFonts w:hint="eastAsia" w:ascii="Times New Roman" w:hAnsi="Times New Roman" w:eastAsia="仿宋_GB2312" w:cs="Times New Roman"/>
                      <w:b w:val="0"/>
                      <w:bCs/>
                      <w:snapToGrid w:val="0"/>
                      <w:kern w:val="0"/>
                      <w:sz w:val="21"/>
                      <w:szCs w:val="21"/>
                      <w:lang w:val="en-US" w:eastAsia="zh-CN"/>
                    </w:rPr>
                    <w:t>连续式双膜法</w:t>
                  </w:r>
                </w:p>
              </w:tc>
              <w:tc>
                <w:tcPr>
                  <w:tcW w:w="568" w:type="pct"/>
                  <w:tcBorders>
                    <w:tl2br w:val="nil"/>
                    <w:tr2bl w:val="nil"/>
                  </w:tcBorders>
                  <w:vAlign w:val="center"/>
                </w:tcPr>
                <w:p w14:paraId="7D299C6F">
                  <w:pPr>
                    <w:pStyle w:val="69"/>
                    <w:adjustRightInd w:val="0"/>
                    <w:snapToGrid w:val="0"/>
                    <w:jc w:val="center"/>
                    <w:rPr>
                      <w:rFonts w:hint="eastAsia" w:ascii="Times New Roman" w:hAnsi="Times New Roman" w:eastAsia="仿宋_GB2312" w:cs="Times New Roman"/>
                      <w:b w:val="0"/>
                      <w:bCs/>
                      <w:snapToGrid w:val="0"/>
                      <w:kern w:val="0"/>
                      <w:sz w:val="21"/>
                      <w:szCs w:val="21"/>
                      <w:lang w:val="en-US" w:eastAsia="zh-CN"/>
                    </w:rPr>
                  </w:pPr>
                  <w:r>
                    <w:rPr>
                      <w:rFonts w:ascii="Times New Roman" w:hAnsi="Times New Roman" w:eastAsia="仿宋_GB2312" w:cs="Times New Roman"/>
                      <w:kern w:val="2"/>
                      <w:sz w:val="21"/>
                      <w:szCs w:val="21"/>
                      <w:lang w:val="en-US" w:eastAsia="zh-CN" w:bidi="ar-SA"/>
                    </w:rPr>
                    <w:t>配置添加剂</w:t>
                  </w:r>
                  <w:r>
                    <w:rPr>
                      <w:rFonts w:hint="eastAsia" w:ascii="Times New Roman" w:hAnsi="Times New Roman" w:eastAsia="仿宋_GB2312" w:cs="Times New Roman"/>
                      <w:kern w:val="2"/>
                      <w:sz w:val="21"/>
                      <w:szCs w:val="21"/>
                      <w:lang w:val="en-US" w:eastAsia="zh-CN" w:bidi="ar-SA"/>
                    </w:rPr>
                    <w:t>-</w:t>
                  </w:r>
                  <w:r>
                    <w:rPr>
                      <w:rFonts w:hint="eastAsia" w:eastAsia="仿宋_GB2312"/>
                    </w:rPr>
                    <w:t>平板膜组过滤</w:t>
                  </w:r>
                  <w:r>
                    <w:rPr>
                      <w:rFonts w:hint="eastAsia" w:eastAsia="仿宋_GB2312"/>
                      <w:lang w:val="en-US" w:eastAsia="zh-CN"/>
                    </w:rPr>
                    <w:t>-</w:t>
                  </w:r>
                  <w:r>
                    <w:rPr>
                      <w:rFonts w:hint="eastAsia" w:eastAsia="仿宋_GB2312"/>
                    </w:rPr>
                    <w:t>超滤膜组过滤</w:t>
                  </w:r>
                  <w:r>
                    <w:rPr>
                      <w:rFonts w:hint="eastAsia" w:eastAsia="仿宋_GB2312"/>
                      <w:lang w:val="en-US" w:eastAsia="zh-CN"/>
                    </w:rPr>
                    <w:t>-</w:t>
                  </w:r>
                  <w:r>
                    <w:rPr>
                      <w:rFonts w:hint="eastAsia" w:eastAsia="仿宋_GB2312"/>
                    </w:rPr>
                    <w:t>纳滤膜组过滤</w:t>
                  </w:r>
                </w:p>
              </w:tc>
              <w:tc>
                <w:tcPr>
                  <w:tcW w:w="555" w:type="pct"/>
                  <w:tcBorders>
                    <w:tl2br w:val="nil"/>
                    <w:tr2bl w:val="nil"/>
                  </w:tcBorders>
                  <w:vAlign w:val="center"/>
                </w:tcPr>
                <w:p w14:paraId="15714733">
                  <w:pPr>
                    <w:pStyle w:val="69"/>
                    <w:adjustRightInd w:val="0"/>
                    <w:snapToGrid w:val="0"/>
                    <w:jc w:val="center"/>
                    <w:rPr>
                      <w:rFonts w:hint="default" w:ascii="Times New Roman" w:hAnsi="Times New Roman" w:eastAsia="仿宋_GB2312" w:cs="Times New Roman"/>
                      <w:b w:val="0"/>
                      <w:bCs/>
                      <w:snapToGrid w:val="0"/>
                      <w:kern w:val="0"/>
                      <w:sz w:val="21"/>
                      <w:szCs w:val="21"/>
                      <w:lang w:val="en-US" w:eastAsia="zh-CN"/>
                    </w:rPr>
                  </w:pPr>
                  <w:r>
                    <w:rPr>
                      <w:rFonts w:hint="eastAsia" w:ascii="Times New Roman" w:hAnsi="Times New Roman" w:eastAsia="仿宋_GB2312" w:cs="Times New Roman"/>
                      <w:b w:val="0"/>
                      <w:bCs/>
                      <w:snapToGrid w:val="0"/>
                      <w:kern w:val="0"/>
                      <w:sz w:val="21"/>
                      <w:szCs w:val="21"/>
                      <w:lang w:val="en-US" w:eastAsia="zh-CN"/>
                    </w:rPr>
                    <w:t>产品种类不发生变化，工艺都是通过配料后，再进行过滤处理</w:t>
                  </w:r>
                </w:p>
              </w:tc>
            </w:tr>
          </w:tbl>
          <w:p w14:paraId="1FDDB557">
            <w:pPr>
              <w:pStyle w:val="4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both"/>
              <w:textAlignment w:val="auto"/>
              <w:outlineLvl w:val="9"/>
              <w:rPr>
                <w:rFonts w:hint="eastAsia" w:ascii="Times New Roman" w:hAnsi="Times New Roman" w:eastAsia="仿宋_GB2312" w:cs="Times New Roman"/>
                <w:b/>
                <w:color w:val="auto"/>
                <w:kern w:val="0"/>
                <w:sz w:val="21"/>
                <w:szCs w:val="21"/>
                <w:lang w:val="en-US" w:eastAsia="zh-CN" w:bidi="ar-SA"/>
              </w:rPr>
            </w:pPr>
            <w:r>
              <w:rPr>
                <w:rFonts w:hint="eastAsia" w:ascii="Times New Roman" w:hAnsi="Times New Roman" w:eastAsia="仿宋_GB2312" w:cs="Times New Roman"/>
                <w:b/>
                <w:color w:val="auto"/>
                <w:kern w:val="0"/>
                <w:sz w:val="21"/>
                <w:szCs w:val="21"/>
                <w:lang w:val="en-US" w:eastAsia="zh-CN" w:bidi="ar-SA"/>
              </w:rPr>
              <w:t>注：（1）本项目在原有两条产线的基础上，通过连续法，弥补了间接法的生产缺陷，同时利用双膜法，可以在烟气法的基础上节约经济成本及减少污染物的排放。</w:t>
            </w:r>
          </w:p>
          <w:p w14:paraId="7AEB93B3">
            <w:pPr>
              <w:pStyle w:val="4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both"/>
              <w:textAlignment w:val="auto"/>
              <w:outlineLvl w:val="9"/>
              <w:rPr>
                <w:rFonts w:hint="eastAsia" w:ascii="Times New Roman" w:hAnsi="Times New Roman" w:eastAsia="仿宋_GB2312" w:cs="Times New Roman"/>
                <w:b/>
                <w:color w:val="auto"/>
                <w:kern w:val="0"/>
                <w:sz w:val="21"/>
                <w:szCs w:val="21"/>
                <w:lang w:val="en-US" w:eastAsia="zh-CN" w:bidi="ar-SA"/>
              </w:rPr>
            </w:pPr>
            <w:r>
              <w:rPr>
                <w:rFonts w:hint="eastAsia" w:ascii="Times New Roman" w:hAnsi="Times New Roman" w:eastAsia="仿宋_GB2312" w:cs="Times New Roman"/>
                <w:b/>
                <w:color w:val="auto"/>
                <w:kern w:val="0"/>
                <w:sz w:val="21"/>
                <w:szCs w:val="21"/>
                <w:lang w:val="en-US" w:eastAsia="zh-CN" w:bidi="ar-SA"/>
              </w:rPr>
              <w:t>（2）新工艺的卤水供应系统是24h连续生产，连续式生产相较于原先的间歇式生产，容错率相对较低，若设备出现问题会导致卤水供应跟不上，影响后段盐硝系统的正常生产。保留现有生产线，作为应急备用工艺使用，在新工艺卤水供应紧张的时候仍可达到稳定生产的效果。</w:t>
            </w:r>
          </w:p>
          <w:p w14:paraId="01C56030">
            <w:pPr>
              <w:adjustRightInd w:val="0"/>
              <w:snapToGrid w:val="0"/>
              <w:spacing w:beforeLines="50" w:line="360" w:lineRule="auto"/>
              <w:jc w:val="center"/>
              <w:rPr>
                <w:rFonts w:eastAsia="仿宋_GB2312"/>
                <w:b/>
                <w:kern w:val="0"/>
              </w:rPr>
            </w:pPr>
            <w:r>
              <w:rPr>
                <w:rFonts w:eastAsia="仿宋_GB2312"/>
                <w:b/>
                <w:kern w:val="0"/>
              </w:rPr>
              <w:t>表2-</w:t>
            </w:r>
            <w:r>
              <w:rPr>
                <w:rFonts w:hint="eastAsia" w:eastAsia="仿宋_GB2312"/>
                <w:b/>
                <w:kern w:val="0"/>
                <w:lang w:val="en-US" w:eastAsia="zh-CN"/>
              </w:rPr>
              <w:t xml:space="preserve">3  </w:t>
            </w:r>
            <w:r>
              <w:rPr>
                <w:rFonts w:eastAsia="仿宋_GB2312"/>
                <w:b/>
                <w:kern w:val="0"/>
              </w:rPr>
              <w:t>本项目主要改造工程一览表</w:t>
            </w:r>
          </w:p>
          <w:tbl>
            <w:tblPr>
              <w:tblStyle w:val="31"/>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632"/>
              <w:gridCol w:w="1628"/>
              <w:gridCol w:w="2519"/>
              <w:gridCol w:w="3611"/>
            </w:tblGrid>
            <w:tr w14:paraId="29BE2F5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jc w:val="center"/>
              </w:trPr>
              <w:tc>
                <w:tcPr>
                  <w:tcW w:w="5000" w:type="pct"/>
                  <w:gridSpan w:val="4"/>
                  <w:vAlign w:val="center"/>
                </w:tcPr>
                <w:p w14:paraId="74F4447B">
                  <w:pPr>
                    <w:pStyle w:val="69"/>
                    <w:adjustRightInd w:val="0"/>
                    <w:snapToGrid w:val="0"/>
                    <w:jc w:val="center"/>
                    <w:rPr>
                      <w:rFonts w:ascii="Times New Roman" w:hAnsi="Times New Roman" w:eastAsia="仿宋_GB2312" w:cs="Times New Roman"/>
                      <w:b/>
                      <w:snapToGrid w:val="0"/>
                      <w:kern w:val="0"/>
                      <w:sz w:val="21"/>
                      <w:szCs w:val="21"/>
                    </w:rPr>
                  </w:pPr>
                  <w:r>
                    <w:rPr>
                      <w:rFonts w:ascii="Times New Roman" w:hAnsi="Times New Roman" w:eastAsia="仿宋_GB2312" w:cs="Times New Roman"/>
                      <w:b/>
                      <w:snapToGrid w:val="0"/>
                      <w:kern w:val="0"/>
                      <w:sz w:val="21"/>
                      <w:szCs w:val="21"/>
                    </w:rPr>
                    <w:t>工程量汇总表</w:t>
                  </w:r>
                </w:p>
              </w:tc>
            </w:tr>
            <w:tr w14:paraId="744AFEB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377" w:type="pct"/>
                  <w:vAlign w:val="center"/>
                </w:tcPr>
                <w:p w14:paraId="469E1AB4">
                  <w:pPr>
                    <w:pStyle w:val="69"/>
                    <w:adjustRightInd w:val="0"/>
                    <w:snapToGrid w:val="0"/>
                    <w:jc w:val="center"/>
                    <w:rPr>
                      <w:rFonts w:ascii="Times New Roman" w:hAnsi="Times New Roman" w:eastAsia="仿宋_GB2312" w:cs="Times New Roman"/>
                      <w:b/>
                      <w:snapToGrid w:val="0"/>
                      <w:kern w:val="0"/>
                      <w:sz w:val="21"/>
                      <w:szCs w:val="21"/>
                    </w:rPr>
                  </w:pPr>
                  <w:r>
                    <w:rPr>
                      <w:rFonts w:ascii="Times New Roman" w:hAnsi="Times New Roman" w:eastAsia="仿宋_GB2312" w:cs="Times New Roman"/>
                      <w:b/>
                      <w:snapToGrid w:val="0"/>
                      <w:kern w:val="0"/>
                      <w:sz w:val="21"/>
                      <w:szCs w:val="21"/>
                    </w:rPr>
                    <w:t>序号</w:t>
                  </w:r>
                </w:p>
              </w:tc>
              <w:tc>
                <w:tcPr>
                  <w:tcW w:w="970" w:type="pct"/>
                  <w:vAlign w:val="center"/>
                </w:tcPr>
                <w:p w14:paraId="776FF24F">
                  <w:pPr>
                    <w:pStyle w:val="69"/>
                    <w:adjustRightInd w:val="0"/>
                    <w:snapToGrid w:val="0"/>
                    <w:jc w:val="center"/>
                    <w:rPr>
                      <w:rFonts w:ascii="Times New Roman" w:hAnsi="Times New Roman" w:eastAsia="仿宋_GB2312" w:cs="Times New Roman"/>
                      <w:b/>
                      <w:snapToGrid w:val="0"/>
                      <w:kern w:val="0"/>
                      <w:sz w:val="21"/>
                      <w:szCs w:val="21"/>
                    </w:rPr>
                  </w:pPr>
                  <w:r>
                    <w:rPr>
                      <w:rFonts w:ascii="Times New Roman" w:hAnsi="Times New Roman" w:eastAsia="仿宋_GB2312" w:cs="Times New Roman"/>
                      <w:b/>
                      <w:snapToGrid w:val="0"/>
                      <w:kern w:val="0"/>
                      <w:sz w:val="21"/>
                      <w:szCs w:val="21"/>
                    </w:rPr>
                    <w:t>工序</w:t>
                  </w:r>
                </w:p>
              </w:tc>
              <w:tc>
                <w:tcPr>
                  <w:tcW w:w="1501" w:type="pct"/>
                  <w:vAlign w:val="center"/>
                </w:tcPr>
                <w:p w14:paraId="128DD85F">
                  <w:pPr>
                    <w:pStyle w:val="69"/>
                    <w:adjustRightInd w:val="0"/>
                    <w:snapToGrid w:val="0"/>
                    <w:jc w:val="center"/>
                    <w:rPr>
                      <w:rFonts w:ascii="Times New Roman" w:hAnsi="Times New Roman" w:eastAsia="仿宋_GB2312" w:cs="Times New Roman"/>
                      <w:b/>
                      <w:snapToGrid w:val="0"/>
                      <w:kern w:val="0"/>
                      <w:sz w:val="21"/>
                      <w:szCs w:val="21"/>
                    </w:rPr>
                  </w:pPr>
                  <w:r>
                    <w:rPr>
                      <w:rFonts w:ascii="Times New Roman" w:hAnsi="Times New Roman" w:eastAsia="仿宋_GB2312" w:cs="Times New Roman"/>
                      <w:b/>
                      <w:snapToGrid w:val="0"/>
                      <w:kern w:val="0"/>
                      <w:sz w:val="21"/>
                      <w:szCs w:val="21"/>
                    </w:rPr>
                    <w:t>主要改造内容</w:t>
                  </w:r>
                </w:p>
              </w:tc>
              <w:tc>
                <w:tcPr>
                  <w:tcW w:w="2150" w:type="pct"/>
                  <w:vAlign w:val="center"/>
                </w:tcPr>
                <w:p w14:paraId="1B8FCFF0">
                  <w:pPr>
                    <w:pStyle w:val="69"/>
                    <w:adjustRightInd w:val="0"/>
                    <w:snapToGrid w:val="0"/>
                    <w:jc w:val="center"/>
                    <w:rPr>
                      <w:rFonts w:ascii="Times New Roman" w:hAnsi="Times New Roman" w:eastAsia="仿宋_GB2312" w:cs="Times New Roman"/>
                      <w:b/>
                      <w:snapToGrid w:val="0"/>
                      <w:kern w:val="0"/>
                      <w:sz w:val="21"/>
                      <w:szCs w:val="21"/>
                    </w:rPr>
                  </w:pPr>
                  <w:r>
                    <w:rPr>
                      <w:rFonts w:ascii="Times New Roman" w:hAnsi="Times New Roman" w:eastAsia="仿宋_GB2312" w:cs="Times New Roman"/>
                      <w:b/>
                      <w:snapToGrid w:val="0"/>
                      <w:kern w:val="0"/>
                      <w:sz w:val="21"/>
                      <w:szCs w:val="21"/>
                    </w:rPr>
                    <w:t>改造原因</w:t>
                  </w:r>
                </w:p>
              </w:tc>
            </w:tr>
            <w:tr w14:paraId="700255D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377" w:type="pct"/>
                  <w:vAlign w:val="center"/>
                </w:tcPr>
                <w:p w14:paraId="24C38084">
                  <w:pPr>
                    <w:pStyle w:val="69"/>
                    <w:adjustRightInd w:val="0"/>
                    <w:snapToGrid w:val="0"/>
                    <w:jc w:val="center"/>
                    <w:rPr>
                      <w:rFonts w:ascii="Times New Roman" w:hAnsi="Times New Roman" w:eastAsia="仿宋_GB2312" w:cs="Times New Roman"/>
                      <w:snapToGrid w:val="0"/>
                      <w:kern w:val="0"/>
                      <w:sz w:val="21"/>
                      <w:szCs w:val="21"/>
                    </w:rPr>
                  </w:pPr>
                  <w:r>
                    <w:rPr>
                      <w:rFonts w:ascii="Times New Roman" w:hAnsi="Times New Roman" w:eastAsia="仿宋_GB2312" w:cs="Times New Roman"/>
                      <w:snapToGrid w:val="0"/>
                      <w:kern w:val="0"/>
                      <w:sz w:val="21"/>
                      <w:szCs w:val="21"/>
                    </w:rPr>
                    <w:t>1</w:t>
                  </w:r>
                </w:p>
              </w:tc>
              <w:tc>
                <w:tcPr>
                  <w:tcW w:w="970" w:type="pct"/>
                  <w:vAlign w:val="center"/>
                </w:tcPr>
                <w:p w14:paraId="4635C707">
                  <w:pPr>
                    <w:pStyle w:val="69"/>
                    <w:adjustRightInd w:val="0"/>
                    <w:snapToGrid w:val="0"/>
                    <w:jc w:val="center"/>
                    <w:rPr>
                      <w:rFonts w:ascii="Times New Roman" w:hAnsi="Times New Roman" w:eastAsia="仿宋_GB2312" w:cs="Times New Roman"/>
                      <w:snapToGrid w:val="0"/>
                      <w:kern w:val="0"/>
                      <w:sz w:val="21"/>
                      <w:szCs w:val="21"/>
                    </w:rPr>
                  </w:pPr>
                  <w:r>
                    <w:rPr>
                      <w:rFonts w:ascii="Times New Roman" w:hAnsi="Times New Roman" w:eastAsia="仿宋_GB2312" w:cs="Times New Roman"/>
                      <w:snapToGrid w:val="0"/>
                      <w:kern w:val="0"/>
                      <w:sz w:val="21"/>
                      <w:szCs w:val="21"/>
                    </w:rPr>
                    <w:t>连续式双膜法</w:t>
                  </w:r>
                  <w:r>
                    <w:rPr>
                      <w:rFonts w:ascii="Times New Roman" w:eastAsia="仿宋_GB2312"/>
                      <w:color w:val="000000"/>
                      <w:sz w:val="21"/>
                      <w:szCs w:val="21"/>
                    </w:rPr>
                    <w:t>车间</w:t>
                  </w:r>
                  <w:r>
                    <w:rPr>
                      <w:rFonts w:ascii="Times New Roman" w:hAnsi="Times New Roman" w:eastAsia="仿宋_GB2312" w:cs="Times New Roman"/>
                      <w:snapToGrid w:val="0"/>
                      <w:kern w:val="0"/>
                      <w:sz w:val="21"/>
                      <w:szCs w:val="21"/>
                    </w:rPr>
                    <w:t>新建</w:t>
                  </w:r>
                </w:p>
              </w:tc>
              <w:tc>
                <w:tcPr>
                  <w:tcW w:w="1501" w:type="pct"/>
                  <w:vAlign w:val="center"/>
                </w:tcPr>
                <w:p w14:paraId="157A0BFE">
                  <w:pPr>
                    <w:pStyle w:val="69"/>
                    <w:adjustRightInd w:val="0"/>
                    <w:snapToGrid w:val="0"/>
                    <w:jc w:val="center"/>
                    <w:rPr>
                      <w:rFonts w:ascii="Times New Roman" w:hAnsi="Times New Roman" w:eastAsia="仿宋_GB2312" w:cs="Times New Roman"/>
                      <w:snapToGrid w:val="0"/>
                      <w:kern w:val="0"/>
                      <w:sz w:val="21"/>
                      <w:szCs w:val="21"/>
                    </w:rPr>
                  </w:pPr>
                  <w:r>
                    <w:rPr>
                      <w:rFonts w:ascii="Times New Roman" w:hAnsi="Times New Roman" w:eastAsia="仿宋_GB2312" w:cs="Times New Roman"/>
                      <w:snapToGrid w:val="0"/>
                      <w:kern w:val="0"/>
                      <w:sz w:val="21"/>
                      <w:szCs w:val="21"/>
                    </w:rPr>
                    <w:t>新建钢结构厂房3240平方米</w:t>
                  </w:r>
                </w:p>
              </w:tc>
              <w:tc>
                <w:tcPr>
                  <w:tcW w:w="2150" w:type="pct"/>
                  <w:vAlign w:val="center"/>
                </w:tcPr>
                <w:p w14:paraId="0624FCC8">
                  <w:pPr>
                    <w:pStyle w:val="69"/>
                    <w:adjustRightInd w:val="0"/>
                    <w:snapToGrid w:val="0"/>
                    <w:jc w:val="center"/>
                    <w:rPr>
                      <w:rFonts w:ascii="Times New Roman" w:hAnsi="Times New Roman" w:eastAsia="仿宋_GB2312" w:cs="Times New Roman"/>
                      <w:snapToGrid w:val="0"/>
                      <w:kern w:val="0"/>
                      <w:sz w:val="21"/>
                      <w:szCs w:val="21"/>
                    </w:rPr>
                  </w:pPr>
                  <w:r>
                    <w:rPr>
                      <w:rFonts w:ascii="Times New Roman" w:hAnsi="Times New Roman" w:eastAsia="仿宋_GB2312" w:cs="Times New Roman"/>
                      <w:snapToGrid w:val="0"/>
                      <w:kern w:val="0"/>
                      <w:sz w:val="21"/>
                      <w:szCs w:val="21"/>
                    </w:rPr>
                    <w:t>新建钢结构厂房用于放置新建连续式双膜法产线。</w:t>
                  </w:r>
                </w:p>
              </w:tc>
            </w:tr>
            <w:tr w14:paraId="5C9AB0B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377" w:type="pct"/>
                  <w:vAlign w:val="center"/>
                </w:tcPr>
                <w:p w14:paraId="6669A244">
                  <w:pPr>
                    <w:pStyle w:val="69"/>
                    <w:adjustRightInd w:val="0"/>
                    <w:snapToGrid w:val="0"/>
                    <w:jc w:val="center"/>
                    <w:rPr>
                      <w:rFonts w:ascii="Times New Roman" w:hAnsi="Times New Roman" w:eastAsia="仿宋_GB2312" w:cs="Times New Roman"/>
                      <w:snapToGrid w:val="0"/>
                      <w:kern w:val="0"/>
                      <w:sz w:val="21"/>
                      <w:szCs w:val="21"/>
                    </w:rPr>
                  </w:pPr>
                  <w:r>
                    <w:rPr>
                      <w:rFonts w:ascii="Times New Roman" w:hAnsi="Times New Roman" w:eastAsia="仿宋_GB2312" w:cs="Times New Roman"/>
                      <w:snapToGrid w:val="0"/>
                      <w:kern w:val="0"/>
                      <w:sz w:val="21"/>
                      <w:szCs w:val="21"/>
                    </w:rPr>
                    <w:t>2</w:t>
                  </w:r>
                </w:p>
              </w:tc>
              <w:tc>
                <w:tcPr>
                  <w:tcW w:w="970" w:type="pct"/>
                  <w:vAlign w:val="center"/>
                </w:tcPr>
                <w:p w14:paraId="03B58C7A">
                  <w:pPr>
                    <w:pStyle w:val="69"/>
                    <w:adjustRightInd w:val="0"/>
                    <w:snapToGrid w:val="0"/>
                    <w:jc w:val="center"/>
                    <w:rPr>
                      <w:rFonts w:ascii="Times New Roman" w:hAnsi="Times New Roman" w:eastAsia="仿宋_GB2312" w:cs="Times New Roman"/>
                      <w:snapToGrid w:val="0"/>
                      <w:kern w:val="0"/>
                      <w:sz w:val="21"/>
                      <w:szCs w:val="21"/>
                    </w:rPr>
                  </w:pPr>
                  <w:r>
                    <w:rPr>
                      <w:rFonts w:ascii="Times New Roman" w:hAnsi="Times New Roman" w:eastAsia="仿宋_GB2312" w:cs="Times New Roman"/>
                      <w:snapToGrid w:val="0"/>
                      <w:kern w:val="0"/>
                      <w:sz w:val="21"/>
                      <w:szCs w:val="21"/>
                    </w:rPr>
                    <w:t>连续式双膜法产线新建</w:t>
                  </w:r>
                </w:p>
              </w:tc>
              <w:tc>
                <w:tcPr>
                  <w:tcW w:w="1501" w:type="pct"/>
                  <w:vAlign w:val="center"/>
                </w:tcPr>
                <w:p w14:paraId="2CAE3557">
                  <w:pPr>
                    <w:pStyle w:val="69"/>
                    <w:adjustRightInd w:val="0"/>
                    <w:snapToGrid w:val="0"/>
                    <w:jc w:val="center"/>
                    <w:rPr>
                      <w:rFonts w:ascii="Times New Roman" w:hAnsi="Times New Roman" w:eastAsia="仿宋_GB2312" w:cs="Times New Roman"/>
                      <w:snapToGrid w:val="0"/>
                      <w:kern w:val="0"/>
                      <w:sz w:val="21"/>
                      <w:szCs w:val="21"/>
                    </w:rPr>
                  </w:pPr>
                  <w:r>
                    <w:rPr>
                      <w:rFonts w:hint="eastAsia" w:ascii="Times New Roman" w:hAnsi="Times New Roman" w:eastAsia="仿宋_GB2312" w:cs="Times New Roman"/>
                      <w:snapToGrid w:val="0"/>
                      <w:kern w:val="0"/>
                      <w:sz w:val="21"/>
                      <w:szCs w:val="21"/>
                    </w:rPr>
                    <w:t>新增膜装置（纳滤膜去除SO</w:t>
                  </w:r>
                  <w:r>
                    <w:rPr>
                      <w:rFonts w:hint="eastAsia" w:ascii="Times New Roman" w:hAnsi="Times New Roman" w:eastAsia="仿宋_GB2312" w:cs="Times New Roman"/>
                      <w:snapToGrid w:val="0"/>
                      <w:kern w:val="0"/>
                      <w:sz w:val="21"/>
                      <w:szCs w:val="21"/>
                      <w:vertAlign w:val="subscript"/>
                    </w:rPr>
                    <w:t>4</w:t>
                  </w:r>
                  <w:r>
                    <w:rPr>
                      <w:rFonts w:hint="eastAsia" w:ascii="Times New Roman" w:hAnsi="Times New Roman" w:eastAsia="仿宋_GB2312" w:cs="Times New Roman"/>
                      <w:snapToGrid w:val="0"/>
                      <w:kern w:val="0"/>
                      <w:sz w:val="21"/>
                      <w:szCs w:val="21"/>
                      <w:vertAlign w:val="superscript"/>
                    </w:rPr>
                    <w:t>2-</w:t>
                  </w:r>
                  <w:r>
                    <w:rPr>
                      <w:rFonts w:hint="eastAsia" w:ascii="Times New Roman" w:hAnsi="Times New Roman" w:eastAsia="仿宋_GB2312" w:cs="Times New Roman"/>
                      <w:snapToGrid w:val="0"/>
                      <w:kern w:val="0"/>
                      <w:sz w:val="21"/>
                      <w:szCs w:val="21"/>
                    </w:rPr>
                    <w:t>，管式超滤膜和平板超滤膜去除“SS”）,提升精卤品质后进入二期盐硝车间</w:t>
                  </w:r>
                  <w:r>
                    <w:rPr>
                      <w:rFonts w:ascii="Times New Roman" w:hAnsi="Times New Roman" w:eastAsia="仿宋_GB2312" w:cs="Times New Roman"/>
                      <w:snapToGrid w:val="0"/>
                      <w:kern w:val="0"/>
                      <w:sz w:val="21"/>
                      <w:szCs w:val="21"/>
                    </w:rPr>
                    <w:t>。</w:t>
                  </w:r>
                </w:p>
              </w:tc>
              <w:tc>
                <w:tcPr>
                  <w:tcW w:w="2150" w:type="pct"/>
                  <w:vAlign w:val="center"/>
                </w:tcPr>
                <w:p w14:paraId="608BBD70">
                  <w:pPr>
                    <w:pStyle w:val="69"/>
                    <w:adjustRightInd w:val="0"/>
                    <w:snapToGrid w:val="0"/>
                    <w:jc w:val="center"/>
                    <w:rPr>
                      <w:rFonts w:hint="default" w:ascii="Times New Roman" w:hAnsi="Times New Roman" w:eastAsia="仿宋_GB2312" w:cs="Times New Roman"/>
                      <w:snapToGrid w:val="0"/>
                      <w:kern w:val="0"/>
                      <w:sz w:val="21"/>
                      <w:szCs w:val="21"/>
                      <w:lang w:val="en-US" w:eastAsia="zh-CN"/>
                    </w:rPr>
                  </w:pPr>
                  <w:r>
                    <w:rPr>
                      <w:rFonts w:ascii="Times New Roman" w:hAnsi="Times New Roman" w:eastAsia="仿宋_GB2312" w:cs="Times New Roman"/>
                      <w:snapToGrid w:val="0"/>
                      <w:kern w:val="0"/>
                      <w:sz w:val="21"/>
                      <w:szCs w:val="21"/>
                    </w:rPr>
                    <w:t>中盐金坛盐化有限责任公司原有卤水净化线，分别为石灰烟道气去钙镁法产线和两碱法去钙镁法产线</w:t>
                  </w:r>
                  <w:r>
                    <w:rPr>
                      <w:rFonts w:hint="eastAsia" w:eastAsia="仿宋_GB2312" w:cs="Times New Roman"/>
                      <w:snapToGrid w:val="0"/>
                      <w:kern w:val="0"/>
                      <w:sz w:val="21"/>
                      <w:szCs w:val="21"/>
                    </w:rPr>
                    <w:t>。现并行改造增设一条连续式两碱法生产线供应膜过滤装置</w:t>
                  </w:r>
                  <w:r>
                    <w:rPr>
                      <w:rFonts w:ascii="Times New Roman" w:hAnsi="Times New Roman" w:eastAsia="仿宋_GB2312" w:cs="Times New Roman"/>
                      <w:snapToGrid w:val="0"/>
                      <w:kern w:val="0"/>
                      <w:sz w:val="21"/>
                      <w:szCs w:val="21"/>
                    </w:rPr>
                    <w:t>。</w:t>
                  </w:r>
                  <w:r>
                    <w:rPr>
                      <w:rFonts w:hint="eastAsia" w:ascii="Times New Roman" w:hAnsi="Times New Roman" w:eastAsia="仿宋_GB2312" w:cs="Times New Roman"/>
                      <w:snapToGrid w:val="0"/>
                      <w:kern w:val="0"/>
                      <w:sz w:val="21"/>
                      <w:szCs w:val="21"/>
                      <w:lang w:val="en-US" w:eastAsia="zh-CN"/>
                    </w:rPr>
                    <w:t>改造完成后，全厂卤水净化线为3条产线（</w:t>
                  </w:r>
                  <w:r>
                    <w:rPr>
                      <w:rFonts w:ascii="Times New Roman" w:hAnsi="Times New Roman" w:eastAsia="仿宋_GB2312" w:cs="Times New Roman"/>
                      <w:snapToGrid w:val="0"/>
                      <w:kern w:val="0"/>
                      <w:sz w:val="21"/>
                      <w:szCs w:val="21"/>
                    </w:rPr>
                    <w:t>石灰烟道气去钙镁法产线</w:t>
                  </w:r>
                  <w:r>
                    <w:rPr>
                      <w:rFonts w:hint="eastAsia" w:ascii="Times New Roman" w:hAnsi="Times New Roman" w:eastAsia="仿宋_GB2312" w:cs="Times New Roman"/>
                      <w:snapToGrid w:val="0"/>
                      <w:kern w:val="0"/>
                      <w:sz w:val="21"/>
                      <w:szCs w:val="21"/>
                      <w:lang w:eastAsia="zh-CN"/>
                    </w:rPr>
                    <w:t>、</w:t>
                  </w:r>
                  <w:r>
                    <w:rPr>
                      <w:rFonts w:ascii="Times New Roman" w:hAnsi="Times New Roman" w:eastAsia="仿宋_GB2312" w:cs="Times New Roman"/>
                      <w:snapToGrid w:val="0"/>
                      <w:kern w:val="0"/>
                      <w:sz w:val="21"/>
                      <w:szCs w:val="21"/>
                    </w:rPr>
                    <w:t>两碱法去钙镁法</w:t>
                  </w:r>
                  <w:r>
                    <w:rPr>
                      <w:rFonts w:hint="eastAsia" w:ascii="Times New Roman" w:hAnsi="Times New Roman" w:eastAsia="仿宋_GB2312" w:cs="Times New Roman"/>
                      <w:snapToGrid w:val="0"/>
                      <w:kern w:val="0"/>
                      <w:sz w:val="21"/>
                      <w:szCs w:val="21"/>
                      <w:lang w:val="en-US" w:eastAsia="zh-CN"/>
                    </w:rPr>
                    <w:t>及</w:t>
                  </w:r>
                  <w:r>
                    <w:rPr>
                      <w:rFonts w:ascii="Times New Roman" w:hAnsi="Times New Roman" w:eastAsia="仿宋_GB2312" w:cs="Times New Roman"/>
                      <w:snapToGrid w:val="0"/>
                      <w:kern w:val="0"/>
                      <w:sz w:val="21"/>
                      <w:szCs w:val="21"/>
                    </w:rPr>
                    <w:t>连续式双膜法</w:t>
                  </w:r>
                  <w:r>
                    <w:rPr>
                      <w:rFonts w:hint="eastAsia" w:ascii="Times New Roman" w:hAnsi="Times New Roman" w:eastAsia="仿宋_GB2312" w:cs="Times New Roman"/>
                      <w:snapToGrid w:val="0"/>
                      <w:kern w:val="0"/>
                      <w:sz w:val="21"/>
                      <w:szCs w:val="21"/>
                      <w:lang w:val="en-US" w:eastAsia="zh-CN"/>
                    </w:rPr>
                    <w:t>）。</w:t>
                  </w:r>
                </w:p>
              </w:tc>
            </w:tr>
            <w:tr w14:paraId="0C82E69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377" w:type="pct"/>
                  <w:vAlign w:val="center"/>
                </w:tcPr>
                <w:p w14:paraId="0604E6E9">
                  <w:pPr>
                    <w:pStyle w:val="69"/>
                    <w:adjustRightInd w:val="0"/>
                    <w:snapToGrid w:val="0"/>
                    <w:jc w:val="center"/>
                    <w:rPr>
                      <w:rFonts w:ascii="Times New Roman" w:hAnsi="Times New Roman" w:eastAsia="仿宋_GB2312" w:cs="Times New Roman"/>
                      <w:snapToGrid w:val="0"/>
                      <w:kern w:val="0"/>
                      <w:sz w:val="21"/>
                      <w:szCs w:val="21"/>
                    </w:rPr>
                  </w:pPr>
                  <w:r>
                    <w:rPr>
                      <w:rFonts w:ascii="Times New Roman" w:hAnsi="Times New Roman" w:eastAsia="仿宋_GB2312" w:cs="Times New Roman"/>
                      <w:snapToGrid w:val="0"/>
                      <w:kern w:val="0"/>
                      <w:sz w:val="21"/>
                      <w:szCs w:val="21"/>
                    </w:rPr>
                    <w:t>3</w:t>
                  </w:r>
                </w:p>
              </w:tc>
              <w:tc>
                <w:tcPr>
                  <w:tcW w:w="970" w:type="pct"/>
                  <w:vAlign w:val="center"/>
                </w:tcPr>
                <w:p w14:paraId="55ED01BD">
                  <w:pPr>
                    <w:pStyle w:val="69"/>
                    <w:adjustRightInd w:val="0"/>
                    <w:snapToGrid w:val="0"/>
                    <w:jc w:val="center"/>
                    <w:rPr>
                      <w:rFonts w:ascii="Times New Roman" w:hAnsi="Times New Roman" w:eastAsia="仿宋_GB2312" w:cs="Times New Roman"/>
                      <w:snapToGrid w:val="0"/>
                      <w:kern w:val="0"/>
                      <w:sz w:val="21"/>
                      <w:szCs w:val="21"/>
                    </w:rPr>
                  </w:pPr>
                  <w:r>
                    <w:rPr>
                      <w:rFonts w:ascii="Times New Roman" w:hAnsi="Times New Roman" w:eastAsia="仿宋_GB2312" w:cs="Times New Roman"/>
                      <w:snapToGrid w:val="0"/>
                      <w:kern w:val="0"/>
                      <w:sz w:val="21"/>
                      <w:szCs w:val="21"/>
                    </w:rPr>
                    <w:t>卤水输送管线新建</w:t>
                  </w:r>
                </w:p>
              </w:tc>
              <w:tc>
                <w:tcPr>
                  <w:tcW w:w="1501" w:type="pct"/>
                  <w:vAlign w:val="center"/>
                </w:tcPr>
                <w:p w14:paraId="4062B490">
                  <w:pPr>
                    <w:pStyle w:val="69"/>
                    <w:adjustRightInd w:val="0"/>
                    <w:snapToGrid w:val="0"/>
                    <w:jc w:val="center"/>
                    <w:rPr>
                      <w:rFonts w:ascii="Times New Roman" w:hAnsi="Times New Roman" w:eastAsia="仿宋_GB2312" w:cs="Times New Roman"/>
                      <w:snapToGrid w:val="0"/>
                      <w:kern w:val="0"/>
                      <w:sz w:val="21"/>
                      <w:szCs w:val="21"/>
                    </w:rPr>
                  </w:pPr>
                  <w:r>
                    <w:rPr>
                      <w:rFonts w:ascii="Times New Roman" w:hAnsi="Times New Roman" w:eastAsia="仿宋_GB2312" w:cs="Times New Roman"/>
                      <w:snapToGrid w:val="0"/>
                      <w:kern w:val="0"/>
                      <w:sz w:val="21"/>
                      <w:szCs w:val="21"/>
                    </w:rPr>
                    <w:t>5条地埋输卤输水管线1063米</w:t>
                  </w:r>
                </w:p>
              </w:tc>
              <w:tc>
                <w:tcPr>
                  <w:tcW w:w="2150" w:type="pct"/>
                  <w:vAlign w:val="center"/>
                </w:tcPr>
                <w:p w14:paraId="75210D77">
                  <w:pPr>
                    <w:pStyle w:val="69"/>
                    <w:adjustRightInd w:val="0"/>
                    <w:snapToGrid w:val="0"/>
                    <w:jc w:val="center"/>
                    <w:rPr>
                      <w:rFonts w:ascii="Times New Roman" w:hAnsi="Times New Roman" w:eastAsia="仿宋_GB2312" w:cs="Times New Roman"/>
                      <w:snapToGrid w:val="0"/>
                      <w:kern w:val="0"/>
                      <w:sz w:val="21"/>
                      <w:szCs w:val="21"/>
                    </w:rPr>
                  </w:pPr>
                  <w:r>
                    <w:rPr>
                      <w:rFonts w:ascii="Times New Roman" w:hAnsi="Times New Roman" w:eastAsia="仿宋_GB2312" w:cs="Times New Roman"/>
                      <w:snapToGrid w:val="0"/>
                      <w:kern w:val="0"/>
                      <w:sz w:val="21"/>
                      <w:szCs w:val="21"/>
                    </w:rPr>
                    <w:t>配套连续式双膜法产线，进行卤水输送。</w:t>
                  </w:r>
                </w:p>
              </w:tc>
            </w:tr>
            <w:tr w14:paraId="22CD03A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377" w:type="pct"/>
                  <w:vAlign w:val="center"/>
                </w:tcPr>
                <w:p w14:paraId="15086E48">
                  <w:pPr>
                    <w:pStyle w:val="69"/>
                    <w:adjustRightInd w:val="0"/>
                    <w:snapToGrid w:val="0"/>
                    <w:jc w:val="center"/>
                    <w:rPr>
                      <w:rFonts w:ascii="Times New Roman" w:hAnsi="Times New Roman" w:eastAsia="仿宋_GB2312" w:cs="Times New Roman"/>
                      <w:bCs/>
                      <w:snapToGrid w:val="0"/>
                      <w:kern w:val="0"/>
                      <w:sz w:val="21"/>
                      <w:szCs w:val="21"/>
                    </w:rPr>
                  </w:pPr>
                  <w:r>
                    <w:rPr>
                      <w:rFonts w:ascii="Times New Roman" w:hAnsi="Times New Roman" w:eastAsia="仿宋_GB2312" w:cs="Times New Roman"/>
                      <w:bCs/>
                      <w:snapToGrid w:val="0"/>
                      <w:kern w:val="0"/>
                      <w:sz w:val="21"/>
                      <w:szCs w:val="21"/>
                    </w:rPr>
                    <w:t>4</w:t>
                  </w:r>
                </w:p>
              </w:tc>
              <w:tc>
                <w:tcPr>
                  <w:tcW w:w="970" w:type="pct"/>
                  <w:vAlign w:val="center"/>
                </w:tcPr>
                <w:p w14:paraId="7A93E9E6">
                  <w:pPr>
                    <w:pStyle w:val="69"/>
                    <w:adjustRightInd w:val="0"/>
                    <w:snapToGrid w:val="0"/>
                    <w:jc w:val="center"/>
                    <w:rPr>
                      <w:rFonts w:ascii="Times New Roman" w:hAnsi="Times New Roman" w:eastAsia="仿宋_GB2312" w:cs="Times New Roman"/>
                      <w:b/>
                      <w:snapToGrid w:val="0"/>
                      <w:color w:val="000000" w:themeColor="text1"/>
                      <w:kern w:val="0"/>
                      <w:sz w:val="21"/>
                      <w:szCs w:val="21"/>
                    </w:rPr>
                  </w:pPr>
                  <w:bookmarkStart w:id="18" w:name="_Hlk199855914"/>
                  <w:r>
                    <w:rPr>
                      <w:rFonts w:ascii="Times New Roman" w:hAnsi="Times New Roman" w:eastAsia="仿宋_GB2312" w:cs="Times New Roman"/>
                      <w:snapToGrid w:val="0"/>
                      <w:color w:val="000000" w:themeColor="text1"/>
                      <w:kern w:val="0"/>
                      <w:sz w:val="21"/>
                      <w:szCs w:val="21"/>
                    </w:rPr>
                    <w:t>存储设施</w:t>
                  </w:r>
                  <w:bookmarkEnd w:id="18"/>
                  <w:r>
                    <w:rPr>
                      <w:rFonts w:ascii="Times New Roman" w:hAnsi="Times New Roman" w:eastAsia="仿宋_GB2312" w:cs="Times New Roman"/>
                      <w:snapToGrid w:val="0"/>
                      <w:color w:val="000000" w:themeColor="text1"/>
                      <w:kern w:val="0"/>
                      <w:sz w:val="21"/>
                      <w:szCs w:val="21"/>
                    </w:rPr>
                    <w:t>新建</w:t>
                  </w:r>
                </w:p>
              </w:tc>
              <w:tc>
                <w:tcPr>
                  <w:tcW w:w="1501" w:type="pct"/>
                  <w:vAlign w:val="center"/>
                </w:tcPr>
                <w:p w14:paraId="76D60235">
                  <w:pPr>
                    <w:adjustRightInd w:val="0"/>
                    <w:snapToGrid w:val="0"/>
                    <w:jc w:val="center"/>
                    <w:rPr>
                      <w:rFonts w:eastAsia="仿宋_GB2312"/>
                      <w:snapToGrid w:val="0"/>
                      <w:color w:val="000000" w:themeColor="text1"/>
                      <w:kern w:val="0"/>
                      <w:sz w:val="21"/>
                      <w:szCs w:val="21"/>
                    </w:rPr>
                  </w:pPr>
                  <w:r>
                    <w:rPr>
                      <w:rFonts w:eastAsia="仿宋_GB2312"/>
                      <w:snapToGrid w:val="0"/>
                      <w:color w:val="000000" w:themeColor="text1"/>
                      <w:kern w:val="0"/>
                      <w:sz w:val="21"/>
                      <w:szCs w:val="21"/>
                    </w:rPr>
                    <w:t>新增纳滤清卤罐</w:t>
                  </w:r>
                  <w:r>
                    <w:rPr>
                      <w:rFonts w:hint="eastAsia" w:eastAsia="仿宋_GB2312"/>
                      <w:snapToGrid w:val="0"/>
                      <w:color w:val="000000" w:themeColor="text1"/>
                      <w:kern w:val="0"/>
                      <w:sz w:val="21"/>
                      <w:szCs w:val="21"/>
                      <w:lang w:val="en-US" w:eastAsia="zh-CN"/>
                    </w:rPr>
                    <w:t>120</w:t>
                  </w:r>
                  <w:r>
                    <w:rPr>
                      <w:rFonts w:eastAsia="仿宋_GB2312"/>
                      <w:snapToGrid w:val="0"/>
                      <w:color w:val="000000" w:themeColor="text1"/>
                      <w:kern w:val="0"/>
                      <w:sz w:val="21"/>
                      <w:szCs w:val="21"/>
                    </w:rPr>
                    <w:t>m</w:t>
                  </w:r>
                  <w:r>
                    <w:rPr>
                      <w:rFonts w:eastAsia="仿宋_GB2312"/>
                      <w:snapToGrid w:val="0"/>
                      <w:color w:val="000000" w:themeColor="text1"/>
                      <w:kern w:val="0"/>
                      <w:sz w:val="21"/>
                      <w:szCs w:val="21"/>
                      <w:vertAlign w:val="superscript"/>
                    </w:rPr>
                    <w:t>3</w:t>
                  </w:r>
                  <w:r>
                    <w:rPr>
                      <w:rFonts w:hint="eastAsia" w:eastAsia="仿宋_GB2312"/>
                      <w:snapToGrid w:val="0"/>
                      <w:color w:val="000000" w:themeColor="text1"/>
                      <w:kern w:val="0"/>
                      <w:sz w:val="21"/>
                      <w:szCs w:val="21"/>
                      <w:lang w:val="en-US" w:eastAsia="zh-CN"/>
                    </w:rPr>
                    <w:t>、</w:t>
                  </w:r>
                  <w:r>
                    <w:rPr>
                      <w:rFonts w:eastAsia="仿宋_GB2312"/>
                      <w:snapToGrid w:val="0"/>
                      <w:color w:val="000000" w:themeColor="text1"/>
                      <w:kern w:val="0"/>
                      <w:sz w:val="21"/>
                      <w:szCs w:val="21"/>
                    </w:rPr>
                    <w:t>液碱罐95m</w:t>
                  </w:r>
                  <w:r>
                    <w:rPr>
                      <w:rFonts w:eastAsia="仿宋_GB2312"/>
                      <w:snapToGrid w:val="0"/>
                      <w:color w:val="000000" w:themeColor="text1"/>
                      <w:kern w:val="0"/>
                      <w:sz w:val="21"/>
                      <w:szCs w:val="21"/>
                      <w:vertAlign w:val="superscript"/>
                    </w:rPr>
                    <w:t>3</w:t>
                  </w:r>
                  <w:r>
                    <w:rPr>
                      <w:rFonts w:eastAsia="仿宋_GB2312"/>
                      <w:snapToGrid w:val="0"/>
                      <w:color w:val="000000" w:themeColor="text1"/>
                      <w:kern w:val="0"/>
                      <w:sz w:val="21"/>
                      <w:szCs w:val="21"/>
                    </w:rPr>
                    <w:t>、盐酸罐55m</w:t>
                  </w:r>
                  <w:r>
                    <w:rPr>
                      <w:rFonts w:eastAsia="仿宋_GB2312"/>
                      <w:snapToGrid w:val="0"/>
                      <w:color w:val="000000" w:themeColor="text1"/>
                      <w:kern w:val="0"/>
                      <w:sz w:val="21"/>
                      <w:szCs w:val="21"/>
                      <w:vertAlign w:val="superscript"/>
                    </w:rPr>
                    <w:t>3</w:t>
                  </w:r>
                  <w:r>
                    <w:rPr>
                      <w:rFonts w:eastAsia="仿宋_GB2312"/>
                      <w:snapToGrid w:val="0"/>
                      <w:color w:val="000000" w:themeColor="text1"/>
                      <w:kern w:val="0"/>
                      <w:sz w:val="21"/>
                      <w:szCs w:val="21"/>
                    </w:rPr>
                    <w:t>、次氯酸钠罐55m</w:t>
                  </w:r>
                  <w:r>
                    <w:rPr>
                      <w:rFonts w:eastAsia="仿宋_GB2312"/>
                      <w:snapToGrid w:val="0"/>
                      <w:color w:val="000000" w:themeColor="text1"/>
                      <w:kern w:val="0"/>
                      <w:sz w:val="21"/>
                      <w:szCs w:val="21"/>
                      <w:vertAlign w:val="superscript"/>
                    </w:rPr>
                    <w:t>3</w:t>
                  </w:r>
                  <w:r>
                    <w:rPr>
                      <w:rFonts w:eastAsia="仿宋_GB2312"/>
                      <w:snapToGrid w:val="0"/>
                      <w:color w:val="000000" w:themeColor="text1"/>
                      <w:kern w:val="0"/>
                      <w:sz w:val="21"/>
                      <w:szCs w:val="21"/>
                    </w:rPr>
                    <w:t>、</w:t>
                  </w:r>
                  <w:r>
                    <w:rPr>
                      <w:rFonts w:eastAsia="仿宋_GB2312"/>
                      <w:snapToGrid w:val="0"/>
                      <w:color w:val="000000" w:themeColor="text1"/>
                      <w:sz w:val="21"/>
                      <w:szCs w:val="21"/>
                    </w:rPr>
                    <w:t>亚硫酸钠配置罐</w:t>
                  </w:r>
                  <w:r>
                    <w:rPr>
                      <w:rFonts w:hint="eastAsia" w:eastAsia="仿宋_GB2312"/>
                      <w:snapToGrid w:val="0"/>
                      <w:color w:val="000000" w:themeColor="text1"/>
                      <w:sz w:val="21"/>
                      <w:szCs w:val="21"/>
                      <w:lang w:val="en-US" w:eastAsia="zh-CN"/>
                    </w:rPr>
                    <w:t>15</w:t>
                  </w:r>
                  <w:r>
                    <w:rPr>
                      <w:rFonts w:eastAsia="仿宋_GB2312"/>
                      <w:snapToGrid w:val="0"/>
                      <w:color w:val="000000" w:themeColor="text1"/>
                      <w:kern w:val="0"/>
                      <w:sz w:val="21"/>
                      <w:szCs w:val="21"/>
                    </w:rPr>
                    <w:t>m</w:t>
                  </w:r>
                  <w:r>
                    <w:rPr>
                      <w:rFonts w:eastAsia="仿宋_GB2312"/>
                      <w:snapToGrid w:val="0"/>
                      <w:color w:val="000000" w:themeColor="text1"/>
                      <w:kern w:val="0"/>
                      <w:sz w:val="21"/>
                      <w:szCs w:val="21"/>
                      <w:vertAlign w:val="superscript"/>
                    </w:rPr>
                    <w:t>3</w:t>
                  </w:r>
                  <w:r>
                    <w:rPr>
                      <w:rFonts w:hint="eastAsia" w:eastAsia="仿宋_GB2312"/>
                      <w:snapToGrid w:val="0"/>
                      <w:color w:val="000000" w:themeColor="text1"/>
                      <w:sz w:val="21"/>
                      <w:szCs w:val="21"/>
                      <w:lang w:val="en-US" w:eastAsia="zh-CN"/>
                    </w:rPr>
                    <w:t>、</w:t>
                  </w:r>
                  <w:r>
                    <w:rPr>
                      <w:rFonts w:eastAsia="仿宋_GB2312"/>
                      <w:snapToGrid w:val="0"/>
                      <w:color w:val="000000" w:themeColor="text1"/>
                      <w:kern w:val="0"/>
                      <w:sz w:val="21"/>
                      <w:szCs w:val="21"/>
                    </w:rPr>
                    <w:t>亚硫酸钠罐55m</w:t>
                  </w:r>
                  <w:r>
                    <w:rPr>
                      <w:rFonts w:eastAsia="仿宋_GB2312"/>
                      <w:snapToGrid w:val="0"/>
                      <w:color w:val="000000" w:themeColor="text1"/>
                      <w:kern w:val="0"/>
                      <w:sz w:val="21"/>
                      <w:szCs w:val="21"/>
                      <w:vertAlign w:val="superscript"/>
                    </w:rPr>
                    <w:t>3</w:t>
                  </w:r>
                  <w:r>
                    <w:rPr>
                      <w:rFonts w:hint="eastAsia" w:eastAsia="仿宋_GB2312"/>
                      <w:snapToGrid w:val="0"/>
                      <w:kern w:val="0"/>
                      <w:sz w:val="21"/>
                      <w:szCs w:val="21"/>
                      <w:lang w:eastAsia="zh-CN"/>
                    </w:rPr>
                    <w:t>、</w:t>
                  </w:r>
                  <w:r>
                    <w:rPr>
                      <w:rFonts w:hint="eastAsia" w:eastAsia="仿宋_GB2312"/>
                      <w:snapToGrid w:val="0"/>
                      <w:kern w:val="0"/>
                      <w:sz w:val="21"/>
                      <w:szCs w:val="21"/>
                      <w:lang w:val="en-US" w:eastAsia="zh-CN"/>
                    </w:rPr>
                    <w:t>酸洗罐72</w:t>
                  </w:r>
                  <w:r>
                    <w:rPr>
                      <w:rFonts w:eastAsia="仿宋_GB2312"/>
                      <w:snapToGrid w:val="0"/>
                      <w:color w:val="000000" w:themeColor="text1"/>
                      <w:kern w:val="0"/>
                      <w:sz w:val="21"/>
                      <w:szCs w:val="21"/>
                    </w:rPr>
                    <w:t>m</w:t>
                  </w:r>
                  <w:r>
                    <w:rPr>
                      <w:rFonts w:eastAsia="仿宋_GB2312"/>
                      <w:snapToGrid w:val="0"/>
                      <w:color w:val="000000" w:themeColor="text1"/>
                      <w:kern w:val="0"/>
                      <w:sz w:val="21"/>
                      <w:szCs w:val="21"/>
                      <w:vertAlign w:val="superscript"/>
                    </w:rPr>
                    <w:t>3</w:t>
                  </w:r>
                  <w:r>
                    <w:rPr>
                      <w:rFonts w:hint="eastAsia" w:eastAsia="仿宋_GB2312"/>
                      <w:snapToGrid w:val="0"/>
                      <w:color w:val="000000" w:themeColor="text1"/>
                      <w:sz w:val="21"/>
                      <w:szCs w:val="21"/>
                      <w:lang w:val="en-US" w:eastAsia="zh-CN"/>
                    </w:rPr>
                    <w:t>、3个</w:t>
                  </w:r>
                  <w:r>
                    <w:rPr>
                      <w:rFonts w:hint="eastAsia" w:eastAsia="仿宋_GB2312"/>
                      <w:snapToGrid w:val="0"/>
                      <w:color w:val="000000" w:themeColor="text1"/>
                      <w:kern w:val="0"/>
                      <w:sz w:val="21"/>
                      <w:szCs w:val="21"/>
                    </w:rPr>
                    <w:t>管式超滤膜反冲洗罐</w:t>
                  </w:r>
                  <w:r>
                    <w:rPr>
                      <w:rFonts w:hint="eastAsia" w:eastAsia="仿宋_GB2312"/>
                      <w:snapToGrid w:val="0"/>
                      <w:color w:val="000000" w:themeColor="text1"/>
                      <w:sz w:val="21"/>
                      <w:szCs w:val="21"/>
                      <w:lang w:val="en-US" w:eastAsia="zh-CN"/>
                    </w:rPr>
                    <w:t>7</w:t>
                  </w:r>
                  <w:r>
                    <w:rPr>
                      <w:rFonts w:eastAsia="仿宋_GB2312"/>
                      <w:snapToGrid w:val="0"/>
                      <w:color w:val="000000" w:themeColor="text1"/>
                      <w:kern w:val="0"/>
                      <w:sz w:val="21"/>
                      <w:szCs w:val="21"/>
                    </w:rPr>
                    <w:t>m</w:t>
                  </w:r>
                  <w:r>
                    <w:rPr>
                      <w:rFonts w:eastAsia="仿宋_GB2312"/>
                      <w:snapToGrid w:val="0"/>
                      <w:color w:val="000000" w:themeColor="text1"/>
                      <w:kern w:val="0"/>
                      <w:sz w:val="21"/>
                      <w:szCs w:val="21"/>
                      <w:vertAlign w:val="superscript"/>
                    </w:rPr>
                    <w:t>3</w:t>
                  </w:r>
                  <w:r>
                    <w:rPr>
                      <w:rFonts w:hint="eastAsia" w:eastAsia="仿宋_GB2312"/>
                      <w:snapToGrid w:val="0"/>
                      <w:kern w:val="0"/>
                      <w:sz w:val="21"/>
                      <w:szCs w:val="21"/>
                      <w:lang w:eastAsia="zh-CN"/>
                    </w:rPr>
                    <w:t>、</w:t>
                  </w:r>
                  <w:r>
                    <w:rPr>
                      <w:rFonts w:hint="eastAsia" w:eastAsia="仿宋_GB2312"/>
                      <w:snapToGrid w:val="0"/>
                      <w:color w:val="000000" w:themeColor="text1"/>
                      <w:kern w:val="0"/>
                      <w:sz w:val="21"/>
                      <w:szCs w:val="21"/>
                    </w:rPr>
                    <w:t>压缩空气储罐</w:t>
                  </w:r>
                  <w:r>
                    <w:rPr>
                      <w:rFonts w:hint="eastAsia" w:eastAsia="仿宋_GB2312"/>
                      <w:snapToGrid w:val="0"/>
                      <w:color w:val="000000" w:themeColor="text1"/>
                      <w:kern w:val="0"/>
                      <w:sz w:val="21"/>
                      <w:szCs w:val="21"/>
                      <w:lang w:val="en-US" w:eastAsia="zh-CN"/>
                    </w:rPr>
                    <w:t>10</w:t>
                  </w:r>
                  <w:r>
                    <w:rPr>
                      <w:rFonts w:eastAsia="仿宋_GB2312"/>
                      <w:snapToGrid w:val="0"/>
                      <w:color w:val="000000" w:themeColor="text1"/>
                      <w:kern w:val="0"/>
                      <w:sz w:val="21"/>
                      <w:szCs w:val="21"/>
                    </w:rPr>
                    <w:t>m</w:t>
                  </w:r>
                  <w:r>
                    <w:rPr>
                      <w:rFonts w:eastAsia="仿宋_GB2312"/>
                      <w:snapToGrid w:val="0"/>
                      <w:color w:val="000000" w:themeColor="text1"/>
                      <w:kern w:val="0"/>
                      <w:sz w:val="21"/>
                      <w:szCs w:val="21"/>
                      <w:vertAlign w:val="superscript"/>
                    </w:rPr>
                    <w:t>3</w:t>
                  </w:r>
                  <w:r>
                    <w:rPr>
                      <w:rFonts w:hint="eastAsia" w:eastAsia="仿宋_GB2312"/>
                      <w:snapToGrid w:val="0"/>
                      <w:color w:val="000000" w:themeColor="text1"/>
                      <w:kern w:val="0"/>
                      <w:sz w:val="21"/>
                      <w:szCs w:val="21"/>
                      <w:vertAlign w:val="baseline"/>
                      <w:lang w:eastAsia="zh-CN"/>
                    </w:rPr>
                    <w:t>、</w:t>
                  </w:r>
                  <w:r>
                    <w:rPr>
                      <w:rFonts w:eastAsia="仿宋_GB2312"/>
                      <w:snapToGrid w:val="0"/>
                      <w:color w:val="000000" w:themeColor="text1"/>
                      <w:kern w:val="0"/>
                      <w:sz w:val="21"/>
                      <w:szCs w:val="21"/>
                    </w:rPr>
                    <w:t>纯水罐</w:t>
                  </w:r>
                  <w:r>
                    <w:rPr>
                      <w:rFonts w:hint="eastAsia" w:eastAsia="仿宋_GB2312"/>
                      <w:snapToGrid w:val="0"/>
                      <w:color w:val="000000" w:themeColor="text1"/>
                      <w:kern w:val="0"/>
                      <w:sz w:val="21"/>
                      <w:szCs w:val="21"/>
                      <w:lang w:val="en-US" w:eastAsia="zh-CN"/>
                    </w:rPr>
                    <w:t>95</w:t>
                  </w:r>
                  <w:r>
                    <w:rPr>
                      <w:rFonts w:eastAsia="仿宋_GB2312"/>
                      <w:snapToGrid w:val="0"/>
                      <w:color w:val="000000" w:themeColor="text1"/>
                      <w:kern w:val="0"/>
                      <w:sz w:val="21"/>
                      <w:szCs w:val="21"/>
                    </w:rPr>
                    <w:t>m</w:t>
                  </w:r>
                  <w:r>
                    <w:rPr>
                      <w:rFonts w:eastAsia="仿宋_GB2312"/>
                      <w:snapToGrid w:val="0"/>
                      <w:color w:val="000000" w:themeColor="text1"/>
                      <w:kern w:val="0"/>
                      <w:sz w:val="21"/>
                      <w:szCs w:val="21"/>
                      <w:vertAlign w:val="superscript"/>
                    </w:rPr>
                    <w:t>3</w:t>
                  </w:r>
                  <w:r>
                    <w:rPr>
                      <w:rFonts w:hint="eastAsia" w:eastAsia="仿宋_GB2312"/>
                      <w:snapToGrid w:val="0"/>
                      <w:kern w:val="0"/>
                      <w:sz w:val="21"/>
                      <w:szCs w:val="21"/>
                      <w:lang w:eastAsia="zh-CN"/>
                    </w:rPr>
                    <w:t>、</w:t>
                  </w:r>
                  <w:r>
                    <w:rPr>
                      <w:rFonts w:hint="eastAsia" w:eastAsia="仿宋_GB2312"/>
                      <w:snapToGrid w:val="0"/>
                      <w:color w:val="000000" w:themeColor="text1"/>
                      <w:kern w:val="0"/>
                      <w:sz w:val="21"/>
                      <w:szCs w:val="21"/>
                    </w:rPr>
                    <w:t>平板膜反冲洗罐</w:t>
                  </w:r>
                  <w:r>
                    <w:rPr>
                      <w:rFonts w:hint="eastAsia" w:eastAsia="仿宋_GB2312"/>
                      <w:snapToGrid w:val="0"/>
                      <w:color w:val="000000" w:themeColor="text1"/>
                      <w:kern w:val="0"/>
                      <w:sz w:val="21"/>
                      <w:szCs w:val="21"/>
                      <w:lang w:val="en-US" w:eastAsia="zh-CN"/>
                    </w:rPr>
                    <w:t>2.</w:t>
                  </w:r>
                  <w:r>
                    <w:rPr>
                      <w:rFonts w:eastAsia="仿宋_GB2312"/>
                      <w:snapToGrid w:val="0"/>
                      <w:color w:val="000000" w:themeColor="text1"/>
                      <w:kern w:val="0"/>
                      <w:sz w:val="21"/>
                      <w:szCs w:val="21"/>
                    </w:rPr>
                    <w:t>5m</w:t>
                  </w:r>
                  <w:r>
                    <w:rPr>
                      <w:rFonts w:eastAsia="仿宋_GB2312"/>
                      <w:snapToGrid w:val="0"/>
                      <w:color w:val="000000" w:themeColor="text1"/>
                      <w:kern w:val="0"/>
                      <w:sz w:val="21"/>
                      <w:szCs w:val="21"/>
                      <w:vertAlign w:val="superscript"/>
                    </w:rPr>
                    <w:t>3</w:t>
                  </w:r>
                  <w:r>
                    <w:rPr>
                      <w:rFonts w:hint="eastAsia" w:eastAsia="仿宋_GB2312"/>
                      <w:snapToGrid w:val="0"/>
                      <w:kern w:val="0"/>
                      <w:sz w:val="21"/>
                      <w:szCs w:val="21"/>
                      <w:lang w:eastAsia="zh-CN"/>
                    </w:rPr>
                    <w:t>、</w:t>
                  </w:r>
                  <w:r>
                    <w:rPr>
                      <w:rFonts w:eastAsia="仿宋_GB2312"/>
                      <w:snapToGrid w:val="0"/>
                      <w:color w:val="000000" w:themeColor="text1"/>
                      <w:kern w:val="0"/>
                      <w:sz w:val="21"/>
                      <w:szCs w:val="21"/>
                    </w:rPr>
                    <w:t>平板膜储气罐</w:t>
                  </w:r>
                  <w:r>
                    <w:rPr>
                      <w:rFonts w:hint="eastAsia" w:eastAsia="仿宋_GB2312"/>
                      <w:snapToGrid w:val="0"/>
                      <w:color w:val="000000" w:themeColor="text1"/>
                      <w:kern w:val="0"/>
                      <w:sz w:val="21"/>
                      <w:szCs w:val="21"/>
                      <w:lang w:val="en-US" w:eastAsia="zh-CN"/>
                    </w:rPr>
                    <w:t>7.7</w:t>
                  </w:r>
                  <w:r>
                    <w:rPr>
                      <w:rFonts w:eastAsia="仿宋_GB2312"/>
                      <w:snapToGrid w:val="0"/>
                      <w:color w:val="000000" w:themeColor="text1"/>
                      <w:kern w:val="0"/>
                      <w:sz w:val="21"/>
                      <w:szCs w:val="21"/>
                    </w:rPr>
                    <w:t>m</w:t>
                  </w:r>
                  <w:r>
                    <w:rPr>
                      <w:rFonts w:eastAsia="仿宋_GB2312"/>
                      <w:snapToGrid w:val="0"/>
                      <w:color w:val="000000" w:themeColor="text1"/>
                      <w:kern w:val="0"/>
                      <w:sz w:val="21"/>
                      <w:szCs w:val="21"/>
                      <w:vertAlign w:val="superscript"/>
                    </w:rPr>
                    <w:t>3</w:t>
                  </w:r>
                  <w:r>
                    <w:rPr>
                      <w:rFonts w:hint="eastAsia" w:eastAsia="仿宋_GB2312"/>
                      <w:snapToGrid w:val="0"/>
                      <w:kern w:val="0"/>
                      <w:sz w:val="21"/>
                      <w:szCs w:val="21"/>
                      <w:lang w:eastAsia="zh-CN"/>
                    </w:rPr>
                    <w:t>、</w:t>
                  </w:r>
                  <w:r>
                    <w:rPr>
                      <w:rFonts w:hint="eastAsia" w:eastAsia="仿宋_GB2312"/>
                      <w:snapToGrid w:val="0"/>
                      <w:kern w:val="0"/>
                      <w:sz w:val="21"/>
                      <w:szCs w:val="21"/>
                    </w:rPr>
                    <w:t>拆除的两个卧式储罐（100m</w:t>
                  </w:r>
                  <w:r>
                    <w:rPr>
                      <w:rFonts w:hint="eastAsia" w:eastAsia="仿宋_GB2312"/>
                      <w:snapToGrid w:val="0"/>
                      <w:kern w:val="0"/>
                      <w:sz w:val="21"/>
                      <w:szCs w:val="21"/>
                      <w:vertAlign w:val="superscript"/>
                    </w:rPr>
                    <w:t>3</w:t>
                  </w:r>
                  <w:r>
                    <w:rPr>
                      <w:rFonts w:hint="eastAsia" w:eastAsia="仿宋_GB2312"/>
                      <w:snapToGrid w:val="0"/>
                      <w:kern w:val="0"/>
                      <w:sz w:val="21"/>
                      <w:szCs w:val="21"/>
                    </w:rPr>
                    <w:t>/个）。</w:t>
                  </w:r>
                </w:p>
              </w:tc>
              <w:tc>
                <w:tcPr>
                  <w:tcW w:w="2150" w:type="pct"/>
                  <w:vAlign w:val="center"/>
                </w:tcPr>
                <w:p w14:paraId="5B329E99">
                  <w:pPr>
                    <w:adjustRightInd w:val="0"/>
                    <w:snapToGrid w:val="0"/>
                    <w:jc w:val="center"/>
                    <w:rPr>
                      <w:rFonts w:eastAsia="仿宋_GB2312"/>
                      <w:snapToGrid w:val="0"/>
                      <w:kern w:val="0"/>
                      <w:sz w:val="21"/>
                      <w:szCs w:val="21"/>
                    </w:rPr>
                  </w:pPr>
                  <w:r>
                    <w:rPr>
                      <w:rFonts w:ascii="Times New Roman" w:hAnsi="Times New Roman" w:eastAsia="仿宋_GB2312" w:cs="Times New Roman"/>
                      <w:snapToGrid w:val="0"/>
                      <w:kern w:val="0"/>
                      <w:sz w:val="21"/>
                      <w:szCs w:val="21"/>
                    </w:rPr>
                    <w:t>配套连续式双膜法产线</w:t>
                  </w:r>
                </w:p>
              </w:tc>
            </w:tr>
            <w:tr w14:paraId="4B93D29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377" w:type="pct"/>
                  <w:vAlign w:val="center"/>
                </w:tcPr>
                <w:p w14:paraId="0A4C9410">
                  <w:pPr>
                    <w:pStyle w:val="69"/>
                    <w:adjustRightInd w:val="0"/>
                    <w:snapToGrid w:val="0"/>
                    <w:jc w:val="center"/>
                    <w:rPr>
                      <w:rFonts w:ascii="Times New Roman" w:hAnsi="Times New Roman" w:eastAsia="仿宋_GB2312" w:cs="Times New Roman"/>
                      <w:snapToGrid w:val="0"/>
                      <w:kern w:val="0"/>
                      <w:sz w:val="21"/>
                      <w:szCs w:val="21"/>
                    </w:rPr>
                  </w:pPr>
                  <w:r>
                    <w:rPr>
                      <w:rFonts w:ascii="Times New Roman" w:hAnsi="Times New Roman" w:eastAsia="仿宋_GB2312" w:cs="Times New Roman"/>
                      <w:snapToGrid w:val="0"/>
                      <w:kern w:val="0"/>
                      <w:sz w:val="21"/>
                      <w:szCs w:val="21"/>
                    </w:rPr>
                    <w:t>5</w:t>
                  </w:r>
                </w:p>
              </w:tc>
              <w:tc>
                <w:tcPr>
                  <w:tcW w:w="970" w:type="pct"/>
                  <w:vAlign w:val="center"/>
                </w:tcPr>
                <w:p w14:paraId="4FD184EC">
                  <w:pPr>
                    <w:pStyle w:val="69"/>
                    <w:adjustRightInd w:val="0"/>
                    <w:snapToGrid w:val="0"/>
                    <w:jc w:val="center"/>
                    <w:rPr>
                      <w:rFonts w:ascii="Times New Roman" w:hAnsi="Times New Roman" w:eastAsia="仿宋_GB2312" w:cs="Times New Roman"/>
                      <w:snapToGrid w:val="0"/>
                      <w:kern w:val="0"/>
                      <w:sz w:val="21"/>
                      <w:szCs w:val="21"/>
                    </w:rPr>
                  </w:pPr>
                  <w:r>
                    <w:rPr>
                      <w:rFonts w:ascii="Times New Roman" w:hAnsi="Times New Roman" w:eastAsia="仿宋_GB2312" w:cs="Times New Roman"/>
                      <w:snapToGrid w:val="0"/>
                      <w:kern w:val="0"/>
                      <w:sz w:val="21"/>
                      <w:szCs w:val="21"/>
                    </w:rPr>
                    <w:t>环保设施</w:t>
                  </w:r>
                </w:p>
              </w:tc>
              <w:tc>
                <w:tcPr>
                  <w:tcW w:w="1501" w:type="pct"/>
                  <w:vAlign w:val="center"/>
                </w:tcPr>
                <w:p w14:paraId="47077E24">
                  <w:pPr>
                    <w:adjustRightInd w:val="0"/>
                    <w:snapToGrid w:val="0"/>
                    <w:jc w:val="center"/>
                    <w:rPr>
                      <w:rFonts w:eastAsia="仿宋_GB2312"/>
                      <w:kern w:val="0"/>
                      <w:sz w:val="21"/>
                      <w:szCs w:val="21"/>
                    </w:rPr>
                  </w:pPr>
                  <w:r>
                    <w:rPr>
                      <w:rFonts w:eastAsia="仿宋_GB2312"/>
                      <w:kern w:val="0"/>
                      <w:sz w:val="21"/>
                      <w:szCs w:val="21"/>
                    </w:rPr>
                    <w:t>新增1套盐雾收集处理装置、1套酸雾收集处理装置</w:t>
                  </w:r>
                </w:p>
              </w:tc>
              <w:tc>
                <w:tcPr>
                  <w:tcW w:w="2150" w:type="pct"/>
                  <w:vAlign w:val="center"/>
                </w:tcPr>
                <w:p w14:paraId="197C7937">
                  <w:pPr>
                    <w:adjustRightInd w:val="0"/>
                    <w:snapToGrid w:val="0"/>
                    <w:jc w:val="center"/>
                    <w:rPr>
                      <w:rFonts w:hint="eastAsia" w:eastAsia="仿宋_GB2312"/>
                      <w:snapToGrid w:val="0"/>
                      <w:kern w:val="0"/>
                      <w:sz w:val="21"/>
                      <w:szCs w:val="21"/>
                      <w:lang w:eastAsia="zh-CN"/>
                    </w:rPr>
                  </w:pPr>
                  <w:r>
                    <w:rPr>
                      <w:rFonts w:eastAsia="仿宋_GB2312"/>
                      <w:snapToGrid w:val="0"/>
                      <w:kern w:val="0"/>
                      <w:sz w:val="21"/>
                      <w:szCs w:val="21"/>
                    </w:rPr>
                    <w:t>配套连续式双膜法产线，用于平板膜产生的盐雾处理和盐酸储罐产生的酸雾处理</w:t>
                  </w:r>
                  <w:r>
                    <w:rPr>
                      <w:rFonts w:hint="eastAsia" w:eastAsia="仿宋_GB2312"/>
                      <w:snapToGrid w:val="0"/>
                      <w:kern w:val="0"/>
                      <w:sz w:val="21"/>
                      <w:szCs w:val="21"/>
                      <w:lang w:eastAsia="zh-CN"/>
                    </w:rPr>
                    <w:t>。</w:t>
                  </w:r>
                </w:p>
              </w:tc>
            </w:tr>
            <w:tr w14:paraId="093358C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377" w:type="pct"/>
                  <w:vAlign w:val="center"/>
                </w:tcPr>
                <w:p w14:paraId="56EB536A">
                  <w:pPr>
                    <w:pStyle w:val="69"/>
                    <w:adjustRightInd w:val="0"/>
                    <w:snapToGrid w:val="0"/>
                    <w:jc w:val="center"/>
                    <w:rPr>
                      <w:rFonts w:hint="eastAsia" w:ascii="Times New Roman" w:hAnsi="Times New Roman" w:eastAsia="仿宋_GB2312" w:cs="Times New Roman"/>
                      <w:snapToGrid w:val="0"/>
                      <w:kern w:val="0"/>
                      <w:sz w:val="21"/>
                      <w:szCs w:val="21"/>
                      <w:lang w:val="en-US" w:eastAsia="zh-CN"/>
                    </w:rPr>
                  </w:pPr>
                  <w:r>
                    <w:rPr>
                      <w:rFonts w:hint="eastAsia" w:ascii="Times New Roman" w:hAnsi="Times New Roman" w:eastAsia="仿宋_GB2312" w:cs="Times New Roman"/>
                      <w:snapToGrid w:val="0"/>
                      <w:kern w:val="0"/>
                      <w:sz w:val="21"/>
                      <w:szCs w:val="21"/>
                      <w:lang w:val="en-US" w:eastAsia="zh-CN"/>
                    </w:rPr>
                    <w:t>6</w:t>
                  </w:r>
                </w:p>
              </w:tc>
              <w:tc>
                <w:tcPr>
                  <w:tcW w:w="970" w:type="pct"/>
                  <w:vAlign w:val="center"/>
                </w:tcPr>
                <w:p w14:paraId="5E5BDA9E">
                  <w:pPr>
                    <w:pStyle w:val="69"/>
                    <w:adjustRightInd w:val="0"/>
                    <w:snapToGrid w:val="0"/>
                    <w:jc w:val="center"/>
                    <w:rPr>
                      <w:rFonts w:hint="default" w:ascii="Times New Roman" w:hAnsi="Times New Roman" w:eastAsia="仿宋_GB2312" w:cs="Times New Roman"/>
                      <w:snapToGrid w:val="0"/>
                      <w:kern w:val="0"/>
                      <w:sz w:val="21"/>
                      <w:szCs w:val="21"/>
                      <w:lang w:val="en-US" w:eastAsia="zh-CN"/>
                    </w:rPr>
                  </w:pPr>
                  <w:r>
                    <w:rPr>
                      <w:rFonts w:hint="eastAsia" w:ascii="Times New Roman" w:hAnsi="Times New Roman" w:eastAsia="仿宋_GB2312" w:cs="Times New Roman"/>
                      <w:snapToGrid w:val="0"/>
                      <w:kern w:val="0"/>
                      <w:sz w:val="21"/>
                      <w:szCs w:val="21"/>
                      <w:lang w:val="en-US" w:eastAsia="zh-CN"/>
                    </w:rPr>
                    <w:t>应急措施</w:t>
                  </w:r>
                </w:p>
              </w:tc>
              <w:tc>
                <w:tcPr>
                  <w:tcW w:w="1501" w:type="pct"/>
                  <w:vAlign w:val="center"/>
                </w:tcPr>
                <w:p w14:paraId="4A86891C">
                  <w:pPr>
                    <w:adjustRightInd w:val="0"/>
                    <w:snapToGrid w:val="0"/>
                    <w:jc w:val="center"/>
                    <w:rPr>
                      <w:rFonts w:hint="default" w:eastAsia="仿宋_GB2312"/>
                      <w:kern w:val="0"/>
                      <w:sz w:val="21"/>
                      <w:szCs w:val="21"/>
                      <w:lang w:val="en-US" w:eastAsia="zh-CN"/>
                    </w:rPr>
                  </w:pPr>
                  <w:r>
                    <w:rPr>
                      <w:rFonts w:hint="eastAsia" w:eastAsia="仿宋_GB2312"/>
                      <w:kern w:val="0"/>
                      <w:sz w:val="21"/>
                      <w:szCs w:val="21"/>
                      <w:lang w:val="en-US" w:eastAsia="zh-CN"/>
                    </w:rPr>
                    <w:t>环保应急罐（DN16m*H16m）</w:t>
                  </w:r>
                </w:p>
              </w:tc>
              <w:tc>
                <w:tcPr>
                  <w:tcW w:w="2150" w:type="pct"/>
                  <w:vAlign w:val="center"/>
                </w:tcPr>
                <w:p w14:paraId="26FAAE32">
                  <w:pPr>
                    <w:adjustRightInd w:val="0"/>
                    <w:snapToGrid w:val="0"/>
                    <w:jc w:val="center"/>
                    <w:rPr>
                      <w:rFonts w:hint="default" w:eastAsia="仿宋_GB2312"/>
                      <w:snapToGrid w:val="0"/>
                      <w:kern w:val="0"/>
                      <w:sz w:val="21"/>
                      <w:szCs w:val="21"/>
                      <w:lang w:val="en-US" w:eastAsia="zh-CN"/>
                    </w:rPr>
                  </w:pPr>
                  <w:r>
                    <w:rPr>
                      <w:rFonts w:hint="eastAsia" w:eastAsia="仿宋_GB2312"/>
                      <w:snapToGrid w:val="0"/>
                      <w:kern w:val="0"/>
                      <w:sz w:val="21"/>
                      <w:szCs w:val="21"/>
                      <w:lang w:val="en-US" w:eastAsia="zh-CN"/>
                    </w:rPr>
                    <w:t>增加环境风险应急处置能力。</w:t>
                  </w:r>
                </w:p>
              </w:tc>
            </w:tr>
            <w:tr w14:paraId="2BE8E18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377" w:type="pct"/>
                  <w:vAlign w:val="center"/>
                </w:tcPr>
                <w:p w14:paraId="6F346C65">
                  <w:pPr>
                    <w:pStyle w:val="69"/>
                    <w:adjustRightInd w:val="0"/>
                    <w:snapToGrid w:val="0"/>
                    <w:jc w:val="center"/>
                    <w:rPr>
                      <w:rFonts w:hint="default" w:ascii="Times New Roman" w:hAnsi="Times New Roman" w:eastAsia="仿宋_GB2312" w:cs="Times New Roman"/>
                      <w:snapToGrid w:val="0"/>
                      <w:kern w:val="0"/>
                      <w:sz w:val="21"/>
                      <w:szCs w:val="21"/>
                      <w:lang w:val="en-US" w:eastAsia="zh-CN"/>
                    </w:rPr>
                  </w:pPr>
                  <w:r>
                    <w:rPr>
                      <w:rFonts w:hint="eastAsia" w:ascii="Times New Roman" w:hAnsi="Times New Roman" w:eastAsia="仿宋_GB2312" w:cs="Times New Roman"/>
                      <w:snapToGrid w:val="0"/>
                      <w:kern w:val="0"/>
                      <w:sz w:val="21"/>
                      <w:szCs w:val="21"/>
                      <w:lang w:val="en-US" w:eastAsia="zh-CN"/>
                    </w:rPr>
                    <w:t>7</w:t>
                  </w:r>
                </w:p>
              </w:tc>
              <w:tc>
                <w:tcPr>
                  <w:tcW w:w="970" w:type="pct"/>
                  <w:shd w:val="clear" w:color="auto" w:fill="auto"/>
                  <w:vAlign w:val="center"/>
                </w:tcPr>
                <w:p w14:paraId="560E233C">
                  <w:pPr>
                    <w:pStyle w:val="69"/>
                    <w:adjustRightInd w:val="0"/>
                    <w:snapToGrid w:val="0"/>
                    <w:jc w:val="center"/>
                    <w:rPr>
                      <w:rFonts w:hint="eastAsia" w:ascii="Times New Roman" w:hAnsi="Times New Roman" w:eastAsia="仿宋_GB2312" w:cs="Times New Roman"/>
                      <w:snapToGrid w:val="0"/>
                      <w:kern w:val="0"/>
                      <w:sz w:val="21"/>
                      <w:szCs w:val="21"/>
                      <w:lang w:val="en-US" w:eastAsia="zh-CN" w:bidi="ar-SA"/>
                    </w:rPr>
                  </w:pPr>
                  <w:r>
                    <w:rPr>
                      <w:rFonts w:hint="eastAsia" w:ascii="Times New Roman" w:hAnsi="Times New Roman" w:eastAsia="仿宋_GB2312" w:cs="Times New Roman"/>
                      <w:snapToGrid w:val="0"/>
                      <w:kern w:val="0"/>
                      <w:sz w:val="21"/>
                      <w:szCs w:val="21"/>
                      <w:lang w:val="en-US" w:eastAsia="zh-CN"/>
                    </w:rPr>
                    <w:t>车间降温除湿</w:t>
                  </w:r>
                </w:p>
              </w:tc>
              <w:tc>
                <w:tcPr>
                  <w:tcW w:w="1501" w:type="pct"/>
                  <w:shd w:val="clear" w:color="auto" w:fill="auto"/>
                  <w:vAlign w:val="center"/>
                </w:tcPr>
                <w:p w14:paraId="706A41F1">
                  <w:pPr>
                    <w:adjustRightInd w:val="0"/>
                    <w:snapToGrid w:val="0"/>
                    <w:jc w:val="center"/>
                    <w:rPr>
                      <w:rFonts w:hint="eastAsia" w:ascii="Times New Roman" w:hAnsi="Times New Roman" w:eastAsia="仿宋_GB2312" w:cs="Times New Roman"/>
                      <w:kern w:val="0"/>
                      <w:sz w:val="21"/>
                      <w:szCs w:val="21"/>
                      <w:lang w:val="en-US" w:eastAsia="zh-CN" w:bidi="ar-SA"/>
                    </w:rPr>
                  </w:pPr>
                  <w:r>
                    <w:rPr>
                      <w:rFonts w:hint="eastAsia" w:eastAsia="仿宋_GB2312"/>
                      <w:kern w:val="0"/>
                      <w:sz w:val="21"/>
                      <w:szCs w:val="21"/>
                      <w:lang w:val="en-US" w:eastAsia="zh-CN"/>
                    </w:rPr>
                    <w:t>更换出口盐车间、大包装车间、海包车间三台降温除湿机组</w:t>
                  </w:r>
                </w:p>
              </w:tc>
              <w:tc>
                <w:tcPr>
                  <w:tcW w:w="2150" w:type="pct"/>
                  <w:shd w:val="clear" w:color="auto" w:fill="auto"/>
                  <w:vAlign w:val="center"/>
                </w:tcPr>
                <w:p w14:paraId="2543C54E">
                  <w:pPr>
                    <w:adjustRightInd w:val="0"/>
                    <w:snapToGrid w:val="0"/>
                    <w:jc w:val="center"/>
                    <w:rPr>
                      <w:rFonts w:hint="default" w:ascii="Times New Roman" w:hAnsi="Times New Roman" w:eastAsia="仿宋_GB2312" w:cs="Times New Roman"/>
                      <w:snapToGrid w:val="0"/>
                      <w:kern w:val="0"/>
                      <w:sz w:val="21"/>
                      <w:szCs w:val="21"/>
                      <w:lang w:val="en-US" w:eastAsia="zh-CN" w:bidi="ar-SA"/>
                    </w:rPr>
                  </w:pPr>
                  <w:r>
                    <w:rPr>
                      <w:rFonts w:hint="eastAsia" w:eastAsia="仿宋_GB2312"/>
                      <w:snapToGrid w:val="0"/>
                      <w:kern w:val="0"/>
                      <w:sz w:val="21"/>
                      <w:szCs w:val="21"/>
                      <w:lang w:val="en-US" w:eastAsia="zh-CN"/>
                    </w:rPr>
                    <w:t>改善现场生产运行环境，满足食品生产要求。</w:t>
                  </w:r>
                </w:p>
              </w:tc>
            </w:tr>
            <w:tr w14:paraId="2E4CFA8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377" w:type="pct"/>
                  <w:vAlign w:val="center"/>
                </w:tcPr>
                <w:p w14:paraId="5F0C13BF">
                  <w:pPr>
                    <w:pStyle w:val="69"/>
                    <w:adjustRightInd w:val="0"/>
                    <w:snapToGrid w:val="0"/>
                    <w:jc w:val="center"/>
                    <w:rPr>
                      <w:rFonts w:hint="default" w:ascii="Times New Roman" w:hAnsi="Times New Roman" w:eastAsia="仿宋_GB2312" w:cs="Times New Roman"/>
                      <w:snapToGrid w:val="0"/>
                      <w:kern w:val="0"/>
                      <w:sz w:val="21"/>
                      <w:szCs w:val="21"/>
                      <w:lang w:val="en-US" w:eastAsia="zh-CN"/>
                    </w:rPr>
                  </w:pPr>
                  <w:r>
                    <w:rPr>
                      <w:rFonts w:hint="eastAsia" w:ascii="Times New Roman" w:hAnsi="Times New Roman" w:eastAsia="仿宋_GB2312" w:cs="Times New Roman"/>
                      <w:snapToGrid w:val="0"/>
                      <w:kern w:val="0"/>
                      <w:sz w:val="21"/>
                      <w:szCs w:val="21"/>
                      <w:lang w:val="en-US" w:eastAsia="zh-CN"/>
                    </w:rPr>
                    <w:t>8</w:t>
                  </w:r>
                </w:p>
              </w:tc>
              <w:tc>
                <w:tcPr>
                  <w:tcW w:w="970" w:type="pct"/>
                  <w:shd w:val="clear" w:color="auto" w:fill="auto"/>
                  <w:vAlign w:val="center"/>
                </w:tcPr>
                <w:p w14:paraId="1CB3ABA2">
                  <w:pPr>
                    <w:pStyle w:val="69"/>
                    <w:adjustRightInd w:val="0"/>
                    <w:snapToGrid w:val="0"/>
                    <w:jc w:val="center"/>
                    <w:rPr>
                      <w:rFonts w:hint="eastAsia" w:ascii="Times New Roman" w:hAnsi="Times New Roman" w:eastAsia="仿宋_GB2312" w:cs="Times New Roman"/>
                      <w:snapToGrid w:val="0"/>
                      <w:kern w:val="0"/>
                      <w:sz w:val="21"/>
                      <w:szCs w:val="21"/>
                      <w:lang w:val="en-US" w:eastAsia="zh-CN" w:bidi="ar-SA"/>
                    </w:rPr>
                  </w:pPr>
                  <w:r>
                    <w:rPr>
                      <w:rFonts w:hint="eastAsia" w:ascii="Times New Roman" w:hAnsi="Times New Roman" w:eastAsia="仿宋_GB2312" w:cs="Times New Roman"/>
                      <w:snapToGrid w:val="0"/>
                      <w:kern w:val="0"/>
                      <w:sz w:val="21"/>
                      <w:szCs w:val="21"/>
                      <w:lang w:val="en-US" w:eastAsia="zh-CN"/>
                    </w:rPr>
                    <w:t>海包除尘设备</w:t>
                  </w:r>
                </w:p>
              </w:tc>
              <w:tc>
                <w:tcPr>
                  <w:tcW w:w="1501" w:type="pct"/>
                  <w:shd w:val="clear" w:color="auto" w:fill="auto"/>
                  <w:vAlign w:val="center"/>
                </w:tcPr>
                <w:p w14:paraId="0EE05428">
                  <w:pPr>
                    <w:adjustRightInd w:val="0"/>
                    <w:snapToGrid w:val="0"/>
                    <w:jc w:val="center"/>
                    <w:rPr>
                      <w:rFonts w:hint="eastAsia" w:ascii="Times New Roman" w:hAnsi="Times New Roman" w:eastAsia="仿宋_GB2312" w:cs="Times New Roman"/>
                      <w:kern w:val="0"/>
                      <w:sz w:val="21"/>
                      <w:szCs w:val="21"/>
                      <w:lang w:val="en-US" w:eastAsia="zh-CN" w:bidi="ar-SA"/>
                    </w:rPr>
                  </w:pPr>
                  <w:r>
                    <w:rPr>
                      <w:rFonts w:hint="eastAsia" w:eastAsia="仿宋_GB2312"/>
                      <w:kern w:val="0"/>
                      <w:sz w:val="21"/>
                      <w:szCs w:val="21"/>
                      <w:lang w:val="en-US" w:eastAsia="zh-CN"/>
                    </w:rPr>
                    <w:t>新增水膜除尘装置一套</w:t>
                  </w:r>
                </w:p>
              </w:tc>
              <w:tc>
                <w:tcPr>
                  <w:tcW w:w="2150" w:type="pct"/>
                  <w:shd w:val="clear" w:color="auto" w:fill="auto"/>
                  <w:vAlign w:val="center"/>
                </w:tcPr>
                <w:p w14:paraId="3055604D">
                  <w:pPr>
                    <w:adjustRightInd w:val="0"/>
                    <w:snapToGrid w:val="0"/>
                    <w:jc w:val="center"/>
                    <w:rPr>
                      <w:rFonts w:hint="default" w:ascii="Times New Roman" w:hAnsi="Times New Roman" w:eastAsia="仿宋_GB2312" w:cs="Times New Roman"/>
                      <w:snapToGrid w:val="0"/>
                      <w:kern w:val="0"/>
                      <w:sz w:val="21"/>
                      <w:szCs w:val="21"/>
                      <w:lang w:val="en-US" w:eastAsia="zh-CN" w:bidi="ar-SA"/>
                    </w:rPr>
                  </w:pPr>
                  <w:r>
                    <w:rPr>
                      <w:rFonts w:hint="eastAsia" w:eastAsia="仿宋_GB2312"/>
                      <w:snapToGrid w:val="0"/>
                      <w:kern w:val="0"/>
                      <w:sz w:val="21"/>
                      <w:szCs w:val="21"/>
                      <w:lang w:val="en-US" w:eastAsia="zh-CN"/>
                    </w:rPr>
                    <w:t>配套海包生产线运行。</w:t>
                  </w:r>
                </w:p>
              </w:tc>
            </w:tr>
            <w:tr w14:paraId="5E7068B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377" w:type="pct"/>
                  <w:vAlign w:val="center"/>
                </w:tcPr>
                <w:p w14:paraId="0C6E28D4">
                  <w:pPr>
                    <w:pStyle w:val="69"/>
                    <w:adjustRightInd w:val="0"/>
                    <w:snapToGrid w:val="0"/>
                    <w:jc w:val="center"/>
                    <w:rPr>
                      <w:rFonts w:hint="default" w:ascii="Times New Roman" w:hAnsi="Times New Roman" w:eastAsia="仿宋_GB2312" w:cs="Times New Roman"/>
                      <w:snapToGrid w:val="0"/>
                      <w:kern w:val="0"/>
                      <w:sz w:val="21"/>
                      <w:szCs w:val="21"/>
                      <w:lang w:val="en-US" w:eastAsia="zh-CN"/>
                    </w:rPr>
                  </w:pPr>
                  <w:r>
                    <w:rPr>
                      <w:rFonts w:hint="eastAsia" w:ascii="Times New Roman" w:hAnsi="Times New Roman" w:eastAsia="仿宋_GB2312" w:cs="Times New Roman"/>
                      <w:snapToGrid w:val="0"/>
                      <w:kern w:val="0"/>
                      <w:sz w:val="21"/>
                      <w:szCs w:val="21"/>
                      <w:lang w:val="en-US" w:eastAsia="zh-CN"/>
                    </w:rPr>
                    <w:t>9</w:t>
                  </w:r>
                </w:p>
              </w:tc>
              <w:tc>
                <w:tcPr>
                  <w:tcW w:w="970" w:type="pct"/>
                  <w:shd w:val="clear" w:color="auto" w:fill="auto"/>
                  <w:vAlign w:val="center"/>
                </w:tcPr>
                <w:p w14:paraId="24B3AF4A">
                  <w:pPr>
                    <w:pStyle w:val="69"/>
                    <w:adjustRightInd w:val="0"/>
                    <w:snapToGrid w:val="0"/>
                    <w:jc w:val="center"/>
                    <w:rPr>
                      <w:rFonts w:hint="eastAsia" w:ascii="Times New Roman" w:hAnsi="Times New Roman" w:eastAsia="仿宋_GB2312" w:cs="Times New Roman"/>
                      <w:snapToGrid w:val="0"/>
                      <w:kern w:val="0"/>
                      <w:sz w:val="21"/>
                      <w:szCs w:val="21"/>
                      <w:lang w:val="en-US" w:eastAsia="zh-CN" w:bidi="ar-SA"/>
                    </w:rPr>
                  </w:pPr>
                  <w:r>
                    <w:rPr>
                      <w:rFonts w:hint="eastAsia" w:ascii="Times New Roman" w:hAnsi="Times New Roman" w:eastAsia="仿宋_GB2312" w:cs="Times New Roman"/>
                      <w:snapToGrid w:val="0"/>
                      <w:kern w:val="0"/>
                      <w:sz w:val="21"/>
                      <w:szCs w:val="21"/>
                      <w:lang w:val="en-US" w:eastAsia="zh-CN"/>
                    </w:rPr>
                    <w:t>大包装生产车间</w:t>
                  </w:r>
                </w:p>
              </w:tc>
              <w:tc>
                <w:tcPr>
                  <w:tcW w:w="1501" w:type="pct"/>
                  <w:shd w:val="clear" w:color="auto" w:fill="auto"/>
                  <w:vAlign w:val="center"/>
                </w:tcPr>
                <w:p w14:paraId="5DB04FF4">
                  <w:pPr>
                    <w:adjustRightInd w:val="0"/>
                    <w:snapToGrid w:val="0"/>
                    <w:jc w:val="center"/>
                    <w:rPr>
                      <w:rFonts w:hint="eastAsia" w:ascii="Times New Roman" w:hAnsi="Times New Roman" w:eastAsia="仿宋_GB2312" w:cs="Times New Roman"/>
                      <w:kern w:val="0"/>
                      <w:sz w:val="21"/>
                      <w:szCs w:val="21"/>
                      <w:lang w:val="en-US" w:eastAsia="zh-CN" w:bidi="ar-SA"/>
                    </w:rPr>
                  </w:pPr>
                  <w:r>
                    <w:rPr>
                      <w:rFonts w:hint="eastAsia" w:eastAsia="仿宋_GB2312"/>
                      <w:kern w:val="0"/>
                      <w:sz w:val="21"/>
                      <w:szCs w:val="21"/>
                      <w:lang w:val="en-US" w:eastAsia="zh-CN"/>
                    </w:rPr>
                    <w:t>新增两套自动上袋设备，两台金属检测机</w:t>
                  </w:r>
                </w:p>
              </w:tc>
              <w:tc>
                <w:tcPr>
                  <w:tcW w:w="2150" w:type="pct"/>
                  <w:shd w:val="clear" w:color="auto" w:fill="auto"/>
                  <w:vAlign w:val="center"/>
                </w:tcPr>
                <w:p w14:paraId="7E12E06E">
                  <w:pPr>
                    <w:adjustRightInd w:val="0"/>
                    <w:snapToGrid w:val="0"/>
                    <w:jc w:val="center"/>
                    <w:rPr>
                      <w:rFonts w:hint="default" w:ascii="Times New Roman" w:hAnsi="Times New Roman" w:eastAsia="仿宋_GB2312" w:cs="Times New Roman"/>
                      <w:snapToGrid w:val="0"/>
                      <w:kern w:val="0"/>
                      <w:sz w:val="21"/>
                      <w:szCs w:val="21"/>
                      <w:lang w:val="en-US" w:eastAsia="zh-CN" w:bidi="ar-SA"/>
                    </w:rPr>
                  </w:pPr>
                  <w:r>
                    <w:rPr>
                      <w:rFonts w:hint="eastAsia" w:eastAsia="仿宋_GB2312"/>
                      <w:snapToGrid w:val="0"/>
                      <w:kern w:val="0"/>
                      <w:sz w:val="21"/>
                      <w:szCs w:val="21"/>
                      <w:lang w:val="en-US" w:eastAsia="zh-CN"/>
                    </w:rPr>
                    <w:t>提高大包装生产运行效率，减轻员工操作负担；满足食品盐生产要求。</w:t>
                  </w:r>
                </w:p>
              </w:tc>
            </w:tr>
            <w:tr w14:paraId="4C3C0C8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377" w:type="pct"/>
                  <w:vAlign w:val="center"/>
                </w:tcPr>
                <w:p w14:paraId="57328E57">
                  <w:pPr>
                    <w:pStyle w:val="69"/>
                    <w:adjustRightInd w:val="0"/>
                    <w:snapToGrid w:val="0"/>
                    <w:jc w:val="center"/>
                    <w:rPr>
                      <w:rFonts w:hint="default" w:ascii="Times New Roman" w:hAnsi="Times New Roman" w:eastAsia="仿宋_GB2312" w:cs="Times New Roman"/>
                      <w:snapToGrid w:val="0"/>
                      <w:kern w:val="0"/>
                      <w:sz w:val="21"/>
                      <w:szCs w:val="21"/>
                      <w:lang w:val="en-US" w:eastAsia="zh-CN"/>
                    </w:rPr>
                  </w:pPr>
                  <w:r>
                    <w:rPr>
                      <w:rFonts w:hint="eastAsia" w:ascii="Times New Roman" w:hAnsi="Times New Roman" w:eastAsia="仿宋_GB2312" w:cs="Times New Roman"/>
                      <w:snapToGrid w:val="0"/>
                      <w:kern w:val="0"/>
                      <w:sz w:val="21"/>
                      <w:szCs w:val="21"/>
                      <w:lang w:val="en-US" w:eastAsia="zh-CN"/>
                    </w:rPr>
                    <w:t>10</w:t>
                  </w:r>
                </w:p>
              </w:tc>
              <w:tc>
                <w:tcPr>
                  <w:tcW w:w="970" w:type="pct"/>
                  <w:shd w:val="clear" w:color="auto" w:fill="auto"/>
                  <w:vAlign w:val="center"/>
                </w:tcPr>
                <w:p w14:paraId="39C8321D">
                  <w:pPr>
                    <w:pStyle w:val="69"/>
                    <w:adjustRightInd w:val="0"/>
                    <w:snapToGrid w:val="0"/>
                    <w:jc w:val="center"/>
                    <w:rPr>
                      <w:rFonts w:hint="eastAsia" w:ascii="Times New Roman" w:hAnsi="Times New Roman" w:eastAsia="仿宋_GB2312" w:cs="Times New Roman"/>
                      <w:snapToGrid w:val="0"/>
                      <w:kern w:val="0"/>
                      <w:sz w:val="21"/>
                      <w:szCs w:val="21"/>
                      <w:lang w:val="en-US" w:eastAsia="zh-CN" w:bidi="ar-SA"/>
                    </w:rPr>
                  </w:pPr>
                  <w:r>
                    <w:rPr>
                      <w:rFonts w:hint="eastAsia" w:ascii="Times New Roman" w:hAnsi="Times New Roman" w:eastAsia="仿宋_GB2312" w:cs="Times New Roman"/>
                      <w:snapToGrid w:val="0"/>
                      <w:kern w:val="0"/>
                      <w:sz w:val="21"/>
                      <w:szCs w:val="21"/>
                      <w:lang w:val="en-US" w:eastAsia="zh-CN"/>
                    </w:rPr>
                    <w:t>小包装间歇式加碘</w:t>
                  </w:r>
                </w:p>
              </w:tc>
              <w:tc>
                <w:tcPr>
                  <w:tcW w:w="1501" w:type="pct"/>
                  <w:shd w:val="clear" w:color="auto" w:fill="auto"/>
                  <w:vAlign w:val="center"/>
                </w:tcPr>
                <w:p w14:paraId="06048CB8">
                  <w:pPr>
                    <w:adjustRightInd w:val="0"/>
                    <w:snapToGrid w:val="0"/>
                    <w:jc w:val="center"/>
                    <w:rPr>
                      <w:rFonts w:hint="eastAsia" w:ascii="Times New Roman" w:hAnsi="Times New Roman" w:eastAsia="仿宋_GB2312" w:cs="Times New Roman"/>
                      <w:kern w:val="0"/>
                      <w:sz w:val="21"/>
                      <w:szCs w:val="21"/>
                      <w:lang w:val="en-US" w:eastAsia="zh-CN" w:bidi="ar-SA"/>
                    </w:rPr>
                  </w:pPr>
                  <w:r>
                    <w:rPr>
                      <w:rFonts w:hint="eastAsia" w:eastAsia="仿宋_GB2312"/>
                      <w:kern w:val="0"/>
                      <w:sz w:val="21"/>
                      <w:szCs w:val="21"/>
                      <w:lang w:val="en-US" w:eastAsia="zh-CN"/>
                    </w:rPr>
                    <w:t>新增小包装4套间歇式加碘混料器、一套加碘添加系统</w:t>
                  </w:r>
                </w:p>
              </w:tc>
              <w:tc>
                <w:tcPr>
                  <w:tcW w:w="2150" w:type="pct"/>
                  <w:shd w:val="clear" w:color="auto" w:fill="auto"/>
                  <w:vAlign w:val="center"/>
                </w:tcPr>
                <w:p w14:paraId="7BE769B6">
                  <w:pPr>
                    <w:adjustRightInd w:val="0"/>
                    <w:snapToGrid w:val="0"/>
                    <w:jc w:val="center"/>
                    <w:rPr>
                      <w:rFonts w:hint="default" w:ascii="Times New Roman" w:hAnsi="Times New Roman" w:eastAsia="仿宋_GB2312" w:cs="Times New Roman"/>
                      <w:snapToGrid w:val="0"/>
                      <w:kern w:val="0"/>
                      <w:sz w:val="21"/>
                      <w:szCs w:val="21"/>
                      <w:lang w:val="en-US" w:eastAsia="zh-CN" w:bidi="ar-SA"/>
                    </w:rPr>
                  </w:pPr>
                  <w:r>
                    <w:rPr>
                      <w:rFonts w:hint="eastAsia" w:eastAsia="仿宋_GB2312"/>
                      <w:snapToGrid w:val="0"/>
                      <w:kern w:val="0"/>
                      <w:sz w:val="21"/>
                      <w:szCs w:val="21"/>
                      <w:lang w:val="en-US" w:eastAsia="zh-CN"/>
                    </w:rPr>
                    <w:t>提高小包装产品加碘均匀性。</w:t>
                  </w:r>
                </w:p>
              </w:tc>
            </w:tr>
            <w:tr w14:paraId="64BD2D5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377" w:type="pct"/>
                  <w:vAlign w:val="center"/>
                </w:tcPr>
                <w:p w14:paraId="61BEAED1">
                  <w:pPr>
                    <w:pStyle w:val="69"/>
                    <w:adjustRightInd w:val="0"/>
                    <w:snapToGrid w:val="0"/>
                    <w:jc w:val="center"/>
                    <w:rPr>
                      <w:rFonts w:hint="default" w:ascii="Times New Roman" w:hAnsi="Times New Roman" w:eastAsia="仿宋_GB2312" w:cs="Times New Roman"/>
                      <w:snapToGrid w:val="0"/>
                      <w:kern w:val="0"/>
                      <w:sz w:val="21"/>
                      <w:szCs w:val="21"/>
                      <w:lang w:val="en-US" w:eastAsia="zh-CN"/>
                    </w:rPr>
                  </w:pPr>
                  <w:r>
                    <w:rPr>
                      <w:rFonts w:hint="eastAsia" w:ascii="Times New Roman" w:hAnsi="Times New Roman" w:eastAsia="仿宋_GB2312" w:cs="Times New Roman"/>
                      <w:snapToGrid w:val="0"/>
                      <w:kern w:val="0"/>
                      <w:sz w:val="21"/>
                      <w:szCs w:val="21"/>
                      <w:lang w:val="en-US" w:eastAsia="zh-CN"/>
                    </w:rPr>
                    <w:t>11</w:t>
                  </w:r>
                </w:p>
              </w:tc>
              <w:tc>
                <w:tcPr>
                  <w:tcW w:w="970" w:type="pct"/>
                  <w:shd w:val="clear" w:color="auto" w:fill="auto"/>
                  <w:vAlign w:val="center"/>
                </w:tcPr>
                <w:p w14:paraId="6DE9E1DB">
                  <w:pPr>
                    <w:pStyle w:val="69"/>
                    <w:adjustRightInd w:val="0"/>
                    <w:snapToGrid w:val="0"/>
                    <w:jc w:val="center"/>
                    <w:rPr>
                      <w:rFonts w:hint="eastAsia" w:ascii="Times New Roman" w:hAnsi="Times New Roman" w:eastAsia="仿宋_GB2312" w:cs="Times New Roman"/>
                      <w:snapToGrid w:val="0"/>
                      <w:kern w:val="0"/>
                      <w:sz w:val="21"/>
                      <w:szCs w:val="21"/>
                      <w:lang w:val="en-US" w:eastAsia="zh-CN" w:bidi="ar-SA"/>
                    </w:rPr>
                  </w:pPr>
                  <w:r>
                    <w:rPr>
                      <w:rFonts w:hint="eastAsia" w:ascii="Times New Roman" w:hAnsi="Times New Roman" w:eastAsia="仿宋_GB2312" w:cs="Times New Roman"/>
                      <w:snapToGrid w:val="0"/>
                      <w:kern w:val="0"/>
                      <w:sz w:val="21"/>
                      <w:szCs w:val="21"/>
                      <w:lang w:val="en-US" w:eastAsia="zh-CN"/>
                    </w:rPr>
                    <w:t>出口盐生产车间</w:t>
                  </w:r>
                </w:p>
              </w:tc>
              <w:tc>
                <w:tcPr>
                  <w:tcW w:w="1501" w:type="pct"/>
                  <w:shd w:val="clear" w:color="auto" w:fill="auto"/>
                  <w:vAlign w:val="center"/>
                </w:tcPr>
                <w:p w14:paraId="366AD22A">
                  <w:pPr>
                    <w:adjustRightInd w:val="0"/>
                    <w:snapToGrid w:val="0"/>
                    <w:jc w:val="center"/>
                    <w:rPr>
                      <w:rFonts w:hint="eastAsia" w:ascii="Times New Roman" w:hAnsi="Times New Roman" w:eastAsia="仿宋_GB2312" w:cs="Times New Roman"/>
                      <w:kern w:val="0"/>
                      <w:sz w:val="21"/>
                      <w:szCs w:val="21"/>
                      <w:lang w:val="en-US" w:eastAsia="zh-CN" w:bidi="ar-SA"/>
                    </w:rPr>
                  </w:pPr>
                  <w:r>
                    <w:rPr>
                      <w:rFonts w:hint="eastAsia" w:eastAsia="仿宋_GB2312"/>
                      <w:kern w:val="0"/>
                      <w:sz w:val="21"/>
                      <w:szCs w:val="21"/>
                      <w:lang w:val="en-US" w:eastAsia="zh-CN"/>
                    </w:rPr>
                    <w:t>新增两台金属检测机</w:t>
                  </w:r>
                </w:p>
              </w:tc>
              <w:tc>
                <w:tcPr>
                  <w:tcW w:w="2150" w:type="pct"/>
                  <w:shd w:val="clear" w:color="auto" w:fill="auto"/>
                  <w:vAlign w:val="center"/>
                </w:tcPr>
                <w:p w14:paraId="164C778C">
                  <w:pPr>
                    <w:adjustRightInd w:val="0"/>
                    <w:snapToGrid w:val="0"/>
                    <w:jc w:val="center"/>
                    <w:rPr>
                      <w:rFonts w:hint="eastAsia" w:ascii="Times New Roman" w:hAnsi="Times New Roman" w:eastAsia="仿宋_GB2312" w:cs="Times New Roman"/>
                      <w:snapToGrid w:val="0"/>
                      <w:kern w:val="0"/>
                      <w:sz w:val="21"/>
                      <w:szCs w:val="21"/>
                      <w:lang w:val="en-US" w:eastAsia="zh-CN" w:bidi="ar-SA"/>
                    </w:rPr>
                  </w:pPr>
                  <w:r>
                    <w:rPr>
                      <w:rFonts w:hint="eastAsia" w:eastAsia="仿宋_GB2312"/>
                      <w:snapToGrid w:val="0"/>
                      <w:kern w:val="0"/>
                      <w:sz w:val="21"/>
                      <w:szCs w:val="21"/>
                      <w:lang w:val="en-US" w:eastAsia="zh-CN"/>
                    </w:rPr>
                    <w:t>满足食品盐生产要求。</w:t>
                  </w:r>
                </w:p>
              </w:tc>
            </w:tr>
            <w:tr w14:paraId="7FD842D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377" w:type="pct"/>
                  <w:vAlign w:val="center"/>
                </w:tcPr>
                <w:p w14:paraId="389689F0">
                  <w:pPr>
                    <w:pStyle w:val="69"/>
                    <w:adjustRightInd w:val="0"/>
                    <w:snapToGrid w:val="0"/>
                    <w:jc w:val="center"/>
                    <w:rPr>
                      <w:rFonts w:hint="default" w:ascii="Times New Roman" w:hAnsi="Times New Roman" w:eastAsia="仿宋_GB2312" w:cs="Times New Roman"/>
                      <w:snapToGrid w:val="0"/>
                      <w:kern w:val="0"/>
                      <w:sz w:val="21"/>
                      <w:szCs w:val="21"/>
                      <w:lang w:val="en-US" w:eastAsia="zh-CN"/>
                    </w:rPr>
                  </w:pPr>
                  <w:r>
                    <w:rPr>
                      <w:rFonts w:hint="eastAsia" w:ascii="Times New Roman" w:hAnsi="Times New Roman" w:eastAsia="仿宋_GB2312" w:cs="Times New Roman"/>
                      <w:snapToGrid w:val="0"/>
                      <w:kern w:val="0"/>
                      <w:sz w:val="21"/>
                      <w:szCs w:val="21"/>
                      <w:lang w:val="en-US" w:eastAsia="zh-CN"/>
                    </w:rPr>
                    <w:t>12</w:t>
                  </w:r>
                </w:p>
              </w:tc>
              <w:tc>
                <w:tcPr>
                  <w:tcW w:w="970" w:type="pct"/>
                  <w:shd w:val="clear" w:color="auto" w:fill="auto"/>
                  <w:vAlign w:val="center"/>
                </w:tcPr>
                <w:p w14:paraId="3D93D16A">
                  <w:pPr>
                    <w:pStyle w:val="69"/>
                    <w:adjustRightInd w:val="0"/>
                    <w:snapToGrid w:val="0"/>
                    <w:jc w:val="center"/>
                    <w:rPr>
                      <w:rFonts w:hint="eastAsia" w:ascii="Times New Roman" w:hAnsi="Times New Roman" w:eastAsia="仿宋_GB2312" w:cs="Times New Roman"/>
                      <w:snapToGrid w:val="0"/>
                      <w:kern w:val="0"/>
                      <w:sz w:val="21"/>
                      <w:szCs w:val="21"/>
                      <w:lang w:val="en-US" w:eastAsia="zh-CN" w:bidi="ar-SA"/>
                    </w:rPr>
                  </w:pPr>
                  <w:r>
                    <w:rPr>
                      <w:rFonts w:hint="eastAsia" w:ascii="Times New Roman" w:hAnsi="Times New Roman" w:eastAsia="仿宋_GB2312" w:cs="Times New Roman"/>
                      <w:snapToGrid w:val="0"/>
                      <w:kern w:val="0"/>
                      <w:sz w:val="21"/>
                      <w:szCs w:val="21"/>
                      <w:lang w:val="en-US" w:eastAsia="zh-CN"/>
                    </w:rPr>
                    <w:t>盐硝车间</w:t>
                  </w:r>
                </w:p>
              </w:tc>
              <w:tc>
                <w:tcPr>
                  <w:tcW w:w="1501" w:type="pct"/>
                  <w:shd w:val="clear" w:color="auto" w:fill="auto"/>
                  <w:vAlign w:val="center"/>
                </w:tcPr>
                <w:p w14:paraId="09E8B5EC">
                  <w:pPr>
                    <w:adjustRightInd w:val="0"/>
                    <w:snapToGrid w:val="0"/>
                    <w:jc w:val="center"/>
                    <w:rPr>
                      <w:rFonts w:hint="eastAsia" w:ascii="Times New Roman" w:hAnsi="Times New Roman" w:eastAsia="仿宋_GB2312" w:cs="Times New Roman"/>
                      <w:kern w:val="0"/>
                      <w:sz w:val="21"/>
                      <w:szCs w:val="21"/>
                      <w:lang w:val="en-US" w:eastAsia="zh-CN" w:bidi="ar-SA"/>
                    </w:rPr>
                  </w:pPr>
                  <w:r>
                    <w:rPr>
                      <w:rFonts w:hint="eastAsia" w:eastAsia="仿宋_GB2312"/>
                      <w:kern w:val="0"/>
                      <w:sz w:val="21"/>
                      <w:szCs w:val="21"/>
                      <w:lang w:val="en-US" w:eastAsia="zh-CN"/>
                    </w:rPr>
                    <w:t>新增一台盐离心机、一套盐干燥床、一套盐增稠器</w:t>
                  </w:r>
                </w:p>
              </w:tc>
              <w:tc>
                <w:tcPr>
                  <w:tcW w:w="2150" w:type="pct"/>
                  <w:shd w:val="clear" w:color="auto" w:fill="auto"/>
                  <w:vAlign w:val="center"/>
                </w:tcPr>
                <w:p w14:paraId="068D5162">
                  <w:pPr>
                    <w:adjustRightInd w:val="0"/>
                    <w:snapToGrid w:val="0"/>
                    <w:jc w:val="center"/>
                    <w:rPr>
                      <w:rFonts w:hint="default" w:ascii="Times New Roman" w:hAnsi="Times New Roman" w:eastAsia="仿宋_GB2312" w:cs="Times New Roman"/>
                      <w:snapToGrid w:val="0"/>
                      <w:kern w:val="0"/>
                      <w:sz w:val="21"/>
                      <w:szCs w:val="21"/>
                      <w:lang w:val="en-US" w:eastAsia="zh-CN" w:bidi="ar-SA"/>
                    </w:rPr>
                  </w:pPr>
                  <w:r>
                    <w:rPr>
                      <w:rFonts w:hint="eastAsia" w:eastAsia="仿宋_GB2312"/>
                      <w:snapToGrid w:val="0"/>
                      <w:kern w:val="0"/>
                      <w:sz w:val="21"/>
                      <w:szCs w:val="21"/>
                      <w:lang w:val="en-US" w:eastAsia="zh-CN"/>
                    </w:rPr>
                    <w:t>满足食品盐生产要求。</w:t>
                  </w:r>
                </w:p>
              </w:tc>
            </w:tr>
          </w:tbl>
          <w:p w14:paraId="67F584C5">
            <w:pPr>
              <w:adjustRightInd w:val="0"/>
              <w:snapToGrid w:val="0"/>
              <w:spacing w:beforeLines="50" w:line="360" w:lineRule="auto"/>
              <w:jc w:val="center"/>
              <w:rPr>
                <w:rFonts w:eastAsia="仿宋_GB2312"/>
                <w:b/>
                <w:color w:val="000000"/>
                <w:kern w:val="0"/>
              </w:rPr>
            </w:pPr>
            <w:r>
              <w:rPr>
                <w:rFonts w:eastAsia="仿宋_GB2312"/>
                <w:b/>
                <w:color w:val="000000"/>
                <w:kern w:val="0"/>
              </w:rPr>
              <w:t>表2-</w:t>
            </w:r>
            <w:r>
              <w:rPr>
                <w:rFonts w:hint="eastAsia" w:eastAsia="仿宋_GB2312"/>
                <w:b/>
                <w:color w:val="000000"/>
                <w:kern w:val="0"/>
                <w:lang w:val="en-US" w:eastAsia="zh-CN"/>
              </w:rPr>
              <w:t xml:space="preserve">4  </w:t>
            </w:r>
            <w:r>
              <w:rPr>
                <w:rFonts w:eastAsia="仿宋_GB2312"/>
                <w:b/>
                <w:color w:val="000000"/>
                <w:kern w:val="0"/>
              </w:rPr>
              <w:t>本项目输卤输水管线建设工程一览表</w:t>
            </w:r>
          </w:p>
          <w:tbl>
            <w:tblPr>
              <w:tblStyle w:val="3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708"/>
              <w:gridCol w:w="4673"/>
              <w:gridCol w:w="691"/>
              <w:gridCol w:w="1205"/>
              <w:gridCol w:w="1110"/>
            </w:tblGrid>
            <w:tr w14:paraId="4095AD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jc w:val="center"/>
              </w:trPr>
              <w:tc>
                <w:tcPr>
                  <w:tcW w:w="422" w:type="pct"/>
                  <w:vAlign w:val="center"/>
                </w:tcPr>
                <w:p w14:paraId="48A78E01">
                  <w:pPr>
                    <w:adjustRightInd w:val="0"/>
                    <w:snapToGrid w:val="0"/>
                    <w:jc w:val="center"/>
                    <w:rPr>
                      <w:rFonts w:eastAsia="仿宋_GB2312"/>
                      <w:b/>
                      <w:bCs/>
                      <w:color w:val="000000"/>
                      <w:sz w:val="21"/>
                      <w:szCs w:val="21"/>
                    </w:rPr>
                  </w:pPr>
                  <w:r>
                    <w:rPr>
                      <w:rFonts w:eastAsia="仿宋_GB2312"/>
                      <w:b/>
                      <w:bCs/>
                      <w:color w:val="000000"/>
                      <w:sz w:val="21"/>
                      <w:szCs w:val="21"/>
                    </w:rPr>
                    <w:t>序号</w:t>
                  </w:r>
                </w:p>
              </w:tc>
              <w:tc>
                <w:tcPr>
                  <w:tcW w:w="2785" w:type="pct"/>
                  <w:vAlign w:val="center"/>
                </w:tcPr>
                <w:p w14:paraId="683E8E68">
                  <w:pPr>
                    <w:adjustRightInd w:val="0"/>
                    <w:snapToGrid w:val="0"/>
                    <w:jc w:val="center"/>
                    <w:rPr>
                      <w:rFonts w:eastAsia="仿宋_GB2312"/>
                      <w:b/>
                      <w:bCs/>
                      <w:color w:val="000000"/>
                      <w:sz w:val="21"/>
                      <w:szCs w:val="21"/>
                    </w:rPr>
                  </w:pPr>
                  <w:r>
                    <w:rPr>
                      <w:rFonts w:eastAsia="仿宋_GB2312"/>
                      <w:b/>
                      <w:bCs/>
                      <w:color w:val="000000"/>
                      <w:sz w:val="21"/>
                      <w:szCs w:val="21"/>
                    </w:rPr>
                    <w:t>项目</w:t>
                  </w:r>
                </w:p>
              </w:tc>
              <w:tc>
                <w:tcPr>
                  <w:tcW w:w="412" w:type="pct"/>
                  <w:vAlign w:val="center"/>
                </w:tcPr>
                <w:p w14:paraId="132D8323">
                  <w:pPr>
                    <w:adjustRightInd w:val="0"/>
                    <w:snapToGrid w:val="0"/>
                    <w:jc w:val="center"/>
                    <w:rPr>
                      <w:rFonts w:eastAsia="仿宋_GB2312"/>
                      <w:b/>
                      <w:bCs/>
                      <w:color w:val="000000"/>
                      <w:sz w:val="21"/>
                      <w:szCs w:val="21"/>
                    </w:rPr>
                  </w:pPr>
                  <w:r>
                    <w:rPr>
                      <w:rFonts w:eastAsia="仿宋_GB2312"/>
                      <w:b/>
                      <w:bCs/>
                      <w:color w:val="000000"/>
                      <w:sz w:val="21"/>
                      <w:szCs w:val="21"/>
                    </w:rPr>
                    <w:t>单位</w:t>
                  </w:r>
                </w:p>
              </w:tc>
              <w:tc>
                <w:tcPr>
                  <w:tcW w:w="718" w:type="pct"/>
                  <w:vAlign w:val="center"/>
                </w:tcPr>
                <w:p w14:paraId="0ED86A71">
                  <w:pPr>
                    <w:adjustRightInd w:val="0"/>
                    <w:snapToGrid w:val="0"/>
                    <w:jc w:val="center"/>
                    <w:rPr>
                      <w:rFonts w:eastAsia="仿宋_GB2312"/>
                      <w:b/>
                      <w:bCs/>
                      <w:color w:val="000000"/>
                      <w:sz w:val="21"/>
                      <w:szCs w:val="21"/>
                    </w:rPr>
                  </w:pPr>
                  <w:r>
                    <w:rPr>
                      <w:rFonts w:eastAsia="仿宋_GB2312"/>
                      <w:b/>
                      <w:bCs/>
                      <w:color w:val="000000"/>
                      <w:sz w:val="21"/>
                      <w:szCs w:val="21"/>
                    </w:rPr>
                    <w:t>数量</w:t>
                  </w:r>
                </w:p>
              </w:tc>
              <w:tc>
                <w:tcPr>
                  <w:tcW w:w="661" w:type="pct"/>
                  <w:vAlign w:val="center"/>
                </w:tcPr>
                <w:p w14:paraId="37B5E3B6">
                  <w:pPr>
                    <w:adjustRightInd w:val="0"/>
                    <w:snapToGrid w:val="0"/>
                    <w:jc w:val="center"/>
                    <w:rPr>
                      <w:rFonts w:eastAsia="仿宋_GB2312"/>
                      <w:b/>
                      <w:bCs/>
                      <w:color w:val="000000"/>
                      <w:sz w:val="21"/>
                      <w:szCs w:val="21"/>
                    </w:rPr>
                  </w:pPr>
                  <w:r>
                    <w:rPr>
                      <w:rFonts w:eastAsia="仿宋_GB2312"/>
                      <w:b/>
                      <w:bCs/>
                      <w:color w:val="000000"/>
                      <w:sz w:val="21"/>
                      <w:szCs w:val="21"/>
                    </w:rPr>
                    <w:t>备注</w:t>
                  </w:r>
                </w:p>
              </w:tc>
            </w:tr>
            <w:tr w14:paraId="4A6B82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jc w:val="center"/>
              </w:trPr>
              <w:tc>
                <w:tcPr>
                  <w:tcW w:w="422" w:type="pct"/>
                  <w:vAlign w:val="center"/>
                </w:tcPr>
                <w:p w14:paraId="659DC882">
                  <w:pPr>
                    <w:adjustRightInd w:val="0"/>
                    <w:snapToGrid w:val="0"/>
                    <w:jc w:val="center"/>
                    <w:rPr>
                      <w:rFonts w:eastAsia="仿宋_GB2312"/>
                      <w:color w:val="000000"/>
                      <w:sz w:val="21"/>
                      <w:szCs w:val="21"/>
                    </w:rPr>
                  </w:pPr>
                  <w:r>
                    <w:rPr>
                      <w:rFonts w:eastAsia="仿宋_GB2312"/>
                      <w:color w:val="000000"/>
                      <w:sz w:val="21"/>
                      <w:szCs w:val="21"/>
                    </w:rPr>
                    <w:t>1</w:t>
                  </w:r>
                </w:p>
              </w:tc>
              <w:tc>
                <w:tcPr>
                  <w:tcW w:w="2785" w:type="pct"/>
                  <w:vAlign w:val="center"/>
                </w:tcPr>
                <w:p w14:paraId="461A299C">
                  <w:pPr>
                    <w:adjustRightInd w:val="0"/>
                    <w:snapToGrid w:val="0"/>
                    <w:jc w:val="center"/>
                    <w:rPr>
                      <w:rFonts w:eastAsia="仿宋_GB2312"/>
                      <w:color w:val="000000"/>
                      <w:sz w:val="21"/>
                      <w:szCs w:val="21"/>
                    </w:rPr>
                  </w:pPr>
                  <w:r>
                    <w:rPr>
                      <w:rFonts w:eastAsia="仿宋_GB2312"/>
                      <w:color w:val="000000"/>
                      <w:sz w:val="21"/>
                      <w:szCs w:val="21"/>
                    </w:rPr>
                    <w:t>2孔φ250PE管+1孔φ160PE管</w:t>
                  </w:r>
                </w:p>
                <w:p w14:paraId="3A5E9FDA">
                  <w:pPr>
                    <w:adjustRightInd w:val="0"/>
                    <w:snapToGrid w:val="0"/>
                    <w:jc w:val="center"/>
                    <w:rPr>
                      <w:rFonts w:eastAsia="仿宋_GB2312"/>
                      <w:color w:val="000000"/>
                      <w:sz w:val="21"/>
                      <w:szCs w:val="21"/>
                    </w:rPr>
                  </w:pPr>
                  <w:r>
                    <w:rPr>
                      <w:rFonts w:eastAsia="仿宋_GB2312"/>
                      <w:color w:val="000000"/>
                      <w:sz w:val="21"/>
                      <w:szCs w:val="21"/>
                    </w:rPr>
                    <w:t>定向钻钻导向孔、扩孔、回拖</w:t>
                  </w:r>
                </w:p>
              </w:tc>
              <w:tc>
                <w:tcPr>
                  <w:tcW w:w="412" w:type="pct"/>
                  <w:vAlign w:val="center"/>
                </w:tcPr>
                <w:p w14:paraId="0B7D54C9">
                  <w:pPr>
                    <w:adjustRightInd w:val="0"/>
                    <w:snapToGrid w:val="0"/>
                    <w:jc w:val="center"/>
                    <w:rPr>
                      <w:rFonts w:eastAsia="仿宋_GB2312"/>
                      <w:color w:val="000000"/>
                      <w:sz w:val="21"/>
                      <w:szCs w:val="21"/>
                    </w:rPr>
                  </w:pPr>
                  <w:r>
                    <w:rPr>
                      <w:rFonts w:eastAsia="仿宋_GB2312"/>
                      <w:color w:val="000000"/>
                      <w:sz w:val="21"/>
                      <w:szCs w:val="21"/>
                    </w:rPr>
                    <w:t>m</w:t>
                  </w:r>
                </w:p>
              </w:tc>
              <w:tc>
                <w:tcPr>
                  <w:tcW w:w="718" w:type="pct"/>
                  <w:vAlign w:val="center"/>
                </w:tcPr>
                <w:p w14:paraId="566AC9CE">
                  <w:pPr>
                    <w:adjustRightInd w:val="0"/>
                    <w:snapToGrid w:val="0"/>
                    <w:jc w:val="center"/>
                    <w:rPr>
                      <w:rFonts w:eastAsia="仿宋_GB2312"/>
                      <w:color w:val="000000"/>
                      <w:sz w:val="21"/>
                      <w:szCs w:val="21"/>
                    </w:rPr>
                  </w:pPr>
                  <w:r>
                    <w:rPr>
                      <w:rFonts w:eastAsia="仿宋_GB2312"/>
                      <w:color w:val="000000"/>
                      <w:sz w:val="21"/>
                      <w:szCs w:val="21"/>
                    </w:rPr>
                    <w:t>1063</w:t>
                  </w:r>
                </w:p>
              </w:tc>
              <w:tc>
                <w:tcPr>
                  <w:tcW w:w="661" w:type="pct"/>
                  <w:vAlign w:val="center"/>
                </w:tcPr>
                <w:p w14:paraId="7ECE457F">
                  <w:pPr>
                    <w:adjustRightInd w:val="0"/>
                    <w:snapToGrid w:val="0"/>
                    <w:jc w:val="center"/>
                    <w:rPr>
                      <w:rFonts w:eastAsia="仿宋_GB2312"/>
                      <w:color w:val="000000"/>
                      <w:sz w:val="21"/>
                      <w:szCs w:val="21"/>
                    </w:rPr>
                  </w:pPr>
                  <w:r>
                    <w:rPr>
                      <w:rFonts w:eastAsia="仿宋_GB2312"/>
                      <w:color w:val="000000"/>
                      <w:sz w:val="21"/>
                      <w:szCs w:val="21"/>
                    </w:rPr>
                    <w:t>/</w:t>
                  </w:r>
                </w:p>
              </w:tc>
            </w:tr>
            <w:tr w14:paraId="339B99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jc w:val="center"/>
              </w:trPr>
              <w:tc>
                <w:tcPr>
                  <w:tcW w:w="422" w:type="pct"/>
                  <w:vAlign w:val="center"/>
                </w:tcPr>
                <w:p w14:paraId="64D8F4E6">
                  <w:pPr>
                    <w:adjustRightInd w:val="0"/>
                    <w:snapToGrid w:val="0"/>
                    <w:jc w:val="center"/>
                    <w:rPr>
                      <w:rFonts w:eastAsia="仿宋_GB2312"/>
                      <w:color w:val="000000"/>
                      <w:sz w:val="21"/>
                      <w:szCs w:val="21"/>
                    </w:rPr>
                  </w:pPr>
                  <w:r>
                    <w:rPr>
                      <w:rFonts w:eastAsia="仿宋_GB2312"/>
                      <w:color w:val="000000"/>
                      <w:sz w:val="21"/>
                      <w:szCs w:val="21"/>
                    </w:rPr>
                    <w:t>2</w:t>
                  </w:r>
                </w:p>
              </w:tc>
              <w:tc>
                <w:tcPr>
                  <w:tcW w:w="2785" w:type="pct"/>
                  <w:vAlign w:val="center"/>
                </w:tcPr>
                <w:p w14:paraId="3C35294D">
                  <w:pPr>
                    <w:adjustRightInd w:val="0"/>
                    <w:snapToGrid w:val="0"/>
                    <w:jc w:val="center"/>
                    <w:rPr>
                      <w:rFonts w:eastAsia="仿宋_GB2312"/>
                      <w:color w:val="000000"/>
                      <w:sz w:val="21"/>
                      <w:szCs w:val="21"/>
                    </w:rPr>
                  </w:pPr>
                  <w:r>
                    <w:rPr>
                      <w:rFonts w:eastAsia="仿宋_GB2312"/>
                      <w:color w:val="000000"/>
                      <w:sz w:val="21"/>
                      <w:szCs w:val="21"/>
                    </w:rPr>
                    <w:t>2孔φ250PE管+1孔φ160PE</w:t>
                  </w:r>
                </w:p>
                <w:p w14:paraId="472E6A9C">
                  <w:pPr>
                    <w:adjustRightInd w:val="0"/>
                    <w:snapToGrid w:val="0"/>
                    <w:jc w:val="center"/>
                    <w:rPr>
                      <w:rFonts w:eastAsia="仿宋_GB2312"/>
                      <w:color w:val="000000"/>
                      <w:sz w:val="21"/>
                      <w:szCs w:val="21"/>
                    </w:rPr>
                  </w:pPr>
                  <w:r>
                    <w:rPr>
                      <w:rFonts w:eastAsia="仿宋_GB2312"/>
                      <w:color w:val="000000"/>
                      <w:sz w:val="21"/>
                      <w:szCs w:val="21"/>
                    </w:rPr>
                    <w:t>管道热熔焊接</w:t>
                  </w:r>
                </w:p>
              </w:tc>
              <w:tc>
                <w:tcPr>
                  <w:tcW w:w="412" w:type="pct"/>
                  <w:vAlign w:val="center"/>
                </w:tcPr>
                <w:p w14:paraId="541128C3">
                  <w:pPr>
                    <w:adjustRightInd w:val="0"/>
                    <w:snapToGrid w:val="0"/>
                    <w:jc w:val="center"/>
                    <w:rPr>
                      <w:rFonts w:eastAsia="仿宋_GB2312"/>
                      <w:color w:val="000000"/>
                      <w:sz w:val="21"/>
                      <w:szCs w:val="21"/>
                    </w:rPr>
                  </w:pPr>
                  <w:r>
                    <w:rPr>
                      <w:rFonts w:eastAsia="仿宋_GB2312"/>
                      <w:color w:val="000000"/>
                      <w:sz w:val="21"/>
                      <w:szCs w:val="21"/>
                    </w:rPr>
                    <w:t>m</w:t>
                  </w:r>
                </w:p>
              </w:tc>
              <w:tc>
                <w:tcPr>
                  <w:tcW w:w="718" w:type="pct"/>
                  <w:vAlign w:val="center"/>
                </w:tcPr>
                <w:p w14:paraId="3E7FD278">
                  <w:pPr>
                    <w:adjustRightInd w:val="0"/>
                    <w:snapToGrid w:val="0"/>
                    <w:jc w:val="center"/>
                    <w:rPr>
                      <w:rFonts w:eastAsia="仿宋_GB2312"/>
                      <w:color w:val="000000"/>
                      <w:sz w:val="21"/>
                      <w:szCs w:val="21"/>
                    </w:rPr>
                  </w:pPr>
                  <w:r>
                    <w:rPr>
                      <w:rFonts w:eastAsia="仿宋_GB2312"/>
                      <w:color w:val="000000"/>
                      <w:sz w:val="21"/>
                      <w:szCs w:val="21"/>
                    </w:rPr>
                    <w:t>1063</w:t>
                  </w:r>
                </w:p>
              </w:tc>
              <w:tc>
                <w:tcPr>
                  <w:tcW w:w="661" w:type="pct"/>
                  <w:vAlign w:val="center"/>
                </w:tcPr>
                <w:p w14:paraId="1F3C4D80">
                  <w:pPr>
                    <w:adjustRightInd w:val="0"/>
                    <w:snapToGrid w:val="0"/>
                    <w:jc w:val="center"/>
                    <w:rPr>
                      <w:rFonts w:eastAsia="仿宋_GB2312"/>
                      <w:color w:val="000000"/>
                      <w:sz w:val="21"/>
                      <w:szCs w:val="21"/>
                    </w:rPr>
                  </w:pPr>
                  <w:r>
                    <w:rPr>
                      <w:rFonts w:eastAsia="仿宋_GB2312"/>
                      <w:color w:val="000000"/>
                      <w:sz w:val="21"/>
                      <w:szCs w:val="21"/>
                    </w:rPr>
                    <w:t>/</w:t>
                  </w:r>
                </w:p>
              </w:tc>
            </w:tr>
            <w:tr w14:paraId="2AE866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jc w:val="center"/>
              </w:trPr>
              <w:tc>
                <w:tcPr>
                  <w:tcW w:w="422" w:type="pct"/>
                  <w:vAlign w:val="center"/>
                </w:tcPr>
                <w:p w14:paraId="7A384B3B">
                  <w:pPr>
                    <w:adjustRightInd w:val="0"/>
                    <w:snapToGrid w:val="0"/>
                    <w:jc w:val="center"/>
                    <w:rPr>
                      <w:rFonts w:eastAsia="仿宋_GB2312"/>
                      <w:color w:val="000000"/>
                      <w:sz w:val="21"/>
                      <w:szCs w:val="21"/>
                    </w:rPr>
                  </w:pPr>
                  <w:r>
                    <w:rPr>
                      <w:rFonts w:eastAsia="仿宋_GB2312"/>
                      <w:color w:val="000000"/>
                      <w:sz w:val="21"/>
                      <w:szCs w:val="21"/>
                    </w:rPr>
                    <w:t>3</w:t>
                  </w:r>
                </w:p>
              </w:tc>
              <w:tc>
                <w:tcPr>
                  <w:tcW w:w="2785" w:type="pct"/>
                  <w:vAlign w:val="center"/>
                </w:tcPr>
                <w:p w14:paraId="3E8A341B">
                  <w:pPr>
                    <w:adjustRightInd w:val="0"/>
                    <w:snapToGrid w:val="0"/>
                    <w:jc w:val="center"/>
                    <w:rPr>
                      <w:rFonts w:eastAsia="仿宋_GB2312"/>
                      <w:color w:val="000000"/>
                      <w:sz w:val="21"/>
                      <w:szCs w:val="21"/>
                    </w:rPr>
                  </w:pPr>
                  <w:r>
                    <w:rPr>
                      <w:rFonts w:eastAsia="仿宋_GB2312"/>
                      <w:color w:val="000000"/>
                      <w:sz w:val="21"/>
                      <w:szCs w:val="21"/>
                    </w:rPr>
                    <w:t>泥浆池开挖、回填</w:t>
                  </w:r>
                </w:p>
              </w:tc>
              <w:tc>
                <w:tcPr>
                  <w:tcW w:w="412" w:type="pct"/>
                  <w:vAlign w:val="center"/>
                </w:tcPr>
                <w:p w14:paraId="7B349F63">
                  <w:pPr>
                    <w:adjustRightInd w:val="0"/>
                    <w:snapToGrid w:val="0"/>
                    <w:jc w:val="center"/>
                    <w:rPr>
                      <w:rFonts w:eastAsia="仿宋_GB2312"/>
                      <w:color w:val="000000"/>
                      <w:sz w:val="21"/>
                      <w:szCs w:val="21"/>
                    </w:rPr>
                  </w:pPr>
                  <w:r>
                    <w:rPr>
                      <w:rFonts w:eastAsia="仿宋_GB2312"/>
                      <w:color w:val="000000"/>
                      <w:sz w:val="21"/>
                      <w:szCs w:val="21"/>
                    </w:rPr>
                    <w:t>处</w:t>
                  </w:r>
                </w:p>
              </w:tc>
              <w:tc>
                <w:tcPr>
                  <w:tcW w:w="718" w:type="pct"/>
                  <w:vAlign w:val="center"/>
                </w:tcPr>
                <w:p w14:paraId="33C3BACE">
                  <w:pPr>
                    <w:adjustRightInd w:val="0"/>
                    <w:snapToGrid w:val="0"/>
                    <w:jc w:val="center"/>
                    <w:rPr>
                      <w:rFonts w:eastAsia="仿宋_GB2312"/>
                      <w:color w:val="000000"/>
                      <w:sz w:val="21"/>
                      <w:szCs w:val="21"/>
                    </w:rPr>
                  </w:pPr>
                  <w:r>
                    <w:rPr>
                      <w:rFonts w:eastAsia="仿宋_GB2312"/>
                      <w:color w:val="000000"/>
                      <w:sz w:val="21"/>
                      <w:szCs w:val="21"/>
                    </w:rPr>
                    <w:t>8</w:t>
                  </w:r>
                </w:p>
              </w:tc>
              <w:tc>
                <w:tcPr>
                  <w:tcW w:w="661" w:type="pct"/>
                  <w:vAlign w:val="center"/>
                </w:tcPr>
                <w:p w14:paraId="3F9C1935">
                  <w:pPr>
                    <w:adjustRightInd w:val="0"/>
                    <w:snapToGrid w:val="0"/>
                    <w:jc w:val="center"/>
                    <w:rPr>
                      <w:rFonts w:eastAsia="仿宋_GB2312"/>
                      <w:color w:val="000000"/>
                      <w:sz w:val="21"/>
                      <w:szCs w:val="21"/>
                    </w:rPr>
                  </w:pPr>
                  <w:r>
                    <w:rPr>
                      <w:rFonts w:eastAsia="仿宋_GB2312"/>
                      <w:color w:val="000000"/>
                      <w:sz w:val="21"/>
                      <w:szCs w:val="21"/>
                    </w:rPr>
                    <w:t>/</w:t>
                  </w:r>
                </w:p>
              </w:tc>
            </w:tr>
            <w:tr w14:paraId="286186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jc w:val="center"/>
              </w:trPr>
              <w:tc>
                <w:tcPr>
                  <w:tcW w:w="422" w:type="pct"/>
                  <w:vAlign w:val="center"/>
                </w:tcPr>
                <w:p w14:paraId="72A66C55">
                  <w:pPr>
                    <w:adjustRightInd w:val="0"/>
                    <w:snapToGrid w:val="0"/>
                    <w:jc w:val="center"/>
                    <w:rPr>
                      <w:rFonts w:eastAsia="仿宋_GB2312"/>
                      <w:color w:val="000000"/>
                      <w:sz w:val="21"/>
                      <w:szCs w:val="21"/>
                    </w:rPr>
                  </w:pPr>
                  <w:r>
                    <w:rPr>
                      <w:rFonts w:eastAsia="仿宋_GB2312"/>
                      <w:color w:val="000000"/>
                      <w:sz w:val="21"/>
                      <w:szCs w:val="21"/>
                    </w:rPr>
                    <w:t>4</w:t>
                  </w:r>
                </w:p>
              </w:tc>
              <w:tc>
                <w:tcPr>
                  <w:tcW w:w="2785" w:type="pct"/>
                  <w:vAlign w:val="center"/>
                </w:tcPr>
                <w:p w14:paraId="26256DE1">
                  <w:pPr>
                    <w:adjustRightInd w:val="0"/>
                    <w:snapToGrid w:val="0"/>
                    <w:jc w:val="center"/>
                    <w:rPr>
                      <w:rFonts w:eastAsia="仿宋_GB2312"/>
                      <w:color w:val="000000"/>
                      <w:sz w:val="21"/>
                      <w:szCs w:val="21"/>
                    </w:rPr>
                  </w:pPr>
                  <w:r>
                    <w:rPr>
                      <w:rFonts w:eastAsia="仿宋_GB2312"/>
                      <w:color w:val="000000"/>
                      <w:sz w:val="21"/>
                      <w:szCs w:val="21"/>
                    </w:rPr>
                    <w:t>泥浆外运</w:t>
                  </w:r>
                </w:p>
              </w:tc>
              <w:tc>
                <w:tcPr>
                  <w:tcW w:w="412" w:type="pct"/>
                  <w:vAlign w:val="center"/>
                </w:tcPr>
                <w:p w14:paraId="661179A0">
                  <w:pPr>
                    <w:adjustRightInd w:val="0"/>
                    <w:snapToGrid w:val="0"/>
                    <w:jc w:val="center"/>
                    <w:rPr>
                      <w:rFonts w:eastAsia="仿宋_GB2312"/>
                      <w:color w:val="000000"/>
                      <w:sz w:val="21"/>
                      <w:szCs w:val="21"/>
                    </w:rPr>
                  </w:pPr>
                  <w:r>
                    <w:rPr>
                      <w:rFonts w:eastAsia="仿宋_GB2312"/>
                      <w:color w:val="000000"/>
                      <w:sz w:val="21"/>
                      <w:szCs w:val="21"/>
                    </w:rPr>
                    <w:t>m</w:t>
                  </w:r>
                  <w:r>
                    <w:rPr>
                      <w:rFonts w:eastAsia="仿宋_GB2312"/>
                      <w:color w:val="000000"/>
                      <w:sz w:val="21"/>
                      <w:szCs w:val="21"/>
                      <w:vertAlign w:val="superscript"/>
                    </w:rPr>
                    <w:t>3</w:t>
                  </w:r>
                </w:p>
              </w:tc>
              <w:tc>
                <w:tcPr>
                  <w:tcW w:w="718" w:type="pct"/>
                  <w:vAlign w:val="center"/>
                </w:tcPr>
                <w:p w14:paraId="5959B6DC">
                  <w:pPr>
                    <w:adjustRightInd w:val="0"/>
                    <w:snapToGrid w:val="0"/>
                    <w:jc w:val="center"/>
                    <w:rPr>
                      <w:rFonts w:eastAsia="仿宋_GB2312"/>
                      <w:color w:val="000000"/>
                      <w:sz w:val="21"/>
                      <w:szCs w:val="21"/>
                    </w:rPr>
                  </w:pPr>
                  <w:r>
                    <w:rPr>
                      <w:rFonts w:eastAsia="仿宋_GB2312"/>
                      <w:color w:val="000000"/>
                      <w:sz w:val="21"/>
                      <w:szCs w:val="21"/>
                    </w:rPr>
                    <w:t>350</w:t>
                  </w:r>
                </w:p>
              </w:tc>
              <w:tc>
                <w:tcPr>
                  <w:tcW w:w="661" w:type="pct"/>
                  <w:vAlign w:val="center"/>
                </w:tcPr>
                <w:p w14:paraId="2A0A0DB1">
                  <w:pPr>
                    <w:adjustRightInd w:val="0"/>
                    <w:snapToGrid w:val="0"/>
                    <w:jc w:val="center"/>
                    <w:rPr>
                      <w:rFonts w:eastAsia="仿宋_GB2312"/>
                      <w:color w:val="000000"/>
                      <w:sz w:val="21"/>
                      <w:szCs w:val="21"/>
                    </w:rPr>
                  </w:pPr>
                  <w:r>
                    <w:rPr>
                      <w:rFonts w:eastAsia="仿宋_GB2312"/>
                      <w:color w:val="000000"/>
                      <w:sz w:val="21"/>
                      <w:szCs w:val="21"/>
                    </w:rPr>
                    <w:t>/</w:t>
                  </w:r>
                </w:p>
              </w:tc>
            </w:tr>
          </w:tbl>
          <w:p w14:paraId="614772B4">
            <w:pPr>
              <w:adjustRightInd w:val="0"/>
              <w:snapToGrid w:val="0"/>
              <w:spacing w:beforeLines="50" w:line="360" w:lineRule="auto"/>
              <w:jc w:val="center"/>
              <w:rPr>
                <w:rFonts w:eastAsia="仿宋_GB2312"/>
                <w:b/>
                <w:kern w:val="0"/>
              </w:rPr>
            </w:pPr>
            <w:r>
              <w:rPr>
                <w:rFonts w:eastAsia="仿宋_GB2312"/>
                <w:b/>
                <w:kern w:val="0"/>
              </w:rPr>
              <w:t>表2-</w:t>
            </w:r>
            <w:r>
              <w:rPr>
                <w:rFonts w:hint="eastAsia" w:eastAsia="仿宋_GB2312"/>
                <w:b/>
                <w:kern w:val="0"/>
                <w:lang w:val="en-US" w:eastAsia="zh-CN"/>
              </w:rPr>
              <w:t xml:space="preserve">5  </w:t>
            </w:r>
            <w:r>
              <w:rPr>
                <w:rFonts w:eastAsia="仿宋_GB2312"/>
                <w:b/>
                <w:kern w:val="0"/>
              </w:rPr>
              <w:t>本厂区公辅工程建设内容一览表（全厂）</w:t>
            </w:r>
          </w:p>
          <w:tbl>
            <w:tblPr>
              <w:tblStyle w:val="31"/>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527"/>
              <w:gridCol w:w="426"/>
              <w:gridCol w:w="801"/>
              <w:gridCol w:w="1561"/>
              <w:gridCol w:w="1561"/>
              <w:gridCol w:w="1568"/>
              <w:gridCol w:w="1943"/>
            </w:tblGrid>
            <w:tr w14:paraId="4D68100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4" w:hRule="atLeast"/>
                <w:jc w:val="center"/>
              </w:trPr>
              <w:tc>
                <w:tcPr>
                  <w:tcW w:w="339" w:type="pct"/>
                  <w:vMerge w:val="restart"/>
                  <w:tcBorders>
                    <w:tl2br w:val="nil"/>
                    <w:tr2bl w:val="nil"/>
                  </w:tcBorders>
                  <w:vAlign w:val="center"/>
                </w:tcPr>
                <w:p w14:paraId="7E127065">
                  <w:pPr>
                    <w:adjustRightInd w:val="0"/>
                    <w:snapToGrid w:val="0"/>
                    <w:jc w:val="center"/>
                    <w:rPr>
                      <w:rFonts w:eastAsia="仿宋_GB2312"/>
                      <w:b/>
                      <w:bCs/>
                      <w:kern w:val="0"/>
                      <w:sz w:val="21"/>
                      <w:szCs w:val="21"/>
                    </w:rPr>
                  </w:pPr>
                  <w:r>
                    <w:rPr>
                      <w:rFonts w:eastAsia="仿宋_GB2312"/>
                      <w:b/>
                      <w:bCs/>
                      <w:kern w:val="0"/>
                      <w:sz w:val="21"/>
                      <w:szCs w:val="21"/>
                    </w:rPr>
                    <w:t>类别</w:t>
                  </w:r>
                </w:p>
              </w:tc>
              <w:tc>
                <w:tcPr>
                  <w:tcW w:w="780" w:type="pct"/>
                  <w:gridSpan w:val="2"/>
                  <w:vMerge w:val="restart"/>
                  <w:tcBorders>
                    <w:tl2br w:val="nil"/>
                    <w:tr2bl w:val="nil"/>
                  </w:tcBorders>
                  <w:vAlign w:val="center"/>
                </w:tcPr>
                <w:p w14:paraId="530AC3C6">
                  <w:pPr>
                    <w:adjustRightInd w:val="0"/>
                    <w:snapToGrid w:val="0"/>
                    <w:jc w:val="center"/>
                    <w:rPr>
                      <w:rFonts w:eastAsia="仿宋_GB2312"/>
                      <w:b/>
                      <w:bCs/>
                      <w:kern w:val="0"/>
                      <w:sz w:val="21"/>
                      <w:szCs w:val="21"/>
                    </w:rPr>
                  </w:pPr>
                  <w:r>
                    <w:rPr>
                      <w:rFonts w:eastAsia="仿宋_GB2312"/>
                      <w:b/>
                      <w:bCs/>
                      <w:kern w:val="0"/>
                      <w:sz w:val="21"/>
                      <w:szCs w:val="21"/>
                    </w:rPr>
                    <w:t>建设名称</w:t>
                  </w:r>
                </w:p>
              </w:tc>
              <w:tc>
                <w:tcPr>
                  <w:tcW w:w="2869" w:type="pct"/>
                  <w:gridSpan w:val="3"/>
                  <w:tcBorders>
                    <w:tl2br w:val="nil"/>
                    <w:tr2bl w:val="nil"/>
                  </w:tcBorders>
                  <w:vAlign w:val="center"/>
                </w:tcPr>
                <w:p w14:paraId="5E5D421F">
                  <w:pPr>
                    <w:adjustRightInd w:val="0"/>
                    <w:snapToGrid w:val="0"/>
                    <w:jc w:val="center"/>
                    <w:rPr>
                      <w:rFonts w:eastAsia="仿宋_GB2312"/>
                      <w:b/>
                      <w:bCs/>
                      <w:kern w:val="0"/>
                      <w:sz w:val="21"/>
                      <w:szCs w:val="21"/>
                    </w:rPr>
                  </w:pPr>
                  <w:r>
                    <w:rPr>
                      <w:rFonts w:eastAsia="仿宋_GB2312"/>
                      <w:b/>
                      <w:bCs/>
                      <w:kern w:val="0"/>
                      <w:sz w:val="21"/>
                      <w:szCs w:val="21"/>
                    </w:rPr>
                    <w:t>设计能力</w:t>
                  </w:r>
                </w:p>
              </w:tc>
              <w:tc>
                <w:tcPr>
                  <w:tcW w:w="1010" w:type="pct"/>
                  <w:vMerge w:val="restart"/>
                  <w:tcBorders>
                    <w:tl2br w:val="nil"/>
                    <w:tr2bl w:val="nil"/>
                  </w:tcBorders>
                  <w:vAlign w:val="center"/>
                </w:tcPr>
                <w:p w14:paraId="21AD2A0B">
                  <w:pPr>
                    <w:adjustRightInd w:val="0"/>
                    <w:snapToGrid w:val="0"/>
                    <w:jc w:val="center"/>
                    <w:rPr>
                      <w:rFonts w:eastAsia="仿宋_GB2312"/>
                      <w:b/>
                      <w:bCs/>
                      <w:kern w:val="0"/>
                      <w:sz w:val="21"/>
                      <w:szCs w:val="21"/>
                    </w:rPr>
                  </w:pPr>
                  <w:r>
                    <w:rPr>
                      <w:rFonts w:eastAsia="仿宋_GB2312"/>
                      <w:b/>
                      <w:bCs/>
                      <w:kern w:val="0"/>
                      <w:sz w:val="21"/>
                      <w:szCs w:val="21"/>
                    </w:rPr>
                    <w:t>备注</w:t>
                  </w:r>
                </w:p>
              </w:tc>
            </w:tr>
            <w:tr w14:paraId="3C2D578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4" w:hRule="atLeast"/>
                <w:jc w:val="center"/>
              </w:trPr>
              <w:tc>
                <w:tcPr>
                  <w:tcW w:w="339" w:type="pct"/>
                  <w:vMerge w:val="continue"/>
                  <w:tcBorders>
                    <w:tl2br w:val="nil"/>
                    <w:tr2bl w:val="nil"/>
                  </w:tcBorders>
                  <w:vAlign w:val="center"/>
                </w:tcPr>
                <w:p w14:paraId="0CC92309">
                  <w:pPr>
                    <w:adjustRightInd w:val="0"/>
                    <w:snapToGrid w:val="0"/>
                    <w:jc w:val="center"/>
                    <w:rPr>
                      <w:rFonts w:eastAsia="仿宋_GB2312"/>
                      <w:sz w:val="21"/>
                      <w:szCs w:val="21"/>
                    </w:rPr>
                  </w:pPr>
                </w:p>
              </w:tc>
              <w:tc>
                <w:tcPr>
                  <w:tcW w:w="780" w:type="pct"/>
                  <w:gridSpan w:val="2"/>
                  <w:vMerge w:val="continue"/>
                  <w:tcBorders>
                    <w:tl2br w:val="nil"/>
                    <w:tr2bl w:val="nil"/>
                  </w:tcBorders>
                  <w:vAlign w:val="center"/>
                </w:tcPr>
                <w:p w14:paraId="3DDE4C3B">
                  <w:pPr>
                    <w:adjustRightInd w:val="0"/>
                    <w:snapToGrid w:val="0"/>
                    <w:jc w:val="center"/>
                    <w:rPr>
                      <w:rFonts w:eastAsia="仿宋_GB2312"/>
                      <w:sz w:val="21"/>
                      <w:szCs w:val="21"/>
                    </w:rPr>
                  </w:pPr>
                </w:p>
              </w:tc>
              <w:tc>
                <w:tcPr>
                  <w:tcW w:w="955" w:type="pct"/>
                  <w:tcBorders>
                    <w:tl2br w:val="nil"/>
                    <w:tr2bl w:val="nil"/>
                  </w:tcBorders>
                  <w:vAlign w:val="center"/>
                </w:tcPr>
                <w:p w14:paraId="5DC13801">
                  <w:pPr>
                    <w:adjustRightInd w:val="0"/>
                    <w:snapToGrid w:val="0"/>
                    <w:jc w:val="center"/>
                    <w:rPr>
                      <w:rFonts w:eastAsia="仿宋_GB2312"/>
                      <w:b/>
                      <w:bCs/>
                      <w:kern w:val="0"/>
                      <w:sz w:val="21"/>
                      <w:szCs w:val="21"/>
                    </w:rPr>
                  </w:pPr>
                  <w:r>
                    <w:rPr>
                      <w:rFonts w:eastAsia="仿宋_GB2312"/>
                      <w:b/>
                      <w:bCs/>
                      <w:kern w:val="0"/>
                      <w:sz w:val="21"/>
                      <w:szCs w:val="21"/>
                    </w:rPr>
                    <w:t>现有</w:t>
                  </w:r>
                </w:p>
              </w:tc>
              <w:tc>
                <w:tcPr>
                  <w:tcW w:w="955" w:type="pct"/>
                  <w:tcBorders>
                    <w:tl2br w:val="nil"/>
                    <w:tr2bl w:val="nil"/>
                  </w:tcBorders>
                  <w:vAlign w:val="center"/>
                </w:tcPr>
                <w:p w14:paraId="5CC04520">
                  <w:pPr>
                    <w:adjustRightInd w:val="0"/>
                    <w:snapToGrid w:val="0"/>
                    <w:jc w:val="center"/>
                    <w:rPr>
                      <w:rFonts w:eastAsia="仿宋_GB2312"/>
                      <w:b/>
                      <w:bCs/>
                      <w:kern w:val="0"/>
                      <w:sz w:val="21"/>
                      <w:szCs w:val="21"/>
                    </w:rPr>
                  </w:pPr>
                  <w:r>
                    <w:rPr>
                      <w:rFonts w:eastAsia="仿宋_GB2312"/>
                      <w:b/>
                      <w:bCs/>
                      <w:kern w:val="0"/>
                      <w:sz w:val="21"/>
                      <w:szCs w:val="21"/>
                    </w:rPr>
                    <w:t>本项目</w:t>
                  </w:r>
                </w:p>
              </w:tc>
              <w:tc>
                <w:tcPr>
                  <w:tcW w:w="958" w:type="pct"/>
                  <w:tcBorders>
                    <w:tl2br w:val="nil"/>
                    <w:tr2bl w:val="nil"/>
                  </w:tcBorders>
                  <w:vAlign w:val="center"/>
                </w:tcPr>
                <w:p w14:paraId="691D7B92">
                  <w:pPr>
                    <w:adjustRightInd w:val="0"/>
                    <w:snapToGrid w:val="0"/>
                    <w:jc w:val="center"/>
                    <w:rPr>
                      <w:rFonts w:eastAsia="仿宋_GB2312"/>
                      <w:b/>
                      <w:bCs/>
                      <w:kern w:val="0"/>
                      <w:sz w:val="21"/>
                      <w:szCs w:val="21"/>
                    </w:rPr>
                  </w:pPr>
                  <w:r>
                    <w:rPr>
                      <w:rFonts w:eastAsia="仿宋_GB2312"/>
                      <w:b/>
                      <w:bCs/>
                      <w:kern w:val="0"/>
                      <w:sz w:val="21"/>
                      <w:szCs w:val="21"/>
                    </w:rPr>
                    <w:t>全厂</w:t>
                  </w:r>
                </w:p>
              </w:tc>
              <w:tc>
                <w:tcPr>
                  <w:tcW w:w="1010" w:type="pct"/>
                  <w:vMerge w:val="continue"/>
                  <w:tcBorders>
                    <w:tl2br w:val="nil"/>
                    <w:tr2bl w:val="nil"/>
                  </w:tcBorders>
                  <w:vAlign w:val="center"/>
                </w:tcPr>
                <w:p w14:paraId="5BDCF7E7">
                  <w:pPr>
                    <w:adjustRightInd w:val="0"/>
                    <w:snapToGrid w:val="0"/>
                    <w:jc w:val="center"/>
                    <w:rPr>
                      <w:rFonts w:eastAsia="仿宋_GB2312"/>
                      <w:b/>
                      <w:bCs/>
                      <w:kern w:val="0"/>
                      <w:sz w:val="21"/>
                      <w:szCs w:val="21"/>
                    </w:rPr>
                  </w:pPr>
                </w:p>
              </w:tc>
            </w:tr>
            <w:tr w14:paraId="79004C4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39" w:type="pct"/>
                  <w:vMerge w:val="restart"/>
                  <w:tcBorders>
                    <w:tl2br w:val="nil"/>
                    <w:tr2bl w:val="nil"/>
                  </w:tcBorders>
                  <w:vAlign w:val="center"/>
                </w:tcPr>
                <w:p w14:paraId="5F10B052">
                  <w:pPr>
                    <w:adjustRightInd w:val="0"/>
                    <w:snapToGrid w:val="0"/>
                    <w:jc w:val="center"/>
                    <w:rPr>
                      <w:rFonts w:eastAsia="仿宋_GB2312"/>
                      <w:kern w:val="0"/>
                      <w:sz w:val="21"/>
                      <w:szCs w:val="21"/>
                    </w:rPr>
                  </w:pPr>
                  <w:r>
                    <w:rPr>
                      <w:rFonts w:eastAsia="仿宋_GB2312"/>
                      <w:kern w:val="0"/>
                      <w:sz w:val="21"/>
                      <w:szCs w:val="21"/>
                    </w:rPr>
                    <w:t>主要建筑物</w:t>
                  </w:r>
                </w:p>
              </w:tc>
              <w:tc>
                <w:tcPr>
                  <w:tcW w:w="780" w:type="pct"/>
                  <w:gridSpan w:val="2"/>
                  <w:tcBorders>
                    <w:tl2br w:val="nil"/>
                    <w:tr2bl w:val="nil"/>
                  </w:tcBorders>
                  <w:vAlign w:val="center"/>
                </w:tcPr>
                <w:p w14:paraId="6B0B4DF6">
                  <w:pPr>
                    <w:pStyle w:val="56"/>
                    <w:spacing w:beforeLines="0" w:afterLines="0" w:line="240" w:lineRule="auto"/>
                    <w:rPr>
                      <w:rFonts w:ascii="Times New Roman" w:eastAsia="仿宋_GB2312"/>
                      <w:b/>
                      <w:bCs/>
                      <w:sz w:val="21"/>
                      <w:szCs w:val="21"/>
                    </w:rPr>
                  </w:pPr>
                  <w:r>
                    <w:rPr>
                      <w:rFonts w:ascii="Times New Roman" w:eastAsia="仿宋_GB2312"/>
                      <w:sz w:val="21"/>
                      <w:szCs w:val="21"/>
                    </w:rPr>
                    <w:t>卤水净化车间</w:t>
                  </w:r>
                </w:p>
              </w:tc>
              <w:tc>
                <w:tcPr>
                  <w:tcW w:w="955" w:type="pct"/>
                  <w:tcBorders>
                    <w:tl2br w:val="nil"/>
                    <w:tr2bl w:val="nil"/>
                  </w:tcBorders>
                  <w:vAlign w:val="center"/>
                </w:tcPr>
                <w:p w14:paraId="076E9D56">
                  <w:pPr>
                    <w:pStyle w:val="56"/>
                    <w:spacing w:beforeLines="0" w:afterLines="0" w:line="240" w:lineRule="auto"/>
                    <w:rPr>
                      <w:rFonts w:ascii="Times New Roman" w:eastAsia="仿宋_GB2312"/>
                      <w:b/>
                      <w:bCs/>
                      <w:sz w:val="21"/>
                      <w:szCs w:val="21"/>
                    </w:rPr>
                  </w:pPr>
                  <w:r>
                    <w:rPr>
                      <w:rFonts w:ascii="Times New Roman" w:eastAsia="仿宋_GB2312"/>
                      <w:sz w:val="21"/>
                      <w:szCs w:val="21"/>
                    </w:rPr>
                    <w:t>6800m</w:t>
                  </w:r>
                  <w:r>
                    <w:rPr>
                      <w:rFonts w:ascii="Times New Roman" w:eastAsia="仿宋_GB2312"/>
                      <w:sz w:val="21"/>
                      <w:szCs w:val="21"/>
                      <w:vertAlign w:val="superscript"/>
                    </w:rPr>
                    <w:t>2</w:t>
                  </w:r>
                </w:p>
              </w:tc>
              <w:tc>
                <w:tcPr>
                  <w:tcW w:w="955" w:type="pct"/>
                  <w:tcBorders>
                    <w:tl2br w:val="nil"/>
                    <w:tr2bl w:val="nil"/>
                  </w:tcBorders>
                  <w:vAlign w:val="center"/>
                </w:tcPr>
                <w:p w14:paraId="20D556D3">
                  <w:pPr>
                    <w:adjustRightInd w:val="0"/>
                    <w:snapToGrid w:val="0"/>
                    <w:jc w:val="center"/>
                    <w:rPr>
                      <w:rFonts w:eastAsia="仿宋_GB2312"/>
                      <w:sz w:val="21"/>
                      <w:szCs w:val="21"/>
                    </w:rPr>
                  </w:pPr>
                  <w:r>
                    <w:rPr>
                      <w:rFonts w:eastAsia="仿宋_GB2312"/>
                      <w:sz w:val="21"/>
                      <w:szCs w:val="21"/>
                    </w:rPr>
                    <w:t>0</w:t>
                  </w:r>
                </w:p>
              </w:tc>
              <w:tc>
                <w:tcPr>
                  <w:tcW w:w="958" w:type="pct"/>
                  <w:tcBorders>
                    <w:tl2br w:val="nil"/>
                    <w:tr2bl w:val="nil"/>
                  </w:tcBorders>
                  <w:vAlign w:val="center"/>
                </w:tcPr>
                <w:p w14:paraId="5D7A557B">
                  <w:pPr>
                    <w:pStyle w:val="56"/>
                    <w:spacing w:beforeLines="0" w:afterLines="0" w:line="240" w:lineRule="auto"/>
                    <w:rPr>
                      <w:rFonts w:ascii="Times New Roman" w:eastAsia="仿宋_GB2312"/>
                      <w:b/>
                      <w:bCs/>
                      <w:sz w:val="21"/>
                      <w:szCs w:val="21"/>
                    </w:rPr>
                  </w:pPr>
                  <w:r>
                    <w:rPr>
                      <w:rFonts w:ascii="Times New Roman" w:eastAsia="仿宋_GB2312"/>
                      <w:sz w:val="21"/>
                      <w:szCs w:val="21"/>
                    </w:rPr>
                    <w:t>6800m</w:t>
                  </w:r>
                  <w:r>
                    <w:rPr>
                      <w:rFonts w:ascii="Times New Roman" w:eastAsia="仿宋_GB2312"/>
                      <w:sz w:val="21"/>
                      <w:szCs w:val="21"/>
                      <w:vertAlign w:val="superscript"/>
                    </w:rPr>
                    <w:t>2</w:t>
                  </w:r>
                </w:p>
              </w:tc>
              <w:tc>
                <w:tcPr>
                  <w:tcW w:w="1010" w:type="pct"/>
                  <w:tcBorders>
                    <w:tl2br w:val="nil"/>
                    <w:tr2bl w:val="nil"/>
                  </w:tcBorders>
                  <w:vAlign w:val="center"/>
                </w:tcPr>
                <w:p w14:paraId="626C97E0">
                  <w:pPr>
                    <w:pStyle w:val="56"/>
                    <w:spacing w:beforeLines="0" w:afterLines="0" w:line="240" w:lineRule="auto"/>
                    <w:rPr>
                      <w:rFonts w:ascii="Times New Roman" w:eastAsia="仿宋_GB2312"/>
                      <w:b/>
                      <w:bCs/>
                      <w:sz w:val="21"/>
                      <w:szCs w:val="21"/>
                    </w:rPr>
                  </w:pPr>
                  <w:r>
                    <w:rPr>
                      <w:rFonts w:ascii="Times New Roman" w:eastAsia="仿宋_GB2312"/>
                      <w:b/>
                      <w:bCs/>
                      <w:sz w:val="21"/>
                      <w:szCs w:val="21"/>
                    </w:rPr>
                    <w:t>/</w:t>
                  </w:r>
                </w:p>
              </w:tc>
            </w:tr>
            <w:tr w14:paraId="245789F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39" w:type="pct"/>
                  <w:vMerge w:val="continue"/>
                  <w:tcBorders>
                    <w:tl2br w:val="nil"/>
                    <w:tr2bl w:val="nil"/>
                  </w:tcBorders>
                  <w:vAlign w:val="center"/>
                </w:tcPr>
                <w:p w14:paraId="42DC4988">
                  <w:pPr>
                    <w:adjustRightInd w:val="0"/>
                    <w:snapToGrid w:val="0"/>
                    <w:jc w:val="center"/>
                    <w:rPr>
                      <w:rFonts w:eastAsia="仿宋_GB2312"/>
                      <w:kern w:val="0"/>
                      <w:sz w:val="21"/>
                      <w:szCs w:val="21"/>
                    </w:rPr>
                  </w:pPr>
                </w:p>
              </w:tc>
              <w:tc>
                <w:tcPr>
                  <w:tcW w:w="780" w:type="pct"/>
                  <w:gridSpan w:val="2"/>
                  <w:tcBorders>
                    <w:tl2br w:val="nil"/>
                    <w:tr2bl w:val="nil"/>
                  </w:tcBorders>
                  <w:vAlign w:val="center"/>
                </w:tcPr>
                <w:p w14:paraId="34E93040">
                  <w:pPr>
                    <w:pStyle w:val="56"/>
                    <w:spacing w:beforeLines="0" w:afterLines="0" w:line="240" w:lineRule="auto"/>
                    <w:rPr>
                      <w:rFonts w:ascii="Times New Roman" w:eastAsia="仿宋_GB2312"/>
                      <w:sz w:val="21"/>
                      <w:szCs w:val="21"/>
                    </w:rPr>
                  </w:pPr>
                  <w:r>
                    <w:rPr>
                      <w:rFonts w:ascii="Times New Roman" w:eastAsia="仿宋_GB2312"/>
                      <w:sz w:val="21"/>
                      <w:szCs w:val="21"/>
                    </w:rPr>
                    <w:t>一期卤水盐硝车间</w:t>
                  </w:r>
                </w:p>
              </w:tc>
              <w:tc>
                <w:tcPr>
                  <w:tcW w:w="955" w:type="pct"/>
                  <w:tcBorders>
                    <w:tl2br w:val="nil"/>
                    <w:tr2bl w:val="nil"/>
                  </w:tcBorders>
                  <w:vAlign w:val="center"/>
                </w:tcPr>
                <w:p w14:paraId="05AB2349">
                  <w:pPr>
                    <w:pStyle w:val="56"/>
                    <w:spacing w:beforeLines="0" w:afterLines="0" w:line="240" w:lineRule="auto"/>
                    <w:rPr>
                      <w:rFonts w:ascii="Times New Roman" w:eastAsia="仿宋_GB2312"/>
                      <w:sz w:val="21"/>
                      <w:szCs w:val="21"/>
                    </w:rPr>
                  </w:pPr>
                  <w:r>
                    <w:rPr>
                      <w:rFonts w:ascii="Times New Roman" w:eastAsia="仿宋_GB2312"/>
                      <w:sz w:val="21"/>
                      <w:szCs w:val="21"/>
                    </w:rPr>
                    <w:t>2800m</w:t>
                  </w:r>
                  <w:r>
                    <w:rPr>
                      <w:rFonts w:ascii="Times New Roman" w:eastAsia="仿宋_GB2312"/>
                      <w:sz w:val="21"/>
                      <w:szCs w:val="21"/>
                      <w:vertAlign w:val="superscript"/>
                    </w:rPr>
                    <w:t>2</w:t>
                  </w:r>
                </w:p>
              </w:tc>
              <w:tc>
                <w:tcPr>
                  <w:tcW w:w="955" w:type="pct"/>
                  <w:tcBorders>
                    <w:tl2br w:val="nil"/>
                    <w:tr2bl w:val="nil"/>
                  </w:tcBorders>
                  <w:vAlign w:val="center"/>
                </w:tcPr>
                <w:p w14:paraId="1382A331">
                  <w:pPr>
                    <w:adjustRightInd w:val="0"/>
                    <w:snapToGrid w:val="0"/>
                    <w:jc w:val="center"/>
                    <w:rPr>
                      <w:rFonts w:eastAsia="仿宋_GB2312"/>
                      <w:sz w:val="21"/>
                      <w:szCs w:val="21"/>
                    </w:rPr>
                  </w:pPr>
                  <w:r>
                    <w:rPr>
                      <w:rFonts w:eastAsia="仿宋_GB2312"/>
                      <w:sz w:val="21"/>
                      <w:szCs w:val="21"/>
                    </w:rPr>
                    <w:t>0</w:t>
                  </w:r>
                </w:p>
              </w:tc>
              <w:tc>
                <w:tcPr>
                  <w:tcW w:w="958" w:type="pct"/>
                  <w:tcBorders>
                    <w:tl2br w:val="nil"/>
                    <w:tr2bl w:val="nil"/>
                  </w:tcBorders>
                  <w:vAlign w:val="center"/>
                </w:tcPr>
                <w:p w14:paraId="462EAF34">
                  <w:pPr>
                    <w:pStyle w:val="56"/>
                    <w:spacing w:beforeLines="0" w:afterLines="0" w:line="240" w:lineRule="auto"/>
                    <w:rPr>
                      <w:rFonts w:ascii="Times New Roman" w:eastAsia="仿宋_GB2312"/>
                      <w:sz w:val="21"/>
                      <w:szCs w:val="21"/>
                    </w:rPr>
                  </w:pPr>
                  <w:r>
                    <w:rPr>
                      <w:rFonts w:ascii="Times New Roman" w:eastAsia="仿宋_GB2312"/>
                      <w:sz w:val="21"/>
                      <w:szCs w:val="21"/>
                    </w:rPr>
                    <w:t>2800m</w:t>
                  </w:r>
                  <w:r>
                    <w:rPr>
                      <w:rFonts w:ascii="Times New Roman" w:eastAsia="仿宋_GB2312"/>
                      <w:sz w:val="21"/>
                      <w:szCs w:val="21"/>
                      <w:vertAlign w:val="superscript"/>
                    </w:rPr>
                    <w:t>2</w:t>
                  </w:r>
                </w:p>
              </w:tc>
              <w:tc>
                <w:tcPr>
                  <w:tcW w:w="1010" w:type="pct"/>
                  <w:tcBorders>
                    <w:tl2br w:val="nil"/>
                    <w:tr2bl w:val="nil"/>
                  </w:tcBorders>
                  <w:vAlign w:val="center"/>
                </w:tcPr>
                <w:p w14:paraId="3EB4CF32">
                  <w:pPr>
                    <w:adjustRightInd w:val="0"/>
                    <w:snapToGrid w:val="0"/>
                    <w:jc w:val="center"/>
                    <w:rPr>
                      <w:rFonts w:eastAsia="仿宋_GB2312"/>
                      <w:sz w:val="21"/>
                      <w:szCs w:val="21"/>
                    </w:rPr>
                  </w:pPr>
                  <w:r>
                    <w:rPr>
                      <w:rFonts w:eastAsia="仿宋_GB2312"/>
                      <w:b/>
                      <w:bCs/>
                      <w:sz w:val="21"/>
                      <w:szCs w:val="21"/>
                    </w:rPr>
                    <w:t>/</w:t>
                  </w:r>
                </w:p>
              </w:tc>
            </w:tr>
            <w:tr w14:paraId="6369DBC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39" w:type="pct"/>
                  <w:vMerge w:val="continue"/>
                  <w:tcBorders>
                    <w:tl2br w:val="nil"/>
                    <w:tr2bl w:val="nil"/>
                  </w:tcBorders>
                  <w:vAlign w:val="center"/>
                </w:tcPr>
                <w:p w14:paraId="1D605AF5">
                  <w:pPr>
                    <w:adjustRightInd w:val="0"/>
                    <w:snapToGrid w:val="0"/>
                    <w:jc w:val="center"/>
                    <w:rPr>
                      <w:rFonts w:eastAsia="仿宋_GB2312"/>
                      <w:kern w:val="0"/>
                      <w:sz w:val="21"/>
                      <w:szCs w:val="21"/>
                    </w:rPr>
                  </w:pPr>
                </w:p>
              </w:tc>
              <w:tc>
                <w:tcPr>
                  <w:tcW w:w="780" w:type="pct"/>
                  <w:gridSpan w:val="2"/>
                  <w:tcBorders>
                    <w:tl2br w:val="nil"/>
                    <w:tr2bl w:val="nil"/>
                  </w:tcBorders>
                  <w:vAlign w:val="center"/>
                </w:tcPr>
                <w:p w14:paraId="35A5969E">
                  <w:pPr>
                    <w:pStyle w:val="56"/>
                    <w:spacing w:beforeLines="0" w:afterLines="0" w:line="240" w:lineRule="auto"/>
                    <w:rPr>
                      <w:rFonts w:ascii="Times New Roman" w:eastAsia="仿宋_GB2312"/>
                      <w:sz w:val="21"/>
                      <w:szCs w:val="21"/>
                    </w:rPr>
                  </w:pPr>
                  <w:bookmarkStart w:id="19" w:name="_Hlk199854318"/>
                  <w:r>
                    <w:rPr>
                      <w:rFonts w:ascii="Times New Roman" w:eastAsia="仿宋_GB2312"/>
                      <w:sz w:val="21"/>
                      <w:szCs w:val="21"/>
                    </w:rPr>
                    <w:t>二期卤水盐硝车间</w:t>
                  </w:r>
                  <w:bookmarkEnd w:id="19"/>
                </w:p>
              </w:tc>
              <w:tc>
                <w:tcPr>
                  <w:tcW w:w="955" w:type="pct"/>
                  <w:tcBorders>
                    <w:tl2br w:val="nil"/>
                    <w:tr2bl w:val="nil"/>
                  </w:tcBorders>
                  <w:vAlign w:val="center"/>
                </w:tcPr>
                <w:p w14:paraId="042F8F7C">
                  <w:pPr>
                    <w:pStyle w:val="56"/>
                    <w:spacing w:beforeLines="0" w:afterLines="0" w:line="240" w:lineRule="auto"/>
                    <w:rPr>
                      <w:rFonts w:ascii="Times New Roman" w:eastAsia="仿宋_GB2312"/>
                      <w:sz w:val="21"/>
                      <w:szCs w:val="21"/>
                    </w:rPr>
                  </w:pPr>
                  <w:r>
                    <w:rPr>
                      <w:rFonts w:ascii="Times New Roman" w:eastAsia="仿宋_GB2312"/>
                      <w:sz w:val="21"/>
                      <w:szCs w:val="21"/>
                    </w:rPr>
                    <w:t>3375m</w:t>
                  </w:r>
                  <w:r>
                    <w:rPr>
                      <w:rFonts w:ascii="Times New Roman" w:eastAsia="仿宋_GB2312"/>
                      <w:sz w:val="21"/>
                      <w:szCs w:val="21"/>
                      <w:vertAlign w:val="superscript"/>
                    </w:rPr>
                    <w:t>2</w:t>
                  </w:r>
                </w:p>
              </w:tc>
              <w:tc>
                <w:tcPr>
                  <w:tcW w:w="955" w:type="pct"/>
                  <w:tcBorders>
                    <w:tl2br w:val="nil"/>
                    <w:tr2bl w:val="nil"/>
                  </w:tcBorders>
                  <w:vAlign w:val="center"/>
                </w:tcPr>
                <w:p w14:paraId="14D1A435">
                  <w:pPr>
                    <w:adjustRightInd w:val="0"/>
                    <w:snapToGrid w:val="0"/>
                    <w:jc w:val="center"/>
                    <w:rPr>
                      <w:rFonts w:eastAsia="仿宋_GB2312"/>
                      <w:sz w:val="21"/>
                      <w:szCs w:val="21"/>
                    </w:rPr>
                  </w:pPr>
                  <w:r>
                    <w:rPr>
                      <w:rFonts w:eastAsia="仿宋_GB2312"/>
                      <w:sz w:val="21"/>
                      <w:szCs w:val="21"/>
                    </w:rPr>
                    <w:t>0</w:t>
                  </w:r>
                </w:p>
              </w:tc>
              <w:tc>
                <w:tcPr>
                  <w:tcW w:w="958" w:type="pct"/>
                  <w:tcBorders>
                    <w:tl2br w:val="nil"/>
                    <w:tr2bl w:val="nil"/>
                  </w:tcBorders>
                  <w:vAlign w:val="center"/>
                </w:tcPr>
                <w:p w14:paraId="3DE35F65">
                  <w:pPr>
                    <w:pStyle w:val="56"/>
                    <w:spacing w:beforeLines="0" w:afterLines="0" w:line="240" w:lineRule="auto"/>
                    <w:rPr>
                      <w:rFonts w:ascii="Times New Roman" w:eastAsia="仿宋_GB2312"/>
                      <w:sz w:val="21"/>
                      <w:szCs w:val="21"/>
                    </w:rPr>
                  </w:pPr>
                  <w:r>
                    <w:rPr>
                      <w:rFonts w:ascii="Times New Roman" w:eastAsia="仿宋_GB2312"/>
                      <w:sz w:val="21"/>
                      <w:szCs w:val="21"/>
                    </w:rPr>
                    <w:t>3375m</w:t>
                  </w:r>
                  <w:r>
                    <w:rPr>
                      <w:rFonts w:ascii="Times New Roman" w:eastAsia="仿宋_GB2312"/>
                      <w:sz w:val="21"/>
                      <w:szCs w:val="21"/>
                      <w:vertAlign w:val="superscript"/>
                    </w:rPr>
                    <w:t>2</w:t>
                  </w:r>
                </w:p>
              </w:tc>
              <w:tc>
                <w:tcPr>
                  <w:tcW w:w="1010" w:type="pct"/>
                  <w:tcBorders>
                    <w:tl2br w:val="nil"/>
                    <w:tr2bl w:val="nil"/>
                  </w:tcBorders>
                  <w:vAlign w:val="center"/>
                </w:tcPr>
                <w:p w14:paraId="63D15BF4">
                  <w:pPr>
                    <w:adjustRightInd w:val="0"/>
                    <w:snapToGrid w:val="0"/>
                    <w:jc w:val="center"/>
                    <w:rPr>
                      <w:rFonts w:eastAsia="仿宋_GB2312"/>
                      <w:sz w:val="21"/>
                      <w:szCs w:val="21"/>
                    </w:rPr>
                  </w:pPr>
                  <w:r>
                    <w:rPr>
                      <w:rFonts w:eastAsia="仿宋_GB2312"/>
                      <w:b/>
                      <w:bCs/>
                      <w:sz w:val="21"/>
                      <w:szCs w:val="21"/>
                    </w:rPr>
                    <w:t>/</w:t>
                  </w:r>
                </w:p>
              </w:tc>
            </w:tr>
            <w:tr w14:paraId="521A664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39" w:type="pct"/>
                  <w:vMerge w:val="continue"/>
                  <w:tcBorders>
                    <w:tl2br w:val="nil"/>
                    <w:tr2bl w:val="nil"/>
                  </w:tcBorders>
                  <w:vAlign w:val="center"/>
                </w:tcPr>
                <w:p w14:paraId="4D8D2E6D">
                  <w:pPr>
                    <w:adjustRightInd w:val="0"/>
                    <w:snapToGrid w:val="0"/>
                    <w:jc w:val="center"/>
                    <w:rPr>
                      <w:rFonts w:eastAsia="仿宋_GB2312"/>
                      <w:kern w:val="0"/>
                      <w:sz w:val="21"/>
                      <w:szCs w:val="21"/>
                    </w:rPr>
                  </w:pPr>
                </w:p>
              </w:tc>
              <w:tc>
                <w:tcPr>
                  <w:tcW w:w="780" w:type="pct"/>
                  <w:gridSpan w:val="2"/>
                  <w:tcBorders>
                    <w:tl2br w:val="nil"/>
                    <w:tr2bl w:val="nil"/>
                  </w:tcBorders>
                  <w:vAlign w:val="center"/>
                </w:tcPr>
                <w:p w14:paraId="41036DE3">
                  <w:pPr>
                    <w:pStyle w:val="56"/>
                    <w:spacing w:beforeLines="0" w:afterLines="0" w:line="240" w:lineRule="auto"/>
                    <w:rPr>
                      <w:rFonts w:ascii="Times New Roman" w:eastAsia="仿宋_GB2312"/>
                      <w:sz w:val="21"/>
                      <w:szCs w:val="21"/>
                    </w:rPr>
                  </w:pPr>
                  <w:r>
                    <w:rPr>
                      <w:rFonts w:ascii="Times New Roman" w:eastAsia="仿宋_GB2312"/>
                      <w:sz w:val="21"/>
                      <w:szCs w:val="21"/>
                    </w:rPr>
                    <w:t>包装仓储车间</w:t>
                  </w:r>
                </w:p>
              </w:tc>
              <w:tc>
                <w:tcPr>
                  <w:tcW w:w="955" w:type="pct"/>
                  <w:tcBorders>
                    <w:tl2br w:val="nil"/>
                    <w:tr2bl w:val="nil"/>
                  </w:tcBorders>
                  <w:vAlign w:val="center"/>
                </w:tcPr>
                <w:p w14:paraId="533E8840">
                  <w:pPr>
                    <w:pStyle w:val="56"/>
                    <w:spacing w:beforeLines="0" w:afterLines="0" w:line="240" w:lineRule="auto"/>
                    <w:rPr>
                      <w:rFonts w:ascii="Times New Roman" w:eastAsia="仿宋_GB2312"/>
                      <w:sz w:val="21"/>
                      <w:szCs w:val="21"/>
                    </w:rPr>
                  </w:pPr>
                  <w:r>
                    <w:rPr>
                      <w:rFonts w:ascii="Times New Roman" w:eastAsia="仿宋_GB2312"/>
                      <w:sz w:val="21"/>
                      <w:szCs w:val="21"/>
                    </w:rPr>
                    <w:t>20800m</w:t>
                  </w:r>
                  <w:r>
                    <w:rPr>
                      <w:rFonts w:ascii="Times New Roman" w:eastAsia="仿宋_GB2312"/>
                      <w:sz w:val="21"/>
                      <w:szCs w:val="21"/>
                      <w:vertAlign w:val="superscript"/>
                    </w:rPr>
                    <w:t>2</w:t>
                  </w:r>
                </w:p>
              </w:tc>
              <w:tc>
                <w:tcPr>
                  <w:tcW w:w="955" w:type="pct"/>
                  <w:tcBorders>
                    <w:tl2br w:val="nil"/>
                    <w:tr2bl w:val="nil"/>
                  </w:tcBorders>
                  <w:vAlign w:val="center"/>
                </w:tcPr>
                <w:p w14:paraId="1C622B58">
                  <w:pPr>
                    <w:adjustRightInd w:val="0"/>
                    <w:snapToGrid w:val="0"/>
                    <w:jc w:val="center"/>
                    <w:rPr>
                      <w:rFonts w:eastAsia="仿宋_GB2312"/>
                      <w:sz w:val="21"/>
                      <w:szCs w:val="21"/>
                    </w:rPr>
                  </w:pPr>
                  <w:r>
                    <w:rPr>
                      <w:rFonts w:eastAsia="仿宋_GB2312"/>
                      <w:sz w:val="21"/>
                      <w:szCs w:val="21"/>
                    </w:rPr>
                    <w:t>0</w:t>
                  </w:r>
                </w:p>
              </w:tc>
              <w:tc>
                <w:tcPr>
                  <w:tcW w:w="958" w:type="pct"/>
                  <w:tcBorders>
                    <w:tl2br w:val="nil"/>
                    <w:tr2bl w:val="nil"/>
                  </w:tcBorders>
                  <w:vAlign w:val="center"/>
                </w:tcPr>
                <w:p w14:paraId="50951623">
                  <w:pPr>
                    <w:pStyle w:val="56"/>
                    <w:spacing w:beforeLines="0" w:afterLines="0" w:line="240" w:lineRule="auto"/>
                    <w:rPr>
                      <w:rFonts w:ascii="Times New Roman" w:eastAsia="仿宋_GB2312"/>
                      <w:sz w:val="21"/>
                      <w:szCs w:val="21"/>
                    </w:rPr>
                  </w:pPr>
                  <w:r>
                    <w:rPr>
                      <w:rFonts w:ascii="Times New Roman" w:eastAsia="仿宋_GB2312"/>
                      <w:sz w:val="21"/>
                      <w:szCs w:val="21"/>
                    </w:rPr>
                    <w:t>20800m</w:t>
                  </w:r>
                  <w:r>
                    <w:rPr>
                      <w:rFonts w:ascii="Times New Roman" w:eastAsia="仿宋_GB2312"/>
                      <w:sz w:val="21"/>
                      <w:szCs w:val="21"/>
                      <w:vertAlign w:val="superscript"/>
                    </w:rPr>
                    <w:t>2</w:t>
                  </w:r>
                </w:p>
              </w:tc>
              <w:tc>
                <w:tcPr>
                  <w:tcW w:w="1010" w:type="pct"/>
                  <w:tcBorders>
                    <w:tl2br w:val="nil"/>
                    <w:tr2bl w:val="nil"/>
                  </w:tcBorders>
                  <w:vAlign w:val="center"/>
                </w:tcPr>
                <w:p w14:paraId="7BD58824">
                  <w:pPr>
                    <w:adjustRightInd w:val="0"/>
                    <w:snapToGrid w:val="0"/>
                    <w:jc w:val="center"/>
                    <w:rPr>
                      <w:rFonts w:eastAsia="仿宋_GB2312"/>
                      <w:sz w:val="21"/>
                      <w:szCs w:val="21"/>
                    </w:rPr>
                  </w:pPr>
                  <w:r>
                    <w:rPr>
                      <w:rFonts w:eastAsia="仿宋_GB2312"/>
                      <w:b/>
                      <w:bCs/>
                      <w:sz w:val="21"/>
                      <w:szCs w:val="21"/>
                    </w:rPr>
                    <w:t>/</w:t>
                  </w:r>
                </w:p>
              </w:tc>
            </w:tr>
            <w:tr w14:paraId="2EA7E5D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39" w:type="pct"/>
                  <w:vMerge w:val="continue"/>
                  <w:tcBorders>
                    <w:tl2br w:val="nil"/>
                    <w:tr2bl w:val="nil"/>
                  </w:tcBorders>
                  <w:vAlign w:val="center"/>
                </w:tcPr>
                <w:p w14:paraId="3FE153E1">
                  <w:pPr>
                    <w:adjustRightInd w:val="0"/>
                    <w:snapToGrid w:val="0"/>
                    <w:jc w:val="center"/>
                    <w:rPr>
                      <w:rFonts w:eastAsia="仿宋_GB2312"/>
                      <w:kern w:val="0"/>
                      <w:sz w:val="21"/>
                      <w:szCs w:val="21"/>
                    </w:rPr>
                  </w:pPr>
                </w:p>
              </w:tc>
              <w:tc>
                <w:tcPr>
                  <w:tcW w:w="780" w:type="pct"/>
                  <w:gridSpan w:val="2"/>
                  <w:tcBorders>
                    <w:tl2br w:val="nil"/>
                    <w:tr2bl w:val="nil"/>
                  </w:tcBorders>
                  <w:vAlign w:val="center"/>
                </w:tcPr>
                <w:p w14:paraId="322C750D">
                  <w:pPr>
                    <w:pStyle w:val="56"/>
                    <w:spacing w:beforeLines="0" w:afterLines="0" w:line="240" w:lineRule="auto"/>
                    <w:rPr>
                      <w:rFonts w:ascii="Times New Roman" w:eastAsia="仿宋_GB2312"/>
                      <w:sz w:val="21"/>
                      <w:szCs w:val="21"/>
                    </w:rPr>
                  </w:pPr>
                  <w:r>
                    <w:rPr>
                      <w:rFonts w:ascii="Times New Roman" w:eastAsia="仿宋_GB2312"/>
                      <w:sz w:val="21"/>
                      <w:szCs w:val="21"/>
                    </w:rPr>
                    <w:t>筛分楼</w:t>
                  </w:r>
                </w:p>
              </w:tc>
              <w:tc>
                <w:tcPr>
                  <w:tcW w:w="955" w:type="pct"/>
                  <w:tcBorders>
                    <w:tl2br w:val="nil"/>
                    <w:tr2bl w:val="nil"/>
                  </w:tcBorders>
                  <w:vAlign w:val="center"/>
                </w:tcPr>
                <w:p w14:paraId="36FA3629">
                  <w:pPr>
                    <w:pStyle w:val="56"/>
                    <w:spacing w:beforeLines="0" w:afterLines="0" w:line="240" w:lineRule="auto"/>
                    <w:rPr>
                      <w:rFonts w:ascii="Times New Roman" w:eastAsia="仿宋_GB2312"/>
                      <w:sz w:val="21"/>
                      <w:szCs w:val="21"/>
                    </w:rPr>
                  </w:pPr>
                  <w:r>
                    <w:rPr>
                      <w:rFonts w:ascii="Times New Roman" w:eastAsia="仿宋_GB2312"/>
                      <w:sz w:val="21"/>
                      <w:szCs w:val="21"/>
                    </w:rPr>
                    <w:t>700m</w:t>
                  </w:r>
                  <w:r>
                    <w:rPr>
                      <w:rFonts w:ascii="Times New Roman" w:eastAsia="仿宋_GB2312"/>
                      <w:sz w:val="21"/>
                      <w:szCs w:val="21"/>
                      <w:vertAlign w:val="superscript"/>
                    </w:rPr>
                    <w:t>2</w:t>
                  </w:r>
                </w:p>
              </w:tc>
              <w:tc>
                <w:tcPr>
                  <w:tcW w:w="955" w:type="pct"/>
                  <w:tcBorders>
                    <w:tl2br w:val="nil"/>
                    <w:tr2bl w:val="nil"/>
                  </w:tcBorders>
                  <w:vAlign w:val="center"/>
                </w:tcPr>
                <w:p w14:paraId="4ED70C81">
                  <w:pPr>
                    <w:adjustRightInd w:val="0"/>
                    <w:snapToGrid w:val="0"/>
                    <w:jc w:val="center"/>
                    <w:rPr>
                      <w:rFonts w:eastAsia="仿宋_GB2312"/>
                      <w:sz w:val="21"/>
                      <w:szCs w:val="21"/>
                    </w:rPr>
                  </w:pPr>
                  <w:r>
                    <w:rPr>
                      <w:rFonts w:eastAsia="仿宋_GB2312"/>
                      <w:sz w:val="21"/>
                      <w:szCs w:val="21"/>
                    </w:rPr>
                    <w:t>0</w:t>
                  </w:r>
                </w:p>
              </w:tc>
              <w:tc>
                <w:tcPr>
                  <w:tcW w:w="958" w:type="pct"/>
                  <w:tcBorders>
                    <w:tl2br w:val="nil"/>
                    <w:tr2bl w:val="nil"/>
                  </w:tcBorders>
                  <w:vAlign w:val="center"/>
                </w:tcPr>
                <w:p w14:paraId="7A6B9AA8">
                  <w:pPr>
                    <w:pStyle w:val="56"/>
                    <w:spacing w:beforeLines="0" w:afterLines="0" w:line="240" w:lineRule="auto"/>
                    <w:rPr>
                      <w:rFonts w:ascii="Times New Roman" w:eastAsia="仿宋_GB2312"/>
                      <w:sz w:val="21"/>
                      <w:szCs w:val="21"/>
                    </w:rPr>
                  </w:pPr>
                  <w:r>
                    <w:rPr>
                      <w:rFonts w:ascii="Times New Roman" w:eastAsia="仿宋_GB2312"/>
                      <w:sz w:val="21"/>
                      <w:szCs w:val="21"/>
                    </w:rPr>
                    <w:t>700m</w:t>
                  </w:r>
                  <w:r>
                    <w:rPr>
                      <w:rFonts w:ascii="Times New Roman" w:eastAsia="仿宋_GB2312"/>
                      <w:sz w:val="21"/>
                      <w:szCs w:val="21"/>
                      <w:vertAlign w:val="superscript"/>
                    </w:rPr>
                    <w:t>2</w:t>
                  </w:r>
                </w:p>
              </w:tc>
              <w:tc>
                <w:tcPr>
                  <w:tcW w:w="1010" w:type="pct"/>
                  <w:tcBorders>
                    <w:tl2br w:val="nil"/>
                    <w:tr2bl w:val="nil"/>
                  </w:tcBorders>
                  <w:vAlign w:val="center"/>
                </w:tcPr>
                <w:p w14:paraId="046AF9A0">
                  <w:pPr>
                    <w:adjustRightInd w:val="0"/>
                    <w:snapToGrid w:val="0"/>
                    <w:jc w:val="center"/>
                    <w:rPr>
                      <w:rFonts w:eastAsia="仿宋_GB2312"/>
                      <w:sz w:val="21"/>
                      <w:szCs w:val="21"/>
                    </w:rPr>
                  </w:pPr>
                  <w:r>
                    <w:rPr>
                      <w:rFonts w:eastAsia="仿宋_GB2312"/>
                      <w:b/>
                      <w:bCs/>
                      <w:sz w:val="21"/>
                      <w:szCs w:val="21"/>
                    </w:rPr>
                    <w:t>/</w:t>
                  </w:r>
                </w:p>
              </w:tc>
            </w:tr>
            <w:tr w14:paraId="2A10869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39" w:type="pct"/>
                  <w:vMerge w:val="continue"/>
                  <w:tcBorders>
                    <w:tl2br w:val="nil"/>
                    <w:tr2bl w:val="nil"/>
                  </w:tcBorders>
                  <w:vAlign w:val="center"/>
                </w:tcPr>
                <w:p w14:paraId="671F966D">
                  <w:pPr>
                    <w:adjustRightInd w:val="0"/>
                    <w:snapToGrid w:val="0"/>
                    <w:jc w:val="center"/>
                    <w:rPr>
                      <w:rFonts w:eastAsia="仿宋_GB2312"/>
                      <w:kern w:val="0"/>
                      <w:sz w:val="21"/>
                      <w:szCs w:val="21"/>
                    </w:rPr>
                  </w:pPr>
                </w:p>
              </w:tc>
              <w:tc>
                <w:tcPr>
                  <w:tcW w:w="780" w:type="pct"/>
                  <w:gridSpan w:val="2"/>
                  <w:tcBorders>
                    <w:tl2br w:val="nil"/>
                    <w:tr2bl w:val="nil"/>
                  </w:tcBorders>
                  <w:vAlign w:val="center"/>
                </w:tcPr>
                <w:p w14:paraId="4918D786">
                  <w:pPr>
                    <w:pStyle w:val="56"/>
                    <w:spacing w:beforeLines="0" w:afterLines="0" w:line="240" w:lineRule="auto"/>
                    <w:rPr>
                      <w:rFonts w:ascii="Times New Roman" w:eastAsia="仿宋_GB2312"/>
                      <w:sz w:val="21"/>
                      <w:szCs w:val="21"/>
                    </w:rPr>
                  </w:pPr>
                  <w:r>
                    <w:rPr>
                      <w:rFonts w:ascii="Times New Roman" w:eastAsia="仿宋_GB2312"/>
                      <w:sz w:val="21"/>
                      <w:szCs w:val="21"/>
                    </w:rPr>
                    <w:t>散盐库</w:t>
                  </w:r>
                </w:p>
              </w:tc>
              <w:tc>
                <w:tcPr>
                  <w:tcW w:w="955" w:type="pct"/>
                  <w:tcBorders>
                    <w:tl2br w:val="nil"/>
                    <w:tr2bl w:val="nil"/>
                  </w:tcBorders>
                  <w:vAlign w:val="center"/>
                </w:tcPr>
                <w:p w14:paraId="5FE04B27">
                  <w:pPr>
                    <w:pStyle w:val="56"/>
                    <w:spacing w:beforeLines="0" w:afterLines="0" w:line="240" w:lineRule="auto"/>
                    <w:rPr>
                      <w:rFonts w:ascii="Times New Roman" w:eastAsia="仿宋_GB2312"/>
                      <w:sz w:val="21"/>
                      <w:szCs w:val="21"/>
                    </w:rPr>
                  </w:pPr>
                  <w:r>
                    <w:rPr>
                      <w:rFonts w:ascii="Times New Roman" w:eastAsia="仿宋_GB2312"/>
                      <w:sz w:val="21"/>
                      <w:szCs w:val="21"/>
                    </w:rPr>
                    <w:t>7200m</w:t>
                  </w:r>
                  <w:r>
                    <w:rPr>
                      <w:rFonts w:ascii="Times New Roman" w:eastAsia="仿宋_GB2312"/>
                      <w:sz w:val="21"/>
                      <w:szCs w:val="21"/>
                      <w:vertAlign w:val="superscript"/>
                    </w:rPr>
                    <w:t>2</w:t>
                  </w:r>
                </w:p>
              </w:tc>
              <w:tc>
                <w:tcPr>
                  <w:tcW w:w="955" w:type="pct"/>
                  <w:tcBorders>
                    <w:tl2br w:val="nil"/>
                    <w:tr2bl w:val="nil"/>
                  </w:tcBorders>
                  <w:vAlign w:val="center"/>
                </w:tcPr>
                <w:p w14:paraId="34F9122A">
                  <w:pPr>
                    <w:adjustRightInd w:val="0"/>
                    <w:snapToGrid w:val="0"/>
                    <w:jc w:val="center"/>
                    <w:rPr>
                      <w:rFonts w:eastAsia="仿宋_GB2312"/>
                      <w:sz w:val="21"/>
                      <w:szCs w:val="21"/>
                    </w:rPr>
                  </w:pPr>
                  <w:r>
                    <w:rPr>
                      <w:rFonts w:eastAsia="仿宋_GB2312"/>
                      <w:sz w:val="21"/>
                      <w:szCs w:val="21"/>
                    </w:rPr>
                    <w:t>0</w:t>
                  </w:r>
                </w:p>
              </w:tc>
              <w:tc>
                <w:tcPr>
                  <w:tcW w:w="958" w:type="pct"/>
                  <w:tcBorders>
                    <w:tl2br w:val="nil"/>
                    <w:tr2bl w:val="nil"/>
                  </w:tcBorders>
                  <w:vAlign w:val="center"/>
                </w:tcPr>
                <w:p w14:paraId="59ACE2F5">
                  <w:pPr>
                    <w:pStyle w:val="56"/>
                    <w:spacing w:beforeLines="0" w:afterLines="0" w:line="240" w:lineRule="auto"/>
                    <w:rPr>
                      <w:rFonts w:ascii="Times New Roman" w:eastAsia="仿宋_GB2312"/>
                      <w:sz w:val="21"/>
                      <w:szCs w:val="21"/>
                    </w:rPr>
                  </w:pPr>
                  <w:r>
                    <w:rPr>
                      <w:rFonts w:ascii="Times New Roman" w:eastAsia="仿宋_GB2312"/>
                      <w:sz w:val="21"/>
                      <w:szCs w:val="21"/>
                    </w:rPr>
                    <w:t>7200m</w:t>
                  </w:r>
                  <w:r>
                    <w:rPr>
                      <w:rFonts w:ascii="Times New Roman" w:eastAsia="仿宋_GB2312"/>
                      <w:sz w:val="21"/>
                      <w:szCs w:val="21"/>
                      <w:vertAlign w:val="superscript"/>
                    </w:rPr>
                    <w:t>2</w:t>
                  </w:r>
                </w:p>
              </w:tc>
              <w:tc>
                <w:tcPr>
                  <w:tcW w:w="1010" w:type="pct"/>
                  <w:tcBorders>
                    <w:tl2br w:val="nil"/>
                    <w:tr2bl w:val="nil"/>
                  </w:tcBorders>
                  <w:vAlign w:val="center"/>
                </w:tcPr>
                <w:p w14:paraId="30D9F7E2">
                  <w:pPr>
                    <w:adjustRightInd w:val="0"/>
                    <w:snapToGrid w:val="0"/>
                    <w:jc w:val="center"/>
                    <w:rPr>
                      <w:rFonts w:eastAsia="仿宋_GB2312"/>
                      <w:sz w:val="21"/>
                      <w:szCs w:val="21"/>
                    </w:rPr>
                  </w:pPr>
                  <w:r>
                    <w:rPr>
                      <w:rFonts w:eastAsia="仿宋_GB2312"/>
                      <w:b/>
                      <w:bCs/>
                      <w:sz w:val="21"/>
                      <w:szCs w:val="21"/>
                    </w:rPr>
                    <w:t>/</w:t>
                  </w:r>
                </w:p>
              </w:tc>
            </w:tr>
            <w:tr w14:paraId="7A795F4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39" w:type="pct"/>
                  <w:vMerge w:val="continue"/>
                  <w:tcBorders>
                    <w:tl2br w:val="nil"/>
                    <w:tr2bl w:val="nil"/>
                  </w:tcBorders>
                  <w:vAlign w:val="center"/>
                </w:tcPr>
                <w:p w14:paraId="27E764B1">
                  <w:pPr>
                    <w:adjustRightInd w:val="0"/>
                    <w:snapToGrid w:val="0"/>
                    <w:jc w:val="center"/>
                    <w:rPr>
                      <w:rFonts w:eastAsia="仿宋_GB2312"/>
                      <w:kern w:val="0"/>
                      <w:sz w:val="21"/>
                      <w:szCs w:val="21"/>
                    </w:rPr>
                  </w:pPr>
                </w:p>
              </w:tc>
              <w:tc>
                <w:tcPr>
                  <w:tcW w:w="780" w:type="pct"/>
                  <w:gridSpan w:val="2"/>
                  <w:tcBorders>
                    <w:tl2br w:val="nil"/>
                    <w:tr2bl w:val="nil"/>
                  </w:tcBorders>
                  <w:vAlign w:val="center"/>
                </w:tcPr>
                <w:p w14:paraId="3E8C545B">
                  <w:pPr>
                    <w:pStyle w:val="56"/>
                    <w:spacing w:beforeLines="0" w:afterLines="0" w:line="240" w:lineRule="auto"/>
                    <w:rPr>
                      <w:rFonts w:ascii="Times New Roman" w:eastAsia="仿宋_GB2312"/>
                      <w:sz w:val="21"/>
                      <w:szCs w:val="21"/>
                    </w:rPr>
                  </w:pPr>
                  <w:r>
                    <w:rPr>
                      <w:rFonts w:ascii="Times New Roman" w:eastAsia="仿宋_GB2312"/>
                      <w:sz w:val="21"/>
                      <w:szCs w:val="21"/>
                    </w:rPr>
                    <w:t>仓库</w:t>
                  </w:r>
                </w:p>
              </w:tc>
              <w:tc>
                <w:tcPr>
                  <w:tcW w:w="955" w:type="pct"/>
                  <w:tcBorders>
                    <w:tl2br w:val="nil"/>
                    <w:tr2bl w:val="nil"/>
                  </w:tcBorders>
                  <w:vAlign w:val="center"/>
                </w:tcPr>
                <w:p w14:paraId="166EAE41">
                  <w:pPr>
                    <w:pStyle w:val="56"/>
                    <w:spacing w:beforeLines="0" w:afterLines="0" w:line="240" w:lineRule="auto"/>
                    <w:rPr>
                      <w:rFonts w:ascii="Times New Roman" w:eastAsia="仿宋_GB2312"/>
                      <w:sz w:val="21"/>
                      <w:szCs w:val="21"/>
                    </w:rPr>
                  </w:pPr>
                  <w:r>
                    <w:rPr>
                      <w:rFonts w:ascii="Times New Roman" w:eastAsia="仿宋_GB2312"/>
                      <w:sz w:val="21"/>
                      <w:szCs w:val="21"/>
                    </w:rPr>
                    <w:t>1000m</w:t>
                  </w:r>
                  <w:r>
                    <w:rPr>
                      <w:rFonts w:ascii="Times New Roman" w:eastAsia="仿宋_GB2312"/>
                      <w:sz w:val="21"/>
                      <w:szCs w:val="21"/>
                      <w:vertAlign w:val="superscript"/>
                    </w:rPr>
                    <w:t>2</w:t>
                  </w:r>
                </w:p>
              </w:tc>
              <w:tc>
                <w:tcPr>
                  <w:tcW w:w="955" w:type="pct"/>
                  <w:tcBorders>
                    <w:tl2br w:val="nil"/>
                    <w:tr2bl w:val="nil"/>
                  </w:tcBorders>
                  <w:vAlign w:val="center"/>
                </w:tcPr>
                <w:p w14:paraId="630436D4">
                  <w:pPr>
                    <w:adjustRightInd w:val="0"/>
                    <w:snapToGrid w:val="0"/>
                    <w:jc w:val="center"/>
                    <w:rPr>
                      <w:rFonts w:eastAsia="仿宋_GB2312"/>
                      <w:sz w:val="21"/>
                      <w:szCs w:val="21"/>
                    </w:rPr>
                  </w:pPr>
                  <w:r>
                    <w:rPr>
                      <w:rFonts w:eastAsia="仿宋_GB2312"/>
                      <w:sz w:val="21"/>
                      <w:szCs w:val="21"/>
                    </w:rPr>
                    <w:t>0</w:t>
                  </w:r>
                </w:p>
              </w:tc>
              <w:tc>
                <w:tcPr>
                  <w:tcW w:w="958" w:type="pct"/>
                  <w:tcBorders>
                    <w:tl2br w:val="nil"/>
                    <w:tr2bl w:val="nil"/>
                  </w:tcBorders>
                  <w:vAlign w:val="center"/>
                </w:tcPr>
                <w:p w14:paraId="5259BE71">
                  <w:pPr>
                    <w:pStyle w:val="56"/>
                    <w:spacing w:beforeLines="0" w:afterLines="0" w:line="240" w:lineRule="auto"/>
                    <w:rPr>
                      <w:rFonts w:ascii="Times New Roman" w:eastAsia="仿宋_GB2312"/>
                      <w:sz w:val="21"/>
                      <w:szCs w:val="21"/>
                    </w:rPr>
                  </w:pPr>
                  <w:r>
                    <w:rPr>
                      <w:rFonts w:ascii="Times New Roman" w:eastAsia="仿宋_GB2312"/>
                      <w:sz w:val="21"/>
                      <w:szCs w:val="21"/>
                    </w:rPr>
                    <w:t>1000m</w:t>
                  </w:r>
                  <w:r>
                    <w:rPr>
                      <w:rFonts w:ascii="Times New Roman" w:eastAsia="仿宋_GB2312"/>
                      <w:sz w:val="21"/>
                      <w:szCs w:val="21"/>
                      <w:vertAlign w:val="superscript"/>
                    </w:rPr>
                    <w:t>2</w:t>
                  </w:r>
                </w:p>
              </w:tc>
              <w:tc>
                <w:tcPr>
                  <w:tcW w:w="1010" w:type="pct"/>
                  <w:tcBorders>
                    <w:tl2br w:val="nil"/>
                    <w:tr2bl w:val="nil"/>
                  </w:tcBorders>
                  <w:vAlign w:val="center"/>
                </w:tcPr>
                <w:p w14:paraId="4E95DAEB">
                  <w:pPr>
                    <w:adjustRightInd w:val="0"/>
                    <w:snapToGrid w:val="0"/>
                    <w:jc w:val="center"/>
                    <w:rPr>
                      <w:rFonts w:eastAsia="仿宋_GB2312"/>
                      <w:sz w:val="21"/>
                      <w:szCs w:val="21"/>
                    </w:rPr>
                  </w:pPr>
                  <w:r>
                    <w:rPr>
                      <w:rFonts w:eastAsia="仿宋_GB2312"/>
                      <w:b/>
                      <w:bCs/>
                      <w:sz w:val="21"/>
                      <w:szCs w:val="21"/>
                    </w:rPr>
                    <w:t>/</w:t>
                  </w:r>
                </w:p>
              </w:tc>
            </w:tr>
            <w:tr w14:paraId="4610049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39" w:type="pct"/>
                  <w:vMerge w:val="continue"/>
                  <w:tcBorders>
                    <w:tl2br w:val="nil"/>
                    <w:tr2bl w:val="nil"/>
                  </w:tcBorders>
                  <w:vAlign w:val="center"/>
                </w:tcPr>
                <w:p w14:paraId="390EB113">
                  <w:pPr>
                    <w:adjustRightInd w:val="0"/>
                    <w:snapToGrid w:val="0"/>
                    <w:jc w:val="center"/>
                    <w:rPr>
                      <w:rFonts w:eastAsia="仿宋_GB2312"/>
                      <w:kern w:val="0"/>
                      <w:sz w:val="21"/>
                      <w:szCs w:val="21"/>
                    </w:rPr>
                  </w:pPr>
                </w:p>
              </w:tc>
              <w:tc>
                <w:tcPr>
                  <w:tcW w:w="780" w:type="pct"/>
                  <w:gridSpan w:val="2"/>
                  <w:tcBorders>
                    <w:tl2br w:val="nil"/>
                    <w:tr2bl w:val="nil"/>
                  </w:tcBorders>
                  <w:vAlign w:val="center"/>
                </w:tcPr>
                <w:p w14:paraId="5BB5F594">
                  <w:pPr>
                    <w:pStyle w:val="56"/>
                    <w:spacing w:beforeLines="0" w:afterLines="0" w:line="240" w:lineRule="auto"/>
                    <w:rPr>
                      <w:rFonts w:ascii="Times New Roman" w:eastAsia="仿宋_GB2312"/>
                      <w:sz w:val="21"/>
                      <w:szCs w:val="21"/>
                    </w:rPr>
                  </w:pPr>
                  <w:r>
                    <w:rPr>
                      <w:rFonts w:ascii="Times New Roman" w:eastAsia="仿宋_GB2312"/>
                      <w:sz w:val="21"/>
                      <w:szCs w:val="21"/>
                    </w:rPr>
                    <w:t>盐泥综合利用车间</w:t>
                  </w:r>
                </w:p>
              </w:tc>
              <w:tc>
                <w:tcPr>
                  <w:tcW w:w="955" w:type="pct"/>
                  <w:tcBorders>
                    <w:tl2br w:val="nil"/>
                    <w:tr2bl w:val="nil"/>
                  </w:tcBorders>
                  <w:vAlign w:val="center"/>
                </w:tcPr>
                <w:p w14:paraId="39C252A7">
                  <w:pPr>
                    <w:pStyle w:val="56"/>
                    <w:spacing w:beforeLines="0" w:afterLines="0" w:line="240" w:lineRule="auto"/>
                    <w:rPr>
                      <w:rFonts w:ascii="Times New Roman" w:eastAsia="仿宋_GB2312"/>
                      <w:sz w:val="21"/>
                      <w:szCs w:val="21"/>
                    </w:rPr>
                  </w:pPr>
                  <w:r>
                    <w:rPr>
                      <w:rFonts w:ascii="Times New Roman" w:eastAsia="仿宋_GB2312"/>
                      <w:sz w:val="21"/>
                      <w:szCs w:val="21"/>
                    </w:rPr>
                    <w:t>600m</w:t>
                  </w:r>
                  <w:r>
                    <w:rPr>
                      <w:rFonts w:ascii="Times New Roman" w:eastAsia="仿宋_GB2312"/>
                      <w:sz w:val="21"/>
                      <w:szCs w:val="21"/>
                      <w:vertAlign w:val="superscript"/>
                    </w:rPr>
                    <w:t>2</w:t>
                  </w:r>
                </w:p>
              </w:tc>
              <w:tc>
                <w:tcPr>
                  <w:tcW w:w="955" w:type="pct"/>
                  <w:tcBorders>
                    <w:tl2br w:val="nil"/>
                    <w:tr2bl w:val="nil"/>
                  </w:tcBorders>
                  <w:vAlign w:val="center"/>
                </w:tcPr>
                <w:p w14:paraId="05270445">
                  <w:pPr>
                    <w:pStyle w:val="56"/>
                    <w:spacing w:beforeLines="0" w:afterLines="0" w:line="240" w:lineRule="auto"/>
                    <w:rPr>
                      <w:rFonts w:ascii="Times New Roman" w:eastAsia="仿宋_GB2312"/>
                      <w:sz w:val="21"/>
                      <w:szCs w:val="21"/>
                    </w:rPr>
                  </w:pPr>
                  <w:r>
                    <w:rPr>
                      <w:rFonts w:ascii="Times New Roman" w:eastAsia="仿宋_GB2312"/>
                      <w:sz w:val="21"/>
                      <w:szCs w:val="21"/>
                    </w:rPr>
                    <w:t>0</w:t>
                  </w:r>
                </w:p>
              </w:tc>
              <w:tc>
                <w:tcPr>
                  <w:tcW w:w="958" w:type="pct"/>
                  <w:tcBorders>
                    <w:tl2br w:val="nil"/>
                    <w:tr2bl w:val="nil"/>
                  </w:tcBorders>
                  <w:vAlign w:val="center"/>
                </w:tcPr>
                <w:p w14:paraId="4C8B64CB">
                  <w:pPr>
                    <w:pStyle w:val="56"/>
                    <w:spacing w:beforeLines="0" w:afterLines="0" w:line="240" w:lineRule="auto"/>
                    <w:rPr>
                      <w:rFonts w:ascii="Times New Roman" w:eastAsia="仿宋_GB2312"/>
                      <w:sz w:val="21"/>
                      <w:szCs w:val="21"/>
                    </w:rPr>
                  </w:pPr>
                  <w:r>
                    <w:rPr>
                      <w:rFonts w:ascii="Times New Roman" w:eastAsia="仿宋_GB2312"/>
                      <w:sz w:val="21"/>
                      <w:szCs w:val="21"/>
                    </w:rPr>
                    <w:t>600m</w:t>
                  </w:r>
                  <w:r>
                    <w:rPr>
                      <w:rFonts w:ascii="Times New Roman" w:eastAsia="仿宋_GB2312"/>
                      <w:sz w:val="21"/>
                      <w:szCs w:val="21"/>
                      <w:vertAlign w:val="superscript"/>
                    </w:rPr>
                    <w:t>2</w:t>
                  </w:r>
                </w:p>
              </w:tc>
              <w:tc>
                <w:tcPr>
                  <w:tcW w:w="1010" w:type="pct"/>
                  <w:tcBorders>
                    <w:tl2br w:val="nil"/>
                    <w:tr2bl w:val="nil"/>
                  </w:tcBorders>
                  <w:vAlign w:val="center"/>
                </w:tcPr>
                <w:p w14:paraId="7D4FC4C8">
                  <w:pPr>
                    <w:adjustRightInd w:val="0"/>
                    <w:snapToGrid w:val="0"/>
                    <w:jc w:val="center"/>
                    <w:rPr>
                      <w:rFonts w:eastAsia="仿宋_GB2312"/>
                      <w:sz w:val="21"/>
                      <w:szCs w:val="21"/>
                    </w:rPr>
                  </w:pPr>
                  <w:r>
                    <w:rPr>
                      <w:rFonts w:eastAsia="仿宋_GB2312"/>
                      <w:b/>
                      <w:bCs/>
                      <w:sz w:val="21"/>
                      <w:szCs w:val="21"/>
                    </w:rPr>
                    <w:t>/</w:t>
                  </w:r>
                </w:p>
              </w:tc>
            </w:tr>
            <w:tr w14:paraId="727540C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39" w:type="pct"/>
                  <w:vMerge w:val="continue"/>
                  <w:tcBorders>
                    <w:tl2br w:val="nil"/>
                    <w:tr2bl w:val="nil"/>
                  </w:tcBorders>
                  <w:vAlign w:val="center"/>
                </w:tcPr>
                <w:p w14:paraId="472CDC36">
                  <w:pPr>
                    <w:adjustRightInd w:val="0"/>
                    <w:snapToGrid w:val="0"/>
                    <w:jc w:val="center"/>
                    <w:rPr>
                      <w:rFonts w:eastAsia="仿宋_GB2312"/>
                      <w:kern w:val="0"/>
                      <w:sz w:val="21"/>
                      <w:szCs w:val="21"/>
                    </w:rPr>
                  </w:pPr>
                </w:p>
              </w:tc>
              <w:tc>
                <w:tcPr>
                  <w:tcW w:w="780" w:type="pct"/>
                  <w:gridSpan w:val="2"/>
                  <w:tcBorders>
                    <w:tl2br w:val="nil"/>
                    <w:tr2bl w:val="nil"/>
                  </w:tcBorders>
                  <w:vAlign w:val="center"/>
                </w:tcPr>
                <w:p w14:paraId="77CA5462">
                  <w:pPr>
                    <w:pStyle w:val="56"/>
                    <w:spacing w:beforeLines="0" w:afterLines="0" w:line="240" w:lineRule="auto"/>
                    <w:rPr>
                      <w:rFonts w:ascii="Times New Roman" w:eastAsia="仿宋_GB2312"/>
                      <w:color w:val="000000"/>
                      <w:sz w:val="21"/>
                      <w:szCs w:val="21"/>
                    </w:rPr>
                  </w:pPr>
                  <w:r>
                    <w:rPr>
                      <w:rFonts w:ascii="Times New Roman" w:eastAsia="仿宋_GB2312"/>
                      <w:color w:val="000000"/>
                      <w:sz w:val="21"/>
                      <w:szCs w:val="21"/>
                    </w:rPr>
                    <w:t>连续式双膜法车间</w:t>
                  </w:r>
                </w:p>
              </w:tc>
              <w:tc>
                <w:tcPr>
                  <w:tcW w:w="955" w:type="pct"/>
                  <w:tcBorders>
                    <w:tl2br w:val="nil"/>
                    <w:tr2bl w:val="nil"/>
                  </w:tcBorders>
                  <w:vAlign w:val="center"/>
                </w:tcPr>
                <w:p w14:paraId="46B83AA2">
                  <w:pPr>
                    <w:pStyle w:val="56"/>
                    <w:spacing w:beforeLines="0" w:afterLines="0" w:line="240" w:lineRule="auto"/>
                    <w:rPr>
                      <w:rFonts w:ascii="Times New Roman" w:eastAsia="仿宋_GB2312"/>
                      <w:color w:val="000000"/>
                      <w:sz w:val="21"/>
                      <w:szCs w:val="21"/>
                    </w:rPr>
                  </w:pPr>
                  <w:r>
                    <w:rPr>
                      <w:rFonts w:ascii="Times New Roman" w:eastAsia="仿宋_GB2312"/>
                      <w:color w:val="000000"/>
                      <w:sz w:val="21"/>
                      <w:szCs w:val="21"/>
                    </w:rPr>
                    <w:t>0</w:t>
                  </w:r>
                </w:p>
              </w:tc>
              <w:tc>
                <w:tcPr>
                  <w:tcW w:w="955" w:type="pct"/>
                  <w:tcBorders>
                    <w:tl2br w:val="nil"/>
                    <w:tr2bl w:val="nil"/>
                  </w:tcBorders>
                  <w:vAlign w:val="center"/>
                </w:tcPr>
                <w:p w14:paraId="5BA73D85">
                  <w:pPr>
                    <w:pStyle w:val="56"/>
                    <w:spacing w:beforeLines="0" w:afterLines="0" w:line="240" w:lineRule="auto"/>
                    <w:rPr>
                      <w:rFonts w:ascii="Times New Roman" w:eastAsia="仿宋_GB2312"/>
                      <w:color w:val="000000"/>
                      <w:sz w:val="21"/>
                      <w:szCs w:val="21"/>
                    </w:rPr>
                  </w:pPr>
                  <w:r>
                    <w:rPr>
                      <w:rFonts w:ascii="Times New Roman" w:eastAsia="仿宋_GB2312"/>
                      <w:color w:val="000000"/>
                      <w:sz w:val="21"/>
                      <w:szCs w:val="21"/>
                    </w:rPr>
                    <w:t>3240m</w:t>
                  </w:r>
                  <w:r>
                    <w:rPr>
                      <w:rFonts w:ascii="Times New Roman" w:eastAsia="仿宋_GB2312"/>
                      <w:color w:val="000000"/>
                      <w:sz w:val="21"/>
                      <w:szCs w:val="21"/>
                      <w:vertAlign w:val="superscript"/>
                    </w:rPr>
                    <w:t>2</w:t>
                  </w:r>
                </w:p>
              </w:tc>
              <w:tc>
                <w:tcPr>
                  <w:tcW w:w="958" w:type="pct"/>
                  <w:tcBorders>
                    <w:tl2br w:val="nil"/>
                    <w:tr2bl w:val="nil"/>
                  </w:tcBorders>
                  <w:vAlign w:val="center"/>
                </w:tcPr>
                <w:p w14:paraId="6315BBBA">
                  <w:pPr>
                    <w:pStyle w:val="56"/>
                    <w:spacing w:beforeLines="0" w:afterLines="0" w:line="240" w:lineRule="auto"/>
                    <w:rPr>
                      <w:rFonts w:ascii="Times New Roman" w:eastAsia="仿宋_GB2312"/>
                      <w:color w:val="000000"/>
                      <w:sz w:val="21"/>
                      <w:szCs w:val="21"/>
                    </w:rPr>
                  </w:pPr>
                  <w:r>
                    <w:rPr>
                      <w:rFonts w:ascii="Times New Roman" w:eastAsia="仿宋_GB2312"/>
                      <w:color w:val="000000"/>
                      <w:sz w:val="21"/>
                      <w:szCs w:val="21"/>
                    </w:rPr>
                    <w:t>3240m</w:t>
                  </w:r>
                  <w:r>
                    <w:rPr>
                      <w:rFonts w:ascii="Times New Roman" w:eastAsia="仿宋_GB2312"/>
                      <w:color w:val="000000"/>
                      <w:sz w:val="21"/>
                      <w:szCs w:val="21"/>
                      <w:vertAlign w:val="superscript"/>
                    </w:rPr>
                    <w:t>2</w:t>
                  </w:r>
                </w:p>
              </w:tc>
              <w:tc>
                <w:tcPr>
                  <w:tcW w:w="1010" w:type="pct"/>
                  <w:tcBorders>
                    <w:tl2br w:val="nil"/>
                    <w:tr2bl w:val="nil"/>
                  </w:tcBorders>
                  <w:vAlign w:val="center"/>
                </w:tcPr>
                <w:p w14:paraId="35BDA29F">
                  <w:pPr>
                    <w:adjustRightInd w:val="0"/>
                    <w:snapToGrid w:val="0"/>
                    <w:jc w:val="center"/>
                    <w:rPr>
                      <w:rFonts w:eastAsia="仿宋_GB2312"/>
                      <w:color w:val="000000"/>
                      <w:sz w:val="21"/>
                      <w:szCs w:val="21"/>
                    </w:rPr>
                  </w:pPr>
                  <w:r>
                    <w:rPr>
                      <w:rFonts w:eastAsia="仿宋_GB2312"/>
                      <w:color w:val="000000"/>
                      <w:sz w:val="21"/>
                      <w:szCs w:val="21"/>
                    </w:rPr>
                    <w:t>新增</w:t>
                  </w:r>
                </w:p>
              </w:tc>
            </w:tr>
            <w:tr w14:paraId="12E32CC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39" w:type="pct"/>
                  <w:vMerge w:val="restart"/>
                  <w:tcBorders>
                    <w:tl2br w:val="nil"/>
                    <w:tr2bl w:val="nil"/>
                  </w:tcBorders>
                  <w:vAlign w:val="center"/>
                </w:tcPr>
                <w:p w14:paraId="3F102A49">
                  <w:pPr>
                    <w:adjustRightInd w:val="0"/>
                    <w:snapToGrid w:val="0"/>
                    <w:jc w:val="center"/>
                    <w:rPr>
                      <w:rFonts w:eastAsia="仿宋_GB2312"/>
                      <w:kern w:val="0"/>
                      <w:sz w:val="21"/>
                      <w:szCs w:val="21"/>
                    </w:rPr>
                  </w:pPr>
                  <w:r>
                    <w:rPr>
                      <w:rFonts w:eastAsia="仿宋_GB2312"/>
                      <w:kern w:val="0"/>
                      <w:sz w:val="21"/>
                      <w:szCs w:val="21"/>
                    </w:rPr>
                    <w:t>储运工程</w:t>
                  </w:r>
                </w:p>
              </w:tc>
              <w:tc>
                <w:tcPr>
                  <w:tcW w:w="780" w:type="pct"/>
                  <w:gridSpan w:val="2"/>
                  <w:tcBorders>
                    <w:tl2br w:val="nil"/>
                    <w:tr2bl w:val="nil"/>
                  </w:tcBorders>
                  <w:vAlign w:val="center"/>
                </w:tcPr>
                <w:p w14:paraId="030A45EB">
                  <w:pPr>
                    <w:pStyle w:val="56"/>
                    <w:spacing w:beforeLines="0" w:afterLines="0" w:line="240" w:lineRule="auto"/>
                    <w:rPr>
                      <w:rFonts w:ascii="Times New Roman" w:eastAsia="仿宋_GB2312"/>
                      <w:sz w:val="21"/>
                      <w:szCs w:val="21"/>
                    </w:rPr>
                  </w:pPr>
                  <w:r>
                    <w:rPr>
                      <w:rFonts w:ascii="Times New Roman" w:eastAsia="仿宋_GB2312"/>
                      <w:sz w:val="21"/>
                      <w:szCs w:val="21"/>
                    </w:rPr>
                    <w:t>盐运码头</w:t>
                  </w:r>
                </w:p>
              </w:tc>
              <w:tc>
                <w:tcPr>
                  <w:tcW w:w="955" w:type="pct"/>
                  <w:tcBorders>
                    <w:tl2br w:val="nil"/>
                    <w:tr2bl w:val="nil"/>
                  </w:tcBorders>
                  <w:vAlign w:val="center"/>
                </w:tcPr>
                <w:p w14:paraId="15DE5B86">
                  <w:pPr>
                    <w:pStyle w:val="56"/>
                    <w:spacing w:beforeLines="0" w:afterLines="0" w:line="240" w:lineRule="auto"/>
                    <w:rPr>
                      <w:rFonts w:ascii="Times New Roman" w:eastAsia="仿宋_GB2312"/>
                      <w:sz w:val="21"/>
                      <w:szCs w:val="21"/>
                    </w:rPr>
                  </w:pPr>
                  <w:r>
                    <w:rPr>
                      <w:rFonts w:ascii="Times New Roman" w:eastAsia="仿宋_GB2312"/>
                      <w:sz w:val="21"/>
                      <w:szCs w:val="21"/>
                    </w:rPr>
                    <w:t>200万t/a</w:t>
                  </w:r>
                </w:p>
              </w:tc>
              <w:tc>
                <w:tcPr>
                  <w:tcW w:w="955" w:type="pct"/>
                  <w:tcBorders>
                    <w:tl2br w:val="nil"/>
                    <w:tr2bl w:val="nil"/>
                  </w:tcBorders>
                  <w:vAlign w:val="center"/>
                </w:tcPr>
                <w:p w14:paraId="33995634">
                  <w:pPr>
                    <w:pStyle w:val="56"/>
                    <w:spacing w:beforeLines="0" w:afterLines="0" w:line="240" w:lineRule="auto"/>
                    <w:rPr>
                      <w:rFonts w:ascii="Times New Roman" w:eastAsia="仿宋_GB2312"/>
                      <w:sz w:val="21"/>
                      <w:szCs w:val="21"/>
                    </w:rPr>
                  </w:pPr>
                  <w:r>
                    <w:rPr>
                      <w:rFonts w:ascii="Times New Roman" w:eastAsia="仿宋_GB2312"/>
                      <w:sz w:val="21"/>
                      <w:szCs w:val="21"/>
                    </w:rPr>
                    <w:t>0</w:t>
                  </w:r>
                </w:p>
              </w:tc>
              <w:tc>
                <w:tcPr>
                  <w:tcW w:w="958" w:type="pct"/>
                  <w:tcBorders>
                    <w:tl2br w:val="nil"/>
                    <w:tr2bl w:val="nil"/>
                  </w:tcBorders>
                  <w:vAlign w:val="center"/>
                </w:tcPr>
                <w:p w14:paraId="697B4AF9">
                  <w:pPr>
                    <w:pStyle w:val="56"/>
                    <w:spacing w:beforeLines="0" w:afterLines="0" w:line="240" w:lineRule="auto"/>
                    <w:rPr>
                      <w:rFonts w:ascii="Times New Roman" w:eastAsia="仿宋_GB2312"/>
                      <w:sz w:val="21"/>
                      <w:szCs w:val="21"/>
                    </w:rPr>
                  </w:pPr>
                  <w:r>
                    <w:rPr>
                      <w:rFonts w:ascii="Times New Roman" w:eastAsia="仿宋_GB2312"/>
                      <w:sz w:val="21"/>
                      <w:szCs w:val="21"/>
                    </w:rPr>
                    <w:t>200万t/a</w:t>
                  </w:r>
                </w:p>
              </w:tc>
              <w:tc>
                <w:tcPr>
                  <w:tcW w:w="1010" w:type="pct"/>
                  <w:tcBorders>
                    <w:tl2br w:val="nil"/>
                    <w:tr2bl w:val="nil"/>
                  </w:tcBorders>
                  <w:vAlign w:val="center"/>
                </w:tcPr>
                <w:p w14:paraId="16202188">
                  <w:pPr>
                    <w:adjustRightInd w:val="0"/>
                    <w:snapToGrid w:val="0"/>
                    <w:jc w:val="center"/>
                    <w:rPr>
                      <w:rFonts w:eastAsia="仿宋_GB2312"/>
                      <w:sz w:val="21"/>
                      <w:szCs w:val="21"/>
                    </w:rPr>
                  </w:pPr>
                  <w:r>
                    <w:rPr>
                      <w:rFonts w:eastAsia="仿宋_GB2312"/>
                      <w:sz w:val="21"/>
                      <w:szCs w:val="21"/>
                    </w:rPr>
                    <w:t>主要为盐和硝运输，设有两个泊位，一个是盐泊位，另一个是硝泊位。泊位总长度180米，设计吞吐能力200万吨/年，设计船舶为500吨级</w:t>
                  </w:r>
                </w:p>
              </w:tc>
            </w:tr>
            <w:tr w14:paraId="33C510C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39" w:type="pct"/>
                  <w:vMerge w:val="continue"/>
                  <w:tcBorders>
                    <w:tl2br w:val="nil"/>
                    <w:tr2bl w:val="nil"/>
                  </w:tcBorders>
                  <w:vAlign w:val="center"/>
                </w:tcPr>
                <w:p w14:paraId="67C011B3">
                  <w:pPr>
                    <w:adjustRightInd w:val="0"/>
                    <w:snapToGrid w:val="0"/>
                    <w:jc w:val="center"/>
                    <w:rPr>
                      <w:rFonts w:eastAsia="仿宋_GB2312"/>
                      <w:kern w:val="0"/>
                      <w:sz w:val="21"/>
                      <w:szCs w:val="21"/>
                    </w:rPr>
                  </w:pPr>
                </w:p>
              </w:tc>
              <w:tc>
                <w:tcPr>
                  <w:tcW w:w="780" w:type="pct"/>
                  <w:gridSpan w:val="2"/>
                  <w:tcBorders>
                    <w:tl2br w:val="nil"/>
                    <w:tr2bl w:val="nil"/>
                  </w:tcBorders>
                  <w:shd w:val="clear" w:color="auto" w:fill="auto"/>
                  <w:vAlign w:val="center"/>
                </w:tcPr>
                <w:p w14:paraId="51A68103">
                  <w:pPr>
                    <w:jc w:val="center"/>
                    <w:rPr>
                      <w:rFonts w:eastAsia="仿宋_GB2312"/>
                      <w:sz w:val="21"/>
                      <w:szCs w:val="21"/>
                    </w:rPr>
                  </w:pPr>
                  <w:r>
                    <w:rPr>
                      <w:rStyle w:val="61"/>
                      <w:rFonts w:eastAsia="仿宋_GB2312"/>
                      <w:sz w:val="21"/>
                      <w:szCs w:val="21"/>
                    </w:rPr>
                    <w:t>一期反应罐</w:t>
                  </w:r>
                </w:p>
              </w:tc>
              <w:tc>
                <w:tcPr>
                  <w:tcW w:w="955" w:type="pct"/>
                  <w:tcBorders>
                    <w:tl2br w:val="nil"/>
                    <w:tr2bl w:val="nil"/>
                  </w:tcBorders>
                  <w:shd w:val="clear" w:color="auto" w:fill="auto"/>
                  <w:vAlign w:val="center"/>
                </w:tcPr>
                <w:p w14:paraId="08A5CEDD">
                  <w:pPr>
                    <w:jc w:val="center"/>
                    <w:rPr>
                      <w:rFonts w:eastAsia="仿宋_GB2312"/>
                      <w:sz w:val="21"/>
                      <w:szCs w:val="21"/>
                    </w:rPr>
                  </w:pPr>
                  <w:r>
                    <w:rPr>
                      <w:rFonts w:eastAsia="仿宋_GB2312"/>
                      <w:color w:val="000000"/>
                      <w:sz w:val="21"/>
                      <w:szCs w:val="21"/>
                    </w:rPr>
                    <w:t>6</w:t>
                  </w:r>
                  <w:r>
                    <w:rPr>
                      <w:rFonts w:eastAsia="仿宋_GB2312"/>
                      <w:sz w:val="21"/>
                      <w:szCs w:val="21"/>
                    </w:rPr>
                    <w:t>×</w:t>
                  </w:r>
                  <w:r>
                    <w:rPr>
                      <w:rFonts w:eastAsia="仿宋_GB2312"/>
                      <w:snapToGrid w:val="0"/>
                      <w:color w:val="000000" w:themeColor="text1"/>
                      <w:sz w:val="21"/>
                      <w:szCs w:val="21"/>
                    </w:rPr>
                    <w:t>536m</w:t>
                  </w:r>
                  <w:r>
                    <w:rPr>
                      <w:rFonts w:eastAsia="仿宋_GB2312"/>
                      <w:snapToGrid w:val="0"/>
                      <w:color w:val="000000" w:themeColor="text1"/>
                      <w:sz w:val="21"/>
                      <w:szCs w:val="21"/>
                      <w:vertAlign w:val="superscript"/>
                    </w:rPr>
                    <w:t>3</w:t>
                  </w:r>
                </w:p>
              </w:tc>
              <w:tc>
                <w:tcPr>
                  <w:tcW w:w="955" w:type="pct"/>
                  <w:tcBorders>
                    <w:tl2br w:val="nil"/>
                    <w:tr2bl w:val="nil"/>
                  </w:tcBorders>
                  <w:vAlign w:val="center"/>
                </w:tcPr>
                <w:p w14:paraId="0BA7BB59">
                  <w:pPr>
                    <w:pStyle w:val="56"/>
                    <w:spacing w:beforeLines="0" w:afterLines="0" w:line="240" w:lineRule="auto"/>
                    <w:rPr>
                      <w:rFonts w:ascii="Times New Roman" w:eastAsia="仿宋_GB2312"/>
                      <w:sz w:val="21"/>
                      <w:szCs w:val="21"/>
                    </w:rPr>
                  </w:pPr>
                  <w:r>
                    <w:rPr>
                      <w:rFonts w:ascii="Times New Roman" w:eastAsia="仿宋_GB2312"/>
                      <w:sz w:val="21"/>
                      <w:szCs w:val="21"/>
                    </w:rPr>
                    <w:t>0</w:t>
                  </w:r>
                </w:p>
              </w:tc>
              <w:tc>
                <w:tcPr>
                  <w:tcW w:w="958" w:type="pct"/>
                  <w:tcBorders>
                    <w:tl2br w:val="nil"/>
                    <w:tr2bl w:val="nil"/>
                  </w:tcBorders>
                  <w:shd w:val="clear" w:color="auto" w:fill="auto"/>
                  <w:vAlign w:val="center"/>
                </w:tcPr>
                <w:p w14:paraId="52601ED1">
                  <w:pPr>
                    <w:jc w:val="center"/>
                    <w:rPr>
                      <w:rFonts w:eastAsia="仿宋_GB2312"/>
                      <w:sz w:val="21"/>
                      <w:szCs w:val="21"/>
                    </w:rPr>
                  </w:pPr>
                  <w:r>
                    <w:rPr>
                      <w:rFonts w:eastAsia="仿宋_GB2312"/>
                      <w:color w:val="000000"/>
                      <w:sz w:val="21"/>
                      <w:szCs w:val="21"/>
                    </w:rPr>
                    <w:t>6</w:t>
                  </w:r>
                  <w:r>
                    <w:rPr>
                      <w:rFonts w:eastAsia="仿宋_GB2312"/>
                      <w:sz w:val="21"/>
                      <w:szCs w:val="21"/>
                    </w:rPr>
                    <w:t>×</w:t>
                  </w:r>
                  <w:r>
                    <w:rPr>
                      <w:rFonts w:eastAsia="仿宋_GB2312"/>
                      <w:snapToGrid w:val="0"/>
                      <w:color w:val="000000" w:themeColor="text1"/>
                      <w:sz w:val="21"/>
                      <w:szCs w:val="21"/>
                    </w:rPr>
                    <w:t>536m</w:t>
                  </w:r>
                  <w:r>
                    <w:rPr>
                      <w:rFonts w:eastAsia="仿宋_GB2312"/>
                      <w:snapToGrid w:val="0"/>
                      <w:color w:val="000000" w:themeColor="text1"/>
                      <w:sz w:val="21"/>
                      <w:szCs w:val="21"/>
                      <w:vertAlign w:val="superscript"/>
                    </w:rPr>
                    <w:t>3</w:t>
                  </w:r>
                </w:p>
              </w:tc>
              <w:tc>
                <w:tcPr>
                  <w:tcW w:w="1010" w:type="pct"/>
                  <w:tcBorders>
                    <w:tl2br w:val="nil"/>
                    <w:tr2bl w:val="nil"/>
                  </w:tcBorders>
                  <w:vAlign w:val="center"/>
                </w:tcPr>
                <w:p w14:paraId="34366623">
                  <w:pPr>
                    <w:adjustRightInd w:val="0"/>
                    <w:snapToGrid w:val="0"/>
                    <w:jc w:val="center"/>
                    <w:rPr>
                      <w:rFonts w:eastAsia="仿宋_GB2312"/>
                      <w:sz w:val="21"/>
                      <w:szCs w:val="21"/>
                    </w:rPr>
                  </w:pPr>
                  <w:r>
                    <w:rPr>
                      <w:rFonts w:eastAsia="仿宋_GB2312"/>
                      <w:sz w:val="21"/>
                      <w:szCs w:val="21"/>
                    </w:rPr>
                    <w:t>/</w:t>
                  </w:r>
                </w:p>
              </w:tc>
            </w:tr>
            <w:tr w14:paraId="0535111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39" w:type="pct"/>
                  <w:vMerge w:val="continue"/>
                  <w:tcBorders>
                    <w:tl2br w:val="nil"/>
                    <w:tr2bl w:val="nil"/>
                  </w:tcBorders>
                  <w:vAlign w:val="center"/>
                </w:tcPr>
                <w:p w14:paraId="0E811F0A">
                  <w:pPr>
                    <w:adjustRightInd w:val="0"/>
                    <w:snapToGrid w:val="0"/>
                    <w:jc w:val="center"/>
                    <w:rPr>
                      <w:rFonts w:eastAsia="仿宋_GB2312"/>
                      <w:kern w:val="0"/>
                      <w:sz w:val="21"/>
                      <w:szCs w:val="21"/>
                    </w:rPr>
                  </w:pPr>
                </w:p>
              </w:tc>
              <w:tc>
                <w:tcPr>
                  <w:tcW w:w="780" w:type="pct"/>
                  <w:gridSpan w:val="2"/>
                  <w:tcBorders>
                    <w:tl2br w:val="nil"/>
                    <w:tr2bl w:val="nil"/>
                  </w:tcBorders>
                  <w:shd w:val="clear" w:color="auto" w:fill="auto"/>
                  <w:vAlign w:val="center"/>
                </w:tcPr>
                <w:p w14:paraId="721224E9">
                  <w:pPr>
                    <w:jc w:val="center"/>
                    <w:rPr>
                      <w:rFonts w:eastAsia="仿宋_GB2312"/>
                      <w:sz w:val="21"/>
                      <w:szCs w:val="21"/>
                    </w:rPr>
                  </w:pPr>
                  <w:r>
                    <w:rPr>
                      <w:rStyle w:val="61"/>
                      <w:rFonts w:eastAsia="仿宋_GB2312"/>
                      <w:sz w:val="21"/>
                      <w:szCs w:val="21"/>
                    </w:rPr>
                    <w:t>二期反应罐</w:t>
                  </w:r>
                </w:p>
              </w:tc>
              <w:tc>
                <w:tcPr>
                  <w:tcW w:w="955" w:type="pct"/>
                  <w:tcBorders>
                    <w:tl2br w:val="nil"/>
                    <w:tr2bl w:val="nil"/>
                  </w:tcBorders>
                  <w:shd w:val="clear" w:color="auto" w:fill="auto"/>
                  <w:vAlign w:val="center"/>
                </w:tcPr>
                <w:p w14:paraId="000FA145">
                  <w:pPr>
                    <w:jc w:val="center"/>
                    <w:rPr>
                      <w:rFonts w:eastAsia="仿宋_GB2312"/>
                      <w:sz w:val="21"/>
                      <w:szCs w:val="21"/>
                    </w:rPr>
                  </w:pPr>
                  <w:r>
                    <w:rPr>
                      <w:rFonts w:eastAsia="仿宋_GB2312"/>
                      <w:color w:val="000000"/>
                      <w:sz w:val="21"/>
                      <w:szCs w:val="21"/>
                    </w:rPr>
                    <w:t>6</w:t>
                  </w:r>
                  <w:r>
                    <w:rPr>
                      <w:rFonts w:eastAsia="仿宋_GB2312"/>
                      <w:sz w:val="21"/>
                      <w:szCs w:val="21"/>
                    </w:rPr>
                    <w:t>×</w:t>
                  </w:r>
                  <w:r>
                    <w:rPr>
                      <w:rFonts w:eastAsia="仿宋_GB2312"/>
                      <w:snapToGrid w:val="0"/>
                      <w:color w:val="000000" w:themeColor="text1"/>
                      <w:sz w:val="21"/>
                      <w:szCs w:val="21"/>
                    </w:rPr>
                    <w:t>750m</w:t>
                  </w:r>
                  <w:r>
                    <w:rPr>
                      <w:rFonts w:eastAsia="仿宋_GB2312"/>
                      <w:snapToGrid w:val="0"/>
                      <w:color w:val="000000" w:themeColor="text1"/>
                      <w:sz w:val="21"/>
                      <w:szCs w:val="21"/>
                      <w:vertAlign w:val="superscript"/>
                    </w:rPr>
                    <w:t>3</w:t>
                  </w:r>
                </w:p>
              </w:tc>
              <w:tc>
                <w:tcPr>
                  <w:tcW w:w="955" w:type="pct"/>
                  <w:tcBorders>
                    <w:tl2br w:val="nil"/>
                    <w:tr2bl w:val="nil"/>
                  </w:tcBorders>
                  <w:vAlign w:val="center"/>
                </w:tcPr>
                <w:p w14:paraId="722A323A">
                  <w:pPr>
                    <w:pStyle w:val="56"/>
                    <w:spacing w:beforeLines="0" w:afterLines="0" w:line="240" w:lineRule="auto"/>
                    <w:rPr>
                      <w:rFonts w:ascii="Times New Roman" w:eastAsia="仿宋_GB2312"/>
                      <w:sz w:val="21"/>
                      <w:szCs w:val="21"/>
                    </w:rPr>
                  </w:pPr>
                  <w:r>
                    <w:rPr>
                      <w:rFonts w:ascii="Times New Roman" w:eastAsia="仿宋_GB2312"/>
                      <w:sz w:val="21"/>
                      <w:szCs w:val="21"/>
                    </w:rPr>
                    <w:t>0</w:t>
                  </w:r>
                </w:p>
              </w:tc>
              <w:tc>
                <w:tcPr>
                  <w:tcW w:w="958" w:type="pct"/>
                  <w:tcBorders>
                    <w:tl2br w:val="nil"/>
                    <w:tr2bl w:val="nil"/>
                  </w:tcBorders>
                  <w:shd w:val="clear" w:color="auto" w:fill="auto"/>
                  <w:vAlign w:val="center"/>
                </w:tcPr>
                <w:p w14:paraId="2E58CE0D">
                  <w:pPr>
                    <w:jc w:val="center"/>
                    <w:rPr>
                      <w:rFonts w:eastAsia="仿宋_GB2312"/>
                      <w:sz w:val="21"/>
                      <w:szCs w:val="21"/>
                    </w:rPr>
                  </w:pPr>
                  <w:r>
                    <w:rPr>
                      <w:rFonts w:eastAsia="仿宋_GB2312"/>
                      <w:color w:val="000000"/>
                      <w:sz w:val="21"/>
                      <w:szCs w:val="21"/>
                    </w:rPr>
                    <w:t>6</w:t>
                  </w:r>
                  <w:r>
                    <w:rPr>
                      <w:rFonts w:eastAsia="仿宋_GB2312"/>
                      <w:sz w:val="21"/>
                      <w:szCs w:val="21"/>
                    </w:rPr>
                    <w:t>×</w:t>
                  </w:r>
                  <w:r>
                    <w:rPr>
                      <w:rFonts w:eastAsia="仿宋_GB2312"/>
                      <w:snapToGrid w:val="0"/>
                      <w:color w:val="000000" w:themeColor="text1"/>
                      <w:sz w:val="21"/>
                      <w:szCs w:val="21"/>
                    </w:rPr>
                    <w:t>750m</w:t>
                  </w:r>
                  <w:r>
                    <w:rPr>
                      <w:rFonts w:eastAsia="仿宋_GB2312"/>
                      <w:snapToGrid w:val="0"/>
                      <w:color w:val="000000" w:themeColor="text1"/>
                      <w:sz w:val="21"/>
                      <w:szCs w:val="21"/>
                      <w:vertAlign w:val="superscript"/>
                    </w:rPr>
                    <w:t>3</w:t>
                  </w:r>
                </w:p>
              </w:tc>
              <w:tc>
                <w:tcPr>
                  <w:tcW w:w="1010" w:type="pct"/>
                  <w:tcBorders>
                    <w:tl2br w:val="nil"/>
                    <w:tr2bl w:val="nil"/>
                  </w:tcBorders>
                  <w:vAlign w:val="center"/>
                </w:tcPr>
                <w:p w14:paraId="2AA4003E">
                  <w:pPr>
                    <w:adjustRightInd w:val="0"/>
                    <w:snapToGrid w:val="0"/>
                    <w:jc w:val="center"/>
                    <w:rPr>
                      <w:rFonts w:eastAsia="仿宋_GB2312"/>
                      <w:sz w:val="21"/>
                      <w:szCs w:val="21"/>
                    </w:rPr>
                  </w:pPr>
                  <w:r>
                    <w:rPr>
                      <w:rFonts w:eastAsia="仿宋_GB2312"/>
                      <w:sz w:val="21"/>
                      <w:szCs w:val="21"/>
                    </w:rPr>
                    <w:t>/</w:t>
                  </w:r>
                </w:p>
              </w:tc>
            </w:tr>
            <w:tr w14:paraId="129E104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39" w:type="pct"/>
                  <w:vMerge w:val="continue"/>
                  <w:tcBorders>
                    <w:tl2br w:val="nil"/>
                    <w:tr2bl w:val="nil"/>
                  </w:tcBorders>
                  <w:vAlign w:val="center"/>
                </w:tcPr>
                <w:p w14:paraId="5E818BA5">
                  <w:pPr>
                    <w:adjustRightInd w:val="0"/>
                    <w:snapToGrid w:val="0"/>
                    <w:jc w:val="center"/>
                    <w:rPr>
                      <w:rFonts w:eastAsia="仿宋_GB2312"/>
                      <w:kern w:val="0"/>
                      <w:sz w:val="21"/>
                      <w:szCs w:val="21"/>
                    </w:rPr>
                  </w:pPr>
                </w:p>
              </w:tc>
              <w:tc>
                <w:tcPr>
                  <w:tcW w:w="780" w:type="pct"/>
                  <w:gridSpan w:val="2"/>
                  <w:tcBorders>
                    <w:tl2br w:val="nil"/>
                    <w:tr2bl w:val="nil"/>
                  </w:tcBorders>
                  <w:shd w:val="clear" w:color="auto" w:fill="auto"/>
                  <w:vAlign w:val="center"/>
                </w:tcPr>
                <w:p w14:paraId="0A76A0AD">
                  <w:pPr>
                    <w:jc w:val="center"/>
                    <w:rPr>
                      <w:rFonts w:eastAsia="仿宋_GB2312"/>
                      <w:sz w:val="21"/>
                      <w:szCs w:val="21"/>
                    </w:rPr>
                  </w:pPr>
                  <w:r>
                    <w:rPr>
                      <w:rStyle w:val="61"/>
                      <w:rFonts w:eastAsia="仿宋_GB2312"/>
                      <w:sz w:val="21"/>
                      <w:szCs w:val="21"/>
                    </w:rPr>
                    <w:t>原卤罐</w:t>
                  </w:r>
                </w:p>
              </w:tc>
              <w:tc>
                <w:tcPr>
                  <w:tcW w:w="955" w:type="pct"/>
                  <w:tcBorders>
                    <w:tl2br w:val="nil"/>
                    <w:tr2bl w:val="nil"/>
                  </w:tcBorders>
                  <w:shd w:val="clear" w:color="auto" w:fill="auto"/>
                  <w:vAlign w:val="center"/>
                </w:tcPr>
                <w:p w14:paraId="4F09BF3B">
                  <w:pPr>
                    <w:jc w:val="center"/>
                    <w:rPr>
                      <w:rFonts w:eastAsia="仿宋_GB2312"/>
                      <w:sz w:val="21"/>
                      <w:szCs w:val="21"/>
                    </w:rPr>
                  </w:pPr>
                  <w:r>
                    <w:rPr>
                      <w:rFonts w:eastAsia="仿宋_GB2312"/>
                      <w:color w:val="000000"/>
                      <w:sz w:val="21"/>
                      <w:szCs w:val="21"/>
                    </w:rPr>
                    <w:t>2</w:t>
                  </w:r>
                  <w:r>
                    <w:rPr>
                      <w:rFonts w:eastAsia="仿宋_GB2312"/>
                      <w:sz w:val="21"/>
                      <w:szCs w:val="21"/>
                    </w:rPr>
                    <w:t>×</w:t>
                  </w:r>
                  <w:r>
                    <w:rPr>
                      <w:rFonts w:eastAsia="仿宋_GB2312"/>
                      <w:snapToGrid w:val="0"/>
                      <w:color w:val="000000" w:themeColor="text1"/>
                      <w:sz w:val="21"/>
                      <w:szCs w:val="21"/>
                    </w:rPr>
                    <w:t>2250m</w:t>
                  </w:r>
                  <w:r>
                    <w:rPr>
                      <w:rFonts w:eastAsia="仿宋_GB2312"/>
                      <w:snapToGrid w:val="0"/>
                      <w:color w:val="000000" w:themeColor="text1"/>
                      <w:sz w:val="21"/>
                      <w:szCs w:val="21"/>
                      <w:vertAlign w:val="superscript"/>
                    </w:rPr>
                    <w:t>3</w:t>
                  </w:r>
                </w:p>
              </w:tc>
              <w:tc>
                <w:tcPr>
                  <w:tcW w:w="955" w:type="pct"/>
                  <w:tcBorders>
                    <w:tl2br w:val="nil"/>
                    <w:tr2bl w:val="nil"/>
                  </w:tcBorders>
                  <w:vAlign w:val="center"/>
                </w:tcPr>
                <w:p w14:paraId="50C390FD">
                  <w:pPr>
                    <w:pStyle w:val="56"/>
                    <w:spacing w:beforeLines="0" w:afterLines="0" w:line="240" w:lineRule="auto"/>
                    <w:rPr>
                      <w:rFonts w:ascii="Times New Roman" w:eastAsia="仿宋_GB2312"/>
                      <w:sz w:val="21"/>
                      <w:szCs w:val="21"/>
                    </w:rPr>
                  </w:pPr>
                  <w:r>
                    <w:rPr>
                      <w:rFonts w:ascii="Times New Roman" w:eastAsia="仿宋_GB2312"/>
                      <w:sz w:val="21"/>
                      <w:szCs w:val="21"/>
                    </w:rPr>
                    <w:t>0</w:t>
                  </w:r>
                </w:p>
              </w:tc>
              <w:tc>
                <w:tcPr>
                  <w:tcW w:w="958" w:type="pct"/>
                  <w:tcBorders>
                    <w:tl2br w:val="nil"/>
                    <w:tr2bl w:val="nil"/>
                  </w:tcBorders>
                  <w:shd w:val="clear" w:color="auto" w:fill="auto"/>
                  <w:vAlign w:val="center"/>
                </w:tcPr>
                <w:p w14:paraId="721CBF9A">
                  <w:pPr>
                    <w:jc w:val="center"/>
                    <w:rPr>
                      <w:rFonts w:eastAsia="仿宋_GB2312"/>
                      <w:sz w:val="21"/>
                      <w:szCs w:val="21"/>
                    </w:rPr>
                  </w:pPr>
                  <w:r>
                    <w:rPr>
                      <w:rFonts w:eastAsia="仿宋_GB2312"/>
                      <w:color w:val="000000"/>
                      <w:sz w:val="21"/>
                      <w:szCs w:val="21"/>
                    </w:rPr>
                    <w:t>2</w:t>
                  </w:r>
                  <w:r>
                    <w:rPr>
                      <w:rFonts w:eastAsia="仿宋_GB2312"/>
                      <w:sz w:val="21"/>
                      <w:szCs w:val="21"/>
                    </w:rPr>
                    <w:t>×</w:t>
                  </w:r>
                  <w:r>
                    <w:rPr>
                      <w:rFonts w:eastAsia="仿宋_GB2312"/>
                      <w:snapToGrid w:val="0"/>
                      <w:color w:val="000000" w:themeColor="text1"/>
                      <w:sz w:val="21"/>
                      <w:szCs w:val="21"/>
                    </w:rPr>
                    <w:t>2250m</w:t>
                  </w:r>
                  <w:r>
                    <w:rPr>
                      <w:rFonts w:eastAsia="仿宋_GB2312"/>
                      <w:snapToGrid w:val="0"/>
                      <w:color w:val="000000" w:themeColor="text1"/>
                      <w:sz w:val="21"/>
                      <w:szCs w:val="21"/>
                      <w:vertAlign w:val="superscript"/>
                    </w:rPr>
                    <w:t>3</w:t>
                  </w:r>
                </w:p>
              </w:tc>
              <w:tc>
                <w:tcPr>
                  <w:tcW w:w="1010" w:type="pct"/>
                  <w:tcBorders>
                    <w:tl2br w:val="nil"/>
                    <w:tr2bl w:val="nil"/>
                  </w:tcBorders>
                  <w:vAlign w:val="center"/>
                </w:tcPr>
                <w:p w14:paraId="5E0B400C">
                  <w:pPr>
                    <w:adjustRightInd w:val="0"/>
                    <w:snapToGrid w:val="0"/>
                    <w:jc w:val="center"/>
                    <w:rPr>
                      <w:rFonts w:eastAsia="仿宋_GB2312"/>
                      <w:sz w:val="21"/>
                      <w:szCs w:val="21"/>
                    </w:rPr>
                  </w:pPr>
                  <w:r>
                    <w:rPr>
                      <w:rFonts w:eastAsia="仿宋_GB2312"/>
                      <w:sz w:val="21"/>
                      <w:szCs w:val="21"/>
                    </w:rPr>
                    <w:t>/</w:t>
                  </w:r>
                </w:p>
              </w:tc>
            </w:tr>
            <w:tr w14:paraId="0A3AF14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39" w:type="pct"/>
                  <w:vMerge w:val="continue"/>
                  <w:tcBorders>
                    <w:tl2br w:val="nil"/>
                    <w:tr2bl w:val="nil"/>
                  </w:tcBorders>
                  <w:vAlign w:val="center"/>
                </w:tcPr>
                <w:p w14:paraId="0CF098E4">
                  <w:pPr>
                    <w:adjustRightInd w:val="0"/>
                    <w:snapToGrid w:val="0"/>
                    <w:jc w:val="center"/>
                    <w:rPr>
                      <w:rFonts w:eastAsia="仿宋_GB2312"/>
                      <w:kern w:val="0"/>
                      <w:sz w:val="21"/>
                      <w:szCs w:val="21"/>
                    </w:rPr>
                  </w:pPr>
                </w:p>
              </w:tc>
              <w:tc>
                <w:tcPr>
                  <w:tcW w:w="780" w:type="pct"/>
                  <w:gridSpan w:val="2"/>
                  <w:tcBorders>
                    <w:tl2br w:val="nil"/>
                    <w:tr2bl w:val="nil"/>
                  </w:tcBorders>
                  <w:shd w:val="clear" w:color="auto" w:fill="auto"/>
                  <w:vAlign w:val="center"/>
                </w:tcPr>
                <w:p w14:paraId="004AD408">
                  <w:pPr>
                    <w:jc w:val="center"/>
                    <w:rPr>
                      <w:rFonts w:eastAsia="仿宋_GB2312"/>
                      <w:sz w:val="21"/>
                      <w:szCs w:val="21"/>
                    </w:rPr>
                  </w:pPr>
                  <w:r>
                    <w:rPr>
                      <w:rStyle w:val="61"/>
                      <w:rFonts w:eastAsia="仿宋_GB2312"/>
                      <w:sz w:val="21"/>
                      <w:szCs w:val="21"/>
                    </w:rPr>
                    <w:t>清卤罐</w:t>
                  </w:r>
                </w:p>
              </w:tc>
              <w:tc>
                <w:tcPr>
                  <w:tcW w:w="955" w:type="pct"/>
                  <w:tcBorders>
                    <w:tl2br w:val="nil"/>
                    <w:tr2bl w:val="nil"/>
                  </w:tcBorders>
                  <w:shd w:val="clear" w:color="auto" w:fill="auto"/>
                  <w:vAlign w:val="center"/>
                </w:tcPr>
                <w:p w14:paraId="4E6A6E56">
                  <w:pPr>
                    <w:jc w:val="center"/>
                    <w:rPr>
                      <w:rFonts w:eastAsia="仿宋_GB2312"/>
                      <w:sz w:val="21"/>
                      <w:szCs w:val="21"/>
                    </w:rPr>
                  </w:pPr>
                  <w:r>
                    <w:rPr>
                      <w:rFonts w:eastAsia="仿宋_GB2312"/>
                      <w:color w:val="000000"/>
                      <w:sz w:val="21"/>
                      <w:szCs w:val="21"/>
                    </w:rPr>
                    <w:t>3</w:t>
                  </w:r>
                  <w:r>
                    <w:rPr>
                      <w:rFonts w:eastAsia="仿宋_GB2312"/>
                      <w:sz w:val="21"/>
                      <w:szCs w:val="21"/>
                    </w:rPr>
                    <w:t>×</w:t>
                  </w:r>
                  <w:r>
                    <w:rPr>
                      <w:rFonts w:eastAsia="仿宋_GB2312"/>
                      <w:snapToGrid w:val="0"/>
                      <w:color w:val="000000" w:themeColor="text1"/>
                      <w:sz w:val="21"/>
                      <w:szCs w:val="21"/>
                    </w:rPr>
                    <w:t>1500m</w:t>
                  </w:r>
                  <w:r>
                    <w:rPr>
                      <w:rFonts w:eastAsia="仿宋_GB2312"/>
                      <w:snapToGrid w:val="0"/>
                      <w:color w:val="000000" w:themeColor="text1"/>
                      <w:sz w:val="21"/>
                      <w:szCs w:val="21"/>
                      <w:vertAlign w:val="superscript"/>
                    </w:rPr>
                    <w:t>3</w:t>
                  </w:r>
                </w:p>
              </w:tc>
              <w:tc>
                <w:tcPr>
                  <w:tcW w:w="955" w:type="pct"/>
                  <w:tcBorders>
                    <w:tl2br w:val="nil"/>
                    <w:tr2bl w:val="nil"/>
                  </w:tcBorders>
                  <w:vAlign w:val="center"/>
                </w:tcPr>
                <w:p w14:paraId="3324E079">
                  <w:pPr>
                    <w:pStyle w:val="56"/>
                    <w:spacing w:beforeLines="0" w:afterLines="0" w:line="240" w:lineRule="auto"/>
                    <w:rPr>
                      <w:rFonts w:ascii="Times New Roman" w:eastAsia="仿宋_GB2312"/>
                      <w:sz w:val="21"/>
                      <w:szCs w:val="21"/>
                    </w:rPr>
                  </w:pPr>
                  <w:r>
                    <w:rPr>
                      <w:rFonts w:ascii="Times New Roman" w:eastAsia="仿宋_GB2312"/>
                      <w:sz w:val="21"/>
                      <w:szCs w:val="21"/>
                    </w:rPr>
                    <w:t>0</w:t>
                  </w:r>
                </w:p>
              </w:tc>
              <w:tc>
                <w:tcPr>
                  <w:tcW w:w="958" w:type="pct"/>
                  <w:tcBorders>
                    <w:tl2br w:val="nil"/>
                    <w:tr2bl w:val="nil"/>
                  </w:tcBorders>
                  <w:shd w:val="clear" w:color="auto" w:fill="auto"/>
                  <w:vAlign w:val="center"/>
                </w:tcPr>
                <w:p w14:paraId="70FB809D">
                  <w:pPr>
                    <w:jc w:val="center"/>
                    <w:rPr>
                      <w:rFonts w:eastAsia="仿宋_GB2312"/>
                      <w:sz w:val="21"/>
                      <w:szCs w:val="21"/>
                    </w:rPr>
                  </w:pPr>
                  <w:r>
                    <w:rPr>
                      <w:rFonts w:eastAsia="仿宋_GB2312"/>
                      <w:color w:val="000000"/>
                      <w:sz w:val="21"/>
                      <w:szCs w:val="21"/>
                    </w:rPr>
                    <w:t>3</w:t>
                  </w:r>
                  <w:r>
                    <w:rPr>
                      <w:rFonts w:eastAsia="仿宋_GB2312"/>
                      <w:sz w:val="21"/>
                      <w:szCs w:val="21"/>
                    </w:rPr>
                    <w:t>×</w:t>
                  </w:r>
                  <w:r>
                    <w:rPr>
                      <w:rFonts w:eastAsia="仿宋_GB2312"/>
                      <w:snapToGrid w:val="0"/>
                      <w:color w:val="000000" w:themeColor="text1"/>
                      <w:sz w:val="21"/>
                      <w:szCs w:val="21"/>
                    </w:rPr>
                    <w:t>1500m</w:t>
                  </w:r>
                  <w:r>
                    <w:rPr>
                      <w:rFonts w:eastAsia="仿宋_GB2312"/>
                      <w:snapToGrid w:val="0"/>
                      <w:color w:val="000000" w:themeColor="text1"/>
                      <w:sz w:val="21"/>
                      <w:szCs w:val="21"/>
                      <w:vertAlign w:val="superscript"/>
                    </w:rPr>
                    <w:t>3</w:t>
                  </w:r>
                </w:p>
              </w:tc>
              <w:tc>
                <w:tcPr>
                  <w:tcW w:w="1010" w:type="pct"/>
                  <w:tcBorders>
                    <w:tl2br w:val="nil"/>
                    <w:tr2bl w:val="nil"/>
                  </w:tcBorders>
                  <w:vAlign w:val="center"/>
                </w:tcPr>
                <w:p w14:paraId="7B2E8FFF">
                  <w:pPr>
                    <w:adjustRightInd w:val="0"/>
                    <w:snapToGrid w:val="0"/>
                    <w:jc w:val="center"/>
                    <w:rPr>
                      <w:rFonts w:eastAsia="仿宋_GB2312"/>
                      <w:sz w:val="21"/>
                      <w:szCs w:val="21"/>
                    </w:rPr>
                  </w:pPr>
                  <w:r>
                    <w:rPr>
                      <w:rFonts w:eastAsia="仿宋_GB2312"/>
                      <w:sz w:val="21"/>
                      <w:szCs w:val="21"/>
                    </w:rPr>
                    <w:t>/</w:t>
                  </w:r>
                </w:p>
              </w:tc>
            </w:tr>
            <w:tr w14:paraId="21881DE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39" w:type="pct"/>
                  <w:vMerge w:val="continue"/>
                  <w:tcBorders>
                    <w:tl2br w:val="nil"/>
                    <w:tr2bl w:val="nil"/>
                  </w:tcBorders>
                  <w:vAlign w:val="center"/>
                </w:tcPr>
                <w:p w14:paraId="671E9EA2">
                  <w:pPr>
                    <w:adjustRightInd w:val="0"/>
                    <w:snapToGrid w:val="0"/>
                    <w:jc w:val="center"/>
                    <w:rPr>
                      <w:rFonts w:eastAsia="仿宋_GB2312"/>
                      <w:kern w:val="0"/>
                      <w:sz w:val="21"/>
                      <w:szCs w:val="21"/>
                    </w:rPr>
                  </w:pPr>
                </w:p>
              </w:tc>
              <w:tc>
                <w:tcPr>
                  <w:tcW w:w="780" w:type="pct"/>
                  <w:gridSpan w:val="2"/>
                  <w:tcBorders>
                    <w:tl2br w:val="nil"/>
                    <w:tr2bl w:val="nil"/>
                  </w:tcBorders>
                  <w:shd w:val="clear" w:color="auto" w:fill="auto"/>
                  <w:vAlign w:val="center"/>
                </w:tcPr>
                <w:p w14:paraId="17294C5F">
                  <w:pPr>
                    <w:jc w:val="center"/>
                    <w:rPr>
                      <w:rFonts w:eastAsia="仿宋_GB2312"/>
                      <w:sz w:val="21"/>
                      <w:szCs w:val="21"/>
                    </w:rPr>
                  </w:pPr>
                  <w:r>
                    <w:rPr>
                      <w:rStyle w:val="61"/>
                      <w:rFonts w:eastAsia="仿宋_GB2312"/>
                      <w:sz w:val="21"/>
                      <w:szCs w:val="21"/>
                    </w:rPr>
                    <w:t>一期阻垢剂桶</w:t>
                  </w:r>
                </w:p>
              </w:tc>
              <w:tc>
                <w:tcPr>
                  <w:tcW w:w="955" w:type="pct"/>
                  <w:tcBorders>
                    <w:tl2br w:val="nil"/>
                    <w:tr2bl w:val="nil"/>
                  </w:tcBorders>
                  <w:shd w:val="clear" w:color="auto" w:fill="auto"/>
                  <w:vAlign w:val="center"/>
                </w:tcPr>
                <w:p w14:paraId="7C52B1CA">
                  <w:pPr>
                    <w:jc w:val="center"/>
                    <w:rPr>
                      <w:rFonts w:eastAsia="仿宋_GB2312"/>
                      <w:sz w:val="21"/>
                      <w:szCs w:val="21"/>
                    </w:rPr>
                  </w:pPr>
                  <w:r>
                    <w:rPr>
                      <w:rFonts w:eastAsia="仿宋_GB2312"/>
                      <w:color w:val="000000"/>
                      <w:sz w:val="21"/>
                      <w:szCs w:val="21"/>
                    </w:rPr>
                    <w:t>1</w:t>
                  </w:r>
                  <w:r>
                    <w:rPr>
                      <w:rFonts w:eastAsia="仿宋_GB2312"/>
                      <w:sz w:val="21"/>
                      <w:szCs w:val="21"/>
                    </w:rPr>
                    <w:t>×</w:t>
                  </w:r>
                  <w:r>
                    <w:rPr>
                      <w:rFonts w:eastAsia="仿宋_GB2312"/>
                      <w:snapToGrid w:val="0"/>
                      <w:color w:val="000000" w:themeColor="text1"/>
                      <w:sz w:val="21"/>
                      <w:szCs w:val="21"/>
                    </w:rPr>
                    <w:t>2.58m</w:t>
                  </w:r>
                  <w:r>
                    <w:rPr>
                      <w:rFonts w:eastAsia="仿宋_GB2312"/>
                      <w:snapToGrid w:val="0"/>
                      <w:color w:val="000000" w:themeColor="text1"/>
                      <w:sz w:val="21"/>
                      <w:szCs w:val="21"/>
                      <w:vertAlign w:val="superscript"/>
                    </w:rPr>
                    <w:t>3</w:t>
                  </w:r>
                </w:p>
              </w:tc>
              <w:tc>
                <w:tcPr>
                  <w:tcW w:w="955" w:type="pct"/>
                  <w:tcBorders>
                    <w:tl2br w:val="nil"/>
                    <w:tr2bl w:val="nil"/>
                  </w:tcBorders>
                  <w:vAlign w:val="center"/>
                </w:tcPr>
                <w:p w14:paraId="7C44EE55">
                  <w:pPr>
                    <w:pStyle w:val="56"/>
                    <w:spacing w:beforeLines="0" w:afterLines="0" w:line="240" w:lineRule="auto"/>
                    <w:rPr>
                      <w:rFonts w:ascii="Times New Roman" w:eastAsia="仿宋_GB2312"/>
                      <w:sz w:val="21"/>
                      <w:szCs w:val="21"/>
                    </w:rPr>
                  </w:pPr>
                  <w:r>
                    <w:rPr>
                      <w:rFonts w:ascii="Times New Roman" w:eastAsia="仿宋_GB2312"/>
                      <w:sz w:val="21"/>
                      <w:szCs w:val="21"/>
                    </w:rPr>
                    <w:t>0</w:t>
                  </w:r>
                </w:p>
              </w:tc>
              <w:tc>
                <w:tcPr>
                  <w:tcW w:w="958" w:type="pct"/>
                  <w:tcBorders>
                    <w:tl2br w:val="nil"/>
                    <w:tr2bl w:val="nil"/>
                  </w:tcBorders>
                  <w:shd w:val="clear" w:color="auto" w:fill="auto"/>
                  <w:vAlign w:val="center"/>
                </w:tcPr>
                <w:p w14:paraId="70936A1C">
                  <w:pPr>
                    <w:jc w:val="center"/>
                    <w:rPr>
                      <w:rFonts w:eastAsia="仿宋_GB2312"/>
                      <w:sz w:val="21"/>
                      <w:szCs w:val="21"/>
                    </w:rPr>
                  </w:pPr>
                  <w:r>
                    <w:rPr>
                      <w:rFonts w:eastAsia="仿宋_GB2312"/>
                      <w:color w:val="000000"/>
                      <w:sz w:val="21"/>
                      <w:szCs w:val="21"/>
                    </w:rPr>
                    <w:t>1</w:t>
                  </w:r>
                  <w:r>
                    <w:rPr>
                      <w:rFonts w:eastAsia="仿宋_GB2312"/>
                      <w:sz w:val="21"/>
                      <w:szCs w:val="21"/>
                    </w:rPr>
                    <w:t>×</w:t>
                  </w:r>
                  <w:r>
                    <w:rPr>
                      <w:rFonts w:eastAsia="仿宋_GB2312"/>
                      <w:snapToGrid w:val="0"/>
                      <w:color w:val="000000" w:themeColor="text1"/>
                      <w:sz w:val="21"/>
                      <w:szCs w:val="21"/>
                    </w:rPr>
                    <w:t>2.58m</w:t>
                  </w:r>
                  <w:r>
                    <w:rPr>
                      <w:rFonts w:eastAsia="仿宋_GB2312"/>
                      <w:snapToGrid w:val="0"/>
                      <w:color w:val="000000" w:themeColor="text1"/>
                      <w:sz w:val="21"/>
                      <w:szCs w:val="21"/>
                      <w:vertAlign w:val="superscript"/>
                    </w:rPr>
                    <w:t>3</w:t>
                  </w:r>
                </w:p>
              </w:tc>
              <w:tc>
                <w:tcPr>
                  <w:tcW w:w="1010" w:type="pct"/>
                  <w:tcBorders>
                    <w:tl2br w:val="nil"/>
                    <w:tr2bl w:val="nil"/>
                  </w:tcBorders>
                  <w:vAlign w:val="center"/>
                </w:tcPr>
                <w:p w14:paraId="10DD30FB">
                  <w:pPr>
                    <w:adjustRightInd w:val="0"/>
                    <w:snapToGrid w:val="0"/>
                    <w:jc w:val="center"/>
                    <w:rPr>
                      <w:rFonts w:eastAsia="仿宋_GB2312"/>
                      <w:sz w:val="21"/>
                      <w:szCs w:val="21"/>
                    </w:rPr>
                  </w:pPr>
                  <w:r>
                    <w:rPr>
                      <w:rFonts w:eastAsia="仿宋_GB2312"/>
                      <w:sz w:val="21"/>
                      <w:szCs w:val="21"/>
                    </w:rPr>
                    <w:t>/</w:t>
                  </w:r>
                </w:p>
              </w:tc>
            </w:tr>
            <w:tr w14:paraId="2659568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39" w:type="pct"/>
                  <w:vMerge w:val="continue"/>
                  <w:tcBorders>
                    <w:tl2br w:val="nil"/>
                    <w:tr2bl w:val="nil"/>
                  </w:tcBorders>
                  <w:vAlign w:val="center"/>
                </w:tcPr>
                <w:p w14:paraId="1770D07D">
                  <w:pPr>
                    <w:adjustRightInd w:val="0"/>
                    <w:snapToGrid w:val="0"/>
                    <w:jc w:val="center"/>
                    <w:rPr>
                      <w:rFonts w:eastAsia="仿宋_GB2312"/>
                      <w:kern w:val="0"/>
                      <w:sz w:val="21"/>
                      <w:szCs w:val="21"/>
                    </w:rPr>
                  </w:pPr>
                </w:p>
              </w:tc>
              <w:tc>
                <w:tcPr>
                  <w:tcW w:w="780" w:type="pct"/>
                  <w:gridSpan w:val="2"/>
                  <w:tcBorders>
                    <w:tl2br w:val="nil"/>
                    <w:tr2bl w:val="nil"/>
                  </w:tcBorders>
                  <w:shd w:val="clear" w:color="auto" w:fill="auto"/>
                  <w:vAlign w:val="center"/>
                </w:tcPr>
                <w:p w14:paraId="62AF0B53">
                  <w:pPr>
                    <w:jc w:val="center"/>
                    <w:rPr>
                      <w:rFonts w:eastAsia="仿宋_GB2312"/>
                      <w:sz w:val="21"/>
                      <w:szCs w:val="21"/>
                    </w:rPr>
                  </w:pPr>
                  <w:r>
                    <w:rPr>
                      <w:rStyle w:val="61"/>
                      <w:rFonts w:eastAsia="仿宋_GB2312"/>
                      <w:sz w:val="21"/>
                      <w:szCs w:val="21"/>
                    </w:rPr>
                    <w:t>二期阻垢剂桶</w:t>
                  </w:r>
                </w:p>
              </w:tc>
              <w:tc>
                <w:tcPr>
                  <w:tcW w:w="955" w:type="pct"/>
                  <w:tcBorders>
                    <w:tl2br w:val="nil"/>
                    <w:tr2bl w:val="nil"/>
                  </w:tcBorders>
                  <w:shd w:val="clear" w:color="auto" w:fill="auto"/>
                  <w:vAlign w:val="center"/>
                </w:tcPr>
                <w:p w14:paraId="653D4F74">
                  <w:pPr>
                    <w:jc w:val="center"/>
                    <w:rPr>
                      <w:rFonts w:eastAsia="仿宋_GB2312"/>
                      <w:sz w:val="21"/>
                      <w:szCs w:val="21"/>
                    </w:rPr>
                  </w:pPr>
                  <w:r>
                    <w:rPr>
                      <w:rFonts w:eastAsia="仿宋_GB2312"/>
                      <w:color w:val="000000"/>
                      <w:sz w:val="21"/>
                      <w:szCs w:val="21"/>
                    </w:rPr>
                    <w:t>1</w:t>
                  </w:r>
                  <w:r>
                    <w:rPr>
                      <w:rFonts w:eastAsia="仿宋_GB2312"/>
                      <w:sz w:val="21"/>
                      <w:szCs w:val="21"/>
                    </w:rPr>
                    <w:t>×</w:t>
                  </w:r>
                  <w:r>
                    <w:rPr>
                      <w:rFonts w:eastAsia="仿宋_GB2312"/>
                      <w:snapToGrid w:val="0"/>
                      <w:color w:val="000000" w:themeColor="text1"/>
                      <w:sz w:val="21"/>
                      <w:szCs w:val="21"/>
                    </w:rPr>
                    <w:t>4.47m</w:t>
                  </w:r>
                  <w:r>
                    <w:rPr>
                      <w:rFonts w:eastAsia="仿宋_GB2312"/>
                      <w:snapToGrid w:val="0"/>
                      <w:color w:val="000000" w:themeColor="text1"/>
                      <w:sz w:val="21"/>
                      <w:szCs w:val="21"/>
                      <w:vertAlign w:val="superscript"/>
                    </w:rPr>
                    <w:t>3</w:t>
                  </w:r>
                </w:p>
              </w:tc>
              <w:tc>
                <w:tcPr>
                  <w:tcW w:w="955" w:type="pct"/>
                  <w:tcBorders>
                    <w:tl2br w:val="nil"/>
                    <w:tr2bl w:val="nil"/>
                  </w:tcBorders>
                  <w:vAlign w:val="center"/>
                </w:tcPr>
                <w:p w14:paraId="3977B388">
                  <w:pPr>
                    <w:pStyle w:val="56"/>
                    <w:spacing w:beforeLines="0" w:afterLines="0" w:line="240" w:lineRule="auto"/>
                    <w:rPr>
                      <w:rFonts w:ascii="Times New Roman" w:eastAsia="仿宋_GB2312"/>
                      <w:sz w:val="21"/>
                      <w:szCs w:val="21"/>
                    </w:rPr>
                  </w:pPr>
                  <w:r>
                    <w:rPr>
                      <w:rFonts w:ascii="Times New Roman" w:eastAsia="仿宋_GB2312"/>
                      <w:sz w:val="21"/>
                      <w:szCs w:val="21"/>
                    </w:rPr>
                    <w:t>0</w:t>
                  </w:r>
                </w:p>
              </w:tc>
              <w:tc>
                <w:tcPr>
                  <w:tcW w:w="958" w:type="pct"/>
                  <w:tcBorders>
                    <w:tl2br w:val="nil"/>
                    <w:tr2bl w:val="nil"/>
                  </w:tcBorders>
                  <w:shd w:val="clear" w:color="auto" w:fill="auto"/>
                  <w:vAlign w:val="center"/>
                </w:tcPr>
                <w:p w14:paraId="77E40979">
                  <w:pPr>
                    <w:jc w:val="center"/>
                    <w:rPr>
                      <w:rFonts w:eastAsia="仿宋_GB2312"/>
                      <w:sz w:val="21"/>
                      <w:szCs w:val="21"/>
                    </w:rPr>
                  </w:pPr>
                  <w:r>
                    <w:rPr>
                      <w:rFonts w:eastAsia="仿宋_GB2312"/>
                      <w:color w:val="000000"/>
                      <w:sz w:val="21"/>
                      <w:szCs w:val="21"/>
                    </w:rPr>
                    <w:t>1</w:t>
                  </w:r>
                  <w:r>
                    <w:rPr>
                      <w:rFonts w:eastAsia="仿宋_GB2312"/>
                      <w:sz w:val="21"/>
                      <w:szCs w:val="21"/>
                    </w:rPr>
                    <w:t>×</w:t>
                  </w:r>
                  <w:r>
                    <w:rPr>
                      <w:rFonts w:eastAsia="仿宋_GB2312"/>
                      <w:snapToGrid w:val="0"/>
                      <w:color w:val="000000" w:themeColor="text1"/>
                      <w:sz w:val="21"/>
                      <w:szCs w:val="21"/>
                    </w:rPr>
                    <w:t>4.47m</w:t>
                  </w:r>
                  <w:r>
                    <w:rPr>
                      <w:rFonts w:eastAsia="仿宋_GB2312"/>
                      <w:snapToGrid w:val="0"/>
                      <w:color w:val="000000" w:themeColor="text1"/>
                      <w:sz w:val="21"/>
                      <w:szCs w:val="21"/>
                      <w:vertAlign w:val="superscript"/>
                    </w:rPr>
                    <w:t>3</w:t>
                  </w:r>
                </w:p>
              </w:tc>
              <w:tc>
                <w:tcPr>
                  <w:tcW w:w="1010" w:type="pct"/>
                  <w:tcBorders>
                    <w:tl2br w:val="nil"/>
                    <w:tr2bl w:val="nil"/>
                  </w:tcBorders>
                  <w:vAlign w:val="center"/>
                </w:tcPr>
                <w:p w14:paraId="187BD778">
                  <w:pPr>
                    <w:adjustRightInd w:val="0"/>
                    <w:snapToGrid w:val="0"/>
                    <w:jc w:val="center"/>
                    <w:rPr>
                      <w:rFonts w:eastAsia="仿宋_GB2312"/>
                      <w:sz w:val="21"/>
                      <w:szCs w:val="21"/>
                    </w:rPr>
                  </w:pPr>
                  <w:r>
                    <w:rPr>
                      <w:rFonts w:eastAsia="仿宋_GB2312"/>
                      <w:sz w:val="21"/>
                      <w:szCs w:val="21"/>
                    </w:rPr>
                    <w:t>/</w:t>
                  </w:r>
                </w:p>
              </w:tc>
            </w:tr>
            <w:tr w14:paraId="476D109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39" w:type="pct"/>
                  <w:vMerge w:val="continue"/>
                  <w:tcBorders>
                    <w:tl2br w:val="nil"/>
                    <w:tr2bl w:val="nil"/>
                  </w:tcBorders>
                  <w:vAlign w:val="center"/>
                </w:tcPr>
                <w:p w14:paraId="48C885B5">
                  <w:pPr>
                    <w:adjustRightInd w:val="0"/>
                    <w:snapToGrid w:val="0"/>
                    <w:jc w:val="center"/>
                    <w:rPr>
                      <w:rFonts w:eastAsia="仿宋_GB2312"/>
                      <w:kern w:val="0"/>
                      <w:sz w:val="21"/>
                      <w:szCs w:val="21"/>
                    </w:rPr>
                  </w:pPr>
                </w:p>
              </w:tc>
              <w:tc>
                <w:tcPr>
                  <w:tcW w:w="780" w:type="pct"/>
                  <w:gridSpan w:val="2"/>
                  <w:tcBorders>
                    <w:tl2br w:val="nil"/>
                    <w:tr2bl w:val="nil"/>
                  </w:tcBorders>
                  <w:shd w:val="clear" w:color="auto" w:fill="auto"/>
                  <w:vAlign w:val="center"/>
                </w:tcPr>
                <w:p w14:paraId="20B6AFB6">
                  <w:pPr>
                    <w:jc w:val="center"/>
                    <w:rPr>
                      <w:rFonts w:eastAsia="仿宋_GB2312"/>
                      <w:sz w:val="21"/>
                      <w:szCs w:val="21"/>
                    </w:rPr>
                  </w:pPr>
                  <w:r>
                    <w:rPr>
                      <w:rStyle w:val="61"/>
                      <w:rFonts w:eastAsia="仿宋_GB2312"/>
                      <w:sz w:val="21"/>
                      <w:szCs w:val="21"/>
                    </w:rPr>
                    <w:t>老卤配制罐</w:t>
                  </w:r>
                </w:p>
              </w:tc>
              <w:tc>
                <w:tcPr>
                  <w:tcW w:w="955" w:type="pct"/>
                  <w:tcBorders>
                    <w:tl2br w:val="nil"/>
                    <w:tr2bl w:val="nil"/>
                  </w:tcBorders>
                  <w:shd w:val="clear" w:color="auto" w:fill="auto"/>
                  <w:vAlign w:val="center"/>
                </w:tcPr>
                <w:p w14:paraId="661BCBCA">
                  <w:pPr>
                    <w:jc w:val="center"/>
                    <w:rPr>
                      <w:rFonts w:eastAsia="仿宋_GB2312"/>
                      <w:sz w:val="21"/>
                      <w:szCs w:val="21"/>
                    </w:rPr>
                  </w:pPr>
                  <w:r>
                    <w:rPr>
                      <w:rFonts w:eastAsia="仿宋_GB2312"/>
                      <w:color w:val="000000"/>
                      <w:sz w:val="21"/>
                      <w:szCs w:val="21"/>
                    </w:rPr>
                    <w:t>3</w:t>
                  </w:r>
                  <w:r>
                    <w:rPr>
                      <w:rFonts w:eastAsia="仿宋_GB2312"/>
                      <w:sz w:val="21"/>
                      <w:szCs w:val="21"/>
                    </w:rPr>
                    <w:t>×</w:t>
                  </w:r>
                  <w:r>
                    <w:rPr>
                      <w:rFonts w:eastAsia="仿宋_GB2312"/>
                      <w:snapToGrid w:val="0"/>
                      <w:color w:val="000000" w:themeColor="text1"/>
                      <w:sz w:val="21"/>
                      <w:szCs w:val="21"/>
                    </w:rPr>
                    <w:t>0.26m</w:t>
                  </w:r>
                  <w:r>
                    <w:rPr>
                      <w:rFonts w:eastAsia="仿宋_GB2312"/>
                      <w:snapToGrid w:val="0"/>
                      <w:color w:val="000000" w:themeColor="text1"/>
                      <w:sz w:val="21"/>
                      <w:szCs w:val="21"/>
                      <w:vertAlign w:val="superscript"/>
                    </w:rPr>
                    <w:t>3</w:t>
                  </w:r>
                </w:p>
              </w:tc>
              <w:tc>
                <w:tcPr>
                  <w:tcW w:w="955" w:type="pct"/>
                  <w:tcBorders>
                    <w:tl2br w:val="nil"/>
                    <w:tr2bl w:val="nil"/>
                  </w:tcBorders>
                  <w:vAlign w:val="center"/>
                </w:tcPr>
                <w:p w14:paraId="2B0C1CBA">
                  <w:pPr>
                    <w:pStyle w:val="56"/>
                    <w:spacing w:beforeLines="0" w:afterLines="0" w:line="240" w:lineRule="auto"/>
                    <w:rPr>
                      <w:rFonts w:ascii="Times New Roman" w:eastAsia="仿宋_GB2312"/>
                      <w:sz w:val="21"/>
                      <w:szCs w:val="21"/>
                    </w:rPr>
                  </w:pPr>
                  <w:r>
                    <w:rPr>
                      <w:rFonts w:ascii="Times New Roman" w:eastAsia="仿宋_GB2312"/>
                      <w:sz w:val="21"/>
                      <w:szCs w:val="21"/>
                    </w:rPr>
                    <w:t>0</w:t>
                  </w:r>
                </w:p>
              </w:tc>
              <w:tc>
                <w:tcPr>
                  <w:tcW w:w="958" w:type="pct"/>
                  <w:tcBorders>
                    <w:tl2br w:val="nil"/>
                    <w:tr2bl w:val="nil"/>
                  </w:tcBorders>
                  <w:shd w:val="clear" w:color="auto" w:fill="auto"/>
                  <w:vAlign w:val="center"/>
                </w:tcPr>
                <w:p w14:paraId="3BF897ED">
                  <w:pPr>
                    <w:jc w:val="center"/>
                    <w:rPr>
                      <w:rFonts w:eastAsia="仿宋_GB2312"/>
                      <w:sz w:val="21"/>
                      <w:szCs w:val="21"/>
                    </w:rPr>
                  </w:pPr>
                  <w:r>
                    <w:rPr>
                      <w:rFonts w:eastAsia="仿宋_GB2312"/>
                      <w:color w:val="000000"/>
                      <w:sz w:val="21"/>
                      <w:szCs w:val="21"/>
                    </w:rPr>
                    <w:t>3</w:t>
                  </w:r>
                  <w:r>
                    <w:rPr>
                      <w:rFonts w:eastAsia="仿宋_GB2312"/>
                      <w:sz w:val="21"/>
                      <w:szCs w:val="21"/>
                    </w:rPr>
                    <w:t>×</w:t>
                  </w:r>
                  <w:r>
                    <w:rPr>
                      <w:rFonts w:eastAsia="仿宋_GB2312"/>
                      <w:snapToGrid w:val="0"/>
                      <w:color w:val="000000" w:themeColor="text1"/>
                      <w:sz w:val="21"/>
                      <w:szCs w:val="21"/>
                    </w:rPr>
                    <w:t>0.26m</w:t>
                  </w:r>
                  <w:r>
                    <w:rPr>
                      <w:rFonts w:eastAsia="仿宋_GB2312"/>
                      <w:snapToGrid w:val="0"/>
                      <w:color w:val="000000" w:themeColor="text1"/>
                      <w:sz w:val="21"/>
                      <w:szCs w:val="21"/>
                      <w:vertAlign w:val="superscript"/>
                    </w:rPr>
                    <w:t>3</w:t>
                  </w:r>
                </w:p>
              </w:tc>
              <w:tc>
                <w:tcPr>
                  <w:tcW w:w="1010" w:type="pct"/>
                  <w:tcBorders>
                    <w:tl2br w:val="nil"/>
                    <w:tr2bl w:val="nil"/>
                  </w:tcBorders>
                  <w:vAlign w:val="center"/>
                </w:tcPr>
                <w:p w14:paraId="1CE4870F">
                  <w:pPr>
                    <w:adjustRightInd w:val="0"/>
                    <w:snapToGrid w:val="0"/>
                    <w:jc w:val="center"/>
                    <w:rPr>
                      <w:rFonts w:eastAsia="仿宋_GB2312"/>
                      <w:sz w:val="21"/>
                      <w:szCs w:val="21"/>
                    </w:rPr>
                  </w:pPr>
                  <w:r>
                    <w:rPr>
                      <w:rFonts w:eastAsia="仿宋_GB2312"/>
                      <w:sz w:val="21"/>
                      <w:szCs w:val="21"/>
                    </w:rPr>
                    <w:t>/</w:t>
                  </w:r>
                </w:p>
              </w:tc>
            </w:tr>
            <w:tr w14:paraId="6D98614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39" w:type="pct"/>
                  <w:vMerge w:val="continue"/>
                  <w:tcBorders>
                    <w:tl2br w:val="nil"/>
                    <w:tr2bl w:val="nil"/>
                  </w:tcBorders>
                  <w:vAlign w:val="center"/>
                </w:tcPr>
                <w:p w14:paraId="0CE8049B">
                  <w:pPr>
                    <w:adjustRightInd w:val="0"/>
                    <w:snapToGrid w:val="0"/>
                    <w:jc w:val="center"/>
                    <w:rPr>
                      <w:rFonts w:eastAsia="仿宋_GB2312"/>
                      <w:kern w:val="0"/>
                      <w:sz w:val="21"/>
                      <w:szCs w:val="21"/>
                    </w:rPr>
                  </w:pPr>
                </w:p>
              </w:tc>
              <w:tc>
                <w:tcPr>
                  <w:tcW w:w="780" w:type="pct"/>
                  <w:gridSpan w:val="2"/>
                  <w:tcBorders>
                    <w:tl2br w:val="nil"/>
                    <w:tr2bl w:val="nil"/>
                  </w:tcBorders>
                  <w:shd w:val="clear" w:color="auto" w:fill="auto"/>
                  <w:vAlign w:val="center"/>
                </w:tcPr>
                <w:p w14:paraId="40A1393A">
                  <w:pPr>
                    <w:jc w:val="center"/>
                    <w:rPr>
                      <w:rFonts w:eastAsia="仿宋_GB2312"/>
                      <w:sz w:val="21"/>
                      <w:szCs w:val="21"/>
                    </w:rPr>
                  </w:pPr>
                  <w:r>
                    <w:rPr>
                      <w:rStyle w:val="61"/>
                      <w:rFonts w:eastAsia="仿宋_GB2312"/>
                      <w:sz w:val="21"/>
                      <w:szCs w:val="21"/>
                    </w:rPr>
                    <w:t>石灰料仓</w:t>
                  </w:r>
                </w:p>
              </w:tc>
              <w:tc>
                <w:tcPr>
                  <w:tcW w:w="955" w:type="pct"/>
                  <w:tcBorders>
                    <w:tl2br w:val="nil"/>
                    <w:tr2bl w:val="nil"/>
                  </w:tcBorders>
                  <w:shd w:val="clear" w:color="auto" w:fill="auto"/>
                  <w:vAlign w:val="center"/>
                </w:tcPr>
                <w:p w14:paraId="2C718A2A">
                  <w:pPr>
                    <w:jc w:val="center"/>
                    <w:rPr>
                      <w:rFonts w:eastAsia="仿宋_GB2312"/>
                      <w:sz w:val="21"/>
                      <w:szCs w:val="21"/>
                    </w:rPr>
                  </w:pPr>
                  <w:r>
                    <w:rPr>
                      <w:rFonts w:eastAsia="仿宋_GB2312"/>
                      <w:color w:val="000000"/>
                      <w:sz w:val="21"/>
                      <w:szCs w:val="21"/>
                    </w:rPr>
                    <w:t>1</w:t>
                  </w:r>
                  <w:r>
                    <w:rPr>
                      <w:rFonts w:eastAsia="仿宋_GB2312"/>
                      <w:sz w:val="21"/>
                      <w:szCs w:val="21"/>
                    </w:rPr>
                    <w:t>×</w:t>
                  </w:r>
                  <w:r>
                    <w:rPr>
                      <w:rFonts w:eastAsia="仿宋_GB2312"/>
                      <w:snapToGrid w:val="0"/>
                      <w:color w:val="000000" w:themeColor="text1"/>
                      <w:sz w:val="21"/>
                      <w:szCs w:val="21"/>
                    </w:rPr>
                    <w:t>294.38m</w:t>
                  </w:r>
                  <w:r>
                    <w:rPr>
                      <w:rFonts w:eastAsia="仿宋_GB2312"/>
                      <w:snapToGrid w:val="0"/>
                      <w:color w:val="000000" w:themeColor="text1"/>
                      <w:sz w:val="21"/>
                      <w:szCs w:val="21"/>
                      <w:vertAlign w:val="superscript"/>
                    </w:rPr>
                    <w:t>3</w:t>
                  </w:r>
                </w:p>
              </w:tc>
              <w:tc>
                <w:tcPr>
                  <w:tcW w:w="955" w:type="pct"/>
                  <w:tcBorders>
                    <w:tl2br w:val="nil"/>
                    <w:tr2bl w:val="nil"/>
                  </w:tcBorders>
                  <w:vAlign w:val="center"/>
                </w:tcPr>
                <w:p w14:paraId="7B6B5B12">
                  <w:pPr>
                    <w:pStyle w:val="56"/>
                    <w:spacing w:beforeLines="0" w:afterLines="0" w:line="240" w:lineRule="auto"/>
                    <w:rPr>
                      <w:rFonts w:ascii="Times New Roman" w:eastAsia="仿宋_GB2312"/>
                      <w:sz w:val="21"/>
                      <w:szCs w:val="21"/>
                    </w:rPr>
                  </w:pPr>
                  <w:r>
                    <w:rPr>
                      <w:rFonts w:ascii="Times New Roman" w:eastAsia="仿宋_GB2312"/>
                      <w:sz w:val="21"/>
                      <w:szCs w:val="21"/>
                    </w:rPr>
                    <w:t>0</w:t>
                  </w:r>
                </w:p>
              </w:tc>
              <w:tc>
                <w:tcPr>
                  <w:tcW w:w="958" w:type="pct"/>
                  <w:tcBorders>
                    <w:tl2br w:val="nil"/>
                    <w:tr2bl w:val="nil"/>
                  </w:tcBorders>
                  <w:shd w:val="clear" w:color="auto" w:fill="auto"/>
                  <w:vAlign w:val="center"/>
                </w:tcPr>
                <w:p w14:paraId="64567614">
                  <w:pPr>
                    <w:jc w:val="center"/>
                    <w:rPr>
                      <w:rFonts w:eastAsia="仿宋_GB2312"/>
                      <w:sz w:val="21"/>
                      <w:szCs w:val="21"/>
                    </w:rPr>
                  </w:pPr>
                  <w:r>
                    <w:rPr>
                      <w:rFonts w:eastAsia="仿宋_GB2312"/>
                      <w:color w:val="000000"/>
                      <w:sz w:val="21"/>
                      <w:szCs w:val="21"/>
                    </w:rPr>
                    <w:t>1</w:t>
                  </w:r>
                  <w:r>
                    <w:rPr>
                      <w:rFonts w:eastAsia="仿宋_GB2312"/>
                      <w:sz w:val="21"/>
                      <w:szCs w:val="21"/>
                    </w:rPr>
                    <w:t>×</w:t>
                  </w:r>
                  <w:r>
                    <w:rPr>
                      <w:rFonts w:eastAsia="仿宋_GB2312"/>
                      <w:snapToGrid w:val="0"/>
                      <w:color w:val="000000" w:themeColor="text1"/>
                      <w:sz w:val="21"/>
                      <w:szCs w:val="21"/>
                    </w:rPr>
                    <w:t>294.38m</w:t>
                  </w:r>
                  <w:r>
                    <w:rPr>
                      <w:rFonts w:eastAsia="仿宋_GB2312"/>
                      <w:snapToGrid w:val="0"/>
                      <w:color w:val="000000" w:themeColor="text1"/>
                      <w:sz w:val="21"/>
                      <w:szCs w:val="21"/>
                      <w:vertAlign w:val="superscript"/>
                    </w:rPr>
                    <w:t>3</w:t>
                  </w:r>
                </w:p>
              </w:tc>
              <w:tc>
                <w:tcPr>
                  <w:tcW w:w="1010" w:type="pct"/>
                  <w:tcBorders>
                    <w:tl2br w:val="nil"/>
                    <w:tr2bl w:val="nil"/>
                  </w:tcBorders>
                  <w:vAlign w:val="center"/>
                </w:tcPr>
                <w:p w14:paraId="55BCD520">
                  <w:pPr>
                    <w:adjustRightInd w:val="0"/>
                    <w:snapToGrid w:val="0"/>
                    <w:jc w:val="center"/>
                    <w:rPr>
                      <w:rFonts w:eastAsia="仿宋_GB2312"/>
                      <w:sz w:val="21"/>
                      <w:szCs w:val="21"/>
                    </w:rPr>
                  </w:pPr>
                  <w:r>
                    <w:rPr>
                      <w:rFonts w:eastAsia="仿宋_GB2312"/>
                      <w:sz w:val="21"/>
                      <w:szCs w:val="21"/>
                    </w:rPr>
                    <w:t>/</w:t>
                  </w:r>
                </w:p>
              </w:tc>
            </w:tr>
            <w:tr w14:paraId="5FB803F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39" w:type="pct"/>
                  <w:vMerge w:val="continue"/>
                  <w:tcBorders>
                    <w:tl2br w:val="nil"/>
                    <w:tr2bl w:val="nil"/>
                  </w:tcBorders>
                  <w:vAlign w:val="center"/>
                </w:tcPr>
                <w:p w14:paraId="659A7287">
                  <w:pPr>
                    <w:adjustRightInd w:val="0"/>
                    <w:snapToGrid w:val="0"/>
                    <w:jc w:val="center"/>
                    <w:rPr>
                      <w:rFonts w:eastAsia="仿宋_GB2312"/>
                      <w:kern w:val="0"/>
                      <w:sz w:val="21"/>
                      <w:szCs w:val="21"/>
                    </w:rPr>
                  </w:pPr>
                </w:p>
              </w:tc>
              <w:tc>
                <w:tcPr>
                  <w:tcW w:w="780" w:type="pct"/>
                  <w:gridSpan w:val="2"/>
                  <w:tcBorders>
                    <w:tl2br w:val="nil"/>
                    <w:tr2bl w:val="nil"/>
                  </w:tcBorders>
                  <w:shd w:val="clear" w:color="auto" w:fill="auto"/>
                  <w:vAlign w:val="center"/>
                </w:tcPr>
                <w:p w14:paraId="26D7B5F6">
                  <w:pPr>
                    <w:jc w:val="center"/>
                    <w:rPr>
                      <w:rFonts w:eastAsia="仿宋_GB2312"/>
                      <w:sz w:val="21"/>
                      <w:szCs w:val="21"/>
                    </w:rPr>
                  </w:pPr>
                  <w:r>
                    <w:rPr>
                      <w:rStyle w:val="61"/>
                      <w:rFonts w:eastAsia="仿宋_GB2312"/>
                      <w:sz w:val="21"/>
                      <w:szCs w:val="21"/>
                    </w:rPr>
                    <w:t>石灰乳桶</w:t>
                  </w:r>
                </w:p>
              </w:tc>
              <w:tc>
                <w:tcPr>
                  <w:tcW w:w="955" w:type="pct"/>
                  <w:tcBorders>
                    <w:tl2br w:val="nil"/>
                    <w:tr2bl w:val="nil"/>
                  </w:tcBorders>
                  <w:shd w:val="clear" w:color="auto" w:fill="auto"/>
                  <w:vAlign w:val="center"/>
                </w:tcPr>
                <w:p w14:paraId="2A19B5F6">
                  <w:pPr>
                    <w:jc w:val="center"/>
                    <w:rPr>
                      <w:rFonts w:eastAsia="仿宋_GB2312"/>
                      <w:sz w:val="21"/>
                      <w:szCs w:val="21"/>
                    </w:rPr>
                  </w:pPr>
                  <w:r>
                    <w:rPr>
                      <w:rFonts w:eastAsia="仿宋_GB2312"/>
                      <w:color w:val="000000"/>
                      <w:sz w:val="21"/>
                      <w:szCs w:val="21"/>
                    </w:rPr>
                    <w:t>2</w:t>
                  </w:r>
                  <w:r>
                    <w:rPr>
                      <w:rFonts w:eastAsia="仿宋_GB2312"/>
                      <w:sz w:val="21"/>
                      <w:szCs w:val="21"/>
                    </w:rPr>
                    <w:t>×</w:t>
                  </w:r>
                  <w:r>
                    <w:rPr>
                      <w:rFonts w:eastAsia="仿宋_GB2312"/>
                      <w:snapToGrid w:val="0"/>
                      <w:color w:val="000000" w:themeColor="text1"/>
                      <w:sz w:val="21"/>
                      <w:szCs w:val="21"/>
                    </w:rPr>
                    <w:t>63.59m</w:t>
                  </w:r>
                  <w:r>
                    <w:rPr>
                      <w:rFonts w:eastAsia="仿宋_GB2312"/>
                      <w:snapToGrid w:val="0"/>
                      <w:color w:val="000000" w:themeColor="text1"/>
                      <w:sz w:val="21"/>
                      <w:szCs w:val="21"/>
                      <w:vertAlign w:val="superscript"/>
                    </w:rPr>
                    <w:t>3</w:t>
                  </w:r>
                </w:p>
              </w:tc>
              <w:tc>
                <w:tcPr>
                  <w:tcW w:w="955" w:type="pct"/>
                  <w:tcBorders>
                    <w:tl2br w:val="nil"/>
                    <w:tr2bl w:val="nil"/>
                  </w:tcBorders>
                  <w:vAlign w:val="center"/>
                </w:tcPr>
                <w:p w14:paraId="1AA10167">
                  <w:pPr>
                    <w:pStyle w:val="56"/>
                    <w:spacing w:beforeLines="0" w:afterLines="0" w:line="240" w:lineRule="auto"/>
                    <w:rPr>
                      <w:rFonts w:ascii="Times New Roman" w:eastAsia="仿宋_GB2312"/>
                      <w:sz w:val="21"/>
                      <w:szCs w:val="21"/>
                    </w:rPr>
                  </w:pPr>
                  <w:r>
                    <w:rPr>
                      <w:rFonts w:ascii="Times New Roman" w:eastAsia="仿宋_GB2312"/>
                      <w:sz w:val="21"/>
                      <w:szCs w:val="21"/>
                    </w:rPr>
                    <w:t>0</w:t>
                  </w:r>
                </w:p>
              </w:tc>
              <w:tc>
                <w:tcPr>
                  <w:tcW w:w="958" w:type="pct"/>
                  <w:tcBorders>
                    <w:tl2br w:val="nil"/>
                    <w:tr2bl w:val="nil"/>
                  </w:tcBorders>
                  <w:shd w:val="clear" w:color="auto" w:fill="auto"/>
                  <w:vAlign w:val="center"/>
                </w:tcPr>
                <w:p w14:paraId="0A6274E2">
                  <w:pPr>
                    <w:jc w:val="center"/>
                    <w:rPr>
                      <w:rFonts w:eastAsia="仿宋_GB2312"/>
                      <w:sz w:val="21"/>
                      <w:szCs w:val="21"/>
                    </w:rPr>
                  </w:pPr>
                  <w:r>
                    <w:rPr>
                      <w:rFonts w:eastAsia="仿宋_GB2312"/>
                      <w:color w:val="000000"/>
                      <w:sz w:val="21"/>
                      <w:szCs w:val="21"/>
                    </w:rPr>
                    <w:t>2</w:t>
                  </w:r>
                  <w:r>
                    <w:rPr>
                      <w:rFonts w:eastAsia="仿宋_GB2312"/>
                      <w:sz w:val="21"/>
                      <w:szCs w:val="21"/>
                    </w:rPr>
                    <w:t>×</w:t>
                  </w:r>
                  <w:r>
                    <w:rPr>
                      <w:rFonts w:eastAsia="仿宋_GB2312"/>
                      <w:snapToGrid w:val="0"/>
                      <w:color w:val="000000" w:themeColor="text1"/>
                      <w:sz w:val="21"/>
                      <w:szCs w:val="21"/>
                    </w:rPr>
                    <w:t>63.59m</w:t>
                  </w:r>
                  <w:r>
                    <w:rPr>
                      <w:rFonts w:eastAsia="仿宋_GB2312"/>
                      <w:snapToGrid w:val="0"/>
                      <w:color w:val="000000" w:themeColor="text1"/>
                      <w:sz w:val="21"/>
                      <w:szCs w:val="21"/>
                      <w:vertAlign w:val="superscript"/>
                    </w:rPr>
                    <w:t>3</w:t>
                  </w:r>
                </w:p>
              </w:tc>
              <w:tc>
                <w:tcPr>
                  <w:tcW w:w="1010" w:type="pct"/>
                  <w:tcBorders>
                    <w:tl2br w:val="nil"/>
                    <w:tr2bl w:val="nil"/>
                  </w:tcBorders>
                  <w:vAlign w:val="center"/>
                </w:tcPr>
                <w:p w14:paraId="0290E3AE">
                  <w:pPr>
                    <w:adjustRightInd w:val="0"/>
                    <w:snapToGrid w:val="0"/>
                    <w:jc w:val="center"/>
                    <w:rPr>
                      <w:rFonts w:eastAsia="仿宋_GB2312"/>
                      <w:sz w:val="21"/>
                      <w:szCs w:val="21"/>
                    </w:rPr>
                  </w:pPr>
                  <w:r>
                    <w:rPr>
                      <w:rFonts w:eastAsia="仿宋_GB2312"/>
                      <w:sz w:val="21"/>
                      <w:szCs w:val="21"/>
                    </w:rPr>
                    <w:t>/</w:t>
                  </w:r>
                </w:p>
              </w:tc>
            </w:tr>
            <w:tr w14:paraId="0824F33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39" w:type="pct"/>
                  <w:vMerge w:val="continue"/>
                  <w:tcBorders>
                    <w:tl2br w:val="nil"/>
                    <w:tr2bl w:val="nil"/>
                  </w:tcBorders>
                  <w:vAlign w:val="center"/>
                </w:tcPr>
                <w:p w14:paraId="10D7C672">
                  <w:pPr>
                    <w:adjustRightInd w:val="0"/>
                    <w:snapToGrid w:val="0"/>
                    <w:jc w:val="center"/>
                    <w:rPr>
                      <w:rFonts w:eastAsia="仿宋_GB2312"/>
                      <w:kern w:val="0"/>
                      <w:sz w:val="21"/>
                      <w:szCs w:val="21"/>
                    </w:rPr>
                  </w:pPr>
                </w:p>
              </w:tc>
              <w:tc>
                <w:tcPr>
                  <w:tcW w:w="780" w:type="pct"/>
                  <w:gridSpan w:val="2"/>
                  <w:tcBorders>
                    <w:tl2br w:val="nil"/>
                    <w:tr2bl w:val="nil"/>
                  </w:tcBorders>
                  <w:shd w:val="clear" w:color="auto" w:fill="auto"/>
                  <w:vAlign w:val="center"/>
                </w:tcPr>
                <w:p w14:paraId="76EBF9E5">
                  <w:pPr>
                    <w:jc w:val="center"/>
                    <w:rPr>
                      <w:rFonts w:eastAsia="仿宋_GB2312"/>
                      <w:sz w:val="21"/>
                      <w:szCs w:val="21"/>
                    </w:rPr>
                  </w:pPr>
                  <w:r>
                    <w:rPr>
                      <w:rStyle w:val="61"/>
                      <w:rFonts w:eastAsia="仿宋_GB2312"/>
                      <w:sz w:val="21"/>
                      <w:szCs w:val="21"/>
                    </w:rPr>
                    <w:t>纯碱料仓</w:t>
                  </w:r>
                </w:p>
              </w:tc>
              <w:tc>
                <w:tcPr>
                  <w:tcW w:w="955" w:type="pct"/>
                  <w:tcBorders>
                    <w:tl2br w:val="nil"/>
                    <w:tr2bl w:val="nil"/>
                  </w:tcBorders>
                  <w:shd w:val="clear" w:color="auto" w:fill="auto"/>
                  <w:vAlign w:val="center"/>
                </w:tcPr>
                <w:p w14:paraId="51D68F0B">
                  <w:pPr>
                    <w:jc w:val="center"/>
                    <w:rPr>
                      <w:rFonts w:eastAsia="仿宋_GB2312"/>
                      <w:sz w:val="21"/>
                      <w:szCs w:val="21"/>
                    </w:rPr>
                  </w:pPr>
                  <w:r>
                    <w:rPr>
                      <w:rFonts w:eastAsia="仿宋_GB2312"/>
                      <w:color w:val="000000"/>
                      <w:sz w:val="21"/>
                      <w:szCs w:val="21"/>
                    </w:rPr>
                    <w:t>1</w:t>
                  </w:r>
                  <w:r>
                    <w:rPr>
                      <w:rFonts w:eastAsia="仿宋_GB2312"/>
                      <w:sz w:val="21"/>
                      <w:szCs w:val="21"/>
                    </w:rPr>
                    <w:t>×</w:t>
                  </w:r>
                  <w:r>
                    <w:rPr>
                      <w:rFonts w:eastAsia="仿宋_GB2312"/>
                      <w:snapToGrid w:val="0"/>
                      <w:color w:val="000000" w:themeColor="text1"/>
                      <w:sz w:val="21"/>
                      <w:szCs w:val="21"/>
                    </w:rPr>
                    <w:t>294.38m</w:t>
                  </w:r>
                  <w:r>
                    <w:rPr>
                      <w:rFonts w:eastAsia="仿宋_GB2312"/>
                      <w:snapToGrid w:val="0"/>
                      <w:color w:val="000000" w:themeColor="text1"/>
                      <w:sz w:val="21"/>
                      <w:szCs w:val="21"/>
                      <w:vertAlign w:val="superscript"/>
                    </w:rPr>
                    <w:t>3</w:t>
                  </w:r>
                </w:p>
              </w:tc>
              <w:tc>
                <w:tcPr>
                  <w:tcW w:w="955" w:type="pct"/>
                  <w:tcBorders>
                    <w:tl2br w:val="nil"/>
                    <w:tr2bl w:val="nil"/>
                  </w:tcBorders>
                  <w:vAlign w:val="center"/>
                </w:tcPr>
                <w:p w14:paraId="38E380F4">
                  <w:pPr>
                    <w:pStyle w:val="56"/>
                    <w:spacing w:beforeLines="0" w:afterLines="0" w:line="240" w:lineRule="auto"/>
                    <w:rPr>
                      <w:rFonts w:ascii="Times New Roman" w:eastAsia="仿宋_GB2312"/>
                      <w:sz w:val="21"/>
                      <w:szCs w:val="21"/>
                    </w:rPr>
                  </w:pPr>
                  <w:r>
                    <w:rPr>
                      <w:rFonts w:ascii="Times New Roman" w:eastAsia="仿宋_GB2312"/>
                      <w:sz w:val="21"/>
                      <w:szCs w:val="21"/>
                    </w:rPr>
                    <w:t>0</w:t>
                  </w:r>
                </w:p>
              </w:tc>
              <w:tc>
                <w:tcPr>
                  <w:tcW w:w="958" w:type="pct"/>
                  <w:tcBorders>
                    <w:tl2br w:val="nil"/>
                    <w:tr2bl w:val="nil"/>
                  </w:tcBorders>
                  <w:shd w:val="clear" w:color="auto" w:fill="auto"/>
                  <w:vAlign w:val="center"/>
                </w:tcPr>
                <w:p w14:paraId="1EC1F038">
                  <w:pPr>
                    <w:jc w:val="center"/>
                    <w:rPr>
                      <w:rFonts w:eastAsia="仿宋_GB2312"/>
                      <w:sz w:val="21"/>
                      <w:szCs w:val="21"/>
                    </w:rPr>
                  </w:pPr>
                  <w:r>
                    <w:rPr>
                      <w:rFonts w:eastAsia="仿宋_GB2312"/>
                      <w:color w:val="000000"/>
                      <w:sz w:val="21"/>
                      <w:szCs w:val="21"/>
                    </w:rPr>
                    <w:t>1</w:t>
                  </w:r>
                  <w:r>
                    <w:rPr>
                      <w:rFonts w:eastAsia="仿宋_GB2312"/>
                      <w:sz w:val="21"/>
                      <w:szCs w:val="21"/>
                    </w:rPr>
                    <w:t>×</w:t>
                  </w:r>
                  <w:r>
                    <w:rPr>
                      <w:rFonts w:eastAsia="仿宋_GB2312"/>
                      <w:snapToGrid w:val="0"/>
                      <w:color w:val="000000" w:themeColor="text1"/>
                      <w:sz w:val="21"/>
                      <w:szCs w:val="21"/>
                    </w:rPr>
                    <w:t>294.38m</w:t>
                  </w:r>
                  <w:r>
                    <w:rPr>
                      <w:rFonts w:eastAsia="仿宋_GB2312"/>
                      <w:snapToGrid w:val="0"/>
                      <w:color w:val="000000" w:themeColor="text1"/>
                      <w:sz w:val="21"/>
                      <w:szCs w:val="21"/>
                      <w:vertAlign w:val="superscript"/>
                    </w:rPr>
                    <w:t>3</w:t>
                  </w:r>
                </w:p>
              </w:tc>
              <w:tc>
                <w:tcPr>
                  <w:tcW w:w="1010" w:type="pct"/>
                  <w:tcBorders>
                    <w:tl2br w:val="nil"/>
                    <w:tr2bl w:val="nil"/>
                  </w:tcBorders>
                  <w:vAlign w:val="center"/>
                </w:tcPr>
                <w:p w14:paraId="2396E836">
                  <w:pPr>
                    <w:adjustRightInd w:val="0"/>
                    <w:snapToGrid w:val="0"/>
                    <w:jc w:val="center"/>
                    <w:rPr>
                      <w:rFonts w:eastAsia="仿宋_GB2312"/>
                      <w:sz w:val="21"/>
                      <w:szCs w:val="21"/>
                    </w:rPr>
                  </w:pPr>
                  <w:r>
                    <w:rPr>
                      <w:rFonts w:eastAsia="仿宋_GB2312"/>
                      <w:sz w:val="21"/>
                      <w:szCs w:val="21"/>
                    </w:rPr>
                    <w:t>/</w:t>
                  </w:r>
                </w:p>
              </w:tc>
            </w:tr>
            <w:tr w14:paraId="22A0030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39" w:type="pct"/>
                  <w:vMerge w:val="continue"/>
                  <w:tcBorders>
                    <w:tl2br w:val="nil"/>
                    <w:tr2bl w:val="nil"/>
                  </w:tcBorders>
                  <w:vAlign w:val="center"/>
                </w:tcPr>
                <w:p w14:paraId="2C5E3F67">
                  <w:pPr>
                    <w:adjustRightInd w:val="0"/>
                    <w:snapToGrid w:val="0"/>
                    <w:jc w:val="center"/>
                    <w:rPr>
                      <w:rFonts w:eastAsia="仿宋_GB2312"/>
                      <w:kern w:val="0"/>
                      <w:sz w:val="21"/>
                      <w:szCs w:val="21"/>
                    </w:rPr>
                  </w:pPr>
                </w:p>
              </w:tc>
              <w:tc>
                <w:tcPr>
                  <w:tcW w:w="780" w:type="pct"/>
                  <w:gridSpan w:val="2"/>
                  <w:tcBorders>
                    <w:tl2br w:val="nil"/>
                    <w:tr2bl w:val="nil"/>
                  </w:tcBorders>
                  <w:shd w:val="clear" w:color="auto" w:fill="auto"/>
                  <w:vAlign w:val="center"/>
                </w:tcPr>
                <w:p w14:paraId="64B3CAB6">
                  <w:pPr>
                    <w:jc w:val="center"/>
                    <w:rPr>
                      <w:rFonts w:eastAsia="仿宋_GB2312"/>
                      <w:sz w:val="21"/>
                      <w:szCs w:val="21"/>
                    </w:rPr>
                  </w:pPr>
                  <w:r>
                    <w:rPr>
                      <w:rStyle w:val="61"/>
                      <w:rFonts w:eastAsia="仿宋_GB2312"/>
                      <w:sz w:val="21"/>
                      <w:szCs w:val="21"/>
                    </w:rPr>
                    <w:t>纯碱桶</w:t>
                  </w:r>
                </w:p>
              </w:tc>
              <w:tc>
                <w:tcPr>
                  <w:tcW w:w="955" w:type="pct"/>
                  <w:tcBorders>
                    <w:tl2br w:val="nil"/>
                    <w:tr2bl w:val="nil"/>
                  </w:tcBorders>
                  <w:shd w:val="clear" w:color="auto" w:fill="auto"/>
                  <w:vAlign w:val="center"/>
                </w:tcPr>
                <w:p w14:paraId="63F6DB2C">
                  <w:pPr>
                    <w:jc w:val="center"/>
                    <w:rPr>
                      <w:rFonts w:eastAsia="仿宋_GB2312"/>
                      <w:sz w:val="21"/>
                      <w:szCs w:val="21"/>
                    </w:rPr>
                  </w:pPr>
                  <w:r>
                    <w:rPr>
                      <w:rFonts w:eastAsia="仿宋_GB2312"/>
                      <w:color w:val="000000"/>
                      <w:sz w:val="21"/>
                      <w:szCs w:val="21"/>
                    </w:rPr>
                    <w:t>2</w:t>
                  </w:r>
                  <w:r>
                    <w:rPr>
                      <w:rFonts w:eastAsia="仿宋_GB2312"/>
                      <w:sz w:val="21"/>
                      <w:szCs w:val="21"/>
                    </w:rPr>
                    <w:t>×</w:t>
                  </w:r>
                  <w:r>
                    <w:rPr>
                      <w:rFonts w:eastAsia="仿宋_GB2312"/>
                      <w:snapToGrid w:val="0"/>
                      <w:color w:val="000000" w:themeColor="text1"/>
                      <w:sz w:val="21"/>
                      <w:szCs w:val="21"/>
                    </w:rPr>
                    <w:t>43.96m</w:t>
                  </w:r>
                  <w:r>
                    <w:rPr>
                      <w:rFonts w:eastAsia="仿宋_GB2312"/>
                      <w:snapToGrid w:val="0"/>
                      <w:color w:val="000000" w:themeColor="text1"/>
                      <w:sz w:val="21"/>
                      <w:szCs w:val="21"/>
                      <w:vertAlign w:val="superscript"/>
                    </w:rPr>
                    <w:t>3</w:t>
                  </w:r>
                </w:p>
              </w:tc>
              <w:tc>
                <w:tcPr>
                  <w:tcW w:w="955" w:type="pct"/>
                  <w:tcBorders>
                    <w:tl2br w:val="nil"/>
                    <w:tr2bl w:val="nil"/>
                  </w:tcBorders>
                  <w:vAlign w:val="center"/>
                </w:tcPr>
                <w:p w14:paraId="03EC3E95">
                  <w:pPr>
                    <w:pStyle w:val="56"/>
                    <w:spacing w:beforeLines="0" w:afterLines="0" w:line="240" w:lineRule="auto"/>
                    <w:rPr>
                      <w:rFonts w:ascii="Times New Roman" w:eastAsia="仿宋_GB2312"/>
                      <w:sz w:val="21"/>
                      <w:szCs w:val="21"/>
                    </w:rPr>
                  </w:pPr>
                  <w:r>
                    <w:rPr>
                      <w:rFonts w:ascii="Times New Roman" w:eastAsia="仿宋_GB2312"/>
                      <w:sz w:val="21"/>
                      <w:szCs w:val="21"/>
                    </w:rPr>
                    <w:t>0</w:t>
                  </w:r>
                </w:p>
              </w:tc>
              <w:tc>
                <w:tcPr>
                  <w:tcW w:w="958" w:type="pct"/>
                  <w:tcBorders>
                    <w:tl2br w:val="nil"/>
                    <w:tr2bl w:val="nil"/>
                  </w:tcBorders>
                  <w:shd w:val="clear" w:color="auto" w:fill="auto"/>
                  <w:vAlign w:val="center"/>
                </w:tcPr>
                <w:p w14:paraId="5A6D5E56">
                  <w:pPr>
                    <w:jc w:val="center"/>
                    <w:rPr>
                      <w:rFonts w:eastAsia="仿宋_GB2312"/>
                      <w:sz w:val="21"/>
                      <w:szCs w:val="21"/>
                    </w:rPr>
                  </w:pPr>
                  <w:r>
                    <w:rPr>
                      <w:rFonts w:eastAsia="仿宋_GB2312"/>
                      <w:color w:val="000000"/>
                      <w:sz w:val="21"/>
                      <w:szCs w:val="21"/>
                    </w:rPr>
                    <w:t>2</w:t>
                  </w:r>
                  <w:r>
                    <w:rPr>
                      <w:rFonts w:eastAsia="仿宋_GB2312"/>
                      <w:sz w:val="21"/>
                      <w:szCs w:val="21"/>
                    </w:rPr>
                    <w:t>×</w:t>
                  </w:r>
                  <w:r>
                    <w:rPr>
                      <w:rFonts w:eastAsia="仿宋_GB2312"/>
                      <w:snapToGrid w:val="0"/>
                      <w:color w:val="000000" w:themeColor="text1"/>
                      <w:sz w:val="21"/>
                      <w:szCs w:val="21"/>
                    </w:rPr>
                    <w:t>43.96m</w:t>
                  </w:r>
                  <w:r>
                    <w:rPr>
                      <w:rFonts w:eastAsia="仿宋_GB2312"/>
                      <w:snapToGrid w:val="0"/>
                      <w:color w:val="000000" w:themeColor="text1"/>
                      <w:sz w:val="21"/>
                      <w:szCs w:val="21"/>
                      <w:vertAlign w:val="superscript"/>
                    </w:rPr>
                    <w:t>3</w:t>
                  </w:r>
                </w:p>
              </w:tc>
              <w:tc>
                <w:tcPr>
                  <w:tcW w:w="1010" w:type="pct"/>
                  <w:tcBorders>
                    <w:tl2br w:val="nil"/>
                    <w:tr2bl w:val="nil"/>
                  </w:tcBorders>
                  <w:vAlign w:val="center"/>
                </w:tcPr>
                <w:p w14:paraId="22DBB2AD">
                  <w:pPr>
                    <w:adjustRightInd w:val="0"/>
                    <w:snapToGrid w:val="0"/>
                    <w:jc w:val="center"/>
                    <w:rPr>
                      <w:rFonts w:eastAsia="仿宋_GB2312"/>
                      <w:sz w:val="21"/>
                      <w:szCs w:val="21"/>
                    </w:rPr>
                  </w:pPr>
                  <w:r>
                    <w:rPr>
                      <w:rFonts w:eastAsia="仿宋_GB2312"/>
                      <w:sz w:val="21"/>
                      <w:szCs w:val="21"/>
                    </w:rPr>
                    <w:t>/</w:t>
                  </w:r>
                </w:p>
              </w:tc>
            </w:tr>
            <w:tr w14:paraId="746E371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39" w:type="pct"/>
                  <w:vMerge w:val="continue"/>
                  <w:tcBorders>
                    <w:tl2br w:val="nil"/>
                    <w:tr2bl w:val="nil"/>
                  </w:tcBorders>
                  <w:vAlign w:val="center"/>
                </w:tcPr>
                <w:p w14:paraId="5D9E524E">
                  <w:pPr>
                    <w:adjustRightInd w:val="0"/>
                    <w:snapToGrid w:val="0"/>
                    <w:jc w:val="center"/>
                    <w:rPr>
                      <w:rFonts w:eastAsia="仿宋_GB2312"/>
                      <w:kern w:val="0"/>
                      <w:sz w:val="21"/>
                      <w:szCs w:val="21"/>
                    </w:rPr>
                  </w:pPr>
                </w:p>
              </w:tc>
              <w:tc>
                <w:tcPr>
                  <w:tcW w:w="780" w:type="pct"/>
                  <w:gridSpan w:val="2"/>
                  <w:tcBorders>
                    <w:tl2br w:val="nil"/>
                    <w:tr2bl w:val="nil"/>
                  </w:tcBorders>
                  <w:shd w:val="clear" w:color="auto" w:fill="auto"/>
                  <w:vAlign w:val="center"/>
                </w:tcPr>
                <w:p w14:paraId="3D86B2B3">
                  <w:pPr>
                    <w:jc w:val="center"/>
                    <w:rPr>
                      <w:rFonts w:eastAsia="仿宋_GB2312"/>
                      <w:sz w:val="21"/>
                      <w:szCs w:val="21"/>
                    </w:rPr>
                  </w:pPr>
                  <w:r>
                    <w:rPr>
                      <w:rStyle w:val="61"/>
                      <w:rFonts w:eastAsia="仿宋_GB2312"/>
                      <w:sz w:val="21"/>
                      <w:szCs w:val="21"/>
                    </w:rPr>
                    <w:t>浓密罐</w:t>
                  </w:r>
                </w:p>
              </w:tc>
              <w:tc>
                <w:tcPr>
                  <w:tcW w:w="955" w:type="pct"/>
                  <w:tcBorders>
                    <w:tl2br w:val="nil"/>
                    <w:tr2bl w:val="nil"/>
                  </w:tcBorders>
                  <w:shd w:val="clear" w:color="auto" w:fill="auto"/>
                  <w:vAlign w:val="center"/>
                </w:tcPr>
                <w:p w14:paraId="05CF24F2">
                  <w:pPr>
                    <w:jc w:val="center"/>
                    <w:rPr>
                      <w:rFonts w:eastAsia="仿宋_GB2312"/>
                      <w:sz w:val="21"/>
                      <w:szCs w:val="21"/>
                    </w:rPr>
                  </w:pPr>
                  <w:r>
                    <w:rPr>
                      <w:rFonts w:eastAsia="仿宋_GB2312"/>
                      <w:color w:val="000000"/>
                      <w:sz w:val="21"/>
                      <w:szCs w:val="21"/>
                    </w:rPr>
                    <w:t>2</w:t>
                  </w:r>
                  <w:r>
                    <w:rPr>
                      <w:rFonts w:eastAsia="仿宋_GB2312"/>
                      <w:sz w:val="21"/>
                      <w:szCs w:val="21"/>
                    </w:rPr>
                    <w:t>×</w:t>
                  </w:r>
                  <w:r>
                    <w:rPr>
                      <w:rFonts w:eastAsia="仿宋_GB2312"/>
                      <w:snapToGrid w:val="0"/>
                      <w:color w:val="000000" w:themeColor="text1"/>
                      <w:sz w:val="21"/>
                      <w:szCs w:val="21"/>
                    </w:rPr>
                    <w:t>769.3m</w:t>
                  </w:r>
                  <w:r>
                    <w:rPr>
                      <w:rFonts w:eastAsia="仿宋_GB2312"/>
                      <w:snapToGrid w:val="0"/>
                      <w:color w:val="000000" w:themeColor="text1"/>
                      <w:sz w:val="21"/>
                      <w:szCs w:val="21"/>
                      <w:vertAlign w:val="superscript"/>
                    </w:rPr>
                    <w:t>3</w:t>
                  </w:r>
                </w:p>
              </w:tc>
              <w:tc>
                <w:tcPr>
                  <w:tcW w:w="955" w:type="pct"/>
                  <w:tcBorders>
                    <w:tl2br w:val="nil"/>
                    <w:tr2bl w:val="nil"/>
                  </w:tcBorders>
                  <w:vAlign w:val="center"/>
                </w:tcPr>
                <w:p w14:paraId="078002B9">
                  <w:pPr>
                    <w:pStyle w:val="56"/>
                    <w:spacing w:beforeLines="0" w:afterLines="0" w:line="240" w:lineRule="auto"/>
                    <w:rPr>
                      <w:rFonts w:ascii="Times New Roman" w:eastAsia="仿宋_GB2312"/>
                      <w:sz w:val="21"/>
                      <w:szCs w:val="21"/>
                    </w:rPr>
                  </w:pPr>
                  <w:r>
                    <w:rPr>
                      <w:rFonts w:ascii="Times New Roman" w:eastAsia="仿宋_GB2312"/>
                      <w:sz w:val="21"/>
                      <w:szCs w:val="21"/>
                    </w:rPr>
                    <w:t>0</w:t>
                  </w:r>
                </w:p>
              </w:tc>
              <w:tc>
                <w:tcPr>
                  <w:tcW w:w="958" w:type="pct"/>
                  <w:tcBorders>
                    <w:tl2br w:val="nil"/>
                    <w:tr2bl w:val="nil"/>
                  </w:tcBorders>
                  <w:shd w:val="clear" w:color="auto" w:fill="auto"/>
                  <w:vAlign w:val="center"/>
                </w:tcPr>
                <w:p w14:paraId="7C43F30F">
                  <w:pPr>
                    <w:jc w:val="center"/>
                    <w:rPr>
                      <w:rFonts w:eastAsia="仿宋_GB2312"/>
                      <w:sz w:val="21"/>
                      <w:szCs w:val="21"/>
                    </w:rPr>
                  </w:pPr>
                  <w:r>
                    <w:rPr>
                      <w:rFonts w:eastAsia="仿宋_GB2312"/>
                      <w:color w:val="000000"/>
                      <w:sz w:val="21"/>
                      <w:szCs w:val="21"/>
                    </w:rPr>
                    <w:t>2</w:t>
                  </w:r>
                  <w:r>
                    <w:rPr>
                      <w:rFonts w:eastAsia="仿宋_GB2312"/>
                      <w:sz w:val="21"/>
                      <w:szCs w:val="21"/>
                    </w:rPr>
                    <w:t>×</w:t>
                  </w:r>
                  <w:r>
                    <w:rPr>
                      <w:rFonts w:eastAsia="仿宋_GB2312"/>
                      <w:snapToGrid w:val="0"/>
                      <w:color w:val="000000" w:themeColor="text1"/>
                      <w:sz w:val="21"/>
                      <w:szCs w:val="21"/>
                    </w:rPr>
                    <w:t>769.3m</w:t>
                  </w:r>
                  <w:r>
                    <w:rPr>
                      <w:rFonts w:eastAsia="仿宋_GB2312"/>
                      <w:snapToGrid w:val="0"/>
                      <w:color w:val="000000" w:themeColor="text1"/>
                      <w:sz w:val="21"/>
                      <w:szCs w:val="21"/>
                      <w:vertAlign w:val="superscript"/>
                    </w:rPr>
                    <w:t>3</w:t>
                  </w:r>
                </w:p>
              </w:tc>
              <w:tc>
                <w:tcPr>
                  <w:tcW w:w="1010" w:type="pct"/>
                  <w:tcBorders>
                    <w:tl2br w:val="nil"/>
                    <w:tr2bl w:val="nil"/>
                  </w:tcBorders>
                  <w:vAlign w:val="center"/>
                </w:tcPr>
                <w:p w14:paraId="6354F695">
                  <w:pPr>
                    <w:adjustRightInd w:val="0"/>
                    <w:snapToGrid w:val="0"/>
                    <w:jc w:val="center"/>
                    <w:rPr>
                      <w:rFonts w:eastAsia="仿宋_GB2312"/>
                      <w:sz w:val="21"/>
                      <w:szCs w:val="21"/>
                    </w:rPr>
                  </w:pPr>
                  <w:r>
                    <w:rPr>
                      <w:rFonts w:eastAsia="仿宋_GB2312"/>
                      <w:sz w:val="21"/>
                      <w:szCs w:val="21"/>
                    </w:rPr>
                    <w:t>/</w:t>
                  </w:r>
                </w:p>
              </w:tc>
            </w:tr>
            <w:tr w14:paraId="3B66F4F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39" w:type="pct"/>
                  <w:vMerge w:val="continue"/>
                  <w:tcBorders>
                    <w:tl2br w:val="nil"/>
                    <w:tr2bl w:val="nil"/>
                  </w:tcBorders>
                  <w:vAlign w:val="center"/>
                </w:tcPr>
                <w:p w14:paraId="4FD7166A">
                  <w:pPr>
                    <w:adjustRightInd w:val="0"/>
                    <w:snapToGrid w:val="0"/>
                    <w:jc w:val="center"/>
                    <w:rPr>
                      <w:rFonts w:eastAsia="仿宋_GB2312"/>
                      <w:kern w:val="0"/>
                      <w:sz w:val="21"/>
                      <w:szCs w:val="21"/>
                    </w:rPr>
                  </w:pPr>
                </w:p>
              </w:tc>
              <w:tc>
                <w:tcPr>
                  <w:tcW w:w="780" w:type="pct"/>
                  <w:gridSpan w:val="2"/>
                  <w:tcBorders>
                    <w:tl2br w:val="nil"/>
                    <w:tr2bl w:val="nil"/>
                  </w:tcBorders>
                  <w:shd w:val="clear" w:color="auto" w:fill="auto"/>
                  <w:vAlign w:val="center"/>
                </w:tcPr>
                <w:p w14:paraId="340C3E45">
                  <w:pPr>
                    <w:jc w:val="center"/>
                    <w:rPr>
                      <w:rFonts w:eastAsia="仿宋_GB2312"/>
                      <w:sz w:val="21"/>
                      <w:szCs w:val="21"/>
                    </w:rPr>
                  </w:pPr>
                  <w:r>
                    <w:rPr>
                      <w:rStyle w:val="61"/>
                      <w:rFonts w:eastAsia="仿宋_GB2312"/>
                      <w:sz w:val="21"/>
                      <w:szCs w:val="21"/>
                    </w:rPr>
                    <w:t>泥浆桶</w:t>
                  </w:r>
                </w:p>
              </w:tc>
              <w:tc>
                <w:tcPr>
                  <w:tcW w:w="955" w:type="pct"/>
                  <w:tcBorders>
                    <w:tl2br w:val="nil"/>
                    <w:tr2bl w:val="nil"/>
                  </w:tcBorders>
                  <w:shd w:val="clear" w:color="auto" w:fill="auto"/>
                  <w:vAlign w:val="center"/>
                </w:tcPr>
                <w:p w14:paraId="0759404D">
                  <w:pPr>
                    <w:jc w:val="center"/>
                    <w:rPr>
                      <w:rFonts w:eastAsia="仿宋_GB2312"/>
                      <w:sz w:val="21"/>
                      <w:szCs w:val="21"/>
                    </w:rPr>
                  </w:pPr>
                  <w:r>
                    <w:rPr>
                      <w:rFonts w:eastAsia="仿宋_GB2312"/>
                      <w:color w:val="000000"/>
                      <w:sz w:val="21"/>
                      <w:szCs w:val="21"/>
                    </w:rPr>
                    <w:t>2</w:t>
                  </w:r>
                  <w:r>
                    <w:rPr>
                      <w:rFonts w:eastAsia="仿宋_GB2312"/>
                      <w:sz w:val="21"/>
                      <w:szCs w:val="21"/>
                    </w:rPr>
                    <w:t>×</w:t>
                  </w:r>
                  <w:r>
                    <w:rPr>
                      <w:rFonts w:eastAsia="仿宋_GB2312"/>
                      <w:snapToGrid w:val="0"/>
                      <w:color w:val="000000" w:themeColor="text1"/>
                      <w:sz w:val="21"/>
                      <w:szCs w:val="21"/>
                    </w:rPr>
                    <w:t>407.37m</w:t>
                  </w:r>
                  <w:r>
                    <w:rPr>
                      <w:rFonts w:eastAsia="仿宋_GB2312"/>
                      <w:snapToGrid w:val="0"/>
                      <w:color w:val="000000" w:themeColor="text1"/>
                      <w:sz w:val="21"/>
                      <w:szCs w:val="21"/>
                      <w:vertAlign w:val="superscript"/>
                    </w:rPr>
                    <w:t>3</w:t>
                  </w:r>
                </w:p>
              </w:tc>
              <w:tc>
                <w:tcPr>
                  <w:tcW w:w="955" w:type="pct"/>
                  <w:tcBorders>
                    <w:tl2br w:val="nil"/>
                    <w:tr2bl w:val="nil"/>
                  </w:tcBorders>
                  <w:vAlign w:val="center"/>
                </w:tcPr>
                <w:p w14:paraId="1CC75B61">
                  <w:pPr>
                    <w:pStyle w:val="56"/>
                    <w:spacing w:beforeLines="0" w:afterLines="0" w:line="240" w:lineRule="auto"/>
                    <w:rPr>
                      <w:rFonts w:ascii="Times New Roman" w:eastAsia="仿宋_GB2312"/>
                      <w:sz w:val="21"/>
                      <w:szCs w:val="21"/>
                    </w:rPr>
                  </w:pPr>
                  <w:r>
                    <w:rPr>
                      <w:rFonts w:ascii="Times New Roman" w:eastAsia="仿宋_GB2312"/>
                      <w:sz w:val="21"/>
                      <w:szCs w:val="21"/>
                    </w:rPr>
                    <w:t>0</w:t>
                  </w:r>
                </w:p>
              </w:tc>
              <w:tc>
                <w:tcPr>
                  <w:tcW w:w="958" w:type="pct"/>
                  <w:tcBorders>
                    <w:tl2br w:val="nil"/>
                    <w:tr2bl w:val="nil"/>
                  </w:tcBorders>
                  <w:shd w:val="clear" w:color="auto" w:fill="auto"/>
                  <w:vAlign w:val="center"/>
                </w:tcPr>
                <w:p w14:paraId="69F4666F">
                  <w:pPr>
                    <w:jc w:val="center"/>
                    <w:rPr>
                      <w:rFonts w:eastAsia="仿宋_GB2312"/>
                      <w:sz w:val="21"/>
                      <w:szCs w:val="21"/>
                    </w:rPr>
                  </w:pPr>
                  <w:r>
                    <w:rPr>
                      <w:rFonts w:eastAsia="仿宋_GB2312"/>
                      <w:color w:val="000000"/>
                      <w:sz w:val="21"/>
                      <w:szCs w:val="21"/>
                    </w:rPr>
                    <w:t>2</w:t>
                  </w:r>
                  <w:r>
                    <w:rPr>
                      <w:rFonts w:eastAsia="仿宋_GB2312"/>
                      <w:sz w:val="21"/>
                      <w:szCs w:val="21"/>
                    </w:rPr>
                    <w:t>×</w:t>
                  </w:r>
                  <w:r>
                    <w:rPr>
                      <w:rFonts w:eastAsia="仿宋_GB2312"/>
                      <w:snapToGrid w:val="0"/>
                      <w:color w:val="000000" w:themeColor="text1"/>
                      <w:sz w:val="21"/>
                      <w:szCs w:val="21"/>
                    </w:rPr>
                    <w:t>407.37m</w:t>
                  </w:r>
                  <w:r>
                    <w:rPr>
                      <w:rFonts w:eastAsia="仿宋_GB2312"/>
                      <w:snapToGrid w:val="0"/>
                      <w:color w:val="000000" w:themeColor="text1"/>
                      <w:sz w:val="21"/>
                      <w:szCs w:val="21"/>
                      <w:vertAlign w:val="superscript"/>
                    </w:rPr>
                    <w:t>3</w:t>
                  </w:r>
                </w:p>
              </w:tc>
              <w:tc>
                <w:tcPr>
                  <w:tcW w:w="1010" w:type="pct"/>
                  <w:tcBorders>
                    <w:tl2br w:val="nil"/>
                    <w:tr2bl w:val="nil"/>
                  </w:tcBorders>
                  <w:vAlign w:val="center"/>
                </w:tcPr>
                <w:p w14:paraId="077F661A">
                  <w:pPr>
                    <w:adjustRightInd w:val="0"/>
                    <w:snapToGrid w:val="0"/>
                    <w:jc w:val="center"/>
                    <w:rPr>
                      <w:rFonts w:eastAsia="仿宋_GB2312"/>
                      <w:sz w:val="21"/>
                      <w:szCs w:val="21"/>
                    </w:rPr>
                  </w:pPr>
                  <w:r>
                    <w:rPr>
                      <w:rFonts w:eastAsia="仿宋_GB2312"/>
                      <w:sz w:val="21"/>
                      <w:szCs w:val="21"/>
                    </w:rPr>
                    <w:t>/</w:t>
                  </w:r>
                </w:p>
              </w:tc>
            </w:tr>
            <w:tr w14:paraId="4E70F54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39" w:type="pct"/>
                  <w:vMerge w:val="continue"/>
                  <w:tcBorders>
                    <w:tl2br w:val="nil"/>
                    <w:tr2bl w:val="nil"/>
                  </w:tcBorders>
                  <w:vAlign w:val="center"/>
                </w:tcPr>
                <w:p w14:paraId="2046716E">
                  <w:pPr>
                    <w:adjustRightInd w:val="0"/>
                    <w:snapToGrid w:val="0"/>
                    <w:jc w:val="center"/>
                    <w:rPr>
                      <w:rFonts w:eastAsia="仿宋_GB2312"/>
                      <w:kern w:val="0"/>
                      <w:sz w:val="21"/>
                      <w:szCs w:val="21"/>
                    </w:rPr>
                  </w:pPr>
                </w:p>
              </w:tc>
              <w:tc>
                <w:tcPr>
                  <w:tcW w:w="780" w:type="pct"/>
                  <w:gridSpan w:val="2"/>
                  <w:tcBorders>
                    <w:tl2br w:val="nil"/>
                    <w:tr2bl w:val="nil"/>
                  </w:tcBorders>
                  <w:shd w:val="clear" w:color="auto" w:fill="auto"/>
                  <w:vAlign w:val="center"/>
                </w:tcPr>
                <w:p w14:paraId="30445614">
                  <w:pPr>
                    <w:jc w:val="center"/>
                    <w:rPr>
                      <w:rFonts w:eastAsia="仿宋_GB2312"/>
                      <w:sz w:val="21"/>
                      <w:szCs w:val="21"/>
                    </w:rPr>
                  </w:pPr>
                  <w:r>
                    <w:rPr>
                      <w:rStyle w:val="61"/>
                      <w:rFonts w:eastAsia="仿宋_GB2312"/>
                      <w:sz w:val="21"/>
                      <w:szCs w:val="21"/>
                    </w:rPr>
                    <w:t>一级滤液罐</w:t>
                  </w:r>
                </w:p>
              </w:tc>
              <w:tc>
                <w:tcPr>
                  <w:tcW w:w="955" w:type="pct"/>
                  <w:tcBorders>
                    <w:tl2br w:val="nil"/>
                    <w:tr2bl w:val="nil"/>
                  </w:tcBorders>
                  <w:shd w:val="clear" w:color="auto" w:fill="auto"/>
                  <w:vAlign w:val="center"/>
                </w:tcPr>
                <w:p w14:paraId="4623683E">
                  <w:pPr>
                    <w:jc w:val="center"/>
                    <w:rPr>
                      <w:rFonts w:eastAsia="仿宋_GB2312"/>
                      <w:sz w:val="21"/>
                      <w:szCs w:val="21"/>
                    </w:rPr>
                  </w:pPr>
                  <w:r>
                    <w:rPr>
                      <w:rFonts w:eastAsia="仿宋_GB2312"/>
                      <w:color w:val="000000"/>
                      <w:sz w:val="21"/>
                      <w:szCs w:val="21"/>
                    </w:rPr>
                    <w:t>1</w:t>
                  </w:r>
                  <w:r>
                    <w:rPr>
                      <w:rFonts w:eastAsia="仿宋_GB2312"/>
                      <w:sz w:val="21"/>
                      <w:szCs w:val="21"/>
                    </w:rPr>
                    <w:t>×</w:t>
                  </w:r>
                  <w:r>
                    <w:rPr>
                      <w:rFonts w:eastAsia="仿宋_GB2312"/>
                      <w:snapToGrid w:val="0"/>
                      <w:color w:val="000000" w:themeColor="text1"/>
                      <w:sz w:val="21"/>
                      <w:szCs w:val="21"/>
                    </w:rPr>
                    <w:t>205m</w:t>
                  </w:r>
                  <w:r>
                    <w:rPr>
                      <w:rFonts w:eastAsia="仿宋_GB2312"/>
                      <w:snapToGrid w:val="0"/>
                      <w:color w:val="000000" w:themeColor="text1"/>
                      <w:sz w:val="21"/>
                      <w:szCs w:val="21"/>
                      <w:vertAlign w:val="superscript"/>
                    </w:rPr>
                    <w:t>3</w:t>
                  </w:r>
                </w:p>
              </w:tc>
              <w:tc>
                <w:tcPr>
                  <w:tcW w:w="955" w:type="pct"/>
                  <w:tcBorders>
                    <w:tl2br w:val="nil"/>
                    <w:tr2bl w:val="nil"/>
                  </w:tcBorders>
                  <w:vAlign w:val="center"/>
                </w:tcPr>
                <w:p w14:paraId="3DB4BF21">
                  <w:pPr>
                    <w:pStyle w:val="56"/>
                    <w:spacing w:beforeLines="0" w:afterLines="0" w:line="240" w:lineRule="auto"/>
                    <w:rPr>
                      <w:rFonts w:ascii="Times New Roman" w:eastAsia="仿宋_GB2312"/>
                      <w:sz w:val="21"/>
                      <w:szCs w:val="21"/>
                    </w:rPr>
                  </w:pPr>
                  <w:r>
                    <w:rPr>
                      <w:rFonts w:ascii="Times New Roman" w:eastAsia="仿宋_GB2312"/>
                      <w:sz w:val="21"/>
                      <w:szCs w:val="21"/>
                    </w:rPr>
                    <w:t>0</w:t>
                  </w:r>
                </w:p>
              </w:tc>
              <w:tc>
                <w:tcPr>
                  <w:tcW w:w="958" w:type="pct"/>
                  <w:tcBorders>
                    <w:tl2br w:val="nil"/>
                    <w:tr2bl w:val="nil"/>
                  </w:tcBorders>
                  <w:shd w:val="clear" w:color="auto" w:fill="auto"/>
                  <w:vAlign w:val="center"/>
                </w:tcPr>
                <w:p w14:paraId="5C0F24C9">
                  <w:pPr>
                    <w:jc w:val="center"/>
                    <w:rPr>
                      <w:rFonts w:eastAsia="仿宋_GB2312"/>
                      <w:sz w:val="21"/>
                      <w:szCs w:val="21"/>
                    </w:rPr>
                  </w:pPr>
                  <w:r>
                    <w:rPr>
                      <w:rFonts w:eastAsia="仿宋_GB2312"/>
                      <w:color w:val="000000"/>
                      <w:sz w:val="21"/>
                      <w:szCs w:val="21"/>
                    </w:rPr>
                    <w:t>1</w:t>
                  </w:r>
                  <w:r>
                    <w:rPr>
                      <w:rFonts w:eastAsia="仿宋_GB2312"/>
                      <w:sz w:val="21"/>
                      <w:szCs w:val="21"/>
                    </w:rPr>
                    <w:t>×</w:t>
                  </w:r>
                  <w:r>
                    <w:rPr>
                      <w:rFonts w:eastAsia="仿宋_GB2312"/>
                      <w:snapToGrid w:val="0"/>
                      <w:color w:val="000000" w:themeColor="text1"/>
                      <w:sz w:val="21"/>
                      <w:szCs w:val="21"/>
                    </w:rPr>
                    <w:t>205m</w:t>
                  </w:r>
                  <w:r>
                    <w:rPr>
                      <w:rFonts w:eastAsia="仿宋_GB2312"/>
                      <w:snapToGrid w:val="0"/>
                      <w:color w:val="000000" w:themeColor="text1"/>
                      <w:sz w:val="21"/>
                      <w:szCs w:val="21"/>
                      <w:vertAlign w:val="superscript"/>
                    </w:rPr>
                    <w:t>3</w:t>
                  </w:r>
                </w:p>
              </w:tc>
              <w:tc>
                <w:tcPr>
                  <w:tcW w:w="1010" w:type="pct"/>
                  <w:tcBorders>
                    <w:tl2br w:val="nil"/>
                    <w:tr2bl w:val="nil"/>
                  </w:tcBorders>
                  <w:vAlign w:val="center"/>
                </w:tcPr>
                <w:p w14:paraId="58B1D2CF">
                  <w:pPr>
                    <w:adjustRightInd w:val="0"/>
                    <w:snapToGrid w:val="0"/>
                    <w:jc w:val="center"/>
                    <w:rPr>
                      <w:rFonts w:eastAsia="仿宋_GB2312"/>
                      <w:sz w:val="21"/>
                      <w:szCs w:val="21"/>
                    </w:rPr>
                  </w:pPr>
                  <w:r>
                    <w:rPr>
                      <w:rFonts w:eastAsia="仿宋_GB2312"/>
                      <w:sz w:val="21"/>
                      <w:szCs w:val="21"/>
                    </w:rPr>
                    <w:t>/</w:t>
                  </w:r>
                </w:p>
              </w:tc>
            </w:tr>
            <w:tr w14:paraId="32D7140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39" w:type="pct"/>
                  <w:vMerge w:val="continue"/>
                  <w:tcBorders>
                    <w:tl2br w:val="nil"/>
                    <w:tr2bl w:val="nil"/>
                  </w:tcBorders>
                  <w:vAlign w:val="center"/>
                </w:tcPr>
                <w:p w14:paraId="5BB365F4">
                  <w:pPr>
                    <w:adjustRightInd w:val="0"/>
                    <w:snapToGrid w:val="0"/>
                    <w:jc w:val="center"/>
                    <w:rPr>
                      <w:rFonts w:eastAsia="仿宋_GB2312"/>
                      <w:kern w:val="0"/>
                      <w:sz w:val="21"/>
                      <w:szCs w:val="21"/>
                    </w:rPr>
                  </w:pPr>
                </w:p>
              </w:tc>
              <w:tc>
                <w:tcPr>
                  <w:tcW w:w="780" w:type="pct"/>
                  <w:gridSpan w:val="2"/>
                  <w:tcBorders>
                    <w:tl2br w:val="nil"/>
                    <w:tr2bl w:val="nil"/>
                  </w:tcBorders>
                  <w:shd w:val="clear" w:color="auto" w:fill="auto"/>
                  <w:vAlign w:val="center"/>
                </w:tcPr>
                <w:p w14:paraId="0D37B5F1">
                  <w:pPr>
                    <w:jc w:val="center"/>
                    <w:rPr>
                      <w:rFonts w:eastAsia="仿宋_GB2312"/>
                      <w:sz w:val="21"/>
                      <w:szCs w:val="21"/>
                    </w:rPr>
                  </w:pPr>
                  <w:r>
                    <w:rPr>
                      <w:rStyle w:val="61"/>
                      <w:rFonts w:eastAsia="仿宋_GB2312"/>
                      <w:sz w:val="21"/>
                      <w:szCs w:val="21"/>
                    </w:rPr>
                    <w:t>二级滤液罐</w:t>
                  </w:r>
                </w:p>
              </w:tc>
              <w:tc>
                <w:tcPr>
                  <w:tcW w:w="955" w:type="pct"/>
                  <w:tcBorders>
                    <w:tl2br w:val="nil"/>
                    <w:tr2bl w:val="nil"/>
                  </w:tcBorders>
                  <w:shd w:val="clear" w:color="auto" w:fill="auto"/>
                  <w:vAlign w:val="center"/>
                </w:tcPr>
                <w:p w14:paraId="2EEA32BC">
                  <w:pPr>
                    <w:jc w:val="center"/>
                    <w:rPr>
                      <w:rFonts w:eastAsia="仿宋_GB2312"/>
                      <w:sz w:val="21"/>
                      <w:szCs w:val="21"/>
                    </w:rPr>
                  </w:pPr>
                  <w:r>
                    <w:rPr>
                      <w:rFonts w:eastAsia="仿宋_GB2312"/>
                      <w:color w:val="000000"/>
                      <w:sz w:val="21"/>
                      <w:szCs w:val="21"/>
                    </w:rPr>
                    <w:t>1</w:t>
                  </w:r>
                  <w:r>
                    <w:rPr>
                      <w:rFonts w:eastAsia="仿宋_GB2312"/>
                      <w:sz w:val="21"/>
                      <w:szCs w:val="21"/>
                    </w:rPr>
                    <w:t>×</w:t>
                  </w:r>
                  <w:r>
                    <w:rPr>
                      <w:rFonts w:eastAsia="仿宋_GB2312"/>
                      <w:snapToGrid w:val="0"/>
                      <w:color w:val="000000" w:themeColor="text1"/>
                      <w:sz w:val="21"/>
                      <w:szCs w:val="21"/>
                    </w:rPr>
                    <w:t>814.73m</w:t>
                  </w:r>
                  <w:r>
                    <w:rPr>
                      <w:rFonts w:eastAsia="仿宋_GB2312"/>
                      <w:snapToGrid w:val="0"/>
                      <w:color w:val="000000" w:themeColor="text1"/>
                      <w:sz w:val="21"/>
                      <w:szCs w:val="21"/>
                      <w:vertAlign w:val="superscript"/>
                    </w:rPr>
                    <w:t>3</w:t>
                  </w:r>
                </w:p>
              </w:tc>
              <w:tc>
                <w:tcPr>
                  <w:tcW w:w="955" w:type="pct"/>
                  <w:tcBorders>
                    <w:tl2br w:val="nil"/>
                    <w:tr2bl w:val="nil"/>
                  </w:tcBorders>
                  <w:vAlign w:val="center"/>
                </w:tcPr>
                <w:p w14:paraId="5D0720C6">
                  <w:pPr>
                    <w:pStyle w:val="56"/>
                    <w:spacing w:beforeLines="0" w:afterLines="0" w:line="240" w:lineRule="auto"/>
                    <w:rPr>
                      <w:rFonts w:ascii="Times New Roman" w:eastAsia="仿宋_GB2312"/>
                      <w:sz w:val="21"/>
                      <w:szCs w:val="21"/>
                    </w:rPr>
                  </w:pPr>
                  <w:r>
                    <w:rPr>
                      <w:rFonts w:ascii="Times New Roman" w:eastAsia="仿宋_GB2312"/>
                      <w:sz w:val="21"/>
                      <w:szCs w:val="21"/>
                    </w:rPr>
                    <w:t>0</w:t>
                  </w:r>
                </w:p>
              </w:tc>
              <w:tc>
                <w:tcPr>
                  <w:tcW w:w="958" w:type="pct"/>
                  <w:tcBorders>
                    <w:tl2br w:val="nil"/>
                    <w:tr2bl w:val="nil"/>
                  </w:tcBorders>
                  <w:shd w:val="clear" w:color="auto" w:fill="auto"/>
                  <w:vAlign w:val="center"/>
                </w:tcPr>
                <w:p w14:paraId="67001494">
                  <w:pPr>
                    <w:jc w:val="center"/>
                    <w:rPr>
                      <w:rFonts w:eastAsia="仿宋_GB2312"/>
                      <w:sz w:val="21"/>
                      <w:szCs w:val="21"/>
                    </w:rPr>
                  </w:pPr>
                  <w:r>
                    <w:rPr>
                      <w:rFonts w:eastAsia="仿宋_GB2312"/>
                      <w:color w:val="000000"/>
                      <w:sz w:val="21"/>
                      <w:szCs w:val="21"/>
                    </w:rPr>
                    <w:t>1</w:t>
                  </w:r>
                  <w:r>
                    <w:rPr>
                      <w:rFonts w:eastAsia="仿宋_GB2312"/>
                      <w:sz w:val="21"/>
                      <w:szCs w:val="21"/>
                    </w:rPr>
                    <w:t>×</w:t>
                  </w:r>
                  <w:r>
                    <w:rPr>
                      <w:rFonts w:eastAsia="仿宋_GB2312"/>
                      <w:snapToGrid w:val="0"/>
                      <w:color w:val="000000" w:themeColor="text1"/>
                      <w:sz w:val="21"/>
                      <w:szCs w:val="21"/>
                    </w:rPr>
                    <w:t>814.73m</w:t>
                  </w:r>
                  <w:r>
                    <w:rPr>
                      <w:rFonts w:eastAsia="仿宋_GB2312"/>
                      <w:snapToGrid w:val="0"/>
                      <w:color w:val="000000" w:themeColor="text1"/>
                      <w:sz w:val="21"/>
                      <w:szCs w:val="21"/>
                      <w:vertAlign w:val="superscript"/>
                    </w:rPr>
                    <w:t>3</w:t>
                  </w:r>
                </w:p>
              </w:tc>
              <w:tc>
                <w:tcPr>
                  <w:tcW w:w="1010" w:type="pct"/>
                  <w:tcBorders>
                    <w:tl2br w:val="nil"/>
                    <w:tr2bl w:val="nil"/>
                  </w:tcBorders>
                  <w:vAlign w:val="center"/>
                </w:tcPr>
                <w:p w14:paraId="003F5CAC">
                  <w:pPr>
                    <w:adjustRightInd w:val="0"/>
                    <w:snapToGrid w:val="0"/>
                    <w:jc w:val="center"/>
                    <w:rPr>
                      <w:rFonts w:eastAsia="仿宋_GB2312"/>
                      <w:sz w:val="21"/>
                      <w:szCs w:val="21"/>
                    </w:rPr>
                  </w:pPr>
                  <w:r>
                    <w:rPr>
                      <w:rFonts w:eastAsia="仿宋_GB2312"/>
                      <w:sz w:val="21"/>
                      <w:szCs w:val="21"/>
                    </w:rPr>
                    <w:t>/</w:t>
                  </w:r>
                </w:p>
              </w:tc>
            </w:tr>
            <w:tr w14:paraId="3E784D6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39" w:type="pct"/>
                  <w:vMerge w:val="continue"/>
                  <w:tcBorders>
                    <w:tl2br w:val="nil"/>
                    <w:tr2bl w:val="nil"/>
                  </w:tcBorders>
                  <w:vAlign w:val="center"/>
                </w:tcPr>
                <w:p w14:paraId="640B9256">
                  <w:pPr>
                    <w:adjustRightInd w:val="0"/>
                    <w:snapToGrid w:val="0"/>
                    <w:jc w:val="center"/>
                    <w:rPr>
                      <w:rFonts w:eastAsia="仿宋_GB2312"/>
                      <w:kern w:val="0"/>
                      <w:sz w:val="21"/>
                      <w:szCs w:val="21"/>
                    </w:rPr>
                  </w:pPr>
                </w:p>
              </w:tc>
              <w:tc>
                <w:tcPr>
                  <w:tcW w:w="780" w:type="pct"/>
                  <w:gridSpan w:val="2"/>
                  <w:tcBorders>
                    <w:tl2br w:val="nil"/>
                    <w:tr2bl w:val="nil"/>
                  </w:tcBorders>
                  <w:shd w:val="clear" w:color="auto" w:fill="auto"/>
                  <w:vAlign w:val="center"/>
                </w:tcPr>
                <w:p w14:paraId="11772EBA">
                  <w:pPr>
                    <w:jc w:val="center"/>
                    <w:rPr>
                      <w:rFonts w:eastAsia="仿宋_GB2312"/>
                      <w:sz w:val="21"/>
                      <w:szCs w:val="21"/>
                    </w:rPr>
                  </w:pPr>
                  <w:r>
                    <w:rPr>
                      <w:rStyle w:val="61"/>
                      <w:rFonts w:eastAsia="仿宋_GB2312"/>
                      <w:sz w:val="21"/>
                      <w:szCs w:val="21"/>
                    </w:rPr>
                    <w:t>混合泥浆桶</w:t>
                  </w:r>
                </w:p>
              </w:tc>
              <w:tc>
                <w:tcPr>
                  <w:tcW w:w="955" w:type="pct"/>
                  <w:tcBorders>
                    <w:tl2br w:val="nil"/>
                    <w:tr2bl w:val="nil"/>
                  </w:tcBorders>
                  <w:shd w:val="clear" w:color="auto" w:fill="auto"/>
                  <w:vAlign w:val="center"/>
                </w:tcPr>
                <w:p w14:paraId="4E23FF85">
                  <w:pPr>
                    <w:jc w:val="center"/>
                    <w:rPr>
                      <w:rFonts w:eastAsia="仿宋_GB2312"/>
                      <w:sz w:val="21"/>
                      <w:szCs w:val="21"/>
                    </w:rPr>
                  </w:pPr>
                  <w:r>
                    <w:rPr>
                      <w:rFonts w:eastAsia="仿宋_GB2312"/>
                      <w:color w:val="000000"/>
                      <w:sz w:val="21"/>
                      <w:szCs w:val="21"/>
                    </w:rPr>
                    <w:t>1</w:t>
                  </w:r>
                  <w:r>
                    <w:rPr>
                      <w:rFonts w:eastAsia="仿宋_GB2312"/>
                      <w:sz w:val="21"/>
                      <w:szCs w:val="21"/>
                    </w:rPr>
                    <w:t>×</w:t>
                  </w:r>
                  <w:r>
                    <w:rPr>
                      <w:rFonts w:eastAsia="仿宋_GB2312"/>
                      <w:snapToGrid w:val="0"/>
                      <w:color w:val="000000" w:themeColor="text1"/>
                      <w:sz w:val="21"/>
                      <w:szCs w:val="21"/>
                    </w:rPr>
                    <w:t>246.67m</w:t>
                  </w:r>
                  <w:r>
                    <w:rPr>
                      <w:rFonts w:eastAsia="仿宋_GB2312"/>
                      <w:snapToGrid w:val="0"/>
                      <w:color w:val="000000" w:themeColor="text1"/>
                      <w:sz w:val="21"/>
                      <w:szCs w:val="21"/>
                      <w:vertAlign w:val="superscript"/>
                    </w:rPr>
                    <w:t>3</w:t>
                  </w:r>
                </w:p>
              </w:tc>
              <w:tc>
                <w:tcPr>
                  <w:tcW w:w="955" w:type="pct"/>
                  <w:tcBorders>
                    <w:tl2br w:val="nil"/>
                    <w:tr2bl w:val="nil"/>
                  </w:tcBorders>
                  <w:vAlign w:val="center"/>
                </w:tcPr>
                <w:p w14:paraId="02F45F08">
                  <w:pPr>
                    <w:pStyle w:val="56"/>
                    <w:spacing w:beforeLines="0" w:afterLines="0" w:line="240" w:lineRule="auto"/>
                    <w:rPr>
                      <w:rFonts w:ascii="Times New Roman" w:eastAsia="仿宋_GB2312"/>
                      <w:sz w:val="21"/>
                      <w:szCs w:val="21"/>
                    </w:rPr>
                  </w:pPr>
                  <w:r>
                    <w:rPr>
                      <w:rFonts w:ascii="Times New Roman" w:eastAsia="仿宋_GB2312"/>
                      <w:sz w:val="21"/>
                      <w:szCs w:val="21"/>
                    </w:rPr>
                    <w:t>0</w:t>
                  </w:r>
                </w:p>
              </w:tc>
              <w:tc>
                <w:tcPr>
                  <w:tcW w:w="958" w:type="pct"/>
                  <w:tcBorders>
                    <w:tl2br w:val="nil"/>
                    <w:tr2bl w:val="nil"/>
                  </w:tcBorders>
                  <w:shd w:val="clear" w:color="auto" w:fill="auto"/>
                  <w:vAlign w:val="center"/>
                </w:tcPr>
                <w:p w14:paraId="7ED57FEC">
                  <w:pPr>
                    <w:jc w:val="center"/>
                    <w:rPr>
                      <w:rFonts w:eastAsia="仿宋_GB2312"/>
                      <w:sz w:val="21"/>
                      <w:szCs w:val="21"/>
                    </w:rPr>
                  </w:pPr>
                  <w:r>
                    <w:rPr>
                      <w:rFonts w:eastAsia="仿宋_GB2312"/>
                      <w:color w:val="000000"/>
                      <w:sz w:val="21"/>
                      <w:szCs w:val="21"/>
                    </w:rPr>
                    <w:t>1</w:t>
                  </w:r>
                  <w:r>
                    <w:rPr>
                      <w:rFonts w:eastAsia="仿宋_GB2312"/>
                      <w:sz w:val="21"/>
                      <w:szCs w:val="21"/>
                    </w:rPr>
                    <w:t>×</w:t>
                  </w:r>
                  <w:r>
                    <w:rPr>
                      <w:rFonts w:eastAsia="仿宋_GB2312"/>
                      <w:snapToGrid w:val="0"/>
                      <w:color w:val="000000" w:themeColor="text1"/>
                      <w:sz w:val="21"/>
                      <w:szCs w:val="21"/>
                    </w:rPr>
                    <w:t>246.67m</w:t>
                  </w:r>
                  <w:r>
                    <w:rPr>
                      <w:rFonts w:eastAsia="仿宋_GB2312"/>
                      <w:snapToGrid w:val="0"/>
                      <w:color w:val="000000" w:themeColor="text1"/>
                      <w:sz w:val="21"/>
                      <w:szCs w:val="21"/>
                      <w:vertAlign w:val="superscript"/>
                    </w:rPr>
                    <w:t>3</w:t>
                  </w:r>
                </w:p>
              </w:tc>
              <w:tc>
                <w:tcPr>
                  <w:tcW w:w="1010" w:type="pct"/>
                  <w:tcBorders>
                    <w:tl2br w:val="nil"/>
                    <w:tr2bl w:val="nil"/>
                  </w:tcBorders>
                  <w:vAlign w:val="center"/>
                </w:tcPr>
                <w:p w14:paraId="5AB8E959">
                  <w:pPr>
                    <w:adjustRightInd w:val="0"/>
                    <w:snapToGrid w:val="0"/>
                    <w:jc w:val="center"/>
                    <w:rPr>
                      <w:rFonts w:eastAsia="仿宋_GB2312"/>
                      <w:sz w:val="21"/>
                      <w:szCs w:val="21"/>
                    </w:rPr>
                  </w:pPr>
                  <w:r>
                    <w:rPr>
                      <w:rFonts w:eastAsia="仿宋_GB2312"/>
                      <w:sz w:val="21"/>
                      <w:szCs w:val="21"/>
                    </w:rPr>
                    <w:t>/</w:t>
                  </w:r>
                </w:p>
              </w:tc>
            </w:tr>
            <w:tr w14:paraId="60AEDC1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39" w:type="pct"/>
                  <w:vMerge w:val="continue"/>
                  <w:tcBorders>
                    <w:tl2br w:val="nil"/>
                    <w:tr2bl w:val="nil"/>
                  </w:tcBorders>
                  <w:vAlign w:val="center"/>
                </w:tcPr>
                <w:p w14:paraId="4E6FE489">
                  <w:pPr>
                    <w:adjustRightInd w:val="0"/>
                    <w:snapToGrid w:val="0"/>
                    <w:jc w:val="center"/>
                    <w:rPr>
                      <w:rFonts w:eastAsia="仿宋_GB2312"/>
                      <w:kern w:val="0"/>
                      <w:sz w:val="21"/>
                      <w:szCs w:val="21"/>
                    </w:rPr>
                  </w:pPr>
                </w:p>
              </w:tc>
              <w:tc>
                <w:tcPr>
                  <w:tcW w:w="780" w:type="pct"/>
                  <w:gridSpan w:val="2"/>
                  <w:tcBorders>
                    <w:tl2br w:val="nil"/>
                    <w:tr2bl w:val="nil"/>
                  </w:tcBorders>
                  <w:shd w:val="clear" w:color="auto" w:fill="auto"/>
                  <w:vAlign w:val="center"/>
                </w:tcPr>
                <w:p w14:paraId="531C24F8">
                  <w:pPr>
                    <w:jc w:val="center"/>
                    <w:rPr>
                      <w:rFonts w:eastAsia="仿宋_GB2312"/>
                      <w:sz w:val="21"/>
                      <w:szCs w:val="21"/>
                    </w:rPr>
                  </w:pPr>
                  <w:r>
                    <w:rPr>
                      <w:rStyle w:val="61"/>
                      <w:rFonts w:eastAsia="仿宋_GB2312"/>
                      <w:sz w:val="21"/>
                      <w:szCs w:val="21"/>
                    </w:rPr>
                    <w:t>泥浆洗涤桶</w:t>
                  </w:r>
                </w:p>
              </w:tc>
              <w:tc>
                <w:tcPr>
                  <w:tcW w:w="955" w:type="pct"/>
                  <w:tcBorders>
                    <w:tl2br w:val="nil"/>
                    <w:tr2bl w:val="nil"/>
                  </w:tcBorders>
                  <w:shd w:val="clear" w:color="auto" w:fill="auto"/>
                  <w:vAlign w:val="center"/>
                </w:tcPr>
                <w:p w14:paraId="53F1E159">
                  <w:pPr>
                    <w:jc w:val="center"/>
                    <w:rPr>
                      <w:rFonts w:eastAsia="仿宋_GB2312"/>
                      <w:sz w:val="21"/>
                      <w:szCs w:val="21"/>
                    </w:rPr>
                  </w:pPr>
                  <w:r>
                    <w:rPr>
                      <w:rFonts w:eastAsia="仿宋_GB2312"/>
                      <w:color w:val="000000"/>
                      <w:sz w:val="21"/>
                      <w:szCs w:val="21"/>
                    </w:rPr>
                    <w:t>2</w:t>
                  </w:r>
                  <w:r>
                    <w:rPr>
                      <w:rFonts w:eastAsia="仿宋_GB2312"/>
                      <w:sz w:val="21"/>
                      <w:szCs w:val="21"/>
                    </w:rPr>
                    <w:t>×</w:t>
                  </w:r>
                  <w:r>
                    <w:rPr>
                      <w:rFonts w:eastAsia="仿宋_GB2312"/>
                      <w:snapToGrid w:val="0"/>
                      <w:color w:val="000000" w:themeColor="text1"/>
                      <w:sz w:val="21"/>
                      <w:szCs w:val="21"/>
                    </w:rPr>
                    <w:t>10.6m</w:t>
                  </w:r>
                  <w:r>
                    <w:rPr>
                      <w:rFonts w:eastAsia="仿宋_GB2312"/>
                      <w:snapToGrid w:val="0"/>
                      <w:color w:val="000000" w:themeColor="text1"/>
                      <w:sz w:val="21"/>
                      <w:szCs w:val="21"/>
                      <w:vertAlign w:val="superscript"/>
                    </w:rPr>
                    <w:t>3</w:t>
                  </w:r>
                </w:p>
              </w:tc>
              <w:tc>
                <w:tcPr>
                  <w:tcW w:w="955" w:type="pct"/>
                  <w:tcBorders>
                    <w:tl2br w:val="nil"/>
                    <w:tr2bl w:val="nil"/>
                  </w:tcBorders>
                  <w:vAlign w:val="center"/>
                </w:tcPr>
                <w:p w14:paraId="6BE25ED1">
                  <w:pPr>
                    <w:pStyle w:val="56"/>
                    <w:spacing w:beforeLines="0" w:afterLines="0" w:line="240" w:lineRule="auto"/>
                    <w:rPr>
                      <w:rFonts w:ascii="Times New Roman" w:eastAsia="仿宋_GB2312"/>
                      <w:sz w:val="21"/>
                      <w:szCs w:val="21"/>
                    </w:rPr>
                  </w:pPr>
                  <w:r>
                    <w:rPr>
                      <w:rFonts w:ascii="Times New Roman" w:eastAsia="仿宋_GB2312"/>
                      <w:sz w:val="21"/>
                      <w:szCs w:val="21"/>
                    </w:rPr>
                    <w:t>0</w:t>
                  </w:r>
                </w:p>
              </w:tc>
              <w:tc>
                <w:tcPr>
                  <w:tcW w:w="958" w:type="pct"/>
                  <w:tcBorders>
                    <w:tl2br w:val="nil"/>
                    <w:tr2bl w:val="nil"/>
                  </w:tcBorders>
                  <w:shd w:val="clear" w:color="auto" w:fill="auto"/>
                  <w:vAlign w:val="center"/>
                </w:tcPr>
                <w:p w14:paraId="3E200E1E">
                  <w:pPr>
                    <w:jc w:val="center"/>
                    <w:rPr>
                      <w:rFonts w:eastAsia="仿宋_GB2312"/>
                      <w:sz w:val="21"/>
                      <w:szCs w:val="21"/>
                    </w:rPr>
                  </w:pPr>
                  <w:r>
                    <w:rPr>
                      <w:rFonts w:eastAsia="仿宋_GB2312"/>
                      <w:color w:val="000000"/>
                      <w:sz w:val="21"/>
                      <w:szCs w:val="21"/>
                    </w:rPr>
                    <w:t>2</w:t>
                  </w:r>
                  <w:r>
                    <w:rPr>
                      <w:rFonts w:eastAsia="仿宋_GB2312"/>
                      <w:sz w:val="21"/>
                      <w:szCs w:val="21"/>
                    </w:rPr>
                    <w:t>×</w:t>
                  </w:r>
                  <w:r>
                    <w:rPr>
                      <w:rFonts w:eastAsia="仿宋_GB2312"/>
                      <w:snapToGrid w:val="0"/>
                      <w:color w:val="000000" w:themeColor="text1"/>
                      <w:sz w:val="21"/>
                      <w:szCs w:val="21"/>
                    </w:rPr>
                    <w:t>10.6m</w:t>
                  </w:r>
                  <w:r>
                    <w:rPr>
                      <w:rFonts w:eastAsia="仿宋_GB2312"/>
                      <w:snapToGrid w:val="0"/>
                      <w:color w:val="000000" w:themeColor="text1"/>
                      <w:sz w:val="21"/>
                      <w:szCs w:val="21"/>
                      <w:vertAlign w:val="superscript"/>
                    </w:rPr>
                    <w:t>3</w:t>
                  </w:r>
                </w:p>
              </w:tc>
              <w:tc>
                <w:tcPr>
                  <w:tcW w:w="1010" w:type="pct"/>
                  <w:tcBorders>
                    <w:tl2br w:val="nil"/>
                    <w:tr2bl w:val="nil"/>
                  </w:tcBorders>
                  <w:vAlign w:val="center"/>
                </w:tcPr>
                <w:p w14:paraId="0D34ED53">
                  <w:pPr>
                    <w:adjustRightInd w:val="0"/>
                    <w:snapToGrid w:val="0"/>
                    <w:jc w:val="center"/>
                    <w:rPr>
                      <w:rFonts w:eastAsia="仿宋_GB2312"/>
                      <w:sz w:val="21"/>
                      <w:szCs w:val="21"/>
                    </w:rPr>
                  </w:pPr>
                  <w:r>
                    <w:rPr>
                      <w:rFonts w:eastAsia="仿宋_GB2312"/>
                      <w:sz w:val="21"/>
                      <w:szCs w:val="21"/>
                    </w:rPr>
                    <w:t>/</w:t>
                  </w:r>
                </w:p>
              </w:tc>
            </w:tr>
            <w:tr w14:paraId="58E77FD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39" w:type="pct"/>
                  <w:vMerge w:val="continue"/>
                  <w:tcBorders>
                    <w:tl2br w:val="nil"/>
                    <w:tr2bl w:val="nil"/>
                  </w:tcBorders>
                  <w:vAlign w:val="center"/>
                </w:tcPr>
                <w:p w14:paraId="6AABFC0E">
                  <w:pPr>
                    <w:adjustRightInd w:val="0"/>
                    <w:snapToGrid w:val="0"/>
                    <w:jc w:val="center"/>
                    <w:rPr>
                      <w:rFonts w:eastAsia="仿宋_GB2312"/>
                      <w:kern w:val="0"/>
                      <w:sz w:val="21"/>
                      <w:szCs w:val="21"/>
                    </w:rPr>
                  </w:pPr>
                </w:p>
              </w:tc>
              <w:tc>
                <w:tcPr>
                  <w:tcW w:w="780" w:type="pct"/>
                  <w:gridSpan w:val="2"/>
                  <w:tcBorders>
                    <w:tl2br w:val="nil"/>
                    <w:tr2bl w:val="nil"/>
                  </w:tcBorders>
                  <w:shd w:val="clear" w:color="auto" w:fill="auto"/>
                  <w:vAlign w:val="center"/>
                </w:tcPr>
                <w:p w14:paraId="326621FF">
                  <w:pPr>
                    <w:jc w:val="center"/>
                    <w:rPr>
                      <w:rFonts w:eastAsia="仿宋_GB2312"/>
                      <w:sz w:val="21"/>
                      <w:szCs w:val="21"/>
                    </w:rPr>
                  </w:pPr>
                  <w:r>
                    <w:rPr>
                      <w:rStyle w:val="61"/>
                      <w:rFonts w:eastAsia="仿宋_GB2312"/>
                      <w:sz w:val="21"/>
                      <w:szCs w:val="21"/>
                    </w:rPr>
                    <w:t>气水分离器</w:t>
                  </w:r>
                </w:p>
              </w:tc>
              <w:tc>
                <w:tcPr>
                  <w:tcW w:w="955" w:type="pct"/>
                  <w:tcBorders>
                    <w:tl2br w:val="nil"/>
                    <w:tr2bl w:val="nil"/>
                  </w:tcBorders>
                  <w:shd w:val="clear" w:color="auto" w:fill="auto"/>
                  <w:vAlign w:val="center"/>
                </w:tcPr>
                <w:p w14:paraId="0612C186">
                  <w:pPr>
                    <w:jc w:val="center"/>
                    <w:rPr>
                      <w:rFonts w:eastAsia="仿宋_GB2312"/>
                      <w:sz w:val="21"/>
                      <w:szCs w:val="21"/>
                    </w:rPr>
                  </w:pPr>
                  <w:r>
                    <w:rPr>
                      <w:rFonts w:eastAsia="仿宋_GB2312"/>
                      <w:color w:val="000000"/>
                      <w:sz w:val="21"/>
                      <w:szCs w:val="21"/>
                    </w:rPr>
                    <w:t>3</w:t>
                  </w:r>
                  <w:r>
                    <w:rPr>
                      <w:rFonts w:eastAsia="仿宋_GB2312"/>
                      <w:sz w:val="21"/>
                      <w:szCs w:val="21"/>
                    </w:rPr>
                    <w:t>×</w:t>
                  </w:r>
                  <w:r>
                    <w:rPr>
                      <w:rFonts w:eastAsia="仿宋_GB2312"/>
                      <w:snapToGrid w:val="0"/>
                      <w:color w:val="000000" w:themeColor="text1"/>
                      <w:sz w:val="21"/>
                      <w:szCs w:val="21"/>
                    </w:rPr>
                    <w:t>0.75m</w:t>
                  </w:r>
                  <w:r>
                    <w:rPr>
                      <w:rFonts w:eastAsia="仿宋_GB2312"/>
                      <w:snapToGrid w:val="0"/>
                      <w:color w:val="000000" w:themeColor="text1"/>
                      <w:sz w:val="21"/>
                      <w:szCs w:val="21"/>
                      <w:vertAlign w:val="superscript"/>
                    </w:rPr>
                    <w:t>3</w:t>
                  </w:r>
                </w:p>
              </w:tc>
              <w:tc>
                <w:tcPr>
                  <w:tcW w:w="955" w:type="pct"/>
                  <w:tcBorders>
                    <w:tl2br w:val="nil"/>
                    <w:tr2bl w:val="nil"/>
                  </w:tcBorders>
                  <w:vAlign w:val="center"/>
                </w:tcPr>
                <w:p w14:paraId="47757876">
                  <w:pPr>
                    <w:pStyle w:val="56"/>
                    <w:spacing w:beforeLines="0" w:afterLines="0" w:line="240" w:lineRule="auto"/>
                    <w:rPr>
                      <w:rFonts w:ascii="Times New Roman" w:eastAsia="仿宋_GB2312"/>
                      <w:sz w:val="21"/>
                      <w:szCs w:val="21"/>
                    </w:rPr>
                  </w:pPr>
                  <w:r>
                    <w:rPr>
                      <w:rFonts w:ascii="Times New Roman" w:eastAsia="仿宋_GB2312"/>
                      <w:sz w:val="21"/>
                      <w:szCs w:val="21"/>
                    </w:rPr>
                    <w:t>0</w:t>
                  </w:r>
                </w:p>
              </w:tc>
              <w:tc>
                <w:tcPr>
                  <w:tcW w:w="958" w:type="pct"/>
                  <w:tcBorders>
                    <w:tl2br w:val="nil"/>
                    <w:tr2bl w:val="nil"/>
                  </w:tcBorders>
                  <w:shd w:val="clear" w:color="auto" w:fill="auto"/>
                  <w:vAlign w:val="center"/>
                </w:tcPr>
                <w:p w14:paraId="5A346DF9">
                  <w:pPr>
                    <w:jc w:val="center"/>
                    <w:rPr>
                      <w:rFonts w:eastAsia="仿宋_GB2312"/>
                      <w:sz w:val="21"/>
                      <w:szCs w:val="21"/>
                    </w:rPr>
                  </w:pPr>
                  <w:r>
                    <w:rPr>
                      <w:rFonts w:eastAsia="仿宋_GB2312"/>
                      <w:color w:val="000000"/>
                      <w:sz w:val="21"/>
                      <w:szCs w:val="21"/>
                    </w:rPr>
                    <w:t>3</w:t>
                  </w:r>
                  <w:r>
                    <w:rPr>
                      <w:rFonts w:eastAsia="仿宋_GB2312"/>
                      <w:sz w:val="21"/>
                      <w:szCs w:val="21"/>
                    </w:rPr>
                    <w:t>×</w:t>
                  </w:r>
                  <w:r>
                    <w:rPr>
                      <w:rFonts w:eastAsia="仿宋_GB2312"/>
                      <w:snapToGrid w:val="0"/>
                      <w:color w:val="000000" w:themeColor="text1"/>
                      <w:sz w:val="21"/>
                      <w:szCs w:val="21"/>
                    </w:rPr>
                    <w:t>0.75m</w:t>
                  </w:r>
                  <w:r>
                    <w:rPr>
                      <w:rFonts w:eastAsia="仿宋_GB2312"/>
                      <w:snapToGrid w:val="0"/>
                      <w:color w:val="000000" w:themeColor="text1"/>
                      <w:sz w:val="21"/>
                      <w:szCs w:val="21"/>
                      <w:vertAlign w:val="superscript"/>
                    </w:rPr>
                    <w:t>3</w:t>
                  </w:r>
                </w:p>
              </w:tc>
              <w:tc>
                <w:tcPr>
                  <w:tcW w:w="1010" w:type="pct"/>
                  <w:tcBorders>
                    <w:tl2br w:val="nil"/>
                    <w:tr2bl w:val="nil"/>
                  </w:tcBorders>
                  <w:vAlign w:val="center"/>
                </w:tcPr>
                <w:p w14:paraId="6E96639F">
                  <w:pPr>
                    <w:adjustRightInd w:val="0"/>
                    <w:snapToGrid w:val="0"/>
                    <w:jc w:val="center"/>
                    <w:rPr>
                      <w:rFonts w:eastAsia="仿宋_GB2312"/>
                      <w:sz w:val="21"/>
                      <w:szCs w:val="21"/>
                    </w:rPr>
                  </w:pPr>
                  <w:r>
                    <w:rPr>
                      <w:rFonts w:eastAsia="仿宋_GB2312"/>
                      <w:sz w:val="21"/>
                      <w:szCs w:val="21"/>
                    </w:rPr>
                    <w:t>/</w:t>
                  </w:r>
                </w:p>
              </w:tc>
            </w:tr>
            <w:tr w14:paraId="64FEDAC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39" w:type="pct"/>
                  <w:vMerge w:val="continue"/>
                  <w:tcBorders>
                    <w:tl2br w:val="nil"/>
                    <w:tr2bl w:val="nil"/>
                  </w:tcBorders>
                  <w:vAlign w:val="center"/>
                </w:tcPr>
                <w:p w14:paraId="4DBB0B09">
                  <w:pPr>
                    <w:adjustRightInd w:val="0"/>
                    <w:snapToGrid w:val="0"/>
                    <w:jc w:val="center"/>
                    <w:rPr>
                      <w:rFonts w:eastAsia="仿宋_GB2312"/>
                      <w:kern w:val="0"/>
                      <w:sz w:val="21"/>
                      <w:szCs w:val="21"/>
                    </w:rPr>
                  </w:pPr>
                </w:p>
              </w:tc>
              <w:tc>
                <w:tcPr>
                  <w:tcW w:w="780" w:type="pct"/>
                  <w:gridSpan w:val="2"/>
                  <w:tcBorders>
                    <w:tl2br w:val="nil"/>
                    <w:tr2bl w:val="nil"/>
                  </w:tcBorders>
                  <w:shd w:val="clear" w:color="auto" w:fill="auto"/>
                  <w:vAlign w:val="center"/>
                </w:tcPr>
                <w:p w14:paraId="41C6475C">
                  <w:pPr>
                    <w:jc w:val="center"/>
                    <w:rPr>
                      <w:rFonts w:eastAsia="仿宋_GB2312"/>
                      <w:sz w:val="21"/>
                      <w:szCs w:val="21"/>
                    </w:rPr>
                  </w:pPr>
                  <w:r>
                    <w:rPr>
                      <w:rStyle w:val="61"/>
                      <w:rFonts w:eastAsia="仿宋_GB2312"/>
                      <w:sz w:val="21"/>
                      <w:szCs w:val="21"/>
                    </w:rPr>
                    <w:t>絮凝剂桶</w:t>
                  </w:r>
                </w:p>
              </w:tc>
              <w:tc>
                <w:tcPr>
                  <w:tcW w:w="955" w:type="pct"/>
                  <w:tcBorders>
                    <w:tl2br w:val="nil"/>
                    <w:tr2bl w:val="nil"/>
                  </w:tcBorders>
                  <w:shd w:val="clear" w:color="auto" w:fill="auto"/>
                  <w:vAlign w:val="center"/>
                </w:tcPr>
                <w:p w14:paraId="64C2499F">
                  <w:pPr>
                    <w:jc w:val="center"/>
                    <w:rPr>
                      <w:rFonts w:eastAsia="仿宋_GB2312"/>
                      <w:sz w:val="21"/>
                      <w:szCs w:val="21"/>
                    </w:rPr>
                  </w:pPr>
                  <w:r>
                    <w:rPr>
                      <w:rFonts w:eastAsia="仿宋_GB2312"/>
                      <w:color w:val="000000"/>
                      <w:sz w:val="21"/>
                      <w:szCs w:val="21"/>
                    </w:rPr>
                    <w:t>4</w:t>
                  </w:r>
                  <w:r>
                    <w:rPr>
                      <w:rFonts w:eastAsia="仿宋_GB2312"/>
                      <w:sz w:val="21"/>
                      <w:szCs w:val="21"/>
                    </w:rPr>
                    <w:t>×</w:t>
                  </w:r>
                  <w:r>
                    <w:rPr>
                      <w:rFonts w:eastAsia="仿宋_GB2312"/>
                      <w:snapToGrid w:val="0"/>
                      <w:color w:val="000000" w:themeColor="text1"/>
                      <w:sz w:val="21"/>
                      <w:szCs w:val="21"/>
                    </w:rPr>
                    <w:t>6.18m</w:t>
                  </w:r>
                  <w:r>
                    <w:rPr>
                      <w:rFonts w:eastAsia="仿宋_GB2312"/>
                      <w:snapToGrid w:val="0"/>
                      <w:color w:val="000000" w:themeColor="text1"/>
                      <w:sz w:val="21"/>
                      <w:szCs w:val="21"/>
                      <w:vertAlign w:val="superscript"/>
                    </w:rPr>
                    <w:t>3</w:t>
                  </w:r>
                </w:p>
              </w:tc>
              <w:tc>
                <w:tcPr>
                  <w:tcW w:w="955" w:type="pct"/>
                  <w:tcBorders>
                    <w:tl2br w:val="nil"/>
                    <w:tr2bl w:val="nil"/>
                  </w:tcBorders>
                  <w:vAlign w:val="center"/>
                </w:tcPr>
                <w:p w14:paraId="5CAF41B1">
                  <w:pPr>
                    <w:pStyle w:val="56"/>
                    <w:spacing w:beforeLines="0" w:afterLines="0" w:line="240" w:lineRule="auto"/>
                    <w:rPr>
                      <w:rFonts w:ascii="Times New Roman" w:eastAsia="仿宋_GB2312"/>
                      <w:sz w:val="21"/>
                      <w:szCs w:val="21"/>
                    </w:rPr>
                  </w:pPr>
                  <w:r>
                    <w:rPr>
                      <w:rFonts w:ascii="Times New Roman" w:eastAsia="仿宋_GB2312"/>
                      <w:sz w:val="21"/>
                      <w:szCs w:val="21"/>
                    </w:rPr>
                    <w:t>0</w:t>
                  </w:r>
                </w:p>
              </w:tc>
              <w:tc>
                <w:tcPr>
                  <w:tcW w:w="958" w:type="pct"/>
                  <w:tcBorders>
                    <w:tl2br w:val="nil"/>
                    <w:tr2bl w:val="nil"/>
                  </w:tcBorders>
                  <w:shd w:val="clear" w:color="auto" w:fill="auto"/>
                  <w:vAlign w:val="center"/>
                </w:tcPr>
                <w:p w14:paraId="72D34231">
                  <w:pPr>
                    <w:jc w:val="center"/>
                    <w:rPr>
                      <w:rFonts w:eastAsia="仿宋_GB2312"/>
                      <w:sz w:val="21"/>
                      <w:szCs w:val="21"/>
                    </w:rPr>
                  </w:pPr>
                  <w:r>
                    <w:rPr>
                      <w:rFonts w:eastAsia="仿宋_GB2312"/>
                      <w:color w:val="000000"/>
                      <w:sz w:val="21"/>
                      <w:szCs w:val="21"/>
                    </w:rPr>
                    <w:t>4</w:t>
                  </w:r>
                  <w:r>
                    <w:rPr>
                      <w:rFonts w:eastAsia="仿宋_GB2312"/>
                      <w:sz w:val="21"/>
                      <w:szCs w:val="21"/>
                    </w:rPr>
                    <w:t>×</w:t>
                  </w:r>
                  <w:r>
                    <w:rPr>
                      <w:rFonts w:eastAsia="仿宋_GB2312"/>
                      <w:snapToGrid w:val="0"/>
                      <w:color w:val="000000" w:themeColor="text1"/>
                      <w:sz w:val="21"/>
                      <w:szCs w:val="21"/>
                    </w:rPr>
                    <w:t>6.18m</w:t>
                  </w:r>
                  <w:r>
                    <w:rPr>
                      <w:rFonts w:eastAsia="仿宋_GB2312"/>
                      <w:snapToGrid w:val="0"/>
                      <w:color w:val="000000" w:themeColor="text1"/>
                      <w:sz w:val="21"/>
                      <w:szCs w:val="21"/>
                      <w:vertAlign w:val="superscript"/>
                    </w:rPr>
                    <w:t>3</w:t>
                  </w:r>
                </w:p>
              </w:tc>
              <w:tc>
                <w:tcPr>
                  <w:tcW w:w="1010" w:type="pct"/>
                  <w:tcBorders>
                    <w:tl2br w:val="nil"/>
                    <w:tr2bl w:val="nil"/>
                  </w:tcBorders>
                  <w:vAlign w:val="center"/>
                </w:tcPr>
                <w:p w14:paraId="54779DA3">
                  <w:pPr>
                    <w:adjustRightInd w:val="0"/>
                    <w:snapToGrid w:val="0"/>
                    <w:jc w:val="center"/>
                    <w:rPr>
                      <w:rFonts w:eastAsia="仿宋_GB2312"/>
                      <w:sz w:val="21"/>
                      <w:szCs w:val="21"/>
                    </w:rPr>
                  </w:pPr>
                  <w:r>
                    <w:rPr>
                      <w:rFonts w:eastAsia="仿宋_GB2312"/>
                      <w:sz w:val="21"/>
                      <w:szCs w:val="21"/>
                    </w:rPr>
                    <w:t>/</w:t>
                  </w:r>
                </w:p>
              </w:tc>
            </w:tr>
            <w:tr w14:paraId="66281F1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39" w:type="pct"/>
                  <w:vMerge w:val="continue"/>
                  <w:tcBorders>
                    <w:tl2br w:val="nil"/>
                    <w:tr2bl w:val="nil"/>
                  </w:tcBorders>
                  <w:vAlign w:val="center"/>
                </w:tcPr>
                <w:p w14:paraId="3A84C186">
                  <w:pPr>
                    <w:adjustRightInd w:val="0"/>
                    <w:snapToGrid w:val="0"/>
                    <w:jc w:val="center"/>
                    <w:rPr>
                      <w:rFonts w:eastAsia="仿宋_GB2312"/>
                      <w:kern w:val="0"/>
                      <w:sz w:val="21"/>
                      <w:szCs w:val="21"/>
                    </w:rPr>
                  </w:pPr>
                </w:p>
              </w:tc>
              <w:tc>
                <w:tcPr>
                  <w:tcW w:w="780" w:type="pct"/>
                  <w:gridSpan w:val="2"/>
                  <w:tcBorders>
                    <w:tl2br w:val="nil"/>
                    <w:tr2bl w:val="nil"/>
                  </w:tcBorders>
                  <w:shd w:val="clear" w:color="auto" w:fill="auto"/>
                  <w:vAlign w:val="center"/>
                </w:tcPr>
                <w:p w14:paraId="013B518D">
                  <w:pPr>
                    <w:jc w:val="center"/>
                    <w:rPr>
                      <w:rFonts w:eastAsia="仿宋_GB2312"/>
                      <w:sz w:val="21"/>
                      <w:szCs w:val="21"/>
                    </w:rPr>
                  </w:pPr>
                  <w:r>
                    <w:rPr>
                      <w:rStyle w:val="61"/>
                      <w:rFonts w:eastAsia="仿宋_GB2312"/>
                      <w:sz w:val="21"/>
                      <w:szCs w:val="21"/>
                    </w:rPr>
                    <w:t>压缩空气罐</w:t>
                  </w:r>
                </w:p>
              </w:tc>
              <w:tc>
                <w:tcPr>
                  <w:tcW w:w="955" w:type="pct"/>
                  <w:tcBorders>
                    <w:tl2br w:val="nil"/>
                    <w:tr2bl w:val="nil"/>
                  </w:tcBorders>
                  <w:shd w:val="clear" w:color="auto" w:fill="auto"/>
                  <w:vAlign w:val="center"/>
                </w:tcPr>
                <w:p w14:paraId="275C1986">
                  <w:pPr>
                    <w:jc w:val="center"/>
                    <w:rPr>
                      <w:rFonts w:eastAsia="仿宋_GB2312"/>
                      <w:sz w:val="21"/>
                      <w:szCs w:val="21"/>
                    </w:rPr>
                  </w:pPr>
                  <w:r>
                    <w:rPr>
                      <w:rFonts w:eastAsia="仿宋_GB2312"/>
                      <w:color w:val="000000"/>
                      <w:sz w:val="21"/>
                      <w:szCs w:val="21"/>
                    </w:rPr>
                    <w:t>2</w:t>
                  </w:r>
                  <w:r>
                    <w:rPr>
                      <w:rFonts w:eastAsia="仿宋_GB2312"/>
                      <w:sz w:val="21"/>
                      <w:szCs w:val="21"/>
                    </w:rPr>
                    <w:t>×</w:t>
                  </w:r>
                  <w:r>
                    <w:rPr>
                      <w:rFonts w:eastAsia="仿宋_GB2312"/>
                      <w:snapToGrid w:val="0"/>
                      <w:color w:val="000000" w:themeColor="text1"/>
                      <w:sz w:val="21"/>
                      <w:szCs w:val="21"/>
                    </w:rPr>
                    <w:t>3.18m</w:t>
                  </w:r>
                  <w:r>
                    <w:rPr>
                      <w:rFonts w:eastAsia="仿宋_GB2312"/>
                      <w:snapToGrid w:val="0"/>
                      <w:color w:val="000000" w:themeColor="text1"/>
                      <w:sz w:val="21"/>
                      <w:szCs w:val="21"/>
                      <w:vertAlign w:val="superscript"/>
                    </w:rPr>
                    <w:t>3</w:t>
                  </w:r>
                </w:p>
              </w:tc>
              <w:tc>
                <w:tcPr>
                  <w:tcW w:w="955" w:type="pct"/>
                  <w:tcBorders>
                    <w:tl2br w:val="nil"/>
                    <w:tr2bl w:val="nil"/>
                  </w:tcBorders>
                  <w:vAlign w:val="center"/>
                </w:tcPr>
                <w:p w14:paraId="1E8F1624">
                  <w:pPr>
                    <w:pStyle w:val="56"/>
                    <w:spacing w:beforeLines="0" w:afterLines="0" w:line="240" w:lineRule="auto"/>
                    <w:rPr>
                      <w:rFonts w:ascii="Times New Roman" w:eastAsia="仿宋_GB2312"/>
                      <w:sz w:val="21"/>
                      <w:szCs w:val="21"/>
                    </w:rPr>
                  </w:pPr>
                  <w:r>
                    <w:rPr>
                      <w:rFonts w:ascii="Times New Roman" w:eastAsia="仿宋_GB2312"/>
                      <w:sz w:val="21"/>
                      <w:szCs w:val="21"/>
                    </w:rPr>
                    <w:t>0</w:t>
                  </w:r>
                </w:p>
              </w:tc>
              <w:tc>
                <w:tcPr>
                  <w:tcW w:w="958" w:type="pct"/>
                  <w:tcBorders>
                    <w:tl2br w:val="nil"/>
                    <w:tr2bl w:val="nil"/>
                  </w:tcBorders>
                  <w:shd w:val="clear" w:color="auto" w:fill="auto"/>
                  <w:vAlign w:val="center"/>
                </w:tcPr>
                <w:p w14:paraId="277E0909">
                  <w:pPr>
                    <w:jc w:val="center"/>
                    <w:rPr>
                      <w:rFonts w:eastAsia="仿宋_GB2312"/>
                      <w:sz w:val="21"/>
                      <w:szCs w:val="21"/>
                    </w:rPr>
                  </w:pPr>
                  <w:r>
                    <w:rPr>
                      <w:rFonts w:eastAsia="仿宋_GB2312"/>
                      <w:color w:val="000000"/>
                      <w:sz w:val="21"/>
                      <w:szCs w:val="21"/>
                    </w:rPr>
                    <w:t>2</w:t>
                  </w:r>
                  <w:r>
                    <w:rPr>
                      <w:rFonts w:eastAsia="仿宋_GB2312"/>
                      <w:sz w:val="21"/>
                      <w:szCs w:val="21"/>
                    </w:rPr>
                    <w:t>×</w:t>
                  </w:r>
                  <w:r>
                    <w:rPr>
                      <w:rFonts w:eastAsia="仿宋_GB2312"/>
                      <w:snapToGrid w:val="0"/>
                      <w:color w:val="000000" w:themeColor="text1"/>
                      <w:sz w:val="21"/>
                      <w:szCs w:val="21"/>
                    </w:rPr>
                    <w:t>3.18m</w:t>
                  </w:r>
                  <w:r>
                    <w:rPr>
                      <w:rFonts w:eastAsia="仿宋_GB2312"/>
                      <w:snapToGrid w:val="0"/>
                      <w:color w:val="000000" w:themeColor="text1"/>
                      <w:sz w:val="21"/>
                      <w:szCs w:val="21"/>
                      <w:vertAlign w:val="superscript"/>
                    </w:rPr>
                    <w:t>3</w:t>
                  </w:r>
                </w:p>
              </w:tc>
              <w:tc>
                <w:tcPr>
                  <w:tcW w:w="1010" w:type="pct"/>
                  <w:tcBorders>
                    <w:tl2br w:val="nil"/>
                    <w:tr2bl w:val="nil"/>
                  </w:tcBorders>
                  <w:vAlign w:val="center"/>
                </w:tcPr>
                <w:p w14:paraId="7AC21EB1">
                  <w:pPr>
                    <w:adjustRightInd w:val="0"/>
                    <w:snapToGrid w:val="0"/>
                    <w:jc w:val="center"/>
                    <w:rPr>
                      <w:rFonts w:eastAsia="仿宋_GB2312"/>
                      <w:sz w:val="21"/>
                      <w:szCs w:val="21"/>
                    </w:rPr>
                  </w:pPr>
                  <w:r>
                    <w:rPr>
                      <w:rFonts w:eastAsia="仿宋_GB2312"/>
                      <w:sz w:val="21"/>
                      <w:szCs w:val="21"/>
                    </w:rPr>
                    <w:t>/</w:t>
                  </w:r>
                </w:p>
              </w:tc>
            </w:tr>
            <w:tr w14:paraId="542DDAC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39" w:type="pct"/>
                  <w:vMerge w:val="continue"/>
                  <w:tcBorders>
                    <w:tl2br w:val="nil"/>
                    <w:tr2bl w:val="nil"/>
                  </w:tcBorders>
                  <w:vAlign w:val="center"/>
                </w:tcPr>
                <w:p w14:paraId="1C89B788">
                  <w:pPr>
                    <w:adjustRightInd w:val="0"/>
                    <w:snapToGrid w:val="0"/>
                    <w:jc w:val="center"/>
                    <w:rPr>
                      <w:rFonts w:eastAsia="仿宋_GB2312"/>
                      <w:kern w:val="0"/>
                      <w:sz w:val="21"/>
                      <w:szCs w:val="21"/>
                    </w:rPr>
                  </w:pPr>
                </w:p>
              </w:tc>
              <w:tc>
                <w:tcPr>
                  <w:tcW w:w="780" w:type="pct"/>
                  <w:gridSpan w:val="2"/>
                  <w:tcBorders>
                    <w:tl2br w:val="nil"/>
                    <w:tr2bl w:val="nil"/>
                  </w:tcBorders>
                  <w:shd w:val="clear" w:color="auto" w:fill="auto"/>
                  <w:vAlign w:val="center"/>
                </w:tcPr>
                <w:p w14:paraId="6E036C38">
                  <w:pPr>
                    <w:jc w:val="center"/>
                    <w:rPr>
                      <w:rFonts w:eastAsia="仿宋_GB2312"/>
                      <w:sz w:val="21"/>
                      <w:szCs w:val="21"/>
                    </w:rPr>
                  </w:pPr>
                  <w:r>
                    <w:rPr>
                      <w:rStyle w:val="61"/>
                      <w:rFonts w:eastAsia="仿宋_GB2312"/>
                      <w:sz w:val="21"/>
                      <w:szCs w:val="21"/>
                    </w:rPr>
                    <w:t>母液桶</w:t>
                  </w:r>
                </w:p>
              </w:tc>
              <w:tc>
                <w:tcPr>
                  <w:tcW w:w="955" w:type="pct"/>
                  <w:tcBorders>
                    <w:tl2br w:val="nil"/>
                    <w:tr2bl w:val="nil"/>
                  </w:tcBorders>
                  <w:shd w:val="clear" w:color="auto" w:fill="auto"/>
                  <w:vAlign w:val="center"/>
                </w:tcPr>
                <w:p w14:paraId="48CB1D61">
                  <w:pPr>
                    <w:jc w:val="center"/>
                    <w:rPr>
                      <w:rFonts w:eastAsia="仿宋_GB2312"/>
                      <w:sz w:val="21"/>
                      <w:szCs w:val="21"/>
                    </w:rPr>
                  </w:pPr>
                  <w:r>
                    <w:rPr>
                      <w:rFonts w:eastAsia="仿宋_GB2312"/>
                      <w:color w:val="000000"/>
                      <w:sz w:val="21"/>
                      <w:szCs w:val="21"/>
                    </w:rPr>
                    <w:t>1</w:t>
                  </w:r>
                  <w:r>
                    <w:rPr>
                      <w:rFonts w:eastAsia="仿宋_GB2312"/>
                      <w:sz w:val="21"/>
                      <w:szCs w:val="21"/>
                    </w:rPr>
                    <w:t>×</w:t>
                  </w:r>
                  <w:r>
                    <w:rPr>
                      <w:rFonts w:eastAsia="仿宋_GB2312"/>
                      <w:snapToGrid w:val="0"/>
                      <w:color w:val="000000" w:themeColor="text1"/>
                      <w:sz w:val="21"/>
                      <w:szCs w:val="21"/>
                    </w:rPr>
                    <w:t>94.2m</w:t>
                  </w:r>
                  <w:r>
                    <w:rPr>
                      <w:rFonts w:eastAsia="仿宋_GB2312"/>
                      <w:snapToGrid w:val="0"/>
                      <w:color w:val="000000" w:themeColor="text1"/>
                      <w:sz w:val="21"/>
                      <w:szCs w:val="21"/>
                      <w:vertAlign w:val="superscript"/>
                    </w:rPr>
                    <w:t>3</w:t>
                  </w:r>
                </w:p>
              </w:tc>
              <w:tc>
                <w:tcPr>
                  <w:tcW w:w="955" w:type="pct"/>
                  <w:tcBorders>
                    <w:tl2br w:val="nil"/>
                    <w:tr2bl w:val="nil"/>
                  </w:tcBorders>
                  <w:vAlign w:val="center"/>
                </w:tcPr>
                <w:p w14:paraId="57F91D24">
                  <w:pPr>
                    <w:pStyle w:val="56"/>
                    <w:spacing w:beforeLines="0" w:afterLines="0" w:line="240" w:lineRule="auto"/>
                    <w:rPr>
                      <w:rFonts w:ascii="Times New Roman" w:eastAsia="仿宋_GB2312"/>
                      <w:sz w:val="21"/>
                      <w:szCs w:val="21"/>
                    </w:rPr>
                  </w:pPr>
                  <w:r>
                    <w:rPr>
                      <w:rFonts w:ascii="Times New Roman" w:eastAsia="仿宋_GB2312"/>
                      <w:sz w:val="21"/>
                      <w:szCs w:val="21"/>
                    </w:rPr>
                    <w:t>0</w:t>
                  </w:r>
                </w:p>
              </w:tc>
              <w:tc>
                <w:tcPr>
                  <w:tcW w:w="958" w:type="pct"/>
                  <w:tcBorders>
                    <w:tl2br w:val="nil"/>
                    <w:tr2bl w:val="nil"/>
                  </w:tcBorders>
                  <w:shd w:val="clear" w:color="auto" w:fill="auto"/>
                  <w:vAlign w:val="center"/>
                </w:tcPr>
                <w:p w14:paraId="261A1363">
                  <w:pPr>
                    <w:jc w:val="center"/>
                    <w:rPr>
                      <w:rFonts w:eastAsia="仿宋_GB2312"/>
                      <w:sz w:val="21"/>
                      <w:szCs w:val="21"/>
                    </w:rPr>
                  </w:pPr>
                  <w:r>
                    <w:rPr>
                      <w:rFonts w:eastAsia="仿宋_GB2312"/>
                      <w:color w:val="000000"/>
                      <w:sz w:val="21"/>
                      <w:szCs w:val="21"/>
                    </w:rPr>
                    <w:t>1</w:t>
                  </w:r>
                  <w:r>
                    <w:rPr>
                      <w:rFonts w:eastAsia="仿宋_GB2312"/>
                      <w:sz w:val="21"/>
                      <w:szCs w:val="21"/>
                    </w:rPr>
                    <w:t>×</w:t>
                  </w:r>
                  <w:r>
                    <w:rPr>
                      <w:rFonts w:eastAsia="仿宋_GB2312"/>
                      <w:snapToGrid w:val="0"/>
                      <w:color w:val="000000" w:themeColor="text1"/>
                      <w:sz w:val="21"/>
                      <w:szCs w:val="21"/>
                    </w:rPr>
                    <w:t>94.2m</w:t>
                  </w:r>
                  <w:r>
                    <w:rPr>
                      <w:rFonts w:eastAsia="仿宋_GB2312"/>
                      <w:snapToGrid w:val="0"/>
                      <w:color w:val="000000" w:themeColor="text1"/>
                      <w:sz w:val="21"/>
                      <w:szCs w:val="21"/>
                      <w:vertAlign w:val="superscript"/>
                    </w:rPr>
                    <w:t>3</w:t>
                  </w:r>
                </w:p>
              </w:tc>
              <w:tc>
                <w:tcPr>
                  <w:tcW w:w="1010" w:type="pct"/>
                  <w:tcBorders>
                    <w:tl2br w:val="nil"/>
                    <w:tr2bl w:val="nil"/>
                  </w:tcBorders>
                  <w:vAlign w:val="center"/>
                </w:tcPr>
                <w:p w14:paraId="0E5D669C">
                  <w:pPr>
                    <w:adjustRightInd w:val="0"/>
                    <w:snapToGrid w:val="0"/>
                    <w:jc w:val="center"/>
                    <w:rPr>
                      <w:rFonts w:eastAsia="仿宋_GB2312"/>
                      <w:sz w:val="21"/>
                      <w:szCs w:val="21"/>
                    </w:rPr>
                  </w:pPr>
                  <w:r>
                    <w:rPr>
                      <w:rFonts w:eastAsia="仿宋_GB2312"/>
                      <w:sz w:val="21"/>
                      <w:szCs w:val="21"/>
                    </w:rPr>
                    <w:t>/</w:t>
                  </w:r>
                </w:p>
              </w:tc>
            </w:tr>
            <w:tr w14:paraId="7DC022A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39" w:type="pct"/>
                  <w:vMerge w:val="continue"/>
                  <w:tcBorders>
                    <w:tl2br w:val="nil"/>
                    <w:tr2bl w:val="nil"/>
                  </w:tcBorders>
                  <w:vAlign w:val="center"/>
                </w:tcPr>
                <w:p w14:paraId="32F0DD78">
                  <w:pPr>
                    <w:adjustRightInd w:val="0"/>
                    <w:snapToGrid w:val="0"/>
                    <w:jc w:val="center"/>
                    <w:rPr>
                      <w:rFonts w:eastAsia="仿宋_GB2312"/>
                      <w:kern w:val="0"/>
                      <w:sz w:val="21"/>
                      <w:szCs w:val="21"/>
                    </w:rPr>
                  </w:pPr>
                </w:p>
              </w:tc>
              <w:tc>
                <w:tcPr>
                  <w:tcW w:w="780" w:type="pct"/>
                  <w:gridSpan w:val="2"/>
                  <w:tcBorders>
                    <w:tl2br w:val="nil"/>
                    <w:tr2bl w:val="nil"/>
                  </w:tcBorders>
                  <w:vAlign w:val="center"/>
                </w:tcPr>
                <w:p w14:paraId="3761F883">
                  <w:pPr>
                    <w:jc w:val="center"/>
                    <w:rPr>
                      <w:rFonts w:eastAsia="仿宋_GB2312"/>
                      <w:snapToGrid w:val="0"/>
                      <w:color w:val="000000" w:themeColor="text1"/>
                      <w:kern w:val="0"/>
                      <w:sz w:val="21"/>
                      <w:szCs w:val="21"/>
                    </w:rPr>
                  </w:pPr>
                  <w:r>
                    <w:rPr>
                      <w:rFonts w:eastAsia="仿宋_GB2312"/>
                      <w:snapToGrid w:val="0"/>
                      <w:color w:val="000000" w:themeColor="text1"/>
                      <w:kern w:val="0"/>
                      <w:sz w:val="21"/>
                      <w:szCs w:val="21"/>
                    </w:rPr>
                    <w:t>陶瓷膜循环罐</w:t>
                  </w:r>
                </w:p>
              </w:tc>
              <w:tc>
                <w:tcPr>
                  <w:tcW w:w="955" w:type="pct"/>
                  <w:tcBorders>
                    <w:tl2br w:val="nil"/>
                    <w:tr2bl w:val="nil"/>
                  </w:tcBorders>
                  <w:vAlign w:val="center"/>
                </w:tcPr>
                <w:p w14:paraId="554E6648">
                  <w:pPr>
                    <w:jc w:val="center"/>
                    <w:rPr>
                      <w:rFonts w:eastAsia="仿宋_GB2312"/>
                      <w:sz w:val="21"/>
                      <w:szCs w:val="21"/>
                    </w:rPr>
                  </w:pPr>
                  <w:r>
                    <w:rPr>
                      <w:rFonts w:eastAsia="仿宋_GB2312"/>
                      <w:sz w:val="21"/>
                      <w:szCs w:val="21"/>
                    </w:rPr>
                    <w:t>0</w:t>
                  </w:r>
                </w:p>
              </w:tc>
              <w:tc>
                <w:tcPr>
                  <w:tcW w:w="955" w:type="pct"/>
                  <w:tcBorders>
                    <w:tl2br w:val="nil"/>
                    <w:tr2bl w:val="nil"/>
                  </w:tcBorders>
                  <w:vAlign w:val="center"/>
                </w:tcPr>
                <w:p w14:paraId="4E8F2785">
                  <w:pPr>
                    <w:pStyle w:val="56"/>
                    <w:spacing w:beforeLines="0" w:afterLines="0" w:line="240" w:lineRule="auto"/>
                    <w:rPr>
                      <w:rFonts w:ascii="Times New Roman" w:eastAsia="仿宋_GB2312"/>
                      <w:sz w:val="21"/>
                      <w:szCs w:val="21"/>
                    </w:rPr>
                  </w:pPr>
                  <w:r>
                    <w:rPr>
                      <w:rFonts w:ascii="Times New Roman" w:eastAsia="仿宋_GB2312"/>
                      <w:sz w:val="21"/>
                      <w:szCs w:val="21"/>
                    </w:rPr>
                    <w:t>1×</w:t>
                  </w:r>
                  <w:r>
                    <w:rPr>
                      <w:rFonts w:ascii="Times New Roman" w:eastAsia="仿宋_GB2312"/>
                      <w:snapToGrid w:val="0"/>
                      <w:color w:val="000000" w:themeColor="text1"/>
                      <w:sz w:val="21"/>
                      <w:szCs w:val="21"/>
                    </w:rPr>
                    <w:t>16.98m</w:t>
                  </w:r>
                  <w:r>
                    <w:rPr>
                      <w:rFonts w:ascii="Times New Roman" w:eastAsia="仿宋_GB2312"/>
                      <w:snapToGrid w:val="0"/>
                      <w:color w:val="000000" w:themeColor="text1"/>
                      <w:sz w:val="21"/>
                      <w:szCs w:val="21"/>
                      <w:vertAlign w:val="superscript"/>
                    </w:rPr>
                    <w:t>3</w:t>
                  </w:r>
                </w:p>
              </w:tc>
              <w:tc>
                <w:tcPr>
                  <w:tcW w:w="958" w:type="pct"/>
                  <w:tcBorders>
                    <w:tl2br w:val="nil"/>
                    <w:tr2bl w:val="nil"/>
                  </w:tcBorders>
                  <w:vAlign w:val="center"/>
                </w:tcPr>
                <w:p w14:paraId="4A13880D">
                  <w:pPr>
                    <w:jc w:val="center"/>
                    <w:rPr>
                      <w:rFonts w:eastAsia="仿宋_GB2312"/>
                      <w:sz w:val="21"/>
                      <w:szCs w:val="21"/>
                    </w:rPr>
                  </w:pPr>
                  <w:r>
                    <w:rPr>
                      <w:rFonts w:eastAsia="仿宋_GB2312"/>
                      <w:sz w:val="21"/>
                      <w:szCs w:val="21"/>
                    </w:rPr>
                    <w:t>1×</w:t>
                  </w:r>
                  <w:r>
                    <w:rPr>
                      <w:rFonts w:eastAsia="仿宋_GB2312"/>
                      <w:snapToGrid w:val="0"/>
                      <w:color w:val="000000" w:themeColor="text1"/>
                      <w:sz w:val="21"/>
                      <w:szCs w:val="21"/>
                    </w:rPr>
                    <w:t>16.98m</w:t>
                  </w:r>
                  <w:r>
                    <w:rPr>
                      <w:rFonts w:eastAsia="仿宋_GB2312"/>
                      <w:snapToGrid w:val="0"/>
                      <w:color w:val="000000" w:themeColor="text1"/>
                      <w:sz w:val="21"/>
                      <w:szCs w:val="21"/>
                      <w:vertAlign w:val="superscript"/>
                    </w:rPr>
                    <w:t>3</w:t>
                  </w:r>
                </w:p>
              </w:tc>
              <w:tc>
                <w:tcPr>
                  <w:tcW w:w="1010" w:type="pct"/>
                  <w:tcBorders>
                    <w:tl2br w:val="nil"/>
                    <w:tr2bl w:val="nil"/>
                  </w:tcBorders>
                  <w:vAlign w:val="center"/>
                </w:tcPr>
                <w:p w14:paraId="6699ADDE">
                  <w:pPr>
                    <w:adjustRightInd w:val="0"/>
                    <w:snapToGrid w:val="0"/>
                    <w:jc w:val="center"/>
                    <w:rPr>
                      <w:rFonts w:hint="default" w:eastAsia="宋体"/>
                      <w:sz w:val="21"/>
                      <w:szCs w:val="21"/>
                      <w:lang w:val="en-US" w:eastAsia="zh-CN"/>
                    </w:rPr>
                  </w:pPr>
                  <w:r>
                    <w:rPr>
                      <w:rFonts w:hint="eastAsia" w:eastAsia="仿宋_GB2312"/>
                      <w:sz w:val="21"/>
                      <w:szCs w:val="21"/>
                      <w:lang w:val="en-US" w:eastAsia="zh-CN"/>
                    </w:rPr>
                    <w:t>新增，用于连续双膜法</w:t>
                  </w:r>
                </w:p>
              </w:tc>
            </w:tr>
            <w:tr w14:paraId="3DF13AD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39" w:type="pct"/>
                  <w:vMerge w:val="continue"/>
                  <w:tcBorders>
                    <w:tl2br w:val="nil"/>
                    <w:tr2bl w:val="nil"/>
                  </w:tcBorders>
                  <w:vAlign w:val="center"/>
                </w:tcPr>
                <w:p w14:paraId="6F4CE530">
                  <w:pPr>
                    <w:adjustRightInd w:val="0"/>
                    <w:snapToGrid w:val="0"/>
                    <w:jc w:val="center"/>
                    <w:rPr>
                      <w:rFonts w:eastAsia="仿宋_GB2312"/>
                      <w:kern w:val="0"/>
                      <w:sz w:val="21"/>
                      <w:szCs w:val="21"/>
                    </w:rPr>
                  </w:pPr>
                </w:p>
              </w:tc>
              <w:tc>
                <w:tcPr>
                  <w:tcW w:w="780" w:type="pct"/>
                  <w:gridSpan w:val="2"/>
                  <w:tcBorders>
                    <w:tl2br w:val="nil"/>
                    <w:tr2bl w:val="nil"/>
                  </w:tcBorders>
                  <w:vAlign w:val="center"/>
                </w:tcPr>
                <w:p w14:paraId="0995748F">
                  <w:pPr>
                    <w:jc w:val="center"/>
                    <w:rPr>
                      <w:rFonts w:eastAsia="仿宋_GB2312"/>
                      <w:snapToGrid w:val="0"/>
                      <w:color w:val="000000" w:themeColor="text1"/>
                      <w:kern w:val="0"/>
                      <w:sz w:val="21"/>
                      <w:szCs w:val="21"/>
                    </w:rPr>
                  </w:pPr>
                  <w:r>
                    <w:rPr>
                      <w:rFonts w:eastAsia="仿宋_GB2312"/>
                      <w:snapToGrid w:val="0"/>
                      <w:color w:val="000000" w:themeColor="text1"/>
                      <w:kern w:val="0"/>
                      <w:sz w:val="21"/>
                      <w:szCs w:val="21"/>
                    </w:rPr>
                    <w:t>超滤清卤罐</w:t>
                  </w:r>
                </w:p>
              </w:tc>
              <w:tc>
                <w:tcPr>
                  <w:tcW w:w="955" w:type="pct"/>
                  <w:tcBorders>
                    <w:tl2br w:val="nil"/>
                    <w:tr2bl w:val="nil"/>
                  </w:tcBorders>
                  <w:vAlign w:val="center"/>
                </w:tcPr>
                <w:p w14:paraId="39C923C5">
                  <w:pPr>
                    <w:jc w:val="center"/>
                    <w:rPr>
                      <w:rFonts w:eastAsia="仿宋_GB2312"/>
                      <w:sz w:val="21"/>
                      <w:szCs w:val="21"/>
                    </w:rPr>
                  </w:pPr>
                  <w:r>
                    <w:rPr>
                      <w:rFonts w:eastAsia="仿宋_GB2312"/>
                      <w:sz w:val="21"/>
                      <w:szCs w:val="21"/>
                    </w:rPr>
                    <w:t>1×</w:t>
                  </w:r>
                  <w:r>
                    <w:rPr>
                      <w:rFonts w:eastAsia="仿宋_GB2312"/>
                      <w:snapToGrid w:val="0"/>
                      <w:color w:val="000000" w:themeColor="text1"/>
                      <w:sz w:val="21"/>
                      <w:szCs w:val="21"/>
                    </w:rPr>
                    <w:t>4500m</w:t>
                  </w:r>
                  <w:r>
                    <w:rPr>
                      <w:rFonts w:eastAsia="仿宋_GB2312"/>
                      <w:snapToGrid w:val="0"/>
                      <w:color w:val="000000" w:themeColor="text1"/>
                      <w:sz w:val="21"/>
                      <w:szCs w:val="21"/>
                      <w:vertAlign w:val="superscript"/>
                    </w:rPr>
                    <w:t>3</w:t>
                  </w:r>
                </w:p>
              </w:tc>
              <w:tc>
                <w:tcPr>
                  <w:tcW w:w="955" w:type="pct"/>
                  <w:tcBorders>
                    <w:tl2br w:val="nil"/>
                    <w:tr2bl w:val="nil"/>
                  </w:tcBorders>
                  <w:vAlign w:val="center"/>
                </w:tcPr>
                <w:p w14:paraId="18991B2C">
                  <w:pPr>
                    <w:pStyle w:val="56"/>
                    <w:spacing w:beforeLines="0" w:afterLines="0" w:line="240" w:lineRule="auto"/>
                    <w:rPr>
                      <w:rFonts w:ascii="Times New Roman" w:eastAsia="仿宋_GB2312"/>
                      <w:sz w:val="21"/>
                      <w:szCs w:val="21"/>
                    </w:rPr>
                  </w:pPr>
                  <w:r>
                    <w:rPr>
                      <w:rFonts w:ascii="Times New Roman" w:eastAsia="仿宋_GB2312"/>
                      <w:sz w:val="21"/>
                      <w:szCs w:val="21"/>
                    </w:rPr>
                    <w:t>0</w:t>
                  </w:r>
                </w:p>
              </w:tc>
              <w:tc>
                <w:tcPr>
                  <w:tcW w:w="958" w:type="pct"/>
                  <w:tcBorders>
                    <w:tl2br w:val="nil"/>
                    <w:tr2bl w:val="nil"/>
                  </w:tcBorders>
                  <w:vAlign w:val="center"/>
                </w:tcPr>
                <w:p w14:paraId="08BA8D58">
                  <w:pPr>
                    <w:jc w:val="center"/>
                    <w:rPr>
                      <w:rFonts w:eastAsia="仿宋_GB2312"/>
                      <w:sz w:val="21"/>
                      <w:szCs w:val="21"/>
                    </w:rPr>
                  </w:pPr>
                  <w:r>
                    <w:rPr>
                      <w:rFonts w:eastAsia="仿宋_GB2312"/>
                      <w:sz w:val="21"/>
                      <w:szCs w:val="21"/>
                    </w:rPr>
                    <w:t>1×</w:t>
                  </w:r>
                  <w:r>
                    <w:rPr>
                      <w:rFonts w:eastAsia="仿宋_GB2312"/>
                      <w:snapToGrid w:val="0"/>
                      <w:color w:val="000000" w:themeColor="text1"/>
                      <w:sz w:val="21"/>
                      <w:szCs w:val="21"/>
                    </w:rPr>
                    <w:t>4500m</w:t>
                  </w:r>
                  <w:r>
                    <w:rPr>
                      <w:rFonts w:eastAsia="仿宋_GB2312"/>
                      <w:snapToGrid w:val="0"/>
                      <w:color w:val="000000" w:themeColor="text1"/>
                      <w:sz w:val="21"/>
                      <w:szCs w:val="21"/>
                      <w:vertAlign w:val="superscript"/>
                    </w:rPr>
                    <w:t>3</w:t>
                  </w:r>
                </w:p>
              </w:tc>
              <w:tc>
                <w:tcPr>
                  <w:tcW w:w="1010" w:type="pct"/>
                  <w:tcBorders>
                    <w:tl2br w:val="nil"/>
                    <w:tr2bl w:val="nil"/>
                  </w:tcBorders>
                  <w:vAlign w:val="center"/>
                </w:tcPr>
                <w:p w14:paraId="30AF0270">
                  <w:pPr>
                    <w:adjustRightInd w:val="0"/>
                    <w:snapToGrid w:val="0"/>
                    <w:jc w:val="center"/>
                    <w:rPr>
                      <w:rFonts w:eastAsia="仿宋_GB2312"/>
                      <w:sz w:val="21"/>
                      <w:szCs w:val="21"/>
                    </w:rPr>
                  </w:pPr>
                  <w:r>
                    <w:rPr>
                      <w:rFonts w:eastAsia="仿宋_GB2312"/>
                      <w:sz w:val="21"/>
                      <w:szCs w:val="21"/>
                    </w:rPr>
                    <w:t>/</w:t>
                  </w:r>
                </w:p>
              </w:tc>
            </w:tr>
            <w:tr w14:paraId="7D998E1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39" w:type="pct"/>
                  <w:vMerge w:val="continue"/>
                  <w:tcBorders>
                    <w:tl2br w:val="nil"/>
                    <w:tr2bl w:val="nil"/>
                  </w:tcBorders>
                  <w:vAlign w:val="center"/>
                </w:tcPr>
                <w:p w14:paraId="5014D2D8">
                  <w:pPr>
                    <w:adjustRightInd w:val="0"/>
                    <w:snapToGrid w:val="0"/>
                    <w:jc w:val="center"/>
                    <w:rPr>
                      <w:rFonts w:eastAsia="仿宋_GB2312"/>
                      <w:kern w:val="0"/>
                      <w:sz w:val="21"/>
                      <w:szCs w:val="21"/>
                    </w:rPr>
                  </w:pPr>
                </w:p>
              </w:tc>
              <w:tc>
                <w:tcPr>
                  <w:tcW w:w="780" w:type="pct"/>
                  <w:gridSpan w:val="2"/>
                  <w:tcBorders>
                    <w:tl2br w:val="nil"/>
                    <w:tr2bl w:val="nil"/>
                  </w:tcBorders>
                  <w:vAlign w:val="center"/>
                </w:tcPr>
                <w:p w14:paraId="5DB46482">
                  <w:pPr>
                    <w:jc w:val="center"/>
                    <w:rPr>
                      <w:rFonts w:eastAsia="仿宋_GB2312"/>
                      <w:snapToGrid w:val="0"/>
                      <w:color w:val="000000" w:themeColor="text1"/>
                      <w:kern w:val="0"/>
                      <w:sz w:val="21"/>
                      <w:szCs w:val="21"/>
                    </w:rPr>
                  </w:pPr>
                  <w:r>
                    <w:rPr>
                      <w:rFonts w:eastAsia="仿宋_GB2312"/>
                      <w:snapToGrid w:val="0"/>
                      <w:color w:val="000000" w:themeColor="text1"/>
                      <w:kern w:val="0"/>
                      <w:sz w:val="21"/>
                      <w:szCs w:val="21"/>
                    </w:rPr>
                    <w:t>纳滤清卤罐</w:t>
                  </w:r>
                </w:p>
              </w:tc>
              <w:tc>
                <w:tcPr>
                  <w:tcW w:w="955" w:type="pct"/>
                  <w:tcBorders>
                    <w:tl2br w:val="nil"/>
                    <w:tr2bl w:val="nil"/>
                  </w:tcBorders>
                  <w:vAlign w:val="center"/>
                </w:tcPr>
                <w:p w14:paraId="65203981">
                  <w:pPr>
                    <w:jc w:val="center"/>
                    <w:rPr>
                      <w:rFonts w:eastAsia="仿宋_GB2312"/>
                      <w:sz w:val="21"/>
                      <w:szCs w:val="21"/>
                    </w:rPr>
                  </w:pPr>
                  <w:r>
                    <w:rPr>
                      <w:rFonts w:eastAsia="仿宋_GB2312"/>
                      <w:sz w:val="21"/>
                      <w:szCs w:val="21"/>
                    </w:rPr>
                    <w:t>0</w:t>
                  </w:r>
                </w:p>
              </w:tc>
              <w:tc>
                <w:tcPr>
                  <w:tcW w:w="955" w:type="pct"/>
                  <w:tcBorders>
                    <w:tl2br w:val="nil"/>
                    <w:tr2bl w:val="nil"/>
                  </w:tcBorders>
                  <w:vAlign w:val="center"/>
                </w:tcPr>
                <w:p w14:paraId="3E79CC9D">
                  <w:pPr>
                    <w:pStyle w:val="56"/>
                    <w:spacing w:beforeLines="0" w:afterLines="0" w:line="240" w:lineRule="auto"/>
                    <w:rPr>
                      <w:rFonts w:ascii="Times New Roman" w:eastAsia="仿宋_GB2312"/>
                      <w:sz w:val="21"/>
                      <w:szCs w:val="21"/>
                    </w:rPr>
                  </w:pPr>
                  <w:r>
                    <w:rPr>
                      <w:rFonts w:ascii="Times New Roman" w:eastAsia="仿宋_GB2312"/>
                      <w:sz w:val="21"/>
                      <w:szCs w:val="21"/>
                    </w:rPr>
                    <w:t>1×</w:t>
                  </w:r>
                  <w:r>
                    <w:rPr>
                      <w:rFonts w:ascii="Times New Roman" w:eastAsia="仿宋_GB2312"/>
                      <w:snapToGrid w:val="0"/>
                      <w:color w:val="000000" w:themeColor="text1"/>
                      <w:sz w:val="21"/>
                      <w:szCs w:val="21"/>
                    </w:rPr>
                    <w:t>120m</w:t>
                  </w:r>
                  <w:r>
                    <w:rPr>
                      <w:rFonts w:ascii="Times New Roman" w:eastAsia="仿宋_GB2312"/>
                      <w:snapToGrid w:val="0"/>
                      <w:color w:val="000000" w:themeColor="text1"/>
                      <w:sz w:val="21"/>
                      <w:szCs w:val="21"/>
                      <w:vertAlign w:val="superscript"/>
                    </w:rPr>
                    <w:t>3</w:t>
                  </w:r>
                </w:p>
              </w:tc>
              <w:tc>
                <w:tcPr>
                  <w:tcW w:w="958" w:type="pct"/>
                  <w:tcBorders>
                    <w:tl2br w:val="nil"/>
                    <w:tr2bl w:val="nil"/>
                  </w:tcBorders>
                  <w:vAlign w:val="center"/>
                </w:tcPr>
                <w:p w14:paraId="76B21AD9">
                  <w:pPr>
                    <w:jc w:val="center"/>
                    <w:rPr>
                      <w:rFonts w:eastAsia="仿宋_GB2312"/>
                      <w:sz w:val="21"/>
                      <w:szCs w:val="21"/>
                    </w:rPr>
                  </w:pPr>
                  <w:r>
                    <w:rPr>
                      <w:rFonts w:eastAsia="仿宋_GB2312"/>
                      <w:sz w:val="21"/>
                      <w:szCs w:val="21"/>
                    </w:rPr>
                    <w:t>1×</w:t>
                  </w:r>
                  <w:r>
                    <w:rPr>
                      <w:rFonts w:eastAsia="仿宋_GB2312"/>
                      <w:snapToGrid w:val="0"/>
                      <w:color w:val="000000" w:themeColor="text1"/>
                      <w:sz w:val="21"/>
                      <w:szCs w:val="21"/>
                    </w:rPr>
                    <w:t>120m</w:t>
                  </w:r>
                  <w:r>
                    <w:rPr>
                      <w:rFonts w:eastAsia="仿宋_GB2312"/>
                      <w:snapToGrid w:val="0"/>
                      <w:color w:val="000000" w:themeColor="text1"/>
                      <w:sz w:val="21"/>
                      <w:szCs w:val="21"/>
                      <w:vertAlign w:val="superscript"/>
                    </w:rPr>
                    <w:t>3</w:t>
                  </w:r>
                </w:p>
              </w:tc>
              <w:tc>
                <w:tcPr>
                  <w:tcW w:w="1010" w:type="pct"/>
                  <w:tcBorders>
                    <w:tl2br w:val="nil"/>
                    <w:tr2bl w:val="nil"/>
                  </w:tcBorders>
                  <w:vAlign w:val="center"/>
                </w:tcPr>
                <w:p w14:paraId="346B7E6C">
                  <w:pPr>
                    <w:adjustRightInd w:val="0"/>
                    <w:snapToGrid w:val="0"/>
                    <w:jc w:val="center"/>
                    <w:rPr>
                      <w:rFonts w:eastAsia="仿宋_GB2312"/>
                      <w:sz w:val="21"/>
                      <w:szCs w:val="21"/>
                    </w:rPr>
                  </w:pPr>
                  <w:r>
                    <w:rPr>
                      <w:rFonts w:hint="eastAsia" w:eastAsia="仿宋_GB2312"/>
                      <w:sz w:val="21"/>
                      <w:szCs w:val="21"/>
                      <w:lang w:val="en-US" w:eastAsia="zh-CN"/>
                    </w:rPr>
                    <w:t>新增，用于连续双膜法</w:t>
                  </w:r>
                </w:p>
              </w:tc>
            </w:tr>
            <w:tr w14:paraId="6206F30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39" w:type="pct"/>
                  <w:vMerge w:val="continue"/>
                  <w:tcBorders>
                    <w:tl2br w:val="nil"/>
                    <w:tr2bl w:val="nil"/>
                  </w:tcBorders>
                  <w:vAlign w:val="center"/>
                </w:tcPr>
                <w:p w14:paraId="1B9E94A3">
                  <w:pPr>
                    <w:adjustRightInd w:val="0"/>
                    <w:snapToGrid w:val="0"/>
                    <w:jc w:val="center"/>
                    <w:rPr>
                      <w:rFonts w:eastAsia="仿宋_GB2312"/>
                      <w:kern w:val="0"/>
                      <w:sz w:val="21"/>
                      <w:szCs w:val="21"/>
                    </w:rPr>
                  </w:pPr>
                </w:p>
              </w:tc>
              <w:tc>
                <w:tcPr>
                  <w:tcW w:w="780" w:type="pct"/>
                  <w:gridSpan w:val="2"/>
                  <w:tcBorders>
                    <w:tl2br w:val="nil"/>
                    <w:tr2bl w:val="nil"/>
                  </w:tcBorders>
                  <w:vAlign w:val="center"/>
                </w:tcPr>
                <w:p w14:paraId="46F5E0EF">
                  <w:pPr>
                    <w:jc w:val="center"/>
                    <w:rPr>
                      <w:rFonts w:eastAsia="仿宋_GB2312"/>
                      <w:snapToGrid w:val="0"/>
                      <w:color w:val="000000" w:themeColor="text1"/>
                      <w:kern w:val="0"/>
                      <w:sz w:val="21"/>
                      <w:szCs w:val="21"/>
                    </w:rPr>
                  </w:pPr>
                  <w:r>
                    <w:rPr>
                      <w:rFonts w:eastAsia="仿宋_GB2312"/>
                      <w:snapToGrid w:val="0"/>
                      <w:color w:val="000000" w:themeColor="text1"/>
                      <w:kern w:val="0"/>
                      <w:sz w:val="21"/>
                      <w:szCs w:val="21"/>
                    </w:rPr>
                    <w:t>次氯酸钠储罐</w:t>
                  </w:r>
                </w:p>
              </w:tc>
              <w:tc>
                <w:tcPr>
                  <w:tcW w:w="955" w:type="pct"/>
                  <w:tcBorders>
                    <w:tl2br w:val="nil"/>
                    <w:tr2bl w:val="nil"/>
                  </w:tcBorders>
                  <w:vAlign w:val="center"/>
                </w:tcPr>
                <w:p w14:paraId="1695889F">
                  <w:pPr>
                    <w:jc w:val="center"/>
                    <w:rPr>
                      <w:rFonts w:eastAsia="仿宋_GB2312"/>
                      <w:sz w:val="21"/>
                      <w:szCs w:val="21"/>
                    </w:rPr>
                  </w:pPr>
                  <w:r>
                    <w:rPr>
                      <w:rFonts w:eastAsia="仿宋_GB2312"/>
                      <w:sz w:val="21"/>
                      <w:szCs w:val="21"/>
                    </w:rPr>
                    <w:t>0</w:t>
                  </w:r>
                </w:p>
              </w:tc>
              <w:tc>
                <w:tcPr>
                  <w:tcW w:w="955" w:type="pct"/>
                  <w:tcBorders>
                    <w:tl2br w:val="nil"/>
                    <w:tr2bl w:val="nil"/>
                  </w:tcBorders>
                  <w:vAlign w:val="center"/>
                </w:tcPr>
                <w:p w14:paraId="3EBDA898">
                  <w:pPr>
                    <w:pStyle w:val="56"/>
                    <w:spacing w:beforeLines="0" w:afterLines="0" w:line="240" w:lineRule="auto"/>
                    <w:rPr>
                      <w:rFonts w:ascii="Times New Roman" w:eastAsia="仿宋_GB2312"/>
                      <w:sz w:val="21"/>
                      <w:szCs w:val="21"/>
                    </w:rPr>
                  </w:pPr>
                  <w:r>
                    <w:rPr>
                      <w:rFonts w:ascii="Times New Roman" w:eastAsia="仿宋_GB2312"/>
                      <w:sz w:val="21"/>
                      <w:szCs w:val="21"/>
                    </w:rPr>
                    <w:t>1×</w:t>
                  </w:r>
                  <w:r>
                    <w:rPr>
                      <w:rFonts w:ascii="Times New Roman" w:eastAsia="仿宋_GB2312"/>
                      <w:snapToGrid w:val="0"/>
                      <w:color w:val="000000" w:themeColor="text1"/>
                      <w:sz w:val="21"/>
                      <w:szCs w:val="21"/>
                    </w:rPr>
                    <w:t>55 m</w:t>
                  </w:r>
                  <w:r>
                    <w:rPr>
                      <w:rFonts w:ascii="Times New Roman" w:eastAsia="仿宋_GB2312"/>
                      <w:snapToGrid w:val="0"/>
                      <w:color w:val="000000" w:themeColor="text1"/>
                      <w:sz w:val="21"/>
                      <w:szCs w:val="21"/>
                      <w:vertAlign w:val="superscript"/>
                    </w:rPr>
                    <w:t>3</w:t>
                  </w:r>
                </w:p>
              </w:tc>
              <w:tc>
                <w:tcPr>
                  <w:tcW w:w="958" w:type="pct"/>
                  <w:tcBorders>
                    <w:tl2br w:val="nil"/>
                    <w:tr2bl w:val="nil"/>
                  </w:tcBorders>
                  <w:vAlign w:val="center"/>
                </w:tcPr>
                <w:p w14:paraId="1E0EC99B">
                  <w:pPr>
                    <w:jc w:val="center"/>
                    <w:rPr>
                      <w:rFonts w:eastAsia="仿宋_GB2312"/>
                      <w:sz w:val="21"/>
                      <w:szCs w:val="21"/>
                    </w:rPr>
                  </w:pPr>
                  <w:r>
                    <w:rPr>
                      <w:rFonts w:eastAsia="仿宋_GB2312"/>
                      <w:sz w:val="21"/>
                      <w:szCs w:val="21"/>
                    </w:rPr>
                    <w:t>1×</w:t>
                  </w:r>
                  <w:r>
                    <w:rPr>
                      <w:rFonts w:eastAsia="仿宋_GB2312"/>
                      <w:snapToGrid w:val="0"/>
                      <w:color w:val="000000" w:themeColor="text1"/>
                      <w:sz w:val="21"/>
                      <w:szCs w:val="21"/>
                    </w:rPr>
                    <w:t>55 m</w:t>
                  </w:r>
                  <w:r>
                    <w:rPr>
                      <w:rFonts w:eastAsia="仿宋_GB2312"/>
                      <w:snapToGrid w:val="0"/>
                      <w:color w:val="000000" w:themeColor="text1"/>
                      <w:sz w:val="21"/>
                      <w:szCs w:val="21"/>
                      <w:vertAlign w:val="superscript"/>
                    </w:rPr>
                    <w:t>3</w:t>
                  </w:r>
                </w:p>
              </w:tc>
              <w:tc>
                <w:tcPr>
                  <w:tcW w:w="1010" w:type="pct"/>
                  <w:tcBorders>
                    <w:tl2br w:val="nil"/>
                    <w:tr2bl w:val="nil"/>
                  </w:tcBorders>
                  <w:vAlign w:val="center"/>
                </w:tcPr>
                <w:p w14:paraId="5113309F">
                  <w:pPr>
                    <w:adjustRightInd w:val="0"/>
                    <w:snapToGrid w:val="0"/>
                    <w:jc w:val="center"/>
                    <w:rPr>
                      <w:rFonts w:eastAsia="仿宋_GB2312"/>
                      <w:sz w:val="21"/>
                      <w:szCs w:val="21"/>
                    </w:rPr>
                  </w:pPr>
                  <w:r>
                    <w:rPr>
                      <w:rFonts w:hint="eastAsia" w:eastAsia="仿宋_GB2312"/>
                      <w:sz w:val="21"/>
                      <w:szCs w:val="21"/>
                      <w:lang w:val="en-US" w:eastAsia="zh-CN"/>
                    </w:rPr>
                    <w:t>新增，用于连续双膜法</w:t>
                  </w:r>
                </w:p>
              </w:tc>
            </w:tr>
            <w:tr w14:paraId="144172F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39" w:type="pct"/>
                  <w:vMerge w:val="continue"/>
                  <w:tcBorders>
                    <w:tl2br w:val="nil"/>
                    <w:tr2bl w:val="nil"/>
                  </w:tcBorders>
                  <w:vAlign w:val="center"/>
                </w:tcPr>
                <w:p w14:paraId="68C582E6">
                  <w:pPr>
                    <w:adjustRightInd w:val="0"/>
                    <w:snapToGrid w:val="0"/>
                    <w:jc w:val="center"/>
                    <w:rPr>
                      <w:rFonts w:eastAsia="仿宋_GB2312"/>
                      <w:kern w:val="0"/>
                      <w:sz w:val="21"/>
                      <w:szCs w:val="21"/>
                    </w:rPr>
                  </w:pPr>
                </w:p>
              </w:tc>
              <w:tc>
                <w:tcPr>
                  <w:tcW w:w="780" w:type="pct"/>
                  <w:gridSpan w:val="2"/>
                  <w:tcBorders>
                    <w:tl2br w:val="nil"/>
                    <w:tr2bl w:val="nil"/>
                  </w:tcBorders>
                  <w:vAlign w:val="center"/>
                </w:tcPr>
                <w:p w14:paraId="1EEF3B3C">
                  <w:pPr>
                    <w:jc w:val="center"/>
                    <w:rPr>
                      <w:rFonts w:eastAsia="仿宋_GB2312"/>
                      <w:snapToGrid w:val="0"/>
                      <w:color w:val="000000" w:themeColor="text1"/>
                      <w:kern w:val="0"/>
                      <w:sz w:val="21"/>
                      <w:szCs w:val="21"/>
                    </w:rPr>
                  </w:pPr>
                  <w:r>
                    <w:rPr>
                      <w:rFonts w:eastAsia="仿宋_GB2312"/>
                      <w:snapToGrid w:val="0"/>
                      <w:color w:val="000000" w:themeColor="text1"/>
                      <w:sz w:val="21"/>
                      <w:szCs w:val="21"/>
                    </w:rPr>
                    <w:t>亚硫酸钠配置罐</w:t>
                  </w:r>
                </w:p>
              </w:tc>
              <w:tc>
                <w:tcPr>
                  <w:tcW w:w="955" w:type="pct"/>
                  <w:tcBorders>
                    <w:tl2br w:val="nil"/>
                    <w:tr2bl w:val="nil"/>
                  </w:tcBorders>
                  <w:vAlign w:val="center"/>
                </w:tcPr>
                <w:p w14:paraId="5197C68D">
                  <w:pPr>
                    <w:jc w:val="center"/>
                    <w:rPr>
                      <w:rFonts w:eastAsia="仿宋_GB2312"/>
                      <w:sz w:val="21"/>
                      <w:szCs w:val="21"/>
                    </w:rPr>
                  </w:pPr>
                  <w:r>
                    <w:rPr>
                      <w:rFonts w:eastAsia="仿宋_GB2312"/>
                      <w:sz w:val="21"/>
                      <w:szCs w:val="21"/>
                    </w:rPr>
                    <w:t>0</w:t>
                  </w:r>
                </w:p>
              </w:tc>
              <w:tc>
                <w:tcPr>
                  <w:tcW w:w="955" w:type="pct"/>
                  <w:tcBorders>
                    <w:tl2br w:val="nil"/>
                    <w:tr2bl w:val="nil"/>
                  </w:tcBorders>
                  <w:vAlign w:val="center"/>
                </w:tcPr>
                <w:p w14:paraId="18938EBA">
                  <w:pPr>
                    <w:pStyle w:val="56"/>
                    <w:spacing w:beforeLines="0" w:afterLines="0" w:line="240" w:lineRule="auto"/>
                    <w:rPr>
                      <w:rFonts w:ascii="Times New Roman" w:eastAsia="仿宋_GB2312"/>
                      <w:sz w:val="21"/>
                      <w:szCs w:val="21"/>
                    </w:rPr>
                  </w:pPr>
                  <w:r>
                    <w:rPr>
                      <w:rFonts w:ascii="Times New Roman" w:eastAsia="仿宋_GB2312"/>
                      <w:sz w:val="21"/>
                      <w:szCs w:val="21"/>
                    </w:rPr>
                    <w:t>1×</w:t>
                  </w:r>
                  <w:r>
                    <w:rPr>
                      <w:rFonts w:ascii="Times New Roman" w:eastAsia="仿宋_GB2312"/>
                      <w:snapToGrid w:val="0"/>
                      <w:color w:val="000000" w:themeColor="text1"/>
                      <w:sz w:val="21"/>
                      <w:szCs w:val="21"/>
                    </w:rPr>
                    <w:t>15m</w:t>
                  </w:r>
                  <w:r>
                    <w:rPr>
                      <w:rFonts w:ascii="Times New Roman" w:eastAsia="仿宋_GB2312"/>
                      <w:snapToGrid w:val="0"/>
                      <w:color w:val="000000" w:themeColor="text1"/>
                      <w:sz w:val="21"/>
                      <w:szCs w:val="21"/>
                      <w:vertAlign w:val="superscript"/>
                    </w:rPr>
                    <w:t>3</w:t>
                  </w:r>
                </w:p>
              </w:tc>
              <w:tc>
                <w:tcPr>
                  <w:tcW w:w="958" w:type="pct"/>
                  <w:tcBorders>
                    <w:tl2br w:val="nil"/>
                    <w:tr2bl w:val="nil"/>
                  </w:tcBorders>
                  <w:vAlign w:val="center"/>
                </w:tcPr>
                <w:p w14:paraId="4CBE6DFD">
                  <w:pPr>
                    <w:jc w:val="center"/>
                    <w:rPr>
                      <w:rFonts w:eastAsia="仿宋_GB2312"/>
                      <w:sz w:val="21"/>
                      <w:szCs w:val="21"/>
                    </w:rPr>
                  </w:pPr>
                  <w:r>
                    <w:rPr>
                      <w:rFonts w:eastAsia="仿宋_GB2312"/>
                      <w:sz w:val="21"/>
                      <w:szCs w:val="21"/>
                    </w:rPr>
                    <w:t>1×</w:t>
                  </w:r>
                  <w:r>
                    <w:rPr>
                      <w:rFonts w:eastAsia="仿宋_GB2312"/>
                      <w:snapToGrid w:val="0"/>
                      <w:color w:val="000000" w:themeColor="text1"/>
                      <w:sz w:val="21"/>
                      <w:szCs w:val="21"/>
                    </w:rPr>
                    <w:t>15m</w:t>
                  </w:r>
                  <w:r>
                    <w:rPr>
                      <w:rFonts w:eastAsia="仿宋_GB2312"/>
                      <w:snapToGrid w:val="0"/>
                      <w:color w:val="000000" w:themeColor="text1"/>
                      <w:sz w:val="21"/>
                      <w:szCs w:val="21"/>
                      <w:vertAlign w:val="superscript"/>
                    </w:rPr>
                    <w:t>3</w:t>
                  </w:r>
                </w:p>
              </w:tc>
              <w:tc>
                <w:tcPr>
                  <w:tcW w:w="1010" w:type="pct"/>
                  <w:tcBorders>
                    <w:tl2br w:val="nil"/>
                    <w:tr2bl w:val="nil"/>
                  </w:tcBorders>
                  <w:vAlign w:val="center"/>
                </w:tcPr>
                <w:p w14:paraId="4C69FA24">
                  <w:pPr>
                    <w:adjustRightInd w:val="0"/>
                    <w:snapToGrid w:val="0"/>
                    <w:jc w:val="center"/>
                    <w:rPr>
                      <w:rFonts w:eastAsia="仿宋_GB2312"/>
                      <w:sz w:val="21"/>
                      <w:szCs w:val="21"/>
                    </w:rPr>
                  </w:pPr>
                  <w:r>
                    <w:rPr>
                      <w:rFonts w:hint="eastAsia" w:eastAsia="仿宋_GB2312"/>
                      <w:sz w:val="21"/>
                      <w:szCs w:val="21"/>
                      <w:lang w:val="en-US" w:eastAsia="zh-CN"/>
                    </w:rPr>
                    <w:t>新增，用于连续双膜法</w:t>
                  </w:r>
                </w:p>
              </w:tc>
            </w:tr>
            <w:tr w14:paraId="374487E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39" w:type="pct"/>
                  <w:vMerge w:val="continue"/>
                  <w:tcBorders>
                    <w:tl2br w:val="nil"/>
                    <w:tr2bl w:val="nil"/>
                  </w:tcBorders>
                  <w:vAlign w:val="center"/>
                </w:tcPr>
                <w:p w14:paraId="7573BFF2">
                  <w:pPr>
                    <w:adjustRightInd w:val="0"/>
                    <w:snapToGrid w:val="0"/>
                    <w:jc w:val="center"/>
                    <w:rPr>
                      <w:rFonts w:eastAsia="仿宋_GB2312"/>
                      <w:kern w:val="0"/>
                      <w:sz w:val="21"/>
                      <w:szCs w:val="21"/>
                    </w:rPr>
                  </w:pPr>
                </w:p>
              </w:tc>
              <w:tc>
                <w:tcPr>
                  <w:tcW w:w="780" w:type="pct"/>
                  <w:gridSpan w:val="2"/>
                  <w:tcBorders>
                    <w:tl2br w:val="nil"/>
                    <w:tr2bl w:val="nil"/>
                  </w:tcBorders>
                  <w:vAlign w:val="center"/>
                </w:tcPr>
                <w:p w14:paraId="03D05C75">
                  <w:pPr>
                    <w:jc w:val="center"/>
                    <w:rPr>
                      <w:rFonts w:eastAsia="仿宋_GB2312"/>
                      <w:snapToGrid w:val="0"/>
                      <w:color w:val="000000" w:themeColor="text1"/>
                      <w:kern w:val="0"/>
                      <w:sz w:val="21"/>
                      <w:szCs w:val="21"/>
                    </w:rPr>
                  </w:pPr>
                  <w:r>
                    <w:rPr>
                      <w:rFonts w:eastAsia="仿宋_GB2312"/>
                      <w:snapToGrid w:val="0"/>
                      <w:color w:val="000000" w:themeColor="text1"/>
                      <w:sz w:val="21"/>
                      <w:szCs w:val="21"/>
                    </w:rPr>
                    <w:t>亚硫酸钠储罐</w:t>
                  </w:r>
                </w:p>
              </w:tc>
              <w:tc>
                <w:tcPr>
                  <w:tcW w:w="955" w:type="pct"/>
                  <w:tcBorders>
                    <w:tl2br w:val="nil"/>
                    <w:tr2bl w:val="nil"/>
                  </w:tcBorders>
                  <w:vAlign w:val="center"/>
                </w:tcPr>
                <w:p w14:paraId="60154C87">
                  <w:pPr>
                    <w:jc w:val="center"/>
                    <w:rPr>
                      <w:rFonts w:eastAsia="仿宋_GB2312"/>
                      <w:sz w:val="21"/>
                      <w:szCs w:val="21"/>
                    </w:rPr>
                  </w:pPr>
                  <w:r>
                    <w:rPr>
                      <w:rFonts w:eastAsia="仿宋_GB2312"/>
                      <w:sz w:val="21"/>
                      <w:szCs w:val="21"/>
                    </w:rPr>
                    <w:t>0</w:t>
                  </w:r>
                </w:p>
              </w:tc>
              <w:tc>
                <w:tcPr>
                  <w:tcW w:w="955" w:type="pct"/>
                  <w:tcBorders>
                    <w:tl2br w:val="nil"/>
                    <w:tr2bl w:val="nil"/>
                  </w:tcBorders>
                  <w:vAlign w:val="center"/>
                </w:tcPr>
                <w:p w14:paraId="2AE60DC3">
                  <w:pPr>
                    <w:pStyle w:val="56"/>
                    <w:spacing w:beforeLines="0" w:afterLines="0" w:line="240" w:lineRule="auto"/>
                    <w:rPr>
                      <w:rFonts w:ascii="Times New Roman" w:eastAsia="仿宋_GB2312"/>
                      <w:sz w:val="21"/>
                      <w:szCs w:val="21"/>
                    </w:rPr>
                  </w:pPr>
                  <w:r>
                    <w:rPr>
                      <w:rFonts w:ascii="Times New Roman" w:eastAsia="仿宋_GB2312"/>
                      <w:sz w:val="21"/>
                      <w:szCs w:val="21"/>
                    </w:rPr>
                    <w:t>1×</w:t>
                  </w:r>
                  <w:r>
                    <w:rPr>
                      <w:rFonts w:ascii="Times New Roman" w:eastAsia="仿宋_GB2312"/>
                      <w:snapToGrid w:val="0"/>
                      <w:color w:val="000000" w:themeColor="text1"/>
                      <w:sz w:val="21"/>
                      <w:szCs w:val="21"/>
                    </w:rPr>
                    <w:t>55m</w:t>
                  </w:r>
                  <w:r>
                    <w:rPr>
                      <w:rFonts w:ascii="Times New Roman" w:eastAsia="仿宋_GB2312"/>
                      <w:snapToGrid w:val="0"/>
                      <w:color w:val="000000" w:themeColor="text1"/>
                      <w:sz w:val="21"/>
                      <w:szCs w:val="21"/>
                      <w:vertAlign w:val="superscript"/>
                    </w:rPr>
                    <w:t>3</w:t>
                  </w:r>
                </w:p>
              </w:tc>
              <w:tc>
                <w:tcPr>
                  <w:tcW w:w="958" w:type="pct"/>
                  <w:tcBorders>
                    <w:tl2br w:val="nil"/>
                    <w:tr2bl w:val="nil"/>
                  </w:tcBorders>
                  <w:vAlign w:val="center"/>
                </w:tcPr>
                <w:p w14:paraId="313D8FD5">
                  <w:pPr>
                    <w:jc w:val="center"/>
                    <w:rPr>
                      <w:rFonts w:eastAsia="仿宋_GB2312"/>
                      <w:sz w:val="21"/>
                      <w:szCs w:val="21"/>
                    </w:rPr>
                  </w:pPr>
                  <w:r>
                    <w:rPr>
                      <w:rFonts w:eastAsia="仿宋_GB2312"/>
                      <w:sz w:val="21"/>
                      <w:szCs w:val="21"/>
                    </w:rPr>
                    <w:t>1×</w:t>
                  </w:r>
                  <w:r>
                    <w:rPr>
                      <w:rFonts w:eastAsia="仿宋_GB2312"/>
                      <w:snapToGrid w:val="0"/>
                      <w:color w:val="000000" w:themeColor="text1"/>
                      <w:sz w:val="21"/>
                      <w:szCs w:val="21"/>
                    </w:rPr>
                    <w:t>55m</w:t>
                  </w:r>
                  <w:r>
                    <w:rPr>
                      <w:rFonts w:eastAsia="仿宋_GB2312"/>
                      <w:snapToGrid w:val="0"/>
                      <w:color w:val="000000" w:themeColor="text1"/>
                      <w:sz w:val="21"/>
                      <w:szCs w:val="21"/>
                      <w:vertAlign w:val="superscript"/>
                    </w:rPr>
                    <w:t>3</w:t>
                  </w:r>
                </w:p>
              </w:tc>
              <w:tc>
                <w:tcPr>
                  <w:tcW w:w="1010" w:type="pct"/>
                  <w:tcBorders>
                    <w:tl2br w:val="nil"/>
                    <w:tr2bl w:val="nil"/>
                  </w:tcBorders>
                  <w:vAlign w:val="center"/>
                </w:tcPr>
                <w:p w14:paraId="4618E2D8">
                  <w:pPr>
                    <w:adjustRightInd w:val="0"/>
                    <w:snapToGrid w:val="0"/>
                    <w:jc w:val="center"/>
                    <w:rPr>
                      <w:rFonts w:eastAsia="仿宋_GB2312"/>
                      <w:sz w:val="21"/>
                      <w:szCs w:val="21"/>
                    </w:rPr>
                  </w:pPr>
                  <w:r>
                    <w:rPr>
                      <w:rFonts w:hint="eastAsia" w:eastAsia="仿宋_GB2312"/>
                      <w:sz w:val="21"/>
                      <w:szCs w:val="21"/>
                      <w:lang w:val="en-US" w:eastAsia="zh-CN"/>
                    </w:rPr>
                    <w:t>新增，用于连续双膜法</w:t>
                  </w:r>
                </w:p>
              </w:tc>
            </w:tr>
            <w:tr w14:paraId="642C867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39" w:type="pct"/>
                  <w:vMerge w:val="continue"/>
                  <w:tcBorders>
                    <w:tl2br w:val="nil"/>
                    <w:tr2bl w:val="nil"/>
                  </w:tcBorders>
                  <w:vAlign w:val="center"/>
                </w:tcPr>
                <w:p w14:paraId="29BDC1A5">
                  <w:pPr>
                    <w:adjustRightInd w:val="0"/>
                    <w:snapToGrid w:val="0"/>
                    <w:jc w:val="center"/>
                    <w:rPr>
                      <w:rFonts w:eastAsia="仿宋_GB2312"/>
                      <w:kern w:val="0"/>
                      <w:sz w:val="21"/>
                      <w:szCs w:val="21"/>
                    </w:rPr>
                  </w:pPr>
                </w:p>
              </w:tc>
              <w:tc>
                <w:tcPr>
                  <w:tcW w:w="780" w:type="pct"/>
                  <w:gridSpan w:val="2"/>
                  <w:tcBorders>
                    <w:tl2br w:val="nil"/>
                    <w:tr2bl w:val="nil"/>
                  </w:tcBorders>
                  <w:vAlign w:val="center"/>
                </w:tcPr>
                <w:p w14:paraId="025879D8">
                  <w:pPr>
                    <w:jc w:val="center"/>
                    <w:rPr>
                      <w:rFonts w:eastAsia="仿宋_GB2312"/>
                      <w:snapToGrid w:val="0"/>
                      <w:color w:val="000000" w:themeColor="text1"/>
                      <w:kern w:val="0"/>
                      <w:sz w:val="21"/>
                      <w:szCs w:val="21"/>
                    </w:rPr>
                  </w:pPr>
                  <w:r>
                    <w:rPr>
                      <w:rFonts w:eastAsia="仿宋_GB2312"/>
                      <w:snapToGrid w:val="0"/>
                      <w:color w:val="000000" w:themeColor="text1"/>
                      <w:kern w:val="0"/>
                      <w:sz w:val="21"/>
                      <w:szCs w:val="21"/>
                    </w:rPr>
                    <w:t>盐酸储罐</w:t>
                  </w:r>
                </w:p>
              </w:tc>
              <w:tc>
                <w:tcPr>
                  <w:tcW w:w="955" w:type="pct"/>
                  <w:tcBorders>
                    <w:tl2br w:val="nil"/>
                    <w:tr2bl w:val="nil"/>
                  </w:tcBorders>
                  <w:vAlign w:val="center"/>
                </w:tcPr>
                <w:p w14:paraId="37EB3756">
                  <w:pPr>
                    <w:jc w:val="center"/>
                    <w:rPr>
                      <w:rFonts w:eastAsia="仿宋_GB2312"/>
                      <w:sz w:val="21"/>
                      <w:szCs w:val="21"/>
                    </w:rPr>
                  </w:pPr>
                  <w:r>
                    <w:rPr>
                      <w:rFonts w:eastAsia="仿宋_GB2312"/>
                      <w:sz w:val="21"/>
                      <w:szCs w:val="21"/>
                    </w:rPr>
                    <w:t>0</w:t>
                  </w:r>
                </w:p>
              </w:tc>
              <w:tc>
                <w:tcPr>
                  <w:tcW w:w="955" w:type="pct"/>
                  <w:tcBorders>
                    <w:tl2br w:val="nil"/>
                    <w:tr2bl w:val="nil"/>
                  </w:tcBorders>
                  <w:vAlign w:val="center"/>
                </w:tcPr>
                <w:p w14:paraId="6721BCBF">
                  <w:pPr>
                    <w:pStyle w:val="56"/>
                    <w:spacing w:beforeLines="0" w:afterLines="0" w:line="240" w:lineRule="auto"/>
                    <w:rPr>
                      <w:rFonts w:ascii="Times New Roman" w:eastAsia="仿宋_GB2312"/>
                      <w:sz w:val="21"/>
                      <w:szCs w:val="21"/>
                    </w:rPr>
                  </w:pPr>
                  <w:r>
                    <w:rPr>
                      <w:rFonts w:ascii="Times New Roman" w:eastAsia="仿宋_GB2312"/>
                      <w:sz w:val="21"/>
                      <w:szCs w:val="21"/>
                    </w:rPr>
                    <w:t>1×</w:t>
                  </w:r>
                  <w:r>
                    <w:rPr>
                      <w:rFonts w:ascii="Times New Roman" w:eastAsia="仿宋_GB2312"/>
                      <w:snapToGrid w:val="0"/>
                      <w:color w:val="000000" w:themeColor="text1"/>
                      <w:sz w:val="21"/>
                      <w:szCs w:val="21"/>
                    </w:rPr>
                    <w:t>55m</w:t>
                  </w:r>
                  <w:r>
                    <w:rPr>
                      <w:rFonts w:ascii="Times New Roman" w:eastAsia="仿宋_GB2312"/>
                      <w:snapToGrid w:val="0"/>
                      <w:color w:val="000000" w:themeColor="text1"/>
                      <w:sz w:val="21"/>
                      <w:szCs w:val="21"/>
                      <w:vertAlign w:val="superscript"/>
                    </w:rPr>
                    <w:t>3</w:t>
                  </w:r>
                </w:p>
              </w:tc>
              <w:tc>
                <w:tcPr>
                  <w:tcW w:w="958" w:type="pct"/>
                  <w:tcBorders>
                    <w:tl2br w:val="nil"/>
                    <w:tr2bl w:val="nil"/>
                  </w:tcBorders>
                  <w:vAlign w:val="center"/>
                </w:tcPr>
                <w:p w14:paraId="7CA1A89A">
                  <w:pPr>
                    <w:jc w:val="center"/>
                    <w:rPr>
                      <w:rFonts w:eastAsia="仿宋_GB2312"/>
                      <w:sz w:val="21"/>
                      <w:szCs w:val="21"/>
                    </w:rPr>
                  </w:pPr>
                  <w:r>
                    <w:rPr>
                      <w:rFonts w:eastAsia="仿宋_GB2312"/>
                      <w:sz w:val="21"/>
                      <w:szCs w:val="21"/>
                    </w:rPr>
                    <w:t>1×</w:t>
                  </w:r>
                  <w:r>
                    <w:rPr>
                      <w:rFonts w:eastAsia="仿宋_GB2312"/>
                      <w:snapToGrid w:val="0"/>
                      <w:color w:val="000000" w:themeColor="text1"/>
                      <w:sz w:val="21"/>
                      <w:szCs w:val="21"/>
                    </w:rPr>
                    <w:t>55m</w:t>
                  </w:r>
                  <w:r>
                    <w:rPr>
                      <w:rFonts w:eastAsia="仿宋_GB2312"/>
                      <w:snapToGrid w:val="0"/>
                      <w:color w:val="000000" w:themeColor="text1"/>
                      <w:sz w:val="21"/>
                      <w:szCs w:val="21"/>
                      <w:vertAlign w:val="superscript"/>
                    </w:rPr>
                    <w:t>3</w:t>
                  </w:r>
                </w:p>
              </w:tc>
              <w:tc>
                <w:tcPr>
                  <w:tcW w:w="1010" w:type="pct"/>
                  <w:tcBorders>
                    <w:tl2br w:val="nil"/>
                    <w:tr2bl w:val="nil"/>
                  </w:tcBorders>
                  <w:vAlign w:val="center"/>
                </w:tcPr>
                <w:p w14:paraId="3E11372F">
                  <w:pPr>
                    <w:adjustRightInd w:val="0"/>
                    <w:snapToGrid w:val="0"/>
                    <w:jc w:val="center"/>
                    <w:rPr>
                      <w:rFonts w:eastAsia="仿宋_GB2312"/>
                      <w:sz w:val="21"/>
                      <w:szCs w:val="21"/>
                    </w:rPr>
                  </w:pPr>
                  <w:r>
                    <w:rPr>
                      <w:rFonts w:hint="eastAsia" w:eastAsia="仿宋_GB2312"/>
                      <w:sz w:val="21"/>
                      <w:szCs w:val="21"/>
                      <w:lang w:val="en-US" w:eastAsia="zh-CN"/>
                    </w:rPr>
                    <w:t>新增，用于连续双膜法</w:t>
                  </w:r>
                </w:p>
              </w:tc>
            </w:tr>
            <w:tr w14:paraId="303F816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39" w:type="pct"/>
                  <w:vMerge w:val="continue"/>
                  <w:tcBorders>
                    <w:tl2br w:val="nil"/>
                    <w:tr2bl w:val="nil"/>
                  </w:tcBorders>
                  <w:vAlign w:val="center"/>
                </w:tcPr>
                <w:p w14:paraId="024B7190">
                  <w:pPr>
                    <w:adjustRightInd w:val="0"/>
                    <w:snapToGrid w:val="0"/>
                    <w:jc w:val="center"/>
                    <w:rPr>
                      <w:rFonts w:eastAsia="仿宋_GB2312"/>
                      <w:kern w:val="0"/>
                      <w:sz w:val="21"/>
                      <w:szCs w:val="21"/>
                    </w:rPr>
                  </w:pPr>
                </w:p>
              </w:tc>
              <w:tc>
                <w:tcPr>
                  <w:tcW w:w="780" w:type="pct"/>
                  <w:gridSpan w:val="2"/>
                  <w:tcBorders>
                    <w:tl2br w:val="nil"/>
                    <w:tr2bl w:val="nil"/>
                  </w:tcBorders>
                  <w:vAlign w:val="center"/>
                </w:tcPr>
                <w:p w14:paraId="0B2C0E2E">
                  <w:pPr>
                    <w:jc w:val="center"/>
                    <w:rPr>
                      <w:rFonts w:eastAsia="仿宋_GB2312"/>
                      <w:snapToGrid w:val="0"/>
                      <w:color w:val="000000" w:themeColor="text1"/>
                      <w:kern w:val="0"/>
                      <w:sz w:val="21"/>
                      <w:szCs w:val="21"/>
                    </w:rPr>
                  </w:pPr>
                  <w:r>
                    <w:rPr>
                      <w:rFonts w:eastAsia="仿宋_GB2312"/>
                      <w:snapToGrid w:val="0"/>
                      <w:color w:val="000000" w:themeColor="text1"/>
                      <w:kern w:val="0"/>
                      <w:sz w:val="21"/>
                      <w:szCs w:val="21"/>
                    </w:rPr>
                    <w:t>液碱储罐</w:t>
                  </w:r>
                </w:p>
              </w:tc>
              <w:tc>
                <w:tcPr>
                  <w:tcW w:w="955" w:type="pct"/>
                  <w:tcBorders>
                    <w:tl2br w:val="nil"/>
                    <w:tr2bl w:val="nil"/>
                  </w:tcBorders>
                  <w:vAlign w:val="center"/>
                </w:tcPr>
                <w:p w14:paraId="062C517B">
                  <w:pPr>
                    <w:jc w:val="center"/>
                    <w:rPr>
                      <w:rFonts w:eastAsia="仿宋_GB2312"/>
                      <w:sz w:val="21"/>
                      <w:szCs w:val="21"/>
                    </w:rPr>
                  </w:pPr>
                  <w:r>
                    <w:rPr>
                      <w:rFonts w:eastAsia="仿宋_GB2312"/>
                      <w:color w:val="auto"/>
                      <w:sz w:val="21"/>
                      <w:szCs w:val="21"/>
                    </w:rPr>
                    <w:t>2×</w:t>
                  </w:r>
                  <w:r>
                    <w:rPr>
                      <w:rFonts w:eastAsia="仿宋_GB2312"/>
                      <w:snapToGrid w:val="0"/>
                      <w:color w:val="auto"/>
                      <w:sz w:val="21"/>
                      <w:szCs w:val="21"/>
                    </w:rPr>
                    <w:t>50m</w:t>
                  </w:r>
                  <w:r>
                    <w:rPr>
                      <w:rFonts w:eastAsia="仿宋_GB2312"/>
                      <w:snapToGrid w:val="0"/>
                      <w:color w:val="auto"/>
                      <w:sz w:val="21"/>
                      <w:szCs w:val="21"/>
                      <w:vertAlign w:val="superscript"/>
                    </w:rPr>
                    <w:t>3</w:t>
                  </w:r>
                </w:p>
              </w:tc>
              <w:tc>
                <w:tcPr>
                  <w:tcW w:w="955" w:type="pct"/>
                  <w:tcBorders>
                    <w:tl2br w:val="nil"/>
                    <w:tr2bl w:val="nil"/>
                  </w:tcBorders>
                  <w:vAlign w:val="center"/>
                </w:tcPr>
                <w:p w14:paraId="1DEA3EFB">
                  <w:pPr>
                    <w:pStyle w:val="56"/>
                    <w:spacing w:beforeLines="0" w:afterLines="0" w:line="240" w:lineRule="auto"/>
                    <w:rPr>
                      <w:rFonts w:ascii="Times New Roman" w:eastAsia="仿宋_GB2312"/>
                      <w:sz w:val="21"/>
                      <w:szCs w:val="21"/>
                    </w:rPr>
                  </w:pPr>
                  <w:r>
                    <w:rPr>
                      <w:rFonts w:ascii="Times New Roman" w:eastAsia="仿宋_GB2312"/>
                      <w:sz w:val="21"/>
                      <w:szCs w:val="21"/>
                    </w:rPr>
                    <w:t>1×</w:t>
                  </w:r>
                  <w:r>
                    <w:rPr>
                      <w:rFonts w:ascii="Times New Roman" w:eastAsia="仿宋_GB2312"/>
                      <w:snapToGrid w:val="0"/>
                      <w:color w:val="000000" w:themeColor="text1"/>
                      <w:sz w:val="21"/>
                      <w:szCs w:val="21"/>
                    </w:rPr>
                    <w:t>95m</w:t>
                  </w:r>
                  <w:r>
                    <w:rPr>
                      <w:rFonts w:ascii="Times New Roman" w:eastAsia="仿宋_GB2312"/>
                      <w:snapToGrid w:val="0"/>
                      <w:color w:val="000000" w:themeColor="text1"/>
                      <w:sz w:val="21"/>
                      <w:szCs w:val="21"/>
                      <w:vertAlign w:val="superscript"/>
                    </w:rPr>
                    <w:t>3</w:t>
                  </w:r>
                </w:p>
              </w:tc>
              <w:tc>
                <w:tcPr>
                  <w:tcW w:w="958" w:type="pct"/>
                  <w:tcBorders>
                    <w:tl2br w:val="nil"/>
                    <w:tr2bl w:val="nil"/>
                  </w:tcBorders>
                  <w:vAlign w:val="center"/>
                </w:tcPr>
                <w:p w14:paraId="44B61B2D">
                  <w:pPr>
                    <w:jc w:val="center"/>
                    <w:rPr>
                      <w:rFonts w:eastAsia="仿宋_GB2312"/>
                      <w:sz w:val="21"/>
                      <w:szCs w:val="21"/>
                    </w:rPr>
                  </w:pPr>
                  <w:r>
                    <w:rPr>
                      <w:rFonts w:eastAsia="仿宋_GB2312"/>
                      <w:color w:val="auto"/>
                      <w:sz w:val="21"/>
                      <w:szCs w:val="21"/>
                    </w:rPr>
                    <w:t>2×</w:t>
                  </w:r>
                  <w:r>
                    <w:rPr>
                      <w:rFonts w:eastAsia="仿宋_GB2312"/>
                      <w:snapToGrid w:val="0"/>
                      <w:color w:val="auto"/>
                      <w:sz w:val="21"/>
                      <w:szCs w:val="21"/>
                    </w:rPr>
                    <w:t>50m</w:t>
                  </w:r>
                  <w:r>
                    <w:rPr>
                      <w:rFonts w:eastAsia="仿宋_GB2312"/>
                      <w:snapToGrid w:val="0"/>
                      <w:color w:val="auto"/>
                      <w:sz w:val="21"/>
                      <w:szCs w:val="21"/>
                      <w:vertAlign w:val="superscript"/>
                    </w:rPr>
                    <w:t>3</w:t>
                  </w:r>
                  <w:r>
                    <w:rPr>
                      <w:rFonts w:hint="eastAsia" w:eastAsia="仿宋_GB2312"/>
                      <w:sz w:val="21"/>
                      <w:szCs w:val="21"/>
                      <w:lang w:eastAsia="zh-CN"/>
                    </w:rPr>
                    <w:t>，</w:t>
                  </w:r>
                  <w:r>
                    <w:rPr>
                      <w:rFonts w:eastAsia="仿宋_GB2312"/>
                      <w:sz w:val="21"/>
                      <w:szCs w:val="21"/>
                    </w:rPr>
                    <w:t>1×</w:t>
                  </w:r>
                  <w:r>
                    <w:rPr>
                      <w:rFonts w:eastAsia="仿宋_GB2312"/>
                      <w:snapToGrid w:val="0"/>
                      <w:color w:val="000000" w:themeColor="text1"/>
                      <w:sz w:val="21"/>
                      <w:szCs w:val="21"/>
                    </w:rPr>
                    <w:t>95m</w:t>
                  </w:r>
                  <w:r>
                    <w:rPr>
                      <w:rFonts w:eastAsia="仿宋_GB2312"/>
                      <w:snapToGrid w:val="0"/>
                      <w:color w:val="000000" w:themeColor="text1"/>
                      <w:sz w:val="21"/>
                      <w:szCs w:val="21"/>
                      <w:vertAlign w:val="superscript"/>
                    </w:rPr>
                    <w:t>3</w:t>
                  </w:r>
                </w:p>
              </w:tc>
              <w:tc>
                <w:tcPr>
                  <w:tcW w:w="1010" w:type="pct"/>
                  <w:tcBorders>
                    <w:tl2br w:val="nil"/>
                    <w:tr2bl w:val="nil"/>
                  </w:tcBorders>
                  <w:vAlign w:val="center"/>
                </w:tcPr>
                <w:p w14:paraId="3E06ACFB">
                  <w:pPr>
                    <w:adjustRightInd w:val="0"/>
                    <w:snapToGrid w:val="0"/>
                    <w:jc w:val="center"/>
                    <w:rPr>
                      <w:rFonts w:eastAsia="仿宋_GB2312"/>
                      <w:sz w:val="21"/>
                      <w:szCs w:val="21"/>
                    </w:rPr>
                  </w:pPr>
                  <w:r>
                    <w:rPr>
                      <w:rFonts w:hint="eastAsia" w:eastAsia="仿宋_GB2312"/>
                      <w:sz w:val="21"/>
                      <w:szCs w:val="21"/>
                      <w:lang w:val="en-US" w:eastAsia="zh-CN"/>
                    </w:rPr>
                    <w:t>新增1个</w:t>
                  </w:r>
                  <w:r>
                    <w:rPr>
                      <w:rFonts w:eastAsia="仿宋_GB2312"/>
                      <w:snapToGrid w:val="0"/>
                      <w:color w:val="000000" w:themeColor="text1"/>
                      <w:sz w:val="21"/>
                      <w:szCs w:val="21"/>
                    </w:rPr>
                    <w:t>95m</w:t>
                  </w:r>
                  <w:r>
                    <w:rPr>
                      <w:rFonts w:eastAsia="仿宋_GB2312"/>
                      <w:snapToGrid w:val="0"/>
                      <w:color w:val="000000" w:themeColor="text1"/>
                      <w:sz w:val="21"/>
                      <w:szCs w:val="21"/>
                      <w:vertAlign w:val="superscript"/>
                    </w:rPr>
                    <w:t>3</w:t>
                  </w:r>
                  <w:r>
                    <w:rPr>
                      <w:rFonts w:hint="eastAsia" w:eastAsia="仿宋_GB2312"/>
                      <w:snapToGrid w:val="0"/>
                      <w:color w:val="000000" w:themeColor="text1"/>
                      <w:sz w:val="21"/>
                      <w:szCs w:val="21"/>
                      <w:vertAlign w:val="baseline"/>
                      <w:lang w:val="en-US" w:eastAsia="zh-CN"/>
                    </w:rPr>
                    <w:t>储罐</w:t>
                  </w:r>
                  <w:r>
                    <w:rPr>
                      <w:rFonts w:hint="eastAsia" w:eastAsia="仿宋_GB2312"/>
                      <w:sz w:val="21"/>
                      <w:szCs w:val="21"/>
                      <w:lang w:val="en-US" w:eastAsia="zh-CN"/>
                    </w:rPr>
                    <w:t>，用于连续双膜法</w:t>
                  </w:r>
                </w:p>
              </w:tc>
            </w:tr>
            <w:tr w14:paraId="4501A70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39" w:type="pct"/>
                  <w:vMerge w:val="continue"/>
                  <w:tcBorders>
                    <w:tl2br w:val="nil"/>
                    <w:tr2bl w:val="nil"/>
                  </w:tcBorders>
                  <w:vAlign w:val="center"/>
                </w:tcPr>
                <w:p w14:paraId="3D8699DB">
                  <w:pPr>
                    <w:adjustRightInd w:val="0"/>
                    <w:snapToGrid w:val="0"/>
                    <w:jc w:val="center"/>
                    <w:rPr>
                      <w:rFonts w:eastAsia="仿宋_GB2312"/>
                      <w:kern w:val="0"/>
                      <w:sz w:val="21"/>
                      <w:szCs w:val="21"/>
                    </w:rPr>
                  </w:pPr>
                </w:p>
              </w:tc>
              <w:tc>
                <w:tcPr>
                  <w:tcW w:w="780" w:type="pct"/>
                  <w:gridSpan w:val="2"/>
                  <w:tcBorders>
                    <w:tl2br w:val="nil"/>
                    <w:tr2bl w:val="nil"/>
                  </w:tcBorders>
                  <w:vAlign w:val="center"/>
                </w:tcPr>
                <w:p w14:paraId="203CFA0C">
                  <w:pPr>
                    <w:jc w:val="center"/>
                    <w:rPr>
                      <w:rFonts w:eastAsia="仿宋_GB2312"/>
                      <w:snapToGrid w:val="0"/>
                      <w:color w:val="000000" w:themeColor="text1"/>
                      <w:kern w:val="0"/>
                      <w:sz w:val="21"/>
                      <w:szCs w:val="21"/>
                    </w:rPr>
                  </w:pPr>
                  <w:r>
                    <w:rPr>
                      <w:rFonts w:eastAsia="仿宋_GB2312"/>
                      <w:snapToGrid w:val="0"/>
                      <w:color w:val="000000" w:themeColor="text1"/>
                      <w:kern w:val="0"/>
                      <w:sz w:val="21"/>
                      <w:szCs w:val="21"/>
                    </w:rPr>
                    <w:t>酸洗罐</w:t>
                  </w:r>
                </w:p>
              </w:tc>
              <w:tc>
                <w:tcPr>
                  <w:tcW w:w="955" w:type="pct"/>
                  <w:tcBorders>
                    <w:tl2br w:val="nil"/>
                    <w:tr2bl w:val="nil"/>
                  </w:tcBorders>
                  <w:vAlign w:val="center"/>
                </w:tcPr>
                <w:p w14:paraId="69BEEF31">
                  <w:pPr>
                    <w:jc w:val="center"/>
                    <w:rPr>
                      <w:rFonts w:eastAsia="仿宋_GB2312"/>
                      <w:sz w:val="21"/>
                      <w:szCs w:val="21"/>
                    </w:rPr>
                  </w:pPr>
                  <w:r>
                    <w:rPr>
                      <w:rFonts w:eastAsia="仿宋_GB2312"/>
                      <w:sz w:val="21"/>
                      <w:szCs w:val="21"/>
                    </w:rPr>
                    <w:t>0</w:t>
                  </w:r>
                </w:p>
              </w:tc>
              <w:tc>
                <w:tcPr>
                  <w:tcW w:w="955" w:type="pct"/>
                  <w:tcBorders>
                    <w:tl2br w:val="nil"/>
                    <w:tr2bl w:val="nil"/>
                  </w:tcBorders>
                  <w:vAlign w:val="center"/>
                </w:tcPr>
                <w:p w14:paraId="45A9174F">
                  <w:pPr>
                    <w:pStyle w:val="56"/>
                    <w:spacing w:beforeLines="0" w:afterLines="0" w:line="240" w:lineRule="auto"/>
                    <w:rPr>
                      <w:rFonts w:ascii="Times New Roman" w:eastAsia="仿宋_GB2312"/>
                      <w:sz w:val="21"/>
                      <w:szCs w:val="21"/>
                    </w:rPr>
                  </w:pPr>
                  <w:r>
                    <w:rPr>
                      <w:rFonts w:ascii="Times New Roman" w:eastAsia="仿宋_GB2312"/>
                      <w:sz w:val="21"/>
                      <w:szCs w:val="21"/>
                    </w:rPr>
                    <w:t>1×</w:t>
                  </w:r>
                  <w:r>
                    <w:rPr>
                      <w:rFonts w:ascii="Times New Roman" w:eastAsia="仿宋_GB2312"/>
                      <w:snapToGrid w:val="0"/>
                      <w:color w:val="000000" w:themeColor="text1"/>
                      <w:sz w:val="21"/>
                      <w:szCs w:val="21"/>
                    </w:rPr>
                    <w:t>72m</w:t>
                  </w:r>
                  <w:r>
                    <w:rPr>
                      <w:rFonts w:ascii="Times New Roman" w:eastAsia="仿宋_GB2312"/>
                      <w:snapToGrid w:val="0"/>
                      <w:color w:val="000000" w:themeColor="text1"/>
                      <w:sz w:val="21"/>
                      <w:szCs w:val="21"/>
                      <w:vertAlign w:val="superscript"/>
                    </w:rPr>
                    <w:t>3</w:t>
                  </w:r>
                </w:p>
              </w:tc>
              <w:tc>
                <w:tcPr>
                  <w:tcW w:w="958" w:type="pct"/>
                  <w:tcBorders>
                    <w:tl2br w:val="nil"/>
                    <w:tr2bl w:val="nil"/>
                  </w:tcBorders>
                  <w:vAlign w:val="center"/>
                </w:tcPr>
                <w:p w14:paraId="05900531">
                  <w:pPr>
                    <w:jc w:val="center"/>
                    <w:rPr>
                      <w:rFonts w:eastAsia="仿宋_GB2312"/>
                      <w:sz w:val="21"/>
                      <w:szCs w:val="21"/>
                    </w:rPr>
                  </w:pPr>
                  <w:r>
                    <w:rPr>
                      <w:rFonts w:eastAsia="仿宋_GB2312"/>
                      <w:sz w:val="21"/>
                      <w:szCs w:val="21"/>
                    </w:rPr>
                    <w:t>1×</w:t>
                  </w:r>
                  <w:r>
                    <w:rPr>
                      <w:rFonts w:eastAsia="仿宋_GB2312"/>
                      <w:snapToGrid w:val="0"/>
                      <w:color w:val="000000" w:themeColor="text1"/>
                      <w:sz w:val="21"/>
                      <w:szCs w:val="21"/>
                    </w:rPr>
                    <w:t>72m</w:t>
                  </w:r>
                  <w:r>
                    <w:rPr>
                      <w:rFonts w:eastAsia="仿宋_GB2312"/>
                      <w:snapToGrid w:val="0"/>
                      <w:color w:val="000000" w:themeColor="text1"/>
                      <w:sz w:val="21"/>
                      <w:szCs w:val="21"/>
                      <w:vertAlign w:val="superscript"/>
                    </w:rPr>
                    <w:t>3</w:t>
                  </w:r>
                </w:p>
              </w:tc>
              <w:tc>
                <w:tcPr>
                  <w:tcW w:w="1010" w:type="pct"/>
                  <w:tcBorders>
                    <w:tl2br w:val="nil"/>
                    <w:tr2bl w:val="nil"/>
                  </w:tcBorders>
                  <w:vAlign w:val="center"/>
                </w:tcPr>
                <w:p w14:paraId="5EAF1319">
                  <w:pPr>
                    <w:adjustRightInd w:val="0"/>
                    <w:snapToGrid w:val="0"/>
                    <w:jc w:val="center"/>
                    <w:rPr>
                      <w:rFonts w:eastAsia="仿宋_GB2312"/>
                      <w:sz w:val="21"/>
                      <w:szCs w:val="21"/>
                    </w:rPr>
                  </w:pPr>
                  <w:r>
                    <w:rPr>
                      <w:rFonts w:hint="eastAsia" w:eastAsia="仿宋_GB2312"/>
                      <w:sz w:val="21"/>
                      <w:szCs w:val="21"/>
                      <w:lang w:val="en-US" w:eastAsia="zh-CN"/>
                    </w:rPr>
                    <w:t>新增，用于连续双膜法</w:t>
                  </w:r>
                </w:p>
              </w:tc>
            </w:tr>
            <w:tr w14:paraId="533FAAF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39" w:type="pct"/>
                  <w:vMerge w:val="continue"/>
                  <w:tcBorders>
                    <w:tl2br w:val="nil"/>
                    <w:tr2bl w:val="nil"/>
                  </w:tcBorders>
                  <w:vAlign w:val="center"/>
                </w:tcPr>
                <w:p w14:paraId="2BE0B702">
                  <w:pPr>
                    <w:adjustRightInd w:val="0"/>
                    <w:snapToGrid w:val="0"/>
                    <w:jc w:val="center"/>
                    <w:rPr>
                      <w:rFonts w:eastAsia="仿宋_GB2312"/>
                      <w:kern w:val="0"/>
                      <w:sz w:val="21"/>
                      <w:szCs w:val="21"/>
                    </w:rPr>
                  </w:pPr>
                </w:p>
              </w:tc>
              <w:tc>
                <w:tcPr>
                  <w:tcW w:w="780" w:type="pct"/>
                  <w:gridSpan w:val="2"/>
                  <w:tcBorders>
                    <w:tl2br w:val="nil"/>
                    <w:tr2bl w:val="nil"/>
                  </w:tcBorders>
                  <w:vAlign w:val="center"/>
                </w:tcPr>
                <w:p w14:paraId="0D0BDD52">
                  <w:pPr>
                    <w:jc w:val="center"/>
                    <w:rPr>
                      <w:rFonts w:eastAsia="仿宋_GB2312"/>
                      <w:snapToGrid w:val="0"/>
                      <w:color w:val="000000" w:themeColor="text1"/>
                      <w:kern w:val="0"/>
                      <w:sz w:val="21"/>
                      <w:szCs w:val="21"/>
                    </w:rPr>
                  </w:pPr>
                  <w:r>
                    <w:rPr>
                      <w:rFonts w:hint="eastAsia" w:eastAsia="仿宋_GB2312"/>
                      <w:snapToGrid w:val="0"/>
                      <w:color w:val="000000" w:themeColor="text1"/>
                      <w:kern w:val="0"/>
                      <w:sz w:val="21"/>
                      <w:szCs w:val="21"/>
                    </w:rPr>
                    <w:t>管式超滤膜反冲洗罐</w:t>
                  </w:r>
                </w:p>
              </w:tc>
              <w:tc>
                <w:tcPr>
                  <w:tcW w:w="955" w:type="pct"/>
                  <w:tcBorders>
                    <w:tl2br w:val="nil"/>
                    <w:tr2bl w:val="nil"/>
                  </w:tcBorders>
                  <w:vAlign w:val="center"/>
                </w:tcPr>
                <w:p w14:paraId="7669DCD6">
                  <w:pPr>
                    <w:jc w:val="center"/>
                    <w:rPr>
                      <w:rFonts w:eastAsia="仿宋_GB2312"/>
                      <w:sz w:val="21"/>
                      <w:szCs w:val="21"/>
                    </w:rPr>
                  </w:pPr>
                  <w:r>
                    <w:rPr>
                      <w:rFonts w:eastAsia="仿宋_GB2312"/>
                      <w:sz w:val="21"/>
                      <w:szCs w:val="21"/>
                    </w:rPr>
                    <w:t>0</w:t>
                  </w:r>
                </w:p>
              </w:tc>
              <w:tc>
                <w:tcPr>
                  <w:tcW w:w="955" w:type="pct"/>
                  <w:tcBorders>
                    <w:tl2br w:val="nil"/>
                    <w:tr2bl w:val="nil"/>
                  </w:tcBorders>
                  <w:vAlign w:val="center"/>
                </w:tcPr>
                <w:p w14:paraId="59A2E17E">
                  <w:pPr>
                    <w:pStyle w:val="56"/>
                    <w:spacing w:beforeLines="0" w:afterLines="0" w:line="240" w:lineRule="auto"/>
                    <w:rPr>
                      <w:rFonts w:ascii="Times New Roman" w:eastAsia="仿宋_GB2312"/>
                      <w:sz w:val="21"/>
                      <w:szCs w:val="21"/>
                    </w:rPr>
                  </w:pPr>
                  <w:r>
                    <w:rPr>
                      <w:rFonts w:hint="eastAsia" w:ascii="Times New Roman" w:eastAsia="仿宋_GB2312"/>
                      <w:sz w:val="21"/>
                      <w:szCs w:val="21"/>
                    </w:rPr>
                    <w:t>3</w:t>
                  </w:r>
                  <w:r>
                    <w:rPr>
                      <w:rFonts w:ascii="Times New Roman" w:eastAsia="仿宋_GB2312"/>
                      <w:sz w:val="21"/>
                      <w:szCs w:val="21"/>
                    </w:rPr>
                    <w:t>×</w:t>
                  </w:r>
                  <w:r>
                    <w:rPr>
                      <w:rFonts w:ascii="Times New Roman" w:eastAsia="仿宋_GB2312"/>
                      <w:snapToGrid w:val="0"/>
                      <w:color w:val="000000" w:themeColor="text1"/>
                      <w:sz w:val="21"/>
                      <w:szCs w:val="21"/>
                    </w:rPr>
                    <w:t>7m</w:t>
                  </w:r>
                  <w:r>
                    <w:rPr>
                      <w:rFonts w:ascii="Times New Roman" w:eastAsia="仿宋_GB2312"/>
                      <w:snapToGrid w:val="0"/>
                      <w:color w:val="000000" w:themeColor="text1"/>
                      <w:sz w:val="21"/>
                      <w:szCs w:val="21"/>
                      <w:vertAlign w:val="superscript"/>
                    </w:rPr>
                    <w:t>3</w:t>
                  </w:r>
                </w:p>
              </w:tc>
              <w:tc>
                <w:tcPr>
                  <w:tcW w:w="958" w:type="pct"/>
                  <w:tcBorders>
                    <w:tl2br w:val="nil"/>
                    <w:tr2bl w:val="nil"/>
                  </w:tcBorders>
                  <w:vAlign w:val="center"/>
                </w:tcPr>
                <w:p w14:paraId="3FB98F70">
                  <w:pPr>
                    <w:jc w:val="center"/>
                    <w:rPr>
                      <w:rFonts w:eastAsia="仿宋_GB2312"/>
                      <w:sz w:val="21"/>
                      <w:szCs w:val="21"/>
                    </w:rPr>
                  </w:pPr>
                  <w:r>
                    <w:rPr>
                      <w:rFonts w:hint="eastAsia" w:eastAsia="仿宋_GB2312"/>
                      <w:sz w:val="21"/>
                      <w:szCs w:val="21"/>
                    </w:rPr>
                    <w:t>3</w:t>
                  </w:r>
                  <w:r>
                    <w:rPr>
                      <w:rFonts w:eastAsia="仿宋_GB2312"/>
                      <w:sz w:val="21"/>
                      <w:szCs w:val="21"/>
                    </w:rPr>
                    <w:t>×</w:t>
                  </w:r>
                  <w:r>
                    <w:rPr>
                      <w:rFonts w:eastAsia="仿宋_GB2312"/>
                      <w:snapToGrid w:val="0"/>
                      <w:color w:val="000000" w:themeColor="text1"/>
                      <w:sz w:val="21"/>
                      <w:szCs w:val="21"/>
                    </w:rPr>
                    <w:t>7m</w:t>
                  </w:r>
                  <w:r>
                    <w:rPr>
                      <w:rFonts w:eastAsia="仿宋_GB2312"/>
                      <w:snapToGrid w:val="0"/>
                      <w:color w:val="000000" w:themeColor="text1"/>
                      <w:sz w:val="21"/>
                      <w:szCs w:val="21"/>
                      <w:vertAlign w:val="superscript"/>
                    </w:rPr>
                    <w:t>3</w:t>
                  </w:r>
                </w:p>
              </w:tc>
              <w:tc>
                <w:tcPr>
                  <w:tcW w:w="1010" w:type="pct"/>
                  <w:tcBorders>
                    <w:tl2br w:val="nil"/>
                    <w:tr2bl w:val="nil"/>
                  </w:tcBorders>
                  <w:vAlign w:val="center"/>
                </w:tcPr>
                <w:p w14:paraId="77B6B1D3">
                  <w:pPr>
                    <w:adjustRightInd w:val="0"/>
                    <w:snapToGrid w:val="0"/>
                    <w:jc w:val="center"/>
                    <w:rPr>
                      <w:rFonts w:eastAsia="仿宋_GB2312"/>
                      <w:sz w:val="21"/>
                      <w:szCs w:val="21"/>
                    </w:rPr>
                  </w:pPr>
                  <w:r>
                    <w:rPr>
                      <w:rFonts w:hint="eastAsia" w:eastAsia="仿宋_GB2312"/>
                      <w:sz w:val="21"/>
                      <w:szCs w:val="21"/>
                      <w:lang w:val="en-US" w:eastAsia="zh-CN"/>
                    </w:rPr>
                    <w:t>新增，用于连续双膜法</w:t>
                  </w:r>
                </w:p>
              </w:tc>
            </w:tr>
            <w:tr w14:paraId="67BE56C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39" w:type="pct"/>
                  <w:vMerge w:val="continue"/>
                  <w:tcBorders>
                    <w:tl2br w:val="nil"/>
                    <w:tr2bl w:val="nil"/>
                  </w:tcBorders>
                  <w:vAlign w:val="center"/>
                </w:tcPr>
                <w:p w14:paraId="505D29A5">
                  <w:pPr>
                    <w:adjustRightInd w:val="0"/>
                    <w:snapToGrid w:val="0"/>
                    <w:jc w:val="center"/>
                    <w:rPr>
                      <w:rFonts w:eastAsia="仿宋_GB2312"/>
                      <w:kern w:val="0"/>
                      <w:sz w:val="21"/>
                      <w:szCs w:val="21"/>
                    </w:rPr>
                  </w:pPr>
                </w:p>
              </w:tc>
              <w:tc>
                <w:tcPr>
                  <w:tcW w:w="780" w:type="pct"/>
                  <w:gridSpan w:val="2"/>
                  <w:tcBorders>
                    <w:tl2br w:val="nil"/>
                    <w:tr2bl w:val="nil"/>
                  </w:tcBorders>
                  <w:vAlign w:val="center"/>
                </w:tcPr>
                <w:p w14:paraId="00FFBABC">
                  <w:pPr>
                    <w:jc w:val="center"/>
                    <w:rPr>
                      <w:rFonts w:eastAsia="仿宋_GB2312"/>
                      <w:snapToGrid w:val="0"/>
                      <w:color w:val="000000" w:themeColor="text1"/>
                      <w:kern w:val="0"/>
                      <w:sz w:val="21"/>
                      <w:szCs w:val="21"/>
                    </w:rPr>
                  </w:pPr>
                  <w:r>
                    <w:rPr>
                      <w:rFonts w:hint="eastAsia" w:eastAsia="仿宋_GB2312"/>
                      <w:snapToGrid w:val="0"/>
                      <w:color w:val="000000" w:themeColor="text1"/>
                      <w:kern w:val="0"/>
                      <w:sz w:val="21"/>
                      <w:szCs w:val="21"/>
                    </w:rPr>
                    <w:t>压缩空气储罐</w:t>
                  </w:r>
                </w:p>
              </w:tc>
              <w:tc>
                <w:tcPr>
                  <w:tcW w:w="955" w:type="pct"/>
                  <w:tcBorders>
                    <w:tl2br w:val="nil"/>
                    <w:tr2bl w:val="nil"/>
                  </w:tcBorders>
                  <w:vAlign w:val="center"/>
                </w:tcPr>
                <w:p w14:paraId="1B59F3AB">
                  <w:pPr>
                    <w:jc w:val="center"/>
                    <w:rPr>
                      <w:rFonts w:eastAsia="仿宋_GB2312"/>
                      <w:sz w:val="21"/>
                      <w:szCs w:val="21"/>
                    </w:rPr>
                  </w:pPr>
                  <w:r>
                    <w:rPr>
                      <w:rFonts w:eastAsia="仿宋_GB2312"/>
                      <w:sz w:val="21"/>
                      <w:szCs w:val="21"/>
                    </w:rPr>
                    <w:t>0</w:t>
                  </w:r>
                </w:p>
              </w:tc>
              <w:tc>
                <w:tcPr>
                  <w:tcW w:w="955" w:type="pct"/>
                  <w:tcBorders>
                    <w:tl2br w:val="nil"/>
                    <w:tr2bl w:val="nil"/>
                  </w:tcBorders>
                  <w:vAlign w:val="center"/>
                </w:tcPr>
                <w:p w14:paraId="5F2CA041">
                  <w:pPr>
                    <w:pStyle w:val="56"/>
                    <w:spacing w:beforeLines="0" w:afterLines="0" w:line="240" w:lineRule="auto"/>
                    <w:rPr>
                      <w:rFonts w:ascii="Times New Roman" w:eastAsia="仿宋_GB2312"/>
                      <w:sz w:val="21"/>
                      <w:szCs w:val="21"/>
                    </w:rPr>
                  </w:pPr>
                  <w:r>
                    <w:rPr>
                      <w:rFonts w:hint="eastAsia" w:ascii="Times New Roman" w:eastAsia="仿宋_GB2312"/>
                      <w:sz w:val="21"/>
                      <w:szCs w:val="21"/>
                    </w:rPr>
                    <w:t>1</w:t>
                  </w:r>
                  <w:r>
                    <w:rPr>
                      <w:rFonts w:ascii="Times New Roman" w:eastAsia="仿宋_GB2312"/>
                      <w:sz w:val="21"/>
                      <w:szCs w:val="21"/>
                    </w:rPr>
                    <w:t>×</w:t>
                  </w:r>
                  <w:r>
                    <w:rPr>
                      <w:rFonts w:hint="eastAsia" w:ascii="Times New Roman" w:eastAsia="仿宋_GB2312"/>
                      <w:snapToGrid w:val="0"/>
                      <w:color w:val="000000" w:themeColor="text1"/>
                      <w:sz w:val="21"/>
                      <w:szCs w:val="21"/>
                    </w:rPr>
                    <w:t>10</w:t>
                  </w:r>
                  <w:r>
                    <w:rPr>
                      <w:rFonts w:ascii="Times New Roman" w:eastAsia="仿宋_GB2312"/>
                      <w:snapToGrid w:val="0"/>
                      <w:color w:val="000000" w:themeColor="text1"/>
                      <w:sz w:val="21"/>
                      <w:szCs w:val="21"/>
                    </w:rPr>
                    <w:t>m</w:t>
                  </w:r>
                  <w:r>
                    <w:rPr>
                      <w:rFonts w:ascii="Times New Roman" w:eastAsia="仿宋_GB2312"/>
                      <w:snapToGrid w:val="0"/>
                      <w:color w:val="000000" w:themeColor="text1"/>
                      <w:sz w:val="21"/>
                      <w:szCs w:val="21"/>
                      <w:vertAlign w:val="superscript"/>
                    </w:rPr>
                    <w:t>3</w:t>
                  </w:r>
                </w:p>
              </w:tc>
              <w:tc>
                <w:tcPr>
                  <w:tcW w:w="958" w:type="pct"/>
                  <w:tcBorders>
                    <w:tl2br w:val="nil"/>
                    <w:tr2bl w:val="nil"/>
                  </w:tcBorders>
                  <w:vAlign w:val="center"/>
                </w:tcPr>
                <w:p w14:paraId="43912164">
                  <w:pPr>
                    <w:jc w:val="center"/>
                    <w:rPr>
                      <w:rFonts w:eastAsia="仿宋_GB2312"/>
                      <w:sz w:val="21"/>
                      <w:szCs w:val="21"/>
                    </w:rPr>
                  </w:pPr>
                  <w:r>
                    <w:rPr>
                      <w:rFonts w:hint="eastAsia" w:eastAsia="仿宋_GB2312"/>
                      <w:sz w:val="21"/>
                      <w:szCs w:val="21"/>
                    </w:rPr>
                    <w:t>1</w:t>
                  </w:r>
                  <w:r>
                    <w:rPr>
                      <w:rFonts w:eastAsia="仿宋_GB2312"/>
                      <w:sz w:val="21"/>
                      <w:szCs w:val="21"/>
                    </w:rPr>
                    <w:t>×</w:t>
                  </w:r>
                  <w:r>
                    <w:rPr>
                      <w:rFonts w:hint="eastAsia" w:eastAsia="仿宋_GB2312"/>
                      <w:snapToGrid w:val="0"/>
                      <w:color w:val="000000" w:themeColor="text1"/>
                      <w:sz w:val="21"/>
                      <w:szCs w:val="21"/>
                    </w:rPr>
                    <w:t>10</w:t>
                  </w:r>
                  <w:r>
                    <w:rPr>
                      <w:rFonts w:eastAsia="仿宋_GB2312"/>
                      <w:snapToGrid w:val="0"/>
                      <w:color w:val="000000" w:themeColor="text1"/>
                      <w:sz w:val="21"/>
                      <w:szCs w:val="21"/>
                    </w:rPr>
                    <w:t>m</w:t>
                  </w:r>
                  <w:r>
                    <w:rPr>
                      <w:rFonts w:eastAsia="仿宋_GB2312"/>
                      <w:snapToGrid w:val="0"/>
                      <w:color w:val="000000" w:themeColor="text1"/>
                      <w:sz w:val="21"/>
                      <w:szCs w:val="21"/>
                      <w:vertAlign w:val="superscript"/>
                    </w:rPr>
                    <w:t>3</w:t>
                  </w:r>
                </w:p>
              </w:tc>
              <w:tc>
                <w:tcPr>
                  <w:tcW w:w="1010" w:type="pct"/>
                  <w:tcBorders>
                    <w:tl2br w:val="nil"/>
                    <w:tr2bl w:val="nil"/>
                  </w:tcBorders>
                  <w:vAlign w:val="center"/>
                </w:tcPr>
                <w:p w14:paraId="1745E51D">
                  <w:pPr>
                    <w:adjustRightInd w:val="0"/>
                    <w:snapToGrid w:val="0"/>
                    <w:jc w:val="center"/>
                    <w:rPr>
                      <w:rFonts w:eastAsia="仿宋_GB2312"/>
                      <w:sz w:val="21"/>
                      <w:szCs w:val="21"/>
                    </w:rPr>
                  </w:pPr>
                  <w:r>
                    <w:rPr>
                      <w:rFonts w:hint="eastAsia" w:eastAsia="仿宋_GB2312"/>
                      <w:sz w:val="21"/>
                      <w:szCs w:val="21"/>
                    </w:rPr>
                    <w:t>反冲洗配套</w:t>
                  </w:r>
                </w:p>
              </w:tc>
            </w:tr>
            <w:tr w14:paraId="1521C45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39" w:type="pct"/>
                  <w:vMerge w:val="continue"/>
                  <w:tcBorders>
                    <w:tl2br w:val="nil"/>
                    <w:tr2bl w:val="nil"/>
                  </w:tcBorders>
                  <w:vAlign w:val="center"/>
                </w:tcPr>
                <w:p w14:paraId="1B1B382E">
                  <w:pPr>
                    <w:adjustRightInd w:val="0"/>
                    <w:snapToGrid w:val="0"/>
                    <w:jc w:val="center"/>
                    <w:rPr>
                      <w:rFonts w:eastAsia="仿宋_GB2312"/>
                      <w:kern w:val="0"/>
                      <w:sz w:val="21"/>
                      <w:szCs w:val="21"/>
                    </w:rPr>
                  </w:pPr>
                </w:p>
              </w:tc>
              <w:tc>
                <w:tcPr>
                  <w:tcW w:w="780" w:type="pct"/>
                  <w:gridSpan w:val="2"/>
                  <w:tcBorders>
                    <w:tl2br w:val="nil"/>
                    <w:tr2bl w:val="nil"/>
                  </w:tcBorders>
                  <w:vAlign w:val="center"/>
                </w:tcPr>
                <w:p w14:paraId="63F9A8D2">
                  <w:pPr>
                    <w:jc w:val="center"/>
                    <w:rPr>
                      <w:rFonts w:eastAsia="仿宋_GB2312"/>
                      <w:snapToGrid w:val="0"/>
                      <w:color w:val="000000" w:themeColor="text1"/>
                      <w:kern w:val="0"/>
                      <w:sz w:val="21"/>
                      <w:szCs w:val="21"/>
                    </w:rPr>
                  </w:pPr>
                  <w:r>
                    <w:rPr>
                      <w:rFonts w:eastAsia="仿宋_GB2312"/>
                      <w:snapToGrid w:val="0"/>
                      <w:color w:val="000000" w:themeColor="text1"/>
                      <w:kern w:val="0"/>
                      <w:sz w:val="21"/>
                      <w:szCs w:val="21"/>
                    </w:rPr>
                    <w:t>纯水罐</w:t>
                  </w:r>
                </w:p>
              </w:tc>
              <w:tc>
                <w:tcPr>
                  <w:tcW w:w="955" w:type="pct"/>
                  <w:tcBorders>
                    <w:tl2br w:val="nil"/>
                    <w:tr2bl w:val="nil"/>
                  </w:tcBorders>
                  <w:vAlign w:val="center"/>
                </w:tcPr>
                <w:p w14:paraId="3BCB2EAE">
                  <w:pPr>
                    <w:jc w:val="center"/>
                    <w:rPr>
                      <w:rFonts w:eastAsia="仿宋_GB2312"/>
                      <w:sz w:val="21"/>
                      <w:szCs w:val="21"/>
                    </w:rPr>
                  </w:pPr>
                  <w:r>
                    <w:rPr>
                      <w:rFonts w:eastAsia="仿宋_GB2312"/>
                      <w:sz w:val="21"/>
                      <w:szCs w:val="21"/>
                    </w:rPr>
                    <w:t>0</w:t>
                  </w:r>
                </w:p>
              </w:tc>
              <w:tc>
                <w:tcPr>
                  <w:tcW w:w="955" w:type="pct"/>
                  <w:tcBorders>
                    <w:tl2br w:val="nil"/>
                    <w:tr2bl w:val="nil"/>
                  </w:tcBorders>
                  <w:vAlign w:val="center"/>
                </w:tcPr>
                <w:p w14:paraId="75062E75">
                  <w:pPr>
                    <w:pStyle w:val="56"/>
                    <w:spacing w:beforeLines="0" w:afterLines="0" w:line="240" w:lineRule="auto"/>
                    <w:rPr>
                      <w:rFonts w:ascii="Times New Roman" w:eastAsia="仿宋_GB2312"/>
                      <w:sz w:val="21"/>
                      <w:szCs w:val="21"/>
                    </w:rPr>
                  </w:pPr>
                  <w:r>
                    <w:rPr>
                      <w:rFonts w:ascii="Times New Roman" w:eastAsia="仿宋_GB2312"/>
                      <w:sz w:val="21"/>
                      <w:szCs w:val="21"/>
                    </w:rPr>
                    <w:t>1×</w:t>
                  </w:r>
                  <w:r>
                    <w:rPr>
                      <w:rFonts w:ascii="Times New Roman" w:eastAsia="仿宋_GB2312"/>
                      <w:snapToGrid w:val="0"/>
                      <w:color w:val="000000" w:themeColor="text1"/>
                      <w:sz w:val="21"/>
                      <w:szCs w:val="21"/>
                    </w:rPr>
                    <w:t>95m</w:t>
                  </w:r>
                  <w:r>
                    <w:rPr>
                      <w:rFonts w:ascii="Times New Roman" w:eastAsia="仿宋_GB2312"/>
                      <w:snapToGrid w:val="0"/>
                      <w:color w:val="000000" w:themeColor="text1"/>
                      <w:sz w:val="21"/>
                      <w:szCs w:val="21"/>
                      <w:vertAlign w:val="superscript"/>
                    </w:rPr>
                    <w:t>3</w:t>
                  </w:r>
                </w:p>
              </w:tc>
              <w:tc>
                <w:tcPr>
                  <w:tcW w:w="958" w:type="pct"/>
                  <w:tcBorders>
                    <w:tl2br w:val="nil"/>
                    <w:tr2bl w:val="nil"/>
                  </w:tcBorders>
                  <w:vAlign w:val="center"/>
                </w:tcPr>
                <w:p w14:paraId="7D6110B8">
                  <w:pPr>
                    <w:jc w:val="center"/>
                    <w:rPr>
                      <w:rFonts w:eastAsia="仿宋_GB2312"/>
                      <w:sz w:val="21"/>
                      <w:szCs w:val="21"/>
                    </w:rPr>
                  </w:pPr>
                  <w:r>
                    <w:rPr>
                      <w:rFonts w:eastAsia="仿宋_GB2312"/>
                      <w:sz w:val="21"/>
                      <w:szCs w:val="21"/>
                    </w:rPr>
                    <w:t>1×</w:t>
                  </w:r>
                  <w:r>
                    <w:rPr>
                      <w:rFonts w:eastAsia="仿宋_GB2312"/>
                      <w:snapToGrid w:val="0"/>
                      <w:color w:val="000000" w:themeColor="text1"/>
                      <w:sz w:val="21"/>
                      <w:szCs w:val="21"/>
                    </w:rPr>
                    <w:t>95m</w:t>
                  </w:r>
                  <w:r>
                    <w:rPr>
                      <w:rFonts w:eastAsia="仿宋_GB2312"/>
                      <w:snapToGrid w:val="0"/>
                      <w:color w:val="000000" w:themeColor="text1"/>
                      <w:sz w:val="21"/>
                      <w:szCs w:val="21"/>
                      <w:vertAlign w:val="superscript"/>
                    </w:rPr>
                    <w:t>3</w:t>
                  </w:r>
                </w:p>
              </w:tc>
              <w:tc>
                <w:tcPr>
                  <w:tcW w:w="1010" w:type="pct"/>
                  <w:tcBorders>
                    <w:tl2br w:val="nil"/>
                    <w:tr2bl w:val="nil"/>
                  </w:tcBorders>
                  <w:vAlign w:val="center"/>
                </w:tcPr>
                <w:p w14:paraId="0972ECDF">
                  <w:pPr>
                    <w:adjustRightInd w:val="0"/>
                    <w:snapToGrid w:val="0"/>
                    <w:jc w:val="center"/>
                    <w:rPr>
                      <w:rFonts w:eastAsia="仿宋_GB2312"/>
                      <w:sz w:val="21"/>
                      <w:szCs w:val="21"/>
                    </w:rPr>
                  </w:pPr>
                  <w:r>
                    <w:rPr>
                      <w:rFonts w:hint="eastAsia" w:eastAsia="仿宋_GB2312"/>
                      <w:sz w:val="21"/>
                      <w:szCs w:val="21"/>
                      <w:lang w:val="en-US" w:eastAsia="zh-CN"/>
                    </w:rPr>
                    <w:t>新增，用于连续双膜法</w:t>
                  </w:r>
                </w:p>
              </w:tc>
            </w:tr>
            <w:tr w14:paraId="771734A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39" w:type="pct"/>
                  <w:vMerge w:val="continue"/>
                  <w:tcBorders>
                    <w:tl2br w:val="nil"/>
                    <w:tr2bl w:val="nil"/>
                  </w:tcBorders>
                  <w:vAlign w:val="center"/>
                </w:tcPr>
                <w:p w14:paraId="02ED7AA2">
                  <w:pPr>
                    <w:adjustRightInd w:val="0"/>
                    <w:snapToGrid w:val="0"/>
                    <w:jc w:val="center"/>
                    <w:rPr>
                      <w:rFonts w:eastAsia="仿宋_GB2312"/>
                      <w:kern w:val="0"/>
                      <w:sz w:val="21"/>
                      <w:szCs w:val="21"/>
                    </w:rPr>
                  </w:pPr>
                </w:p>
              </w:tc>
              <w:tc>
                <w:tcPr>
                  <w:tcW w:w="780" w:type="pct"/>
                  <w:gridSpan w:val="2"/>
                  <w:tcBorders>
                    <w:tl2br w:val="nil"/>
                    <w:tr2bl w:val="nil"/>
                  </w:tcBorders>
                  <w:vAlign w:val="center"/>
                </w:tcPr>
                <w:p w14:paraId="33D377EF">
                  <w:pPr>
                    <w:jc w:val="center"/>
                    <w:rPr>
                      <w:rFonts w:eastAsia="仿宋_GB2312"/>
                      <w:snapToGrid w:val="0"/>
                      <w:color w:val="000000" w:themeColor="text1"/>
                      <w:kern w:val="0"/>
                      <w:sz w:val="21"/>
                      <w:szCs w:val="21"/>
                    </w:rPr>
                  </w:pPr>
                  <w:r>
                    <w:rPr>
                      <w:rFonts w:hint="eastAsia" w:eastAsia="仿宋_GB2312"/>
                      <w:snapToGrid w:val="0"/>
                      <w:color w:val="000000" w:themeColor="text1"/>
                      <w:kern w:val="0"/>
                      <w:sz w:val="21"/>
                      <w:szCs w:val="21"/>
                    </w:rPr>
                    <w:t>平板膜反冲洗罐</w:t>
                  </w:r>
                </w:p>
              </w:tc>
              <w:tc>
                <w:tcPr>
                  <w:tcW w:w="955" w:type="pct"/>
                  <w:tcBorders>
                    <w:tl2br w:val="nil"/>
                    <w:tr2bl w:val="nil"/>
                  </w:tcBorders>
                  <w:vAlign w:val="center"/>
                </w:tcPr>
                <w:p w14:paraId="06539252">
                  <w:pPr>
                    <w:jc w:val="center"/>
                    <w:rPr>
                      <w:rFonts w:eastAsia="仿宋_GB2312"/>
                      <w:sz w:val="21"/>
                      <w:szCs w:val="21"/>
                    </w:rPr>
                  </w:pPr>
                  <w:r>
                    <w:rPr>
                      <w:rFonts w:eastAsia="仿宋_GB2312"/>
                      <w:sz w:val="21"/>
                      <w:szCs w:val="21"/>
                    </w:rPr>
                    <w:t>0</w:t>
                  </w:r>
                </w:p>
              </w:tc>
              <w:tc>
                <w:tcPr>
                  <w:tcW w:w="955" w:type="pct"/>
                  <w:tcBorders>
                    <w:tl2br w:val="nil"/>
                    <w:tr2bl w:val="nil"/>
                  </w:tcBorders>
                  <w:vAlign w:val="center"/>
                </w:tcPr>
                <w:p w14:paraId="43189013">
                  <w:pPr>
                    <w:pStyle w:val="56"/>
                    <w:spacing w:beforeLines="0" w:afterLines="0" w:line="240" w:lineRule="auto"/>
                    <w:rPr>
                      <w:rFonts w:ascii="Times New Roman" w:eastAsia="仿宋_GB2312"/>
                      <w:sz w:val="21"/>
                      <w:szCs w:val="21"/>
                    </w:rPr>
                  </w:pPr>
                  <w:r>
                    <w:rPr>
                      <w:rFonts w:ascii="Times New Roman" w:eastAsia="仿宋_GB2312"/>
                      <w:sz w:val="21"/>
                      <w:szCs w:val="21"/>
                    </w:rPr>
                    <w:t>1×</w:t>
                  </w:r>
                  <w:r>
                    <w:rPr>
                      <w:rFonts w:hint="eastAsia" w:ascii="Times New Roman" w:eastAsia="仿宋_GB2312"/>
                      <w:snapToGrid w:val="0"/>
                      <w:color w:val="000000" w:themeColor="text1"/>
                      <w:sz w:val="21"/>
                      <w:szCs w:val="21"/>
                    </w:rPr>
                    <w:t>2.5</w:t>
                  </w:r>
                  <w:r>
                    <w:rPr>
                      <w:rFonts w:ascii="Times New Roman" w:eastAsia="仿宋_GB2312"/>
                      <w:snapToGrid w:val="0"/>
                      <w:color w:val="000000" w:themeColor="text1"/>
                      <w:sz w:val="21"/>
                      <w:szCs w:val="21"/>
                    </w:rPr>
                    <w:t>m</w:t>
                  </w:r>
                  <w:r>
                    <w:rPr>
                      <w:rFonts w:ascii="Times New Roman" w:eastAsia="仿宋_GB2312"/>
                      <w:snapToGrid w:val="0"/>
                      <w:color w:val="000000" w:themeColor="text1"/>
                      <w:sz w:val="21"/>
                      <w:szCs w:val="21"/>
                      <w:vertAlign w:val="superscript"/>
                    </w:rPr>
                    <w:t>3</w:t>
                  </w:r>
                </w:p>
              </w:tc>
              <w:tc>
                <w:tcPr>
                  <w:tcW w:w="958" w:type="pct"/>
                  <w:tcBorders>
                    <w:tl2br w:val="nil"/>
                    <w:tr2bl w:val="nil"/>
                  </w:tcBorders>
                  <w:vAlign w:val="center"/>
                </w:tcPr>
                <w:p w14:paraId="582A34B0">
                  <w:pPr>
                    <w:jc w:val="center"/>
                    <w:rPr>
                      <w:rFonts w:eastAsia="仿宋_GB2312"/>
                      <w:sz w:val="21"/>
                      <w:szCs w:val="21"/>
                    </w:rPr>
                  </w:pPr>
                  <w:r>
                    <w:rPr>
                      <w:rFonts w:eastAsia="仿宋_GB2312"/>
                      <w:sz w:val="21"/>
                      <w:szCs w:val="21"/>
                    </w:rPr>
                    <w:t>1×</w:t>
                  </w:r>
                  <w:r>
                    <w:rPr>
                      <w:rFonts w:hint="eastAsia" w:eastAsia="仿宋_GB2312"/>
                      <w:snapToGrid w:val="0"/>
                      <w:color w:val="000000" w:themeColor="text1"/>
                      <w:sz w:val="21"/>
                      <w:szCs w:val="21"/>
                    </w:rPr>
                    <w:t>2.5</w:t>
                  </w:r>
                  <w:r>
                    <w:rPr>
                      <w:rFonts w:eastAsia="仿宋_GB2312"/>
                      <w:snapToGrid w:val="0"/>
                      <w:color w:val="000000" w:themeColor="text1"/>
                      <w:sz w:val="21"/>
                      <w:szCs w:val="21"/>
                    </w:rPr>
                    <w:t>m</w:t>
                  </w:r>
                  <w:r>
                    <w:rPr>
                      <w:rFonts w:eastAsia="仿宋_GB2312"/>
                      <w:snapToGrid w:val="0"/>
                      <w:color w:val="000000" w:themeColor="text1"/>
                      <w:sz w:val="21"/>
                      <w:szCs w:val="21"/>
                      <w:vertAlign w:val="superscript"/>
                    </w:rPr>
                    <w:t>3</w:t>
                  </w:r>
                </w:p>
              </w:tc>
              <w:tc>
                <w:tcPr>
                  <w:tcW w:w="1010" w:type="pct"/>
                  <w:tcBorders>
                    <w:tl2br w:val="nil"/>
                    <w:tr2bl w:val="nil"/>
                  </w:tcBorders>
                  <w:vAlign w:val="center"/>
                </w:tcPr>
                <w:p w14:paraId="48A8A132">
                  <w:pPr>
                    <w:adjustRightInd w:val="0"/>
                    <w:snapToGrid w:val="0"/>
                    <w:jc w:val="center"/>
                    <w:rPr>
                      <w:rFonts w:eastAsia="仿宋_GB2312"/>
                      <w:sz w:val="21"/>
                      <w:szCs w:val="21"/>
                    </w:rPr>
                  </w:pPr>
                  <w:r>
                    <w:rPr>
                      <w:rFonts w:hint="eastAsia" w:eastAsia="仿宋_GB2312"/>
                      <w:sz w:val="21"/>
                      <w:szCs w:val="21"/>
                      <w:lang w:val="en-US" w:eastAsia="zh-CN"/>
                    </w:rPr>
                    <w:t>新增，用于连续双膜法</w:t>
                  </w:r>
                </w:p>
              </w:tc>
            </w:tr>
            <w:tr w14:paraId="4BE3963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39" w:type="pct"/>
                  <w:vMerge w:val="continue"/>
                  <w:tcBorders>
                    <w:tl2br w:val="nil"/>
                    <w:tr2bl w:val="nil"/>
                  </w:tcBorders>
                  <w:vAlign w:val="center"/>
                </w:tcPr>
                <w:p w14:paraId="68AA028E">
                  <w:pPr>
                    <w:adjustRightInd w:val="0"/>
                    <w:snapToGrid w:val="0"/>
                    <w:jc w:val="center"/>
                    <w:rPr>
                      <w:rFonts w:eastAsia="仿宋_GB2312"/>
                      <w:kern w:val="0"/>
                      <w:sz w:val="21"/>
                      <w:szCs w:val="21"/>
                    </w:rPr>
                  </w:pPr>
                </w:p>
              </w:tc>
              <w:tc>
                <w:tcPr>
                  <w:tcW w:w="780" w:type="pct"/>
                  <w:gridSpan w:val="2"/>
                  <w:tcBorders>
                    <w:tl2br w:val="nil"/>
                    <w:tr2bl w:val="nil"/>
                  </w:tcBorders>
                  <w:vAlign w:val="center"/>
                </w:tcPr>
                <w:p w14:paraId="0C957D40">
                  <w:pPr>
                    <w:jc w:val="center"/>
                    <w:rPr>
                      <w:rFonts w:eastAsia="仿宋_GB2312"/>
                      <w:snapToGrid w:val="0"/>
                      <w:color w:val="000000" w:themeColor="text1"/>
                      <w:kern w:val="0"/>
                      <w:sz w:val="21"/>
                      <w:szCs w:val="21"/>
                    </w:rPr>
                  </w:pPr>
                  <w:r>
                    <w:rPr>
                      <w:rFonts w:eastAsia="仿宋_GB2312"/>
                      <w:snapToGrid w:val="0"/>
                      <w:color w:val="000000" w:themeColor="text1"/>
                      <w:kern w:val="0"/>
                      <w:sz w:val="21"/>
                      <w:szCs w:val="21"/>
                    </w:rPr>
                    <w:t>平板膜储气罐</w:t>
                  </w:r>
                </w:p>
              </w:tc>
              <w:tc>
                <w:tcPr>
                  <w:tcW w:w="955" w:type="pct"/>
                  <w:tcBorders>
                    <w:tl2br w:val="nil"/>
                    <w:tr2bl w:val="nil"/>
                  </w:tcBorders>
                  <w:vAlign w:val="center"/>
                </w:tcPr>
                <w:p w14:paraId="4A2F5ACC">
                  <w:pPr>
                    <w:jc w:val="center"/>
                    <w:rPr>
                      <w:rFonts w:eastAsia="仿宋_GB2312"/>
                      <w:sz w:val="21"/>
                      <w:szCs w:val="21"/>
                    </w:rPr>
                  </w:pPr>
                  <w:r>
                    <w:rPr>
                      <w:rFonts w:eastAsia="仿宋_GB2312"/>
                      <w:sz w:val="21"/>
                      <w:szCs w:val="21"/>
                    </w:rPr>
                    <w:t>0</w:t>
                  </w:r>
                </w:p>
              </w:tc>
              <w:tc>
                <w:tcPr>
                  <w:tcW w:w="955" w:type="pct"/>
                  <w:tcBorders>
                    <w:tl2br w:val="nil"/>
                    <w:tr2bl w:val="nil"/>
                  </w:tcBorders>
                  <w:vAlign w:val="center"/>
                </w:tcPr>
                <w:p w14:paraId="6EBFF1BB">
                  <w:pPr>
                    <w:pStyle w:val="56"/>
                    <w:spacing w:beforeLines="0" w:afterLines="0" w:line="240" w:lineRule="auto"/>
                    <w:rPr>
                      <w:rFonts w:ascii="Times New Roman" w:eastAsia="仿宋_GB2312"/>
                      <w:sz w:val="21"/>
                      <w:szCs w:val="21"/>
                    </w:rPr>
                  </w:pPr>
                  <w:r>
                    <w:rPr>
                      <w:rFonts w:ascii="Times New Roman" w:eastAsia="仿宋_GB2312"/>
                      <w:sz w:val="21"/>
                      <w:szCs w:val="21"/>
                    </w:rPr>
                    <w:t>1×</w:t>
                  </w:r>
                  <w:r>
                    <w:rPr>
                      <w:rFonts w:ascii="Times New Roman" w:eastAsia="仿宋_GB2312"/>
                      <w:snapToGrid w:val="0"/>
                      <w:color w:val="000000" w:themeColor="text1"/>
                      <w:sz w:val="21"/>
                      <w:szCs w:val="21"/>
                    </w:rPr>
                    <w:t>7.7m</w:t>
                  </w:r>
                  <w:r>
                    <w:rPr>
                      <w:rFonts w:ascii="Times New Roman" w:eastAsia="仿宋_GB2312"/>
                      <w:snapToGrid w:val="0"/>
                      <w:color w:val="000000" w:themeColor="text1"/>
                      <w:sz w:val="21"/>
                      <w:szCs w:val="21"/>
                      <w:vertAlign w:val="superscript"/>
                    </w:rPr>
                    <w:t>3</w:t>
                  </w:r>
                </w:p>
              </w:tc>
              <w:tc>
                <w:tcPr>
                  <w:tcW w:w="958" w:type="pct"/>
                  <w:tcBorders>
                    <w:tl2br w:val="nil"/>
                    <w:tr2bl w:val="nil"/>
                  </w:tcBorders>
                  <w:vAlign w:val="center"/>
                </w:tcPr>
                <w:p w14:paraId="376729A7">
                  <w:pPr>
                    <w:jc w:val="center"/>
                    <w:rPr>
                      <w:rFonts w:eastAsia="仿宋_GB2312"/>
                      <w:sz w:val="21"/>
                      <w:szCs w:val="21"/>
                    </w:rPr>
                  </w:pPr>
                  <w:r>
                    <w:rPr>
                      <w:rFonts w:eastAsia="仿宋_GB2312"/>
                      <w:sz w:val="21"/>
                      <w:szCs w:val="21"/>
                    </w:rPr>
                    <w:t>1×</w:t>
                  </w:r>
                  <w:r>
                    <w:rPr>
                      <w:rFonts w:eastAsia="仿宋_GB2312"/>
                      <w:snapToGrid w:val="0"/>
                      <w:color w:val="000000" w:themeColor="text1"/>
                      <w:sz w:val="21"/>
                      <w:szCs w:val="21"/>
                    </w:rPr>
                    <w:t>7.7m</w:t>
                  </w:r>
                  <w:r>
                    <w:rPr>
                      <w:rFonts w:eastAsia="仿宋_GB2312"/>
                      <w:snapToGrid w:val="0"/>
                      <w:color w:val="000000" w:themeColor="text1"/>
                      <w:sz w:val="21"/>
                      <w:szCs w:val="21"/>
                      <w:vertAlign w:val="superscript"/>
                    </w:rPr>
                    <w:t>3</w:t>
                  </w:r>
                </w:p>
              </w:tc>
              <w:tc>
                <w:tcPr>
                  <w:tcW w:w="1010" w:type="pct"/>
                  <w:tcBorders>
                    <w:tl2br w:val="nil"/>
                    <w:tr2bl w:val="nil"/>
                  </w:tcBorders>
                  <w:vAlign w:val="center"/>
                </w:tcPr>
                <w:p w14:paraId="1236856B">
                  <w:pPr>
                    <w:adjustRightInd w:val="0"/>
                    <w:snapToGrid w:val="0"/>
                    <w:jc w:val="center"/>
                    <w:rPr>
                      <w:rFonts w:eastAsia="仿宋_GB2312"/>
                      <w:sz w:val="21"/>
                      <w:szCs w:val="21"/>
                    </w:rPr>
                  </w:pPr>
                  <w:r>
                    <w:rPr>
                      <w:rFonts w:hint="eastAsia" w:eastAsia="仿宋_GB2312"/>
                      <w:sz w:val="21"/>
                      <w:szCs w:val="21"/>
                      <w:lang w:val="en-US" w:eastAsia="zh-CN"/>
                    </w:rPr>
                    <w:t>新增，用于连续双膜法</w:t>
                  </w:r>
                </w:p>
              </w:tc>
            </w:tr>
            <w:tr w14:paraId="56A9EBA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39" w:type="pct"/>
                  <w:vMerge w:val="continue"/>
                  <w:tcBorders>
                    <w:tl2br w:val="nil"/>
                    <w:tr2bl w:val="nil"/>
                  </w:tcBorders>
                  <w:vAlign w:val="center"/>
                </w:tcPr>
                <w:p w14:paraId="7FB2EFCF">
                  <w:pPr>
                    <w:adjustRightInd w:val="0"/>
                    <w:snapToGrid w:val="0"/>
                    <w:jc w:val="center"/>
                    <w:rPr>
                      <w:rFonts w:eastAsia="仿宋_GB2312"/>
                      <w:kern w:val="0"/>
                      <w:sz w:val="21"/>
                      <w:szCs w:val="21"/>
                    </w:rPr>
                  </w:pPr>
                </w:p>
              </w:tc>
              <w:tc>
                <w:tcPr>
                  <w:tcW w:w="780" w:type="pct"/>
                  <w:gridSpan w:val="2"/>
                  <w:tcBorders>
                    <w:tl2br w:val="nil"/>
                    <w:tr2bl w:val="nil"/>
                  </w:tcBorders>
                  <w:vAlign w:val="center"/>
                </w:tcPr>
                <w:p w14:paraId="5A06AC49">
                  <w:pPr>
                    <w:jc w:val="center"/>
                    <w:rPr>
                      <w:rFonts w:eastAsia="仿宋_GB2312"/>
                      <w:sz w:val="21"/>
                      <w:szCs w:val="21"/>
                    </w:rPr>
                  </w:pPr>
                  <w:bookmarkStart w:id="20" w:name="_Hlk199862511"/>
                  <w:r>
                    <w:rPr>
                      <w:rFonts w:eastAsia="仿宋_GB2312"/>
                      <w:sz w:val="21"/>
                      <w:szCs w:val="21"/>
                    </w:rPr>
                    <w:t>输卤输水管线</w:t>
                  </w:r>
                  <w:bookmarkEnd w:id="20"/>
                </w:p>
              </w:tc>
              <w:tc>
                <w:tcPr>
                  <w:tcW w:w="955" w:type="pct"/>
                  <w:tcBorders>
                    <w:tl2br w:val="nil"/>
                    <w:tr2bl w:val="nil"/>
                  </w:tcBorders>
                  <w:vAlign w:val="center"/>
                </w:tcPr>
                <w:p w14:paraId="266AAAAB">
                  <w:pPr>
                    <w:jc w:val="center"/>
                    <w:rPr>
                      <w:rFonts w:eastAsia="仿宋_GB2312"/>
                      <w:sz w:val="21"/>
                      <w:szCs w:val="21"/>
                    </w:rPr>
                  </w:pPr>
                  <w:r>
                    <w:rPr>
                      <w:rFonts w:eastAsia="仿宋_GB2312"/>
                      <w:sz w:val="21"/>
                      <w:szCs w:val="21"/>
                    </w:rPr>
                    <w:t>18km</w:t>
                  </w:r>
                </w:p>
              </w:tc>
              <w:tc>
                <w:tcPr>
                  <w:tcW w:w="955" w:type="pct"/>
                  <w:tcBorders>
                    <w:tl2br w:val="nil"/>
                    <w:tr2bl w:val="nil"/>
                  </w:tcBorders>
                  <w:vAlign w:val="center"/>
                </w:tcPr>
                <w:p w14:paraId="26D6DBB2">
                  <w:pPr>
                    <w:jc w:val="center"/>
                    <w:rPr>
                      <w:rFonts w:eastAsia="仿宋_GB2312"/>
                      <w:sz w:val="21"/>
                      <w:szCs w:val="21"/>
                    </w:rPr>
                  </w:pPr>
                  <w:r>
                    <w:rPr>
                      <w:rFonts w:eastAsia="仿宋_GB2312"/>
                      <w:sz w:val="21"/>
                      <w:szCs w:val="21"/>
                    </w:rPr>
                    <w:t>1.063km</w:t>
                  </w:r>
                </w:p>
              </w:tc>
              <w:tc>
                <w:tcPr>
                  <w:tcW w:w="958" w:type="pct"/>
                  <w:tcBorders>
                    <w:tl2br w:val="nil"/>
                    <w:tr2bl w:val="nil"/>
                  </w:tcBorders>
                  <w:vAlign w:val="center"/>
                </w:tcPr>
                <w:p w14:paraId="5EA04637">
                  <w:pPr>
                    <w:pStyle w:val="56"/>
                    <w:spacing w:beforeLines="0" w:afterLines="0" w:line="240" w:lineRule="auto"/>
                    <w:rPr>
                      <w:rFonts w:ascii="Times New Roman" w:eastAsia="仿宋_GB2312"/>
                      <w:sz w:val="21"/>
                      <w:szCs w:val="21"/>
                    </w:rPr>
                  </w:pPr>
                  <w:r>
                    <w:rPr>
                      <w:rFonts w:ascii="Times New Roman" w:eastAsia="仿宋_GB2312"/>
                      <w:sz w:val="21"/>
                      <w:szCs w:val="21"/>
                    </w:rPr>
                    <w:t>19.063km</w:t>
                  </w:r>
                </w:p>
              </w:tc>
              <w:tc>
                <w:tcPr>
                  <w:tcW w:w="1010" w:type="pct"/>
                  <w:tcBorders>
                    <w:tl2br w:val="nil"/>
                    <w:tr2bl w:val="nil"/>
                  </w:tcBorders>
                  <w:vAlign w:val="center"/>
                </w:tcPr>
                <w:p w14:paraId="13A187AA">
                  <w:pPr>
                    <w:adjustRightInd w:val="0"/>
                    <w:snapToGrid w:val="0"/>
                    <w:jc w:val="center"/>
                    <w:rPr>
                      <w:rFonts w:eastAsia="仿宋_GB2312"/>
                      <w:sz w:val="21"/>
                      <w:szCs w:val="21"/>
                    </w:rPr>
                  </w:pPr>
                  <w:r>
                    <w:rPr>
                      <w:rFonts w:hint="eastAsia" w:eastAsia="仿宋_GB2312"/>
                      <w:sz w:val="21"/>
                      <w:szCs w:val="21"/>
                    </w:rPr>
                    <w:t>配套</w:t>
                  </w:r>
                  <w:r>
                    <w:rPr>
                      <w:rFonts w:hint="eastAsia" w:eastAsia="仿宋_GB2312"/>
                      <w:sz w:val="21"/>
                      <w:szCs w:val="21"/>
                      <w:lang w:val="en-US" w:eastAsia="zh-CN"/>
                    </w:rPr>
                    <w:t>连续双膜法</w:t>
                  </w:r>
                </w:p>
              </w:tc>
            </w:tr>
            <w:tr w14:paraId="4032D99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76" w:hRule="atLeast"/>
                <w:jc w:val="center"/>
              </w:trPr>
              <w:tc>
                <w:tcPr>
                  <w:tcW w:w="339" w:type="pct"/>
                  <w:vMerge w:val="restart"/>
                  <w:tcBorders>
                    <w:tl2br w:val="nil"/>
                    <w:tr2bl w:val="nil"/>
                  </w:tcBorders>
                  <w:vAlign w:val="center"/>
                </w:tcPr>
                <w:p w14:paraId="2E49D220">
                  <w:pPr>
                    <w:adjustRightInd w:val="0"/>
                    <w:snapToGrid w:val="0"/>
                    <w:jc w:val="center"/>
                    <w:rPr>
                      <w:rFonts w:eastAsia="仿宋_GB2312"/>
                      <w:kern w:val="0"/>
                      <w:sz w:val="21"/>
                      <w:szCs w:val="21"/>
                    </w:rPr>
                  </w:pPr>
                  <w:r>
                    <w:rPr>
                      <w:rFonts w:eastAsia="仿宋_GB2312"/>
                      <w:kern w:val="0"/>
                      <w:sz w:val="21"/>
                      <w:szCs w:val="21"/>
                    </w:rPr>
                    <w:t>公用</w:t>
                  </w:r>
                </w:p>
                <w:p w14:paraId="1E95F132">
                  <w:pPr>
                    <w:adjustRightInd w:val="0"/>
                    <w:snapToGrid w:val="0"/>
                    <w:jc w:val="center"/>
                    <w:rPr>
                      <w:rFonts w:eastAsia="仿宋_GB2312"/>
                      <w:kern w:val="0"/>
                      <w:sz w:val="21"/>
                      <w:szCs w:val="21"/>
                    </w:rPr>
                  </w:pPr>
                  <w:r>
                    <w:rPr>
                      <w:rFonts w:eastAsia="仿宋_GB2312"/>
                      <w:kern w:val="0"/>
                      <w:sz w:val="21"/>
                      <w:szCs w:val="21"/>
                    </w:rPr>
                    <w:t>工程</w:t>
                  </w:r>
                </w:p>
              </w:tc>
              <w:tc>
                <w:tcPr>
                  <w:tcW w:w="780" w:type="pct"/>
                  <w:gridSpan w:val="2"/>
                  <w:tcBorders>
                    <w:tl2br w:val="nil"/>
                    <w:tr2bl w:val="nil"/>
                  </w:tcBorders>
                  <w:vAlign w:val="center"/>
                </w:tcPr>
                <w:p w14:paraId="5639259E">
                  <w:pPr>
                    <w:adjustRightInd w:val="0"/>
                    <w:snapToGrid w:val="0"/>
                    <w:jc w:val="center"/>
                    <w:rPr>
                      <w:rFonts w:eastAsia="仿宋_GB2312"/>
                      <w:kern w:val="0"/>
                      <w:sz w:val="21"/>
                      <w:szCs w:val="21"/>
                    </w:rPr>
                  </w:pPr>
                  <w:r>
                    <w:rPr>
                      <w:rFonts w:eastAsia="仿宋_GB2312"/>
                      <w:color w:val="000000" w:themeColor="text1"/>
                      <w:kern w:val="0"/>
                      <w:sz w:val="21"/>
                      <w:szCs w:val="21"/>
                    </w:rPr>
                    <w:t>给水</w:t>
                  </w:r>
                </w:p>
              </w:tc>
              <w:tc>
                <w:tcPr>
                  <w:tcW w:w="955" w:type="pct"/>
                  <w:tcBorders>
                    <w:tl2br w:val="nil"/>
                    <w:tr2bl w:val="nil"/>
                  </w:tcBorders>
                  <w:vAlign w:val="center"/>
                </w:tcPr>
                <w:p w14:paraId="5BB887F3">
                  <w:pPr>
                    <w:adjustRightInd w:val="0"/>
                    <w:snapToGrid w:val="0"/>
                    <w:jc w:val="center"/>
                    <w:rPr>
                      <w:rFonts w:eastAsia="仿宋_GB2312"/>
                      <w:kern w:val="0"/>
                      <w:sz w:val="21"/>
                      <w:szCs w:val="21"/>
                    </w:rPr>
                  </w:pPr>
                  <w:r>
                    <w:rPr>
                      <w:rFonts w:eastAsia="仿宋_GB2312"/>
                      <w:sz w:val="21"/>
                      <w:szCs w:val="21"/>
                      <w:lang w:val="zh-CN"/>
                    </w:rPr>
                    <w:t>1757969</w:t>
                  </w:r>
                  <w:r>
                    <w:rPr>
                      <w:rFonts w:eastAsia="仿宋_GB2312"/>
                      <w:kern w:val="0"/>
                      <w:sz w:val="21"/>
                      <w:szCs w:val="21"/>
                    </w:rPr>
                    <w:t>m</w:t>
                  </w:r>
                  <w:r>
                    <w:rPr>
                      <w:rFonts w:eastAsia="仿宋_GB2312"/>
                      <w:kern w:val="0"/>
                      <w:sz w:val="21"/>
                      <w:szCs w:val="21"/>
                      <w:vertAlign w:val="superscript"/>
                    </w:rPr>
                    <w:t>3</w:t>
                  </w:r>
                  <w:r>
                    <w:rPr>
                      <w:rFonts w:eastAsia="仿宋_GB2312"/>
                      <w:kern w:val="0"/>
                      <w:sz w:val="21"/>
                      <w:szCs w:val="21"/>
                    </w:rPr>
                    <w:t>/a</w:t>
                  </w:r>
                </w:p>
              </w:tc>
              <w:tc>
                <w:tcPr>
                  <w:tcW w:w="955" w:type="pct"/>
                  <w:tcBorders>
                    <w:tl2br w:val="nil"/>
                    <w:tr2bl w:val="nil"/>
                  </w:tcBorders>
                  <w:vAlign w:val="center"/>
                </w:tcPr>
                <w:p w14:paraId="1C66A672">
                  <w:pPr>
                    <w:adjustRightInd w:val="0"/>
                    <w:snapToGrid w:val="0"/>
                    <w:jc w:val="center"/>
                    <w:rPr>
                      <w:rFonts w:eastAsia="仿宋_GB2312"/>
                      <w:kern w:val="0"/>
                      <w:sz w:val="21"/>
                      <w:szCs w:val="21"/>
                    </w:rPr>
                  </w:pPr>
                  <w:r>
                    <w:rPr>
                      <w:rFonts w:hint="eastAsia" w:eastAsia="仿宋_GB2312"/>
                      <w:sz w:val="21"/>
                      <w:szCs w:val="21"/>
                      <w:lang w:val="en-US" w:eastAsia="zh-CN"/>
                    </w:rPr>
                    <w:t>3786.7</w:t>
                  </w:r>
                  <w:r>
                    <w:rPr>
                      <w:rFonts w:eastAsia="仿宋_GB2312"/>
                      <w:kern w:val="0"/>
                      <w:sz w:val="21"/>
                      <w:szCs w:val="21"/>
                    </w:rPr>
                    <w:t>m</w:t>
                  </w:r>
                  <w:r>
                    <w:rPr>
                      <w:rFonts w:eastAsia="仿宋_GB2312"/>
                      <w:kern w:val="0"/>
                      <w:sz w:val="21"/>
                      <w:szCs w:val="21"/>
                      <w:vertAlign w:val="superscript"/>
                    </w:rPr>
                    <w:t>3</w:t>
                  </w:r>
                  <w:r>
                    <w:rPr>
                      <w:rFonts w:eastAsia="仿宋_GB2312"/>
                      <w:kern w:val="0"/>
                      <w:sz w:val="21"/>
                      <w:szCs w:val="21"/>
                    </w:rPr>
                    <w:t>/a</w:t>
                  </w:r>
                </w:p>
              </w:tc>
              <w:tc>
                <w:tcPr>
                  <w:tcW w:w="958" w:type="pct"/>
                  <w:tcBorders>
                    <w:tl2br w:val="nil"/>
                    <w:tr2bl w:val="nil"/>
                  </w:tcBorders>
                  <w:vAlign w:val="center"/>
                </w:tcPr>
                <w:p w14:paraId="4C3E1D74">
                  <w:pPr>
                    <w:adjustRightInd w:val="0"/>
                    <w:snapToGrid w:val="0"/>
                    <w:jc w:val="center"/>
                    <w:rPr>
                      <w:rFonts w:eastAsia="仿宋_GB2312"/>
                      <w:kern w:val="0"/>
                      <w:sz w:val="21"/>
                      <w:szCs w:val="21"/>
                    </w:rPr>
                  </w:pPr>
                  <w:r>
                    <w:rPr>
                      <w:rFonts w:eastAsia="仿宋_GB2312"/>
                      <w:sz w:val="21"/>
                      <w:szCs w:val="21"/>
                    </w:rPr>
                    <w:t>176</w:t>
                  </w:r>
                  <w:r>
                    <w:rPr>
                      <w:rFonts w:hint="eastAsia" w:eastAsia="仿宋_GB2312"/>
                      <w:sz w:val="21"/>
                      <w:szCs w:val="21"/>
                      <w:lang w:val="en-US" w:eastAsia="zh-CN"/>
                    </w:rPr>
                    <w:t>1755.7</w:t>
                  </w:r>
                  <w:r>
                    <w:rPr>
                      <w:rFonts w:eastAsia="仿宋_GB2312"/>
                      <w:kern w:val="0"/>
                      <w:sz w:val="21"/>
                      <w:szCs w:val="21"/>
                    </w:rPr>
                    <w:t>m</w:t>
                  </w:r>
                  <w:r>
                    <w:rPr>
                      <w:rFonts w:eastAsia="仿宋_GB2312"/>
                      <w:kern w:val="0"/>
                      <w:sz w:val="21"/>
                      <w:szCs w:val="21"/>
                      <w:vertAlign w:val="superscript"/>
                    </w:rPr>
                    <w:t>3</w:t>
                  </w:r>
                  <w:r>
                    <w:rPr>
                      <w:rFonts w:eastAsia="仿宋_GB2312"/>
                      <w:kern w:val="0"/>
                      <w:sz w:val="21"/>
                      <w:szCs w:val="21"/>
                    </w:rPr>
                    <w:t>/a</w:t>
                  </w:r>
                </w:p>
              </w:tc>
              <w:tc>
                <w:tcPr>
                  <w:tcW w:w="1010" w:type="pct"/>
                  <w:tcBorders>
                    <w:tl2br w:val="nil"/>
                    <w:tr2bl w:val="nil"/>
                  </w:tcBorders>
                  <w:vAlign w:val="center"/>
                </w:tcPr>
                <w:p w14:paraId="3156746D">
                  <w:pPr>
                    <w:adjustRightInd w:val="0"/>
                    <w:snapToGrid w:val="0"/>
                    <w:jc w:val="center"/>
                    <w:rPr>
                      <w:rFonts w:eastAsia="仿宋_GB2312"/>
                      <w:kern w:val="0"/>
                      <w:sz w:val="21"/>
                      <w:szCs w:val="21"/>
                    </w:rPr>
                  </w:pPr>
                  <w:r>
                    <w:rPr>
                      <w:rFonts w:eastAsia="仿宋_GB2312"/>
                      <w:kern w:val="0"/>
                      <w:sz w:val="21"/>
                      <w:szCs w:val="21"/>
                    </w:rPr>
                    <w:t>本项目江苏加怡热电有限公司提供纯水</w:t>
                  </w:r>
                  <w:r>
                    <w:rPr>
                      <w:rFonts w:hint="eastAsia" w:eastAsia="仿宋_GB2312"/>
                      <w:sz w:val="21"/>
                      <w:szCs w:val="21"/>
                      <w:lang w:val="en-US" w:eastAsia="zh-CN"/>
                    </w:rPr>
                    <w:t>3786.7</w:t>
                  </w:r>
                  <w:r>
                    <w:rPr>
                      <w:rFonts w:eastAsia="仿宋_GB2312"/>
                      <w:kern w:val="0"/>
                      <w:sz w:val="21"/>
                      <w:szCs w:val="21"/>
                    </w:rPr>
                    <w:t>m</w:t>
                  </w:r>
                  <w:r>
                    <w:rPr>
                      <w:rFonts w:eastAsia="仿宋_GB2312"/>
                      <w:kern w:val="0"/>
                      <w:sz w:val="21"/>
                      <w:szCs w:val="21"/>
                      <w:vertAlign w:val="superscript"/>
                    </w:rPr>
                    <w:t>3</w:t>
                  </w:r>
                  <w:r>
                    <w:rPr>
                      <w:rFonts w:eastAsia="仿宋_GB2312"/>
                      <w:kern w:val="0"/>
                      <w:sz w:val="21"/>
                      <w:szCs w:val="21"/>
                    </w:rPr>
                    <w:t>/a</w:t>
                  </w:r>
                </w:p>
              </w:tc>
            </w:tr>
            <w:tr w14:paraId="424D267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76" w:hRule="atLeast"/>
                <w:jc w:val="center"/>
              </w:trPr>
              <w:tc>
                <w:tcPr>
                  <w:tcW w:w="339" w:type="pct"/>
                  <w:vMerge w:val="continue"/>
                  <w:tcBorders>
                    <w:tl2br w:val="nil"/>
                    <w:tr2bl w:val="nil"/>
                  </w:tcBorders>
                  <w:vAlign w:val="center"/>
                </w:tcPr>
                <w:p w14:paraId="47DF83EA">
                  <w:pPr>
                    <w:adjustRightInd w:val="0"/>
                    <w:snapToGrid w:val="0"/>
                    <w:jc w:val="center"/>
                    <w:rPr>
                      <w:rFonts w:eastAsia="仿宋_GB2312"/>
                      <w:kern w:val="0"/>
                      <w:sz w:val="21"/>
                      <w:szCs w:val="21"/>
                    </w:rPr>
                  </w:pPr>
                </w:p>
              </w:tc>
              <w:tc>
                <w:tcPr>
                  <w:tcW w:w="780" w:type="pct"/>
                  <w:gridSpan w:val="2"/>
                  <w:tcBorders>
                    <w:tl2br w:val="nil"/>
                    <w:tr2bl w:val="nil"/>
                  </w:tcBorders>
                  <w:vAlign w:val="center"/>
                </w:tcPr>
                <w:p w14:paraId="2397F7C9">
                  <w:pPr>
                    <w:adjustRightInd w:val="0"/>
                    <w:snapToGrid w:val="0"/>
                    <w:jc w:val="center"/>
                    <w:rPr>
                      <w:rFonts w:eastAsia="仿宋_GB2312"/>
                      <w:kern w:val="0"/>
                      <w:sz w:val="21"/>
                      <w:szCs w:val="21"/>
                    </w:rPr>
                  </w:pPr>
                  <w:r>
                    <w:rPr>
                      <w:rFonts w:eastAsia="仿宋_GB2312"/>
                      <w:color w:val="000000" w:themeColor="text1"/>
                      <w:kern w:val="0"/>
                      <w:sz w:val="21"/>
                      <w:szCs w:val="21"/>
                    </w:rPr>
                    <w:t>排水</w:t>
                  </w:r>
                </w:p>
              </w:tc>
              <w:tc>
                <w:tcPr>
                  <w:tcW w:w="955" w:type="pct"/>
                  <w:tcBorders>
                    <w:tl2br w:val="nil"/>
                    <w:tr2bl w:val="nil"/>
                  </w:tcBorders>
                  <w:vAlign w:val="center"/>
                </w:tcPr>
                <w:p w14:paraId="1A75FE7D">
                  <w:pPr>
                    <w:adjustRightInd w:val="0"/>
                    <w:snapToGrid w:val="0"/>
                    <w:jc w:val="center"/>
                    <w:rPr>
                      <w:rFonts w:eastAsia="仿宋_GB2312"/>
                      <w:kern w:val="0"/>
                      <w:sz w:val="21"/>
                      <w:szCs w:val="21"/>
                    </w:rPr>
                  </w:pPr>
                  <w:r>
                    <w:rPr>
                      <w:rFonts w:eastAsia="仿宋_GB2312"/>
                      <w:kern w:val="0"/>
                      <w:sz w:val="21"/>
                      <w:szCs w:val="21"/>
                    </w:rPr>
                    <w:t>4860m</w:t>
                  </w:r>
                  <w:r>
                    <w:rPr>
                      <w:rFonts w:eastAsia="仿宋_GB2312"/>
                      <w:kern w:val="0"/>
                      <w:sz w:val="21"/>
                      <w:szCs w:val="21"/>
                      <w:vertAlign w:val="superscript"/>
                    </w:rPr>
                    <w:t>3</w:t>
                  </w:r>
                  <w:r>
                    <w:rPr>
                      <w:rFonts w:eastAsia="仿宋_GB2312"/>
                      <w:kern w:val="0"/>
                      <w:sz w:val="21"/>
                      <w:szCs w:val="21"/>
                    </w:rPr>
                    <w:t>/a</w:t>
                  </w:r>
                </w:p>
              </w:tc>
              <w:tc>
                <w:tcPr>
                  <w:tcW w:w="955" w:type="pct"/>
                  <w:tcBorders>
                    <w:tl2br w:val="nil"/>
                    <w:tr2bl w:val="nil"/>
                  </w:tcBorders>
                  <w:vAlign w:val="center"/>
                </w:tcPr>
                <w:p w14:paraId="031EC902">
                  <w:pPr>
                    <w:adjustRightInd w:val="0"/>
                    <w:snapToGrid w:val="0"/>
                    <w:jc w:val="center"/>
                    <w:rPr>
                      <w:rFonts w:eastAsia="仿宋_GB2312"/>
                      <w:kern w:val="0"/>
                      <w:sz w:val="21"/>
                      <w:szCs w:val="21"/>
                    </w:rPr>
                  </w:pPr>
                  <w:r>
                    <w:rPr>
                      <w:rFonts w:eastAsia="仿宋_GB2312"/>
                      <w:kern w:val="0"/>
                      <w:sz w:val="21"/>
                      <w:szCs w:val="21"/>
                    </w:rPr>
                    <w:t>0m</w:t>
                  </w:r>
                  <w:r>
                    <w:rPr>
                      <w:rFonts w:eastAsia="仿宋_GB2312"/>
                      <w:kern w:val="0"/>
                      <w:sz w:val="21"/>
                      <w:szCs w:val="21"/>
                      <w:vertAlign w:val="superscript"/>
                    </w:rPr>
                    <w:t>3</w:t>
                  </w:r>
                  <w:r>
                    <w:rPr>
                      <w:rFonts w:eastAsia="仿宋_GB2312"/>
                      <w:kern w:val="0"/>
                      <w:sz w:val="21"/>
                      <w:szCs w:val="21"/>
                    </w:rPr>
                    <w:t>/a</w:t>
                  </w:r>
                </w:p>
              </w:tc>
              <w:tc>
                <w:tcPr>
                  <w:tcW w:w="958" w:type="pct"/>
                  <w:tcBorders>
                    <w:tl2br w:val="nil"/>
                    <w:tr2bl w:val="nil"/>
                  </w:tcBorders>
                  <w:vAlign w:val="center"/>
                </w:tcPr>
                <w:p w14:paraId="12E582C0">
                  <w:pPr>
                    <w:adjustRightInd w:val="0"/>
                    <w:snapToGrid w:val="0"/>
                    <w:jc w:val="center"/>
                    <w:rPr>
                      <w:rFonts w:eastAsia="仿宋_GB2312"/>
                      <w:kern w:val="0"/>
                      <w:sz w:val="21"/>
                      <w:szCs w:val="21"/>
                    </w:rPr>
                  </w:pPr>
                  <w:r>
                    <w:rPr>
                      <w:rFonts w:eastAsia="仿宋_GB2312"/>
                      <w:kern w:val="0"/>
                      <w:sz w:val="21"/>
                      <w:szCs w:val="21"/>
                    </w:rPr>
                    <w:t>4860m</w:t>
                  </w:r>
                  <w:r>
                    <w:rPr>
                      <w:rFonts w:eastAsia="仿宋_GB2312"/>
                      <w:kern w:val="0"/>
                      <w:sz w:val="21"/>
                      <w:szCs w:val="21"/>
                      <w:vertAlign w:val="superscript"/>
                    </w:rPr>
                    <w:t>3</w:t>
                  </w:r>
                  <w:r>
                    <w:rPr>
                      <w:rFonts w:eastAsia="仿宋_GB2312"/>
                      <w:kern w:val="0"/>
                      <w:sz w:val="21"/>
                      <w:szCs w:val="21"/>
                    </w:rPr>
                    <w:t>/a</w:t>
                  </w:r>
                </w:p>
              </w:tc>
              <w:tc>
                <w:tcPr>
                  <w:tcW w:w="1010" w:type="pct"/>
                  <w:tcBorders>
                    <w:tl2br w:val="nil"/>
                    <w:tr2bl w:val="nil"/>
                  </w:tcBorders>
                  <w:vAlign w:val="center"/>
                </w:tcPr>
                <w:p w14:paraId="186F8351">
                  <w:pPr>
                    <w:adjustRightInd w:val="0"/>
                    <w:snapToGrid w:val="0"/>
                    <w:jc w:val="center"/>
                    <w:rPr>
                      <w:rFonts w:eastAsia="仿宋_GB2312"/>
                      <w:kern w:val="0"/>
                      <w:sz w:val="21"/>
                      <w:szCs w:val="21"/>
                    </w:rPr>
                  </w:pPr>
                  <w:r>
                    <w:rPr>
                      <w:rFonts w:eastAsia="仿宋_GB2312"/>
                      <w:kern w:val="0"/>
                      <w:sz w:val="21"/>
                      <w:szCs w:val="21"/>
                    </w:rPr>
                    <w:t>全厂现有生活污水4860m</w:t>
                  </w:r>
                  <w:r>
                    <w:rPr>
                      <w:rFonts w:eastAsia="仿宋_GB2312"/>
                      <w:kern w:val="0"/>
                      <w:sz w:val="21"/>
                      <w:szCs w:val="21"/>
                      <w:vertAlign w:val="superscript"/>
                    </w:rPr>
                    <w:t>3</w:t>
                  </w:r>
                  <w:r>
                    <w:rPr>
                      <w:rFonts w:eastAsia="仿宋_GB2312"/>
                      <w:kern w:val="0"/>
                      <w:sz w:val="21"/>
                      <w:szCs w:val="21"/>
                    </w:rPr>
                    <w:t>/a</w:t>
                  </w:r>
                  <w:r>
                    <w:rPr>
                      <w:rFonts w:eastAsia="仿宋_GB2312"/>
                      <w:sz w:val="21"/>
                      <w:szCs w:val="21"/>
                    </w:rPr>
                    <w:t>经化粪池处理后接管金坛第二污水处理厂深度处理，本项目生产废水</w:t>
                  </w:r>
                  <w:r>
                    <w:rPr>
                      <w:rFonts w:hint="eastAsia" w:eastAsia="仿宋_GB2312"/>
                      <w:sz w:val="21"/>
                      <w:szCs w:val="21"/>
                      <w:lang w:val="en-US" w:eastAsia="zh-CN"/>
                    </w:rPr>
                    <w:t>3737.9</w:t>
                  </w:r>
                  <w:r>
                    <w:rPr>
                      <w:rFonts w:eastAsia="仿宋_GB2312"/>
                      <w:kern w:val="0"/>
                      <w:sz w:val="21"/>
                      <w:szCs w:val="21"/>
                    </w:rPr>
                    <w:t>m</w:t>
                  </w:r>
                  <w:r>
                    <w:rPr>
                      <w:rFonts w:eastAsia="仿宋_GB2312"/>
                      <w:kern w:val="0"/>
                      <w:sz w:val="21"/>
                      <w:szCs w:val="21"/>
                      <w:vertAlign w:val="superscript"/>
                    </w:rPr>
                    <w:t>3</w:t>
                  </w:r>
                  <w:r>
                    <w:rPr>
                      <w:rFonts w:eastAsia="仿宋_GB2312"/>
                      <w:kern w:val="0"/>
                      <w:sz w:val="21"/>
                      <w:szCs w:val="21"/>
                    </w:rPr>
                    <w:t>/a，经</w:t>
                  </w:r>
                  <w:r>
                    <w:rPr>
                      <w:rFonts w:eastAsia="仿宋_GB2312"/>
                      <w:sz w:val="21"/>
                      <w:szCs w:val="21"/>
                    </w:rPr>
                    <w:t>含盐废水专用管网打入中水池后，通过回用管道回用至矿区采卤</w:t>
                  </w:r>
                </w:p>
              </w:tc>
            </w:tr>
            <w:tr w14:paraId="440A9D3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39" w:type="pct"/>
                  <w:vMerge w:val="continue"/>
                  <w:tcBorders>
                    <w:tl2br w:val="nil"/>
                    <w:tr2bl w:val="nil"/>
                  </w:tcBorders>
                  <w:vAlign w:val="center"/>
                </w:tcPr>
                <w:p w14:paraId="7BD67D6C">
                  <w:pPr>
                    <w:adjustRightInd w:val="0"/>
                    <w:snapToGrid w:val="0"/>
                    <w:jc w:val="center"/>
                    <w:rPr>
                      <w:rFonts w:eastAsia="仿宋_GB2312"/>
                      <w:kern w:val="0"/>
                      <w:sz w:val="21"/>
                      <w:szCs w:val="21"/>
                    </w:rPr>
                  </w:pPr>
                </w:p>
              </w:tc>
              <w:tc>
                <w:tcPr>
                  <w:tcW w:w="780" w:type="pct"/>
                  <w:gridSpan w:val="2"/>
                  <w:tcBorders>
                    <w:tl2br w:val="nil"/>
                    <w:tr2bl w:val="nil"/>
                  </w:tcBorders>
                  <w:vAlign w:val="center"/>
                </w:tcPr>
                <w:p w14:paraId="65A3BDBF">
                  <w:pPr>
                    <w:adjustRightInd w:val="0"/>
                    <w:snapToGrid w:val="0"/>
                    <w:jc w:val="center"/>
                    <w:rPr>
                      <w:rFonts w:eastAsia="仿宋_GB2312"/>
                      <w:color w:val="000000"/>
                      <w:kern w:val="0"/>
                      <w:sz w:val="21"/>
                      <w:szCs w:val="21"/>
                    </w:rPr>
                  </w:pPr>
                  <w:r>
                    <w:rPr>
                      <w:rFonts w:eastAsia="仿宋_GB2312"/>
                      <w:color w:val="000000"/>
                      <w:kern w:val="0"/>
                      <w:sz w:val="21"/>
                      <w:szCs w:val="21"/>
                    </w:rPr>
                    <w:t>供热</w:t>
                  </w:r>
                </w:p>
              </w:tc>
              <w:tc>
                <w:tcPr>
                  <w:tcW w:w="955" w:type="pct"/>
                  <w:tcBorders>
                    <w:tl2br w:val="nil"/>
                    <w:tr2bl w:val="nil"/>
                  </w:tcBorders>
                  <w:vAlign w:val="center"/>
                </w:tcPr>
                <w:p w14:paraId="4E44FC2D">
                  <w:pPr>
                    <w:adjustRightInd w:val="0"/>
                    <w:snapToGrid w:val="0"/>
                    <w:jc w:val="center"/>
                    <w:rPr>
                      <w:rFonts w:eastAsia="仿宋_GB2312"/>
                      <w:color w:val="000000"/>
                      <w:kern w:val="0"/>
                      <w:sz w:val="21"/>
                      <w:szCs w:val="21"/>
                    </w:rPr>
                  </w:pPr>
                  <w:r>
                    <w:rPr>
                      <w:rFonts w:eastAsia="仿宋_GB2312"/>
                      <w:color w:val="000000"/>
                      <w:kern w:val="0"/>
                      <w:sz w:val="21"/>
                      <w:szCs w:val="21"/>
                    </w:rPr>
                    <w:t>164.74万t/a</w:t>
                  </w:r>
                </w:p>
              </w:tc>
              <w:tc>
                <w:tcPr>
                  <w:tcW w:w="955" w:type="pct"/>
                  <w:tcBorders>
                    <w:tl2br w:val="nil"/>
                    <w:tr2bl w:val="nil"/>
                  </w:tcBorders>
                  <w:vAlign w:val="center"/>
                </w:tcPr>
                <w:p w14:paraId="48749518">
                  <w:pPr>
                    <w:adjustRightInd w:val="0"/>
                    <w:snapToGrid w:val="0"/>
                    <w:jc w:val="center"/>
                    <w:rPr>
                      <w:rFonts w:eastAsia="仿宋_GB2312"/>
                      <w:color w:val="000000"/>
                      <w:sz w:val="21"/>
                      <w:szCs w:val="21"/>
                    </w:rPr>
                  </w:pPr>
                  <w:r>
                    <w:rPr>
                      <w:rFonts w:eastAsia="仿宋_GB2312"/>
                      <w:color w:val="000000"/>
                      <w:sz w:val="21"/>
                      <w:szCs w:val="21"/>
                    </w:rPr>
                    <w:t>0</w:t>
                  </w:r>
                </w:p>
              </w:tc>
              <w:tc>
                <w:tcPr>
                  <w:tcW w:w="958" w:type="pct"/>
                  <w:tcBorders>
                    <w:tl2br w:val="nil"/>
                    <w:tr2bl w:val="nil"/>
                  </w:tcBorders>
                  <w:vAlign w:val="center"/>
                </w:tcPr>
                <w:p w14:paraId="13688424">
                  <w:pPr>
                    <w:adjustRightInd w:val="0"/>
                    <w:snapToGrid w:val="0"/>
                    <w:jc w:val="center"/>
                    <w:rPr>
                      <w:rFonts w:eastAsia="仿宋_GB2312"/>
                      <w:color w:val="000000"/>
                      <w:sz w:val="21"/>
                      <w:szCs w:val="21"/>
                    </w:rPr>
                  </w:pPr>
                  <w:r>
                    <w:rPr>
                      <w:rFonts w:eastAsia="仿宋_GB2312"/>
                      <w:color w:val="000000"/>
                      <w:kern w:val="0"/>
                      <w:sz w:val="21"/>
                      <w:szCs w:val="21"/>
                    </w:rPr>
                    <w:t>164.74万t/a</w:t>
                  </w:r>
                </w:p>
              </w:tc>
              <w:tc>
                <w:tcPr>
                  <w:tcW w:w="1010" w:type="pct"/>
                  <w:tcBorders>
                    <w:tl2br w:val="nil"/>
                    <w:tr2bl w:val="nil"/>
                  </w:tcBorders>
                  <w:vAlign w:val="center"/>
                </w:tcPr>
                <w:p w14:paraId="69A5E5C1">
                  <w:pPr>
                    <w:adjustRightInd w:val="0"/>
                    <w:snapToGrid w:val="0"/>
                    <w:jc w:val="center"/>
                    <w:rPr>
                      <w:rFonts w:eastAsia="仿宋_GB2312"/>
                      <w:color w:val="000000"/>
                      <w:kern w:val="0"/>
                      <w:sz w:val="21"/>
                      <w:szCs w:val="21"/>
                    </w:rPr>
                  </w:pPr>
                  <w:r>
                    <w:rPr>
                      <w:rFonts w:eastAsia="仿宋_GB2312"/>
                      <w:color w:val="000000"/>
                      <w:kern w:val="0"/>
                      <w:sz w:val="21"/>
                      <w:szCs w:val="21"/>
                    </w:rPr>
                    <w:t>由江苏加怡热电有限公司提供</w:t>
                  </w:r>
                </w:p>
              </w:tc>
            </w:tr>
            <w:tr w14:paraId="2ECF864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39" w:type="pct"/>
                  <w:vMerge w:val="continue"/>
                  <w:tcBorders>
                    <w:tl2br w:val="nil"/>
                    <w:tr2bl w:val="nil"/>
                  </w:tcBorders>
                  <w:vAlign w:val="center"/>
                </w:tcPr>
                <w:p w14:paraId="23F0DCCA">
                  <w:pPr>
                    <w:adjustRightInd w:val="0"/>
                    <w:snapToGrid w:val="0"/>
                    <w:jc w:val="center"/>
                    <w:rPr>
                      <w:rFonts w:eastAsia="仿宋_GB2312"/>
                      <w:kern w:val="0"/>
                      <w:sz w:val="21"/>
                      <w:szCs w:val="21"/>
                    </w:rPr>
                  </w:pPr>
                </w:p>
              </w:tc>
              <w:tc>
                <w:tcPr>
                  <w:tcW w:w="780" w:type="pct"/>
                  <w:gridSpan w:val="2"/>
                  <w:tcBorders>
                    <w:tl2br w:val="nil"/>
                    <w:tr2bl w:val="nil"/>
                  </w:tcBorders>
                  <w:vAlign w:val="center"/>
                </w:tcPr>
                <w:p w14:paraId="369020E5">
                  <w:pPr>
                    <w:adjustRightInd w:val="0"/>
                    <w:snapToGrid w:val="0"/>
                    <w:jc w:val="center"/>
                    <w:rPr>
                      <w:rFonts w:eastAsia="仿宋_GB2312"/>
                      <w:color w:val="000000"/>
                      <w:kern w:val="0"/>
                      <w:sz w:val="21"/>
                      <w:szCs w:val="21"/>
                    </w:rPr>
                  </w:pPr>
                  <w:r>
                    <w:rPr>
                      <w:rFonts w:eastAsia="仿宋_GB2312"/>
                      <w:kern w:val="0"/>
                      <w:sz w:val="21"/>
                      <w:szCs w:val="21"/>
                    </w:rPr>
                    <w:t>供电</w:t>
                  </w:r>
                </w:p>
              </w:tc>
              <w:tc>
                <w:tcPr>
                  <w:tcW w:w="955" w:type="pct"/>
                  <w:tcBorders>
                    <w:tl2br w:val="nil"/>
                    <w:tr2bl w:val="nil"/>
                  </w:tcBorders>
                  <w:vAlign w:val="center"/>
                </w:tcPr>
                <w:p w14:paraId="556EE50D">
                  <w:pPr>
                    <w:adjustRightInd w:val="0"/>
                    <w:snapToGrid w:val="0"/>
                    <w:jc w:val="center"/>
                    <w:rPr>
                      <w:rFonts w:eastAsia="仿宋_GB2312"/>
                      <w:color w:val="000000"/>
                      <w:kern w:val="0"/>
                      <w:sz w:val="21"/>
                      <w:szCs w:val="21"/>
                    </w:rPr>
                  </w:pPr>
                  <w:r>
                    <w:rPr>
                      <w:rFonts w:eastAsia="仿宋_GB2312"/>
                      <w:color w:val="000000"/>
                      <w:kern w:val="0"/>
                      <w:sz w:val="21"/>
                      <w:szCs w:val="21"/>
                    </w:rPr>
                    <w:t>3000万kWh/a</w:t>
                  </w:r>
                </w:p>
              </w:tc>
              <w:tc>
                <w:tcPr>
                  <w:tcW w:w="955" w:type="pct"/>
                  <w:tcBorders>
                    <w:tl2br w:val="nil"/>
                    <w:tr2bl w:val="nil"/>
                  </w:tcBorders>
                  <w:vAlign w:val="center"/>
                </w:tcPr>
                <w:p w14:paraId="4C1CCAC0">
                  <w:pPr>
                    <w:adjustRightInd w:val="0"/>
                    <w:snapToGrid w:val="0"/>
                    <w:jc w:val="center"/>
                    <w:rPr>
                      <w:rFonts w:eastAsia="仿宋_GB2312"/>
                      <w:color w:val="000000"/>
                      <w:kern w:val="0"/>
                      <w:sz w:val="21"/>
                      <w:szCs w:val="21"/>
                    </w:rPr>
                  </w:pPr>
                  <w:r>
                    <w:rPr>
                      <w:rFonts w:eastAsia="仿宋_GB2312"/>
                      <w:color w:val="000000"/>
                      <w:kern w:val="0"/>
                      <w:sz w:val="21"/>
                      <w:szCs w:val="21"/>
                    </w:rPr>
                    <w:t>100万kWh/a</w:t>
                  </w:r>
                </w:p>
              </w:tc>
              <w:tc>
                <w:tcPr>
                  <w:tcW w:w="958" w:type="pct"/>
                  <w:tcBorders>
                    <w:tl2br w:val="nil"/>
                    <w:tr2bl w:val="nil"/>
                  </w:tcBorders>
                  <w:vAlign w:val="center"/>
                </w:tcPr>
                <w:p w14:paraId="707CF4E2">
                  <w:pPr>
                    <w:adjustRightInd w:val="0"/>
                    <w:snapToGrid w:val="0"/>
                    <w:jc w:val="center"/>
                    <w:rPr>
                      <w:rFonts w:eastAsia="仿宋_GB2312"/>
                      <w:color w:val="000000"/>
                      <w:kern w:val="0"/>
                      <w:sz w:val="21"/>
                      <w:szCs w:val="21"/>
                    </w:rPr>
                  </w:pPr>
                  <w:r>
                    <w:rPr>
                      <w:rFonts w:eastAsia="仿宋_GB2312"/>
                      <w:color w:val="000000"/>
                      <w:kern w:val="0"/>
                      <w:sz w:val="21"/>
                      <w:szCs w:val="21"/>
                    </w:rPr>
                    <w:t>3100万kWh/a</w:t>
                  </w:r>
                </w:p>
              </w:tc>
              <w:tc>
                <w:tcPr>
                  <w:tcW w:w="1010" w:type="pct"/>
                  <w:tcBorders>
                    <w:tl2br w:val="nil"/>
                    <w:tr2bl w:val="nil"/>
                  </w:tcBorders>
                  <w:vAlign w:val="center"/>
                </w:tcPr>
                <w:p w14:paraId="0E218833">
                  <w:pPr>
                    <w:adjustRightInd w:val="0"/>
                    <w:snapToGrid w:val="0"/>
                    <w:jc w:val="center"/>
                    <w:rPr>
                      <w:rFonts w:eastAsia="仿宋_GB2312"/>
                      <w:color w:val="000000"/>
                      <w:kern w:val="0"/>
                      <w:sz w:val="21"/>
                      <w:szCs w:val="21"/>
                    </w:rPr>
                  </w:pPr>
                  <w:r>
                    <w:rPr>
                      <w:rFonts w:eastAsia="仿宋_GB2312"/>
                      <w:color w:val="000000"/>
                      <w:kern w:val="0"/>
                      <w:sz w:val="21"/>
                      <w:szCs w:val="21"/>
                    </w:rPr>
                    <w:t>由市政电网提供</w:t>
                  </w:r>
                </w:p>
              </w:tc>
            </w:tr>
            <w:tr w14:paraId="1BA064D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29" w:hRule="atLeast"/>
                <w:jc w:val="center"/>
              </w:trPr>
              <w:tc>
                <w:tcPr>
                  <w:tcW w:w="339" w:type="pct"/>
                  <w:vMerge w:val="restart"/>
                  <w:tcBorders>
                    <w:tl2br w:val="nil"/>
                    <w:tr2bl w:val="nil"/>
                  </w:tcBorders>
                  <w:vAlign w:val="center"/>
                </w:tcPr>
                <w:p w14:paraId="6CF5938A">
                  <w:pPr>
                    <w:adjustRightInd w:val="0"/>
                    <w:snapToGrid w:val="0"/>
                    <w:jc w:val="center"/>
                    <w:rPr>
                      <w:rFonts w:eastAsia="仿宋_GB2312"/>
                      <w:kern w:val="0"/>
                      <w:sz w:val="21"/>
                      <w:szCs w:val="21"/>
                    </w:rPr>
                  </w:pPr>
                  <w:r>
                    <w:rPr>
                      <w:rFonts w:eastAsia="仿宋_GB2312"/>
                      <w:kern w:val="0"/>
                      <w:sz w:val="21"/>
                      <w:szCs w:val="21"/>
                    </w:rPr>
                    <w:t>环保</w:t>
                  </w:r>
                </w:p>
                <w:p w14:paraId="2D9B7597">
                  <w:pPr>
                    <w:adjustRightInd w:val="0"/>
                    <w:snapToGrid w:val="0"/>
                    <w:jc w:val="center"/>
                    <w:rPr>
                      <w:rFonts w:eastAsia="仿宋_GB2312"/>
                      <w:kern w:val="0"/>
                      <w:sz w:val="21"/>
                      <w:szCs w:val="21"/>
                    </w:rPr>
                  </w:pPr>
                  <w:r>
                    <w:rPr>
                      <w:rFonts w:eastAsia="仿宋_GB2312"/>
                      <w:kern w:val="0"/>
                      <w:sz w:val="21"/>
                      <w:szCs w:val="21"/>
                    </w:rPr>
                    <w:t>工程</w:t>
                  </w:r>
                </w:p>
              </w:tc>
              <w:tc>
                <w:tcPr>
                  <w:tcW w:w="780" w:type="pct"/>
                  <w:gridSpan w:val="2"/>
                  <w:tcBorders>
                    <w:tl2br w:val="nil"/>
                    <w:tr2bl w:val="nil"/>
                  </w:tcBorders>
                  <w:vAlign w:val="center"/>
                </w:tcPr>
                <w:p w14:paraId="4A37C4C2">
                  <w:pPr>
                    <w:adjustRightInd w:val="0"/>
                    <w:snapToGrid w:val="0"/>
                    <w:jc w:val="center"/>
                    <w:rPr>
                      <w:rFonts w:eastAsia="仿宋_GB2312"/>
                      <w:kern w:val="0"/>
                      <w:sz w:val="21"/>
                      <w:szCs w:val="21"/>
                    </w:rPr>
                  </w:pPr>
                  <w:r>
                    <w:rPr>
                      <w:rFonts w:eastAsia="仿宋_GB2312"/>
                      <w:kern w:val="0"/>
                      <w:sz w:val="21"/>
                      <w:szCs w:val="21"/>
                    </w:rPr>
                    <w:t>废气处理</w:t>
                  </w:r>
                </w:p>
              </w:tc>
              <w:tc>
                <w:tcPr>
                  <w:tcW w:w="955" w:type="pct"/>
                  <w:tcBorders>
                    <w:tl2br w:val="nil"/>
                    <w:tr2bl w:val="nil"/>
                  </w:tcBorders>
                  <w:vAlign w:val="center"/>
                </w:tcPr>
                <w:p w14:paraId="34B457C4">
                  <w:pPr>
                    <w:adjustRightInd w:val="0"/>
                    <w:snapToGrid w:val="0"/>
                    <w:jc w:val="center"/>
                    <w:rPr>
                      <w:rFonts w:eastAsia="仿宋_GB2312"/>
                      <w:color w:val="000000"/>
                      <w:sz w:val="21"/>
                      <w:szCs w:val="21"/>
                    </w:rPr>
                  </w:pPr>
                  <w:r>
                    <w:rPr>
                      <w:rFonts w:eastAsia="仿宋_GB2312"/>
                      <w:color w:val="000000"/>
                      <w:sz w:val="21"/>
                      <w:szCs w:val="21"/>
                    </w:rPr>
                    <w:t>旋风+湿式除尘7套，喷淋2套，水膜除尘1套</w:t>
                  </w:r>
                </w:p>
              </w:tc>
              <w:tc>
                <w:tcPr>
                  <w:tcW w:w="955" w:type="pct"/>
                  <w:tcBorders>
                    <w:tl2br w:val="nil"/>
                    <w:tr2bl w:val="nil"/>
                  </w:tcBorders>
                  <w:vAlign w:val="center"/>
                </w:tcPr>
                <w:p w14:paraId="5FA0C76B">
                  <w:pPr>
                    <w:adjustRightInd w:val="0"/>
                    <w:snapToGrid w:val="0"/>
                    <w:jc w:val="center"/>
                    <w:rPr>
                      <w:rFonts w:hint="default" w:eastAsia="仿宋_GB2312"/>
                      <w:color w:val="auto"/>
                      <w:kern w:val="0"/>
                      <w:sz w:val="21"/>
                      <w:szCs w:val="21"/>
                      <w:lang w:val="en-US" w:eastAsia="zh-CN"/>
                    </w:rPr>
                  </w:pPr>
                  <w:r>
                    <w:rPr>
                      <w:rFonts w:eastAsia="仿宋_GB2312"/>
                      <w:color w:val="auto"/>
                      <w:kern w:val="0"/>
                      <w:sz w:val="21"/>
                      <w:szCs w:val="21"/>
                    </w:rPr>
                    <w:t>酸雾尾气吸收塔1套</w:t>
                  </w:r>
                  <w:r>
                    <w:rPr>
                      <w:rFonts w:hint="eastAsia" w:eastAsia="仿宋_GB2312"/>
                      <w:color w:val="auto"/>
                      <w:kern w:val="0"/>
                      <w:sz w:val="21"/>
                      <w:szCs w:val="21"/>
                      <w:lang w:eastAsia="zh-CN"/>
                    </w:rPr>
                    <w:t>、</w:t>
                  </w:r>
                  <w:r>
                    <w:rPr>
                      <w:rFonts w:hint="eastAsia" w:eastAsia="仿宋_GB2312"/>
                      <w:color w:val="auto"/>
                      <w:kern w:val="0"/>
                      <w:sz w:val="21"/>
                      <w:szCs w:val="21"/>
                      <w:lang w:val="en-US" w:eastAsia="zh-CN"/>
                    </w:rPr>
                    <w:t>盐雾尾气吸收塔1套</w:t>
                  </w:r>
                </w:p>
              </w:tc>
              <w:tc>
                <w:tcPr>
                  <w:tcW w:w="958" w:type="pct"/>
                  <w:tcBorders>
                    <w:tl2br w:val="nil"/>
                    <w:tr2bl w:val="nil"/>
                  </w:tcBorders>
                  <w:vAlign w:val="center"/>
                </w:tcPr>
                <w:p w14:paraId="13EFC1C4">
                  <w:pPr>
                    <w:adjustRightInd w:val="0"/>
                    <w:snapToGrid w:val="0"/>
                    <w:jc w:val="center"/>
                    <w:rPr>
                      <w:rFonts w:hint="eastAsia" w:eastAsia="仿宋_GB2312"/>
                      <w:color w:val="auto"/>
                      <w:kern w:val="0"/>
                      <w:sz w:val="21"/>
                      <w:szCs w:val="21"/>
                      <w:lang w:eastAsia="zh-CN"/>
                    </w:rPr>
                  </w:pPr>
                  <w:r>
                    <w:rPr>
                      <w:rFonts w:eastAsia="仿宋_GB2312"/>
                      <w:color w:val="auto"/>
                      <w:sz w:val="21"/>
                      <w:szCs w:val="21"/>
                    </w:rPr>
                    <w:t>旋风+湿式除尘7套，喷淋2套，水膜除尘1套，</w:t>
                  </w:r>
                  <w:r>
                    <w:rPr>
                      <w:rFonts w:eastAsia="仿宋_GB2312"/>
                      <w:color w:val="auto"/>
                      <w:kern w:val="0"/>
                      <w:sz w:val="21"/>
                      <w:szCs w:val="21"/>
                    </w:rPr>
                    <w:t>酸雾尾气吸收塔1套</w:t>
                  </w:r>
                  <w:r>
                    <w:rPr>
                      <w:rFonts w:hint="eastAsia" w:eastAsia="仿宋_GB2312"/>
                      <w:color w:val="auto"/>
                      <w:kern w:val="0"/>
                      <w:sz w:val="21"/>
                      <w:szCs w:val="21"/>
                      <w:lang w:eastAsia="zh-CN"/>
                    </w:rPr>
                    <w:t>、</w:t>
                  </w:r>
                  <w:r>
                    <w:rPr>
                      <w:rFonts w:hint="eastAsia" w:eastAsia="仿宋_GB2312"/>
                      <w:color w:val="auto"/>
                      <w:kern w:val="0"/>
                      <w:sz w:val="21"/>
                      <w:szCs w:val="21"/>
                      <w:lang w:val="en-US" w:eastAsia="zh-CN"/>
                    </w:rPr>
                    <w:t>盐雾尾气吸收塔1套</w:t>
                  </w:r>
                </w:p>
              </w:tc>
              <w:tc>
                <w:tcPr>
                  <w:tcW w:w="1010" w:type="pct"/>
                  <w:tcBorders>
                    <w:tl2br w:val="nil"/>
                    <w:tr2bl w:val="nil"/>
                  </w:tcBorders>
                  <w:vAlign w:val="center"/>
                </w:tcPr>
                <w:p w14:paraId="5C0B7F6E">
                  <w:pPr>
                    <w:adjustRightInd w:val="0"/>
                    <w:snapToGrid w:val="0"/>
                    <w:jc w:val="center"/>
                    <w:rPr>
                      <w:rFonts w:eastAsia="仿宋_GB2312"/>
                      <w:color w:val="000000"/>
                      <w:kern w:val="0"/>
                      <w:sz w:val="21"/>
                      <w:szCs w:val="21"/>
                    </w:rPr>
                  </w:pPr>
                  <w:r>
                    <w:rPr>
                      <w:rFonts w:eastAsia="仿宋_GB2312"/>
                      <w:color w:val="000000"/>
                      <w:kern w:val="0"/>
                      <w:sz w:val="21"/>
                      <w:szCs w:val="21"/>
                    </w:rPr>
                    <w:t>废气达标排放</w:t>
                  </w:r>
                </w:p>
              </w:tc>
            </w:tr>
            <w:tr w14:paraId="38CACEE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39" w:type="pct"/>
                  <w:vMerge w:val="continue"/>
                  <w:tcBorders>
                    <w:tl2br w:val="nil"/>
                    <w:tr2bl w:val="nil"/>
                  </w:tcBorders>
                  <w:vAlign w:val="center"/>
                </w:tcPr>
                <w:p w14:paraId="69E3F0C7">
                  <w:pPr>
                    <w:adjustRightInd w:val="0"/>
                    <w:snapToGrid w:val="0"/>
                    <w:jc w:val="center"/>
                    <w:rPr>
                      <w:rFonts w:eastAsia="仿宋_GB2312"/>
                      <w:kern w:val="0"/>
                      <w:sz w:val="21"/>
                      <w:szCs w:val="21"/>
                    </w:rPr>
                  </w:pPr>
                </w:p>
              </w:tc>
              <w:tc>
                <w:tcPr>
                  <w:tcW w:w="780" w:type="pct"/>
                  <w:gridSpan w:val="2"/>
                  <w:vMerge w:val="restart"/>
                  <w:tcBorders>
                    <w:tl2br w:val="nil"/>
                    <w:tr2bl w:val="nil"/>
                  </w:tcBorders>
                  <w:vAlign w:val="center"/>
                </w:tcPr>
                <w:p w14:paraId="5A3320DC">
                  <w:pPr>
                    <w:adjustRightInd w:val="0"/>
                    <w:snapToGrid w:val="0"/>
                    <w:jc w:val="center"/>
                    <w:rPr>
                      <w:rFonts w:eastAsia="仿宋_GB2312"/>
                      <w:kern w:val="0"/>
                      <w:sz w:val="21"/>
                      <w:szCs w:val="21"/>
                    </w:rPr>
                  </w:pPr>
                  <w:r>
                    <w:rPr>
                      <w:rFonts w:eastAsia="仿宋_GB2312"/>
                      <w:kern w:val="0"/>
                      <w:sz w:val="21"/>
                      <w:szCs w:val="21"/>
                    </w:rPr>
                    <w:t>废水处理</w:t>
                  </w:r>
                </w:p>
              </w:tc>
              <w:tc>
                <w:tcPr>
                  <w:tcW w:w="955" w:type="pct"/>
                  <w:tcBorders>
                    <w:tl2br w:val="nil"/>
                    <w:tr2bl w:val="nil"/>
                  </w:tcBorders>
                  <w:vAlign w:val="center"/>
                </w:tcPr>
                <w:p w14:paraId="2338CE27">
                  <w:pPr>
                    <w:adjustRightInd w:val="0"/>
                    <w:snapToGrid w:val="0"/>
                    <w:jc w:val="center"/>
                    <w:rPr>
                      <w:rFonts w:eastAsia="仿宋_GB2312"/>
                      <w:color w:val="000000"/>
                      <w:kern w:val="0"/>
                      <w:sz w:val="21"/>
                      <w:szCs w:val="21"/>
                    </w:rPr>
                  </w:pPr>
                  <w:r>
                    <w:rPr>
                      <w:rFonts w:eastAsia="仿宋_GB2312"/>
                      <w:color w:val="000000"/>
                      <w:kern w:val="0"/>
                      <w:sz w:val="21"/>
                      <w:szCs w:val="21"/>
                    </w:rPr>
                    <w:t>化粪池50m</w:t>
                  </w:r>
                  <w:r>
                    <w:rPr>
                      <w:rFonts w:eastAsia="仿宋_GB2312"/>
                      <w:color w:val="000000"/>
                      <w:kern w:val="0"/>
                      <w:sz w:val="21"/>
                      <w:szCs w:val="21"/>
                      <w:vertAlign w:val="superscript"/>
                    </w:rPr>
                    <w:t>3</w:t>
                  </w:r>
                  <w:r>
                    <w:rPr>
                      <w:rFonts w:eastAsia="仿宋_GB2312"/>
                      <w:color w:val="000000"/>
                      <w:kern w:val="0"/>
                      <w:sz w:val="21"/>
                      <w:szCs w:val="21"/>
                    </w:rPr>
                    <w:t>/d</w:t>
                  </w:r>
                </w:p>
              </w:tc>
              <w:tc>
                <w:tcPr>
                  <w:tcW w:w="955" w:type="pct"/>
                  <w:tcBorders>
                    <w:tl2br w:val="nil"/>
                    <w:tr2bl w:val="nil"/>
                  </w:tcBorders>
                  <w:vAlign w:val="center"/>
                </w:tcPr>
                <w:p w14:paraId="2AD0B5A1">
                  <w:pPr>
                    <w:adjustRightInd w:val="0"/>
                    <w:snapToGrid w:val="0"/>
                    <w:jc w:val="center"/>
                    <w:rPr>
                      <w:rFonts w:eastAsia="仿宋_GB2312"/>
                      <w:color w:val="000000"/>
                      <w:kern w:val="0"/>
                      <w:sz w:val="21"/>
                      <w:szCs w:val="21"/>
                    </w:rPr>
                  </w:pPr>
                  <w:r>
                    <w:rPr>
                      <w:rFonts w:eastAsia="仿宋_GB2312"/>
                      <w:color w:val="000000"/>
                      <w:kern w:val="0"/>
                      <w:sz w:val="21"/>
                      <w:szCs w:val="21"/>
                    </w:rPr>
                    <w:t>0</w:t>
                  </w:r>
                </w:p>
              </w:tc>
              <w:tc>
                <w:tcPr>
                  <w:tcW w:w="958" w:type="pct"/>
                  <w:tcBorders>
                    <w:tl2br w:val="nil"/>
                    <w:tr2bl w:val="nil"/>
                  </w:tcBorders>
                  <w:vAlign w:val="center"/>
                </w:tcPr>
                <w:p w14:paraId="6C36F20C">
                  <w:pPr>
                    <w:adjustRightInd w:val="0"/>
                    <w:snapToGrid w:val="0"/>
                    <w:jc w:val="center"/>
                    <w:rPr>
                      <w:rFonts w:eastAsia="仿宋_GB2312"/>
                      <w:color w:val="000000"/>
                      <w:kern w:val="0"/>
                      <w:sz w:val="21"/>
                      <w:szCs w:val="21"/>
                    </w:rPr>
                  </w:pPr>
                  <w:r>
                    <w:rPr>
                      <w:rFonts w:eastAsia="仿宋_GB2312"/>
                      <w:color w:val="000000"/>
                      <w:kern w:val="0"/>
                      <w:sz w:val="21"/>
                      <w:szCs w:val="21"/>
                    </w:rPr>
                    <w:t>化粪池50m</w:t>
                  </w:r>
                  <w:r>
                    <w:rPr>
                      <w:rFonts w:eastAsia="仿宋_GB2312"/>
                      <w:color w:val="000000"/>
                      <w:kern w:val="0"/>
                      <w:sz w:val="21"/>
                      <w:szCs w:val="21"/>
                      <w:vertAlign w:val="superscript"/>
                    </w:rPr>
                    <w:t>3</w:t>
                  </w:r>
                  <w:r>
                    <w:rPr>
                      <w:rFonts w:eastAsia="仿宋_GB2312"/>
                      <w:color w:val="000000"/>
                      <w:kern w:val="0"/>
                      <w:sz w:val="21"/>
                      <w:szCs w:val="21"/>
                    </w:rPr>
                    <w:t>/d</w:t>
                  </w:r>
                </w:p>
              </w:tc>
              <w:tc>
                <w:tcPr>
                  <w:tcW w:w="1010" w:type="pct"/>
                  <w:tcBorders>
                    <w:tl2br w:val="nil"/>
                    <w:tr2bl w:val="nil"/>
                  </w:tcBorders>
                  <w:vAlign w:val="center"/>
                </w:tcPr>
                <w:p w14:paraId="49118F34">
                  <w:pPr>
                    <w:adjustRightInd w:val="0"/>
                    <w:snapToGrid w:val="0"/>
                    <w:jc w:val="center"/>
                    <w:rPr>
                      <w:rFonts w:eastAsia="仿宋_GB2312"/>
                      <w:color w:val="000000"/>
                      <w:kern w:val="0"/>
                      <w:sz w:val="21"/>
                      <w:szCs w:val="21"/>
                    </w:rPr>
                  </w:pPr>
                  <w:r>
                    <w:rPr>
                      <w:rFonts w:eastAsia="仿宋_GB2312"/>
                      <w:color w:val="000000"/>
                      <w:kern w:val="0"/>
                      <w:sz w:val="21"/>
                      <w:szCs w:val="21"/>
                    </w:rPr>
                    <w:t>本次利用现有化粪池</w:t>
                  </w:r>
                </w:p>
              </w:tc>
            </w:tr>
            <w:tr w14:paraId="0CEF9ED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39" w:type="pct"/>
                  <w:vMerge w:val="continue"/>
                  <w:tcBorders>
                    <w:tl2br w:val="nil"/>
                    <w:tr2bl w:val="nil"/>
                  </w:tcBorders>
                  <w:vAlign w:val="center"/>
                </w:tcPr>
                <w:p w14:paraId="74CCDCB5">
                  <w:pPr>
                    <w:adjustRightInd w:val="0"/>
                    <w:snapToGrid w:val="0"/>
                    <w:jc w:val="center"/>
                    <w:rPr>
                      <w:rFonts w:eastAsia="仿宋_GB2312"/>
                      <w:kern w:val="0"/>
                      <w:sz w:val="21"/>
                      <w:szCs w:val="21"/>
                    </w:rPr>
                  </w:pPr>
                </w:p>
              </w:tc>
              <w:tc>
                <w:tcPr>
                  <w:tcW w:w="780" w:type="pct"/>
                  <w:gridSpan w:val="2"/>
                  <w:vMerge w:val="continue"/>
                  <w:tcBorders>
                    <w:tl2br w:val="nil"/>
                    <w:tr2bl w:val="nil"/>
                  </w:tcBorders>
                  <w:vAlign w:val="center"/>
                </w:tcPr>
                <w:p w14:paraId="7EA8E7B4">
                  <w:pPr>
                    <w:adjustRightInd w:val="0"/>
                    <w:snapToGrid w:val="0"/>
                    <w:jc w:val="center"/>
                    <w:rPr>
                      <w:rFonts w:eastAsia="仿宋_GB2312"/>
                      <w:kern w:val="0"/>
                      <w:sz w:val="21"/>
                      <w:szCs w:val="21"/>
                    </w:rPr>
                  </w:pPr>
                </w:p>
              </w:tc>
              <w:tc>
                <w:tcPr>
                  <w:tcW w:w="955" w:type="pct"/>
                  <w:tcBorders>
                    <w:tl2br w:val="nil"/>
                    <w:tr2bl w:val="nil"/>
                  </w:tcBorders>
                  <w:vAlign w:val="center"/>
                </w:tcPr>
                <w:p w14:paraId="16952D4B">
                  <w:pPr>
                    <w:adjustRightInd w:val="0"/>
                    <w:snapToGrid w:val="0"/>
                    <w:jc w:val="center"/>
                    <w:rPr>
                      <w:rFonts w:hint="default" w:eastAsia="仿宋_GB2312"/>
                      <w:color w:val="auto"/>
                      <w:kern w:val="0"/>
                      <w:sz w:val="21"/>
                      <w:szCs w:val="21"/>
                      <w:highlight w:val="none"/>
                      <w:lang w:val="en-US" w:eastAsia="zh-CN"/>
                    </w:rPr>
                  </w:pPr>
                  <w:r>
                    <w:rPr>
                      <w:rFonts w:hint="eastAsia" w:eastAsia="仿宋_GB2312"/>
                      <w:color w:val="auto"/>
                      <w:kern w:val="0"/>
                      <w:sz w:val="21"/>
                      <w:szCs w:val="21"/>
                      <w:highlight w:val="none"/>
                      <w:lang w:val="en-US" w:eastAsia="zh-CN"/>
                    </w:rPr>
                    <w:t>0</w:t>
                  </w:r>
                </w:p>
              </w:tc>
              <w:tc>
                <w:tcPr>
                  <w:tcW w:w="955" w:type="pct"/>
                  <w:tcBorders>
                    <w:tl2br w:val="nil"/>
                    <w:tr2bl w:val="nil"/>
                  </w:tcBorders>
                  <w:vAlign w:val="center"/>
                </w:tcPr>
                <w:p w14:paraId="5AFA7C3A">
                  <w:pPr>
                    <w:adjustRightInd w:val="0"/>
                    <w:snapToGrid w:val="0"/>
                    <w:jc w:val="center"/>
                    <w:rPr>
                      <w:rFonts w:hint="default" w:eastAsia="仿宋_GB2312"/>
                      <w:color w:val="auto"/>
                      <w:kern w:val="0"/>
                      <w:sz w:val="21"/>
                      <w:szCs w:val="21"/>
                      <w:highlight w:val="none"/>
                      <w:lang w:val="en-US" w:eastAsia="zh-CN"/>
                    </w:rPr>
                  </w:pPr>
                  <w:r>
                    <w:rPr>
                      <w:rFonts w:hint="eastAsia" w:eastAsia="仿宋_GB2312"/>
                      <w:color w:val="auto"/>
                      <w:kern w:val="0"/>
                      <w:sz w:val="21"/>
                      <w:szCs w:val="21"/>
                      <w:highlight w:val="none"/>
                      <w:lang w:val="en-US" w:eastAsia="zh-CN"/>
                    </w:rPr>
                    <w:t>中和水池20</w:t>
                  </w:r>
                  <w:r>
                    <w:rPr>
                      <w:rFonts w:eastAsia="仿宋_GB2312"/>
                      <w:color w:val="auto"/>
                      <w:kern w:val="0"/>
                      <w:sz w:val="21"/>
                      <w:szCs w:val="21"/>
                      <w:highlight w:val="none"/>
                    </w:rPr>
                    <w:t>m</w:t>
                  </w:r>
                  <w:r>
                    <w:rPr>
                      <w:rFonts w:eastAsia="仿宋_GB2312"/>
                      <w:color w:val="auto"/>
                      <w:kern w:val="0"/>
                      <w:sz w:val="21"/>
                      <w:szCs w:val="21"/>
                      <w:highlight w:val="none"/>
                      <w:vertAlign w:val="superscript"/>
                    </w:rPr>
                    <w:t>3</w:t>
                  </w:r>
                </w:p>
              </w:tc>
              <w:tc>
                <w:tcPr>
                  <w:tcW w:w="958" w:type="pct"/>
                  <w:tcBorders>
                    <w:tl2br w:val="nil"/>
                    <w:tr2bl w:val="nil"/>
                  </w:tcBorders>
                  <w:vAlign w:val="center"/>
                </w:tcPr>
                <w:p w14:paraId="1C14F21E">
                  <w:pPr>
                    <w:adjustRightInd w:val="0"/>
                    <w:snapToGrid w:val="0"/>
                    <w:jc w:val="center"/>
                    <w:rPr>
                      <w:rFonts w:eastAsia="仿宋_GB2312"/>
                      <w:color w:val="auto"/>
                      <w:kern w:val="0"/>
                      <w:sz w:val="21"/>
                      <w:szCs w:val="21"/>
                      <w:highlight w:val="none"/>
                    </w:rPr>
                  </w:pPr>
                  <w:r>
                    <w:rPr>
                      <w:rFonts w:hint="eastAsia" w:eastAsia="仿宋_GB2312"/>
                      <w:color w:val="auto"/>
                      <w:kern w:val="0"/>
                      <w:sz w:val="21"/>
                      <w:szCs w:val="21"/>
                      <w:highlight w:val="none"/>
                      <w:lang w:val="en-US" w:eastAsia="zh-CN"/>
                    </w:rPr>
                    <w:t>中和水池20</w:t>
                  </w:r>
                  <w:r>
                    <w:rPr>
                      <w:rFonts w:eastAsia="仿宋_GB2312"/>
                      <w:color w:val="auto"/>
                      <w:kern w:val="0"/>
                      <w:sz w:val="21"/>
                      <w:szCs w:val="21"/>
                      <w:highlight w:val="none"/>
                    </w:rPr>
                    <w:t>m</w:t>
                  </w:r>
                  <w:r>
                    <w:rPr>
                      <w:rFonts w:eastAsia="仿宋_GB2312"/>
                      <w:color w:val="auto"/>
                      <w:kern w:val="0"/>
                      <w:sz w:val="21"/>
                      <w:szCs w:val="21"/>
                      <w:highlight w:val="none"/>
                      <w:vertAlign w:val="superscript"/>
                    </w:rPr>
                    <w:t>3</w:t>
                  </w:r>
                </w:p>
              </w:tc>
              <w:tc>
                <w:tcPr>
                  <w:tcW w:w="1010" w:type="pct"/>
                  <w:tcBorders>
                    <w:tl2br w:val="nil"/>
                    <w:tr2bl w:val="nil"/>
                  </w:tcBorders>
                  <w:vAlign w:val="center"/>
                </w:tcPr>
                <w:p w14:paraId="48BD9ED3">
                  <w:pPr>
                    <w:adjustRightInd w:val="0"/>
                    <w:snapToGrid w:val="0"/>
                    <w:jc w:val="center"/>
                    <w:rPr>
                      <w:rFonts w:hint="default" w:eastAsia="仿宋_GB2312"/>
                      <w:color w:val="auto"/>
                      <w:kern w:val="0"/>
                      <w:sz w:val="21"/>
                      <w:szCs w:val="21"/>
                      <w:highlight w:val="none"/>
                      <w:lang w:val="en-US" w:eastAsia="zh-CN"/>
                    </w:rPr>
                  </w:pPr>
                  <w:r>
                    <w:rPr>
                      <w:rFonts w:hint="eastAsia" w:eastAsia="仿宋_GB2312"/>
                      <w:color w:val="auto"/>
                      <w:kern w:val="0"/>
                      <w:sz w:val="21"/>
                      <w:szCs w:val="21"/>
                      <w:highlight w:val="none"/>
                      <w:lang w:val="en-US" w:eastAsia="zh-CN"/>
                    </w:rPr>
                    <w:t>新增，中和酸性废水</w:t>
                  </w:r>
                </w:p>
              </w:tc>
            </w:tr>
            <w:tr w14:paraId="771CEB1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39" w:type="pct"/>
                  <w:vMerge w:val="continue"/>
                  <w:tcBorders>
                    <w:tl2br w:val="nil"/>
                    <w:tr2bl w:val="nil"/>
                  </w:tcBorders>
                  <w:vAlign w:val="center"/>
                </w:tcPr>
                <w:p w14:paraId="1D64307B">
                  <w:pPr>
                    <w:adjustRightInd w:val="0"/>
                    <w:snapToGrid w:val="0"/>
                    <w:jc w:val="center"/>
                    <w:rPr>
                      <w:rFonts w:eastAsia="仿宋_GB2312"/>
                      <w:kern w:val="0"/>
                      <w:sz w:val="21"/>
                      <w:szCs w:val="21"/>
                    </w:rPr>
                  </w:pPr>
                </w:p>
              </w:tc>
              <w:tc>
                <w:tcPr>
                  <w:tcW w:w="780" w:type="pct"/>
                  <w:gridSpan w:val="2"/>
                  <w:tcBorders>
                    <w:tl2br w:val="nil"/>
                    <w:tr2bl w:val="nil"/>
                  </w:tcBorders>
                  <w:vAlign w:val="center"/>
                </w:tcPr>
                <w:p w14:paraId="321A8A53">
                  <w:pPr>
                    <w:adjustRightInd w:val="0"/>
                    <w:snapToGrid w:val="0"/>
                    <w:jc w:val="center"/>
                    <w:rPr>
                      <w:rFonts w:eastAsia="仿宋_GB2312"/>
                      <w:kern w:val="0"/>
                      <w:sz w:val="21"/>
                      <w:szCs w:val="21"/>
                    </w:rPr>
                  </w:pPr>
                  <w:r>
                    <w:rPr>
                      <w:rFonts w:eastAsia="仿宋_GB2312"/>
                      <w:kern w:val="0"/>
                      <w:sz w:val="21"/>
                      <w:szCs w:val="21"/>
                    </w:rPr>
                    <w:t>噪声处理</w:t>
                  </w:r>
                </w:p>
              </w:tc>
              <w:tc>
                <w:tcPr>
                  <w:tcW w:w="955" w:type="pct"/>
                  <w:tcBorders>
                    <w:tl2br w:val="nil"/>
                    <w:tr2bl w:val="nil"/>
                  </w:tcBorders>
                  <w:vAlign w:val="center"/>
                </w:tcPr>
                <w:p w14:paraId="07E9D9A8">
                  <w:pPr>
                    <w:adjustRightInd w:val="0"/>
                    <w:snapToGrid w:val="0"/>
                    <w:jc w:val="center"/>
                    <w:rPr>
                      <w:rFonts w:eastAsia="仿宋_GB2312"/>
                      <w:kern w:val="0"/>
                      <w:sz w:val="21"/>
                      <w:szCs w:val="21"/>
                    </w:rPr>
                  </w:pPr>
                  <w:r>
                    <w:rPr>
                      <w:rFonts w:eastAsia="仿宋_GB2312"/>
                      <w:kern w:val="0"/>
                      <w:sz w:val="21"/>
                      <w:szCs w:val="21"/>
                    </w:rPr>
                    <w:t>厂房隔音、局部消声、隔音措施</w:t>
                  </w:r>
                </w:p>
              </w:tc>
              <w:tc>
                <w:tcPr>
                  <w:tcW w:w="955" w:type="pct"/>
                  <w:tcBorders>
                    <w:tl2br w:val="nil"/>
                    <w:tr2bl w:val="nil"/>
                  </w:tcBorders>
                  <w:vAlign w:val="center"/>
                </w:tcPr>
                <w:p w14:paraId="5FBEBDFD">
                  <w:pPr>
                    <w:adjustRightInd w:val="0"/>
                    <w:snapToGrid w:val="0"/>
                    <w:jc w:val="center"/>
                    <w:rPr>
                      <w:rFonts w:eastAsia="仿宋_GB2312"/>
                      <w:kern w:val="0"/>
                      <w:sz w:val="21"/>
                      <w:szCs w:val="21"/>
                    </w:rPr>
                  </w:pPr>
                  <w:r>
                    <w:rPr>
                      <w:rFonts w:eastAsia="仿宋_GB2312"/>
                      <w:kern w:val="0"/>
                      <w:sz w:val="21"/>
                      <w:szCs w:val="21"/>
                    </w:rPr>
                    <w:t>厂房隔音、局部消声、隔音措施</w:t>
                  </w:r>
                </w:p>
              </w:tc>
              <w:tc>
                <w:tcPr>
                  <w:tcW w:w="958" w:type="pct"/>
                  <w:tcBorders>
                    <w:tl2br w:val="nil"/>
                    <w:tr2bl w:val="nil"/>
                  </w:tcBorders>
                  <w:vAlign w:val="center"/>
                </w:tcPr>
                <w:p w14:paraId="2AE39847">
                  <w:pPr>
                    <w:adjustRightInd w:val="0"/>
                    <w:snapToGrid w:val="0"/>
                    <w:jc w:val="center"/>
                    <w:rPr>
                      <w:rFonts w:eastAsia="仿宋_GB2312"/>
                      <w:kern w:val="0"/>
                      <w:sz w:val="21"/>
                      <w:szCs w:val="21"/>
                    </w:rPr>
                  </w:pPr>
                  <w:r>
                    <w:rPr>
                      <w:rFonts w:eastAsia="仿宋_GB2312"/>
                      <w:kern w:val="0"/>
                      <w:sz w:val="21"/>
                      <w:szCs w:val="21"/>
                    </w:rPr>
                    <w:t>厂房隔音、局部消声、隔音措施</w:t>
                  </w:r>
                </w:p>
              </w:tc>
              <w:tc>
                <w:tcPr>
                  <w:tcW w:w="1010" w:type="pct"/>
                  <w:tcBorders>
                    <w:tl2br w:val="nil"/>
                    <w:tr2bl w:val="nil"/>
                  </w:tcBorders>
                  <w:vAlign w:val="center"/>
                </w:tcPr>
                <w:p w14:paraId="11CB7939">
                  <w:pPr>
                    <w:adjustRightInd w:val="0"/>
                    <w:snapToGrid w:val="0"/>
                    <w:jc w:val="center"/>
                    <w:rPr>
                      <w:rFonts w:eastAsia="仿宋_GB2312"/>
                      <w:kern w:val="0"/>
                      <w:sz w:val="21"/>
                      <w:szCs w:val="21"/>
                    </w:rPr>
                  </w:pPr>
                  <w:r>
                    <w:rPr>
                      <w:rFonts w:eastAsia="仿宋_GB2312"/>
                      <w:kern w:val="0"/>
                      <w:sz w:val="21"/>
                      <w:szCs w:val="21"/>
                    </w:rPr>
                    <w:t>确保厂界噪声达标排放</w:t>
                  </w:r>
                </w:p>
              </w:tc>
            </w:tr>
            <w:tr w14:paraId="206E8E9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39" w:type="pct"/>
                  <w:vMerge w:val="continue"/>
                  <w:tcBorders>
                    <w:tl2br w:val="nil"/>
                    <w:tr2bl w:val="nil"/>
                  </w:tcBorders>
                  <w:vAlign w:val="center"/>
                </w:tcPr>
                <w:p w14:paraId="7DDE2375">
                  <w:pPr>
                    <w:adjustRightInd w:val="0"/>
                    <w:snapToGrid w:val="0"/>
                    <w:jc w:val="center"/>
                    <w:rPr>
                      <w:rFonts w:eastAsia="仿宋_GB2312"/>
                      <w:kern w:val="0"/>
                      <w:sz w:val="21"/>
                      <w:szCs w:val="21"/>
                    </w:rPr>
                  </w:pPr>
                </w:p>
              </w:tc>
              <w:tc>
                <w:tcPr>
                  <w:tcW w:w="262" w:type="pct"/>
                  <w:vMerge w:val="restart"/>
                  <w:tcBorders>
                    <w:tl2br w:val="nil"/>
                    <w:tr2bl w:val="nil"/>
                  </w:tcBorders>
                  <w:vAlign w:val="center"/>
                </w:tcPr>
                <w:p w14:paraId="7E78CBA1">
                  <w:pPr>
                    <w:adjustRightInd w:val="0"/>
                    <w:snapToGrid w:val="0"/>
                    <w:jc w:val="center"/>
                    <w:rPr>
                      <w:rFonts w:eastAsia="仿宋_GB2312"/>
                      <w:kern w:val="0"/>
                      <w:sz w:val="21"/>
                      <w:szCs w:val="21"/>
                    </w:rPr>
                  </w:pPr>
                  <w:r>
                    <w:rPr>
                      <w:rFonts w:eastAsia="仿宋_GB2312"/>
                      <w:kern w:val="0"/>
                      <w:sz w:val="21"/>
                      <w:szCs w:val="21"/>
                    </w:rPr>
                    <w:t>固废处理</w:t>
                  </w:r>
                </w:p>
              </w:tc>
              <w:tc>
                <w:tcPr>
                  <w:tcW w:w="517" w:type="pct"/>
                  <w:tcBorders>
                    <w:tl2br w:val="nil"/>
                    <w:tr2bl w:val="nil"/>
                  </w:tcBorders>
                  <w:vAlign w:val="center"/>
                </w:tcPr>
                <w:p w14:paraId="270ADBBA">
                  <w:pPr>
                    <w:adjustRightInd w:val="0"/>
                    <w:snapToGrid w:val="0"/>
                    <w:jc w:val="center"/>
                    <w:rPr>
                      <w:rFonts w:eastAsia="仿宋_GB2312"/>
                      <w:kern w:val="0"/>
                      <w:sz w:val="21"/>
                      <w:szCs w:val="21"/>
                    </w:rPr>
                  </w:pPr>
                  <w:r>
                    <w:rPr>
                      <w:rFonts w:eastAsia="仿宋_GB2312"/>
                      <w:kern w:val="0"/>
                      <w:sz w:val="21"/>
                      <w:szCs w:val="21"/>
                    </w:rPr>
                    <w:t>固废</w:t>
                  </w:r>
                </w:p>
                <w:p w14:paraId="1378FBDA">
                  <w:pPr>
                    <w:adjustRightInd w:val="0"/>
                    <w:snapToGrid w:val="0"/>
                    <w:jc w:val="center"/>
                    <w:rPr>
                      <w:rFonts w:eastAsia="仿宋_GB2312"/>
                      <w:kern w:val="0"/>
                      <w:sz w:val="21"/>
                      <w:szCs w:val="21"/>
                    </w:rPr>
                  </w:pPr>
                  <w:r>
                    <w:rPr>
                      <w:rFonts w:eastAsia="仿宋_GB2312"/>
                      <w:kern w:val="0"/>
                      <w:sz w:val="21"/>
                      <w:szCs w:val="21"/>
                    </w:rPr>
                    <w:t>仓库</w:t>
                  </w:r>
                </w:p>
              </w:tc>
              <w:tc>
                <w:tcPr>
                  <w:tcW w:w="955" w:type="pct"/>
                  <w:tcBorders>
                    <w:tl2br w:val="nil"/>
                    <w:tr2bl w:val="nil"/>
                  </w:tcBorders>
                  <w:vAlign w:val="center"/>
                </w:tcPr>
                <w:p w14:paraId="23BB868F">
                  <w:pPr>
                    <w:adjustRightInd w:val="0"/>
                    <w:snapToGrid w:val="0"/>
                    <w:jc w:val="center"/>
                    <w:rPr>
                      <w:rFonts w:eastAsia="仿宋_GB2312"/>
                      <w:kern w:val="0"/>
                      <w:sz w:val="21"/>
                      <w:szCs w:val="21"/>
                    </w:rPr>
                  </w:pPr>
                  <w:r>
                    <w:rPr>
                      <w:rFonts w:eastAsia="仿宋_GB2312"/>
                      <w:kern w:val="0"/>
                      <w:sz w:val="21"/>
                      <w:szCs w:val="21"/>
                    </w:rPr>
                    <w:t>50m</w:t>
                  </w:r>
                  <w:r>
                    <w:rPr>
                      <w:rFonts w:eastAsia="仿宋_GB2312"/>
                      <w:kern w:val="0"/>
                      <w:sz w:val="21"/>
                      <w:szCs w:val="21"/>
                      <w:vertAlign w:val="superscript"/>
                    </w:rPr>
                    <w:t>2</w:t>
                  </w:r>
                </w:p>
              </w:tc>
              <w:tc>
                <w:tcPr>
                  <w:tcW w:w="955" w:type="pct"/>
                  <w:tcBorders>
                    <w:tl2br w:val="nil"/>
                    <w:tr2bl w:val="nil"/>
                  </w:tcBorders>
                  <w:vAlign w:val="center"/>
                </w:tcPr>
                <w:p w14:paraId="438565B7">
                  <w:pPr>
                    <w:adjustRightInd w:val="0"/>
                    <w:snapToGrid w:val="0"/>
                    <w:jc w:val="center"/>
                    <w:rPr>
                      <w:rFonts w:eastAsia="仿宋_GB2312"/>
                      <w:kern w:val="0"/>
                      <w:sz w:val="21"/>
                      <w:szCs w:val="21"/>
                    </w:rPr>
                  </w:pPr>
                  <w:r>
                    <w:rPr>
                      <w:rFonts w:eastAsia="仿宋_GB2312"/>
                      <w:kern w:val="0"/>
                      <w:sz w:val="21"/>
                      <w:szCs w:val="21"/>
                    </w:rPr>
                    <w:t>0</w:t>
                  </w:r>
                </w:p>
              </w:tc>
              <w:tc>
                <w:tcPr>
                  <w:tcW w:w="958" w:type="pct"/>
                  <w:tcBorders>
                    <w:tl2br w:val="nil"/>
                    <w:tr2bl w:val="nil"/>
                  </w:tcBorders>
                  <w:vAlign w:val="center"/>
                </w:tcPr>
                <w:p w14:paraId="1E082CCC">
                  <w:pPr>
                    <w:adjustRightInd w:val="0"/>
                    <w:snapToGrid w:val="0"/>
                    <w:jc w:val="center"/>
                    <w:rPr>
                      <w:rFonts w:eastAsia="仿宋_GB2312"/>
                      <w:kern w:val="0"/>
                      <w:sz w:val="21"/>
                      <w:szCs w:val="21"/>
                    </w:rPr>
                  </w:pPr>
                  <w:r>
                    <w:rPr>
                      <w:rFonts w:eastAsia="仿宋_GB2312"/>
                      <w:kern w:val="0"/>
                      <w:sz w:val="21"/>
                      <w:szCs w:val="21"/>
                    </w:rPr>
                    <w:t>50m</w:t>
                  </w:r>
                  <w:r>
                    <w:rPr>
                      <w:rFonts w:eastAsia="仿宋_GB2312"/>
                      <w:kern w:val="0"/>
                      <w:sz w:val="21"/>
                      <w:szCs w:val="21"/>
                      <w:vertAlign w:val="superscript"/>
                    </w:rPr>
                    <w:t>2</w:t>
                  </w:r>
                </w:p>
              </w:tc>
              <w:tc>
                <w:tcPr>
                  <w:tcW w:w="1010" w:type="pct"/>
                  <w:tcBorders>
                    <w:tl2br w:val="nil"/>
                    <w:tr2bl w:val="nil"/>
                  </w:tcBorders>
                  <w:vAlign w:val="center"/>
                </w:tcPr>
                <w:p w14:paraId="7A0787B0">
                  <w:pPr>
                    <w:adjustRightInd w:val="0"/>
                    <w:snapToGrid w:val="0"/>
                    <w:jc w:val="center"/>
                    <w:rPr>
                      <w:rFonts w:eastAsia="仿宋_GB2312"/>
                      <w:kern w:val="0"/>
                      <w:sz w:val="21"/>
                      <w:szCs w:val="21"/>
                    </w:rPr>
                  </w:pPr>
                  <w:r>
                    <w:rPr>
                      <w:rFonts w:eastAsia="仿宋_GB2312"/>
                      <w:kern w:val="0"/>
                      <w:sz w:val="21"/>
                      <w:szCs w:val="21"/>
                    </w:rPr>
                    <w:t>依托现有</w:t>
                  </w:r>
                </w:p>
              </w:tc>
            </w:tr>
            <w:tr w14:paraId="135605F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39" w:type="pct"/>
                  <w:vMerge w:val="continue"/>
                  <w:tcBorders>
                    <w:tl2br w:val="nil"/>
                    <w:tr2bl w:val="nil"/>
                  </w:tcBorders>
                  <w:vAlign w:val="center"/>
                </w:tcPr>
                <w:p w14:paraId="329DB452">
                  <w:pPr>
                    <w:adjustRightInd w:val="0"/>
                    <w:snapToGrid w:val="0"/>
                    <w:jc w:val="center"/>
                    <w:rPr>
                      <w:rFonts w:eastAsia="仿宋_GB2312"/>
                      <w:kern w:val="0"/>
                      <w:sz w:val="21"/>
                      <w:szCs w:val="21"/>
                    </w:rPr>
                  </w:pPr>
                </w:p>
              </w:tc>
              <w:tc>
                <w:tcPr>
                  <w:tcW w:w="262" w:type="pct"/>
                  <w:vMerge w:val="continue"/>
                  <w:tcBorders>
                    <w:tl2br w:val="nil"/>
                    <w:tr2bl w:val="nil"/>
                  </w:tcBorders>
                  <w:vAlign w:val="center"/>
                </w:tcPr>
                <w:p w14:paraId="06055385">
                  <w:pPr>
                    <w:adjustRightInd w:val="0"/>
                    <w:snapToGrid w:val="0"/>
                    <w:jc w:val="center"/>
                    <w:rPr>
                      <w:rFonts w:eastAsia="仿宋_GB2312"/>
                      <w:kern w:val="0"/>
                      <w:sz w:val="21"/>
                      <w:szCs w:val="21"/>
                    </w:rPr>
                  </w:pPr>
                </w:p>
              </w:tc>
              <w:tc>
                <w:tcPr>
                  <w:tcW w:w="517" w:type="pct"/>
                  <w:tcBorders>
                    <w:tl2br w:val="nil"/>
                    <w:tr2bl w:val="nil"/>
                  </w:tcBorders>
                  <w:vAlign w:val="center"/>
                </w:tcPr>
                <w:p w14:paraId="22490BCB">
                  <w:pPr>
                    <w:adjustRightInd w:val="0"/>
                    <w:snapToGrid w:val="0"/>
                    <w:jc w:val="center"/>
                    <w:rPr>
                      <w:rFonts w:eastAsia="仿宋_GB2312"/>
                      <w:kern w:val="0"/>
                      <w:sz w:val="21"/>
                      <w:szCs w:val="21"/>
                    </w:rPr>
                  </w:pPr>
                  <w:r>
                    <w:rPr>
                      <w:rFonts w:eastAsia="仿宋_GB2312"/>
                      <w:kern w:val="0"/>
                      <w:sz w:val="21"/>
                      <w:szCs w:val="21"/>
                    </w:rPr>
                    <w:t>危废</w:t>
                  </w:r>
                </w:p>
                <w:p w14:paraId="16EB76EF">
                  <w:pPr>
                    <w:adjustRightInd w:val="0"/>
                    <w:snapToGrid w:val="0"/>
                    <w:jc w:val="center"/>
                    <w:rPr>
                      <w:rFonts w:eastAsia="仿宋_GB2312"/>
                      <w:kern w:val="0"/>
                      <w:sz w:val="21"/>
                      <w:szCs w:val="21"/>
                    </w:rPr>
                  </w:pPr>
                  <w:r>
                    <w:rPr>
                      <w:rFonts w:eastAsia="仿宋_GB2312"/>
                      <w:kern w:val="0"/>
                      <w:sz w:val="21"/>
                      <w:szCs w:val="21"/>
                    </w:rPr>
                    <w:t>仓库</w:t>
                  </w:r>
                </w:p>
              </w:tc>
              <w:tc>
                <w:tcPr>
                  <w:tcW w:w="955" w:type="pct"/>
                  <w:tcBorders>
                    <w:tl2br w:val="nil"/>
                    <w:tr2bl w:val="nil"/>
                  </w:tcBorders>
                  <w:vAlign w:val="center"/>
                </w:tcPr>
                <w:p w14:paraId="0F7D712B">
                  <w:pPr>
                    <w:adjustRightInd w:val="0"/>
                    <w:snapToGrid w:val="0"/>
                    <w:jc w:val="center"/>
                    <w:rPr>
                      <w:rFonts w:eastAsia="仿宋_GB2312"/>
                      <w:kern w:val="0"/>
                      <w:sz w:val="21"/>
                      <w:szCs w:val="21"/>
                    </w:rPr>
                  </w:pPr>
                  <w:r>
                    <w:rPr>
                      <w:rFonts w:eastAsia="仿宋_GB2312"/>
                      <w:kern w:val="0"/>
                      <w:sz w:val="21"/>
                      <w:szCs w:val="21"/>
                    </w:rPr>
                    <w:t>90m</w:t>
                  </w:r>
                  <w:r>
                    <w:rPr>
                      <w:rFonts w:eastAsia="仿宋_GB2312"/>
                      <w:kern w:val="0"/>
                      <w:sz w:val="21"/>
                      <w:szCs w:val="21"/>
                      <w:vertAlign w:val="superscript"/>
                    </w:rPr>
                    <w:t>2</w:t>
                  </w:r>
                </w:p>
              </w:tc>
              <w:tc>
                <w:tcPr>
                  <w:tcW w:w="955" w:type="pct"/>
                  <w:tcBorders>
                    <w:tl2br w:val="nil"/>
                    <w:tr2bl w:val="nil"/>
                  </w:tcBorders>
                  <w:vAlign w:val="center"/>
                </w:tcPr>
                <w:p w14:paraId="22D44D5A">
                  <w:pPr>
                    <w:adjustRightInd w:val="0"/>
                    <w:snapToGrid w:val="0"/>
                    <w:jc w:val="center"/>
                    <w:rPr>
                      <w:rFonts w:eastAsia="仿宋_GB2312"/>
                      <w:kern w:val="0"/>
                      <w:sz w:val="21"/>
                      <w:szCs w:val="21"/>
                    </w:rPr>
                  </w:pPr>
                  <w:r>
                    <w:rPr>
                      <w:rFonts w:eastAsia="仿宋_GB2312"/>
                      <w:kern w:val="0"/>
                      <w:sz w:val="21"/>
                      <w:szCs w:val="21"/>
                    </w:rPr>
                    <w:t>0</w:t>
                  </w:r>
                </w:p>
              </w:tc>
              <w:tc>
                <w:tcPr>
                  <w:tcW w:w="958" w:type="pct"/>
                  <w:tcBorders>
                    <w:tl2br w:val="nil"/>
                    <w:tr2bl w:val="nil"/>
                  </w:tcBorders>
                  <w:vAlign w:val="center"/>
                </w:tcPr>
                <w:p w14:paraId="7BE8C21F">
                  <w:pPr>
                    <w:adjustRightInd w:val="0"/>
                    <w:snapToGrid w:val="0"/>
                    <w:jc w:val="center"/>
                    <w:rPr>
                      <w:rFonts w:eastAsia="仿宋_GB2312"/>
                      <w:kern w:val="0"/>
                      <w:sz w:val="21"/>
                      <w:szCs w:val="21"/>
                    </w:rPr>
                  </w:pPr>
                  <w:r>
                    <w:rPr>
                      <w:rFonts w:eastAsia="仿宋_GB2312"/>
                      <w:kern w:val="0"/>
                      <w:sz w:val="21"/>
                      <w:szCs w:val="21"/>
                    </w:rPr>
                    <w:t>90m</w:t>
                  </w:r>
                  <w:r>
                    <w:rPr>
                      <w:rFonts w:eastAsia="仿宋_GB2312"/>
                      <w:kern w:val="0"/>
                      <w:sz w:val="21"/>
                      <w:szCs w:val="21"/>
                      <w:vertAlign w:val="superscript"/>
                    </w:rPr>
                    <w:t>2</w:t>
                  </w:r>
                </w:p>
              </w:tc>
              <w:tc>
                <w:tcPr>
                  <w:tcW w:w="1010" w:type="pct"/>
                  <w:tcBorders>
                    <w:tl2br w:val="nil"/>
                    <w:tr2bl w:val="nil"/>
                  </w:tcBorders>
                  <w:vAlign w:val="center"/>
                </w:tcPr>
                <w:p w14:paraId="26E514A9">
                  <w:pPr>
                    <w:adjustRightInd w:val="0"/>
                    <w:snapToGrid w:val="0"/>
                    <w:jc w:val="center"/>
                    <w:rPr>
                      <w:rFonts w:eastAsia="仿宋_GB2312"/>
                      <w:kern w:val="0"/>
                      <w:sz w:val="21"/>
                      <w:szCs w:val="21"/>
                    </w:rPr>
                  </w:pPr>
                  <w:r>
                    <w:rPr>
                      <w:rFonts w:eastAsia="仿宋_GB2312"/>
                      <w:kern w:val="0"/>
                      <w:sz w:val="21"/>
                      <w:szCs w:val="21"/>
                    </w:rPr>
                    <w:t>依托现有</w:t>
                  </w:r>
                </w:p>
              </w:tc>
            </w:tr>
            <w:tr w14:paraId="2B89A4A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39" w:type="pct"/>
                  <w:vMerge w:val="continue"/>
                  <w:tcBorders>
                    <w:tl2br w:val="nil"/>
                    <w:tr2bl w:val="nil"/>
                  </w:tcBorders>
                  <w:vAlign w:val="center"/>
                </w:tcPr>
                <w:p w14:paraId="60B395D1">
                  <w:pPr>
                    <w:adjustRightInd w:val="0"/>
                    <w:snapToGrid w:val="0"/>
                    <w:jc w:val="center"/>
                    <w:rPr>
                      <w:rFonts w:eastAsia="仿宋_GB2312"/>
                      <w:kern w:val="0"/>
                      <w:sz w:val="21"/>
                      <w:szCs w:val="21"/>
                    </w:rPr>
                  </w:pPr>
                </w:p>
              </w:tc>
              <w:tc>
                <w:tcPr>
                  <w:tcW w:w="262" w:type="pct"/>
                  <w:vMerge w:val="continue"/>
                  <w:tcBorders>
                    <w:tl2br w:val="nil"/>
                    <w:tr2bl w:val="nil"/>
                  </w:tcBorders>
                  <w:vAlign w:val="center"/>
                </w:tcPr>
                <w:p w14:paraId="47AB0D9F">
                  <w:pPr>
                    <w:adjustRightInd w:val="0"/>
                    <w:snapToGrid w:val="0"/>
                    <w:jc w:val="center"/>
                    <w:rPr>
                      <w:rFonts w:eastAsia="仿宋_GB2312"/>
                      <w:kern w:val="0"/>
                      <w:sz w:val="21"/>
                      <w:szCs w:val="21"/>
                    </w:rPr>
                  </w:pPr>
                </w:p>
              </w:tc>
              <w:tc>
                <w:tcPr>
                  <w:tcW w:w="517" w:type="pct"/>
                  <w:tcBorders>
                    <w:tl2br w:val="nil"/>
                    <w:tr2bl w:val="nil"/>
                  </w:tcBorders>
                  <w:vAlign w:val="center"/>
                </w:tcPr>
                <w:p w14:paraId="4B4DC218">
                  <w:pPr>
                    <w:adjustRightInd w:val="0"/>
                    <w:snapToGrid w:val="0"/>
                    <w:jc w:val="center"/>
                    <w:rPr>
                      <w:rFonts w:eastAsia="仿宋_GB2312"/>
                      <w:kern w:val="0"/>
                      <w:sz w:val="21"/>
                      <w:szCs w:val="21"/>
                    </w:rPr>
                  </w:pPr>
                  <w:r>
                    <w:rPr>
                      <w:rFonts w:eastAsia="仿宋_GB2312"/>
                      <w:kern w:val="0"/>
                      <w:sz w:val="21"/>
                      <w:szCs w:val="21"/>
                    </w:rPr>
                    <w:t>垃圾桶</w:t>
                  </w:r>
                </w:p>
              </w:tc>
              <w:tc>
                <w:tcPr>
                  <w:tcW w:w="955" w:type="pct"/>
                  <w:tcBorders>
                    <w:tl2br w:val="nil"/>
                    <w:tr2bl w:val="nil"/>
                  </w:tcBorders>
                  <w:vAlign w:val="center"/>
                </w:tcPr>
                <w:p w14:paraId="5A6210C4">
                  <w:pPr>
                    <w:adjustRightInd w:val="0"/>
                    <w:snapToGrid w:val="0"/>
                    <w:jc w:val="center"/>
                    <w:rPr>
                      <w:rFonts w:eastAsia="仿宋_GB2312"/>
                      <w:kern w:val="0"/>
                      <w:sz w:val="21"/>
                      <w:szCs w:val="21"/>
                    </w:rPr>
                  </w:pPr>
                  <w:r>
                    <w:rPr>
                      <w:rFonts w:eastAsia="仿宋_GB2312"/>
                      <w:kern w:val="0"/>
                      <w:sz w:val="21"/>
                      <w:szCs w:val="21"/>
                    </w:rPr>
                    <w:t>若干</w:t>
                  </w:r>
                </w:p>
              </w:tc>
              <w:tc>
                <w:tcPr>
                  <w:tcW w:w="955" w:type="pct"/>
                  <w:tcBorders>
                    <w:tl2br w:val="nil"/>
                    <w:tr2bl w:val="nil"/>
                  </w:tcBorders>
                  <w:vAlign w:val="center"/>
                </w:tcPr>
                <w:p w14:paraId="00452C03">
                  <w:pPr>
                    <w:adjustRightInd w:val="0"/>
                    <w:snapToGrid w:val="0"/>
                    <w:jc w:val="center"/>
                    <w:rPr>
                      <w:rFonts w:eastAsia="仿宋_GB2312"/>
                      <w:kern w:val="0"/>
                      <w:sz w:val="21"/>
                      <w:szCs w:val="21"/>
                    </w:rPr>
                  </w:pPr>
                  <w:r>
                    <w:rPr>
                      <w:rFonts w:eastAsia="仿宋_GB2312"/>
                      <w:kern w:val="0"/>
                      <w:sz w:val="21"/>
                      <w:szCs w:val="21"/>
                    </w:rPr>
                    <w:t>0</w:t>
                  </w:r>
                </w:p>
              </w:tc>
              <w:tc>
                <w:tcPr>
                  <w:tcW w:w="958" w:type="pct"/>
                  <w:tcBorders>
                    <w:tl2br w:val="nil"/>
                    <w:tr2bl w:val="nil"/>
                  </w:tcBorders>
                  <w:vAlign w:val="center"/>
                </w:tcPr>
                <w:p w14:paraId="2C856670">
                  <w:pPr>
                    <w:adjustRightInd w:val="0"/>
                    <w:snapToGrid w:val="0"/>
                    <w:jc w:val="center"/>
                    <w:rPr>
                      <w:rFonts w:eastAsia="仿宋_GB2312"/>
                      <w:kern w:val="0"/>
                      <w:sz w:val="21"/>
                      <w:szCs w:val="21"/>
                    </w:rPr>
                  </w:pPr>
                  <w:r>
                    <w:rPr>
                      <w:rFonts w:eastAsia="仿宋_GB2312"/>
                      <w:kern w:val="0"/>
                      <w:sz w:val="21"/>
                      <w:szCs w:val="21"/>
                    </w:rPr>
                    <w:t>若干</w:t>
                  </w:r>
                </w:p>
              </w:tc>
              <w:tc>
                <w:tcPr>
                  <w:tcW w:w="1010" w:type="pct"/>
                  <w:tcBorders>
                    <w:tl2br w:val="nil"/>
                    <w:tr2bl w:val="nil"/>
                  </w:tcBorders>
                  <w:vAlign w:val="center"/>
                </w:tcPr>
                <w:p w14:paraId="38824D73">
                  <w:pPr>
                    <w:adjustRightInd w:val="0"/>
                    <w:snapToGrid w:val="0"/>
                    <w:jc w:val="center"/>
                    <w:rPr>
                      <w:rFonts w:eastAsia="仿宋_GB2312"/>
                      <w:kern w:val="0"/>
                      <w:sz w:val="21"/>
                      <w:szCs w:val="21"/>
                    </w:rPr>
                  </w:pPr>
                  <w:r>
                    <w:rPr>
                      <w:rFonts w:eastAsia="仿宋_GB2312"/>
                      <w:kern w:val="0"/>
                      <w:sz w:val="21"/>
                      <w:szCs w:val="21"/>
                    </w:rPr>
                    <w:t>依托现有</w:t>
                  </w:r>
                </w:p>
              </w:tc>
            </w:tr>
            <w:tr w14:paraId="48495F3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39" w:type="pct"/>
                  <w:vMerge w:val="restart"/>
                  <w:tcBorders>
                    <w:tl2br w:val="nil"/>
                    <w:tr2bl w:val="nil"/>
                  </w:tcBorders>
                  <w:vAlign w:val="center"/>
                </w:tcPr>
                <w:p w14:paraId="7138553E">
                  <w:pPr>
                    <w:adjustRightInd w:val="0"/>
                    <w:snapToGrid w:val="0"/>
                    <w:jc w:val="center"/>
                    <w:rPr>
                      <w:rFonts w:hint="default" w:eastAsia="仿宋_GB2312"/>
                      <w:kern w:val="0"/>
                      <w:sz w:val="21"/>
                      <w:szCs w:val="21"/>
                      <w:lang w:val="en-US" w:eastAsia="zh-CN"/>
                    </w:rPr>
                  </w:pPr>
                  <w:r>
                    <w:rPr>
                      <w:rFonts w:hint="eastAsia" w:eastAsia="仿宋_GB2312"/>
                      <w:kern w:val="0"/>
                      <w:sz w:val="21"/>
                      <w:szCs w:val="21"/>
                      <w:lang w:val="en-US" w:eastAsia="zh-CN"/>
                    </w:rPr>
                    <w:t>风险防护工程</w:t>
                  </w:r>
                </w:p>
              </w:tc>
              <w:tc>
                <w:tcPr>
                  <w:tcW w:w="780" w:type="pct"/>
                  <w:gridSpan w:val="2"/>
                  <w:tcBorders>
                    <w:tl2br w:val="nil"/>
                    <w:tr2bl w:val="nil"/>
                  </w:tcBorders>
                  <w:vAlign w:val="center"/>
                </w:tcPr>
                <w:p w14:paraId="40DC2837">
                  <w:pPr>
                    <w:adjustRightInd w:val="0"/>
                    <w:snapToGrid w:val="0"/>
                    <w:jc w:val="center"/>
                    <w:rPr>
                      <w:rFonts w:hint="default" w:eastAsia="仿宋_GB2312"/>
                      <w:kern w:val="0"/>
                      <w:sz w:val="21"/>
                      <w:szCs w:val="21"/>
                      <w:lang w:val="en-US" w:eastAsia="zh-CN"/>
                    </w:rPr>
                  </w:pPr>
                  <w:r>
                    <w:rPr>
                      <w:rFonts w:hint="eastAsia" w:eastAsia="仿宋_GB2312"/>
                      <w:kern w:val="0"/>
                      <w:sz w:val="21"/>
                      <w:szCs w:val="21"/>
                      <w:lang w:val="en-US" w:eastAsia="zh-CN"/>
                    </w:rPr>
                    <w:t>事故应急池</w:t>
                  </w:r>
                </w:p>
              </w:tc>
              <w:tc>
                <w:tcPr>
                  <w:tcW w:w="955" w:type="pct"/>
                  <w:tcBorders>
                    <w:tl2br w:val="nil"/>
                    <w:tr2bl w:val="nil"/>
                  </w:tcBorders>
                  <w:vAlign w:val="center"/>
                </w:tcPr>
                <w:p w14:paraId="3AA6EA00">
                  <w:pPr>
                    <w:adjustRightInd w:val="0"/>
                    <w:snapToGrid w:val="0"/>
                    <w:jc w:val="center"/>
                    <w:rPr>
                      <w:rFonts w:hint="default" w:eastAsia="仿宋_GB2312"/>
                      <w:kern w:val="0"/>
                      <w:sz w:val="21"/>
                      <w:szCs w:val="21"/>
                      <w:lang w:val="en-US" w:eastAsia="zh-CN"/>
                    </w:rPr>
                  </w:pPr>
                  <w:r>
                    <w:rPr>
                      <w:rFonts w:hint="eastAsia" w:eastAsia="仿宋_GB2312"/>
                      <w:kern w:val="0"/>
                      <w:sz w:val="21"/>
                      <w:szCs w:val="21"/>
                      <w:lang w:val="en-US" w:eastAsia="zh-CN"/>
                    </w:rPr>
                    <w:t>3000m</w:t>
                  </w:r>
                  <w:r>
                    <w:rPr>
                      <w:rFonts w:hint="eastAsia" w:eastAsia="仿宋_GB2312"/>
                      <w:kern w:val="0"/>
                      <w:sz w:val="21"/>
                      <w:szCs w:val="21"/>
                      <w:vertAlign w:val="superscript"/>
                      <w:lang w:val="en-US" w:eastAsia="zh-CN"/>
                    </w:rPr>
                    <w:t>3</w:t>
                  </w:r>
                </w:p>
              </w:tc>
              <w:tc>
                <w:tcPr>
                  <w:tcW w:w="955" w:type="pct"/>
                  <w:tcBorders>
                    <w:tl2br w:val="nil"/>
                    <w:tr2bl w:val="nil"/>
                  </w:tcBorders>
                  <w:vAlign w:val="center"/>
                </w:tcPr>
                <w:p w14:paraId="7C9FC173">
                  <w:pPr>
                    <w:adjustRightInd w:val="0"/>
                    <w:snapToGrid w:val="0"/>
                    <w:jc w:val="center"/>
                    <w:rPr>
                      <w:rFonts w:eastAsia="仿宋_GB2312"/>
                      <w:kern w:val="0"/>
                      <w:sz w:val="21"/>
                      <w:szCs w:val="21"/>
                    </w:rPr>
                  </w:pPr>
                  <w:r>
                    <w:rPr>
                      <w:rFonts w:hint="eastAsia" w:eastAsia="仿宋_GB2312"/>
                      <w:kern w:val="0"/>
                      <w:sz w:val="21"/>
                      <w:szCs w:val="21"/>
                      <w:lang w:val="en-US" w:eastAsia="zh-CN"/>
                    </w:rPr>
                    <w:t>3000m</w:t>
                  </w:r>
                  <w:r>
                    <w:rPr>
                      <w:rFonts w:hint="eastAsia" w:eastAsia="仿宋_GB2312"/>
                      <w:kern w:val="0"/>
                      <w:sz w:val="21"/>
                      <w:szCs w:val="21"/>
                      <w:vertAlign w:val="superscript"/>
                      <w:lang w:val="en-US" w:eastAsia="zh-CN"/>
                    </w:rPr>
                    <w:t>3</w:t>
                  </w:r>
                </w:p>
              </w:tc>
              <w:tc>
                <w:tcPr>
                  <w:tcW w:w="958" w:type="pct"/>
                  <w:tcBorders>
                    <w:tl2br w:val="nil"/>
                    <w:tr2bl w:val="nil"/>
                  </w:tcBorders>
                  <w:vAlign w:val="center"/>
                </w:tcPr>
                <w:p w14:paraId="1A748B55">
                  <w:pPr>
                    <w:adjustRightInd w:val="0"/>
                    <w:snapToGrid w:val="0"/>
                    <w:jc w:val="center"/>
                    <w:rPr>
                      <w:rFonts w:hint="default" w:eastAsia="仿宋_GB2312"/>
                      <w:kern w:val="0"/>
                      <w:sz w:val="21"/>
                      <w:szCs w:val="21"/>
                      <w:lang w:val="en-US" w:eastAsia="zh-CN"/>
                    </w:rPr>
                  </w:pPr>
                  <w:r>
                    <w:rPr>
                      <w:rFonts w:hint="eastAsia" w:eastAsia="仿宋_GB2312"/>
                      <w:kern w:val="0"/>
                      <w:sz w:val="21"/>
                      <w:szCs w:val="21"/>
                      <w:lang w:val="en-US" w:eastAsia="zh-CN"/>
                    </w:rPr>
                    <w:t>1座</w:t>
                  </w:r>
                </w:p>
              </w:tc>
              <w:tc>
                <w:tcPr>
                  <w:tcW w:w="1010" w:type="pct"/>
                  <w:tcBorders>
                    <w:tl2br w:val="nil"/>
                    <w:tr2bl w:val="nil"/>
                  </w:tcBorders>
                  <w:vAlign w:val="center"/>
                </w:tcPr>
                <w:p w14:paraId="044A0F2C">
                  <w:pPr>
                    <w:adjustRightInd w:val="0"/>
                    <w:snapToGrid w:val="0"/>
                    <w:jc w:val="center"/>
                    <w:rPr>
                      <w:rFonts w:eastAsia="仿宋_GB2312"/>
                      <w:kern w:val="0"/>
                      <w:sz w:val="21"/>
                      <w:szCs w:val="21"/>
                    </w:rPr>
                  </w:pPr>
                  <w:r>
                    <w:rPr>
                      <w:rFonts w:eastAsia="仿宋_GB2312"/>
                      <w:kern w:val="0"/>
                      <w:sz w:val="21"/>
                      <w:szCs w:val="21"/>
                    </w:rPr>
                    <w:t>依托现有</w:t>
                  </w:r>
                </w:p>
              </w:tc>
            </w:tr>
            <w:tr w14:paraId="36109AA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39" w:type="pct"/>
                  <w:vMerge w:val="continue"/>
                  <w:tcBorders>
                    <w:tl2br w:val="nil"/>
                    <w:tr2bl w:val="nil"/>
                  </w:tcBorders>
                  <w:vAlign w:val="center"/>
                </w:tcPr>
                <w:p w14:paraId="1CAEA56E">
                  <w:pPr>
                    <w:adjustRightInd w:val="0"/>
                    <w:snapToGrid w:val="0"/>
                    <w:jc w:val="center"/>
                    <w:rPr>
                      <w:rFonts w:hint="eastAsia" w:eastAsia="仿宋_GB2312"/>
                      <w:kern w:val="0"/>
                      <w:sz w:val="21"/>
                      <w:szCs w:val="21"/>
                      <w:lang w:val="en-US" w:eastAsia="zh-CN"/>
                    </w:rPr>
                  </w:pPr>
                </w:p>
              </w:tc>
              <w:tc>
                <w:tcPr>
                  <w:tcW w:w="780" w:type="pct"/>
                  <w:gridSpan w:val="2"/>
                  <w:tcBorders>
                    <w:tl2br w:val="nil"/>
                    <w:tr2bl w:val="nil"/>
                  </w:tcBorders>
                  <w:vAlign w:val="center"/>
                </w:tcPr>
                <w:p w14:paraId="5F07130D">
                  <w:pPr>
                    <w:adjustRightInd w:val="0"/>
                    <w:snapToGrid w:val="0"/>
                    <w:jc w:val="center"/>
                    <w:rPr>
                      <w:rFonts w:hint="default" w:eastAsia="仿宋_GB2312"/>
                      <w:kern w:val="0"/>
                      <w:sz w:val="21"/>
                      <w:szCs w:val="21"/>
                      <w:lang w:val="en-US" w:eastAsia="zh-CN"/>
                    </w:rPr>
                  </w:pPr>
                  <w:r>
                    <w:rPr>
                      <w:rFonts w:hint="eastAsia" w:eastAsia="仿宋_GB2312"/>
                      <w:kern w:val="0"/>
                      <w:sz w:val="21"/>
                      <w:szCs w:val="21"/>
                      <w:lang w:val="en-US" w:eastAsia="zh-CN"/>
                    </w:rPr>
                    <w:t>环保应急罐</w:t>
                  </w:r>
                </w:p>
              </w:tc>
              <w:tc>
                <w:tcPr>
                  <w:tcW w:w="955" w:type="pct"/>
                  <w:tcBorders>
                    <w:tl2br w:val="nil"/>
                    <w:tr2bl w:val="nil"/>
                  </w:tcBorders>
                  <w:vAlign w:val="center"/>
                </w:tcPr>
                <w:p w14:paraId="61D5A7C3">
                  <w:pPr>
                    <w:adjustRightInd w:val="0"/>
                    <w:snapToGrid w:val="0"/>
                    <w:jc w:val="center"/>
                    <w:rPr>
                      <w:rFonts w:hint="default" w:eastAsia="仿宋_GB2312"/>
                      <w:kern w:val="0"/>
                      <w:sz w:val="21"/>
                      <w:szCs w:val="21"/>
                      <w:lang w:val="en-US" w:eastAsia="zh-CN"/>
                    </w:rPr>
                  </w:pPr>
                  <w:r>
                    <w:rPr>
                      <w:rFonts w:hint="eastAsia" w:eastAsia="仿宋_GB2312"/>
                      <w:kern w:val="0"/>
                      <w:sz w:val="21"/>
                      <w:szCs w:val="21"/>
                      <w:lang w:val="en-US" w:eastAsia="zh-CN"/>
                    </w:rPr>
                    <w:t>3217</w:t>
                  </w:r>
                </w:p>
              </w:tc>
              <w:tc>
                <w:tcPr>
                  <w:tcW w:w="955" w:type="pct"/>
                  <w:tcBorders>
                    <w:tl2br w:val="nil"/>
                    <w:tr2bl w:val="nil"/>
                  </w:tcBorders>
                  <w:vAlign w:val="center"/>
                </w:tcPr>
                <w:p w14:paraId="59D22017">
                  <w:pPr>
                    <w:adjustRightInd w:val="0"/>
                    <w:snapToGrid w:val="0"/>
                    <w:jc w:val="center"/>
                    <w:rPr>
                      <w:rFonts w:hint="eastAsia" w:eastAsia="仿宋_GB2312"/>
                      <w:kern w:val="0"/>
                      <w:sz w:val="21"/>
                      <w:szCs w:val="21"/>
                      <w:lang w:val="en-US" w:eastAsia="zh-CN"/>
                    </w:rPr>
                  </w:pPr>
                  <w:r>
                    <w:rPr>
                      <w:rFonts w:hint="eastAsia" w:eastAsia="仿宋_GB2312"/>
                      <w:kern w:val="0"/>
                      <w:sz w:val="21"/>
                      <w:szCs w:val="21"/>
                      <w:lang w:val="en-US" w:eastAsia="zh-CN"/>
                    </w:rPr>
                    <w:t>3217</w:t>
                  </w:r>
                </w:p>
              </w:tc>
              <w:tc>
                <w:tcPr>
                  <w:tcW w:w="958" w:type="pct"/>
                  <w:tcBorders>
                    <w:tl2br w:val="nil"/>
                    <w:tr2bl w:val="nil"/>
                  </w:tcBorders>
                  <w:vAlign w:val="center"/>
                </w:tcPr>
                <w:p w14:paraId="5B3D9369">
                  <w:pPr>
                    <w:adjustRightInd w:val="0"/>
                    <w:snapToGrid w:val="0"/>
                    <w:jc w:val="center"/>
                    <w:rPr>
                      <w:rFonts w:hint="default" w:eastAsia="仿宋_GB2312"/>
                      <w:kern w:val="0"/>
                      <w:sz w:val="21"/>
                      <w:szCs w:val="21"/>
                      <w:lang w:val="en-US" w:eastAsia="zh-CN"/>
                    </w:rPr>
                  </w:pPr>
                  <w:r>
                    <w:rPr>
                      <w:rFonts w:hint="eastAsia" w:eastAsia="仿宋_GB2312"/>
                      <w:kern w:val="0"/>
                      <w:sz w:val="21"/>
                      <w:szCs w:val="21"/>
                      <w:lang w:val="en-US" w:eastAsia="zh-CN"/>
                    </w:rPr>
                    <w:t>1个</w:t>
                  </w:r>
                </w:p>
              </w:tc>
              <w:tc>
                <w:tcPr>
                  <w:tcW w:w="1010" w:type="pct"/>
                  <w:tcBorders>
                    <w:tl2br w:val="nil"/>
                    <w:tr2bl w:val="nil"/>
                  </w:tcBorders>
                  <w:vAlign w:val="center"/>
                </w:tcPr>
                <w:p w14:paraId="453299AD">
                  <w:pPr>
                    <w:adjustRightInd w:val="0"/>
                    <w:snapToGrid w:val="0"/>
                    <w:jc w:val="center"/>
                    <w:rPr>
                      <w:rFonts w:hint="default" w:eastAsia="仿宋_GB2312"/>
                      <w:kern w:val="0"/>
                      <w:sz w:val="21"/>
                      <w:szCs w:val="21"/>
                      <w:lang w:val="en-US" w:eastAsia="zh-CN"/>
                    </w:rPr>
                  </w:pPr>
                  <w:r>
                    <w:rPr>
                      <w:rFonts w:hint="eastAsia" w:eastAsia="仿宋_GB2312"/>
                      <w:kern w:val="0"/>
                      <w:sz w:val="21"/>
                      <w:szCs w:val="21"/>
                      <w:lang w:val="en-US" w:eastAsia="zh-CN"/>
                    </w:rPr>
                    <w:t>新建，地上储罐（DN16m*H16m）</w:t>
                  </w:r>
                </w:p>
              </w:tc>
            </w:tr>
          </w:tbl>
          <w:p w14:paraId="2BCF464D">
            <w:pPr>
              <w:adjustRightInd w:val="0"/>
              <w:snapToGrid w:val="0"/>
              <w:spacing w:beforeLines="50" w:line="360" w:lineRule="auto"/>
              <w:jc w:val="center"/>
              <w:rPr>
                <w:rFonts w:hint="default" w:ascii="Times New Roman" w:hAnsi="Times New Roman" w:eastAsia="仿宋_GB2312" w:cs="Times New Roman"/>
                <w:b/>
                <w:kern w:val="0"/>
              </w:rPr>
            </w:pPr>
            <w:r>
              <w:rPr>
                <w:rFonts w:hint="default" w:ascii="Times New Roman" w:hAnsi="Times New Roman" w:eastAsia="仿宋_GB2312" w:cs="Times New Roman"/>
                <w:b/>
                <w:kern w:val="0"/>
              </w:rPr>
              <w:t>表2-</w:t>
            </w:r>
            <w:r>
              <w:rPr>
                <w:rFonts w:hint="eastAsia" w:ascii="Times New Roman" w:hAnsi="Times New Roman" w:eastAsia="仿宋_GB2312" w:cs="Times New Roman"/>
                <w:b/>
                <w:kern w:val="0"/>
                <w:lang w:val="en-US" w:eastAsia="zh-CN"/>
              </w:rPr>
              <w:t>6</w:t>
            </w:r>
            <w:r>
              <w:rPr>
                <w:rFonts w:hint="default" w:ascii="Times New Roman" w:hAnsi="Times New Roman" w:eastAsia="仿宋_GB2312" w:cs="Times New Roman"/>
                <w:b/>
                <w:kern w:val="0"/>
              </w:rPr>
              <w:t xml:space="preserve"> </w:t>
            </w:r>
            <w:r>
              <w:rPr>
                <w:rFonts w:hint="eastAsia" w:ascii="Times New Roman" w:hAnsi="Times New Roman" w:eastAsia="仿宋_GB2312" w:cs="Times New Roman"/>
                <w:b/>
                <w:kern w:val="0"/>
                <w:lang w:val="en-US" w:eastAsia="zh-CN"/>
              </w:rPr>
              <w:t xml:space="preserve"> </w:t>
            </w:r>
            <w:r>
              <w:rPr>
                <w:rFonts w:hint="default" w:ascii="Times New Roman" w:hAnsi="Times New Roman" w:eastAsia="仿宋_GB2312" w:cs="Times New Roman"/>
                <w:b/>
                <w:kern w:val="0"/>
              </w:rPr>
              <w:t>公辅工程依托情况一览表</w:t>
            </w:r>
          </w:p>
          <w:tbl>
            <w:tblPr>
              <w:tblStyle w:val="98"/>
              <w:tblW w:w="4995"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822"/>
              <w:gridCol w:w="1149"/>
              <w:gridCol w:w="1768"/>
              <w:gridCol w:w="1698"/>
              <w:gridCol w:w="1620"/>
              <w:gridCol w:w="1325"/>
            </w:tblGrid>
            <w:tr w14:paraId="43818E1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90" w:type="pct"/>
                  <w:tcBorders>
                    <w:tl2br w:val="nil"/>
                    <w:tr2bl w:val="nil"/>
                  </w:tcBorders>
                  <w:noWrap w:val="0"/>
                  <w:vAlign w:val="center"/>
                </w:tcPr>
                <w:p w14:paraId="5A9EB122">
                  <w:pPr>
                    <w:pStyle w:val="9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b/>
                      <w:bCs w:val="0"/>
                      <w:snapToGrid w:val="0"/>
                      <w:color w:val="auto"/>
                      <w:spacing w:val="0"/>
                      <w:kern w:val="0"/>
                      <w:position w:val="0"/>
                      <w:sz w:val="21"/>
                      <w:szCs w:val="21"/>
                    </w:rPr>
                  </w:pPr>
                  <w:r>
                    <w:rPr>
                      <w:rFonts w:hint="default" w:ascii="Times New Roman" w:hAnsi="Times New Roman" w:eastAsia="仿宋_GB2312" w:cs="Times New Roman"/>
                      <w:b/>
                      <w:bCs w:val="0"/>
                      <w:snapToGrid w:val="0"/>
                      <w:color w:val="auto"/>
                      <w:spacing w:val="0"/>
                      <w:kern w:val="0"/>
                      <w:position w:val="0"/>
                      <w:sz w:val="21"/>
                      <w:szCs w:val="21"/>
                    </w:rPr>
                    <w:t>依托工</w:t>
                  </w:r>
                  <w:r>
                    <w:rPr>
                      <w:rFonts w:hint="default" w:ascii="Times New Roman" w:hAnsi="Times New Roman" w:eastAsia="仿宋_GB2312" w:cs="Times New Roman"/>
                      <w:b/>
                      <w:bCs w:val="0"/>
                      <w:kern w:val="0"/>
                      <w:sz w:val="21"/>
                      <w:szCs w:val="21"/>
                      <w:lang w:val="en-US" w:eastAsia="zh-CN" w:bidi="ar-SA"/>
                    </w:rPr>
                    <w:t>程</w:t>
                  </w:r>
                </w:p>
              </w:tc>
              <w:tc>
                <w:tcPr>
                  <w:tcW w:w="685" w:type="pct"/>
                  <w:tcBorders>
                    <w:tl2br w:val="nil"/>
                    <w:tr2bl w:val="nil"/>
                  </w:tcBorders>
                  <w:noWrap w:val="0"/>
                  <w:vAlign w:val="center"/>
                </w:tcPr>
                <w:p w14:paraId="324609F5">
                  <w:pPr>
                    <w:pStyle w:val="9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b/>
                      <w:bCs w:val="0"/>
                      <w:snapToGrid w:val="0"/>
                      <w:color w:val="auto"/>
                      <w:spacing w:val="0"/>
                      <w:kern w:val="0"/>
                      <w:position w:val="0"/>
                      <w:sz w:val="21"/>
                      <w:szCs w:val="21"/>
                    </w:rPr>
                  </w:pPr>
                  <w:r>
                    <w:rPr>
                      <w:rFonts w:hint="default" w:ascii="Times New Roman" w:hAnsi="Times New Roman" w:eastAsia="仿宋_GB2312" w:cs="Times New Roman"/>
                      <w:b/>
                      <w:bCs w:val="0"/>
                      <w:snapToGrid w:val="0"/>
                      <w:color w:val="auto"/>
                      <w:spacing w:val="0"/>
                      <w:kern w:val="0"/>
                      <w:position w:val="0"/>
                      <w:sz w:val="21"/>
                      <w:szCs w:val="21"/>
                    </w:rPr>
                    <w:t>设计能力</w:t>
                  </w:r>
                </w:p>
              </w:tc>
              <w:tc>
                <w:tcPr>
                  <w:tcW w:w="1054" w:type="pct"/>
                  <w:tcBorders>
                    <w:tl2br w:val="nil"/>
                    <w:tr2bl w:val="nil"/>
                  </w:tcBorders>
                  <w:noWrap w:val="0"/>
                  <w:vAlign w:val="center"/>
                </w:tcPr>
                <w:p w14:paraId="343AEACC">
                  <w:pPr>
                    <w:pStyle w:val="9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b/>
                      <w:bCs w:val="0"/>
                      <w:snapToGrid w:val="0"/>
                      <w:color w:val="auto"/>
                      <w:spacing w:val="0"/>
                      <w:kern w:val="0"/>
                      <w:position w:val="0"/>
                      <w:sz w:val="21"/>
                      <w:szCs w:val="21"/>
                    </w:rPr>
                  </w:pPr>
                  <w:r>
                    <w:rPr>
                      <w:rFonts w:hint="default" w:ascii="Times New Roman" w:hAnsi="Times New Roman" w:eastAsia="仿宋_GB2312" w:cs="Times New Roman"/>
                      <w:b/>
                      <w:bCs w:val="0"/>
                      <w:snapToGrid w:val="0"/>
                      <w:color w:val="auto"/>
                      <w:spacing w:val="0"/>
                      <w:kern w:val="0"/>
                      <w:position w:val="0"/>
                      <w:sz w:val="21"/>
                      <w:szCs w:val="21"/>
                    </w:rPr>
                    <w:t>现有项目已用能力</w:t>
                  </w:r>
                </w:p>
              </w:tc>
              <w:tc>
                <w:tcPr>
                  <w:tcW w:w="1012" w:type="pct"/>
                  <w:tcBorders>
                    <w:tl2br w:val="nil"/>
                    <w:tr2bl w:val="nil"/>
                  </w:tcBorders>
                  <w:noWrap w:val="0"/>
                  <w:vAlign w:val="center"/>
                </w:tcPr>
                <w:p w14:paraId="3F467845">
                  <w:pPr>
                    <w:pStyle w:val="9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b/>
                      <w:bCs w:val="0"/>
                      <w:snapToGrid w:val="0"/>
                      <w:color w:val="auto"/>
                      <w:spacing w:val="0"/>
                      <w:kern w:val="0"/>
                      <w:position w:val="0"/>
                      <w:sz w:val="21"/>
                      <w:szCs w:val="21"/>
                      <w:lang w:val="en-US" w:eastAsia="zh-CN"/>
                    </w:rPr>
                  </w:pPr>
                  <w:r>
                    <w:rPr>
                      <w:rFonts w:hint="default" w:ascii="Times New Roman" w:hAnsi="Times New Roman" w:eastAsia="仿宋_GB2312" w:cs="Times New Roman"/>
                      <w:b/>
                      <w:bCs w:val="0"/>
                      <w:snapToGrid w:val="0"/>
                      <w:color w:val="auto"/>
                      <w:spacing w:val="0"/>
                      <w:kern w:val="0"/>
                      <w:position w:val="0"/>
                      <w:sz w:val="21"/>
                      <w:szCs w:val="21"/>
                      <w:lang w:val="en-US" w:eastAsia="zh-CN"/>
                    </w:rPr>
                    <w:t>本项目使用能力</w:t>
                  </w:r>
                </w:p>
              </w:tc>
              <w:tc>
                <w:tcPr>
                  <w:tcW w:w="966" w:type="pct"/>
                  <w:tcBorders>
                    <w:tl2br w:val="nil"/>
                    <w:tr2bl w:val="nil"/>
                  </w:tcBorders>
                  <w:noWrap w:val="0"/>
                  <w:vAlign w:val="center"/>
                </w:tcPr>
                <w:p w14:paraId="7A60FA38">
                  <w:pPr>
                    <w:pStyle w:val="9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b/>
                      <w:bCs w:val="0"/>
                      <w:snapToGrid w:val="0"/>
                      <w:color w:val="auto"/>
                      <w:spacing w:val="0"/>
                      <w:kern w:val="0"/>
                      <w:position w:val="0"/>
                      <w:sz w:val="21"/>
                      <w:szCs w:val="21"/>
                    </w:rPr>
                  </w:pPr>
                  <w:r>
                    <w:rPr>
                      <w:rFonts w:hint="eastAsia" w:ascii="Times New Roman" w:hAnsi="Times New Roman" w:eastAsia="仿宋_GB2312" w:cs="Times New Roman"/>
                      <w:b/>
                      <w:bCs w:val="0"/>
                      <w:snapToGrid w:val="0"/>
                      <w:color w:val="auto"/>
                      <w:spacing w:val="0"/>
                      <w:kern w:val="0"/>
                      <w:position w:val="0"/>
                      <w:sz w:val="21"/>
                      <w:szCs w:val="21"/>
                      <w:lang w:val="en-US" w:eastAsia="zh-CN"/>
                    </w:rPr>
                    <w:t>改</w:t>
                  </w:r>
                  <w:r>
                    <w:rPr>
                      <w:rFonts w:hint="default" w:ascii="Times New Roman" w:hAnsi="Times New Roman" w:eastAsia="仿宋_GB2312" w:cs="Times New Roman"/>
                      <w:b/>
                      <w:bCs w:val="0"/>
                      <w:snapToGrid w:val="0"/>
                      <w:color w:val="auto"/>
                      <w:spacing w:val="0"/>
                      <w:kern w:val="0"/>
                      <w:position w:val="0"/>
                      <w:sz w:val="21"/>
                      <w:szCs w:val="21"/>
                    </w:rPr>
                    <w:t>建后全厂所需能力</w:t>
                  </w:r>
                </w:p>
              </w:tc>
              <w:tc>
                <w:tcPr>
                  <w:tcW w:w="790" w:type="pct"/>
                  <w:tcBorders>
                    <w:tl2br w:val="nil"/>
                    <w:tr2bl w:val="nil"/>
                  </w:tcBorders>
                  <w:noWrap w:val="0"/>
                  <w:vAlign w:val="center"/>
                </w:tcPr>
                <w:p w14:paraId="30399550">
                  <w:pPr>
                    <w:pStyle w:val="9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b/>
                      <w:bCs w:val="0"/>
                      <w:snapToGrid w:val="0"/>
                      <w:color w:val="auto"/>
                      <w:spacing w:val="0"/>
                      <w:kern w:val="0"/>
                      <w:position w:val="0"/>
                      <w:sz w:val="21"/>
                      <w:szCs w:val="21"/>
                      <w:lang w:val="en-US" w:eastAsia="zh-CN"/>
                    </w:rPr>
                  </w:pPr>
                  <w:r>
                    <w:rPr>
                      <w:rFonts w:hint="default" w:ascii="Times New Roman" w:hAnsi="Times New Roman" w:eastAsia="仿宋_GB2312" w:cs="Times New Roman"/>
                      <w:b/>
                      <w:bCs w:val="0"/>
                      <w:snapToGrid w:val="0"/>
                      <w:color w:val="auto"/>
                      <w:spacing w:val="0"/>
                      <w:kern w:val="0"/>
                      <w:position w:val="0"/>
                      <w:sz w:val="21"/>
                      <w:szCs w:val="21"/>
                      <w:lang w:val="en-US" w:eastAsia="zh-CN"/>
                    </w:rPr>
                    <w:t>是否可依托</w:t>
                  </w:r>
                </w:p>
              </w:tc>
            </w:tr>
            <w:tr w14:paraId="402FA04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90" w:type="pct"/>
                  <w:tcBorders>
                    <w:tl2br w:val="nil"/>
                    <w:tr2bl w:val="nil"/>
                  </w:tcBorders>
                  <w:noWrap w:val="0"/>
                  <w:vAlign w:val="center"/>
                </w:tcPr>
                <w:p w14:paraId="7147CBA0">
                  <w:pPr>
                    <w:pStyle w:val="9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napToGrid w:val="0"/>
                      <w:color w:val="auto"/>
                      <w:spacing w:val="0"/>
                      <w:kern w:val="0"/>
                      <w:position w:val="0"/>
                      <w:sz w:val="21"/>
                      <w:szCs w:val="21"/>
                    </w:rPr>
                  </w:pPr>
                  <w:r>
                    <w:rPr>
                      <w:rFonts w:hint="default" w:ascii="Times New Roman" w:hAnsi="Times New Roman" w:eastAsia="仿宋_GB2312" w:cs="Times New Roman"/>
                      <w:snapToGrid w:val="0"/>
                      <w:color w:val="auto"/>
                      <w:spacing w:val="0"/>
                      <w:kern w:val="0"/>
                      <w:position w:val="0"/>
                      <w:sz w:val="21"/>
                      <w:szCs w:val="21"/>
                    </w:rPr>
                    <w:t>化粪池</w:t>
                  </w:r>
                </w:p>
              </w:tc>
              <w:tc>
                <w:tcPr>
                  <w:tcW w:w="685" w:type="pct"/>
                  <w:tcBorders>
                    <w:tl2br w:val="nil"/>
                    <w:tr2bl w:val="nil"/>
                  </w:tcBorders>
                  <w:noWrap w:val="0"/>
                  <w:vAlign w:val="center"/>
                </w:tcPr>
                <w:p w14:paraId="1539AE43">
                  <w:pPr>
                    <w:pStyle w:val="9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napToGrid w:val="0"/>
                      <w:color w:val="auto"/>
                      <w:spacing w:val="0"/>
                      <w:kern w:val="0"/>
                      <w:position w:val="0"/>
                      <w:sz w:val="21"/>
                      <w:szCs w:val="21"/>
                    </w:rPr>
                  </w:pPr>
                  <w:r>
                    <w:rPr>
                      <w:rFonts w:hint="eastAsia" w:ascii="Times New Roman" w:hAnsi="Times New Roman" w:eastAsia="仿宋_GB2312" w:cs="Times New Roman"/>
                      <w:snapToGrid w:val="0"/>
                      <w:color w:val="auto"/>
                      <w:spacing w:val="0"/>
                      <w:kern w:val="0"/>
                      <w:position w:val="0"/>
                      <w:sz w:val="21"/>
                      <w:szCs w:val="21"/>
                      <w:lang w:val="en-US" w:eastAsia="zh-CN"/>
                    </w:rPr>
                    <w:t>5</w:t>
                  </w:r>
                  <w:r>
                    <w:rPr>
                      <w:rFonts w:hint="default" w:ascii="Times New Roman" w:hAnsi="Times New Roman" w:eastAsia="仿宋_GB2312" w:cs="Times New Roman"/>
                      <w:snapToGrid w:val="0"/>
                      <w:color w:val="auto"/>
                      <w:spacing w:val="0"/>
                      <w:kern w:val="0"/>
                      <w:position w:val="0"/>
                      <w:sz w:val="21"/>
                      <w:szCs w:val="21"/>
                      <w:lang w:val="en-US" w:eastAsia="zh-CN"/>
                    </w:rPr>
                    <w:t>0</w:t>
                  </w:r>
                  <w:r>
                    <w:rPr>
                      <w:rFonts w:hint="default" w:ascii="Times New Roman" w:hAnsi="Times New Roman" w:eastAsia="仿宋_GB2312" w:cs="Times New Roman"/>
                      <w:b w:val="0"/>
                      <w:bCs w:val="0"/>
                      <w:color w:val="auto"/>
                      <w:kern w:val="0"/>
                      <w:sz w:val="21"/>
                      <w:szCs w:val="21"/>
                      <w:lang w:val="en-US" w:eastAsia="zh-CN"/>
                    </w:rPr>
                    <w:t>m</w:t>
                  </w:r>
                  <w:r>
                    <w:rPr>
                      <w:rFonts w:hint="default" w:ascii="Times New Roman" w:hAnsi="Times New Roman" w:eastAsia="仿宋_GB2312" w:cs="Times New Roman"/>
                      <w:b w:val="0"/>
                      <w:bCs w:val="0"/>
                      <w:color w:val="auto"/>
                      <w:kern w:val="0"/>
                      <w:sz w:val="21"/>
                      <w:szCs w:val="21"/>
                      <w:vertAlign w:val="superscript"/>
                      <w:lang w:val="en-US" w:eastAsia="zh-CN"/>
                    </w:rPr>
                    <w:t>3</w:t>
                  </w:r>
                  <w:r>
                    <w:rPr>
                      <w:rFonts w:hint="default" w:ascii="Times New Roman" w:hAnsi="Times New Roman" w:eastAsia="仿宋_GB2312" w:cs="Times New Roman"/>
                      <w:snapToGrid w:val="0"/>
                      <w:color w:val="auto"/>
                      <w:spacing w:val="0"/>
                      <w:kern w:val="0"/>
                      <w:position w:val="0"/>
                      <w:sz w:val="21"/>
                      <w:szCs w:val="21"/>
                    </w:rPr>
                    <w:t xml:space="preserve"> /d</w:t>
                  </w:r>
                </w:p>
              </w:tc>
              <w:tc>
                <w:tcPr>
                  <w:tcW w:w="1054" w:type="pct"/>
                  <w:tcBorders>
                    <w:tl2br w:val="nil"/>
                    <w:tr2bl w:val="nil"/>
                  </w:tcBorders>
                  <w:noWrap w:val="0"/>
                  <w:vAlign w:val="center"/>
                </w:tcPr>
                <w:p w14:paraId="3CA2C91D">
                  <w:pPr>
                    <w:pStyle w:val="9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napToGrid w:val="0"/>
                      <w:color w:val="auto"/>
                      <w:spacing w:val="0"/>
                      <w:kern w:val="0"/>
                      <w:position w:val="0"/>
                      <w:sz w:val="21"/>
                      <w:szCs w:val="21"/>
                    </w:rPr>
                  </w:pPr>
                  <w:r>
                    <w:rPr>
                      <w:rFonts w:hint="eastAsia" w:ascii="Times New Roman" w:hAnsi="Times New Roman" w:eastAsia="仿宋_GB2312" w:cs="Times New Roman"/>
                      <w:b w:val="0"/>
                      <w:bCs w:val="0"/>
                      <w:color w:val="auto"/>
                      <w:kern w:val="0"/>
                      <w:sz w:val="21"/>
                      <w:szCs w:val="21"/>
                      <w:lang w:val="en-US" w:eastAsia="zh-CN"/>
                    </w:rPr>
                    <w:t>14.3</w:t>
                  </w:r>
                  <w:r>
                    <w:rPr>
                      <w:rFonts w:hint="default" w:ascii="Times New Roman" w:hAnsi="Times New Roman" w:eastAsia="仿宋_GB2312" w:cs="Times New Roman"/>
                      <w:b w:val="0"/>
                      <w:bCs w:val="0"/>
                      <w:color w:val="auto"/>
                      <w:kern w:val="0"/>
                      <w:sz w:val="21"/>
                      <w:szCs w:val="21"/>
                      <w:lang w:val="en-US" w:eastAsia="zh-CN"/>
                    </w:rPr>
                    <w:t>m</w:t>
                  </w:r>
                  <w:r>
                    <w:rPr>
                      <w:rFonts w:hint="default" w:ascii="Times New Roman" w:hAnsi="Times New Roman" w:eastAsia="仿宋_GB2312" w:cs="Times New Roman"/>
                      <w:b w:val="0"/>
                      <w:bCs w:val="0"/>
                      <w:color w:val="auto"/>
                      <w:kern w:val="0"/>
                      <w:sz w:val="21"/>
                      <w:szCs w:val="21"/>
                      <w:vertAlign w:val="superscript"/>
                      <w:lang w:val="en-US" w:eastAsia="zh-CN"/>
                    </w:rPr>
                    <w:t>3</w:t>
                  </w:r>
                  <w:r>
                    <w:rPr>
                      <w:rFonts w:hint="default" w:ascii="Times New Roman" w:hAnsi="Times New Roman" w:eastAsia="仿宋_GB2312" w:cs="Times New Roman"/>
                      <w:b w:val="0"/>
                      <w:bCs w:val="0"/>
                      <w:color w:val="auto"/>
                      <w:kern w:val="0"/>
                      <w:sz w:val="21"/>
                      <w:szCs w:val="21"/>
                      <w:lang w:val="en-US" w:eastAsia="zh-CN"/>
                    </w:rPr>
                    <w:t>/d</w:t>
                  </w:r>
                </w:p>
              </w:tc>
              <w:tc>
                <w:tcPr>
                  <w:tcW w:w="1012" w:type="pct"/>
                  <w:tcBorders>
                    <w:tl2br w:val="nil"/>
                    <w:tr2bl w:val="nil"/>
                  </w:tcBorders>
                  <w:noWrap w:val="0"/>
                  <w:vAlign w:val="center"/>
                </w:tcPr>
                <w:p w14:paraId="2D14F2B8">
                  <w:pPr>
                    <w:pStyle w:val="9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napToGrid w:val="0"/>
                      <w:color w:val="auto"/>
                      <w:spacing w:val="0"/>
                      <w:kern w:val="0"/>
                      <w:position w:val="0"/>
                      <w:sz w:val="21"/>
                      <w:szCs w:val="21"/>
                    </w:rPr>
                  </w:pPr>
                  <w:r>
                    <w:rPr>
                      <w:rFonts w:hint="eastAsia" w:ascii="Times New Roman" w:hAnsi="Times New Roman" w:eastAsia="仿宋_GB2312" w:cs="Times New Roman"/>
                      <w:b w:val="0"/>
                      <w:bCs w:val="0"/>
                      <w:color w:val="auto"/>
                      <w:kern w:val="0"/>
                      <w:sz w:val="21"/>
                      <w:szCs w:val="21"/>
                      <w:lang w:val="en-US" w:eastAsia="zh-CN"/>
                    </w:rPr>
                    <w:t>/</w:t>
                  </w:r>
                </w:p>
              </w:tc>
              <w:tc>
                <w:tcPr>
                  <w:tcW w:w="966" w:type="pct"/>
                  <w:tcBorders>
                    <w:tl2br w:val="nil"/>
                    <w:tr2bl w:val="nil"/>
                  </w:tcBorders>
                  <w:noWrap w:val="0"/>
                  <w:vAlign w:val="center"/>
                </w:tcPr>
                <w:p w14:paraId="4E6F1A50">
                  <w:pPr>
                    <w:pStyle w:val="9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napToGrid w:val="0"/>
                      <w:color w:val="auto"/>
                      <w:spacing w:val="0"/>
                      <w:kern w:val="0"/>
                      <w:position w:val="0"/>
                      <w:sz w:val="21"/>
                      <w:szCs w:val="21"/>
                    </w:rPr>
                  </w:pPr>
                  <w:r>
                    <w:rPr>
                      <w:rFonts w:hint="eastAsia" w:ascii="Times New Roman" w:hAnsi="Times New Roman" w:eastAsia="仿宋_GB2312" w:cs="Times New Roman"/>
                      <w:b w:val="0"/>
                      <w:bCs w:val="0"/>
                      <w:color w:val="auto"/>
                      <w:kern w:val="0"/>
                      <w:sz w:val="21"/>
                      <w:szCs w:val="21"/>
                      <w:lang w:val="en-US" w:eastAsia="zh-CN"/>
                    </w:rPr>
                    <w:t>14.3</w:t>
                  </w:r>
                  <w:r>
                    <w:rPr>
                      <w:rFonts w:hint="default" w:ascii="Times New Roman" w:hAnsi="Times New Roman" w:eastAsia="仿宋_GB2312" w:cs="Times New Roman"/>
                      <w:b w:val="0"/>
                      <w:bCs w:val="0"/>
                      <w:color w:val="auto"/>
                      <w:kern w:val="0"/>
                      <w:sz w:val="21"/>
                      <w:szCs w:val="21"/>
                      <w:lang w:val="en-US" w:eastAsia="zh-CN"/>
                    </w:rPr>
                    <w:t>m</w:t>
                  </w:r>
                  <w:r>
                    <w:rPr>
                      <w:rFonts w:hint="default" w:ascii="Times New Roman" w:hAnsi="Times New Roman" w:eastAsia="仿宋_GB2312" w:cs="Times New Roman"/>
                      <w:b w:val="0"/>
                      <w:bCs w:val="0"/>
                      <w:color w:val="auto"/>
                      <w:kern w:val="0"/>
                      <w:sz w:val="21"/>
                      <w:szCs w:val="21"/>
                      <w:vertAlign w:val="superscript"/>
                      <w:lang w:val="en-US" w:eastAsia="zh-CN"/>
                    </w:rPr>
                    <w:t>3</w:t>
                  </w:r>
                  <w:r>
                    <w:rPr>
                      <w:rFonts w:hint="default" w:ascii="Times New Roman" w:hAnsi="Times New Roman" w:eastAsia="仿宋_GB2312" w:cs="Times New Roman"/>
                      <w:b w:val="0"/>
                      <w:bCs w:val="0"/>
                      <w:color w:val="auto"/>
                      <w:kern w:val="0"/>
                      <w:sz w:val="21"/>
                      <w:szCs w:val="21"/>
                      <w:lang w:val="en-US" w:eastAsia="zh-CN"/>
                    </w:rPr>
                    <w:t>/d</w:t>
                  </w:r>
                </w:p>
              </w:tc>
              <w:tc>
                <w:tcPr>
                  <w:tcW w:w="790" w:type="pct"/>
                  <w:tcBorders>
                    <w:tl2br w:val="nil"/>
                    <w:tr2bl w:val="nil"/>
                  </w:tcBorders>
                  <w:noWrap w:val="0"/>
                  <w:vAlign w:val="center"/>
                </w:tcPr>
                <w:p w14:paraId="048785FC">
                  <w:pPr>
                    <w:pStyle w:val="9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napToGrid w:val="0"/>
                      <w:color w:val="auto"/>
                      <w:spacing w:val="0"/>
                      <w:kern w:val="0"/>
                      <w:position w:val="0"/>
                      <w:sz w:val="21"/>
                      <w:szCs w:val="21"/>
                    </w:rPr>
                  </w:pPr>
                  <w:r>
                    <w:rPr>
                      <w:rFonts w:hint="default" w:ascii="Times New Roman" w:hAnsi="Times New Roman" w:eastAsia="仿宋_GB2312" w:cs="Times New Roman"/>
                      <w:snapToGrid w:val="0"/>
                      <w:color w:val="auto"/>
                      <w:spacing w:val="0"/>
                      <w:kern w:val="0"/>
                      <w:position w:val="0"/>
                      <w:sz w:val="21"/>
                      <w:szCs w:val="21"/>
                    </w:rPr>
                    <w:t>依托可行</w:t>
                  </w:r>
                </w:p>
              </w:tc>
            </w:tr>
            <w:tr w14:paraId="0520C8B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90" w:type="pct"/>
                  <w:tcBorders>
                    <w:tl2br w:val="nil"/>
                    <w:tr2bl w:val="nil"/>
                  </w:tcBorders>
                  <w:shd w:val="clear" w:color="auto" w:fill="auto"/>
                  <w:noWrap w:val="0"/>
                  <w:vAlign w:val="center"/>
                </w:tcPr>
                <w:p w14:paraId="1C0C87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kern w:val="0"/>
                      <w:sz w:val="21"/>
                      <w:szCs w:val="21"/>
                      <w:lang w:val="en-US" w:eastAsia="zh-CN" w:bidi="ar-SA"/>
                    </w:rPr>
                  </w:pPr>
                  <w:r>
                    <w:rPr>
                      <w:rFonts w:hint="default" w:ascii="Times New Roman" w:hAnsi="Times New Roman" w:eastAsia="仿宋_GB2312" w:cs="Times New Roman"/>
                      <w:color w:val="auto"/>
                      <w:kern w:val="0"/>
                      <w:sz w:val="21"/>
                      <w:szCs w:val="21"/>
                      <w:lang w:eastAsia="zh-CN"/>
                    </w:rPr>
                    <w:t>一般固废仓库</w:t>
                  </w:r>
                </w:p>
              </w:tc>
              <w:tc>
                <w:tcPr>
                  <w:tcW w:w="685" w:type="pct"/>
                  <w:tcBorders>
                    <w:tl2br w:val="nil"/>
                    <w:tr2bl w:val="nil"/>
                  </w:tcBorders>
                  <w:shd w:val="clear" w:color="auto" w:fill="auto"/>
                  <w:noWrap w:val="0"/>
                  <w:vAlign w:val="center"/>
                </w:tcPr>
                <w:p w14:paraId="3BBEEB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kern w:val="0"/>
                      <w:sz w:val="21"/>
                      <w:szCs w:val="21"/>
                      <w:lang w:val="en-US" w:eastAsia="zh-CN" w:bidi="ar-SA"/>
                    </w:rPr>
                  </w:pPr>
                  <w:r>
                    <w:rPr>
                      <w:rFonts w:hint="eastAsia" w:ascii="Times New Roman" w:hAnsi="Times New Roman" w:eastAsia="仿宋_GB2312" w:cs="Times New Roman"/>
                      <w:color w:val="auto"/>
                      <w:kern w:val="0"/>
                      <w:sz w:val="21"/>
                      <w:szCs w:val="21"/>
                      <w:lang w:val="en-US" w:eastAsia="zh-CN"/>
                    </w:rPr>
                    <w:t>5</w:t>
                  </w:r>
                  <w:r>
                    <w:rPr>
                      <w:rFonts w:hint="default" w:ascii="Times New Roman" w:hAnsi="Times New Roman" w:eastAsia="仿宋_GB2312" w:cs="Times New Roman"/>
                      <w:color w:val="auto"/>
                      <w:kern w:val="0"/>
                      <w:sz w:val="21"/>
                      <w:szCs w:val="21"/>
                      <w:lang w:val="en-US" w:eastAsia="zh-CN"/>
                    </w:rPr>
                    <w:t>0</w:t>
                  </w:r>
                  <w:r>
                    <w:rPr>
                      <w:rFonts w:hint="default" w:ascii="Times New Roman" w:hAnsi="Times New Roman" w:eastAsia="仿宋_GB2312" w:cs="Times New Roman"/>
                      <w:color w:val="auto"/>
                      <w:kern w:val="0"/>
                      <w:sz w:val="21"/>
                      <w:szCs w:val="21"/>
                    </w:rPr>
                    <w:t>m</w:t>
                  </w:r>
                  <w:r>
                    <w:rPr>
                      <w:rFonts w:hint="default" w:ascii="Times New Roman" w:hAnsi="Times New Roman" w:eastAsia="仿宋_GB2312" w:cs="Times New Roman"/>
                      <w:color w:val="auto"/>
                      <w:kern w:val="0"/>
                      <w:sz w:val="21"/>
                      <w:szCs w:val="21"/>
                      <w:vertAlign w:val="superscript"/>
                    </w:rPr>
                    <w:t>2</w:t>
                  </w:r>
                </w:p>
              </w:tc>
              <w:tc>
                <w:tcPr>
                  <w:tcW w:w="1054" w:type="pct"/>
                  <w:tcBorders>
                    <w:tl2br w:val="nil"/>
                    <w:tr2bl w:val="nil"/>
                  </w:tcBorders>
                  <w:noWrap w:val="0"/>
                  <w:vAlign w:val="center"/>
                </w:tcPr>
                <w:p w14:paraId="7D247A6F">
                  <w:pPr>
                    <w:pStyle w:val="9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b w:val="0"/>
                      <w:bCs w:val="0"/>
                      <w:color w:val="auto"/>
                      <w:kern w:val="0"/>
                      <w:sz w:val="21"/>
                      <w:szCs w:val="21"/>
                      <w:lang w:val="en-US" w:eastAsia="zh-CN"/>
                    </w:rPr>
                  </w:pPr>
                  <w:r>
                    <w:rPr>
                      <w:rFonts w:hint="default" w:ascii="Times New Roman" w:hAnsi="Times New Roman" w:eastAsia="仿宋_GB2312" w:cs="Times New Roman"/>
                      <w:b w:val="0"/>
                      <w:bCs w:val="0"/>
                      <w:color w:val="auto"/>
                      <w:kern w:val="0"/>
                      <w:sz w:val="21"/>
                      <w:szCs w:val="21"/>
                      <w:lang w:val="en-US" w:eastAsia="zh-CN"/>
                    </w:rPr>
                    <w:t>36.99</w:t>
                  </w:r>
                  <w:r>
                    <w:rPr>
                      <w:rFonts w:hint="default" w:ascii="Times New Roman" w:hAnsi="Times New Roman" w:eastAsia="仿宋_GB2312" w:cs="Times New Roman"/>
                      <w:color w:val="auto"/>
                      <w:kern w:val="0"/>
                      <w:sz w:val="21"/>
                      <w:szCs w:val="21"/>
                    </w:rPr>
                    <w:t>m</w:t>
                  </w:r>
                  <w:r>
                    <w:rPr>
                      <w:rFonts w:hint="default" w:ascii="Times New Roman" w:hAnsi="Times New Roman" w:eastAsia="仿宋_GB2312" w:cs="Times New Roman"/>
                      <w:color w:val="auto"/>
                      <w:kern w:val="0"/>
                      <w:sz w:val="21"/>
                      <w:szCs w:val="21"/>
                      <w:vertAlign w:val="superscript"/>
                    </w:rPr>
                    <w:t>2</w:t>
                  </w:r>
                </w:p>
              </w:tc>
              <w:tc>
                <w:tcPr>
                  <w:tcW w:w="1012" w:type="pct"/>
                  <w:tcBorders>
                    <w:tl2br w:val="nil"/>
                    <w:tr2bl w:val="nil"/>
                  </w:tcBorders>
                  <w:noWrap w:val="0"/>
                  <w:vAlign w:val="center"/>
                </w:tcPr>
                <w:p w14:paraId="0E73C52D">
                  <w:pPr>
                    <w:pStyle w:val="9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b w:val="0"/>
                      <w:bCs w:val="0"/>
                      <w:color w:val="auto"/>
                      <w:kern w:val="0"/>
                      <w:sz w:val="21"/>
                      <w:szCs w:val="21"/>
                      <w:lang w:val="en-US" w:eastAsia="zh-CN"/>
                    </w:rPr>
                  </w:pPr>
                  <w:r>
                    <w:rPr>
                      <w:rFonts w:hint="default" w:ascii="Times New Roman" w:hAnsi="Times New Roman" w:eastAsia="仿宋_GB2312" w:cs="Times New Roman"/>
                      <w:b w:val="0"/>
                      <w:bCs w:val="0"/>
                      <w:color w:val="auto"/>
                      <w:kern w:val="0"/>
                      <w:sz w:val="21"/>
                      <w:szCs w:val="21"/>
                      <w:lang w:val="en-US" w:eastAsia="zh-CN"/>
                    </w:rPr>
                    <w:t>10.531</w:t>
                  </w:r>
                  <w:r>
                    <w:rPr>
                      <w:rFonts w:hint="default" w:ascii="Times New Roman" w:hAnsi="Times New Roman" w:eastAsia="仿宋_GB2312" w:cs="Times New Roman"/>
                      <w:color w:val="auto"/>
                      <w:kern w:val="0"/>
                      <w:sz w:val="21"/>
                      <w:szCs w:val="21"/>
                    </w:rPr>
                    <w:t>m</w:t>
                  </w:r>
                  <w:r>
                    <w:rPr>
                      <w:rFonts w:hint="default" w:ascii="Times New Roman" w:hAnsi="Times New Roman" w:eastAsia="仿宋_GB2312" w:cs="Times New Roman"/>
                      <w:color w:val="auto"/>
                      <w:kern w:val="0"/>
                      <w:sz w:val="21"/>
                      <w:szCs w:val="21"/>
                      <w:vertAlign w:val="superscript"/>
                    </w:rPr>
                    <w:t>2</w:t>
                  </w:r>
                </w:p>
              </w:tc>
              <w:tc>
                <w:tcPr>
                  <w:tcW w:w="966" w:type="pct"/>
                  <w:tcBorders>
                    <w:tl2br w:val="nil"/>
                    <w:tr2bl w:val="nil"/>
                  </w:tcBorders>
                  <w:noWrap w:val="0"/>
                  <w:vAlign w:val="center"/>
                </w:tcPr>
                <w:p w14:paraId="536BF002">
                  <w:pPr>
                    <w:pStyle w:val="9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b w:val="0"/>
                      <w:bCs w:val="0"/>
                      <w:color w:val="auto"/>
                      <w:kern w:val="0"/>
                      <w:sz w:val="21"/>
                      <w:szCs w:val="21"/>
                      <w:lang w:val="en-US" w:eastAsia="zh-CN"/>
                    </w:rPr>
                  </w:pPr>
                  <w:r>
                    <w:rPr>
                      <w:rFonts w:hint="default" w:ascii="Times New Roman" w:hAnsi="Times New Roman" w:eastAsia="仿宋_GB2312" w:cs="Times New Roman"/>
                      <w:b w:val="0"/>
                      <w:bCs w:val="0"/>
                      <w:color w:val="auto"/>
                      <w:kern w:val="0"/>
                      <w:sz w:val="21"/>
                      <w:szCs w:val="21"/>
                      <w:lang w:val="en-US" w:eastAsia="zh-CN"/>
                    </w:rPr>
                    <w:t>47.521</w:t>
                  </w:r>
                  <w:r>
                    <w:rPr>
                      <w:rFonts w:hint="default" w:ascii="Times New Roman" w:hAnsi="Times New Roman" w:eastAsia="仿宋_GB2312" w:cs="Times New Roman"/>
                      <w:color w:val="auto"/>
                      <w:kern w:val="0"/>
                      <w:sz w:val="21"/>
                      <w:szCs w:val="21"/>
                    </w:rPr>
                    <w:t>m</w:t>
                  </w:r>
                  <w:r>
                    <w:rPr>
                      <w:rFonts w:hint="default" w:ascii="Times New Roman" w:hAnsi="Times New Roman" w:eastAsia="仿宋_GB2312" w:cs="Times New Roman"/>
                      <w:color w:val="auto"/>
                      <w:kern w:val="0"/>
                      <w:sz w:val="21"/>
                      <w:szCs w:val="21"/>
                      <w:vertAlign w:val="superscript"/>
                    </w:rPr>
                    <w:t>2</w:t>
                  </w:r>
                </w:p>
              </w:tc>
              <w:tc>
                <w:tcPr>
                  <w:tcW w:w="790" w:type="pct"/>
                  <w:tcBorders>
                    <w:tl2br w:val="nil"/>
                    <w:tr2bl w:val="nil"/>
                  </w:tcBorders>
                  <w:noWrap w:val="0"/>
                  <w:vAlign w:val="center"/>
                </w:tcPr>
                <w:p w14:paraId="5835DC15">
                  <w:pPr>
                    <w:pStyle w:val="9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napToGrid w:val="0"/>
                      <w:color w:val="auto"/>
                      <w:spacing w:val="0"/>
                      <w:kern w:val="0"/>
                      <w:position w:val="0"/>
                      <w:sz w:val="21"/>
                      <w:szCs w:val="21"/>
                    </w:rPr>
                  </w:pPr>
                  <w:r>
                    <w:rPr>
                      <w:rFonts w:hint="default" w:ascii="Times New Roman" w:hAnsi="Times New Roman" w:eastAsia="仿宋_GB2312" w:cs="Times New Roman"/>
                      <w:snapToGrid w:val="0"/>
                      <w:color w:val="auto"/>
                      <w:spacing w:val="0"/>
                      <w:kern w:val="0"/>
                      <w:position w:val="0"/>
                      <w:sz w:val="21"/>
                      <w:szCs w:val="21"/>
                      <w:lang w:val="en-US" w:eastAsia="zh-CN"/>
                    </w:rPr>
                    <w:t>有足够的面积暂存一般固废，</w:t>
                  </w:r>
                  <w:r>
                    <w:rPr>
                      <w:rFonts w:hint="default" w:ascii="Times New Roman" w:hAnsi="Times New Roman" w:eastAsia="仿宋_GB2312" w:cs="Times New Roman"/>
                      <w:snapToGrid w:val="0"/>
                      <w:color w:val="auto"/>
                      <w:spacing w:val="0"/>
                      <w:kern w:val="0"/>
                      <w:position w:val="0"/>
                      <w:sz w:val="21"/>
                      <w:szCs w:val="21"/>
                    </w:rPr>
                    <w:t>依托可行</w:t>
                  </w:r>
                </w:p>
              </w:tc>
            </w:tr>
            <w:tr w14:paraId="72DF2D4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90" w:type="pct"/>
                  <w:tcBorders>
                    <w:tl2br w:val="nil"/>
                    <w:tr2bl w:val="nil"/>
                  </w:tcBorders>
                  <w:shd w:val="clear" w:color="auto" w:fill="auto"/>
                  <w:noWrap w:val="0"/>
                  <w:vAlign w:val="center"/>
                </w:tcPr>
                <w:p w14:paraId="58B47E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kern w:val="0"/>
                      <w:sz w:val="21"/>
                      <w:szCs w:val="21"/>
                      <w:lang w:val="en-US" w:eastAsia="zh-CN" w:bidi="ar-SA"/>
                    </w:rPr>
                  </w:pPr>
                  <w:r>
                    <w:rPr>
                      <w:rFonts w:hint="default" w:ascii="Times New Roman" w:hAnsi="Times New Roman" w:eastAsia="仿宋_GB2312" w:cs="Times New Roman"/>
                      <w:color w:val="auto"/>
                      <w:kern w:val="0"/>
                      <w:sz w:val="21"/>
                      <w:szCs w:val="21"/>
                      <w:lang w:eastAsia="zh-CN"/>
                    </w:rPr>
                    <w:t>危废仓库</w:t>
                  </w:r>
                </w:p>
              </w:tc>
              <w:tc>
                <w:tcPr>
                  <w:tcW w:w="685" w:type="pct"/>
                  <w:tcBorders>
                    <w:tl2br w:val="nil"/>
                    <w:tr2bl w:val="nil"/>
                  </w:tcBorders>
                  <w:shd w:val="clear" w:color="auto" w:fill="auto"/>
                  <w:noWrap w:val="0"/>
                  <w:vAlign w:val="center"/>
                </w:tcPr>
                <w:p w14:paraId="7471DB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kern w:val="0"/>
                      <w:sz w:val="21"/>
                      <w:szCs w:val="21"/>
                      <w:lang w:val="en-US" w:eastAsia="zh-CN" w:bidi="ar-SA"/>
                    </w:rPr>
                  </w:pPr>
                  <w:r>
                    <w:rPr>
                      <w:rFonts w:hint="eastAsia" w:ascii="Times New Roman" w:hAnsi="Times New Roman" w:eastAsia="仿宋_GB2312" w:cs="Times New Roman"/>
                      <w:color w:val="auto"/>
                      <w:kern w:val="0"/>
                      <w:sz w:val="21"/>
                      <w:szCs w:val="21"/>
                      <w:lang w:val="en-US" w:eastAsia="zh-CN"/>
                    </w:rPr>
                    <w:t>9</w:t>
                  </w:r>
                  <w:r>
                    <w:rPr>
                      <w:rFonts w:hint="default" w:ascii="Times New Roman" w:hAnsi="Times New Roman" w:eastAsia="仿宋_GB2312" w:cs="Times New Roman"/>
                      <w:color w:val="auto"/>
                      <w:kern w:val="0"/>
                      <w:sz w:val="21"/>
                      <w:szCs w:val="21"/>
                      <w:lang w:val="en-US" w:eastAsia="zh-CN"/>
                    </w:rPr>
                    <w:t>0</w:t>
                  </w:r>
                  <w:r>
                    <w:rPr>
                      <w:rFonts w:hint="default" w:ascii="Times New Roman" w:hAnsi="Times New Roman" w:eastAsia="仿宋_GB2312" w:cs="Times New Roman"/>
                      <w:color w:val="auto"/>
                      <w:kern w:val="0"/>
                      <w:sz w:val="21"/>
                      <w:szCs w:val="21"/>
                    </w:rPr>
                    <w:t>m</w:t>
                  </w:r>
                  <w:r>
                    <w:rPr>
                      <w:rFonts w:hint="default" w:ascii="Times New Roman" w:hAnsi="Times New Roman" w:eastAsia="仿宋_GB2312" w:cs="Times New Roman"/>
                      <w:color w:val="auto"/>
                      <w:kern w:val="0"/>
                      <w:sz w:val="21"/>
                      <w:szCs w:val="21"/>
                      <w:vertAlign w:val="superscript"/>
                    </w:rPr>
                    <w:t>2</w:t>
                  </w:r>
                </w:p>
              </w:tc>
              <w:tc>
                <w:tcPr>
                  <w:tcW w:w="1054" w:type="pct"/>
                  <w:tcBorders>
                    <w:tl2br w:val="nil"/>
                    <w:tr2bl w:val="nil"/>
                  </w:tcBorders>
                  <w:noWrap w:val="0"/>
                  <w:vAlign w:val="center"/>
                </w:tcPr>
                <w:p w14:paraId="3E42E495">
                  <w:pPr>
                    <w:pStyle w:val="9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napToGrid w:val="0"/>
                      <w:color w:val="auto"/>
                      <w:spacing w:val="0"/>
                      <w:kern w:val="0"/>
                      <w:position w:val="0"/>
                      <w:sz w:val="21"/>
                      <w:szCs w:val="21"/>
                    </w:rPr>
                  </w:pPr>
                  <w:r>
                    <w:rPr>
                      <w:rFonts w:hint="eastAsia" w:ascii="Times New Roman" w:hAnsi="Times New Roman" w:eastAsia="仿宋_GB2312" w:cs="Times New Roman"/>
                      <w:snapToGrid w:val="0"/>
                      <w:color w:val="auto"/>
                      <w:spacing w:val="0"/>
                      <w:kern w:val="0"/>
                      <w:position w:val="0"/>
                      <w:sz w:val="21"/>
                      <w:szCs w:val="21"/>
                      <w:lang w:val="en-US" w:eastAsia="zh-CN"/>
                    </w:rPr>
                    <w:t>15</w:t>
                  </w:r>
                  <w:r>
                    <w:rPr>
                      <w:rFonts w:hint="default" w:ascii="Times New Roman" w:hAnsi="Times New Roman" w:eastAsia="仿宋_GB2312" w:cs="Times New Roman"/>
                      <w:snapToGrid w:val="0"/>
                      <w:color w:val="auto"/>
                      <w:spacing w:val="0"/>
                      <w:kern w:val="0"/>
                      <w:position w:val="0"/>
                      <w:sz w:val="21"/>
                      <w:szCs w:val="21"/>
                    </w:rPr>
                    <w:t>m</w:t>
                  </w:r>
                  <w:r>
                    <w:rPr>
                      <w:rFonts w:hint="default" w:ascii="Times New Roman" w:hAnsi="Times New Roman" w:eastAsia="仿宋_GB2312" w:cs="Times New Roman"/>
                      <w:snapToGrid w:val="0"/>
                      <w:color w:val="auto"/>
                      <w:spacing w:val="0"/>
                      <w:kern w:val="0"/>
                      <w:position w:val="0"/>
                      <w:sz w:val="21"/>
                      <w:szCs w:val="21"/>
                      <w:vertAlign w:val="superscript"/>
                    </w:rPr>
                    <w:t>2</w:t>
                  </w:r>
                  <w:r>
                    <w:rPr>
                      <w:rFonts w:hint="default" w:ascii="Times New Roman" w:hAnsi="Times New Roman" w:eastAsia="仿宋_GB2312" w:cs="Times New Roman"/>
                      <w:snapToGrid w:val="0"/>
                      <w:color w:val="auto"/>
                      <w:spacing w:val="0"/>
                      <w:kern w:val="0"/>
                      <w:position w:val="0"/>
                      <w:sz w:val="21"/>
                      <w:szCs w:val="21"/>
                    </w:rPr>
                    <w:t>（现有项目危废产生量</w:t>
                  </w:r>
                  <w:r>
                    <w:rPr>
                      <w:rFonts w:hint="eastAsia" w:ascii="Times New Roman" w:hAnsi="Times New Roman" w:eastAsia="仿宋_GB2312" w:cs="Times New Roman"/>
                      <w:snapToGrid w:val="0"/>
                      <w:color w:val="auto"/>
                      <w:spacing w:val="0"/>
                      <w:kern w:val="0"/>
                      <w:position w:val="0"/>
                      <w:sz w:val="21"/>
                      <w:szCs w:val="21"/>
                      <w:lang w:val="en-US" w:eastAsia="zh-CN"/>
                    </w:rPr>
                    <w:t>7.68t</w:t>
                  </w:r>
                  <w:r>
                    <w:rPr>
                      <w:rFonts w:hint="default" w:ascii="Times New Roman" w:hAnsi="Times New Roman" w:eastAsia="仿宋_GB2312" w:cs="Times New Roman"/>
                      <w:snapToGrid w:val="0"/>
                      <w:color w:val="auto"/>
                      <w:spacing w:val="0"/>
                      <w:kern w:val="0"/>
                      <w:position w:val="0"/>
                      <w:sz w:val="21"/>
                      <w:szCs w:val="21"/>
                    </w:rPr>
                    <w:t>/a，每</w:t>
                  </w:r>
                  <w:r>
                    <w:rPr>
                      <w:rFonts w:hint="default" w:ascii="Times New Roman" w:hAnsi="Times New Roman" w:eastAsia="仿宋_GB2312" w:cs="Times New Roman"/>
                      <w:snapToGrid w:val="0"/>
                      <w:color w:val="auto"/>
                      <w:spacing w:val="0"/>
                      <w:kern w:val="0"/>
                      <w:position w:val="0"/>
                      <w:sz w:val="21"/>
                      <w:szCs w:val="21"/>
                      <w:lang w:val="en-US" w:eastAsia="zh-CN"/>
                    </w:rPr>
                    <w:t>3</w:t>
                  </w:r>
                  <w:r>
                    <w:rPr>
                      <w:rFonts w:hint="default" w:ascii="Times New Roman" w:hAnsi="Times New Roman" w:eastAsia="仿宋_GB2312" w:cs="Times New Roman"/>
                      <w:snapToGrid w:val="0"/>
                      <w:color w:val="auto"/>
                      <w:spacing w:val="0"/>
                      <w:kern w:val="0"/>
                      <w:position w:val="0"/>
                      <w:sz w:val="21"/>
                      <w:szCs w:val="21"/>
                    </w:rPr>
                    <w:t>个月转运一次</w:t>
                  </w:r>
                  <w:r>
                    <w:rPr>
                      <w:rFonts w:hint="default" w:ascii="Times New Roman" w:hAnsi="Times New Roman" w:eastAsia="仿宋_GB2312" w:cs="Times New Roman"/>
                      <w:snapToGrid w:val="0"/>
                      <w:color w:val="auto"/>
                      <w:spacing w:val="0"/>
                      <w:kern w:val="0"/>
                      <w:position w:val="0"/>
                      <w:sz w:val="21"/>
                      <w:szCs w:val="21"/>
                      <w:lang w:eastAsia="zh-CN"/>
                    </w:rPr>
                    <w:t>、</w:t>
                  </w:r>
                  <w:r>
                    <w:rPr>
                      <w:rFonts w:hint="default" w:ascii="Times New Roman" w:hAnsi="Times New Roman" w:eastAsia="仿宋_GB2312" w:cs="Times New Roman"/>
                      <w:snapToGrid w:val="0"/>
                      <w:color w:val="auto"/>
                      <w:spacing w:val="0"/>
                      <w:kern w:val="0"/>
                      <w:position w:val="0"/>
                      <w:sz w:val="21"/>
                      <w:szCs w:val="21"/>
                      <w:lang w:val="en-US" w:eastAsia="zh-CN"/>
                    </w:rPr>
                    <w:t>每次最大暂存</w:t>
                  </w:r>
                  <w:r>
                    <w:rPr>
                      <w:rFonts w:hint="eastAsia" w:ascii="Times New Roman" w:hAnsi="Times New Roman" w:eastAsia="仿宋_GB2312" w:cs="Times New Roman"/>
                      <w:snapToGrid w:val="0"/>
                      <w:color w:val="auto"/>
                      <w:spacing w:val="0"/>
                      <w:kern w:val="0"/>
                      <w:position w:val="0"/>
                      <w:sz w:val="21"/>
                      <w:szCs w:val="21"/>
                      <w:lang w:val="en-US" w:eastAsia="zh-CN"/>
                    </w:rPr>
                    <w:t>1.92</w:t>
                  </w:r>
                  <w:r>
                    <w:rPr>
                      <w:rFonts w:hint="default" w:ascii="Times New Roman" w:hAnsi="Times New Roman" w:eastAsia="仿宋_GB2312" w:cs="Times New Roman"/>
                      <w:snapToGrid w:val="0"/>
                      <w:color w:val="auto"/>
                      <w:spacing w:val="0"/>
                      <w:kern w:val="0"/>
                      <w:position w:val="0"/>
                      <w:sz w:val="21"/>
                      <w:szCs w:val="21"/>
                      <w:lang w:val="en-US" w:eastAsia="zh-CN"/>
                    </w:rPr>
                    <w:t>t/a</w:t>
                  </w:r>
                  <w:r>
                    <w:rPr>
                      <w:rFonts w:hint="default" w:ascii="Times New Roman" w:hAnsi="Times New Roman" w:eastAsia="仿宋_GB2312" w:cs="Times New Roman"/>
                      <w:snapToGrid w:val="0"/>
                      <w:color w:val="auto"/>
                      <w:spacing w:val="0"/>
                      <w:kern w:val="0"/>
                      <w:position w:val="0"/>
                      <w:sz w:val="21"/>
                      <w:szCs w:val="21"/>
                    </w:rPr>
                    <w:t>）</w:t>
                  </w:r>
                </w:p>
              </w:tc>
              <w:tc>
                <w:tcPr>
                  <w:tcW w:w="1012" w:type="pct"/>
                  <w:tcBorders>
                    <w:tl2br w:val="nil"/>
                    <w:tr2bl w:val="nil"/>
                  </w:tcBorders>
                  <w:noWrap w:val="0"/>
                  <w:vAlign w:val="center"/>
                </w:tcPr>
                <w:p w14:paraId="3E99F7F3">
                  <w:pPr>
                    <w:pStyle w:val="9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napToGrid w:val="0"/>
                      <w:color w:val="auto"/>
                      <w:spacing w:val="0"/>
                      <w:kern w:val="0"/>
                      <w:position w:val="0"/>
                      <w:sz w:val="21"/>
                      <w:szCs w:val="21"/>
                    </w:rPr>
                  </w:pPr>
                  <w:r>
                    <w:rPr>
                      <w:rFonts w:hint="eastAsia" w:ascii="Times New Roman" w:hAnsi="Times New Roman" w:eastAsia="仿宋_GB2312" w:cs="Times New Roman"/>
                      <w:snapToGrid w:val="0"/>
                      <w:color w:val="auto"/>
                      <w:spacing w:val="0"/>
                      <w:kern w:val="0"/>
                      <w:position w:val="0"/>
                      <w:sz w:val="21"/>
                      <w:szCs w:val="21"/>
                      <w:lang w:val="en-US" w:eastAsia="zh-CN"/>
                    </w:rPr>
                    <w:t>14</w:t>
                  </w:r>
                  <w:r>
                    <w:rPr>
                      <w:rFonts w:hint="default" w:ascii="Times New Roman" w:hAnsi="Times New Roman" w:eastAsia="仿宋_GB2312" w:cs="Times New Roman"/>
                      <w:snapToGrid w:val="0"/>
                      <w:color w:val="auto"/>
                      <w:spacing w:val="0"/>
                      <w:kern w:val="0"/>
                      <w:position w:val="0"/>
                      <w:sz w:val="21"/>
                      <w:szCs w:val="21"/>
                    </w:rPr>
                    <w:t>m</w:t>
                  </w:r>
                  <w:r>
                    <w:rPr>
                      <w:rFonts w:hint="default" w:ascii="Times New Roman" w:hAnsi="Times New Roman" w:eastAsia="仿宋_GB2312" w:cs="Times New Roman"/>
                      <w:snapToGrid w:val="0"/>
                      <w:color w:val="auto"/>
                      <w:spacing w:val="0"/>
                      <w:kern w:val="0"/>
                      <w:position w:val="0"/>
                      <w:sz w:val="21"/>
                      <w:szCs w:val="21"/>
                      <w:vertAlign w:val="superscript"/>
                    </w:rPr>
                    <w:t>2</w:t>
                  </w:r>
                  <w:r>
                    <w:rPr>
                      <w:rFonts w:hint="default" w:ascii="Times New Roman" w:hAnsi="Times New Roman" w:eastAsia="仿宋_GB2312" w:cs="Times New Roman"/>
                      <w:snapToGrid w:val="0"/>
                      <w:color w:val="auto"/>
                      <w:spacing w:val="0"/>
                      <w:kern w:val="0"/>
                      <w:position w:val="0"/>
                      <w:sz w:val="21"/>
                      <w:szCs w:val="21"/>
                    </w:rPr>
                    <w:t>（危废产生量</w:t>
                  </w:r>
                  <w:r>
                    <w:rPr>
                      <w:rFonts w:hint="eastAsia" w:ascii="Times New Roman" w:hAnsi="Times New Roman" w:eastAsia="仿宋_GB2312" w:cs="Times New Roman"/>
                      <w:snapToGrid w:val="0"/>
                      <w:color w:val="auto"/>
                      <w:spacing w:val="0"/>
                      <w:kern w:val="0"/>
                      <w:position w:val="0"/>
                      <w:sz w:val="21"/>
                      <w:szCs w:val="21"/>
                      <w:lang w:val="en-US" w:eastAsia="zh-CN"/>
                    </w:rPr>
                    <w:t>7.01</w:t>
                  </w:r>
                  <w:r>
                    <w:rPr>
                      <w:rFonts w:hint="default" w:ascii="Times New Roman" w:hAnsi="Times New Roman" w:eastAsia="仿宋_GB2312" w:cs="Times New Roman"/>
                      <w:snapToGrid w:val="0"/>
                      <w:color w:val="auto"/>
                      <w:spacing w:val="0"/>
                      <w:kern w:val="0"/>
                      <w:position w:val="0"/>
                      <w:sz w:val="21"/>
                      <w:szCs w:val="21"/>
                    </w:rPr>
                    <w:t>t/a，每</w:t>
                  </w:r>
                  <w:r>
                    <w:rPr>
                      <w:rFonts w:hint="default" w:ascii="Times New Roman" w:hAnsi="Times New Roman" w:eastAsia="仿宋_GB2312" w:cs="Times New Roman"/>
                      <w:snapToGrid w:val="0"/>
                      <w:color w:val="auto"/>
                      <w:spacing w:val="0"/>
                      <w:kern w:val="0"/>
                      <w:position w:val="0"/>
                      <w:sz w:val="21"/>
                      <w:szCs w:val="21"/>
                      <w:lang w:val="en-US" w:eastAsia="zh-CN"/>
                    </w:rPr>
                    <w:t>3</w:t>
                  </w:r>
                  <w:r>
                    <w:rPr>
                      <w:rFonts w:hint="default" w:ascii="Times New Roman" w:hAnsi="Times New Roman" w:eastAsia="仿宋_GB2312" w:cs="Times New Roman"/>
                      <w:snapToGrid w:val="0"/>
                      <w:color w:val="auto"/>
                      <w:spacing w:val="0"/>
                      <w:kern w:val="0"/>
                      <w:position w:val="0"/>
                      <w:sz w:val="21"/>
                      <w:szCs w:val="21"/>
                    </w:rPr>
                    <w:t>个月转运一次</w:t>
                  </w:r>
                  <w:r>
                    <w:rPr>
                      <w:rFonts w:hint="default" w:ascii="Times New Roman" w:hAnsi="Times New Roman" w:eastAsia="仿宋_GB2312" w:cs="Times New Roman"/>
                      <w:snapToGrid w:val="0"/>
                      <w:color w:val="auto"/>
                      <w:spacing w:val="0"/>
                      <w:kern w:val="0"/>
                      <w:position w:val="0"/>
                      <w:sz w:val="21"/>
                      <w:szCs w:val="21"/>
                      <w:lang w:eastAsia="zh-CN"/>
                    </w:rPr>
                    <w:t>、</w:t>
                  </w:r>
                  <w:r>
                    <w:rPr>
                      <w:rFonts w:hint="default" w:ascii="Times New Roman" w:hAnsi="Times New Roman" w:eastAsia="仿宋_GB2312" w:cs="Times New Roman"/>
                      <w:snapToGrid w:val="0"/>
                      <w:color w:val="auto"/>
                      <w:spacing w:val="0"/>
                      <w:kern w:val="0"/>
                      <w:position w:val="0"/>
                      <w:sz w:val="21"/>
                      <w:szCs w:val="21"/>
                      <w:lang w:val="en-US" w:eastAsia="zh-CN"/>
                    </w:rPr>
                    <w:t>每次最大暂存1.</w:t>
                  </w:r>
                  <w:r>
                    <w:rPr>
                      <w:rFonts w:hint="eastAsia" w:ascii="Times New Roman" w:hAnsi="Times New Roman" w:eastAsia="仿宋_GB2312" w:cs="Times New Roman"/>
                      <w:snapToGrid w:val="0"/>
                      <w:color w:val="auto"/>
                      <w:spacing w:val="0"/>
                      <w:kern w:val="0"/>
                      <w:position w:val="0"/>
                      <w:sz w:val="21"/>
                      <w:szCs w:val="21"/>
                      <w:lang w:val="en-US" w:eastAsia="zh-CN"/>
                    </w:rPr>
                    <w:t>7525</w:t>
                  </w:r>
                  <w:r>
                    <w:rPr>
                      <w:rFonts w:hint="default" w:ascii="Times New Roman" w:hAnsi="Times New Roman" w:eastAsia="仿宋_GB2312" w:cs="Times New Roman"/>
                      <w:snapToGrid w:val="0"/>
                      <w:color w:val="auto"/>
                      <w:spacing w:val="0"/>
                      <w:kern w:val="0"/>
                      <w:position w:val="0"/>
                      <w:sz w:val="21"/>
                      <w:szCs w:val="21"/>
                      <w:lang w:val="en-US" w:eastAsia="zh-CN"/>
                    </w:rPr>
                    <w:t>t/a</w:t>
                  </w:r>
                  <w:r>
                    <w:rPr>
                      <w:rFonts w:hint="default" w:ascii="Times New Roman" w:hAnsi="Times New Roman" w:eastAsia="仿宋_GB2312" w:cs="Times New Roman"/>
                      <w:snapToGrid w:val="0"/>
                      <w:color w:val="auto"/>
                      <w:spacing w:val="0"/>
                      <w:kern w:val="0"/>
                      <w:position w:val="0"/>
                      <w:sz w:val="21"/>
                      <w:szCs w:val="21"/>
                    </w:rPr>
                    <w:t>）</w:t>
                  </w:r>
                </w:p>
              </w:tc>
              <w:tc>
                <w:tcPr>
                  <w:tcW w:w="966" w:type="pct"/>
                  <w:tcBorders>
                    <w:tl2br w:val="nil"/>
                    <w:tr2bl w:val="nil"/>
                  </w:tcBorders>
                  <w:noWrap w:val="0"/>
                  <w:vAlign w:val="center"/>
                </w:tcPr>
                <w:p w14:paraId="2DF06A1C">
                  <w:pPr>
                    <w:pStyle w:val="9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napToGrid w:val="0"/>
                      <w:color w:val="auto"/>
                      <w:spacing w:val="0"/>
                      <w:kern w:val="0"/>
                      <w:position w:val="0"/>
                      <w:sz w:val="21"/>
                      <w:szCs w:val="21"/>
                    </w:rPr>
                  </w:pPr>
                  <w:r>
                    <w:rPr>
                      <w:rFonts w:hint="eastAsia" w:ascii="Times New Roman" w:hAnsi="Times New Roman" w:eastAsia="仿宋_GB2312" w:cs="Times New Roman"/>
                      <w:snapToGrid w:val="0"/>
                      <w:color w:val="auto"/>
                      <w:spacing w:val="0"/>
                      <w:kern w:val="0"/>
                      <w:position w:val="0"/>
                      <w:sz w:val="21"/>
                      <w:szCs w:val="21"/>
                      <w:lang w:val="en-US" w:eastAsia="zh-CN"/>
                    </w:rPr>
                    <w:t>29</w:t>
                  </w:r>
                  <w:r>
                    <w:rPr>
                      <w:rFonts w:hint="default" w:ascii="Times New Roman" w:hAnsi="Times New Roman" w:eastAsia="仿宋_GB2312" w:cs="Times New Roman"/>
                      <w:snapToGrid w:val="0"/>
                      <w:color w:val="auto"/>
                      <w:spacing w:val="0"/>
                      <w:kern w:val="0"/>
                      <w:position w:val="0"/>
                      <w:sz w:val="21"/>
                      <w:szCs w:val="21"/>
                    </w:rPr>
                    <w:t>m</w:t>
                  </w:r>
                  <w:r>
                    <w:rPr>
                      <w:rFonts w:hint="default" w:ascii="Times New Roman" w:hAnsi="Times New Roman" w:eastAsia="仿宋_GB2312" w:cs="Times New Roman"/>
                      <w:snapToGrid w:val="0"/>
                      <w:color w:val="auto"/>
                      <w:spacing w:val="0"/>
                      <w:kern w:val="0"/>
                      <w:position w:val="0"/>
                      <w:sz w:val="21"/>
                      <w:szCs w:val="21"/>
                      <w:vertAlign w:val="superscript"/>
                    </w:rPr>
                    <w:t>2</w:t>
                  </w:r>
                  <w:r>
                    <w:rPr>
                      <w:rFonts w:hint="default" w:ascii="Times New Roman" w:hAnsi="Times New Roman" w:eastAsia="仿宋_GB2312" w:cs="Times New Roman"/>
                      <w:snapToGrid w:val="0"/>
                      <w:color w:val="auto"/>
                      <w:spacing w:val="0"/>
                      <w:kern w:val="0"/>
                      <w:position w:val="0"/>
                      <w:sz w:val="21"/>
                      <w:szCs w:val="21"/>
                    </w:rPr>
                    <w:t>（全厂危废产生量</w:t>
                  </w:r>
                  <w:r>
                    <w:rPr>
                      <w:rFonts w:hint="eastAsia" w:ascii="Times New Roman" w:hAnsi="Times New Roman" w:eastAsia="仿宋_GB2312" w:cs="Times New Roman"/>
                      <w:bCs/>
                      <w:snapToGrid w:val="0"/>
                      <w:color w:val="auto"/>
                      <w:kern w:val="0"/>
                      <w:sz w:val="21"/>
                      <w:szCs w:val="21"/>
                      <w:lang w:val="en-US" w:eastAsia="zh-CN"/>
                    </w:rPr>
                    <w:t>14.69</w:t>
                  </w:r>
                  <w:r>
                    <w:rPr>
                      <w:rFonts w:hint="default" w:ascii="Times New Roman" w:hAnsi="Times New Roman" w:eastAsia="仿宋_GB2312" w:cs="Times New Roman"/>
                      <w:bCs/>
                      <w:snapToGrid w:val="0"/>
                      <w:color w:val="auto"/>
                      <w:kern w:val="0"/>
                      <w:sz w:val="21"/>
                      <w:szCs w:val="21"/>
                      <w:lang w:val="en-US" w:eastAsia="zh-CN"/>
                    </w:rPr>
                    <w:t>t</w:t>
                  </w:r>
                  <w:r>
                    <w:rPr>
                      <w:rFonts w:hint="default" w:ascii="Times New Roman" w:hAnsi="Times New Roman" w:eastAsia="仿宋_GB2312" w:cs="Times New Roman"/>
                      <w:snapToGrid w:val="0"/>
                      <w:color w:val="auto"/>
                      <w:spacing w:val="0"/>
                      <w:kern w:val="0"/>
                      <w:position w:val="0"/>
                      <w:sz w:val="21"/>
                      <w:szCs w:val="21"/>
                    </w:rPr>
                    <w:t>/a ，每</w:t>
                  </w:r>
                  <w:r>
                    <w:rPr>
                      <w:rFonts w:hint="default" w:ascii="Times New Roman" w:hAnsi="Times New Roman" w:eastAsia="仿宋_GB2312" w:cs="Times New Roman"/>
                      <w:snapToGrid w:val="0"/>
                      <w:color w:val="auto"/>
                      <w:spacing w:val="0"/>
                      <w:kern w:val="0"/>
                      <w:position w:val="0"/>
                      <w:sz w:val="21"/>
                      <w:szCs w:val="21"/>
                      <w:lang w:val="en-US" w:eastAsia="zh-CN"/>
                    </w:rPr>
                    <w:t>3</w:t>
                  </w:r>
                  <w:r>
                    <w:rPr>
                      <w:rFonts w:hint="default" w:ascii="Times New Roman" w:hAnsi="Times New Roman" w:eastAsia="仿宋_GB2312" w:cs="Times New Roman"/>
                      <w:snapToGrid w:val="0"/>
                      <w:color w:val="auto"/>
                      <w:spacing w:val="0"/>
                      <w:kern w:val="0"/>
                      <w:position w:val="0"/>
                      <w:sz w:val="21"/>
                      <w:szCs w:val="21"/>
                    </w:rPr>
                    <w:t>个月转运一次</w:t>
                  </w:r>
                  <w:r>
                    <w:rPr>
                      <w:rFonts w:hint="default" w:ascii="Times New Roman" w:hAnsi="Times New Roman" w:eastAsia="仿宋_GB2312" w:cs="Times New Roman"/>
                      <w:snapToGrid w:val="0"/>
                      <w:color w:val="auto"/>
                      <w:spacing w:val="0"/>
                      <w:kern w:val="0"/>
                      <w:position w:val="0"/>
                      <w:sz w:val="21"/>
                      <w:szCs w:val="21"/>
                      <w:lang w:eastAsia="zh-CN"/>
                    </w:rPr>
                    <w:t>、</w:t>
                  </w:r>
                  <w:r>
                    <w:rPr>
                      <w:rFonts w:hint="default" w:ascii="Times New Roman" w:hAnsi="Times New Roman" w:eastAsia="仿宋_GB2312" w:cs="Times New Roman"/>
                      <w:snapToGrid w:val="0"/>
                      <w:color w:val="auto"/>
                      <w:spacing w:val="0"/>
                      <w:kern w:val="0"/>
                      <w:position w:val="0"/>
                      <w:sz w:val="21"/>
                      <w:szCs w:val="21"/>
                      <w:lang w:val="en-US" w:eastAsia="zh-CN"/>
                    </w:rPr>
                    <w:t>每次最大暂存</w:t>
                  </w:r>
                  <w:r>
                    <w:rPr>
                      <w:rFonts w:hint="eastAsia" w:ascii="Times New Roman" w:hAnsi="Times New Roman" w:eastAsia="仿宋_GB2312" w:cs="Times New Roman"/>
                      <w:snapToGrid w:val="0"/>
                      <w:color w:val="auto"/>
                      <w:spacing w:val="0"/>
                      <w:kern w:val="0"/>
                      <w:position w:val="0"/>
                      <w:sz w:val="21"/>
                      <w:szCs w:val="21"/>
                      <w:lang w:val="en-US" w:eastAsia="zh-CN"/>
                    </w:rPr>
                    <w:t>3.6725</w:t>
                  </w:r>
                  <w:r>
                    <w:rPr>
                      <w:rFonts w:hint="default" w:ascii="Times New Roman" w:hAnsi="Times New Roman" w:eastAsia="仿宋_GB2312" w:cs="Times New Roman"/>
                      <w:snapToGrid w:val="0"/>
                      <w:color w:val="auto"/>
                      <w:spacing w:val="0"/>
                      <w:kern w:val="0"/>
                      <w:position w:val="0"/>
                      <w:sz w:val="21"/>
                      <w:szCs w:val="21"/>
                      <w:lang w:val="en-US" w:eastAsia="zh-CN"/>
                    </w:rPr>
                    <w:t xml:space="preserve"> t/a</w:t>
                  </w:r>
                  <w:r>
                    <w:rPr>
                      <w:rFonts w:hint="default" w:ascii="Times New Roman" w:hAnsi="Times New Roman" w:eastAsia="仿宋_GB2312" w:cs="Times New Roman"/>
                      <w:snapToGrid w:val="0"/>
                      <w:color w:val="auto"/>
                      <w:spacing w:val="0"/>
                      <w:kern w:val="0"/>
                      <w:position w:val="0"/>
                      <w:sz w:val="21"/>
                      <w:szCs w:val="21"/>
                    </w:rPr>
                    <w:t>）</w:t>
                  </w:r>
                </w:p>
              </w:tc>
              <w:tc>
                <w:tcPr>
                  <w:tcW w:w="790" w:type="pct"/>
                  <w:tcBorders>
                    <w:tl2br w:val="nil"/>
                    <w:tr2bl w:val="nil"/>
                  </w:tcBorders>
                  <w:noWrap w:val="0"/>
                  <w:vAlign w:val="center"/>
                </w:tcPr>
                <w:p w14:paraId="75BC9AD7">
                  <w:pPr>
                    <w:pStyle w:val="9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napToGrid w:val="0"/>
                      <w:color w:val="auto"/>
                      <w:spacing w:val="0"/>
                      <w:kern w:val="0"/>
                      <w:position w:val="0"/>
                      <w:sz w:val="21"/>
                      <w:szCs w:val="21"/>
                    </w:rPr>
                  </w:pPr>
                  <w:r>
                    <w:rPr>
                      <w:rFonts w:hint="default" w:ascii="Times New Roman" w:hAnsi="Times New Roman" w:eastAsia="仿宋_GB2312" w:cs="Times New Roman"/>
                      <w:snapToGrid w:val="0"/>
                      <w:color w:val="auto"/>
                      <w:spacing w:val="0"/>
                      <w:kern w:val="0"/>
                      <w:position w:val="0"/>
                      <w:sz w:val="21"/>
                      <w:szCs w:val="21"/>
                      <w:lang w:val="en-US" w:eastAsia="zh-CN"/>
                    </w:rPr>
                    <w:t>有足够的面积暂存危废，</w:t>
                  </w:r>
                  <w:r>
                    <w:rPr>
                      <w:rFonts w:hint="default" w:ascii="Times New Roman" w:hAnsi="Times New Roman" w:eastAsia="仿宋_GB2312" w:cs="Times New Roman"/>
                      <w:snapToGrid w:val="0"/>
                      <w:color w:val="auto"/>
                      <w:spacing w:val="0"/>
                      <w:kern w:val="0"/>
                      <w:position w:val="0"/>
                      <w:sz w:val="21"/>
                      <w:szCs w:val="21"/>
                    </w:rPr>
                    <w:t>依托可行</w:t>
                  </w:r>
                </w:p>
              </w:tc>
            </w:tr>
            <w:tr w14:paraId="7FDF2D7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90" w:type="pct"/>
                  <w:tcBorders>
                    <w:tl2br w:val="nil"/>
                    <w:tr2bl w:val="nil"/>
                  </w:tcBorders>
                  <w:noWrap w:val="0"/>
                  <w:vAlign w:val="center"/>
                </w:tcPr>
                <w:p w14:paraId="42BEDA45">
                  <w:pPr>
                    <w:pStyle w:val="9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napToGrid w:val="0"/>
                      <w:color w:val="auto"/>
                      <w:spacing w:val="0"/>
                      <w:kern w:val="0"/>
                      <w:position w:val="0"/>
                      <w:sz w:val="21"/>
                      <w:szCs w:val="21"/>
                      <w:lang w:val="en-US" w:eastAsia="zh-CN"/>
                    </w:rPr>
                  </w:pPr>
                  <w:r>
                    <w:rPr>
                      <w:rFonts w:hint="default" w:ascii="Times New Roman" w:hAnsi="Times New Roman" w:eastAsia="仿宋_GB2312" w:cs="Times New Roman"/>
                      <w:snapToGrid w:val="0"/>
                      <w:color w:val="auto"/>
                      <w:spacing w:val="0"/>
                      <w:kern w:val="0"/>
                      <w:position w:val="0"/>
                      <w:sz w:val="21"/>
                      <w:szCs w:val="21"/>
                      <w:lang w:val="en-US" w:eastAsia="zh-CN"/>
                    </w:rPr>
                    <w:t>雨水排口</w:t>
                  </w:r>
                </w:p>
              </w:tc>
              <w:tc>
                <w:tcPr>
                  <w:tcW w:w="685" w:type="pct"/>
                  <w:tcBorders>
                    <w:tl2br w:val="nil"/>
                    <w:tr2bl w:val="nil"/>
                  </w:tcBorders>
                  <w:noWrap w:val="0"/>
                  <w:vAlign w:val="center"/>
                </w:tcPr>
                <w:p w14:paraId="64155F6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napToGrid w:val="0"/>
                      <w:color w:val="auto"/>
                      <w:spacing w:val="0"/>
                      <w:kern w:val="0"/>
                      <w:position w:val="0"/>
                      <w:sz w:val="21"/>
                      <w:szCs w:val="21"/>
                      <w:lang w:val="en-US" w:eastAsia="zh-CN"/>
                    </w:rPr>
                  </w:pPr>
                  <w:r>
                    <w:rPr>
                      <w:rFonts w:hint="default" w:ascii="Times New Roman" w:hAnsi="Times New Roman" w:eastAsia="仿宋_GB2312" w:cs="Times New Roman"/>
                      <w:snapToGrid w:val="0"/>
                      <w:color w:val="auto"/>
                      <w:spacing w:val="0"/>
                      <w:kern w:val="0"/>
                      <w:position w:val="0"/>
                      <w:sz w:val="21"/>
                      <w:szCs w:val="21"/>
                      <w:lang w:val="en-US" w:eastAsia="zh-CN"/>
                    </w:rPr>
                    <w:t>一个雨水排口</w:t>
                  </w:r>
                </w:p>
              </w:tc>
              <w:tc>
                <w:tcPr>
                  <w:tcW w:w="1054" w:type="pct"/>
                  <w:tcBorders>
                    <w:tl2br w:val="nil"/>
                    <w:tr2bl w:val="nil"/>
                  </w:tcBorders>
                  <w:noWrap w:val="0"/>
                  <w:vAlign w:val="center"/>
                </w:tcPr>
                <w:p w14:paraId="6336BB3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仿宋_GB2312" w:cs="Times New Roman"/>
                      <w:snapToGrid w:val="0"/>
                      <w:color w:val="auto"/>
                      <w:spacing w:val="0"/>
                      <w:kern w:val="0"/>
                      <w:position w:val="0"/>
                      <w:sz w:val="21"/>
                      <w:szCs w:val="21"/>
                      <w:lang w:val="en-US" w:eastAsia="zh-CN" w:bidi="ar-SA"/>
                    </w:rPr>
                  </w:pPr>
                  <w:r>
                    <w:rPr>
                      <w:rFonts w:hint="default" w:ascii="Times New Roman" w:hAnsi="Times New Roman" w:eastAsia="仿宋_GB2312" w:cs="Times New Roman"/>
                      <w:snapToGrid w:val="0"/>
                      <w:color w:val="auto"/>
                      <w:spacing w:val="0"/>
                      <w:kern w:val="0"/>
                      <w:position w:val="0"/>
                      <w:sz w:val="21"/>
                      <w:szCs w:val="21"/>
                      <w:lang w:val="en-US" w:eastAsia="zh-CN"/>
                    </w:rPr>
                    <w:t>一个雨水排口</w:t>
                  </w:r>
                </w:p>
              </w:tc>
              <w:tc>
                <w:tcPr>
                  <w:tcW w:w="1012" w:type="pct"/>
                  <w:tcBorders>
                    <w:tl2br w:val="nil"/>
                    <w:tr2bl w:val="nil"/>
                  </w:tcBorders>
                  <w:noWrap w:val="0"/>
                  <w:vAlign w:val="center"/>
                </w:tcPr>
                <w:p w14:paraId="1A646B4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napToGrid w:val="0"/>
                      <w:color w:val="auto"/>
                      <w:spacing w:val="0"/>
                      <w:kern w:val="0"/>
                      <w:position w:val="0"/>
                      <w:sz w:val="21"/>
                      <w:szCs w:val="21"/>
                      <w:lang w:val="en-US" w:eastAsia="zh-CN"/>
                    </w:rPr>
                  </w:pPr>
                  <w:r>
                    <w:rPr>
                      <w:rFonts w:hint="default" w:ascii="Times New Roman" w:hAnsi="Times New Roman" w:eastAsia="仿宋_GB2312" w:cs="Times New Roman"/>
                      <w:snapToGrid w:val="0"/>
                      <w:color w:val="auto"/>
                      <w:spacing w:val="0"/>
                      <w:kern w:val="0"/>
                      <w:position w:val="0"/>
                      <w:sz w:val="21"/>
                      <w:szCs w:val="21"/>
                      <w:lang w:val="en-US" w:eastAsia="zh-CN"/>
                    </w:rPr>
                    <w:t>依托现有，本项目所在生产厂房设有雨水管网，可收集雨水</w:t>
                  </w:r>
                </w:p>
              </w:tc>
              <w:tc>
                <w:tcPr>
                  <w:tcW w:w="966" w:type="pct"/>
                  <w:tcBorders>
                    <w:tl2br w:val="nil"/>
                    <w:tr2bl w:val="nil"/>
                  </w:tcBorders>
                  <w:noWrap w:val="0"/>
                  <w:vAlign w:val="center"/>
                </w:tcPr>
                <w:p w14:paraId="1A26325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仿宋_GB2312" w:cs="Times New Roman"/>
                      <w:snapToGrid w:val="0"/>
                      <w:color w:val="auto"/>
                      <w:spacing w:val="0"/>
                      <w:kern w:val="0"/>
                      <w:position w:val="0"/>
                      <w:sz w:val="21"/>
                      <w:szCs w:val="21"/>
                      <w:lang w:val="en-US" w:eastAsia="zh-CN" w:bidi="ar-SA"/>
                    </w:rPr>
                  </w:pPr>
                  <w:r>
                    <w:rPr>
                      <w:rFonts w:hint="default" w:ascii="Times New Roman" w:hAnsi="Times New Roman" w:eastAsia="仿宋_GB2312" w:cs="Times New Roman"/>
                      <w:snapToGrid w:val="0"/>
                      <w:color w:val="auto"/>
                      <w:spacing w:val="0"/>
                      <w:kern w:val="0"/>
                      <w:position w:val="0"/>
                      <w:sz w:val="21"/>
                      <w:szCs w:val="21"/>
                      <w:lang w:val="en-US" w:eastAsia="zh-CN"/>
                    </w:rPr>
                    <w:t>一个雨水排口</w:t>
                  </w:r>
                </w:p>
              </w:tc>
              <w:tc>
                <w:tcPr>
                  <w:tcW w:w="790" w:type="pct"/>
                  <w:vMerge w:val="restart"/>
                  <w:tcBorders>
                    <w:tl2br w:val="nil"/>
                    <w:tr2bl w:val="nil"/>
                  </w:tcBorders>
                  <w:noWrap w:val="0"/>
                  <w:vAlign w:val="center"/>
                </w:tcPr>
                <w:p w14:paraId="192A70A2">
                  <w:pPr>
                    <w:pStyle w:val="9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napToGrid w:val="0"/>
                      <w:color w:val="auto"/>
                      <w:spacing w:val="0"/>
                      <w:kern w:val="0"/>
                      <w:position w:val="0"/>
                      <w:sz w:val="21"/>
                      <w:szCs w:val="21"/>
                    </w:rPr>
                  </w:pPr>
                  <w:r>
                    <w:rPr>
                      <w:rFonts w:hint="default" w:ascii="Times New Roman" w:hAnsi="Times New Roman" w:eastAsia="仿宋_GB2312" w:cs="Times New Roman"/>
                      <w:snapToGrid w:val="0"/>
                      <w:color w:val="auto"/>
                      <w:spacing w:val="0"/>
                      <w:kern w:val="0"/>
                      <w:position w:val="0"/>
                      <w:sz w:val="21"/>
                      <w:szCs w:val="21"/>
                    </w:rPr>
                    <w:t>依托可行</w:t>
                  </w:r>
                </w:p>
              </w:tc>
            </w:tr>
            <w:tr w14:paraId="3CCC289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90" w:type="pct"/>
                  <w:tcBorders>
                    <w:tl2br w:val="nil"/>
                    <w:tr2bl w:val="nil"/>
                  </w:tcBorders>
                  <w:noWrap w:val="0"/>
                  <w:vAlign w:val="center"/>
                </w:tcPr>
                <w:p w14:paraId="498FB388">
                  <w:pPr>
                    <w:pStyle w:val="9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napToGrid w:val="0"/>
                      <w:color w:val="auto"/>
                      <w:spacing w:val="0"/>
                      <w:kern w:val="0"/>
                      <w:position w:val="0"/>
                      <w:sz w:val="21"/>
                      <w:szCs w:val="21"/>
                      <w:lang w:val="en-US" w:eastAsia="zh-CN"/>
                    </w:rPr>
                  </w:pPr>
                  <w:r>
                    <w:rPr>
                      <w:rFonts w:hint="default" w:ascii="Times New Roman" w:hAnsi="Times New Roman" w:eastAsia="仿宋_GB2312" w:cs="Times New Roman"/>
                      <w:snapToGrid w:val="0"/>
                      <w:color w:val="auto"/>
                      <w:spacing w:val="0"/>
                      <w:kern w:val="0"/>
                      <w:position w:val="0"/>
                      <w:sz w:val="21"/>
                      <w:szCs w:val="21"/>
                      <w:lang w:val="en-US" w:eastAsia="zh-CN"/>
                    </w:rPr>
                    <w:t>污水排口</w:t>
                  </w:r>
                </w:p>
              </w:tc>
              <w:tc>
                <w:tcPr>
                  <w:tcW w:w="685" w:type="pct"/>
                  <w:tcBorders>
                    <w:tl2br w:val="nil"/>
                    <w:tr2bl w:val="nil"/>
                  </w:tcBorders>
                  <w:noWrap w:val="0"/>
                  <w:vAlign w:val="center"/>
                </w:tcPr>
                <w:p w14:paraId="701D073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napToGrid w:val="0"/>
                      <w:color w:val="auto"/>
                      <w:spacing w:val="0"/>
                      <w:kern w:val="0"/>
                      <w:position w:val="0"/>
                      <w:sz w:val="21"/>
                      <w:szCs w:val="21"/>
                    </w:rPr>
                  </w:pPr>
                  <w:r>
                    <w:rPr>
                      <w:rFonts w:hint="default" w:ascii="Times New Roman" w:hAnsi="Times New Roman" w:eastAsia="仿宋_GB2312" w:cs="Times New Roman"/>
                      <w:snapToGrid w:val="0"/>
                      <w:color w:val="auto"/>
                      <w:spacing w:val="0"/>
                      <w:kern w:val="0"/>
                      <w:position w:val="0"/>
                      <w:sz w:val="21"/>
                      <w:szCs w:val="21"/>
                      <w:lang w:val="en-US" w:eastAsia="zh-CN"/>
                    </w:rPr>
                    <w:t>一个污水排口</w:t>
                  </w:r>
                </w:p>
              </w:tc>
              <w:tc>
                <w:tcPr>
                  <w:tcW w:w="1054" w:type="pct"/>
                  <w:tcBorders>
                    <w:tl2br w:val="nil"/>
                    <w:tr2bl w:val="nil"/>
                  </w:tcBorders>
                  <w:noWrap w:val="0"/>
                  <w:vAlign w:val="center"/>
                </w:tcPr>
                <w:p w14:paraId="2130A34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仿宋_GB2312" w:cs="Times New Roman"/>
                      <w:snapToGrid w:val="0"/>
                      <w:color w:val="auto"/>
                      <w:spacing w:val="0"/>
                      <w:kern w:val="0"/>
                      <w:position w:val="0"/>
                      <w:sz w:val="21"/>
                      <w:szCs w:val="21"/>
                      <w:lang w:val="en-US" w:eastAsia="zh-CN" w:bidi="ar-SA"/>
                    </w:rPr>
                  </w:pPr>
                  <w:r>
                    <w:rPr>
                      <w:rFonts w:hint="default" w:ascii="Times New Roman" w:hAnsi="Times New Roman" w:eastAsia="仿宋_GB2312" w:cs="Times New Roman"/>
                      <w:snapToGrid w:val="0"/>
                      <w:color w:val="auto"/>
                      <w:spacing w:val="0"/>
                      <w:kern w:val="0"/>
                      <w:position w:val="0"/>
                      <w:sz w:val="21"/>
                      <w:szCs w:val="21"/>
                      <w:lang w:val="en-US" w:eastAsia="zh-CN"/>
                    </w:rPr>
                    <w:t>一个污水排口</w:t>
                  </w:r>
                </w:p>
              </w:tc>
              <w:tc>
                <w:tcPr>
                  <w:tcW w:w="1012" w:type="pct"/>
                  <w:tcBorders>
                    <w:tl2br w:val="nil"/>
                    <w:tr2bl w:val="nil"/>
                  </w:tcBorders>
                  <w:noWrap w:val="0"/>
                  <w:vAlign w:val="center"/>
                </w:tcPr>
                <w:p w14:paraId="7254CDB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napToGrid w:val="0"/>
                      <w:color w:val="auto"/>
                      <w:spacing w:val="0"/>
                      <w:kern w:val="0"/>
                      <w:position w:val="0"/>
                      <w:sz w:val="21"/>
                      <w:szCs w:val="21"/>
                    </w:rPr>
                  </w:pPr>
                  <w:r>
                    <w:rPr>
                      <w:rFonts w:hint="default" w:ascii="Times New Roman" w:hAnsi="Times New Roman" w:eastAsia="仿宋_GB2312" w:cs="Times New Roman"/>
                      <w:snapToGrid w:val="0"/>
                      <w:color w:val="auto"/>
                      <w:spacing w:val="0"/>
                      <w:kern w:val="0"/>
                      <w:position w:val="0"/>
                      <w:sz w:val="21"/>
                      <w:szCs w:val="21"/>
                      <w:lang w:val="en-US" w:eastAsia="zh-CN"/>
                    </w:rPr>
                    <w:t>依托现有，本项目所在生产厂房及工作人员所使用办公室均设有污水管网，可收集污水</w:t>
                  </w:r>
                </w:p>
              </w:tc>
              <w:tc>
                <w:tcPr>
                  <w:tcW w:w="966" w:type="pct"/>
                  <w:tcBorders>
                    <w:tl2br w:val="nil"/>
                    <w:tr2bl w:val="nil"/>
                  </w:tcBorders>
                  <w:noWrap w:val="0"/>
                  <w:vAlign w:val="center"/>
                </w:tcPr>
                <w:p w14:paraId="04AF29B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仿宋_GB2312" w:cs="Times New Roman"/>
                      <w:snapToGrid w:val="0"/>
                      <w:color w:val="auto"/>
                      <w:spacing w:val="0"/>
                      <w:kern w:val="0"/>
                      <w:position w:val="0"/>
                      <w:sz w:val="21"/>
                      <w:szCs w:val="21"/>
                      <w:lang w:val="en-US" w:eastAsia="zh-CN" w:bidi="ar-SA"/>
                    </w:rPr>
                  </w:pPr>
                  <w:r>
                    <w:rPr>
                      <w:rFonts w:hint="default" w:ascii="Times New Roman" w:hAnsi="Times New Roman" w:eastAsia="仿宋_GB2312" w:cs="Times New Roman"/>
                      <w:snapToGrid w:val="0"/>
                      <w:color w:val="auto"/>
                      <w:spacing w:val="0"/>
                      <w:kern w:val="0"/>
                      <w:position w:val="0"/>
                      <w:sz w:val="21"/>
                      <w:szCs w:val="21"/>
                      <w:lang w:val="en-US" w:eastAsia="zh-CN"/>
                    </w:rPr>
                    <w:t>一个污水排口</w:t>
                  </w:r>
                </w:p>
              </w:tc>
              <w:tc>
                <w:tcPr>
                  <w:tcW w:w="790" w:type="pct"/>
                  <w:vMerge w:val="continue"/>
                  <w:tcBorders>
                    <w:tl2br w:val="nil"/>
                    <w:tr2bl w:val="nil"/>
                  </w:tcBorders>
                  <w:noWrap w:val="0"/>
                  <w:vAlign w:val="center"/>
                </w:tcPr>
                <w:p w14:paraId="115D961D">
                  <w:pPr>
                    <w:pStyle w:val="9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napToGrid w:val="0"/>
                      <w:color w:val="auto"/>
                      <w:spacing w:val="0"/>
                      <w:kern w:val="0"/>
                      <w:position w:val="0"/>
                      <w:sz w:val="21"/>
                      <w:szCs w:val="21"/>
                    </w:rPr>
                  </w:pPr>
                </w:p>
              </w:tc>
            </w:tr>
            <w:tr w14:paraId="40A189B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90" w:type="pct"/>
                  <w:tcBorders>
                    <w:tl2br w:val="nil"/>
                    <w:tr2bl w:val="nil"/>
                  </w:tcBorders>
                  <w:noWrap w:val="0"/>
                  <w:vAlign w:val="center"/>
                </w:tcPr>
                <w:p w14:paraId="18A6E858">
                  <w:pPr>
                    <w:pStyle w:val="9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napToGrid w:val="0"/>
                      <w:color w:val="auto"/>
                      <w:spacing w:val="0"/>
                      <w:kern w:val="0"/>
                      <w:position w:val="0"/>
                      <w:sz w:val="21"/>
                      <w:szCs w:val="21"/>
                      <w:lang w:val="en-US" w:eastAsia="zh-CN"/>
                    </w:rPr>
                  </w:pPr>
                  <w:r>
                    <w:rPr>
                      <w:rFonts w:hint="eastAsia" w:ascii="Times New Roman" w:hAnsi="Times New Roman" w:eastAsia="仿宋_GB2312" w:cs="Times New Roman"/>
                      <w:snapToGrid w:val="0"/>
                      <w:color w:val="auto"/>
                      <w:spacing w:val="0"/>
                      <w:kern w:val="0"/>
                      <w:position w:val="0"/>
                      <w:sz w:val="21"/>
                      <w:szCs w:val="21"/>
                      <w:lang w:val="en-US" w:eastAsia="zh-CN"/>
                    </w:rPr>
                    <w:t>应急事故池</w:t>
                  </w:r>
                </w:p>
              </w:tc>
              <w:tc>
                <w:tcPr>
                  <w:tcW w:w="685" w:type="pct"/>
                  <w:tcBorders>
                    <w:tl2br w:val="nil"/>
                    <w:tr2bl w:val="nil"/>
                  </w:tcBorders>
                  <w:noWrap w:val="0"/>
                  <w:vAlign w:val="center"/>
                </w:tcPr>
                <w:p w14:paraId="5CCAA8A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Times New Roman" w:hAnsi="Times New Roman" w:eastAsia="仿宋_GB2312" w:cs="Times New Roman"/>
                      <w:snapToGrid w:val="0"/>
                      <w:color w:val="auto"/>
                      <w:spacing w:val="0"/>
                      <w:kern w:val="0"/>
                      <w:position w:val="0"/>
                      <w:sz w:val="21"/>
                      <w:szCs w:val="21"/>
                      <w:lang w:val="en-US" w:eastAsia="zh-CN"/>
                    </w:rPr>
                  </w:pPr>
                  <w:r>
                    <w:rPr>
                      <w:rFonts w:hint="eastAsia" w:ascii="Times New Roman" w:hAnsi="Times New Roman" w:eastAsia="仿宋_GB2312" w:cs="Times New Roman"/>
                      <w:snapToGrid w:val="0"/>
                      <w:color w:val="auto"/>
                      <w:spacing w:val="0"/>
                      <w:kern w:val="0"/>
                      <w:position w:val="0"/>
                      <w:sz w:val="21"/>
                      <w:szCs w:val="21"/>
                      <w:lang w:val="en-US" w:eastAsia="zh-CN"/>
                    </w:rPr>
                    <w:t>3000</w:t>
                  </w:r>
                  <w:r>
                    <w:rPr>
                      <w:rFonts w:hint="default" w:ascii="Times New Roman" w:hAnsi="Times New Roman" w:eastAsia="仿宋_GB2312" w:cs="Times New Roman"/>
                      <w:color w:val="auto"/>
                      <w:kern w:val="0"/>
                      <w:sz w:val="21"/>
                      <w:szCs w:val="21"/>
                    </w:rPr>
                    <w:t>m</w:t>
                  </w:r>
                  <w:r>
                    <w:rPr>
                      <w:rFonts w:hint="eastAsia" w:ascii="Times New Roman" w:hAnsi="Times New Roman" w:eastAsia="仿宋_GB2312" w:cs="Times New Roman"/>
                      <w:color w:val="auto"/>
                      <w:kern w:val="0"/>
                      <w:sz w:val="21"/>
                      <w:szCs w:val="21"/>
                      <w:vertAlign w:val="superscript"/>
                      <w:lang w:val="en-US" w:eastAsia="zh-CN"/>
                    </w:rPr>
                    <w:t>3</w:t>
                  </w:r>
                </w:p>
              </w:tc>
              <w:tc>
                <w:tcPr>
                  <w:tcW w:w="1054" w:type="pct"/>
                  <w:tcBorders>
                    <w:tl2br w:val="nil"/>
                    <w:tr2bl w:val="nil"/>
                  </w:tcBorders>
                  <w:noWrap w:val="0"/>
                  <w:vAlign w:val="center"/>
                </w:tcPr>
                <w:p w14:paraId="7BB1DA4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仿宋_GB2312" w:cs="Times New Roman"/>
                      <w:color w:val="auto"/>
                      <w:kern w:val="0"/>
                      <w:sz w:val="21"/>
                      <w:szCs w:val="21"/>
                      <w:vertAlign w:val="superscript"/>
                      <w:lang w:val="en-US" w:eastAsia="zh-CN"/>
                    </w:rPr>
                  </w:pPr>
                  <w:r>
                    <w:rPr>
                      <w:rFonts w:hint="eastAsia" w:ascii="Times New Roman" w:hAnsi="Times New Roman" w:eastAsia="仿宋_GB2312" w:cs="Times New Roman"/>
                      <w:snapToGrid w:val="0"/>
                      <w:color w:val="auto"/>
                      <w:spacing w:val="0"/>
                      <w:kern w:val="0"/>
                      <w:position w:val="0"/>
                      <w:sz w:val="21"/>
                      <w:szCs w:val="21"/>
                      <w:lang w:val="en-US" w:eastAsia="zh-CN"/>
                    </w:rPr>
                    <w:t>2746</w:t>
                  </w:r>
                  <w:r>
                    <w:rPr>
                      <w:rFonts w:hint="default" w:ascii="Times New Roman" w:hAnsi="Times New Roman" w:eastAsia="仿宋_GB2312" w:cs="Times New Roman"/>
                      <w:color w:val="auto"/>
                      <w:kern w:val="0"/>
                      <w:sz w:val="21"/>
                      <w:szCs w:val="21"/>
                    </w:rPr>
                    <w:t>m</w:t>
                  </w:r>
                  <w:r>
                    <w:rPr>
                      <w:rFonts w:hint="eastAsia" w:ascii="Times New Roman" w:hAnsi="Times New Roman" w:eastAsia="仿宋_GB2312" w:cs="Times New Roman"/>
                      <w:color w:val="auto"/>
                      <w:kern w:val="0"/>
                      <w:sz w:val="21"/>
                      <w:szCs w:val="21"/>
                      <w:vertAlign w:val="superscript"/>
                      <w:lang w:val="en-US" w:eastAsia="zh-CN"/>
                    </w:rPr>
                    <w:t>3</w:t>
                  </w:r>
                  <w:r>
                    <w:rPr>
                      <w:rFonts w:hint="eastAsia" w:ascii="Times New Roman" w:hAnsi="Times New Roman" w:eastAsia="仿宋_GB2312" w:cs="Times New Roman"/>
                      <w:color w:val="auto"/>
                      <w:kern w:val="0"/>
                      <w:sz w:val="21"/>
                      <w:szCs w:val="21"/>
                      <w:vertAlign w:val="baseline"/>
                      <w:lang w:val="en-US" w:eastAsia="zh-CN"/>
                    </w:rPr>
                    <w:t>*</w:t>
                  </w:r>
                </w:p>
                <w:p w14:paraId="7EE297D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仿宋_GB2312" w:cs="Times New Roman"/>
                      <w:snapToGrid w:val="0"/>
                      <w:color w:val="auto"/>
                      <w:spacing w:val="0"/>
                      <w:kern w:val="0"/>
                      <w:position w:val="0"/>
                      <w:sz w:val="21"/>
                      <w:szCs w:val="21"/>
                      <w:lang w:val="en-US" w:eastAsia="zh-CN"/>
                    </w:rPr>
                  </w:pPr>
                  <w:r>
                    <w:rPr>
                      <w:rFonts w:hint="eastAsia" w:ascii="Times New Roman" w:hAnsi="Times New Roman" w:eastAsia="仿宋_GB2312" w:cs="Times New Roman"/>
                      <w:color w:val="auto"/>
                      <w:kern w:val="0"/>
                      <w:sz w:val="21"/>
                      <w:szCs w:val="21"/>
                      <w:vertAlign w:val="baseline"/>
                      <w:lang w:val="en-US" w:eastAsia="zh-CN"/>
                    </w:rPr>
                    <w:t>（全厂汇水面积）</w:t>
                  </w:r>
                </w:p>
              </w:tc>
              <w:tc>
                <w:tcPr>
                  <w:tcW w:w="1012" w:type="pct"/>
                  <w:tcBorders>
                    <w:tl2br w:val="nil"/>
                    <w:tr2bl w:val="nil"/>
                  </w:tcBorders>
                  <w:noWrap w:val="0"/>
                  <w:vAlign w:val="center"/>
                </w:tcPr>
                <w:p w14:paraId="05C650A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仿宋_GB2312" w:cs="Times New Roman"/>
                      <w:snapToGrid w:val="0"/>
                      <w:color w:val="auto"/>
                      <w:spacing w:val="0"/>
                      <w:kern w:val="0"/>
                      <w:position w:val="0"/>
                      <w:sz w:val="21"/>
                      <w:szCs w:val="21"/>
                      <w:lang w:val="en-US" w:eastAsia="zh-CN"/>
                    </w:rPr>
                  </w:pPr>
                  <w:r>
                    <w:rPr>
                      <w:rFonts w:hint="eastAsia" w:cs="Times New Roman"/>
                      <w:color w:val="auto"/>
                      <w:szCs w:val="24"/>
                      <w:lang w:val="en-US" w:eastAsia="zh-CN"/>
                    </w:rPr>
                    <w:t>1433</w:t>
                  </w:r>
                  <w:r>
                    <w:rPr>
                      <w:rFonts w:hint="default" w:ascii="Times New Roman" w:hAnsi="Times New Roman" w:eastAsia="仿宋_GB2312" w:cs="Times New Roman"/>
                      <w:color w:val="auto"/>
                      <w:kern w:val="0"/>
                      <w:sz w:val="21"/>
                      <w:szCs w:val="21"/>
                    </w:rPr>
                    <w:t>m</w:t>
                  </w:r>
                  <w:r>
                    <w:rPr>
                      <w:rFonts w:hint="eastAsia" w:ascii="Times New Roman" w:hAnsi="Times New Roman" w:eastAsia="仿宋_GB2312" w:cs="Times New Roman"/>
                      <w:color w:val="auto"/>
                      <w:kern w:val="0"/>
                      <w:sz w:val="21"/>
                      <w:szCs w:val="21"/>
                      <w:vertAlign w:val="superscript"/>
                      <w:lang w:val="en-US" w:eastAsia="zh-CN"/>
                    </w:rPr>
                    <w:t>3</w:t>
                  </w:r>
                </w:p>
              </w:tc>
              <w:tc>
                <w:tcPr>
                  <w:tcW w:w="966" w:type="pct"/>
                  <w:tcBorders>
                    <w:tl2br w:val="nil"/>
                    <w:tr2bl w:val="nil"/>
                  </w:tcBorders>
                  <w:noWrap w:val="0"/>
                  <w:vAlign w:val="center"/>
                </w:tcPr>
                <w:p w14:paraId="0B18F87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仿宋_GB2312" w:cs="Times New Roman"/>
                      <w:color w:val="auto"/>
                      <w:kern w:val="0"/>
                      <w:sz w:val="21"/>
                      <w:szCs w:val="21"/>
                      <w:vertAlign w:val="superscript"/>
                      <w:lang w:val="en-US" w:eastAsia="zh-CN"/>
                    </w:rPr>
                  </w:pPr>
                  <w:r>
                    <w:rPr>
                      <w:rFonts w:hint="eastAsia" w:ascii="Times New Roman" w:hAnsi="Times New Roman" w:eastAsia="仿宋_GB2312" w:cs="Times New Roman"/>
                      <w:snapToGrid w:val="0"/>
                      <w:color w:val="auto"/>
                      <w:spacing w:val="0"/>
                      <w:kern w:val="0"/>
                      <w:position w:val="0"/>
                      <w:sz w:val="21"/>
                      <w:szCs w:val="21"/>
                      <w:lang w:val="en-US" w:eastAsia="zh-CN"/>
                    </w:rPr>
                    <w:t>2746</w:t>
                  </w:r>
                  <w:r>
                    <w:rPr>
                      <w:rFonts w:hint="default" w:ascii="Times New Roman" w:hAnsi="Times New Roman" w:eastAsia="仿宋_GB2312" w:cs="Times New Roman"/>
                      <w:color w:val="auto"/>
                      <w:kern w:val="0"/>
                      <w:sz w:val="21"/>
                      <w:szCs w:val="21"/>
                    </w:rPr>
                    <w:t>m</w:t>
                  </w:r>
                  <w:r>
                    <w:rPr>
                      <w:rFonts w:hint="eastAsia" w:ascii="Times New Roman" w:hAnsi="Times New Roman" w:eastAsia="仿宋_GB2312" w:cs="Times New Roman"/>
                      <w:color w:val="auto"/>
                      <w:kern w:val="0"/>
                      <w:sz w:val="21"/>
                      <w:szCs w:val="21"/>
                      <w:vertAlign w:val="superscript"/>
                      <w:lang w:val="en-US" w:eastAsia="zh-CN"/>
                    </w:rPr>
                    <w:t>3</w:t>
                  </w:r>
                </w:p>
                <w:p w14:paraId="7743413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仿宋_GB2312" w:cs="Times New Roman"/>
                      <w:snapToGrid w:val="0"/>
                      <w:color w:val="auto"/>
                      <w:spacing w:val="0"/>
                      <w:kern w:val="0"/>
                      <w:position w:val="0"/>
                      <w:sz w:val="21"/>
                      <w:szCs w:val="21"/>
                      <w:lang w:val="en-US" w:eastAsia="zh-CN"/>
                    </w:rPr>
                  </w:pPr>
                  <w:r>
                    <w:rPr>
                      <w:rFonts w:hint="eastAsia" w:ascii="Times New Roman" w:hAnsi="Times New Roman" w:eastAsia="仿宋_GB2312" w:cs="Times New Roman"/>
                      <w:color w:val="auto"/>
                      <w:kern w:val="0"/>
                      <w:sz w:val="21"/>
                      <w:szCs w:val="21"/>
                      <w:vertAlign w:val="baseline"/>
                      <w:lang w:val="en-US" w:eastAsia="zh-CN"/>
                    </w:rPr>
                    <w:t>（全厂汇水面积，含本次建设占地部分）</w:t>
                  </w:r>
                </w:p>
              </w:tc>
              <w:tc>
                <w:tcPr>
                  <w:tcW w:w="790" w:type="pct"/>
                  <w:tcBorders>
                    <w:tl2br w:val="nil"/>
                    <w:tr2bl w:val="nil"/>
                  </w:tcBorders>
                  <w:noWrap w:val="0"/>
                  <w:vAlign w:val="center"/>
                </w:tcPr>
                <w:p w14:paraId="3FC421B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仿宋_GB2312" w:cs="Times New Roman"/>
                      <w:snapToGrid w:val="0"/>
                      <w:color w:val="auto"/>
                      <w:spacing w:val="0"/>
                      <w:kern w:val="0"/>
                      <w:position w:val="0"/>
                      <w:sz w:val="21"/>
                      <w:szCs w:val="21"/>
                      <w:lang w:val="en-US" w:eastAsia="zh-CN"/>
                    </w:rPr>
                  </w:pPr>
                  <w:r>
                    <w:rPr>
                      <w:rFonts w:hint="default" w:ascii="Times New Roman" w:hAnsi="Times New Roman" w:eastAsia="仿宋_GB2312" w:cs="Times New Roman"/>
                      <w:snapToGrid w:val="0"/>
                      <w:color w:val="auto"/>
                      <w:spacing w:val="0"/>
                      <w:kern w:val="0"/>
                      <w:position w:val="0"/>
                      <w:sz w:val="21"/>
                      <w:szCs w:val="21"/>
                      <w:lang w:val="en-US" w:eastAsia="zh-CN"/>
                    </w:rPr>
                    <w:t>厂区所有对外排水管道均安装闸阀，一旦发生事故，立即关闭闸阀，使消防废水进入事故应急池中</w:t>
                  </w:r>
                  <w:r>
                    <w:rPr>
                      <w:rFonts w:hint="eastAsia" w:ascii="Times New Roman" w:hAnsi="Times New Roman" w:eastAsia="仿宋_GB2312" w:cs="Times New Roman"/>
                      <w:snapToGrid w:val="0"/>
                      <w:color w:val="auto"/>
                      <w:spacing w:val="0"/>
                      <w:kern w:val="0"/>
                      <w:position w:val="0"/>
                      <w:sz w:val="21"/>
                      <w:szCs w:val="21"/>
                      <w:lang w:val="en-US" w:eastAsia="zh-CN"/>
                    </w:rPr>
                    <w:t>，</w:t>
                  </w:r>
                  <w:r>
                    <w:rPr>
                      <w:rFonts w:hint="default" w:ascii="Times New Roman" w:hAnsi="Times New Roman" w:eastAsia="仿宋_GB2312" w:cs="Times New Roman"/>
                      <w:snapToGrid w:val="0"/>
                      <w:color w:val="auto"/>
                      <w:spacing w:val="0"/>
                      <w:kern w:val="0"/>
                      <w:position w:val="0"/>
                      <w:sz w:val="21"/>
                      <w:szCs w:val="21"/>
                    </w:rPr>
                    <w:t>依托可行</w:t>
                  </w:r>
                </w:p>
              </w:tc>
            </w:tr>
          </w:tbl>
          <w:p w14:paraId="3A1C506D">
            <w:pPr>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textAlignment w:val="auto"/>
              <w:rPr>
                <w:rFonts w:hint="default" w:eastAsia="仿宋_GB2312"/>
                <w:b/>
                <w:kern w:val="0"/>
                <w:lang w:val="en-US" w:eastAsia="zh-CN"/>
              </w:rPr>
            </w:pPr>
            <w:r>
              <w:rPr>
                <w:rFonts w:hint="eastAsia" w:eastAsia="仿宋_GB2312"/>
                <w:b/>
                <w:kern w:val="0"/>
                <w:lang w:val="en-US" w:eastAsia="zh-CN"/>
              </w:rPr>
              <w:t>注：*根据现有《突发环境事件应急预案》中应急事故池的建设章节内容，计算汇水面积时，已含括全厂范围，且本次新建一个地上环保应急罐，体积</w:t>
            </w:r>
            <w:r>
              <w:rPr>
                <w:rFonts w:hint="eastAsia" w:eastAsia="仿宋_GB2312"/>
                <w:kern w:val="0"/>
                <w:sz w:val="21"/>
                <w:szCs w:val="21"/>
                <w:lang w:val="en-US" w:eastAsia="zh-CN"/>
              </w:rPr>
              <w:t>3217</w:t>
            </w:r>
            <w:r>
              <w:rPr>
                <w:rFonts w:hint="default" w:ascii="Times New Roman" w:hAnsi="Times New Roman" w:eastAsia="仿宋_GB2312" w:cs="Times New Roman"/>
                <w:color w:val="auto"/>
                <w:kern w:val="0"/>
                <w:sz w:val="21"/>
                <w:szCs w:val="21"/>
              </w:rPr>
              <w:t>m</w:t>
            </w:r>
            <w:r>
              <w:rPr>
                <w:rFonts w:hint="eastAsia" w:ascii="Times New Roman" w:hAnsi="Times New Roman" w:eastAsia="仿宋_GB2312" w:cs="Times New Roman"/>
                <w:color w:val="auto"/>
                <w:kern w:val="0"/>
                <w:sz w:val="21"/>
                <w:szCs w:val="21"/>
                <w:vertAlign w:val="superscript"/>
                <w:lang w:val="en-US" w:eastAsia="zh-CN"/>
              </w:rPr>
              <w:t>3</w:t>
            </w:r>
            <w:r>
              <w:rPr>
                <w:rFonts w:hint="eastAsia" w:eastAsia="仿宋_GB2312"/>
                <w:b/>
                <w:kern w:val="0"/>
                <w:lang w:val="en-US" w:eastAsia="zh-CN"/>
              </w:rPr>
              <w:t>，因而满足全厂事故废水的收集与暂存。</w:t>
            </w:r>
          </w:p>
          <w:p w14:paraId="04557124">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22" w:firstLineChars="200"/>
              <w:textAlignment w:val="auto"/>
              <w:rPr>
                <w:rFonts w:eastAsia="仿宋_GB2312"/>
                <w:b/>
                <w:kern w:val="0"/>
              </w:rPr>
            </w:pPr>
            <w:r>
              <w:rPr>
                <w:rFonts w:eastAsia="仿宋_GB2312"/>
                <w:b/>
                <w:kern w:val="0"/>
              </w:rPr>
              <w:t>四、公用及辅助工程</w:t>
            </w:r>
          </w:p>
          <w:p w14:paraId="5C729384">
            <w:pPr>
              <w:adjustRightInd w:val="0"/>
              <w:snapToGrid w:val="0"/>
              <w:spacing w:line="360" w:lineRule="auto"/>
              <w:ind w:firstLine="420" w:firstLineChars="200"/>
              <w:rPr>
                <w:rFonts w:eastAsia="仿宋_GB2312"/>
                <w:kern w:val="0"/>
              </w:rPr>
            </w:pPr>
            <w:r>
              <w:rPr>
                <w:rFonts w:eastAsia="仿宋_GB2312"/>
                <w:kern w:val="0"/>
              </w:rPr>
              <w:t>（1</w:t>
            </w:r>
            <w:r>
              <w:rPr>
                <w:rFonts w:eastAsia="仿宋_GB2312"/>
                <w:color w:val="auto"/>
                <w:kern w:val="0"/>
              </w:rPr>
              <w:t>）给水：电厂纯水水量为</w:t>
            </w:r>
            <w:r>
              <w:rPr>
                <w:rFonts w:hint="eastAsia" w:eastAsia="仿宋_GB2312"/>
                <w:sz w:val="21"/>
                <w:szCs w:val="21"/>
                <w:lang w:val="en-US" w:eastAsia="zh-CN"/>
              </w:rPr>
              <w:t>3786.7</w:t>
            </w:r>
            <w:r>
              <w:rPr>
                <w:rFonts w:eastAsia="仿宋_GB2312"/>
                <w:color w:val="auto"/>
                <w:kern w:val="0"/>
              </w:rPr>
              <w:t>m</w:t>
            </w:r>
            <w:r>
              <w:rPr>
                <w:rFonts w:eastAsia="仿宋_GB2312"/>
                <w:color w:val="auto"/>
                <w:kern w:val="0"/>
                <w:vertAlign w:val="superscript"/>
              </w:rPr>
              <w:t>3</w:t>
            </w:r>
            <w:r>
              <w:rPr>
                <w:rFonts w:eastAsia="仿宋_GB2312"/>
                <w:color w:val="auto"/>
                <w:kern w:val="0"/>
              </w:rPr>
              <w:t>/a，由江苏加怡热电有限公司提供；现有项目生产过程的冷凝水量为144m</w:t>
            </w:r>
            <w:r>
              <w:rPr>
                <w:rFonts w:eastAsia="仿宋_GB2312"/>
                <w:color w:val="auto"/>
                <w:kern w:val="0"/>
                <w:vertAlign w:val="superscript"/>
              </w:rPr>
              <w:t>3</w:t>
            </w:r>
            <w:r>
              <w:rPr>
                <w:rFonts w:eastAsia="仿宋_GB2312"/>
                <w:color w:val="auto"/>
                <w:kern w:val="0"/>
              </w:rPr>
              <w:t>/a。</w:t>
            </w:r>
          </w:p>
          <w:p w14:paraId="00B78FA9">
            <w:pPr>
              <w:adjustRightInd w:val="0"/>
              <w:snapToGrid w:val="0"/>
              <w:spacing w:line="360" w:lineRule="auto"/>
              <w:ind w:firstLine="420" w:firstLineChars="200"/>
              <w:rPr>
                <w:rFonts w:eastAsia="仿宋_GB2312"/>
              </w:rPr>
            </w:pPr>
            <w:r>
              <w:rPr>
                <w:rFonts w:eastAsia="仿宋_GB2312"/>
                <w:kern w:val="0"/>
              </w:rPr>
              <w:t>（2）排水：本项目废水主要为反冲洗水和密封水</w:t>
            </w:r>
            <w:r>
              <w:rPr>
                <w:rFonts w:eastAsia="仿宋_GB2312"/>
              </w:rPr>
              <w:t>。反冲洗水和密封水均回中水池后回用至矿区采卤，无外排废水。</w:t>
            </w:r>
          </w:p>
          <w:p w14:paraId="79F2AAFF">
            <w:pPr>
              <w:adjustRightInd w:val="0"/>
              <w:snapToGrid w:val="0"/>
              <w:spacing w:line="360" w:lineRule="auto"/>
              <w:ind w:firstLine="420" w:firstLineChars="200"/>
              <w:rPr>
                <w:rFonts w:eastAsia="仿宋_GB2312"/>
                <w:kern w:val="0"/>
              </w:rPr>
            </w:pPr>
            <w:r>
              <w:rPr>
                <w:rFonts w:eastAsia="仿宋_GB2312"/>
                <w:kern w:val="0"/>
              </w:rPr>
              <w:t>（3）供电：项目新增用电100万度/年，由金坛区供电公司提供。</w:t>
            </w:r>
          </w:p>
          <w:p w14:paraId="3ECE9BF7">
            <w:pPr>
              <w:adjustRightInd w:val="0"/>
              <w:snapToGrid w:val="0"/>
              <w:spacing w:line="360" w:lineRule="auto"/>
              <w:ind w:firstLine="422" w:firstLineChars="200"/>
              <w:rPr>
                <w:rFonts w:eastAsia="仿宋_GB2312"/>
                <w:b/>
                <w:bCs/>
                <w:kern w:val="0"/>
              </w:rPr>
            </w:pPr>
            <w:r>
              <w:rPr>
                <w:rFonts w:eastAsia="仿宋_GB2312"/>
                <w:b/>
                <w:bCs/>
                <w:kern w:val="0"/>
              </w:rPr>
              <w:t>五、主要设备</w:t>
            </w:r>
          </w:p>
          <w:p w14:paraId="729234BD">
            <w:pPr>
              <w:adjustRightInd w:val="0"/>
              <w:snapToGrid w:val="0"/>
              <w:spacing w:line="360" w:lineRule="auto"/>
              <w:ind w:firstLine="420" w:firstLineChars="200"/>
              <w:rPr>
                <w:rFonts w:eastAsia="仿宋_GB2312"/>
                <w:bCs/>
                <w:kern w:val="0"/>
              </w:rPr>
            </w:pPr>
            <w:r>
              <w:rPr>
                <w:rFonts w:eastAsia="仿宋_GB2312"/>
                <w:bCs/>
                <w:kern w:val="0"/>
              </w:rPr>
              <w:t>本项目主要设备见表2-</w:t>
            </w:r>
            <w:r>
              <w:rPr>
                <w:rFonts w:hint="eastAsia" w:eastAsia="仿宋_GB2312"/>
                <w:bCs/>
                <w:kern w:val="0"/>
                <w:lang w:val="en-US" w:eastAsia="zh-CN"/>
              </w:rPr>
              <w:t>7</w:t>
            </w:r>
            <w:r>
              <w:rPr>
                <w:rFonts w:eastAsia="仿宋_GB2312"/>
                <w:bCs/>
                <w:kern w:val="0"/>
              </w:rPr>
              <w:t>，对照《高耗能落后机电设备第一、二、三、四批》，本项目无落后设备。</w:t>
            </w:r>
          </w:p>
          <w:p w14:paraId="405C2E5F">
            <w:pPr>
              <w:adjustRightInd w:val="0"/>
              <w:snapToGrid w:val="0"/>
              <w:spacing w:line="360" w:lineRule="auto"/>
              <w:jc w:val="center"/>
              <w:rPr>
                <w:rFonts w:eastAsia="仿宋_GB2312"/>
                <w:b/>
                <w:kern w:val="0"/>
              </w:rPr>
            </w:pPr>
            <w:r>
              <w:rPr>
                <w:rFonts w:eastAsia="仿宋_GB2312"/>
                <w:b/>
                <w:kern w:val="0"/>
              </w:rPr>
              <w:t>表2-</w:t>
            </w:r>
            <w:r>
              <w:rPr>
                <w:rFonts w:hint="eastAsia" w:eastAsia="仿宋_GB2312"/>
                <w:b/>
                <w:kern w:val="0"/>
                <w:lang w:val="en-US" w:eastAsia="zh-CN"/>
              </w:rPr>
              <w:t>7</w:t>
            </w:r>
            <w:r>
              <w:rPr>
                <w:rFonts w:eastAsia="仿宋_GB2312"/>
                <w:b/>
                <w:kern w:val="0"/>
              </w:rPr>
              <w:t xml:space="preserve">  本项目主要生产设备一览表</w:t>
            </w:r>
          </w:p>
          <w:tbl>
            <w:tblPr>
              <w:tblStyle w:val="3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49"/>
              <w:gridCol w:w="1780"/>
              <w:gridCol w:w="917"/>
              <w:gridCol w:w="2655"/>
              <w:gridCol w:w="1137"/>
              <w:gridCol w:w="1449"/>
            </w:tblGrid>
            <w:tr w14:paraId="19B127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0" w:type="pct"/>
                  <w:vAlign w:val="center"/>
                </w:tcPr>
                <w:p w14:paraId="3B5F2B2B">
                  <w:pPr>
                    <w:adjustRightInd w:val="0"/>
                    <w:snapToGrid w:val="0"/>
                    <w:jc w:val="center"/>
                    <w:rPr>
                      <w:rFonts w:eastAsia="仿宋_GB2312"/>
                      <w:snapToGrid w:val="0"/>
                      <w:kern w:val="0"/>
                      <w:sz w:val="21"/>
                      <w:szCs w:val="21"/>
                    </w:rPr>
                  </w:pPr>
                  <w:r>
                    <w:rPr>
                      <w:rFonts w:eastAsia="仿宋_GB2312"/>
                      <w:b/>
                      <w:bCs/>
                      <w:snapToGrid w:val="0"/>
                      <w:kern w:val="0"/>
                      <w:sz w:val="21"/>
                      <w:szCs w:val="21"/>
                    </w:rPr>
                    <w:t>序号</w:t>
                  </w:r>
                </w:p>
              </w:tc>
              <w:tc>
                <w:tcPr>
                  <w:tcW w:w="1061" w:type="pct"/>
                  <w:vAlign w:val="center"/>
                </w:tcPr>
                <w:p w14:paraId="16586AB3">
                  <w:pPr>
                    <w:widowControl/>
                    <w:jc w:val="center"/>
                    <w:textAlignment w:val="center"/>
                    <w:rPr>
                      <w:rFonts w:eastAsia="仿宋_GB2312"/>
                      <w:b/>
                      <w:bCs/>
                      <w:snapToGrid w:val="0"/>
                      <w:kern w:val="0"/>
                      <w:sz w:val="21"/>
                      <w:szCs w:val="21"/>
                    </w:rPr>
                  </w:pPr>
                  <w:r>
                    <w:rPr>
                      <w:rFonts w:eastAsia="仿宋_GB2312"/>
                      <w:b/>
                      <w:bCs/>
                      <w:snapToGrid w:val="0"/>
                      <w:kern w:val="0"/>
                      <w:sz w:val="21"/>
                      <w:szCs w:val="21"/>
                    </w:rPr>
                    <w:t>设备编号</w:t>
                  </w:r>
                </w:p>
              </w:tc>
              <w:tc>
                <w:tcPr>
                  <w:tcW w:w="670" w:type="pct"/>
                  <w:vAlign w:val="center"/>
                </w:tcPr>
                <w:p w14:paraId="53B4F6AA">
                  <w:pPr>
                    <w:widowControl/>
                    <w:jc w:val="center"/>
                    <w:textAlignment w:val="center"/>
                    <w:rPr>
                      <w:rFonts w:eastAsia="仿宋_GB2312"/>
                      <w:snapToGrid w:val="0"/>
                      <w:kern w:val="0"/>
                      <w:sz w:val="21"/>
                      <w:szCs w:val="21"/>
                    </w:rPr>
                  </w:pPr>
                  <w:r>
                    <w:rPr>
                      <w:rFonts w:eastAsia="仿宋_GB2312"/>
                      <w:b/>
                      <w:bCs/>
                      <w:snapToGrid w:val="0"/>
                      <w:kern w:val="0"/>
                      <w:sz w:val="21"/>
                      <w:szCs w:val="21"/>
                    </w:rPr>
                    <w:t>设备名称</w:t>
                  </w:r>
                </w:p>
              </w:tc>
              <w:tc>
                <w:tcPr>
                  <w:tcW w:w="1271" w:type="pct"/>
                  <w:vAlign w:val="center"/>
                </w:tcPr>
                <w:p w14:paraId="0219EE36">
                  <w:pPr>
                    <w:widowControl/>
                    <w:jc w:val="center"/>
                    <w:textAlignment w:val="center"/>
                    <w:rPr>
                      <w:rFonts w:eastAsia="仿宋_GB2312"/>
                      <w:snapToGrid w:val="0"/>
                      <w:kern w:val="0"/>
                      <w:sz w:val="21"/>
                      <w:szCs w:val="21"/>
                    </w:rPr>
                  </w:pPr>
                  <w:r>
                    <w:rPr>
                      <w:rFonts w:eastAsia="仿宋_GB2312"/>
                      <w:b/>
                      <w:bCs/>
                      <w:snapToGrid w:val="0"/>
                      <w:kern w:val="0"/>
                      <w:sz w:val="21"/>
                      <w:szCs w:val="21"/>
                    </w:rPr>
                    <w:t>规格型号</w:t>
                  </w:r>
                </w:p>
              </w:tc>
              <w:tc>
                <w:tcPr>
                  <w:tcW w:w="740" w:type="pct"/>
                  <w:vAlign w:val="center"/>
                </w:tcPr>
                <w:p w14:paraId="63844239">
                  <w:pPr>
                    <w:widowControl/>
                    <w:jc w:val="center"/>
                    <w:textAlignment w:val="center"/>
                    <w:rPr>
                      <w:rFonts w:eastAsia="仿宋_GB2312"/>
                      <w:snapToGrid w:val="0"/>
                      <w:kern w:val="0"/>
                      <w:sz w:val="21"/>
                      <w:szCs w:val="21"/>
                    </w:rPr>
                  </w:pPr>
                  <w:r>
                    <w:rPr>
                      <w:rFonts w:eastAsia="仿宋_GB2312"/>
                      <w:snapToGrid w:val="0"/>
                      <w:kern w:val="0"/>
                      <w:sz w:val="21"/>
                      <w:szCs w:val="21"/>
                    </w:rPr>
                    <w:t>台数（台/套）</w:t>
                  </w:r>
                </w:p>
              </w:tc>
              <w:tc>
                <w:tcPr>
                  <w:tcW w:w="925" w:type="pct"/>
                  <w:vAlign w:val="center"/>
                </w:tcPr>
                <w:p w14:paraId="6BEA510C">
                  <w:pPr>
                    <w:adjustRightInd w:val="0"/>
                    <w:snapToGrid w:val="0"/>
                    <w:jc w:val="center"/>
                    <w:rPr>
                      <w:rFonts w:eastAsia="仿宋_GB2312"/>
                      <w:snapToGrid w:val="0"/>
                      <w:kern w:val="0"/>
                      <w:sz w:val="21"/>
                      <w:szCs w:val="21"/>
                    </w:rPr>
                  </w:pPr>
                  <w:r>
                    <w:rPr>
                      <w:rFonts w:eastAsia="仿宋_GB2312"/>
                      <w:snapToGrid w:val="0"/>
                      <w:kern w:val="0"/>
                      <w:sz w:val="21"/>
                      <w:szCs w:val="21"/>
                    </w:rPr>
                    <w:t>备注</w:t>
                  </w:r>
                </w:p>
              </w:tc>
            </w:tr>
            <w:tr w14:paraId="7AEF81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0" w:type="pct"/>
                  <w:vAlign w:val="center"/>
                </w:tcPr>
                <w:p w14:paraId="0D1772E3">
                  <w:pPr>
                    <w:numPr>
                      <w:ilvl w:val="0"/>
                      <w:numId w:val="2"/>
                    </w:numPr>
                    <w:adjustRightInd w:val="0"/>
                    <w:snapToGrid w:val="0"/>
                    <w:jc w:val="center"/>
                    <w:rPr>
                      <w:rFonts w:eastAsia="仿宋_GB2312"/>
                      <w:snapToGrid w:val="0"/>
                      <w:kern w:val="0"/>
                      <w:sz w:val="21"/>
                      <w:szCs w:val="21"/>
                    </w:rPr>
                  </w:pPr>
                </w:p>
              </w:tc>
              <w:tc>
                <w:tcPr>
                  <w:tcW w:w="1061" w:type="pct"/>
                  <w:shd w:val="clear" w:color="auto" w:fill="auto"/>
                  <w:vAlign w:val="center"/>
                </w:tcPr>
                <w:p w14:paraId="4BC4A887">
                  <w:pPr>
                    <w:widowControl/>
                    <w:jc w:val="center"/>
                    <w:textAlignment w:val="center"/>
                    <w:rPr>
                      <w:rFonts w:eastAsia="仿宋_GB2312"/>
                      <w:snapToGrid w:val="0"/>
                      <w:kern w:val="0"/>
                      <w:sz w:val="21"/>
                      <w:szCs w:val="21"/>
                    </w:rPr>
                  </w:pPr>
                  <w:r>
                    <w:rPr>
                      <w:rFonts w:eastAsia="仿宋_GB2312"/>
                      <w:color w:val="000000"/>
                      <w:sz w:val="21"/>
                      <w:szCs w:val="21"/>
                    </w:rPr>
                    <w:t>P-1210A/B</w:t>
                  </w:r>
                </w:p>
              </w:tc>
              <w:tc>
                <w:tcPr>
                  <w:tcW w:w="670" w:type="pct"/>
                  <w:shd w:val="clear" w:color="auto" w:fill="auto"/>
                  <w:vAlign w:val="center"/>
                </w:tcPr>
                <w:p w14:paraId="7EDB6C54">
                  <w:pPr>
                    <w:widowControl/>
                    <w:jc w:val="center"/>
                    <w:textAlignment w:val="center"/>
                    <w:rPr>
                      <w:rFonts w:eastAsia="仿宋_GB2312"/>
                      <w:snapToGrid w:val="0"/>
                      <w:kern w:val="0"/>
                      <w:sz w:val="21"/>
                      <w:szCs w:val="21"/>
                    </w:rPr>
                  </w:pPr>
                  <w:r>
                    <w:rPr>
                      <w:rFonts w:eastAsia="仿宋_GB2312"/>
                      <w:color w:val="000000"/>
                      <w:sz w:val="21"/>
                      <w:szCs w:val="21"/>
                    </w:rPr>
                    <w:t>原卤泵</w:t>
                  </w:r>
                </w:p>
              </w:tc>
              <w:tc>
                <w:tcPr>
                  <w:tcW w:w="1271" w:type="pct"/>
                  <w:shd w:val="clear" w:color="auto" w:fill="auto"/>
                  <w:vAlign w:val="center"/>
                </w:tcPr>
                <w:p w14:paraId="1C77B9D1">
                  <w:pPr>
                    <w:widowControl/>
                    <w:jc w:val="center"/>
                    <w:textAlignment w:val="center"/>
                    <w:rPr>
                      <w:rFonts w:eastAsia="仿宋_GB2312"/>
                      <w:snapToGrid w:val="0"/>
                      <w:kern w:val="0"/>
                      <w:sz w:val="21"/>
                      <w:szCs w:val="21"/>
                    </w:rPr>
                  </w:pPr>
                  <w:r>
                    <w:rPr>
                      <w:rFonts w:eastAsia="仿宋_GB2312"/>
                      <w:color w:val="000000"/>
                      <w:sz w:val="21"/>
                      <w:szCs w:val="21"/>
                    </w:rPr>
                    <w:t>IJ300-250-400-VII/1-PK</w:t>
                  </w:r>
                </w:p>
              </w:tc>
              <w:tc>
                <w:tcPr>
                  <w:tcW w:w="740" w:type="pct"/>
                  <w:vAlign w:val="center"/>
                </w:tcPr>
                <w:p w14:paraId="073B97E0">
                  <w:pPr>
                    <w:widowControl/>
                    <w:jc w:val="center"/>
                    <w:textAlignment w:val="center"/>
                    <w:rPr>
                      <w:rFonts w:eastAsia="仿宋_GB2312"/>
                      <w:snapToGrid w:val="0"/>
                      <w:kern w:val="0"/>
                      <w:sz w:val="21"/>
                      <w:szCs w:val="21"/>
                    </w:rPr>
                  </w:pPr>
                  <w:r>
                    <w:rPr>
                      <w:rFonts w:eastAsia="仿宋_GB2312"/>
                      <w:snapToGrid w:val="0"/>
                      <w:kern w:val="0"/>
                      <w:sz w:val="21"/>
                      <w:szCs w:val="21"/>
                    </w:rPr>
                    <w:t>2</w:t>
                  </w:r>
                </w:p>
              </w:tc>
              <w:tc>
                <w:tcPr>
                  <w:tcW w:w="925" w:type="pct"/>
                  <w:vAlign w:val="center"/>
                </w:tcPr>
                <w:p w14:paraId="5EDABFFC">
                  <w:pPr>
                    <w:adjustRightInd w:val="0"/>
                    <w:snapToGrid w:val="0"/>
                    <w:jc w:val="center"/>
                    <w:rPr>
                      <w:rFonts w:eastAsia="仿宋_GB2312"/>
                      <w:snapToGrid w:val="0"/>
                      <w:kern w:val="0"/>
                      <w:sz w:val="21"/>
                      <w:szCs w:val="21"/>
                    </w:rPr>
                  </w:pPr>
                  <w:r>
                    <w:rPr>
                      <w:rFonts w:ascii="Times New Roman" w:eastAsia="仿宋_GB2312"/>
                      <w:color w:val="000000"/>
                      <w:sz w:val="21"/>
                      <w:szCs w:val="21"/>
                    </w:rPr>
                    <w:t>连续式双膜法产线</w:t>
                  </w:r>
                  <w:r>
                    <w:rPr>
                      <w:rFonts w:hint="eastAsia" w:eastAsia="仿宋_GB2312"/>
                      <w:color w:val="000000"/>
                      <w:sz w:val="21"/>
                      <w:szCs w:val="21"/>
                      <w:lang w:eastAsia="zh-CN"/>
                    </w:rPr>
                    <w:t>，</w:t>
                  </w:r>
                  <w:r>
                    <w:rPr>
                      <w:rFonts w:eastAsia="仿宋_GB2312"/>
                      <w:snapToGrid w:val="0"/>
                      <w:kern w:val="0"/>
                      <w:sz w:val="21"/>
                      <w:szCs w:val="21"/>
                    </w:rPr>
                    <w:t>新增</w:t>
                  </w:r>
                </w:p>
              </w:tc>
            </w:tr>
            <w:tr w14:paraId="528139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0" w:type="pct"/>
                  <w:vAlign w:val="center"/>
                </w:tcPr>
                <w:p w14:paraId="598763FB">
                  <w:pPr>
                    <w:numPr>
                      <w:ilvl w:val="0"/>
                      <w:numId w:val="2"/>
                    </w:numPr>
                    <w:adjustRightInd w:val="0"/>
                    <w:snapToGrid w:val="0"/>
                    <w:jc w:val="center"/>
                    <w:rPr>
                      <w:rFonts w:eastAsia="仿宋_GB2312"/>
                      <w:snapToGrid w:val="0"/>
                      <w:kern w:val="0"/>
                      <w:sz w:val="21"/>
                      <w:szCs w:val="21"/>
                    </w:rPr>
                  </w:pPr>
                </w:p>
              </w:tc>
              <w:tc>
                <w:tcPr>
                  <w:tcW w:w="1061" w:type="pct"/>
                  <w:shd w:val="clear" w:color="auto" w:fill="auto"/>
                  <w:vAlign w:val="center"/>
                </w:tcPr>
                <w:p w14:paraId="7F0FD78B">
                  <w:pPr>
                    <w:widowControl/>
                    <w:jc w:val="center"/>
                    <w:textAlignment w:val="center"/>
                    <w:rPr>
                      <w:rFonts w:eastAsia="仿宋_GB2312"/>
                      <w:snapToGrid w:val="0"/>
                      <w:kern w:val="0"/>
                      <w:sz w:val="21"/>
                      <w:szCs w:val="21"/>
                    </w:rPr>
                  </w:pPr>
                  <w:r>
                    <w:rPr>
                      <w:rFonts w:eastAsia="仿宋_GB2312"/>
                      <w:color w:val="000000"/>
                      <w:sz w:val="21"/>
                      <w:szCs w:val="21"/>
                    </w:rPr>
                    <w:t>P-1710A/B/C</w:t>
                  </w:r>
                </w:p>
              </w:tc>
              <w:tc>
                <w:tcPr>
                  <w:tcW w:w="670" w:type="pct"/>
                  <w:shd w:val="clear" w:color="auto" w:fill="auto"/>
                  <w:vAlign w:val="center"/>
                </w:tcPr>
                <w:p w14:paraId="3BB6EC23">
                  <w:pPr>
                    <w:widowControl/>
                    <w:jc w:val="center"/>
                    <w:textAlignment w:val="center"/>
                    <w:rPr>
                      <w:rFonts w:eastAsia="仿宋_GB2312"/>
                      <w:snapToGrid w:val="0"/>
                      <w:kern w:val="0"/>
                      <w:sz w:val="21"/>
                      <w:szCs w:val="21"/>
                    </w:rPr>
                  </w:pPr>
                  <w:r>
                    <w:rPr>
                      <w:rFonts w:eastAsia="仿宋_GB2312"/>
                      <w:color w:val="000000"/>
                      <w:sz w:val="21"/>
                      <w:szCs w:val="21"/>
                    </w:rPr>
                    <w:t>陶瓷膜循环泵</w:t>
                  </w:r>
                </w:p>
              </w:tc>
              <w:tc>
                <w:tcPr>
                  <w:tcW w:w="1271" w:type="pct"/>
                  <w:shd w:val="clear" w:color="auto" w:fill="auto"/>
                  <w:vAlign w:val="center"/>
                </w:tcPr>
                <w:p w14:paraId="420D6B90">
                  <w:pPr>
                    <w:widowControl/>
                    <w:jc w:val="center"/>
                    <w:textAlignment w:val="center"/>
                    <w:rPr>
                      <w:rFonts w:eastAsia="仿宋_GB2312"/>
                      <w:snapToGrid w:val="0"/>
                      <w:kern w:val="0"/>
                      <w:sz w:val="21"/>
                      <w:szCs w:val="21"/>
                    </w:rPr>
                  </w:pPr>
                  <w:r>
                    <w:rPr>
                      <w:rFonts w:eastAsia="仿宋_GB2312"/>
                      <w:color w:val="000000"/>
                      <w:sz w:val="21"/>
                      <w:szCs w:val="21"/>
                    </w:rPr>
                    <w:t>CZ0250-315</w:t>
                  </w:r>
                </w:p>
              </w:tc>
              <w:tc>
                <w:tcPr>
                  <w:tcW w:w="740" w:type="pct"/>
                  <w:vAlign w:val="center"/>
                </w:tcPr>
                <w:p w14:paraId="36BD39FD">
                  <w:pPr>
                    <w:widowControl/>
                    <w:jc w:val="center"/>
                    <w:textAlignment w:val="center"/>
                    <w:rPr>
                      <w:rFonts w:eastAsia="仿宋_GB2312"/>
                      <w:snapToGrid w:val="0"/>
                      <w:kern w:val="0"/>
                      <w:sz w:val="21"/>
                      <w:szCs w:val="21"/>
                    </w:rPr>
                  </w:pPr>
                  <w:r>
                    <w:rPr>
                      <w:rFonts w:eastAsia="仿宋_GB2312"/>
                      <w:snapToGrid w:val="0"/>
                      <w:kern w:val="0"/>
                      <w:sz w:val="21"/>
                      <w:szCs w:val="21"/>
                    </w:rPr>
                    <w:t>3</w:t>
                  </w:r>
                </w:p>
              </w:tc>
              <w:tc>
                <w:tcPr>
                  <w:tcW w:w="925" w:type="pct"/>
                  <w:vAlign w:val="center"/>
                </w:tcPr>
                <w:p w14:paraId="41CE0085">
                  <w:pPr>
                    <w:adjustRightInd w:val="0"/>
                    <w:snapToGrid w:val="0"/>
                    <w:jc w:val="center"/>
                    <w:rPr>
                      <w:rFonts w:eastAsia="仿宋_GB2312"/>
                      <w:snapToGrid w:val="0"/>
                      <w:kern w:val="0"/>
                      <w:sz w:val="21"/>
                      <w:szCs w:val="21"/>
                    </w:rPr>
                  </w:pPr>
                  <w:r>
                    <w:rPr>
                      <w:rFonts w:ascii="Times New Roman" w:eastAsia="仿宋_GB2312"/>
                      <w:color w:val="000000"/>
                      <w:sz w:val="21"/>
                      <w:szCs w:val="21"/>
                    </w:rPr>
                    <w:t>连续式双膜法产线</w:t>
                  </w:r>
                  <w:r>
                    <w:rPr>
                      <w:rFonts w:hint="eastAsia" w:eastAsia="仿宋_GB2312"/>
                      <w:color w:val="000000"/>
                      <w:sz w:val="21"/>
                      <w:szCs w:val="21"/>
                      <w:lang w:eastAsia="zh-CN"/>
                    </w:rPr>
                    <w:t>，</w:t>
                  </w:r>
                  <w:r>
                    <w:rPr>
                      <w:rFonts w:eastAsia="仿宋_GB2312"/>
                      <w:snapToGrid w:val="0"/>
                      <w:kern w:val="0"/>
                      <w:sz w:val="21"/>
                      <w:szCs w:val="21"/>
                    </w:rPr>
                    <w:t>新增</w:t>
                  </w:r>
                </w:p>
              </w:tc>
            </w:tr>
            <w:tr w14:paraId="38D12E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0" w:type="pct"/>
                  <w:vAlign w:val="center"/>
                </w:tcPr>
                <w:p w14:paraId="630155F1">
                  <w:pPr>
                    <w:numPr>
                      <w:ilvl w:val="0"/>
                      <w:numId w:val="2"/>
                    </w:numPr>
                    <w:adjustRightInd w:val="0"/>
                    <w:snapToGrid w:val="0"/>
                    <w:jc w:val="center"/>
                    <w:rPr>
                      <w:rFonts w:eastAsia="仿宋_GB2312"/>
                      <w:snapToGrid w:val="0"/>
                      <w:kern w:val="0"/>
                      <w:sz w:val="21"/>
                      <w:szCs w:val="21"/>
                    </w:rPr>
                  </w:pPr>
                </w:p>
              </w:tc>
              <w:tc>
                <w:tcPr>
                  <w:tcW w:w="1061" w:type="pct"/>
                  <w:shd w:val="clear" w:color="auto" w:fill="auto"/>
                  <w:vAlign w:val="center"/>
                </w:tcPr>
                <w:p w14:paraId="4CFA8CEF">
                  <w:pPr>
                    <w:widowControl/>
                    <w:jc w:val="center"/>
                    <w:textAlignment w:val="center"/>
                    <w:rPr>
                      <w:rFonts w:eastAsia="仿宋_GB2312"/>
                      <w:snapToGrid w:val="0"/>
                      <w:kern w:val="0"/>
                      <w:sz w:val="21"/>
                      <w:szCs w:val="21"/>
                    </w:rPr>
                  </w:pPr>
                  <w:r>
                    <w:rPr>
                      <w:rFonts w:eastAsia="仿宋_GB2312"/>
                      <w:color w:val="000000"/>
                      <w:sz w:val="21"/>
                      <w:szCs w:val="21"/>
                    </w:rPr>
                    <w:t>P-1620A/B</w:t>
                  </w:r>
                </w:p>
              </w:tc>
              <w:tc>
                <w:tcPr>
                  <w:tcW w:w="670" w:type="pct"/>
                  <w:shd w:val="clear" w:color="auto" w:fill="auto"/>
                  <w:vAlign w:val="center"/>
                </w:tcPr>
                <w:p w14:paraId="2DD1461E">
                  <w:pPr>
                    <w:widowControl/>
                    <w:jc w:val="center"/>
                    <w:textAlignment w:val="center"/>
                    <w:rPr>
                      <w:rFonts w:eastAsia="仿宋_GB2312"/>
                      <w:snapToGrid w:val="0"/>
                      <w:kern w:val="0"/>
                      <w:sz w:val="21"/>
                      <w:szCs w:val="21"/>
                    </w:rPr>
                  </w:pPr>
                  <w:r>
                    <w:rPr>
                      <w:rFonts w:eastAsia="仿宋_GB2312"/>
                      <w:color w:val="000000"/>
                      <w:sz w:val="21"/>
                      <w:szCs w:val="21"/>
                    </w:rPr>
                    <w:t>平板膜过滤泵</w:t>
                  </w:r>
                </w:p>
              </w:tc>
              <w:tc>
                <w:tcPr>
                  <w:tcW w:w="1271" w:type="pct"/>
                  <w:shd w:val="clear" w:color="auto" w:fill="auto"/>
                  <w:vAlign w:val="center"/>
                </w:tcPr>
                <w:p w14:paraId="4FF7D9E0">
                  <w:pPr>
                    <w:widowControl/>
                    <w:jc w:val="center"/>
                    <w:textAlignment w:val="center"/>
                    <w:rPr>
                      <w:rFonts w:eastAsia="仿宋_GB2312"/>
                      <w:snapToGrid w:val="0"/>
                      <w:kern w:val="0"/>
                      <w:sz w:val="21"/>
                      <w:szCs w:val="21"/>
                    </w:rPr>
                  </w:pPr>
                  <w:r>
                    <w:rPr>
                      <w:rFonts w:eastAsia="仿宋_GB2312"/>
                      <w:color w:val="000000"/>
                      <w:sz w:val="21"/>
                      <w:szCs w:val="21"/>
                    </w:rPr>
                    <w:t>CZX65-160</w:t>
                  </w:r>
                </w:p>
              </w:tc>
              <w:tc>
                <w:tcPr>
                  <w:tcW w:w="740" w:type="pct"/>
                  <w:vAlign w:val="center"/>
                </w:tcPr>
                <w:p w14:paraId="53DEC1E4">
                  <w:pPr>
                    <w:widowControl/>
                    <w:jc w:val="center"/>
                    <w:textAlignment w:val="center"/>
                    <w:rPr>
                      <w:rFonts w:eastAsia="仿宋_GB2312"/>
                      <w:snapToGrid w:val="0"/>
                      <w:kern w:val="0"/>
                      <w:sz w:val="21"/>
                      <w:szCs w:val="21"/>
                    </w:rPr>
                  </w:pPr>
                  <w:r>
                    <w:rPr>
                      <w:rFonts w:eastAsia="仿宋_GB2312"/>
                      <w:snapToGrid w:val="0"/>
                      <w:kern w:val="0"/>
                      <w:sz w:val="21"/>
                      <w:szCs w:val="21"/>
                    </w:rPr>
                    <w:t>2</w:t>
                  </w:r>
                </w:p>
              </w:tc>
              <w:tc>
                <w:tcPr>
                  <w:tcW w:w="925" w:type="pct"/>
                  <w:vAlign w:val="center"/>
                </w:tcPr>
                <w:p w14:paraId="50B92921">
                  <w:pPr>
                    <w:adjustRightInd w:val="0"/>
                    <w:snapToGrid w:val="0"/>
                    <w:jc w:val="center"/>
                    <w:rPr>
                      <w:rFonts w:eastAsia="仿宋_GB2312"/>
                      <w:snapToGrid w:val="0"/>
                      <w:kern w:val="0"/>
                      <w:sz w:val="21"/>
                      <w:szCs w:val="21"/>
                    </w:rPr>
                  </w:pPr>
                  <w:r>
                    <w:rPr>
                      <w:rFonts w:ascii="Times New Roman" w:eastAsia="仿宋_GB2312"/>
                      <w:color w:val="000000"/>
                      <w:sz w:val="21"/>
                      <w:szCs w:val="21"/>
                    </w:rPr>
                    <w:t>连续式双膜法产线</w:t>
                  </w:r>
                  <w:r>
                    <w:rPr>
                      <w:rFonts w:hint="eastAsia" w:eastAsia="仿宋_GB2312"/>
                      <w:color w:val="000000"/>
                      <w:sz w:val="21"/>
                      <w:szCs w:val="21"/>
                      <w:lang w:eastAsia="zh-CN"/>
                    </w:rPr>
                    <w:t>，</w:t>
                  </w:r>
                  <w:r>
                    <w:rPr>
                      <w:rFonts w:eastAsia="仿宋_GB2312"/>
                      <w:snapToGrid w:val="0"/>
                      <w:kern w:val="0"/>
                      <w:sz w:val="21"/>
                      <w:szCs w:val="21"/>
                    </w:rPr>
                    <w:t>新增</w:t>
                  </w:r>
                </w:p>
              </w:tc>
            </w:tr>
            <w:tr w14:paraId="414557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0" w:type="pct"/>
                  <w:vAlign w:val="center"/>
                </w:tcPr>
                <w:p w14:paraId="627CC4A1">
                  <w:pPr>
                    <w:numPr>
                      <w:ilvl w:val="0"/>
                      <w:numId w:val="2"/>
                    </w:numPr>
                    <w:adjustRightInd w:val="0"/>
                    <w:snapToGrid w:val="0"/>
                    <w:jc w:val="center"/>
                    <w:rPr>
                      <w:rFonts w:eastAsia="仿宋_GB2312"/>
                      <w:snapToGrid w:val="0"/>
                      <w:kern w:val="0"/>
                      <w:sz w:val="21"/>
                      <w:szCs w:val="21"/>
                    </w:rPr>
                  </w:pPr>
                </w:p>
              </w:tc>
              <w:tc>
                <w:tcPr>
                  <w:tcW w:w="1061" w:type="pct"/>
                  <w:shd w:val="clear" w:color="auto" w:fill="auto"/>
                  <w:vAlign w:val="center"/>
                </w:tcPr>
                <w:p w14:paraId="7657EECE">
                  <w:pPr>
                    <w:widowControl/>
                    <w:jc w:val="center"/>
                    <w:textAlignment w:val="center"/>
                    <w:rPr>
                      <w:rFonts w:eastAsia="仿宋_GB2312"/>
                      <w:snapToGrid w:val="0"/>
                      <w:kern w:val="0"/>
                      <w:sz w:val="21"/>
                      <w:szCs w:val="21"/>
                    </w:rPr>
                  </w:pPr>
                  <w:r>
                    <w:rPr>
                      <w:rFonts w:eastAsia="仿宋_GB2312"/>
                      <w:color w:val="000000"/>
                      <w:sz w:val="21"/>
                      <w:szCs w:val="21"/>
                    </w:rPr>
                    <w:t>P-1630A/B</w:t>
                  </w:r>
                </w:p>
              </w:tc>
              <w:tc>
                <w:tcPr>
                  <w:tcW w:w="670" w:type="pct"/>
                  <w:shd w:val="clear" w:color="auto" w:fill="auto"/>
                  <w:vAlign w:val="center"/>
                </w:tcPr>
                <w:p w14:paraId="64FF826A">
                  <w:pPr>
                    <w:widowControl/>
                    <w:jc w:val="center"/>
                    <w:textAlignment w:val="center"/>
                    <w:rPr>
                      <w:rFonts w:eastAsia="仿宋_GB2312"/>
                      <w:snapToGrid w:val="0"/>
                      <w:kern w:val="0"/>
                      <w:sz w:val="21"/>
                      <w:szCs w:val="21"/>
                    </w:rPr>
                  </w:pPr>
                  <w:r>
                    <w:rPr>
                      <w:rFonts w:eastAsia="仿宋_GB2312"/>
                      <w:color w:val="000000"/>
                      <w:sz w:val="21"/>
                      <w:szCs w:val="21"/>
                    </w:rPr>
                    <w:t>平板膜泥浆泵</w:t>
                  </w:r>
                </w:p>
              </w:tc>
              <w:tc>
                <w:tcPr>
                  <w:tcW w:w="1271" w:type="pct"/>
                  <w:shd w:val="clear" w:color="auto" w:fill="auto"/>
                  <w:vAlign w:val="center"/>
                </w:tcPr>
                <w:p w14:paraId="01468502">
                  <w:pPr>
                    <w:widowControl/>
                    <w:jc w:val="center"/>
                    <w:textAlignment w:val="center"/>
                    <w:rPr>
                      <w:rFonts w:eastAsia="仿宋_GB2312"/>
                      <w:snapToGrid w:val="0"/>
                      <w:kern w:val="0"/>
                      <w:sz w:val="21"/>
                      <w:szCs w:val="21"/>
                    </w:rPr>
                  </w:pPr>
                  <w:r>
                    <w:rPr>
                      <w:rFonts w:eastAsia="仿宋_GB2312"/>
                      <w:color w:val="000000"/>
                      <w:sz w:val="21"/>
                      <w:szCs w:val="21"/>
                    </w:rPr>
                    <w:t>CZ050-315</w:t>
                  </w:r>
                </w:p>
              </w:tc>
              <w:tc>
                <w:tcPr>
                  <w:tcW w:w="740" w:type="pct"/>
                  <w:vAlign w:val="center"/>
                </w:tcPr>
                <w:p w14:paraId="299A12D3">
                  <w:pPr>
                    <w:widowControl/>
                    <w:jc w:val="center"/>
                    <w:textAlignment w:val="center"/>
                    <w:rPr>
                      <w:rFonts w:eastAsia="仿宋_GB2312"/>
                      <w:snapToGrid w:val="0"/>
                      <w:kern w:val="0"/>
                      <w:sz w:val="21"/>
                      <w:szCs w:val="21"/>
                    </w:rPr>
                  </w:pPr>
                  <w:r>
                    <w:rPr>
                      <w:rFonts w:eastAsia="仿宋_GB2312"/>
                      <w:snapToGrid w:val="0"/>
                      <w:kern w:val="0"/>
                      <w:sz w:val="21"/>
                      <w:szCs w:val="21"/>
                    </w:rPr>
                    <w:t>2</w:t>
                  </w:r>
                </w:p>
              </w:tc>
              <w:tc>
                <w:tcPr>
                  <w:tcW w:w="925" w:type="pct"/>
                  <w:vAlign w:val="center"/>
                </w:tcPr>
                <w:p w14:paraId="22869E47">
                  <w:pPr>
                    <w:adjustRightInd w:val="0"/>
                    <w:snapToGrid w:val="0"/>
                    <w:jc w:val="center"/>
                    <w:rPr>
                      <w:rFonts w:eastAsia="仿宋_GB2312"/>
                      <w:snapToGrid w:val="0"/>
                      <w:kern w:val="0"/>
                      <w:sz w:val="21"/>
                      <w:szCs w:val="21"/>
                    </w:rPr>
                  </w:pPr>
                  <w:r>
                    <w:rPr>
                      <w:rFonts w:ascii="Times New Roman" w:eastAsia="仿宋_GB2312"/>
                      <w:color w:val="000000"/>
                      <w:sz w:val="21"/>
                      <w:szCs w:val="21"/>
                    </w:rPr>
                    <w:t>连续式双膜法产线</w:t>
                  </w:r>
                  <w:r>
                    <w:rPr>
                      <w:rFonts w:hint="eastAsia" w:eastAsia="仿宋_GB2312"/>
                      <w:color w:val="000000"/>
                      <w:sz w:val="21"/>
                      <w:szCs w:val="21"/>
                      <w:lang w:eastAsia="zh-CN"/>
                    </w:rPr>
                    <w:t>，</w:t>
                  </w:r>
                  <w:r>
                    <w:rPr>
                      <w:rFonts w:eastAsia="仿宋_GB2312"/>
                      <w:snapToGrid w:val="0"/>
                      <w:kern w:val="0"/>
                      <w:sz w:val="21"/>
                      <w:szCs w:val="21"/>
                    </w:rPr>
                    <w:t>新增</w:t>
                  </w:r>
                </w:p>
              </w:tc>
            </w:tr>
            <w:tr w14:paraId="62DF67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0" w:type="pct"/>
                  <w:vAlign w:val="center"/>
                </w:tcPr>
                <w:p w14:paraId="2EA675B7">
                  <w:pPr>
                    <w:numPr>
                      <w:ilvl w:val="0"/>
                      <w:numId w:val="2"/>
                    </w:numPr>
                    <w:adjustRightInd w:val="0"/>
                    <w:snapToGrid w:val="0"/>
                    <w:jc w:val="center"/>
                    <w:rPr>
                      <w:rFonts w:eastAsia="仿宋_GB2312"/>
                      <w:snapToGrid w:val="0"/>
                      <w:kern w:val="0"/>
                      <w:sz w:val="21"/>
                      <w:szCs w:val="21"/>
                    </w:rPr>
                  </w:pPr>
                </w:p>
              </w:tc>
              <w:tc>
                <w:tcPr>
                  <w:tcW w:w="1061" w:type="pct"/>
                  <w:shd w:val="clear" w:color="auto" w:fill="auto"/>
                  <w:vAlign w:val="center"/>
                </w:tcPr>
                <w:p w14:paraId="1A938E93">
                  <w:pPr>
                    <w:widowControl/>
                    <w:jc w:val="center"/>
                    <w:textAlignment w:val="center"/>
                    <w:rPr>
                      <w:rFonts w:eastAsia="仿宋_GB2312"/>
                      <w:snapToGrid w:val="0"/>
                      <w:kern w:val="0"/>
                      <w:sz w:val="21"/>
                      <w:szCs w:val="21"/>
                    </w:rPr>
                  </w:pPr>
                  <w:r>
                    <w:rPr>
                      <w:rFonts w:eastAsia="仿宋_GB2312"/>
                      <w:color w:val="000000"/>
                      <w:sz w:val="21"/>
                      <w:szCs w:val="21"/>
                    </w:rPr>
                    <w:t>P-1830A/B</w:t>
                  </w:r>
                </w:p>
              </w:tc>
              <w:tc>
                <w:tcPr>
                  <w:tcW w:w="670" w:type="pct"/>
                  <w:shd w:val="clear" w:color="auto" w:fill="auto"/>
                  <w:vAlign w:val="center"/>
                </w:tcPr>
                <w:p w14:paraId="0A3B4192">
                  <w:pPr>
                    <w:widowControl/>
                    <w:jc w:val="center"/>
                    <w:textAlignment w:val="center"/>
                    <w:rPr>
                      <w:rFonts w:eastAsia="仿宋_GB2312"/>
                      <w:snapToGrid w:val="0"/>
                      <w:kern w:val="0"/>
                      <w:sz w:val="21"/>
                      <w:szCs w:val="21"/>
                    </w:rPr>
                  </w:pPr>
                  <w:r>
                    <w:rPr>
                      <w:rFonts w:eastAsia="仿宋_GB2312"/>
                      <w:color w:val="000000"/>
                      <w:sz w:val="21"/>
                      <w:szCs w:val="21"/>
                    </w:rPr>
                    <w:t>纳滤膜高压泵</w:t>
                  </w:r>
                </w:p>
              </w:tc>
              <w:tc>
                <w:tcPr>
                  <w:tcW w:w="1271" w:type="pct"/>
                  <w:shd w:val="clear" w:color="auto" w:fill="auto"/>
                  <w:vAlign w:val="center"/>
                </w:tcPr>
                <w:p w14:paraId="4F31F365">
                  <w:pPr>
                    <w:widowControl/>
                    <w:jc w:val="center"/>
                    <w:textAlignment w:val="center"/>
                    <w:rPr>
                      <w:rFonts w:eastAsia="仿宋_GB2312"/>
                      <w:snapToGrid w:val="0"/>
                      <w:kern w:val="0"/>
                      <w:sz w:val="21"/>
                      <w:szCs w:val="21"/>
                    </w:rPr>
                  </w:pPr>
                  <w:r>
                    <w:rPr>
                      <w:rFonts w:eastAsia="仿宋_GB2312"/>
                      <w:color w:val="000000"/>
                      <w:sz w:val="21"/>
                      <w:szCs w:val="21"/>
                    </w:rPr>
                    <w:t>DMT155-67X6</w:t>
                  </w:r>
                </w:p>
              </w:tc>
              <w:tc>
                <w:tcPr>
                  <w:tcW w:w="740" w:type="pct"/>
                  <w:vAlign w:val="center"/>
                </w:tcPr>
                <w:p w14:paraId="40DE46E4">
                  <w:pPr>
                    <w:widowControl/>
                    <w:jc w:val="center"/>
                    <w:textAlignment w:val="center"/>
                    <w:rPr>
                      <w:rFonts w:eastAsia="仿宋_GB2312"/>
                      <w:snapToGrid w:val="0"/>
                      <w:kern w:val="0"/>
                      <w:sz w:val="21"/>
                      <w:szCs w:val="21"/>
                    </w:rPr>
                  </w:pPr>
                  <w:r>
                    <w:rPr>
                      <w:rFonts w:eastAsia="仿宋_GB2312"/>
                      <w:snapToGrid w:val="0"/>
                      <w:kern w:val="0"/>
                      <w:sz w:val="21"/>
                      <w:szCs w:val="21"/>
                    </w:rPr>
                    <w:t>2</w:t>
                  </w:r>
                </w:p>
              </w:tc>
              <w:tc>
                <w:tcPr>
                  <w:tcW w:w="925" w:type="pct"/>
                  <w:vAlign w:val="center"/>
                </w:tcPr>
                <w:p w14:paraId="62F3FDEF">
                  <w:pPr>
                    <w:adjustRightInd w:val="0"/>
                    <w:snapToGrid w:val="0"/>
                    <w:jc w:val="center"/>
                    <w:rPr>
                      <w:rFonts w:eastAsia="仿宋_GB2312"/>
                      <w:snapToGrid w:val="0"/>
                      <w:kern w:val="0"/>
                      <w:sz w:val="21"/>
                      <w:szCs w:val="21"/>
                    </w:rPr>
                  </w:pPr>
                  <w:r>
                    <w:rPr>
                      <w:rFonts w:ascii="Times New Roman" w:eastAsia="仿宋_GB2312"/>
                      <w:color w:val="000000"/>
                      <w:sz w:val="21"/>
                      <w:szCs w:val="21"/>
                    </w:rPr>
                    <w:t>连续式双膜法产线</w:t>
                  </w:r>
                  <w:r>
                    <w:rPr>
                      <w:rFonts w:hint="eastAsia" w:eastAsia="仿宋_GB2312"/>
                      <w:color w:val="000000"/>
                      <w:sz w:val="21"/>
                      <w:szCs w:val="21"/>
                      <w:lang w:eastAsia="zh-CN"/>
                    </w:rPr>
                    <w:t>，</w:t>
                  </w:r>
                  <w:r>
                    <w:rPr>
                      <w:rFonts w:eastAsia="仿宋_GB2312"/>
                      <w:snapToGrid w:val="0"/>
                      <w:kern w:val="0"/>
                      <w:sz w:val="21"/>
                      <w:szCs w:val="21"/>
                    </w:rPr>
                    <w:t>新增</w:t>
                  </w:r>
                </w:p>
              </w:tc>
            </w:tr>
            <w:tr w14:paraId="582726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0" w:type="pct"/>
                  <w:vAlign w:val="center"/>
                </w:tcPr>
                <w:p w14:paraId="7A2B087E">
                  <w:pPr>
                    <w:numPr>
                      <w:ilvl w:val="0"/>
                      <w:numId w:val="2"/>
                    </w:numPr>
                    <w:adjustRightInd w:val="0"/>
                    <w:snapToGrid w:val="0"/>
                    <w:jc w:val="center"/>
                    <w:rPr>
                      <w:rFonts w:eastAsia="仿宋_GB2312"/>
                      <w:snapToGrid w:val="0"/>
                      <w:kern w:val="0"/>
                      <w:sz w:val="21"/>
                      <w:szCs w:val="21"/>
                    </w:rPr>
                  </w:pPr>
                </w:p>
              </w:tc>
              <w:tc>
                <w:tcPr>
                  <w:tcW w:w="1061" w:type="pct"/>
                  <w:shd w:val="clear" w:color="auto" w:fill="auto"/>
                  <w:vAlign w:val="center"/>
                </w:tcPr>
                <w:p w14:paraId="1D7899C0">
                  <w:pPr>
                    <w:widowControl/>
                    <w:jc w:val="center"/>
                    <w:textAlignment w:val="center"/>
                    <w:rPr>
                      <w:rFonts w:eastAsia="仿宋_GB2312"/>
                      <w:snapToGrid w:val="0"/>
                      <w:kern w:val="0"/>
                      <w:sz w:val="21"/>
                      <w:szCs w:val="21"/>
                    </w:rPr>
                  </w:pPr>
                  <w:r>
                    <w:rPr>
                      <w:rFonts w:eastAsia="仿宋_GB2312"/>
                      <w:color w:val="000000"/>
                      <w:sz w:val="21"/>
                      <w:szCs w:val="21"/>
                    </w:rPr>
                    <w:t>P-1223A/B</w:t>
                  </w:r>
                </w:p>
              </w:tc>
              <w:tc>
                <w:tcPr>
                  <w:tcW w:w="670" w:type="pct"/>
                  <w:shd w:val="clear" w:color="auto" w:fill="auto"/>
                  <w:vAlign w:val="center"/>
                </w:tcPr>
                <w:p w14:paraId="188C4437">
                  <w:pPr>
                    <w:widowControl/>
                    <w:jc w:val="center"/>
                    <w:textAlignment w:val="center"/>
                    <w:rPr>
                      <w:rFonts w:eastAsia="仿宋_GB2312"/>
                      <w:snapToGrid w:val="0"/>
                      <w:kern w:val="0"/>
                      <w:sz w:val="21"/>
                      <w:szCs w:val="21"/>
                    </w:rPr>
                  </w:pPr>
                  <w:r>
                    <w:rPr>
                      <w:rFonts w:eastAsia="仿宋_GB2312"/>
                      <w:color w:val="000000"/>
                      <w:sz w:val="21"/>
                      <w:szCs w:val="21"/>
                    </w:rPr>
                    <w:t>反应罐转卤泵</w:t>
                  </w:r>
                </w:p>
              </w:tc>
              <w:tc>
                <w:tcPr>
                  <w:tcW w:w="1271" w:type="pct"/>
                  <w:shd w:val="clear" w:color="auto" w:fill="auto"/>
                  <w:vAlign w:val="center"/>
                </w:tcPr>
                <w:p w14:paraId="7283DA28">
                  <w:pPr>
                    <w:widowControl/>
                    <w:jc w:val="center"/>
                    <w:textAlignment w:val="center"/>
                    <w:rPr>
                      <w:rFonts w:eastAsia="仿宋_GB2312"/>
                      <w:snapToGrid w:val="0"/>
                      <w:kern w:val="0"/>
                      <w:sz w:val="21"/>
                      <w:szCs w:val="21"/>
                    </w:rPr>
                  </w:pPr>
                  <w:r>
                    <w:rPr>
                      <w:rFonts w:eastAsia="仿宋_GB2312"/>
                      <w:color w:val="000000"/>
                      <w:sz w:val="21"/>
                      <w:szCs w:val="21"/>
                    </w:rPr>
                    <w:t>CZXJ(Ⅱ)250-400</w:t>
                  </w:r>
                </w:p>
              </w:tc>
              <w:tc>
                <w:tcPr>
                  <w:tcW w:w="740" w:type="pct"/>
                  <w:vAlign w:val="center"/>
                </w:tcPr>
                <w:p w14:paraId="32520B76">
                  <w:pPr>
                    <w:widowControl/>
                    <w:jc w:val="center"/>
                    <w:textAlignment w:val="center"/>
                    <w:rPr>
                      <w:rFonts w:eastAsia="仿宋_GB2312"/>
                      <w:snapToGrid w:val="0"/>
                      <w:kern w:val="0"/>
                      <w:sz w:val="21"/>
                      <w:szCs w:val="21"/>
                    </w:rPr>
                  </w:pPr>
                  <w:r>
                    <w:rPr>
                      <w:rFonts w:eastAsia="仿宋_GB2312"/>
                      <w:snapToGrid w:val="0"/>
                      <w:kern w:val="0"/>
                      <w:sz w:val="21"/>
                      <w:szCs w:val="21"/>
                    </w:rPr>
                    <w:t>2</w:t>
                  </w:r>
                </w:p>
              </w:tc>
              <w:tc>
                <w:tcPr>
                  <w:tcW w:w="925" w:type="pct"/>
                  <w:vAlign w:val="center"/>
                </w:tcPr>
                <w:p w14:paraId="01B460CE">
                  <w:pPr>
                    <w:adjustRightInd w:val="0"/>
                    <w:snapToGrid w:val="0"/>
                    <w:jc w:val="center"/>
                    <w:rPr>
                      <w:rFonts w:eastAsia="仿宋_GB2312"/>
                      <w:snapToGrid w:val="0"/>
                      <w:kern w:val="0"/>
                      <w:sz w:val="21"/>
                      <w:szCs w:val="21"/>
                    </w:rPr>
                  </w:pPr>
                  <w:r>
                    <w:rPr>
                      <w:rFonts w:ascii="Times New Roman" w:eastAsia="仿宋_GB2312"/>
                      <w:color w:val="000000"/>
                      <w:sz w:val="21"/>
                      <w:szCs w:val="21"/>
                    </w:rPr>
                    <w:t>连续式双膜法产线</w:t>
                  </w:r>
                  <w:r>
                    <w:rPr>
                      <w:rFonts w:hint="eastAsia" w:eastAsia="仿宋_GB2312"/>
                      <w:color w:val="000000"/>
                      <w:sz w:val="21"/>
                      <w:szCs w:val="21"/>
                      <w:lang w:eastAsia="zh-CN"/>
                    </w:rPr>
                    <w:t>，</w:t>
                  </w:r>
                  <w:r>
                    <w:rPr>
                      <w:rFonts w:eastAsia="仿宋_GB2312"/>
                      <w:snapToGrid w:val="0"/>
                      <w:kern w:val="0"/>
                      <w:sz w:val="21"/>
                      <w:szCs w:val="21"/>
                    </w:rPr>
                    <w:t>新增</w:t>
                  </w:r>
                </w:p>
              </w:tc>
            </w:tr>
            <w:tr w14:paraId="0AF136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0" w:type="pct"/>
                  <w:vAlign w:val="center"/>
                </w:tcPr>
                <w:p w14:paraId="0FA972EC">
                  <w:pPr>
                    <w:numPr>
                      <w:ilvl w:val="0"/>
                      <w:numId w:val="2"/>
                    </w:numPr>
                    <w:adjustRightInd w:val="0"/>
                    <w:snapToGrid w:val="0"/>
                    <w:jc w:val="center"/>
                    <w:rPr>
                      <w:rFonts w:eastAsia="仿宋_GB2312"/>
                      <w:snapToGrid w:val="0"/>
                      <w:kern w:val="0"/>
                      <w:sz w:val="21"/>
                      <w:szCs w:val="21"/>
                    </w:rPr>
                  </w:pPr>
                </w:p>
              </w:tc>
              <w:tc>
                <w:tcPr>
                  <w:tcW w:w="1061" w:type="pct"/>
                  <w:shd w:val="clear" w:color="auto" w:fill="auto"/>
                  <w:vAlign w:val="center"/>
                </w:tcPr>
                <w:p w14:paraId="261EC838">
                  <w:pPr>
                    <w:widowControl/>
                    <w:jc w:val="center"/>
                    <w:textAlignment w:val="center"/>
                    <w:rPr>
                      <w:rFonts w:eastAsia="仿宋_GB2312"/>
                      <w:snapToGrid w:val="0"/>
                      <w:kern w:val="0"/>
                      <w:sz w:val="21"/>
                      <w:szCs w:val="21"/>
                    </w:rPr>
                  </w:pPr>
                  <w:r>
                    <w:rPr>
                      <w:rFonts w:eastAsia="仿宋_GB2312"/>
                      <w:color w:val="000000"/>
                      <w:sz w:val="21"/>
                      <w:szCs w:val="21"/>
                    </w:rPr>
                    <w:t>P-1551/1552/1553</w:t>
                  </w:r>
                </w:p>
              </w:tc>
              <w:tc>
                <w:tcPr>
                  <w:tcW w:w="670" w:type="pct"/>
                  <w:shd w:val="clear" w:color="auto" w:fill="auto"/>
                  <w:vAlign w:val="center"/>
                </w:tcPr>
                <w:p w14:paraId="7C079327">
                  <w:pPr>
                    <w:widowControl/>
                    <w:jc w:val="center"/>
                    <w:textAlignment w:val="center"/>
                    <w:rPr>
                      <w:rFonts w:eastAsia="仿宋_GB2312"/>
                      <w:snapToGrid w:val="0"/>
                      <w:kern w:val="0"/>
                      <w:sz w:val="21"/>
                      <w:szCs w:val="21"/>
                    </w:rPr>
                  </w:pPr>
                  <w:r>
                    <w:rPr>
                      <w:rFonts w:eastAsia="仿宋_GB2312"/>
                      <w:color w:val="000000"/>
                      <w:sz w:val="21"/>
                      <w:szCs w:val="21"/>
                    </w:rPr>
                    <w:t>反应罐泥浆泵</w:t>
                  </w:r>
                </w:p>
              </w:tc>
              <w:tc>
                <w:tcPr>
                  <w:tcW w:w="1271" w:type="pct"/>
                  <w:shd w:val="clear" w:color="auto" w:fill="auto"/>
                  <w:vAlign w:val="center"/>
                </w:tcPr>
                <w:p w14:paraId="6DA81837">
                  <w:pPr>
                    <w:widowControl/>
                    <w:jc w:val="center"/>
                    <w:textAlignment w:val="center"/>
                    <w:rPr>
                      <w:rFonts w:eastAsia="仿宋_GB2312"/>
                      <w:snapToGrid w:val="0"/>
                      <w:kern w:val="0"/>
                      <w:sz w:val="21"/>
                      <w:szCs w:val="21"/>
                    </w:rPr>
                  </w:pPr>
                  <w:r>
                    <w:rPr>
                      <w:rFonts w:eastAsia="仿宋_GB2312"/>
                      <w:color w:val="000000"/>
                      <w:sz w:val="21"/>
                      <w:szCs w:val="21"/>
                    </w:rPr>
                    <w:t>D32-125</w:t>
                  </w:r>
                </w:p>
              </w:tc>
              <w:tc>
                <w:tcPr>
                  <w:tcW w:w="740" w:type="pct"/>
                  <w:vAlign w:val="center"/>
                </w:tcPr>
                <w:p w14:paraId="02A5FB23">
                  <w:pPr>
                    <w:widowControl/>
                    <w:jc w:val="center"/>
                    <w:textAlignment w:val="center"/>
                    <w:rPr>
                      <w:rFonts w:eastAsia="仿宋_GB2312"/>
                      <w:snapToGrid w:val="0"/>
                      <w:kern w:val="0"/>
                      <w:sz w:val="21"/>
                      <w:szCs w:val="21"/>
                    </w:rPr>
                  </w:pPr>
                  <w:r>
                    <w:rPr>
                      <w:rFonts w:eastAsia="仿宋_GB2312"/>
                      <w:snapToGrid w:val="0"/>
                      <w:kern w:val="0"/>
                      <w:sz w:val="21"/>
                      <w:szCs w:val="21"/>
                    </w:rPr>
                    <w:t>3</w:t>
                  </w:r>
                </w:p>
              </w:tc>
              <w:tc>
                <w:tcPr>
                  <w:tcW w:w="925" w:type="pct"/>
                  <w:vAlign w:val="center"/>
                </w:tcPr>
                <w:p w14:paraId="76876DF0">
                  <w:pPr>
                    <w:adjustRightInd w:val="0"/>
                    <w:snapToGrid w:val="0"/>
                    <w:jc w:val="center"/>
                    <w:rPr>
                      <w:rFonts w:eastAsia="仿宋_GB2312"/>
                      <w:snapToGrid w:val="0"/>
                      <w:kern w:val="0"/>
                      <w:sz w:val="21"/>
                      <w:szCs w:val="21"/>
                    </w:rPr>
                  </w:pPr>
                  <w:r>
                    <w:rPr>
                      <w:rFonts w:ascii="Times New Roman" w:eastAsia="仿宋_GB2312"/>
                      <w:color w:val="000000"/>
                      <w:sz w:val="21"/>
                      <w:szCs w:val="21"/>
                    </w:rPr>
                    <w:t>连续式双膜法产线</w:t>
                  </w:r>
                  <w:r>
                    <w:rPr>
                      <w:rFonts w:hint="eastAsia" w:eastAsia="仿宋_GB2312"/>
                      <w:color w:val="000000"/>
                      <w:sz w:val="21"/>
                      <w:szCs w:val="21"/>
                      <w:lang w:eastAsia="zh-CN"/>
                    </w:rPr>
                    <w:t>，</w:t>
                  </w:r>
                  <w:r>
                    <w:rPr>
                      <w:rFonts w:eastAsia="仿宋_GB2312"/>
                      <w:snapToGrid w:val="0"/>
                      <w:kern w:val="0"/>
                      <w:sz w:val="21"/>
                      <w:szCs w:val="21"/>
                    </w:rPr>
                    <w:t>新增</w:t>
                  </w:r>
                </w:p>
              </w:tc>
            </w:tr>
            <w:tr w14:paraId="69A4A2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0" w:type="pct"/>
                  <w:vAlign w:val="center"/>
                </w:tcPr>
                <w:p w14:paraId="7FFBEFBC">
                  <w:pPr>
                    <w:numPr>
                      <w:ilvl w:val="0"/>
                      <w:numId w:val="2"/>
                    </w:numPr>
                    <w:adjustRightInd w:val="0"/>
                    <w:snapToGrid w:val="0"/>
                    <w:jc w:val="center"/>
                    <w:rPr>
                      <w:rFonts w:eastAsia="仿宋_GB2312"/>
                      <w:snapToGrid w:val="0"/>
                      <w:kern w:val="0"/>
                      <w:sz w:val="21"/>
                      <w:szCs w:val="21"/>
                    </w:rPr>
                  </w:pPr>
                </w:p>
              </w:tc>
              <w:tc>
                <w:tcPr>
                  <w:tcW w:w="1061" w:type="pct"/>
                  <w:shd w:val="clear" w:color="auto" w:fill="auto"/>
                  <w:vAlign w:val="center"/>
                </w:tcPr>
                <w:p w14:paraId="6D3D7654">
                  <w:pPr>
                    <w:widowControl/>
                    <w:jc w:val="center"/>
                    <w:textAlignment w:val="center"/>
                    <w:rPr>
                      <w:rFonts w:eastAsia="仿宋_GB2312"/>
                      <w:snapToGrid w:val="0"/>
                      <w:kern w:val="0"/>
                      <w:sz w:val="21"/>
                      <w:szCs w:val="21"/>
                    </w:rPr>
                  </w:pPr>
                  <w:r>
                    <w:rPr>
                      <w:rFonts w:eastAsia="仿宋_GB2312"/>
                      <w:color w:val="000000"/>
                      <w:sz w:val="21"/>
                      <w:szCs w:val="21"/>
                    </w:rPr>
                    <w:t>P-1475A</w:t>
                  </w:r>
                </w:p>
              </w:tc>
              <w:tc>
                <w:tcPr>
                  <w:tcW w:w="670" w:type="pct"/>
                  <w:shd w:val="clear" w:color="auto" w:fill="auto"/>
                  <w:vAlign w:val="center"/>
                </w:tcPr>
                <w:p w14:paraId="4C7FA4E1">
                  <w:pPr>
                    <w:widowControl/>
                    <w:jc w:val="center"/>
                    <w:textAlignment w:val="center"/>
                    <w:rPr>
                      <w:rFonts w:eastAsia="仿宋_GB2312"/>
                      <w:snapToGrid w:val="0"/>
                      <w:kern w:val="0"/>
                      <w:sz w:val="21"/>
                      <w:szCs w:val="21"/>
                    </w:rPr>
                  </w:pPr>
                  <w:r>
                    <w:rPr>
                      <w:rFonts w:eastAsia="仿宋_GB2312"/>
                      <w:color w:val="000000"/>
                      <w:sz w:val="21"/>
                      <w:szCs w:val="21"/>
                    </w:rPr>
                    <w:t>次氯酸钠卸料泵</w:t>
                  </w:r>
                </w:p>
              </w:tc>
              <w:tc>
                <w:tcPr>
                  <w:tcW w:w="1271" w:type="pct"/>
                  <w:shd w:val="clear" w:color="auto" w:fill="auto"/>
                  <w:vAlign w:val="center"/>
                </w:tcPr>
                <w:p w14:paraId="0F486276">
                  <w:pPr>
                    <w:jc w:val="center"/>
                    <w:rPr>
                      <w:rFonts w:eastAsia="仿宋_GB2312"/>
                      <w:snapToGrid w:val="0"/>
                      <w:kern w:val="0"/>
                      <w:sz w:val="21"/>
                      <w:szCs w:val="21"/>
                    </w:rPr>
                  </w:pPr>
                  <w:r>
                    <w:rPr>
                      <w:rFonts w:eastAsia="仿宋_GB2312"/>
                      <w:color w:val="000000"/>
                      <w:sz w:val="21"/>
                      <w:szCs w:val="21"/>
                    </w:rPr>
                    <w:t>TIF65-50-125</w:t>
                  </w:r>
                </w:p>
              </w:tc>
              <w:tc>
                <w:tcPr>
                  <w:tcW w:w="740" w:type="pct"/>
                  <w:vAlign w:val="center"/>
                </w:tcPr>
                <w:p w14:paraId="553EACE2">
                  <w:pPr>
                    <w:widowControl/>
                    <w:jc w:val="center"/>
                    <w:textAlignment w:val="center"/>
                    <w:rPr>
                      <w:rFonts w:eastAsia="仿宋_GB2312"/>
                      <w:snapToGrid w:val="0"/>
                      <w:kern w:val="0"/>
                      <w:sz w:val="21"/>
                      <w:szCs w:val="21"/>
                    </w:rPr>
                  </w:pPr>
                  <w:r>
                    <w:rPr>
                      <w:rFonts w:eastAsia="仿宋_GB2312"/>
                      <w:snapToGrid w:val="0"/>
                      <w:kern w:val="0"/>
                      <w:sz w:val="21"/>
                      <w:szCs w:val="21"/>
                    </w:rPr>
                    <w:t>1</w:t>
                  </w:r>
                </w:p>
              </w:tc>
              <w:tc>
                <w:tcPr>
                  <w:tcW w:w="925" w:type="pct"/>
                  <w:vAlign w:val="center"/>
                </w:tcPr>
                <w:p w14:paraId="08361656">
                  <w:pPr>
                    <w:adjustRightInd w:val="0"/>
                    <w:snapToGrid w:val="0"/>
                    <w:jc w:val="center"/>
                    <w:rPr>
                      <w:rFonts w:eastAsia="仿宋_GB2312"/>
                      <w:snapToGrid w:val="0"/>
                      <w:kern w:val="0"/>
                      <w:sz w:val="21"/>
                      <w:szCs w:val="21"/>
                    </w:rPr>
                  </w:pPr>
                  <w:r>
                    <w:rPr>
                      <w:rFonts w:ascii="Times New Roman" w:eastAsia="仿宋_GB2312"/>
                      <w:color w:val="000000"/>
                      <w:sz w:val="21"/>
                      <w:szCs w:val="21"/>
                    </w:rPr>
                    <w:t>连续式双膜法产线</w:t>
                  </w:r>
                  <w:r>
                    <w:rPr>
                      <w:rFonts w:hint="eastAsia" w:eastAsia="仿宋_GB2312"/>
                      <w:color w:val="000000"/>
                      <w:sz w:val="21"/>
                      <w:szCs w:val="21"/>
                      <w:lang w:eastAsia="zh-CN"/>
                    </w:rPr>
                    <w:t>，</w:t>
                  </w:r>
                  <w:r>
                    <w:rPr>
                      <w:rFonts w:eastAsia="仿宋_GB2312"/>
                      <w:snapToGrid w:val="0"/>
                      <w:kern w:val="0"/>
                      <w:sz w:val="21"/>
                      <w:szCs w:val="21"/>
                    </w:rPr>
                    <w:t>新增</w:t>
                  </w:r>
                </w:p>
              </w:tc>
            </w:tr>
            <w:tr w14:paraId="087F26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0" w:type="pct"/>
                  <w:vAlign w:val="center"/>
                </w:tcPr>
                <w:p w14:paraId="41F6157C">
                  <w:pPr>
                    <w:numPr>
                      <w:ilvl w:val="0"/>
                      <w:numId w:val="2"/>
                    </w:numPr>
                    <w:adjustRightInd w:val="0"/>
                    <w:snapToGrid w:val="0"/>
                    <w:jc w:val="center"/>
                    <w:rPr>
                      <w:rFonts w:eastAsia="仿宋_GB2312"/>
                      <w:snapToGrid w:val="0"/>
                      <w:kern w:val="0"/>
                      <w:sz w:val="21"/>
                      <w:szCs w:val="21"/>
                    </w:rPr>
                  </w:pPr>
                </w:p>
              </w:tc>
              <w:tc>
                <w:tcPr>
                  <w:tcW w:w="1061" w:type="pct"/>
                  <w:shd w:val="clear" w:color="auto" w:fill="auto"/>
                  <w:vAlign w:val="center"/>
                </w:tcPr>
                <w:p w14:paraId="62439D2A">
                  <w:pPr>
                    <w:widowControl/>
                    <w:jc w:val="center"/>
                    <w:textAlignment w:val="center"/>
                    <w:rPr>
                      <w:rFonts w:eastAsia="仿宋_GB2312"/>
                      <w:snapToGrid w:val="0"/>
                      <w:kern w:val="0"/>
                      <w:sz w:val="21"/>
                      <w:szCs w:val="21"/>
                    </w:rPr>
                  </w:pPr>
                  <w:r>
                    <w:rPr>
                      <w:rFonts w:eastAsia="仿宋_GB2312"/>
                      <w:color w:val="000000"/>
                      <w:sz w:val="21"/>
                      <w:szCs w:val="21"/>
                    </w:rPr>
                    <w:t>P-1475B/C</w:t>
                  </w:r>
                </w:p>
              </w:tc>
              <w:tc>
                <w:tcPr>
                  <w:tcW w:w="670" w:type="pct"/>
                  <w:shd w:val="clear" w:color="auto" w:fill="auto"/>
                  <w:vAlign w:val="center"/>
                </w:tcPr>
                <w:p w14:paraId="35E1096B">
                  <w:pPr>
                    <w:widowControl/>
                    <w:jc w:val="center"/>
                    <w:textAlignment w:val="center"/>
                    <w:rPr>
                      <w:rFonts w:eastAsia="仿宋_GB2312"/>
                      <w:snapToGrid w:val="0"/>
                      <w:kern w:val="0"/>
                      <w:sz w:val="21"/>
                      <w:szCs w:val="21"/>
                    </w:rPr>
                  </w:pPr>
                  <w:r>
                    <w:rPr>
                      <w:rFonts w:eastAsia="仿宋_GB2312"/>
                      <w:color w:val="000000"/>
                      <w:sz w:val="21"/>
                      <w:szCs w:val="21"/>
                    </w:rPr>
                    <w:t>次氯酸钠加料泵</w:t>
                  </w:r>
                </w:p>
              </w:tc>
              <w:tc>
                <w:tcPr>
                  <w:tcW w:w="1271" w:type="pct"/>
                  <w:shd w:val="clear" w:color="auto" w:fill="auto"/>
                  <w:vAlign w:val="center"/>
                </w:tcPr>
                <w:p w14:paraId="5C7B9962">
                  <w:pPr>
                    <w:jc w:val="center"/>
                    <w:rPr>
                      <w:rFonts w:eastAsia="仿宋_GB2312"/>
                      <w:snapToGrid w:val="0"/>
                      <w:kern w:val="0"/>
                      <w:sz w:val="21"/>
                      <w:szCs w:val="21"/>
                    </w:rPr>
                  </w:pPr>
                  <w:r>
                    <w:rPr>
                      <w:rFonts w:eastAsia="仿宋_GB2312"/>
                      <w:color w:val="000000"/>
                      <w:sz w:val="21"/>
                      <w:szCs w:val="21"/>
                    </w:rPr>
                    <w:t>40FSB-32L</w:t>
                  </w:r>
                </w:p>
              </w:tc>
              <w:tc>
                <w:tcPr>
                  <w:tcW w:w="740" w:type="pct"/>
                  <w:vAlign w:val="center"/>
                </w:tcPr>
                <w:p w14:paraId="686A60D5">
                  <w:pPr>
                    <w:widowControl/>
                    <w:jc w:val="center"/>
                    <w:textAlignment w:val="center"/>
                    <w:rPr>
                      <w:rFonts w:eastAsia="仿宋_GB2312"/>
                      <w:snapToGrid w:val="0"/>
                      <w:kern w:val="0"/>
                      <w:sz w:val="21"/>
                      <w:szCs w:val="21"/>
                    </w:rPr>
                  </w:pPr>
                  <w:r>
                    <w:rPr>
                      <w:rFonts w:eastAsia="仿宋_GB2312"/>
                      <w:snapToGrid w:val="0"/>
                      <w:kern w:val="0"/>
                      <w:sz w:val="21"/>
                      <w:szCs w:val="21"/>
                    </w:rPr>
                    <w:t>2</w:t>
                  </w:r>
                </w:p>
              </w:tc>
              <w:tc>
                <w:tcPr>
                  <w:tcW w:w="925" w:type="pct"/>
                  <w:vAlign w:val="center"/>
                </w:tcPr>
                <w:p w14:paraId="14496C44">
                  <w:pPr>
                    <w:adjustRightInd w:val="0"/>
                    <w:snapToGrid w:val="0"/>
                    <w:jc w:val="center"/>
                    <w:rPr>
                      <w:rFonts w:eastAsia="仿宋_GB2312"/>
                      <w:snapToGrid w:val="0"/>
                      <w:kern w:val="0"/>
                      <w:sz w:val="21"/>
                      <w:szCs w:val="21"/>
                    </w:rPr>
                  </w:pPr>
                  <w:r>
                    <w:rPr>
                      <w:rFonts w:ascii="Times New Roman" w:eastAsia="仿宋_GB2312"/>
                      <w:color w:val="000000"/>
                      <w:sz w:val="21"/>
                      <w:szCs w:val="21"/>
                    </w:rPr>
                    <w:t>连续式双膜法产线</w:t>
                  </w:r>
                  <w:r>
                    <w:rPr>
                      <w:rFonts w:hint="eastAsia" w:eastAsia="仿宋_GB2312"/>
                      <w:color w:val="000000"/>
                      <w:sz w:val="21"/>
                      <w:szCs w:val="21"/>
                      <w:lang w:eastAsia="zh-CN"/>
                    </w:rPr>
                    <w:t>，</w:t>
                  </w:r>
                  <w:r>
                    <w:rPr>
                      <w:rFonts w:eastAsia="仿宋_GB2312"/>
                      <w:snapToGrid w:val="0"/>
                      <w:kern w:val="0"/>
                      <w:sz w:val="21"/>
                      <w:szCs w:val="21"/>
                    </w:rPr>
                    <w:t>新增</w:t>
                  </w:r>
                </w:p>
              </w:tc>
            </w:tr>
            <w:tr w14:paraId="2D3BBA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0" w:type="pct"/>
                  <w:vAlign w:val="center"/>
                </w:tcPr>
                <w:p w14:paraId="62951545">
                  <w:pPr>
                    <w:numPr>
                      <w:ilvl w:val="0"/>
                      <w:numId w:val="2"/>
                    </w:numPr>
                    <w:adjustRightInd w:val="0"/>
                    <w:snapToGrid w:val="0"/>
                    <w:jc w:val="center"/>
                    <w:rPr>
                      <w:rFonts w:eastAsia="仿宋_GB2312"/>
                      <w:snapToGrid w:val="0"/>
                      <w:kern w:val="0"/>
                      <w:sz w:val="21"/>
                      <w:szCs w:val="21"/>
                    </w:rPr>
                  </w:pPr>
                </w:p>
              </w:tc>
              <w:tc>
                <w:tcPr>
                  <w:tcW w:w="1061" w:type="pct"/>
                  <w:shd w:val="clear" w:color="auto" w:fill="auto"/>
                  <w:vAlign w:val="center"/>
                </w:tcPr>
                <w:p w14:paraId="6BAB4346">
                  <w:pPr>
                    <w:widowControl/>
                    <w:jc w:val="center"/>
                    <w:textAlignment w:val="center"/>
                    <w:rPr>
                      <w:rFonts w:eastAsia="仿宋_GB2312"/>
                      <w:snapToGrid w:val="0"/>
                      <w:color w:val="000000"/>
                      <w:kern w:val="0"/>
                      <w:sz w:val="21"/>
                      <w:szCs w:val="21"/>
                    </w:rPr>
                  </w:pPr>
                  <w:r>
                    <w:rPr>
                      <w:rFonts w:eastAsia="仿宋_GB2312"/>
                      <w:color w:val="000000"/>
                      <w:sz w:val="21"/>
                      <w:szCs w:val="21"/>
                    </w:rPr>
                    <w:t>P-1476A</w:t>
                  </w:r>
                </w:p>
              </w:tc>
              <w:tc>
                <w:tcPr>
                  <w:tcW w:w="670" w:type="pct"/>
                  <w:shd w:val="clear" w:color="auto" w:fill="auto"/>
                  <w:vAlign w:val="center"/>
                </w:tcPr>
                <w:p w14:paraId="7E8CCEEF">
                  <w:pPr>
                    <w:widowControl/>
                    <w:jc w:val="center"/>
                    <w:textAlignment w:val="center"/>
                    <w:rPr>
                      <w:rFonts w:eastAsia="仿宋_GB2312"/>
                      <w:snapToGrid w:val="0"/>
                      <w:color w:val="000000"/>
                      <w:kern w:val="0"/>
                      <w:sz w:val="21"/>
                      <w:szCs w:val="21"/>
                    </w:rPr>
                  </w:pPr>
                  <w:r>
                    <w:rPr>
                      <w:rFonts w:eastAsia="仿宋_GB2312"/>
                      <w:color w:val="000000"/>
                      <w:sz w:val="21"/>
                      <w:szCs w:val="21"/>
                    </w:rPr>
                    <w:t>亚硫酸钠转料泵</w:t>
                  </w:r>
                </w:p>
              </w:tc>
              <w:tc>
                <w:tcPr>
                  <w:tcW w:w="1271" w:type="pct"/>
                  <w:shd w:val="clear" w:color="auto" w:fill="auto"/>
                  <w:vAlign w:val="center"/>
                </w:tcPr>
                <w:p w14:paraId="4D68F0F6">
                  <w:pPr>
                    <w:widowControl/>
                    <w:jc w:val="center"/>
                    <w:textAlignment w:val="center"/>
                    <w:rPr>
                      <w:rFonts w:eastAsia="仿宋_GB2312"/>
                      <w:snapToGrid w:val="0"/>
                      <w:color w:val="000000"/>
                      <w:kern w:val="0"/>
                      <w:sz w:val="21"/>
                      <w:szCs w:val="21"/>
                    </w:rPr>
                  </w:pPr>
                  <w:r>
                    <w:rPr>
                      <w:rFonts w:eastAsia="仿宋_GB2312"/>
                      <w:color w:val="000000"/>
                      <w:sz w:val="21"/>
                      <w:szCs w:val="21"/>
                    </w:rPr>
                    <w:t>Al1-50</w:t>
                  </w:r>
                </w:p>
              </w:tc>
              <w:tc>
                <w:tcPr>
                  <w:tcW w:w="740" w:type="pct"/>
                  <w:vAlign w:val="center"/>
                </w:tcPr>
                <w:p w14:paraId="4A6A592B">
                  <w:pPr>
                    <w:widowControl/>
                    <w:jc w:val="center"/>
                    <w:textAlignment w:val="center"/>
                    <w:rPr>
                      <w:rFonts w:eastAsia="仿宋_GB2312"/>
                      <w:snapToGrid w:val="0"/>
                      <w:kern w:val="0"/>
                      <w:sz w:val="21"/>
                      <w:szCs w:val="21"/>
                    </w:rPr>
                  </w:pPr>
                  <w:r>
                    <w:rPr>
                      <w:rFonts w:eastAsia="仿宋_GB2312"/>
                      <w:snapToGrid w:val="0"/>
                      <w:kern w:val="0"/>
                      <w:sz w:val="21"/>
                      <w:szCs w:val="21"/>
                    </w:rPr>
                    <w:t>1</w:t>
                  </w:r>
                </w:p>
              </w:tc>
              <w:tc>
                <w:tcPr>
                  <w:tcW w:w="925" w:type="pct"/>
                  <w:vAlign w:val="center"/>
                </w:tcPr>
                <w:p w14:paraId="23D4CBB6">
                  <w:pPr>
                    <w:widowControl/>
                    <w:jc w:val="center"/>
                    <w:textAlignment w:val="center"/>
                    <w:rPr>
                      <w:rFonts w:eastAsia="仿宋_GB2312"/>
                      <w:snapToGrid w:val="0"/>
                      <w:kern w:val="0"/>
                      <w:sz w:val="21"/>
                      <w:szCs w:val="21"/>
                    </w:rPr>
                  </w:pPr>
                  <w:r>
                    <w:rPr>
                      <w:rFonts w:ascii="Times New Roman" w:eastAsia="仿宋_GB2312"/>
                      <w:color w:val="000000"/>
                      <w:sz w:val="21"/>
                      <w:szCs w:val="21"/>
                    </w:rPr>
                    <w:t>连续式双膜法产线</w:t>
                  </w:r>
                  <w:r>
                    <w:rPr>
                      <w:rFonts w:hint="eastAsia" w:eastAsia="仿宋_GB2312"/>
                      <w:color w:val="000000"/>
                      <w:sz w:val="21"/>
                      <w:szCs w:val="21"/>
                      <w:lang w:eastAsia="zh-CN"/>
                    </w:rPr>
                    <w:t>，</w:t>
                  </w:r>
                  <w:r>
                    <w:rPr>
                      <w:rFonts w:eastAsia="仿宋_GB2312"/>
                      <w:snapToGrid w:val="0"/>
                      <w:kern w:val="0"/>
                      <w:sz w:val="21"/>
                      <w:szCs w:val="21"/>
                    </w:rPr>
                    <w:t>新增</w:t>
                  </w:r>
                </w:p>
              </w:tc>
            </w:tr>
            <w:tr w14:paraId="7F7096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0" w:type="pct"/>
                  <w:vAlign w:val="center"/>
                </w:tcPr>
                <w:p w14:paraId="50AC9D52">
                  <w:pPr>
                    <w:numPr>
                      <w:ilvl w:val="0"/>
                      <w:numId w:val="2"/>
                    </w:numPr>
                    <w:adjustRightInd w:val="0"/>
                    <w:snapToGrid w:val="0"/>
                    <w:jc w:val="center"/>
                    <w:rPr>
                      <w:rFonts w:eastAsia="仿宋_GB2312"/>
                      <w:snapToGrid w:val="0"/>
                      <w:kern w:val="0"/>
                      <w:sz w:val="21"/>
                      <w:szCs w:val="21"/>
                    </w:rPr>
                  </w:pPr>
                </w:p>
              </w:tc>
              <w:tc>
                <w:tcPr>
                  <w:tcW w:w="1061" w:type="pct"/>
                  <w:shd w:val="clear" w:color="auto" w:fill="auto"/>
                  <w:vAlign w:val="center"/>
                </w:tcPr>
                <w:p w14:paraId="5F7F65AC">
                  <w:pPr>
                    <w:widowControl/>
                    <w:jc w:val="center"/>
                    <w:textAlignment w:val="center"/>
                    <w:rPr>
                      <w:rFonts w:eastAsia="仿宋_GB2312"/>
                      <w:snapToGrid w:val="0"/>
                      <w:color w:val="000000"/>
                      <w:kern w:val="0"/>
                      <w:sz w:val="21"/>
                      <w:szCs w:val="21"/>
                    </w:rPr>
                  </w:pPr>
                  <w:r>
                    <w:rPr>
                      <w:rFonts w:eastAsia="仿宋_GB2312"/>
                      <w:color w:val="000000"/>
                      <w:sz w:val="21"/>
                      <w:szCs w:val="21"/>
                    </w:rPr>
                    <w:t>P-1476B</w:t>
                  </w:r>
                </w:p>
              </w:tc>
              <w:tc>
                <w:tcPr>
                  <w:tcW w:w="670" w:type="pct"/>
                  <w:shd w:val="clear" w:color="auto" w:fill="auto"/>
                  <w:vAlign w:val="center"/>
                </w:tcPr>
                <w:p w14:paraId="59F57B71">
                  <w:pPr>
                    <w:widowControl/>
                    <w:jc w:val="center"/>
                    <w:textAlignment w:val="center"/>
                    <w:rPr>
                      <w:rFonts w:eastAsia="仿宋_GB2312"/>
                      <w:snapToGrid w:val="0"/>
                      <w:color w:val="000000"/>
                      <w:kern w:val="0"/>
                      <w:sz w:val="21"/>
                      <w:szCs w:val="21"/>
                    </w:rPr>
                  </w:pPr>
                  <w:r>
                    <w:rPr>
                      <w:rFonts w:eastAsia="仿宋_GB2312"/>
                      <w:color w:val="000000"/>
                      <w:sz w:val="21"/>
                      <w:szCs w:val="21"/>
                    </w:rPr>
                    <w:t>亚硫酸钠转料泵</w:t>
                  </w:r>
                </w:p>
              </w:tc>
              <w:tc>
                <w:tcPr>
                  <w:tcW w:w="1271" w:type="pct"/>
                  <w:shd w:val="clear" w:color="auto" w:fill="auto"/>
                  <w:vAlign w:val="center"/>
                </w:tcPr>
                <w:p w14:paraId="13FE3CB9">
                  <w:pPr>
                    <w:widowControl/>
                    <w:jc w:val="center"/>
                    <w:textAlignment w:val="center"/>
                    <w:rPr>
                      <w:rFonts w:eastAsia="仿宋_GB2312"/>
                      <w:snapToGrid w:val="0"/>
                      <w:color w:val="000000"/>
                      <w:kern w:val="0"/>
                      <w:sz w:val="21"/>
                      <w:szCs w:val="21"/>
                    </w:rPr>
                  </w:pPr>
                  <w:r>
                    <w:rPr>
                      <w:rFonts w:eastAsia="仿宋_GB2312"/>
                      <w:color w:val="000000"/>
                      <w:sz w:val="21"/>
                      <w:szCs w:val="21"/>
                    </w:rPr>
                    <w:t>65WFB-C2</w:t>
                  </w:r>
                </w:p>
              </w:tc>
              <w:tc>
                <w:tcPr>
                  <w:tcW w:w="740" w:type="pct"/>
                  <w:vAlign w:val="center"/>
                </w:tcPr>
                <w:p w14:paraId="606EA643">
                  <w:pPr>
                    <w:widowControl/>
                    <w:jc w:val="center"/>
                    <w:textAlignment w:val="center"/>
                    <w:rPr>
                      <w:rFonts w:eastAsia="仿宋_GB2312"/>
                      <w:snapToGrid w:val="0"/>
                      <w:kern w:val="0"/>
                      <w:sz w:val="21"/>
                      <w:szCs w:val="21"/>
                    </w:rPr>
                  </w:pPr>
                  <w:r>
                    <w:rPr>
                      <w:rFonts w:eastAsia="仿宋_GB2312"/>
                      <w:snapToGrid w:val="0"/>
                      <w:kern w:val="0"/>
                      <w:sz w:val="21"/>
                      <w:szCs w:val="21"/>
                    </w:rPr>
                    <w:t>1</w:t>
                  </w:r>
                </w:p>
              </w:tc>
              <w:tc>
                <w:tcPr>
                  <w:tcW w:w="925" w:type="pct"/>
                  <w:vAlign w:val="center"/>
                </w:tcPr>
                <w:p w14:paraId="6CED6A83">
                  <w:pPr>
                    <w:widowControl/>
                    <w:jc w:val="center"/>
                    <w:textAlignment w:val="center"/>
                    <w:rPr>
                      <w:rFonts w:eastAsia="仿宋_GB2312"/>
                      <w:snapToGrid w:val="0"/>
                      <w:kern w:val="0"/>
                      <w:sz w:val="21"/>
                      <w:szCs w:val="21"/>
                    </w:rPr>
                  </w:pPr>
                  <w:r>
                    <w:rPr>
                      <w:rFonts w:ascii="Times New Roman" w:eastAsia="仿宋_GB2312"/>
                      <w:color w:val="000000"/>
                      <w:sz w:val="21"/>
                      <w:szCs w:val="21"/>
                    </w:rPr>
                    <w:t>连续式双膜法产线</w:t>
                  </w:r>
                  <w:r>
                    <w:rPr>
                      <w:rFonts w:hint="eastAsia" w:eastAsia="仿宋_GB2312"/>
                      <w:color w:val="000000"/>
                      <w:sz w:val="21"/>
                      <w:szCs w:val="21"/>
                      <w:lang w:eastAsia="zh-CN"/>
                    </w:rPr>
                    <w:t>，</w:t>
                  </w:r>
                  <w:r>
                    <w:rPr>
                      <w:rFonts w:eastAsia="仿宋_GB2312"/>
                      <w:snapToGrid w:val="0"/>
                      <w:kern w:val="0"/>
                      <w:sz w:val="21"/>
                      <w:szCs w:val="21"/>
                    </w:rPr>
                    <w:t>新增</w:t>
                  </w:r>
                </w:p>
              </w:tc>
            </w:tr>
            <w:tr w14:paraId="5DD0CE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0" w:type="pct"/>
                  <w:vAlign w:val="center"/>
                </w:tcPr>
                <w:p w14:paraId="272342C7">
                  <w:pPr>
                    <w:numPr>
                      <w:ilvl w:val="0"/>
                      <w:numId w:val="2"/>
                    </w:numPr>
                    <w:adjustRightInd w:val="0"/>
                    <w:snapToGrid w:val="0"/>
                    <w:jc w:val="center"/>
                    <w:rPr>
                      <w:rFonts w:eastAsia="仿宋_GB2312"/>
                      <w:snapToGrid w:val="0"/>
                      <w:kern w:val="0"/>
                      <w:sz w:val="21"/>
                      <w:szCs w:val="21"/>
                    </w:rPr>
                  </w:pPr>
                </w:p>
              </w:tc>
              <w:tc>
                <w:tcPr>
                  <w:tcW w:w="1061" w:type="pct"/>
                  <w:shd w:val="clear" w:color="auto" w:fill="auto"/>
                  <w:vAlign w:val="center"/>
                </w:tcPr>
                <w:p w14:paraId="71AAF8B1">
                  <w:pPr>
                    <w:widowControl/>
                    <w:jc w:val="center"/>
                    <w:textAlignment w:val="center"/>
                    <w:rPr>
                      <w:rFonts w:eastAsia="仿宋_GB2312"/>
                      <w:snapToGrid w:val="0"/>
                      <w:color w:val="000000"/>
                      <w:kern w:val="0"/>
                      <w:sz w:val="21"/>
                      <w:szCs w:val="21"/>
                    </w:rPr>
                  </w:pPr>
                  <w:r>
                    <w:rPr>
                      <w:rFonts w:eastAsia="仿宋_GB2312"/>
                      <w:color w:val="000000"/>
                      <w:sz w:val="21"/>
                      <w:szCs w:val="21"/>
                    </w:rPr>
                    <w:t>P-1477A/B</w:t>
                  </w:r>
                </w:p>
              </w:tc>
              <w:tc>
                <w:tcPr>
                  <w:tcW w:w="670" w:type="pct"/>
                  <w:shd w:val="clear" w:color="auto" w:fill="auto"/>
                  <w:vAlign w:val="center"/>
                </w:tcPr>
                <w:p w14:paraId="5D1DA6EC">
                  <w:pPr>
                    <w:widowControl/>
                    <w:jc w:val="center"/>
                    <w:textAlignment w:val="center"/>
                    <w:rPr>
                      <w:rFonts w:eastAsia="仿宋_GB2312"/>
                      <w:snapToGrid w:val="0"/>
                      <w:color w:val="000000"/>
                      <w:kern w:val="0"/>
                      <w:sz w:val="21"/>
                      <w:szCs w:val="21"/>
                    </w:rPr>
                  </w:pPr>
                  <w:r>
                    <w:rPr>
                      <w:rFonts w:eastAsia="仿宋_GB2312"/>
                      <w:color w:val="000000"/>
                      <w:sz w:val="21"/>
                      <w:szCs w:val="21"/>
                    </w:rPr>
                    <w:t>亚硫酸钠加料泵</w:t>
                  </w:r>
                </w:p>
              </w:tc>
              <w:tc>
                <w:tcPr>
                  <w:tcW w:w="1271" w:type="pct"/>
                  <w:shd w:val="clear" w:color="auto" w:fill="auto"/>
                  <w:vAlign w:val="center"/>
                </w:tcPr>
                <w:p w14:paraId="2E97DECF">
                  <w:pPr>
                    <w:widowControl/>
                    <w:jc w:val="center"/>
                    <w:textAlignment w:val="center"/>
                    <w:rPr>
                      <w:rFonts w:eastAsia="仿宋_GB2312"/>
                      <w:snapToGrid w:val="0"/>
                      <w:color w:val="000000"/>
                      <w:kern w:val="0"/>
                      <w:sz w:val="21"/>
                      <w:szCs w:val="21"/>
                    </w:rPr>
                  </w:pPr>
                  <w:r>
                    <w:rPr>
                      <w:rFonts w:eastAsia="仿宋_GB2312"/>
                      <w:color w:val="000000"/>
                      <w:sz w:val="21"/>
                      <w:szCs w:val="21"/>
                    </w:rPr>
                    <w:t>Al1-32</w:t>
                  </w:r>
                </w:p>
              </w:tc>
              <w:tc>
                <w:tcPr>
                  <w:tcW w:w="740" w:type="pct"/>
                  <w:vAlign w:val="center"/>
                </w:tcPr>
                <w:p w14:paraId="4CF1FEA8">
                  <w:pPr>
                    <w:widowControl/>
                    <w:jc w:val="center"/>
                    <w:textAlignment w:val="center"/>
                    <w:rPr>
                      <w:rFonts w:eastAsia="仿宋_GB2312"/>
                      <w:snapToGrid w:val="0"/>
                      <w:kern w:val="0"/>
                      <w:sz w:val="21"/>
                      <w:szCs w:val="21"/>
                    </w:rPr>
                  </w:pPr>
                  <w:r>
                    <w:rPr>
                      <w:rFonts w:eastAsia="仿宋_GB2312"/>
                      <w:snapToGrid w:val="0"/>
                      <w:kern w:val="0"/>
                      <w:sz w:val="21"/>
                      <w:szCs w:val="21"/>
                    </w:rPr>
                    <w:t>2</w:t>
                  </w:r>
                </w:p>
              </w:tc>
              <w:tc>
                <w:tcPr>
                  <w:tcW w:w="925" w:type="pct"/>
                  <w:vAlign w:val="center"/>
                </w:tcPr>
                <w:p w14:paraId="336D500A">
                  <w:pPr>
                    <w:adjustRightInd w:val="0"/>
                    <w:snapToGrid w:val="0"/>
                    <w:jc w:val="center"/>
                    <w:rPr>
                      <w:rFonts w:eastAsia="仿宋_GB2312"/>
                      <w:snapToGrid w:val="0"/>
                      <w:kern w:val="0"/>
                      <w:sz w:val="21"/>
                      <w:szCs w:val="21"/>
                    </w:rPr>
                  </w:pPr>
                  <w:r>
                    <w:rPr>
                      <w:rFonts w:ascii="Times New Roman" w:eastAsia="仿宋_GB2312"/>
                      <w:color w:val="000000"/>
                      <w:sz w:val="21"/>
                      <w:szCs w:val="21"/>
                    </w:rPr>
                    <w:t>连续式双膜法产线</w:t>
                  </w:r>
                  <w:r>
                    <w:rPr>
                      <w:rFonts w:hint="eastAsia" w:eastAsia="仿宋_GB2312"/>
                      <w:color w:val="000000"/>
                      <w:sz w:val="21"/>
                      <w:szCs w:val="21"/>
                      <w:lang w:eastAsia="zh-CN"/>
                    </w:rPr>
                    <w:t>，</w:t>
                  </w:r>
                  <w:r>
                    <w:rPr>
                      <w:rFonts w:eastAsia="仿宋_GB2312"/>
                      <w:snapToGrid w:val="0"/>
                      <w:kern w:val="0"/>
                      <w:sz w:val="21"/>
                      <w:szCs w:val="21"/>
                    </w:rPr>
                    <w:t>新增</w:t>
                  </w:r>
                </w:p>
              </w:tc>
            </w:tr>
            <w:tr w14:paraId="018B94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0" w:type="pct"/>
                  <w:vAlign w:val="center"/>
                </w:tcPr>
                <w:p w14:paraId="789B8759">
                  <w:pPr>
                    <w:numPr>
                      <w:ilvl w:val="0"/>
                      <w:numId w:val="2"/>
                    </w:numPr>
                    <w:adjustRightInd w:val="0"/>
                    <w:snapToGrid w:val="0"/>
                    <w:jc w:val="center"/>
                    <w:rPr>
                      <w:rFonts w:eastAsia="仿宋_GB2312"/>
                      <w:snapToGrid w:val="0"/>
                      <w:kern w:val="0"/>
                      <w:sz w:val="21"/>
                      <w:szCs w:val="21"/>
                    </w:rPr>
                  </w:pPr>
                </w:p>
              </w:tc>
              <w:tc>
                <w:tcPr>
                  <w:tcW w:w="1061" w:type="pct"/>
                  <w:shd w:val="clear" w:color="auto" w:fill="auto"/>
                  <w:vAlign w:val="center"/>
                </w:tcPr>
                <w:p w14:paraId="15228C4D">
                  <w:pPr>
                    <w:widowControl/>
                    <w:jc w:val="center"/>
                    <w:textAlignment w:val="center"/>
                    <w:rPr>
                      <w:rFonts w:eastAsia="仿宋_GB2312"/>
                      <w:snapToGrid w:val="0"/>
                      <w:color w:val="000000"/>
                      <w:kern w:val="0"/>
                      <w:sz w:val="21"/>
                      <w:szCs w:val="21"/>
                    </w:rPr>
                  </w:pPr>
                  <w:r>
                    <w:rPr>
                      <w:rFonts w:eastAsia="仿宋_GB2312"/>
                      <w:color w:val="000000"/>
                      <w:sz w:val="21"/>
                      <w:szCs w:val="21"/>
                    </w:rPr>
                    <w:t>P-1478A</w:t>
                  </w:r>
                </w:p>
              </w:tc>
              <w:tc>
                <w:tcPr>
                  <w:tcW w:w="670" w:type="pct"/>
                  <w:shd w:val="clear" w:color="auto" w:fill="auto"/>
                  <w:vAlign w:val="center"/>
                </w:tcPr>
                <w:p w14:paraId="749AA828">
                  <w:pPr>
                    <w:widowControl/>
                    <w:jc w:val="center"/>
                    <w:textAlignment w:val="center"/>
                    <w:rPr>
                      <w:rFonts w:eastAsia="仿宋_GB2312"/>
                      <w:snapToGrid w:val="0"/>
                      <w:color w:val="000000"/>
                      <w:kern w:val="0"/>
                      <w:sz w:val="21"/>
                      <w:szCs w:val="21"/>
                    </w:rPr>
                  </w:pPr>
                  <w:r>
                    <w:rPr>
                      <w:rFonts w:eastAsia="仿宋_GB2312"/>
                      <w:color w:val="000000"/>
                      <w:sz w:val="21"/>
                      <w:szCs w:val="21"/>
                    </w:rPr>
                    <w:t>盐酸卸料泵</w:t>
                  </w:r>
                </w:p>
              </w:tc>
              <w:tc>
                <w:tcPr>
                  <w:tcW w:w="1271" w:type="pct"/>
                  <w:shd w:val="clear" w:color="auto" w:fill="auto"/>
                  <w:vAlign w:val="center"/>
                </w:tcPr>
                <w:p w14:paraId="38D88B08">
                  <w:pPr>
                    <w:widowControl/>
                    <w:jc w:val="center"/>
                    <w:textAlignment w:val="center"/>
                    <w:rPr>
                      <w:rFonts w:eastAsia="仿宋_GB2312"/>
                      <w:snapToGrid w:val="0"/>
                      <w:color w:val="000000"/>
                      <w:kern w:val="0"/>
                      <w:sz w:val="21"/>
                      <w:szCs w:val="21"/>
                    </w:rPr>
                  </w:pPr>
                  <w:r>
                    <w:rPr>
                      <w:rFonts w:eastAsia="仿宋_GB2312"/>
                      <w:color w:val="000000"/>
                      <w:sz w:val="21"/>
                      <w:szCs w:val="21"/>
                    </w:rPr>
                    <w:t>TIF65-50-125</w:t>
                  </w:r>
                </w:p>
              </w:tc>
              <w:tc>
                <w:tcPr>
                  <w:tcW w:w="740" w:type="pct"/>
                  <w:vAlign w:val="center"/>
                </w:tcPr>
                <w:p w14:paraId="2B511A55">
                  <w:pPr>
                    <w:widowControl/>
                    <w:jc w:val="center"/>
                    <w:textAlignment w:val="center"/>
                    <w:rPr>
                      <w:rFonts w:eastAsia="仿宋_GB2312"/>
                      <w:snapToGrid w:val="0"/>
                      <w:kern w:val="0"/>
                      <w:sz w:val="21"/>
                      <w:szCs w:val="21"/>
                    </w:rPr>
                  </w:pPr>
                  <w:r>
                    <w:rPr>
                      <w:rFonts w:eastAsia="仿宋_GB2312"/>
                      <w:snapToGrid w:val="0"/>
                      <w:kern w:val="0"/>
                      <w:sz w:val="21"/>
                      <w:szCs w:val="21"/>
                    </w:rPr>
                    <w:t>1</w:t>
                  </w:r>
                </w:p>
              </w:tc>
              <w:tc>
                <w:tcPr>
                  <w:tcW w:w="925" w:type="pct"/>
                  <w:vAlign w:val="center"/>
                </w:tcPr>
                <w:p w14:paraId="6EFE7F23">
                  <w:pPr>
                    <w:adjustRightInd w:val="0"/>
                    <w:snapToGrid w:val="0"/>
                    <w:jc w:val="center"/>
                    <w:rPr>
                      <w:rFonts w:eastAsia="仿宋_GB2312"/>
                      <w:snapToGrid w:val="0"/>
                      <w:kern w:val="0"/>
                      <w:sz w:val="21"/>
                      <w:szCs w:val="21"/>
                    </w:rPr>
                  </w:pPr>
                  <w:r>
                    <w:rPr>
                      <w:rFonts w:ascii="Times New Roman" w:eastAsia="仿宋_GB2312"/>
                      <w:color w:val="000000"/>
                      <w:sz w:val="21"/>
                      <w:szCs w:val="21"/>
                    </w:rPr>
                    <w:t>连续式双膜法产线</w:t>
                  </w:r>
                  <w:r>
                    <w:rPr>
                      <w:rFonts w:hint="eastAsia" w:eastAsia="仿宋_GB2312"/>
                      <w:color w:val="000000"/>
                      <w:sz w:val="21"/>
                      <w:szCs w:val="21"/>
                      <w:lang w:eastAsia="zh-CN"/>
                    </w:rPr>
                    <w:t>，</w:t>
                  </w:r>
                  <w:r>
                    <w:rPr>
                      <w:rFonts w:eastAsia="仿宋_GB2312"/>
                      <w:snapToGrid w:val="0"/>
                      <w:kern w:val="0"/>
                      <w:sz w:val="21"/>
                      <w:szCs w:val="21"/>
                    </w:rPr>
                    <w:t>新增</w:t>
                  </w:r>
                </w:p>
              </w:tc>
            </w:tr>
            <w:tr w14:paraId="72F1A6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0" w:type="pct"/>
                  <w:vAlign w:val="center"/>
                </w:tcPr>
                <w:p w14:paraId="02127DAF">
                  <w:pPr>
                    <w:numPr>
                      <w:ilvl w:val="0"/>
                      <w:numId w:val="2"/>
                    </w:numPr>
                    <w:adjustRightInd w:val="0"/>
                    <w:snapToGrid w:val="0"/>
                    <w:jc w:val="center"/>
                    <w:rPr>
                      <w:rFonts w:eastAsia="仿宋_GB2312"/>
                      <w:snapToGrid w:val="0"/>
                      <w:kern w:val="0"/>
                      <w:sz w:val="21"/>
                      <w:szCs w:val="21"/>
                    </w:rPr>
                  </w:pPr>
                </w:p>
              </w:tc>
              <w:tc>
                <w:tcPr>
                  <w:tcW w:w="1061" w:type="pct"/>
                  <w:shd w:val="clear" w:color="auto" w:fill="auto"/>
                  <w:vAlign w:val="center"/>
                </w:tcPr>
                <w:p w14:paraId="4ED3E5A5">
                  <w:pPr>
                    <w:widowControl/>
                    <w:jc w:val="center"/>
                    <w:textAlignment w:val="center"/>
                    <w:rPr>
                      <w:rFonts w:eastAsia="仿宋_GB2312"/>
                      <w:snapToGrid w:val="0"/>
                      <w:color w:val="000000"/>
                      <w:kern w:val="0"/>
                      <w:sz w:val="21"/>
                      <w:szCs w:val="21"/>
                    </w:rPr>
                  </w:pPr>
                  <w:r>
                    <w:rPr>
                      <w:rFonts w:eastAsia="仿宋_GB2312"/>
                      <w:color w:val="000000"/>
                      <w:sz w:val="21"/>
                      <w:szCs w:val="21"/>
                    </w:rPr>
                    <w:t>P-1478B/C</w:t>
                  </w:r>
                </w:p>
              </w:tc>
              <w:tc>
                <w:tcPr>
                  <w:tcW w:w="670" w:type="pct"/>
                  <w:shd w:val="clear" w:color="auto" w:fill="auto"/>
                  <w:vAlign w:val="center"/>
                </w:tcPr>
                <w:p w14:paraId="396F9C77">
                  <w:pPr>
                    <w:widowControl/>
                    <w:jc w:val="center"/>
                    <w:textAlignment w:val="center"/>
                    <w:rPr>
                      <w:rFonts w:eastAsia="仿宋_GB2312"/>
                      <w:snapToGrid w:val="0"/>
                      <w:color w:val="000000"/>
                      <w:kern w:val="0"/>
                      <w:sz w:val="21"/>
                      <w:szCs w:val="21"/>
                    </w:rPr>
                  </w:pPr>
                  <w:r>
                    <w:rPr>
                      <w:rFonts w:eastAsia="仿宋_GB2312"/>
                      <w:color w:val="000000"/>
                      <w:sz w:val="21"/>
                      <w:szCs w:val="21"/>
                    </w:rPr>
                    <w:t>盐酸加料泵</w:t>
                  </w:r>
                </w:p>
              </w:tc>
              <w:tc>
                <w:tcPr>
                  <w:tcW w:w="1271" w:type="pct"/>
                  <w:shd w:val="clear" w:color="auto" w:fill="auto"/>
                  <w:vAlign w:val="center"/>
                </w:tcPr>
                <w:p w14:paraId="10CB0CD3">
                  <w:pPr>
                    <w:widowControl/>
                    <w:jc w:val="center"/>
                    <w:textAlignment w:val="center"/>
                    <w:rPr>
                      <w:rFonts w:eastAsia="仿宋_GB2312"/>
                      <w:snapToGrid w:val="0"/>
                      <w:color w:val="000000"/>
                      <w:kern w:val="0"/>
                      <w:sz w:val="21"/>
                      <w:szCs w:val="21"/>
                    </w:rPr>
                  </w:pPr>
                  <w:r>
                    <w:rPr>
                      <w:rFonts w:eastAsia="仿宋_GB2312"/>
                      <w:color w:val="000000"/>
                      <w:sz w:val="21"/>
                      <w:szCs w:val="21"/>
                    </w:rPr>
                    <w:t>MTMD12130PCET000S000</w:t>
                  </w:r>
                </w:p>
              </w:tc>
              <w:tc>
                <w:tcPr>
                  <w:tcW w:w="740" w:type="pct"/>
                  <w:vAlign w:val="center"/>
                </w:tcPr>
                <w:p w14:paraId="34DF5322">
                  <w:pPr>
                    <w:widowControl/>
                    <w:jc w:val="center"/>
                    <w:textAlignment w:val="center"/>
                    <w:rPr>
                      <w:rFonts w:eastAsia="仿宋_GB2312"/>
                      <w:snapToGrid w:val="0"/>
                      <w:kern w:val="0"/>
                      <w:sz w:val="21"/>
                      <w:szCs w:val="21"/>
                    </w:rPr>
                  </w:pPr>
                  <w:r>
                    <w:rPr>
                      <w:rFonts w:eastAsia="仿宋_GB2312"/>
                      <w:snapToGrid w:val="0"/>
                      <w:kern w:val="0"/>
                      <w:sz w:val="21"/>
                      <w:szCs w:val="21"/>
                    </w:rPr>
                    <w:t>2</w:t>
                  </w:r>
                </w:p>
              </w:tc>
              <w:tc>
                <w:tcPr>
                  <w:tcW w:w="925" w:type="pct"/>
                  <w:vAlign w:val="center"/>
                </w:tcPr>
                <w:p w14:paraId="455DCB44">
                  <w:pPr>
                    <w:adjustRightInd w:val="0"/>
                    <w:snapToGrid w:val="0"/>
                    <w:jc w:val="center"/>
                    <w:rPr>
                      <w:rFonts w:eastAsia="仿宋_GB2312"/>
                      <w:snapToGrid w:val="0"/>
                      <w:kern w:val="0"/>
                      <w:sz w:val="21"/>
                      <w:szCs w:val="21"/>
                    </w:rPr>
                  </w:pPr>
                  <w:r>
                    <w:rPr>
                      <w:rFonts w:ascii="Times New Roman" w:eastAsia="仿宋_GB2312"/>
                      <w:color w:val="000000"/>
                      <w:sz w:val="21"/>
                      <w:szCs w:val="21"/>
                    </w:rPr>
                    <w:t>连续式双膜法产线</w:t>
                  </w:r>
                  <w:r>
                    <w:rPr>
                      <w:rFonts w:hint="eastAsia" w:eastAsia="仿宋_GB2312"/>
                      <w:color w:val="000000"/>
                      <w:sz w:val="21"/>
                      <w:szCs w:val="21"/>
                      <w:lang w:eastAsia="zh-CN"/>
                    </w:rPr>
                    <w:t>，</w:t>
                  </w:r>
                  <w:r>
                    <w:rPr>
                      <w:rFonts w:eastAsia="仿宋_GB2312"/>
                      <w:snapToGrid w:val="0"/>
                      <w:kern w:val="0"/>
                      <w:sz w:val="21"/>
                      <w:szCs w:val="21"/>
                    </w:rPr>
                    <w:t>新增</w:t>
                  </w:r>
                </w:p>
              </w:tc>
            </w:tr>
            <w:tr w14:paraId="58B3C4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0" w:type="pct"/>
                  <w:vAlign w:val="center"/>
                </w:tcPr>
                <w:p w14:paraId="4C00A385">
                  <w:pPr>
                    <w:numPr>
                      <w:ilvl w:val="0"/>
                      <w:numId w:val="2"/>
                    </w:numPr>
                    <w:adjustRightInd w:val="0"/>
                    <w:snapToGrid w:val="0"/>
                    <w:jc w:val="center"/>
                    <w:rPr>
                      <w:rFonts w:eastAsia="仿宋_GB2312"/>
                      <w:snapToGrid w:val="0"/>
                      <w:kern w:val="0"/>
                      <w:sz w:val="21"/>
                      <w:szCs w:val="21"/>
                    </w:rPr>
                  </w:pPr>
                </w:p>
              </w:tc>
              <w:tc>
                <w:tcPr>
                  <w:tcW w:w="1061" w:type="pct"/>
                  <w:shd w:val="clear" w:color="auto" w:fill="auto"/>
                  <w:vAlign w:val="center"/>
                </w:tcPr>
                <w:p w14:paraId="748178DA">
                  <w:pPr>
                    <w:widowControl/>
                    <w:jc w:val="center"/>
                    <w:textAlignment w:val="center"/>
                    <w:rPr>
                      <w:rFonts w:eastAsia="仿宋_GB2312"/>
                      <w:snapToGrid w:val="0"/>
                      <w:color w:val="000000"/>
                      <w:kern w:val="0"/>
                      <w:sz w:val="21"/>
                      <w:szCs w:val="21"/>
                    </w:rPr>
                  </w:pPr>
                  <w:r>
                    <w:rPr>
                      <w:rFonts w:eastAsia="仿宋_GB2312"/>
                      <w:color w:val="000000"/>
                      <w:sz w:val="21"/>
                      <w:szCs w:val="21"/>
                    </w:rPr>
                    <w:t>P-1478B/C</w:t>
                  </w:r>
                </w:p>
              </w:tc>
              <w:tc>
                <w:tcPr>
                  <w:tcW w:w="670" w:type="pct"/>
                  <w:shd w:val="clear" w:color="auto" w:fill="auto"/>
                  <w:vAlign w:val="center"/>
                </w:tcPr>
                <w:p w14:paraId="41ED1F07">
                  <w:pPr>
                    <w:widowControl/>
                    <w:jc w:val="center"/>
                    <w:textAlignment w:val="center"/>
                    <w:rPr>
                      <w:rFonts w:eastAsia="仿宋_GB2312"/>
                      <w:snapToGrid w:val="0"/>
                      <w:color w:val="000000"/>
                      <w:kern w:val="0"/>
                      <w:sz w:val="21"/>
                      <w:szCs w:val="21"/>
                    </w:rPr>
                  </w:pPr>
                  <w:r>
                    <w:rPr>
                      <w:rFonts w:eastAsia="仿宋_GB2312"/>
                      <w:color w:val="000000"/>
                      <w:sz w:val="21"/>
                      <w:szCs w:val="21"/>
                    </w:rPr>
                    <w:t>盐酸加料泵</w:t>
                  </w:r>
                </w:p>
              </w:tc>
              <w:tc>
                <w:tcPr>
                  <w:tcW w:w="1271" w:type="pct"/>
                  <w:shd w:val="clear" w:color="auto" w:fill="auto"/>
                  <w:vAlign w:val="center"/>
                </w:tcPr>
                <w:p w14:paraId="2A83566E">
                  <w:pPr>
                    <w:widowControl/>
                    <w:jc w:val="center"/>
                    <w:textAlignment w:val="center"/>
                    <w:rPr>
                      <w:rFonts w:eastAsia="仿宋_GB2312"/>
                      <w:snapToGrid w:val="0"/>
                      <w:color w:val="000000"/>
                      <w:kern w:val="0"/>
                      <w:sz w:val="21"/>
                      <w:szCs w:val="21"/>
                    </w:rPr>
                  </w:pPr>
                  <w:r>
                    <w:rPr>
                      <w:rFonts w:eastAsia="仿宋_GB2312"/>
                      <w:color w:val="000000"/>
                      <w:sz w:val="21"/>
                      <w:szCs w:val="21"/>
                    </w:rPr>
                    <w:t>40FSB-32L</w:t>
                  </w:r>
                </w:p>
              </w:tc>
              <w:tc>
                <w:tcPr>
                  <w:tcW w:w="740" w:type="pct"/>
                  <w:vAlign w:val="center"/>
                </w:tcPr>
                <w:p w14:paraId="6CDFD1B5">
                  <w:pPr>
                    <w:widowControl/>
                    <w:jc w:val="center"/>
                    <w:textAlignment w:val="center"/>
                    <w:rPr>
                      <w:rFonts w:eastAsia="仿宋_GB2312"/>
                      <w:snapToGrid w:val="0"/>
                      <w:kern w:val="0"/>
                      <w:sz w:val="21"/>
                      <w:szCs w:val="21"/>
                    </w:rPr>
                  </w:pPr>
                  <w:r>
                    <w:rPr>
                      <w:rFonts w:eastAsia="仿宋_GB2312"/>
                      <w:snapToGrid w:val="0"/>
                      <w:kern w:val="0"/>
                      <w:sz w:val="21"/>
                      <w:szCs w:val="21"/>
                    </w:rPr>
                    <w:t>2</w:t>
                  </w:r>
                </w:p>
              </w:tc>
              <w:tc>
                <w:tcPr>
                  <w:tcW w:w="925" w:type="pct"/>
                  <w:vAlign w:val="center"/>
                </w:tcPr>
                <w:p w14:paraId="0CBCCF40">
                  <w:pPr>
                    <w:adjustRightInd w:val="0"/>
                    <w:snapToGrid w:val="0"/>
                    <w:jc w:val="center"/>
                    <w:rPr>
                      <w:rFonts w:eastAsia="仿宋_GB2312"/>
                      <w:snapToGrid w:val="0"/>
                      <w:kern w:val="0"/>
                      <w:sz w:val="21"/>
                      <w:szCs w:val="21"/>
                    </w:rPr>
                  </w:pPr>
                  <w:r>
                    <w:rPr>
                      <w:rFonts w:ascii="Times New Roman" w:eastAsia="仿宋_GB2312"/>
                      <w:color w:val="000000"/>
                      <w:sz w:val="21"/>
                      <w:szCs w:val="21"/>
                    </w:rPr>
                    <w:t>连续式双膜法产线</w:t>
                  </w:r>
                  <w:r>
                    <w:rPr>
                      <w:rFonts w:hint="eastAsia" w:eastAsia="仿宋_GB2312"/>
                      <w:color w:val="000000"/>
                      <w:sz w:val="21"/>
                      <w:szCs w:val="21"/>
                      <w:lang w:eastAsia="zh-CN"/>
                    </w:rPr>
                    <w:t>，</w:t>
                  </w:r>
                  <w:r>
                    <w:rPr>
                      <w:rFonts w:eastAsia="仿宋_GB2312"/>
                      <w:snapToGrid w:val="0"/>
                      <w:kern w:val="0"/>
                      <w:sz w:val="21"/>
                      <w:szCs w:val="21"/>
                    </w:rPr>
                    <w:t>新增</w:t>
                  </w:r>
                </w:p>
              </w:tc>
            </w:tr>
            <w:tr w14:paraId="51E709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0" w:type="pct"/>
                  <w:vAlign w:val="center"/>
                </w:tcPr>
                <w:p w14:paraId="0B680C87">
                  <w:pPr>
                    <w:numPr>
                      <w:ilvl w:val="0"/>
                      <w:numId w:val="2"/>
                    </w:numPr>
                    <w:adjustRightInd w:val="0"/>
                    <w:snapToGrid w:val="0"/>
                    <w:jc w:val="center"/>
                    <w:rPr>
                      <w:rFonts w:eastAsia="仿宋_GB2312"/>
                      <w:snapToGrid w:val="0"/>
                      <w:kern w:val="0"/>
                      <w:sz w:val="21"/>
                      <w:szCs w:val="21"/>
                    </w:rPr>
                  </w:pPr>
                </w:p>
              </w:tc>
              <w:tc>
                <w:tcPr>
                  <w:tcW w:w="1061" w:type="pct"/>
                  <w:shd w:val="clear" w:color="auto" w:fill="auto"/>
                  <w:vAlign w:val="center"/>
                </w:tcPr>
                <w:p w14:paraId="644664BB">
                  <w:pPr>
                    <w:widowControl/>
                    <w:jc w:val="center"/>
                    <w:textAlignment w:val="center"/>
                    <w:rPr>
                      <w:rFonts w:eastAsia="仿宋_GB2312"/>
                      <w:snapToGrid w:val="0"/>
                      <w:color w:val="000000"/>
                      <w:kern w:val="0"/>
                      <w:sz w:val="21"/>
                      <w:szCs w:val="21"/>
                    </w:rPr>
                  </w:pPr>
                  <w:r>
                    <w:rPr>
                      <w:rFonts w:eastAsia="仿宋_GB2312"/>
                      <w:color w:val="000000"/>
                      <w:sz w:val="21"/>
                      <w:szCs w:val="21"/>
                    </w:rPr>
                    <w:t>P-1478D</w:t>
                  </w:r>
                </w:p>
              </w:tc>
              <w:tc>
                <w:tcPr>
                  <w:tcW w:w="670" w:type="pct"/>
                  <w:shd w:val="clear" w:color="auto" w:fill="auto"/>
                  <w:vAlign w:val="center"/>
                </w:tcPr>
                <w:p w14:paraId="43636504">
                  <w:pPr>
                    <w:widowControl/>
                    <w:jc w:val="center"/>
                    <w:textAlignment w:val="center"/>
                    <w:rPr>
                      <w:rFonts w:eastAsia="仿宋_GB2312"/>
                      <w:snapToGrid w:val="0"/>
                      <w:color w:val="000000"/>
                      <w:kern w:val="0"/>
                      <w:sz w:val="21"/>
                      <w:szCs w:val="21"/>
                    </w:rPr>
                  </w:pPr>
                  <w:r>
                    <w:rPr>
                      <w:rFonts w:eastAsia="仿宋_GB2312"/>
                      <w:color w:val="000000"/>
                      <w:sz w:val="21"/>
                      <w:szCs w:val="21"/>
                    </w:rPr>
                    <w:t>酸洗罐加料泵</w:t>
                  </w:r>
                </w:p>
              </w:tc>
              <w:tc>
                <w:tcPr>
                  <w:tcW w:w="1271" w:type="pct"/>
                  <w:shd w:val="clear" w:color="auto" w:fill="auto"/>
                  <w:vAlign w:val="center"/>
                </w:tcPr>
                <w:p w14:paraId="32379B99">
                  <w:pPr>
                    <w:jc w:val="center"/>
                    <w:rPr>
                      <w:rFonts w:eastAsia="仿宋_GB2312"/>
                      <w:snapToGrid w:val="0"/>
                      <w:color w:val="000000"/>
                      <w:kern w:val="0"/>
                      <w:sz w:val="21"/>
                      <w:szCs w:val="21"/>
                    </w:rPr>
                  </w:pPr>
                  <w:r>
                    <w:rPr>
                      <w:rFonts w:eastAsia="仿宋_GB2312"/>
                      <w:color w:val="000000"/>
                      <w:sz w:val="21"/>
                      <w:szCs w:val="21"/>
                    </w:rPr>
                    <w:t>TIF65-50-125</w:t>
                  </w:r>
                </w:p>
              </w:tc>
              <w:tc>
                <w:tcPr>
                  <w:tcW w:w="740" w:type="pct"/>
                  <w:vAlign w:val="center"/>
                </w:tcPr>
                <w:p w14:paraId="3A967193">
                  <w:pPr>
                    <w:jc w:val="center"/>
                    <w:rPr>
                      <w:rFonts w:eastAsia="仿宋_GB2312"/>
                      <w:snapToGrid w:val="0"/>
                      <w:kern w:val="0"/>
                      <w:sz w:val="21"/>
                      <w:szCs w:val="21"/>
                    </w:rPr>
                  </w:pPr>
                  <w:r>
                    <w:rPr>
                      <w:rFonts w:eastAsia="仿宋_GB2312"/>
                      <w:snapToGrid w:val="0"/>
                      <w:kern w:val="0"/>
                      <w:sz w:val="21"/>
                      <w:szCs w:val="21"/>
                    </w:rPr>
                    <w:t>1</w:t>
                  </w:r>
                </w:p>
              </w:tc>
              <w:tc>
                <w:tcPr>
                  <w:tcW w:w="925" w:type="pct"/>
                  <w:vAlign w:val="center"/>
                </w:tcPr>
                <w:p w14:paraId="28CBA61B">
                  <w:pPr>
                    <w:widowControl/>
                    <w:jc w:val="center"/>
                    <w:textAlignment w:val="center"/>
                    <w:rPr>
                      <w:rFonts w:eastAsia="仿宋_GB2312"/>
                      <w:snapToGrid w:val="0"/>
                      <w:kern w:val="0"/>
                      <w:sz w:val="21"/>
                      <w:szCs w:val="21"/>
                    </w:rPr>
                  </w:pPr>
                  <w:r>
                    <w:rPr>
                      <w:rFonts w:ascii="Times New Roman" w:eastAsia="仿宋_GB2312"/>
                      <w:color w:val="000000"/>
                      <w:sz w:val="21"/>
                      <w:szCs w:val="21"/>
                    </w:rPr>
                    <w:t>连续式双膜法产线</w:t>
                  </w:r>
                  <w:r>
                    <w:rPr>
                      <w:rFonts w:hint="eastAsia" w:eastAsia="仿宋_GB2312"/>
                      <w:color w:val="000000"/>
                      <w:sz w:val="21"/>
                      <w:szCs w:val="21"/>
                      <w:lang w:eastAsia="zh-CN"/>
                    </w:rPr>
                    <w:t>，</w:t>
                  </w:r>
                  <w:r>
                    <w:rPr>
                      <w:rFonts w:eastAsia="仿宋_GB2312"/>
                      <w:snapToGrid w:val="0"/>
                      <w:kern w:val="0"/>
                      <w:sz w:val="21"/>
                      <w:szCs w:val="21"/>
                    </w:rPr>
                    <w:t>新增</w:t>
                  </w:r>
                </w:p>
              </w:tc>
            </w:tr>
            <w:tr w14:paraId="3D1A3D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0" w:type="pct"/>
                  <w:vAlign w:val="center"/>
                </w:tcPr>
                <w:p w14:paraId="27826A07">
                  <w:pPr>
                    <w:numPr>
                      <w:ilvl w:val="0"/>
                      <w:numId w:val="2"/>
                    </w:numPr>
                    <w:adjustRightInd w:val="0"/>
                    <w:snapToGrid w:val="0"/>
                    <w:jc w:val="center"/>
                    <w:rPr>
                      <w:rFonts w:eastAsia="仿宋_GB2312"/>
                      <w:snapToGrid w:val="0"/>
                      <w:kern w:val="0"/>
                      <w:sz w:val="21"/>
                      <w:szCs w:val="21"/>
                    </w:rPr>
                  </w:pPr>
                </w:p>
              </w:tc>
              <w:tc>
                <w:tcPr>
                  <w:tcW w:w="1061" w:type="pct"/>
                  <w:shd w:val="clear" w:color="auto" w:fill="auto"/>
                  <w:vAlign w:val="center"/>
                </w:tcPr>
                <w:p w14:paraId="37EB9EA7">
                  <w:pPr>
                    <w:widowControl/>
                    <w:jc w:val="center"/>
                    <w:textAlignment w:val="center"/>
                    <w:rPr>
                      <w:rFonts w:eastAsia="仿宋_GB2312"/>
                      <w:snapToGrid w:val="0"/>
                      <w:color w:val="000000"/>
                      <w:kern w:val="0"/>
                      <w:sz w:val="21"/>
                      <w:szCs w:val="21"/>
                    </w:rPr>
                  </w:pPr>
                  <w:r>
                    <w:rPr>
                      <w:rFonts w:eastAsia="仿宋_GB2312"/>
                      <w:color w:val="000000"/>
                      <w:sz w:val="21"/>
                      <w:szCs w:val="21"/>
                    </w:rPr>
                    <w:t>P-1479A</w:t>
                  </w:r>
                </w:p>
              </w:tc>
              <w:tc>
                <w:tcPr>
                  <w:tcW w:w="670" w:type="pct"/>
                  <w:shd w:val="clear" w:color="auto" w:fill="auto"/>
                  <w:vAlign w:val="center"/>
                </w:tcPr>
                <w:p w14:paraId="5635B247">
                  <w:pPr>
                    <w:widowControl/>
                    <w:jc w:val="center"/>
                    <w:textAlignment w:val="center"/>
                    <w:rPr>
                      <w:rFonts w:eastAsia="仿宋_GB2312"/>
                      <w:snapToGrid w:val="0"/>
                      <w:color w:val="000000"/>
                      <w:kern w:val="0"/>
                      <w:sz w:val="21"/>
                      <w:szCs w:val="21"/>
                    </w:rPr>
                  </w:pPr>
                  <w:r>
                    <w:rPr>
                      <w:rFonts w:eastAsia="仿宋_GB2312"/>
                      <w:color w:val="000000"/>
                      <w:sz w:val="21"/>
                      <w:szCs w:val="21"/>
                    </w:rPr>
                    <w:t>液碱卸料泵</w:t>
                  </w:r>
                </w:p>
              </w:tc>
              <w:tc>
                <w:tcPr>
                  <w:tcW w:w="1271" w:type="pct"/>
                  <w:shd w:val="clear" w:color="auto" w:fill="auto"/>
                  <w:vAlign w:val="center"/>
                </w:tcPr>
                <w:p w14:paraId="62A66B6E">
                  <w:pPr>
                    <w:widowControl/>
                    <w:jc w:val="center"/>
                    <w:textAlignment w:val="center"/>
                    <w:rPr>
                      <w:rFonts w:eastAsia="仿宋_GB2312"/>
                      <w:snapToGrid w:val="0"/>
                      <w:color w:val="000000"/>
                      <w:kern w:val="0"/>
                      <w:sz w:val="21"/>
                      <w:szCs w:val="21"/>
                    </w:rPr>
                  </w:pPr>
                  <w:r>
                    <w:rPr>
                      <w:rFonts w:eastAsia="仿宋_GB2312"/>
                      <w:color w:val="000000"/>
                      <w:sz w:val="21"/>
                      <w:szCs w:val="21"/>
                    </w:rPr>
                    <w:t>50FSB-40</w:t>
                  </w:r>
                </w:p>
              </w:tc>
              <w:tc>
                <w:tcPr>
                  <w:tcW w:w="740" w:type="pct"/>
                  <w:vAlign w:val="center"/>
                </w:tcPr>
                <w:p w14:paraId="7CEAF99C">
                  <w:pPr>
                    <w:widowControl/>
                    <w:jc w:val="center"/>
                    <w:textAlignment w:val="center"/>
                    <w:rPr>
                      <w:rFonts w:eastAsia="仿宋_GB2312"/>
                      <w:snapToGrid w:val="0"/>
                      <w:kern w:val="0"/>
                      <w:sz w:val="21"/>
                      <w:szCs w:val="21"/>
                    </w:rPr>
                  </w:pPr>
                  <w:r>
                    <w:rPr>
                      <w:rFonts w:eastAsia="仿宋_GB2312"/>
                      <w:snapToGrid w:val="0"/>
                      <w:kern w:val="0"/>
                      <w:sz w:val="21"/>
                      <w:szCs w:val="21"/>
                    </w:rPr>
                    <w:t>1</w:t>
                  </w:r>
                </w:p>
              </w:tc>
              <w:tc>
                <w:tcPr>
                  <w:tcW w:w="925" w:type="pct"/>
                  <w:vAlign w:val="center"/>
                </w:tcPr>
                <w:p w14:paraId="47669384">
                  <w:pPr>
                    <w:adjustRightInd w:val="0"/>
                    <w:snapToGrid w:val="0"/>
                    <w:jc w:val="center"/>
                    <w:rPr>
                      <w:rFonts w:eastAsia="仿宋_GB2312"/>
                      <w:snapToGrid w:val="0"/>
                      <w:kern w:val="0"/>
                      <w:sz w:val="21"/>
                      <w:szCs w:val="21"/>
                    </w:rPr>
                  </w:pPr>
                  <w:r>
                    <w:rPr>
                      <w:rFonts w:ascii="Times New Roman" w:eastAsia="仿宋_GB2312"/>
                      <w:color w:val="000000"/>
                      <w:sz w:val="21"/>
                      <w:szCs w:val="21"/>
                    </w:rPr>
                    <w:t>连续式双膜法产线</w:t>
                  </w:r>
                  <w:r>
                    <w:rPr>
                      <w:rFonts w:hint="eastAsia" w:eastAsia="仿宋_GB2312"/>
                      <w:color w:val="000000"/>
                      <w:sz w:val="21"/>
                      <w:szCs w:val="21"/>
                      <w:lang w:eastAsia="zh-CN"/>
                    </w:rPr>
                    <w:t>，</w:t>
                  </w:r>
                  <w:r>
                    <w:rPr>
                      <w:rFonts w:eastAsia="仿宋_GB2312"/>
                      <w:snapToGrid w:val="0"/>
                      <w:kern w:val="0"/>
                      <w:sz w:val="21"/>
                      <w:szCs w:val="21"/>
                    </w:rPr>
                    <w:t>新增</w:t>
                  </w:r>
                </w:p>
              </w:tc>
            </w:tr>
            <w:tr w14:paraId="28F5A6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0" w:type="pct"/>
                  <w:vAlign w:val="center"/>
                </w:tcPr>
                <w:p w14:paraId="7701C991">
                  <w:pPr>
                    <w:numPr>
                      <w:ilvl w:val="0"/>
                      <w:numId w:val="2"/>
                    </w:numPr>
                    <w:adjustRightInd w:val="0"/>
                    <w:snapToGrid w:val="0"/>
                    <w:jc w:val="center"/>
                    <w:rPr>
                      <w:rFonts w:eastAsia="仿宋_GB2312"/>
                      <w:snapToGrid w:val="0"/>
                      <w:kern w:val="0"/>
                      <w:sz w:val="21"/>
                      <w:szCs w:val="21"/>
                    </w:rPr>
                  </w:pPr>
                </w:p>
              </w:tc>
              <w:tc>
                <w:tcPr>
                  <w:tcW w:w="1061" w:type="pct"/>
                  <w:shd w:val="clear" w:color="auto" w:fill="auto"/>
                  <w:vAlign w:val="center"/>
                </w:tcPr>
                <w:p w14:paraId="2A62BB93">
                  <w:pPr>
                    <w:widowControl/>
                    <w:jc w:val="center"/>
                    <w:textAlignment w:val="center"/>
                    <w:rPr>
                      <w:rFonts w:eastAsia="仿宋_GB2312"/>
                      <w:color w:val="000000"/>
                      <w:sz w:val="21"/>
                      <w:szCs w:val="21"/>
                    </w:rPr>
                  </w:pPr>
                  <w:r>
                    <w:rPr>
                      <w:rFonts w:eastAsia="仿宋_GB2312"/>
                      <w:color w:val="000000"/>
                      <w:sz w:val="21"/>
                      <w:szCs w:val="21"/>
                    </w:rPr>
                    <w:t>P-1479B/C</w:t>
                  </w:r>
                </w:p>
              </w:tc>
              <w:tc>
                <w:tcPr>
                  <w:tcW w:w="670" w:type="pct"/>
                  <w:shd w:val="clear" w:color="auto" w:fill="auto"/>
                  <w:vAlign w:val="center"/>
                </w:tcPr>
                <w:p w14:paraId="10B8BDFD">
                  <w:pPr>
                    <w:widowControl/>
                    <w:jc w:val="center"/>
                    <w:textAlignment w:val="center"/>
                    <w:rPr>
                      <w:rFonts w:eastAsia="仿宋_GB2312"/>
                      <w:color w:val="000000"/>
                      <w:sz w:val="21"/>
                      <w:szCs w:val="21"/>
                    </w:rPr>
                  </w:pPr>
                  <w:r>
                    <w:rPr>
                      <w:rFonts w:eastAsia="仿宋_GB2312"/>
                      <w:color w:val="000000"/>
                      <w:sz w:val="21"/>
                      <w:szCs w:val="21"/>
                    </w:rPr>
                    <w:t>液碱加料泵</w:t>
                  </w:r>
                </w:p>
              </w:tc>
              <w:tc>
                <w:tcPr>
                  <w:tcW w:w="1271" w:type="pct"/>
                  <w:shd w:val="clear" w:color="auto" w:fill="auto"/>
                  <w:vAlign w:val="center"/>
                </w:tcPr>
                <w:p w14:paraId="233ECB7F">
                  <w:pPr>
                    <w:widowControl/>
                    <w:jc w:val="center"/>
                    <w:textAlignment w:val="center"/>
                    <w:rPr>
                      <w:rFonts w:eastAsia="仿宋_GB2312"/>
                      <w:snapToGrid w:val="0"/>
                      <w:color w:val="000000"/>
                      <w:kern w:val="0"/>
                      <w:sz w:val="21"/>
                      <w:szCs w:val="21"/>
                    </w:rPr>
                  </w:pPr>
                  <w:r>
                    <w:rPr>
                      <w:rFonts w:eastAsia="仿宋_GB2312"/>
                      <w:color w:val="000000"/>
                      <w:sz w:val="21"/>
                      <w:szCs w:val="21"/>
                    </w:rPr>
                    <w:t>IH32-20-160</w:t>
                  </w:r>
                </w:p>
              </w:tc>
              <w:tc>
                <w:tcPr>
                  <w:tcW w:w="740" w:type="pct"/>
                  <w:vAlign w:val="center"/>
                </w:tcPr>
                <w:p w14:paraId="37134C0D">
                  <w:pPr>
                    <w:widowControl/>
                    <w:jc w:val="center"/>
                    <w:textAlignment w:val="center"/>
                    <w:rPr>
                      <w:rFonts w:eastAsia="仿宋_GB2312"/>
                      <w:snapToGrid w:val="0"/>
                      <w:kern w:val="0"/>
                      <w:sz w:val="21"/>
                      <w:szCs w:val="21"/>
                    </w:rPr>
                  </w:pPr>
                  <w:r>
                    <w:rPr>
                      <w:rFonts w:eastAsia="仿宋_GB2312"/>
                      <w:snapToGrid w:val="0"/>
                      <w:kern w:val="0"/>
                      <w:sz w:val="21"/>
                      <w:szCs w:val="21"/>
                    </w:rPr>
                    <w:t>2</w:t>
                  </w:r>
                </w:p>
              </w:tc>
              <w:tc>
                <w:tcPr>
                  <w:tcW w:w="925" w:type="pct"/>
                  <w:vAlign w:val="center"/>
                </w:tcPr>
                <w:p w14:paraId="2A4E9F06">
                  <w:pPr>
                    <w:adjustRightInd w:val="0"/>
                    <w:snapToGrid w:val="0"/>
                    <w:jc w:val="center"/>
                    <w:rPr>
                      <w:rFonts w:eastAsia="仿宋_GB2312"/>
                      <w:snapToGrid w:val="0"/>
                      <w:kern w:val="0"/>
                      <w:sz w:val="21"/>
                      <w:szCs w:val="21"/>
                    </w:rPr>
                  </w:pPr>
                  <w:r>
                    <w:rPr>
                      <w:rFonts w:ascii="Times New Roman" w:eastAsia="仿宋_GB2312"/>
                      <w:color w:val="000000"/>
                      <w:sz w:val="21"/>
                      <w:szCs w:val="21"/>
                    </w:rPr>
                    <w:t>连续式双膜法产线</w:t>
                  </w:r>
                  <w:r>
                    <w:rPr>
                      <w:rFonts w:hint="eastAsia" w:eastAsia="仿宋_GB2312"/>
                      <w:color w:val="000000"/>
                      <w:sz w:val="21"/>
                      <w:szCs w:val="21"/>
                      <w:lang w:eastAsia="zh-CN"/>
                    </w:rPr>
                    <w:t>，</w:t>
                  </w:r>
                  <w:r>
                    <w:rPr>
                      <w:rFonts w:eastAsia="仿宋_GB2312"/>
                      <w:snapToGrid w:val="0"/>
                      <w:kern w:val="0"/>
                      <w:sz w:val="21"/>
                      <w:szCs w:val="21"/>
                    </w:rPr>
                    <w:t>新增</w:t>
                  </w:r>
                </w:p>
              </w:tc>
            </w:tr>
            <w:tr w14:paraId="750DA9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0" w:type="pct"/>
                  <w:vAlign w:val="center"/>
                </w:tcPr>
                <w:p w14:paraId="6087C96D">
                  <w:pPr>
                    <w:numPr>
                      <w:ilvl w:val="0"/>
                      <w:numId w:val="2"/>
                    </w:numPr>
                    <w:adjustRightInd w:val="0"/>
                    <w:snapToGrid w:val="0"/>
                    <w:jc w:val="center"/>
                    <w:rPr>
                      <w:rFonts w:eastAsia="仿宋_GB2312"/>
                      <w:snapToGrid w:val="0"/>
                      <w:kern w:val="0"/>
                      <w:sz w:val="21"/>
                      <w:szCs w:val="21"/>
                    </w:rPr>
                  </w:pPr>
                </w:p>
              </w:tc>
              <w:tc>
                <w:tcPr>
                  <w:tcW w:w="1061" w:type="pct"/>
                  <w:shd w:val="clear" w:color="auto" w:fill="auto"/>
                  <w:vAlign w:val="center"/>
                </w:tcPr>
                <w:p w14:paraId="062FBE12">
                  <w:pPr>
                    <w:pStyle w:val="69"/>
                    <w:adjustRightInd w:val="0"/>
                    <w:snapToGrid w:val="0"/>
                    <w:jc w:val="center"/>
                    <w:rPr>
                      <w:rFonts w:ascii="Times New Roman" w:hAnsi="Times New Roman" w:eastAsia="仿宋_GB2312" w:cs="Times New Roman"/>
                      <w:snapToGrid w:val="0"/>
                      <w:color w:val="000000"/>
                      <w:kern w:val="0"/>
                      <w:sz w:val="21"/>
                      <w:szCs w:val="21"/>
                    </w:rPr>
                  </w:pPr>
                  <w:r>
                    <w:rPr>
                      <w:rFonts w:ascii="Times New Roman" w:hAnsi="Times New Roman" w:eastAsia="仿宋_GB2312" w:cs="Times New Roman"/>
                      <w:color w:val="000000"/>
                      <w:sz w:val="21"/>
                      <w:szCs w:val="21"/>
                    </w:rPr>
                    <w:t>P-1493A/B</w:t>
                  </w:r>
                </w:p>
              </w:tc>
              <w:tc>
                <w:tcPr>
                  <w:tcW w:w="670" w:type="pct"/>
                  <w:shd w:val="clear" w:color="auto" w:fill="auto"/>
                  <w:vAlign w:val="center"/>
                </w:tcPr>
                <w:p w14:paraId="34ED142F">
                  <w:pPr>
                    <w:pStyle w:val="69"/>
                    <w:adjustRightInd w:val="0"/>
                    <w:snapToGrid w:val="0"/>
                    <w:jc w:val="center"/>
                    <w:rPr>
                      <w:rFonts w:ascii="Times New Roman" w:hAnsi="Times New Roman" w:eastAsia="仿宋_GB2312" w:cs="Times New Roman"/>
                      <w:snapToGrid w:val="0"/>
                      <w:color w:val="000000"/>
                      <w:kern w:val="0"/>
                      <w:sz w:val="21"/>
                      <w:szCs w:val="21"/>
                    </w:rPr>
                  </w:pPr>
                  <w:r>
                    <w:rPr>
                      <w:rFonts w:ascii="Times New Roman" w:hAnsi="Times New Roman" w:eastAsia="仿宋_GB2312" w:cs="Times New Roman"/>
                      <w:color w:val="000000"/>
                      <w:sz w:val="21"/>
                      <w:szCs w:val="21"/>
                    </w:rPr>
                    <w:t>纯碱加料泵</w:t>
                  </w:r>
                </w:p>
              </w:tc>
              <w:tc>
                <w:tcPr>
                  <w:tcW w:w="1271" w:type="pct"/>
                  <w:shd w:val="clear" w:color="auto" w:fill="auto"/>
                  <w:vAlign w:val="center"/>
                </w:tcPr>
                <w:p w14:paraId="7AFA4140">
                  <w:pPr>
                    <w:pStyle w:val="69"/>
                    <w:adjustRightInd w:val="0"/>
                    <w:snapToGrid w:val="0"/>
                    <w:jc w:val="center"/>
                    <w:rPr>
                      <w:rFonts w:ascii="Times New Roman" w:hAnsi="Times New Roman" w:eastAsia="仿宋_GB2312" w:cs="Times New Roman"/>
                      <w:snapToGrid w:val="0"/>
                      <w:color w:val="000000"/>
                      <w:kern w:val="0"/>
                      <w:sz w:val="21"/>
                      <w:szCs w:val="21"/>
                    </w:rPr>
                  </w:pPr>
                  <w:r>
                    <w:rPr>
                      <w:rFonts w:ascii="Times New Roman" w:hAnsi="Times New Roman" w:eastAsia="仿宋_GB2312" w:cs="Times New Roman"/>
                      <w:color w:val="000000"/>
                      <w:sz w:val="21"/>
                      <w:szCs w:val="21"/>
                    </w:rPr>
                    <w:t>A11-32</w:t>
                  </w:r>
                </w:p>
              </w:tc>
              <w:tc>
                <w:tcPr>
                  <w:tcW w:w="740" w:type="pct"/>
                  <w:vAlign w:val="center"/>
                </w:tcPr>
                <w:p w14:paraId="62E5EAAA">
                  <w:pPr>
                    <w:pStyle w:val="69"/>
                    <w:adjustRightInd w:val="0"/>
                    <w:snapToGrid w:val="0"/>
                    <w:jc w:val="center"/>
                    <w:rPr>
                      <w:rFonts w:ascii="Times New Roman" w:hAnsi="Times New Roman" w:eastAsia="仿宋_GB2312" w:cs="Times New Roman"/>
                      <w:snapToGrid w:val="0"/>
                      <w:kern w:val="0"/>
                      <w:sz w:val="21"/>
                      <w:szCs w:val="21"/>
                    </w:rPr>
                  </w:pPr>
                  <w:r>
                    <w:rPr>
                      <w:rFonts w:ascii="Times New Roman" w:hAnsi="Times New Roman" w:eastAsia="仿宋_GB2312" w:cs="Times New Roman"/>
                      <w:snapToGrid w:val="0"/>
                      <w:kern w:val="0"/>
                      <w:sz w:val="21"/>
                      <w:szCs w:val="21"/>
                    </w:rPr>
                    <w:t>2</w:t>
                  </w:r>
                </w:p>
              </w:tc>
              <w:tc>
                <w:tcPr>
                  <w:tcW w:w="925" w:type="pct"/>
                  <w:vAlign w:val="center"/>
                </w:tcPr>
                <w:p w14:paraId="5DBA48C7">
                  <w:pPr>
                    <w:adjustRightInd w:val="0"/>
                    <w:snapToGrid w:val="0"/>
                    <w:jc w:val="center"/>
                    <w:rPr>
                      <w:rFonts w:eastAsia="仿宋_GB2312"/>
                      <w:snapToGrid w:val="0"/>
                      <w:kern w:val="0"/>
                      <w:sz w:val="21"/>
                      <w:szCs w:val="21"/>
                    </w:rPr>
                  </w:pPr>
                  <w:r>
                    <w:rPr>
                      <w:rFonts w:ascii="Times New Roman" w:eastAsia="仿宋_GB2312"/>
                      <w:color w:val="000000"/>
                      <w:sz w:val="21"/>
                      <w:szCs w:val="21"/>
                    </w:rPr>
                    <w:t>连续式双膜法产线</w:t>
                  </w:r>
                  <w:r>
                    <w:rPr>
                      <w:rFonts w:hint="eastAsia" w:eastAsia="仿宋_GB2312"/>
                      <w:color w:val="000000"/>
                      <w:sz w:val="21"/>
                      <w:szCs w:val="21"/>
                      <w:lang w:eastAsia="zh-CN"/>
                    </w:rPr>
                    <w:t>，</w:t>
                  </w:r>
                  <w:r>
                    <w:rPr>
                      <w:rFonts w:eastAsia="仿宋_GB2312"/>
                      <w:snapToGrid w:val="0"/>
                      <w:kern w:val="0"/>
                      <w:sz w:val="21"/>
                      <w:szCs w:val="21"/>
                    </w:rPr>
                    <w:t>新增</w:t>
                  </w:r>
                </w:p>
              </w:tc>
            </w:tr>
            <w:tr w14:paraId="1E4EC4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0" w:type="pct"/>
                  <w:vAlign w:val="center"/>
                </w:tcPr>
                <w:p w14:paraId="6008F1D8">
                  <w:pPr>
                    <w:numPr>
                      <w:ilvl w:val="0"/>
                      <w:numId w:val="2"/>
                    </w:numPr>
                    <w:adjustRightInd w:val="0"/>
                    <w:snapToGrid w:val="0"/>
                    <w:jc w:val="center"/>
                    <w:rPr>
                      <w:rFonts w:eastAsia="仿宋_GB2312"/>
                      <w:snapToGrid w:val="0"/>
                      <w:kern w:val="0"/>
                      <w:sz w:val="21"/>
                      <w:szCs w:val="21"/>
                    </w:rPr>
                  </w:pPr>
                </w:p>
              </w:tc>
              <w:tc>
                <w:tcPr>
                  <w:tcW w:w="1061" w:type="pct"/>
                  <w:shd w:val="clear" w:color="auto" w:fill="auto"/>
                  <w:vAlign w:val="center"/>
                </w:tcPr>
                <w:p w14:paraId="7BFCAF35">
                  <w:pPr>
                    <w:pStyle w:val="69"/>
                    <w:adjustRightInd w:val="0"/>
                    <w:snapToGrid w:val="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sz w:val="21"/>
                      <w:szCs w:val="21"/>
                    </w:rPr>
                    <w:t>P-1720A</w:t>
                  </w:r>
                </w:p>
              </w:tc>
              <w:tc>
                <w:tcPr>
                  <w:tcW w:w="670" w:type="pct"/>
                  <w:shd w:val="clear" w:color="auto" w:fill="auto"/>
                  <w:vAlign w:val="center"/>
                </w:tcPr>
                <w:p w14:paraId="61DFB043">
                  <w:pPr>
                    <w:pStyle w:val="69"/>
                    <w:adjustRightInd w:val="0"/>
                    <w:snapToGrid w:val="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sz w:val="21"/>
                      <w:szCs w:val="21"/>
                    </w:rPr>
                    <w:t>陶瓷膜酸洗泵</w:t>
                  </w:r>
                </w:p>
              </w:tc>
              <w:tc>
                <w:tcPr>
                  <w:tcW w:w="1271" w:type="pct"/>
                  <w:shd w:val="clear" w:color="auto" w:fill="auto"/>
                  <w:vAlign w:val="center"/>
                </w:tcPr>
                <w:p w14:paraId="4E917EEA">
                  <w:pPr>
                    <w:pStyle w:val="69"/>
                    <w:adjustRightInd w:val="0"/>
                    <w:snapToGrid w:val="0"/>
                    <w:jc w:val="center"/>
                    <w:rPr>
                      <w:rFonts w:ascii="Times New Roman" w:hAnsi="Times New Roman" w:eastAsia="仿宋_GB2312" w:cs="Times New Roman"/>
                      <w:snapToGrid w:val="0"/>
                      <w:color w:val="000000"/>
                      <w:kern w:val="0"/>
                      <w:sz w:val="21"/>
                      <w:szCs w:val="21"/>
                    </w:rPr>
                  </w:pPr>
                  <w:r>
                    <w:rPr>
                      <w:rFonts w:ascii="Times New Roman" w:hAnsi="Times New Roman" w:eastAsia="仿宋_GB2312" w:cs="Times New Roman"/>
                      <w:color w:val="000000"/>
                      <w:sz w:val="21"/>
                      <w:szCs w:val="21"/>
                    </w:rPr>
                    <w:t>IHF100-80-160</w:t>
                  </w:r>
                </w:p>
              </w:tc>
              <w:tc>
                <w:tcPr>
                  <w:tcW w:w="740" w:type="pct"/>
                  <w:vAlign w:val="center"/>
                </w:tcPr>
                <w:p w14:paraId="2ADDC747">
                  <w:pPr>
                    <w:pStyle w:val="69"/>
                    <w:adjustRightInd w:val="0"/>
                    <w:snapToGrid w:val="0"/>
                    <w:jc w:val="center"/>
                    <w:rPr>
                      <w:rFonts w:ascii="Times New Roman" w:hAnsi="Times New Roman" w:eastAsia="仿宋_GB2312" w:cs="Times New Roman"/>
                      <w:snapToGrid w:val="0"/>
                      <w:kern w:val="0"/>
                      <w:sz w:val="21"/>
                      <w:szCs w:val="21"/>
                    </w:rPr>
                  </w:pPr>
                  <w:r>
                    <w:rPr>
                      <w:rFonts w:ascii="Times New Roman" w:hAnsi="Times New Roman" w:eastAsia="仿宋_GB2312" w:cs="Times New Roman"/>
                      <w:snapToGrid w:val="0"/>
                      <w:kern w:val="0"/>
                      <w:sz w:val="21"/>
                      <w:szCs w:val="21"/>
                    </w:rPr>
                    <w:t>1</w:t>
                  </w:r>
                </w:p>
              </w:tc>
              <w:tc>
                <w:tcPr>
                  <w:tcW w:w="925" w:type="pct"/>
                  <w:vAlign w:val="center"/>
                </w:tcPr>
                <w:p w14:paraId="0DD63607">
                  <w:pPr>
                    <w:adjustRightInd w:val="0"/>
                    <w:snapToGrid w:val="0"/>
                    <w:jc w:val="center"/>
                    <w:rPr>
                      <w:rFonts w:eastAsia="仿宋_GB2312"/>
                      <w:snapToGrid w:val="0"/>
                      <w:kern w:val="0"/>
                      <w:sz w:val="21"/>
                      <w:szCs w:val="21"/>
                    </w:rPr>
                  </w:pPr>
                  <w:r>
                    <w:rPr>
                      <w:rFonts w:ascii="Times New Roman" w:eastAsia="仿宋_GB2312"/>
                      <w:color w:val="000000"/>
                      <w:sz w:val="21"/>
                      <w:szCs w:val="21"/>
                    </w:rPr>
                    <w:t>连续式双膜法产线</w:t>
                  </w:r>
                  <w:r>
                    <w:rPr>
                      <w:rFonts w:hint="eastAsia" w:eastAsia="仿宋_GB2312"/>
                      <w:color w:val="000000"/>
                      <w:sz w:val="21"/>
                      <w:szCs w:val="21"/>
                      <w:lang w:eastAsia="zh-CN"/>
                    </w:rPr>
                    <w:t>，</w:t>
                  </w:r>
                  <w:r>
                    <w:rPr>
                      <w:rFonts w:eastAsia="仿宋_GB2312"/>
                      <w:snapToGrid w:val="0"/>
                      <w:kern w:val="0"/>
                      <w:sz w:val="21"/>
                      <w:szCs w:val="21"/>
                    </w:rPr>
                    <w:t>新增</w:t>
                  </w:r>
                </w:p>
              </w:tc>
            </w:tr>
            <w:tr w14:paraId="74BF42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0" w:type="pct"/>
                  <w:vAlign w:val="center"/>
                </w:tcPr>
                <w:p w14:paraId="789A1A17">
                  <w:pPr>
                    <w:numPr>
                      <w:ilvl w:val="0"/>
                      <w:numId w:val="2"/>
                    </w:numPr>
                    <w:adjustRightInd w:val="0"/>
                    <w:snapToGrid w:val="0"/>
                    <w:jc w:val="center"/>
                    <w:rPr>
                      <w:rFonts w:eastAsia="仿宋_GB2312"/>
                      <w:snapToGrid w:val="0"/>
                      <w:kern w:val="0"/>
                      <w:sz w:val="21"/>
                      <w:szCs w:val="21"/>
                    </w:rPr>
                  </w:pPr>
                </w:p>
              </w:tc>
              <w:tc>
                <w:tcPr>
                  <w:tcW w:w="1061" w:type="pct"/>
                  <w:shd w:val="clear" w:color="auto" w:fill="auto"/>
                  <w:vAlign w:val="center"/>
                </w:tcPr>
                <w:p w14:paraId="30CFA58F">
                  <w:pPr>
                    <w:pStyle w:val="69"/>
                    <w:adjustRightInd w:val="0"/>
                    <w:snapToGrid w:val="0"/>
                    <w:jc w:val="center"/>
                    <w:rPr>
                      <w:rFonts w:ascii="Times New Roman" w:hAnsi="Times New Roman" w:eastAsia="仿宋_GB2312" w:cs="Times New Roman"/>
                      <w:snapToGrid w:val="0"/>
                      <w:color w:val="000000"/>
                      <w:kern w:val="0"/>
                      <w:sz w:val="21"/>
                      <w:szCs w:val="21"/>
                    </w:rPr>
                  </w:pPr>
                  <w:r>
                    <w:rPr>
                      <w:rFonts w:ascii="Times New Roman" w:hAnsi="Times New Roman" w:eastAsia="仿宋_GB2312" w:cs="Times New Roman"/>
                      <w:color w:val="000000"/>
                      <w:sz w:val="21"/>
                      <w:szCs w:val="21"/>
                    </w:rPr>
                    <w:t>P-1720B</w:t>
                  </w:r>
                </w:p>
              </w:tc>
              <w:tc>
                <w:tcPr>
                  <w:tcW w:w="670" w:type="pct"/>
                  <w:shd w:val="clear" w:color="auto" w:fill="auto"/>
                  <w:vAlign w:val="center"/>
                </w:tcPr>
                <w:p w14:paraId="141FBD6D">
                  <w:pPr>
                    <w:pStyle w:val="69"/>
                    <w:adjustRightInd w:val="0"/>
                    <w:snapToGrid w:val="0"/>
                    <w:jc w:val="center"/>
                    <w:rPr>
                      <w:rFonts w:ascii="Times New Roman" w:hAnsi="Times New Roman" w:eastAsia="仿宋_GB2312" w:cs="Times New Roman"/>
                      <w:snapToGrid w:val="0"/>
                      <w:color w:val="000000"/>
                      <w:kern w:val="0"/>
                      <w:sz w:val="21"/>
                      <w:szCs w:val="21"/>
                    </w:rPr>
                  </w:pPr>
                  <w:r>
                    <w:rPr>
                      <w:rFonts w:ascii="Times New Roman" w:hAnsi="Times New Roman" w:eastAsia="仿宋_GB2312" w:cs="Times New Roman"/>
                      <w:color w:val="000000"/>
                      <w:sz w:val="21"/>
                      <w:szCs w:val="21"/>
                    </w:rPr>
                    <w:t>平板膜酸洗泵</w:t>
                  </w:r>
                </w:p>
              </w:tc>
              <w:tc>
                <w:tcPr>
                  <w:tcW w:w="1271" w:type="pct"/>
                  <w:shd w:val="clear" w:color="auto" w:fill="auto"/>
                  <w:vAlign w:val="center"/>
                </w:tcPr>
                <w:p w14:paraId="35E0032F">
                  <w:pPr>
                    <w:widowControl/>
                    <w:jc w:val="center"/>
                    <w:textAlignment w:val="center"/>
                    <w:rPr>
                      <w:rFonts w:eastAsia="仿宋_GB2312"/>
                      <w:snapToGrid w:val="0"/>
                      <w:color w:val="000000"/>
                      <w:kern w:val="0"/>
                      <w:sz w:val="21"/>
                      <w:szCs w:val="21"/>
                    </w:rPr>
                  </w:pPr>
                  <w:r>
                    <w:rPr>
                      <w:rFonts w:eastAsia="仿宋_GB2312"/>
                      <w:color w:val="000000"/>
                      <w:sz w:val="21"/>
                      <w:szCs w:val="21"/>
                    </w:rPr>
                    <w:t>IFK80-65-125-PI</w:t>
                  </w:r>
                </w:p>
              </w:tc>
              <w:tc>
                <w:tcPr>
                  <w:tcW w:w="740" w:type="pct"/>
                  <w:vAlign w:val="center"/>
                </w:tcPr>
                <w:p w14:paraId="54481292">
                  <w:pPr>
                    <w:pStyle w:val="69"/>
                    <w:adjustRightInd w:val="0"/>
                    <w:snapToGrid w:val="0"/>
                    <w:jc w:val="center"/>
                    <w:rPr>
                      <w:rFonts w:ascii="Times New Roman" w:hAnsi="Times New Roman" w:eastAsia="仿宋_GB2312" w:cs="Times New Roman"/>
                      <w:snapToGrid w:val="0"/>
                      <w:kern w:val="0"/>
                      <w:sz w:val="21"/>
                      <w:szCs w:val="21"/>
                    </w:rPr>
                  </w:pPr>
                  <w:r>
                    <w:rPr>
                      <w:rFonts w:ascii="Times New Roman" w:hAnsi="Times New Roman" w:eastAsia="仿宋_GB2312" w:cs="Times New Roman"/>
                      <w:snapToGrid w:val="0"/>
                      <w:kern w:val="0"/>
                      <w:sz w:val="21"/>
                      <w:szCs w:val="21"/>
                    </w:rPr>
                    <w:t>1</w:t>
                  </w:r>
                </w:p>
              </w:tc>
              <w:tc>
                <w:tcPr>
                  <w:tcW w:w="925" w:type="pct"/>
                  <w:vAlign w:val="center"/>
                </w:tcPr>
                <w:p w14:paraId="65FBD1CB">
                  <w:pPr>
                    <w:adjustRightInd w:val="0"/>
                    <w:snapToGrid w:val="0"/>
                    <w:jc w:val="center"/>
                    <w:rPr>
                      <w:rFonts w:eastAsia="仿宋_GB2312"/>
                      <w:snapToGrid w:val="0"/>
                      <w:kern w:val="0"/>
                      <w:sz w:val="21"/>
                      <w:szCs w:val="21"/>
                    </w:rPr>
                  </w:pPr>
                  <w:r>
                    <w:rPr>
                      <w:rFonts w:ascii="Times New Roman" w:eastAsia="仿宋_GB2312"/>
                      <w:color w:val="000000"/>
                      <w:sz w:val="21"/>
                      <w:szCs w:val="21"/>
                    </w:rPr>
                    <w:t>连续式双膜法产线</w:t>
                  </w:r>
                  <w:r>
                    <w:rPr>
                      <w:rFonts w:hint="eastAsia" w:eastAsia="仿宋_GB2312"/>
                      <w:color w:val="000000"/>
                      <w:sz w:val="21"/>
                      <w:szCs w:val="21"/>
                      <w:lang w:eastAsia="zh-CN"/>
                    </w:rPr>
                    <w:t>，</w:t>
                  </w:r>
                  <w:r>
                    <w:rPr>
                      <w:rFonts w:eastAsia="仿宋_GB2312"/>
                      <w:snapToGrid w:val="0"/>
                      <w:kern w:val="0"/>
                      <w:sz w:val="21"/>
                      <w:szCs w:val="21"/>
                    </w:rPr>
                    <w:t>新增</w:t>
                  </w:r>
                </w:p>
              </w:tc>
            </w:tr>
            <w:tr w14:paraId="469519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0" w:type="pct"/>
                  <w:vAlign w:val="center"/>
                </w:tcPr>
                <w:p w14:paraId="2FDB9949">
                  <w:pPr>
                    <w:numPr>
                      <w:ilvl w:val="0"/>
                      <w:numId w:val="2"/>
                    </w:numPr>
                    <w:adjustRightInd w:val="0"/>
                    <w:snapToGrid w:val="0"/>
                    <w:jc w:val="center"/>
                    <w:rPr>
                      <w:rFonts w:eastAsia="仿宋_GB2312"/>
                      <w:snapToGrid w:val="0"/>
                      <w:kern w:val="0"/>
                      <w:sz w:val="21"/>
                      <w:szCs w:val="21"/>
                    </w:rPr>
                  </w:pPr>
                </w:p>
              </w:tc>
              <w:tc>
                <w:tcPr>
                  <w:tcW w:w="1061" w:type="pct"/>
                  <w:shd w:val="clear" w:color="auto" w:fill="auto"/>
                  <w:vAlign w:val="center"/>
                </w:tcPr>
                <w:p w14:paraId="2F859B89">
                  <w:pPr>
                    <w:pStyle w:val="69"/>
                    <w:adjustRightInd w:val="0"/>
                    <w:snapToGrid w:val="0"/>
                    <w:jc w:val="center"/>
                    <w:rPr>
                      <w:rFonts w:ascii="Times New Roman" w:hAnsi="Times New Roman" w:eastAsia="仿宋_GB2312" w:cs="Times New Roman"/>
                      <w:snapToGrid w:val="0"/>
                      <w:color w:val="000000"/>
                      <w:kern w:val="0"/>
                      <w:sz w:val="21"/>
                      <w:szCs w:val="21"/>
                    </w:rPr>
                  </w:pPr>
                  <w:r>
                    <w:rPr>
                      <w:rFonts w:ascii="Times New Roman" w:hAnsi="Times New Roman" w:eastAsia="仿宋_GB2312" w:cs="Times New Roman"/>
                      <w:color w:val="000000"/>
                      <w:sz w:val="21"/>
                      <w:szCs w:val="21"/>
                    </w:rPr>
                    <w:t>P-1730A/B</w:t>
                  </w:r>
                </w:p>
              </w:tc>
              <w:tc>
                <w:tcPr>
                  <w:tcW w:w="670" w:type="pct"/>
                  <w:shd w:val="clear" w:color="auto" w:fill="auto"/>
                  <w:vAlign w:val="center"/>
                </w:tcPr>
                <w:p w14:paraId="76672261">
                  <w:pPr>
                    <w:pStyle w:val="69"/>
                    <w:adjustRightInd w:val="0"/>
                    <w:snapToGrid w:val="0"/>
                    <w:jc w:val="center"/>
                    <w:rPr>
                      <w:rFonts w:ascii="Times New Roman" w:hAnsi="Times New Roman" w:eastAsia="仿宋_GB2312" w:cs="Times New Roman"/>
                      <w:snapToGrid w:val="0"/>
                      <w:color w:val="000000"/>
                      <w:kern w:val="0"/>
                      <w:sz w:val="21"/>
                      <w:szCs w:val="21"/>
                    </w:rPr>
                  </w:pPr>
                  <w:r>
                    <w:rPr>
                      <w:rFonts w:ascii="Times New Roman" w:hAnsi="Times New Roman" w:eastAsia="仿宋_GB2312" w:cs="Times New Roman"/>
                      <w:color w:val="000000"/>
                      <w:sz w:val="21"/>
                      <w:szCs w:val="21"/>
                    </w:rPr>
                    <w:t>超滤清卤泵</w:t>
                  </w:r>
                </w:p>
              </w:tc>
              <w:tc>
                <w:tcPr>
                  <w:tcW w:w="1271" w:type="pct"/>
                  <w:shd w:val="clear" w:color="auto" w:fill="auto"/>
                  <w:vAlign w:val="center"/>
                </w:tcPr>
                <w:p w14:paraId="30D32EAD">
                  <w:pPr>
                    <w:widowControl/>
                    <w:jc w:val="center"/>
                    <w:textAlignment w:val="center"/>
                    <w:rPr>
                      <w:rFonts w:eastAsia="仿宋_GB2312"/>
                      <w:snapToGrid w:val="0"/>
                      <w:color w:val="000000"/>
                      <w:kern w:val="0"/>
                      <w:sz w:val="21"/>
                      <w:szCs w:val="21"/>
                    </w:rPr>
                  </w:pPr>
                  <w:r>
                    <w:rPr>
                      <w:rFonts w:eastAsia="仿宋_GB2312"/>
                      <w:color w:val="000000"/>
                      <w:sz w:val="21"/>
                      <w:szCs w:val="21"/>
                    </w:rPr>
                    <w:t>IJ250-200-315V-PK</w:t>
                  </w:r>
                </w:p>
              </w:tc>
              <w:tc>
                <w:tcPr>
                  <w:tcW w:w="740" w:type="pct"/>
                  <w:vAlign w:val="center"/>
                </w:tcPr>
                <w:p w14:paraId="5D9063A2">
                  <w:pPr>
                    <w:pStyle w:val="69"/>
                    <w:adjustRightInd w:val="0"/>
                    <w:snapToGrid w:val="0"/>
                    <w:jc w:val="center"/>
                    <w:rPr>
                      <w:rFonts w:ascii="Times New Roman" w:hAnsi="Times New Roman" w:eastAsia="仿宋_GB2312" w:cs="Times New Roman"/>
                      <w:snapToGrid w:val="0"/>
                      <w:kern w:val="0"/>
                      <w:sz w:val="21"/>
                      <w:szCs w:val="21"/>
                    </w:rPr>
                  </w:pPr>
                  <w:r>
                    <w:rPr>
                      <w:rFonts w:ascii="Times New Roman" w:hAnsi="Times New Roman" w:eastAsia="仿宋_GB2312" w:cs="Times New Roman"/>
                      <w:snapToGrid w:val="0"/>
                      <w:kern w:val="0"/>
                      <w:sz w:val="21"/>
                      <w:szCs w:val="21"/>
                    </w:rPr>
                    <w:t>2</w:t>
                  </w:r>
                </w:p>
              </w:tc>
              <w:tc>
                <w:tcPr>
                  <w:tcW w:w="925" w:type="pct"/>
                  <w:vAlign w:val="center"/>
                </w:tcPr>
                <w:p w14:paraId="0660C3DA">
                  <w:pPr>
                    <w:adjustRightInd w:val="0"/>
                    <w:snapToGrid w:val="0"/>
                    <w:jc w:val="center"/>
                    <w:rPr>
                      <w:rFonts w:eastAsia="仿宋_GB2312"/>
                      <w:snapToGrid w:val="0"/>
                      <w:kern w:val="0"/>
                      <w:sz w:val="21"/>
                      <w:szCs w:val="21"/>
                    </w:rPr>
                  </w:pPr>
                  <w:r>
                    <w:rPr>
                      <w:rFonts w:ascii="Times New Roman" w:eastAsia="仿宋_GB2312"/>
                      <w:color w:val="000000"/>
                      <w:sz w:val="21"/>
                      <w:szCs w:val="21"/>
                    </w:rPr>
                    <w:t>连续式双膜法产线</w:t>
                  </w:r>
                  <w:r>
                    <w:rPr>
                      <w:rFonts w:hint="eastAsia" w:eastAsia="仿宋_GB2312"/>
                      <w:color w:val="000000"/>
                      <w:sz w:val="21"/>
                      <w:szCs w:val="21"/>
                      <w:lang w:eastAsia="zh-CN"/>
                    </w:rPr>
                    <w:t>，</w:t>
                  </w:r>
                  <w:r>
                    <w:rPr>
                      <w:rFonts w:eastAsia="仿宋_GB2312"/>
                      <w:snapToGrid w:val="0"/>
                      <w:kern w:val="0"/>
                      <w:sz w:val="21"/>
                      <w:szCs w:val="21"/>
                    </w:rPr>
                    <w:t>新增</w:t>
                  </w:r>
                </w:p>
              </w:tc>
            </w:tr>
            <w:tr w14:paraId="2809C8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0" w:type="pct"/>
                  <w:vAlign w:val="center"/>
                </w:tcPr>
                <w:p w14:paraId="3096AE12">
                  <w:pPr>
                    <w:numPr>
                      <w:ilvl w:val="0"/>
                      <w:numId w:val="2"/>
                    </w:numPr>
                    <w:adjustRightInd w:val="0"/>
                    <w:snapToGrid w:val="0"/>
                    <w:jc w:val="center"/>
                    <w:rPr>
                      <w:rFonts w:eastAsia="仿宋_GB2312"/>
                      <w:snapToGrid w:val="0"/>
                      <w:kern w:val="0"/>
                      <w:sz w:val="21"/>
                      <w:szCs w:val="21"/>
                    </w:rPr>
                  </w:pPr>
                </w:p>
              </w:tc>
              <w:tc>
                <w:tcPr>
                  <w:tcW w:w="1061" w:type="pct"/>
                  <w:shd w:val="clear" w:color="auto" w:fill="auto"/>
                  <w:vAlign w:val="center"/>
                </w:tcPr>
                <w:p w14:paraId="0DFA1F2B">
                  <w:pPr>
                    <w:pStyle w:val="69"/>
                    <w:adjustRightInd w:val="0"/>
                    <w:snapToGrid w:val="0"/>
                    <w:jc w:val="center"/>
                    <w:rPr>
                      <w:rFonts w:ascii="Times New Roman" w:hAnsi="Times New Roman" w:eastAsia="仿宋_GB2312" w:cs="Times New Roman"/>
                      <w:color w:val="000000" w:themeColor="text1"/>
                      <w:kern w:val="0"/>
                      <w:sz w:val="21"/>
                      <w:szCs w:val="21"/>
                    </w:rPr>
                  </w:pPr>
                  <w:r>
                    <w:rPr>
                      <w:rFonts w:ascii="Times New Roman" w:hAnsi="Times New Roman" w:eastAsia="仿宋_GB2312" w:cs="Times New Roman"/>
                      <w:color w:val="000000"/>
                      <w:sz w:val="21"/>
                      <w:szCs w:val="21"/>
                    </w:rPr>
                    <w:t>P-1730C/D</w:t>
                  </w:r>
                </w:p>
              </w:tc>
              <w:tc>
                <w:tcPr>
                  <w:tcW w:w="670" w:type="pct"/>
                  <w:shd w:val="clear" w:color="auto" w:fill="auto"/>
                  <w:vAlign w:val="center"/>
                </w:tcPr>
                <w:p w14:paraId="0EA7761A">
                  <w:pPr>
                    <w:pStyle w:val="69"/>
                    <w:adjustRightInd w:val="0"/>
                    <w:snapToGrid w:val="0"/>
                    <w:jc w:val="center"/>
                    <w:rPr>
                      <w:rFonts w:ascii="Times New Roman" w:hAnsi="Times New Roman" w:eastAsia="仿宋_GB2312" w:cs="Times New Roman"/>
                      <w:color w:val="000000" w:themeColor="text1"/>
                      <w:kern w:val="0"/>
                      <w:sz w:val="21"/>
                      <w:szCs w:val="21"/>
                    </w:rPr>
                  </w:pPr>
                  <w:r>
                    <w:rPr>
                      <w:rFonts w:ascii="Times New Roman" w:hAnsi="Times New Roman" w:eastAsia="仿宋_GB2312" w:cs="Times New Roman"/>
                      <w:color w:val="000000"/>
                      <w:sz w:val="21"/>
                      <w:szCs w:val="21"/>
                    </w:rPr>
                    <w:t>纳滤清卤泵</w:t>
                  </w:r>
                </w:p>
              </w:tc>
              <w:tc>
                <w:tcPr>
                  <w:tcW w:w="1271" w:type="pct"/>
                  <w:shd w:val="clear" w:color="auto" w:fill="auto"/>
                  <w:vAlign w:val="center"/>
                </w:tcPr>
                <w:p w14:paraId="16536B95">
                  <w:pPr>
                    <w:widowControl/>
                    <w:jc w:val="center"/>
                    <w:textAlignment w:val="center"/>
                    <w:rPr>
                      <w:rFonts w:eastAsia="仿宋_GB2312"/>
                      <w:color w:val="000000" w:themeColor="text1"/>
                      <w:kern w:val="0"/>
                      <w:sz w:val="21"/>
                      <w:szCs w:val="21"/>
                    </w:rPr>
                  </w:pPr>
                  <w:r>
                    <w:rPr>
                      <w:rFonts w:eastAsia="仿宋_GB2312"/>
                      <w:color w:val="000000"/>
                      <w:sz w:val="21"/>
                      <w:szCs w:val="21"/>
                    </w:rPr>
                    <w:t>CZX150-315</w:t>
                  </w:r>
                </w:p>
              </w:tc>
              <w:tc>
                <w:tcPr>
                  <w:tcW w:w="740" w:type="pct"/>
                  <w:vAlign w:val="center"/>
                </w:tcPr>
                <w:p w14:paraId="3DA5E551">
                  <w:pPr>
                    <w:pStyle w:val="69"/>
                    <w:adjustRightInd w:val="0"/>
                    <w:snapToGrid w:val="0"/>
                    <w:jc w:val="center"/>
                    <w:rPr>
                      <w:rFonts w:ascii="Times New Roman" w:hAnsi="Times New Roman" w:eastAsia="仿宋_GB2312" w:cs="Times New Roman"/>
                      <w:snapToGrid w:val="0"/>
                      <w:color w:val="000000" w:themeColor="text1"/>
                      <w:kern w:val="0"/>
                      <w:sz w:val="21"/>
                      <w:szCs w:val="21"/>
                    </w:rPr>
                  </w:pPr>
                  <w:r>
                    <w:rPr>
                      <w:rFonts w:ascii="Times New Roman" w:hAnsi="Times New Roman" w:eastAsia="仿宋_GB2312" w:cs="Times New Roman"/>
                      <w:snapToGrid w:val="0"/>
                      <w:color w:val="000000" w:themeColor="text1"/>
                      <w:kern w:val="0"/>
                      <w:sz w:val="21"/>
                      <w:szCs w:val="21"/>
                    </w:rPr>
                    <w:t>2</w:t>
                  </w:r>
                </w:p>
              </w:tc>
              <w:tc>
                <w:tcPr>
                  <w:tcW w:w="925" w:type="pct"/>
                  <w:vAlign w:val="center"/>
                </w:tcPr>
                <w:p w14:paraId="14F8F9C6">
                  <w:pPr>
                    <w:adjustRightInd w:val="0"/>
                    <w:snapToGrid w:val="0"/>
                    <w:jc w:val="center"/>
                    <w:rPr>
                      <w:rFonts w:eastAsia="仿宋_GB2312"/>
                      <w:snapToGrid w:val="0"/>
                      <w:color w:val="000000" w:themeColor="text1"/>
                      <w:kern w:val="0"/>
                      <w:sz w:val="21"/>
                      <w:szCs w:val="21"/>
                    </w:rPr>
                  </w:pPr>
                  <w:r>
                    <w:rPr>
                      <w:rFonts w:ascii="Times New Roman" w:eastAsia="仿宋_GB2312"/>
                      <w:color w:val="000000"/>
                      <w:sz w:val="21"/>
                      <w:szCs w:val="21"/>
                    </w:rPr>
                    <w:t>连续式双膜法产线</w:t>
                  </w:r>
                  <w:r>
                    <w:rPr>
                      <w:rFonts w:hint="eastAsia" w:eastAsia="仿宋_GB2312"/>
                      <w:color w:val="000000"/>
                      <w:sz w:val="21"/>
                      <w:szCs w:val="21"/>
                      <w:lang w:eastAsia="zh-CN"/>
                    </w:rPr>
                    <w:t>，</w:t>
                  </w:r>
                  <w:r>
                    <w:rPr>
                      <w:rFonts w:eastAsia="仿宋_GB2312"/>
                      <w:snapToGrid w:val="0"/>
                      <w:kern w:val="0"/>
                      <w:sz w:val="21"/>
                      <w:szCs w:val="21"/>
                    </w:rPr>
                    <w:t>新增</w:t>
                  </w:r>
                </w:p>
              </w:tc>
            </w:tr>
            <w:tr w14:paraId="035A7D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0" w:type="pct"/>
                  <w:vAlign w:val="center"/>
                </w:tcPr>
                <w:p w14:paraId="050BD163">
                  <w:pPr>
                    <w:numPr>
                      <w:ilvl w:val="0"/>
                      <w:numId w:val="2"/>
                    </w:numPr>
                    <w:adjustRightInd w:val="0"/>
                    <w:snapToGrid w:val="0"/>
                    <w:jc w:val="center"/>
                    <w:rPr>
                      <w:rFonts w:eastAsia="仿宋_GB2312"/>
                      <w:snapToGrid w:val="0"/>
                      <w:kern w:val="0"/>
                      <w:sz w:val="21"/>
                      <w:szCs w:val="21"/>
                    </w:rPr>
                  </w:pPr>
                </w:p>
              </w:tc>
              <w:tc>
                <w:tcPr>
                  <w:tcW w:w="1061" w:type="pct"/>
                  <w:shd w:val="clear" w:color="auto" w:fill="auto"/>
                  <w:vAlign w:val="center"/>
                </w:tcPr>
                <w:p w14:paraId="5847D6E5">
                  <w:pPr>
                    <w:pStyle w:val="69"/>
                    <w:adjustRightInd w:val="0"/>
                    <w:snapToGrid w:val="0"/>
                    <w:jc w:val="center"/>
                    <w:rPr>
                      <w:rFonts w:ascii="Times New Roman" w:hAnsi="Times New Roman" w:eastAsia="仿宋_GB2312" w:cs="Times New Roman"/>
                      <w:color w:val="000000" w:themeColor="text1"/>
                      <w:kern w:val="0"/>
                      <w:sz w:val="21"/>
                      <w:szCs w:val="21"/>
                    </w:rPr>
                  </w:pPr>
                  <w:r>
                    <w:rPr>
                      <w:rFonts w:ascii="Times New Roman" w:hAnsi="Times New Roman" w:eastAsia="仿宋_GB2312" w:cs="Times New Roman"/>
                      <w:color w:val="000000"/>
                      <w:sz w:val="21"/>
                      <w:szCs w:val="21"/>
                    </w:rPr>
                    <w:t>P-1401</w:t>
                  </w:r>
                </w:p>
              </w:tc>
              <w:tc>
                <w:tcPr>
                  <w:tcW w:w="670" w:type="pct"/>
                  <w:shd w:val="clear" w:color="auto" w:fill="auto"/>
                  <w:vAlign w:val="center"/>
                </w:tcPr>
                <w:p w14:paraId="6EF95F82">
                  <w:pPr>
                    <w:pStyle w:val="69"/>
                    <w:adjustRightInd w:val="0"/>
                    <w:snapToGrid w:val="0"/>
                    <w:jc w:val="center"/>
                    <w:rPr>
                      <w:rFonts w:ascii="Times New Roman" w:hAnsi="Times New Roman" w:eastAsia="仿宋_GB2312" w:cs="Times New Roman"/>
                      <w:color w:val="000000" w:themeColor="text1"/>
                      <w:kern w:val="0"/>
                      <w:sz w:val="21"/>
                      <w:szCs w:val="21"/>
                    </w:rPr>
                  </w:pPr>
                  <w:r>
                    <w:rPr>
                      <w:rFonts w:ascii="Times New Roman" w:hAnsi="Times New Roman" w:eastAsia="仿宋_GB2312" w:cs="Times New Roman"/>
                      <w:color w:val="000000"/>
                      <w:sz w:val="21"/>
                      <w:szCs w:val="21"/>
                    </w:rPr>
                    <w:t>收集池潜水泵</w:t>
                  </w:r>
                </w:p>
              </w:tc>
              <w:tc>
                <w:tcPr>
                  <w:tcW w:w="1271" w:type="pct"/>
                  <w:shd w:val="clear" w:color="auto" w:fill="auto"/>
                  <w:vAlign w:val="center"/>
                </w:tcPr>
                <w:p w14:paraId="43271B79">
                  <w:pPr>
                    <w:widowControl/>
                    <w:jc w:val="center"/>
                    <w:textAlignment w:val="center"/>
                    <w:rPr>
                      <w:rFonts w:eastAsia="仿宋_GB2312"/>
                      <w:color w:val="000000" w:themeColor="text1"/>
                      <w:kern w:val="0"/>
                      <w:sz w:val="21"/>
                      <w:szCs w:val="21"/>
                    </w:rPr>
                  </w:pPr>
                  <w:r>
                    <w:rPr>
                      <w:rFonts w:eastAsia="仿宋_GB2312"/>
                      <w:color w:val="000000"/>
                      <w:sz w:val="21"/>
                      <w:szCs w:val="21"/>
                    </w:rPr>
                    <w:t>FHY125-250</w:t>
                  </w:r>
                </w:p>
              </w:tc>
              <w:tc>
                <w:tcPr>
                  <w:tcW w:w="740" w:type="pct"/>
                  <w:vAlign w:val="center"/>
                </w:tcPr>
                <w:p w14:paraId="13B85368">
                  <w:pPr>
                    <w:pStyle w:val="69"/>
                    <w:adjustRightInd w:val="0"/>
                    <w:snapToGrid w:val="0"/>
                    <w:jc w:val="center"/>
                    <w:rPr>
                      <w:rFonts w:ascii="Times New Roman" w:hAnsi="Times New Roman" w:eastAsia="仿宋_GB2312" w:cs="Times New Roman"/>
                      <w:snapToGrid w:val="0"/>
                      <w:color w:val="000000" w:themeColor="text1"/>
                      <w:kern w:val="0"/>
                      <w:sz w:val="21"/>
                      <w:szCs w:val="21"/>
                    </w:rPr>
                  </w:pPr>
                  <w:r>
                    <w:rPr>
                      <w:rFonts w:ascii="Times New Roman" w:hAnsi="Times New Roman" w:eastAsia="仿宋_GB2312" w:cs="Times New Roman"/>
                      <w:snapToGrid w:val="0"/>
                      <w:color w:val="000000" w:themeColor="text1"/>
                      <w:kern w:val="0"/>
                      <w:sz w:val="21"/>
                      <w:szCs w:val="21"/>
                    </w:rPr>
                    <w:t>1</w:t>
                  </w:r>
                </w:p>
              </w:tc>
              <w:tc>
                <w:tcPr>
                  <w:tcW w:w="925" w:type="pct"/>
                  <w:vAlign w:val="center"/>
                </w:tcPr>
                <w:p w14:paraId="0EFDC032">
                  <w:pPr>
                    <w:adjustRightInd w:val="0"/>
                    <w:snapToGrid w:val="0"/>
                    <w:jc w:val="center"/>
                    <w:rPr>
                      <w:rFonts w:eastAsia="仿宋_GB2312"/>
                      <w:snapToGrid w:val="0"/>
                      <w:color w:val="000000" w:themeColor="text1"/>
                      <w:kern w:val="0"/>
                      <w:sz w:val="21"/>
                      <w:szCs w:val="21"/>
                    </w:rPr>
                  </w:pPr>
                  <w:r>
                    <w:rPr>
                      <w:rFonts w:ascii="Times New Roman" w:eastAsia="仿宋_GB2312"/>
                      <w:color w:val="000000"/>
                      <w:sz w:val="21"/>
                      <w:szCs w:val="21"/>
                    </w:rPr>
                    <w:t>连续式双膜法产线</w:t>
                  </w:r>
                  <w:r>
                    <w:rPr>
                      <w:rFonts w:hint="eastAsia" w:eastAsia="仿宋_GB2312"/>
                      <w:color w:val="000000"/>
                      <w:sz w:val="21"/>
                      <w:szCs w:val="21"/>
                      <w:lang w:eastAsia="zh-CN"/>
                    </w:rPr>
                    <w:t>，</w:t>
                  </w:r>
                  <w:r>
                    <w:rPr>
                      <w:rFonts w:eastAsia="仿宋_GB2312"/>
                      <w:snapToGrid w:val="0"/>
                      <w:kern w:val="0"/>
                      <w:sz w:val="21"/>
                      <w:szCs w:val="21"/>
                    </w:rPr>
                    <w:t>新增</w:t>
                  </w:r>
                </w:p>
              </w:tc>
            </w:tr>
            <w:tr w14:paraId="298A32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0" w:type="pct"/>
                  <w:vAlign w:val="center"/>
                </w:tcPr>
                <w:p w14:paraId="7F2B2005">
                  <w:pPr>
                    <w:numPr>
                      <w:ilvl w:val="0"/>
                      <w:numId w:val="2"/>
                    </w:numPr>
                    <w:adjustRightInd w:val="0"/>
                    <w:snapToGrid w:val="0"/>
                    <w:jc w:val="center"/>
                    <w:rPr>
                      <w:rFonts w:eastAsia="仿宋_GB2312"/>
                      <w:snapToGrid w:val="0"/>
                      <w:kern w:val="0"/>
                      <w:sz w:val="21"/>
                      <w:szCs w:val="21"/>
                    </w:rPr>
                  </w:pPr>
                </w:p>
              </w:tc>
              <w:tc>
                <w:tcPr>
                  <w:tcW w:w="1061" w:type="pct"/>
                  <w:shd w:val="clear" w:color="auto" w:fill="auto"/>
                  <w:vAlign w:val="center"/>
                </w:tcPr>
                <w:p w14:paraId="6BB768DC">
                  <w:pPr>
                    <w:pStyle w:val="69"/>
                    <w:adjustRightInd w:val="0"/>
                    <w:snapToGrid w:val="0"/>
                    <w:jc w:val="center"/>
                    <w:rPr>
                      <w:rFonts w:ascii="Times New Roman" w:hAnsi="Times New Roman" w:eastAsia="仿宋_GB2312" w:cs="Times New Roman"/>
                      <w:color w:val="000000" w:themeColor="text1"/>
                      <w:kern w:val="0"/>
                      <w:sz w:val="21"/>
                      <w:szCs w:val="21"/>
                    </w:rPr>
                  </w:pPr>
                  <w:r>
                    <w:rPr>
                      <w:rFonts w:ascii="Times New Roman" w:hAnsi="Times New Roman" w:eastAsia="仿宋_GB2312" w:cs="Times New Roman"/>
                      <w:color w:val="000000"/>
                      <w:sz w:val="21"/>
                      <w:szCs w:val="21"/>
                    </w:rPr>
                    <w:t>P-1970A/B</w:t>
                  </w:r>
                </w:p>
              </w:tc>
              <w:tc>
                <w:tcPr>
                  <w:tcW w:w="670" w:type="pct"/>
                  <w:shd w:val="clear" w:color="auto" w:fill="auto"/>
                  <w:vAlign w:val="center"/>
                </w:tcPr>
                <w:p w14:paraId="1B363280">
                  <w:pPr>
                    <w:pStyle w:val="69"/>
                    <w:adjustRightInd w:val="0"/>
                    <w:snapToGrid w:val="0"/>
                    <w:jc w:val="center"/>
                    <w:rPr>
                      <w:rFonts w:ascii="Times New Roman" w:hAnsi="Times New Roman" w:eastAsia="仿宋_GB2312" w:cs="Times New Roman"/>
                      <w:color w:val="000000" w:themeColor="text1"/>
                      <w:kern w:val="0"/>
                      <w:sz w:val="21"/>
                      <w:szCs w:val="21"/>
                    </w:rPr>
                  </w:pPr>
                  <w:r>
                    <w:rPr>
                      <w:rFonts w:ascii="Times New Roman" w:hAnsi="Times New Roman" w:eastAsia="仿宋_GB2312" w:cs="Times New Roman"/>
                      <w:color w:val="000000"/>
                      <w:sz w:val="21"/>
                      <w:szCs w:val="21"/>
                    </w:rPr>
                    <w:t>纯水泵</w:t>
                  </w:r>
                </w:p>
              </w:tc>
              <w:tc>
                <w:tcPr>
                  <w:tcW w:w="1271" w:type="pct"/>
                  <w:shd w:val="clear" w:color="auto" w:fill="auto"/>
                  <w:vAlign w:val="center"/>
                </w:tcPr>
                <w:p w14:paraId="615C1755">
                  <w:pPr>
                    <w:widowControl/>
                    <w:jc w:val="center"/>
                    <w:textAlignment w:val="center"/>
                    <w:rPr>
                      <w:rFonts w:eastAsia="仿宋_GB2312"/>
                      <w:color w:val="000000" w:themeColor="text1"/>
                      <w:kern w:val="0"/>
                      <w:sz w:val="21"/>
                      <w:szCs w:val="21"/>
                    </w:rPr>
                  </w:pPr>
                  <w:r>
                    <w:rPr>
                      <w:rFonts w:eastAsia="仿宋_GB2312"/>
                      <w:color w:val="000000"/>
                      <w:sz w:val="21"/>
                      <w:szCs w:val="21"/>
                    </w:rPr>
                    <w:t>IH65-40-200</w:t>
                  </w:r>
                </w:p>
              </w:tc>
              <w:tc>
                <w:tcPr>
                  <w:tcW w:w="740" w:type="pct"/>
                  <w:vAlign w:val="center"/>
                </w:tcPr>
                <w:p w14:paraId="109CC15F">
                  <w:pPr>
                    <w:pStyle w:val="69"/>
                    <w:adjustRightInd w:val="0"/>
                    <w:snapToGrid w:val="0"/>
                    <w:jc w:val="center"/>
                    <w:rPr>
                      <w:rFonts w:ascii="Times New Roman" w:hAnsi="Times New Roman" w:eastAsia="仿宋_GB2312" w:cs="Times New Roman"/>
                      <w:snapToGrid w:val="0"/>
                      <w:color w:val="000000" w:themeColor="text1"/>
                      <w:kern w:val="0"/>
                      <w:sz w:val="21"/>
                      <w:szCs w:val="21"/>
                    </w:rPr>
                  </w:pPr>
                  <w:r>
                    <w:rPr>
                      <w:rFonts w:ascii="Times New Roman" w:hAnsi="Times New Roman" w:eastAsia="仿宋_GB2312" w:cs="Times New Roman"/>
                      <w:snapToGrid w:val="0"/>
                      <w:color w:val="000000" w:themeColor="text1"/>
                      <w:kern w:val="0"/>
                      <w:sz w:val="21"/>
                      <w:szCs w:val="21"/>
                    </w:rPr>
                    <w:t>2</w:t>
                  </w:r>
                </w:p>
              </w:tc>
              <w:tc>
                <w:tcPr>
                  <w:tcW w:w="925" w:type="pct"/>
                  <w:vAlign w:val="center"/>
                </w:tcPr>
                <w:p w14:paraId="23DED620">
                  <w:pPr>
                    <w:adjustRightInd w:val="0"/>
                    <w:snapToGrid w:val="0"/>
                    <w:jc w:val="center"/>
                    <w:rPr>
                      <w:rFonts w:eastAsia="仿宋_GB2312"/>
                      <w:snapToGrid w:val="0"/>
                      <w:color w:val="000000" w:themeColor="text1"/>
                      <w:kern w:val="0"/>
                      <w:sz w:val="21"/>
                      <w:szCs w:val="21"/>
                    </w:rPr>
                  </w:pPr>
                  <w:r>
                    <w:rPr>
                      <w:rFonts w:ascii="Times New Roman" w:eastAsia="仿宋_GB2312"/>
                      <w:color w:val="000000"/>
                      <w:sz w:val="21"/>
                      <w:szCs w:val="21"/>
                    </w:rPr>
                    <w:t>连续式双膜法产线</w:t>
                  </w:r>
                  <w:r>
                    <w:rPr>
                      <w:rFonts w:hint="eastAsia" w:eastAsia="仿宋_GB2312"/>
                      <w:color w:val="000000"/>
                      <w:sz w:val="21"/>
                      <w:szCs w:val="21"/>
                      <w:lang w:eastAsia="zh-CN"/>
                    </w:rPr>
                    <w:t>，</w:t>
                  </w:r>
                  <w:r>
                    <w:rPr>
                      <w:rFonts w:eastAsia="仿宋_GB2312"/>
                      <w:snapToGrid w:val="0"/>
                      <w:kern w:val="0"/>
                      <w:sz w:val="21"/>
                      <w:szCs w:val="21"/>
                    </w:rPr>
                    <w:t>新增</w:t>
                  </w:r>
                </w:p>
              </w:tc>
            </w:tr>
            <w:tr w14:paraId="50E1C4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0" w:type="pct"/>
                  <w:vAlign w:val="center"/>
                </w:tcPr>
                <w:p w14:paraId="43D533D3">
                  <w:pPr>
                    <w:numPr>
                      <w:ilvl w:val="0"/>
                      <w:numId w:val="2"/>
                    </w:numPr>
                    <w:adjustRightInd w:val="0"/>
                    <w:snapToGrid w:val="0"/>
                    <w:jc w:val="center"/>
                    <w:rPr>
                      <w:rFonts w:eastAsia="仿宋_GB2312"/>
                      <w:snapToGrid w:val="0"/>
                      <w:kern w:val="0"/>
                      <w:sz w:val="21"/>
                      <w:szCs w:val="21"/>
                    </w:rPr>
                  </w:pPr>
                </w:p>
              </w:tc>
              <w:tc>
                <w:tcPr>
                  <w:tcW w:w="1061" w:type="pct"/>
                  <w:shd w:val="clear" w:color="auto" w:fill="auto"/>
                  <w:vAlign w:val="center"/>
                </w:tcPr>
                <w:p w14:paraId="4FE01D05">
                  <w:pPr>
                    <w:pStyle w:val="69"/>
                    <w:adjustRightInd w:val="0"/>
                    <w:snapToGrid w:val="0"/>
                    <w:jc w:val="center"/>
                    <w:rPr>
                      <w:rFonts w:ascii="Times New Roman" w:hAnsi="Times New Roman" w:eastAsia="仿宋_GB2312" w:cs="Times New Roman"/>
                      <w:color w:val="000000" w:themeColor="text1"/>
                      <w:kern w:val="0"/>
                      <w:sz w:val="21"/>
                      <w:szCs w:val="21"/>
                    </w:rPr>
                  </w:pPr>
                  <w:r>
                    <w:rPr>
                      <w:rFonts w:ascii="Times New Roman" w:hAnsi="Times New Roman" w:eastAsia="仿宋_GB2312" w:cs="Times New Roman"/>
                      <w:color w:val="000000"/>
                      <w:sz w:val="21"/>
                      <w:szCs w:val="21"/>
                    </w:rPr>
                    <w:t>T-1710</w:t>
                  </w:r>
                </w:p>
              </w:tc>
              <w:tc>
                <w:tcPr>
                  <w:tcW w:w="670" w:type="pct"/>
                  <w:shd w:val="clear" w:color="auto" w:fill="auto"/>
                  <w:vAlign w:val="center"/>
                </w:tcPr>
                <w:p w14:paraId="6EBDBC23">
                  <w:pPr>
                    <w:pStyle w:val="69"/>
                    <w:adjustRightInd w:val="0"/>
                    <w:snapToGrid w:val="0"/>
                    <w:jc w:val="center"/>
                    <w:rPr>
                      <w:rFonts w:ascii="Times New Roman" w:hAnsi="Times New Roman" w:eastAsia="仿宋_GB2312" w:cs="Times New Roman"/>
                      <w:color w:val="000000" w:themeColor="text1"/>
                      <w:kern w:val="0"/>
                      <w:sz w:val="21"/>
                      <w:szCs w:val="21"/>
                    </w:rPr>
                  </w:pPr>
                  <w:r>
                    <w:rPr>
                      <w:rFonts w:ascii="Times New Roman" w:hAnsi="Times New Roman" w:eastAsia="仿宋_GB2312" w:cs="Times New Roman"/>
                      <w:color w:val="000000"/>
                      <w:sz w:val="21"/>
                      <w:szCs w:val="21"/>
                    </w:rPr>
                    <w:t>陶瓷膜循环罐</w:t>
                  </w:r>
                </w:p>
              </w:tc>
              <w:tc>
                <w:tcPr>
                  <w:tcW w:w="1271" w:type="pct"/>
                  <w:shd w:val="clear" w:color="auto" w:fill="auto"/>
                  <w:vAlign w:val="center"/>
                </w:tcPr>
                <w:p w14:paraId="1A7D1520">
                  <w:pPr>
                    <w:widowControl/>
                    <w:jc w:val="center"/>
                    <w:textAlignment w:val="center"/>
                    <w:rPr>
                      <w:rFonts w:eastAsia="仿宋_GB2312"/>
                      <w:color w:val="000000" w:themeColor="text1"/>
                      <w:kern w:val="0"/>
                      <w:sz w:val="21"/>
                      <w:szCs w:val="21"/>
                    </w:rPr>
                  </w:pPr>
                  <w:r>
                    <w:rPr>
                      <w:rFonts w:eastAsia="仿宋_GB2312"/>
                      <w:color w:val="000000"/>
                      <w:sz w:val="21"/>
                      <w:szCs w:val="21"/>
                    </w:rPr>
                    <w:t>N2022135</w:t>
                  </w:r>
                </w:p>
              </w:tc>
              <w:tc>
                <w:tcPr>
                  <w:tcW w:w="740" w:type="pct"/>
                  <w:vAlign w:val="center"/>
                </w:tcPr>
                <w:p w14:paraId="1A49422A">
                  <w:pPr>
                    <w:pStyle w:val="69"/>
                    <w:adjustRightInd w:val="0"/>
                    <w:snapToGrid w:val="0"/>
                    <w:jc w:val="center"/>
                    <w:rPr>
                      <w:rFonts w:ascii="Times New Roman" w:hAnsi="Times New Roman" w:eastAsia="仿宋_GB2312" w:cs="Times New Roman"/>
                      <w:snapToGrid w:val="0"/>
                      <w:color w:val="000000" w:themeColor="text1"/>
                      <w:kern w:val="0"/>
                      <w:sz w:val="21"/>
                      <w:szCs w:val="21"/>
                    </w:rPr>
                  </w:pPr>
                  <w:r>
                    <w:rPr>
                      <w:rFonts w:ascii="Times New Roman" w:hAnsi="Times New Roman" w:eastAsia="仿宋_GB2312" w:cs="Times New Roman"/>
                      <w:snapToGrid w:val="0"/>
                      <w:color w:val="000000" w:themeColor="text1"/>
                      <w:kern w:val="0"/>
                      <w:sz w:val="21"/>
                      <w:szCs w:val="21"/>
                    </w:rPr>
                    <w:t>1</w:t>
                  </w:r>
                </w:p>
              </w:tc>
              <w:tc>
                <w:tcPr>
                  <w:tcW w:w="925" w:type="pct"/>
                  <w:vAlign w:val="center"/>
                </w:tcPr>
                <w:p w14:paraId="722DA05C">
                  <w:pPr>
                    <w:adjustRightInd w:val="0"/>
                    <w:snapToGrid w:val="0"/>
                    <w:jc w:val="center"/>
                    <w:rPr>
                      <w:rFonts w:eastAsia="仿宋_GB2312"/>
                      <w:snapToGrid w:val="0"/>
                      <w:color w:val="000000" w:themeColor="text1"/>
                      <w:kern w:val="0"/>
                      <w:sz w:val="21"/>
                      <w:szCs w:val="21"/>
                    </w:rPr>
                  </w:pPr>
                  <w:r>
                    <w:rPr>
                      <w:rFonts w:ascii="Times New Roman" w:eastAsia="仿宋_GB2312"/>
                      <w:color w:val="000000"/>
                      <w:sz w:val="21"/>
                      <w:szCs w:val="21"/>
                    </w:rPr>
                    <w:t>连续式双膜法产线</w:t>
                  </w:r>
                  <w:r>
                    <w:rPr>
                      <w:rFonts w:hint="eastAsia" w:eastAsia="仿宋_GB2312"/>
                      <w:color w:val="000000"/>
                      <w:sz w:val="21"/>
                      <w:szCs w:val="21"/>
                      <w:lang w:eastAsia="zh-CN"/>
                    </w:rPr>
                    <w:t>，</w:t>
                  </w:r>
                  <w:r>
                    <w:rPr>
                      <w:rFonts w:eastAsia="仿宋_GB2312"/>
                      <w:snapToGrid w:val="0"/>
                      <w:kern w:val="0"/>
                      <w:sz w:val="21"/>
                      <w:szCs w:val="21"/>
                    </w:rPr>
                    <w:t>新增</w:t>
                  </w:r>
                </w:p>
              </w:tc>
            </w:tr>
            <w:tr w14:paraId="2C8BBD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0" w:type="pct"/>
                  <w:vAlign w:val="center"/>
                </w:tcPr>
                <w:p w14:paraId="116B946A">
                  <w:pPr>
                    <w:numPr>
                      <w:ilvl w:val="0"/>
                      <w:numId w:val="2"/>
                    </w:numPr>
                    <w:adjustRightInd w:val="0"/>
                    <w:snapToGrid w:val="0"/>
                    <w:jc w:val="center"/>
                    <w:rPr>
                      <w:rFonts w:eastAsia="仿宋_GB2312"/>
                      <w:snapToGrid w:val="0"/>
                      <w:kern w:val="0"/>
                      <w:sz w:val="21"/>
                      <w:szCs w:val="21"/>
                    </w:rPr>
                  </w:pPr>
                </w:p>
              </w:tc>
              <w:tc>
                <w:tcPr>
                  <w:tcW w:w="1061" w:type="pct"/>
                  <w:shd w:val="clear" w:color="auto" w:fill="auto"/>
                  <w:vAlign w:val="center"/>
                </w:tcPr>
                <w:p w14:paraId="194D2448">
                  <w:pPr>
                    <w:pStyle w:val="69"/>
                    <w:adjustRightInd w:val="0"/>
                    <w:snapToGrid w:val="0"/>
                    <w:jc w:val="center"/>
                    <w:rPr>
                      <w:rFonts w:ascii="Times New Roman" w:hAnsi="Times New Roman" w:eastAsia="仿宋_GB2312" w:cs="Times New Roman"/>
                      <w:color w:val="000000" w:themeColor="text1"/>
                      <w:kern w:val="0"/>
                      <w:sz w:val="21"/>
                      <w:szCs w:val="21"/>
                    </w:rPr>
                  </w:pPr>
                  <w:r>
                    <w:rPr>
                      <w:rFonts w:ascii="Times New Roman" w:hAnsi="Times New Roman" w:eastAsia="仿宋_GB2312" w:cs="Times New Roman"/>
                      <w:color w:val="000000"/>
                      <w:sz w:val="21"/>
                      <w:szCs w:val="21"/>
                    </w:rPr>
                    <w:t>T-1730</w:t>
                  </w:r>
                </w:p>
              </w:tc>
              <w:tc>
                <w:tcPr>
                  <w:tcW w:w="670" w:type="pct"/>
                  <w:shd w:val="clear" w:color="auto" w:fill="auto"/>
                  <w:vAlign w:val="center"/>
                </w:tcPr>
                <w:p w14:paraId="2CBD219C">
                  <w:pPr>
                    <w:pStyle w:val="69"/>
                    <w:adjustRightInd w:val="0"/>
                    <w:snapToGrid w:val="0"/>
                    <w:jc w:val="center"/>
                    <w:rPr>
                      <w:rFonts w:ascii="Times New Roman" w:hAnsi="Times New Roman" w:eastAsia="仿宋_GB2312" w:cs="Times New Roman"/>
                      <w:color w:val="000000" w:themeColor="text1"/>
                      <w:kern w:val="0"/>
                      <w:sz w:val="21"/>
                      <w:szCs w:val="21"/>
                    </w:rPr>
                  </w:pPr>
                  <w:r>
                    <w:rPr>
                      <w:rFonts w:ascii="Times New Roman" w:hAnsi="Times New Roman" w:eastAsia="仿宋_GB2312" w:cs="Times New Roman"/>
                      <w:color w:val="000000"/>
                      <w:sz w:val="21"/>
                      <w:szCs w:val="21"/>
                    </w:rPr>
                    <w:t>超滤清卤罐</w:t>
                  </w:r>
                </w:p>
              </w:tc>
              <w:tc>
                <w:tcPr>
                  <w:tcW w:w="1271" w:type="pct"/>
                  <w:shd w:val="clear" w:color="auto" w:fill="auto"/>
                  <w:vAlign w:val="center"/>
                </w:tcPr>
                <w:p w14:paraId="16AAFDE9">
                  <w:pPr>
                    <w:widowControl/>
                    <w:jc w:val="center"/>
                    <w:textAlignment w:val="center"/>
                    <w:rPr>
                      <w:rFonts w:eastAsia="仿宋_GB2312"/>
                      <w:color w:val="000000" w:themeColor="text1"/>
                      <w:kern w:val="0"/>
                      <w:sz w:val="21"/>
                      <w:szCs w:val="21"/>
                    </w:rPr>
                  </w:pPr>
                  <w:r>
                    <w:rPr>
                      <w:rFonts w:eastAsia="仿宋_GB2312"/>
                      <w:color w:val="000000"/>
                      <w:sz w:val="21"/>
                      <w:szCs w:val="21"/>
                    </w:rPr>
                    <w:t>4500m³</w:t>
                  </w:r>
                </w:p>
              </w:tc>
              <w:tc>
                <w:tcPr>
                  <w:tcW w:w="740" w:type="pct"/>
                  <w:vAlign w:val="center"/>
                </w:tcPr>
                <w:p w14:paraId="4FE9695A">
                  <w:pPr>
                    <w:pStyle w:val="69"/>
                    <w:adjustRightInd w:val="0"/>
                    <w:snapToGrid w:val="0"/>
                    <w:jc w:val="center"/>
                    <w:rPr>
                      <w:rFonts w:ascii="Times New Roman" w:hAnsi="Times New Roman" w:eastAsia="仿宋_GB2312" w:cs="Times New Roman"/>
                      <w:snapToGrid w:val="0"/>
                      <w:color w:val="000000" w:themeColor="text1"/>
                      <w:kern w:val="0"/>
                      <w:sz w:val="21"/>
                      <w:szCs w:val="21"/>
                    </w:rPr>
                  </w:pPr>
                  <w:r>
                    <w:rPr>
                      <w:rFonts w:ascii="Times New Roman" w:hAnsi="Times New Roman" w:eastAsia="仿宋_GB2312" w:cs="Times New Roman"/>
                      <w:snapToGrid w:val="0"/>
                      <w:color w:val="000000" w:themeColor="text1"/>
                      <w:kern w:val="0"/>
                      <w:sz w:val="21"/>
                      <w:szCs w:val="21"/>
                    </w:rPr>
                    <w:t>1</w:t>
                  </w:r>
                </w:p>
              </w:tc>
              <w:tc>
                <w:tcPr>
                  <w:tcW w:w="925" w:type="pct"/>
                  <w:vAlign w:val="center"/>
                </w:tcPr>
                <w:p w14:paraId="4BF0B486">
                  <w:pPr>
                    <w:adjustRightInd w:val="0"/>
                    <w:snapToGrid w:val="0"/>
                    <w:jc w:val="center"/>
                    <w:rPr>
                      <w:rFonts w:eastAsia="仿宋_GB2312"/>
                      <w:snapToGrid w:val="0"/>
                      <w:color w:val="000000" w:themeColor="text1"/>
                      <w:kern w:val="0"/>
                      <w:sz w:val="21"/>
                      <w:szCs w:val="21"/>
                    </w:rPr>
                  </w:pPr>
                  <w:r>
                    <w:rPr>
                      <w:rFonts w:ascii="Times New Roman" w:eastAsia="仿宋_GB2312"/>
                      <w:color w:val="000000"/>
                      <w:sz w:val="21"/>
                      <w:szCs w:val="21"/>
                    </w:rPr>
                    <w:t>连续式双膜法产线</w:t>
                  </w:r>
                  <w:r>
                    <w:rPr>
                      <w:rFonts w:hint="eastAsia" w:eastAsia="仿宋_GB2312"/>
                      <w:color w:val="000000"/>
                      <w:sz w:val="21"/>
                      <w:szCs w:val="21"/>
                      <w:lang w:eastAsia="zh-CN"/>
                    </w:rPr>
                    <w:t>，</w:t>
                  </w:r>
                  <w:r>
                    <w:rPr>
                      <w:rFonts w:eastAsia="仿宋_GB2312"/>
                      <w:snapToGrid w:val="0"/>
                      <w:kern w:val="0"/>
                      <w:sz w:val="21"/>
                      <w:szCs w:val="21"/>
                    </w:rPr>
                    <w:t>新增</w:t>
                  </w:r>
                </w:p>
              </w:tc>
            </w:tr>
            <w:tr w14:paraId="4230E1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0" w:type="pct"/>
                  <w:vAlign w:val="center"/>
                </w:tcPr>
                <w:p w14:paraId="402772B1">
                  <w:pPr>
                    <w:numPr>
                      <w:ilvl w:val="0"/>
                      <w:numId w:val="2"/>
                    </w:numPr>
                    <w:adjustRightInd w:val="0"/>
                    <w:snapToGrid w:val="0"/>
                    <w:jc w:val="center"/>
                    <w:rPr>
                      <w:rFonts w:eastAsia="仿宋_GB2312"/>
                      <w:snapToGrid w:val="0"/>
                      <w:kern w:val="0"/>
                      <w:sz w:val="21"/>
                      <w:szCs w:val="21"/>
                    </w:rPr>
                  </w:pPr>
                </w:p>
              </w:tc>
              <w:tc>
                <w:tcPr>
                  <w:tcW w:w="1061" w:type="pct"/>
                  <w:shd w:val="clear" w:color="auto" w:fill="auto"/>
                  <w:vAlign w:val="center"/>
                </w:tcPr>
                <w:p w14:paraId="69FA9AD2">
                  <w:pPr>
                    <w:pStyle w:val="69"/>
                    <w:adjustRightInd w:val="0"/>
                    <w:snapToGrid w:val="0"/>
                    <w:jc w:val="center"/>
                    <w:rPr>
                      <w:rFonts w:ascii="Times New Roman" w:hAnsi="Times New Roman" w:eastAsia="仿宋_GB2312" w:cs="Times New Roman"/>
                      <w:color w:val="000000" w:themeColor="text1"/>
                      <w:kern w:val="0"/>
                      <w:sz w:val="21"/>
                      <w:szCs w:val="21"/>
                    </w:rPr>
                  </w:pPr>
                  <w:r>
                    <w:rPr>
                      <w:rFonts w:ascii="Times New Roman" w:hAnsi="Times New Roman" w:eastAsia="仿宋_GB2312" w:cs="Times New Roman"/>
                      <w:color w:val="000000"/>
                      <w:sz w:val="21"/>
                      <w:szCs w:val="21"/>
                    </w:rPr>
                    <w:t>T-1770</w:t>
                  </w:r>
                </w:p>
              </w:tc>
              <w:tc>
                <w:tcPr>
                  <w:tcW w:w="670" w:type="pct"/>
                  <w:shd w:val="clear" w:color="auto" w:fill="auto"/>
                  <w:vAlign w:val="center"/>
                </w:tcPr>
                <w:p w14:paraId="066F13FE">
                  <w:pPr>
                    <w:pStyle w:val="69"/>
                    <w:adjustRightInd w:val="0"/>
                    <w:snapToGrid w:val="0"/>
                    <w:jc w:val="center"/>
                    <w:rPr>
                      <w:rFonts w:ascii="Times New Roman" w:hAnsi="Times New Roman" w:eastAsia="仿宋_GB2312" w:cs="Times New Roman"/>
                      <w:color w:val="000000" w:themeColor="text1"/>
                      <w:kern w:val="0"/>
                      <w:sz w:val="21"/>
                      <w:szCs w:val="21"/>
                    </w:rPr>
                  </w:pPr>
                  <w:r>
                    <w:rPr>
                      <w:rFonts w:ascii="Times New Roman" w:hAnsi="Times New Roman" w:eastAsia="仿宋_GB2312" w:cs="Times New Roman"/>
                      <w:color w:val="000000"/>
                      <w:sz w:val="21"/>
                      <w:szCs w:val="21"/>
                    </w:rPr>
                    <w:t>反冲洗罐</w:t>
                  </w:r>
                </w:p>
              </w:tc>
              <w:tc>
                <w:tcPr>
                  <w:tcW w:w="1271" w:type="pct"/>
                  <w:shd w:val="clear" w:color="auto" w:fill="auto"/>
                  <w:vAlign w:val="center"/>
                </w:tcPr>
                <w:p w14:paraId="657888A0">
                  <w:pPr>
                    <w:widowControl/>
                    <w:jc w:val="center"/>
                    <w:textAlignment w:val="center"/>
                    <w:rPr>
                      <w:rFonts w:eastAsia="仿宋_GB2312"/>
                      <w:color w:val="000000" w:themeColor="text1"/>
                      <w:kern w:val="0"/>
                      <w:sz w:val="21"/>
                      <w:szCs w:val="21"/>
                    </w:rPr>
                  </w:pPr>
                  <w:r>
                    <w:rPr>
                      <w:rFonts w:eastAsia="仿宋_GB2312"/>
                      <w:color w:val="000000"/>
                      <w:sz w:val="21"/>
                      <w:szCs w:val="21"/>
                    </w:rPr>
                    <w:t>φ1600*3533立式</w:t>
                  </w:r>
                </w:p>
              </w:tc>
              <w:tc>
                <w:tcPr>
                  <w:tcW w:w="740" w:type="pct"/>
                  <w:vAlign w:val="center"/>
                </w:tcPr>
                <w:p w14:paraId="276BA271">
                  <w:pPr>
                    <w:pStyle w:val="69"/>
                    <w:adjustRightInd w:val="0"/>
                    <w:snapToGrid w:val="0"/>
                    <w:jc w:val="center"/>
                    <w:rPr>
                      <w:rFonts w:ascii="Times New Roman" w:hAnsi="Times New Roman" w:eastAsia="仿宋_GB2312" w:cs="Times New Roman"/>
                      <w:snapToGrid w:val="0"/>
                      <w:color w:val="000000" w:themeColor="text1"/>
                      <w:kern w:val="0"/>
                      <w:sz w:val="21"/>
                      <w:szCs w:val="21"/>
                    </w:rPr>
                  </w:pPr>
                  <w:r>
                    <w:rPr>
                      <w:rFonts w:hint="eastAsia" w:ascii="Times New Roman" w:hAnsi="Times New Roman" w:eastAsia="仿宋_GB2312" w:cs="Times New Roman"/>
                      <w:snapToGrid w:val="0"/>
                      <w:color w:val="000000" w:themeColor="text1"/>
                      <w:kern w:val="0"/>
                      <w:sz w:val="21"/>
                      <w:szCs w:val="21"/>
                    </w:rPr>
                    <w:t>3</w:t>
                  </w:r>
                </w:p>
              </w:tc>
              <w:tc>
                <w:tcPr>
                  <w:tcW w:w="925" w:type="pct"/>
                  <w:vAlign w:val="center"/>
                </w:tcPr>
                <w:p w14:paraId="21EEA5B6">
                  <w:pPr>
                    <w:adjustRightInd w:val="0"/>
                    <w:snapToGrid w:val="0"/>
                    <w:jc w:val="center"/>
                    <w:rPr>
                      <w:rFonts w:eastAsia="仿宋_GB2312"/>
                      <w:snapToGrid w:val="0"/>
                      <w:color w:val="000000" w:themeColor="text1"/>
                      <w:kern w:val="0"/>
                      <w:sz w:val="21"/>
                      <w:szCs w:val="21"/>
                    </w:rPr>
                  </w:pPr>
                  <w:r>
                    <w:rPr>
                      <w:rFonts w:ascii="Times New Roman" w:eastAsia="仿宋_GB2312"/>
                      <w:color w:val="000000"/>
                      <w:sz w:val="21"/>
                      <w:szCs w:val="21"/>
                    </w:rPr>
                    <w:t>连续式双膜法产线</w:t>
                  </w:r>
                  <w:r>
                    <w:rPr>
                      <w:rFonts w:hint="eastAsia" w:eastAsia="仿宋_GB2312"/>
                      <w:color w:val="000000"/>
                      <w:sz w:val="21"/>
                      <w:szCs w:val="21"/>
                      <w:lang w:eastAsia="zh-CN"/>
                    </w:rPr>
                    <w:t>，</w:t>
                  </w:r>
                  <w:r>
                    <w:rPr>
                      <w:rFonts w:eastAsia="仿宋_GB2312"/>
                      <w:snapToGrid w:val="0"/>
                      <w:kern w:val="0"/>
                      <w:sz w:val="21"/>
                      <w:szCs w:val="21"/>
                    </w:rPr>
                    <w:t>新增</w:t>
                  </w:r>
                </w:p>
              </w:tc>
            </w:tr>
            <w:tr w14:paraId="4F056B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0" w:type="pct"/>
                  <w:vAlign w:val="center"/>
                </w:tcPr>
                <w:p w14:paraId="49C1995B">
                  <w:pPr>
                    <w:numPr>
                      <w:ilvl w:val="0"/>
                      <w:numId w:val="2"/>
                    </w:numPr>
                    <w:adjustRightInd w:val="0"/>
                    <w:snapToGrid w:val="0"/>
                    <w:jc w:val="center"/>
                    <w:rPr>
                      <w:rFonts w:eastAsia="仿宋_GB2312"/>
                      <w:snapToGrid w:val="0"/>
                      <w:kern w:val="0"/>
                      <w:sz w:val="21"/>
                      <w:szCs w:val="21"/>
                    </w:rPr>
                  </w:pPr>
                </w:p>
              </w:tc>
              <w:tc>
                <w:tcPr>
                  <w:tcW w:w="1061" w:type="pct"/>
                  <w:shd w:val="clear" w:color="auto" w:fill="auto"/>
                  <w:vAlign w:val="center"/>
                </w:tcPr>
                <w:p w14:paraId="6FE9569F">
                  <w:pPr>
                    <w:pStyle w:val="69"/>
                    <w:adjustRightInd w:val="0"/>
                    <w:snapToGrid w:val="0"/>
                    <w:jc w:val="center"/>
                    <w:rPr>
                      <w:rFonts w:ascii="Times New Roman" w:hAnsi="Times New Roman" w:eastAsia="仿宋_GB2312" w:cs="Times New Roman"/>
                      <w:color w:val="000000"/>
                      <w:sz w:val="21"/>
                      <w:szCs w:val="21"/>
                    </w:rPr>
                  </w:pPr>
                  <w:r>
                    <w:rPr>
                      <w:rFonts w:ascii="Times New Roman" w:hAnsi="Times New Roman" w:eastAsia="仿宋_GB2312" w:cs="Times New Roman"/>
                      <w:color w:val="000000"/>
                      <w:sz w:val="21"/>
                      <w:szCs w:val="21"/>
                    </w:rPr>
                    <w:t>T-177</w:t>
                  </w:r>
                  <w:r>
                    <w:rPr>
                      <w:rFonts w:hint="eastAsia" w:ascii="Times New Roman" w:hAnsi="Times New Roman" w:eastAsia="仿宋_GB2312" w:cs="Times New Roman"/>
                      <w:color w:val="000000"/>
                      <w:sz w:val="21"/>
                      <w:szCs w:val="21"/>
                    </w:rPr>
                    <w:t>5</w:t>
                  </w:r>
                </w:p>
              </w:tc>
              <w:tc>
                <w:tcPr>
                  <w:tcW w:w="670" w:type="pct"/>
                  <w:shd w:val="clear" w:color="auto" w:fill="auto"/>
                  <w:vAlign w:val="center"/>
                </w:tcPr>
                <w:p w14:paraId="13CF3321">
                  <w:pPr>
                    <w:pStyle w:val="69"/>
                    <w:adjustRightInd w:val="0"/>
                    <w:snapToGrid w:val="0"/>
                    <w:jc w:val="center"/>
                    <w:rPr>
                      <w:rFonts w:ascii="Times New Roman" w:hAnsi="Times New Roman" w:eastAsia="仿宋_GB2312" w:cs="Times New Roman"/>
                      <w:color w:val="000000"/>
                      <w:sz w:val="21"/>
                      <w:szCs w:val="21"/>
                    </w:rPr>
                  </w:pPr>
                  <w:r>
                    <w:rPr>
                      <w:rFonts w:hint="eastAsia" w:ascii="Times New Roman" w:hAnsi="Times New Roman" w:eastAsia="仿宋_GB2312" w:cs="Times New Roman"/>
                      <w:snapToGrid w:val="0"/>
                      <w:color w:val="000000" w:themeColor="text1"/>
                      <w:kern w:val="0"/>
                      <w:sz w:val="21"/>
                      <w:szCs w:val="21"/>
                    </w:rPr>
                    <w:t>压缩空气储罐</w:t>
                  </w:r>
                </w:p>
              </w:tc>
              <w:tc>
                <w:tcPr>
                  <w:tcW w:w="1271" w:type="pct"/>
                  <w:shd w:val="clear" w:color="auto" w:fill="auto"/>
                  <w:vAlign w:val="center"/>
                </w:tcPr>
                <w:p w14:paraId="34C8D2EC">
                  <w:pPr>
                    <w:widowControl/>
                    <w:jc w:val="center"/>
                    <w:textAlignment w:val="center"/>
                    <w:rPr>
                      <w:rFonts w:eastAsia="仿宋_GB2312"/>
                      <w:color w:val="000000"/>
                      <w:sz w:val="21"/>
                      <w:szCs w:val="21"/>
                    </w:rPr>
                  </w:pPr>
                  <w:r>
                    <w:rPr>
                      <w:rFonts w:hint="eastAsia" w:eastAsia="仿宋_GB2312"/>
                      <w:color w:val="000000"/>
                      <w:sz w:val="21"/>
                      <w:szCs w:val="21"/>
                    </w:rPr>
                    <w:t>10</w:t>
                  </w:r>
                  <w:r>
                    <w:rPr>
                      <w:rFonts w:eastAsia="仿宋_GB2312"/>
                      <w:color w:val="000000"/>
                      <w:sz w:val="21"/>
                      <w:szCs w:val="21"/>
                    </w:rPr>
                    <w:t>m³</w:t>
                  </w:r>
                </w:p>
              </w:tc>
              <w:tc>
                <w:tcPr>
                  <w:tcW w:w="740" w:type="pct"/>
                  <w:vAlign w:val="center"/>
                </w:tcPr>
                <w:p w14:paraId="2FA83FB8">
                  <w:pPr>
                    <w:pStyle w:val="69"/>
                    <w:adjustRightInd w:val="0"/>
                    <w:snapToGrid w:val="0"/>
                    <w:jc w:val="center"/>
                    <w:rPr>
                      <w:rFonts w:ascii="Times New Roman" w:hAnsi="Times New Roman" w:eastAsia="仿宋_GB2312" w:cs="Times New Roman"/>
                      <w:snapToGrid w:val="0"/>
                      <w:color w:val="000000" w:themeColor="text1"/>
                      <w:kern w:val="0"/>
                      <w:sz w:val="21"/>
                      <w:szCs w:val="21"/>
                    </w:rPr>
                  </w:pPr>
                  <w:r>
                    <w:rPr>
                      <w:rFonts w:ascii="Times New Roman" w:hAnsi="Times New Roman" w:eastAsia="仿宋_GB2312" w:cs="Times New Roman"/>
                      <w:snapToGrid w:val="0"/>
                      <w:color w:val="000000" w:themeColor="text1"/>
                      <w:kern w:val="0"/>
                      <w:sz w:val="21"/>
                      <w:szCs w:val="21"/>
                    </w:rPr>
                    <w:t>1</w:t>
                  </w:r>
                </w:p>
              </w:tc>
              <w:tc>
                <w:tcPr>
                  <w:tcW w:w="925" w:type="pct"/>
                  <w:vAlign w:val="center"/>
                </w:tcPr>
                <w:p w14:paraId="38D4F033">
                  <w:pPr>
                    <w:adjustRightInd w:val="0"/>
                    <w:snapToGrid w:val="0"/>
                    <w:jc w:val="center"/>
                    <w:rPr>
                      <w:rFonts w:eastAsia="仿宋_GB2312"/>
                      <w:color w:val="000000" w:themeColor="text1"/>
                      <w:sz w:val="21"/>
                      <w:szCs w:val="21"/>
                    </w:rPr>
                  </w:pPr>
                  <w:r>
                    <w:rPr>
                      <w:rFonts w:ascii="Times New Roman" w:eastAsia="仿宋_GB2312"/>
                      <w:color w:val="000000"/>
                      <w:sz w:val="21"/>
                      <w:szCs w:val="21"/>
                    </w:rPr>
                    <w:t>连续式双膜法产线</w:t>
                  </w:r>
                  <w:r>
                    <w:rPr>
                      <w:rFonts w:hint="eastAsia" w:eastAsia="仿宋_GB2312"/>
                      <w:color w:val="000000"/>
                      <w:sz w:val="21"/>
                      <w:szCs w:val="21"/>
                      <w:lang w:eastAsia="zh-CN"/>
                    </w:rPr>
                    <w:t>，</w:t>
                  </w:r>
                  <w:r>
                    <w:rPr>
                      <w:rFonts w:eastAsia="仿宋_GB2312"/>
                      <w:snapToGrid w:val="0"/>
                      <w:kern w:val="0"/>
                      <w:sz w:val="21"/>
                      <w:szCs w:val="21"/>
                    </w:rPr>
                    <w:t>新增</w:t>
                  </w:r>
                </w:p>
              </w:tc>
            </w:tr>
            <w:tr w14:paraId="1ACF94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0" w:type="pct"/>
                  <w:vAlign w:val="center"/>
                </w:tcPr>
                <w:p w14:paraId="7EF5012A">
                  <w:pPr>
                    <w:numPr>
                      <w:ilvl w:val="0"/>
                      <w:numId w:val="2"/>
                    </w:numPr>
                    <w:adjustRightInd w:val="0"/>
                    <w:snapToGrid w:val="0"/>
                    <w:jc w:val="center"/>
                    <w:rPr>
                      <w:rFonts w:eastAsia="仿宋_GB2312"/>
                      <w:snapToGrid w:val="0"/>
                      <w:kern w:val="0"/>
                      <w:sz w:val="21"/>
                      <w:szCs w:val="21"/>
                    </w:rPr>
                  </w:pPr>
                </w:p>
              </w:tc>
              <w:tc>
                <w:tcPr>
                  <w:tcW w:w="1061" w:type="pct"/>
                  <w:shd w:val="clear" w:color="auto" w:fill="auto"/>
                  <w:vAlign w:val="center"/>
                </w:tcPr>
                <w:p w14:paraId="1349546F">
                  <w:pPr>
                    <w:pStyle w:val="69"/>
                    <w:adjustRightInd w:val="0"/>
                    <w:snapToGrid w:val="0"/>
                    <w:jc w:val="center"/>
                    <w:rPr>
                      <w:rFonts w:ascii="Times New Roman" w:hAnsi="Times New Roman" w:eastAsia="仿宋_GB2312" w:cs="Times New Roman"/>
                      <w:color w:val="000000" w:themeColor="text1"/>
                      <w:kern w:val="0"/>
                      <w:sz w:val="21"/>
                      <w:szCs w:val="21"/>
                    </w:rPr>
                  </w:pPr>
                  <w:r>
                    <w:rPr>
                      <w:rFonts w:ascii="Times New Roman" w:hAnsi="Times New Roman" w:eastAsia="仿宋_GB2312" w:cs="Times New Roman"/>
                      <w:color w:val="000000"/>
                      <w:sz w:val="21"/>
                      <w:szCs w:val="21"/>
                    </w:rPr>
                    <w:t>T-1830</w:t>
                  </w:r>
                </w:p>
              </w:tc>
              <w:tc>
                <w:tcPr>
                  <w:tcW w:w="670" w:type="pct"/>
                  <w:shd w:val="clear" w:color="auto" w:fill="auto"/>
                  <w:vAlign w:val="center"/>
                </w:tcPr>
                <w:p w14:paraId="29D808A6">
                  <w:pPr>
                    <w:pStyle w:val="69"/>
                    <w:adjustRightInd w:val="0"/>
                    <w:snapToGrid w:val="0"/>
                    <w:jc w:val="center"/>
                    <w:rPr>
                      <w:rFonts w:ascii="Times New Roman" w:hAnsi="Times New Roman" w:eastAsia="仿宋_GB2312" w:cs="Times New Roman"/>
                      <w:color w:val="000000" w:themeColor="text1"/>
                      <w:kern w:val="0"/>
                      <w:sz w:val="21"/>
                      <w:szCs w:val="21"/>
                    </w:rPr>
                  </w:pPr>
                  <w:r>
                    <w:rPr>
                      <w:rFonts w:ascii="Times New Roman" w:hAnsi="Times New Roman" w:eastAsia="仿宋_GB2312" w:cs="Times New Roman"/>
                      <w:color w:val="000000"/>
                      <w:sz w:val="21"/>
                      <w:szCs w:val="21"/>
                    </w:rPr>
                    <w:t>纳滤清卤罐</w:t>
                  </w:r>
                </w:p>
              </w:tc>
              <w:tc>
                <w:tcPr>
                  <w:tcW w:w="1271" w:type="pct"/>
                  <w:shd w:val="clear" w:color="auto" w:fill="auto"/>
                  <w:vAlign w:val="center"/>
                </w:tcPr>
                <w:p w14:paraId="02322C10">
                  <w:pPr>
                    <w:widowControl/>
                    <w:jc w:val="center"/>
                    <w:textAlignment w:val="center"/>
                    <w:rPr>
                      <w:rFonts w:eastAsia="仿宋_GB2312"/>
                      <w:color w:val="000000" w:themeColor="text1"/>
                      <w:kern w:val="0"/>
                      <w:sz w:val="21"/>
                      <w:szCs w:val="21"/>
                    </w:rPr>
                  </w:pPr>
                  <w:r>
                    <w:rPr>
                      <w:rFonts w:eastAsia="仿宋_GB2312"/>
                      <w:color w:val="000000"/>
                      <w:sz w:val="21"/>
                      <w:szCs w:val="21"/>
                    </w:rPr>
                    <w:t>120m³</w:t>
                  </w:r>
                </w:p>
              </w:tc>
              <w:tc>
                <w:tcPr>
                  <w:tcW w:w="740" w:type="pct"/>
                  <w:vAlign w:val="center"/>
                </w:tcPr>
                <w:p w14:paraId="35747753">
                  <w:pPr>
                    <w:pStyle w:val="69"/>
                    <w:adjustRightInd w:val="0"/>
                    <w:snapToGrid w:val="0"/>
                    <w:jc w:val="center"/>
                    <w:rPr>
                      <w:rFonts w:ascii="Times New Roman" w:hAnsi="Times New Roman" w:eastAsia="仿宋_GB2312" w:cs="Times New Roman"/>
                      <w:snapToGrid w:val="0"/>
                      <w:color w:val="000000" w:themeColor="text1"/>
                      <w:kern w:val="0"/>
                      <w:sz w:val="21"/>
                      <w:szCs w:val="21"/>
                    </w:rPr>
                  </w:pPr>
                  <w:r>
                    <w:rPr>
                      <w:rFonts w:ascii="Times New Roman" w:hAnsi="Times New Roman" w:eastAsia="仿宋_GB2312" w:cs="Times New Roman"/>
                      <w:snapToGrid w:val="0"/>
                      <w:color w:val="000000" w:themeColor="text1"/>
                      <w:kern w:val="0"/>
                      <w:sz w:val="21"/>
                      <w:szCs w:val="21"/>
                    </w:rPr>
                    <w:t>1</w:t>
                  </w:r>
                </w:p>
              </w:tc>
              <w:tc>
                <w:tcPr>
                  <w:tcW w:w="925" w:type="pct"/>
                  <w:vAlign w:val="center"/>
                </w:tcPr>
                <w:p w14:paraId="32D2E3C7">
                  <w:pPr>
                    <w:adjustRightInd w:val="0"/>
                    <w:snapToGrid w:val="0"/>
                    <w:jc w:val="center"/>
                    <w:rPr>
                      <w:rFonts w:eastAsia="仿宋_GB2312"/>
                      <w:snapToGrid w:val="0"/>
                      <w:color w:val="000000" w:themeColor="text1"/>
                      <w:kern w:val="0"/>
                      <w:sz w:val="21"/>
                      <w:szCs w:val="21"/>
                    </w:rPr>
                  </w:pPr>
                  <w:r>
                    <w:rPr>
                      <w:rFonts w:ascii="Times New Roman" w:eastAsia="仿宋_GB2312"/>
                      <w:color w:val="000000"/>
                      <w:sz w:val="21"/>
                      <w:szCs w:val="21"/>
                    </w:rPr>
                    <w:t>连续式双膜法产线</w:t>
                  </w:r>
                  <w:r>
                    <w:rPr>
                      <w:rFonts w:hint="eastAsia" w:eastAsia="仿宋_GB2312"/>
                      <w:color w:val="000000"/>
                      <w:sz w:val="21"/>
                      <w:szCs w:val="21"/>
                      <w:lang w:eastAsia="zh-CN"/>
                    </w:rPr>
                    <w:t>，</w:t>
                  </w:r>
                  <w:r>
                    <w:rPr>
                      <w:rFonts w:eastAsia="仿宋_GB2312"/>
                      <w:snapToGrid w:val="0"/>
                      <w:kern w:val="0"/>
                      <w:sz w:val="21"/>
                      <w:szCs w:val="21"/>
                    </w:rPr>
                    <w:t>新增</w:t>
                  </w:r>
                </w:p>
              </w:tc>
            </w:tr>
            <w:tr w14:paraId="03DF3C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0" w:type="pct"/>
                  <w:vAlign w:val="center"/>
                </w:tcPr>
                <w:p w14:paraId="5CD3686A">
                  <w:pPr>
                    <w:numPr>
                      <w:ilvl w:val="0"/>
                      <w:numId w:val="2"/>
                    </w:numPr>
                    <w:adjustRightInd w:val="0"/>
                    <w:snapToGrid w:val="0"/>
                    <w:jc w:val="center"/>
                    <w:rPr>
                      <w:rFonts w:eastAsia="仿宋_GB2312"/>
                      <w:snapToGrid w:val="0"/>
                      <w:kern w:val="0"/>
                      <w:sz w:val="21"/>
                      <w:szCs w:val="21"/>
                    </w:rPr>
                  </w:pPr>
                </w:p>
              </w:tc>
              <w:tc>
                <w:tcPr>
                  <w:tcW w:w="1061" w:type="pct"/>
                  <w:shd w:val="clear" w:color="auto" w:fill="auto"/>
                  <w:vAlign w:val="center"/>
                </w:tcPr>
                <w:p w14:paraId="2D49AA97">
                  <w:pPr>
                    <w:pStyle w:val="69"/>
                    <w:adjustRightInd w:val="0"/>
                    <w:snapToGrid w:val="0"/>
                    <w:jc w:val="center"/>
                    <w:rPr>
                      <w:rFonts w:ascii="Times New Roman" w:hAnsi="Times New Roman" w:eastAsia="仿宋_GB2312" w:cs="Times New Roman"/>
                      <w:color w:val="000000" w:themeColor="text1"/>
                      <w:kern w:val="0"/>
                      <w:sz w:val="21"/>
                      <w:szCs w:val="21"/>
                    </w:rPr>
                  </w:pPr>
                  <w:r>
                    <w:rPr>
                      <w:rFonts w:ascii="Times New Roman" w:hAnsi="Times New Roman" w:eastAsia="仿宋_GB2312" w:cs="Times New Roman"/>
                      <w:color w:val="000000"/>
                      <w:sz w:val="21"/>
                      <w:szCs w:val="21"/>
                    </w:rPr>
                    <w:t>T-1475</w:t>
                  </w:r>
                </w:p>
              </w:tc>
              <w:tc>
                <w:tcPr>
                  <w:tcW w:w="670" w:type="pct"/>
                  <w:shd w:val="clear" w:color="auto" w:fill="auto"/>
                  <w:vAlign w:val="center"/>
                </w:tcPr>
                <w:p w14:paraId="3B265CD3">
                  <w:pPr>
                    <w:pStyle w:val="69"/>
                    <w:adjustRightInd w:val="0"/>
                    <w:snapToGrid w:val="0"/>
                    <w:jc w:val="center"/>
                    <w:rPr>
                      <w:rFonts w:ascii="Times New Roman" w:hAnsi="Times New Roman" w:eastAsia="仿宋_GB2312" w:cs="Times New Roman"/>
                      <w:color w:val="000000" w:themeColor="text1"/>
                      <w:kern w:val="0"/>
                      <w:sz w:val="21"/>
                      <w:szCs w:val="21"/>
                    </w:rPr>
                  </w:pPr>
                  <w:r>
                    <w:rPr>
                      <w:rFonts w:ascii="Times New Roman" w:hAnsi="Times New Roman" w:eastAsia="仿宋_GB2312" w:cs="Times New Roman"/>
                      <w:color w:val="000000"/>
                      <w:sz w:val="21"/>
                      <w:szCs w:val="21"/>
                    </w:rPr>
                    <w:t>次氯酸钠储罐</w:t>
                  </w:r>
                </w:p>
              </w:tc>
              <w:tc>
                <w:tcPr>
                  <w:tcW w:w="1271" w:type="pct"/>
                  <w:shd w:val="clear" w:color="auto" w:fill="auto"/>
                  <w:vAlign w:val="center"/>
                </w:tcPr>
                <w:p w14:paraId="3789DEE9">
                  <w:pPr>
                    <w:widowControl/>
                    <w:jc w:val="center"/>
                    <w:textAlignment w:val="center"/>
                    <w:rPr>
                      <w:rFonts w:eastAsia="仿宋_GB2312"/>
                      <w:color w:val="000000" w:themeColor="text1"/>
                      <w:kern w:val="0"/>
                      <w:sz w:val="21"/>
                      <w:szCs w:val="21"/>
                    </w:rPr>
                  </w:pPr>
                  <w:r>
                    <w:rPr>
                      <w:rFonts w:eastAsia="仿宋_GB2312"/>
                      <w:color w:val="000000"/>
                      <w:sz w:val="21"/>
                      <w:szCs w:val="21"/>
                    </w:rPr>
                    <w:t>55m³</w:t>
                  </w:r>
                </w:p>
              </w:tc>
              <w:tc>
                <w:tcPr>
                  <w:tcW w:w="740" w:type="pct"/>
                  <w:vAlign w:val="center"/>
                </w:tcPr>
                <w:p w14:paraId="3520398F">
                  <w:pPr>
                    <w:pStyle w:val="69"/>
                    <w:adjustRightInd w:val="0"/>
                    <w:snapToGrid w:val="0"/>
                    <w:jc w:val="center"/>
                    <w:rPr>
                      <w:rFonts w:ascii="Times New Roman" w:hAnsi="Times New Roman" w:eastAsia="仿宋_GB2312" w:cs="Times New Roman"/>
                      <w:snapToGrid w:val="0"/>
                      <w:color w:val="000000" w:themeColor="text1"/>
                      <w:kern w:val="0"/>
                      <w:sz w:val="21"/>
                      <w:szCs w:val="21"/>
                    </w:rPr>
                  </w:pPr>
                  <w:r>
                    <w:rPr>
                      <w:rFonts w:ascii="Times New Roman" w:hAnsi="Times New Roman" w:eastAsia="仿宋_GB2312" w:cs="Times New Roman"/>
                      <w:snapToGrid w:val="0"/>
                      <w:color w:val="000000" w:themeColor="text1"/>
                      <w:kern w:val="0"/>
                      <w:sz w:val="21"/>
                      <w:szCs w:val="21"/>
                    </w:rPr>
                    <w:t>1</w:t>
                  </w:r>
                </w:p>
              </w:tc>
              <w:tc>
                <w:tcPr>
                  <w:tcW w:w="925" w:type="pct"/>
                  <w:vAlign w:val="center"/>
                </w:tcPr>
                <w:p w14:paraId="6DFC2347">
                  <w:pPr>
                    <w:adjustRightInd w:val="0"/>
                    <w:snapToGrid w:val="0"/>
                    <w:jc w:val="center"/>
                    <w:rPr>
                      <w:rFonts w:eastAsia="仿宋_GB2312"/>
                      <w:snapToGrid w:val="0"/>
                      <w:color w:val="000000" w:themeColor="text1"/>
                      <w:kern w:val="0"/>
                      <w:sz w:val="21"/>
                      <w:szCs w:val="21"/>
                    </w:rPr>
                  </w:pPr>
                  <w:r>
                    <w:rPr>
                      <w:rFonts w:ascii="Times New Roman" w:eastAsia="仿宋_GB2312"/>
                      <w:color w:val="000000"/>
                      <w:sz w:val="21"/>
                      <w:szCs w:val="21"/>
                    </w:rPr>
                    <w:t>连续式双膜法产线</w:t>
                  </w:r>
                  <w:r>
                    <w:rPr>
                      <w:rFonts w:hint="eastAsia" w:eastAsia="仿宋_GB2312"/>
                      <w:color w:val="000000"/>
                      <w:sz w:val="21"/>
                      <w:szCs w:val="21"/>
                      <w:lang w:eastAsia="zh-CN"/>
                    </w:rPr>
                    <w:t>，</w:t>
                  </w:r>
                  <w:r>
                    <w:rPr>
                      <w:rFonts w:eastAsia="仿宋_GB2312"/>
                      <w:snapToGrid w:val="0"/>
                      <w:kern w:val="0"/>
                      <w:sz w:val="21"/>
                      <w:szCs w:val="21"/>
                    </w:rPr>
                    <w:t>新增</w:t>
                  </w:r>
                </w:p>
              </w:tc>
            </w:tr>
            <w:tr w14:paraId="0E991C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0" w:type="pct"/>
                  <w:vAlign w:val="center"/>
                </w:tcPr>
                <w:p w14:paraId="0F2B57E4">
                  <w:pPr>
                    <w:numPr>
                      <w:ilvl w:val="0"/>
                      <w:numId w:val="2"/>
                    </w:numPr>
                    <w:adjustRightInd w:val="0"/>
                    <w:snapToGrid w:val="0"/>
                    <w:jc w:val="center"/>
                    <w:rPr>
                      <w:rFonts w:eastAsia="仿宋_GB2312"/>
                      <w:snapToGrid w:val="0"/>
                      <w:kern w:val="0"/>
                      <w:sz w:val="21"/>
                      <w:szCs w:val="21"/>
                    </w:rPr>
                  </w:pPr>
                </w:p>
              </w:tc>
              <w:tc>
                <w:tcPr>
                  <w:tcW w:w="1061" w:type="pct"/>
                  <w:shd w:val="clear" w:color="auto" w:fill="auto"/>
                  <w:vAlign w:val="center"/>
                </w:tcPr>
                <w:p w14:paraId="0132F858">
                  <w:pPr>
                    <w:pStyle w:val="69"/>
                    <w:adjustRightInd w:val="0"/>
                    <w:snapToGrid w:val="0"/>
                    <w:jc w:val="center"/>
                    <w:rPr>
                      <w:rFonts w:ascii="Times New Roman" w:hAnsi="Times New Roman" w:eastAsia="仿宋_GB2312" w:cs="Times New Roman"/>
                      <w:color w:val="000000" w:themeColor="text1"/>
                      <w:kern w:val="0"/>
                      <w:sz w:val="21"/>
                      <w:szCs w:val="21"/>
                    </w:rPr>
                  </w:pPr>
                  <w:r>
                    <w:rPr>
                      <w:rFonts w:ascii="Times New Roman" w:hAnsi="Times New Roman" w:eastAsia="仿宋_GB2312" w:cs="Times New Roman"/>
                      <w:color w:val="000000"/>
                      <w:sz w:val="21"/>
                      <w:szCs w:val="21"/>
                    </w:rPr>
                    <w:t>T-1476</w:t>
                  </w:r>
                </w:p>
              </w:tc>
              <w:tc>
                <w:tcPr>
                  <w:tcW w:w="670" w:type="pct"/>
                  <w:shd w:val="clear" w:color="auto" w:fill="auto"/>
                  <w:vAlign w:val="center"/>
                </w:tcPr>
                <w:p w14:paraId="5F8CC58A">
                  <w:pPr>
                    <w:pStyle w:val="69"/>
                    <w:adjustRightInd w:val="0"/>
                    <w:snapToGrid w:val="0"/>
                    <w:jc w:val="center"/>
                    <w:rPr>
                      <w:rFonts w:ascii="Times New Roman" w:hAnsi="Times New Roman" w:eastAsia="仿宋_GB2312" w:cs="Times New Roman"/>
                      <w:color w:val="000000" w:themeColor="text1"/>
                      <w:kern w:val="0"/>
                      <w:sz w:val="21"/>
                      <w:szCs w:val="21"/>
                    </w:rPr>
                  </w:pPr>
                  <w:r>
                    <w:rPr>
                      <w:rFonts w:ascii="Times New Roman" w:hAnsi="Times New Roman" w:eastAsia="仿宋_GB2312" w:cs="Times New Roman"/>
                      <w:color w:val="000000"/>
                      <w:sz w:val="21"/>
                      <w:szCs w:val="21"/>
                    </w:rPr>
                    <w:t>亚</w:t>
                  </w:r>
                  <w:r>
                    <w:rPr>
                      <w:rFonts w:eastAsia="仿宋_GB2312"/>
                      <w:color w:val="000000"/>
                      <w:sz w:val="21"/>
                      <w:szCs w:val="21"/>
                    </w:rPr>
                    <w:t>硫酸钠</w:t>
                  </w:r>
                  <w:r>
                    <w:rPr>
                      <w:rFonts w:ascii="Times New Roman" w:hAnsi="Times New Roman" w:eastAsia="仿宋_GB2312" w:cs="Times New Roman"/>
                      <w:color w:val="000000"/>
                      <w:sz w:val="21"/>
                      <w:szCs w:val="21"/>
                    </w:rPr>
                    <w:t>配制罐</w:t>
                  </w:r>
                </w:p>
              </w:tc>
              <w:tc>
                <w:tcPr>
                  <w:tcW w:w="1271" w:type="pct"/>
                  <w:shd w:val="clear" w:color="auto" w:fill="auto"/>
                  <w:vAlign w:val="center"/>
                </w:tcPr>
                <w:p w14:paraId="706E2098">
                  <w:pPr>
                    <w:widowControl/>
                    <w:jc w:val="center"/>
                    <w:textAlignment w:val="center"/>
                    <w:rPr>
                      <w:rFonts w:eastAsia="仿宋_GB2312"/>
                      <w:color w:val="000000" w:themeColor="text1"/>
                      <w:kern w:val="0"/>
                      <w:sz w:val="21"/>
                      <w:szCs w:val="21"/>
                    </w:rPr>
                  </w:pPr>
                  <w:r>
                    <w:rPr>
                      <w:rFonts w:eastAsia="仿宋_GB2312"/>
                      <w:color w:val="000000"/>
                      <w:sz w:val="21"/>
                      <w:szCs w:val="21"/>
                    </w:rPr>
                    <w:t>15m³</w:t>
                  </w:r>
                </w:p>
              </w:tc>
              <w:tc>
                <w:tcPr>
                  <w:tcW w:w="740" w:type="pct"/>
                  <w:vAlign w:val="center"/>
                </w:tcPr>
                <w:p w14:paraId="25AB44E3">
                  <w:pPr>
                    <w:pStyle w:val="69"/>
                    <w:adjustRightInd w:val="0"/>
                    <w:snapToGrid w:val="0"/>
                    <w:jc w:val="center"/>
                    <w:rPr>
                      <w:rFonts w:ascii="Times New Roman" w:hAnsi="Times New Roman" w:eastAsia="仿宋_GB2312" w:cs="Times New Roman"/>
                      <w:snapToGrid w:val="0"/>
                      <w:color w:val="000000" w:themeColor="text1"/>
                      <w:kern w:val="0"/>
                      <w:sz w:val="21"/>
                      <w:szCs w:val="21"/>
                    </w:rPr>
                  </w:pPr>
                  <w:r>
                    <w:rPr>
                      <w:rFonts w:ascii="Times New Roman" w:hAnsi="Times New Roman" w:eastAsia="仿宋_GB2312" w:cs="Times New Roman"/>
                      <w:snapToGrid w:val="0"/>
                      <w:color w:val="000000" w:themeColor="text1"/>
                      <w:kern w:val="0"/>
                      <w:sz w:val="21"/>
                      <w:szCs w:val="21"/>
                    </w:rPr>
                    <w:t>1</w:t>
                  </w:r>
                </w:p>
              </w:tc>
              <w:tc>
                <w:tcPr>
                  <w:tcW w:w="925" w:type="pct"/>
                  <w:vAlign w:val="center"/>
                </w:tcPr>
                <w:p w14:paraId="2F73C8CA">
                  <w:pPr>
                    <w:adjustRightInd w:val="0"/>
                    <w:snapToGrid w:val="0"/>
                    <w:jc w:val="center"/>
                    <w:rPr>
                      <w:rFonts w:eastAsia="仿宋_GB2312"/>
                      <w:color w:val="000000" w:themeColor="text1"/>
                      <w:sz w:val="21"/>
                      <w:szCs w:val="21"/>
                    </w:rPr>
                  </w:pPr>
                  <w:r>
                    <w:rPr>
                      <w:rFonts w:ascii="Times New Roman" w:eastAsia="仿宋_GB2312"/>
                      <w:color w:val="000000"/>
                      <w:sz w:val="21"/>
                      <w:szCs w:val="21"/>
                    </w:rPr>
                    <w:t>连续式双膜法产线</w:t>
                  </w:r>
                  <w:r>
                    <w:rPr>
                      <w:rFonts w:hint="eastAsia" w:eastAsia="仿宋_GB2312"/>
                      <w:color w:val="000000"/>
                      <w:sz w:val="21"/>
                      <w:szCs w:val="21"/>
                      <w:lang w:eastAsia="zh-CN"/>
                    </w:rPr>
                    <w:t>，</w:t>
                  </w:r>
                  <w:r>
                    <w:rPr>
                      <w:rFonts w:eastAsia="仿宋_GB2312"/>
                      <w:snapToGrid w:val="0"/>
                      <w:kern w:val="0"/>
                      <w:sz w:val="21"/>
                      <w:szCs w:val="21"/>
                    </w:rPr>
                    <w:t>新增</w:t>
                  </w:r>
                </w:p>
              </w:tc>
            </w:tr>
            <w:tr w14:paraId="4702ED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0" w:type="pct"/>
                  <w:vAlign w:val="center"/>
                </w:tcPr>
                <w:p w14:paraId="3018EBED">
                  <w:pPr>
                    <w:numPr>
                      <w:ilvl w:val="0"/>
                      <w:numId w:val="2"/>
                    </w:numPr>
                    <w:adjustRightInd w:val="0"/>
                    <w:snapToGrid w:val="0"/>
                    <w:jc w:val="center"/>
                    <w:rPr>
                      <w:rFonts w:eastAsia="仿宋_GB2312"/>
                      <w:snapToGrid w:val="0"/>
                      <w:kern w:val="0"/>
                      <w:sz w:val="21"/>
                      <w:szCs w:val="21"/>
                    </w:rPr>
                  </w:pPr>
                </w:p>
              </w:tc>
              <w:tc>
                <w:tcPr>
                  <w:tcW w:w="1061" w:type="pct"/>
                  <w:shd w:val="clear" w:color="auto" w:fill="auto"/>
                  <w:vAlign w:val="center"/>
                </w:tcPr>
                <w:p w14:paraId="6C76B95F">
                  <w:pPr>
                    <w:pStyle w:val="69"/>
                    <w:adjustRightInd w:val="0"/>
                    <w:snapToGrid w:val="0"/>
                    <w:jc w:val="center"/>
                    <w:rPr>
                      <w:rFonts w:ascii="Times New Roman" w:hAnsi="Times New Roman" w:eastAsia="仿宋_GB2312" w:cs="Times New Roman"/>
                      <w:color w:val="000000" w:themeColor="text1"/>
                      <w:kern w:val="0"/>
                      <w:sz w:val="21"/>
                      <w:szCs w:val="21"/>
                    </w:rPr>
                  </w:pPr>
                  <w:r>
                    <w:rPr>
                      <w:rFonts w:ascii="Times New Roman" w:hAnsi="Times New Roman" w:eastAsia="仿宋_GB2312" w:cs="Times New Roman"/>
                      <w:color w:val="000000"/>
                      <w:sz w:val="21"/>
                      <w:szCs w:val="21"/>
                    </w:rPr>
                    <w:t>T-1477</w:t>
                  </w:r>
                </w:p>
              </w:tc>
              <w:tc>
                <w:tcPr>
                  <w:tcW w:w="670" w:type="pct"/>
                  <w:shd w:val="clear" w:color="auto" w:fill="auto"/>
                  <w:vAlign w:val="center"/>
                </w:tcPr>
                <w:p w14:paraId="7CAB7E96">
                  <w:pPr>
                    <w:pStyle w:val="69"/>
                    <w:adjustRightInd w:val="0"/>
                    <w:snapToGrid w:val="0"/>
                    <w:jc w:val="center"/>
                    <w:rPr>
                      <w:rFonts w:ascii="Times New Roman" w:hAnsi="Times New Roman" w:eastAsia="仿宋_GB2312" w:cs="Times New Roman"/>
                      <w:color w:val="000000" w:themeColor="text1"/>
                      <w:kern w:val="0"/>
                      <w:sz w:val="21"/>
                      <w:szCs w:val="21"/>
                    </w:rPr>
                  </w:pPr>
                  <w:r>
                    <w:rPr>
                      <w:rFonts w:ascii="Times New Roman" w:hAnsi="Times New Roman" w:eastAsia="仿宋_GB2312" w:cs="Times New Roman"/>
                      <w:color w:val="000000"/>
                      <w:sz w:val="21"/>
                      <w:szCs w:val="21"/>
                    </w:rPr>
                    <w:t>亚</w:t>
                  </w:r>
                  <w:r>
                    <w:rPr>
                      <w:rFonts w:eastAsia="仿宋_GB2312"/>
                      <w:color w:val="000000"/>
                      <w:sz w:val="21"/>
                      <w:szCs w:val="21"/>
                    </w:rPr>
                    <w:t>硫酸</w:t>
                  </w:r>
                  <w:r>
                    <w:rPr>
                      <w:rFonts w:ascii="Times New Roman" w:hAnsi="Times New Roman" w:eastAsia="仿宋_GB2312" w:cs="Times New Roman"/>
                      <w:color w:val="000000"/>
                      <w:sz w:val="21"/>
                      <w:szCs w:val="21"/>
                    </w:rPr>
                    <w:t>纳储罐</w:t>
                  </w:r>
                </w:p>
              </w:tc>
              <w:tc>
                <w:tcPr>
                  <w:tcW w:w="1271" w:type="pct"/>
                  <w:shd w:val="clear" w:color="auto" w:fill="auto"/>
                  <w:vAlign w:val="center"/>
                </w:tcPr>
                <w:p w14:paraId="1C90AFA0">
                  <w:pPr>
                    <w:widowControl/>
                    <w:jc w:val="center"/>
                    <w:textAlignment w:val="center"/>
                    <w:rPr>
                      <w:rFonts w:eastAsia="仿宋_GB2312"/>
                      <w:color w:val="000000" w:themeColor="text1"/>
                      <w:kern w:val="0"/>
                      <w:sz w:val="21"/>
                      <w:szCs w:val="21"/>
                    </w:rPr>
                  </w:pPr>
                  <w:r>
                    <w:rPr>
                      <w:rFonts w:eastAsia="仿宋_GB2312"/>
                      <w:color w:val="000000"/>
                      <w:sz w:val="21"/>
                      <w:szCs w:val="21"/>
                    </w:rPr>
                    <w:t>55m³</w:t>
                  </w:r>
                </w:p>
              </w:tc>
              <w:tc>
                <w:tcPr>
                  <w:tcW w:w="740" w:type="pct"/>
                  <w:vAlign w:val="center"/>
                </w:tcPr>
                <w:p w14:paraId="07AF73E7">
                  <w:pPr>
                    <w:pStyle w:val="69"/>
                    <w:adjustRightInd w:val="0"/>
                    <w:snapToGrid w:val="0"/>
                    <w:jc w:val="center"/>
                    <w:rPr>
                      <w:rFonts w:ascii="Times New Roman" w:hAnsi="Times New Roman" w:eastAsia="仿宋_GB2312" w:cs="Times New Roman"/>
                      <w:snapToGrid w:val="0"/>
                      <w:color w:val="000000" w:themeColor="text1"/>
                      <w:kern w:val="0"/>
                      <w:sz w:val="21"/>
                      <w:szCs w:val="21"/>
                    </w:rPr>
                  </w:pPr>
                  <w:r>
                    <w:rPr>
                      <w:rFonts w:ascii="Times New Roman" w:hAnsi="Times New Roman" w:eastAsia="仿宋_GB2312" w:cs="Times New Roman"/>
                      <w:snapToGrid w:val="0"/>
                      <w:color w:val="000000" w:themeColor="text1"/>
                      <w:kern w:val="0"/>
                      <w:sz w:val="21"/>
                      <w:szCs w:val="21"/>
                    </w:rPr>
                    <w:t>1</w:t>
                  </w:r>
                </w:p>
              </w:tc>
              <w:tc>
                <w:tcPr>
                  <w:tcW w:w="925" w:type="pct"/>
                  <w:vAlign w:val="center"/>
                </w:tcPr>
                <w:p w14:paraId="499C7319">
                  <w:pPr>
                    <w:adjustRightInd w:val="0"/>
                    <w:snapToGrid w:val="0"/>
                    <w:jc w:val="center"/>
                    <w:rPr>
                      <w:rFonts w:eastAsia="仿宋_GB2312"/>
                      <w:color w:val="000000" w:themeColor="text1"/>
                      <w:sz w:val="21"/>
                      <w:szCs w:val="21"/>
                    </w:rPr>
                  </w:pPr>
                  <w:r>
                    <w:rPr>
                      <w:rFonts w:ascii="Times New Roman" w:eastAsia="仿宋_GB2312"/>
                      <w:color w:val="000000"/>
                      <w:sz w:val="21"/>
                      <w:szCs w:val="21"/>
                    </w:rPr>
                    <w:t>连续式双膜法产线</w:t>
                  </w:r>
                  <w:r>
                    <w:rPr>
                      <w:rFonts w:hint="eastAsia" w:eastAsia="仿宋_GB2312"/>
                      <w:color w:val="000000"/>
                      <w:sz w:val="21"/>
                      <w:szCs w:val="21"/>
                      <w:lang w:eastAsia="zh-CN"/>
                    </w:rPr>
                    <w:t>，</w:t>
                  </w:r>
                  <w:r>
                    <w:rPr>
                      <w:rFonts w:eastAsia="仿宋_GB2312"/>
                      <w:snapToGrid w:val="0"/>
                      <w:kern w:val="0"/>
                      <w:sz w:val="21"/>
                      <w:szCs w:val="21"/>
                    </w:rPr>
                    <w:t>新增</w:t>
                  </w:r>
                </w:p>
              </w:tc>
            </w:tr>
            <w:tr w14:paraId="6927B3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0" w:type="pct"/>
                  <w:vAlign w:val="center"/>
                </w:tcPr>
                <w:p w14:paraId="47EF25AA">
                  <w:pPr>
                    <w:numPr>
                      <w:ilvl w:val="0"/>
                      <w:numId w:val="2"/>
                    </w:numPr>
                    <w:adjustRightInd w:val="0"/>
                    <w:snapToGrid w:val="0"/>
                    <w:jc w:val="center"/>
                    <w:rPr>
                      <w:rFonts w:eastAsia="仿宋_GB2312"/>
                      <w:snapToGrid w:val="0"/>
                      <w:kern w:val="0"/>
                      <w:sz w:val="21"/>
                      <w:szCs w:val="21"/>
                    </w:rPr>
                  </w:pPr>
                </w:p>
              </w:tc>
              <w:tc>
                <w:tcPr>
                  <w:tcW w:w="1061" w:type="pct"/>
                  <w:shd w:val="clear" w:color="auto" w:fill="auto"/>
                  <w:vAlign w:val="center"/>
                </w:tcPr>
                <w:p w14:paraId="4F793B91">
                  <w:pPr>
                    <w:pStyle w:val="69"/>
                    <w:adjustRightInd w:val="0"/>
                    <w:snapToGrid w:val="0"/>
                    <w:jc w:val="center"/>
                    <w:rPr>
                      <w:rFonts w:ascii="Times New Roman" w:hAnsi="Times New Roman" w:eastAsia="仿宋_GB2312" w:cs="Times New Roman"/>
                      <w:color w:val="000000" w:themeColor="text1"/>
                      <w:kern w:val="0"/>
                      <w:sz w:val="21"/>
                      <w:szCs w:val="21"/>
                    </w:rPr>
                  </w:pPr>
                  <w:r>
                    <w:rPr>
                      <w:rFonts w:ascii="Times New Roman" w:hAnsi="Times New Roman" w:eastAsia="仿宋_GB2312" w:cs="Times New Roman"/>
                      <w:color w:val="000000"/>
                      <w:sz w:val="21"/>
                      <w:szCs w:val="21"/>
                    </w:rPr>
                    <w:t>T-1478</w:t>
                  </w:r>
                </w:p>
              </w:tc>
              <w:tc>
                <w:tcPr>
                  <w:tcW w:w="670" w:type="pct"/>
                  <w:shd w:val="clear" w:color="auto" w:fill="auto"/>
                  <w:vAlign w:val="center"/>
                </w:tcPr>
                <w:p w14:paraId="23A1DD97">
                  <w:pPr>
                    <w:pStyle w:val="69"/>
                    <w:adjustRightInd w:val="0"/>
                    <w:snapToGrid w:val="0"/>
                    <w:jc w:val="center"/>
                    <w:rPr>
                      <w:rFonts w:ascii="Times New Roman" w:hAnsi="Times New Roman" w:eastAsia="仿宋_GB2312" w:cs="Times New Roman"/>
                      <w:color w:val="000000" w:themeColor="text1"/>
                      <w:kern w:val="0"/>
                      <w:sz w:val="21"/>
                      <w:szCs w:val="21"/>
                    </w:rPr>
                  </w:pPr>
                  <w:r>
                    <w:rPr>
                      <w:rFonts w:ascii="Times New Roman" w:hAnsi="Times New Roman" w:eastAsia="仿宋_GB2312" w:cs="Times New Roman"/>
                      <w:color w:val="000000"/>
                      <w:sz w:val="21"/>
                      <w:szCs w:val="21"/>
                    </w:rPr>
                    <w:t>盐酸储罐</w:t>
                  </w:r>
                </w:p>
              </w:tc>
              <w:tc>
                <w:tcPr>
                  <w:tcW w:w="1271" w:type="pct"/>
                  <w:shd w:val="clear" w:color="auto" w:fill="auto"/>
                  <w:vAlign w:val="center"/>
                </w:tcPr>
                <w:p w14:paraId="6FBD41E6">
                  <w:pPr>
                    <w:widowControl/>
                    <w:jc w:val="center"/>
                    <w:textAlignment w:val="center"/>
                    <w:rPr>
                      <w:rFonts w:eastAsia="仿宋_GB2312"/>
                      <w:color w:val="000000" w:themeColor="text1"/>
                      <w:kern w:val="0"/>
                      <w:sz w:val="21"/>
                      <w:szCs w:val="21"/>
                    </w:rPr>
                  </w:pPr>
                  <w:r>
                    <w:rPr>
                      <w:rFonts w:eastAsia="仿宋_GB2312"/>
                      <w:color w:val="000000"/>
                      <w:sz w:val="21"/>
                      <w:szCs w:val="21"/>
                    </w:rPr>
                    <w:t>55m³</w:t>
                  </w:r>
                </w:p>
              </w:tc>
              <w:tc>
                <w:tcPr>
                  <w:tcW w:w="740" w:type="pct"/>
                  <w:vAlign w:val="center"/>
                </w:tcPr>
                <w:p w14:paraId="52733E36">
                  <w:pPr>
                    <w:pStyle w:val="69"/>
                    <w:adjustRightInd w:val="0"/>
                    <w:snapToGrid w:val="0"/>
                    <w:jc w:val="center"/>
                    <w:rPr>
                      <w:rFonts w:ascii="Times New Roman" w:hAnsi="Times New Roman" w:eastAsia="仿宋_GB2312" w:cs="Times New Roman"/>
                      <w:snapToGrid w:val="0"/>
                      <w:color w:val="000000" w:themeColor="text1"/>
                      <w:kern w:val="0"/>
                      <w:sz w:val="21"/>
                      <w:szCs w:val="21"/>
                    </w:rPr>
                  </w:pPr>
                  <w:r>
                    <w:rPr>
                      <w:rFonts w:ascii="Times New Roman" w:hAnsi="Times New Roman" w:eastAsia="仿宋_GB2312" w:cs="Times New Roman"/>
                      <w:snapToGrid w:val="0"/>
                      <w:color w:val="000000" w:themeColor="text1"/>
                      <w:kern w:val="0"/>
                      <w:sz w:val="21"/>
                      <w:szCs w:val="21"/>
                    </w:rPr>
                    <w:t>1</w:t>
                  </w:r>
                </w:p>
              </w:tc>
              <w:tc>
                <w:tcPr>
                  <w:tcW w:w="925" w:type="pct"/>
                  <w:vAlign w:val="center"/>
                </w:tcPr>
                <w:p w14:paraId="2E864637">
                  <w:pPr>
                    <w:adjustRightInd w:val="0"/>
                    <w:snapToGrid w:val="0"/>
                    <w:jc w:val="center"/>
                    <w:rPr>
                      <w:rFonts w:eastAsia="仿宋_GB2312"/>
                      <w:color w:val="000000" w:themeColor="text1"/>
                      <w:sz w:val="21"/>
                      <w:szCs w:val="21"/>
                    </w:rPr>
                  </w:pPr>
                  <w:r>
                    <w:rPr>
                      <w:rFonts w:ascii="Times New Roman" w:eastAsia="仿宋_GB2312"/>
                      <w:color w:val="000000"/>
                      <w:sz w:val="21"/>
                      <w:szCs w:val="21"/>
                    </w:rPr>
                    <w:t>连续式双膜法产线</w:t>
                  </w:r>
                  <w:r>
                    <w:rPr>
                      <w:rFonts w:hint="eastAsia" w:eastAsia="仿宋_GB2312"/>
                      <w:color w:val="000000"/>
                      <w:sz w:val="21"/>
                      <w:szCs w:val="21"/>
                      <w:lang w:eastAsia="zh-CN"/>
                    </w:rPr>
                    <w:t>，</w:t>
                  </w:r>
                  <w:r>
                    <w:rPr>
                      <w:rFonts w:eastAsia="仿宋_GB2312"/>
                      <w:snapToGrid w:val="0"/>
                      <w:kern w:val="0"/>
                      <w:sz w:val="21"/>
                      <w:szCs w:val="21"/>
                    </w:rPr>
                    <w:t>新增</w:t>
                  </w:r>
                </w:p>
              </w:tc>
            </w:tr>
            <w:tr w14:paraId="7F2538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0" w:type="pct"/>
                  <w:vAlign w:val="center"/>
                </w:tcPr>
                <w:p w14:paraId="2E1E7DAB">
                  <w:pPr>
                    <w:numPr>
                      <w:ilvl w:val="0"/>
                      <w:numId w:val="2"/>
                    </w:numPr>
                    <w:adjustRightInd w:val="0"/>
                    <w:snapToGrid w:val="0"/>
                    <w:jc w:val="center"/>
                    <w:rPr>
                      <w:rFonts w:eastAsia="仿宋_GB2312"/>
                      <w:snapToGrid w:val="0"/>
                      <w:kern w:val="0"/>
                      <w:sz w:val="21"/>
                      <w:szCs w:val="21"/>
                    </w:rPr>
                  </w:pPr>
                </w:p>
              </w:tc>
              <w:tc>
                <w:tcPr>
                  <w:tcW w:w="1061" w:type="pct"/>
                  <w:shd w:val="clear" w:color="auto" w:fill="auto"/>
                  <w:vAlign w:val="center"/>
                </w:tcPr>
                <w:p w14:paraId="7D04F2E9">
                  <w:pPr>
                    <w:pStyle w:val="69"/>
                    <w:adjustRightInd w:val="0"/>
                    <w:snapToGrid w:val="0"/>
                    <w:jc w:val="center"/>
                    <w:rPr>
                      <w:rFonts w:ascii="Times New Roman" w:hAnsi="Times New Roman" w:eastAsia="仿宋_GB2312" w:cs="Times New Roman"/>
                      <w:color w:val="000000" w:themeColor="text1"/>
                      <w:kern w:val="0"/>
                      <w:sz w:val="21"/>
                      <w:szCs w:val="21"/>
                    </w:rPr>
                  </w:pPr>
                  <w:r>
                    <w:rPr>
                      <w:rFonts w:ascii="Times New Roman" w:hAnsi="Times New Roman" w:eastAsia="仿宋_GB2312" w:cs="Times New Roman"/>
                      <w:color w:val="000000"/>
                      <w:sz w:val="21"/>
                      <w:szCs w:val="21"/>
                    </w:rPr>
                    <w:t>T-1479</w:t>
                  </w:r>
                </w:p>
              </w:tc>
              <w:tc>
                <w:tcPr>
                  <w:tcW w:w="670" w:type="pct"/>
                  <w:shd w:val="clear" w:color="auto" w:fill="auto"/>
                  <w:vAlign w:val="center"/>
                </w:tcPr>
                <w:p w14:paraId="7577C84C">
                  <w:pPr>
                    <w:pStyle w:val="69"/>
                    <w:adjustRightInd w:val="0"/>
                    <w:snapToGrid w:val="0"/>
                    <w:jc w:val="center"/>
                    <w:rPr>
                      <w:rFonts w:ascii="Times New Roman" w:hAnsi="Times New Roman" w:eastAsia="仿宋_GB2312" w:cs="Times New Roman"/>
                      <w:color w:val="000000" w:themeColor="text1"/>
                      <w:kern w:val="0"/>
                      <w:sz w:val="21"/>
                      <w:szCs w:val="21"/>
                    </w:rPr>
                  </w:pPr>
                  <w:r>
                    <w:rPr>
                      <w:rFonts w:ascii="Times New Roman" w:hAnsi="Times New Roman" w:eastAsia="仿宋_GB2312" w:cs="Times New Roman"/>
                      <w:color w:val="000000"/>
                      <w:sz w:val="21"/>
                      <w:szCs w:val="21"/>
                    </w:rPr>
                    <w:t>液碱储罐</w:t>
                  </w:r>
                </w:p>
              </w:tc>
              <w:tc>
                <w:tcPr>
                  <w:tcW w:w="1271" w:type="pct"/>
                  <w:shd w:val="clear" w:color="auto" w:fill="auto"/>
                  <w:vAlign w:val="center"/>
                </w:tcPr>
                <w:p w14:paraId="43190C1B">
                  <w:pPr>
                    <w:widowControl/>
                    <w:jc w:val="center"/>
                    <w:textAlignment w:val="center"/>
                    <w:rPr>
                      <w:rFonts w:eastAsia="仿宋_GB2312"/>
                      <w:color w:val="000000" w:themeColor="text1"/>
                      <w:kern w:val="0"/>
                      <w:sz w:val="21"/>
                      <w:szCs w:val="21"/>
                    </w:rPr>
                  </w:pPr>
                  <w:r>
                    <w:rPr>
                      <w:rFonts w:eastAsia="仿宋_GB2312"/>
                      <w:color w:val="000000"/>
                      <w:sz w:val="21"/>
                      <w:szCs w:val="21"/>
                    </w:rPr>
                    <w:t>95m³</w:t>
                  </w:r>
                </w:p>
              </w:tc>
              <w:tc>
                <w:tcPr>
                  <w:tcW w:w="740" w:type="pct"/>
                  <w:vAlign w:val="center"/>
                </w:tcPr>
                <w:p w14:paraId="1A58B064">
                  <w:pPr>
                    <w:pStyle w:val="69"/>
                    <w:adjustRightInd w:val="0"/>
                    <w:snapToGrid w:val="0"/>
                    <w:jc w:val="center"/>
                    <w:rPr>
                      <w:rFonts w:ascii="Times New Roman" w:hAnsi="Times New Roman" w:eastAsia="仿宋_GB2312" w:cs="Times New Roman"/>
                      <w:snapToGrid w:val="0"/>
                      <w:color w:val="000000" w:themeColor="text1"/>
                      <w:kern w:val="0"/>
                      <w:sz w:val="21"/>
                      <w:szCs w:val="21"/>
                    </w:rPr>
                  </w:pPr>
                  <w:r>
                    <w:rPr>
                      <w:rFonts w:ascii="Times New Roman" w:hAnsi="Times New Roman" w:eastAsia="仿宋_GB2312" w:cs="Times New Roman"/>
                      <w:snapToGrid w:val="0"/>
                      <w:color w:val="000000" w:themeColor="text1"/>
                      <w:kern w:val="0"/>
                      <w:sz w:val="21"/>
                      <w:szCs w:val="21"/>
                    </w:rPr>
                    <w:t>1</w:t>
                  </w:r>
                </w:p>
              </w:tc>
              <w:tc>
                <w:tcPr>
                  <w:tcW w:w="925" w:type="pct"/>
                  <w:vAlign w:val="center"/>
                </w:tcPr>
                <w:p w14:paraId="3D2E3493">
                  <w:pPr>
                    <w:adjustRightInd w:val="0"/>
                    <w:snapToGrid w:val="0"/>
                    <w:jc w:val="center"/>
                    <w:rPr>
                      <w:rFonts w:eastAsia="仿宋_GB2312"/>
                      <w:color w:val="000000" w:themeColor="text1"/>
                      <w:sz w:val="21"/>
                      <w:szCs w:val="21"/>
                    </w:rPr>
                  </w:pPr>
                  <w:r>
                    <w:rPr>
                      <w:rFonts w:ascii="Times New Roman" w:eastAsia="仿宋_GB2312"/>
                      <w:color w:val="000000"/>
                      <w:sz w:val="21"/>
                      <w:szCs w:val="21"/>
                    </w:rPr>
                    <w:t>连续式双膜法产线</w:t>
                  </w:r>
                  <w:r>
                    <w:rPr>
                      <w:rFonts w:hint="eastAsia" w:eastAsia="仿宋_GB2312"/>
                      <w:color w:val="000000"/>
                      <w:sz w:val="21"/>
                      <w:szCs w:val="21"/>
                      <w:lang w:eastAsia="zh-CN"/>
                    </w:rPr>
                    <w:t>，</w:t>
                  </w:r>
                  <w:r>
                    <w:rPr>
                      <w:rFonts w:eastAsia="仿宋_GB2312"/>
                      <w:snapToGrid w:val="0"/>
                      <w:kern w:val="0"/>
                      <w:sz w:val="21"/>
                      <w:szCs w:val="21"/>
                    </w:rPr>
                    <w:t>新增</w:t>
                  </w:r>
                </w:p>
              </w:tc>
            </w:tr>
            <w:tr w14:paraId="2AEEC8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0" w:type="pct"/>
                  <w:vAlign w:val="center"/>
                </w:tcPr>
                <w:p w14:paraId="28197DEE">
                  <w:pPr>
                    <w:numPr>
                      <w:ilvl w:val="0"/>
                      <w:numId w:val="2"/>
                    </w:numPr>
                    <w:adjustRightInd w:val="0"/>
                    <w:snapToGrid w:val="0"/>
                    <w:jc w:val="center"/>
                    <w:rPr>
                      <w:rFonts w:eastAsia="仿宋_GB2312"/>
                      <w:snapToGrid w:val="0"/>
                      <w:kern w:val="0"/>
                      <w:sz w:val="21"/>
                      <w:szCs w:val="21"/>
                    </w:rPr>
                  </w:pPr>
                </w:p>
              </w:tc>
              <w:tc>
                <w:tcPr>
                  <w:tcW w:w="1061" w:type="pct"/>
                  <w:shd w:val="clear" w:color="auto" w:fill="auto"/>
                  <w:vAlign w:val="center"/>
                </w:tcPr>
                <w:p w14:paraId="1CCEAEB8">
                  <w:pPr>
                    <w:pStyle w:val="69"/>
                    <w:adjustRightInd w:val="0"/>
                    <w:snapToGrid w:val="0"/>
                    <w:jc w:val="center"/>
                    <w:rPr>
                      <w:rFonts w:ascii="Times New Roman" w:hAnsi="Times New Roman" w:eastAsia="仿宋_GB2312" w:cs="Times New Roman"/>
                      <w:color w:val="000000" w:themeColor="text1"/>
                      <w:kern w:val="0"/>
                      <w:sz w:val="21"/>
                      <w:szCs w:val="21"/>
                    </w:rPr>
                  </w:pPr>
                  <w:r>
                    <w:rPr>
                      <w:rFonts w:ascii="Times New Roman" w:hAnsi="Times New Roman" w:eastAsia="仿宋_GB2312" w:cs="Times New Roman"/>
                      <w:color w:val="000000"/>
                      <w:sz w:val="21"/>
                      <w:szCs w:val="21"/>
                    </w:rPr>
                    <w:t>T-1720</w:t>
                  </w:r>
                </w:p>
              </w:tc>
              <w:tc>
                <w:tcPr>
                  <w:tcW w:w="670" w:type="pct"/>
                  <w:shd w:val="clear" w:color="auto" w:fill="auto"/>
                  <w:vAlign w:val="center"/>
                </w:tcPr>
                <w:p w14:paraId="41720666">
                  <w:pPr>
                    <w:pStyle w:val="69"/>
                    <w:adjustRightInd w:val="0"/>
                    <w:snapToGrid w:val="0"/>
                    <w:jc w:val="center"/>
                    <w:rPr>
                      <w:rFonts w:ascii="Times New Roman" w:hAnsi="Times New Roman" w:eastAsia="仿宋_GB2312" w:cs="Times New Roman"/>
                      <w:color w:val="000000" w:themeColor="text1"/>
                      <w:kern w:val="0"/>
                      <w:sz w:val="21"/>
                      <w:szCs w:val="21"/>
                    </w:rPr>
                  </w:pPr>
                  <w:r>
                    <w:rPr>
                      <w:rFonts w:ascii="Times New Roman" w:hAnsi="Times New Roman" w:eastAsia="仿宋_GB2312" w:cs="Times New Roman"/>
                      <w:color w:val="000000"/>
                      <w:sz w:val="21"/>
                      <w:szCs w:val="21"/>
                    </w:rPr>
                    <w:t>酸洗罐</w:t>
                  </w:r>
                </w:p>
              </w:tc>
              <w:tc>
                <w:tcPr>
                  <w:tcW w:w="1271" w:type="pct"/>
                  <w:shd w:val="clear" w:color="auto" w:fill="auto"/>
                  <w:vAlign w:val="center"/>
                </w:tcPr>
                <w:p w14:paraId="02BD50EF">
                  <w:pPr>
                    <w:widowControl/>
                    <w:jc w:val="center"/>
                    <w:textAlignment w:val="center"/>
                    <w:rPr>
                      <w:rFonts w:eastAsia="仿宋_GB2312"/>
                      <w:color w:val="000000" w:themeColor="text1"/>
                      <w:kern w:val="0"/>
                      <w:sz w:val="21"/>
                      <w:szCs w:val="21"/>
                    </w:rPr>
                  </w:pPr>
                  <w:r>
                    <w:rPr>
                      <w:rFonts w:eastAsia="仿宋_GB2312"/>
                      <w:color w:val="000000"/>
                      <w:sz w:val="21"/>
                      <w:szCs w:val="21"/>
                    </w:rPr>
                    <w:t>72m³</w:t>
                  </w:r>
                </w:p>
              </w:tc>
              <w:tc>
                <w:tcPr>
                  <w:tcW w:w="740" w:type="pct"/>
                  <w:vAlign w:val="center"/>
                </w:tcPr>
                <w:p w14:paraId="1CD563F2">
                  <w:pPr>
                    <w:pStyle w:val="69"/>
                    <w:adjustRightInd w:val="0"/>
                    <w:snapToGrid w:val="0"/>
                    <w:jc w:val="center"/>
                    <w:rPr>
                      <w:rFonts w:ascii="Times New Roman" w:hAnsi="Times New Roman" w:eastAsia="仿宋_GB2312" w:cs="Times New Roman"/>
                      <w:snapToGrid w:val="0"/>
                      <w:color w:val="000000" w:themeColor="text1"/>
                      <w:kern w:val="0"/>
                      <w:sz w:val="21"/>
                      <w:szCs w:val="21"/>
                    </w:rPr>
                  </w:pPr>
                  <w:r>
                    <w:rPr>
                      <w:rFonts w:ascii="Times New Roman" w:hAnsi="Times New Roman" w:eastAsia="仿宋_GB2312" w:cs="Times New Roman"/>
                      <w:snapToGrid w:val="0"/>
                      <w:color w:val="000000" w:themeColor="text1"/>
                      <w:kern w:val="0"/>
                      <w:sz w:val="21"/>
                      <w:szCs w:val="21"/>
                    </w:rPr>
                    <w:t>1</w:t>
                  </w:r>
                </w:p>
              </w:tc>
              <w:tc>
                <w:tcPr>
                  <w:tcW w:w="925" w:type="pct"/>
                  <w:vAlign w:val="center"/>
                </w:tcPr>
                <w:p w14:paraId="462FB066">
                  <w:pPr>
                    <w:adjustRightInd w:val="0"/>
                    <w:snapToGrid w:val="0"/>
                    <w:jc w:val="center"/>
                    <w:rPr>
                      <w:rFonts w:eastAsia="仿宋_GB2312"/>
                      <w:color w:val="000000" w:themeColor="text1"/>
                      <w:sz w:val="21"/>
                      <w:szCs w:val="21"/>
                    </w:rPr>
                  </w:pPr>
                  <w:r>
                    <w:rPr>
                      <w:rFonts w:ascii="Times New Roman" w:eastAsia="仿宋_GB2312"/>
                      <w:color w:val="000000"/>
                      <w:sz w:val="21"/>
                      <w:szCs w:val="21"/>
                    </w:rPr>
                    <w:t>连续式双膜法产线</w:t>
                  </w:r>
                  <w:r>
                    <w:rPr>
                      <w:rFonts w:hint="eastAsia" w:eastAsia="仿宋_GB2312"/>
                      <w:color w:val="000000"/>
                      <w:sz w:val="21"/>
                      <w:szCs w:val="21"/>
                      <w:lang w:eastAsia="zh-CN"/>
                    </w:rPr>
                    <w:t>，</w:t>
                  </w:r>
                  <w:r>
                    <w:rPr>
                      <w:rFonts w:eastAsia="仿宋_GB2312"/>
                      <w:snapToGrid w:val="0"/>
                      <w:kern w:val="0"/>
                      <w:sz w:val="21"/>
                      <w:szCs w:val="21"/>
                    </w:rPr>
                    <w:t>新增</w:t>
                  </w:r>
                </w:p>
              </w:tc>
            </w:tr>
            <w:tr w14:paraId="4BCBDC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0" w:type="pct"/>
                  <w:vAlign w:val="center"/>
                </w:tcPr>
                <w:p w14:paraId="59E9D4FE">
                  <w:pPr>
                    <w:numPr>
                      <w:ilvl w:val="0"/>
                      <w:numId w:val="2"/>
                    </w:numPr>
                    <w:adjustRightInd w:val="0"/>
                    <w:snapToGrid w:val="0"/>
                    <w:jc w:val="center"/>
                    <w:rPr>
                      <w:rFonts w:eastAsia="仿宋_GB2312"/>
                      <w:snapToGrid w:val="0"/>
                      <w:kern w:val="0"/>
                      <w:sz w:val="21"/>
                      <w:szCs w:val="21"/>
                    </w:rPr>
                  </w:pPr>
                </w:p>
              </w:tc>
              <w:tc>
                <w:tcPr>
                  <w:tcW w:w="1061" w:type="pct"/>
                  <w:shd w:val="clear" w:color="auto" w:fill="auto"/>
                  <w:vAlign w:val="center"/>
                </w:tcPr>
                <w:p w14:paraId="19DCDB96">
                  <w:pPr>
                    <w:pStyle w:val="69"/>
                    <w:adjustRightInd w:val="0"/>
                    <w:snapToGrid w:val="0"/>
                    <w:jc w:val="center"/>
                    <w:rPr>
                      <w:rFonts w:ascii="Times New Roman" w:hAnsi="Times New Roman" w:eastAsia="仿宋_GB2312" w:cs="Times New Roman"/>
                      <w:color w:val="000000" w:themeColor="text1"/>
                      <w:kern w:val="0"/>
                      <w:sz w:val="21"/>
                      <w:szCs w:val="21"/>
                    </w:rPr>
                  </w:pPr>
                  <w:r>
                    <w:rPr>
                      <w:rFonts w:ascii="Times New Roman" w:hAnsi="Times New Roman" w:eastAsia="仿宋_GB2312" w:cs="Times New Roman"/>
                      <w:color w:val="000000"/>
                      <w:sz w:val="21"/>
                      <w:szCs w:val="21"/>
                    </w:rPr>
                    <w:t>T-1970</w:t>
                  </w:r>
                </w:p>
              </w:tc>
              <w:tc>
                <w:tcPr>
                  <w:tcW w:w="670" w:type="pct"/>
                  <w:shd w:val="clear" w:color="auto" w:fill="auto"/>
                  <w:vAlign w:val="center"/>
                </w:tcPr>
                <w:p w14:paraId="3EEF510E">
                  <w:pPr>
                    <w:pStyle w:val="69"/>
                    <w:adjustRightInd w:val="0"/>
                    <w:snapToGrid w:val="0"/>
                    <w:jc w:val="center"/>
                    <w:rPr>
                      <w:rFonts w:ascii="Times New Roman" w:hAnsi="Times New Roman" w:eastAsia="仿宋_GB2312" w:cs="Times New Roman"/>
                      <w:color w:val="000000" w:themeColor="text1"/>
                      <w:kern w:val="0"/>
                      <w:sz w:val="21"/>
                      <w:szCs w:val="21"/>
                    </w:rPr>
                  </w:pPr>
                  <w:r>
                    <w:rPr>
                      <w:rFonts w:ascii="Times New Roman" w:hAnsi="Times New Roman" w:eastAsia="仿宋_GB2312" w:cs="Times New Roman"/>
                      <w:color w:val="000000"/>
                      <w:sz w:val="21"/>
                      <w:szCs w:val="21"/>
                    </w:rPr>
                    <w:t>纯水罐</w:t>
                  </w:r>
                </w:p>
              </w:tc>
              <w:tc>
                <w:tcPr>
                  <w:tcW w:w="1271" w:type="pct"/>
                  <w:shd w:val="clear" w:color="auto" w:fill="auto"/>
                  <w:vAlign w:val="center"/>
                </w:tcPr>
                <w:p w14:paraId="2D78CDF1">
                  <w:pPr>
                    <w:widowControl/>
                    <w:jc w:val="center"/>
                    <w:textAlignment w:val="center"/>
                    <w:rPr>
                      <w:rFonts w:eastAsia="仿宋_GB2312"/>
                      <w:color w:val="000000" w:themeColor="text1"/>
                      <w:kern w:val="0"/>
                      <w:sz w:val="21"/>
                      <w:szCs w:val="21"/>
                    </w:rPr>
                  </w:pPr>
                  <w:r>
                    <w:rPr>
                      <w:rFonts w:eastAsia="仿宋_GB2312"/>
                      <w:color w:val="000000"/>
                      <w:sz w:val="21"/>
                      <w:szCs w:val="21"/>
                    </w:rPr>
                    <w:t>95m³</w:t>
                  </w:r>
                </w:p>
              </w:tc>
              <w:tc>
                <w:tcPr>
                  <w:tcW w:w="740" w:type="pct"/>
                  <w:vAlign w:val="center"/>
                </w:tcPr>
                <w:p w14:paraId="45D42057">
                  <w:pPr>
                    <w:pStyle w:val="69"/>
                    <w:adjustRightInd w:val="0"/>
                    <w:snapToGrid w:val="0"/>
                    <w:jc w:val="center"/>
                    <w:rPr>
                      <w:rFonts w:ascii="Times New Roman" w:hAnsi="Times New Roman" w:eastAsia="仿宋_GB2312" w:cs="Times New Roman"/>
                      <w:snapToGrid w:val="0"/>
                      <w:color w:val="000000" w:themeColor="text1"/>
                      <w:kern w:val="0"/>
                      <w:sz w:val="21"/>
                      <w:szCs w:val="21"/>
                    </w:rPr>
                  </w:pPr>
                  <w:r>
                    <w:rPr>
                      <w:rFonts w:ascii="Times New Roman" w:hAnsi="Times New Roman" w:eastAsia="仿宋_GB2312" w:cs="Times New Roman"/>
                      <w:snapToGrid w:val="0"/>
                      <w:color w:val="000000" w:themeColor="text1"/>
                      <w:kern w:val="0"/>
                      <w:sz w:val="21"/>
                      <w:szCs w:val="21"/>
                    </w:rPr>
                    <w:t>1</w:t>
                  </w:r>
                </w:p>
              </w:tc>
              <w:tc>
                <w:tcPr>
                  <w:tcW w:w="925" w:type="pct"/>
                  <w:vAlign w:val="center"/>
                </w:tcPr>
                <w:p w14:paraId="3C7E09D2">
                  <w:pPr>
                    <w:adjustRightInd w:val="0"/>
                    <w:snapToGrid w:val="0"/>
                    <w:jc w:val="center"/>
                    <w:rPr>
                      <w:rFonts w:eastAsia="仿宋_GB2312"/>
                      <w:color w:val="000000" w:themeColor="text1"/>
                      <w:sz w:val="21"/>
                      <w:szCs w:val="21"/>
                    </w:rPr>
                  </w:pPr>
                  <w:r>
                    <w:rPr>
                      <w:rFonts w:ascii="Times New Roman" w:eastAsia="仿宋_GB2312"/>
                      <w:color w:val="000000"/>
                      <w:sz w:val="21"/>
                      <w:szCs w:val="21"/>
                    </w:rPr>
                    <w:t>连续式双膜法产线</w:t>
                  </w:r>
                  <w:r>
                    <w:rPr>
                      <w:rFonts w:hint="eastAsia" w:eastAsia="仿宋_GB2312"/>
                      <w:color w:val="000000"/>
                      <w:sz w:val="21"/>
                      <w:szCs w:val="21"/>
                      <w:lang w:eastAsia="zh-CN"/>
                    </w:rPr>
                    <w:t>，</w:t>
                  </w:r>
                  <w:r>
                    <w:rPr>
                      <w:rFonts w:eastAsia="仿宋_GB2312"/>
                      <w:snapToGrid w:val="0"/>
                      <w:kern w:val="0"/>
                      <w:sz w:val="21"/>
                      <w:szCs w:val="21"/>
                    </w:rPr>
                    <w:t>新增</w:t>
                  </w:r>
                </w:p>
              </w:tc>
            </w:tr>
            <w:tr w14:paraId="47603A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0" w:type="pct"/>
                  <w:vAlign w:val="center"/>
                </w:tcPr>
                <w:p w14:paraId="030D11E4">
                  <w:pPr>
                    <w:numPr>
                      <w:ilvl w:val="0"/>
                      <w:numId w:val="2"/>
                    </w:numPr>
                    <w:adjustRightInd w:val="0"/>
                    <w:snapToGrid w:val="0"/>
                    <w:jc w:val="center"/>
                    <w:rPr>
                      <w:rFonts w:eastAsia="仿宋_GB2312"/>
                      <w:snapToGrid w:val="0"/>
                      <w:kern w:val="0"/>
                      <w:sz w:val="21"/>
                      <w:szCs w:val="21"/>
                    </w:rPr>
                  </w:pPr>
                </w:p>
              </w:tc>
              <w:tc>
                <w:tcPr>
                  <w:tcW w:w="1061" w:type="pct"/>
                  <w:shd w:val="clear" w:color="auto" w:fill="auto"/>
                  <w:vAlign w:val="center"/>
                </w:tcPr>
                <w:p w14:paraId="361C8C8F">
                  <w:pPr>
                    <w:pStyle w:val="69"/>
                    <w:adjustRightInd w:val="0"/>
                    <w:snapToGrid w:val="0"/>
                    <w:jc w:val="center"/>
                    <w:rPr>
                      <w:rFonts w:ascii="Times New Roman" w:hAnsi="Times New Roman" w:eastAsia="仿宋_GB2312" w:cs="Times New Roman"/>
                      <w:color w:val="000000" w:themeColor="text1"/>
                      <w:kern w:val="0"/>
                      <w:sz w:val="21"/>
                      <w:szCs w:val="21"/>
                    </w:rPr>
                  </w:pPr>
                  <w:r>
                    <w:rPr>
                      <w:rFonts w:ascii="Times New Roman" w:hAnsi="Times New Roman" w:eastAsia="仿宋_GB2312" w:cs="Times New Roman"/>
                      <w:color w:val="000000"/>
                      <w:sz w:val="21"/>
                      <w:szCs w:val="21"/>
                    </w:rPr>
                    <w:t>T-1620</w:t>
                  </w:r>
                </w:p>
              </w:tc>
              <w:tc>
                <w:tcPr>
                  <w:tcW w:w="670" w:type="pct"/>
                  <w:shd w:val="clear" w:color="auto" w:fill="auto"/>
                  <w:vAlign w:val="center"/>
                </w:tcPr>
                <w:p w14:paraId="3E568201">
                  <w:pPr>
                    <w:pStyle w:val="69"/>
                    <w:adjustRightInd w:val="0"/>
                    <w:snapToGrid w:val="0"/>
                    <w:jc w:val="center"/>
                    <w:rPr>
                      <w:rFonts w:ascii="Times New Roman" w:hAnsi="Times New Roman" w:eastAsia="仿宋_GB2312" w:cs="Times New Roman"/>
                      <w:color w:val="000000" w:themeColor="text1"/>
                      <w:kern w:val="0"/>
                      <w:sz w:val="21"/>
                      <w:szCs w:val="21"/>
                    </w:rPr>
                  </w:pPr>
                  <w:r>
                    <w:rPr>
                      <w:rFonts w:ascii="Times New Roman" w:hAnsi="Times New Roman" w:eastAsia="仿宋_GB2312" w:cs="Times New Roman"/>
                      <w:color w:val="000000"/>
                      <w:sz w:val="21"/>
                      <w:szCs w:val="21"/>
                    </w:rPr>
                    <w:t>平板膜反冲罐</w:t>
                  </w:r>
                </w:p>
              </w:tc>
              <w:tc>
                <w:tcPr>
                  <w:tcW w:w="1271" w:type="pct"/>
                  <w:shd w:val="clear" w:color="auto" w:fill="auto"/>
                  <w:vAlign w:val="center"/>
                </w:tcPr>
                <w:p w14:paraId="605E751A">
                  <w:pPr>
                    <w:widowControl/>
                    <w:jc w:val="center"/>
                    <w:textAlignment w:val="center"/>
                    <w:rPr>
                      <w:rFonts w:eastAsia="仿宋_GB2312"/>
                      <w:color w:val="000000" w:themeColor="text1"/>
                      <w:kern w:val="0"/>
                      <w:sz w:val="21"/>
                      <w:szCs w:val="21"/>
                    </w:rPr>
                  </w:pPr>
                  <w:r>
                    <w:rPr>
                      <w:rFonts w:eastAsia="仿宋_GB2312"/>
                      <w:color w:val="000000"/>
                      <w:sz w:val="21"/>
                      <w:szCs w:val="21"/>
                    </w:rPr>
                    <w:t>2.5m³</w:t>
                  </w:r>
                </w:p>
              </w:tc>
              <w:tc>
                <w:tcPr>
                  <w:tcW w:w="740" w:type="pct"/>
                  <w:vAlign w:val="center"/>
                </w:tcPr>
                <w:p w14:paraId="759C86FA">
                  <w:pPr>
                    <w:pStyle w:val="69"/>
                    <w:adjustRightInd w:val="0"/>
                    <w:snapToGrid w:val="0"/>
                    <w:jc w:val="center"/>
                    <w:rPr>
                      <w:rFonts w:ascii="Times New Roman" w:hAnsi="Times New Roman" w:eastAsia="仿宋_GB2312" w:cs="Times New Roman"/>
                      <w:snapToGrid w:val="0"/>
                      <w:color w:val="000000" w:themeColor="text1"/>
                      <w:kern w:val="0"/>
                      <w:sz w:val="21"/>
                      <w:szCs w:val="21"/>
                    </w:rPr>
                  </w:pPr>
                  <w:r>
                    <w:rPr>
                      <w:rFonts w:ascii="Times New Roman" w:hAnsi="Times New Roman" w:eastAsia="仿宋_GB2312" w:cs="Times New Roman"/>
                      <w:snapToGrid w:val="0"/>
                      <w:color w:val="000000" w:themeColor="text1"/>
                      <w:kern w:val="0"/>
                      <w:sz w:val="21"/>
                      <w:szCs w:val="21"/>
                    </w:rPr>
                    <w:t>1</w:t>
                  </w:r>
                </w:p>
              </w:tc>
              <w:tc>
                <w:tcPr>
                  <w:tcW w:w="925" w:type="pct"/>
                  <w:vAlign w:val="center"/>
                </w:tcPr>
                <w:p w14:paraId="29B3D6AB">
                  <w:pPr>
                    <w:adjustRightInd w:val="0"/>
                    <w:snapToGrid w:val="0"/>
                    <w:jc w:val="center"/>
                    <w:rPr>
                      <w:rFonts w:eastAsia="仿宋_GB2312"/>
                      <w:color w:val="000000" w:themeColor="text1"/>
                      <w:sz w:val="21"/>
                      <w:szCs w:val="21"/>
                    </w:rPr>
                  </w:pPr>
                  <w:r>
                    <w:rPr>
                      <w:rFonts w:ascii="Times New Roman" w:eastAsia="仿宋_GB2312"/>
                      <w:color w:val="000000"/>
                      <w:sz w:val="21"/>
                      <w:szCs w:val="21"/>
                    </w:rPr>
                    <w:t>连续式双膜法产线</w:t>
                  </w:r>
                  <w:r>
                    <w:rPr>
                      <w:rFonts w:hint="eastAsia" w:eastAsia="仿宋_GB2312"/>
                      <w:color w:val="000000"/>
                      <w:sz w:val="21"/>
                      <w:szCs w:val="21"/>
                      <w:lang w:eastAsia="zh-CN"/>
                    </w:rPr>
                    <w:t>，</w:t>
                  </w:r>
                  <w:r>
                    <w:rPr>
                      <w:rFonts w:eastAsia="仿宋_GB2312"/>
                      <w:snapToGrid w:val="0"/>
                      <w:kern w:val="0"/>
                      <w:sz w:val="21"/>
                      <w:szCs w:val="21"/>
                    </w:rPr>
                    <w:t>新增</w:t>
                  </w:r>
                </w:p>
              </w:tc>
            </w:tr>
            <w:tr w14:paraId="1D6639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0" w:type="pct"/>
                  <w:vAlign w:val="center"/>
                </w:tcPr>
                <w:p w14:paraId="457B5CB4">
                  <w:pPr>
                    <w:numPr>
                      <w:ilvl w:val="0"/>
                      <w:numId w:val="2"/>
                    </w:numPr>
                    <w:adjustRightInd w:val="0"/>
                    <w:snapToGrid w:val="0"/>
                    <w:jc w:val="center"/>
                    <w:rPr>
                      <w:rFonts w:eastAsia="仿宋_GB2312"/>
                      <w:snapToGrid w:val="0"/>
                      <w:kern w:val="0"/>
                      <w:sz w:val="21"/>
                      <w:szCs w:val="21"/>
                    </w:rPr>
                  </w:pPr>
                </w:p>
              </w:tc>
              <w:tc>
                <w:tcPr>
                  <w:tcW w:w="1061" w:type="pct"/>
                  <w:shd w:val="clear" w:color="auto" w:fill="auto"/>
                  <w:vAlign w:val="center"/>
                </w:tcPr>
                <w:p w14:paraId="1D5D10F5">
                  <w:pPr>
                    <w:pStyle w:val="69"/>
                    <w:adjustRightInd w:val="0"/>
                    <w:snapToGrid w:val="0"/>
                    <w:jc w:val="center"/>
                    <w:rPr>
                      <w:rFonts w:ascii="Times New Roman" w:hAnsi="Times New Roman" w:eastAsia="仿宋_GB2312" w:cs="Times New Roman"/>
                      <w:color w:val="000000" w:themeColor="text1"/>
                      <w:kern w:val="0"/>
                      <w:sz w:val="21"/>
                      <w:szCs w:val="21"/>
                    </w:rPr>
                  </w:pPr>
                  <w:r>
                    <w:rPr>
                      <w:rFonts w:ascii="Times New Roman" w:hAnsi="Times New Roman" w:eastAsia="仿宋_GB2312" w:cs="Times New Roman"/>
                      <w:color w:val="000000"/>
                      <w:sz w:val="21"/>
                      <w:szCs w:val="21"/>
                    </w:rPr>
                    <w:t>T-1660</w:t>
                  </w:r>
                </w:p>
              </w:tc>
              <w:tc>
                <w:tcPr>
                  <w:tcW w:w="670" w:type="pct"/>
                  <w:shd w:val="clear" w:color="auto" w:fill="auto"/>
                  <w:vAlign w:val="center"/>
                </w:tcPr>
                <w:p w14:paraId="1EA37FD1">
                  <w:pPr>
                    <w:pStyle w:val="69"/>
                    <w:adjustRightInd w:val="0"/>
                    <w:snapToGrid w:val="0"/>
                    <w:jc w:val="center"/>
                    <w:rPr>
                      <w:rFonts w:ascii="Times New Roman" w:hAnsi="Times New Roman" w:eastAsia="仿宋_GB2312" w:cs="Times New Roman"/>
                      <w:color w:val="000000" w:themeColor="text1"/>
                      <w:kern w:val="0"/>
                      <w:sz w:val="21"/>
                      <w:szCs w:val="21"/>
                    </w:rPr>
                  </w:pPr>
                  <w:r>
                    <w:rPr>
                      <w:rFonts w:ascii="Times New Roman" w:hAnsi="Times New Roman" w:eastAsia="仿宋_GB2312" w:cs="Times New Roman"/>
                      <w:color w:val="000000"/>
                      <w:sz w:val="21"/>
                      <w:szCs w:val="21"/>
                    </w:rPr>
                    <w:t>平板膜储气罐</w:t>
                  </w:r>
                </w:p>
              </w:tc>
              <w:tc>
                <w:tcPr>
                  <w:tcW w:w="1271" w:type="pct"/>
                  <w:shd w:val="clear" w:color="auto" w:fill="auto"/>
                  <w:vAlign w:val="center"/>
                </w:tcPr>
                <w:p w14:paraId="307FC737">
                  <w:pPr>
                    <w:widowControl/>
                    <w:jc w:val="center"/>
                    <w:textAlignment w:val="center"/>
                    <w:rPr>
                      <w:rFonts w:eastAsia="仿宋_GB2312"/>
                      <w:color w:val="000000" w:themeColor="text1"/>
                      <w:kern w:val="0"/>
                      <w:sz w:val="21"/>
                      <w:szCs w:val="21"/>
                    </w:rPr>
                  </w:pPr>
                  <w:r>
                    <w:rPr>
                      <w:rFonts w:eastAsia="仿宋_GB2312"/>
                      <w:color w:val="000000"/>
                      <w:sz w:val="21"/>
                      <w:szCs w:val="21"/>
                    </w:rPr>
                    <w:t>7.7m³</w:t>
                  </w:r>
                </w:p>
              </w:tc>
              <w:tc>
                <w:tcPr>
                  <w:tcW w:w="740" w:type="pct"/>
                  <w:vAlign w:val="center"/>
                </w:tcPr>
                <w:p w14:paraId="55811771">
                  <w:pPr>
                    <w:pStyle w:val="69"/>
                    <w:adjustRightInd w:val="0"/>
                    <w:snapToGrid w:val="0"/>
                    <w:jc w:val="center"/>
                    <w:rPr>
                      <w:rFonts w:ascii="Times New Roman" w:hAnsi="Times New Roman" w:eastAsia="仿宋_GB2312" w:cs="Times New Roman"/>
                      <w:snapToGrid w:val="0"/>
                      <w:color w:val="000000" w:themeColor="text1"/>
                      <w:kern w:val="0"/>
                      <w:sz w:val="21"/>
                      <w:szCs w:val="21"/>
                    </w:rPr>
                  </w:pPr>
                  <w:r>
                    <w:rPr>
                      <w:rFonts w:ascii="Times New Roman" w:hAnsi="Times New Roman" w:eastAsia="仿宋_GB2312" w:cs="Times New Roman"/>
                      <w:snapToGrid w:val="0"/>
                      <w:color w:val="000000" w:themeColor="text1"/>
                      <w:kern w:val="0"/>
                      <w:sz w:val="21"/>
                      <w:szCs w:val="21"/>
                    </w:rPr>
                    <w:t>1</w:t>
                  </w:r>
                </w:p>
              </w:tc>
              <w:tc>
                <w:tcPr>
                  <w:tcW w:w="925" w:type="pct"/>
                  <w:vAlign w:val="center"/>
                </w:tcPr>
                <w:p w14:paraId="4052C7A4">
                  <w:pPr>
                    <w:adjustRightInd w:val="0"/>
                    <w:snapToGrid w:val="0"/>
                    <w:jc w:val="center"/>
                    <w:rPr>
                      <w:rFonts w:eastAsia="仿宋_GB2312"/>
                      <w:color w:val="000000" w:themeColor="text1"/>
                      <w:sz w:val="21"/>
                      <w:szCs w:val="21"/>
                    </w:rPr>
                  </w:pPr>
                  <w:r>
                    <w:rPr>
                      <w:rFonts w:ascii="Times New Roman" w:eastAsia="仿宋_GB2312"/>
                      <w:color w:val="000000"/>
                      <w:sz w:val="21"/>
                      <w:szCs w:val="21"/>
                    </w:rPr>
                    <w:t>连续式双膜法产线</w:t>
                  </w:r>
                  <w:r>
                    <w:rPr>
                      <w:rFonts w:hint="eastAsia" w:eastAsia="仿宋_GB2312"/>
                      <w:color w:val="000000"/>
                      <w:sz w:val="21"/>
                      <w:szCs w:val="21"/>
                      <w:lang w:eastAsia="zh-CN"/>
                    </w:rPr>
                    <w:t>，</w:t>
                  </w:r>
                  <w:r>
                    <w:rPr>
                      <w:rFonts w:eastAsia="仿宋_GB2312"/>
                      <w:snapToGrid w:val="0"/>
                      <w:kern w:val="0"/>
                      <w:sz w:val="21"/>
                      <w:szCs w:val="21"/>
                    </w:rPr>
                    <w:t>新增</w:t>
                  </w:r>
                </w:p>
              </w:tc>
            </w:tr>
            <w:tr w14:paraId="1E2E4F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0" w:type="pct"/>
                  <w:vAlign w:val="center"/>
                </w:tcPr>
                <w:p w14:paraId="2B138456">
                  <w:pPr>
                    <w:numPr>
                      <w:ilvl w:val="0"/>
                      <w:numId w:val="2"/>
                    </w:numPr>
                    <w:adjustRightInd w:val="0"/>
                    <w:snapToGrid w:val="0"/>
                    <w:jc w:val="center"/>
                    <w:rPr>
                      <w:rFonts w:eastAsia="仿宋_GB2312"/>
                      <w:snapToGrid w:val="0"/>
                      <w:kern w:val="0"/>
                      <w:sz w:val="21"/>
                      <w:szCs w:val="21"/>
                    </w:rPr>
                  </w:pPr>
                </w:p>
              </w:tc>
              <w:tc>
                <w:tcPr>
                  <w:tcW w:w="1061" w:type="pct"/>
                  <w:shd w:val="clear" w:color="auto" w:fill="auto"/>
                  <w:vAlign w:val="center"/>
                </w:tcPr>
                <w:p w14:paraId="22D8051F">
                  <w:pPr>
                    <w:pStyle w:val="69"/>
                    <w:adjustRightInd w:val="0"/>
                    <w:snapToGrid w:val="0"/>
                    <w:jc w:val="center"/>
                    <w:rPr>
                      <w:rFonts w:ascii="Times New Roman" w:hAnsi="Times New Roman" w:eastAsia="仿宋_GB2312" w:cs="Times New Roman"/>
                      <w:color w:val="000000" w:themeColor="text1"/>
                      <w:kern w:val="0"/>
                      <w:sz w:val="21"/>
                      <w:szCs w:val="21"/>
                    </w:rPr>
                  </w:pPr>
                  <w:r>
                    <w:rPr>
                      <w:rFonts w:ascii="Times New Roman" w:hAnsi="Times New Roman" w:eastAsia="仿宋_GB2312" w:cs="Times New Roman"/>
                      <w:color w:val="000000"/>
                      <w:sz w:val="21"/>
                      <w:szCs w:val="21"/>
                    </w:rPr>
                    <w:t>UF-1610A/B</w:t>
                  </w:r>
                </w:p>
              </w:tc>
              <w:tc>
                <w:tcPr>
                  <w:tcW w:w="670" w:type="pct"/>
                  <w:shd w:val="clear" w:color="auto" w:fill="auto"/>
                  <w:vAlign w:val="center"/>
                </w:tcPr>
                <w:p w14:paraId="47CC36AF">
                  <w:pPr>
                    <w:pStyle w:val="69"/>
                    <w:adjustRightInd w:val="0"/>
                    <w:snapToGrid w:val="0"/>
                    <w:jc w:val="center"/>
                    <w:rPr>
                      <w:rFonts w:ascii="Times New Roman" w:hAnsi="Times New Roman" w:eastAsia="仿宋_GB2312" w:cs="Times New Roman"/>
                      <w:color w:val="000000" w:themeColor="text1"/>
                      <w:kern w:val="0"/>
                      <w:sz w:val="21"/>
                      <w:szCs w:val="21"/>
                    </w:rPr>
                  </w:pPr>
                  <w:r>
                    <w:rPr>
                      <w:rFonts w:ascii="Times New Roman" w:hAnsi="Times New Roman" w:eastAsia="仿宋_GB2312" w:cs="Times New Roman"/>
                      <w:color w:val="000000"/>
                      <w:sz w:val="21"/>
                      <w:szCs w:val="21"/>
                    </w:rPr>
                    <w:t>平板膜</w:t>
                  </w:r>
                </w:p>
              </w:tc>
              <w:tc>
                <w:tcPr>
                  <w:tcW w:w="1271" w:type="pct"/>
                  <w:shd w:val="clear" w:color="auto" w:fill="auto"/>
                  <w:vAlign w:val="center"/>
                </w:tcPr>
                <w:p w14:paraId="1A291239">
                  <w:pPr>
                    <w:widowControl/>
                    <w:jc w:val="center"/>
                    <w:textAlignment w:val="center"/>
                    <w:rPr>
                      <w:rFonts w:eastAsia="仿宋_GB2312"/>
                      <w:color w:val="000000" w:themeColor="text1"/>
                      <w:kern w:val="0"/>
                      <w:sz w:val="21"/>
                      <w:szCs w:val="21"/>
                    </w:rPr>
                  </w:pPr>
                  <w:r>
                    <w:rPr>
                      <w:rFonts w:eastAsia="仿宋_GB2312"/>
                      <w:color w:val="000000"/>
                      <w:sz w:val="21"/>
                      <w:szCs w:val="21"/>
                    </w:rPr>
                    <w:t>/</w:t>
                  </w:r>
                </w:p>
              </w:tc>
              <w:tc>
                <w:tcPr>
                  <w:tcW w:w="740" w:type="pct"/>
                  <w:vAlign w:val="center"/>
                </w:tcPr>
                <w:p w14:paraId="0AE44822">
                  <w:pPr>
                    <w:pStyle w:val="69"/>
                    <w:adjustRightInd w:val="0"/>
                    <w:snapToGrid w:val="0"/>
                    <w:jc w:val="center"/>
                    <w:rPr>
                      <w:rFonts w:ascii="Times New Roman" w:hAnsi="Times New Roman" w:eastAsia="仿宋_GB2312" w:cs="Times New Roman"/>
                      <w:snapToGrid w:val="0"/>
                      <w:color w:val="000000" w:themeColor="text1"/>
                      <w:kern w:val="0"/>
                      <w:sz w:val="21"/>
                      <w:szCs w:val="21"/>
                    </w:rPr>
                  </w:pPr>
                  <w:r>
                    <w:rPr>
                      <w:rFonts w:ascii="Times New Roman" w:hAnsi="Times New Roman" w:eastAsia="仿宋_GB2312" w:cs="Times New Roman"/>
                      <w:snapToGrid w:val="0"/>
                      <w:color w:val="000000" w:themeColor="text1"/>
                      <w:kern w:val="0"/>
                      <w:sz w:val="21"/>
                      <w:szCs w:val="21"/>
                    </w:rPr>
                    <w:t>2</w:t>
                  </w:r>
                </w:p>
              </w:tc>
              <w:tc>
                <w:tcPr>
                  <w:tcW w:w="925" w:type="pct"/>
                  <w:vAlign w:val="center"/>
                </w:tcPr>
                <w:p w14:paraId="30ECFC27">
                  <w:pPr>
                    <w:adjustRightInd w:val="0"/>
                    <w:snapToGrid w:val="0"/>
                    <w:jc w:val="center"/>
                    <w:rPr>
                      <w:rFonts w:eastAsia="仿宋_GB2312"/>
                      <w:color w:val="000000" w:themeColor="text1"/>
                      <w:sz w:val="21"/>
                      <w:szCs w:val="21"/>
                    </w:rPr>
                  </w:pPr>
                  <w:r>
                    <w:rPr>
                      <w:rFonts w:ascii="Times New Roman" w:eastAsia="仿宋_GB2312"/>
                      <w:color w:val="000000"/>
                      <w:sz w:val="21"/>
                      <w:szCs w:val="21"/>
                    </w:rPr>
                    <w:t>连续式双膜法产线</w:t>
                  </w:r>
                  <w:r>
                    <w:rPr>
                      <w:rFonts w:hint="eastAsia" w:eastAsia="仿宋_GB2312"/>
                      <w:color w:val="000000"/>
                      <w:sz w:val="21"/>
                      <w:szCs w:val="21"/>
                      <w:lang w:eastAsia="zh-CN"/>
                    </w:rPr>
                    <w:t>，</w:t>
                  </w:r>
                  <w:r>
                    <w:rPr>
                      <w:rFonts w:eastAsia="仿宋_GB2312"/>
                      <w:snapToGrid w:val="0"/>
                      <w:kern w:val="0"/>
                      <w:sz w:val="21"/>
                      <w:szCs w:val="21"/>
                    </w:rPr>
                    <w:t>新增</w:t>
                  </w:r>
                </w:p>
              </w:tc>
            </w:tr>
            <w:tr w14:paraId="2BCCDD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0" w:type="pct"/>
                  <w:vAlign w:val="center"/>
                </w:tcPr>
                <w:p w14:paraId="0318399E">
                  <w:pPr>
                    <w:numPr>
                      <w:ilvl w:val="0"/>
                      <w:numId w:val="2"/>
                    </w:numPr>
                    <w:adjustRightInd w:val="0"/>
                    <w:snapToGrid w:val="0"/>
                    <w:jc w:val="center"/>
                    <w:rPr>
                      <w:rFonts w:eastAsia="仿宋_GB2312"/>
                      <w:snapToGrid w:val="0"/>
                      <w:kern w:val="0"/>
                      <w:sz w:val="21"/>
                      <w:szCs w:val="21"/>
                    </w:rPr>
                  </w:pPr>
                </w:p>
              </w:tc>
              <w:tc>
                <w:tcPr>
                  <w:tcW w:w="1061" w:type="pct"/>
                  <w:shd w:val="clear" w:color="auto" w:fill="auto"/>
                  <w:vAlign w:val="center"/>
                </w:tcPr>
                <w:p w14:paraId="3F917B7E">
                  <w:pPr>
                    <w:pStyle w:val="69"/>
                    <w:adjustRightInd w:val="0"/>
                    <w:snapToGrid w:val="0"/>
                    <w:jc w:val="center"/>
                    <w:rPr>
                      <w:rFonts w:ascii="Times New Roman" w:hAnsi="Times New Roman" w:eastAsia="仿宋_GB2312" w:cs="Times New Roman"/>
                      <w:color w:val="000000" w:themeColor="text1"/>
                      <w:kern w:val="0"/>
                      <w:sz w:val="21"/>
                      <w:szCs w:val="21"/>
                    </w:rPr>
                  </w:pPr>
                  <w:r>
                    <w:rPr>
                      <w:rFonts w:ascii="Times New Roman" w:hAnsi="Times New Roman" w:eastAsia="仿宋_GB2312" w:cs="Times New Roman"/>
                      <w:color w:val="000000"/>
                      <w:sz w:val="21"/>
                      <w:szCs w:val="21"/>
                    </w:rPr>
                    <w:t>/</w:t>
                  </w:r>
                </w:p>
              </w:tc>
              <w:tc>
                <w:tcPr>
                  <w:tcW w:w="670" w:type="pct"/>
                  <w:shd w:val="clear" w:color="auto" w:fill="auto"/>
                  <w:vAlign w:val="center"/>
                </w:tcPr>
                <w:p w14:paraId="56908E6D">
                  <w:pPr>
                    <w:pStyle w:val="69"/>
                    <w:adjustRightInd w:val="0"/>
                    <w:snapToGrid w:val="0"/>
                    <w:jc w:val="center"/>
                    <w:rPr>
                      <w:rFonts w:ascii="Times New Roman" w:hAnsi="Times New Roman" w:eastAsia="仿宋_GB2312" w:cs="Times New Roman"/>
                      <w:color w:val="000000" w:themeColor="text1"/>
                      <w:kern w:val="0"/>
                      <w:sz w:val="21"/>
                      <w:szCs w:val="21"/>
                    </w:rPr>
                  </w:pPr>
                  <w:r>
                    <w:rPr>
                      <w:rFonts w:ascii="Times New Roman" w:hAnsi="Times New Roman" w:eastAsia="仿宋_GB2312" w:cs="Times New Roman"/>
                      <w:color w:val="000000"/>
                      <w:sz w:val="21"/>
                      <w:szCs w:val="21"/>
                    </w:rPr>
                    <w:t>消泡器</w:t>
                  </w:r>
                </w:p>
              </w:tc>
              <w:tc>
                <w:tcPr>
                  <w:tcW w:w="1271" w:type="pct"/>
                  <w:shd w:val="clear" w:color="auto" w:fill="auto"/>
                  <w:vAlign w:val="center"/>
                </w:tcPr>
                <w:p w14:paraId="24681FFC">
                  <w:pPr>
                    <w:widowControl/>
                    <w:jc w:val="center"/>
                    <w:textAlignment w:val="center"/>
                    <w:rPr>
                      <w:rFonts w:eastAsia="仿宋_GB2312"/>
                      <w:color w:val="000000" w:themeColor="text1"/>
                      <w:kern w:val="0"/>
                      <w:sz w:val="21"/>
                      <w:szCs w:val="21"/>
                    </w:rPr>
                  </w:pPr>
                  <w:r>
                    <w:rPr>
                      <w:rFonts w:eastAsia="仿宋_GB2312"/>
                      <w:color w:val="000000"/>
                      <w:sz w:val="21"/>
                      <w:szCs w:val="21"/>
                    </w:rPr>
                    <w:t>φ180*3 TA2</w:t>
                  </w:r>
                </w:p>
              </w:tc>
              <w:tc>
                <w:tcPr>
                  <w:tcW w:w="740" w:type="pct"/>
                  <w:vAlign w:val="center"/>
                </w:tcPr>
                <w:p w14:paraId="39A025AD">
                  <w:pPr>
                    <w:pStyle w:val="69"/>
                    <w:adjustRightInd w:val="0"/>
                    <w:snapToGrid w:val="0"/>
                    <w:jc w:val="center"/>
                    <w:rPr>
                      <w:rFonts w:ascii="Times New Roman" w:hAnsi="Times New Roman" w:eastAsia="仿宋_GB2312" w:cs="Times New Roman"/>
                      <w:snapToGrid w:val="0"/>
                      <w:color w:val="000000" w:themeColor="text1"/>
                      <w:kern w:val="0"/>
                      <w:sz w:val="21"/>
                      <w:szCs w:val="21"/>
                    </w:rPr>
                  </w:pPr>
                  <w:r>
                    <w:rPr>
                      <w:rFonts w:ascii="Times New Roman" w:hAnsi="Times New Roman" w:eastAsia="仿宋_GB2312" w:cs="Times New Roman"/>
                      <w:snapToGrid w:val="0"/>
                      <w:color w:val="000000" w:themeColor="text1"/>
                      <w:kern w:val="0"/>
                      <w:sz w:val="21"/>
                      <w:szCs w:val="21"/>
                    </w:rPr>
                    <w:t>1</w:t>
                  </w:r>
                </w:p>
              </w:tc>
              <w:tc>
                <w:tcPr>
                  <w:tcW w:w="925" w:type="pct"/>
                  <w:vAlign w:val="center"/>
                </w:tcPr>
                <w:p w14:paraId="463628E8">
                  <w:pPr>
                    <w:adjustRightInd w:val="0"/>
                    <w:snapToGrid w:val="0"/>
                    <w:jc w:val="center"/>
                    <w:rPr>
                      <w:rFonts w:eastAsia="仿宋_GB2312"/>
                      <w:color w:val="000000" w:themeColor="text1"/>
                      <w:sz w:val="21"/>
                      <w:szCs w:val="21"/>
                    </w:rPr>
                  </w:pPr>
                  <w:r>
                    <w:rPr>
                      <w:rFonts w:ascii="Times New Roman" w:eastAsia="仿宋_GB2312"/>
                      <w:color w:val="000000"/>
                      <w:sz w:val="21"/>
                      <w:szCs w:val="21"/>
                    </w:rPr>
                    <w:t>连续式双膜法产线</w:t>
                  </w:r>
                  <w:r>
                    <w:rPr>
                      <w:rFonts w:hint="eastAsia" w:eastAsia="仿宋_GB2312"/>
                      <w:color w:val="000000"/>
                      <w:sz w:val="21"/>
                      <w:szCs w:val="21"/>
                      <w:lang w:eastAsia="zh-CN"/>
                    </w:rPr>
                    <w:t>，</w:t>
                  </w:r>
                  <w:r>
                    <w:rPr>
                      <w:rFonts w:eastAsia="仿宋_GB2312"/>
                      <w:snapToGrid w:val="0"/>
                      <w:kern w:val="0"/>
                      <w:sz w:val="21"/>
                      <w:szCs w:val="21"/>
                    </w:rPr>
                    <w:t>新增</w:t>
                  </w:r>
                </w:p>
              </w:tc>
            </w:tr>
            <w:tr w14:paraId="51D775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0" w:type="pct"/>
                  <w:vAlign w:val="center"/>
                </w:tcPr>
                <w:p w14:paraId="1E393E51">
                  <w:pPr>
                    <w:numPr>
                      <w:ilvl w:val="0"/>
                      <w:numId w:val="2"/>
                    </w:numPr>
                    <w:adjustRightInd w:val="0"/>
                    <w:snapToGrid w:val="0"/>
                    <w:jc w:val="center"/>
                    <w:rPr>
                      <w:rFonts w:eastAsia="仿宋_GB2312"/>
                      <w:snapToGrid w:val="0"/>
                      <w:kern w:val="0"/>
                      <w:sz w:val="21"/>
                      <w:szCs w:val="21"/>
                    </w:rPr>
                  </w:pPr>
                </w:p>
              </w:tc>
              <w:tc>
                <w:tcPr>
                  <w:tcW w:w="1061" w:type="pct"/>
                  <w:shd w:val="clear" w:color="auto" w:fill="auto"/>
                  <w:vAlign w:val="center"/>
                </w:tcPr>
                <w:p w14:paraId="749B1708">
                  <w:pPr>
                    <w:pStyle w:val="69"/>
                    <w:adjustRightInd w:val="0"/>
                    <w:snapToGrid w:val="0"/>
                    <w:jc w:val="center"/>
                    <w:rPr>
                      <w:rFonts w:ascii="Times New Roman" w:hAnsi="Times New Roman" w:eastAsia="仿宋_GB2312" w:cs="Times New Roman"/>
                      <w:color w:val="000000" w:themeColor="text1"/>
                      <w:kern w:val="0"/>
                      <w:sz w:val="21"/>
                      <w:szCs w:val="21"/>
                    </w:rPr>
                  </w:pPr>
                  <w:r>
                    <w:rPr>
                      <w:rFonts w:ascii="Times New Roman" w:hAnsi="Times New Roman" w:eastAsia="仿宋_GB2312" w:cs="Times New Roman"/>
                      <w:color w:val="000000"/>
                      <w:sz w:val="21"/>
                      <w:szCs w:val="21"/>
                    </w:rPr>
                    <w:t>UF-1710A/B/C</w:t>
                  </w:r>
                </w:p>
              </w:tc>
              <w:tc>
                <w:tcPr>
                  <w:tcW w:w="670" w:type="pct"/>
                  <w:shd w:val="clear" w:color="auto" w:fill="auto"/>
                  <w:vAlign w:val="center"/>
                </w:tcPr>
                <w:p w14:paraId="64065FD4">
                  <w:pPr>
                    <w:pStyle w:val="69"/>
                    <w:adjustRightInd w:val="0"/>
                    <w:snapToGrid w:val="0"/>
                    <w:jc w:val="center"/>
                    <w:rPr>
                      <w:rFonts w:ascii="Times New Roman" w:hAnsi="Times New Roman" w:eastAsia="仿宋_GB2312" w:cs="Times New Roman"/>
                      <w:color w:val="000000" w:themeColor="text1"/>
                      <w:kern w:val="0"/>
                      <w:sz w:val="21"/>
                      <w:szCs w:val="21"/>
                    </w:rPr>
                  </w:pPr>
                  <w:r>
                    <w:rPr>
                      <w:rFonts w:ascii="Times New Roman" w:hAnsi="Times New Roman" w:eastAsia="仿宋_GB2312" w:cs="Times New Roman"/>
                      <w:color w:val="000000"/>
                      <w:sz w:val="21"/>
                      <w:szCs w:val="21"/>
                    </w:rPr>
                    <w:t>陶瓷膜</w:t>
                  </w:r>
                </w:p>
              </w:tc>
              <w:tc>
                <w:tcPr>
                  <w:tcW w:w="1271" w:type="pct"/>
                  <w:shd w:val="clear" w:color="auto" w:fill="auto"/>
                  <w:vAlign w:val="center"/>
                </w:tcPr>
                <w:p w14:paraId="16FCD434">
                  <w:pPr>
                    <w:widowControl/>
                    <w:jc w:val="center"/>
                    <w:textAlignment w:val="center"/>
                    <w:rPr>
                      <w:rFonts w:eastAsia="仿宋_GB2312"/>
                      <w:color w:val="000000" w:themeColor="text1"/>
                      <w:kern w:val="0"/>
                      <w:sz w:val="21"/>
                      <w:szCs w:val="21"/>
                    </w:rPr>
                  </w:pPr>
                  <w:r>
                    <w:rPr>
                      <w:rFonts w:eastAsia="仿宋_GB2312"/>
                      <w:color w:val="000000"/>
                      <w:sz w:val="21"/>
                      <w:szCs w:val="21"/>
                    </w:rPr>
                    <w:t>/</w:t>
                  </w:r>
                </w:p>
              </w:tc>
              <w:tc>
                <w:tcPr>
                  <w:tcW w:w="740" w:type="pct"/>
                  <w:vAlign w:val="center"/>
                </w:tcPr>
                <w:p w14:paraId="591E3F5B">
                  <w:pPr>
                    <w:pStyle w:val="69"/>
                    <w:adjustRightInd w:val="0"/>
                    <w:snapToGrid w:val="0"/>
                    <w:jc w:val="center"/>
                    <w:rPr>
                      <w:rFonts w:ascii="Times New Roman" w:hAnsi="Times New Roman" w:eastAsia="仿宋_GB2312" w:cs="Times New Roman"/>
                      <w:snapToGrid w:val="0"/>
                      <w:color w:val="000000" w:themeColor="text1"/>
                      <w:kern w:val="0"/>
                      <w:sz w:val="21"/>
                      <w:szCs w:val="21"/>
                    </w:rPr>
                  </w:pPr>
                  <w:r>
                    <w:rPr>
                      <w:rFonts w:ascii="Times New Roman" w:hAnsi="Times New Roman" w:eastAsia="仿宋_GB2312" w:cs="Times New Roman"/>
                      <w:snapToGrid w:val="0"/>
                      <w:color w:val="000000" w:themeColor="text1"/>
                      <w:kern w:val="0"/>
                      <w:sz w:val="21"/>
                      <w:szCs w:val="21"/>
                    </w:rPr>
                    <w:t>3</w:t>
                  </w:r>
                </w:p>
              </w:tc>
              <w:tc>
                <w:tcPr>
                  <w:tcW w:w="925" w:type="pct"/>
                  <w:vAlign w:val="center"/>
                </w:tcPr>
                <w:p w14:paraId="5BEC8BC5">
                  <w:pPr>
                    <w:adjustRightInd w:val="0"/>
                    <w:snapToGrid w:val="0"/>
                    <w:jc w:val="center"/>
                    <w:rPr>
                      <w:rFonts w:eastAsia="仿宋_GB2312"/>
                      <w:color w:val="000000" w:themeColor="text1"/>
                      <w:sz w:val="21"/>
                      <w:szCs w:val="21"/>
                    </w:rPr>
                  </w:pPr>
                  <w:r>
                    <w:rPr>
                      <w:rFonts w:ascii="Times New Roman" w:eastAsia="仿宋_GB2312"/>
                      <w:color w:val="000000"/>
                      <w:sz w:val="21"/>
                      <w:szCs w:val="21"/>
                    </w:rPr>
                    <w:t>连续式双膜法产线</w:t>
                  </w:r>
                  <w:r>
                    <w:rPr>
                      <w:rFonts w:hint="eastAsia" w:eastAsia="仿宋_GB2312"/>
                      <w:color w:val="000000"/>
                      <w:sz w:val="21"/>
                      <w:szCs w:val="21"/>
                      <w:lang w:eastAsia="zh-CN"/>
                    </w:rPr>
                    <w:t>，</w:t>
                  </w:r>
                  <w:r>
                    <w:rPr>
                      <w:rFonts w:eastAsia="仿宋_GB2312"/>
                      <w:snapToGrid w:val="0"/>
                      <w:kern w:val="0"/>
                      <w:sz w:val="21"/>
                      <w:szCs w:val="21"/>
                    </w:rPr>
                    <w:t>新增</w:t>
                  </w:r>
                </w:p>
              </w:tc>
            </w:tr>
            <w:tr w14:paraId="728A88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0" w:type="pct"/>
                  <w:vAlign w:val="center"/>
                </w:tcPr>
                <w:p w14:paraId="3D2B9F7D">
                  <w:pPr>
                    <w:numPr>
                      <w:ilvl w:val="0"/>
                      <w:numId w:val="2"/>
                    </w:numPr>
                    <w:adjustRightInd w:val="0"/>
                    <w:snapToGrid w:val="0"/>
                    <w:jc w:val="center"/>
                    <w:rPr>
                      <w:rFonts w:eastAsia="仿宋_GB2312"/>
                      <w:snapToGrid w:val="0"/>
                      <w:kern w:val="0"/>
                      <w:sz w:val="21"/>
                      <w:szCs w:val="21"/>
                    </w:rPr>
                  </w:pPr>
                </w:p>
              </w:tc>
              <w:tc>
                <w:tcPr>
                  <w:tcW w:w="1061" w:type="pct"/>
                  <w:shd w:val="clear" w:color="auto" w:fill="auto"/>
                  <w:vAlign w:val="center"/>
                </w:tcPr>
                <w:p w14:paraId="31709C54">
                  <w:pPr>
                    <w:pStyle w:val="69"/>
                    <w:adjustRightInd w:val="0"/>
                    <w:snapToGrid w:val="0"/>
                    <w:jc w:val="center"/>
                    <w:rPr>
                      <w:rFonts w:ascii="Times New Roman" w:hAnsi="Times New Roman" w:eastAsia="仿宋_GB2312" w:cs="Times New Roman"/>
                      <w:color w:val="000000" w:themeColor="text1"/>
                      <w:kern w:val="0"/>
                      <w:sz w:val="21"/>
                      <w:szCs w:val="21"/>
                    </w:rPr>
                  </w:pPr>
                  <w:r>
                    <w:rPr>
                      <w:rFonts w:ascii="Times New Roman" w:hAnsi="Times New Roman" w:eastAsia="仿宋_GB2312" w:cs="Times New Roman"/>
                      <w:color w:val="000000"/>
                      <w:sz w:val="21"/>
                      <w:szCs w:val="21"/>
                    </w:rPr>
                    <w:t>NF-1840A/B</w:t>
                  </w:r>
                </w:p>
              </w:tc>
              <w:tc>
                <w:tcPr>
                  <w:tcW w:w="670" w:type="pct"/>
                  <w:shd w:val="clear" w:color="auto" w:fill="auto"/>
                  <w:vAlign w:val="center"/>
                </w:tcPr>
                <w:p w14:paraId="0D237A13">
                  <w:pPr>
                    <w:pStyle w:val="69"/>
                    <w:adjustRightInd w:val="0"/>
                    <w:snapToGrid w:val="0"/>
                    <w:jc w:val="center"/>
                    <w:rPr>
                      <w:rFonts w:ascii="Times New Roman" w:hAnsi="Times New Roman" w:eastAsia="仿宋_GB2312" w:cs="Times New Roman"/>
                      <w:color w:val="000000" w:themeColor="text1"/>
                      <w:kern w:val="0"/>
                      <w:sz w:val="21"/>
                      <w:szCs w:val="21"/>
                    </w:rPr>
                  </w:pPr>
                  <w:r>
                    <w:rPr>
                      <w:rFonts w:ascii="Times New Roman" w:hAnsi="Times New Roman" w:eastAsia="仿宋_GB2312" w:cs="Times New Roman"/>
                      <w:color w:val="000000"/>
                      <w:sz w:val="21"/>
                      <w:szCs w:val="21"/>
                    </w:rPr>
                    <w:t>纳滤膜</w:t>
                  </w:r>
                </w:p>
              </w:tc>
              <w:tc>
                <w:tcPr>
                  <w:tcW w:w="1271" w:type="pct"/>
                  <w:shd w:val="clear" w:color="auto" w:fill="auto"/>
                  <w:vAlign w:val="center"/>
                </w:tcPr>
                <w:p w14:paraId="0E8098B6">
                  <w:pPr>
                    <w:widowControl/>
                    <w:jc w:val="center"/>
                    <w:textAlignment w:val="center"/>
                    <w:rPr>
                      <w:rFonts w:eastAsia="仿宋_GB2312"/>
                      <w:color w:val="000000" w:themeColor="text1"/>
                      <w:kern w:val="0"/>
                      <w:sz w:val="21"/>
                      <w:szCs w:val="21"/>
                    </w:rPr>
                  </w:pPr>
                  <w:r>
                    <w:rPr>
                      <w:rFonts w:eastAsia="仿宋_GB2312"/>
                      <w:color w:val="000000"/>
                      <w:sz w:val="21"/>
                      <w:szCs w:val="21"/>
                    </w:rPr>
                    <w:t>东丽·聚酰胺复合</w:t>
                  </w:r>
                </w:p>
              </w:tc>
              <w:tc>
                <w:tcPr>
                  <w:tcW w:w="740" w:type="pct"/>
                  <w:vAlign w:val="center"/>
                </w:tcPr>
                <w:p w14:paraId="6C617AE5">
                  <w:pPr>
                    <w:pStyle w:val="69"/>
                    <w:adjustRightInd w:val="0"/>
                    <w:snapToGrid w:val="0"/>
                    <w:jc w:val="center"/>
                    <w:rPr>
                      <w:rFonts w:ascii="Times New Roman" w:hAnsi="Times New Roman" w:eastAsia="仿宋_GB2312" w:cs="Times New Roman"/>
                      <w:snapToGrid w:val="0"/>
                      <w:color w:val="000000" w:themeColor="text1"/>
                      <w:kern w:val="0"/>
                      <w:sz w:val="21"/>
                      <w:szCs w:val="21"/>
                    </w:rPr>
                  </w:pPr>
                  <w:r>
                    <w:rPr>
                      <w:rFonts w:ascii="Times New Roman" w:hAnsi="Times New Roman" w:eastAsia="仿宋_GB2312" w:cs="Times New Roman"/>
                      <w:snapToGrid w:val="0"/>
                      <w:color w:val="000000" w:themeColor="text1"/>
                      <w:kern w:val="0"/>
                      <w:sz w:val="21"/>
                      <w:szCs w:val="21"/>
                    </w:rPr>
                    <w:t>2</w:t>
                  </w:r>
                </w:p>
              </w:tc>
              <w:tc>
                <w:tcPr>
                  <w:tcW w:w="925" w:type="pct"/>
                  <w:vAlign w:val="center"/>
                </w:tcPr>
                <w:p w14:paraId="21B5307E">
                  <w:pPr>
                    <w:adjustRightInd w:val="0"/>
                    <w:snapToGrid w:val="0"/>
                    <w:jc w:val="center"/>
                    <w:rPr>
                      <w:rFonts w:eastAsia="仿宋_GB2312"/>
                      <w:color w:val="000000" w:themeColor="text1"/>
                      <w:sz w:val="21"/>
                      <w:szCs w:val="21"/>
                    </w:rPr>
                  </w:pPr>
                  <w:r>
                    <w:rPr>
                      <w:rFonts w:ascii="Times New Roman" w:eastAsia="仿宋_GB2312"/>
                      <w:color w:val="000000"/>
                      <w:sz w:val="21"/>
                      <w:szCs w:val="21"/>
                    </w:rPr>
                    <w:t>连续式双膜法产线</w:t>
                  </w:r>
                  <w:r>
                    <w:rPr>
                      <w:rFonts w:hint="eastAsia" w:eastAsia="仿宋_GB2312"/>
                      <w:color w:val="000000"/>
                      <w:sz w:val="21"/>
                      <w:szCs w:val="21"/>
                      <w:lang w:eastAsia="zh-CN"/>
                    </w:rPr>
                    <w:t>，</w:t>
                  </w:r>
                  <w:r>
                    <w:rPr>
                      <w:rFonts w:eastAsia="仿宋_GB2312"/>
                      <w:snapToGrid w:val="0"/>
                      <w:kern w:val="0"/>
                      <w:sz w:val="21"/>
                      <w:szCs w:val="21"/>
                    </w:rPr>
                    <w:t>新增</w:t>
                  </w:r>
                </w:p>
              </w:tc>
            </w:tr>
            <w:tr w14:paraId="3C4BB6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0" w:type="pct"/>
                  <w:vAlign w:val="center"/>
                </w:tcPr>
                <w:p w14:paraId="6405D796">
                  <w:pPr>
                    <w:numPr>
                      <w:ilvl w:val="0"/>
                      <w:numId w:val="2"/>
                    </w:numPr>
                    <w:adjustRightInd w:val="0"/>
                    <w:snapToGrid w:val="0"/>
                    <w:jc w:val="center"/>
                    <w:rPr>
                      <w:rFonts w:eastAsia="仿宋_GB2312"/>
                      <w:snapToGrid w:val="0"/>
                      <w:kern w:val="0"/>
                      <w:sz w:val="21"/>
                      <w:szCs w:val="21"/>
                    </w:rPr>
                  </w:pPr>
                </w:p>
              </w:tc>
              <w:tc>
                <w:tcPr>
                  <w:tcW w:w="1061" w:type="pct"/>
                  <w:shd w:val="clear" w:color="auto" w:fill="auto"/>
                  <w:vAlign w:val="center"/>
                </w:tcPr>
                <w:p w14:paraId="2FB5FD72">
                  <w:pPr>
                    <w:pStyle w:val="69"/>
                    <w:adjustRightInd w:val="0"/>
                    <w:snapToGrid w:val="0"/>
                    <w:jc w:val="center"/>
                    <w:rPr>
                      <w:rFonts w:ascii="Times New Roman" w:hAnsi="Times New Roman" w:eastAsia="仿宋_GB2312" w:cs="Times New Roman"/>
                      <w:color w:val="000000" w:themeColor="text1"/>
                      <w:kern w:val="0"/>
                      <w:sz w:val="21"/>
                      <w:szCs w:val="21"/>
                    </w:rPr>
                  </w:pPr>
                  <w:r>
                    <w:rPr>
                      <w:rFonts w:ascii="Times New Roman" w:hAnsi="Times New Roman" w:eastAsia="仿宋_GB2312" w:cs="Times New Roman"/>
                      <w:color w:val="000000"/>
                      <w:sz w:val="21"/>
                      <w:szCs w:val="21"/>
                    </w:rPr>
                    <w:t>M-1710A/B</w:t>
                  </w:r>
                </w:p>
              </w:tc>
              <w:tc>
                <w:tcPr>
                  <w:tcW w:w="670" w:type="pct"/>
                  <w:shd w:val="clear" w:color="auto" w:fill="auto"/>
                  <w:vAlign w:val="center"/>
                </w:tcPr>
                <w:p w14:paraId="077FEDED">
                  <w:pPr>
                    <w:pStyle w:val="69"/>
                    <w:adjustRightInd w:val="0"/>
                    <w:snapToGrid w:val="0"/>
                    <w:jc w:val="center"/>
                    <w:rPr>
                      <w:rFonts w:ascii="Times New Roman" w:hAnsi="Times New Roman" w:eastAsia="仿宋_GB2312" w:cs="Times New Roman"/>
                      <w:color w:val="000000" w:themeColor="text1"/>
                      <w:kern w:val="0"/>
                      <w:sz w:val="21"/>
                      <w:szCs w:val="21"/>
                    </w:rPr>
                  </w:pPr>
                  <w:r>
                    <w:rPr>
                      <w:rFonts w:ascii="Times New Roman" w:hAnsi="Times New Roman" w:eastAsia="仿宋_GB2312" w:cs="Times New Roman"/>
                      <w:color w:val="000000"/>
                      <w:sz w:val="21"/>
                      <w:szCs w:val="21"/>
                    </w:rPr>
                    <w:t>粗过滤器</w:t>
                  </w:r>
                </w:p>
              </w:tc>
              <w:tc>
                <w:tcPr>
                  <w:tcW w:w="1271" w:type="pct"/>
                  <w:shd w:val="clear" w:color="auto" w:fill="auto"/>
                  <w:vAlign w:val="center"/>
                </w:tcPr>
                <w:p w14:paraId="56BCA427">
                  <w:pPr>
                    <w:widowControl/>
                    <w:jc w:val="center"/>
                    <w:textAlignment w:val="center"/>
                    <w:rPr>
                      <w:rFonts w:eastAsia="仿宋_GB2312"/>
                      <w:color w:val="000000" w:themeColor="text1"/>
                      <w:kern w:val="0"/>
                      <w:sz w:val="21"/>
                      <w:szCs w:val="21"/>
                    </w:rPr>
                  </w:pPr>
                  <w:r>
                    <w:rPr>
                      <w:rFonts w:eastAsia="仿宋_GB2312"/>
                      <w:color w:val="000000"/>
                      <w:sz w:val="21"/>
                      <w:szCs w:val="21"/>
                    </w:rPr>
                    <w:t>CM450-200</w:t>
                  </w:r>
                </w:p>
              </w:tc>
              <w:tc>
                <w:tcPr>
                  <w:tcW w:w="740" w:type="pct"/>
                  <w:vAlign w:val="center"/>
                </w:tcPr>
                <w:p w14:paraId="7F4FC3A7">
                  <w:pPr>
                    <w:pStyle w:val="69"/>
                    <w:adjustRightInd w:val="0"/>
                    <w:snapToGrid w:val="0"/>
                    <w:jc w:val="center"/>
                    <w:rPr>
                      <w:rFonts w:ascii="Times New Roman" w:hAnsi="Times New Roman" w:eastAsia="仿宋_GB2312" w:cs="Times New Roman"/>
                      <w:snapToGrid w:val="0"/>
                      <w:color w:val="000000" w:themeColor="text1"/>
                      <w:kern w:val="0"/>
                      <w:sz w:val="21"/>
                      <w:szCs w:val="21"/>
                    </w:rPr>
                  </w:pPr>
                  <w:r>
                    <w:rPr>
                      <w:rFonts w:ascii="Times New Roman" w:hAnsi="Times New Roman" w:eastAsia="仿宋_GB2312" w:cs="Times New Roman"/>
                      <w:snapToGrid w:val="0"/>
                      <w:color w:val="000000" w:themeColor="text1"/>
                      <w:kern w:val="0"/>
                      <w:sz w:val="21"/>
                      <w:szCs w:val="21"/>
                    </w:rPr>
                    <w:t>2</w:t>
                  </w:r>
                </w:p>
              </w:tc>
              <w:tc>
                <w:tcPr>
                  <w:tcW w:w="925" w:type="pct"/>
                  <w:vAlign w:val="center"/>
                </w:tcPr>
                <w:p w14:paraId="47665956">
                  <w:pPr>
                    <w:adjustRightInd w:val="0"/>
                    <w:snapToGrid w:val="0"/>
                    <w:jc w:val="center"/>
                    <w:rPr>
                      <w:rFonts w:eastAsia="仿宋_GB2312"/>
                      <w:color w:val="000000" w:themeColor="text1"/>
                      <w:sz w:val="21"/>
                      <w:szCs w:val="21"/>
                    </w:rPr>
                  </w:pPr>
                  <w:r>
                    <w:rPr>
                      <w:rFonts w:ascii="Times New Roman" w:eastAsia="仿宋_GB2312"/>
                      <w:color w:val="000000"/>
                      <w:sz w:val="21"/>
                      <w:szCs w:val="21"/>
                    </w:rPr>
                    <w:t>连续式双膜法产线</w:t>
                  </w:r>
                  <w:r>
                    <w:rPr>
                      <w:rFonts w:hint="eastAsia" w:eastAsia="仿宋_GB2312"/>
                      <w:color w:val="000000"/>
                      <w:sz w:val="21"/>
                      <w:szCs w:val="21"/>
                      <w:lang w:eastAsia="zh-CN"/>
                    </w:rPr>
                    <w:t>，</w:t>
                  </w:r>
                  <w:r>
                    <w:rPr>
                      <w:rFonts w:eastAsia="仿宋_GB2312"/>
                      <w:snapToGrid w:val="0"/>
                      <w:kern w:val="0"/>
                      <w:sz w:val="21"/>
                      <w:szCs w:val="21"/>
                    </w:rPr>
                    <w:t>新增</w:t>
                  </w:r>
                </w:p>
              </w:tc>
            </w:tr>
            <w:tr w14:paraId="6679FF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0" w:type="pct"/>
                  <w:vAlign w:val="center"/>
                </w:tcPr>
                <w:p w14:paraId="50A1C726">
                  <w:pPr>
                    <w:numPr>
                      <w:ilvl w:val="0"/>
                      <w:numId w:val="2"/>
                    </w:numPr>
                    <w:adjustRightInd w:val="0"/>
                    <w:snapToGrid w:val="0"/>
                    <w:jc w:val="center"/>
                    <w:rPr>
                      <w:rFonts w:eastAsia="仿宋_GB2312"/>
                      <w:snapToGrid w:val="0"/>
                      <w:kern w:val="0"/>
                      <w:sz w:val="21"/>
                      <w:szCs w:val="21"/>
                    </w:rPr>
                  </w:pPr>
                </w:p>
              </w:tc>
              <w:tc>
                <w:tcPr>
                  <w:tcW w:w="1061" w:type="pct"/>
                  <w:shd w:val="clear" w:color="auto" w:fill="auto"/>
                  <w:vAlign w:val="center"/>
                </w:tcPr>
                <w:p w14:paraId="33119E94">
                  <w:pPr>
                    <w:pStyle w:val="69"/>
                    <w:adjustRightInd w:val="0"/>
                    <w:snapToGrid w:val="0"/>
                    <w:jc w:val="center"/>
                    <w:rPr>
                      <w:rFonts w:ascii="Times New Roman" w:hAnsi="Times New Roman" w:eastAsia="仿宋_GB2312" w:cs="Times New Roman"/>
                      <w:color w:val="000000" w:themeColor="text1"/>
                      <w:kern w:val="0"/>
                      <w:sz w:val="21"/>
                      <w:szCs w:val="21"/>
                    </w:rPr>
                  </w:pPr>
                  <w:r>
                    <w:rPr>
                      <w:rFonts w:ascii="Times New Roman" w:hAnsi="Times New Roman" w:eastAsia="仿宋_GB2312" w:cs="Times New Roman"/>
                      <w:color w:val="000000"/>
                      <w:sz w:val="21"/>
                      <w:szCs w:val="21"/>
                    </w:rPr>
                    <w:t>AG-1476</w:t>
                  </w:r>
                </w:p>
              </w:tc>
              <w:tc>
                <w:tcPr>
                  <w:tcW w:w="670" w:type="pct"/>
                  <w:shd w:val="clear" w:color="auto" w:fill="auto"/>
                  <w:vAlign w:val="center"/>
                </w:tcPr>
                <w:p w14:paraId="756F9BBE">
                  <w:pPr>
                    <w:pStyle w:val="69"/>
                    <w:adjustRightInd w:val="0"/>
                    <w:snapToGrid w:val="0"/>
                    <w:jc w:val="center"/>
                    <w:rPr>
                      <w:rFonts w:ascii="Times New Roman" w:hAnsi="Times New Roman" w:eastAsia="仿宋_GB2312" w:cs="Times New Roman"/>
                      <w:color w:val="000000" w:themeColor="text1"/>
                      <w:kern w:val="0"/>
                      <w:sz w:val="21"/>
                      <w:szCs w:val="21"/>
                    </w:rPr>
                  </w:pPr>
                  <w:r>
                    <w:rPr>
                      <w:rFonts w:ascii="Times New Roman" w:hAnsi="Times New Roman" w:eastAsia="仿宋_GB2312" w:cs="Times New Roman"/>
                      <w:color w:val="000000"/>
                      <w:sz w:val="21"/>
                      <w:szCs w:val="21"/>
                    </w:rPr>
                    <w:t>亚纳配制搅拌</w:t>
                  </w:r>
                </w:p>
              </w:tc>
              <w:tc>
                <w:tcPr>
                  <w:tcW w:w="1271" w:type="pct"/>
                  <w:shd w:val="clear" w:color="auto" w:fill="auto"/>
                  <w:vAlign w:val="center"/>
                </w:tcPr>
                <w:p w14:paraId="3BA0EF21">
                  <w:pPr>
                    <w:widowControl/>
                    <w:jc w:val="center"/>
                    <w:textAlignment w:val="center"/>
                    <w:rPr>
                      <w:rFonts w:eastAsia="仿宋_GB2312"/>
                      <w:color w:val="000000" w:themeColor="text1"/>
                      <w:kern w:val="0"/>
                      <w:sz w:val="21"/>
                      <w:szCs w:val="21"/>
                    </w:rPr>
                  </w:pPr>
                  <w:r>
                    <w:rPr>
                      <w:rFonts w:eastAsia="仿宋_GB2312"/>
                      <w:color w:val="000000"/>
                      <w:sz w:val="21"/>
                      <w:szCs w:val="21"/>
                    </w:rPr>
                    <w:t>V-30</w:t>
                  </w:r>
                </w:p>
              </w:tc>
              <w:tc>
                <w:tcPr>
                  <w:tcW w:w="740" w:type="pct"/>
                  <w:vAlign w:val="center"/>
                </w:tcPr>
                <w:p w14:paraId="1D9DFB8F">
                  <w:pPr>
                    <w:pStyle w:val="69"/>
                    <w:adjustRightInd w:val="0"/>
                    <w:snapToGrid w:val="0"/>
                    <w:jc w:val="center"/>
                    <w:rPr>
                      <w:rFonts w:ascii="Times New Roman" w:hAnsi="Times New Roman" w:eastAsia="仿宋_GB2312" w:cs="Times New Roman"/>
                      <w:snapToGrid w:val="0"/>
                      <w:color w:val="000000" w:themeColor="text1"/>
                      <w:kern w:val="0"/>
                      <w:sz w:val="21"/>
                      <w:szCs w:val="21"/>
                    </w:rPr>
                  </w:pPr>
                  <w:r>
                    <w:rPr>
                      <w:rFonts w:ascii="Times New Roman" w:hAnsi="Times New Roman" w:eastAsia="仿宋_GB2312" w:cs="Times New Roman"/>
                      <w:snapToGrid w:val="0"/>
                      <w:color w:val="000000" w:themeColor="text1"/>
                      <w:kern w:val="0"/>
                      <w:sz w:val="21"/>
                      <w:szCs w:val="21"/>
                    </w:rPr>
                    <w:t>1</w:t>
                  </w:r>
                </w:p>
              </w:tc>
              <w:tc>
                <w:tcPr>
                  <w:tcW w:w="925" w:type="pct"/>
                  <w:vAlign w:val="center"/>
                </w:tcPr>
                <w:p w14:paraId="732B360C">
                  <w:pPr>
                    <w:adjustRightInd w:val="0"/>
                    <w:snapToGrid w:val="0"/>
                    <w:jc w:val="center"/>
                    <w:rPr>
                      <w:rFonts w:eastAsia="仿宋_GB2312"/>
                      <w:color w:val="000000" w:themeColor="text1"/>
                      <w:sz w:val="21"/>
                      <w:szCs w:val="21"/>
                    </w:rPr>
                  </w:pPr>
                  <w:r>
                    <w:rPr>
                      <w:rFonts w:ascii="Times New Roman" w:eastAsia="仿宋_GB2312"/>
                      <w:color w:val="000000"/>
                      <w:sz w:val="21"/>
                      <w:szCs w:val="21"/>
                    </w:rPr>
                    <w:t>连续式双膜法产线</w:t>
                  </w:r>
                  <w:r>
                    <w:rPr>
                      <w:rFonts w:hint="eastAsia" w:eastAsia="仿宋_GB2312"/>
                      <w:color w:val="000000"/>
                      <w:sz w:val="21"/>
                      <w:szCs w:val="21"/>
                      <w:lang w:eastAsia="zh-CN"/>
                    </w:rPr>
                    <w:t>，</w:t>
                  </w:r>
                  <w:r>
                    <w:rPr>
                      <w:rFonts w:eastAsia="仿宋_GB2312"/>
                      <w:snapToGrid w:val="0"/>
                      <w:kern w:val="0"/>
                      <w:sz w:val="21"/>
                      <w:szCs w:val="21"/>
                    </w:rPr>
                    <w:t>新增</w:t>
                  </w:r>
                </w:p>
              </w:tc>
            </w:tr>
            <w:tr w14:paraId="33D666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0" w:type="pct"/>
                  <w:vAlign w:val="center"/>
                </w:tcPr>
                <w:p w14:paraId="68D0428F">
                  <w:pPr>
                    <w:numPr>
                      <w:ilvl w:val="0"/>
                      <w:numId w:val="2"/>
                    </w:numPr>
                    <w:adjustRightInd w:val="0"/>
                    <w:snapToGrid w:val="0"/>
                    <w:jc w:val="center"/>
                    <w:rPr>
                      <w:rFonts w:eastAsia="仿宋_GB2312"/>
                      <w:snapToGrid w:val="0"/>
                      <w:kern w:val="0"/>
                      <w:sz w:val="21"/>
                      <w:szCs w:val="21"/>
                    </w:rPr>
                  </w:pPr>
                </w:p>
              </w:tc>
              <w:tc>
                <w:tcPr>
                  <w:tcW w:w="1061" w:type="pct"/>
                  <w:shd w:val="clear" w:color="auto" w:fill="auto"/>
                  <w:vAlign w:val="center"/>
                </w:tcPr>
                <w:p w14:paraId="12F5A48C">
                  <w:pPr>
                    <w:pStyle w:val="69"/>
                    <w:adjustRightInd w:val="0"/>
                    <w:snapToGrid w:val="0"/>
                    <w:jc w:val="center"/>
                    <w:rPr>
                      <w:rFonts w:ascii="Times New Roman" w:hAnsi="Times New Roman" w:eastAsia="仿宋_GB2312" w:cs="Times New Roman"/>
                      <w:color w:val="000000" w:themeColor="text1"/>
                      <w:kern w:val="0"/>
                      <w:sz w:val="21"/>
                      <w:szCs w:val="21"/>
                    </w:rPr>
                  </w:pPr>
                  <w:r>
                    <w:rPr>
                      <w:rFonts w:ascii="Times New Roman" w:hAnsi="Times New Roman" w:eastAsia="仿宋_GB2312" w:cs="Times New Roman"/>
                      <w:color w:val="000000"/>
                      <w:sz w:val="21"/>
                      <w:szCs w:val="21"/>
                    </w:rPr>
                    <w:t>AG-1223</w:t>
                  </w:r>
                </w:p>
              </w:tc>
              <w:tc>
                <w:tcPr>
                  <w:tcW w:w="670" w:type="pct"/>
                  <w:shd w:val="clear" w:color="auto" w:fill="auto"/>
                  <w:vAlign w:val="center"/>
                </w:tcPr>
                <w:p w14:paraId="60ACD8DD">
                  <w:pPr>
                    <w:pStyle w:val="69"/>
                    <w:adjustRightInd w:val="0"/>
                    <w:snapToGrid w:val="0"/>
                    <w:jc w:val="center"/>
                    <w:rPr>
                      <w:rFonts w:ascii="Times New Roman" w:hAnsi="Times New Roman" w:eastAsia="仿宋_GB2312" w:cs="Times New Roman"/>
                      <w:color w:val="000000" w:themeColor="text1"/>
                      <w:kern w:val="0"/>
                      <w:sz w:val="21"/>
                      <w:szCs w:val="21"/>
                    </w:rPr>
                  </w:pPr>
                  <w:r>
                    <w:rPr>
                      <w:rFonts w:ascii="Times New Roman" w:hAnsi="Times New Roman" w:eastAsia="仿宋_GB2312" w:cs="Times New Roman"/>
                      <w:color w:val="000000"/>
                      <w:sz w:val="21"/>
                      <w:szCs w:val="21"/>
                    </w:rPr>
                    <w:t>反应罐搅拌</w:t>
                  </w:r>
                </w:p>
              </w:tc>
              <w:tc>
                <w:tcPr>
                  <w:tcW w:w="1271" w:type="pct"/>
                  <w:shd w:val="clear" w:color="auto" w:fill="auto"/>
                  <w:vAlign w:val="center"/>
                </w:tcPr>
                <w:p w14:paraId="453A1449">
                  <w:pPr>
                    <w:widowControl/>
                    <w:jc w:val="center"/>
                    <w:textAlignment w:val="center"/>
                    <w:rPr>
                      <w:rFonts w:eastAsia="仿宋_GB2312"/>
                      <w:color w:val="000000" w:themeColor="text1"/>
                      <w:kern w:val="0"/>
                      <w:sz w:val="21"/>
                      <w:szCs w:val="21"/>
                    </w:rPr>
                  </w:pPr>
                  <w:r>
                    <w:rPr>
                      <w:rFonts w:eastAsia="仿宋_GB2312"/>
                      <w:color w:val="000000"/>
                      <w:sz w:val="21"/>
                      <w:szCs w:val="21"/>
                    </w:rPr>
                    <w:t>M3PVSF70</w:t>
                  </w:r>
                </w:p>
              </w:tc>
              <w:tc>
                <w:tcPr>
                  <w:tcW w:w="740" w:type="pct"/>
                  <w:vAlign w:val="center"/>
                </w:tcPr>
                <w:p w14:paraId="0B6FBB11">
                  <w:pPr>
                    <w:pStyle w:val="69"/>
                    <w:adjustRightInd w:val="0"/>
                    <w:snapToGrid w:val="0"/>
                    <w:jc w:val="center"/>
                    <w:rPr>
                      <w:rFonts w:ascii="Times New Roman" w:hAnsi="Times New Roman" w:eastAsia="仿宋_GB2312" w:cs="Times New Roman"/>
                      <w:snapToGrid w:val="0"/>
                      <w:color w:val="000000" w:themeColor="text1"/>
                      <w:kern w:val="0"/>
                      <w:sz w:val="21"/>
                      <w:szCs w:val="21"/>
                    </w:rPr>
                  </w:pPr>
                  <w:r>
                    <w:rPr>
                      <w:rFonts w:ascii="Times New Roman" w:hAnsi="Times New Roman" w:eastAsia="仿宋_GB2312" w:cs="Times New Roman"/>
                      <w:snapToGrid w:val="0"/>
                      <w:color w:val="000000" w:themeColor="text1"/>
                      <w:kern w:val="0"/>
                      <w:sz w:val="21"/>
                      <w:szCs w:val="21"/>
                    </w:rPr>
                    <w:t>1</w:t>
                  </w:r>
                </w:p>
              </w:tc>
              <w:tc>
                <w:tcPr>
                  <w:tcW w:w="925" w:type="pct"/>
                  <w:vAlign w:val="center"/>
                </w:tcPr>
                <w:p w14:paraId="2AC63BD4">
                  <w:pPr>
                    <w:adjustRightInd w:val="0"/>
                    <w:snapToGrid w:val="0"/>
                    <w:jc w:val="center"/>
                    <w:rPr>
                      <w:rFonts w:eastAsia="仿宋_GB2312"/>
                      <w:color w:val="000000" w:themeColor="text1"/>
                      <w:sz w:val="21"/>
                      <w:szCs w:val="21"/>
                    </w:rPr>
                  </w:pPr>
                  <w:r>
                    <w:rPr>
                      <w:rFonts w:ascii="Times New Roman" w:eastAsia="仿宋_GB2312"/>
                      <w:color w:val="000000"/>
                      <w:sz w:val="21"/>
                      <w:szCs w:val="21"/>
                    </w:rPr>
                    <w:t>连续式双膜法产线</w:t>
                  </w:r>
                  <w:r>
                    <w:rPr>
                      <w:rFonts w:hint="eastAsia" w:eastAsia="仿宋_GB2312"/>
                      <w:color w:val="000000"/>
                      <w:sz w:val="21"/>
                      <w:szCs w:val="21"/>
                      <w:lang w:eastAsia="zh-CN"/>
                    </w:rPr>
                    <w:t>，</w:t>
                  </w:r>
                  <w:r>
                    <w:rPr>
                      <w:rFonts w:eastAsia="仿宋_GB2312"/>
                      <w:snapToGrid w:val="0"/>
                      <w:kern w:val="0"/>
                      <w:sz w:val="21"/>
                      <w:szCs w:val="21"/>
                    </w:rPr>
                    <w:t>新增</w:t>
                  </w:r>
                </w:p>
              </w:tc>
            </w:tr>
            <w:tr w14:paraId="3FC281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0" w:type="pct"/>
                  <w:vAlign w:val="center"/>
                </w:tcPr>
                <w:p w14:paraId="0E2DAB64">
                  <w:pPr>
                    <w:numPr>
                      <w:ilvl w:val="0"/>
                      <w:numId w:val="2"/>
                    </w:numPr>
                    <w:adjustRightInd w:val="0"/>
                    <w:snapToGrid w:val="0"/>
                    <w:jc w:val="center"/>
                    <w:rPr>
                      <w:rFonts w:eastAsia="仿宋_GB2312"/>
                      <w:snapToGrid w:val="0"/>
                      <w:kern w:val="0"/>
                      <w:sz w:val="21"/>
                      <w:szCs w:val="21"/>
                    </w:rPr>
                  </w:pPr>
                </w:p>
              </w:tc>
              <w:tc>
                <w:tcPr>
                  <w:tcW w:w="1061" w:type="pct"/>
                  <w:shd w:val="clear" w:color="auto" w:fill="auto"/>
                  <w:vAlign w:val="center"/>
                </w:tcPr>
                <w:p w14:paraId="3AAE705F">
                  <w:pPr>
                    <w:pStyle w:val="69"/>
                    <w:adjustRightInd w:val="0"/>
                    <w:snapToGrid w:val="0"/>
                    <w:jc w:val="center"/>
                    <w:rPr>
                      <w:rFonts w:ascii="Times New Roman" w:hAnsi="Times New Roman" w:eastAsia="仿宋_GB2312" w:cs="Times New Roman"/>
                      <w:color w:val="000000" w:themeColor="text1"/>
                      <w:kern w:val="0"/>
                      <w:sz w:val="21"/>
                      <w:szCs w:val="21"/>
                    </w:rPr>
                  </w:pPr>
                  <w:r>
                    <w:rPr>
                      <w:rFonts w:ascii="Times New Roman" w:hAnsi="Times New Roman" w:eastAsia="仿宋_GB2312" w:cs="Times New Roman"/>
                      <w:color w:val="000000"/>
                      <w:sz w:val="21"/>
                      <w:szCs w:val="21"/>
                    </w:rPr>
                    <w:t>AG-1222</w:t>
                  </w:r>
                </w:p>
              </w:tc>
              <w:tc>
                <w:tcPr>
                  <w:tcW w:w="670" w:type="pct"/>
                  <w:shd w:val="clear" w:color="auto" w:fill="auto"/>
                  <w:vAlign w:val="center"/>
                </w:tcPr>
                <w:p w14:paraId="00FA0B1E">
                  <w:pPr>
                    <w:pStyle w:val="69"/>
                    <w:adjustRightInd w:val="0"/>
                    <w:snapToGrid w:val="0"/>
                    <w:jc w:val="center"/>
                    <w:rPr>
                      <w:rFonts w:ascii="Times New Roman" w:hAnsi="Times New Roman" w:eastAsia="仿宋_GB2312" w:cs="Times New Roman"/>
                      <w:color w:val="000000" w:themeColor="text1"/>
                      <w:kern w:val="0"/>
                      <w:sz w:val="21"/>
                      <w:szCs w:val="21"/>
                    </w:rPr>
                  </w:pPr>
                  <w:r>
                    <w:rPr>
                      <w:rFonts w:ascii="Times New Roman" w:hAnsi="Times New Roman" w:eastAsia="仿宋_GB2312" w:cs="Times New Roman"/>
                      <w:color w:val="000000"/>
                      <w:sz w:val="21"/>
                      <w:szCs w:val="21"/>
                    </w:rPr>
                    <w:t>反应罐搅拌</w:t>
                  </w:r>
                </w:p>
              </w:tc>
              <w:tc>
                <w:tcPr>
                  <w:tcW w:w="1271" w:type="pct"/>
                  <w:shd w:val="clear" w:color="auto" w:fill="auto"/>
                  <w:vAlign w:val="center"/>
                </w:tcPr>
                <w:p w14:paraId="14FB8265">
                  <w:pPr>
                    <w:widowControl/>
                    <w:jc w:val="center"/>
                    <w:textAlignment w:val="center"/>
                    <w:rPr>
                      <w:rFonts w:eastAsia="仿宋_GB2312"/>
                      <w:color w:val="000000" w:themeColor="text1"/>
                      <w:kern w:val="0"/>
                      <w:sz w:val="21"/>
                      <w:szCs w:val="21"/>
                    </w:rPr>
                  </w:pPr>
                  <w:r>
                    <w:rPr>
                      <w:rFonts w:eastAsia="仿宋_GB2312"/>
                      <w:color w:val="000000"/>
                      <w:sz w:val="21"/>
                      <w:szCs w:val="21"/>
                    </w:rPr>
                    <w:t>MC3PVSF09</w:t>
                  </w:r>
                </w:p>
              </w:tc>
              <w:tc>
                <w:tcPr>
                  <w:tcW w:w="740" w:type="pct"/>
                  <w:vAlign w:val="center"/>
                </w:tcPr>
                <w:p w14:paraId="4967234A">
                  <w:pPr>
                    <w:pStyle w:val="69"/>
                    <w:adjustRightInd w:val="0"/>
                    <w:snapToGrid w:val="0"/>
                    <w:jc w:val="center"/>
                    <w:rPr>
                      <w:rFonts w:ascii="Times New Roman" w:hAnsi="Times New Roman" w:eastAsia="仿宋_GB2312" w:cs="Times New Roman"/>
                      <w:snapToGrid w:val="0"/>
                      <w:color w:val="000000" w:themeColor="text1"/>
                      <w:kern w:val="0"/>
                      <w:sz w:val="21"/>
                      <w:szCs w:val="21"/>
                    </w:rPr>
                  </w:pPr>
                  <w:r>
                    <w:rPr>
                      <w:rFonts w:ascii="Times New Roman" w:hAnsi="Times New Roman" w:eastAsia="仿宋_GB2312" w:cs="Times New Roman"/>
                      <w:snapToGrid w:val="0"/>
                      <w:color w:val="000000" w:themeColor="text1"/>
                      <w:kern w:val="0"/>
                      <w:sz w:val="21"/>
                      <w:szCs w:val="21"/>
                    </w:rPr>
                    <w:t>1</w:t>
                  </w:r>
                </w:p>
              </w:tc>
              <w:tc>
                <w:tcPr>
                  <w:tcW w:w="925" w:type="pct"/>
                  <w:vAlign w:val="center"/>
                </w:tcPr>
                <w:p w14:paraId="7BBF1441">
                  <w:pPr>
                    <w:adjustRightInd w:val="0"/>
                    <w:snapToGrid w:val="0"/>
                    <w:jc w:val="center"/>
                    <w:rPr>
                      <w:rFonts w:eastAsia="仿宋_GB2312"/>
                      <w:color w:val="000000" w:themeColor="text1"/>
                      <w:sz w:val="21"/>
                      <w:szCs w:val="21"/>
                    </w:rPr>
                  </w:pPr>
                  <w:r>
                    <w:rPr>
                      <w:rFonts w:ascii="Times New Roman" w:eastAsia="仿宋_GB2312"/>
                      <w:color w:val="000000"/>
                      <w:sz w:val="21"/>
                      <w:szCs w:val="21"/>
                    </w:rPr>
                    <w:t>连续式双膜法产线</w:t>
                  </w:r>
                  <w:r>
                    <w:rPr>
                      <w:rFonts w:hint="eastAsia" w:eastAsia="仿宋_GB2312"/>
                      <w:color w:val="000000"/>
                      <w:sz w:val="21"/>
                      <w:szCs w:val="21"/>
                      <w:lang w:eastAsia="zh-CN"/>
                    </w:rPr>
                    <w:t>，</w:t>
                  </w:r>
                  <w:r>
                    <w:rPr>
                      <w:rFonts w:eastAsia="仿宋_GB2312"/>
                      <w:snapToGrid w:val="0"/>
                      <w:kern w:val="0"/>
                      <w:sz w:val="21"/>
                      <w:szCs w:val="21"/>
                    </w:rPr>
                    <w:t>新增</w:t>
                  </w:r>
                </w:p>
              </w:tc>
            </w:tr>
            <w:tr w14:paraId="39610D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0" w:type="pct"/>
                  <w:vAlign w:val="center"/>
                </w:tcPr>
                <w:p w14:paraId="7A78484D">
                  <w:pPr>
                    <w:numPr>
                      <w:ilvl w:val="0"/>
                      <w:numId w:val="2"/>
                    </w:numPr>
                    <w:adjustRightInd w:val="0"/>
                    <w:snapToGrid w:val="0"/>
                    <w:jc w:val="center"/>
                    <w:rPr>
                      <w:rFonts w:eastAsia="仿宋_GB2312"/>
                      <w:snapToGrid w:val="0"/>
                      <w:kern w:val="0"/>
                      <w:sz w:val="21"/>
                      <w:szCs w:val="21"/>
                    </w:rPr>
                  </w:pPr>
                </w:p>
              </w:tc>
              <w:tc>
                <w:tcPr>
                  <w:tcW w:w="1061" w:type="pct"/>
                  <w:shd w:val="clear" w:color="auto" w:fill="auto"/>
                  <w:vAlign w:val="center"/>
                </w:tcPr>
                <w:p w14:paraId="64514543">
                  <w:pPr>
                    <w:pStyle w:val="69"/>
                    <w:adjustRightInd w:val="0"/>
                    <w:snapToGrid w:val="0"/>
                    <w:jc w:val="center"/>
                    <w:rPr>
                      <w:rFonts w:ascii="Times New Roman" w:hAnsi="Times New Roman" w:eastAsia="仿宋_GB2312" w:cs="Times New Roman"/>
                      <w:color w:val="000000" w:themeColor="text1"/>
                      <w:kern w:val="0"/>
                      <w:sz w:val="21"/>
                      <w:szCs w:val="21"/>
                    </w:rPr>
                  </w:pPr>
                  <w:r>
                    <w:rPr>
                      <w:rFonts w:ascii="Times New Roman" w:hAnsi="Times New Roman" w:eastAsia="仿宋_GB2312" w:cs="Times New Roman"/>
                      <w:color w:val="000000"/>
                      <w:sz w:val="21"/>
                      <w:szCs w:val="21"/>
                    </w:rPr>
                    <w:t>AG-1221</w:t>
                  </w:r>
                </w:p>
              </w:tc>
              <w:tc>
                <w:tcPr>
                  <w:tcW w:w="670" w:type="pct"/>
                  <w:shd w:val="clear" w:color="auto" w:fill="auto"/>
                  <w:vAlign w:val="center"/>
                </w:tcPr>
                <w:p w14:paraId="2D10BC7E">
                  <w:pPr>
                    <w:pStyle w:val="69"/>
                    <w:adjustRightInd w:val="0"/>
                    <w:snapToGrid w:val="0"/>
                    <w:jc w:val="center"/>
                    <w:rPr>
                      <w:rFonts w:ascii="Times New Roman" w:hAnsi="Times New Roman" w:eastAsia="仿宋_GB2312" w:cs="Times New Roman"/>
                      <w:color w:val="000000" w:themeColor="text1"/>
                      <w:kern w:val="0"/>
                      <w:sz w:val="21"/>
                      <w:szCs w:val="21"/>
                    </w:rPr>
                  </w:pPr>
                  <w:r>
                    <w:rPr>
                      <w:rFonts w:ascii="Times New Roman" w:hAnsi="Times New Roman" w:eastAsia="仿宋_GB2312" w:cs="Times New Roman"/>
                      <w:color w:val="000000"/>
                      <w:sz w:val="21"/>
                      <w:szCs w:val="21"/>
                    </w:rPr>
                    <w:t>中间罐搅拌</w:t>
                  </w:r>
                </w:p>
              </w:tc>
              <w:tc>
                <w:tcPr>
                  <w:tcW w:w="1271" w:type="pct"/>
                  <w:shd w:val="clear" w:color="auto" w:fill="auto"/>
                  <w:vAlign w:val="center"/>
                </w:tcPr>
                <w:p w14:paraId="67F4441F">
                  <w:pPr>
                    <w:widowControl/>
                    <w:jc w:val="center"/>
                    <w:textAlignment w:val="center"/>
                    <w:rPr>
                      <w:rFonts w:eastAsia="仿宋_GB2312"/>
                      <w:color w:val="000000" w:themeColor="text1"/>
                      <w:kern w:val="0"/>
                      <w:sz w:val="21"/>
                      <w:szCs w:val="21"/>
                    </w:rPr>
                  </w:pPr>
                  <w:r>
                    <w:rPr>
                      <w:rFonts w:eastAsia="仿宋_GB2312"/>
                      <w:color w:val="000000"/>
                      <w:sz w:val="21"/>
                      <w:szCs w:val="21"/>
                    </w:rPr>
                    <w:t>MC3PVSF09</w:t>
                  </w:r>
                </w:p>
              </w:tc>
              <w:tc>
                <w:tcPr>
                  <w:tcW w:w="740" w:type="pct"/>
                  <w:vAlign w:val="center"/>
                </w:tcPr>
                <w:p w14:paraId="13C6A8CA">
                  <w:pPr>
                    <w:pStyle w:val="69"/>
                    <w:adjustRightInd w:val="0"/>
                    <w:snapToGrid w:val="0"/>
                    <w:jc w:val="center"/>
                    <w:rPr>
                      <w:rFonts w:ascii="Times New Roman" w:hAnsi="Times New Roman" w:eastAsia="仿宋_GB2312" w:cs="Times New Roman"/>
                      <w:snapToGrid w:val="0"/>
                      <w:color w:val="000000" w:themeColor="text1"/>
                      <w:kern w:val="0"/>
                      <w:sz w:val="21"/>
                      <w:szCs w:val="21"/>
                    </w:rPr>
                  </w:pPr>
                  <w:r>
                    <w:rPr>
                      <w:rFonts w:ascii="Times New Roman" w:hAnsi="Times New Roman" w:eastAsia="仿宋_GB2312" w:cs="Times New Roman"/>
                      <w:snapToGrid w:val="0"/>
                      <w:color w:val="000000" w:themeColor="text1"/>
                      <w:kern w:val="0"/>
                      <w:sz w:val="21"/>
                      <w:szCs w:val="21"/>
                    </w:rPr>
                    <w:t>1</w:t>
                  </w:r>
                </w:p>
              </w:tc>
              <w:tc>
                <w:tcPr>
                  <w:tcW w:w="925" w:type="pct"/>
                  <w:vAlign w:val="center"/>
                </w:tcPr>
                <w:p w14:paraId="7D2FB34D">
                  <w:pPr>
                    <w:adjustRightInd w:val="0"/>
                    <w:snapToGrid w:val="0"/>
                    <w:jc w:val="center"/>
                    <w:rPr>
                      <w:rFonts w:eastAsia="仿宋_GB2312"/>
                      <w:color w:val="000000" w:themeColor="text1"/>
                      <w:sz w:val="21"/>
                      <w:szCs w:val="21"/>
                    </w:rPr>
                  </w:pPr>
                  <w:r>
                    <w:rPr>
                      <w:rFonts w:ascii="Times New Roman" w:eastAsia="仿宋_GB2312"/>
                      <w:color w:val="000000"/>
                      <w:sz w:val="21"/>
                      <w:szCs w:val="21"/>
                    </w:rPr>
                    <w:t>连续式双膜法产线</w:t>
                  </w:r>
                  <w:r>
                    <w:rPr>
                      <w:rFonts w:hint="eastAsia" w:eastAsia="仿宋_GB2312"/>
                      <w:color w:val="000000"/>
                      <w:sz w:val="21"/>
                      <w:szCs w:val="21"/>
                      <w:lang w:eastAsia="zh-CN"/>
                    </w:rPr>
                    <w:t>，</w:t>
                  </w:r>
                  <w:r>
                    <w:rPr>
                      <w:rFonts w:eastAsia="仿宋_GB2312"/>
                      <w:snapToGrid w:val="0"/>
                      <w:kern w:val="0"/>
                      <w:sz w:val="21"/>
                      <w:szCs w:val="21"/>
                    </w:rPr>
                    <w:t>新增</w:t>
                  </w:r>
                </w:p>
              </w:tc>
            </w:tr>
            <w:tr w14:paraId="6CF942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0" w:type="pct"/>
                  <w:vAlign w:val="center"/>
                </w:tcPr>
                <w:p w14:paraId="2DEAA2DD">
                  <w:pPr>
                    <w:numPr>
                      <w:ilvl w:val="0"/>
                      <w:numId w:val="2"/>
                    </w:numPr>
                    <w:adjustRightInd w:val="0"/>
                    <w:snapToGrid w:val="0"/>
                    <w:jc w:val="center"/>
                    <w:rPr>
                      <w:rFonts w:eastAsia="仿宋_GB2312"/>
                      <w:snapToGrid w:val="0"/>
                      <w:kern w:val="0"/>
                      <w:sz w:val="21"/>
                      <w:szCs w:val="21"/>
                    </w:rPr>
                  </w:pPr>
                </w:p>
              </w:tc>
              <w:tc>
                <w:tcPr>
                  <w:tcW w:w="1061" w:type="pct"/>
                  <w:shd w:val="clear" w:color="auto" w:fill="auto"/>
                  <w:vAlign w:val="center"/>
                </w:tcPr>
                <w:p w14:paraId="52CC61A2">
                  <w:pPr>
                    <w:pStyle w:val="69"/>
                    <w:adjustRightInd w:val="0"/>
                    <w:snapToGrid w:val="0"/>
                    <w:jc w:val="center"/>
                    <w:rPr>
                      <w:rFonts w:ascii="Times New Roman" w:hAnsi="Times New Roman" w:eastAsia="仿宋_GB2312" w:cs="Times New Roman"/>
                      <w:color w:val="000000" w:themeColor="text1"/>
                      <w:kern w:val="0"/>
                      <w:sz w:val="21"/>
                      <w:szCs w:val="21"/>
                    </w:rPr>
                  </w:pPr>
                  <w:r>
                    <w:rPr>
                      <w:rFonts w:ascii="Times New Roman" w:hAnsi="Times New Roman" w:eastAsia="仿宋_GB2312" w:cs="Times New Roman"/>
                      <w:color w:val="000000"/>
                      <w:sz w:val="21"/>
                      <w:szCs w:val="21"/>
                    </w:rPr>
                    <w:t>F-1660</w:t>
                  </w:r>
                </w:p>
              </w:tc>
              <w:tc>
                <w:tcPr>
                  <w:tcW w:w="670" w:type="pct"/>
                  <w:shd w:val="clear" w:color="auto" w:fill="auto"/>
                  <w:vAlign w:val="center"/>
                </w:tcPr>
                <w:p w14:paraId="06019421">
                  <w:pPr>
                    <w:pStyle w:val="69"/>
                    <w:adjustRightInd w:val="0"/>
                    <w:snapToGrid w:val="0"/>
                    <w:jc w:val="center"/>
                    <w:rPr>
                      <w:rFonts w:ascii="Times New Roman" w:hAnsi="Times New Roman" w:eastAsia="仿宋_GB2312" w:cs="Times New Roman"/>
                      <w:color w:val="000000" w:themeColor="text1"/>
                      <w:kern w:val="0"/>
                      <w:sz w:val="21"/>
                      <w:szCs w:val="21"/>
                    </w:rPr>
                  </w:pPr>
                  <w:r>
                    <w:rPr>
                      <w:rFonts w:ascii="Times New Roman" w:hAnsi="Times New Roman" w:eastAsia="仿宋_GB2312" w:cs="Times New Roman"/>
                      <w:color w:val="000000"/>
                      <w:sz w:val="21"/>
                      <w:szCs w:val="21"/>
                    </w:rPr>
                    <w:t>罗茨鼓风机</w:t>
                  </w:r>
                </w:p>
              </w:tc>
              <w:tc>
                <w:tcPr>
                  <w:tcW w:w="1271" w:type="pct"/>
                  <w:shd w:val="clear" w:color="auto" w:fill="auto"/>
                  <w:vAlign w:val="center"/>
                </w:tcPr>
                <w:p w14:paraId="5151B9EA">
                  <w:pPr>
                    <w:widowControl/>
                    <w:jc w:val="center"/>
                    <w:textAlignment w:val="center"/>
                    <w:rPr>
                      <w:rFonts w:eastAsia="仿宋_GB2312"/>
                      <w:color w:val="000000" w:themeColor="text1"/>
                      <w:kern w:val="0"/>
                      <w:sz w:val="21"/>
                      <w:szCs w:val="21"/>
                    </w:rPr>
                  </w:pPr>
                  <w:r>
                    <w:rPr>
                      <w:rFonts w:eastAsia="仿宋_GB2312"/>
                      <w:color w:val="000000"/>
                      <w:sz w:val="21"/>
                      <w:szCs w:val="21"/>
                    </w:rPr>
                    <w:t>RRC-80DZ</w:t>
                  </w:r>
                </w:p>
              </w:tc>
              <w:tc>
                <w:tcPr>
                  <w:tcW w:w="740" w:type="pct"/>
                  <w:vAlign w:val="center"/>
                </w:tcPr>
                <w:p w14:paraId="3480D4C0">
                  <w:pPr>
                    <w:pStyle w:val="69"/>
                    <w:adjustRightInd w:val="0"/>
                    <w:snapToGrid w:val="0"/>
                    <w:jc w:val="center"/>
                    <w:rPr>
                      <w:rFonts w:ascii="Times New Roman" w:hAnsi="Times New Roman" w:eastAsia="仿宋_GB2312" w:cs="Times New Roman"/>
                      <w:snapToGrid w:val="0"/>
                      <w:color w:val="000000" w:themeColor="text1"/>
                      <w:kern w:val="0"/>
                      <w:sz w:val="21"/>
                      <w:szCs w:val="21"/>
                    </w:rPr>
                  </w:pPr>
                  <w:r>
                    <w:rPr>
                      <w:rFonts w:ascii="Times New Roman" w:hAnsi="Times New Roman" w:eastAsia="仿宋_GB2312" w:cs="Times New Roman"/>
                      <w:snapToGrid w:val="0"/>
                      <w:color w:val="000000" w:themeColor="text1"/>
                      <w:kern w:val="0"/>
                      <w:sz w:val="21"/>
                      <w:szCs w:val="21"/>
                    </w:rPr>
                    <w:t>1</w:t>
                  </w:r>
                </w:p>
              </w:tc>
              <w:tc>
                <w:tcPr>
                  <w:tcW w:w="925" w:type="pct"/>
                  <w:vAlign w:val="center"/>
                </w:tcPr>
                <w:p w14:paraId="72F196A9">
                  <w:pPr>
                    <w:adjustRightInd w:val="0"/>
                    <w:snapToGrid w:val="0"/>
                    <w:jc w:val="center"/>
                    <w:rPr>
                      <w:rFonts w:eastAsia="仿宋_GB2312"/>
                      <w:color w:val="000000" w:themeColor="text1"/>
                      <w:sz w:val="21"/>
                      <w:szCs w:val="21"/>
                    </w:rPr>
                  </w:pPr>
                  <w:r>
                    <w:rPr>
                      <w:rFonts w:ascii="Times New Roman" w:eastAsia="仿宋_GB2312"/>
                      <w:color w:val="000000"/>
                      <w:sz w:val="21"/>
                      <w:szCs w:val="21"/>
                    </w:rPr>
                    <w:t>连续式双膜法产线</w:t>
                  </w:r>
                  <w:r>
                    <w:rPr>
                      <w:rFonts w:hint="eastAsia" w:eastAsia="仿宋_GB2312"/>
                      <w:color w:val="000000"/>
                      <w:sz w:val="21"/>
                      <w:szCs w:val="21"/>
                      <w:lang w:eastAsia="zh-CN"/>
                    </w:rPr>
                    <w:t>，</w:t>
                  </w:r>
                  <w:r>
                    <w:rPr>
                      <w:rFonts w:eastAsia="仿宋_GB2312"/>
                      <w:snapToGrid w:val="0"/>
                      <w:kern w:val="0"/>
                      <w:sz w:val="21"/>
                      <w:szCs w:val="21"/>
                    </w:rPr>
                    <w:t>新增</w:t>
                  </w:r>
                </w:p>
              </w:tc>
            </w:tr>
            <w:tr w14:paraId="5B820E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0" w:type="pct"/>
                  <w:vAlign w:val="center"/>
                </w:tcPr>
                <w:p w14:paraId="5A53E2B4">
                  <w:pPr>
                    <w:numPr>
                      <w:ilvl w:val="0"/>
                      <w:numId w:val="2"/>
                    </w:numPr>
                    <w:adjustRightInd w:val="0"/>
                    <w:snapToGrid w:val="0"/>
                    <w:jc w:val="center"/>
                    <w:rPr>
                      <w:rFonts w:eastAsia="仿宋_GB2312"/>
                      <w:snapToGrid w:val="0"/>
                      <w:kern w:val="0"/>
                      <w:sz w:val="21"/>
                      <w:szCs w:val="21"/>
                    </w:rPr>
                  </w:pPr>
                </w:p>
              </w:tc>
              <w:tc>
                <w:tcPr>
                  <w:tcW w:w="1061" w:type="pct"/>
                  <w:shd w:val="clear" w:color="auto" w:fill="auto"/>
                  <w:vAlign w:val="center"/>
                </w:tcPr>
                <w:p w14:paraId="5700B7D6">
                  <w:pPr>
                    <w:pStyle w:val="69"/>
                    <w:adjustRightInd w:val="0"/>
                    <w:snapToGrid w:val="0"/>
                    <w:jc w:val="center"/>
                    <w:rPr>
                      <w:rFonts w:ascii="Times New Roman" w:hAnsi="Times New Roman" w:eastAsia="仿宋_GB2312" w:cs="Times New Roman"/>
                      <w:color w:val="000000" w:themeColor="text1"/>
                      <w:kern w:val="0"/>
                      <w:sz w:val="21"/>
                      <w:szCs w:val="21"/>
                    </w:rPr>
                  </w:pPr>
                  <w:r>
                    <w:rPr>
                      <w:rFonts w:ascii="Times New Roman" w:hAnsi="Times New Roman" w:eastAsia="仿宋_GB2312" w:cs="Times New Roman"/>
                      <w:color w:val="000000"/>
                      <w:sz w:val="21"/>
                      <w:szCs w:val="21"/>
                    </w:rPr>
                    <w:t>X-1610</w:t>
                  </w:r>
                </w:p>
              </w:tc>
              <w:tc>
                <w:tcPr>
                  <w:tcW w:w="670" w:type="pct"/>
                  <w:shd w:val="clear" w:color="auto" w:fill="auto"/>
                  <w:vAlign w:val="center"/>
                </w:tcPr>
                <w:p w14:paraId="51364BC2">
                  <w:pPr>
                    <w:pStyle w:val="69"/>
                    <w:adjustRightInd w:val="0"/>
                    <w:snapToGrid w:val="0"/>
                    <w:jc w:val="center"/>
                    <w:rPr>
                      <w:rFonts w:ascii="Times New Roman" w:hAnsi="Times New Roman" w:eastAsia="仿宋_GB2312" w:cs="Times New Roman"/>
                      <w:color w:val="000000" w:themeColor="text1"/>
                      <w:kern w:val="0"/>
                      <w:sz w:val="21"/>
                      <w:szCs w:val="21"/>
                    </w:rPr>
                  </w:pPr>
                  <w:r>
                    <w:rPr>
                      <w:rFonts w:ascii="Times New Roman" w:hAnsi="Times New Roman" w:eastAsia="仿宋_GB2312" w:cs="Times New Roman"/>
                      <w:color w:val="000000"/>
                      <w:sz w:val="21"/>
                      <w:szCs w:val="21"/>
                    </w:rPr>
                    <w:t>平板膜管道混合器</w:t>
                  </w:r>
                </w:p>
              </w:tc>
              <w:tc>
                <w:tcPr>
                  <w:tcW w:w="1271" w:type="pct"/>
                  <w:shd w:val="clear" w:color="auto" w:fill="auto"/>
                  <w:vAlign w:val="center"/>
                </w:tcPr>
                <w:p w14:paraId="0438321C">
                  <w:pPr>
                    <w:widowControl/>
                    <w:jc w:val="center"/>
                    <w:textAlignment w:val="center"/>
                    <w:rPr>
                      <w:rFonts w:eastAsia="仿宋_GB2312"/>
                      <w:color w:val="000000" w:themeColor="text1"/>
                      <w:kern w:val="0"/>
                      <w:sz w:val="21"/>
                      <w:szCs w:val="21"/>
                    </w:rPr>
                  </w:pPr>
                  <w:r>
                    <w:rPr>
                      <w:rFonts w:eastAsia="仿宋_GB2312"/>
                      <w:color w:val="000000"/>
                      <w:sz w:val="21"/>
                      <w:szCs w:val="21"/>
                    </w:rPr>
                    <w:t>/</w:t>
                  </w:r>
                </w:p>
              </w:tc>
              <w:tc>
                <w:tcPr>
                  <w:tcW w:w="740" w:type="pct"/>
                  <w:vAlign w:val="center"/>
                </w:tcPr>
                <w:p w14:paraId="568E7109">
                  <w:pPr>
                    <w:pStyle w:val="69"/>
                    <w:adjustRightInd w:val="0"/>
                    <w:snapToGrid w:val="0"/>
                    <w:jc w:val="center"/>
                    <w:rPr>
                      <w:rFonts w:ascii="Times New Roman" w:hAnsi="Times New Roman" w:eastAsia="仿宋_GB2312" w:cs="Times New Roman"/>
                      <w:snapToGrid w:val="0"/>
                      <w:color w:val="000000" w:themeColor="text1"/>
                      <w:kern w:val="0"/>
                      <w:sz w:val="21"/>
                      <w:szCs w:val="21"/>
                    </w:rPr>
                  </w:pPr>
                  <w:r>
                    <w:rPr>
                      <w:rFonts w:ascii="Times New Roman" w:hAnsi="Times New Roman" w:eastAsia="仿宋_GB2312" w:cs="Times New Roman"/>
                      <w:snapToGrid w:val="0"/>
                      <w:color w:val="000000" w:themeColor="text1"/>
                      <w:kern w:val="0"/>
                      <w:sz w:val="21"/>
                      <w:szCs w:val="21"/>
                    </w:rPr>
                    <w:t>1</w:t>
                  </w:r>
                </w:p>
              </w:tc>
              <w:tc>
                <w:tcPr>
                  <w:tcW w:w="925" w:type="pct"/>
                  <w:vAlign w:val="center"/>
                </w:tcPr>
                <w:p w14:paraId="6E779779">
                  <w:pPr>
                    <w:adjustRightInd w:val="0"/>
                    <w:snapToGrid w:val="0"/>
                    <w:jc w:val="center"/>
                    <w:rPr>
                      <w:rFonts w:eastAsia="仿宋_GB2312"/>
                      <w:color w:val="000000" w:themeColor="text1"/>
                      <w:sz w:val="21"/>
                      <w:szCs w:val="21"/>
                    </w:rPr>
                  </w:pPr>
                  <w:r>
                    <w:rPr>
                      <w:rFonts w:ascii="Times New Roman" w:eastAsia="仿宋_GB2312"/>
                      <w:color w:val="000000"/>
                      <w:sz w:val="21"/>
                      <w:szCs w:val="21"/>
                    </w:rPr>
                    <w:t>连续式双膜法产线</w:t>
                  </w:r>
                  <w:r>
                    <w:rPr>
                      <w:rFonts w:hint="eastAsia" w:eastAsia="仿宋_GB2312"/>
                      <w:color w:val="000000"/>
                      <w:sz w:val="21"/>
                      <w:szCs w:val="21"/>
                      <w:lang w:eastAsia="zh-CN"/>
                    </w:rPr>
                    <w:t>，</w:t>
                  </w:r>
                  <w:r>
                    <w:rPr>
                      <w:rFonts w:eastAsia="仿宋_GB2312"/>
                      <w:snapToGrid w:val="0"/>
                      <w:kern w:val="0"/>
                      <w:sz w:val="21"/>
                      <w:szCs w:val="21"/>
                    </w:rPr>
                    <w:t>新增</w:t>
                  </w:r>
                </w:p>
              </w:tc>
            </w:tr>
            <w:tr w14:paraId="40C46B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0" w:type="pct"/>
                  <w:vAlign w:val="center"/>
                </w:tcPr>
                <w:p w14:paraId="0C69860C">
                  <w:pPr>
                    <w:numPr>
                      <w:ilvl w:val="0"/>
                      <w:numId w:val="2"/>
                    </w:numPr>
                    <w:adjustRightInd w:val="0"/>
                    <w:snapToGrid w:val="0"/>
                    <w:jc w:val="center"/>
                    <w:rPr>
                      <w:rFonts w:eastAsia="仿宋_GB2312"/>
                      <w:snapToGrid w:val="0"/>
                      <w:kern w:val="0"/>
                      <w:sz w:val="21"/>
                      <w:szCs w:val="21"/>
                    </w:rPr>
                  </w:pPr>
                </w:p>
              </w:tc>
              <w:tc>
                <w:tcPr>
                  <w:tcW w:w="1061" w:type="pct"/>
                  <w:shd w:val="clear" w:color="auto" w:fill="auto"/>
                  <w:vAlign w:val="center"/>
                </w:tcPr>
                <w:p w14:paraId="19A5982D">
                  <w:pPr>
                    <w:pStyle w:val="69"/>
                    <w:adjustRightInd w:val="0"/>
                    <w:snapToGrid w:val="0"/>
                    <w:jc w:val="center"/>
                    <w:rPr>
                      <w:rFonts w:ascii="Times New Roman" w:hAnsi="Times New Roman" w:eastAsia="仿宋_GB2312" w:cs="Times New Roman"/>
                      <w:color w:val="000000" w:themeColor="text1"/>
                      <w:kern w:val="0"/>
                      <w:sz w:val="21"/>
                      <w:szCs w:val="21"/>
                    </w:rPr>
                  </w:pPr>
                  <w:r>
                    <w:rPr>
                      <w:rFonts w:ascii="Times New Roman" w:hAnsi="Times New Roman" w:eastAsia="仿宋_GB2312" w:cs="Times New Roman"/>
                      <w:color w:val="000000"/>
                      <w:sz w:val="21"/>
                      <w:szCs w:val="21"/>
                    </w:rPr>
                    <w:t>X-1710</w:t>
                  </w:r>
                </w:p>
              </w:tc>
              <w:tc>
                <w:tcPr>
                  <w:tcW w:w="670" w:type="pct"/>
                  <w:shd w:val="clear" w:color="auto" w:fill="auto"/>
                  <w:vAlign w:val="center"/>
                </w:tcPr>
                <w:p w14:paraId="3F623D41">
                  <w:pPr>
                    <w:pStyle w:val="69"/>
                    <w:adjustRightInd w:val="0"/>
                    <w:snapToGrid w:val="0"/>
                    <w:jc w:val="center"/>
                    <w:rPr>
                      <w:rFonts w:ascii="Times New Roman" w:hAnsi="Times New Roman" w:eastAsia="仿宋_GB2312" w:cs="Times New Roman"/>
                      <w:color w:val="000000" w:themeColor="text1"/>
                      <w:kern w:val="0"/>
                      <w:sz w:val="21"/>
                      <w:szCs w:val="21"/>
                    </w:rPr>
                  </w:pPr>
                  <w:r>
                    <w:rPr>
                      <w:rFonts w:ascii="Times New Roman" w:hAnsi="Times New Roman" w:eastAsia="仿宋_GB2312" w:cs="Times New Roman"/>
                      <w:color w:val="000000"/>
                      <w:sz w:val="21"/>
                      <w:szCs w:val="21"/>
                    </w:rPr>
                    <w:t>陶瓷膜管道混合器</w:t>
                  </w:r>
                </w:p>
              </w:tc>
              <w:tc>
                <w:tcPr>
                  <w:tcW w:w="1271" w:type="pct"/>
                  <w:shd w:val="clear" w:color="auto" w:fill="auto"/>
                  <w:vAlign w:val="center"/>
                </w:tcPr>
                <w:p w14:paraId="17FF6983">
                  <w:pPr>
                    <w:widowControl/>
                    <w:jc w:val="center"/>
                    <w:textAlignment w:val="center"/>
                    <w:rPr>
                      <w:rFonts w:eastAsia="仿宋_GB2312"/>
                      <w:color w:val="000000" w:themeColor="text1"/>
                      <w:kern w:val="0"/>
                      <w:sz w:val="21"/>
                      <w:szCs w:val="21"/>
                    </w:rPr>
                  </w:pPr>
                  <w:r>
                    <w:rPr>
                      <w:rFonts w:eastAsia="仿宋_GB2312"/>
                      <w:color w:val="000000"/>
                      <w:sz w:val="21"/>
                      <w:szCs w:val="21"/>
                    </w:rPr>
                    <w:t>卧式、DN450、Ti</w:t>
                  </w:r>
                </w:p>
              </w:tc>
              <w:tc>
                <w:tcPr>
                  <w:tcW w:w="740" w:type="pct"/>
                  <w:vAlign w:val="center"/>
                </w:tcPr>
                <w:p w14:paraId="0BA4AF5D">
                  <w:pPr>
                    <w:pStyle w:val="69"/>
                    <w:adjustRightInd w:val="0"/>
                    <w:snapToGrid w:val="0"/>
                    <w:jc w:val="center"/>
                    <w:rPr>
                      <w:rFonts w:ascii="Times New Roman" w:hAnsi="Times New Roman" w:eastAsia="仿宋_GB2312" w:cs="Times New Roman"/>
                      <w:snapToGrid w:val="0"/>
                      <w:color w:val="000000" w:themeColor="text1"/>
                      <w:kern w:val="0"/>
                      <w:sz w:val="21"/>
                      <w:szCs w:val="21"/>
                    </w:rPr>
                  </w:pPr>
                  <w:r>
                    <w:rPr>
                      <w:rFonts w:ascii="Times New Roman" w:hAnsi="Times New Roman" w:eastAsia="仿宋_GB2312" w:cs="Times New Roman"/>
                      <w:snapToGrid w:val="0"/>
                      <w:color w:val="000000" w:themeColor="text1"/>
                      <w:kern w:val="0"/>
                      <w:sz w:val="21"/>
                      <w:szCs w:val="21"/>
                    </w:rPr>
                    <w:t>1</w:t>
                  </w:r>
                </w:p>
              </w:tc>
              <w:tc>
                <w:tcPr>
                  <w:tcW w:w="925" w:type="pct"/>
                  <w:vAlign w:val="center"/>
                </w:tcPr>
                <w:p w14:paraId="1CB97E84">
                  <w:pPr>
                    <w:adjustRightInd w:val="0"/>
                    <w:snapToGrid w:val="0"/>
                    <w:jc w:val="center"/>
                    <w:rPr>
                      <w:rFonts w:eastAsia="仿宋_GB2312"/>
                      <w:color w:val="000000" w:themeColor="text1"/>
                      <w:sz w:val="21"/>
                      <w:szCs w:val="21"/>
                    </w:rPr>
                  </w:pPr>
                  <w:r>
                    <w:rPr>
                      <w:rFonts w:ascii="Times New Roman" w:eastAsia="仿宋_GB2312"/>
                      <w:color w:val="000000"/>
                      <w:sz w:val="21"/>
                      <w:szCs w:val="21"/>
                    </w:rPr>
                    <w:t>连续式双膜法产线</w:t>
                  </w:r>
                  <w:r>
                    <w:rPr>
                      <w:rFonts w:hint="eastAsia" w:eastAsia="仿宋_GB2312"/>
                      <w:color w:val="000000"/>
                      <w:sz w:val="21"/>
                      <w:szCs w:val="21"/>
                      <w:lang w:eastAsia="zh-CN"/>
                    </w:rPr>
                    <w:t>，</w:t>
                  </w:r>
                  <w:r>
                    <w:rPr>
                      <w:rFonts w:eastAsia="仿宋_GB2312"/>
                      <w:snapToGrid w:val="0"/>
                      <w:kern w:val="0"/>
                      <w:sz w:val="21"/>
                      <w:szCs w:val="21"/>
                    </w:rPr>
                    <w:t>新增</w:t>
                  </w:r>
                </w:p>
              </w:tc>
            </w:tr>
            <w:tr w14:paraId="6804B9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0" w:type="pct"/>
                  <w:vAlign w:val="center"/>
                </w:tcPr>
                <w:p w14:paraId="3BACBF9C">
                  <w:pPr>
                    <w:numPr>
                      <w:ilvl w:val="0"/>
                      <w:numId w:val="2"/>
                    </w:numPr>
                    <w:adjustRightInd w:val="0"/>
                    <w:snapToGrid w:val="0"/>
                    <w:jc w:val="center"/>
                    <w:rPr>
                      <w:rFonts w:eastAsia="仿宋_GB2312"/>
                      <w:snapToGrid w:val="0"/>
                      <w:kern w:val="0"/>
                      <w:sz w:val="21"/>
                      <w:szCs w:val="21"/>
                    </w:rPr>
                  </w:pPr>
                </w:p>
              </w:tc>
              <w:tc>
                <w:tcPr>
                  <w:tcW w:w="1061" w:type="pct"/>
                  <w:shd w:val="clear" w:color="auto" w:fill="auto"/>
                  <w:vAlign w:val="center"/>
                </w:tcPr>
                <w:p w14:paraId="5C60E4FC">
                  <w:pPr>
                    <w:pStyle w:val="69"/>
                    <w:adjustRightInd w:val="0"/>
                    <w:snapToGrid w:val="0"/>
                    <w:jc w:val="center"/>
                    <w:rPr>
                      <w:rFonts w:ascii="Times New Roman" w:hAnsi="Times New Roman" w:eastAsia="仿宋_GB2312" w:cs="Times New Roman"/>
                      <w:color w:val="000000" w:themeColor="text1"/>
                      <w:kern w:val="0"/>
                      <w:sz w:val="21"/>
                      <w:szCs w:val="21"/>
                    </w:rPr>
                  </w:pPr>
                  <w:r>
                    <w:rPr>
                      <w:rFonts w:ascii="Times New Roman" w:hAnsi="Times New Roman" w:eastAsia="仿宋_GB2312" w:cs="Times New Roman"/>
                      <w:color w:val="000000"/>
                      <w:sz w:val="21"/>
                      <w:szCs w:val="21"/>
                    </w:rPr>
                    <w:t>X-1810A</w:t>
                  </w:r>
                </w:p>
              </w:tc>
              <w:tc>
                <w:tcPr>
                  <w:tcW w:w="670" w:type="pct"/>
                  <w:shd w:val="clear" w:color="auto" w:fill="auto"/>
                  <w:vAlign w:val="center"/>
                </w:tcPr>
                <w:p w14:paraId="3D2B2E4C">
                  <w:pPr>
                    <w:pStyle w:val="69"/>
                    <w:adjustRightInd w:val="0"/>
                    <w:snapToGrid w:val="0"/>
                    <w:jc w:val="center"/>
                    <w:rPr>
                      <w:rFonts w:ascii="Times New Roman" w:hAnsi="Times New Roman" w:eastAsia="仿宋_GB2312" w:cs="Times New Roman"/>
                      <w:color w:val="000000" w:themeColor="text1"/>
                      <w:kern w:val="0"/>
                      <w:sz w:val="21"/>
                      <w:szCs w:val="21"/>
                    </w:rPr>
                  </w:pPr>
                  <w:r>
                    <w:rPr>
                      <w:rFonts w:ascii="Times New Roman" w:hAnsi="Times New Roman" w:eastAsia="仿宋_GB2312" w:cs="Times New Roman"/>
                      <w:color w:val="000000"/>
                      <w:sz w:val="21"/>
                      <w:szCs w:val="21"/>
                    </w:rPr>
                    <w:t>纳滤膜</w:t>
                  </w:r>
                  <w:r>
                    <w:rPr>
                      <w:rFonts w:hint="eastAsia" w:ascii="Times New Roman" w:hAnsi="Times New Roman" w:eastAsia="仿宋_GB2312" w:cs="Times New Roman"/>
                      <w:color w:val="000000"/>
                      <w:sz w:val="21"/>
                      <w:szCs w:val="21"/>
                      <w:lang w:eastAsia="zh-CN"/>
                    </w:rPr>
                    <w:t>（</w:t>
                  </w:r>
                  <w:r>
                    <w:rPr>
                      <w:rFonts w:ascii="Times New Roman" w:hAnsi="Times New Roman" w:eastAsia="仿宋_GB2312" w:cs="Times New Roman"/>
                      <w:color w:val="000000"/>
                      <w:sz w:val="21"/>
                      <w:szCs w:val="21"/>
                    </w:rPr>
                    <w:t>盐酸</w:t>
                  </w:r>
                  <w:r>
                    <w:rPr>
                      <w:rFonts w:hint="eastAsia" w:ascii="Times New Roman" w:hAnsi="Times New Roman" w:eastAsia="仿宋_GB2312" w:cs="Times New Roman"/>
                      <w:color w:val="000000"/>
                      <w:sz w:val="21"/>
                      <w:szCs w:val="21"/>
                      <w:lang w:eastAsia="zh-CN"/>
                    </w:rPr>
                    <w:t>）</w:t>
                  </w:r>
                  <w:r>
                    <w:rPr>
                      <w:rFonts w:ascii="Times New Roman" w:hAnsi="Times New Roman" w:eastAsia="仿宋_GB2312" w:cs="Times New Roman"/>
                      <w:color w:val="000000"/>
                      <w:sz w:val="21"/>
                      <w:szCs w:val="21"/>
                    </w:rPr>
                    <w:t>混合器</w:t>
                  </w:r>
                </w:p>
              </w:tc>
              <w:tc>
                <w:tcPr>
                  <w:tcW w:w="1271" w:type="pct"/>
                  <w:shd w:val="clear" w:color="auto" w:fill="auto"/>
                  <w:vAlign w:val="center"/>
                </w:tcPr>
                <w:p w14:paraId="02AAD0F7">
                  <w:pPr>
                    <w:widowControl/>
                    <w:jc w:val="center"/>
                    <w:textAlignment w:val="center"/>
                    <w:rPr>
                      <w:rFonts w:eastAsia="仿宋_GB2312"/>
                      <w:color w:val="000000" w:themeColor="text1"/>
                      <w:kern w:val="0"/>
                      <w:sz w:val="21"/>
                      <w:szCs w:val="21"/>
                    </w:rPr>
                  </w:pPr>
                  <w:r>
                    <w:rPr>
                      <w:rFonts w:eastAsia="仿宋_GB2312"/>
                      <w:color w:val="000000" w:themeColor="text1"/>
                      <w:kern w:val="0"/>
                      <w:sz w:val="21"/>
                      <w:szCs w:val="21"/>
                    </w:rPr>
                    <w:t>/</w:t>
                  </w:r>
                </w:p>
              </w:tc>
              <w:tc>
                <w:tcPr>
                  <w:tcW w:w="740" w:type="pct"/>
                  <w:vAlign w:val="center"/>
                </w:tcPr>
                <w:p w14:paraId="48E0FA20">
                  <w:pPr>
                    <w:pStyle w:val="69"/>
                    <w:adjustRightInd w:val="0"/>
                    <w:snapToGrid w:val="0"/>
                    <w:jc w:val="center"/>
                    <w:rPr>
                      <w:rFonts w:ascii="Times New Roman" w:hAnsi="Times New Roman" w:eastAsia="仿宋_GB2312" w:cs="Times New Roman"/>
                      <w:snapToGrid w:val="0"/>
                      <w:color w:val="000000" w:themeColor="text1"/>
                      <w:kern w:val="0"/>
                      <w:sz w:val="21"/>
                      <w:szCs w:val="21"/>
                    </w:rPr>
                  </w:pPr>
                  <w:r>
                    <w:rPr>
                      <w:rFonts w:ascii="Times New Roman" w:hAnsi="Times New Roman" w:eastAsia="仿宋_GB2312" w:cs="Times New Roman"/>
                      <w:snapToGrid w:val="0"/>
                      <w:color w:val="000000" w:themeColor="text1"/>
                      <w:kern w:val="0"/>
                      <w:sz w:val="21"/>
                      <w:szCs w:val="21"/>
                    </w:rPr>
                    <w:t>1</w:t>
                  </w:r>
                </w:p>
              </w:tc>
              <w:tc>
                <w:tcPr>
                  <w:tcW w:w="925" w:type="pct"/>
                  <w:vAlign w:val="center"/>
                </w:tcPr>
                <w:p w14:paraId="5B9BBA54">
                  <w:pPr>
                    <w:adjustRightInd w:val="0"/>
                    <w:snapToGrid w:val="0"/>
                    <w:jc w:val="center"/>
                    <w:rPr>
                      <w:rFonts w:eastAsia="仿宋_GB2312"/>
                      <w:color w:val="000000" w:themeColor="text1"/>
                      <w:sz w:val="21"/>
                      <w:szCs w:val="21"/>
                    </w:rPr>
                  </w:pPr>
                  <w:r>
                    <w:rPr>
                      <w:rFonts w:ascii="Times New Roman" w:eastAsia="仿宋_GB2312"/>
                      <w:color w:val="000000"/>
                      <w:sz w:val="21"/>
                      <w:szCs w:val="21"/>
                    </w:rPr>
                    <w:t>连续式双膜法产线</w:t>
                  </w:r>
                  <w:r>
                    <w:rPr>
                      <w:rFonts w:hint="eastAsia" w:eastAsia="仿宋_GB2312"/>
                      <w:color w:val="000000"/>
                      <w:sz w:val="21"/>
                      <w:szCs w:val="21"/>
                      <w:lang w:eastAsia="zh-CN"/>
                    </w:rPr>
                    <w:t>，</w:t>
                  </w:r>
                  <w:r>
                    <w:rPr>
                      <w:rFonts w:eastAsia="仿宋_GB2312"/>
                      <w:snapToGrid w:val="0"/>
                      <w:kern w:val="0"/>
                      <w:sz w:val="21"/>
                      <w:szCs w:val="21"/>
                    </w:rPr>
                    <w:t>新增</w:t>
                  </w:r>
                </w:p>
              </w:tc>
            </w:tr>
            <w:tr w14:paraId="5652C4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0" w:type="pct"/>
                  <w:vAlign w:val="center"/>
                </w:tcPr>
                <w:p w14:paraId="4B3CE023">
                  <w:pPr>
                    <w:numPr>
                      <w:ilvl w:val="0"/>
                      <w:numId w:val="2"/>
                    </w:numPr>
                    <w:adjustRightInd w:val="0"/>
                    <w:snapToGrid w:val="0"/>
                    <w:jc w:val="center"/>
                    <w:rPr>
                      <w:rFonts w:eastAsia="仿宋_GB2312"/>
                      <w:snapToGrid w:val="0"/>
                      <w:kern w:val="0"/>
                      <w:sz w:val="21"/>
                      <w:szCs w:val="21"/>
                    </w:rPr>
                  </w:pPr>
                </w:p>
              </w:tc>
              <w:tc>
                <w:tcPr>
                  <w:tcW w:w="1061" w:type="pct"/>
                  <w:shd w:val="clear" w:color="auto" w:fill="auto"/>
                  <w:vAlign w:val="center"/>
                </w:tcPr>
                <w:p w14:paraId="47DD4C3B">
                  <w:pPr>
                    <w:pStyle w:val="69"/>
                    <w:adjustRightInd w:val="0"/>
                    <w:snapToGrid w:val="0"/>
                    <w:jc w:val="center"/>
                    <w:rPr>
                      <w:rFonts w:ascii="Times New Roman" w:hAnsi="Times New Roman" w:eastAsia="仿宋_GB2312" w:cs="Times New Roman"/>
                      <w:color w:val="000000" w:themeColor="text1"/>
                      <w:kern w:val="0"/>
                      <w:sz w:val="21"/>
                      <w:szCs w:val="21"/>
                    </w:rPr>
                  </w:pPr>
                  <w:r>
                    <w:rPr>
                      <w:rFonts w:ascii="Times New Roman" w:hAnsi="Times New Roman" w:eastAsia="仿宋_GB2312" w:cs="Times New Roman"/>
                      <w:color w:val="000000"/>
                      <w:sz w:val="21"/>
                      <w:szCs w:val="21"/>
                    </w:rPr>
                    <w:t>X-1810B</w:t>
                  </w:r>
                </w:p>
              </w:tc>
              <w:tc>
                <w:tcPr>
                  <w:tcW w:w="670" w:type="pct"/>
                  <w:shd w:val="clear" w:color="auto" w:fill="auto"/>
                  <w:vAlign w:val="center"/>
                </w:tcPr>
                <w:p w14:paraId="35B5E67C">
                  <w:pPr>
                    <w:pStyle w:val="69"/>
                    <w:adjustRightInd w:val="0"/>
                    <w:snapToGrid w:val="0"/>
                    <w:jc w:val="center"/>
                    <w:rPr>
                      <w:rFonts w:ascii="Times New Roman" w:hAnsi="Times New Roman" w:eastAsia="仿宋_GB2312" w:cs="Times New Roman"/>
                      <w:color w:val="000000" w:themeColor="text1"/>
                      <w:kern w:val="0"/>
                      <w:sz w:val="21"/>
                      <w:szCs w:val="21"/>
                    </w:rPr>
                  </w:pPr>
                  <w:r>
                    <w:rPr>
                      <w:rFonts w:ascii="Times New Roman" w:hAnsi="Times New Roman" w:eastAsia="仿宋_GB2312" w:cs="Times New Roman"/>
                      <w:color w:val="000000"/>
                      <w:sz w:val="21"/>
                      <w:szCs w:val="21"/>
                    </w:rPr>
                    <w:t>纳滤膜</w:t>
                  </w:r>
                  <w:r>
                    <w:rPr>
                      <w:rFonts w:hint="eastAsia" w:ascii="Times New Roman" w:hAnsi="Times New Roman" w:eastAsia="仿宋_GB2312" w:cs="Times New Roman"/>
                      <w:color w:val="000000"/>
                      <w:sz w:val="21"/>
                      <w:szCs w:val="21"/>
                      <w:lang w:eastAsia="zh-CN"/>
                    </w:rPr>
                    <w:t>（</w:t>
                  </w:r>
                  <w:r>
                    <w:rPr>
                      <w:rFonts w:ascii="Times New Roman" w:hAnsi="Times New Roman" w:eastAsia="仿宋_GB2312" w:cs="Times New Roman"/>
                      <w:color w:val="000000"/>
                      <w:sz w:val="21"/>
                      <w:szCs w:val="21"/>
                    </w:rPr>
                    <w:t>亚纳</w:t>
                  </w:r>
                  <w:r>
                    <w:rPr>
                      <w:rFonts w:hint="eastAsia" w:ascii="Times New Roman" w:hAnsi="Times New Roman" w:eastAsia="仿宋_GB2312" w:cs="Times New Roman"/>
                      <w:color w:val="000000"/>
                      <w:sz w:val="21"/>
                      <w:szCs w:val="21"/>
                      <w:lang w:eastAsia="zh-CN"/>
                    </w:rPr>
                    <w:t>）</w:t>
                  </w:r>
                  <w:r>
                    <w:rPr>
                      <w:rFonts w:ascii="Times New Roman" w:hAnsi="Times New Roman" w:eastAsia="仿宋_GB2312" w:cs="Times New Roman"/>
                      <w:color w:val="000000"/>
                      <w:sz w:val="21"/>
                      <w:szCs w:val="21"/>
                    </w:rPr>
                    <w:t>混合器</w:t>
                  </w:r>
                </w:p>
              </w:tc>
              <w:tc>
                <w:tcPr>
                  <w:tcW w:w="1271" w:type="pct"/>
                  <w:shd w:val="clear" w:color="auto" w:fill="auto"/>
                  <w:vAlign w:val="center"/>
                </w:tcPr>
                <w:p w14:paraId="1136361D">
                  <w:pPr>
                    <w:widowControl/>
                    <w:jc w:val="center"/>
                    <w:textAlignment w:val="center"/>
                    <w:rPr>
                      <w:rFonts w:eastAsia="仿宋_GB2312"/>
                      <w:color w:val="000000" w:themeColor="text1"/>
                      <w:kern w:val="0"/>
                      <w:sz w:val="21"/>
                      <w:szCs w:val="21"/>
                    </w:rPr>
                  </w:pPr>
                  <w:r>
                    <w:rPr>
                      <w:rFonts w:eastAsia="仿宋_GB2312"/>
                      <w:color w:val="000000" w:themeColor="text1"/>
                      <w:kern w:val="0"/>
                      <w:sz w:val="21"/>
                      <w:szCs w:val="21"/>
                    </w:rPr>
                    <w:t>/</w:t>
                  </w:r>
                </w:p>
              </w:tc>
              <w:tc>
                <w:tcPr>
                  <w:tcW w:w="740" w:type="pct"/>
                  <w:vAlign w:val="center"/>
                </w:tcPr>
                <w:p w14:paraId="0EF1920A">
                  <w:pPr>
                    <w:pStyle w:val="69"/>
                    <w:adjustRightInd w:val="0"/>
                    <w:snapToGrid w:val="0"/>
                    <w:jc w:val="center"/>
                    <w:rPr>
                      <w:rFonts w:ascii="Times New Roman" w:hAnsi="Times New Roman" w:eastAsia="仿宋_GB2312" w:cs="Times New Roman"/>
                      <w:snapToGrid w:val="0"/>
                      <w:color w:val="000000" w:themeColor="text1"/>
                      <w:kern w:val="0"/>
                      <w:sz w:val="21"/>
                      <w:szCs w:val="21"/>
                    </w:rPr>
                  </w:pPr>
                  <w:r>
                    <w:rPr>
                      <w:rFonts w:ascii="Times New Roman" w:hAnsi="Times New Roman" w:eastAsia="仿宋_GB2312" w:cs="Times New Roman"/>
                      <w:snapToGrid w:val="0"/>
                      <w:color w:val="000000" w:themeColor="text1"/>
                      <w:kern w:val="0"/>
                      <w:sz w:val="21"/>
                      <w:szCs w:val="21"/>
                    </w:rPr>
                    <w:t>1</w:t>
                  </w:r>
                </w:p>
              </w:tc>
              <w:tc>
                <w:tcPr>
                  <w:tcW w:w="925" w:type="pct"/>
                  <w:vAlign w:val="center"/>
                </w:tcPr>
                <w:p w14:paraId="2041C16B">
                  <w:pPr>
                    <w:adjustRightInd w:val="0"/>
                    <w:snapToGrid w:val="0"/>
                    <w:jc w:val="center"/>
                    <w:rPr>
                      <w:rFonts w:eastAsia="仿宋_GB2312"/>
                      <w:color w:val="000000" w:themeColor="text1"/>
                      <w:sz w:val="21"/>
                      <w:szCs w:val="21"/>
                    </w:rPr>
                  </w:pPr>
                  <w:r>
                    <w:rPr>
                      <w:rFonts w:ascii="Times New Roman" w:eastAsia="仿宋_GB2312"/>
                      <w:color w:val="000000"/>
                      <w:sz w:val="21"/>
                      <w:szCs w:val="21"/>
                    </w:rPr>
                    <w:t>连续式双膜法产线</w:t>
                  </w:r>
                  <w:r>
                    <w:rPr>
                      <w:rFonts w:hint="eastAsia" w:eastAsia="仿宋_GB2312"/>
                      <w:color w:val="000000"/>
                      <w:sz w:val="21"/>
                      <w:szCs w:val="21"/>
                      <w:lang w:eastAsia="zh-CN"/>
                    </w:rPr>
                    <w:t>，</w:t>
                  </w:r>
                  <w:r>
                    <w:rPr>
                      <w:rFonts w:eastAsia="仿宋_GB2312"/>
                      <w:snapToGrid w:val="0"/>
                      <w:kern w:val="0"/>
                      <w:sz w:val="21"/>
                      <w:szCs w:val="21"/>
                    </w:rPr>
                    <w:t>新增</w:t>
                  </w:r>
                </w:p>
              </w:tc>
            </w:tr>
            <w:tr w14:paraId="16D9D6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0" w:type="pct"/>
                  <w:vAlign w:val="center"/>
                </w:tcPr>
                <w:p w14:paraId="74FD551E">
                  <w:pPr>
                    <w:numPr>
                      <w:ilvl w:val="0"/>
                      <w:numId w:val="2"/>
                    </w:numPr>
                    <w:adjustRightInd w:val="0"/>
                    <w:snapToGrid w:val="0"/>
                    <w:jc w:val="center"/>
                    <w:rPr>
                      <w:rFonts w:eastAsia="仿宋_GB2312"/>
                      <w:snapToGrid w:val="0"/>
                      <w:kern w:val="0"/>
                      <w:sz w:val="21"/>
                      <w:szCs w:val="21"/>
                    </w:rPr>
                  </w:pPr>
                </w:p>
              </w:tc>
              <w:tc>
                <w:tcPr>
                  <w:tcW w:w="1061" w:type="pct"/>
                  <w:shd w:val="clear" w:color="auto" w:fill="auto"/>
                  <w:vAlign w:val="center"/>
                </w:tcPr>
                <w:p w14:paraId="122CDC60">
                  <w:pPr>
                    <w:pStyle w:val="69"/>
                    <w:adjustRightInd w:val="0"/>
                    <w:snapToGrid w:val="0"/>
                    <w:jc w:val="center"/>
                    <w:rPr>
                      <w:rFonts w:ascii="Times New Roman" w:hAnsi="Times New Roman" w:eastAsia="仿宋_GB2312" w:cs="Times New Roman"/>
                      <w:color w:val="000000" w:themeColor="text1"/>
                      <w:kern w:val="0"/>
                      <w:sz w:val="21"/>
                      <w:szCs w:val="21"/>
                    </w:rPr>
                  </w:pPr>
                  <w:r>
                    <w:rPr>
                      <w:rFonts w:ascii="Times New Roman" w:hAnsi="Times New Roman" w:eastAsia="仿宋_GB2312" w:cs="Times New Roman"/>
                      <w:color w:val="000000"/>
                      <w:sz w:val="21"/>
                      <w:szCs w:val="21"/>
                    </w:rPr>
                    <w:t>FL-1820A/B</w:t>
                  </w:r>
                </w:p>
              </w:tc>
              <w:tc>
                <w:tcPr>
                  <w:tcW w:w="670" w:type="pct"/>
                  <w:shd w:val="clear" w:color="auto" w:fill="auto"/>
                  <w:vAlign w:val="center"/>
                </w:tcPr>
                <w:p w14:paraId="5DCE7E0E">
                  <w:pPr>
                    <w:pStyle w:val="69"/>
                    <w:adjustRightInd w:val="0"/>
                    <w:snapToGrid w:val="0"/>
                    <w:jc w:val="center"/>
                    <w:rPr>
                      <w:rFonts w:ascii="Times New Roman" w:hAnsi="Times New Roman" w:eastAsia="仿宋_GB2312" w:cs="Times New Roman"/>
                      <w:color w:val="000000" w:themeColor="text1"/>
                      <w:kern w:val="0"/>
                      <w:sz w:val="21"/>
                      <w:szCs w:val="21"/>
                    </w:rPr>
                  </w:pPr>
                  <w:r>
                    <w:rPr>
                      <w:rFonts w:ascii="Times New Roman" w:hAnsi="Times New Roman" w:eastAsia="仿宋_GB2312" w:cs="Times New Roman"/>
                      <w:color w:val="000000"/>
                      <w:sz w:val="21"/>
                      <w:szCs w:val="21"/>
                    </w:rPr>
                    <w:t>活性碳塔</w:t>
                  </w:r>
                </w:p>
              </w:tc>
              <w:tc>
                <w:tcPr>
                  <w:tcW w:w="1271" w:type="pct"/>
                  <w:shd w:val="clear" w:color="auto" w:fill="auto"/>
                  <w:vAlign w:val="center"/>
                </w:tcPr>
                <w:p w14:paraId="0A26D902">
                  <w:pPr>
                    <w:widowControl/>
                    <w:jc w:val="center"/>
                    <w:textAlignment w:val="center"/>
                    <w:rPr>
                      <w:rFonts w:eastAsia="仿宋_GB2312"/>
                      <w:color w:val="000000" w:themeColor="text1"/>
                      <w:kern w:val="0"/>
                      <w:sz w:val="21"/>
                      <w:szCs w:val="21"/>
                    </w:rPr>
                  </w:pPr>
                  <w:r>
                    <w:rPr>
                      <w:rFonts w:eastAsia="仿宋_GB2312"/>
                      <w:color w:val="000000"/>
                      <w:sz w:val="21"/>
                      <w:szCs w:val="21"/>
                    </w:rPr>
                    <w:t>3600mm*5248mm单台滤层高度900mm</w:t>
                  </w:r>
                </w:p>
              </w:tc>
              <w:tc>
                <w:tcPr>
                  <w:tcW w:w="740" w:type="pct"/>
                  <w:vAlign w:val="center"/>
                </w:tcPr>
                <w:p w14:paraId="19E650A9">
                  <w:pPr>
                    <w:pStyle w:val="69"/>
                    <w:adjustRightInd w:val="0"/>
                    <w:snapToGrid w:val="0"/>
                    <w:jc w:val="center"/>
                    <w:rPr>
                      <w:rFonts w:ascii="Times New Roman" w:hAnsi="Times New Roman" w:eastAsia="仿宋_GB2312" w:cs="Times New Roman"/>
                      <w:snapToGrid w:val="0"/>
                      <w:color w:val="000000" w:themeColor="text1"/>
                      <w:kern w:val="0"/>
                      <w:sz w:val="21"/>
                      <w:szCs w:val="21"/>
                    </w:rPr>
                  </w:pPr>
                  <w:r>
                    <w:rPr>
                      <w:rFonts w:ascii="Times New Roman" w:hAnsi="Times New Roman" w:eastAsia="仿宋_GB2312" w:cs="Times New Roman"/>
                      <w:snapToGrid w:val="0"/>
                      <w:color w:val="000000" w:themeColor="text1"/>
                      <w:kern w:val="0"/>
                      <w:sz w:val="21"/>
                      <w:szCs w:val="21"/>
                    </w:rPr>
                    <w:t>2</w:t>
                  </w:r>
                </w:p>
              </w:tc>
              <w:tc>
                <w:tcPr>
                  <w:tcW w:w="925" w:type="pct"/>
                  <w:vAlign w:val="center"/>
                </w:tcPr>
                <w:p w14:paraId="2E214C21">
                  <w:pPr>
                    <w:adjustRightInd w:val="0"/>
                    <w:snapToGrid w:val="0"/>
                    <w:jc w:val="center"/>
                    <w:rPr>
                      <w:rFonts w:eastAsia="仿宋_GB2312"/>
                      <w:color w:val="000000" w:themeColor="text1"/>
                      <w:sz w:val="21"/>
                      <w:szCs w:val="21"/>
                    </w:rPr>
                  </w:pPr>
                  <w:r>
                    <w:rPr>
                      <w:rFonts w:ascii="Times New Roman" w:eastAsia="仿宋_GB2312"/>
                      <w:color w:val="000000"/>
                      <w:sz w:val="21"/>
                      <w:szCs w:val="21"/>
                    </w:rPr>
                    <w:t>连续式双膜法产线</w:t>
                  </w:r>
                  <w:r>
                    <w:rPr>
                      <w:rFonts w:hint="eastAsia" w:eastAsia="仿宋_GB2312"/>
                      <w:color w:val="000000"/>
                      <w:sz w:val="21"/>
                      <w:szCs w:val="21"/>
                      <w:lang w:eastAsia="zh-CN"/>
                    </w:rPr>
                    <w:t>，</w:t>
                  </w:r>
                  <w:r>
                    <w:rPr>
                      <w:rFonts w:eastAsia="仿宋_GB2312"/>
                      <w:snapToGrid w:val="0"/>
                      <w:kern w:val="0"/>
                      <w:sz w:val="21"/>
                      <w:szCs w:val="21"/>
                    </w:rPr>
                    <w:t>新增</w:t>
                  </w:r>
                </w:p>
              </w:tc>
            </w:tr>
            <w:tr w14:paraId="3466A8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0" w:type="pct"/>
                  <w:vAlign w:val="center"/>
                </w:tcPr>
                <w:p w14:paraId="7BF5B2C2">
                  <w:pPr>
                    <w:numPr>
                      <w:ilvl w:val="0"/>
                      <w:numId w:val="2"/>
                    </w:numPr>
                    <w:adjustRightInd w:val="0"/>
                    <w:snapToGrid w:val="0"/>
                    <w:jc w:val="center"/>
                    <w:rPr>
                      <w:rFonts w:eastAsia="仿宋_GB2312"/>
                      <w:snapToGrid w:val="0"/>
                      <w:kern w:val="0"/>
                      <w:sz w:val="21"/>
                      <w:szCs w:val="21"/>
                    </w:rPr>
                  </w:pPr>
                </w:p>
              </w:tc>
              <w:tc>
                <w:tcPr>
                  <w:tcW w:w="1061" w:type="pct"/>
                  <w:shd w:val="clear" w:color="auto" w:fill="auto"/>
                  <w:vAlign w:val="center"/>
                </w:tcPr>
                <w:p w14:paraId="300F98C5">
                  <w:pPr>
                    <w:pStyle w:val="69"/>
                    <w:adjustRightInd w:val="0"/>
                    <w:snapToGrid w:val="0"/>
                    <w:jc w:val="center"/>
                    <w:rPr>
                      <w:rFonts w:ascii="Times New Roman" w:hAnsi="Times New Roman" w:eastAsia="仿宋_GB2312" w:cs="Times New Roman"/>
                      <w:color w:val="000000" w:themeColor="text1"/>
                      <w:kern w:val="0"/>
                      <w:sz w:val="21"/>
                      <w:szCs w:val="21"/>
                    </w:rPr>
                  </w:pPr>
                  <w:r>
                    <w:rPr>
                      <w:rFonts w:ascii="Times New Roman" w:hAnsi="Times New Roman" w:eastAsia="仿宋_GB2312" w:cs="Times New Roman"/>
                      <w:color w:val="000000"/>
                      <w:sz w:val="21"/>
                      <w:szCs w:val="21"/>
                    </w:rPr>
                    <w:t>FL-1830A/B/C/D</w:t>
                  </w:r>
                </w:p>
              </w:tc>
              <w:tc>
                <w:tcPr>
                  <w:tcW w:w="670" w:type="pct"/>
                  <w:shd w:val="clear" w:color="auto" w:fill="auto"/>
                  <w:vAlign w:val="center"/>
                </w:tcPr>
                <w:p w14:paraId="7FB49711">
                  <w:pPr>
                    <w:pStyle w:val="69"/>
                    <w:adjustRightInd w:val="0"/>
                    <w:snapToGrid w:val="0"/>
                    <w:jc w:val="center"/>
                    <w:rPr>
                      <w:rFonts w:ascii="Times New Roman" w:hAnsi="Times New Roman" w:eastAsia="仿宋_GB2312" w:cs="Times New Roman"/>
                      <w:color w:val="000000" w:themeColor="text1"/>
                      <w:kern w:val="0"/>
                      <w:sz w:val="21"/>
                      <w:szCs w:val="21"/>
                    </w:rPr>
                  </w:pPr>
                  <w:r>
                    <w:rPr>
                      <w:rFonts w:ascii="Times New Roman" w:hAnsi="Times New Roman" w:eastAsia="仿宋_GB2312" w:cs="Times New Roman"/>
                      <w:color w:val="000000"/>
                      <w:sz w:val="21"/>
                      <w:szCs w:val="21"/>
                    </w:rPr>
                    <w:t>大通量保安过滤器</w:t>
                  </w:r>
                </w:p>
              </w:tc>
              <w:tc>
                <w:tcPr>
                  <w:tcW w:w="1271" w:type="pct"/>
                  <w:shd w:val="clear" w:color="auto" w:fill="auto"/>
                  <w:vAlign w:val="center"/>
                </w:tcPr>
                <w:p w14:paraId="3F5C9F3A">
                  <w:pPr>
                    <w:widowControl/>
                    <w:jc w:val="center"/>
                    <w:textAlignment w:val="center"/>
                    <w:rPr>
                      <w:rFonts w:eastAsia="仿宋_GB2312"/>
                      <w:color w:val="000000" w:themeColor="text1"/>
                      <w:kern w:val="0"/>
                      <w:sz w:val="21"/>
                      <w:szCs w:val="21"/>
                    </w:rPr>
                  </w:pPr>
                  <w:r>
                    <w:rPr>
                      <w:rFonts w:eastAsia="仿宋_GB2312"/>
                      <w:color w:val="000000"/>
                      <w:sz w:val="21"/>
                      <w:szCs w:val="21"/>
                    </w:rPr>
                    <w:t>1200mm*2400mm(110支滤芯)</w:t>
                  </w:r>
                </w:p>
              </w:tc>
              <w:tc>
                <w:tcPr>
                  <w:tcW w:w="740" w:type="pct"/>
                  <w:vAlign w:val="center"/>
                </w:tcPr>
                <w:p w14:paraId="63AA956A">
                  <w:pPr>
                    <w:pStyle w:val="69"/>
                    <w:adjustRightInd w:val="0"/>
                    <w:snapToGrid w:val="0"/>
                    <w:jc w:val="center"/>
                    <w:rPr>
                      <w:rFonts w:ascii="Times New Roman" w:hAnsi="Times New Roman" w:eastAsia="仿宋_GB2312" w:cs="Times New Roman"/>
                      <w:snapToGrid w:val="0"/>
                      <w:color w:val="000000" w:themeColor="text1"/>
                      <w:kern w:val="0"/>
                      <w:sz w:val="21"/>
                      <w:szCs w:val="21"/>
                    </w:rPr>
                  </w:pPr>
                  <w:r>
                    <w:rPr>
                      <w:rFonts w:ascii="Times New Roman" w:hAnsi="Times New Roman" w:eastAsia="仿宋_GB2312" w:cs="Times New Roman"/>
                      <w:snapToGrid w:val="0"/>
                      <w:color w:val="000000" w:themeColor="text1"/>
                      <w:kern w:val="0"/>
                      <w:sz w:val="21"/>
                      <w:szCs w:val="21"/>
                    </w:rPr>
                    <w:t>4</w:t>
                  </w:r>
                </w:p>
              </w:tc>
              <w:tc>
                <w:tcPr>
                  <w:tcW w:w="925" w:type="pct"/>
                  <w:vAlign w:val="center"/>
                </w:tcPr>
                <w:p w14:paraId="4A6B6E05">
                  <w:pPr>
                    <w:adjustRightInd w:val="0"/>
                    <w:snapToGrid w:val="0"/>
                    <w:jc w:val="center"/>
                    <w:rPr>
                      <w:rFonts w:eastAsia="仿宋_GB2312"/>
                      <w:color w:val="000000" w:themeColor="text1"/>
                      <w:sz w:val="21"/>
                      <w:szCs w:val="21"/>
                    </w:rPr>
                  </w:pPr>
                  <w:r>
                    <w:rPr>
                      <w:rFonts w:ascii="Times New Roman" w:eastAsia="仿宋_GB2312"/>
                      <w:color w:val="000000"/>
                      <w:sz w:val="21"/>
                      <w:szCs w:val="21"/>
                    </w:rPr>
                    <w:t>连续式双膜法产线</w:t>
                  </w:r>
                  <w:r>
                    <w:rPr>
                      <w:rFonts w:hint="eastAsia" w:eastAsia="仿宋_GB2312"/>
                      <w:color w:val="000000"/>
                      <w:sz w:val="21"/>
                      <w:szCs w:val="21"/>
                      <w:lang w:eastAsia="zh-CN"/>
                    </w:rPr>
                    <w:t>，</w:t>
                  </w:r>
                  <w:r>
                    <w:rPr>
                      <w:rFonts w:eastAsia="仿宋_GB2312"/>
                      <w:snapToGrid w:val="0"/>
                      <w:kern w:val="0"/>
                      <w:sz w:val="21"/>
                      <w:szCs w:val="21"/>
                    </w:rPr>
                    <w:t>新增</w:t>
                  </w:r>
                </w:p>
              </w:tc>
            </w:tr>
          </w:tbl>
          <w:p w14:paraId="77495BD3">
            <w:pPr>
              <w:adjustRightInd w:val="0"/>
              <w:snapToGrid w:val="0"/>
              <w:spacing w:line="360" w:lineRule="auto"/>
              <w:ind w:firstLine="422" w:firstLineChars="200"/>
              <w:rPr>
                <w:rFonts w:hint="default" w:ascii="Times New Roman" w:hAnsi="Times New Roman" w:eastAsia="仿宋_GB2312" w:cs="Times New Roman"/>
                <w:b/>
                <w:bCs/>
                <w:kern w:val="0"/>
                <w:lang w:val="en-US" w:eastAsia="zh-CN"/>
              </w:rPr>
            </w:pPr>
            <w:r>
              <w:rPr>
                <w:rFonts w:hint="eastAsia" w:ascii="Times New Roman" w:hAnsi="Times New Roman" w:eastAsia="仿宋_GB2312" w:cs="Times New Roman"/>
                <w:b/>
                <w:bCs/>
                <w:kern w:val="0"/>
                <w:lang w:val="en-US" w:eastAsia="zh-CN"/>
              </w:rPr>
              <w:t>六、产能匹配性分析</w:t>
            </w:r>
          </w:p>
          <w:p w14:paraId="1203669A">
            <w:pPr>
              <w:adjustRightInd w:val="0"/>
              <w:snapToGrid w:val="0"/>
              <w:spacing w:line="360" w:lineRule="auto"/>
              <w:ind w:firstLine="420" w:firstLineChars="200"/>
              <w:rPr>
                <w:rFonts w:hint="default" w:ascii="Times New Roman" w:hAnsi="Times New Roman" w:eastAsia="仿宋_GB2312" w:cs="Times New Roman"/>
                <w:bCs/>
                <w:kern w:val="0"/>
                <w:lang w:val="en-US" w:eastAsia="zh-CN"/>
              </w:rPr>
            </w:pPr>
            <w:r>
              <w:rPr>
                <w:rFonts w:hint="eastAsia" w:ascii="Times New Roman" w:hAnsi="Times New Roman" w:eastAsia="仿宋_GB2312" w:cs="Times New Roman"/>
                <w:bCs/>
                <w:kern w:val="0"/>
                <w:lang w:val="en-US" w:eastAsia="zh-CN"/>
              </w:rPr>
              <w:t>本项目主要设备产能匹配性分析见表2-</w:t>
            </w:r>
            <w:r>
              <w:rPr>
                <w:rFonts w:hint="eastAsia" w:eastAsia="仿宋_GB2312" w:cs="Times New Roman"/>
                <w:bCs/>
                <w:kern w:val="0"/>
                <w:lang w:val="en-US" w:eastAsia="zh-CN"/>
              </w:rPr>
              <w:t>8</w:t>
            </w:r>
            <w:r>
              <w:rPr>
                <w:rFonts w:hint="eastAsia" w:ascii="Times New Roman" w:hAnsi="Times New Roman" w:eastAsia="仿宋_GB2312" w:cs="Times New Roman"/>
                <w:bCs/>
                <w:kern w:val="0"/>
                <w:lang w:val="en-US" w:eastAsia="zh-CN"/>
              </w:rPr>
              <w:t>。</w:t>
            </w:r>
          </w:p>
          <w:p w14:paraId="12B495F2">
            <w:pPr>
              <w:adjustRightInd w:val="0"/>
              <w:snapToGrid w:val="0"/>
              <w:spacing w:line="400" w:lineRule="exact"/>
              <w:jc w:val="center"/>
              <w:rPr>
                <w:rFonts w:hint="eastAsia" w:ascii="Times New Roman" w:hAnsi="Times New Roman" w:eastAsia="仿宋_GB2312" w:cs="Times New Roman"/>
                <w:b/>
                <w:kern w:val="0"/>
                <w:sz w:val="24"/>
                <w:szCs w:val="20"/>
              </w:rPr>
            </w:pPr>
            <w:r>
              <w:rPr>
                <w:rFonts w:hint="eastAsia" w:ascii="Times New Roman" w:hAnsi="Times New Roman" w:eastAsia="仿宋_GB2312" w:cs="Times New Roman"/>
                <w:b/>
                <w:kern w:val="0"/>
                <w:sz w:val="24"/>
                <w:szCs w:val="20"/>
                <w:lang w:val="en-US" w:eastAsia="zh-CN"/>
              </w:rPr>
              <w:t>表2-</w:t>
            </w:r>
            <w:r>
              <w:rPr>
                <w:rFonts w:hint="eastAsia" w:eastAsia="仿宋_GB2312" w:cs="Times New Roman"/>
                <w:b/>
                <w:kern w:val="0"/>
                <w:sz w:val="24"/>
                <w:szCs w:val="20"/>
                <w:lang w:val="en-US" w:eastAsia="zh-CN"/>
              </w:rPr>
              <w:t>8</w:t>
            </w:r>
            <w:r>
              <w:rPr>
                <w:rFonts w:hint="eastAsia" w:ascii="Times New Roman" w:hAnsi="Times New Roman" w:eastAsia="仿宋_GB2312" w:cs="Times New Roman"/>
                <w:b/>
                <w:kern w:val="0"/>
                <w:sz w:val="24"/>
                <w:szCs w:val="20"/>
                <w:lang w:val="en-US" w:eastAsia="zh-CN"/>
              </w:rPr>
              <w:t xml:space="preserve">  主要</w:t>
            </w:r>
            <w:r>
              <w:rPr>
                <w:rFonts w:ascii="Times New Roman" w:hAnsi="Times New Roman" w:eastAsia="仿宋_GB2312" w:cs="Times New Roman"/>
                <w:b/>
                <w:kern w:val="0"/>
                <w:sz w:val="24"/>
                <w:szCs w:val="20"/>
              </w:rPr>
              <w:t>生产设备产能匹配性分析表</w:t>
            </w:r>
          </w:p>
          <w:tbl>
            <w:tblPr>
              <w:tblStyle w:val="3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91"/>
              <w:gridCol w:w="992"/>
              <w:gridCol w:w="1218"/>
              <w:gridCol w:w="1218"/>
              <w:gridCol w:w="992"/>
              <w:gridCol w:w="992"/>
              <w:gridCol w:w="992"/>
              <w:gridCol w:w="992"/>
            </w:tblGrid>
            <w:tr w14:paraId="093699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91" w:type="pct"/>
                  <w:tcBorders>
                    <w:tl2br w:val="nil"/>
                    <w:tr2bl w:val="nil"/>
                  </w:tcBorders>
                  <w:noWrap w:val="0"/>
                  <w:vAlign w:val="center"/>
                </w:tcPr>
                <w:p w14:paraId="06D8BC5E">
                  <w:pPr>
                    <w:adjustRightInd w:val="0"/>
                    <w:snapToGrid w:val="0"/>
                    <w:jc w:val="center"/>
                    <w:rPr>
                      <w:rFonts w:hint="eastAsia" w:ascii="Times New Roman" w:hAnsi="Times New Roman" w:eastAsia="仿宋_GB2312" w:cs="Times New Roman"/>
                      <w:b/>
                      <w:bCs/>
                      <w:lang w:val="en-US" w:eastAsia="zh-CN"/>
                    </w:rPr>
                  </w:pPr>
                  <w:r>
                    <w:rPr>
                      <w:rFonts w:hint="eastAsia" w:ascii="Times New Roman" w:hAnsi="Times New Roman" w:eastAsia="仿宋_GB2312" w:cs="Times New Roman"/>
                      <w:b/>
                      <w:bCs/>
                      <w:lang w:val="en-US" w:eastAsia="zh-CN"/>
                    </w:rPr>
                    <w:t>设备</w:t>
                  </w:r>
                </w:p>
              </w:tc>
              <w:tc>
                <w:tcPr>
                  <w:tcW w:w="591" w:type="pct"/>
                  <w:tcBorders>
                    <w:tl2br w:val="nil"/>
                    <w:tr2bl w:val="nil"/>
                  </w:tcBorders>
                  <w:noWrap w:val="0"/>
                  <w:vAlign w:val="center"/>
                </w:tcPr>
                <w:p w14:paraId="2E658CF1">
                  <w:pPr>
                    <w:adjustRightInd w:val="0"/>
                    <w:snapToGrid w:val="0"/>
                    <w:jc w:val="center"/>
                    <w:rPr>
                      <w:rFonts w:hint="eastAsia" w:ascii="Times New Roman" w:hAnsi="Times New Roman" w:eastAsia="仿宋_GB2312" w:cs="Times New Roman"/>
                      <w:b/>
                      <w:bCs/>
                      <w:lang w:val="en-US" w:eastAsia="zh-CN"/>
                    </w:rPr>
                  </w:pPr>
                  <w:r>
                    <w:rPr>
                      <w:rFonts w:hint="eastAsia" w:ascii="Times New Roman" w:hAnsi="Times New Roman" w:eastAsia="仿宋_GB2312" w:cs="Times New Roman"/>
                      <w:b/>
                      <w:bCs/>
                      <w:lang w:val="en-US" w:eastAsia="zh-CN"/>
                    </w:rPr>
                    <w:t>数量</w:t>
                  </w:r>
                </w:p>
              </w:tc>
              <w:tc>
                <w:tcPr>
                  <w:tcW w:w="726" w:type="pct"/>
                  <w:tcBorders>
                    <w:tl2br w:val="nil"/>
                    <w:tr2bl w:val="nil"/>
                  </w:tcBorders>
                  <w:noWrap w:val="0"/>
                  <w:vAlign w:val="center"/>
                </w:tcPr>
                <w:p w14:paraId="13C0960A">
                  <w:pPr>
                    <w:adjustRightInd w:val="0"/>
                    <w:snapToGrid w:val="0"/>
                    <w:jc w:val="center"/>
                    <w:rPr>
                      <w:rFonts w:hint="default" w:ascii="Times New Roman" w:hAnsi="Times New Roman" w:eastAsia="仿宋_GB2312" w:cs="Times New Roman"/>
                      <w:b/>
                      <w:bCs/>
                      <w:lang w:val="en-US" w:eastAsia="zh-CN"/>
                    </w:rPr>
                  </w:pPr>
                  <w:r>
                    <w:rPr>
                      <w:rFonts w:hint="eastAsia" w:eastAsia="仿宋_GB2312" w:cs="Times New Roman"/>
                      <w:b/>
                      <w:bCs/>
                      <w:lang w:val="en-US" w:eastAsia="zh-CN"/>
                    </w:rPr>
                    <w:t>原料使用量/t</w:t>
                  </w:r>
                </w:p>
              </w:tc>
              <w:tc>
                <w:tcPr>
                  <w:tcW w:w="726" w:type="pct"/>
                  <w:tcBorders>
                    <w:tl2br w:val="nil"/>
                    <w:tr2bl w:val="nil"/>
                  </w:tcBorders>
                  <w:noWrap w:val="0"/>
                  <w:vAlign w:val="center"/>
                </w:tcPr>
                <w:p w14:paraId="53B75902">
                  <w:pPr>
                    <w:adjustRightInd w:val="0"/>
                    <w:snapToGrid w:val="0"/>
                    <w:jc w:val="center"/>
                    <w:rPr>
                      <w:rFonts w:hint="default" w:ascii="Times New Roman" w:hAnsi="Times New Roman" w:eastAsia="仿宋_GB2312" w:cs="Times New Roman"/>
                      <w:b/>
                      <w:bCs/>
                      <w:lang w:val="en-US" w:eastAsia="zh-CN"/>
                    </w:rPr>
                  </w:pPr>
                  <w:r>
                    <w:rPr>
                      <w:rFonts w:hint="eastAsia" w:ascii="Times New Roman" w:hAnsi="Times New Roman" w:eastAsia="仿宋_GB2312" w:cs="Times New Roman"/>
                      <w:b/>
                      <w:bCs/>
                      <w:lang w:val="en-US" w:eastAsia="zh-CN"/>
                    </w:rPr>
                    <w:t>平均单台生产能力（kg/h）</w:t>
                  </w:r>
                </w:p>
              </w:tc>
              <w:tc>
                <w:tcPr>
                  <w:tcW w:w="591" w:type="pct"/>
                  <w:tcBorders>
                    <w:tl2br w:val="nil"/>
                    <w:tr2bl w:val="nil"/>
                  </w:tcBorders>
                  <w:noWrap w:val="0"/>
                  <w:vAlign w:val="center"/>
                </w:tcPr>
                <w:p w14:paraId="6A24C977">
                  <w:pPr>
                    <w:adjustRightInd w:val="0"/>
                    <w:snapToGrid w:val="0"/>
                    <w:jc w:val="center"/>
                    <w:rPr>
                      <w:rFonts w:hint="default" w:ascii="Times New Roman" w:hAnsi="Times New Roman" w:eastAsia="仿宋_GB2312" w:cs="Times New Roman"/>
                      <w:b/>
                      <w:bCs/>
                      <w:lang w:val="en-US" w:eastAsia="zh-CN"/>
                    </w:rPr>
                  </w:pPr>
                  <w:r>
                    <w:rPr>
                      <w:rFonts w:hint="eastAsia" w:ascii="Times New Roman" w:hAnsi="Times New Roman" w:eastAsia="仿宋_GB2312" w:cs="Times New Roman"/>
                      <w:b/>
                      <w:bCs/>
                      <w:lang w:val="en-US" w:eastAsia="zh-CN"/>
                    </w:rPr>
                    <w:t>日加工时间/h</w:t>
                  </w:r>
                </w:p>
              </w:tc>
              <w:tc>
                <w:tcPr>
                  <w:tcW w:w="591" w:type="pct"/>
                  <w:tcBorders>
                    <w:tl2br w:val="nil"/>
                    <w:tr2bl w:val="nil"/>
                  </w:tcBorders>
                  <w:noWrap w:val="0"/>
                  <w:vAlign w:val="center"/>
                </w:tcPr>
                <w:p w14:paraId="4EE9C80B">
                  <w:pPr>
                    <w:adjustRightInd w:val="0"/>
                    <w:snapToGrid w:val="0"/>
                    <w:jc w:val="center"/>
                    <w:rPr>
                      <w:rFonts w:hint="default" w:ascii="Times New Roman" w:hAnsi="Times New Roman" w:eastAsia="仿宋_GB2312" w:cs="Times New Roman"/>
                      <w:b/>
                      <w:bCs/>
                      <w:lang w:val="en-US" w:eastAsia="zh-CN"/>
                    </w:rPr>
                  </w:pPr>
                  <w:r>
                    <w:rPr>
                      <w:rFonts w:hint="eastAsia" w:ascii="Times New Roman" w:hAnsi="Times New Roman" w:eastAsia="仿宋_GB2312" w:cs="Times New Roman"/>
                      <w:b/>
                      <w:bCs/>
                      <w:lang w:val="en-US" w:eastAsia="zh-CN"/>
                    </w:rPr>
                    <w:t>年加工天数/d</w:t>
                  </w:r>
                </w:p>
              </w:tc>
              <w:tc>
                <w:tcPr>
                  <w:tcW w:w="591" w:type="pct"/>
                  <w:tcBorders>
                    <w:tl2br w:val="nil"/>
                    <w:tr2bl w:val="nil"/>
                  </w:tcBorders>
                  <w:noWrap w:val="0"/>
                  <w:vAlign w:val="center"/>
                </w:tcPr>
                <w:p w14:paraId="26296DC9">
                  <w:pPr>
                    <w:adjustRightInd w:val="0"/>
                    <w:snapToGrid w:val="0"/>
                    <w:jc w:val="center"/>
                    <w:rPr>
                      <w:rFonts w:hint="default" w:ascii="Times New Roman" w:hAnsi="Times New Roman" w:eastAsia="仿宋_GB2312" w:cs="Times New Roman"/>
                      <w:b/>
                      <w:bCs/>
                      <w:lang w:val="en-US" w:eastAsia="zh-CN"/>
                    </w:rPr>
                  </w:pPr>
                  <w:r>
                    <w:rPr>
                      <w:rFonts w:hint="eastAsia" w:ascii="Times New Roman" w:hAnsi="Times New Roman" w:eastAsia="仿宋_GB2312" w:cs="Times New Roman"/>
                      <w:b/>
                      <w:bCs/>
                      <w:lang w:val="en-US" w:eastAsia="zh-CN"/>
                    </w:rPr>
                    <w:t>本项目涉及生产量</w:t>
                  </w:r>
                  <w:r>
                    <w:rPr>
                      <w:rFonts w:hint="eastAsia" w:eastAsia="仿宋_GB2312" w:cs="Times New Roman"/>
                      <w:b/>
                      <w:bCs/>
                      <w:lang w:val="en-US" w:eastAsia="zh-CN"/>
                    </w:rPr>
                    <w:t>t/a</w:t>
                  </w:r>
                </w:p>
              </w:tc>
              <w:tc>
                <w:tcPr>
                  <w:tcW w:w="591" w:type="pct"/>
                  <w:tcBorders>
                    <w:tl2br w:val="nil"/>
                    <w:tr2bl w:val="nil"/>
                  </w:tcBorders>
                  <w:noWrap w:val="0"/>
                  <w:vAlign w:val="center"/>
                </w:tcPr>
                <w:p w14:paraId="2340CBA3">
                  <w:pPr>
                    <w:adjustRightInd w:val="0"/>
                    <w:snapToGrid w:val="0"/>
                    <w:jc w:val="center"/>
                    <w:rPr>
                      <w:rFonts w:hint="default" w:ascii="Times New Roman" w:hAnsi="Times New Roman" w:eastAsia="仿宋_GB2312" w:cs="Times New Roman"/>
                      <w:b/>
                      <w:bCs/>
                      <w:lang w:val="en-US" w:eastAsia="zh-CN"/>
                    </w:rPr>
                  </w:pPr>
                  <w:r>
                    <w:rPr>
                      <w:rFonts w:hint="eastAsia" w:ascii="Times New Roman" w:hAnsi="Times New Roman" w:eastAsia="仿宋_GB2312" w:cs="Times New Roman"/>
                      <w:b/>
                      <w:bCs/>
                      <w:lang w:val="en-US" w:eastAsia="zh-CN"/>
                    </w:rPr>
                    <w:t>是否符合</w:t>
                  </w:r>
                </w:p>
              </w:tc>
            </w:tr>
            <w:tr w14:paraId="67C72F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91" w:type="pct"/>
                  <w:tcBorders>
                    <w:tl2br w:val="nil"/>
                    <w:tr2bl w:val="nil"/>
                  </w:tcBorders>
                  <w:noWrap w:val="0"/>
                  <w:vAlign w:val="center"/>
                </w:tcPr>
                <w:p w14:paraId="37151C1C">
                  <w:pPr>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9"/>
                    <w:rPr>
                      <w:rFonts w:hint="eastAsia" w:eastAsia="仿宋_GB2312"/>
                      <w:b w:val="0"/>
                      <w:bCs w:val="0"/>
                      <w:sz w:val="21"/>
                      <w:szCs w:val="21"/>
                      <w:vertAlign w:val="baseline"/>
                      <w:lang w:val="en-US" w:eastAsia="zh-CN"/>
                    </w:rPr>
                  </w:pPr>
                  <w:r>
                    <w:rPr>
                      <w:rFonts w:hint="eastAsia" w:eastAsia="仿宋_GB2312"/>
                      <w:b w:val="0"/>
                      <w:bCs w:val="0"/>
                      <w:sz w:val="21"/>
                      <w:szCs w:val="21"/>
                      <w:vertAlign w:val="baseline"/>
                      <w:lang w:val="en-US" w:eastAsia="zh-CN"/>
                    </w:rPr>
                    <w:t>反应罐</w:t>
                  </w:r>
                </w:p>
              </w:tc>
              <w:tc>
                <w:tcPr>
                  <w:tcW w:w="591" w:type="pct"/>
                  <w:tcBorders>
                    <w:tl2br w:val="nil"/>
                    <w:tr2bl w:val="nil"/>
                  </w:tcBorders>
                  <w:noWrap w:val="0"/>
                  <w:vAlign w:val="center"/>
                </w:tcPr>
                <w:p w14:paraId="6E0FF7E8">
                  <w:pPr>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9"/>
                    <w:rPr>
                      <w:rFonts w:hint="eastAsia" w:eastAsia="仿宋_GB2312"/>
                      <w:b w:val="0"/>
                      <w:bCs w:val="0"/>
                      <w:sz w:val="21"/>
                      <w:szCs w:val="21"/>
                      <w:vertAlign w:val="baseline"/>
                      <w:lang w:val="en-US" w:eastAsia="zh-CN"/>
                    </w:rPr>
                  </w:pPr>
                  <w:r>
                    <w:rPr>
                      <w:rFonts w:hint="eastAsia" w:eastAsia="仿宋_GB2312"/>
                      <w:b w:val="0"/>
                      <w:bCs w:val="0"/>
                      <w:sz w:val="21"/>
                      <w:szCs w:val="21"/>
                      <w:vertAlign w:val="baseline"/>
                      <w:lang w:val="en-US" w:eastAsia="zh-CN"/>
                    </w:rPr>
                    <w:t>3</w:t>
                  </w:r>
                </w:p>
              </w:tc>
              <w:tc>
                <w:tcPr>
                  <w:tcW w:w="726" w:type="pct"/>
                  <w:tcBorders>
                    <w:tl2br w:val="nil"/>
                    <w:tr2bl w:val="nil"/>
                  </w:tcBorders>
                  <w:noWrap w:val="0"/>
                  <w:vAlign w:val="center"/>
                </w:tcPr>
                <w:p w14:paraId="2D58C1FB">
                  <w:pPr>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9"/>
                    <w:rPr>
                      <w:rFonts w:hint="default" w:eastAsia="仿宋_GB2312"/>
                      <w:b w:val="0"/>
                      <w:bCs w:val="0"/>
                      <w:sz w:val="21"/>
                      <w:szCs w:val="21"/>
                      <w:vertAlign w:val="baseline"/>
                      <w:lang w:val="en-US" w:eastAsia="zh-CN"/>
                    </w:rPr>
                  </w:pPr>
                  <w:r>
                    <w:rPr>
                      <w:rFonts w:hint="eastAsia" w:eastAsia="仿宋_GB2312"/>
                      <w:b w:val="0"/>
                      <w:bCs w:val="0"/>
                      <w:sz w:val="21"/>
                      <w:szCs w:val="21"/>
                      <w:vertAlign w:val="baseline"/>
                      <w:lang w:val="en-US" w:eastAsia="zh-CN"/>
                    </w:rPr>
                    <w:t>700</w:t>
                  </w:r>
                </w:p>
              </w:tc>
              <w:tc>
                <w:tcPr>
                  <w:tcW w:w="726" w:type="pct"/>
                  <w:tcBorders>
                    <w:tl2br w:val="nil"/>
                    <w:tr2bl w:val="nil"/>
                  </w:tcBorders>
                  <w:noWrap w:val="0"/>
                  <w:vAlign w:val="center"/>
                </w:tcPr>
                <w:p w14:paraId="2C6F0749">
                  <w:pPr>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9"/>
                    <w:rPr>
                      <w:rFonts w:hint="default" w:eastAsia="仿宋_GB2312"/>
                      <w:b w:val="0"/>
                      <w:bCs w:val="0"/>
                      <w:sz w:val="21"/>
                      <w:szCs w:val="21"/>
                      <w:vertAlign w:val="baseline"/>
                      <w:lang w:val="en-US" w:eastAsia="zh-CN"/>
                    </w:rPr>
                  </w:pPr>
                  <w:r>
                    <w:rPr>
                      <w:rFonts w:hint="eastAsia" w:eastAsia="仿宋_GB2312"/>
                      <w:b w:val="0"/>
                      <w:bCs w:val="0"/>
                      <w:sz w:val="21"/>
                      <w:szCs w:val="21"/>
                      <w:vertAlign w:val="baseline"/>
                      <w:lang w:val="en-US" w:eastAsia="zh-CN"/>
                    </w:rPr>
                    <w:t>700</w:t>
                  </w:r>
                </w:p>
              </w:tc>
              <w:tc>
                <w:tcPr>
                  <w:tcW w:w="591" w:type="pct"/>
                  <w:tcBorders>
                    <w:tl2br w:val="nil"/>
                    <w:tr2bl w:val="nil"/>
                  </w:tcBorders>
                  <w:noWrap w:val="0"/>
                  <w:vAlign w:val="center"/>
                </w:tcPr>
                <w:p w14:paraId="36EFC0F2">
                  <w:pPr>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9"/>
                    <w:rPr>
                      <w:rFonts w:hint="default" w:eastAsia="仿宋_GB2312"/>
                      <w:b w:val="0"/>
                      <w:bCs w:val="0"/>
                      <w:sz w:val="21"/>
                      <w:szCs w:val="21"/>
                      <w:vertAlign w:val="baseline"/>
                      <w:lang w:val="en-US" w:eastAsia="zh-CN"/>
                    </w:rPr>
                  </w:pPr>
                  <w:r>
                    <w:rPr>
                      <w:rFonts w:hint="eastAsia" w:eastAsia="仿宋_GB2312"/>
                      <w:b w:val="0"/>
                      <w:bCs w:val="0"/>
                      <w:sz w:val="21"/>
                      <w:szCs w:val="21"/>
                      <w:vertAlign w:val="baseline"/>
                      <w:lang w:val="en-US" w:eastAsia="zh-CN"/>
                    </w:rPr>
                    <w:t>24</w:t>
                  </w:r>
                </w:p>
              </w:tc>
              <w:tc>
                <w:tcPr>
                  <w:tcW w:w="591" w:type="pct"/>
                  <w:tcBorders>
                    <w:tl2br w:val="nil"/>
                    <w:tr2bl w:val="nil"/>
                  </w:tcBorders>
                  <w:noWrap w:val="0"/>
                  <w:vAlign w:val="center"/>
                </w:tcPr>
                <w:p w14:paraId="28FA81B9">
                  <w:pPr>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9"/>
                    <w:rPr>
                      <w:rFonts w:hint="default" w:eastAsia="仿宋_GB2312"/>
                      <w:b w:val="0"/>
                      <w:bCs w:val="0"/>
                      <w:sz w:val="21"/>
                      <w:szCs w:val="21"/>
                      <w:vertAlign w:val="baseline"/>
                      <w:lang w:val="en-US" w:eastAsia="zh-CN"/>
                    </w:rPr>
                  </w:pPr>
                  <w:r>
                    <w:rPr>
                      <w:rFonts w:hint="eastAsia" w:eastAsia="仿宋_GB2312"/>
                      <w:b w:val="0"/>
                      <w:bCs w:val="0"/>
                      <w:sz w:val="21"/>
                      <w:szCs w:val="21"/>
                      <w:vertAlign w:val="baseline"/>
                      <w:lang w:val="en-US" w:eastAsia="zh-CN"/>
                    </w:rPr>
                    <w:t>340</w:t>
                  </w:r>
                </w:p>
              </w:tc>
              <w:tc>
                <w:tcPr>
                  <w:tcW w:w="591" w:type="pct"/>
                  <w:tcBorders>
                    <w:tl2br w:val="nil"/>
                    <w:tr2bl w:val="nil"/>
                  </w:tcBorders>
                  <w:noWrap w:val="0"/>
                  <w:vAlign w:val="center"/>
                </w:tcPr>
                <w:p w14:paraId="373AE83F">
                  <w:pPr>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9"/>
                    <w:rPr>
                      <w:rFonts w:hint="default" w:eastAsia="仿宋_GB2312"/>
                      <w:b w:val="0"/>
                      <w:bCs w:val="0"/>
                      <w:sz w:val="21"/>
                      <w:szCs w:val="21"/>
                      <w:vertAlign w:val="baseline"/>
                      <w:lang w:val="en-US" w:eastAsia="zh-CN"/>
                    </w:rPr>
                  </w:pPr>
                  <w:r>
                    <w:rPr>
                      <w:rFonts w:hint="eastAsia" w:eastAsia="仿宋_GB2312"/>
                      <w:b w:val="0"/>
                      <w:bCs w:val="0"/>
                      <w:sz w:val="21"/>
                      <w:szCs w:val="21"/>
                      <w:vertAlign w:val="baseline"/>
                      <w:lang w:val="en-US" w:eastAsia="zh-CN"/>
                    </w:rPr>
                    <w:t>571.2</w:t>
                  </w:r>
                </w:p>
              </w:tc>
              <w:tc>
                <w:tcPr>
                  <w:tcW w:w="591" w:type="pct"/>
                  <w:tcBorders>
                    <w:tl2br w:val="nil"/>
                    <w:tr2bl w:val="nil"/>
                  </w:tcBorders>
                  <w:noWrap w:val="0"/>
                  <w:vAlign w:val="center"/>
                </w:tcPr>
                <w:p w14:paraId="39D08009">
                  <w:pPr>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9"/>
                    <w:rPr>
                      <w:rFonts w:hint="eastAsia" w:eastAsia="仿宋_GB2312"/>
                      <w:b w:val="0"/>
                      <w:bCs w:val="0"/>
                      <w:sz w:val="21"/>
                      <w:szCs w:val="21"/>
                      <w:vertAlign w:val="baseline"/>
                      <w:lang w:val="en-US" w:eastAsia="zh-CN"/>
                    </w:rPr>
                  </w:pPr>
                  <w:r>
                    <w:rPr>
                      <w:rFonts w:hint="eastAsia" w:eastAsia="仿宋_GB2312"/>
                      <w:b w:val="0"/>
                      <w:bCs w:val="0"/>
                      <w:sz w:val="21"/>
                      <w:szCs w:val="21"/>
                      <w:vertAlign w:val="baseline"/>
                      <w:lang w:val="en-US" w:eastAsia="zh-CN"/>
                    </w:rPr>
                    <w:t>是</w:t>
                  </w:r>
                </w:p>
              </w:tc>
            </w:tr>
            <w:tr w14:paraId="13DC4D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91" w:type="pct"/>
                  <w:tcBorders>
                    <w:tl2br w:val="nil"/>
                    <w:tr2bl w:val="nil"/>
                  </w:tcBorders>
                  <w:noWrap w:val="0"/>
                  <w:vAlign w:val="center"/>
                </w:tcPr>
                <w:p w14:paraId="181ADA6F">
                  <w:pPr>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9"/>
                    <w:rPr>
                      <w:rFonts w:hint="default" w:eastAsia="仿宋_GB2312"/>
                      <w:b w:val="0"/>
                      <w:bCs w:val="0"/>
                      <w:sz w:val="21"/>
                      <w:szCs w:val="21"/>
                      <w:vertAlign w:val="baseline"/>
                      <w:lang w:val="en-US" w:eastAsia="zh-CN"/>
                    </w:rPr>
                  </w:pPr>
                  <w:r>
                    <w:rPr>
                      <w:rFonts w:hint="eastAsia" w:eastAsia="仿宋_GB2312"/>
                      <w:b w:val="0"/>
                      <w:bCs w:val="0"/>
                      <w:sz w:val="21"/>
                      <w:szCs w:val="21"/>
                      <w:vertAlign w:val="baseline"/>
                      <w:lang w:val="en-US" w:eastAsia="zh-CN"/>
                    </w:rPr>
                    <w:t>管式陶瓷膜</w:t>
                  </w:r>
                </w:p>
              </w:tc>
              <w:tc>
                <w:tcPr>
                  <w:tcW w:w="591" w:type="pct"/>
                  <w:tcBorders>
                    <w:tl2br w:val="nil"/>
                    <w:tr2bl w:val="nil"/>
                  </w:tcBorders>
                  <w:noWrap w:val="0"/>
                  <w:vAlign w:val="center"/>
                </w:tcPr>
                <w:p w14:paraId="6377764F">
                  <w:pPr>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9"/>
                    <w:rPr>
                      <w:rFonts w:hint="eastAsia" w:eastAsia="仿宋_GB2312"/>
                      <w:b w:val="0"/>
                      <w:bCs w:val="0"/>
                      <w:sz w:val="21"/>
                      <w:szCs w:val="21"/>
                      <w:vertAlign w:val="baseline"/>
                      <w:lang w:val="en-US" w:eastAsia="zh-CN"/>
                    </w:rPr>
                  </w:pPr>
                  <w:r>
                    <w:rPr>
                      <w:rFonts w:hint="eastAsia" w:eastAsia="仿宋_GB2312"/>
                      <w:b w:val="0"/>
                      <w:bCs w:val="0"/>
                      <w:sz w:val="21"/>
                      <w:szCs w:val="21"/>
                      <w:vertAlign w:val="baseline"/>
                      <w:lang w:val="en-US" w:eastAsia="zh-CN"/>
                    </w:rPr>
                    <w:t>3</w:t>
                  </w:r>
                </w:p>
              </w:tc>
              <w:tc>
                <w:tcPr>
                  <w:tcW w:w="726" w:type="pct"/>
                  <w:tcBorders>
                    <w:tl2br w:val="nil"/>
                    <w:tr2bl w:val="nil"/>
                  </w:tcBorders>
                  <w:noWrap w:val="0"/>
                  <w:vAlign w:val="center"/>
                </w:tcPr>
                <w:p w14:paraId="75E33EDF">
                  <w:pPr>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9"/>
                    <w:rPr>
                      <w:rFonts w:hint="default" w:eastAsia="仿宋_GB2312"/>
                      <w:b w:val="0"/>
                      <w:bCs w:val="0"/>
                      <w:sz w:val="21"/>
                      <w:szCs w:val="21"/>
                      <w:vertAlign w:val="baseline"/>
                      <w:lang w:val="en-US" w:eastAsia="zh-CN"/>
                    </w:rPr>
                  </w:pPr>
                  <w:r>
                    <w:rPr>
                      <w:rFonts w:hint="eastAsia" w:eastAsia="仿宋_GB2312"/>
                      <w:b w:val="0"/>
                      <w:bCs w:val="0"/>
                      <w:sz w:val="21"/>
                      <w:szCs w:val="21"/>
                      <w:vertAlign w:val="baseline"/>
                      <w:lang w:val="en-US" w:eastAsia="zh-CN"/>
                    </w:rPr>
                    <w:t>700</w:t>
                  </w:r>
                </w:p>
              </w:tc>
              <w:tc>
                <w:tcPr>
                  <w:tcW w:w="726" w:type="pct"/>
                  <w:tcBorders>
                    <w:tl2br w:val="nil"/>
                    <w:tr2bl w:val="nil"/>
                  </w:tcBorders>
                  <w:noWrap w:val="0"/>
                  <w:vAlign w:val="center"/>
                </w:tcPr>
                <w:p w14:paraId="38D653B5">
                  <w:pPr>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9"/>
                    <w:rPr>
                      <w:rFonts w:hint="default" w:eastAsia="仿宋_GB2312"/>
                      <w:b w:val="0"/>
                      <w:bCs w:val="0"/>
                      <w:sz w:val="21"/>
                      <w:szCs w:val="21"/>
                      <w:vertAlign w:val="baseline"/>
                      <w:lang w:val="en-US" w:eastAsia="zh-CN"/>
                    </w:rPr>
                  </w:pPr>
                  <w:r>
                    <w:rPr>
                      <w:rFonts w:hint="eastAsia" w:eastAsia="仿宋_GB2312"/>
                      <w:b w:val="0"/>
                      <w:bCs w:val="0"/>
                      <w:sz w:val="21"/>
                      <w:szCs w:val="21"/>
                      <w:vertAlign w:val="baseline"/>
                      <w:lang w:val="en-US" w:eastAsia="zh-CN"/>
                    </w:rPr>
                    <w:t>235</w:t>
                  </w:r>
                </w:p>
              </w:tc>
              <w:tc>
                <w:tcPr>
                  <w:tcW w:w="591" w:type="pct"/>
                  <w:tcBorders>
                    <w:tl2br w:val="nil"/>
                    <w:tr2bl w:val="nil"/>
                  </w:tcBorders>
                  <w:noWrap w:val="0"/>
                  <w:vAlign w:val="center"/>
                </w:tcPr>
                <w:p w14:paraId="4547EB47">
                  <w:pPr>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9"/>
                    <w:rPr>
                      <w:rFonts w:hint="eastAsia" w:eastAsia="仿宋_GB2312"/>
                      <w:b w:val="0"/>
                      <w:bCs w:val="0"/>
                      <w:sz w:val="21"/>
                      <w:szCs w:val="21"/>
                      <w:vertAlign w:val="baseline"/>
                    </w:rPr>
                  </w:pPr>
                  <w:r>
                    <w:rPr>
                      <w:rFonts w:hint="eastAsia" w:eastAsia="仿宋_GB2312"/>
                      <w:b w:val="0"/>
                      <w:bCs w:val="0"/>
                      <w:sz w:val="21"/>
                      <w:szCs w:val="21"/>
                      <w:vertAlign w:val="baseline"/>
                      <w:lang w:val="en-US" w:eastAsia="zh-CN"/>
                    </w:rPr>
                    <w:t>24</w:t>
                  </w:r>
                </w:p>
              </w:tc>
              <w:tc>
                <w:tcPr>
                  <w:tcW w:w="591" w:type="pct"/>
                  <w:tcBorders>
                    <w:tl2br w:val="nil"/>
                    <w:tr2bl w:val="nil"/>
                  </w:tcBorders>
                  <w:noWrap w:val="0"/>
                  <w:vAlign w:val="center"/>
                </w:tcPr>
                <w:p w14:paraId="535BFF23">
                  <w:pPr>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9"/>
                    <w:rPr>
                      <w:rFonts w:hint="eastAsia" w:eastAsia="仿宋_GB2312"/>
                      <w:b w:val="0"/>
                      <w:bCs w:val="0"/>
                      <w:sz w:val="21"/>
                      <w:szCs w:val="21"/>
                      <w:vertAlign w:val="baseline"/>
                    </w:rPr>
                  </w:pPr>
                  <w:r>
                    <w:rPr>
                      <w:rFonts w:hint="eastAsia" w:eastAsia="仿宋_GB2312"/>
                      <w:b w:val="0"/>
                      <w:bCs w:val="0"/>
                      <w:sz w:val="21"/>
                      <w:szCs w:val="21"/>
                      <w:vertAlign w:val="baseline"/>
                      <w:lang w:val="en-US" w:eastAsia="zh-CN"/>
                    </w:rPr>
                    <w:t>340</w:t>
                  </w:r>
                </w:p>
              </w:tc>
              <w:tc>
                <w:tcPr>
                  <w:tcW w:w="591" w:type="pct"/>
                  <w:tcBorders>
                    <w:tl2br w:val="nil"/>
                    <w:tr2bl w:val="nil"/>
                  </w:tcBorders>
                  <w:noWrap w:val="0"/>
                  <w:vAlign w:val="center"/>
                </w:tcPr>
                <w:p w14:paraId="1A715FFF">
                  <w:pPr>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9"/>
                    <w:rPr>
                      <w:rFonts w:hint="eastAsia" w:eastAsia="仿宋_GB2312"/>
                      <w:b w:val="0"/>
                      <w:bCs w:val="0"/>
                      <w:sz w:val="21"/>
                      <w:szCs w:val="21"/>
                      <w:vertAlign w:val="baseline"/>
                    </w:rPr>
                  </w:pPr>
                  <w:r>
                    <w:rPr>
                      <w:rFonts w:hint="eastAsia" w:eastAsia="仿宋_GB2312"/>
                      <w:b w:val="0"/>
                      <w:bCs w:val="0"/>
                      <w:sz w:val="21"/>
                      <w:szCs w:val="21"/>
                      <w:vertAlign w:val="baseline"/>
                      <w:lang w:val="en-US" w:eastAsia="zh-CN"/>
                    </w:rPr>
                    <w:t>571.2</w:t>
                  </w:r>
                </w:p>
              </w:tc>
              <w:tc>
                <w:tcPr>
                  <w:tcW w:w="591" w:type="pct"/>
                  <w:tcBorders>
                    <w:tl2br w:val="nil"/>
                    <w:tr2bl w:val="nil"/>
                  </w:tcBorders>
                  <w:noWrap w:val="0"/>
                  <w:vAlign w:val="center"/>
                </w:tcPr>
                <w:p w14:paraId="776DDB92">
                  <w:pPr>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9"/>
                    <w:rPr>
                      <w:rFonts w:hint="eastAsia" w:eastAsia="仿宋_GB2312"/>
                      <w:b w:val="0"/>
                      <w:bCs w:val="0"/>
                      <w:sz w:val="21"/>
                      <w:szCs w:val="21"/>
                      <w:vertAlign w:val="baseline"/>
                    </w:rPr>
                  </w:pPr>
                  <w:r>
                    <w:rPr>
                      <w:rFonts w:hint="eastAsia" w:eastAsia="仿宋_GB2312"/>
                      <w:b w:val="0"/>
                      <w:bCs w:val="0"/>
                      <w:sz w:val="21"/>
                      <w:szCs w:val="21"/>
                      <w:vertAlign w:val="baseline"/>
                      <w:lang w:val="en-US" w:eastAsia="zh-CN"/>
                    </w:rPr>
                    <w:t>是</w:t>
                  </w:r>
                </w:p>
              </w:tc>
            </w:tr>
            <w:tr w14:paraId="1DC069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91" w:type="pct"/>
                  <w:tcBorders>
                    <w:tl2br w:val="nil"/>
                    <w:tr2bl w:val="nil"/>
                  </w:tcBorders>
                  <w:noWrap w:val="0"/>
                  <w:vAlign w:val="center"/>
                </w:tcPr>
                <w:p w14:paraId="7D7683E4">
                  <w:pPr>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9"/>
                    <w:rPr>
                      <w:rFonts w:hint="default" w:eastAsia="仿宋_GB2312"/>
                      <w:b w:val="0"/>
                      <w:bCs w:val="0"/>
                      <w:sz w:val="21"/>
                      <w:szCs w:val="21"/>
                      <w:vertAlign w:val="baseline"/>
                      <w:lang w:val="en-US" w:eastAsia="zh-CN"/>
                    </w:rPr>
                  </w:pPr>
                  <w:r>
                    <w:rPr>
                      <w:rFonts w:hint="eastAsia" w:eastAsia="仿宋_GB2312"/>
                      <w:b w:val="0"/>
                      <w:bCs w:val="0"/>
                      <w:sz w:val="21"/>
                      <w:szCs w:val="21"/>
                      <w:vertAlign w:val="baseline"/>
                      <w:lang w:val="en-US" w:eastAsia="zh-CN"/>
                    </w:rPr>
                    <w:t>平板膜</w:t>
                  </w:r>
                </w:p>
              </w:tc>
              <w:tc>
                <w:tcPr>
                  <w:tcW w:w="591" w:type="pct"/>
                  <w:tcBorders>
                    <w:tl2br w:val="nil"/>
                    <w:tr2bl w:val="nil"/>
                  </w:tcBorders>
                  <w:noWrap w:val="0"/>
                  <w:vAlign w:val="center"/>
                </w:tcPr>
                <w:p w14:paraId="510221FD">
                  <w:pPr>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9"/>
                    <w:rPr>
                      <w:rFonts w:hint="eastAsia" w:eastAsia="仿宋_GB2312"/>
                      <w:b w:val="0"/>
                      <w:bCs w:val="0"/>
                      <w:sz w:val="21"/>
                      <w:szCs w:val="21"/>
                      <w:vertAlign w:val="baseline"/>
                      <w:lang w:val="en-US" w:eastAsia="zh-CN"/>
                    </w:rPr>
                  </w:pPr>
                  <w:r>
                    <w:rPr>
                      <w:rFonts w:hint="eastAsia" w:eastAsia="仿宋_GB2312"/>
                      <w:b w:val="0"/>
                      <w:bCs w:val="0"/>
                      <w:sz w:val="21"/>
                      <w:szCs w:val="21"/>
                      <w:vertAlign w:val="baseline"/>
                      <w:lang w:val="en-US" w:eastAsia="zh-CN"/>
                    </w:rPr>
                    <w:t>2</w:t>
                  </w:r>
                </w:p>
              </w:tc>
              <w:tc>
                <w:tcPr>
                  <w:tcW w:w="726" w:type="pct"/>
                  <w:tcBorders>
                    <w:tl2br w:val="nil"/>
                    <w:tr2bl w:val="nil"/>
                  </w:tcBorders>
                  <w:noWrap w:val="0"/>
                  <w:vAlign w:val="center"/>
                </w:tcPr>
                <w:p w14:paraId="223B3A73">
                  <w:pPr>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9"/>
                    <w:rPr>
                      <w:rFonts w:hint="default" w:eastAsia="仿宋_GB2312"/>
                      <w:b w:val="0"/>
                      <w:bCs w:val="0"/>
                      <w:sz w:val="21"/>
                      <w:szCs w:val="21"/>
                      <w:vertAlign w:val="baseline"/>
                      <w:lang w:val="en-US" w:eastAsia="zh-CN"/>
                    </w:rPr>
                  </w:pPr>
                  <w:r>
                    <w:rPr>
                      <w:rFonts w:hint="eastAsia" w:eastAsia="仿宋_GB2312"/>
                      <w:b w:val="0"/>
                      <w:bCs w:val="0"/>
                      <w:sz w:val="21"/>
                      <w:szCs w:val="21"/>
                      <w:vertAlign w:val="baseline"/>
                      <w:lang w:val="en-US" w:eastAsia="zh-CN"/>
                    </w:rPr>
                    <w:t>700</w:t>
                  </w:r>
                </w:p>
              </w:tc>
              <w:tc>
                <w:tcPr>
                  <w:tcW w:w="726" w:type="pct"/>
                  <w:tcBorders>
                    <w:tl2br w:val="nil"/>
                    <w:tr2bl w:val="nil"/>
                  </w:tcBorders>
                  <w:noWrap w:val="0"/>
                  <w:vAlign w:val="center"/>
                </w:tcPr>
                <w:p w14:paraId="5AB6B2BB">
                  <w:pPr>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9"/>
                    <w:rPr>
                      <w:rFonts w:hint="default" w:eastAsia="仿宋_GB2312"/>
                      <w:b w:val="0"/>
                      <w:bCs w:val="0"/>
                      <w:sz w:val="21"/>
                      <w:szCs w:val="21"/>
                      <w:vertAlign w:val="baseline"/>
                      <w:lang w:val="en-US" w:eastAsia="zh-CN"/>
                    </w:rPr>
                  </w:pPr>
                  <w:r>
                    <w:rPr>
                      <w:rFonts w:hint="eastAsia" w:eastAsia="仿宋_GB2312"/>
                      <w:b w:val="0"/>
                      <w:bCs w:val="0"/>
                      <w:sz w:val="21"/>
                      <w:szCs w:val="21"/>
                      <w:vertAlign w:val="baseline"/>
                      <w:lang w:val="en-US" w:eastAsia="zh-CN"/>
                    </w:rPr>
                    <w:t>350</w:t>
                  </w:r>
                </w:p>
              </w:tc>
              <w:tc>
                <w:tcPr>
                  <w:tcW w:w="591" w:type="pct"/>
                  <w:tcBorders>
                    <w:tl2br w:val="nil"/>
                    <w:tr2bl w:val="nil"/>
                  </w:tcBorders>
                  <w:noWrap w:val="0"/>
                  <w:vAlign w:val="center"/>
                </w:tcPr>
                <w:p w14:paraId="0EF3E62D">
                  <w:pPr>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9"/>
                    <w:rPr>
                      <w:rFonts w:hint="eastAsia" w:eastAsia="仿宋_GB2312"/>
                      <w:b w:val="0"/>
                      <w:bCs w:val="0"/>
                      <w:sz w:val="21"/>
                      <w:szCs w:val="21"/>
                      <w:vertAlign w:val="baseline"/>
                    </w:rPr>
                  </w:pPr>
                  <w:r>
                    <w:rPr>
                      <w:rFonts w:hint="eastAsia" w:eastAsia="仿宋_GB2312"/>
                      <w:b w:val="0"/>
                      <w:bCs w:val="0"/>
                      <w:sz w:val="21"/>
                      <w:szCs w:val="21"/>
                      <w:vertAlign w:val="baseline"/>
                      <w:lang w:val="en-US" w:eastAsia="zh-CN"/>
                    </w:rPr>
                    <w:t>24</w:t>
                  </w:r>
                </w:p>
              </w:tc>
              <w:tc>
                <w:tcPr>
                  <w:tcW w:w="591" w:type="pct"/>
                  <w:tcBorders>
                    <w:tl2br w:val="nil"/>
                    <w:tr2bl w:val="nil"/>
                  </w:tcBorders>
                  <w:noWrap w:val="0"/>
                  <w:vAlign w:val="center"/>
                </w:tcPr>
                <w:p w14:paraId="595A2ECF">
                  <w:pPr>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9"/>
                    <w:rPr>
                      <w:rFonts w:hint="eastAsia" w:eastAsia="仿宋_GB2312"/>
                      <w:b w:val="0"/>
                      <w:bCs w:val="0"/>
                      <w:sz w:val="21"/>
                      <w:szCs w:val="21"/>
                      <w:vertAlign w:val="baseline"/>
                    </w:rPr>
                  </w:pPr>
                  <w:r>
                    <w:rPr>
                      <w:rFonts w:hint="eastAsia" w:eastAsia="仿宋_GB2312"/>
                      <w:b w:val="0"/>
                      <w:bCs w:val="0"/>
                      <w:sz w:val="21"/>
                      <w:szCs w:val="21"/>
                      <w:vertAlign w:val="baseline"/>
                      <w:lang w:val="en-US" w:eastAsia="zh-CN"/>
                    </w:rPr>
                    <w:t>340</w:t>
                  </w:r>
                </w:p>
              </w:tc>
              <w:tc>
                <w:tcPr>
                  <w:tcW w:w="591" w:type="pct"/>
                  <w:tcBorders>
                    <w:tl2br w:val="nil"/>
                    <w:tr2bl w:val="nil"/>
                  </w:tcBorders>
                  <w:noWrap w:val="0"/>
                  <w:vAlign w:val="center"/>
                </w:tcPr>
                <w:p w14:paraId="27F3CE81">
                  <w:pPr>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9"/>
                    <w:rPr>
                      <w:rFonts w:hint="eastAsia" w:eastAsia="仿宋_GB2312"/>
                      <w:b w:val="0"/>
                      <w:bCs w:val="0"/>
                      <w:sz w:val="21"/>
                      <w:szCs w:val="21"/>
                      <w:vertAlign w:val="baseline"/>
                    </w:rPr>
                  </w:pPr>
                  <w:r>
                    <w:rPr>
                      <w:rFonts w:hint="eastAsia" w:eastAsia="仿宋_GB2312"/>
                      <w:b w:val="0"/>
                      <w:bCs w:val="0"/>
                      <w:sz w:val="21"/>
                      <w:szCs w:val="21"/>
                      <w:vertAlign w:val="baseline"/>
                      <w:lang w:val="en-US" w:eastAsia="zh-CN"/>
                    </w:rPr>
                    <w:t>571.2</w:t>
                  </w:r>
                </w:p>
              </w:tc>
              <w:tc>
                <w:tcPr>
                  <w:tcW w:w="591" w:type="pct"/>
                  <w:tcBorders>
                    <w:tl2br w:val="nil"/>
                    <w:tr2bl w:val="nil"/>
                  </w:tcBorders>
                  <w:noWrap w:val="0"/>
                  <w:vAlign w:val="center"/>
                </w:tcPr>
                <w:p w14:paraId="2BBD76D2">
                  <w:pPr>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9"/>
                    <w:rPr>
                      <w:rFonts w:hint="eastAsia" w:eastAsia="仿宋_GB2312"/>
                      <w:b w:val="0"/>
                      <w:bCs w:val="0"/>
                      <w:sz w:val="21"/>
                      <w:szCs w:val="21"/>
                      <w:vertAlign w:val="baseline"/>
                    </w:rPr>
                  </w:pPr>
                  <w:r>
                    <w:rPr>
                      <w:rFonts w:hint="eastAsia" w:eastAsia="仿宋_GB2312"/>
                      <w:b w:val="0"/>
                      <w:bCs w:val="0"/>
                      <w:sz w:val="21"/>
                      <w:szCs w:val="21"/>
                      <w:vertAlign w:val="baseline"/>
                      <w:lang w:val="en-US" w:eastAsia="zh-CN"/>
                    </w:rPr>
                    <w:t>是</w:t>
                  </w:r>
                </w:p>
              </w:tc>
            </w:tr>
            <w:tr w14:paraId="66FA7F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91" w:type="pct"/>
                  <w:tcBorders>
                    <w:tl2br w:val="nil"/>
                    <w:tr2bl w:val="nil"/>
                  </w:tcBorders>
                  <w:noWrap w:val="0"/>
                  <w:vAlign w:val="center"/>
                </w:tcPr>
                <w:p w14:paraId="43C198D2">
                  <w:pPr>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9"/>
                    <w:rPr>
                      <w:rFonts w:hint="default" w:eastAsia="仿宋_GB2312"/>
                      <w:b w:val="0"/>
                      <w:bCs w:val="0"/>
                      <w:sz w:val="21"/>
                      <w:szCs w:val="21"/>
                      <w:vertAlign w:val="baseline"/>
                      <w:lang w:val="en-US" w:eastAsia="zh-CN"/>
                    </w:rPr>
                  </w:pPr>
                  <w:r>
                    <w:rPr>
                      <w:rFonts w:hint="eastAsia" w:eastAsia="仿宋_GB2312"/>
                      <w:b w:val="0"/>
                      <w:bCs w:val="0"/>
                      <w:sz w:val="21"/>
                      <w:szCs w:val="21"/>
                      <w:vertAlign w:val="baseline"/>
                      <w:lang w:val="en-US" w:eastAsia="zh-CN"/>
                    </w:rPr>
                    <w:t>纳滤膜</w:t>
                  </w:r>
                </w:p>
              </w:tc>
              <w:tc>
                <w:tcPr>
                  <w:tcW w:w="591" w:type="pct"/>
                  <w:tcBorders>
                    <w:tl2br w:val="nil"/>
                    <w:tr2bl w:val="nil"/>
                  </w:tcBorders>
                  <w:noWrap w:val="0"/>
                  <w:vAlign w:val="center"/>
                </w:tcPr>
                <w:p w14:paraId="69FC5A69">
                  <w:pPr>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9"/>
                    <w:rPr>
                      <w:rFonts w:hint="eastAsia" w:eastAsia="仿宋_GB2312"/>
                      <w:b w:val="0"/>
                      <w:bCs w:val="0"/>
                      <w:sz w:val="21"/>
                      <w:szCs w:val="21"/>
                      <w:vertAlign w:val="baseline"/>
                      <w:lang w:val="en-US" w:eastAsia="zh-CN"/>
                    </w:rPr>
                  </w:pPr>
                  <w:r>
                    <w:rPr>
                      <w:rFonts w:hint="eastAsia" w:eastAsia="仿宋_GB2312"/>
                      <w:b w:val="0"/>
                      <w:bCs w:val="0"/>
                      <w:sz w:val="21"/>
                      <w:szCs w:val="21"/>
                      <w:vertAlign w:val="baseline"/>
                      <w:lang w:val="en-US" w:eastAsia="zh-CN"/>
                    </w:rPr>
                    <w:t>2</w:t>
                  </w:r>
                </w:p>
              </w:tc>
              <w:tc>
                <w:tcPr>
                  <w:tcW w:w="726" w:type="pct"/>
                  <w:tcBorders>
                    <w:tl2br w:val="nil"/>
                    <w:tr2bl w:val="nil"/>
                  </w:tcBorders>
                  <w:noWrap w:val="0"/>
                  <w:vAlign w:val="center"/>
                </w:tcPr>
                <w:p w14:paraId="1B42671F">
                  <w:pPr>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9"/>
                    <w:rPr>
                      <w:rFonts w:hint="default" w:eastAsia="仿宋_GB2312"/>
                      <w:b w:val="0"/>
                      <w:bCs w:val="0"/>
                      <w:sz w:val="21"/>
                      <w:szCs w:val="21"/>
                      <w:vertAlign w:val="baseline"/>
                      <w:lang w:val="en-US" w:eastAsia="zh-CN"/>
                    </w:rPr>
                  </w:pPr>
                  <w:r>
                    <w:rPr>
                      <w:rFonts w:hint="eastAsia" w:eastAsia="仿宋_GB2312"/>
                      <w:b w:val="0"/>
                      <w:bCs w:val="0"/>
                      <w:sz w:val="21"/>
                      <w:szCs w:val="21"/>
                      <w:vertAlign w:val="baseline"/>
                      <w:lang w:val="en-US" w:eastAsia="zh-CN"/>
                    </w:rPr>
                    <w:t>700</w:t>
                  </w:r>
                </w:p>
              </w:tc>
              <w:tc>
                <w:tcPr>
                  <w:tcW w:w="726" w:type="pct"/>
                  <w:tcBorders>
                    <w:tl2br w:val="nil"/>
                    <w:tr2bl w:val="nil"/>
                  </w:tcBorders>
                  <w:noWrap w:val="0"/>
                  <w:vAlign w:val="center"/>
                </w:tcPr>
                <w:p w14:paraId="3FA0EC25">
                  <w:pPr>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9"/>
                    <w:rPr>
                      <w:rFonts w:hint="default" w:eastAsia="仿宋_GB2312"/>
                      <w:b w:val="0"/>
                      <w:bCs w:val="0"/>
                      <w:sz w:val="21"/>
                      <w:szCs w:val="21"/>
                      <w:vertAlign w:val="baseline"/>
                      <w:lang w:val="en-US" w:eastAsia="zh-CN"/>
                    </w:rPr>
                  </w:pPr>
                  <w:r>
                    <w:rPr>
                      <w:rFonts w:hint="eastAsia" w:eastAsia="仿宋_GB2312"/>
                      <w:b w:val="0"/>
                      <w:bCs w:val="0"/>
                      <w:sz w:val="21"/>
                      <w:szCs w:val="21"/>
                      <w:vertAlign w:val="baseline"/>
                      <w:lang w:val="en-US" w:eastAsia="zh-CN"/>
                    </w:rPr>
                    <w:t>350</w:t>
                  </w:r>
                </w:p>
              </w:tc>
              <w:tc>
                <w:tcPr>
                  <w:tcW w:w="591" w:type="pct"/>
                  <w:tcBorders>
                    <w:tl2br w:val="nil"/>
                    <w:tr2bl w:val="nil"/>
                  </w:tcBorders>
                  <w:noWrap w:val="0"/>
                  <w:vAlign w:val="center"/>
                </w:tcPr>
                <w:p w14:paraId="74D96FEB">
                  <w:pPr>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9"/>
                    <w:rPr>
                      <w:rFonts w:hint="eastAsia" w:eastAsia="仿宋_GB2312"/>
                      <w:b w:val="0"/>
                      <w:bCs w:val="0"/>
                      <w:sz w:val="21"/>
                      <w:szCs w:val="21"/>
                      <w:vertAlign w:val="baseline"/>
                    </w:rPr>
                  </w:pPr>
                  <w:r>
                    <w:rPr>
                      <w:rFonts w:hint="eastAsia" w:eastAsia="仿宋_GB2312"/>
                      <w:b w:val="0"/>
                      <w:bCs w:val="0"/>
                      <w:sz w:val="21"/>
                      <w:szCs w:val="21"/>
                      <w:vertAlign w:val="baseline"/>
                      <w:lang w:val="en-US" w:eastAsia="zh-CN"/>
                    </w:rPr>
                    <w:t>24</w:t>
                  </w:r>
                </w:p>
              </w:tc>
              <w:tc>
                <w:tcPr>
                  <w:tcW w:w="591" w:type="pct"/>
                  <w:tcBorders>
                    <w:tl2br w:val="nil"/>
                    <w:tr2bl w:val="nil"/>
                  </w:tcBorders>
                  <w:noWrap w:val="0"/>
                  <w:vAlign w:val="center"/>
                </w:tcPr>
                <w:p w14:paraId="0CF21B68">
                  <w:pPr>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9"/>
                    <w:rPr>
                      <w:rFonts w:hint="eastAsia" w:eastAsia="仿宋_GB2312"/>
                      <w:b w:val="0"/>
                      <w:bCs w:val="0"/>
                      <w:sz w:val="21"/>
                      <w:szCs w:val="21"/>
                      <w:vertAlign w:val="baseline"/>
                    </w:rPr>
                  </w:pPr>
                  <w:r>
                    <w:rPr>
                      <w:rFonts w:hint="eastAsia" w:eastAsia="仿宋_GB2312"/>
                      <w:b w:val="0"/>
                      <w:bCs w:val="0"/>
                      <w:sz w:val="21"/>
                      <w:szCs w:val="21"/>
                      <w:vertAlign w:val="baseline"/>
                      <w:lang w:val="en-US" w:eastAsia="zh-CN"/>
                    </w:rPr>
                    <w:t>340</w:t>
                  </w:r>
                </w:p>
              </w:tc>
              <w:tc>
                <w:tcPr>
                  <w:tcW w:w="591" w:type="pct"/>
                  <w:tcBorders>
                    <w:tl2br w:val="nil"/>
                    <w:tr2bl w:val="nil"/>
                  </w:tcBorders>
                  <w:noWrap w:val="0"/>
                  <w:vAlign w:val="center"/>
                </w:tcPr>
                <w:p w14:paraId="1E7CE993">
                  <w:pPr>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9"/>
                    <w:rPr>
                      <w:rFonts w:hint="eastAsia" w:eastAsia="仿宋_GB2312"/>
                      <w:b w:val="0"/>
                      <w:bCs w:val="0"/>
                      <w:sz w:val="21"/>
                      <w:szCs w:val="21"/>
                      <w:vertAlign w:val="baseline"/>
                    </w:rPr>
                  </w:pPr>
                  <w:r>
                    <w:rPr>
                      <w:rFonts w:hint="eastAsia" w:eastAsia="仿宋_GB2312"/>
                      <w:b w:val="0"/>
                      <w:bCs w:val="0"/>
                      <w:sz w:val="21"/>
                      <w:szCs w:val="21"/>
                      <w:vertAlign w:val="baseline"/>
                      <w:lang w:val="en-US" w:eastAsia="zh-CN"/>
                    </w:rPr>
                    <w:t>571.2</w:t>
                  </w:r>
                </w:p>
              </w:tc>
              <w:tc>
                <w:tcPr>
                  <w:tcW w:w="591" w:type="pct"/>
                  <w:tcBorders>
                    <w:tl2br w:val="nil"/>
                    <w:tr2bl w:val="nil"/>
                  </w:tcBorders>
                  <w:noWrap w:val="0"/>
                  <w:vAlign w:val="center"/>
                </w:tcPr>
                <w:p w14:paraId="7A5430F4">
                  <w:pPr>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9"/>
                    <w:rPr>
                      <w:rFonts w:hint="eastAsia" w:eastAsia="仿宋_GB2312"/>
                      <w:b w:val="0"/>
                      <w:bCs w:val="0"/>
                      <w:sz w:val="21"/>
                      <w:szCs w:val="21"/>
                      <w:vertAlign w:val="baseline"/>
                    </w:rPr>
                  </w:pPr>
                  <w:r>
                    <w:rPr>
                      <w:rFonts w:hint="eastAsia" w:eastAsia="仿宋_GB2312"/>
                      <w:b w:val="0"/>
                      <w:bCs w:val="0"/>
                      <w:sz w:val="21"/>
                      <w:szCs w:val="21"/>
                      <w:vertAlign w:val="baseline"/>
                      <w:lang w:val="en-US" w:eastAsia="zh-CN"/>
                    </w:rPr>
                    <w:t>是</w:t>
                  </w:r>
                </w:p>
              </w:tc>
            </w:tr>
          </w:tbl>
          <w:p w14:paraId="21E781A2">
            <w:pPr>
              <w:adjustRightInd w:val="0"/>
              <w:snapToGrid w:val="0"/>
              <w:spacing w:line="360" w:lineRule="auto"/>
              <w:ind w:firstLine="422" w:firstLineChars="200"/>
              <w:rPr>
                <w:rFonts w:hint="default" w:eastAsia="仿宋_GB2312"/>
                <w:b/>
                <w:bCs/>
                <w:kern w:val="0"/>
                <w:lang w:val="en-US" w:eastAsia="zh-CN"/>
              </w:rPr>
            </w:pPr>
            <w:r>
              <w:rPr>
                <w:rFonts w:hint="eastAsia" w:eastAsia="仿宋_GB2312"/>
                <w:b/>
                <w:bCs/>
                <w:kern w:val="0"/>
                <w:lang w:val="en-US" w:eastAsia="zh-CN"/>
              </w:rPr>
              <w:t>注：反应罐为串联。</w:t>
            </w:r>
          </w:p>
          <w:p w14:paraId="06ED1185">
            <w:pPr>
              <w:adjustRightInd w:val="0"/>
              <w:snapToGrid w:val="0"/>
              <w:spacing w:line="360" w:lineRule="auto"/>
              <w:ind w:firstLine="422" w:firstLineChars="200"/>
              <w:rPr>
                <w:rFonts w:eastAsia="仿宋_GB2312"/>
                <w:b/>
                <w:bCs/>
                <w:kern w:val="0"/>
              </w:rPr>
            </w:pPr>
            <w:r>
              <w:rPr>
                <w:rFonts w:hint="eastAsia" w:eastAsia="仿宋_GB2312"/>
                <w:b/>
                <w:bCs/>
                <w:kern w:val="0"/>
                <w:lang w:val="en-US" w:eastAsia="zh-CN"/>
              </w:rPr>
              <w:t>七</w:t>
            </w:r>
            <w:r>
              <w:rPr>
                <w:rFonts w:eastAsia="仿宋_GB2312"/>
                <w:b/>
                <w:bCs/>
                <w:kern w:val="0"/>
              </w:rPr>
              <w:t>、主要原辅材料</w:t>
            </w:r>
          </w:p>
          <w:p w14:paraId="23CE7972">
            <w:pPr>
              <w:adjustRightInd w:val="0"/>
              <w:snapToGrid w:val="0"/>
              <w:spacing w:line="360" w:lineRule="auto"/>
              <w:ind w:firstLine="420" w:firstLineChars="200"/>
              <w:rPr>
                <w:rFonts w:eastAsia="仿宋_GB2312"/>
                <w:bCs/>
                <w:kern w:val="0"/>
              </w:rPr>
            </w:pPr>
            <w:r>
              <w:rPr>
                <w:rFonts w:eastAsia="仿宋_GB2312"/>
                <w:bCs/>
                <w:kern w:val="0"/>
              </w:rPr>
              <w:t>项目主要原辅材料消耗见表2-</w:t>
            </w:r>
            <w:r>
              <w:rPr>
                <w:rFonts w:hint="eastAsia" w:eastAsia="仿宋_GB2312"/>
                <w:bCs/>
                <w:kern w:val="0"/>
                <w:lang w:val="en-US" w:eastAsia="zh-CN"/>
              </w:rPr>
              <w:t>9</w:t>
            </w:r>
            <w:r>
              <w:rPr>
                <w:rFonts w:eastAsia="仿宋_GB2312"/>
                <w:bCs/>
                <w:kern w:val="0"/>
              </w:rPr>
              <w:t>，</w:t>
            </w:r>
            <w:r>
              <w:rPr>
                <w:rFonts w:eastAsia="仿宋_GB2312"/>
              </w:rPr>
              <w:t>理化性质见表2-</w:t>
            </w:r>
            <w:r>
              <w:rPr>
                <w:rFonts w:hint="eastAsia" w:eastAsia="仿宋_GB2312"/>
                <w:lang w:val="en-US" w:eastAsia="zh-CN"/>
              </w:rPr>
              <w:t>10</w:t>
            </w:r>
            <w:r>
              <w:rPr>
                <w:rFonts w:eastAsia="仿宋_GB2312"/>
              </w:rPr>
              <w:t>。</w:t>
            </w:r>
          </w:p>
          <w:p w14:paraId="3E04D544">
            <w:pPr>
              <w:adjustRightInd w:val="0"/>
              <w:snapToGrid w:val="0"/>
              <w:spacing w:line="360" w:lineRule="auto"/>
              <w:jc w:val="center"/>
              <w:rPr>
                <w:rFonts w:eastAsia="仿宋_GB2312"/>
                <w:b/>
                <w:kern w:val="0"/>
              </w:rPr>
            </w:pPr>
            <w:r>
              <w:rPr>
                <w:rFonts w:eastAsia="仿宋_GB2312"/>
                <w:b/>
                <w:kern w:val="0"/>
              </w:rPr>
              <w:t>表2-</w:t>
            </w:r>
            <w:r>
              <w:rPr>
                <w:rFonts w:hint="eastAsia" w:eastAsia="仿宋_GB2312"/>
                <w:b/>
                <w:kern w:val="0"/>
                <w:lang w:val="en-US" w:eastAsia="zh-CN"/>
              </w:rPr>
              <w:t xml:space="preserve">9  </w:t>
            </w:r>
            <w:r>
              <w:rPr>
                <w:rFonts w:eastAsia="仿宋_GB2312"/>
                <w:b/>
                <w:kern w:val="0"/>
              </w:rPr>
              <w:t>本项目主要原辅材料消耗一览表</w:t>
            </w:r>
          </w:p>
          <w:tbl>
            <w:tblPr>
              <w:tblStyle w:val="31"/>
              <w:tblW w:w="482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541"/>
              <w:gridCol w:w="781"/>
              <w:gridCol w:w="1452"/>
              <w:gridCol w:w="556"/>
              <w:gridCol w:w="797"/>
              <w:gridCol w:w="797"/>
              <w:gridCol w:w="797"/>
              <w:gridCol w:w="871"/>
              <w:gridCol w:w="1076"/>
            </w:tblGrid>
            <w:tr w14:paraId="0C6C4E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263" w:type="pct"/>
                  <w:vMerge w:val="restart"/>
                  <w:vAlign w:val="center"/>
                </w:tcPr>
                <w:p w14:paraId="3D510181">
                  <w:pPr>
                    <w:adjustRightInd w:val="0"/>
                    <w:snapToGrid w:val="0"/>
                    <w:jc w:val="center"/>
                    <w:rPr>
                      <w:rFonts w:eastAsia="仿宋_GB2312"/>
                      <w:b/>
                      <w:bCs/>
                      <w:kern w:val="0"/>
                      <w:sz w:val="21"/>
                      <w:szCs w:val="21"/>
                    </w:rPr>
                  </w:pPr>
                  <w:r>
                    <w:rPr>
                      <w:rFonts w:hint="eastAsia" w:eastAsia="仿宋_GB2312"/>
                      <w:b/>
                      <w:bCs/>
                      <w:kern w:val="0"/>
                      <w:sz w:val="21"/>
                      <w:szCs w:val="21"/>
                    </w:rPr>
                    <w:t>序号</w:t>
                  </w:r>
                </w:p>
              </w:tc>
              <w:tc>
                <w:tcPr>
                  <w:tcW w:w="334" w:type="pct"/>
                  <w:vMerge w:val="restart"/>
                  <w:vAlign w:val="center"/>
                </w:tcPr>
                <w:p w14:paraId="672EFB72">
                  <w:pPr>
                    <w:adjustRightInd w:val="0"/>
                    <w:snapToGrid w:val="0"/>
                    <w:jc w:val="center"/>
                    <w:rPr>
                      <w:rFonts w:eastAsia="仿宋_GB2312"/>
                      <w:b/>
                      <w:bCs/>
                      <w:kern w:val="0"/>
                      <w:sz w:val="21"/>
                      <w:szCs w:val="21"/>
                    </w:rPr>
                  </w:pPr>
                  <w:r>
                    <w:rPr>
                      <w:rFonts w:eastAsia="仿宋_GB2312"/>
                      <w:b/>
                      <w:bCs/>
                      <w:kern w:val="0"/>
                      <w:sz w:val="21"/>
                      <w:szCs w:val="21"/>
                    </w:rPr>
                    <w:t>使用环节</w:t>
                  </w:r>
                </w:p>
              </w:tc>
              <w:tc>
                <w:tcPr>
                  <w:tcW w:w="482" w:type="pct"/>
                  <w:vMerge w:val="restart"/>
                  <w:vAlign w:val="center"/>
                </w:tcPr>
                <w:p w14:paraId="0208C48A">
                  <w:pPr>
                    <w:adjustRightInd w:val="0"/>
                    <w:snapToGrid w:val="0"/>
                    <w:jc w:val="center"/>
                    <w:rPr>
                      <w:rFonts w:eastAsia="仿宋_GB2312"/>
                      <w:b/>
                      <w:bCs/>
                      <w:kern w:val="0"/>
                      <w:sz w:val="21"/>
                      <w:szCs w:val="21"/>
                    </w:rPr>
                  </w:pPr>
                  <w:r>
                    <w:rPr>
                      <w:rFonts w:eastAsia="仿宋_GB2312"/>
                      <w:b/>
                      <w:bCs/>
                      <w:kern w:val="0"/>
                      <w:sz w:val="21"/>
                      <w:szCs w:val="21"/>
                    </w:rPr>
                    <w:t>物料名称</w:t>
                  </w:r>
                </w:p>
              </w:tc>
              <w:tc>
                <w:tcPr>
                  <w:tcW w:w="896" w:type="pct"/>
                  <w:vMerge w:val="restart"/>
                  <w:vAlign w:val="center"/>
                </w:tcPr>
                <w:p w14:paraId="34C2A276">
                  <w:pPr>
                    <w:adjustRightInd w:val="0"/>
                    <w:snapToGrid w:val="0"/>
                    <w:jc w:val="center"/>
                    <w:rPr>
                      <w:rFonts w:eastAsia="仿宋_GB2312"/>
                      <w:b/>
                      <w:bCs/>
                      <w:kern w:val="0"/>
                      <w:sz w:val="21"/>
                      <w:szCs w:val="21"/>
                    </w:rPr>
                  </w:pPr>
                  <w:r>
                    <w:rPr>
                      <w:rFonts w:eastAsia="仿宋_GB2312"/>
                      <w:b/>
                      <w:bCs/>
                      <w:kern w:val="0"/>
                      <w:sz w:val="21"/>
                      <w:szCs w:val="21"/>
                    </w:rPr>
                    <w:t>规格、成分</w:t>
                  </w:r>
                </w:p>
              </w:tc>
              <w:tc>
                <w:tcPr>
                  <w:tcW w:w="343" w:type="pct"/>
                  <w:vMerge w:val="restart"/>
                  <w:vAlign w:val="center"/>
                </w:tcPr>
                <w:p w14:paraId="4E38C15D">
                  <w:pPr>
                    <w:adjustRightInd w:val="0"/>
                    <w:snapToGrid w:val="0"/>
                    <w:jc w:val="center"/>
                    <w:rPr>
                      <w:rFonts w:eastAsia="仿宋_GB2312"/>
                      <w:b/>
                      <w:bCs/>
                      <w:kern w:val="0"/>
                      <w:sz w:val="21"/>
                      <w:szCs w:val="21"/>
                    </w:rPr>
                  </w:pPr>
                  <w:r>
                    <w:rPr>
                      <w:rFonts w:eastAsia="仿宋_GB2312"/>
                      <w:b/>
                      <w:bCs/>
                      <w:kern w:val="0"/>
                      <w:sz w:val="21"/>
                      <w:szCs w:val="21"/>
                    </w:rPr>
                    <w:t>包装方式</w:t>
                  </w:r>
                </w:p>
              </w:tc>
              <w:tc>
                <w:tcPr>
                  <w:tcW w:w="1476" w:type="pct"/>
                  <w:gridSpan w:val="3"/>
                  <w:vAlign w:val="center"/>
                </w:tcPr>
                <w:p w14:paraId="7336BE22">
                  <w:pPr>
                    <w:adjustRightInd w:val="0"/>
                    <w:snapToGrid w:val="0"/>
                    <w:jc w:val="center"/>
                    <w:rPr>
                      <w:rFonts w:eastAsia="仿宋_GB2312"/>
                      <w:b/>
                      <w:bCs/>
                      <w:kern w:val="0"/>
                      <w:sz w:val="21"/>
                      <w:szCs w:val="21"/>
                    </w:rPr>
                  </w:pPr>
                  <w:bookmarkStart w:id="21" w:name="_Hlk200372600"/>
                  <w:r>
                    <w:rPr>
                      <w:rFonts w:eastAsia="仿宋_GB2312"/>
                      <w:b/>
                      <w:bCs/>
                      <w:kern w:val="0"/>
                      <w:sz w:val="21"/>
                      <w:szCs w:val="21"/>
                    </w:rPr>
                    <w:t>年用量（t/a）</w:t>
                  </w:r>
                  <w:bookmarkEnd w:id="21"/>
                </w:p>
              </w:tc>
              <w:tc>
                <w:tcPr>
                  <w:tcW w:w="537" w:type="pct"/>
                  <w:vMerge w:val="restart"/>
                  <w:vAlign w:val="center"/>
                </w:tcPr>
                <w:p w14:paraId="566A618D">
                  <w:pPr>
                    <w:adjustRightInd w:val="0"/>
                    <w:snapToGrid w:val="0"/>
                    <w:jc w:val="center"/>
                    <w:rPr>
                      <w:rFonts w:eastAsia="仿宋_GB2312"/>
                      <w:b/>
                      <w:bCs/>
                      <w:kern w:val="0"/>
                      <w:sz w:val="21"/>
                      <w:szCs w:val="21"/>
                    </w:rPr>
                  </w:pPr>
                  <w:r>
                    <w:rPr>
                      <w:rFonts w:eastAsia="仿宋_GB2312"/>
                      <w:b/>
                      <w:bCs/>
                      <w:kern w:val="0"/>
                      <w:sz w:val="21"/>
                      <w:szCs w:val="21"/>
                    </w:rPr>
                    <w:t>最大储存量（t/a）</w:t>
                  </w:r>
                </w:p>
              </w:tc>
              <w:tc>
                <w:tcPr>
                  <w:tcW w:w="664" w:type="pct"/>
                  <w:vMerge w:val="restart"/>
                  <w:vAlign w:val="center"/>
                </w:tcPr>
                <w:p w14:paraId="384B551B">
                  <w:pPr>
                    <w:adjustRightInd w:val="0"/>
                    <w:snapToGrid w:val="0"/>
                    <w:jc w:val="center"/>
                    <w:rPr>
                      <w:rFonts w:eastAsia="仿宋_GB2312"/>
                      <w:b/>
                      <w:bCs/>
                      <w:kern w:val="0"/>
                      <w:sz w:val="21"/>
                      <w:szCs w:val="21"/>
                    </w:rPr>
                  </w:pPr>
                  <w:r>
                    <w:rPr>
                      <w:rFonts w:eastAsia="仿宋_GB2312"/>
                      <w:b/>
                      <w:bCs/>
                      <w:kern w:val="0"/>
                      <w:sz w:val="21"/>
                      <w:szCs w:val="21"/>
                    </w:rPr>
                    <w:t>来源及运输</w:t>
                  </w:r>
                </w:p>
              </w:tc>
            </w:tr>
            <w:tr w14:paraId="01C17A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263" w:type="pct"/>
                  <w:vMerge w:val="continue"/>
                  <w:vAlign w:val="center"/>
                </w:tcPr>
                <w:p w14:paraId="3D27596E">
                  <w:pPr>
                    <w:adjustRightInd w:val="0"/>
                    <w:snapToGrid w:val="0"/>
                    <w:jc w:val="center"/>
                  </w:pPr>
                </w:p>
              </w:tc>
              <w:tc>
                <w:tcPr>
                  <w:tcW w:w="334" w:type="pct"/>
                  <w:vMerge w:val="continue"/>
                  <w:vAlign w:val="center"/>
                </w:tcPr>
                <w:p w14:paraId="2FE8D0E8">
                  <w:pPr>
                    <w:adjustRightInd w:val="0"/>
                    <w:snapToGrid w:val="0"/>
                    <w:jc w:val="center"/>
                  </w:pPr>
                </w:p>
              </w:tc>
              <w:tc>
                <w:tcPr>
                  <w:tcW w:w="482" w:type="pct"/>
                  <w:vMerge w:val="continue"/>
                  <w:vAlign w:val="center"/>
                </w:tcPr>
                <w:p w14:paraId="6C1220EA">
                  <w:pPr>
                    <w:adjustRightInd w:val="0"/>
                    <w:snapToGrid w:val="0"/>
                    <w:jc w:val="center"/>
                  </w:pPr>
                </w:p>
              </w:tc>
              <w:tc>
                <w:tcPr>
                  <w:tcW w:w="896" w:type="pct"/>
                  <w:vMerge w:val="continue"/>
                  <w:vAlign w:val="center"/>
                </w:tcPr>
                <w:p w14:paraId="12FD3319">
                  <w:pPr>
                    <w:adjustRightInd w:val="0"/>
                    <w:snapToGrid w:val="0"/>
                    <w:jc w:val="center"/>
                  </w:pPr>
                </w:p>
              </w:tc>
              <w:tc>
                <w:tcPr>
                  <w:tcW w:w="343" w:type="pct"/>
                  <w:vMerge w:val="continue"/>
                  <w:vAlign w:val="center"/>
                </w:tcPr>
                <w:p w14:paraId="2BB9B55A">
                  <w:pPr>
                    <w:adjustRightInd w:val="0"/>
                    <w:snapToGrid w:val="0"/>
                    <w:jc w:val="center"/>
                  </w:pPr>
                </w:p>
              </w:tc>
              <w:tc>
                <w:tcPr>
                  <w:tcW w:w="492" w:type="pct"/>
                  <w:vAlign w:val="center"/>
                </w:tcPr>
                <w:p w14:paraId="7AF7C896">
                  <w:pPr>
                    <w:adjustRightInd w:val="0"/>
                    <w:snapToGrid w:val="0"/>
                    <w:jc w:val="center"/>
                    <w:rPr>
                      <w:rFonts w:ascii="Times New Roman" w:hAnsi="Times New Roman" w:eastAsia="仿宋_GB2312" w:cs="Times New Roman"/>
                      <w:b/>
                      <w:bCs/>
                      <w:kern w:val="0"/>
                      <w:sz w:val="21"/>
                      <w:szCs w:val="21"/>
                    </w:rPr>
                  </w:pPr>
                  <w:r>
                    <w:rPr>
                      <w:rFonts w:hint="eastAsia" w:ascii="Times New Roman" w:hAnsi="Times New Roman" w:eastAsia="仿宋_GB2312" w:cs="Times New Roman"/>
                      <w:b/>
                      <w:bCs/>
                      <w:kern w:val="0"/>
                      <w:sz w:val="21"/>
                      <w:szCs w:val="21"/>
                      <w:lang w:val="en-US" w:eastAsia="zh-CN"/>
                    </w:rPr>
                    <w:t>技改</w:t>
                  </w:r>
                  <w:r>
                    <w:rPr>
                      <w:rFonts w:hint="default" w:ascii="Times New Roman" w:hAnsi="Times New Roman" w:eastAsia="仿宋_GB2312" w:cs="Times New Roman"/>
                      <w:b/>
                      <w:bCs/>
                      <w:kern w:val="0"/>
                      <w:sz w:val="21"/>
                      <w:szCs w:val="21"/>
                    </w:rPr>
                    <w:t>前</w:t>
                  </w:r>
                </w:p>
              </w:tc>
              <w:tc>
                <w:tcPr>
                  <w:tcW w:w="492" w:type="pct"/>
                  <w:vAlign w:val="center"/>
                </w:tcPr>
                <w:p w14:paraId="41D91B17">
                  <w:pPr>
                    <w:adjustRightInd w:val="0"/>
                    <w:snapToGrid w:val="0"/>
                    <w:jc w:val="center"/>
                    <w:rPr>
                      <w:rFonts w:ascii="Times New Roman" w:hAnsi="Times New Roman" w:eastAsia="仿宋_GB2312" w:cs="Times New Roman"/>
                      <w:b/>
                      <w:bCs/>
                      <w:kern w:val="0"/>
                      <w:sz w:val="21"/>
                      <w:szCs w:val="21"/>
                    </w:rPr>
                  </w:pPr>
                  <w:r>
                    <w:rPr>
                      <w:rFonts w:hint="eastAsia" w:ascii="Times New Roman" w:hAnsi="Times New Roman" w:eastAsia="仿宋_GB2312" w:cs="Times New Roman"/>
                      <w:b/>
                      <w:bCs/>
                      <w:kern w:val="0"/>
                      <w:sz w:val="21"/>
                      <w:szCs w:val="21"/>
                      <w:lang w:val="en-US" w:eastAsia="zh-CN"/>
                    </w:rPr>
                    <w:t>技改</w:t>
                  </w:r>
                  <w:r>
                    <w:rPr>
                      <w:rFonts w:hint="default" w:ascii="Times New Roman" w:hAnsi="Times New Roman" w:eastAsia="仿宋_GB2312" w:cs="Times New Roman"/>
                      <w:b/>
                      <w:bCs/>
                      <w:kern w:val="0"/>
                      <w:sz w:val="21"/>
                      <w:szCs w:val="21"/>
                    </w:rPr>
                    <w:t>后</w:t>
                  </w:r>
                </w:p>
              </w:tc>
              <w:tc>
                <w:tcPr>
                  <w:tcW w:w="492" w:type="pct"/>
                  <w:vAlign w:val="center"/>
                </w:tcPr>
                <w:p w14:paraId="6D4347D2">
                  <w:pPr>
                    <w:adjustRightInd w:val="0"/>
                    <w:snapToGrid w:val="0"/>
                    <w:jc w:val="center"/>
                    <w:rPr>
                      <w:rFonts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rPr>
                    <w:t>增减量</w:t>
                  </w:r>
                </w:p>
              </w:tc>
              <w:tc>
                <w:tcPr>
                  <w:tcW w:w="537" w:type="pct"/>
                  <w:vMerge w:val="continue"/>
                  <w:vAlign w:val="center"/>
                </w:tcPr>
                <w:p w14:paraId="5EAE0D2A">
                  <w:pPr>
                    <w:adjustRightInd w:val="0"/>
                    <w:snapToGrid w:val="0"/>
                    <w:jc w:val="center"/>
                  </w:pPr>
                </w:p>
              </w:tc>
              <w:tc>
                <w:tcPr>
                  <w:tcW w:w="664" w:type="pct"/>
                  <w:vMerge w:val="continue"/>
                  <w:vAlign w:val="center"/>
                </w:tcPr>
                <w:p w14:paraId="06304C0D">
                  <w:pPr>
                    <w:adjustRightInd w:val="0"/>
                    <w:snapToGrid w:val="0"/>
                    <w:jc w:val="center"/>
                  </w:pPr>
                </w:p>
              </w:tc>
            </w:tr>
            <w:tr w14:paraId="4268FD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263" w:type="pct"/>
                  <w:vAlign w:val="center"/>
                </w:tcPr>
                <w:p w14:paraId="04E71B74">
                  <w:pPr>
                    <w:adjustRightInd w:val="0"/>
                    <w:snapToGrid w:val="0"/>
                    <w:jc w:val="center"/>
                    <w:rPr>
                      <w:rFonts w:eastAsia="仿宋_GB2312"/>
                      <w:bCs/>
                      <w:color w:val="000000" w:themeColor="text1"/>
                      <w:sz w:val="21"/>
                      <w:szCs w:val="21"/>
                    </w:rPr>
                  </w:pPr>
                  <w:r>
                    <w:rPr>
                      <w:rFonts w:hint="eastAsia" w:eastAsia="仿宋_GB2312"/>
                      <w:bCs/>
                      <w:color w:val="000000" w:themeColor="text1"/>
                      <w:sz w:val="21"/>
                      <w:szCs w:val="21"/>
                    </w:rPr>
                    <w:t>1</w:t>
                  </w:r>
                </w:p>
              </w:tc>
              <w:tc>
                <w:tcPr>
                  <w:tcW w:w="334" w:type="pct"/>
                  <w:vMerge w:val="restart"/>
                  <w:vAlign w:val="center"/>
                </w:tcPr>
                <w:p w14:paraId="7DAC1939">
                  <w:pPr>
                    <w:adjustRightInd w:val="0"/>
                    <w:snapToGrid w:val="0"/>
                    <w:jc w:val="center"/>
                    <w:rPr>
                      <w:rFonts w:eastAsia="仿宋_GB2312"/>
                      <w:bCs/>
                      <w:color w:val="000000" w:themeColor="text1"/>
                      <w:sz w:val="21"/>
                      <w:szCs w:val="21"/>
                    </w:rPr>
                  </w:pPr>
                  <w:r>
                    <w:rPr>
                      <w:rFonts w:eastAsia="仿宋_GB2312"/>
                      <w:bCs/>
                      <w:color w:val="000000" w:themeColor="text1"/>
                      <w:sz w:val="21"/>
                      <w:szCs w:val="21"/>
                    </w:rPr>
                    <w:t>生产</w:t>
                  </w:r>
                </w:p>
              </w:tc>
              <w:tc>
                <w:tcPr>
                  <w:tcW w:w="482" w:type="pct"/>
                  <w:vAlign w:val="center"/>
                </w:tcPr>
                <w:p w14:paraId="7C2C3083">
                  <w:pPr>
                    <w:adjustRightInd w:val="0"/>
                    <w:snapToGrid w:val="0"/>
                    <w:jc w:val="center"/>
                    <w:rPr>
                      <w:rFonts w:eastAsia="仿宋_GB2312"/>
                      <w:color w:val="000000" w:themeColor="text1"/>
                      <w:sz w:val="21"/>
                      <w:szCs w:val="21"/>
                    </w:rPr>
                  </w:pPr>
                  <w:bookmarkStart w:id="22" w:name="_Hlk200372577"/>
                  <w:r>
                    <w:rPr>
                      <w:rFonts w:eastAsia="仿宋_GB2312"/>
                      <w:bCs/>
                      <w:color w:val="000000" w:themeColor="text1"/>
                      <w:sz w:val="21"/>
                      <w:szCs w:val="21"/>
                    </w:rPr>
                    <w:t>原卤</w:t>
                  </w:r>
                  <w:bookmarkEnd w:id="22"/>
                </w:p>
              </w:tc>
              <w:tc>
                <w:tcPr>
                  <w:tcW w:w="896" w:type="pct"/>
                  <w:vAlign w:val="center"/>
                </w:tcPr>
                <w:p w14:paraId="45062607">
                  <w:pPr>
                    <w:adjustRightInd w:val="0"/>
                    <w:snapToGrid w:val="0"/>
                    <w:jc w:val="center"/>
                    <w:rPr>
                      <w:rFonts w:eastAsia="仿宋_GB2312"/>
                      <w:bCs/>
                      <w:color w:val="000000" w:themeColor="text1"/>
                      <w:sz w:val="21"/>
                      <w:szCs w:val="21"/>
                    </w:rPr>
                  </w:pPr>
                  <w:r>
                    <w:rPr>
                      <w:rFonts w:eastAsia="仿宋_GB2312"/>
                      <w:bCs/>
                      <w:color w:val="000000" w:themeColor="text1"/>
                      <w:sz w:val="21"/>
                      <w:szCs w:val="21"/>
                    </w:rPr>
                    <w:t>NaCl、CaCl</w:t>
                  </w:r>
                  <w:r>
                    <w:rPr>
                      <w:rFonts w:eastAsia="仿宋_GB2312"/>
                      <w:bCs/>
                      <w:color w:val="000000" w:themeColor="text1"/>
                      <w:sz w:val="21"/>
                      <w:szCs w:val="21"/>
                      <w:vertAlign w:val="subscript"/>
                    </w:rPr>
                    <w:t>2</w:t>
                  </w:r>
                  <w:r>
                    <w:rPr>
                      <w:rFonts w:eastAsia="仿宋_GB2312"/>
                      <w:bCs/>
                      <w:color w:val="000000" w:themeColor="text1"/>
                      <w:sz w:val="21"/>
                      <w:szCs w:val="21"/>
                    </w:rPr>
                    <w:t>、MgCl</w:t>
                  </w:r>
                  <w:r>
                    <w:rPr>
                      <w:rFonts w:eastAsia="仿宋_GB2312"/>
                      <w:bCs/>
                      <w:color w:val="000000" w:themeColor="text1"/>
                      <w:sz w:val="21"/>
                      <w:szCs w:val="21"/>
                      <w:vertAlign w:val="subscript"/>
                    </w:rPr>
                    <w:t>2</w:t>
                  </w:r>
                </w:p>
              </w:tc>
              <w:tc>
                <w:tcPr>
                  <w:tcW w:w="343" w:type="pct"/>
                  <w:vAlign w:val="center"/>
                </w:tcPr>
                <w:p w14:paraId="5A8F7415">
                  <w:pPr>
                    <w:adjustRightInd w:val="0"/>
                    <w:snapToGrid w:val="0"/>
                    <w:jc w:val="center"/>
                    <w:rPr>
                      <w:rFonts w:eastAsia="仿宋_GB2312"/>
                      <w:color w:val="000000" w:themeColor="text1"/>
                      <w:sz w:val="21"/>
                      <w:szCs w:val="21"/>
                    </w:rPr>
                  </w:pPr>
                  <w:r>
                    <w:rPr>
                      <w:rFonts w:eastAsia="仿宋_GB2312"/>
                      <w:color w:val="000000" w:themeColor="text1"/>
                      <w:sz w:val="21"/>
                      <w:szCs w:val="21"/>
                    </w:rPr>
                    <w:t>管道</w:t>
                  </w:r>
                </w:p>
              </w:tc>
              <w:tc>
                <w:tcPr>
                  <w:tcW w:w="492" w:type="pct"/>
                  <w:vAlign w:val="center"/>
                </w:tcPr>
                <w:p w14:paraId="1C6B2980">
                  <w:pPr>
                    <w:adjustRightInd w:val="0"/>
                    <w:snapToGrid w:val="0"/>
                    <w:jc w:val="center"/>
                    <w:rPr>
                      <w:rFonts w:eastAsia="仿宋_GB2312"/>
                      <w:color w:val="000000" w:themeColor="text1"/>
                      <w:sz w:val="21"/>
                      <w:szCs w:val="21"/>
                    </w:rPr>
                  </w:pPr>
                  <w:r>
                    <w:rPr>
                      <w:rFonts w:hint="eastAsia" w:eastAsia="仿宋_GB2312"/>
                      <w:color w:val="000000"/>
                      <w:kern w:val="0"/>
                      <w:sz w:val="21"/>
                      <w:szCs w:val="21"/>
                    </w:rPr>
                    <w:t>5</w:t>
                  </w:r>
                  <w:r>
                    <w:rPr>
                      <w:rFonts w:hint="eastAsia" w:eastAsia="仿宋_GB2312"/>
                      <w:color w:val="000000"/>
                      <w:kern w:val="0"/>
                      <w:sz w:val="21"/>
                      <w:szCs w:val="21"/>
                      <w:lang w:val="en-US" w:eastAsia="zh-CN"/>
                    </w:rPr>
                    <w:t>55.1</w:t>
                  </w:r>
                  <w:r>
                    <w:rPr>
                      <w:rFonts w:eastAsia="仿宋_GB2312"/>
                      <w:color w:val="000000" w:themeColor="text1"/>
                      <w:sz w:val="21"/>
                      <w:szCs w:val="21"/>
                    </w:rPr>
                    <w:t>万</w:t>
                  </w:r>
                </w:p>
              </w:tc>
              <w:tc>
                <w:tcPr>
                  <w:tcW w:w="492" w:type="pct"/>
                  <w:vAlign w:val="center"/>
                </w:tcPr>
                <w:p w14:paraId="4B873611">
                  <w:pPr>
                    <w:adjustRightInd w:val="0"/>
                    <w:snapToGrid w:val="0"/>
                    <w:jc w:val="center"/>
                    <w:rPr>
                      <w:rFonts w:eastAsia="仿宋_GB2312"/>
                      <w:color w:val="000000" w:themeColor="text1"/>
                      <w:sz w:val="21"/>
                      <w:szCs w:val="21"/>
                    </w:rPr>
                  </w:pPr>
                  <w:r>
                    <w:rPr>
                      <w:rFonts w:hint="eastAsia" w:eastAsia="仿宋_GB2312"/>
                      <w:color w:val="000000"/>
                      <w:kern w:val="0"/>
                      <w:sz w:val="21"/>
                      <w:szCs w:val="21"/>
                    </w:rPr>
                    <w:t>5</w:t>
                  </w:r>
                  <w:r>
                    <w:rPr>
                      <w:rFonts w:hint="eastAsia" w:eastAsia="仿宋_GB2312"/>
                      <w:color w:val="000000"/>
                      <w:kern w:val="0"/>
                      <w:sz w:val="21"/>
                      <w:szCs w:val="21"/>
                      <w:lang w:val="en-US" w:eastAsia="zh-CN"/>
                    </w:rPr>
                    <w:t>55.1</w:t>
                  </w:r>
                  <w:r>
                    <w:rPr>
                      <w:rFonts w:eastAsia="仿宋_GB2312"/>
                      <w:color w:val="000000" w:themeColor="text1"/>
                      <w:sz w:val="21"/>
                      <w:szCs w:val="21"/>
                    </w:rPr>
                    <w:t>万</w:t>
                  </w:r>
                </w:p>
              </w:tc>
              <w:tc>
                <w:tcPr>
                  <w:tcW w:w="492" w:type="pct"/>
                  <w:vAlign w:val="center"/>
                </w:tcPr>
                <w:p w14:paraId="76DDA047">
                  <w:pPr>
                    <w:adjustRightInd w:val="0"/>
                    <w:snapToGrid w:val="0"/>
                    <w:jc w:val="center"/>
                    <w:rPr>
                      <w:rFonts w:hint="eastAsia" w:eastAsia="仿宋_GB2312"/>
                      <w:color w:val="000000" w:themeColor="text1"/>
                      <w:sz w:val="21"/>
                      <w:szCs w:val="21"/>
                      <w:lang w:val="en-US" w:eastAsia="zh-CN"/>
                    </w:rPr>
                  </w:pPr>
                  <w:r>
                    <w:rPr>
                      <w:rFonts w:hint="eastAsia" w:eastAsia="仿宋_GB2312"/>
                      <w:color w:val="000000" w:themeColor="text1"/>
                      <w:sz w:val="21"/>
                      <w:szCs w:val="21"/>
                      <w:lang w:val="en-US" w:eastAsia="zh-CN"/>
                    </w:rPr>
                    <w:t>0</w:t>
                  </w:r>
                </w:p>
              </w:tc>
              <w:tc>
                <w:tcPr>
                  <w:tcW w:w="537" w:type="pct"/>
                  <w:vAlign w:val="center"/>
                </w:tcPr>
                <w:p w14:paraId="51CB6159">
                  <w:pPr>
                    <w:adjustRightInd w:val="0"/>
                    <w:snapToGrid w:val="0"/>
                    <w:jc w:val="center"/>
                    <w:rPr>
                      <w:rFonts w:eastAsia="仿宋_GB2312"/>
                      <w:color w:val="000000" w:themeColor="text1"/>
                      <w:sz w:val="21"/>
                      <w:szCs w:val="21"/>
                    </w:rPr>
                  </w:pPr>
                  <w:r>
                    <w:rPr>
                      <w:rFonts w:eastAsia="仿宋_GB2312"/>
                      <w:color w:val="000000" w:themeColor="text1"/>
                      <w:sz w:val="21"/>
                      <w:szCs w:val="21"/>
                    </w:rPr>
                    <w:t>/</w:t>
                  </w:r>
                </w:p>
              </w:tc>
              <w:tc>
                <w:tcPr>
                  <w:tcW w:w="664" w:type="pct"/>
                  <w:vAlign w:val="center"/>
                </w:tcPr>
                <w:p w14:paraId="75E46BF5">
                  <w:pPr>
                    <w:adjustRightInd w:val="0"/>
                    <w:snapToGrid w:val="0"/>
                    <w:jc w:val="center"/>
                    <w:rPr>
                      <w:rFonts w:eastAsia="仿宋_GB2312"/>
                      <w:color w:val="000000" w:themeColor="text1"/>
                      <w:kern w:val="0"/>
                      <w:sz w:val="21"/>
                      <w:szCs w:val="21"/>
                    </w:rPr>
                  </w:pPr>
                  <w:r>
                    <w:rPr>
                      <w:rFonts w:eastAsia="仿宋_GB2312"/>
                      <w:color w:val="000000" w:themeColor="text1"/>
                      <w:kern w:val="0"/>
                      <w:sz w:val="21"/>
                      <w:szCs w:val="21"/>
                    </w:rPr>
                    <w:t>盐矿，管道输送</w:t>
                  </w:r>
                </w:p>
              </w:tc>
            </w:tr>
            <w:tr w14:paraId="7E7B9A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263" w:type="pct"/>
                  <w:vAlign w:val="center"/>
                </w:tcPr>
                <w:p w14:paraId="46D34D3A">
                  <w:pPr>
                    <w:adjustRightInd w:val="0"/>
                    <w:snapToGrid w:val="0"/>
                    <w:jc w:val="center"/>
                    <w:rPr>
                      <w:rFonts w:eastAsia="仿宋_GB2312"/>
                      <w:bCs/>
                      <w:color w:val="000000" w:themeColor="text1"/>
                      <w:sz w:val="21"/>
                      <w:szCs w:val="21"/>
                    </w:rPr>
                  </w:pPr>
                  <w:r>
                    <w:rPr>
                      <w:rFonts w:hint="eastAsia" w:eastAsia="仿宋_GB2312"/>
                      <w:bCs/>
                      <w:color w:val="000000" w:themeColor="text1"/>
                      <w:sz w:val="21"/>
                      <w:szCs w:val="21"/>
                    </w:rPr>
                    <w:t>2</w:t>
                  </w:r>
                </w:p>
              </w:tc>
              <w:tc>
                <w:tcPr>
                  <w:tcW w:w="334" w:type="pct"/>
                  <w:vMerge w:val="continue"/>
                  <w:vAlign w:val="center"/>
                </w:tcPr>
                <w:p w14:paraId="437F64CA">
                  <w:pPr>
                    <w:adjustRightInd w:val="0"/>
                    <w:snapToGrid w:val="0"/>
                    <w:jc w:val="center"/>
                    <w:rPr>
                      <w:rFonts w:eastAsia="仿宋_GB2312"/>
                      <w:bCs/>
                      <w:color w:val="000000" w:themeColor="text1"/>
                      <w:sz w:val="21"/>
                      <w:szCs w:val="21"/>
                    </w:rPr>
                  </w:pPr>
                </w:p>
              </w:tc>
              <w:tc>
                <w:tcPr>
                  <w:tcW w:w="482" w:type="pct"/>
                  <w:vAlign w:val="center"/>
                </w:tcPr>
                <w:p w14:paraId="43483D6E">
                  <w:pPr>
                    <w:adjustRightInd w:val="0"/>
                    <w:snapToGrid w:val="0"/>
                    <w:jc w:val="center"/>
                    <w:rPr>
                      <w:rFonts w:eastAsia="仿宋_GB2312"/>
                      <w:bCs/>
                      <w:sz w:val="21"/>
                      <w:szCs w:val="21"/>
                    </w:rPr>
                  </w:pPr>
                  <w:bookmarkStart w:id="23" w:name="_Hlk200372626"/>
                  <w:r>
                    <w:rPr>
                      <w:rFonts w:eastAsia="仿宋_GB2312"/>
                      <w:sz w:val="21"/>
                      <w:szCs w:val="21"/>
                    </w:rPr>
                    <w:t>液碱</w:t>
                  </w:r>
                  <w:bookmarkEnd w:id="23"/>
                </w:p>
              </w:tc>
              <w:tc>
                <w:tcPr>
                  <w:tcW w:w="896" w:type="pct"/>
                  <w:vAlign w:val="center"/>
                </w:tcPr>
                <w:p w14:paraId="16E7BDEF">
                  <w:pPr>
                    <w:adjustRightInd w:val="0"/>
                    <w:snapToGrid w:val="0"/>
                    <w:jc w:val="center"/>
                    <w:rPr>
                      <w:rFonts w:eastAsia="仿宋_GB2312"/>
                      <w:bCs/>
                      <w:color w:val="000000" w:themeColor="text1"/>
                      <w:sz w:val="21"/>
                      <w:szCs w:val="21"/>
                    </w:rPr>
                  </w:pPr>
                  <w:r>
                    <w:rPr>
                      <w:rFonts w:hint="eastAsia" w:ascii="Times New Roman" w:hAnsi="Times New Roman" w:eastAsia="仿宋_GB2312" w:cs="Times New Roman"/>
                      <w:bCs/>
                      <w:color w:val="000000" w:themeColor="text1"/>
                      <w:sz w:val="21"/>
                      <w:szCs w:val="21"/>
                      <w:lang w:val="en-US" w:eastAsia="zh-CN"/>
                    </w:rPr>
                    <w:t xml:space="preserve">30% </w:t>
                  </w:r>
                  <w:r>
                    <w:rPr>
                      <w:rFonts w:eastAsia="仿宋_GB2312"/>
                      <w:bCs/>
                      <w:color w:val="000000" w:themeColor="text1"/>
                      <w:sz w:val="21"/>
                      <w:szCs w:val="21"/>
                    </w:rPr>
                    <w:t>NaOH</w:t>
                  </w:r>
                </w:p>
              </w:tc>
              <w:tc>
                <w:tcPr>
                  <w:tcW w:w="343" w:type="pct"/>
                  <w:vAlign w:val="center"/>
                </w:tcPr>
                <w:p w14:paraId="4372CB01">
                  <w:pPr>
                    <w:adjustRightInd w:val="0"/>
                    <w:snapToGrid w:val="0"/>
                    <w:jc w:val="center"/>
                    <w:rPr>
                      <w:rFonts w:eastAsia="仿宋_GB2312"/>
                      <w:color w:val="000000" w:themeColor="text1"/>
                      <w:sz w:val="21"/>
                      <w:szCs w:val="21"/>
                    </w:rPr>
                  </w:pPr>
                  <w:r>
                    <w:rPr>
                      <w:rFonts w:eastAsia="仿宋_GB2312"/>
                      <w:color w:val="000000" w:themeColor="text1"/>
                      <w:sz w:val="21"/>
                      <w:szCs w:val="21"/>
                    </w:rPr>
                    <w:t>罐装</w:t>
                  </w:r>
                </w:p>
              </w:tc>
              <w:tc>
                <w:tcPr>
                  <w:tcW w:w="492" w:type="pct"/>
                  <w:vAlign w:val="center"/>
                </w:tcPr>
                <w:p w14:paraId="520FCE59">
                  <w:pPr>
                    <w:adjustRightInd w:val="0"/>
                    <w:snapToGrid w:val="0"/>
                    <w:jc w:val="center"/>
                    <w:rPr>
                      <w:rFonts w:hint="default" w:eastAsia="仿宋_GB2312"/>
                      <w:color w:val="000000" w:themeColor="text1"/>
                      <w:sz w:val="21"/>
                      <w:szCs w:val="21"/>
                      <w:lang w:val="en-US" w:eastAsia="zh-CN"/>
                    </w:rPr>
                  </w:pPr>
                  <w:r>
                    <w:rPr>
                      <w:rFonts w:hint="eastAsia" w:eastAsia="仿宋_GB2312"/>
                      <w:color w:val="000000" w:themeColor="text1"/>
                      <w:sz w:val="21"/>
                      <w:szCs w:val="21"/>
                      <w:lang w:val="en-US" w:eastAsia="zh-CN"/>
                    </w:rPr>
                    <w:t>1500</w:t>
                  </w:r>
                </w:p>
              </w:tc>
              <w:tc>
                <w:tcPr>
                  <w:tcW w:w="492" w:type="pct"/>
                  <w:vAlign w:val="center"/>
                </w:tcPr>
                <w:p w14:paraId="5C2605DC">
                  <w:pPr>
                    <w:adjustRightInd w:val="0"/>
                    <w:snapToGrid w:val="0"/>
                    <w:jc w:val="center"/>
                    <w:rPr>
                      <w:rFonts w:hint="eastAsia" w:eastAsia="仿宋_GB2312"/>
                      <w:color w:val="000000" w:themeColor="text1"/>
                      <w:sz w:val="21"/>
                      <w:szCs w:val="21"/>
                      <w:lang w:val="en-US" w:eastAsia="zh-CN"/>
                    </w:rPr>
                  </w:pPr>
                  <w:r>
                    <w:rPr>
                      <w:rFonts w:hint="eastAsia" w:eastAsia="仿宋_GB2312"/>
                      <w:color w:val="000000" w:themeColor="text1"/>
                      <w:sz w:val="21"/>
                      <w:szCs w:val="21"/>
                      <w:lang w:val="en-US" w:eastAsia="zh-CN"/>
                    </w:rPr>
                    <w:t>1960</w:t>
                  </w:r>
                </w:p>
              </w:tc>
              <w:tc>
                <w:tcPr>
                  <w:tcW w:w="492" w:type="pct"/>
                  <w:vAlign w:val="center"/>
                </w:tcPr>
                <w:p w14:paraId="46BA74E1">
                  <w:pPr>
                    <w:adjustRightInd w:val="0"/>
                    <w:snapToGrid w:val="0"/>
                    <w:jc w:val="center"/>
                    <w:rPr>
                      <w:rFonts w:hint="default" w:eastAsia="仿宋_GB2312"/>
                      <w:color w:val="000000" w:themeColor="text1"/>
                      <w:sz w:val="21"/>
                      <w:szCs w:val="21"/>
                      <w:lang w:val="en-US" w:eastAsia="zh-CN"/>
                    </w:rPr>
                  </w:pPr>
                  <w:r>
                    <w:rPr>
                      <w:rFonts w:hint="eastAsia" w:ascii="宋体" w:hAnsi="宋体" w:cs="宋体"/>
                      <w:color w:val="000000" w:themeColor="text1"/>
                      <w:sz w:val="21"/>
                      <w:szCs w:val="21"/>
                      <w:lang w:val="en-US" w:eastAsia="zh-CN"/>
                    </w:rPr>
                    <w:t>+</w:t>
                  </w:r>
                  <w:r>
                    <w:rPr>
                      <w:rFonts w:hint="eastAsia" w:eastAsia="仿宋_GB2312"/>
                      <w:color w:val="000000" w:themeColor="text1"/>
                      <w:sz w:val="21"/>
                      <w:szCs w:val="21"/>
                      <w:lang w:val="en-US" w:eastAsia="zh-CN"/>
                    </w:rPr>
                    <w:t>460</w:t>
                  </w:r>
                </w:p>
              </w:tc>
              <w:tc>
                <w:tcPr>
                  <w:tcW w:w="537" w:type="pct"/>
                  <w:vAlign w:val="center"/>
                </w:tcPr>
                <w:p w14:paraId="7EA913A3">
                  <w:pPr>
                    <w:adjustRightInd w:val="0"/>
                    <w:snapToGrid w:val="0"/>
                    <w:jc w:val="center"/>
                    <w:rPr>
                      <w:rFonts w:hint="default" w:eastAsia="仿宋_GB2312"/>
                      <w:sz w:val="21"/>
                      <w:szCs w:val="21"/>
                      <w:lang w:val="en-US" w:eastAsia="zh-CN"/>
                    </w:rPr>
                  </w:pPr>
                  <w:r>
                    <w:rPr>
                      <w:rFonts w:hint="eastAsia" w:eastAsia="仿宋_GB2312"/>
                      <w:bCs/>
                      <w:color w:val="auto"/>
                      <w:sz w:val="21"/>
                      <w:szCs w:val="21"/>
                      <w:lang w:val="en-US" w:eastAsia="zh-CN"/>
                    </w:rPr>
                    <w:t>60</w:t>
                  </w:r>
                </w:p>
              </w:tc>
              <w:tc>
                <w:tcPr>
                  <w:tcW w:w="664" w:type="pct"/>
                  <w:vAlign w:val="center"/>
                </w:tcPr>
                <w:p w14:paraId="620668D9">
                  <w:pPr>
                    <w:adjustRightInd w:val="0"/>
                    <w:snapToGrid w:val="0"/>
                    <w:jc w:val="center"/>
                    <w:rPr>
                      <w:rFonts w:eastAsia="仿宋_GB2312"/>
                      <w:color w:val="000000" w:themeColor="text1"/>
                      <w:kern w:val="0"/>
                      <w:sz w:val="21"/>
                      <w:szCs w:val="21"/>
                    </w:rPr>
                  </w:pPr>
                  <w:r>
                    <w:rPr>
                      <w:rFonts w:eastAsia="仿宋_GB2312"/>
                      <w:color w:val="000000" w:themeColor="text1"/>
                      <w:kern w:val="0"/>
                      <w:sz w:val="21"/>
                      <w:szCs w:val="21"/>
                    </w:rPr>
                    <w:t>江苏采购，汽运</w:t>
                  </w:r>
                </w:p>
              </w:tc>
            </w:tr>
            <w:tr w14:paraId="036D4F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263" w:type="pct"/>
                  <w:vAlign w:val="center"/>
                </w:tcPr>
                <w:p w14:paraId="6A4C9BE1">
                  <w:pPr>
                    <w:adjustRightInd w:val="0"/>
                    <w:snapToGrid w:val="0"/>
                    <w:jc w:val="center"/>
                    <w:rPr>
                      <w:rFonts w:eastAsia="仿宋_GB2312"/>
                      <w:bCs/>
                      <w:color w:val="000000" w:themeColor="text1"/>
                      <w:sz w:val="21"/>
                      <w:szCs w:val="21"/>
                    </w:rPr>
                  </w:pPr>
                  <w:r>
                    <w:rPr>
                      <w:rFonts w:hint="eastAsia" w:eastAsia="仿宋_GB2312"/>
                      <w:bCs/>
                      <w:color w:val="000000" w:themeColor="text1"/>
                      <w:sz w:val="21"/>
                      <w:szCs w:val="21"/>
                    </w:rPr>
                    <w:t>3</w:t>
                  </w:r>
                </w:p>
              </w:tc>
              <w:tc>
                <w:tcPr>
                  <w:tcW w:w="334" w:type="pct"/>
                  <w:vMerge w:val="continue"/>
                  <w:vAlign w:val="center"/>
                </w:tcPr>
                <w:p w14:paraId="63FCA415">
                  <w:pPr>
                    <w:adjustRightInd w:val="0"/>
                    <w:snapToGrid w:val="0"/>
                    <w:jc w:val="center"/>
                    <w:rPr>
                      <w:rFonts w:eastAsia="仿宋_GB2312"/>
                      <w:bCs/>
                      <w:color w:val="000000" w:themeColor="text1"/>
                      <w:sz w:val="21"/>
                      <w:szCs w:val="21"/>
                    </w:rPr>
                  </w:pPr>
                </w:p>
              </w:tc>
              <w:tc>
                <w:tcPr>
                  <w:tcW w:w="482" w:type="pct"/>
                  <w:vAlign w:val="center"/>
                </w:tcPr>
                <w:p w14:paraId="64E14A7C">
                  <w:pPr>
                    <w:adjustRightInd w:val="0"/>
                    <w:snapToGrid w:val="0"/>
                    <w:jc w:val="center"/>
                    <w:rPr>
                      <w:rFonts w:eastAsia="仿宋_GB2312"/>
                      <w:bCs/>
                      <w:sz w:val="21"/>
                      <w:szCs w:val="21"/>
                    </w:rPr>
                  </w:pPr>
                  <w:r>
                    <w:rPr>
                      <w:rFonts w:eastAsia="仿宋_GB2312"/>
                      <w:sz w:val="21"/>
                      <w:szCs w:val="21"/>
                    </w:rPr>
                    <w:t>盐酸</w:t>
                  </w:r>
                </w:p>
              </w:tc>
              <w:tc>
                <w:tcPr>
                  <w:tcW w:w="896" w:type="pct"/>
                  <w:vAlign w:val="center"/>
                </w:tcPr>
                <w:p w14:paraId="33579589">
                  <w:pPr>
                    <w:adjustRightInd w:val="0"/>
                    <w:snapToGrid w:val="0"/>
                    <w:jc w:val="center"/>
                    <w:rPr>
                      <w:rFonts w:hint="eastAsia" w:ascii="Times New Roman" w:hAnsi="Times New Roman" w:eastAsia="仿宋_GB2312" w:cs="Times New Roman"/>
                      <w:bCs/>
                      <w:color w:val="000000" w:themeColor="text1"/>
                      <w:sz w:val="21"/>
                      <w:szCs w:val="21"/>
                      <w:lang w:val="en-US" w:eastAsia="zh-CN"/>
                    </w:rPr>
                  </w:pPr>
                  <w:r>
                    <w:rPr>
                      <w:rFonts w:hint="eastAsia" w:ascii="Times New Roman" w:hAnsi="Times New Roman" w:eastAsia="仿宋_GB2312" w:cs="Times New Roman"/>
                      <w:bCs/>
                      <w:color w:val="000000" w:themeColor="text1"/>
                      <w:sz w:val="21"/>
                      <w:szCs w:val="21"/>
                      <w:lang w:val="en-US" w:eastAsia="zh-CN"/>
                    </w:rPr>
                    <w:t>30% HCL</w:t>
                  </w:r>
                </w:p>
              </w:tc>
              <w:tc>
                <w:tcPr>
                  <w:tcW w:w="343" w:type="pct"/>
                  <w:vAlign w:val="center"/>
                </w:tcPr>
                <w:p w14:paraId="46E9AE19">
                  <w:pPr>
                    <w:adjustRightInd w:val="0"/>
                    <w:snapToGrid w:val="0"/>
                    <w:jc w:val="center"/>
                    <w:rPr>
                      <w:rFonts w:eastAsia="仿宋_GB2312"/>
                      <w:color w:val="000000" w:themeColor="text1"/>
                      <w:sz w:val="21"/>
                      <w:szCs w:val="21"/>
                    </w:rPr>
                  </w:pPr>
                  <w:r>
                    <w:rPr>
                      <w:rFonts w:eastAsia="仿宋_GB2312"/>
                      <w:color w:val="000000" w:themeColor="text1"/>
                      <w:sz w:val="21"/>
                      <w:szCs w:val="21"/>
                    </w:rPr>
                    <w:t>罐装</w:t>
                  </w:r>
                </w:p>
              </w:tc>
              <w:tc>
                <w:tcPr>
                  <w:tcW w:w="492" w:type="pct"/>
                  <w:vAlign w:val="center"/>
                </w:tcPr>
                <w:p w14:paraId="682A95F9">
                  <w:pPr>
                    <w:adjustRightInd w:val="0"/>
                    <w:snapToGrid w:val="0"/>
                    <w:jc w:val="center"/>
                    <w:rPr>
                      <w:rFonts w:hint="default" w:eastAsia="仿宋_GB2312"/>
                      <w:color w:val="000000" w:themeColor="text1"/>
                      <w:sz w:val="21"/>
                      <w:szCs w:val="21"/>
                      <w:lang w:val="en-US" w:eastAsia="zh-CN"/>
                    </w:rPr>
                  </w:pPr>
                  <w:r>
                    <w:rPr>
                      <w:rFonts w:hint="eastAsia" w:eastAsia="仿宋_GB2312"/>
                      <w:color w:val="000000" w:themeColor="text1"/>
                      <w:sz w:val="21"/>
                      <w:szCs w:val="21"/>
                      <w:lang w:val="en-US" w:eastAsia="zh-CN"/>
                    </w:rPr>
                    <w:t>0</w:t>
                  </w:r>
                </w:p>
              </w:tc>
              <w:tc>
                <w:tcPr>
                  <w:tcW w:w="492" w:type="pct"/>
                  <w:vAlign w:val="center"/>
                </w:tcPr>
                <w:p w14:paraId="60E41F94">
                  <w:pPr>
                    <w:adjustRightInd w:val="0"/>
                    <w:snapToGrid w:val="0"/>
                    <w:jc w:val="center"/>
                    <w:rPr>
                      <w:rFonts w:hint="eastAsia" w:eastAsia="仿宋_GB2312"/>
                      <w:color w:val="000000" w:themeColor="text1"/>
                      <w:sz w:val="21"/>
                      <w:szCs w:val="21"/>
                      <w:lang w:val="en-US" w:eastAsia="zh-CN"/>
                    </w:rPr>
                  </w:pPr>
                  <w:r>
                    <w:rPr>
                      <w:rFonts w:hint="eastAsia" w:eastAsia="仿宋_GB2312"/>
                      <w:color w:val="000000" w:themeColor="text1"/>
                      <w:sz w:val="21"/>
                      <w:szCs w:val="21"/>
                      <w:lang w:val="en-US" w:eastAsia="zh-CN"/>
                    </w:rPr>
                    <w:t>320</w:t>
                  </w:r>
                </w:p>
              </w:tc>
              <w:tc>
                <w:tcPr>
                  <w:tcW w:w="492" w:type="pct"/>
                  <w:vAlign w:val="center"/>
                </w:tcPr>
                <w:p w14:paraId="41495742">
                  <w:pPr>
                    <w:adjustRightInd w:val="0"/>
                    <w:snapToGrid w:val="0"/>
                    <w:jc w:val="center"/>
                    <w:rPr>
                      <w:rFonts w:hint="default" w:eastAsia="仿宋_GB2312"/>
                      <w:color w:val="000000" w:themeColor="text1"/>
                      <w:sz w:val="21"/>
                      <w:szCs w:val="21"/>
                      <w:lang w:val="en-US" w:eastAsia="zh-CN"/>
                    </w:rPr>
                  </w:pPr>
                  <w:r>
                    <w:rPr>
                      <w:rFonts w:hint="eastAsia" w:ascii="宋体" w:hAnsi="宋体" w:cs="宋体"/>
                      <w:color w:val="000000" w:themeColor="text1"/>
                      <w:sz w:val="21"/>
                      <w:szCs w:val="21"/>
                      <w:lang w:val="en-US" w:eastAsia="zh-CN"/>
                    </w:rPr>
                    <w:t>+</w:t>
                  </w:r>
                  <w:r>
                    <w:rPr>
                      <w:rFonts w:hint="eastAsia" w:eastAsia="仿宋_GB2312"/>
                      <w:color w:val="000000" w:themeColor="text1"/>
                      <w:sz w:val="21"/>
                      <w:szCs w:val="21"/>
                      <w:lang w:val="en-US" w:eastAsia="zh-CN"/>
                    </w:rPr>
                    <w:t>320</w:t>
                  </w:r>
                </w:p>
              </w:tc>
              <w:tc>
                <w:tcPr>
                  <w:tcW w:w="537" w:type="pct"/>
                  <w:vAlign w:val="center"/>
                </w:tcPr>
                <w:p w14:paraId="42FE7DD5">
                  <w:pPr>
                    <w:adjustRightInd w:val="0"/>
                    <w:snapToGrid w:val="0"/>
                    <w:jc w:val="center"/>
                    <w:rPr>
                      <w:rFonts w:hint="eastAsia" w:eastAsia="仿宋_GB2312"/>
                      <w:sz w:val="21"/>
                      <w:szCs w:val="21"/>
                      <w:lang w:eastAsia="zh-CN"/>
                    </w:rPr>
                  </w:pPr>
                  <w:r>
                    <w:rPr>
                      <w:rFonts w:hint="eastAsia" w:eastAsia="仿宋_GB2312"/>
                      <w:bCs/>
                      <w:color w:val="auto"/>
                      <w:sz w:val="21"/>
                      <w:szCs w:val="21"/>
                      <w:lang w:val="en-US" w:eastAsia="zh-CN"/>
                    </w:rPr>
                    <w:t>30</w:t>
                  </w:r>
                </w:p>
              </w:tc>
              <w:tc>
                <w:tcPr>
                  <w:tcW w:w="664" w:type="pct"/>
                  <w:vAlign w:val="center"/>
                </w:tcPr>
                <w:p w14:paraId="644D2E65">
                  <w:pPr>
                    <w:adjustRightInd w:val="0"/>
                    <w:snapToGrid w:val="0"/>
                    <w:jc w:val="center"/>
                    <w:rPr>
                      <w:rFonts w:eastAsia="仿宋_GB2312"/>
                      <w:color w:val="000000" w:themeColor="text1"/>
                      <w:kern w:val="0"/>
                      <w:sz w:val="21"/>
                      <w:szCs w:val="21"/>
                    </w:rPr>
                  </w:pPr>
                  <w:r>
                    <w:rPr>
                      <w:rFonts w:eastAsia="仿宋_GB2312"/>
                      <w:color w:val="000000" w:themeColor="text1"/>
                      <w:kern w:val="0"/>
                      <w:sz w:val="21"/>
                      <w:szCs w:val="21"/>
                    </w:rPr>
                    <w:t>江苏采购，汽运</w:t>
                  </w:r>
                </w:p>
              </w:tc>
            </w:tr>
            <w:tr w14:paraId="7751E0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263" w:type="pct"/>
                  <w:shd w:val="clear" w:color="auto" w:fill="auto"/>
                  <w:vAlign w:val="center"/>
                </w:tcPr>
                <w:p w14:paraId="5F2B6177">
                  <w:pPr>
                    <w:adjustRightInd w:val="0"/>
                    <w:snapToGrid w:val="0"/>
                    <w:jc w:val="center"/>
                    <w:rPr>
                      <w:rFonts w:hint="eastAsia" w:ascii="Times New Roman" w:hAnsi="Times New Roman" w:eastAsia="仿宋_GB2312" w:cs="Times New Roman"/>
                      <w:bCs/>
                      <w:color w:val="000000" w:themeColor="text1"/>
                      <w:kern w:val="2"/>
                      <w:sz w:val="21"/>
                      <w:szCs w:val="21"/>
                      <w:lang w:val="en-US" w:eastAsia="zh-CN" w:bidi="ar-SA"/>
                    </w:rPr>
                  </w:pPr>
                  <w:r>
                    <w:rPr>
                      <w:rFonts w:hint="eastAsia" w:eastAsia="仿宋_GB2312"/>
                      <w:bCs/>
                      <w:color w:val="000000" w:themeColor="text1"/>
                      <w:sz w:val="21"/>
                      <w:szCs w:val="21"/>
                    </w:rPr>
                    <w:t>4</w:t>
                  </w:r>
                </w:p>
              </w:tc>
              <w:tc>
                <w:tcPr>
                  <w:tcW w:w="334" w:type="pct"/>
                  <w:vMerge w:val="continue"/>
                  <w:vAlign w:val="center"/>
                </w:tcPr>
                <w:p w14:paraId="2D53A5A3">
                  <w:pPr>
                    <w:adjustRightInd w:val="0"/>
                    <w:snapToGrid w:val="0"/>
                    <w:jc w:val="center"/>
                    <w:rPr>
                      <w:rFonts w:eastAsia="仿宋_GB2312"/>
                      <w:bCs/>
                      <w:color w:val="000000" w:themeColor="text1"/>
                      <w:sz w:val="21"/>
                      <w:szCs w:val="21"/>
                    </w:rPr>
                  </w:pPr>
                </w:p>
              </w:tc>
              <w:tc>
                <w:tcPr>
                  <w:tcW w:w="482" w:type="pct"/>
                  <w:vAlign w:val="center"/>
                </w:tcPr>
                <w:p w14:paraId="4CE34EA6">
                  <w:pPr>
                    <w:adjustRightInd w:val="0"/>
                    <w:snapToGrid w:val="0"/>
                    <w:jc w:val="center"/>
                    <w:rPr>
                      <w:rFonts w:hint="eastAsia" w:eastAsia="仿宋_GB2312"/>
                      <w:sz w:val="21"/>
                      <w:szCs w:val="21"/>
                      <w:lang w:val="en-US" w:eastAsia="zh-CN"/>
                    </w:rPr>
                  </w:pPr>
                  <w:r>
                    <w:rPr>
                      <w:rFonts w:hint="eastAsia" w:eastAsia="仿宋_GB2312"/>
                      <w:sz w:val="21"/>
                      <w:szCs w:val="21"/>
                      <w:lang w:val="en-US" w:eastAsia="zh-CN"/>
                    </w:rPr>
                    <w:t>次氯酸</w:t>
                  </w:r>
                  <w:r>
                    <w:rPr>
                      <w:rFonts w:eastAsia="仿宋_GB2312"/>
                      <w:sz w:val="21"/>
                      <w:szCs w:val="21"/>
                    </w:rPr>
                    <w:t>钠</w:t>
                  </w:r>
                </w:p>
              </w:tc>
              <w:tc>
                <w:tcPr>
                  <w:tcW w:w="896" w:type="pct"/>
                  <w:vAlign w:val="center"/>
                </w:tcPr>
                <w:p w14:paraId="4C0A64E1">
                  <w:pPr>
                    <w:adjustRightInd w:val="0"/>
                    <w:snapToGrid w:val="0"/>
                    <w:jc w:val="center"/>
                    <w:rPr>
                      <w:rFonts w:hint="default" w:ascii="Times New Roman" w:hAnsi="Times New Roman" w:eastAsia="仿宋_GB2312" w:cs="Times New Roman"/>
                      <w:bCs/>
                      <w:color w:val="000000" w:themeColor="text1"/>
                      <w:sz w:val="21"/>
                      <w:szCs w:val="21"/>
                      <w:lang w:val="en-US" w:eastAsia="zh-CN"/>
                    </w:rPr>
                  </w:pPr>
                  <w:r>
                    <w:rPr>
                      <w:rFonts w:hint="eastAsia" w:ascii="Times New Roman" w:hAnsi="Times New Roman" w:eastAsia="仿宋_GB2312" w:cs="Times New Roman"/>
                      <w:bCs/>
                      <w:color w:val="000000" w:themeColor="text1"/>
                      <w:sz w:val="21"/>
                      <w:szCs w:val="21"/>
                      <w:lang w:val="en-US" w:eastAsia="zh-CN"/>
                    </w:rPr>
                    <w:t>10%NaClO</w:t>
                  </w:r>
                </w:p>
              </w:tc>
              <w:tc>
                <w:tcPr>
                  <w:tcW w:w="343" w:type="pct"/>
                  <w:vAlign w:val="center"/>
                </w:tcPr>
                <w:p w14:paraId="43DABEF9">
                  <w:pPr>
                    <w:adjustRightInd w:val="0"/>
                    <w:snapToGrid w:val="0"/>
                    <w:jc w:val="center"/>
                    <w:rPr>
                      <w:rFonts w:eastAsia="仿宋_GB2312"/>
                      <w:color w:val="000000" w:themeColor="text1"/>
                      <w:sz w:val="21"/>
                      <w:szCs w:val="21"/>
                    </w:rPr>
                  </w:pPr>
                  <w:r>
                    <w:rPr>
                      <w:rFonts w:eastAsia="仿宋_GB2312"/>
                      <w:color w:val="000000" w:themeColor="text1"/>
                      <w:sz w:val="21"/>
                      <w:szCs w:val="21"/>
                    </w:rPr>
                    <w:t>罐装</w:t>
                  </w:r>
                </w:p>
              </w:tc>
              <w:tc>
                <w:tcPr>
                  <w:tcW w:w="492" w:type="pct"/>
                  <w:vAlign w:val="center"/>
                </w:tcPr>
                <w:p w14:paraId="7972C0F3">
                  <w:pPr>
                    <w:adjustRightInd w:val="0"/>
                    <w:snapToGrid w:val="0"/>
                    <w:jc w:val="center"/>
                    <w:rPr>
                      <w:rFonts w:hint="default" w:eastAsia="仿宋_GB2312"/>
                      <w:color w:val="000000" w:themeColor="text1"/>
                      <w:sz w:val="21"/>
                      <w:szCs w:val="21"/>
                      <w:lang w:val="en-US" w:eastAsia="zh-CN"/>
                    </w:rPr>
                  </w:pPr>
                  <w:r>
                    <w:rPr>
                      <w:rFonts w:hint="eastAsia" w:eastAsia="仿宋_GB2312"/>
                      <w:color w:val="000000" w:themeColor="text1"/>
                      <w:sz w:val="21"/>
                      <w:szCs w:val="21"/>
                      <w:lang w:val="en-US" w:eastAsia="zh-CN"/>
                    </w:rPr>
                    <w:t>0</w:t>
                  </w:r>
                </w:p>
              </w:tc>
              <w:tc>
                <w:tcPr>
                  <w:tcW w:w="492" w:type="pct"/>
                  <w:vAlign w:val="center"/>
                </w:tcPr>
                <w:p w14:paraId="1C2A8B99">
                  <w:pPr>
                    <w:adjustRightInd w:val="0"/>
                    <w:snapToGrid w:val="0"/>
                    <w:jc w:val="center"/>
                    <w:rPr>
                      <w:rFonts w:hint="default" w:eastAsia="仿宋_GB2312"/>
                      <w:color w:val="000000" w:themeColor="text1"/>
                      <w:sz w:val="21"/>
                      <w:szCs w:val="21"/>
                      <w:lang w:val="en-US" w:eastAsia="zh-CN"/>
                    </w:rPr>
                  </w:pPr>
                  <w:r>
                    <w:rPr>
                      <w:rFonts w:hint="eastAsia" w:eastAsia="仿宋_GB2312"/>
                      <w:color w:val="000000" w:themeColor="text1"/>
                      <w:sz w:val="21"/>
                      <w:szCs w:val="21"/>
                      <w:lang w:val="en-US" w:eastAsia="zh-CN"/>
                    </w:rPr>
                    <w:t>3960</w:t>
                  </w:r>
                </w:p>
              </w:tc>
              <w:tc>
                <w:tcPr>
                  <w:tcW w:w="492" w:type="pct"/>
                  <w:vAlign w:val="center"/>
                </w:tcPr>
                <w:p w14:paraId="1F4AC75F">
                  <w:pPr>
                    <w:adjustRightInd w:val="0"/>
                    <w:snapToGrid w:val="0"/>
                    <w:jc w:val="center"/>
                    <w:rPr>
                      <w:rFonts w:hint="default" w:eastAsia="仿宋_GB2312"/>
                      <w:color w:val="000000" w:themeColor="text1"/>
                      <w:sz w:val="21"/>
                      <w:szCs w:val="21"/>
                      <w:lang w:val="en-US" w:eastAsia="zh-CN"/>
                    </w:rPr>
                  </w:pPr>
                  <w:r>
                    <w:rPr>
                      <w:rFonts w:hint="eastAsia" w:eastAsia="仿宋_GB2312"/>
                      <w:color w:val="000000" w:themeColor="text1"/>
                      <w:sz w:val="21"/>
                      <w:szCs w:val="21"/>
                      <w:lang w:val="en-US" w:eastAsia="zh-CN"/>
                    </w:rPr>
                    <w:t>+3960</w:t>
                  </w:r>
                </w:p>
              </w:tc>
              <w:tc>
                <w:tcPr>
                  <w:tcW w:w="537" w:type="pct"/>
                  <w:vAlign w:val="center"/>
                </w:tcPr>
                <w:p w14:paraId="01D63332">
                  <w:pPr>
                    <w:adjustRightInd w:val="0"/>
                    <w:snapToGrid w:val="0"/>
                    <w:jc w:val="center"/>
                    <w:rPr>
                      <w:rFonts w:hint="default" w:eastAsia="仿宋_GB2312"/>
                      <w:bCs/>
                      <w:color w:val="auto"/>
                      <w:sz w:val="21"/>
                      <w:szCs w:val="21"/>
                      <w:lang w:val="en-US" w:eastAsia="zh-CN"/>
                    </w:rPr>
                  </w:pPr>
                  <w:r>
                    <w:rPr>
                      <w:rFonts w:hint="eastAsia" w:eastAsia="仿宋_GB2312"/>
                      <w:bCs/>
                      <w:color w:val="auto"/>
                      <w:sz w:val="21"/>
                      <w:szCs w:val="21"/>
                      <w:lang w:val="en-US" w:eastAsia="zh-CN"/>
                    </w:rPr>
                    <w:t>33</w:t>
                  </w:r>
                </w:p>
              </w:tc>
              <w:tc>
                <w:tcPr>
                  <w:tcW w:w="664" w:type="pct"/>
                  <w:vAlign w:val="center"/>
                </w:tcPr>
                <w:p w14:paraId="13D9CB1D">
                  <w:pPr>
                    <w:adjustRightInd w:val="0"/>
                    <w:snapToGrid w:val="0"/>
                    <w:jc w:val="center"/>
                    <w:rPr>
                      <w:rFonts w:eastAsia="仿宋_GB2312"/>
                      <w:color w:val="000000" w:themeColor="text1"/>
                      <w:kern w:val="0"/>
                      <w:sz w:val="21"/>
                      <w:szCs w:val="21"/>
                    </w:rPr>
                  </w:pPr>
                  <w:r>
                    <w:rPr>
                      <w:rFonts w:eastAsia="仿宋_GB2312"/>
                      <w:color w:val="000000" w:themeColor="text1"/>
                      <w:sz w:val="21"/>
                      <w:szCs w:val="21"/>
                    </w:rPr>
                    <w:t>罐装</w:t>
                  </w:r>
                </w:p>
              </w:tc>
            </w:tr>
            <w:tr w14:paraId="6B17D3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263" w:type="pct"/>
                  <w:shd w:val="clear" w:color="auto" w:fill="auto"/>
                  <w:vAlign w:val="center"/>
                </w:tcPr>
                <w:p w14:paraId="4E67A5AA">
                  <w:pPr>
                    <w:adjustRightInd w:val="0"/>
                    <w:snapToGrid w:val="0"/>
                    <w:jc w:val="center"/>
                    <w:rPr>
                      <w:rFonts w:ascii="Times New Roman" w:hAnsi="Times New Roman" w:eastAsia="仿宋_GB2312" w:cs="Times New Roman"/>
                      <w:bCs/>
                      <w:color w:val="000000" w:themeColor="text1"/>
                      <w:kern w:val="2"/>
                      <w:sz w:val="21"/>
                      <w:szCs w:val="21"/>
                      <w:lang w:val="en-US" w:eastAsia="zh-CN" w:bidi="ar-SA"/>
                    </w:rPr>
                  </w:pPr>
                  <w:r>
                    <w:rPr>
                      <w:rFonts w:hint="eastAsia" w:eastAsia="仿宋_GB2312"/>
                      <w:bCs/>
                      <w:color w:val="000000" w:themeColor="text1"/>
                      <w:sz w:val="21"/>
                      <w:szCs w:val="21"/>
                    </w:rPr>
                    <w:t>5</w:t>
                  </w:r>
                </w:p>
              </w:tc>
              <w:tc>
                <w:tcPr>
                  <w:tcW w:w="334" w:type="pct"/>
                  <w:vMerge w:val="continue"/>
                  <w:vAlign w:val="center"/>
                </w:tcPr>
                <w:p w14:paraId="44476319">
                  <w:pPr>
                    <w:adjustRightInd w:val="0"/>
                    <w:snapToGrid w:val="0"/>
                    <w:jc w:val="center"/>
                    <w:rPr>
                      <w:rFonts w:eastAsia="仿宋_GB2312"/>
                      <w:bCs/>
                      <w:color w:val="000000" w:themeColor="text1"/>
                      <w:sz w:val="21"/>
                      <w:szCs w:val="21"/>
                    </w:rPr>
                  </w:pPr>
                </w:p>
              </w:tc>
              <w:tc>
                <w:tcPr>
                  <w:tcW w:w="482" w:type="pct"/>
                  <w:vAlign w:val="center"/>
                </w:tcPr>
                <w:p w14:paraId="3EEFB02A">
                  <w:pPr>
                    <w:adjustRightInd w:val="0"/>
                    <w:snapToGrid w:val="0"/>
                    <w:jc w:val="center"/>
                    <w:rPr>
                      <w:rFonts w:eastAsia="仿宋_GB2312"/>
                      <w:bCs/>
                      <w:sz w:val="21"/>
                      <w:szCs w:val="21"/>
                    </w:rPr>
                  </w:pPr>
                  <w:r>
                    <w:rPr>
                      <w:rFonts w:eastAsia="仿宋_GB2312"/>
                      <w:sz w:val="21"/>
                      <w:szCs w:val="21"/>
                    </w:rPr>
                    <w:t>纯碱</w:t>
                  </w:r>
                </w:p>
              </w:tc>
              <w:tc>
                <w:tcPr>
                  <w:tcW w:w="896" w:type="pct"/>
                  <w:vAlign w:val="center"/>
                </w:tcPr>
                <w:p w14:paraId="4323AB65">
                  <w:pPr>
                    <w:adjustRightInd w:val="0"/>
                    <w:snapToGrid w:val="0"/>
                    <w:jc w:val="center"/>
                    <w:rPr>
                      <w:rFonts w:eastAsia="仿宋_GB2312"/>
                      <w:bCs/>
                      <w:color w:val="000000" w:themeColor="text1"/>
                      <w:sz w:val="21"/>
                      <w:szCs w:val="21"/>
                    </w:rPr>
                  </w:pPr>
                  <w:r>
                    <w:rPr>
                      <w:rFonts w:eastAsia="仿宋_GB2312"/>
                      <w:bCs/>
                      <w:color w:val="000000" w:themeColor="text1"/>
                      <w:sz w:val="21"/>
                      <w:szCs w:val="21"/>
                    </w:rPr>
                    <w:t>Na₂CO₃</w:t>
                  </w:r>
                </w:p>
              </w:tc>
              <w:tc>
                <w:tcPr>
                  <w:tcW w:w="343" w:type="pct"/>
                  <w:vAlign w:val="center"/>
                </w:tcPr>
                <w:p w14:paraId="1D6A241E">
                  <w:pPr>
                    <w:adjustRightInd w:val="0"/>
                    <w:snapToGrid w:val="0"/>
                    <w:jc w:val="center"/>
                    <w:rPr>
                      <w:rFonts w:eastAsia="仿宋_GB2312"/>
                      <w:color w:val="000000" w:themeColor="text1"/>
                      <w:sz w:val="21"/>
                      <w:szCs w:val="21"/>
                    </w:rPr>
                  </w:pPr>
                  <w:r>
                    <w:rPr>
                      <w:rFonts w:eastAsia="仿宋_GB2312"/>
                      <w:color w:val="000000" w:themeColor="text1"/>
                      <w:sz w:val="21"/>
                      <w:szCs w:val="21"/>
                    </w:rPr>
                    <w:t>罐装</w:t>
                  </w:r>
                </w:p>
              </w:tc>
              <w:tc>
                <w:tcPr>
                  <w:tcW w:w="492" w:type="pct"/>
                  <w:vAlign w:val="center"/>
                </w:tcPr>
                <w:p w14:paraId="63B5BD9E">
                  <w:pPr>
                    <w:adjustRightInd w:val="0"/>
                    <w:snapToGrid w:val="0"/>
                    <w:jc w:val="center"/>
                    <w:rPr>
                      <w:rFonts w:hint="default" w:eastAsia="仿宋_GB2312"/>
                      <w:color w:val="000000" w:themeColor="text1"/>
                      <w:sz w:val="21"/>
                      <w:szCs w:val="21"/>
                      <w:lang w:val="en-US" w:eastAsia="zh-CN"/>
                    </w:rPr>
                  </w:pPr>
                  <w:r>
                    <w:rPr>
                      <w:rFonts w:hint="eastAsia" w:eastAsia="仿宋_GB2312"/>
                      <w:color w:val="000000" w:themeColor="text1"/>
                      <w:sz w:val="21"/>
                      <w:szCs w:val="21"/>
                      <w:lang w:val="en-US" w:eastAsia="zh-CN"/>
                    </w:rPr>
                    <w:t>11040</w:t>
                  </w:r>
                </w:p>
              </w:tc>
              <w:tc>
                <w:tcPr>
                  <w:tcW w:w="492" w:type="pct"/>
                  <w:vAlign w:val="center"/>
                </w:tcPr>
                <w:p w14:paraId="3F58F8C6">
                  <w:pPr>
                    <w:adjustRightInd w:val="0"/>
                    <w:snapToGrid w:val="0"/>
                    <w:jc w:val="center"/>
                    <w:rPr>
                      <w:rFonts w:hint="default" w:eastAsia="仿宋_GB2312"/>
                      <w:color w:val="000000" w:themeColor="text1"/>
                      <w:sz w:val="21"/>
                      <w:szCs w:val="21"/>
                      <w:lang w:val="en-US" w:eastAsia="zh-CN"/>
                    </w:rPr>
                  </w:pPr>
                  <w:r>
                    <w:rPr>
                      <w:rFonts w:eastAsia="仿宋_GB2312"/>
                      <w:color w:val="000000" w:themeColor="text1"/>
                      <w:sz w:val="21"/>
                      <w:szCs w:val="21"/>
                    </w:rPr>
                    <w:t>1</w:t>
                  </w:r>
                  <w:r>
                    <w:rPr>
                      <w:rFonts w:hint="eastAsia" w:eastAsia="仿宋_GB2312"/>
                      <w:color w:val="000000" w:themeColor="text1"/>
                      <w:sz w:val="21"/>
                      <w:szCs w:val="21"/>
                      <w:lang w:val="en-US" w:eastAsia="zh-CN"/>
                    </w:rPr>
                    <w:t>1260</w:t>
                  </w:r>
                </w:p>
              </w:tc>
              <w:tc>
                <w:tcPr>
                  <w:tcW w:w="492" w:type="pct"/>
                  <w:vAlign w:val="center"/>
                </w:tcPr>
                <w:p w14:paraId="4BF5E5C0">
                  <w:pPr>
                    <w:adjustRightInd w:val="0"/>
                    <w:snapToGrid w:val="0"/>
                    <w:jc w:val="center"/>
                    <w:rPr>
                      <w:rFonts w:hint="default" w:eastAsia="仿宋_GB2312"/>
                      <w:color w:val="000000" w:themeColor="text1"/>
                      <w:sz w:val="21"/>
                      <w:szCs w:val="21"/>
                      <w:lang w:val="en-US" w:eastAsia="zh-CN"/>
                    </w:rPr>
                  </w:pPr>
                  <w:r>
                    <w:rPr>
                      <w:rFonts w:hint="eastAsia" w:eastAsia="仿宋_GB2312"/>
                      <w:color w:val="000000" w:themeColor="text1"/>
                      <w:sz w:val="21"/>
                      <w:szCs w:val="21"/>
                      <w:lang w:val="en-US" w:eastAsia="zh-CN"/>
                    </w:rPr>
                    <w:t>+220</w:t>
                  </w:r>
                </w:p>
              </w:tc>
              <w:tc>
                <w:tcPr>
                  <w:tcW w:w="537" w:type="pct"/>
                  <w:vAlign w:val="center"/>
                </w:tcPr>
                <w:p w14:paraId="44F598E4">
                  <w:pPr>
                    <w:adjustRightInd w:val="0"/>
                    <w:snapToGrid w:val="0"/>
                    <w:jc w:val="center"/>
                    <w:rPr>
                      <w:rFonts w:eastAsia="仿宋_GB2312"/>
                      <w:sz w:val="21"/>
                      <w:szCs w:val="21"/>
                    </w:rPr>
                  </w:pPr>
                  <w:r>
                    <w:rPr>
                      <w:rFonts w:eastAsia="仿宋_GB2312"/>
                      <w:bCs/>
                      <w:sz w:val="21"/>
                      <w:szCs w:val="21"/>
                    </w:rPr>
                    <w:t>200</w:t>
                  </w:r>
                </w:p>
              </w:tc>
              <w:tc>
                <w:tcPr>
                  <w:tcW w:w="664" w:type="pct"/>
                  <w:vAlign w:val="center"/>
                </w:tcPr>
                <w:p w14:paraId="45BCDE6A">
                  <w:pPr>
                    <w:adjustRightInd w:val="0"/>
                    <w:snapToGrid w:val="0"/>
                    <w:jc w:val="center"/>
                    <w:rPr>
                      <w:rFonts w:eastAsia="仿宋_GB2312"/>
                      <w:color w:val="000000" w:themeColor="text1"/>
                      <w:kern w:val="0"/>
                      <w:sz w:val="21"/>
                      <w:szCs w:val="21"/>
                    </w:rPr>
                  </w:pPr>
                  <w:r>
                    <w:rPr>
                      <w:rFonts w:eastAsia="仿宋_GB2312"/>
                      <w:color w:val="000000" w:themeColor="text1"/>
                      <w:kern w:val="0"/>
                      <w:sz w:val="21"/>
                      <w:szCs w:val="21"/>
                    </w:rPr>
                    <w:t>江苏采购，汽运</w:t>
                  </w:r>
                </w:p>
              </w:tc>
            </w:tr>
            <w:tr w14:paraId="0364BE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263" w:type="pct"/>
                  <w:shd w:val="clear" w:color="auto" w:fill="auto"/>
                  <w:vAlign w:val="center"/>
                </w:tcPr>
                <w:p w14:paraId="2C1E6BFC">
                  <w:pPr>
                    <w:adjustRightInd w:val="0"/>
                    <w:snapToGrid w:val="0"/>
                    <w:jc w:val="center"/>
                    <w:rPr>
                      <w:rFonts w:ascii="Times New Roman" w:hAnsi="Times New Roman" w:eastAsia="仿宋_GB2312" w:cs="Times New Roman"/>
                      <w:bCs/>
                      <w:color w:val="000000" w:themeColor="text1"/>
                      <w:kern w:val="2"/>
                      <w:sz w:val="21"/>
                      <w:szCs w:val="21"/>
                      <w:lang w:val="en-US" w:eastAsia="zh-CN" w:bidi="ar-SA"/>
                    </w:rPr>
                  </w:pPr>
                  <w:r>
                    <w:rPr>
                      <w:rFonts w:hint="eastAsia" w:eastAsia="仿宋_GB2312"/>
                      <w:bCs/>
                      <w:color w:val="000000" w:themeColor="text1"/>
                      <w:sz w:val="21"/>
                      <w:szCs w:val="21"/>
                    </w:rPr>
                    <w:t>6</w:t>
                  </w:r>
                </w:p>
              </w:tc>
              <w:tc>
                <w:tcPr>
                  <w:tcW w:w="334" w:type="pct"/>
                  <w:vMerge w:val="continue"/>
                  <w:vAlign w:val="center"/>
                </w:tcPr>
                <w:p w14:paraId="3A0A0079">
                  <w:pPr>
                    <w:adjustRightInd w:val="0"/>
                    <w:snapToGrid w:val="0"/>
                    <w:jc w:val="center"/>
                    <w:rPr>
                      <w:rFonts w:eastAsia="仿宋_GB2312"/>
                      <w:bCs/>
                      <w:color w:val="000000" w:themeColor="text1"/>
                      <w:sz w:val="21"/>
                      <w:szCs w:val="21"/>
                    </w:rPr>
                  </w:pPr>
                </w:p>
              </w:tc>
              <w:tc>
                <w:tcPr>
                  <w:tcW w:w="482" w:type="pct"/>
                  <w:vAlign w:val="center"/>
                </w:tcPr>
                <w:p w14:paraId="38EE3611">
                  <w:pPr>
                    <w:adjustRightInd w:val="0"/>
                    <w:snapToGrid w:val="0"/>
                    <w:jc w:val="center"/>
                    <w:rPr>
                      <w:rFonts w:eastAsia="仿宋_GB2312"/>
                      <w:bCs/>
                      <w:sz w:val="21"/>
                      <w:szCs w:val="21"/>
                    </w:rPr>
                  </w:pPr>
                  <w:r>
                    <w:rPr>
                      <w:rFonts w:eastAsia="仿宋_GB2312"/>
                      <w:sz w:val="21"/>
                      <w:szCs w:val="21"/>
                    </w:rPr>
                    <w:t>亚硫酸钠</w:t>
                  </w:r>
                </w:p>
              </w:tc>
              <w:tc>
                <w:tcPr>
                  <w:tcW w:w="896" w:type="pct"/>
                  <w:vAlign w:val="center"/>
                </w:tcPr>
                <w:p w14:paraId="2E9818DD">
                  <w:pPr>
                    <w:adjustRightInd w:val="0"/>
                    <w:snapToGrid w:val="0"/>
                    <w:jc w:val="center"/>
                    <w:rPr>
                      <w:rFonts w:eastAsia="仿宋_GB2312"/>
                      <w:bCs/>
                      <w:color w:val="000000" w:themeColor="text1"/>
                      <w:sz w:val="21"/>
                      <w:szCs w:val="21"/>
                    </w:rPr>
                  </w:pPr>
                  <w:r>
                    <w:rPr>
                      <w:rFonts w:eastAsia="仿宋_GB2312"/>
                      <w:bCs/>
                      <w:color w:val="000000" w:themeColor="text1"/>
                      <w:sz w:val="21"/>
                      <w:szCs w:val="21"/>
                    </w:rPr>
                    <w:t>Na₂SO₃</w:t>
                  </w:r>
                </w:p>
              </w:tc>
              <w:tc>
                <w:tcPr>
                  <w:tcW w:w="343" w:type="pct"/>
                  <w:vAlign w:val="center"/>
                </w:tcPr>
                <w:p w14:paraId="6FABA68C">
                  <w:pPr>
                    <w:adjustRightInd w:val="0"/>
                    <w:snapToGrid w:val="0"/>
                    <w:jc w:val="center"/>
                    <w:rPr>
                      <w:rFonts w:eastAsia="仿宋_GB2312"/>
                      <w:color w:val="000000" w:themeColor="text1"/>
                      <w:sz w:val="21"/>
                      <w:szCs w:val="21"/>
                    </w:rPr>
                  </w:pPr>
                  <w:r>
                    <w:rPr>
                      <w:rFonts w:eastAsia="仿宋_GB2312"/>
                      <w:color w:val="000000" w:themeColor="text1"/>
                      <w:sz w:val="21"/>
                      <w:szCs w:val="21"/>
                    </w:rPr>
                    <w:t>罐装</w:t>
                  </w:r>
                </w:p>
              </w:tc>
              <w:tc>
                <w:tcPr>
                  <w:tcW w:w="492" w:type="pct"/>
                  <w:vAlign w:val="center"/>
                </w:tcPr>
                <w:p w14:paraId="33954E6E">
                  <w:pPr>
                    <w:adjustRightInd w:val="0"/>
                    <w:snapToGrid w:val="0"/>
                    <w:jc w:val="center"/>
                    <w:rPr>
                      <w:rFonts w:hint="default" w:eastAsia="仿宋_GB2312"/>
                      <w:color w:val="000000" w:themeColor="text1"/>
                      <w:sz w:val="21"/>
                      <w:szCs w:val="21"/>
                      <w:lang w:val="en-US" w:eastAsia="zh-CN"/>
                    </w:rPr>
                  </w:pPr>
                  <w:r>
                    <w:rPr>
                      <w:rFonts w:hint="eastAsia" w:eastAsia="仿宋_GB2312"/>
                      <w:color w:val="000000" w:themeColor="text1"/>
                      <w:sz w:val="21"/>
                      <w:szCs w:val="21"/>
                      <w:lang w:val="en-US" w:eastAsia="zh-CN"/>
                    </w:rPr>
                    <w:t>0</w:t>
                  </w:r>
                </w:p>
              </w:tc>
              <w:tc>
                <w:tcPr>
                  <w:tcW w:w="492" w:type="pct"/>
                  <w:vAlign w:val="center"/>
                </w:tcPr>
                <w:p w14:paraId="3F5DB984">
                  <w:pPr>
                    <w:adjustRightInd w:val="0"/>
                    <w:snapToGrid w:val="0"/>
                    <w:jc w:val="center"/>
                    <w:rPr>
                      <w:rFonts w:eastAsia="仿宋_GB2312"/>
                      <w:color w:val="000000" w:themeColor="text1"/>
                      <w:sz w:val="21"/>
                      <w:szCs w:val="21"/>
                    </w:rPr>
                  </w:pPr>
                  <w:r>
                    <w:rPr>
                      <w:rFonts w:eastAsia="仿宋_GB2312"/>
                      <w:color w:val="000000" w:themeColor="text1"/>
                      <w:sz w:val="21"/>
                      <w:szCs w:val="21"/>
                    </w:rPr>
                    <w:t>120</w:t>
                  </w:r>
                </w:p>
              </w:tc>
              <w:tc>
                <w:tcPr>
                  <w:tcW w:w="492" w:type="pct"/>
                  <w:vAlign w:val="center"/>
                </w:tcPr>
                <w:p w14:paraId="7228FF22">
                  <w:pPr>
                    <w:adjustRightInd w:val="0"/>
                    <w:snapToGrid w:val="0"/>
                    <w:jc w:val="center"/>
                    <w:rPr>
                      <w:rFonts w:eastAsia="仿宋_GB2312"/>
                      <w:color w:val="000000" w:themeColor="text1"/>
                      <w:sz w:val="21"/>
                      <w:szCs w:val="21"/>
                    </w:rPr>
                  </w:pPr>
                  <w:r>
                    <w:rPr>
                      <w:rFonts w:hint="eastAsia" w:eastAsia="仿宋_GB2312"/>
                      <w:color w:val="000000" w:themeColor="text1"/>
                      <w:sz w:val="21"/>
                      <w:szCs w:val="21"/>
                      <w:lang w:val="en-US" w:eastAsia="zh-CN"/>
                    </w:rPr>
                    <w:t>+</w:t>
                  </w:r>
                  <w:r>
                    <w:rPr>
                      <w:rFonts w:eastAsia="仿宋_GB2312"/>
                      <w:color w:val="000000" w:themeColor="text1"/>
                      <w:sz w:val="21"/>
                      <w:szCs w:val="21"/>
                    </w:rPr>
                    <w:t>120</w:t>
                  </w:r>
                </w:p>
              </w:tc>
              <w:tc>
                <w:tcPr>
                  <w:tcW w:w="537" w:type="pct"/>
                  <w:vAlign w:val="center"/>
                </w:tcPr>
                <w:p w14:paraId="6F34595B">
                  <w:pPr>
                    <w:adjustRightInd w:val="0"/>
                    <w:snapToGrid w:val="0"/>
                    <w:jc w:val="center"/>
                    <w:rPr>
                      <w:rFonts w:eastAsia="仿宋_GB2312"/>
                      <w:sz w:val="21"/>
                      <w:szCs w:val="21"/>
                    </w:rPr>
                  </w:pPr>
                  <w:r>
                    <w:rPr>
                      <w:rFonts w:eastAsia="仿宋_GB2312"/>
                      <w:bCs/>
                      <w:sz w:val="21"/>
                      <w:szCs w:val="21"/>
                    </w:rPr>
                    <w:t>38</w:t>
                  </w:r>
                </w:p>
              </w:tc>
              <w:tc>
                <w:tcPr>
                  <w:tcW w:w="664" w:type="pct"/>
                  <w:vAlign w:val="center"/>
                </w:tcPr>
                <w:p w14:paraId="46AF00B9">
                  <w:pPr>
                    <w:adjustRightInd w:val="0"/>
                    <w:snapToGrid w:val="0"/>
                    <w:jc w:val="center"/>
                    <w:rPr>
                      <w:rFonts w:eastAsia="仿宋_GB2312"/>
                      <w:color w:val="000000" w:themeColor="text1"/>
                      <w:kern w:val="0"/>
                      <w:sz w:val="21"/>
                      <w:szCs w:val="21"/>
                    </w:rPr>
                  </w:pPr>
                  <w:r>
                    <w:rPr>
                      <w:rFonts w:eastAsia="仿宋_GB2312"/>
                      <w:color w:val="000000" w:themeColor="text1"/>
                      <w:kern w:val="0"/>
                      <w:sz w:val="21"/>
                      <w:szCs w:val="21"/>
                    </w:rPr>
                    <w:t>江苏采购，汽运</w:t>
                  </w:r>
                </w:p>
              </w:tc>
            </w:tr>
            <w:tr w14:paraId="44997C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58" w:hRule="atLeast"/>
                <w:jc w:val="center"/>
              </w:trPr>
              <w:tc>
                <w:tcPr>
                  <w:tcW w:w="263" w:type="pct"/>
                  <w:shd w:val="clear" w:color="auto" w:fill="auto"/>
                  <w:vAlign w:val="center"/>
                </w:tcPr>
                <w:p w14:paraId="045ACFCC">
                  <w:pPr>
                    <w:adjustRightInd w:val="0"/>
                    <w:snapToGrid w:val="0"/>
                    <w:jc w:val="center"/>
                    <w:rPr>
                      <w:rFonts w:ascii="Times New Roman" w:hAnsi="Times New Roman" w:eastAsia="仿宋_GB2312" w:cs="Times New Roman"/>
                      <w:bCs/>
                      <w:color w:val="000000" w:themeColor="text1"/>
                      <w:kern w:val="2"/>
                      <w:sz w:val="21"/>
                      <w:szCs w:val="21"/>
                      <w:lang w:val="en-US" w:eastAsia="zh-CN" w:bidi="ar-SA"/>
                    </w:rPr>
                  </w:pPr>
                  <w:r>
                    <w:rPr>
                      <w:rFonts w:hint="eastAsia" w:eastAsia="仿宋_GB2312"/>
                      <w:bCs/>
                      <w:color w:val="000000" w:themeColor="text1"/>
                      <w:sz w:val="21"/>
                      <w:szCs w:val="21"/>
                    </w:rPr>
                    <w:t>7</w:t>
                  </w:r>
                </w:p>
              </w:tc>
              <w:tc>
                <w:tcPr>
                  <w:tcW w:w="334" w:type="pct"/>
                  <w:vMerge w:val="restart"/>
                  <w:vAlign w:val="center"/>
                </w:tcPr>
                <w:p w14:paraId="3F58ABAA">
                  <w:pPr>
                    <w:adjustRightInd w:val="0"/>
                    <w:snapToGrid w:val="0"/>
                    <w:jc w:val="center"/>
                    <w:rPr>
                      <w:rFonts w:eastAsia="仿宋_GB2312"/>
                      <w:bCs/>
                      <w:color w:val="000000" w:themeColor="text1"/>
                      <w:sz w:val="21"/>
                      <w:szCs w:val="21"/>
                    </w:rPr>
                  </w:pPr>
                  <w:r>
                    <w:rPr>
                      <w:rFonts w:eastAsia="仿宋_GB2312"/>
                      <w:bCs/>
                      <w:color w:val="000000" w:themeColor="text1"/>
                      <w:sz w:val="21"/>
                      <w:szCs w:val="21"/>
                    </w:rPr>
                    <w:t>设备维修</w:t>
                  </w:r>
                </w:p>
              </w:tc>
              <w:tc>
                <w:tcPr>
                  <w:tcW w:w="482" w:type="pct"/>
                  <w:vAlign w:val="center"/>
                </w:tcPr>
                <w:p w14:paraId="426D0410">
                  <w:pPr>
                    <w:adjustRightInd w:val="0"/>
                    <w:snapToGrid w:val="0"/>
                    <w:jc w:val="center"/>
                    <w:rPr>
                      <w:rFonts w:eastAsia="仿宋_GB2312"/>
                      <w:sz w:val="21"/>
                      <w:szCs w:val="21"/>
                    </w:rPr>
                  </w:pPr>
                  <w:r>
                    <w:rPr>
                      <w:rFonts w:eastAsia="仿宋_GB2312"/>
                      <w:sz w:val="21"/>
                      <w:szCs w:val="21"/>
                    </w:rPr>
                    <w:t>水性漆</w:t>
                  </w:r>
                </w:p>
              </w:tc>
              <w:tc>
                <w:tcPr>
                  <w:tcW w:w="896" w:type="pct"/>
                  <w:vAlign w:val="center"/>
                </w:tcPr>
                <w:p w14:paraId="1915F519">
                  <w:pPr>
                    <w:adjustRightInd w:val="0"/>
                    <w:snapToGrid w:val="0"/>
                    <w:jc w:val="center"/>
                    <w:rPr>
                      <w:rFonts w:eastAsia="仿宋_GB2312"/>
                      <w:bCs/>
                      <w:color w:val="000000" w:themeColor="text1"/>
                      <w:sz w:val="21"/>
                      <w:szCs w:val="21"/>
                    </w:rPr>
                  </w:pPr>
                  <w:r>
                    <w:rPr>
                      <w:rFonts w:eastAsia="仿宋_GB2312"/>
                      <w:bCs/>
                      <w:color w:val="000000" w:themeColor="text1"/>
                      <w:sz w:val="21"/>
                      <w:szCs w:val="21"/>
                      <w:highlight w:val="none"/>
                    </w:rPr>
                    <w:t>水性丙烯酸乳液75~85%、二丙二醇丁醚1~2%、二丙二醇甲醚2~3%、消泡剂0.2~0.5%、分散剂0.2~0.5%、杀菌剂0.1~0.3%、增稠剂0.2~1.0%、水5.7~20.3%</w:t>
                  </w:r>
                </w:p>
              </w:tc>
              <w:tc>
                <w:tcPr>
                  <w:tcW w:w="343" w:type="pct"/>
                  <w:vAlign w:val="center"/>
                </w:tcPr>
                <w:p w14:paraId="3A31C845">
                  <w:pPr>
                    <w:adjustRightInd w:val="0"/>
                    <w:snapToGrid w:val="0"/>
                    <w:jc w:val="center"/>
                    <w:rPr>
                      <w:rFonts w:eastAsia="仿宋_GB2312"/>
                      <w:color w:val="000000" w:themeColor="text1"/>
                      <w:sz w:val="21"/>
                      <w:szCs w:val="21"/>
                    </w:rPr>
                  </w:pPr>
                  <w:r>
                    <w:rPr>
                      <w:rFonts w:hint="eastAsia" w:eastAsia="仿宋_GB2312"/>
                      <w:color w:val="000000" w:themeColor="text1"/>
                      <w:sz w:val="21"/>
                      <w:szCs w:val="21"/>
                      <w:lang w:val="en-US" w:eastAsia="zh-CN"/>
                    </w:rPr>
                    <w:t>桶装</w:t>
                  </w:r>
                </w:p>
              </w:tc>
              <w:tc>
                <w:tcPr>
                  <w:tcW w:w="492" w:type="pct"/>
                  <w:vAlign w:val="center"/>
                </w:tcPr>
                <w:p w14:paraId="0C07CCB5">
                  <w:pPr>
                    <w:adjustRightInd w:val="0"/>
                    <w:snapToGrid w:val="0"/>
                    <w:jc w:val="center"/>
                    <w:rPr>
                      <w:rFonts w:eastAsia="仿宋_GB2312"/>
                      <w:color w:val="000000" w:themeColor="text1"/>
                      <w:sz w:val="21"/>
                      <w:szCs w:val="21"/>
                    </w:rPr>
                  </w:pPr>
                  <w:r>
                    <w:rPr>
                      <w:rFonts w:eastAsia="仿宋_GB2312"/>
                      <w:color w:val="000000" w:themeColor="text1"/>
                      <w:sz w:val="21"/>
                      <w:szCs w:val="21"/>
                    </w:rPr>
                    <w:t>0.2</w:t>
                  </w:r>
                </w:p>
              </w:tc>
              <w:tc>
                <w:tcPr>
                  <w:tcW w:w="492" w:type="pct"/>
                  <w:vAlign w:val="center"/>
                </w:tcPr>
                <w:p w14:paraId="53777582">
                  <w:pPr>
                    <w:adjustRightInd w:val="0"/>
                    <w:snapToGrid w:val="0"/>
                    <w:jc w:val="center"/>
                    <w:rPr>
                      <w:rFonts w:hint="default" w:eastAsia="仿宋_GB2312"/>
                      <w:color w:val="000000" w:themeColor="text1"/>
                      <w:sz w:val="21"/>
                      <w:szCs w:val="21"/>
                      <w:lang w:val="en-US" w:eastAsia="zh-CN"/>
                    </w:rPr>
                  </w:pPr>
                  <w:r>
                    <w:rPr>
                      <w:rFonts w:hint="eastAsia" w:eastAsia="仿宋_GB2312"/>
                      <w:color w:val="000000" w:themeColor="text1"/>
                      <w:sz w:val="21"/>
                      <w:szCs w:val="21"/>
                      <w:lang w:val="en-US" w:eastAsia="zh-CN"/>
                    </w:rPr>
                    <w:t>0.4</w:t>
                  </w:r>
                </w:p>
              </w:tc>
              <w:tc>
                <w:tcPr>
                  <w:tcW w:w="492" w:type="pct"/>
                  <w:vAlign w:val="center"/>
                </w:tcPr>
                <w:p w14:paraId="33D2AA21">
                  <w:pPr>
                    <w:adjustRightInd w:val="0"/>
                    <w:snapToGrid w:val="0"/>
                    <w:jc w:val="center"/>
                    <w:rPr>
                      <w:rFonts w:hint="default" w:eastAsia="仿宋_GB2312"/>
                      <w:color w:val="000000" w:themeColor="text1"/>
                      <w:sz w:val="21"/>
                      <w:szCs w:val="21"/>
                      <w:lang w:val="en-US" w:eastAsia="zh-CN"/>
                    </w:rPr>
                  </w:pPr>
                  <w:r>
                    <w:rPr>
                      <w:rFonts w:hint="eastAsia" w:eastAsia="仿宋_GB2312"/>
                      <w:color w:val="000000" w:themeColor="text1"/>
                      <w:sz w:val="21"/>
                      <w:szCs w:val="21"/>
                      <w:lang w:val="en-US" w:eastAsia="zh-CN"/>
                    </w:rPr>
                    <w:t>+0.2</w:t>
                  </w:r>
                </w:p>
              </w:tc>
              <w:tc>
                <w:tcPr>
                  <w:tcW w:w="537" w:type="pct"/>
                  <w:vAlign w:val="center"/>
                </w:tcPr>
                <w:p w14:paraId="2E98E579">
                  <w:pPr>
                    <w:adjustRightInd w:val="0"/>
                    <w:snapToGrid w:val="0"/>
                    <w:jc w:val="center"/>
                    <w:rPr>
                      <w:rFonts w:eastAsia="仿宋_GB2312"/>
                      <w:bCs/>
                      <w:sz w:val="21"/>
                      <w:szCs w:val="21"/>
                    </w:rPr>
                  </w:pPr>
                  <w:r>
                    <w:rPr>
                      <w:rFonts w:eastAsia="仿宋_GB2312"/>
                      <w:bCs/>
                      <w:sz w:val="21"/>
                      <w:szCs w:val="21"/>
                    </w:rPr>
                    <w:t>0.1</w:t>
                  </w:r>
                </w:p>
              </w:tc>
              <w:tc>
                <w:tcPr>
                  <w:tcW w:w="664" w:type="pct"/>
                  <w:vAlign w:val="center"/>
                </w:tcPr>
                <w:p w14:paraId="24C8E2D6">
                  <w:pPr>
                    <w:adjustRightInd w:val="0"/>
                    <w:snapToGrid w:val="0"/>
                    <w:jc w:val="center"/>
                    <w:rPr>
                      <w:rFonts w:eastAsia="仿宋_GB2312"/>
                      <w:color w:val="000000" w:themeColor="text1"/>
                      <w:kern w:val="0"/>
                      <w:sz w:val="21"/>
                      <w:szCs w:val="21"/>
                    </w:rPr>
                  </w:pPr>
                  <w:r>
                    <w:rPr>
                      <w:rFonts w:eastAsia="仿宋_GB2312"/>
                      <w:color w:val="000000" w:themeColor="text1"/>
                      <w:kern w:val="0"/>
                      <w:sz w:val="21"/>
                      <w:szCs w:val="21"/>
                    </w:rPr>
                    <w:t>江苏采购，汽运</w:t>
                  </w:r>
                </w:p>
              </w:tc>
            </w:tr>
            <w:tr w14:paraId="735717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3" w:hRule="atLeast"/>
                <w:jc w:val="center"/>
              </w:trPr>
              <w:tc>
                <w:tcPr>
                  <w:tcW w:w="263" w:type="pct"/>
                  <w:vAlign w:val="center"/>
                </w:tcPr>
                <w:p w14:paraId="71094F5D">
                  <w:pPr>
                    <w:adjustRightInd w:val="0"/>
                    <w:snapToGrid w:val="0"/>
                    <w:jc w:val="center"/>
                    <w:rPr>
                      <w:rFonts w:hint="eastAsia" w:eastAsia="仿宋_GB2312"/>
                      <w:bCs/>
                      <w:color w:val="000000" w:themeColor="text1"/>
                      <w:sz w:val="21"/>
                      <w:szCs w:val="21"/>
                      <w:lang w:val="en-US" w:eastAsia="zh-CN"/>
                    </w:rPr>
                  </w:pPr>
                  <w:r>
                    <w:rPr>
                      <w:rFonts w:hint="eastAsia" w:eastAsia="仿宋_GB2312"/>
                      <w:bCs/>
                      <w:color w:val="000000" w:themeColor="text1"/>
                      <w:sz w:val="21"/>
                      <w:szCs w:val="21"/>
                      <w:lang w:val="en-US" w:eastAsia="zh-CN"/>
                    </w:rPr>
                    <w:t>8</w:t>
                  </w:r>
                </w:p>
              </w:tc>
              <w:tc>
                <w:tcPr>
                  <w:tcW w:w="334" w:type="pct"/>
                  <w:vMerge w:val="continue"/>
                  <w:vAlign w:val="center"/>
                </w:tcPr>
                <w:p w14:paraId="08DE5521">
                  <w:pPr>
                    <w:adjustRightInd w:val="0"/>
                    <w:snapToGrid w:val="0"/>
                    <w:jc w:val="center"/>
                    <w:rPr>
                      <w:rFonts w:eastAsia="仿宋_GB2312"/>
                      <w:bCs/>
                      <w:color w:val="000000" w:themeColor="text1"/>
                      <w:sz w:val="21"/>
                      <w:szCs w:val="21"/>
                    </w:rPr>
                  </w:pPr>
                </w:p>
              </w:tc>
              <w:tc>
                <w:tcPr>
                  <w:tcW w:w="482" w:type="pct"/>
                  <w:vAlign w:val="center"/>
                </w:tcPr>
                <w:p w14:paraId="1394B9CA">
                  <w:pPr>
                    <w:adjustRightInd w:val="0"/>
                    <w:snapToGrid w:val="0"/>
                    <w:jc w:val="center"/>
                    <w:rPr>
                      <w:rFonts w:eastAsia="仿宋_GB2312"/>
                      <w:sz w:val="21"/>
                      <w:szCs w:val="21"/>
                    </w:rPr>
                  </w:pPr>
                  <w:r>
                    <w:rPr>
                      <w:rFonts w:eastAsia="仿宋_GB2312"/>
                      <w:sz w:val="21"/>
                      <w:szCs w:val="21"/>
                    </w:rPr>
                    <w:t>机油</w:t>
                  </w:r>
                </w:p>
              </w:tc>
              <w:tc>
                <w:tcPr>
                  <w:tcW w:w="896" w:type="pct"/>
                  <w:vAlign w:val="center"/>
                </w:tcPr>
                <w:p w14:paraId="25DA4156">
                  <w:pPr>
                    <w:adjustRightInd w:val="0"/>
                    <w:snapToGrid w:val="0"/>
                    <w:jc w:val="center"/>
                    <w:rPr>
                      <w:rFonts w:eastAsia="仿宋_GB2312"/>
                      <w:bCs/>
                      <w:color w:val="000000" w:themeColor="text1"/>
                      <w:sz w:val="21"/>
                      <w:szCs w:val="21"/>
                    </w:rPr>
                  </w:pPr>
                  <w:r>
                    <w:rPr>
                      <w:rFonts w:eastAsia="仿宋_GB2312"/>
                      <w:bCs/>
                      <w:color w:val="000000" w:themeColor="text1"/>
                      <w:sz w:val="21"/>
                      <w:szCs w:val="21"/>
                    </w:rPr>
                    <w:t>基础油70~90%、添加剂10~30%，常用添加剂有粘度指数改进剂、清净剂/分散剂、抗磨剂、抗氧化剂、抗泡剂/防锈剂、摩擦改进剂等。</w:t>
                  </w:r>
                </w:p>
              </w:tc>
              <w:tc>
                <w:tcPr>
                  <w:tcW w:w="343" w:type="pct"/>
                  <w:vAlign w:val="center"/>
                </w:tcPr>
                <w:p w14:paraId="5A0F3D40">
                  <w:pPr>
                    <w:adjustRightInd w:val="0"/>
                    <w:snapToGrid w:val="0"/>
                    <w:jc w:val="center"/>
                    <w:rPr>
                      <w:rFonts w:hint="eastAsia" w:eastAsia="仿宋_GB2312"/>
                      <w:color w:val="000000" w:themeColor="text1"/>
                      <w:sz w:val="21"/>
                      <w:szCs w:val="21"/>
                      <w:lang w:eastAsia="zh-CN"/>
                    </w:rPr>
                  </w:pPr>
                  <w:r>
                    <w:rPr>
                      <w:rFonts w:hint="eastAsia" w:eastAsia="仿宋_GB2312"/>
                      <w:color w:val="000000" w:themeColor="text1"/>
                      <w:sz w:val="21"/>
                      <w:szCs w:val="21"/>
                      <w:lang w:val="en-US" w:eastAsia="zh-CN"/>
                    </w:rPr>
                    <w:t>桶装</w:t>
                  </w:r>
                </w:p>
              </w:tc>
              <w:tc>
                <w:tcPr>
                  <w:tcW w:w="492" w:type="pct"/>
                  <w:vAlign w:val="center"/>
                </w:tcPr>
                <w:p w14:paraId="5B3E6825">
                  <w:pPr>
                    <w:adjustRightInd w:val="0"/>
                    <w:snapToGrid w:val="0"/>
                    <w:jc w:val="center"/>
                    <w:rPr>
                      <w:rFonts w:hint="default" w:eastAsia="仿宋_GB2312"/>
                      <w:color w:val="000000" w:themeColor="text1"/>
                      <w:sz w:val="21"/>
                      <w:szCs w:val="21"/>
                      <w:lang w:val="en-US" w:eastAsia="zh-CN"/>
                    </w:rPr>
                  </w:pPr>
                  <w:r>
                    <w:rPr>
                      <w:rFonts w:hint="eastAsia" w:eastAsia="仿宋_GB2312"/>
                      <w:color w:val="000000" w:themeColor="text1"/>
                      <w:sz w:val="21"/>
                      <w:szCs w:val="21"/>
                      <w:lang w:val="en-US" w:eastAsia="zh-CN"/>
                    </w:rPr>
                    <w:t>1</w:t>
                  </w:r>
                </w:p>
              </w:tc>
              <w:tc>
                <w:tcPr>
                  <w:tcW w:w="492" w:type="pct"/>
                  <w:vAlign w:val="center"/>
                </w:tcPr>
                <w:p w14:paraId="336D53E1">
                  <w:pPr>
                    <w:adjustRightInd w:val="0"/>
                    <w:snapToGrid w:val="0"/>
                    <w:jc w:val="center"/>
                    <w:rPr>
                      <w:rFonts w:hint="eastAsia" w:eastAsia="仿宋_GB2312"/>
                      <w:color w:val="000000" w:themeColor="text1"/>
                      <w:sz w:val="21"/>
                      <w:szCs w:val="21"/>
                      <w:lang w:val="en-US" w:eastAsia="zh-CN"/>
                    </w:rPr>
                  </w:pPr>
                  <w:r>
                    <w:rPr>
                      <w:rFonts w:eastAsia="仿宋_GB2312"/>
                      <w:color w:val="000000" w:themeColor="text1"/>
                      <w:sz w:val="21"/>
                      <w:szCs w:val="21"/>
                    </w:rPr>
                    <w:t>4.5</w:t>
                  </w:r>
                </w:p>
              </w:tc>
              <w:tc>
                <w:tcPr>
                  <w:tcW w:w="492" w:type="pct"/>
                  <w:vAlign w:val="center"/>
                </w:tcPr>
                <w:p w14:paraId="1AD0AC3C">
                  <w:pPr>
                    <w:adjustRightInd w:val="0"/>
                    <w:snapToGrid w:val="0"/>
                    <w:jc w:val="center"/>
                    <w:rPr>
                      <w:rFonts w:hint="default" w:eastAsia="仿宋_GB2312"/>
                      <w:color w:val="000000" w:themeColor="text1"/>
                      <w:sz w:val="21"/>
                      <w:szCs w:val="21"/>
                      <w:lang w:val="en-US" w:eastAsia="zh-CN"/>
                    </w:rPr>
                  </w:pPr>
                  <w:r>
                    <w:rPr>
                      <w:rFonts w:hint="eastAsia" w:eastAsia="仿宋_GB2312"/>
                      <w:color w:val="000000" w:themeColor="text1"/>
                      <w:sz w:val="21"/>
                      <w:szCs w:val="21"/>
                      <w:lang w:val="en-US" w:eastAsia="zh-CN"/>
                    </w:rPr>
                    <w:t>+3.5</w:t>
                  </w:r>
                </w:p>
              </w:tc>
              <w:tc>
                <w:tcPr>
                  <w:tcW w:w="537" w:type="pct"/>
                  <w:vAlign w:val="center"/>
                </w:tcPr>
                <w:p w14:paraId="651BCD8C">
                  <w:pPr>
                    <w:adjustRightInd w:val="0"/>
                    <w:snapToGrid w:val="0"/>
                    <w:jc w:val="center"/>
                    <w:rPr>
                      <w:rFonts w:eastAsia="仿宋_GB2312"/>
                      <w:bCs/>
                      <w:sz w:val="21"/>
                      <w:szCs w:val="21"/>
                    </w:rPr>
                  </w:pPr>
                  <w:r>
                    <w:rPr>
                      <w:rFonts w:eastAsia="仿宋_GB2312"/>
                      <w:bCs/>
                      <w:sz w:val="21"/>
                      <w:szCs w:val="21"/>
                    </w:rPr>
                    <w:t>5.0</w:t>
                  </w:r>
                </w:p>
              </w:tc>
              <w:tc>
                <w:tcPr>
                  <w:tcW w:w="664" w:type="pct"/>
                  <w:vAlign w:val="center"/>
                </w:tcPr>
                <w:p w14:paraId="688D8B48">
                  <w:pPr>
                    <w:adjustRightInd w:val="0"/>
                    <w:snapToGrid w:val="0"/>
                    <w:jc w:val="center"/>
                    <w:rPr>
                      <w:rFonts w:eastAsia="仿宋_GB2312"/>
                      <w:color w:val="000000" w:themeColor="text1"/>
                      <w:kern w:val="0"/>
                      <w:sz w:val="21"/>
                      <w:szCs w:val="21"/>
                    </w:rPr>
                  </w:pPr>
                  <w:r>
                    <w:rPr>
                      <w:rFonts w:eastAsia="仿宋_GB2312"/>
                      <w:color w:val="000000" w:themeColor="text1"/>
                      <w:kern w:val="0"/>
                      <w:sz w:val="21"/>
                      <w:szCs w:val="21"/>
                    </w:rPr>
                    <w:t>江苏采购，汽运</w:t>
                  </w:r>
                </w:p>
              </w:tc>
            </w:tr>
          </w:tbl>
          <w:p w14:paraId="6B7C7A8F">
            <w:pPr>
              <w:adjustRightInd w:val="0"/>
              <w:snapToGrid w:val="0"/>
              <w:spacing w:beforeLines="50" w:line="360" w:lineRule="auto"/>
              <w:jc w:val="center"/>
              <w:rPr>
                <w:rFonts w:eastAsia="仿宋_GB2312"/>
                <w:b/>
                <w:kern w:val="0"/>
              </w:rPr>
            </w:pPr>
            <w:r>
              <w:rPr>
                <w:rFonts w:eastAsia="仿宋_GB2312"/>
                <w:b/>
                <w:kern w:val="0"/>
              </w:rPr>
              <w:t>表2-</w:t>
            </w:r>
            <w:r>
              <w:rPr>
                <w:rFonts w:hint="eastAsia" w:eastAsia="仿宋_GB2312"/>
                <w:b/>
                <w:kern w:val="0"/>
                <w:lang w:val="en-US" w:eastAsia="zh-CN"/>
              </w:rPr>
              <w:t xml:space="preserve">10  </w:t>
            </w:r>
            <w:r>
              <w:rPr>
                <w:rFonts w:eastAsia="仿宋_GB2312"/>
                <w:b/>
                <w:kern w:val="0"/>
              </w:rPr>
              <w:t>建设项目原辅材料理化性质</w:t>
            </w:r>
          </w:p>
          <w:tbl>
            <w:tblPr>
              <w:tblStyle w:val="3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73"/>
              <w:gridCol w:w="3071"/>
              <w:gridCol w:w="1556"/>
              <w:gridCol w:w="2023"/>
            </w:tblGrid>
            <w:tr w14:paraId="094888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0" w:type="pct"/>
                  <w:tcBorders>
                    <w:top w:val="single" w:color="auto" w:sz="12" w:space="0"/>
                  </w:tcBorders>
                  <w:vAlign w:val="center"/>
                </w:tcPr>
                <w:p w14:paraId="38534832">
                  <w:pPr>
                    <w:adjustRightInd w:val="0"/>
                    <w:snapToGrid w:val="0"/>
                    <w:jc w:val="center"/>
                    <w:rPr>
                      <w:rFonts w:eastAsia="仿宋_GB2312"/>
                      <w:b/>
                      <w:snapToGrid w:val="0"/>
                      <w:kern w:val="0"/>
                      <w:sz w:val="21"/>
                      <w:szCs w:val="21"/>
                    </w:rPr>
                  </w:pPr>
                  <w:r>
                    <w:rPr>
                      <w:rFonts w:eastAsia="仿宋_GB2312"/>
                      <w:b/>
                      <w:snapToGrid w:val="0"/>
                      <w:kern w:val="0"/>
                      <w:sz w:val="21"/>
                      <w:szCs w:val="21"/>
                    </w:rPr>
                    <w:t>名称</w:t>
                  </w:r>
                </w:p>
              </w:tc>
              <w:tc>
                <w:tcPr>
                  <w:tcW w:w="629" w:type="pct"/>
                  <w:tcBorders>
                    <w:top w:val="single" w:color="auto" w:sz="12" w:space="0"/>
                  </w:tcBorders>
                  <w:vAlign w:val="center"/>
                </w:tcPr>
                <w:p w14:paraId="2516006C">
                  <w:pPr>
                    <w:adjustRightInd w:val="0"/>
                    <w:snapToGrid w:val="0"/>
                    <w:jc w:val="center"/>
                    <w:rPr>
                      <w:rFonts w:eastAsia="仿宋_GB2312"/>
                      <w:b/>
                      <w:snapToGrid w:val="0"/>
                      <w:kern w:val="0"/>
                      <w:sz w:val="21"/>
                      <w:szCs w:val="21"/>
                    </w:rPr>
                  </w:pPr>
                  <w:r>
                    <w:rPr>
                      <w:rFonts w:eastAsia="仿宋_GB2312"/>
                      <w:b/>
                      <w:snapToGrid w:val="0"/>
                      <w:kern w:val="0"/>
                      <w:sz w:val="21"/>
                      <w:szCs w:val="21"/>
                    </w:rPr>
                    <w:t>分子式</w:t>
                  </w:r>
                </w:p>
              </w:tc>
              <w:tc>
                <w:tcPr>
                  <w:tcW w:w="1954" w:type="pct"/>
                  <w:tcBorders>
                    <w:top w:val="single" w:color="auto" w:sz="12" w:space="0"/>
                  </w:tcBorders>
                  <w:vAlign w:val="center"/>
                </w:tcPr>
                <w:p w14:paraId="10651E30">
                  <w:pPr>
                    <w:adjustRightInd w:val="0"/>
                    <w:snapToGrid w:val="0"/>
                    <w:jc w:val="center"/>
                    <w:rPr>
                      <w:rFonts w:eastAsia="仿宋_GB2312"/>
                      <w:b/>
                      <w:snapToGrid w:val="0"/>
                      <w:kern w:val="0"/>
                      <w:sz w:val="21"/>
                      <w:szCs w:val="21"/>
                    </w:rPr>
                  </w:pPr>
                  <w:r>
                    <w:rPr>
                      <w:rFonts w:eastAsia="仿宋_GB2312"/>
                      <w:b/>
                      <w:snapToGrid w:val="0"/>
                      <w:kern w:val="0"/>
                      <w:sz w:val="21"/>
                      <w:szCs w:val="21"/>
                    </w:rPr>
                    <w:t>理化特性</w:t>
                  </w:r>
                </w:p>
              </w:tc>
              <w:tc>
                <w:tcPr>
                  <w:tcW w:w="1051" w:type="pct"/>
                  <w:tcBorders>
                    <w:top w:val="single" w:color="auto" w:sz="12" w:space="0"/>
                  </w:tcBorders>
                  <w:vAlign w:val="center"/>
                </w:tcPr>
                <w:p w14:paraId="1E390B4E">
                  <w:pPr>
                    <w:adjustRightInd w:val="0"/>
                    <w:snapToGrid w:val="0"/>
                    <w:jc w:val="center"/>
                    <w:rPr>
                      <w:rFonts w:eastAsia="仿宋_GB2312"/>
                      <w:b/>
                      <w:snapToGrid w:val="0"/>
                      <w:kern w:val="0"/>
                      <w:sz w:val="21"/>
                      <w:szCs w:val="21"/>
                    </w:rPr>
                  </w:pPr>
                  <w:r>
                    <w:rPr>
                      <w:rFonts w:eastAsia="仿宋_GB2312"/>
                      <w:b/>
                      <w:snapToGrid w:val="0"/>
                      <w:kern w:val="0"/>
                      <w:sz w:val="21"/>
                      <w:szCs w:val="21"/>
                    </w:rPr>
                    <w:t>燃烧爆炸性</w:t>
                  </w:r>
                </w:p>
              </w:tc>
              <w:tc>
                <w:tcPr>
                  <w:tcW w:w="904" w:type="pct"/>
                  <w:tcBorders>
                    <w:top w:val="single" w:color="auto" w:sz="12" w:space="0"/>
                  </w:tcBorders>
                  <w:vAlign w:val="center"/>
                </w:tcPr>
                <w:p w14:paraId="43683BE4">
                  <w:pPr>
                    <w:adjustRightInd w:val="0"/>
                    <w:snapToGrid w:val="0"/>
                    <w:jc w:val="center"/>
                    <w:rPr>
                      <w:rFonts w:eastAsia="仿宋_GB2312"/>
                      <w:b/>
                      <w:snapToGrid w:val="0"/>
                      <w:kern w:val="0"/>
                      <w:sz w:val="21"/>
                      <w:szCs w:val="21"/>
                    </w:rPr>
                  </w:pPr>
                  <w:r>
                    <w:rPr>
                      <w:rFonts w:eastAsia="仿宋_GB2312"/>
                      <w:b/>
                      <w:snapToGrid w:val="0"/>
                      <w:kern w:val="0"/>
                      <w:sz w:val="21"/>
                      <w:szCs w:val="21"/>
                    </w:rPr>
                    <w:t>毒性毒理</w:t>
                  </w:r>
                </w:p>
              </w:tc>
            </w:tr>
            <w:tr w14:paraId="1FEB4C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0" w:type="pct"/>
                  <w:vAlign w:val="center"/>
                </w:tcPr>
                <w:p w14:paraId="145B8940">
                  <w:pPr>
                    <w:adjustRightInd w:val="0"/>
                    <w:snapToGrid w:val="0"/>
                    <w:jc w:val="center"/>
                    <w:rPr>
                      <w:rFonts w:eastAsia="仿宋_GB2312"/>
                      <w:bCs/>
                      <w:sz w:val="21"/>
                      <w:szCs w:val="21"/>
                    </w:rPr>
                  </w:pPr>
                  <w:r>
                    <w:rPr>
                      <w:rFonts w:eastAsia="仿宋_GB2312"/>
                      <w:bCs/>
                      <w:sz w:val="21"/>
                      <w:szCs w:val="21"/>
                    </w:rPr>
                    <w:t>氯化钠</w:t>
                  </w:r>
                </w:p>
              </w:tc>
              <w:tc>
                <w:tcPr>
                  <w:tcW w:w="629" w:type="pct"/>
                  <w:vAlign w:val="center"/>
                </w:tcPr>
                <w:p w14:paraId="194EC81B">
                  <w:pPr>
                    <w:adjustRightInd w:val="0"/>
                    <w:snapToGrid w:val="0"/>
                    <w:jc w:val="center"/>
                    <w:rPr>
                      <w:rFonts w:eastAsia="仿宋_GB2312"/>
                      <w:bCs/>
                      <w:sz w:val="21"/>
                      <w:szCs w:val="21"/>
                    </w:rPr>
                  </w:pPr>
                  <w:r>
                    <w:rPr>
                      <w:rFonts w:eastAsia="仿宋_GB2312"/>
                      <w:sz w:val="21"/>
                      <w:szCs w:val="21"/>
                      <w:shd w:val="clear" w:color="auto" w:fill="FFFFFF"/>
                    </w:rPr>
                    <w:t>NaCl</w:t>
                  </w:r>
                </w:p>
              </w:tc>
              <w:tc>
                <w:tcPr>
                  <w:tcW w:w="1954" w:type="pct"/>
                  <w:vAlign w:val="center"/>
                </w:tcPr>
                <w:p w14:paraId="043556A2">
                  <w:pPr>
                    <w:adjustRightInd w:val="0"/>
                    <w:snapToGrid w:val="0"/>
                    <w:jc w:val="center"/>
                    <w:rPr>
                      <w:rFonts w:eastAsia="仿宋_GB2312"/>
                      <w:snapToGrid w:val="0"/>
                      <w:sz w:val="21"/>
                      <w:szCs w:val="21"/>
                    </w:rPr>
                  </w:pPr>
                  <w:r>
                    <w:rPr>
                      <w:rFonts w:eastAsia="仿宋_GB2312"/>
                      <w:snapToGrid w:val="0"/>
                      <w:sz w:val="21"/>
                      <w:szCs w:val="21"/>
                    </w:rPr>
                    <w:t>是一种无机离子化合物，化学式NaCl，无色立方结晶或细小结晶粉末，味咸。外观是白色晶体状，其来源主要是海水，是食盐的主要成分。易溶于水、甘油，微溶于乙醇（酒精）、液氨；不溶于浓盐酸。不纯的氯化钠在空气中有潮解性。稳定性比较好，其水溶液呈中性，工业上一般采用电解饱和氯化钠溶液的方法来生产氢气、氯气和烧碱（氢氧化钠）及其他化工产品（一般称为氯碱工业）也可用于矿石冶炼（电解熔融的氯化钠晶体生产活泼金属钠），医疗上用来配制生理盐水，生活上可用于调味品。</w:t>
                  </w:r>
                </w:p>
              </w:tc>
              <w:tc>
                <w:tcPr>
                  <w:tcW w:w="1051" w:type="pct"/>
                  <w:vAlign w:val="center"/>
                </w:tcPr>
                <w:p w14:paraId="28263092">
                  <w:pPr>
                    <w:pStyle w:val="56"/>
                    <w:spacing w:beforeLines="0" w:afterLines="0" w:line="240" w:lineRule="auto"/>
                    <w:rPr>
                      <w:rFonts w:ascii="Times New Roman" w:eastAsia="仿宋_GB2312"/>
                      <w:sz w:val="21"/>
                      <w:szCs w:val="21"/>
                    </w:rPr>
                  </w:pPr>
                  <w:r>
                    <w:rPr>
                      <w:rFonts w:ascii="Times New Roman" w:eastAsia="仿宋_GB2312"/>
                      <w:sz w:val="21"/>
                      <w:szCs w:val="21"/>
                    </w:rPr>
                    <w:t>几乎不燃</w:t>
                  </w:r>
                </w:p>
              </w:tc>
              <w:tc>
                <w:tcPr>
                  <w:tcW w:w="904" w:type="pct"/>
                  <w:vAlign w:val="center"/>
                </w:tcPr>
                <w:p w14:paraId="6AF4E522">
                  <w:pPr>
                    <w:pStyle w:val="56"/>
                    <w:spacing w:beforeLines="0" w:afterLines="0" w:line="240" w:lineRule="auto"/>
                    <w:rPr>
                      <w:rFonts w:ascii="Times New Roman" w:eastAsia="仿宋_GB2312"/>
                      <w:sz w:val="21"/>
                      <w:szCs w:val="21"/>
                    </w:rPr>
                  </w:pPr>
                  <w:r>
                    <w:rPr>
                      <w:rFonts w:ascii="Times New Roman" w:eastAsia="仿宋_GB2312"/>
                      <w:sz w:val="21"/>
                      <w:szCs w:val="21"/>
                    </w:rPr>
                    <w:t>LD</w:t>
                  </w:r>
                  <w:r>
                    <w:rPr>
                      <w:rFonts w:ascii="Times New Roman" w:eastAsia="仿宋_GB2312"/>
                      <w:sz w:val="21"/>
                      <w:szCs w:val="21"/>
                      <w:vertAlign w:val="subscript"/>
                    </w:rPr>
                    <w:t>50</w:t>
                  </w:r>
                  <w:r>
                    <w:rPr>
                      <w:rFonts w:ascii="Times New Roman" w:eastAsia="仿宋_GB2312"/>
                      <w:sz w:val="21"/>
                      <w:szCs w:val="21"/>
                    </w:rPr>
                    <w:t>：3000mg/kg，LD</w:t>
                  </w:r>
                  <w:r>
                    <w:rPr>
                      <w:rFonts w:ascii="Times New Roman" w:eastAsia="仿宋_GB2312"/>
                      <w:sz w:val="21"/>
                      <w:szCs w:val="21"/>
                      <w:vertAlign w:val="subscript"/>
                    </w:rPr>
                    <w:t>50</w:t>
                  </w:r>
                  <w:r>
                    <w:rPr>
                      <w:rFonts w:ascii="Times New Roman" w:eastAsia="仿宋_GB2312"/>
                      <w:sz w:val="21"/>
                      <w:szCs w:val="21"/>
                    </w:rPr>
                    <w:t>：&gt;10000mg/kg</w:t>
                  </w:r>
                </w:p>
              </w:tc>
            </w:tr>
            <w:tr w14:paraId="1F7306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0" w:type="pct"/>
                  <w:vAlign w:val="center"/>
                </w:tcPr>
                <w:p w14:paraId="7C1533C5">
                  <w:pPr>
                    <w:adjustRightInd w:val="0"/>
                    <w:snapToGrid w:val="0"/>
                    <w:jc w:val="center"/>
                    <w:rPr>
                      <w:rFonts w:eastAsia="仿宋_GB2312"/>
                      <w:bCs/>
                      <w:sz w:val="21"/>
                      <w:szCs w:val="21"/>
                    </w:rPr>
                  </w:pPr>
                  <w:r>
                    <w:rPr>
                      <w:rFonts w:eastAsia="仿宋_GB2312"/>
                      <w:sz w:val="21"/>
                      <w:szCs w:val="21"/>
                    </w:rPr>
                    <w:t>氯化钙</w:t>
                  </w:r>
                </w:p>
              </w:tc>
              <w:tc>
                <w:tcPr>
                  <w:tcW w:w="629" w:type="pct"/>
                  <w:vAlign w:val="center"/>
                </w:tcPr>
                <w:p w14:paraId="01CD585C">
                  <w:pPr>
                    <w:adjustRightInd w:val="0"/>
                    <w:snapToGrid w:val="0"/>
                    <w:jc w:val="center"/>
                    <w:rPr>
                      <w:rFonts w:eastAsia="仿宋_GB2312"/>
                      <w:bCs/>
                      <w:sz w:val="21"/>
                      <w:szCs w:val="21"/>
                    </w:rPr>
                  </w:pPr>
                  <w:r>
                    <w:rPr>
                      <w:rFonts w:eastAsia="仿宋_GB2312"/>
                      <w:bCs/>
                      <w:color w:val="000000" w:themeColor="text1"/>
                      <w:sz w:val="21"/>
                      <w:szCs w:val="21"/>
                    </w:rPr>
                    <w:t>CaCl</w:t>
                  </w:r>
                  <w:r>
                    <w:rPr>
                      <w:rFonts w:eastAsia="仿宋_GB2312"/>
                      <w:bCs/>
                      <w:color w:val="000000" w:themeColor="text1"/>
                      <w:sz w:val="21"/>
                      <w:szCs w:val="21"/>
                      <w:vertAlign w:val="subscript"/>
                    </w:rPr>
                    <w:t>2</w:t>
                  </w:r>
                </w:p>
              </w:tc>
              <w:tc>
                <w:tcPr>
                  <w:tcW w:w="1954" w:type="pct"/>
                  <w:vAlign w:val="center"/>
                </w:tcPr>
                <w:p w14:paraId="3138108F">
                  <w:pPr>
                    <w:adjustRightInd w:val="0"/>
                    <w:snapToGrid w:val="0"/>
                    <w:jc w:val="center"/>
                    <w:rPr>
                      <w:rFonts w:eastAsia="仿宋_GB2312"/>
                      <w:snapToGrid w:val="0"/>
                      <w:sz w:val="21"/>
                      <w:szCs w:val="21"/>
                    </w:rPr>
                  </w:pPr>
                  <w:r>
                    <w:rPr>
                      <w:rFonts w:eastAsia="仿宋_GB2312"/>
                      <w:snapToGrid w:val="0"/>
                      <w:sz w:val="21"/>
                      <w:szCs w:val="21"/>
                    </w:rPr>
                    <w:t>常温下为白色或灰白色颗粒、块状或粉末（无水物），或无色结晶（水合物），无味。密度为2.15g/cm³（无水物）或1.85g/cm³（二水合物），熔点772℃（无水物），二水合物加热至176℃脱水分解。其极易溶于水（20℃时74.5 g/100mL），溶解剧烈放热，并溶于乙醇、丙酮；无水物具极强吸湿性，暴露空气中迅速潮解。5%水溶液呈中性至弱碱性（pH6.0–8.5），高温（&gt;1600℃）分解为氧化钙和氯气。</w:t>
                  </w:r>
                </w:p>
              </w:tc>
              <w:tc>
                <w:tcPr>
                  <w:tcW w:w="1051" w:type="pct"/>
                  <w:vAlign w:val="center"/>
                </w:tcPr>
                <w:p w14:paraId="48252D06">
                  <w:pPr>
                    <w:pStyle w:val="56"/>
                    <w:spacing w:beforeLines="0" w:afterLines="0" w:line="240" w:lineRule="auto"/>
                    <w:rPr>
                      <w:rFonts w:ascii="Times New Roman" w:eastAsia="仿宋_GB2312"/>
                      <w:sz w:val="21"/>
                      <w:szCs w:val="21"/>
                    </w:rPr>
                  </w:pPr>
                  <w:r>
                    <w:rPr>
                      <w:rFonts w:ascii="Times New Roman" w:eastAsia="仿宋_GB2312"/>
                      <w:sz w:val="21"/>
                      <w:szCs w:val="21"/>
                    </w:rPr>
                    <w:t>不可燃，无爆炸风险。遇水剧烈放热，可能导致密闭容器内压升高；高温分解（&gt;1600℃）释放氯气（Cl₂），但常规工业使用条件下稳定性高</w:t>
                  </w:r>
                </w:p>
              </w:tc>
              <w:tc>
                <w:tcPr>
                  <w:tcW w:w="904" w:type="pct"/>
                  <w:vAlign w:val="center"/>
                </w:tcPr>
                <w:p w14:paraId="063CB143">
                  <w:pPr>
                    <w:pStyle w:val="56"/>
                    <w:spacing w:beforeLines="0" w:afterLines="0" w:line="240" w:lineRule="auto"/>
                    <w:rPr>
                      <w:rFonts w:ascii="Times New Roman" w:eastAsia="仿宋_GB2312"/>
                      <w:sz w:val="21"/>
                      <w:szCs w:val="21"/>
                    </w:rPr>
                  </w:pPr>
                  <w:r>
                    <w:rPr>
                      <w:rFonts w:ascii="Times New Roman" w:eastAsia="仿宋_GB2312"/>
                      <w:sz w:val="21"/>
                      <w:szCs w:val="21"/>
                    </w:rPr>
                    <w:t>LD₅₀：1,000–1,400mg/kg（中等毒性），摄入后刺激消化道，引发呕吐、腹泻。</w:t>
                  </w:r>
                </w:p>
              </w:tc>
            </w:tr>
            <w:tr w14:paraId="0F6BCD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0" w:type="pct"/>
                  <w:vAlign w:val="center"/>
                </w:tcPr>
                <w:p w14:paraId="2DDF8C0B">
                  <w:pPr>
                    <w:adjustRightInd w:val="0"/>
                    <w:snapToGrid w:val="0"/>
                    <w:jc w:val="center"/>
                    <w:rPr>
                      <w:rFonts w:eastAsia="仿宋_GB2312"/>
                      <w:bCs/>
                      <w:sz w:val="21"/>
                      <w:szCs w:val="21"/>
                    </w:rPr>
                  </w:pPr>
                  <w:r>
                    <w:rPr>
                      <w:rFonts w:eastAsia="仿宋_GB2312"/>
                      <w:bCs/>
                      <w:sz w:val="21"/>
                      <w:szCs w:val="21"/>
                    </w:rPr>
                    <w:t>氯化镁</w:t>
                  </w:r>
                </w:p>
              </w:tc>
              <w:tc>
                <w:tcPr>
                  <w:tcW w:w="629" w:type="pct"/>
                  <w:vAlign w:val="center"/>
                </w:tcPr>
                <w:p w14:paraId="123E37BA">
                  <w:pPr>
                    <w:adjustRightInd w:val="0"/>
                    <w:snapToGrid w:val="0"/>
                    <w:jc w:val="center"/>
                    <w:rPr>
                      <w:rFonts w:eastAsia="仿宋_GB2312"/>
                      <w:bCs/>
                      <w:sz w:val="21"/>
                      <w:szCs w:val="21"/>
                    </w:rPr>
                  </w:pPr>
                  <w:r>
                    <w:rPr>
                      <w:rFonts w:eastAsia="仿宋_GB2312"/>
                      <w:bCs/>
                      <w:color w:val="000000" w:themeColor="text1"/>
                      <w:sz w:val="21"/>
                      <w:szCs w:val="21"/>
                    </w:rPr>
                    <w:t>MgCl</w:t>
                  </w:r>
                  <w:r>
                    <w:rPr>
                      <w:rFonts w:eastAsia="仿宋_GB2312"/>
                      <w:bCs/>
                      <w:color w:val="000000" w:themeColor="text1"/>
                      <w:sz w:val="21"/>
                      <w:szCs w:val="21"/>
                      <w:vertAlign w:val="subscript"/>
                    </w:rPr>
                    <w:t>2</w:t>
                  </w:r>
                </w:p>
              </w:tc>
              <w:tc>
                <w:tcPr>
                  <w:tcW w:w="1954" w:type="pct"/>
                  <w:vAlign w:val="center"/>
                </w:tcPr>
                <w:p w14:paraId="3FB33D7F">
                  <w:pPr>
                    <w:adjustRightInd w:val="0"/>
                    <w:snapToGrid w:val="0"/>
                    <w:jc w:val="center"/>
                    <w:rPr>
                      <w:rFonts w:eastAsia="仿宋_GB2312"/>
                      <w:snapToGrid w:val="0"/>
                      <w:sz w:val="21"/>
                      <w:szCs w:val="21"/>
                    </w:rPr>
                  </w:pPr>
                  <w:r>
                    <w:rPr>
                      <w:rFonts w:eastAsia="仿宋_GB2312"/>
                      <w:snapToGrid w:val="0"/>
                      <w:sz w:val="21"/>
                      <w:szCs w:val="21"/>
                    </w:rPr>
                    <w:t>分子量95.21，常温下为白色结晶，相对密度2.325（25℃），熔点708℃，沸点1412℃，溶于水、醇</w:t>
                  </w:r>
                </w:p>
              </w:tc>
              <w:tc>
                <w:tcPr>
                  <w:tcW w:w="1051" w:type="pct"/>
                  <w:vAlign w:val="center"/>
                </w:tcPr>
                <w:p w14:paraId="16C92AAB">
                  <w:pPr>
                    <w:pStyle w:val="56"/>
                    <w:spacing w:before="24" w:after="24" w:line="240" w:lineRule="auto"/>
                    <w:rPr>
                      <w:rFonts w:ascii="Times New Roman" w:eastAsia="仿宋_GB2312"/>
                      <w:sz w:val="21"/>
                      <w:szCs w:val="21"/>
                    </w:rPr>
                  </w:pPr>
                  <w:r>
                    <w:rPr>
                      <w:rFonts w:ascii="Times New Roman" w:eastAsia="仿宋_GB2312"/>
                      <w:sz w:val="21"/>
                      <w:szCs w:val="21"/>
                    </w:rPr>
                    <w:t>不燃，受高热分解放出有毒的气体</w:t>
                  </w:r>
                </w:p>
              </w:tc>
              <w:tc>
                <w:tcPr>
                  <w:tcW w:w="904" w:type="pct"/>
                  <w:vAlign w:val="center"/>
                </w:tcPr>
                <w:p w14:paraId="25329D3A">
                  <w:pPr>
                    <w:pStyle w:val="56"/>
                    <w:spacing w:before="24" w:after="24" w:line="240" w:lineRule="auto"/>
                    <w:rPr>
                      <w:rFonts w:ascii="Times New Roman" w:eastAsia="仿宋_GB2312"/>
                      <w:sz w:val="21"/>
                      <w:szCs w:val="21"/>
                    </w:rPr>
                  </w:pPr>
                  <w:r>
                    <w:rPr>
                      <w:rFonts w:ascii="Times New Roman" w:eastAsia="仿宋_GB2312"/>
                      <w:sz w:val="21"/>
                      <w:szCs w:val="21"/>
                    </w:rPr>
                    <w:t>LD</w:t>
                  </w:r>
                  <w:r>
                    <w:rPr>
                      <w:rFonts w:ascii="Times New Roman" w:eastAsia="仿宋_GB2312"/>
                      <w:sz w:val="21"/>
                      <w:szCs w:val="21"/>
                      <w:vertAlign w:val="subscript"/>
                    </w:rPr>
                    <w:t>50</w:t>
                  </w:r>
                  <w:r>
                    <w:rPr>
                      <w:rFonts w:ascii="Times New Roman" w:eastAsia="仿宋_GB2312"/>
                      <w:sz w:val="21"/>
                      <w:szCs w:val="21"/>
                    </w:rPr>
                    <w:t>：2800mg/kg(大鼠经口)</w:t>
                  </w:r>
                </w:p>
              </w:tc>
            </w:tr>
            <w:tr w14:paraId="6C21AE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0" w:type="pct"/>
                  <w:vAlign w:val="center"/>
                </w:tcPr>
                <w:p w14:paraId="16CB7C8B">
                  <w:pPr>
                    <w:adjustRightInd w:val="0"/>
                    <w:snapToGrid w:val="0"/>
                    <w:jc w:val="center"/>
                    <w:rPr>
                      <w:rFonts w:eastAsia="仿宋_GB2312"/>
                      <w:bCs/>
                      <w:sz w:val="21"/>
                      <w:szCs w:val="21"/>
                    </w:rPr>
                  </w:pPr>
                  <w:r>
                    <w:rPr>
                      <w:rFonts w:eastAsia="仿宋_GB2312"/>
                      <w:sz w:val="21"/>
                      <w:szCs w:val="21"/>
                    </w:rPr>
                    <w:t>液碱</w:t>
                  </w:r>
                </w:p>
              </w:tc>
              <w:tc>
                <w:tcPr>
                  <w:tcW w:w="629" w:type="pct"/>
                  <w:vAlign w:val="center"/>
                </w:tcPr>
                <w:p w14:paraId="5D5675B0">
                  <w:pPr>
                    <w:adjustRightInd w:val="0"/>
                    <w:snapToGrid w:val="0"/>
                    <w:jc w:val="center"/>
                    <w:rPr>
                      <w:rFonts w:eastAsia="仿宋_GB2312"/>
                      <w:bCs/>
                      <w:sz w:val="21"/>
                      <w:szCs w:val="21"/>
                    </w:rPr>
                  </w:pPr>
                  <w:r>
                    <w:rPr>
                      <w:rFonts w:eastAsia="仿宋_GB2312"/>
                      <w:bCs/>
                      <w:color w:val="000000" w:themeColor="text1"/>
                      <w:sz w:val="21"/>
                      <w:szCs w:val="21"/>
                    </w:rPr>
                    <w:t>NaOH</w:t>
                  </w:r>
                </w:p>
              </w:tc>
              <w:tc>
                <w:tcPr>
                  <w:tcW w:w="1954" w:type="pct"/>
                  <w:vAlign w:val="center"/>
                </w:tcPr>
                <w:p w14:paraId="65D3F69D">
                  <w:pPr>
                    <w:adjustRightInd w:val="0"/>
                    <w:snapToGrid w:val="0"/>
                    <w:jc w:val="center"/>
                    <w:rPr>
                      <w:rFonts w:eastAsia="仿宋_GB2312"/>
                      <w:snapToGrid w:val="0"/>
                      <w:sz w:val="21"/>
                      <w:szCs w:val="21"/>
                    </w:rPr>
                  </w:pPr>
                  <w:r>
                    <w:rPr>
                      <w:rFonts w:eastAsia="仿宋_GB2312"/>
                      <w:snapToGrid w:val="0"/>
                      <w:sz w:val="21"/>
                      <w:szCs w:val="21"/>
                    </w:rPr>
                    <w:t>熔融白色颗粒或条状，现常制成小片状，易吸收空气中的水分和二氧化碳，溶于水、乙醇时或溶液与酸混合时产生剧热，相对密度2.13，熔点318℃，沸点1390℃</w:t>
                  </w:r>
                </w:p>
              </w:tc>
              <w:tc>
                <w:tcPr>
                  <w:tcW w:w="1051" w:type="pct"/>
                  <w:vAlign w:val="center"/>
                </w:tcPr>
                <w:p w14:paraId="18B31ADA">
                  <w:pPr>
                    <w:pStyle w:val="56"/>
                    <w:spacing w:beforeLines="0" w:afterLines="0" w:line="240" w:lineRule="auto"/>
                    <w:rPr>
                      <w:rFonts w:ascii="Times New Roman" w:eastAsia="仿宋_GB2312"/>
                      <w:sz w:val="21"/>
                      <w:szCs w:val="21"/>
                    </w:rPr>
                  </w:pPr>
                  <w:r>
                    <w:rPr>
                      <w:rFonts w:ascii="Times New Roman" w:eastAsia="仿宋_GB2312"/>
                      <w:sz w:val="21"/>
                      <w:szCs w:val="21"/>
                    </w:rPr>
                    <w:t>不燃</w:t>
                  </w:r>
                </w:p>
              </w:tc>
              <w:tc>
                <w:tcPr>
                  <w:tcW w:w="904" w:type="pct"/>
                  <w:vAlign w:val="center"/>
                </w:tcPr>
                <w:p w14:paraId="223F67AC">
                  <w:pPr>
                    <w:pStyle w:val="56"/>
                    <w:spacing w:beforeLines="0" w:afterLines="0" w:line="240" w:lineRule="auto"/>
                    <w:rPr>
                      <w:rFonts w:ascii="Times New Roman" w:eastAsia="仿宋_GB2312"/>
                      <w:sz w:val="21"/>
                      <w:szCs w:val="21"/>
                    </w:rPr>
                  </w:pPr>
                  <w:r>
                    <w:rPr>
                      <w:rFonts w:ascii="Times New Roman" w:eastAsia="仿宋_GB2312"/>
                      <w:sz w:val="21"/>
                      <w:szCs w:val="21"/>
                    </w:rPr>
                    <w:t>/</w:t>
                  </w:r>
                </w:p>
              </w:tc>
            </w:tr>
            <w:tr w14:paraId="7B3DCB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0" w:type="pct"/>
                  <w:vAlign w:val="center"/>
                </w:tcPr>
                <w:p w14:paraId="6428E4A1">
                  <w:pPr>
                    <w:adjustRightInd w:val="0"/>
                    <w:snapToGrid w:val="0"/>
                    <w:jc w:val="center"/>
                    <w:rPr>
                      <w:rFonts w:eastAsia="仿宋_GB2312"/>
                      <w:bCs/>
                      <w:sz w:val="21"/>
                      <w:szCs w:val="21"/>
                    </w:rPr>
                  </w:pPr>
                  <w:r>
                    <w:rPr>
                      <w:rFonts w:eastAsia="仿宋_GB2312"/>
                      <w:sz w:val="21"/>
                      <w:szCs w:val="21"/>
                    </w:rPr>
                    <w:t>盐酸</w:t>
                  </w:r>
                </w:p>
              </w:tc>
              <w:tc>
                <w:tcPr>
                  <w:tcW w:w="629" w:type="pct"/>
                  <w:vAlign w:val="center"/>
                </w:tcPr>
                <w:p w14:paraId="55D66470">
                  <w:pPr>
                    <w:adjustRightInd w:val="0"/>
                    <w:snapToGrid w:val="0"/>
                    <w:jc w:val="center"/>
                    <w:rPr>
                      <w:rFonts w:eastAsia="仿宋_GB2312"/>
                      <w:bCs/>
                      <w:sz w:val="21"/>
                      <w:szCs w:val="21"/>
                    </w:rPr>
                  </w:pPr>
                  <w:r>
                    <w:rPr>
                      <w:rFonts w:eastAsia="仿宋_GB2312"/>
                      <w:bCs/>
                      <w:color w:val="000000" w:themeColor="text1"/>
                      <w:sz w:val="21"/>
                      <w:szCs w:val="21"/>
                    </w:rPr>
                    <w:t>HCL</w:t>
                  </w:r>
                </w:p>
              </w:tc>
              <w:tc>
                <w:tcPr>
                  <w:tcW w:w="1954" w:type="pct"/>
                  <w:vAlign w:val="center"/>
                </w:tcPr>
                <w:p w14:paraId="0ECE9E26">
                  <w:pPr>
                    <w:adjustRightInd w:val="0"/>
                    <w:snapToGrid w:val="0"/>
                    <w:jc w:val="center"/>
                    <w:rPr>
                      <w:rFonts w:ascii="Times New Roman" w:hAnsi="Times New Roman" w:eastAsia="仿宋_GB2312" w:cs="Times New Roman"/>
                      <w:snapToGrid w:val="0"/>
                      <w:sz w:val="21"/>
                      <w:szCs w:val="21"/>
                    </w:rPr>
                  </w:pPr>
                  <w:r>
                    <w:rPr>
                      <w:rFonts w:ascii="Times New Roman" w:hAnsi="Times New Roman" w:eastAsia="仿宋_GB2312" w:cs="Times New Roman"/>
                      <w:snapToGrid w:val="0"/>
                      <w:sz w:val="21"/>
                      <w:szCs w:val="21"/>
                    </w:rPr>
                    <w:t>外观与性状：无色或微黄色发烟液体，有刺鼻的酸味</w:t>
                  </w:r>
                </w:p>
                <w:p w14:paraId="4AA3B99D">
                  <w:pPr>
                    <w:adjustRightInd w:val="0"/>
                    <w:snapToGrid w:val="0"/>
                    <w:jc w:val="center"/>
                    <w:rPr>
                      <w:rFonts w:ascii="Times New Roman" w:hAnsi="Times New Roman" w:eastAsia="仿宋_GB2312" w:cs="Times New Roman"/>
                      <w:snapToGrid w:val="0"/>
                      <w:sz w:val="21"/>
                      <w:szCs w:val="21"/>
                    </w:rPr>
                  </w:pPr>
                  <w:r>
                    <w:rPr>
                      <w:rFonts w:ascii="Times New Roman" w:hAnsi="Times New Roman" w:eastAsia="仿宋_GB2312" w:cs="Times New Roman"/>
                      <w:snapToGrid w:val="0"/>
                      <w:sz w:val="21"/>
                      <w:szCs w:val="21"/>
                    </w:rPr>
                    <w:t>熔点(℃)：-114.8(纯)</w:t>
                  </w:r>
                </w:p>
                <w:p w14:paraId="26C94DD4">
                  <w:pPr>
                    <w:adjustRightInd w:val="0"/>
                    <w:snapToGrid w:val="0"/>
                    <w:jc w:val="center"/>
                    <w:rPr>
                      <w:rFonts w:ascii="Times New Roman" w:hAnsi="Times New Roman" w:eastAsia="仿宋_GB2312" w:cs="Times New Roman"/>
                      <w:snapToGrid w:val="0"/>
                      <w:sz w:val="21"/>
                      <w:szCs w:val="21"/>
                    </w:rPr>
                  </w:pPr>
                  <w:r>
                    <w:rPr>
                      <w:rFonts w:ascii="Times New Roman" w:hAnsi="Times New Roman" w:eastAsia="仿宋_GB2312" w:cs="Times New Roman"/>
                      <w:snapToGrid w:val="0"/>
                      <w:sz w:val="21"/>
                      <w:szCs w:val="21"/>
                    </w:rPr>
                    <w:t>沸点(℃)：108.6(20%)</w:t>
                  </w:r>
                </w:p>
                <w:p w14:paraId="6DE1F962">
                  <w:pPr>
                    <w:adjustRightInd w:val="0"/>
                    <w:snapToGrid w:val="0"/>
                    <w:jc w:val="center"/>
                    <w:rPr>
                      <w:rFonts w:ascii="Times New Roman" w:hAnsi="Times New Roman" w:eastAsia="仿宋_GB2312" w:cs="Times New Roman"/>
                      <w:snapToGrid w:val="0"/>
                      <w:sz w:val="21"/>
                      <w:szCs w:val="21"/>
                    </w:rPr>
                  </w:pPr>
                  <w:r>
                    <w:rPr>
                      <w:rFonts w:ascii="Times New Roman" w:hAnsi="Times New Roman" w:eastAsia="仿宋_GB2312" w:cs="Times New Roman"/>
                      <w:snapToGrid w:val="0"/>
                      <w:sz w:val="21"/>
                      <w:szCs w:val="21"/>
                    </w:rPr>
                    <w:t>相对密度(水=1)：1.20</w:t>
                  </w:r>
                </w:p>
                <w:p w14:paraId="60E6008C">
                  <w:pPr>
                    <w:adjustRightInd w:val="0"/>
                    <w:snapToGrid w:val="0"/>
                    <w:jc w:val="center"/>
                    <w:rPr>
                      <w:rFonts w:ascii="Times New Roman" w:hAnsi="Times New Roman" w:eastAsia="仿宋_GB2312" w:cs="Times New Roman"/>
                      <w:snapToGrid w:val="0"/>
                      <w:sz w:val="21"/>
                      <w:szCs w:val="21"/>
                    </w:rPr>
                  </w:pPr>
                  <w:r>
                    <w:rPr>
                      <w:rFonts w:ascii="Times New Roman" w:hAnsi="Times New Roman" w:eastAsia="仿宋_GB2312" w:cs="Times New Roman"/>
                      <w:snapToGrid w:val="0"/>
                      <w:sz w:val="21"/>
                      <w:szCs w:val="21"/>
                    </w:rPr>
                    <w:t>相对蒸汽密度(空气=1)：1.26</w:t>
                  </w:r>
                </w:p>
                <w:p w14:paraId="1AA56F53">
                  <w:pPr>
                    <w:adjustRightInd w:val="0"/>
                    <w:snapToGrid w:val="0"/>
                    <w:jc w:val="center"/>
                    <w:rPr>
                      <w:rFonts w:ascii="Times New Roman" w:hAnsi="Times New Roman" w:eastAsia="仿宋_GB2312" w:cs="Times New Roman"/>
                      <w:snapToGrid w:val="0"/>
                      <w:sz w:val="21"/>
                      <w:szCs w:val="21"/>
                    </w:rPr>
                  </w:pPr>
                  <w:r>
                    <w:rPr>
                      <w:rFonts w:ascii="Times New Roman" w:hAnsi="Times New Roman" w:eastAsia="仿宋_GB2312" w:cs="Times New Roman"/>
                      <w:snapToGrid w:val="0"/>
                      <w:sz w:val="21"/>
                      <w:szCs w:val="21"/>
                    </w:rPr>
                    <w:t>溶解性：与水混溶，溶于碱液。</w:t>
                  </w:r>
                </w:p>
              </w:tc>
              <w:tc>
                <w:tcPr>
                  <w:tcW w:w="1051" w:type="pct"/>
                  <w:vAlign w:val="center"/>
                </w:tcPr>
                <w:p w14:paraId="0A33EFD1">
                  <w:pPr>
                    <w:pStyle w:val="56"/>
                    <w:spacing w:before="24" w:after="24" w:line="240" w:lineRule="auto"/>
                    <w:rPr>
                      <w:rFonts w:ascii="Times New Roman" w:eastAsia="仿宋_GB2312"/>
                      <w:sz w:val="21"/>
                      <w:szCs w:val="21"/>
                    </w:rPr>
                  </w:pPr>
                  <w:r>
                    <w:rPr>
                      <w:rFonts w:ascii="Times New Roman" w:eastAsia="仿宋_GB2312"/>
                      <w:sz w:val="21"/>
                      <w:szCs w:val="21"/>
                    </w:rPr>
                    <w:t>燃爆危险：本品不燃，具强腐蚀性、强刺激性，可致人体灼伤。危险特性：能与一些活性金属粉末发生反应，放出氢气。遇氰化物能产生剧毒的氰化氢气体。与碱发生中合反应，并放出大量的热。具有较强的腐蚀性。有害燃烧产物：氯化氢。</w:t>
                  </w:r>
                </w:p>
              </w:tc>
              <w:tc>
                <w:tcPr>
                  <w:tcW w:w="904" w:type="pct"/>
                  <w:vAlign w:val="center"/>
                </w:tcPr>
                <w:p w14:paraId="553E7A9B">
                  <w:pPr>
                    <w:pStyle w:val="56"/>
                    <w:spacing w:before="24" w:after="24" w:line="240" w:lineRule="auto"/>
                    <w:rPr>
                      <w:rFonts w:ascii="Times New Roman" w:eastAsia="仿宋_GB2312"/>
                      <w:sz w:val="21"/>
                      <w:szCs w:val="21"/>
                    </w:rPr>
                  </w:pPr>
                  <w:r>
                    <w:rPr>
                      <w:rFonts w:ascii="Times New Roman" w:eastAsia="仿宋_GB2312"/>
                      <w:sz w:val="21"/>
                      <w:szCs w:val="21"/>
                    </w:rPr>
                    <w:t>LD</w:t>
                  </w:r>
                  <w:r>
                    <w:rPr>
                      <w:rFonts w:ascii="Times New Roman" w:eastAsia="仿宋_GB2312"/>
                      <w:sz w:val="21"/>
                      <w:szCs w:val="21"/>
                      <w:vertAlign w:val="subscript"/>
                    </w:rPr>
                    <w:t>50</w:t>
                  </w:r>
                  <w:r>
                    <w:rPr>
                      <w:rFonts w:ascii="Times New Roman" w:eastAsia="仿宋_GB2312"/>
                      <w:sz w:val="21"/>
                      <w:szCs w:val="21"/>
                    </w:rPr>
                    <w:t>：900mg/kg；</w:t>
                  </w:r>
                </w:p>
                <w:p w14:paraId="4EFE3DE4">
                  <w:pPr>
                    <w:pStyle w:val="56"/>
                    <w:spacing w:before="24" w:after="24" w:line="240" w:lineRule="auto"/>
                    <w:rPr>
                      <w:rFonts w:ascii="Times New Roman" w:eastAsia="仿宋_GB2312"/>
                      <w:sz w:val="21"/>
                      <w:szCs w:val="21"/>
                    </w:rPr>
                  </w:pPr>
                  <w:r>
                    <w:rPr>
                      <w:rFonts w:ascii="Times New Roman" w:eastAsia="仿宋_GB2312"/>
                      <w:sz w:val="21"/>
                      <w:szCs w:val="21"/>
                    </w:rPr>
                    <w:t>LC</w:t>
                  </w:r>
                  <w:r>
                    <w:rPr>
                      <w:rFonts w:ascii="Times New Roman" w:eastAsia="仿宋_GB2312"/>
                      <w:sz w:val="21"/>
                      <w:szCs w:val="21"/>
                      <w:vertAlign w:val="subscript"/>
                    </w:rPr>
                    <w:t>50</w:t>
                  </w:r>
                  <w:r>
                    <w:rPr>
                      <w:rFonts w:ascii="Times New Roman" w:eastAsia="仿宋_GB2312"/>
                      <w:sz w:val="21"/>
                      <w:szCs w:val="21"/>
                    </w:rPr>
                    <w:t>：4600mg/m</w:t>
                  </w:r>
                  <w:r>
                    <w:rPr>
                      <w:rFonts w:ascii="Times New Roman" w:eastAsia="仿宋_GB2312"/>
                      <w:sz w:val="21"/>
                      <w:szCs w:val="21"/>
                      <w:vertAlign w:val="superscript"/>
                    </w:rPr>
                    <w:t>3</w:t>
                  </w:r>
                  <w:r>
                    <w:rPr>
                      <w:rFonts w:ascii="Times New Roman" w:eastAsia="仿宋_GB2312"/>
                      <w:sz w:val="21"/>
                      <w:szCs w:val="21"/>
                    </w:rPr>
                    <w:t>。</w:t>
                  </w:r>
                </w:p>
              </w:tc>
            </w:tr>
            <w:tr w14:paraId="470736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0" w:type="pct"/>
                  <w:vAlign w:val="center"/>
                </w:tcPr>
                <w:p w14:paraId="51D8342D">
                  <w:pPr>
                    <w:adjustRightInd w:val="0"/>
                    <w:snapToGrid w:val="0"/>
                    <w:jc w:val="center"/>
                    <w:rPr>
                      <w:rFonts w:hint="eastAsia" w:eastAsia="仿宋_GB2312"/>
                      <w:sz w:val="21"/>
                      <w:szCs w:val="21"/>
                      <w:lang w:val="en-US" w:eastAsia="zh-CN"/>
                    </w:rPr>
                  </w:pPr>
                  <w:r>
                    <w:rPr>
                      <w:rFonts w:hint="eastAsia" w:eastAsia="仿宋_GB2312"/>
                      <w:sz w:val="21"/>
                      <w:szCs w:val="21"/>
                      <w:lang w:val="en-US" w:eastAsia="zh-CN"/>
                    </w:rPr>
                    <w:t>次氯酸钠</w:t>
                  </w:r>
                </w:p>
              </w:tc>
              <w:tc>
                <w:tcPr>
                  <w:tcW w:w="629" w:type="pct"/>
                  <w:vAlign w:val="center"/>
                </w:tcPr>
                <w:p w14:paraId="4DD7CCCB">
                  <w:pPr>
                    <w:adjustRightInd w:val="0"/>
                    <w:snapToGrid w:val="0"/>
                    <w:jc w:val="center"/>
                    <w:rPr>
                      <w:rFonts w:eastAsia="仿宋_GB2312"/>
                      <w:bCs/>
                      <w:color w:val="000000" w:themeColor="text1"/>
                      <w:sz w:val="21"/>
                      <w:szCs w:val="21"/>
                    </w:rPr>
                  </w:pPr>
                  <w:r>
                    <w:rPr>
                      <w:rFonts w:hint="eastAsia" w:ascii="Times New Roman" w:hAnsi="Times New Roman" w:eastAsia="仿宋_GB2312" w:cs="Times New Roman"/>
                      <w:bCs/>
                      <w:color w:val="000000" w:themeColor="text1"/>
                      <w:sz w:val="21"/>
                      <w:szCs w:val="21"/>
                      <w:lang w:val="en-US" w:eastAsia="zh-CN"/>
                    </w:rPr>
                    <w:t>NaClO</w:t>
                  </w:r>
                </w:p>
              </w:tc>
              <w:tc>
                <w:tcPr>
                  <w:tcW w:w="1954" w:type="pct"/>
                  <w:vAlign w:val="center"/>
                </w:tcPr>
                <w:p w14:paraId="7E9CC6DA">
                  <w:pPr>
                    <w:adjustRightInd w:val="0"/>
                    <w:snapToGrid w:val="0"/>
                    <w:jc w:val="center"/>
                    <w:rPr>
                      <w:rFonts w:hint="eastAsia" w:ascii="Times New Roman" w:hAnsi="Times New Roman" w:eastAsia="仿宋_GB2312" w:cs="Times New Roman"/>
                      <w:snapToGrid w:val="0"/>
                      <w:sz w:val="21"/>
                      <w:szCs w:val="21"/>
                      <w:lang w:eastAsia="zh-CN"/>
                    </w:rPr>
                  </w:pPr>
                  <w:r>
                    <w:rPr>
                      <w:rFonts w:ascii="Times New Roman" w:hAnsi="Times New Roman" w:eastAsia="仿宋_GB2312" w:cs="Times New Roman"/>
                      <w:snapToGrid w:val="0"/>
                      <w:sz w:val="21"/>
                      <w:szCs w:val="21"/>
                    </w:rPr>
                    <w:t>淡黄色至黄绿色透明液体，有刺激性氯气味</w:t>
                  </w:r>
                  <w:r>
                    <w:rPr>
                      <w:rFonts w:hint="eastAsia" w:ascii="Times New Roman" w:hAnsi="Times New Roman" w:eastAsia="仿宋_GB2312" w:cs="Times New Roman"/>
                      <w:snapToGrid w:val="0"/>
                      <w:sz w:val="21"/>
                      <w:szCs w:val="21"/>
                      <w:lang w:eastAsia="zh-CN"/>
                    </w:rPr>
                    <w:t>。</w:t>
                  </w:r>
                  <w:r>
                    <w:rPr>
                      <w:rFonts w:ascii="Times New Roman" w:hAnsi="Times New Roman" w:eastAsia="仿宋_GB2312" w:cs="Times New Roman"/>
                      <w:snapToGrid w:val="0"/>
                      <w:sz w:val="21"/>
                      <w:szCs w:val="21"/>
                    </w:rPr>
                    <w:t>pH值</w:t>
                  </w:r>
                  <w:r>
                    <w:rPr>
                      <w:rFonts w:hint="eastAsia" w:ascii="Times New Roman" w:hAnsi="Times New Roman" w:eastAsia="仿宋_GB2312" w:cs="Times New Roman"/>
                      <w:snapToGrid w:val="0"/>
                      <w:sz w:val="21"/>
                      <w:szCs w:val="21"/>
                      <w:lang w:eastAsia="zh-CN"/>
                    </w:rPr>
                    <w:t>：</w:t>
                  </w:r>
                  <w:r>
                    <w:rPr>
                      <w:rFonts w:ascii="Times New Roman" w:hAnsi="Times New Roman" w:eastAsia="仿宋_GB2312" w:cs="Times New Roman"/>
                      <w:snapToGrid w:val="0"/>
                      <w:sz w:val="21"/>
                      <w:szCs w:val="21"/>
                    </w:rPr>
                    <w:t>11.0-13.0（1% 水溶液）</w:t>
                  </w:r>
                  <w:r>
                    <w:rPr>
                      <w:rFonts w:hint="eastAsia" w:ascii="Times New Roman" w:hAnsi="Times New Roman" w:eastAsia="仿宋_GB2312" w:cs="Times New Roman"/>
                      <w:snapToGrid w:val="0"/>
                      <w:sz w:val="21"/>
                      <w:szCs w:val="21"/>
                      <w:lang w:eastAsia="zh-CN"/>
                    </w:rPr>
                    <w:t>，</w:t>
                  </w:r>
                  <w:r>
                    <w:rPr>
                      <w:rFonts w:ascii="Times New Roman" w:hAnsi="Times New Roman" w:eastAsia="仿宋_GB2312" w:cs="Times New Roman"/>
                      <w:snapToGrid w:val="0"/>
                      <w:sz w:val="21"/>
                      <w:szCs w:val="21"/>
                    </w:rPr>
                    <w:t>熔点(℃)</w:t>
                  </w:r>
                  <w:r>
                    <w:rPr>
                      <w:rFonts w:hint="eastAsia" w:ascii="Times New Roman" w:hAnsi="Times New Roman" w:eastAsia="仿宋_GB2312" w:cs="Times New Roman"/>
                      <w:snapToGrid w:val="0"/>
                      <w:sz w:val="21"/>
                      <w:szCs w:val="21"/>
                      <w:lang w:eastAsia="zh-CN"/>
                    </w:rPr>
                    <w:t>：</w:t>
                  </w:r>
                  <w:r>
                    <w:rPr>
                      <w:rFonts w:ascii="Times New Roman" w:hAnsi="Times New Roman" w:eastAsia="仿宋_GB2312" w:cs="Times New Roman"/>
                      <w:snapToGrid w:val="0"/>
                      <w:sz w:val="21"/>
                      <w:szCs w:val="21"/>
                    </w:rPr>
                    <w:t>-6（纯品）</w:t>
                  </w:r>
                  <w:r>
                    <w:rPr>
                      <w:rFonts w:hint="eastAsia" w:ascii="Times New Roman" w:hAnsi="Times New Roman" w:eastAsia="仿宋_GB2312" w:cs="Times New Roman"/>
                      <w:snapToGrid w:val="0"/>
                      <w:sz w:val="21"/>
                      <w:szCs w:val="21"/>
                      <w:lang w:eastAsia="zh-CN"/>
                    </w:rPr>
                    <w:t>，</w:t>
                  </w:r>
                  <w:r>
                    <w:rPr>
                      <w:rFonts w:ascii="Times New Roman" w:hAnsi="Times New Roman" w:eastAsia="仿宋_GB2312" w:cs="Times New Roman"/>
                      <w:snapToGrid w:val="0"/>
                      <w:sz w:val="21"/>
                      <w:szCs w:val="21"/>
                    </w:rPr>
                    <w:t>沸点(℃)</w:t>
                  </w:r>
                  <w:r>
                    <w:rPr>
                      <w:rFonts w:hint="eastAsia" w:ascii="Times New Roman" w:hAnsi="Times New Roman" w:eastAsia="仿宋_GB2312" w:cs="Times New Roman"/>
                      <w:snapToGrid w:val="0"/>
                      <w:sz w:val="21"/>
                      <w:szCs w:val="21"/>
                      <w:lang w:eastAsia="zh-CN"/>
                    </w:rPr>
                    <w:t>：</w:t>
                  </w:r>
                  <w:r>
                    <w:rPr>
                      <w:rFonts w:ascii="Times New Roman" w:hAnsi="Times New Roman" w:eastAsia="仿宋_GB2312" w:cs="Times New Roman"/>
                      <w:snapToGrid w:val="0"/>
                      <w:sz w:val="21"/>
                      <w:szCs w:val="21"/>
                    </w:rPr>
                    <w:t>102.2（纯品）</w:t>
                  </w:r>
                  <w:r>
                    <w:rPr>
                      <w:rFonts w:hint="eastAsia" w:ascii="Times New Roman" w:hAnsi="Times New Roman" w:eastAsia="仿宋_GB2312" w:cs="Times New Roman"/>
                      <w:snapToGrid w:val="0"/>
                      <w:sz w:val="21"/>
                      <w:szCs w:val="21"/>
                      <w:lang w:eastAsia="zh-CN"/>
                    </w:rPr>
                    <w:t>，</w:t>
                  </w:r>
                  <w:r>
                    <w:rPr>
                      <w:rFonts w:ascii="Times New Roman" w:hAnsi="Times New Roman" w:eastAsia="仿宋_GB2312" w:cs="Times New Roman"/>
                      <w:snapToGrid w:val="0"/>
                      <w:sz w:val="21"/>
                      <w:szCs w:val="21"/>
                    </w:rPr>
                    <w:t>相对密度</w:t>
                  </w:r>
                  <w:r>
                    <w:rPr>
                      <w:rFonts w:hint="eastAsia" w:ascii="Times New Roman" w:hAnsi="Times New Roman" w:eastAsia="仿宋_GB2312" w:cs="Times New Roman"/>
                      <w:snapToGrid w:val="0"/>
                      <w:sz w:val="21"/>
                      <w:szCs w:val="21"/>
                      <w:lang w:eastAsia="zh-CN"/>
                    </w:rPr>
                    <w:t>：</w:t>
                  </w:r>
                  <w:r>
                    <w:rPr>
                      <w:rFonts w:ascii="Times New Roman" w:hAnsi="Times New Roman" w:eastAsia="仿宋_GB2312" w:cs="Times New Roman"/>
                      <w:snapToGrid w:val="0"/>
                      <w:sz w:val="21"/>
                      <w:szCs w:val="21"/>
                    </w:rPr>
                    <w:t>(水 = 1) 1.10-1.15（工业溶液）</w:t>
                  </w:r>
                  <w:r>
                    <w:rPr>
                      <w:rFonts w:hint="eastAsia" w:ascii="Times New Roman" w:hAnsi="Times New Roman" w:eastAsia="仿宋_GB2312" w:cs="Times New Roman"/>
                      <w:snapToGrid w:val="0"/>
                      <w:sz w:val="21"/>
                      <w:szCs w:val="21"/>
                      <w:lang w:eastAsia="zh-CN"/>
                    </w:rPr>
                    <w:t>，</w:t>
                  </w:r>
                  <w:r>
                    <w:rPr>
                      <w:rFonts w:ascii="Times New Roman" w:hAnsi="Times New Roman" w:eastAsia="仿宋_GB2312" w:cs="Times New Roman"/>
                      <w:snapToGrid w:val="0"/>
                      <w:sz w:val="21"/>
                      <w:szCs w:val="21"/>
                    </w:rPr>
                    <w:t>易溶于水，与水任意比例互溶，微溶于乙醇，不溶于乙醚。</w:t>
                  </w:r>
                </w:p>
              </w:tc>
              <w:tc>
                <w:tcPr>
                  <w:tcW w:w="1051" w:type="pct"/>
                  <w:vAlign w:val="center"/>
                </w:tcPr>
                <w:p w14:paraId="63C299C9">
                  <w:pPr>
                    <w:pStyle w:val="56"/>
                    <w:spacing w:before="24" w:after="24" w:line="240" w:lineRule="auto"/>
                    <w:rPr>
                      <w:rFonts w:hint="eastAsia" w:ascii="Times New Roman" w:eastAsia="仿宋_GB2312"/>
                      <w:sz w:val="21"/>
                      <w:szCs w:val="21"/>
                      <w:lang w:val="en-US" w:eastAsia="zh-CN"/>
                    </w:rPr>
                  </w:pPr>
                  <w:r>
                    <w:rPr>
                      <w:rFonts w:hint="eastAsia" w:ascii="Times New Roman" w:eastAsia="仿宋_GB2312"/>
                      <w:sz w:val="21"/>
                      <w:szCs w:val="21"/>
                      <w:lang w:val="en-US" w:eastAsia="zh-CN"/>
                    </w:rPr>
                    <w:t>不燃</w:t>
                  </w:r>
                </w:p>
              </w:tc>
              <w:tc>
                <w:tcPr>
                  <w:tcW w:w="904" w:type="pct"/>
                  <w:vAlign w:val="center"/>
                </w:tcPr>
                <w:p w14:paraId="1F131837">
                  <w:pPr>
                    <w:pStyle w:val="56"/>
                    <w:spacing w:before="24" w:after="24" w:line="240" w:lineRule="auto"/>
                    <w:rPr>
                      <w:rFonts w:ascii="Times New Roman" w:eastAsia="仿宋_GB2312"/>
                      <w:sz w:val="21"/>
                      <w:szCs w:val="21"/>
                    </w:rPr>
                  </w:pPr>
                  <w:r>
                    <w:rPr>
                      <w:rFonts w:ascii="Times New Roman" w:hAnsi="Times New Roman" w:eastAsia="仿宋_GB2312" w:cs="Times New Roman"/>
                      <w:sz w:val="21"/>
                      <w:szCs w:val="21"/>
                    </w:rPr>
                    <w:t>大鼠经口 LD</w:t>
                  </w:r>
                  <w:r>
                    <w:rPr>
                      <w:rFonts w:ascii="Times New Roman" w:hAnsi="Times New Roman" w:eastAsia="仿宋_GB2312" w:cs="Times New Roman"/>
                      <w:sz w:val="21"/>
                      <w:szCs w:val="21"/>
                      <w:vertAlign w:val="subscript"/>
                    </w:rPr>
                    <w:t>50</w:t>
                  </w:r>
                  <w:r>
                    <w:rPr>
                      <w:rFonts w:ascii="Times New Roman" w:hAnsi="Times New Roman" w:eastAsia="仿宋_GB2312" w:cs="Times New Roman"/>
                      <w:sz w:val="21"/>
                      <w:szCs w:val="21"/>
                    </w:rPr>
                    <w:t>：890mg/kg</w:t>
                  </w:r>
                </w:p>
              </w:tc>
            </w:tr>
            <w:tr w14:paraId="07B653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0" w:type="pct"/>
                  <w:vAlign w:val="center"/>
                </w:tcPr>
                <w:p w14:paraId="6FD56E8D">
                  <w:pPr>
                    <w:adjustRightInd w:val="0"/>
                    <w:snapToGrid w:val="0"/>
                    <w:jc w:val="center"/>
                    <w:rPr>
                      <w:rFonts w:eastAsia="仿宋_GB2312"/>
                      <w:bCs/>
                      <w:sz w:val="21"/>
                      <w:szCs w:val="21"/>
                    </w:rPr>
                  </w:pPr>
                  <w:r>
                    <w:rPr>
                      <w:rFonts w:eastAsia="仿宋_GB2312"/>
                      <w:sz w:val="21"/>
                      <w:szCs w:val="21"/>
                    </w:rPr>
                    <w:t>纯碱</w:t>
                  </w:r>
                </w:p>
              </w:tc>
              <w:tc>
                <w:tcPr>
                  <w:tcW w:w="629" w:type="pct"/>
                  <w:vAlign w:val="center"/>
                </w:tcPr>
                <w:p w14:paraId="75AC7786">
                  <w:pPr>
                    <w:adjustRightInd w:val="0"/>
                    <w:snapToGrid w:val="0"/>
                    <w:jc w:val="center"/>
                    <w:rPr>
                      <w:rFonts w:eastAsia="仿宋_GB2312"/>
                      <w:bCs/>
                      <w:sz w:val="21"/>
                      <w:szCs w:val="21"/>
                    </w:rPr>
                  </w:pPr>
                  <w:r>
                    <w:rPr>
                      <w:rFonts w:eastAsia="仿宋_GB2312"/>
                      <w:bCs/>
                      <w:color w:val="000000" w:themeColor="text1"/>
                      <w:sz w:val="21"/>
                      <w:szCs w:val="21"/>
                    </w:rPr>
                    <w:t>Na₂CO₃</w:t>
                  </w:r>
                </w:p>
              </w:tc>
              <w:tc>
                <w:tcPr>
                  <w:tcW w:w="1954" w:type="pct"/>
                  <w:vAlign w:val="center"/>
                </w:tcPr>
                <w:p w14:paraId="43B0EF29">
                  <w:pPr>
                    <w:adjustRightInd w:val="0"/>
                    <w:snapToGrid w:val="0"/>
                    <w:jc w:val="center"/>
                    <w:rPr>
                      <w:rFonts w:eastAsia="仿宋_GB2312"/>
                      <w:snapToGrid w:val="0"/>
                      <w:sz w:val="21"/>
                      <w:szCs w:val="21"/>
                    </w:rPr>
                  </w:pPr>
                  <w:r>
                    <w:rPr>
                      <w:rFonts w:eastAsia="仿宋_GB2312"/>
                      <w:snapToGrid w:val="0"/>
                      <w:sz w:val="21"/>
                      <w:szCs w:val="21"/>
                    </w:rPr>
                    <w:t>分子量 105.99，白色粉状或颗粒状固体，熔点851℃，沸点1600℃，易溶于水，相对密度(水=1)2.53。</w:t>
                  </w:r>
                </w:p>
              </w:tc>
              <w:tc>
                <w:tcPr>
                  <w:tcW w:w="1051" w:type="pct"/>
                  <w:vAlign w:val="center"/>
                </w:tcPr>
                <w:p w14:paraId="5ED8BC64">
                  <w:pPr>
                    <w:pStyle w:val="56"/>
                    <w:spacing w:before="24" w:after="24" w:line="240" w:lineRule="auto"/>
                    <w:rPr>
                      <w:rFonts w:ascii="Times New Roman" w:eastAsia="仿宋_GB2312"/>
                      <w:sz w:val="21"/>
                      <w:szCs w:val="21"/>
                    </w:rPr>
                  </w:pPr>
                  <w:r>
                    <w:rPr>
                      <w:rFonts w:ascii="Times New Roman" w:eastAsia="仿宋_GB2312"/>
                      <w:sz w:val="21"/>
                      <w:szCs w:val="21"/>
                    </w:rPr>
                    <w:t>不燃</w:t>
                  </w:r>
                </w:p>
              </w:tc>
              <w:tc>
                <w:tcPr>
                  <w:tcW w:w="904" w:type="pct"/>
                  <w:vAlign w:val="center"/>
                </w:tcPr>
                <w:p w14:paraId="0D26F842">
                  <w:pPr>
                    <w:pStyle w:val="56"/>
                    <w:spacing w:beforeLines="0" w:afterLines="0" w:line="240" w:lineRule="auto"/>
                    <w:rPr>
                      <w:rFonts w:ascii="Times New Roman" w:eastAsia="仿宋_GB2312"/>
                      <w:sz w:val="21"/>
                      <w:szCs w:val="21"/>
                    </w:rPr>
                  </w:pPr>
                  <w:r>
                    <w:rPr>
                      <w:rFonts w:ascii="Times New Roman" w:eastAsia="仿宋_GB2312"/>
                      <w:sz w:val="21"/>
                      <w:szCs w:val="21"/>
                    </w:rPr>
                    <w:t>无毒</w:t>
                  </w:r>
                </w:p>
              </w:tc>
            </w:tr>
            <w:tr w14:paraId="344350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0" w:type="pct"/>
                  <w:vAlign w:val="center"/>
                </w:tcPr>
                <w:p w14:paraId="48D6ACF5">
                  <w:pPr>
                    <w:adjustRightInd w:val="0"/>
                    <w:snapToGrid w:val="0"/>
                    <w:jc w:val="center"/>
                    <w:rPr>
                      <w:rFonts w:eastAsia="仿宋_GB2312"/>
                      <w:bCs/>
                      <w:sz w:val="21"/>
                      <w:szCs w:val="21"/>
                    </w:rPr>
                  </w:pPr>
                  <w:r>
                    <w:rPr>
                      <w:rFonts w:eastAsia="仿宋_GB2312"/>
                      <w:sz w:val="21"/>
                      <w:szCs w:val="21"/>
                    </w:rPr>
                    <w:t>亚硫酸钠</w:t>
                  </w:r>
                </w:p>
              </w:tc>
              <w:tc>
                <w:tcPr>
                  <w:tcW w:w="629" w:type="pct"/>
                  <w:vAlign w:val="center"/>
                </w:tcPr>
                <w:p w14:paraId="04F16188">
                  <w:pPr>
                    <w:adjustRightInd w:val="0"/>
                    <w:snapToGrid w:val="0"/>
                    <w:jc w:val="center"/>
                    <w:rPr>
                      <w:rFonts w:eastAsia="仿宋_GB2312"/>
                      <w:bCs/>
                      <w:sz w:val="21"/>
                      <w:szCs w:val="21"/>
                    </w:rPr>
                  </w:pPr>
                  <w:r>
                    <w:rPr>
                      <w:rFonts w:eastAsia="仿宋_GB2312"/>
                      <w:bCs/>
                      <w:color w:val="000000" w:themeColor="text1"/>
                      <w:sz w:val="21"/>
                      <w:szCs w:val="21"/>
                    </w:rPr>
                    <w:t>Na₂SO₃</w:t>
                  </w:r>
                </w:p>
              </w:tc>
              <w:tc>
                <w:tcPr>
                  <w:tcW w:w="1954" w:type="pct"/>
                  <w:vAlign w:val="center"/>
                </w:tcPr>
                <w:p w14:paraId="1D436D44">
                  <w:pPr>
                    <w:adjustRightInd w:val="0"/>
                    <w:snapToGrid w:val="0"/>
                    <w:jc w:val="center"/>
                    <w:rPr>
                      <w:rFonts w:eastAsia="仿宋_GB2312"/>
                      <w:snapToGrid w:val="0"/>
                      <w:sz w:val="21"/>
                      <w:szCs w:val="21"/>
                    </w:rPr>
                  </w:pPr>
                  <w:r>
                    <w:rPr>
                      <w:rFonts w:eastAsia="仿宋_GB2312"/>
                      <w:snapToGrid w:val="0"/>
                      <w:sz w:val="21"/>
                      <w:szCs w:val="21"/>
                    </w:rPr>
                    <w:t>分子量126.04，无色、单斜晶体或粉末，熔点150℃（失水分解），相对密度（水=1）2.63，易溶于水，不溶于乙醇等，常带有结晶水，在空气中易风化并氧化为硫酸钠，在150℃时失去结晶水，再热则熔化为硫化钠与硫酸钠的混合物。</w:t>
                  </w:r>
                </w:p>
              </w:tc>
              <w:tc>
                <w:tcPr>
                  <w:tcW w:w="1051" w:type="pct"/>
                  <w:vAlign w:val="center"/>
                </w:tcPr>
                <w:p w14:paraId="138A633A">
                  <w:pPr>
                    <w:pStyle w:val="56"/>
                    <w:spacing w:beforeLines="0" w:afterLines="0" w:line="240" w:lineRule="auto"/>
                    <w:rPr>
                      <w:rFonts w:ascii="Times New Roman" w:eastAsia="仿宋_GB2312"/>
                      <w:sz w:val="21"/>
                      <w:szCs w:val="21"/>
                    </w:rPr>
                  </w:pPr>
                  <w:r>
                    <w:rPr>
                      <w:rFonts w:ascii="Times New Roman" w:eastAsia="仿宋_GB2312"/>
                      <w:sz w:val="21"/>
                      <w:szCs w:val="21"/>
                    </w:rPr>
                    <w:t>不燃</w:t>
                  </w:r>
                </w:p>
              </w:tc>
              <w:tc>
                <w:tcPr>
                  <w:tcW w:w="904" w:type="pct"/>
                  <w:vAlign w:val="center"/>
                </w:tcPr>
                <w:p w14:paraId="2E83AB3E">
                  <w:pPr>
                    <w:pStyle w:val="56"/>
                    <w:spacing w:beforeLines="0" w:afterLines="0" w:line="240" w:lineRule="auto"/>
                    <w:rPr>
                      <w:rFonts w:ascii="Times New Roman" w:eastAsia="仿宋_GB2312"/>
                      <w:sz w:val="21"/>
                      <w:szCs w:val="21"/>
                    </w:rPr>
                  </w:pPr>
                  <w:r>
                    <w:rPr>
                      <w:rFonts w:ascii="Times New Roman" w:eastAsia="仿宋_GB2312"/>
                      <w:sz w:val="21"/>
                      <w:szCs w:val="21"/>
                    </w:rPr>
                    <w:t>/</w:t>
                  </w:r>
                </w:p>
              </w:tc>
            </w:tr>
            <w:tr w14:paraId="2F1702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0" w:type="pct"/>
                  <w:shd w:val="clear" w:color="auto" w:fill="auto"/>
                  <w:vAlign w:val="center"/>
                </w:tcPr>
                <w:p w14:paraId="36E23E43">
                  <w:pPr>
                    <w:widowControl/>
                    <w:jc w:val="center"/>
                    <w:rPr>
                      <w:rFonts w:hint="eastAsia" w:ascii="Times New Roman" w:hAnsi="Times New Roman" w:eastAsia="仿宋_GB2312" w:cs="Times New Roman"/>
                      <w:color w:val="000000"/>
                      <w:kern w:val="0"/>
                      <w:sz w:val="21"/>
                      <w:szCs w:val="21"/>
                      <w:lang w:val="en-US" w:eastAsia="zh-CN" w:bidi="ar"/>
                    </w:rPr>
                  </w:pPr>
                  <w:r>
                    <w:rPr>
                      <w:rFonts w:hint="eastAsia" w:ascii="Times New Roman" w:hAnsi="Times New Roman" w:eastAsia="仿宋_GB2312" w:cs="Times New Roman"/>
                      <w:color w:val="000000"/>
                      <w:kern w:val="0"/>
                      <w:szCs w:val="21"/>
                      <w:lang w:val="en-US" w:eastAsia="zh-CN" w:bidi="ar"/>
                    </w:rPr>
                    <w:t>油漆</w:t>
                  </w:r>
                </w:p>
              </w:tc>
              <w:tc>
                <w:tcPr>
                  <w:tcW w:w="629" w:type="pct"/>
                  <w:shd w:val="clear" w:color="auto" w:fill="auto"/>
                  <w:vAlign w:val="center"/>
                </w:tcPr>
                <w:p w14:paraId="3F5AA32D">
                  <w:pPr>
                    <w:widowControl/>
                    <w:jc w:val="center"/>
                    <w:rPr>
                      <w:rFonts w:hint="eastAsia" w:ascii="Times New Roman" w:hAnsi="Times New Roman" w:eastAsia="仿宋_GB2312" w:cs="Times New Roman"/>
                      <w:kern w:val="2"/>
                      <w:sz w:val="21"/>
                      <w:szCs w:val="21"/>
                      <w:lang w:val="en-US" w:eastAsia="zh-CN" w:bidi="ar-SA"/>
                    </w:rPr>
                  </w:pPr>
                  <w:r>
                    <w:rPr>
                      <w:rFonts w:hint="eastAsia" w:eastAsia="仿宋_GB2312"/>
                      <w:szCs w:val="21"/>
                      <w:lang w:val="en-US" w:eastAsia="zh-CN"/>
                    </w:rPr>
                    <w:t>/</w:t>
                  </w:r>
                </w:p>
              </w:tc>
              <w:tc>
                <w:tcPr>
                  <w:tcW w:w="1954" w:type="pct"/>
                  <w:shd w:val="clear" w:color="auto" w:fill="auto"/>
                  <w:vAlign w:val="center"/>
                </w:tcPr>
                <w:p w14:paraId="05692FFD">
                  <w:pPr>
                    <w:jc w:val="center"/>
                    <w:rPr>
                      <w:rFonts w:hint="eastAsia" w:ascii="Times New Roman" w:hAnsi="Times New Roman" w:eastAsia="仿宋_GB2312" w:cs="Times New Roman"/>
                      <w:kern w:val="2"/>
                      <w:sz w:val="21"/>
                      <w:szCs w:val="21"/>
                      <w:lang w:val="en-US" w:eastAsia="zh-CN" w:bidi="ar-SA"/>
                    </w:rPr>
                  </w:pPr>
                  <w:r>
                    <w:rPr>
                      <w:rFonts w:hint="eastAsia" w:ascii="Times New Roman" w:hAnsi="Times New Roman" w:eastAsia="仿宋_GB2312" w:cs="Times New Roman"/>
                      <w:szCs w:val="21"/>
                      <w:lang w:val="en-US" w:eastAsia="zh-CN"/>
                    </w:rPr>
                    <w:t>乳白色或实色液体，轻微化学气味，密度：1.015~1.035</w:t>
                  </w:r>
                  <w:r>
                    <w:rPr>
                      <w:rFonts w:ascii="Times New Roman" w:hAnsi="Times New Roman" w:eastAsia="仿宋_GB2312" w:cs="Times New Roman"/>
                      <w:szCs w:val="21"/>
                    </w:rPr>
                    <w:t>g/cm</w:t>
                  </w:r>
                  <w:r>
                    <w:rPr>
                      <w:rFonts w:ascii="Times New Roman" w:hAnsi="Times New Roman" w:eastAsia="仿宋_GB2312" w:cs="Times New Roman"/>
                      <w:szCs w:val="21"/>
                      <w:vertAlign w:val="superscript"/>
                    </w:rPr>
                    <w:t>3</w:t>
                  </w:r>
                  <w:r>
                    <w:rPr>
                      <w:rFonts w:hint="eastAsia" w:ascii="Times New Roman" w:hAnsi="Times New Roman" w:eastAsia="仿宋_GB2312" w:cs="Times New Roman"/>
                      <w:szCs w:val="21"/>
                      <w:vertAlign w:val="baseline"/>
                      <w:lang w:eastAsia="zh-CN"/>
                    </w:rPr>
                    <w:t>，</w:t>
                  </w:r>
                  <w:r>
                    <w:rPr>
                      <w:rFonts w:hint="eastAsia" w:ascii="Times New Roman" w:hAnsi="Times New Roman" w:eastAsia="仿宋_GB2312" w:cs="Times New Roman"/>
                      <w:szCs w:val="21"/>
                      <w:vertAlign w:val="baseline"/>
                      <w:lang w:val="en-US" w:eastAsia="zh-CN"/>
                    </w:rPr>
                    <w:t>熔点/凝固点：0℃水，蒸汽密度：＜1.0水。</w:t>
                  </w:r>
                </w:p>
              </w:tc>
              <w:tc>
                <w:tcPr>
                  <w:tcW w:w="1051" w:type="pct"/>
                  <w:shd w:val="clear" w:color="auto" w:fill="auto"/>
                  <w:vAlign w:val="center"/>
                </w:tcPr>
                <w:p w14:paraId="5AFE8804">
                  <w:pPr>
                    <w:jc w:val="center"/>
                    <w:rPr>
                      <w:rFonts w:hint="eastAsia" w:ascii="Times New Roman" w:hAnsi="Times New Roman" w:eastAsia="仿宋_GB2312" w:cs="Times New Roman"/>
                      <w:kern w:val="2"/>
                      <w:sz w:val="21"/>
                      <w:szCs w:val="21"/>
                      <w:lang w:val="en-US" w:eastAsia="zh-CN" w:bidi="ar-SA"/>
                    </w:rPr>
                  </w:pPr>
                  <w:r>
                    <w:rPr>
                      <w:rFonts w:hint="eastAsia" w:eastAsia="仿宋_GB2312"/>
                      <w:szCs w:val="21"/>
                      <w:lang w:val="en-US" w:eastAsia="zh-CN"/>
                    </w:rPr>
                    <w:t>/</w:t>
                  </w:r>
                </w:p>
              </w:tc>
              <w:tc>
                <w:tcPr>
                  <w:tcW w:w="904" w:type="pct"/>
                  <w:vAlign w:val="center"/>
                </w:tcPr>
                <w:p w14:paraId="52C10E1A">
                  <w:pPr>
                    <w:jc w:val="center"/>
                    <w:rPr>
                      <w:rFonts w:ascii="Times New Roman" w:eastAsia="仿宋_GB2312"/>
                      <w:sz w:val="21"/>
                      <w:szCs w:val="21"/>
                    </w:rPr>
                  </w:pPr>
                  <w:r>
                    <w:rPr>
                      <w:rFonts w:eastAsia="仿宋_GB2312"/>
                      <w:szCs w:val="21"/>
                    </w:rPr>
                    <w:t>/</w:t>
                  </w:r>
                </w:p>
              </w:tc>
            </w:tr>
            <w:tr w14:paraId="21720B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0" w:type="pct"/>
                  <w:shd w:val="clear" w:color="auto" w:fill="auto"/>
                  <w:vAlign w:val="center"/>
                </w:tcPr>
                <w:p w14:paraId="0893F230">
                  <w:pPr>
                    <w:widowControl/>
                    <w:jc w:val="center"/>
                    <w:rPr>
                      <w:rFonts w:hint="default" w:ascii="Times New Roman" w:hAnsi="Times New Roman" w:eastAsia="仿宋_GB2312" w:cs="Times New Roman"/>
                      <w:color w:val="000000"/>
                      <w:kern w:val="0"/>
                      <w:szCs w:val="21"/>
                      <w:lang w:val="en-US" w:eastAsia="zh-CN" w:bidi="ar"/>
                    </w:rPr>
                  </w:pPr>
                  <w:r>
                    <w:rPr>
                      <w:rFonts w:hint="eastAsia" w:ascii="Times New Roman" w:hAnsi="Times New Roman" w:eastAsia="仿宋_GB2312" w:cs="Times New Roman"/>
                      <w:color w:val="000000"/>
                      <w:kern w:val="0"/>
                      <w:szCs w:val="21"/>
                      <w:lang w:val="en-US" w:eastAsia="zh-CN" w:bidi="ar"/>
                    </w:rPr>
                    <w:t>机油</w:t>
                  </w:r>
                </w:p>
              </w:tc>
              <w:tc>
                <w:tcPr>
                  <w:tcW w:w="629" w:type="pct"/>
                  <w:shd w:val="clear" w:color="auto" w:fill="auto"/>
                  <w:vAlign w:val="center"/>
                </w:tcPr>
                <w:p w14:paraId="273D1A57">
                  <w:pPr>
                    <w:widowControl/>
                    <w:jc w:val="center"/>
                    <w:rPr>
                      <w:rFonts w:hint="eastAsia" w:eastAsia="仿宋_GB2312"/>
                      <w:szCs w:val="21"/>
                      <w:lang w:val="en-US" w:eastAsia="zh-CN"/>
                    </w:rPr>
                  </w:pPr>
                  <w:r>
                    <w:rPr>
                      <w:rFonts w:hint="eastAsia" w:eastAsia="仿宋_GB2312"/>
                      <w:szCs w:val="21"/>
                      <w:lang w:val="en-US" w:eastAsia="zh-CN"/>
                    </w:rPr>
                    <w:t>/</w:t>
                  </w:r>
                </w:p>
              </w:tc>
              <w:tc>
                <w:tcPr>
                  <w:tcW w:w="1954" w:type="pct"/>
                  <w:shd w:val="clear" w:color="auto" w:fill="auto"/>
                  <w:vAlign w:val="center"/>
                </w:tcPr>
                <w:p w14:paraId="77E765B4">
                  <w:pPr>
                    <w:widowControl/>
                    <w:jc w:val="center"/>
                    <w:rPr>
                      <w:rFonts w:hint="eastAsia" w:ascii="Times New Roman" w:hAnsi="Times New Roman" w:eastAsia="仿宋_GB2312" w:cs="Times New Roman"/>
                      <w:kern w:val="2"/>
                      <w:sz w:val="21"/>
                      <w:szCs w:val="21"/>
                      <w:lang w:val="en-US" w:eastAsia="zh-CN" w:bidi="ar-SA"/>
                    </w:rPr>
                  </w:pPr>
                  <w:r>
                    <w:rPr>
                      <w:rFonts w:hint="eastAsia" w:eastAsia="仿宋_GB2312"/>
                      <w:szCs w:val="21"/>
                      <w:lang w:val="en-US" w:eastAsia="zh-CN"/>
                    </w:rPr>
                    <w:t>琥珀色液体，闪点</w:t>
                  </w:r>
                  <w:r>
                    <w:rPr>
                      <w:rFonts w:hint="eastAsia" w:ascii="Times New Roman" w:hAnsi="Times New Roman" w:eastAsia="仿宋_GB2312" w:cs="Times New Roman"/>
                      <w:szCs w:val="21"/>
                      <w:lang w:val="en-US" w:eastAsia="zh-CN"/>
                    </w:rPr>
                    <w:t>240℃，遇高热可燃。</w:t>
                  </w:r>
                </w:p>
              </w:tc>
              <w:tc>
                <w:tcPr>
                  <w:tcW w:w="1051" w:type="pct"/>
                  <w:shd w:val="clear" w:color="auto" w:fill="auto"/>
                  <w:vAlign w:val="center"/>
                </w:tcPr>
                <w:p w14:paraId="5382D0E9">
                  <w:pPr>
                    <w:jc w:val="center"/>
                    <w:rPr>
                      <w:rFonts w:hint="eastAsia" w:ascii="Times New Roman" w:hAnsi="Times New Roman" w:eastAsia="仿宋_GB2312" w:cs="Times New Roman"/>
                      <w:kern w:val="2"/>
                      <w:sz w:val="21"/>
                      <w:szCs w:val="21"/>
                      <w:lang w:val="en-US" w:eastAsia="zh-CN" w:bidi="ar-SA"/>
                    </w:rPr>
                  </w:pPr>
                  <w:r>
                    <w:rPr>
                      <w:rFonts w:hint="eastAsia" w:eastAsia="仿宋_GB2312"/>
                      <w:szCs w:val="21"/>
                      <w:lang w:val="en-US" w:eastAsia="zh-CN"/>
                    </w:rPr>
                    <w:t>可燃</w:t>
                  </w:r>
                </w:p>
              </w:tc>
              <w:tc>
                <w:tcPr>
                  <w:tcW w:w="904" w:type="pct"/>
                  <w:shd w:val="clear" w:color="auto" w:fill="auto"/>
                  <w:vAlign w:val="center"/>
                </w:tcPr>
                <w:p w14:paraId="576DFBFF">
                  <w:pPr>
                    <w:widowControl/>
                    <w:jc w:val="center"/>
                    <w:rPr>
                      <w:rFonts w:hint="eastAsia" w:ascii="Times New Roman" w:hAnsi="Times New Roman" w:eastAsia="仿宋_GB2312" w:cs="Times New Roman"/>
                      <w:kern w:val="2"/>
                      <w:sz w:val="21"/>
                      <w:szCs w:val="21"/>
                      <w:lang w:val="en-US" w:eastAsia="zh-CN" w:bidi="ar-SA"/>
                    </w:rPr>
                  </w:pPr>
                  <w:r>
                    <w:rPr>
                      <w:rFonts w:hint="eastAsia" w:ascii="Times New Roman" w:hAnsi="Times New Roman" w:eastAsia="仿宋_GB2312" w:cs="Times New Roman"/>
                      <w:szCs w:val="21"/>
                      <w:lang w:val="en-US" w:eastAsia="zh-CN"/>
                    </w:rPr>
                    <w:t>/</w:t>
                  </w:r>
                </w:p>
              </w:tc>
            </w:tr>
          </w:tbl>
          <w:p w14:paraId="000FEB73">
            <w:pPr>
              <w:adjustRightInd w:val="0"/>
              <w:snapToGrid w:val="0"/>
              <w:spacing w:line="360" w:lineRule="auto"/>
              <w:ind w:firstLine="310" w:firstLineChars="147"/>
              <w:rPr>
                <w:rFonts w:eastAsia="仿宋_GB2312"/>
                <w:b/>
                <w:bCs/>
              </w:rPr>
            </w:pPr>
            <w:r>
              <w:rPr>
                <w:rFonts w:hint="eastAsia" w:eastAsia="仿宋_GB2312"/>
                <w:b/>
                <w:bCs/>
                <w:lang w:val="en-US" w:eastAsia="zh-CN"/>
              </w:rPr>
              <w:t>八</w:t>
            </w:r>
            <w:r>
              <w:rPr>
                <w:rFonts w:eastAsia="仿宋_GB2312"/>
                <w:b/>
                <w:bCs/>
              </w:rPr>
              <w:t>、主要原辅料中与污染排放有关的物质/元素分析</w:t>
            </w:r>
          </w:p>
          <w:p w14:paraId="5796E8CB">
            <w:pPr>
              <w:adjustRightInd w:val="0"/>
              <w:snapToGrid w:val="0"/>
              <w:spacing w:line="360" w:lineRule="auto"/>
              <w:ind w:firstLine="304" w:firstLineChars="145"/>
              <w:rPr>
                <w:rFonts w:eastAsia="仿宋_GB2312"/>
                <w:bCs/>
              </w:rPr>
            </w:pPr>
            <w:r>
              <w:rPr>
                <w:rFonts w:eastAsia="仿宋_GB2312"/>
                <w:bCs/>
              </w:rPr>
              <w:t>根据原辅料表，本项目主要原辅料为原卤水、液碱、盐酸、纯碱和亚硫酸钠。根据产生环节，与排放有关的气体污染主要是产线运行时，盐酸储罐呼吸废气酸雾和平板膜过滤时产生的盐雾；以及设备维护刷漆时产生的非甲烷总烃。本项目定期进行平板膜化学清洗产生的反冲洗水和膜组件定期维护产生的密封水均通过回用管道回用至矿区采卤，不外排。</w:t>
            </w:r>
          </w:p>
          <w:p w14:paraId="4433C7F1">
            <w:pPr>
              <w:numPr>
                <w:ilvl w:val="0"/>
                <w:numId w:val="3"/>
              </w:numPr>
              <w:adjustRightInd w:val="0"/>
              <w:snapToGrid w:val="0"/>
              <w:spacing w:line="360" w:lineRule="auto"/>
              <w:ind w:firstLine="422" w:firstLineChars="200"/>
              <w:rPr>
                <w:rFonts w:eastAsia="仿宋_GB2312"/>
                <w:b/>
                <w:bCs/>
              </w:rPr>
            </w:pPr>
            <w:r>
              <w:rPr>
                <w:rFonts w:eastAsia="仿宋_GB2312"/>
                <w:b/>
                <w:bCs/>
              </w:rPr>
              <w:t>水平衡</w:t>
            </w:r>
          </w:p>
          <w:p w14:paraId="285B0858">
            <w:pPr>
              <w:pStyle w:val="7"/>
              <w:widowControl w:val="0"/>
              <w:numPr>
                <w:ilvl w:val="0"/>
                <w:numId w:val="0"/>
              </w:numPr>
              <w:jc w:val="both"/>
            </w:pPr>
            <w:r>
              <w:rPr>
                <w:color w:val="auto"/>
              </w:rPr>
              <w:object>
                <v:shape id="_x0000_i1025" o:spt="75" type="#_x0000_t75" style="height:487.55pt;width:400.7pt;" o:ole="t" filled="f" o:preferrelative="t" stroked="f" coordsize="21600,21600">
                  <v:path/>
                  <v:fill on="f" focussize="0,0"/>
                  <v:stroke on="f"/>
                  <v:imagedata r:id="rId23" o:title=""/>
                  <o:lock v:ext="edit" aspectratio="f"/>
                  <w10:wrap type="none"/>
                  <w10:anchorlock/>
                </v:shape>
                <o:OLEObject Type="Embed" ProgID="Visio.Drawing.15" ShapeID="_x0000_i1025" DrawAspect="Content" ObjectID="_1468075725" r:id="rId22">
                  <o:LockedField>false</o:LockedField>
                </o:OLEObject>
              </w:object>
            </w:r>
          </w:p>
          <w:p w14:paraId="57AA1D45"/>
          <w:p w14:paraId="742B14ED">
            <w:pPr>
              <w:pStyle w:val="7"/>
            </w:pPr>
          </w:p>
          <w:p w14:paraId="69D4EAB5">
            <w:pPr>
              <w:adjustRightInd w:val="0"/>
              <w:snapToGrid w:val="0"/>
              <w:spacing w:beforeLines="50" w:line="360" w:lineRule="auto"/>
              <w:jc w:val="center"/>
              <w:rPr>
                <w:rStyle w:val="36"/>
                <w:color w:val="auto"/>
                <w:kern w:val="0"/>
                <w:szCs w:val="20"/>
              </w:rPr>
            </w:pPr>
            <w:r>
              <w:rPr>
                <w:rFonts w:eastAsia="仿宋_GB2312"/>
                <w:b/>
                <w:color w:val="auto"/>
              </w:rPr>
              <w:t>图2-1</w:t>
            </w:r>
            <w:r>
              <w:rPr>
                <w:rFonts w:hint="eastAsia" w:eastAsia="仿宋_GB2312"/>
                <w:b/>
                <w:color w:val="auto"/>
                <w:lang w:val="en-US" w:eastAsia="zh-CN"/>
              </w:rPr>
              <w:t xml:space="preserve">  现有</w:t>
            </w:r>
            <w:r>
              <w:rPr>
                <w:rFonts w:eastAsia="仿宋_GB2312"/>
                <w:b/>
                <w:color w:val="auto"/>
              </w:rPr>
              <w:t>项目水平衡图单位：t/a</w:t>
            </w:r>
          </w:p>
          <w:p w14:paraId="0429BAF4"/>
          <w:p w14:paraId="3E4803F8">
            <w:pPr>
              <w:pStyle w:val="7"/>
            </w:pPr>
          </w:p>
          <w:p w14:paraId="2B288B2A"/>
          <w:p w14:paraId="58553AFD">
            <w:pPr>
              <w:pStyle w:val="7"/>
            </w:pPr>
          </w:p>
          <w:p w14:paraId="2730A33F">
            <w:pPr>
              <w:pStyle w:val="17"/>
              <w:numPr>
                <w:ilvl w:val="0"/>
                <w:numId w:val="0"/>
              </w:numPr>
              <w:tabs>
                <w:tab w:val="clear" w:pos="2491"/>
              </w:tabs>
            </w:pPr>
          </w:p>
          <w:p w14:paraId="0830F9E6">
            <w:pPr>
              <w:adjustRightInd w:val="0"/>
              <w:snapToGrid w:val="0"/>
              <w:spacing w:beforeLines="50" w:line="360" w:lineRule="auto"/>
              <w:jc w:val="center"/>
              <w:rPr>
                <w:rFonts w:eastAsia="仿宋_GB2312"/>
                <w:b/>
                <w:color w:val="FF0000"/>
              </w:rPr>
            </w:pPr>
          </w:p>
          <w:p w14:paraId="7C511545">
            <w:pPr>
              <w:adjustRightInd w:val="0"/>
              <w:snapToGrid w:val="0"/>
              <w:spacing w:beforeLines="50" w:line="360" w:lineRule="auto"/>
              <w:jc w:val="center"/>
              <w:rPr>
                <w:rFonts w:eastAsia="仿宋_GB2312"/>
                <w:b/>
                <w:color w:val="FF0000"/>
              </w:rPr>
            </w:pPr>
          </w:p>
          <w:p w14:paraId="3A673D2D">
            <w:pPr>
              <w:adjustRightInd w:val="0"/>
              <w:snapToGrid w:val="0"/>
              <w:spacing w:beforeLines="50" w:line="360" w:lineRule="auto"/>
              <w:jc w:val="center"/>
              <w:rPr>
                <w:rFonts w:eastAsia="仿宋_GB2312"/>
                <w:b/>
                <w:color w:val="FF0000"/>
              </w:rPr>
            </w:pPr>
            <w:r>
              <w:rPr>
                <w:rFonts w:eastAsia="仿宋_GB2312"/>
                <w:b/>
                <w:color w:val="FF0000"/>
              </w:rPr>
              <w:object>
                <v:shape id="_x0000_i1026" o:spt="75" type="#_x0000_t75" style="height:295pt;width:423.25pt;" o:ole="t" filled="f" o:preferrelative="t" stroked="f" coordsize="21600,21600">
                  <v:path/>
                  <v:fill on="f" focussize="0,0"/>
                  <v:stroke on="f"/>
                  <v:imagedata r:id="rId25" o:title=""/>
                  <o:lock v:ext="edit" aspectratio="f"/>
                  <w10:wrap type="none"/>
                  <w10:anchorlock/>
                </v:shape>
                <o:OLEObject Type="Embed" ProgID="Visio.Drawing.15" ShapeID="_x0000_i1026" DrawAspect="Content" ObjectID="_1468075726" r:id="rId24">
                  <o:LockedField>false</o:LockedField>
                </o:OLEObject>
              </w:object>
            </w:r>
          </w:p>
          <w:p w14:paraId="5F37DB44">
            <w:pPr>
              <w:adjustRightInd w:val="0"/>
              <w:snapToGrid w:val="0"/>
              <w:spacing w:beforeLines="50" w:line="360" w:lineRule="auto"/>
              <w:jc w:val="center"/>
              <w:rPr>
                <w:rStyle w:val="36"/>
                <w:color w:val="auto"/>
                <w:kern w:val="0"/>
                <w:szCs w:val="20"/>
              </w:rPr>
            </w:pPr>
            <w:r>
              <w:rPr>
                <w:rFonts w:eastAsia="仿宋_GB2312"/>
                <w:b/>
                <w:color w:val="auto"/>
              </w:rPr>
              <w:t>图2-</w:t>
            </w:r>
            <w:r>
              <w:rPr>
                <w:rFonts w:hint="eastAsia" w:eastAsia="仿宋_GB2312"/>
                <w:b/>
                <w:color w:val="auto"/>
                <w:lang w:val="en-US" w:eastAsia="zh-CN"/>
              </w:rPr>
              <w:t xml:space="preserve">2  </w:t>
            </w:r>
            <w:r>
              <w:rPr>
                <w:rFonts w:eastAsia="仿宋_GB2312"/>
                <w:b/>
                <w:color w:val="auto"/>
              </w:rPr>
              <w:t>本项目水平衡图单位：t/a</w:t>
            </w:r>
          </w:p>
          <w:p w14:paraId="33D0AAD8">
            <w:pPr>
              <w:keepNext w:val="0"/>
              <w:keepLines w:val="0"/>
              <w:widowControl/>
              <w:suppressLineNumbers w:val="0"/>
              <w:jc w:val="left"/>
              <w:rPr>
                <w:color w:val="auto"/>
              </w:rPr>
            </w:pPr>
          </w:p>
          <w:p w14:paraId="12105F7F">
            <w:pPr>
              <w:numPr>
                <w:ilvl w:val="0"/>
                <w:numId w:val="0"/>
              </w:numPr>
              <w:adjustRightInd w:val="0"/>
              <w:snapToGrid w:val="0"/>
              <w:jc w:val="center"/>
              <w:rPr>
                <w:rFonts w:hint="default" w:ascii="Times New Roman" w:hAnsi="Times New Roman" w:eastAsia="仿宋_GB2312" w:cs="Times New Roman"/>
                <w:b/>
                <w:bCs w:val="0"/>
                <w:color w:val="auto"/>
                <w:sz w:val="24"/>
                <w:szCs w:val="24"/>
                <w:lang w:eastAsia="zh-CN"/>
              </w:rPr>
            </w:pPr>
          </w:p>
          <w:p w14:paraId="6F9C1EFF">
            <w:pPr>
              <w:numPr>
                <w:ilvl w:val="0"/>
                <w:numId w:val="0"/>
              </w:numPr>
              <w:adjustRightInd w:val="0"/>
              <w:snapToGrid w:val="0"/>
              <w:jc w:val="center"/>
              <w:rPr>
                <w:rFonts w:hint="default" w:ascii="Times New Roman" w:hAnsi="Times New Roman" w:eastAsia="仿宋_GB2312" w:cs="Times New Roman"/>
                <w:b/>
                <w:bCs w:val="0"/>
                <w:color w:val="auto"/>
                <w:sz w:val="21"/>
                <w:szCs w:val="21"/>
                <w:lang w:eastAsia="zh-CN"/>
              </w:rPr>
            </w:pPr>
            <w:r>
              <w:rPr>
                <w:rFonts w:hint="default" w:ascii="Times New Roman" w:hAnsi="Times New Roman" w:eastAsia="仿宋_GB2312" w:cs="Times New Roman"/>
                <w:b/>
                <w:bCs w:val="0"/>
                <w:color w:val="auto"/>
                <w:sz w:val="21"/>
                <w:szCs w:val="21"/>
                <w:lang w:eastAsia="zh-CN"/>
              </w:rPr>
              <w:object>
                <v:shape id="_x0000_i1027" o:spt="75" type="#_x0000_t75" style="height:651.95pt;width:411pt;" o:ole="t" filled="f" o:preferrelative="t" stroked="f" coordsize="21600,21600">
                  <v:path/>
                  <v:fill on="f" focussize="0,0"/>
                  <v:stroke on="f"/>
                  <v:imagedata r:id="rId27" o:title=""/>
                  <o:lock v:ext="edit" aspectratio="f"/>
                  <w10:wrap type="none"/>
                  <w10:anchorlock/>
                </v:shape>
                <o:OLEObject Type="Embed" ProgID="Visio.Drawing.15" ShapeID="_x0000_i1027" DrawAspect="Content" ObjectID="_1468075727" r:id="rId26">
                  <o:LockedField>false</o:LockedField>
                </o:OLEObject>
              </w:object>
            </w:r>
          </w:p>
          <w:p w14:paraId="5F9A3E78">
            <w:pPr>
              <w:numPr>
                <w:ilvl w:val="0"/>
                <w:numId w:val="0"/>
              </w:numPr>
              <w:adjustRightInd w:val="0"/>
              <w:snapToGrid w:val="0"/>
              <w:jc w:val="center"/>
              <w:rPr>
                <w:rFonts w:hint="default" w:ascii="Times New Roman" w:hAnsi="Times New Roman" w:eastAsia="仿宋_GB2312" w:cs="Times New Roman"/>
                <w:b/>
                <w:bCs w:val="0"/>
                <w:color w:val="auto"/>
                <w:sz w:val="21"/>
                <w:szCs w:val="21"/>
                <w:lang w:val="en-US" w:eastAsia="zh-CN"/>
              </w:rPr>
            </w:pPr>
            <w:r>
              <w:rPr>
                <w:rFonts w:hint="default" w:ascii="Times New Roman" w:hAnsi="Times New Roman" w:eastAsia="仿宋_GB2312" w:cs="Times New Roman"/>
                <w:b/>
                <w:bCs w:val="0"/>
                <w:color w:val="auto"/>
                <w:sz w:val="21"/>
                <w:szCs w:val="21"/>
                <w:lang w:eastAsia="zh-CN"/>
              </w:rPr>
              <w:t>图</w:t>
            </w:r>
            <w:r>
              <w:rPr>
                <w:rFonts w:hint="default" w:ascii="Times New Roman" w:hAnsi="Times New Roman" w:eastAsia="仿宋_GB2312" w:cs="Times New Roman"/>
                <w:b/>
                <w:bCs w:val="0"/>
                <w:color w:val="auto"/>
                <w:sz w:val="21"/>
                <w:szCs w:val="21"/>
                <w:lang w:val="en-US" w:eastAsia="zh-CN"/>
              </w:rPr>
              <w:t>2-</w:t>
            </w:r>
            <w:r>
              <w:rPr>
                <w:rFonts w:hint="eastAsia" w:eastAsia="仿宋_GB2312" w:cs="Times New Roman"/>
                <w:b/>
                <w:bCs w:val="0"/>
                <w:color w:val="auto"/>
                <w:sz w:val="21"/>
                <w:szCs w:val="21"/>
                <w:lang w:val="en-US" w:eastAsia="zh-CN"/>
              </w:rPr>
              <w:t>3</w:t>
            </w:r>
            <w:r>
              <w:rPr>
                <w:rFonts w:hint="eastAsia" w:ascii="Times New Roman" w:hAnsi="Times New Roman" w:eastAsia="仿宋_GB2312" w:cs="Times New Roman"/>
                <w:b/>
                <w:bCs w:val="0"/>
                <w:color w:val="auto"/>
                <w:sz w:val="21"/>
                <w:szCs w:val="21"/>
                <w:lang w:val="en-US" w:eastAsia="zh-CN"/>
              </w:rPr>
              <w:t xml:space="preserve">  全厂</w:t>
            </w:r>
            <w:r>
              <w:rPr>
                <w:rFonts w:hint="default" w:ascii="Times New Roman" w:hAnsi="Times New Roman" w:eastAsia="仿宋_GB2312" w:cs="Times New Roman"/>
                <w:b/>
                <w:bCs w:val="0"/>
                <w:color w:val="auto"/>
                <w:sz w:val="21"/>
                <w:szCs w:val="21"/>
                <w:lang w:val="en-US" w:eastAsia="zh-CN"/>
              </w:rPr>
              <w:t>水平衡图</w:t>
            </w:r>
            <w:r>
              <w:rPr>
                <w:rFonts w:hint="eastAsia"/>
                <w:color w:val="auto"/>
                <w:sz w:val="21"/>
                <w:szCs w:val="21"/>
                <w:lang w:val="en-US" w:eastAsia="zh-CN"/>
              </w:rPr>
              <w:t xml:space="preserve"> </w:t>
            </w:r>
            <w:r>
              <w:rPr>
                <w:rFonts w:hint="eastAsia" w:ascii="Times New Roman" w:hAnsi="Times New Roman" w:eastAsia="仿宋_GB2312" w:cs="Times New Roman"/>
                <w:b/>
                <w:bCs w:val="0"/>
                <w:color w:val="auto"/>
                <w:sz w:val="21"/>
                <w:szCs w:val="21"/>
                <w:lang w:val="en-US" w:eastAsia="zh-CN"/>
              </w:rPr>
              <w:t>单位：t/a</w:t>
            </w:r>
          </w:p>
          <w:p w14:paraId="0643C84F">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22" w:firstLineChars="200"/>
              <w:textAlignment w:val="auto"/>
              <w:rPr>
                <w:rFonts w:eastAsia="仿宋_GB2312"/>
                <w:b/>
                <w:bCs/>
              </w:rPr>
            </w:pPr>
            <w:r>
              <w:rPr>
                <w:rFonts w:hint="eastAsia" w:eastAsia="仿宋_GB2312"/>
                <w:b/>
                <w:bCs/>
                <w:lang w:val="en-US" w:eastAsia="zh-CN"/>
              </w:rPr>
              <w:t>十</w:t>
            </w:r>
            <w:r>
              <w:rPr>
                <w:rFonts w:hint="eastAsia" w:eastAsia="仿宋_GB2312"/>
                <w:b/>
                <w:bCs/>
              </w:rPr>
              <w:t>、项目平面布置</w:t>
            </w:r>
          </w:p>
          <w:p w14:paraId="7C380518">
            <w:pPr>
              <w:keepNext/>
              <w:keepLines/>
              <w:adjustRightInd w:val="0"/>
              <w:snapToGrid w:val="0"/>
              <w:spacing w:line="360" w:lineRule="auto"/>
              <w:ind w:firstLine="420" w:firstLineChars="200"/>
              <w:rPr>
                <w:rFonts w:eastAsia="仿宋_GB2312"/>
                <w:kern w:val="0"/>
                <w:lang w:val="zh-CN"/>
              </w:rPr>
            </w:pPr>
            <w:r>
              <w:rPr>
                <w:rFonts w:eastAsia="仿宋_GB2312"/>
                <w:kern w:val="0"/>
                <w:lang w:val="zh-CN"/>
              </w:rPr>
              <w:t>本项目位于</w:t>
            </w:r>
            <w:r>
              <w:rPr>
                <w:rFonts w:eastAsia="仿宋_GB2312"/>
                <w:kern w:val="0"/>
              </w:rPr>
              <w:t>常州金坛区金坛经济开发区盐厂路1号</w:t>
            </w:r>
            <w:r>
              <w:rPr>
                <w:rFonts w:hint="eastAsia" w:eastAsia="仿宋_GB2312"/>
                <w:kern w:val="0"/>
              </w:rPr>
              <w:t>，项目厂区南侧是江苏隆正焱环保有限公司，东侧是建材路，西侧是丹金溧漕河，北侧是江苏加怡热电有限公司、电厂路，详见</w:t>
            </w:r>
            <w:r>
              <w:rPr>
                <w:rFonts w:hint="eastAsia" w:eastAsia="仿宋_GB2312"/>
                <w:kern w:val="0"/>
                <w:lang w:val="en-US" w:eastAsia="zh-CN"/>
              </w:rPr>
              <w:t>企业现状周边概况图（</w:t>
            </w:r>
            <w:r>
              <w:rPr>
                <w:rFonts w:hint="eastAsia" w:eastAsia="仿宋_GB2312"/>
                <w:kern w:val="0"/>
              </w:rPr>
              <w:t>附图</w:t>
            </w:r>
            <w:r>
              <w:rPr>
                <w:rFonts w:hint="eastAsia" w:eastAsia="仿宋_GB2312"/>
                <w:kern w:val="0"/>
                <w:lang w:val="en-US" w:eastAsia="zh-CN"/>
              </w:rPr>
              <w:t>2）</w:t>
            </w:r>
            <w:r>
              <w:rPr>
                <w:rFonts w:hint="eastAsia" w:eastAsia="仿宋_GB2312"/>
                <w:kern w:val="0"/>
              </w:rPr>
              <w:t>。</w:t>
            </w:r>
          </w:p>
          <w:p w14:paraId="45D4B8E0">
            <w:pPr>
              <w:keepNext/>
              <w:keepLines/>
              <w:adjustRightInd w:val="0"/>
              <w:snapToGrid w:val="0"/>
              <w:spacing w:line="360" w:lineRule="auto"/>
              <w:ind w:firstLine="420" w:firstLineChars="200"/>
            </w:pPr>
            <w:r>
              <w:rPr>
                <w:rFonts w:hint="eastAsia" w:eastAsia="仿宋_GB2312"/>
                <w:kern w:val="0"/>
              </w:rPr>
              <w:t>在现有厂区内</w:t>
            </w:r>
            <w:r>
              <w:rPr>
                <w:rFonts w:eastAsia="仿宋_GB2312"/>
                <w:kern w:val="0"/>
                <w:lang w:val="zh-CN"/>
              </w:rPr>
              <w:t>，</w:t>
            </w:r>
            <w:r>
              <w:rPr>
                <w:rFonts w:hint="eastAsia" w:eastAsia="仿宋_GB2312"/>
                <w:kern w:val="0"/>
              </w:rPr>
              <w:t>新建一座</w:t>
            </w:r>
            <w:r>
              <w:rPr>
                <w:rFonts w:eastAsia="仿宋_GB2312"/>
                <w:kern w:val="0"/>
                <w:lang w:val="zh-CN"/>
              </w:rPr>
              <w:t>厂房</w:t>
            </w:r>
            <w:r>
              <w:rPr>
                <w:rFonts w:hint="eastAsia" w:eastAsia="仿宋_GB2312"/>
                <w:kern w:val="0"/>
                <w:lang w:val="zh-CN"/>
              </w:rPr>
              <w:t>，</w:t>
            </w:r>
            <w:r>
              <w:rPr>
                <w:rFonts w:hint="eastAsia" w:eastAsia="仿宋_GB2312"/>
                <w:kern w:val="0"/>
              </w:rPr>
              <w:t>利用现有厂区内的储罐区、原料仓库、固废仓库（一般固废及危废）、</w:t>
            </w:r>
            <w:r>
              <w:rPr>
                <w:rFonts w:eastAsia="仿宋_GB2312"/>
                <w:kern w:val="0"/>
                <w:lang w:val="zh-CN"/>
              </w:rPr>
              <w:t>配电房</w:t>
            </w:r>
            <w:r>
              <w:rPr>
                <w:rFonts w:hint="eastAsia" w:eastAsia="仿宋_GB2312"/>
                <w:kern w:val="0"/>
                <w:lang w:val="zh-CN"/>
              </w:rPr>
              <w:t>、</w:t>
            </w:r>
            <w:r>
              <w:rPr>
                <w:rFonts w:hint="eastAsia" w:eastAsia="仿宋_GB2312"/>
                <w:kern w:val="0"/>
              </w:rPr>
              <w:t>门卫室等</w:t>
            </w:r>
            <w:r>
              <w:rPr>
                <w:rFonts w:eastAsia="仿宋_GB2312"/>
                <w:kern w:val="0"/>
                <w:lang w:val="zh-CN"/>
              </w:rPr>
              <w:t>。整个厂区功能分区明确，交通组织合理，便于生产安全管理。从总体上看，项目平面布置基本合理。</w:t>
            </w:r>
          </w:p>
        </w:tc>
      </w:tr>
    </w:tbl>
    <w:p w14:paraId="793285D7">
      <w:pPr>
        <w:pStyle w:val="28"/>
        <w:adjustRightInd w:val="0"/>
        <w:snapToGrid w:val="0"/>
        <w:spacing w:before="0" w:beforeAutospacing="0" w:after="0" w:afterAutospacing="0"/>
        <w:jc w:val="center"/>
        <w:rPr>
          <w:rFonts w:ascii="Times New Roman" w:hAnsi="Times New Roman" w:eastAsia="仿宋_GB2312"/>
          <w:szCs w:val="24"/>
        </w:rPr>
        <w:sectPr>
          <w:footerReference r:id="rId7" w:type="default"/>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1"/>
        <w:tblW w:w="906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2"/>
        <w:gridCol w:w="8238"/>
      </w:tblGrid>
      <w:tr w14:paraId="3ADB78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14" w:hRule="atLeast"/>
          <w:jc w:val="center"/>
        </w:trPr>
        <w:tc>
          <w:tcPr>
            <w:tcW w:w="822" w:type="dxa"/>
            <w:vAlign w:val="center"/>
          </w:tcPr>
          <w:p w14:paraId="47E897A5">
            <w:pPr>
              <w:pStyle w:val="28"/>
              <w:adjustRightInd w:val="0"/>
              <w:snapToGrid w:val="0"/>
              <w:spacing w:before="0" w:beforeAutospacing="0" w:after="0" w:afterAutospacing="0"/>
              <w:jc w:val="center"/>
              <w:rPr>
                <w:rFonts w:ascii="Times New Roman" w:hAnsi="Times New Roman" w:eastAsia="仿宋_GB2312"/>
                <w:szCs w:val="24"/>
              </w:rPr>
            </w:pPr>
            <w:r>
              <w:rPr>
                <w:rFonts w:ascii="Times New Roman" w:hAnsi="Times New Roman" w:eastAsia="仿宋_GB2312"/>
                <w:szCs w:val="24"/>
              </w:rPr>
              <w:t>工艺流程和产排污环节</w:t>
            </w:r>
          </w:p>
        </w:tc>
        <w:tc>
          <w:tcPr>
            <w:tcW w:w="8238" w:type="dxa"/>
          </w:tcPr>
          <w:p w14:paraId="082CA8C8">
            <w:pPr>
              <w:adjustRightInd w:val="0"/>
              <w:snapToGrid w:val="0"/>
              <w:spacing w:line="360" w:lineRule="auto"/>
              <w:ind w:firstLine="422" w:firstLineChars="200"/>
              <w:jc w:val="left"/>
              <w:rPr>
                <w:rFonts w:eastAsia="仿宋_GB2312"/>
                <w:b/>
                <w:bCs/>
              </w:rPr>
            </w:pPr>
            <w:r>
              <w:rPr>
                <w:rFonts w:hint="eastAsia" w:eastAsia="仿宋_GB2312"/>
                <w:b/>
                <w:bCs/>
              </w:rPr>
              <w:t>一、施工期工艺流程及产污</w:t>
            </w:r>
          </w:p>
          <w:p w14:paraId="6D24A579">
            <w:pPr>
              <w:adjustRightInd w:val="0"/>
              <w:snapToGrid w:val="0"/>
              <w:spacing w:line="360" w:lineRule="auto"/>
              <w:ind w:firstLine="422" w:firstLineChars="200"/>
              <w:jc w:val="left"/>
              <w:rPr>
                <w:rFonts w:hint="eastAsia" w:eastAsia="仿宋_GB2312"/>
                <w:b/>
                <w:bCs/>
              </w:rPr>
            </w:pPr>
            <w:r>
              <w:rPr>
                <w:rFonts w:hint="eastAsia" w:eastAsia="仿宋_GB2312"/>
                <w:b/>
                <w:bCs/>
              </w:rPr>
              <w:t>1、输水输卤管线建造</w:t>
            </w:r>
          </w:p>
          <w:p w14:paraId="199B16BF">
            <w:pPr>
              <w:adjustRightInd w:val="0"/>
              <w:snapToGrid w:val="0"/>
              <w:spacing w:line="360" w:lineRule="auto"/>
              <w:ind w:firstLine="444" w:firstLineChars="200"/>
              <w:jc w:val="left"/>
              <w:rPr>
                <w:rFonts w:hint="default" w:ascii="Times New Roman" w:hAnsi="Times New Roman" w:eastAsia="仿宋_GB2312" w:cs="Times New Roman"/>
                <w:spacing w:val="6"/>
                <w:lang w:val="en-US" w:eastAsia="zh-CN"/>
              </w:rPr>
            </w:pPr>
            <w:r>
              <w:rPr>
                <w:rFonts w:hint="eastAsia" w:ascii="Times New Roman" w:hAnsi="Times New Roman" w:eastAsia="仿宋_GB2312" w:cs="Times New Roman"/>
                <w:spacing w:val="6"/>
                <w:lang w:val="en-US" w:eastAsia="zh-CN"/>
              </w:rPr>
              <w:t>工程</w:t>
            </w:r>
            <w:r>
              <w:rPr>
                <w:rFonts w:hint="eastAsia" w:ascii="Times New Roman" w:hAnsi="Times New Roman" w:eastAsia="仿宋_GB2312" w:cs="Times New Roman"/>
                <w:spacing w:val="6"/>
              </w:rPr>
              <w:t>内容主要为</w:t>
            </w:r>
            <w:r>
              <w:rPr>
                <w:rFonts w:ascii="Times New Roman" w:hAnsi="Times New Roman" w:eastAsia="仿宋_GB2312" w:cs="Times New Roman"/>
                <w:spacing w:val="6"/>
              </w:rPr>
              <w:t>HDPE管</w:t>
            </w:r>
            <w:r>
              <w:rPr>
                <w:rFonts w:hint="eastAsia" w:ascii="Times New Roman" w:hAnsi="Times New Roman" w:eastAsia="仿宋_GB2312" w:cs="Times New Roman"/>
                <w:spacing w:val="6"/>
              </w:rPr>
              <w:t>道</w:t>
            </w:r>
            <w:r>
              <w:rPr>
                <w:rFonts w:ascii="Times New Roman" w:hAnsi="Times New Roman" w:eastAsia="仿宋_GB2312" w:cs="Times New Roman"/>
                <w:spacing w:val="6"/>
              </w:rPr>
              <w:t>地埋安装工作，</w:t>
            </w:r>
            <w:r>
              <w:rPr>
                <w:rFonts w:hint="eastAsia" w:ascii="Times New Roman" w:hAnsi="Times New Roman" w:eastAsia="仿宋_GB2312" w:cs="Times New Roman"/>
                <w:spacing w:val="6"/>
              </w:rPr>
              <w:t>主要工作包括</w:t>
            </w:r>
            <w:r>
              <w:rPr>
                <w:rFonts w:ascii="Times New Roman" w:hAnsi="Times New Roman" w:eastAsia="仿宋_GB2312" w:cs="Times New Roman"/>
                <w:spacing w:val="6"/>
              </w:rPr>
              <w:t>沟槽开挖、土方回填夯实、管材卸力、管材二次搬运费、施工测量、试压及机械设备进退场</w:t>
            </w:r>
            <w:r>
              <w:rPr>
                <w:rFonts w:hint="eastAsia" w:ascii="Times New Roman" w:hAnsi="Times New Roman" w:eastAsia="仿宋_GB2312" w:cs="Times New Roman"/>
                <w:spacing w:val="6"/>
              </w:rPr>
              <w:t>及</w:t>
            </w:r>
            <w:r>
              <w:rPr>
                <w:rFonts w:ascii="Times New Roman" w:hAnsi="Times New Roman" w:eastAsia="仿宋_GB2312" w:cs="Times New Roman"/>
                <w:spacing w:val="6"/>
              </w:rPr>
              <w:t>非开挖定向穿管道、导向、扩孔、牵引、泥浆处理</w:t>
            </w:r>
            <w:r>
              <w:rPr>
                <w:rFonts w:hint="eastAsia" w:ascii="Times New Roman" w:hAnsi="Times New Roman" w:eastAsia="仿宋_GB2312" w:cs="Times New Roman"/>
                <w:spacing w:val="6"/>
              </w:rPr>
              <w:t>等</w:t>
            </w:r>
            <w:r>
              <w:rPr>
                <w:rFonts w:ascii="Times New Roman" w:hAnsi="Times New Roman" w:eastAsia="仿宋_GB2312" w:cs="Times New Roman"/>
                <w:spacing w:val="6"/>
              </w:rPr>
              <w:t>。</w:t>
            </w:r>
            <w:r>
              <w:rPr>
                <w:rFonts w:hint="eastAsia" w:ascii="Times New Roman" w:hAnsi="Times New Roman" w:eastAsia="仿宋_GB2312" w:cs="Times New Roman"/>
                <w:spacing w:val="6"/>
                <w:lang w:val="en-US" w:eastAsia="zh-CN"/>
              </w:rPr>
              <w:t>开挖只涉及入土出土工作坑部分。</w:t>
            </w:r>
          </w:p>
          <w:p w14:paraId="16470A7D">
            <w:pPr>
              <w:adjustRightInd w:val="0"/>
              <w:snapToGrid w:val="0"/>
              <w:spacing w:line="360" w:lineRule="auto"/>
              <w:ind w:firstLine="422" w:firstLineChars="200"/>
              <w:jc w:val="left"/>
              <w:rPr>
                <w:rFonts w:hint="eastAsia" w:eastAsia="仿宋_GB2312"/>
                <w:b/>
                <w:bCs/>
                <w:lang w:eastAsia="zh-CN"/>
              </w:rPr>
            </w:pPr>
            <w:r>
              <w:rPr>
                <w:rFonts w:hint="eastAsia" w:eastAsia="仿宋_GB2312"/>
                <w:b/>
                <w:bCs/>
                <w:lang w:eastAsia="zh-CN"/>
              </w:rPr>
              <w:t>（</w:t>
            </w:r>
            <w:r>
              <w:rPr>
                <w:rFonts w:hint="eastAsia" w:eastAsia="仿宋_GB2312"/>
                <w:b/>
                <w:bCs/>
                <w:lang w:val="en-US" w:eastAsia="zh-CN"/>
              </w:rPr>
              <w:t>1</w:t>
            </w:r>
            <w:r>
              <w:rPr>
                <w:rFonts w:hint="eastAsia" w:ascii="Times New Roman" w:hAnsi="Times New Roman" w:eastAsia="仿宋_GB2312" w:cs="Times New Roman"/>
                <w:b/>
                <w:bCs/>
                <w:lang w:eastAsia="zh-CN"/>
              </w:rPr>
              <w:t>）工艺流程简述</w:t>
            </w:r>
          </w:p>
          <w:p w14:paraId="066A4937">
            <w:pPr>
              <w:jc w:val="center"/>
              <w:rPr>
                <w:sz w:val="24"/>
              </w:rPr>
            </w:pPr>
            <w:r>
              <w:rPr>
                <w:sz w:val="24"/>
              </w:rPr>
              <w:object>
                <v:shape id="_x0000_i1028" o:spt="75" type="#_x0000_t75" style="height:301.25pt;width:86.55pt;" o:ole="t" filled="f" o:preferrelative="t" stroked="f" coordsize="21600,21600">
                  <v:path/>
                  <v:fill on="f" focussize="0,0"/>
                  <v:stroke on="f" joinstyle="miter"/>
                  <v:imagedata r:id="rId29" o:title=""/>
                  <o:lock v:ext="edit" aspectratio="f"/>
                  <w10:wrap type="none"/>
                  <w10:anchorlock/>
                </v:shape>
                <o:OLEObject Type="Embed" ProgID="Visio.Drawing.15" ShapeID="_x0000_i1028" DrawAspect="Content" ObjectID="_1468075728" r:id="rId28">
                  <o:LockedField>false</o:LockedField>
                </o:OLEObject>
              </w:object>
            </w:r>
          </w:p>
          <w:p w14:paraId="0BE1BD2C">
            <w:pPr>
              <w:adjustRightInd w:val="0"/>
              <w:snapToGrid w:val="0"/>
              <w:spacing w:beforeLines="50" w:line="360" w:lineRule="auto"/>
              <w:jc w:val="center"/>
              <w:rPr>
                <w:rFonts w:eastAsia="仿宋_GB2312"/>
                <w:b/>
                <w:bCs/>
              </w:rPr>
            </w:pPr>
            <w:bookmarkStart w:id="24" w:name="_Toc37944158"/>
            <w:bookmarkStart w:id="25" w:name="_Toc31048"/>
            <w:bookmarkStart w:id="26" w:name="_Toc14326"/>
            <w:r>
              <w:rPr>
                <w:rFonts w:hint="eastAsia" w:eastAsia="仿宋_GB2312"/>
                <w:b/>
                <w:bCs/>
              </w:rPr>
              <w:t>图2-</w:t>
            </w:r>
            <w:r>
              <w:rPr>
                <w:rFonts w:hint="eastAsia" w:eastAsia="仿宋_GB2312"/>
                <w:b/>
                <w:bCs/>
                <w:lang w:val="en-US" w:eastAsia="zh-CN"/>
              </w:rPr>
              <w:t>4</w:t>
            </w:r>
            <w:r>
              <w:rPr>
                <w:rFonts w:hint="eastAsia" w:eastAsia="仿宋_GB2312"/>
                <w:b/>
                <w:bCs/>
              </w:rPr>
              <w:t xml:space="preserve">  输水输卤管线建造施工期工艺流程图</w:t>
            </w:r>
          </w:p>
          <w:p w14:paraId="11CC6C90">
            <w:pPr>
              <w:adjustRightInd w:val="0"/>
              <w:snapToGrid w:val="0"/>
              <w:spacing w:line="360" w:lineRule="auto"/>
              <w:ind w:firstLine="422" w:firstLineChars="200"/>
              <w:jc w:val="left"/>
              <w:rPr>
                <w:rFonts w:eastAsia="仿宋_GB2312"/>
                <w:spacing w:val="6"/>
              </w:rPr>
            </w:pPr>
            <w:r>
              <w:rPr>
                <w:rFonts w:hint="eastAsia" w:eastAsia="仿宋_GB2312"/>
                <w:b/>
                <w:bCs/>
                <w:lang w:val="en-US" w:eastAsia="zh-CN"/>
              </w:rPr>
              <w:t>1</w:t>
            </w:r>
            <w:r>
              <w:rPr>
                <w:rFonts w:hint="eastAsia" w:eastAsia="仿宋_GB2312"/>
                <w:b/>
                <w:bCs/>
                <w:lang w:eastAsia="zh-CN"/>
              </w:rPr>
              <w:t>）</w:t>
            </w:r>
            <w:r>
              <w:rPr>
                <w:rFonts w:eastAsia="仿宋_GB2312"/>
                <w:b/>
                <w:bCs/>
              </w:rPr>
              <w:t>测量放线</w:t>
            </w:r>
            <w:r>
              <w:rPr>
                <w:rFonts w:hint="eastAsia" w:eastAsia="仿宋_GB2312"/>
              </w:rPr>
              <w:t>：</w:t>
            </w:r>
            <w:r>
              <w:rPr>
                <w:rFonts w:eastAsia="仿宋_GB2312"/>
                <w:spacing w:val="6"/>
              </w:rPr>
              <w:t>依据由设计方提供的施工图中标注的坐标,设计交桩的位置和高程，进行测量。定好线路中心线和施工作业带边界线桩后，用白灰放出管道中心线和作业带边界线及定向钻出入土点</w:t>
            </w:r>
            <w:r>
              <w:rPr>
                <w:rFonts w:eastAsia="仿宋_GB2312"/>
              </w:rPr>
              <w:t>。</w:t>
            </w:r>
            <w:r>
              <w:rPr>
                <w:rFonts w:eastAsia="仿宋_GB2312"/>
                <w:spacing w:val="6"/>
              </w:rPr>
              <w:t>施工作业带边界线在作业带清理前放线。放线完毕及时清点作业带内的障碍物，并作好记录；同时在清扫施工作业带之前，将所有的管线桩平移至堆土一侧的占地边界线以内，距边界0.3m处。</w:t>
            </w:r>
          </w:p>
          <w:p w14:paraId="2EE8CFF3">
            <w:pPr>
              <w:adjustRightInd w:val="0"/>
              <w:snapToGrid w:val="0"/>
              <w:spacing w:line="360" w:lineRule="auto"/>
              <w:ind w:firstLine="446" w:firstLineChars="200"/>
              <w:jc w:val="left"/>
              <w:rPr>
                <w:rFonts w:eastAsia="仿宋_GB2312"/>
              </w:rPr>
            </w:pPr>
            <w:bookmarkStart w:id="27" w:name="_Toc10971"/>
            <w:bookmarkStart w:id="28" w:name="_Toc25256"/>
            <w:bookmarkStart w:id="29" w:name="_Toc37944159"/>
            <w:r>
              <w:rPr>
                <w:rFonts w:hint="eastAsia" w:eastAsia="仿宋_GB2312"/>
                <w:b/>
                <w:bCs/>
                <w:spacing w:val="6"/>
                <w:lang w:val="en-US" w:eastAsia="zh-CN"/>
              </w:rPr>
              <w:t>2</w:t>
            </w:r>
            <w:r>
              <w:rPr>
                <w:rFonts w:hint="eastAsia" w:eastAsia="仿宋_GB2312"/>
                <w:b/>
                <w:bCs/>
                <w:spacing w:val="6"/>
                <w:lang w:eastAsia="zh-CN"/>
              </w:rPr>
              <w:t>）</w:t>
            </w:r>
            <w:r>
              <w:rPr>
                <w:rFonts w:eastAsia="仿宋_GB2312"/>
                <w:b/>
                <w:bCs/>
                <w:spacing w:val="6"/>
              </w:rPr>
              <w:t>场地平整及便道修筑</w:t>
            </w:r>
            <w:bookmarkEnd w:id="27"/>
            <w:bookmarkEnd w:id="28"/>
            <w:bookmarkEnd w:id="29"/>
            <w:r>
              <w:rPr>
                <w:rFonts w:hint="eastAsia" w:eastAsia="仿宋_GB2312"/>
                <w:spacing w:val="6"/>
              </w:rPr>
              <w:t>：</w:t>
            </w:r>
            <w:r>
              <w:rPr>
                <w:rFonts w:eastAsia="仿宋_GB2312"/>
              </w:rPr>
              <w:t>施工前施工现场需要达到“三通一平”的条件：路通、水通、电通和作业区平整。出入土点作业区域外围应用警示带围拉，必要时用彩钢瓦围住，在进出工地的入口出口摆设警示牌，在进场道路与公路交界路口应摆放限速牌。挖、砌泥浆池8个，每处穿越两边各1个，泥浆坑内铺彩条布，防止泥浆渗漏。从钻机入土点处挖3m×2m坑储存孔洞中返出的泥浆，出土点处挖4m×2m坑铺垫彩条布。</w:t>
            </w:r>
          </w:p>
          <w:p w14:paraId="69803264">
            <w:pPr>
              <w:adjustRightInd w:val="0"/>
              <w:snapToGrid w:val="0"/>
              <w:spacing w:line="360" w:lineRule="auto"/>
              <w:ind w:firstLine="422" w:firstLineChars="200"/>
              <w:jc w:val="left"/>
              <w:rPr>
                <w:rFonts w:eastAsia="仿宋_GB2312"/>
              </w:rPr>
            </w:pPr>
            <w:bookmarkStart w:id="30" w:name="_Toc18898"/>
            <w:r>
              <w:rPr>
                <w:rFonts w:hint="eastAsia" w:eastAsia="仿宋_GB2312"/>
                <w:b/>
                <w:bCs/>
                <w:lang w:val="en-US" w:eastAsia="zh-CN"/>
              </w:rPr>
              <w:t>3</w:t>
            </w:r>
            <w:r>
              <w:rPr>
                <w:rFonts w:hint="eastAsia" w:eastAsia="仿宋_GB2312"/>
                <w:b/>
                <w:bCs/>
                <w:lang w:eastAsia="zh-CN"/>
              </w:rPr>
              <w:t>）</w:t>
            </w:r>
            <w:r>
              <w:rPr>
                <w:rFonts w:eastAsia="仿宋_GB2312"/>
                <w:b/>
                <w:bCs/>
              </w:rPr>
              <w:t>设备</w:t>
            </w:r>
            <w:bookmarkEnd w:id="30"/>
            <w:r>
              <w:rPr>
                <w:rFonts w:hint="eastAsia" w:eastAsia="仿宋_GB2312"/>
                <w:b/>
                <w:bCs/>
              </w:rPr>
              <w:t>及</w:t>
            </w:r>
            <w:r>
              <w:rPr>
                <w:rFonts w:eastAsia="仿宋_GB2312"/>
                <w:b/>
                <w:bCs/>
              </w:rPr>
              <w:t>系统安装、调试</w:t>
            </w:r>
            <w:r>
              <w:rPr>
                <w:rFonts w:hint="eastAsia" w:eastAsia="仿宋_GB2312"/>
              </w:rPr>
              <w:t>：</w:t>
            </w:r>
            <w:r>
              <w:rPr>
                <w:rFonts w:eastAsia="仿宋_GB2312"/>
              </w:rPr>
              <w:t>为保证设备安装顺利进行，防止设备因作业场地限制而发生拥挤现场。设备进场安装应按照先后顺序进行。设备进场安装顺利为：钻机安装→钻机操作控制室安装→泥浆系统安装→泥浆泵安装→钻杆摆放就位→其他设备安装就位。</w:t>
            </w:r>
            <w:r>
              <w:rPr>
                <w:rFonts w:eastAsia="仿宋_GB2312"/>
                <w:bCs/>
              </w:rPr>
              <w:t>所有设备进入施工现场后，进行系统安装，按照空中不布线的安全原则：所有的电缆线埋地，所有的水管线避开行车路线。系统安装完毕检查一切正常后，进行系统试运转。同时，</w:t>
            </w:r>
            <w:r>
              <w:rPr>
                <w:rFonts w:eastAsia="仿宋_GB2312"/>
              </w:rPr>
              <w:t>在开钻施工前认真检查钻杆、扩孔器、卸扣、万向节等钻机具的质量，清洗丝扣，并确保内部无损伤，在扩孔、回拖前还要检查并确保扩孔器的水眼畅通，卸扣无变形、锁销完好，万向节丝扣润滑，对钻杆要进行严格的选择、测量和级配编号。</w:t>
            </w:r>
          </w:p>
          <w:p w14:paraId="341F94D9">
            <w:pPr>
              <w:adjustRightInd w:val="0"/>
              <w:snapToGrid w:val="0"/>
              <w:spacing w:line="360" w:lineRule="auto"/>
              <w:ind w:firstLine="422" w:firstLineChars="200"/>
              <w:jc w:val="left"/>
              <w:rPr>
                <w:rFonts w:eastAsia="仿宋_GB2312"/>
                <w:bCs/>
                <w:snapToGrid w:val="0"/>
                <w:kern w:val="0"/>
              </w:rPr>
            </w:pPr>
            <w:bookmarkStart w:id="31" w:name="_Toc20690"/>
            <w:r>
              <w:rPr>
                <w:rFonts w:hint="eastAsia" w:eastAsia="仿宋_GB2312"/>
                <w:b/>
                <w:bCs/>
                <w:lang w:val="en-US" w:eastAsia="zh-CN"/>
              </w:rPr>
              <w:t>4</w:t>
            </w:r>
            <w:r>
              <w:rPr>
                <w:rFonts w:hint="eastAsia" w:eastAsia="仿宋_GB2312"/>
                <w:b/>
                <w:bCs/>
                <w:lang w:eastAsia="zh-CN"/>
              </w:rPr>
              <w:t>）</w:t>
            </w:r>
            <w:r>
              <w:rPr>
                <w:rFonts w:eastAsia="仿宋_GB2312"/>
                <w:b/>
                <w:bCs/>
              </w:rPr>
              <w:t>泥浆配制</w:t>
            </w:r>
            <w:bookmarkEnd w:id="31"/>
            <w:r>
              <w:rPr>
                <w:rFonts w:hint="eastAsia" w:eastAsia="仿宋_GB2312"/>
              </w:rPr>
              <w:t>：</w:t>
            </w:r>
            <w:r>
              <w:rPr>
                <w:rFonts w:eastAsia="仿宋_GB2312"/>
                <w:bCs/>
              </w:rPr>
              <w:t>泥浆的作用主要是：护壁、冷却钻具、排渣、切削泥土、润滑减阻。不同地层使用不同的泥浆配比，通过调整泥浆的粘度、比重、失水量和稳定性，达到护</w:t>
            </w:r>
            <w:r>
              <w:rPr>
                <w:rFonts w:eastAsia="仿宋_GB2312"/>
                <w:bCs/>
                <w:snapToGrid w:val="0"/>
                <w:kern w:val="0"/>
              </w:rPr>
              <w:t>壁、防坍塌等效果。由于工程穿越地层比较复杂，所以对泥浆的性能要求很高。拟按三类土进行配制泥浆，泥浆的马氏粘度值控制在45～50s/qt，为使膨润土在水中保持良好的膨化效果，泥浆配制用水必须加入适量的酸碱中和剂，使其PH值保持在7～9的范围内。泥浆的使用量以孔口有泥浆流出为宜，其配比要根据实际情况进行调整，以满足钻孔的需要又不造成浪费为宜。泥浆的粘度要根据地质的实际情况和安装管线的直径而定，泥浆粘度采用马氏漏斗进行测量，每罐泥浆配制完成后都必须进行泥浆测量。粘度值可根据下表规定选取。本工程铺设φ710PE管管道主要泥质为粉土类，泥浆粘度暂定为35～40秒。</w:t>
            </w:r>
          </w:p>
          <w:p w14:paraId="6F1F9D87">
            <w:pPr>
              <w:adjustRightInd w:val="0"/>
              <w:snapToGrid w:val="0"/>
              <w:spacing w:line="360" w:lineRule="auto"/>
              <w:ind w:firstLine="446" w:firstLineChars="200"/>
              <w:jc w:val="left"/>
              <w:rPr>
                <w:rFonts w:hint="eastAsia" w:ascii="Times New Roman" w:hAnsi="Times New Roman" w:eastAsia="仿宋_GB2312" w:cs="Times New Roman"/>
                <w:b/>
                <w:bCs/>
                <w:spacing w:val="6"/>
              </w:rPr>
            </w:pPr>
            <w:r>
              <w:rPr>
                <w:rFonts w:hint="eastAsia" w:ascii="Times New Roman" w:hAnsi="Times New Roman" w:eastAsia="仿宋_GB2312" w:cs="Times New Roman"/>
                <w:b/>
                <w:bCs/>
                <w:spacing w:val="6"/>
                <w:lang w:val="en-US" w:eastAsia="zh-CN"/>
              </w:rPr>
              <w:t>5</w:t>
            </w:r>
            <w:r>
              <w:rPr>
                <w:rFonts w:hint="eastAsia" w:ascii="Times New Roman" w:hAnsi="Times New Roman" w:eastAsia="仿宋_GB2312" w:cs="Times New Roman"/>
                <w:b/>
                <w:bCs/>
                <w:spacing w:val="6"/>
              </w:rPr>
              <w:t>）工作坑</w:t>
            </w:r>
          </w:p>
          <w:p w14:paraId="2AEB3E54">
            <w:pPr>
              <w:adjustRightInd w:val="0"/>
              <w:snapToGrid w:val="0"/>
              <w:spacing w:line="360" w:lineRule="auto"/>
              <w:ind w:firstLine="444" w:firstLineChars="200"/>
              <w:jc w:val="left"/>
              <w:rPr>
                <w:rFonts w:hint="eastAsia" w:ascii="Times New Roman" w:hAnsi="Times New Roman" w:eastAsia="仿宋_GB2312" w:cs="Times New Roman"/>
                <w:spacing w:val="6"/>
              </w:rPr>
            </w:pPr>
            <w:r>
              <w:rPr>
                <w:rFonts w:hint="eastAsia" w:ascii="Times New Roman" w:hAnsi="Times New Roman" w:eastAsia="仿宋_GB2312" w:cs="Times New Roman"/>
                <w:spacing w:val="6"/>
              </w:rPr>
              <w:t>每段管道牵引需要挖掘</w:t>
            </w:r>
            <w:r>
              <w:rPr>
                <w:rFonts w:hint="eastAsia" w:ascii="Times New Roman" w:hAnsi="Times New Roman" w:eastAsia="仿宋_GB2312" w:cs="Times New Roman"/>
                <w:spacing w:val="6"/>
                <w:lang w:val="en-US" w:eastAsia="zh-CN"/>
              </w:rPr>
              <w:t>3</w:t>
            </w:r>
            <w:r>
              <w:rPr>
                <w:rFonts w:ascii="Times New Roman" w:hAnsi="Times New Roman" w:eastAsia="仿宋_GB2312" w:cs="Times New Roman"/>
                <w:spacing w:val="6"/>
              </w:rPr>
              <w:t>个工作坑，包括入口工作坑、出口工作坑。均采用机械挖掘，采用密扣钢板桩支护。</w:t>
            </w:r>
            <w:r>
              <w:rPr>
                <w:rFonts w:hint="eastAsia" w:ascii="Times New Roman" w:hAnsi="Times New Roman" w:eastAsia="仿宋_GB2312" w:cs="Times New Roman"/>
                <w:spacing w:val="6"/>
              </w:rPr>
              <w:t>入口工作坑是为了检测钻杆的钻进角度和旋转扭动等工作状态而设的工作坑。在钻机前面</w:t>
            </w:r>
            <w:r>
              <w:rPr>
                <w:rFonts w:ascii="Times New Roman" w:hAnsi="Times New Roman" w:eastAsia="仿宋_GB2312" w:cs="Times New Roman"/>
                <w:spacing w:val="6"/>
              </w:rPr>
              <w:t>6~10m处挖掘。尺寸为宽×长=1.5×6m，挖深由地面渐变到深4.5m。</w:t>
            </w:r>
          </w:p>
          <w:p w14:paraId="1DC2E0C7">
            <w:pPr>
              <w:adjustRightInd w:val="0"/>
              <w:snapToGrid w:val="0"/>
              <w:spacing w:line="360" w:lineRule="auto"/>
              <w:ind w:firstLine="444" w:firstLineChars="200"/>
              <w:jc w:val="left"/>
              <w:rPr>
                <w:rFonts w:hint="eastAsia" w:ascii="Times New Roman" w:hAnsi="Times New Roman" w:eastAsia="仿宋_GB2312" w:cs="Times New Roman"/>
                <w:spacing w:val="6"/>
              </w:rPr>
            </w:pPr>
            <w:r>
              <w:rPr>
                <w:rFonts w:hint="eastAsia" w:ascii="Times New Roman" w:hAnsi="Times New Roman" w:eastAsia="仿宋_GB2312" w:cs="Times New Roman"/>
                <w:spacing w:val="6"/>
              </w:rPr>
              <w:t>施工工序为</w:t>
            </w:r>
            <w:r>
              <w:rPr>
                <w:rFonts w:ascii="Times New Roman" w:hAnsi="Times New Roman" w:eastAsia="仿宋_GB2312" w:cs="Times New Roman"/>
                <w:spacing w:val="6"/>
              </w:rPr>
              <w:t>:破除路面→打钢板桩支护→挖土→清运余泥→工作坑围蔽。</w:t>
            </w:r>
            <w:r>
              <w:rPr>
                <w:rFonts w:hint="eastAsia" w:ascii="Times New Roman" w:hAnsi="Times New Roman" w:eastAsia="仿宋_GB2312" w:cs="Times New Roman"/>
                <w:spacing w:val="6"/>
              </w:rPr>
              <w:t>人工挖泥过程注意不要损坏人行道的地下管线。出口工作坑是回拖时提供排水管入洞工作坑，出口工作坑尺寸和施工方法与入口工作坑相同。</w:t>
            </w:r>
          </w:p>
          <w:p w14:paraId="5835F7FA">
            <w:pPr>
              <w:adjustRightInd w:val="0"/>
              <w:snapToGrid w:val="0"/>
              <w:spacing w:line="360" w:lineRule="auto"/>
              <w:ind w:firstLine="446" w:firstLineChars="200"/>
              <w:jc w:val="left"/>
              <w:rPr>
                <w:rFonts w:hint="eastAsia" w:ascii="Times New Roman" w:hAnsi="Times New Roman" w:eastAsia="仿宋_GB2312" w:cs="Times New Roman"/>
                <w:spacing w:val="6"/>
              </w:rPr>
            </w:pPr>
            <w:r>
              <w:rPr>
                <w:rFonts w:hint="eastAsia" w:ascii="Times New Roman" w:hAnsi="Times New Roman" w:eastAsia="仿宋_GB2312" w:cs="Times New Roman"/>
                <w:b/>
                <w:bCs/>
                <w:spacing w:val="6"/>
                <w:lang w:val="en-US" w:eastAsia="zh-CN"/>
              </w:rPr>
              <w:t>6</w:t>
            </w:r>
            <w:r>
              <w:rPr>
                <w:rFonts w:hint="eastAsia" w:ascii="Times New Roman" w:hAnsi="Times New Roman" w:eastAsia="仿宋_GB2312" w:cs="Times New Roman"/>
                <w:b/>
                <w:bCs/>
                <w:spacing w:val="6"/>
              </w:rPr>
              <w:t>）</w:t>
            </w:r>
            <w:r>
              <w:rPr>
                <w:rFonts w:ascii="Times New Roman" w:hAnsi="Times New Roman" w:eastAsia="仿宋_GB2312" w:cs="Times New Roman"/>
                <w:b/>
                <w:bCs/>
                <w:spacing w:val="6"/>
              </w:rPr>
              <w:t>导向孔：</w:t>
            </w:r>
            <w:r>
              <w:rPr>
                <w:rFonts w:ascii="Times New Roman" w:hAnsi="Times New Roman" w:eastAsia="仿宋_GB2312" w:cs="Times New Roman"/>
                <w:spacing w:val="6"/>
              </w:rPr>
              <w:t>导向孔是在水平方向按预定角度并沿预定截面钻进的孔，包括一段直斜线和一段大半径弧线。在钻导向孔的同时，选择并使用更大口径的钻杆（即冲洗管）来屏蔽导向钻杆。冲洗管可以起到类似导管的作用，还可以方便导向钻杆的抽回和更换钻头等工作。导向孔的方向控制由位于钻头后端的钻杆内的控制器（称为弯外壳）完成。钻进过程中钻杆是不做旋转的，需要变换方向时若将弯外壳向右定位，钻进路线即向右沿平滑曲线前进。钻孔曲线由放置在钻头后端钻杆内的电子测向仪进行测量并将测量结果传导到地面的接收仪，这些数据经过处理和计算</w:t>
            </w:r>
            <w:r>
              <w:rPr>
                <w:rFonts w:hint="eastAsia" w:ascii="Times New Roman" w:hAnsi="Times New Roman" w:eastAsia="仿宋_GB2312" w:cs="Times New Roman"/>
                <w:spacing w:val="6"/>
              </w:rPr>
              <w:t>后，以数字的形式显示在显示屏上，该电子装置主要用来监测钻杆与地球磁场的关系和倾角（钻头在地下的三维坐标），将测量到的数据与设计的数据进行对比，以便确定钻头的实际位置与设计位置的偏差，并将偏差值控制在允许的范围之内，如此循环直到钻头按照预定的导向孔曲线在预定位置出土。</w:t>
            </w:r>
          </w:p>
          <w:p w14:paraId="297708D0">
            <w:pPr>
              <w:adjustRightInd w:val="0"/>
              <w:snapToGrid w:val="0"/>
              <w:spacing w:line="360" w:lineRule="auto"/>
              <w:ind w:firstLine="446" w:firstLineChars="200"/>
              <w:jc w:val="left"/>
              <w:rPr>
                <w:rFonts w:hint="eastAsia" w:ascii="Times New Roman" w:hAnsi="Times New Roman" w:eastAsia="仿宋_GB2312" w:cs="Times New Roman"/>
                <w:spacing w:val="6"/>
              </w:rPr>
            </w:pPr>
            <w:r>
              <w:rPr>
                <w:rFonts w:hint="eastAsia" w:ascii="Times New Roman" w:hAnsi="Times New Roman" w:eastAsia="仿宋_GB2312" w:cs="Times New Roman"/>
                <w:b/>
                <w:bCs/>
                <w:spacing w:val="6"/>
                <w:lang w:val="en-US" w:eastAsia="zh-CN"/>
              </w:rPr>
              <w:t>7</w:t>
            </w:r>
            <w:r>
              <w:rPr>
                <w:rFonts w:hint="eastAsia" w:ascii="Times New Roman" w:hAnsi="Times New Roman" w:eastAsia="仿宋_GB2312" w:cs="Times New Roman"/>
                <w:b/>
                <w:bCs/>
                <w:spacing w:val="6"/>
              </w:rPr>
              <w:t>）</w:t>
            </w:r>
            <w:r>
              <w:rPr>
                <w:rFonts w:ascii="Times New Roman" w:hAnsi="Times New Roman" w:eastAsia="仿宋_GB2312" w:cs="Times New Roman"/>
                <w:b/>
                <w:bCs/>
                <w:spacing w:val="6"/>
              </w:rPr>
              <w:t>预扩孔：</w:t>
            </w:r>
            <w:r>
              <w:rPr>
                <w:rFonts w:ascii="Times New Roman" w:hAnsi="Times New Roman" w:eastAsia="仿宋_GB2312" w:cs="Times New Roman"/>
                <w:spacing w:val="6"/>
              </w:rPr>
              <w:t>导向孔完成后，要将该钻孔进行扩大到合适的直径以方便安装成品管道，此过程称为预扩孔，（依最终成孔尺寸决定扩孔次数）。通常，在钻机对岸将扩孔器连接到钻杆上，然后由钻机旋转回拖入导向孔，将导向孔扩大，同时要将大量的泥浆泵入钻孔，以保证钻孔的完整性和不塌方，并将切削下的岩屑带回到地面。</w:t>
            </w:r>
            <w:r>
              <w:rPr>
                <w:rFonts w:hint="eastAsia" w:ascii="Times New Roman" w:hAnsi="Times New Roman" w:eastAsia="仿宋_GB2312" w:cs="Times New Roman"/>
                <w:spacing w:val="6"/>
              </w:rPr>
              <w:t>将孔径扩大至管径的1</w:t>
            </w:r>
            <w:r>
              <w:rPr>
                <w:rFonts w:ascii="Times New Roman" w:hAnsi="Times New Roman" w:eastAsia="仿宋_GB2312" w:cs="Times New Roman"/>
                <w:spacing w:val="6"/>
              </w:rPr>
              <w:t>.5-2</w:t>
            </w:r>
            <w:r>
              <w:rPr>
                <w:rFonts w:hint="eastAsia" w:ascii="Times New Roman" w:hAnsi="Times New Roman" w:eastAsia="仿宋_GB2312" w:cs="Times New Roman"/>
                <w:spacing w:val="6"/>
              </w:rPr>
              <w:t>倍。</w:t>
            </w:r>
          </w:p>
          <w:p w14:paraId="5699E8FB">
            <w:pPr>
              <w:adjustRightInd w:val="0"/>
              <w:snapToGrid w:val="0"/>
              <w:spacing w:line="360" w:lineRule="auto"/>
              <w:ind w:firstLine="446" w:firstLineChars="200"/>
              <w:jc w:val="left"/>
              <w:rPr>
                <w:rFonts w:hint="eastAsia" w:ascii="Times New Roman" w:hAnsi="Times New Roman" w:eastAsia="仿宋_GB2312" w:cs="Times New Roman"/>
                <w:spacing w:val="6"/>
              </w:rPr>
            </w:pPr>
            <w:r>
              <w:rPr>
                <w:rFonts w:hint="eastAsia" w:ascii="Times New Roman" w:hAnsi="Times New Roman" w:eastAsia="仿宋_GB2312" w:cs="Times New Roman"/>
                <w:b/>
                <w:bCs/>
                <w:spacing w:val="6"/>
                <w:lang w:val="en-US" w:eastAsia="zh-CN"/>
              </w:rPr>
              <w:t>8</w:t>
            </w:r>
            <w:r>
              <w:rPr>
                <w:rFonts w:hint="eastAsia" w:ascii="Times New Roman" w:hAnsi="Times New Roman" w:eastAsia="仿宋_GB2312" w:cs="Times New Roman"/>
                <w:b/>
                <w:bCs/>
                <w:spacing w:val="6"/>
              </w:rPr>
              <w:t>）</w:t>
            </w:r>
            <w:r>
              <w:rPr>
                <w:rFonts w:ascii="Times New Roman" w:hAnsi="Times New Roman" w:eastAsia="仿宋_GB2312" w:cs="Times New Roman"/>
                <w:b/>
                <w:bCs/>
                <w:spacing w:val="6"/>
              </w:rPr>
              <w:t>回拖管道：</w:t>
            </w:r>
            <w:r>
              <w:rPr>
                <w:rFonts w:ascii="Times New Roman" w:hAnsi="Times New Roman" w:eastAsia="仿宋_GB2312" w:cs="Times New Roman"/>
                <w:spacing w:val="6"/>
              </w:rPr>
              <w:t>预扩孔完成以后，成品管道即可拖入钻孔。管道预制应在钻机对面的一侧完成。扩孔器一端接上钻杆另一端通过旋转接头接到成品管道上。旋转接头可以避免成品管道跟着扩孔器旋转，以保证将其顺利拖入钻孔。回拖由钻机完成，这一过程同样需要大量泥浆配合，回拖过程要连续进行直到扩孔器和成品管道自钻机一侧破土而出。</w:t>
            </w:r>
          </w:p>
          <w:p w14:paraId="698BC1B8">
            <w:pPr>
              <w:adjustRightInd w:val="0"/>
              <w:snapToGrid w:val="0"/>
              <w:spacing w:line="360" w:lineRule="auto"/>
              <w:ind w:firstLine="446" w:firstLineChars="200"/>
              <w:jc w:val="left"/>
              <w:rPr>
                <w:rFonts w:hint="eastAsia" w:ascii="Times New Roman" w:hAnsi="Times New Roman" w:eastAsia="仿宋_GB2312" w:cs="Times New Roman"/>
                <w:b/>
                <w:bCs/>
                <w:spacing w:val="6"/>
              </w:rPr>
            </w:pPr>
            <w:r>
              <w:rPr>
                <w:rFonts w:hint="eastAsia" w:ascii="Times New Roman" w:hAnsi="Times New Roman" w:eastAsia="仿宋_GB2312" w:cs="Times New Roman"/>
                <w:b/>
                <w:bCs/>
                <w:spacing w:val="6"/>
                <w:lang w:val="en-US" w:eastAsia="zh-CN"/>
              </w:rPr>
              <w:t>9</w:t>
            </w:r>
            <w:r>
              <w:rPr>
                <w:rFonts w:hint="eastAsia" w:ascii="Times New Roman" w:hAnsi="Times New Roman" w:eastAsia="仿宋_GB2312" w:cs="Times New Roman"/>
                <w:b/>
                <w:bCs/>
                <w:spacing w:val="6"/>
              </w:rPr>
              <w:t>）管道连接及敷设</w:t>
            </w:r>
          </w:p>
          <w:p w14:paraId="31939632">
            <w:pPr>
              <w:adjustRightInd w:val="0"/>
              <w:snapToGrid w:val="0"/>
              <w:spacing w:line="360" w:lineRule="auto"/>
              <w:ind w:firstLine="444" w:firstLineChars="200"/>
              <w:jc w:val="left"/>
              <w:rPr>
                <w:rFonts w:hint="default" w:ascii="Times New Roman" w:hAnsi="Times New Roman" w:eastAsia="仿宋_GB2312" w:cs="Times New Roman"/>
                <w:spacing w:val="6"/>
              </w:rPr>
            </w:pPr>
            <w:r>
              <w:rPr>
                <w:rFonts w:hint="default" w:ascii="Times New Roman" w:hAnsi="Times New Roman" w:eastAsia="仿宋_GB2312" w:cs="Times New Roman"/>
                <w:spacing w:val="6"/>
                <w:lang w:val="en-US" w:eastAsia="zh-CN"/>
              </w:rPr>
              <w:t>①</w:t>
            </w:r>
            <w:r>
              <w:rPr>
                <w:rFonts w:hint="default" w:ascii="Times New Roman" w:hAnsi="Times New Roman" w:eastAsia="仿宋_GB2312" w:cs="Times New Roman"/>
                <w:spacing w:val="6"/>
              </w:rPr>
              <w:t>管道焊接必须牢固，强度不低于母材强度。</w:t>
            </w:r>
          </w:p>
          <w:p w14:paraId="05F5DAA7">
            <w:pPr>
              <w:adjustRightInd w:val="0"/>
              <w:snapToGrid w:val="0"/>
              <w:spacing w:line="360" w:lineRule="auto"/>
              <w:ind w:firstLine="444" w:firstLineChars="200"/>
              <w:jc w:val="left"/>
              <w:rPr>
                <w:rFonts w:hint="default" w:ascii="Times New Roman" w:hAnsi="Times New Roman" w:eastAsia="仿宋_GB2312" w:cs="Times New Roman"/>
                <w:spacing w:val="6"/>
              </w:rPr>
            </w:pPr>
            <w:r>
              <w:rPr>
                <w:rFonts w:hint="default" w:ascii="Times New Roman" w:hAnsi="Times New Roman" w:eastAsia="仿宋_GB2312" w:cs="Times New Roman"/>
                <w:spacing w:val="6"/>
                <w:lang w:val="en-US" w:eastAsia="zh-CN"/>
              </w:rPr>
              <w:t>②</w:t>
            </w:r>
            <w:r>
              <w:rPr>
                <w:rFonts w:hint="default" w:ascii="Times New Roman" w:hAnsi="Times New Roman" w:eastAsia="仿宋_GB2312" w:cs="Times New Roman"/>
                <w:spacing w:val="6"/>
              </w:rPr>
              <w:t>敷设时应避免表面划伤或损坏。回拖过程中，安排专人巡线，防止管道从轮加上掉下来。如果管道从轮架上滑落，立即将钻机停止，将管道吊上轮架。</w:t>
            </w:r>
          </w:p>
          <w:p w14:paraId="43D1EE04">
            <w:pPr>
              <w:adjustRightInd w:val="0"/>
              <w:snapToGrid w:val="0"/>
              <w:spacing w:line="360" w:lineRule="auto"/>
              <w:ind w:firstLine="444" w:firstLineChars="200"/>
              <w:jc w:val="left"/>
              <w:rPr>
                <w:rFonts w:hint="default" w:ascii="Times New Roman" w:hAnsi="Times New Roman" w:eastAsia="仿宋_GB2312" w:cs="Times New Roman"/>
                <w:spacing w:val="6"/>
              </w:rPr>
            </w:pPr>
            <w:r>
              <w:rPr>
                <w:rFonts w:hint="default" w:ascii="Times New Roman" w:hAnsi="Times New Roman" w:eastAsia="仿宋_GB2312" w:cs="Times New Roman"/>
                <w:spacing w:val="6"/>
                <w:lang w:val="en-US" w:eastAsia="zh-CN"/>
              </w:rPr>
              <w:t>③</w:t>
            </w:r>
            <w:r>
              <w:rPr>
                <w:rFonts w:hint="default" w:ascii="Times New Roman" w:hAnsi="Times New Roman" w:eastAsia="仿宋_GB2312" w:cs="Times New Roman"/>
                <w:spacing w:val="6"/>
              </w:rPr>
              <w:t>回拖力应控制在理论计算值内。</w:t>
            </w:r>
          </w:p>
          <w:p w14:paraId="67A4F5E1">
            <w:pPr>
              <w:adjustRightInd w:val="0"/>
              <w:snapToGrid w:val="0"/>
              <w:spacing w:line="360" w:lineRule="auto"/>
              <w:ind w:firstLine="444" w:firstLineChars="200"/>
              <w:jc w:val="left"/>
              <w:rPr>
                <w:rFonts w:hint="default" w:ascii="Times New Roman" w:hAnsi="Times New Roman" w:eastAsia="仿宋_GB2312" w:cs="Times New Roman"/>
                <w:spacing w:val="6"/>
              </w:rPr>
            </w:pPr>
            <w:r>
              <w:rPr>
                <w:rFonts w:hint="default" w:ascii="Times New Roman" w:hAnsi="Times New Roman" w:eastAsia="仿宋_GB2312" w:cs="Times New Roman"/>
                <w:spacing w:val="6"/>
                <w:lang w:val="en-US" w:eastAsia="zh-CN"/>
              </w:rPr>
              <w:t>④</w:t>
            </w:r>
            <w:r>
              <w:rPr>
                <w:rFonts w:hint="default" w:ascii="Times New Roman" w:hAnsi="Times New Roman" w:eastAsia="仿宋_GB2312" w:cs="Times New Roman"/>
                <w:spacing w:val="6"/>
              </w:rPr>
              <w:t>敷设完毕后，两端及时封堵，防止杂物进入。</w:t>
            </w:r>
          </w:p>
          <w:p w14:paraId="1694BC03">
            <w:pPr>
              <w:adjustRightInd w:val="0"/>
              <w:snapToGrid w:val="0"/>
              <w:spacing w:line="360" w:lineRule="auto"/>
              <w:ind w:firstLine="444" w:firstLineChars="200"/>
              <w:jc w:val="left"/>
              <w:rPr>
                <w:rFonts w:hint="default" w:ascii="Times New Roman" w:hAnsi="Times New Roman" w:eastAsia="仿宋_GB2312" w:cs="Times New Roman"/>
                <w:spacing w:val="6"/>
              </w:rPr>
            </w:pPr>
            <w:r>
              <w:rPr>
                <w:rFonts w:hint="default" w:ascii="Times New Roman" w:hAnsi="Times New Roman" w:eastAsia="仿宋_GB2312" w:cs="Times New Roman"/>
                <w:spacing w:val="6"/>
                <w:lang w:val="en-US" w:eastAsia="zh-CN"/>
              </w:rPr>
              <w:t>⑤</w:t>
            </w:r>
            <w:r>
              <w:rPr>
                <w:rFonts w:hint="default" w:ascii="Times New Roman" w:hAnsi="Times New Roman" w:eastAsia="仿宋_GB2312" w:cs="Times New Roman"/>
                <w:spacing w:val="6"/>
              </w:rPr>
              <w:t>拖管完成后，应及时清理现场，做好环保工作，树立良好的公司形象。</w:t>
            </w:r>
          </w:p>
          <w:bookmarkEnd w:id="24"/>
          <w:bookmarkEnd w:id="25"/>
          <w:bookmarkEnd w:id="26"/>
          <w:p w14:paraId="0031F7B9">
            <w:pPr>
              <w:adjustRightInd w:val="0"/>
              <w:snapToGrid w:val="0"/>
              <w:spacing w:line="360" w:lineRule="auto"/>
              <w:ind w:firstLine="422" w:firstLineChars="200"/>
              <w:jc w:val="left"/>
              <w:rPr>
                <w:rFonts w:eastAsia="仿宋_GB2312"/>
                <w:bCs/>
                <w:snapToGrid w:val="0"/>
                <w:kern w:val="0"/>
              </w:rPr>
            </w:pPr>
            <w:bookmarkStart w:id="32" w:name="_Toc16110"/>
            <w:r>
              <w:rPr>
                <w:rFonts w:hint="eastAsia" w:eastAsia="仿宋_GB2312"/>
                <w:b/>
                <w:bCs/>
                <w:snapToGrid w:val="0"/>
                <w:kern w:val="0"/>
                <w:lang w:val="en-US" w:eastAsia="zh-CN"/>
              </w:rPr>
              <w:t>10</w:t>
            </w:r>
            <w:r>
              <w:rPr>
                <w:rFonts w:hint="eastAsia" w:eastAsia="仿宋_GB2312"/>
                <w:b/>
                <w:bCs/>
                <w:snapToGrid w:val="0"/>
                <w:kern w:val="0"/>
                <w:lang w:eastAsia="zh-CN"/>
              </w:rPr>
              <w:t>）</w:t>
            </w:r>
            <w:r>
              <w:rPr>
                <w:rFonts w:eastAsia="仿宋_GB2312"/>
                <w:b/>
                <w:bCs/>
                <w:snapToGrid w:val="0"/>
                <w:kern w:val="0"/>
              </w:rPr>
              <w:t>设备撤场</w:t>
            </w:r>
            <w:bookmarkEnd w:id="32"/>
            <w:r>
              <w:rPr>
                <w:rFonts w:hint="eastAsia" w:eastAsia="仿宋_GB2312"/>
                <w:snapToGrid w:val="0"/>
                <w:kern w:val="0"/>
              </w:rPr>
              <w:t>：</w:t>
            </w:r>
            <w:r>
              <w:rPr>
                <w:rFonts w:eastAsia="仿宋_GB2312"/>
                <w:bCs/>
                <w:snapToGrid w:val="0"/>
                <w:kern w:val="0"/>
              </w:rPr>
              <w:t>所有作业完成后，系统拆除连接，设备撤场。按照钻机、泥浆系统、动力系统、机具钢板排等顺序依此撤离施工现场。</w:t>
            </w:r>
          </w:p>
          <w:p w14:paraId="26A8109D">
            <w:pPr>
              <w:adjustRightInd w:val="0"/>
              <w:snapToGrid w:val="0"/>
              <w:spacing w:line="360" w:lineRule="auto"/>
              <w:ind w:firstLine="420" w:firstLineChars="200"/>
              <w:jc w:val="left"/>
              <w:rPr>
                <w:rFonts w:ascii="Times New Roman" w:hAnsi="Times New Roman" w:eastAsia="仿宋_GB2312" w:cs="Times New Roman"/>
                <w:snapToGrid w:val="0"/>
                <w:kern w:val="0"/>
              </w:rPr>
            </w:pPr>
            <w:bookmarkStart w:id="33" w:name="_Toc23672"/>
            <w:r>
              <w:rPr>
                <w:rFonts w:ascii="Times New Roman" w:hAnsi="Times New Roman" w:eastAsia="仿宋_GB2312" w:cs="Times New Roman"/>
                <w:snapToGrid w:val="0"/>
                <w:kern w:val="0"/>
              </w:rPr>
              <w:t>泥浆处理、地貌恢复</w:t>
            </w:r>
            <w:bookmarkEnd w:id="33"/>
            <w:r>
              <w:rPr>
                <w:rFonts w:hint="eastAsia" w:ascii="Times New Roman" w:hAnsi="Times New Roman" w:eastAsia="仿宋_GB2312" w:cs="Times New Roman"/>
                <w:snapToGrid w:val="0"/>
                <w:kern w:val="0"/>
              </w:rPr>
              <w:t>：</w:t>
            </w:r>
            <w:r>
              <w:rPr>
                <w:rFonts w:ascii="Times New Roman" w:hAnsi="Times New Roman" w:eastAsia="仿宋_GB2312" w:cs="Times New Roman"/>
                <w:snapToGrid w:val="0"/>
                <w:kern w:val="0"/>
              </w:rPr>
              <w:t>定向钻穿越施工前，用单斗将穿越工地的表层耕植土剥离，堆放在工地边沿。然后用土工布将可能跑、冒、流淌泥浆的地方覆盖铺垫。并开挖导流沟，将可能跑、冒、流淌的泥浆引向泥浆回收池，泥浆部分循环利用。残余的极少量泥土混合物就地深埋，深度不少于3m。施工完毕待设备全部撤离后，将泥浆池中的剩余泥浆用专用的泥浆罐车拉运到当地环境保护部门指定的泥浆填埋场。废弃泥浆总量600m</w:t>
            </w:r>
            <w:r>
              <w:rPr>
                <w:rFonts w:hint="eastAsia" w:ascii="Times New Roman" w:hAnsi="Times New Roman" w:eastAsia="仿宋_GB2312" w:cs="Times New Roman"/>
                <w:snapToGrid w:val="0"/>
                <w:kern w:val="0"/>
                <w:vertAlign w:val="superscript"/>
              </w:rPr>
              <w:t>3</w:t>
            </w:r>
            <w:r>
              <w:rPr>
                <w:rFonts w:ascii="Times New Roman" w:hAnsi="Times New Roman" w:eastAsia="仿宋_GB2312" w:cs="Times New Roman"/>
                <w:snapToGrid w:val="0"/>
                <w:kern w:val="0"/>
              </w:rPr>
              <w:t>，穿越完成后及时安装两端返平的弯管、地貌恢复和三桩埋设。</w:t>
            </w:r>
            <w:bookmarkStart w:id="34" w:name="_Hlt68946879"/>
            <w:bookmarkEnd w:id="34"/>
          </w:p>
          <w:p w14:paraId="1BD136C7">
            <w:pPr>
              <w:adjustRightInd w:val="0"/>
              <w:snapToGrid w:val="0"/>
              <w:spacing w:line="360" w:lineRule="auto"/>
              <w:ind w:firstLine="420" w:firstLineChars="200"/>
              <w:jc w:val="left"/>
              <w:rPr>
                <w:rFonts w:hint="eastAsia" w:ascii="Times New Roman" w:hAnsi="Times New Roman" w:eastAsia="仿宋_GB2312" w:cs="Times New Roman"/>
                <w:snapToGrid w:val="0"/>
                <w:kern w:val="0"/>
              </w:rPr>
            </w:pPr>
            <w:r>
              <w:rPr>
                <w:rFonts w:hint="eastAsia" w:ascii="Times New Roman" w:hAnsi="Times New Roman" w:eastAsia="仿宋_GB2312" w:cs="Times New Roman"/>
                <w:snapToGrid w:val="0"/>
                <w:kern w:val="0"/>
              </w:rPr>
              <w:t>项目输水管线尽量沿现状水泥路敷设，局部需要破除已有的水泥路面，管道采用钢筋混凝土包封保护，路面恢复</w:t>
            </w:r>
            <w:r>
              <w:rPr>
                <w:rFonts w:hint="eastAsia" w:ascii="Times New Roman" w:hAnsi="Times New Roman" w:eastAsia="仿宋_GB2312" w:cs="Times New Roman"/>
                <w:snapToGrid w:val="0"/>
                <w:kern w:val="0"/>
                <w:lang w:val="en-US" w:eastAsia="zh-CN"/>
              </w:rPr>
              <w:t>需</w:t>
            </w:r>
            <w:r>
              <w:rPr>
                <w:rFonts w:hint="eastAsia" w:ascii="Times New Roman" w:hAnsi="Times New Roman" w:eastAsia="仿宋_GB2312" w:cs="Times New Roman"/>
                <w:snapToGrid w:val="0"/>
                <w:kern w:val="0"/>
              </w:rPr>
              <w:t>按道路部门要求恢复。</w:t>
            </w:r>
          </w:p>
          <w:p w14:paraId="37DACAAE">
            <w:pPr>
              <w:adjustRightInd w:val="0"/>
              <w:snapToGrid w:val="0"/>
              <w:spacing w:line="360" w:lineRule="auto"/>
              <w:ind w:firstLine="420" w:firstLineChars="200"/>
              <w:jc w:val="left"/>
              <w:rPr>
                <w:rFonts w:hint="eastAsia" w:ascii="Times New Roman" w:hAnsi="Times New Roman" w:eastAsia="仿宋_GB2312" w:cs="Times New Roman"/>
                <w:snapToGrid w:val="0"/>
                <w:kern w:val="0"/>
                <w:lang w:eastAsia="zh-CN"/>
              </w:rPr>
            </w:pPr>
            <w:r>
              <w:rPr>
                <w:rFonts w:hint="eastAsia" w:ascii="Times New Roman" w:hAnsi="Times New Roman" w:eastAsia="仿宋_GB2312" w:cs="Times New Roman"/>
                <w:snapToGrid w:val="0"/>
                <w:kern w:val="0"/>
              </w:rPr>
              <w:t>本项目输水工程只负责输送到</w:t>
            </w:r>
            <w:r>
              <w:rPr>
                <w:rFonts w:hint="eastAsia" w:ascii="Times New Roman" w:hAnsi="Times New Roman" w:eastAsia="仿宋_GB2312" w:cs="Times New Roman"/>
                <w:snapToGrid w:val="0"/>
                <w:kern w:val="0"/>
                <w:lang w:val="en-US" w:eastAsia="zh-CN"/>
              </w:rPr>
              <w:t>卤水采矿</w:t>
            </w:r>
            <w:r>
              <w:rPr>
                <w:rFonts w:hint="eastAsia" w:ascii="Times New Roman" w:hAnsi="Times New Roman" w:eastAsia="仿宋_GB2312" w:cs="Times New Roman"/>
                <w:snapToGrid w:val="0"/>
                <w:kern w:val="0"/>
              </w:rPr>
              <w:t>，输水水管道涉及穿越公路，采用顶管穿越；</w:t>
            </w:r>
            <w:r>
              <w:rPr>
                <w:rFonts w:hint="eastAsia" w:ascii="Times New Roman" w:hAnsi="Times New Roman" w:eastAsia="仿宋_GB2312" w:cs="Times New Roman"/>
                <w:snapToGrid w:val="0"/>
                <w:kern w:val="0"/>
                <w:lang w:val="en-US" w:eastAsia="zh-CN"/>
              </w:rPr>
              <w:t>不</w:t>
            </w:r>
            <w:r>
              <w:rPr>
                <w:rFonts w:hint="eastAsia" w:ascii="Times New Roman" w:hAnsi="Times New Roman" w:eastAsia="仿宋_GB2312" w:cs="Times New Roman"/>
                <w:snapToGrid w:val="0"/>
                <w:kern w:val="0"/>
              </w:rPr>
              <w:t>涉及穿越河流</w:t>
            </w:r>
            <w:r>
              <w:rPr>
                <w:rFonts w:hint="eastAsia" w:ascii="Times New Roman" w:hAnsi="Times New Roman" w:eastAsia="仿宋_GB2312" w:cs="Times New Roman"/>
                <w:snapToGrid w:val="0"/>
                <w:kern w:val="0"/>
                <w:lang w:eastAsia="zh-CN"/>
              </w:rPr>
              <w:t>。</w:t>
            </w:r>
            <w:r>
              <w:rPr>
                <w:rFonts w:hint="eastAsia" w:ascii="Times New Roman" w:hAnsi="Times New Roman" w:eastAsia="仿宋_GB2312" w:cs="Times New Roman"/>
                <w:snapToGrid w:val="0"/>
                <w:kern w:val="0"/>
              </w:rPr>
              <w:t>项目管线施工</w:t>
            </w:r>
            <w:r>
              <w:rPr>
                <w:rFonts w:hint="eastAsia" w:ascii="Times New Roman" w:hAnsi="Times New Roman" w:eastAsia="仿宋_GB2312" w:cs="Times New Roman"/>
                <w:snapToGrid w:val="0"/>
                <w:kern w:val="0"/>
                <w:lang w:val="en-US" w:eastAsia="zh-CN"/>
              </w:rPr>
              <w:t>结束后</w:t>
            </w:r>
            <w:r>
              <w:rPr>
                <w:rFonts w:hint="eastAsia" w:ascii="Times New Roman" w:hAnsi="Times New Roman" w:eastAsia="仿宋_GB2312" w:cs="Times New Roman"/>
                <w:snapToGrid w:val="0"/>
                <w:kern w:val="0"/>
              </w:rPr>
              <w:t>，</w:t>
            </w:r>
            <w:r>
              <w:rPr>
                <w:rFonts w:hint="eastAsia" w:ascii="Times New Roman" w:hAnsi="Times New Roman" w:eastAsia="仿宋_GB2312" w:cs="Times New Roman"/>
                <w:snapToGrid w:val="0"/>
                <w:kern w:val="0"/>
                <w:lang w:val="en-US" w:eastAsia="zh-CN"/>
              </w:rPr>
              <w:t>需</w:t>
            </w:r>
            <w:r>
              <w:rPr>
                <w:rFonts w:hint="eastAsia" w:ascii="Times New Roman" w:hAnsi="Times New Roman" w:eastAsia="仿宋_GB2312" w:cs="Times New Roman"/>
                <w:snapToGrid w:val="0"/>
                <w:kern w:val="0"/>
              </w:rPr>
              <w:t>恢复</w:t>
            </w:r>
            <w:r>
              <w:rPr>
                <w:rFonts w:hint="eastAsia" w:ascii="Times New Roman" w:hAnsi="Times New Roman" w:eastAsia="仿宋_GB2312" w:cs="Times New Roman"/>
                <w:snapToGrid w:val="0"/>
                <w:kern w:val="0"/>
                <w:lang w:val="en-US" w:eastAsia="zh-CN"/>
              </w:rPr>
              <w:t>施道路施工路面</w:t>
            </w:r>
            <w:r>
              <w:rPr>
                <w:rFonts w:hint="eastAsia" w:ascii="Times New Roman" w:hAnsi="Times New Roman" w:eastAsia="仿宋_GB2312" w:cs="Times New Roman"/>
                <w:snapToGrid w:val="0"/>
                <w:kern w:val="0"/>
              </w:rPr>
              <w:t>。</w:t>
            </w:r>
          </w:p>
          <w:p w14:paraId="40905ADD">
            <w:pPr>
              <w:adjustRightInd w:val="0"/>
              <w:snapToGrid w:val="0"/>
              <w:spacing w:line="360" w:lineRule="auto"/>
              <w:ind w:firstLine="422" w:firstLineChars="200"/>
              <w:jc w:val="left"/>
              <w:rPr>
                <w:rFonts w:hint="eastAsia" w:ascii="Times New Roman" w:hAnsi="Times New Roman" w:eastAsia="仿宋_GB2312" w:cs="Times New Roman"/>
                <w:b/>
                <w:bCs/>
                <w:lang w:eastAsia="zh-CN"/>
              </w:rPr>
            </w:pPr>
            <w:r>
              <w:rPr>
                <w:rFonts w:hint="eastAsia" w:ascii="Times New Roman" w:hAnsi="Times New Roman" w:eastAsia="仿宋_GB2312" w:cs="Times New Roman"/>
                <w:b/>
                <w:bCs/>
                <w:lang w:eastAsia="zh-CN"/>
              </w:rPr>
              <w:t>（</w:t>
            </w:r>
            <w:r>
              <w:rPr>
                <w:rFonts w:hint="eastAsia" w:ascii="Times New Roman" w:hAnsi="Times New Roman" w:eastAsia="仿宋_GB2312" w:cs="Times New Roman"/>
                <w:b/>
                <w:bCs/>
                <w:lang w:val="en-US" w:eastAsia="zh-CN"/>
              </w:rPr>
              <w:t>2</w:t>
            </w:r>
            <w:r>
              <w:rPr>
                <w:rFonts w:hint="eastAsia" w:ascii="Times New Roman" w:hAnsi="Times New Roman" w:eastAsia="仿宋_GB2312" w:cs="Times New Roman"/>
                <w:b/>
                <w:bCs/>
                <w:lang w:eastAsia="zh-CN"/>
              </w:rPr>
              <w:t>）施工临时工程</w:t>
            </w:r>
          </w:p>
          <w:p w14:paraId="7BF1A9B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Times New Roman" w:hAnsi="Times New Roman" w:eastAsia="仿宋_GB2312" w:cs="Times New Roman"/>
                <w:snapToGrid w:val="0"/>
                <w:kern w:val="0"/>
                <w:lang w:val="en-US" w:eastAsia="zh-CN"/>
              </w:rPr>
            </w:pPr>
            <w:r>
              <w:rPr>
                <w:rFonts w:hint="eastAsia" w:ascii="Times New Roman" w:hAnsi="Times New Roman" w:eastAsia="仿宋_GB2312" w:cs="Times New Roman"/>
                <w:snapToGrid w:val="0"/>
                <w:kern w:val="0"/>
                <w:lang w:val="en-US" w:eastAsia="zh-CN"/>
              </w:rPr>
              <w:t>施工临时工程主要包括施工营地、施工工场、施工便道等。</w:t>
            </w:r>
          </w:p>
          <w:p w14:paraId="344F3BF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Times New Roman" w:hAnsi="Times New Roman" w:eastAsia="仿宋_GB2312" w:cs="Times New Roman"/>
                <w:snapToGrid w:val="0"/>
                <w:kern w:val="0"/>
                <w:lang w:val="en-US" w:eastAsia="zh-CN"/>
              </w:rPr>
            </w:pPr>
            <w:r>
              <w:rPr>
                <w:rFonts w:hint="eastAsia" w:ascii="Times New Roman" w:hAnsi="Times New Roman" w:eastAsia="仿宋_GB2312" w:cs="Times New Roman"/>
                <w:snapToGrid w:val="0"/>
                <w:kern w:val="0"/>
                <w:lang w:val="en-US" w:eastAsia="zh-CN"/>
              </w:rPr>
              <w:t>据调查和咨询建设单位，本项目施工人员以当地民工为主，项目沿线周边分布居民居住区，施工生活设施全部租用当地民房，以减少占地和对当地生态环境的破坏，因此，本项目在施工期没有设施工营地。</w:t>
            </w:r>
          </w:p>
          <w:p w14:paraId="2D90828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Times New Roman" w:hAnsi="Times New Roman" w:eastAsia="仿宋_GB2312" w:cs="Times New Roman"/>
                <w:snapToGrid w:val="0"/>
                <w:kern w:val="0"/>
                <w:sz w:val="21"/>
                <w:szCs w:val="24"/>
                <w:lang w:val="en-US" w:eastAsia="zh-CN"/>
              </w:rPr>
            </w:pPr>
            <w:r>
              <w:rPr>
                <w:rFonts w:hint="eastAsia" w:ascii="Times New Roman" w:hAnsi="Times New Roman" w:eastAsia="仿宋_GB2312" w:cs="Times New Roman"/>
                <w:snapToGrid w:val="0"/>
                <w:kern w:val="0"/>
                <w:sz w:val="21"/>
                <w:szCs w:val="24"/>
                <w:lang w:val="en-US" w:eastAsia="zh-CN"/>
              </w:rPr>
              <w:t>本项目施工临时占地沿管线布设，</w:t>
            </w:r>
            <w:r>
              <w:rPr>
                <w:rFonts w:hint="eastAsia" w:eastAsia="仿宋_GB2312" w:cs="Times New Roman"/>
                <w:snapToGrid w:val="0"/>
                <w:kern w:val="0"/>
                <w:sz w:val="21"/>
                <w:szCs w:val="24"/>
                <w:lang w:val="en-US" w:eastAsia="zh-CN"/>
              </w:rPr>
              <w:t>裸土部分埋深1m，道路部分埋深6m。</w:t>
            </w:r>
            <w:r>
              <w:rPr>
                <w:rFonts w:hint="eastAsia" w:ascii="Times New Roman" w:hAnsi="Times New Roman" w:eastAsia="仿宋_GB2312" w:cs="Times New Roman"/>
                <w:snapToGrid w:val="0"/>
                <w:kern w:val="0"/>
                <w:sz w:val="21"/>
                <w:szCs w:val="24"/>
                <w:lang w:val="en-US" w:eastAsia="zh-CN"/>
              </w:rPr>
              <w:t>管线施工临时占地 1.6hm</w:t>
            </w:r>
            <w:r>
              <w:rPr>
                <w:rFonts w:hint="eastAsia" w:ascii="Times New Roman" w:hAnsi="Times New Roman" w:eastAsia="仿宋_GB2312" w:cs="Times New Roman"/>
                <w:snapToGrid w:val="0"/>
                <w:kern w:val="0"/>
                <w:sz w:val="21"/>
                <w:szCs w:val="24"/>
                <w:vertAlign w:val="superscript"/>
                <w:lang w:val="en-US" w:eastAsia="zh-CN"/>
              </w:rPr>
              <w:t>2</w:t>
            </w:r>
            <w:r>
              <w:rPr>
                <w:rFonts w:hint="eastAsia" w:ascii="Times New Roman" w:hAnsi="Times New Roman" w:eastAsia="仿宋_GB2312" w:cs="Times New Roman"/>
                <w:snapToGrid w:val="0"/>
                <w:kern w:val="0"/>
                <w:sz w:val="21"/>
                <w:szCs w:val="24"/>
                <w:lang w:val="en-US" w:eastAsia="zh-CN"/>
              </w:rPr>
              <w:t>，主要含施工机械临时停放点、水电系统、材料堆放场等。本项目管线工程尽量沿路敷设，施工过程利用已有的道路，没有新建施工便道。</w:t>
            </w:r>
          </w:p>
          <w:p w14:paraId="136D718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Times New Roman" w:hAnsi="Times New Roman" w:eastAsia="仿宋_GB2312" w:cs="Times New Roman"/>
                <w:snapToGrid w:val="0"/>
                <w:kern w:val="0"/>
                <w:lang w:val="en-US" w:eastAsia="zh-CN"/>
              </w:rPr>
            </w:pPr>
            <w:r>
              <w:rPr>
                <w:rFonts w:hint="eastAsia" w:ascii="Times New Roman" w:hAnsi="Times New Roman" w:eastAsia="仿宋_GB2312" w:cs="Times New Roman"/>
                <w:snapToGrid w:val="0"/>
                <w:kern w:val="0"/>
                <w:sz w:val="21"/>
                <w:szCs w:val="24"/>
                <w:lang w:val="en-US" w:eastAsia="zh-CN"/>
              </w:rPr>
              <w:t>由于本项目施工土石方开</w:t>
            </w:r>
            <w:r>
              <w:rPr>
                <w:rFonts w:hint="eastAsia" w:ascii="Times New Roman" w:hAnsi="Times New Roman" w:eastAsia="仿宋_GB2312" w:cs="Times New Roman"/>
                <w:snapToGrid w:val="0"/>
                <w:color w:val="auto"/>
                <w:kern w:val="0"/>
                <w:sz w:val="21"/>
                <w:szCs w:val="24"/>
                <w:lang w:val="en-US" w:eastAsia="zh-CN"/>
              </w:rPr>
              <w:t>挖总量约</w:t>
            </w:r>
            <w:r>
              <w:rPr>
                <w:rFonts w:hint="eastAsia" w:eastAsia="仿宋_GB2312" w:cs="Times New Roman"/>
                <w:snapToGrid w:val="0"/>
                <w:color w:val="auto"/>
                <w:kern w:val="0"/>
                <w:sz w:val="21"/>
                <w:szCs w:val="24"/>
                <w:lang w:val="en-US" w:eastAsia="zh-CN"/>
              </w:rPr>
              <w:t>1.2</w:t>
            </w:r>
            <w:r>
              <w:rPr>
                <w:rFonts w:hint="eastAsia" w:ascii="Times New Roman" w:hAnsi="Times New Roman" w:eastAsia="仿宋_GB2312" w:cs="Times New Roman"/>
                <w:snapToGrid w:val="0"/>
                <w:color w:val="auto"/>
                <w:kern w:val="0"/>
                <w:sz w:val="21"/>
                <w:szCs w:val="24"/>
                <w:lang w:val="en-US" w:eastAsia="zh-CN"/>
              </w:rPr>
              <w:t>万m</w:t>
            </w:r>
            <w:r>
              <w:rPr>
                <w:rFonts w:hint="eastAsia" w:ascii="Times New Roman" w:hAnsi="Times New Roman" w:eastAsia="仿宋_GB2312" w:cs="Times New Roman"/>
                <w:snapToGrid w:val="0"/>
                <w:color w:val="auto"/>
                <w:kern w:val="0"/>
                <w:sz w:val="21"/>
                <w:szCs w:val="24"/>
                <w:vertAlign w:val="superscript"/>
                <w:lang w:val="en-US" w:eastAsia="zh-CN"/>
              </w:rPr>
              <w:t>3</w:t>
            </w:r>
            <w:r>
              <w:rPr>
                <w:rFonts w:hint="eastAsia" w:ascii="Times New Roman" w:hAnsi="Times New Roman" w:eastAsia="仿宋_GB2312" w:cs="Times New Roman"/>
                <w:snapToGrid w:val="0"/>
                <w:color w:val="auto"/>
                <w:kern w:val="0"/>
                <w:sz w:val="21"/>
                <w:szCs w:val="24"/>
                <w:lang w:val="en-US" w:eastAsia="zh-CN"/>
              </w:rPr>
              <w:t>，</w:t>
            </w:r>
            <w:r>
              <w:rPr>
                <w:rFonts w:hint="eastAsia" w:eastAsia="仿宋_GB2312" w:cs="Times New Roman"/>
                <w:snapToGrid w:val="0"/>
                <w:color w:val="auto"/>
                <w:kern w:val="0"/>
                <w:sz w:val="21"/>
                <w:szCs w:val="24"/>
                <w:lang w:val="en-US" w:eastAsia="zh-CN"/>
              </w:rPr>
              <w:t>所有挖方全部</w:t>
            </w:r>
            <w:r>
              <w:rPr>
                <w:rFonts w:hint="eastAsia" w:ascii="Times New Roman" w:hAnsi="Times New Roman" w:eastAsia="仿宋_GB2312" w:cs="Times New Roman"/>
                <w:snapToGrid w:val="0"/>
                <w:color w:val="auto"/>
                <w:kern w:val="0"/>
                <w:sz w:val="21"/>
                <w:szCs w:val="24"/>
                <w:lang w:val="en-US" w:eastAsia="zh-CN"/>
              </w:rPr>
              <w:t>回填</w:t>
            </w:r>
            <w:r>
              <w:rPr>
                <w:rFonts w:hint="eastAsia" w:eastAsia="仿宋_GB2312" w:cs="Times New Roman"/>
                <w:snapToGrid w:val="0"/>
                <w:color w:val="auto"/>
                <w:kern w:val="0"/>
                <w:sz w:val="21"/>
                <w:szCs w:val="24"/>
                <w:lang w:val="en-US" w:eastAsia="zh-CN"/>
              </w:rPr>
              <w:t>，</w:t>
            </w:r>
            <w:r>
              <w:rPr>
                <w:rFonts w:hint="eastAsia" w:ascii="Times New Roman" w:hAnsi="Times New Roman" w:eastAsia="仿宋_GB2312" w:cs="Times New Roman"/>
                <w:snapToGrid w:val="0"/>
                <w:color w:val="auto"/>
                <w:kern w:val="0"/>
                <w:sz w:val="21"/>
                <w:szCs w:val="24"/>
                <w:lang w:val="en-US" w:eastAsia="zh-CN"/>
              </w:rPr>
              <w:t>回填土石方量约</w:t>
            </w:r>
            <w:r>
              <w:rPr>
                <w:rFonts w:hint="eastAsia" w:eastAsia="仿宋_GB2312" w:cs="Times New Roman"/>
                <w:snapToGrid w:val="0"/>
                <w:color w:val="auto"/>
                <w:kern w:val="0"/>
                <w:sz w:val="21"/>
                <w:szCs w:val="24"/>
                <w:lang w:val="en-US" w:eastAsia="zh-CN"/>
              </w:rPr>
              <w:t>1.2</w:t>
            </w:r>
            <w:r>
              <w:rPr>
                <w:rFonts w:hint="eastAsia" w:ascii="Times New Roman" w:hAnsi="Times New Roman" w:eastAsia="仿宋_GB2312" w:cs="Times New Roman"/>
                <w:snapToGrid w:val="0"/>
                <w:color w:val="auto"/>
                <w:kern w:val="0"/>
                <w:sz w:val="21"/>
                <w:szCs w:val="24"/>
                <w:lang w:val="en-US" w:eastAsia="zh-CN"/>
              </w:rPr>
              <w:t>万m</w:t>
            </w:r>
            <w:r>
              <w:rPr>
                <w:rFonts w:hint="eastAsia" w:ascii="Times New Roman" w:hAnsi="Times New Roman" w:eastAsia="仿宋_GB2312" w:cs="Times New Roman"/>
                <w:snapToGrid w:val="0"/>
                <w:color w:val="auto"/>
                <w:kern w:val="0"/>
                <w:sz w:val="21"/>
                <w:szCs w:val="24"/>
                <w:vertAlign w:val="superscript"/>
                <w:lang w:val="en-US" w:eastAsia="zh-CN"/>
              </w:rPr>
              <w:t>3</w:t>
            </w:r>
            <w:r>
              <w:rPr>
                <w:rFonts w:hint="eastAsia" w:ascii="Times New Roman" w:hAnsi="Times New Roman" w:eastAsia="仿宋_GB2312" w:cs="Times New Roman"/>
                <w:snapToGrid w:val="0"/>
                <w:color w:val="auto"/>
                <w:kern w:val="0"/>
                <w:sz w:val="21"/>
                <w:szCs w:val="24"/>
                <w:lang w:val="en-US" w:eastAsia="zh-CN"/>
              </w:rPr>
              <w:t>。</w:t>
            </w:r>
            <w:r>
              <w:rPr>
                <w:rFonts w:hint="eastAsia" w:ascii="Times New Roman" w:hAnsi="Times New Roman" w:eastAsia="仿宋_GB2312" w:cs="Times New Roman"/>
                <w:snapToGrid w:val="0"/>
                <w:kern w:val="0"/>
                <w:lang w:val="en-US" w:eastAsia="zh-CN"/>
              </w:rPr>
              <w:t>按照“临时弃土少占地，就近回填”的原则，施工过程中管线开挖的土石方就近堆放于施工红线内，临时堆土应采取防水防风措施。弃土、弃渣运到当地政府指定的专用弃渣场堆放。</w:t>
            </w:r>
          </w:p>
          <w:p w14:paraId="64FBFECA">
            <w:pPr>
              <w:adjustRightInd w:val="0"/>
              <w:snapToGrid w:val="0"/>
              <w:spacing w:line="360" w:lineRule="auto"/>
              <w:ind w:firstLine="420" w:firstLineChars="200"/>
              <w:jc w:val="left"/>
              <w:rPr>
                <w:rFonts w:hint="eastAsia" w:ascii="Times New Roman" w:hAnsi="Times New Roman" w:eastAsia="仿宋_GB2312" w:cs="Times New Roman"/>
                <w:snapToGrid w:val="0"/>
                <w:kern w:val="0"/>
                <w:lang w:val="en-US" w:eastAsia="zh-CN"/>
              </w:rPr>
            </w:pPr>
            <w:r>
              <w:rPr>
                <w:rFonts w:hint="eastAsia" w:ascii="Times New Roman" w:hAnsi="Times New Roman" w:eastAsia="仿宋_GB2312" w:cs="Times New Roman"/>
                <w:snapToGrid w:val="0"/>
                <w:kern w:val="0"/>
                <w:lang w:val="en-US" w:eastAsia="zh-CN"/>
              </w:rPr>
              <w:t>项目施工完成后，需对施工临时占地进行迹地恢复。</w:t>
            </w:r>
          </w:p>
          <w:p w14:paraId="252BAFA0">
            <w:pPr>
              <w:adjustRightInd w:val="0"/>
              <w:snapToGrid w:val="0"/>
              <w:spacing w:line="360" w:lineRule="auto"/>
              <w:ind w:firstLine="422" w:firstLineChars="200"/>
              <w:jc w:val="left"/>
              <w:rPr>
                <w:rFonts w:eastAsia="仿宋_GB2312"/>
                <w:b/>
                <w:bCs/>
                <w:snapToGrid w:val="0"/>
                <w:kern w:val="0"/>
              </w:rPr>
            </w:pPr>
            <w:r>
              <w:rPr>
                <w:rFonts w:hint="eastAsia" w:eastAsia="仿宋_GB2312"/>
                <w:b/>
                <w:bCs/>
                <w:snapToGrid w:val="0"/>
                <w:kern w:val="0"/>
                <w:lang w:val="en-US" w:eastAsia="zh-CN"/>
              </w:rPr>
              <w:t>2</w:t>
            </w:r>
            <w:r>
              <w:rPr>
                <w:rFonts w:hint="eastAsia" w:eastAsia="仿宋_GB2312"/>
                <w:b/>
                <w:bCs/>
                <w:snapToGrid w:val="0"/>
                <w:kern w:val="0"/>
              </w:rPr>
              <w:t>、</w:t>
            </w:r>
            <w:r>
              <w:rPr>
                <w:rFonts w:eastAsia="仿宋_GB2312"/>
                <w:b/>
                <w:bCs/>
                <w:snapToGrid w:val="0"/>
                <w:kern w:val="0"/>
              </w:rPr>
              <w:t>生产</w:t>
            </w:r>
            <w:r>
              <w:rPr>
                <w:rFonts w:hint="eastAsia" w:eastAsia="仿宋_GB2312"/>
                <w:b/>
                <w:bCs/>
                <w:snapToGrid w:val="0"/>
                <w:kern w:val="0"/>
              </w:rPr>
              <w:t>线新建</w:t>
            </w:r>
          </w:p>
          <w:p w14:paraId="0FE03EA5">
            <w:pPr>
              <w:spacing w:line="360" w:lineRule="auto"/>
              <w:jc w:val="center"/>
              <w:rPr>
                <w:rFonts w:eastAsia="仿宋_GB2312"/>
              </w:rPr>
            </w:pPr>
            <w:r>
              <w:rPr>
                <w:rFonts w:eastAsia="仿宋_GB2312"/>
              </w:rPr>
              <w:drawing>
                <wp:inline distT="0" distB="0" distL="0" distR="0">
                  <wp:extent cx="4556125" cy="1661795"/>
                  <wp:effectExtent l="0" t="0" r="0" b="0"/>
                  <wp:docPr id="4"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4556125" cy="1661795"/>
                          </a:xfrm>
                          <a:prstGeom prst="rect">
                            <a:avLst/>
                          </a:prstGeom>
                          <a:noFill/>
                          <a:ln>
                            <a:noFill/>
                          </a:ln>
                        </pic:spPr>
                      </pic:pic>
                    </a:graphicData>
                  </a:graphic>
                </wp:inline>
              </w:drawing>
            </w:r>
          </w:p>
          <w:p w14:paraId="12DBDAA6">
            <w:pPr>
              <w:spacing w:line="360" w:lineRule="auto"/>
              <w:jc w:val="center"/>
              <w:rPr>
                <w:rFonts w:eastAsia="仿宋_GB2312"/>
                <w:b/>
              </w:rPr>
            </w:pPr>
            <w:r>
              <w:rPr>
                <w:rFonts w:eastAsia="仿宋_GB2312"/>
                <w:b/>
              </w:rPr>
              <w:t>图</w:t>
            </w:r>
            <w:r>
              <w:rPr>
                <w:rFonts w:hint="eastAsia" w:eastAsia="仿宋_GB2312"/>
                <w:b/>
              </w:rPr>
              <w:t>2-</w:t>
            </w:r>
            <w:r>
              <w:rPr>
                <w:rFonts w:hint="eastAsia" w:eastAsia="仿宋_GB2312"/>
                <w:b/>
                <w:lang w:val="en-US" w:eastAsia="zh-CN"/>
              </w:rPr>
              <w:t>5</w:t>
            </w:r>
            <w:r>
              <w:rPr>
                <w:rFonts w:hint="eastAsia" w:eastAsia="仿宋_GB2312"/>
                <w:b/>
              </w:rPr>
              <w:t xml:space="preserve">  </w:t>
            </w:r>
            <w:r>
              <w:rPr>
                <w:rFonts w:eastAsia="仿宋_GB2312"/>
                <w:b/>
              </w:rPr>
              <w:t>施工期产污工艺流程图</w:t>
            </w:r>
          </w:p>
          <w:p w14:paraId="3FDF04ED">
            <w:pPr>
              <w:adjustRightInd w:val="0"/>
              <w:snapToGrid w:val="0"/>
              <w:spacing w:line="360" w:lineRule="auto"/>
              <w:ind w:firstLine="422" w:firstLineChars="200"/>
              <w:jc w:val="left"/>
              <w:rPr>
                <w:rFonts w:eastAsia="仿宋_GB2312"/>
                <w:snapToGrid w:val="0"/>
                <w:kern w:val="0"/>
              </w:rPr>
            </w:pPr>
            <w:r>
              <w:rPr>
                <w:rFonts w:eastAsia="仿宋_GB2312"/>
                <w:b/>
                <w:bCs/>
                <w:snapToGrid w:val="0"/>
                <w:kern w:val="0"/>
              </w:rPr>
              <w:t>基础工程</w:t>
            </w:r>
            <w:r>
              <w:rPr>
                <w:rFonts w:hint="eastAsia" w:eastAsia="仿宋_GB2312"/>
                <w:snapToGrid w:val="0"/>
                <w:kern w:val="0"/>
              </w:rPr>
              <w:t>：</w:t>
            </w:r>
            <w:r>
              <w:rPr>
                <w:rFonts w:eastAsia="仿宋_GB2312"/>
                <w:snapToGrid w:val="0"/>
                <w:kern w:val="0"/>
              </w:rPr>
              <w:t>建设项目基础工程主要为场地的填土和夯实。建筑工人利用压路机分片压碾，并浇水湿润填土以利于密实。然后利用起重机械吊起特制的重锤来冲击基土表面，使地基受到压密，一般夯打为8~12遍。该工段主要污染物为施工机械产生的噪声、粉尘和排放的尾气。</w:t>
            </w:r>
          </w:p>
          <w:p w14:paraId="4DAB222C">
            <w:pPr>
              <w:adjustRightInd w:val="0"/>
              <w:snapToGrid w:val="0"/>
              <w:spacing w:line="360" w:lineRule="auto"/>
              <w:ind w:firstLine="422" w:firstLineChars="200"/>
              <w:jc w:val="left"/>
              <w:rPr>
                <w:rFonts w:eastAsia="仿宋_GB2312"/>
                <w:snapToGrid w:val="0"/>
                <w:kern w:val="0"/>
              </w:rPr>
            </w:pPr>
            <w:r>
              <w:rPr>
                <w:rFonts w:eastAsia="仿宋_GB2312"/>
                <w:b/>
                <w:bCs/>
                <w:snapToGrid w:val="0"/>
                <w:kern w:val="0"/>
              </w:rPr>
              <w:t>主体工程</w:t>
            </w:r>
            <w:r>
              <w:rPr>
                <w:rFonts w:hint="eastAsia" w:eastAsia="仿宋_GB2312"/>
                <w:snapToGrid w:val="0"/>
                <w:kern w:val="0"/>
              </w:rPr>
              <w:t>：</w:t>
            </w:r>
            <w:r>
              <w:rPr>
                <w:rFonts w:eastAsia="仿宋_GB2312"/>
                <w:snapToGrid w:val="0"/>
                <w:kern w:val="0"/>
              </w:rPr>
              <w:t>建设项目主体工程主要为钻孔灌注，现浇钢砼柱、梁，砖墙砌筑。建设项目利用钻孔设备进行钻孔后，用钢筋混凝土浇灌。浇灌时注入预先拌制均匀的混凝土，随灌随振，振捣均匀，防止混凝土不实和素浆上浮。然后根据施工图纸，进行钢筋的配料和加工，安装于架好的模板之处，及时连续灌筑混凝土，并捣实使混凝土成型。建设项目在砖墙砌筑时，首先进行水泥砂浆的调配，然后再挂线砌筑。该工段工期较长，主要污染物为搅拌机产生的噪声、尾气，搅拌砂浆时的砂浆水，碎砖和废砂等固废。</w:t>
            </w:r>
          </w:p>
          <w:p w14:paraId="0ADC9F5F">
            <w:pPr>
              <w:adjustRightInd w:val="0"/>
              <w:snapToGrid w:val="0"/>
              <w:spacing w:line="360" w:lineRule="auto"/>
              <w:ind w:firstLine="422" w:firstLineChars="200"/>
              <w:jc w:val="left"/>
              <w:rPr>
                <w:rFonts w:eastAsia="仿宋_GB2312"/>
                <w:snapToGrid w:val="0"/>
                <w:kern w:val="0"/>
              </w:rPr>
            </w:pPr>
            <w:r>
              <w:rPr>
                <w:rFonts w:eastAsia="仿宋_GB2312"/>
                <w:b/>
                <w:bCs/>
                <w:snapToGrid w:val="0"/>
                <w:kern w:val="0"/>
              </w:rPr>
              <w:t>装饰工程</w:t>
            </w:r>
            <w:r>
              <w:rPr>
                <w:rFonts w:hint="eastAsia" w:eastAsia="仿宋_GB2312"/>
                <w:snapToGrid w:val="0"/>
                <w:kern w:val="0"/>
              </w:rPr>
              <w:t>：</w:t>
            </w:r>
            <w:r>
              <w:rPr>
                <w:rFonts w:eastAsia="仿宋_GB2312"/>
                <w:snapToGrid w:val="0"/>
                <w:kern w:val="0"/>
              </w:rPr>
              <w:t>利用各种加工机械对木材、塑钢等按图进行加工，同时进行屋面制作，然后采用浅色环保型高级涂料和浅灰色仿石涂料喷刷，最后对外露的铁件进行油漆施工，本工段时间较短，且使用的涂料和油漆量较少，有少量有机废气挥发。</w:t>
            </w:r>
          </w:p>
          <w:p w14:paraId="65DDF821">
            <w:pPr>
              <w:adjustRightInd w:val="0"/>
              <w:snapToGrid w:val="0"/>
              <w:spacing w:line="360" w:lineRule="auto"/>
              <w:ind w:firstLine="422" w:firstLineChars="200"/>
              <w:jc w:val="left"/>
              <w:rPr>
                <w:rFonts w:hint="default" w:ascii="Times New Roman" w:hAnsi="Times New Roman" w:eastAsia="仿宋_GB2312" w:cs="Times New Roman"/>
                <w:snapToGrid w:val="0"/>
                <w:kern w:val="0"/>
                <w:lang w:val="en-US" w:eastAsia="zh-CN"/>
              </w:rPr>
            </w:pPr>
            <w:r>
              <w:rPr>
                <w:rFonts w:eastAsia="仿宋_GB2312"/>
                <w:b/>
                <w:bCs/>
                <w:snapToGrid w:val="0"/>
                <w:kern w:val="0"/>
              </w:rPr>
              <w:t>设备安装</w:t>
            </w:r>
            <w:r>
              <w:rPr>
                <w:rFonts w:hint="eastAsia" w:eastAsia="仿宋_GB2312"/>
                <w:snapToGrid w:val="0"/>
                <w:kern w:val="0"/>
              </w:rPr>
              <w:t>：</w:t>
            </w:r>
            <w:r>
              <w:rPr>
                <w:rFonts w:eastAsia="仿宋_GB2312"/>
                <w:snapToGrid w:val="0"/>
                <w:kern w:val="0"/>
              </w:rPr>
              <w:t>包括</w:t>
            </w:r>
            <w:r>
              <w:rPr>
                <w:rFonts w:hint="eastAsia" w:eastAsia="仿宋_GB2312"/>
                <w:snapToGrid w:val="0"/>
                <w:kern w:val="0"/>
              </w:rPr>
              <w:t>储罐安装</w:t>
            </w:r>
            <w:r>
              <w:rPr>
                <w:rFonts w:eastAsia="仿宋_GB2312"/>
                <w:snapToGrid w:val="0"/>
                <w:kern w:val="0"/>
              </w:rPr>
              <w:t>、</w:t>
            </w:r>
            <w:r>
              <w:rPr>
                <w:rFonts w:hint="eastAsia" w:eastAsia="仿宋_GB2312"/>
                <w:snapToGrid w:val="0"/>
                <w:kern w:val="0"/>
              </w:rPr>
              <w:t>过滤膜安装</w:t>
            </w:r>
            <w:r>
              <w:rPr>
                <w:rFonts w:eastAsia="仿宋_GB2312"/>
                <w:snapToGrid w:val="0"/>
                <w:kern w:val="0"/>
              </w:rPr>
              <w:t>、</w:t>
            </w:r>
            <w:r>
              <w:rPr>
                <w:rFonts w:hint="eastAsia" w:eastAsia="仿宋_GB2312"/>
                <w:snapToGrid w:val="0"/>
                <w:kern w:val="0"/>
              </w:rPr>
              <w:t>运输</w:t>
            </w:r>
            <w:r>
              <w:rPr>
                <w:rFonts w:eastAsia="仿宋_GB2312"/>
                <w:snapToGrid w:val="0"/>
                <w:kern w:val="0"/>
              </w:rPr>
              <w:t>管</w:t>
            </w:r>
            <w:r>
              <w:rPr>
                <w:rFonts w:hint="eastAsia" w:eastAsia="仿宋_GB2312"/>
                <w:snapToGrid w:val="0"/>
                <w:kern w:val="0"/>
              </w:rPr>
              <w:t>道</w:t>
            </w:r>
            <w:r>
              <w:rPr>
                <w:rFonts w:eastAsia="仿宋_GB2312"/>
                <w:snapToGrid w:val="0"/>
                <w:kern w:val="0"/>
              </w:rPr>
              <w:t>铺设等施工</w:t>
            </w:r>
            <w:r>
              <w:rPr>
                <w:rFonts w:hint="eastAsia" w:eastAsia="仿宋_GB2312"/>
                <w:snapToGrid w:val="0"/>
                <w:kern w:val="0"/>
                <w:lang w:eastAsia="zh-CN"/>
              </w:rPr>
              <w:t>。</w:t>
            </w:r>
            <w:r>
              <w:rPr>
                <w:rFonts w:hint="eastAsia" w:eastAsia="仿宋_GB2312"/>
                <w:snapToGrid w:val="0"/>
                <w:kern w:val="0"/>
                <w:lang w:val="en-US" w:eastAsia="zh-CN"/>
              </w:rPr>
              <w:t>其中罐区安装主要内容</w:t>
            </w:r>
            <w:r>
              <w:rPr>
                <w:rFonts w:hint="eastAsia" w:ascii="Times New Roman" w:hAnsi="Times New Roman" w:eastAsia="仿宋_GB2312" w:cs="Times New Roman"/>
                <w:snapToGrid w:val="0"/>
                <w:kern w:val="0"/>
                <w:lang w:val="en-US" w:eastAsia="zh-CN"/>
              </w:rPr>
              <w:t>为：</w:t>
            </w:r>
          </w:p>
          <w:p w14:paraId="731E9F25">
            <w:pPr>
              <w:adjustRightInd w:val="0"/>
              <w:snapToGrid w:val="0"/>
              <w:spacing w:line="360" w:lineRule="auto"/>
              <w:ind w:firstLine="420" w:firstLineChars="200"/>
              <w:jc w:val="left"/>
              <w:rPr>
                <w:rFonts w:ascii="Times New Roman" w:hAnsi="Times New Roman" w:eastAsia="仿宋_GB2312" w:cs="Times New Roman"/>
                <w:snapToGrid w:val="0"/>
                <w:kern w:val="0"/>
              </w:rPr>
            </w:pPr>
            <w:r>
              <w:rPr>
                <w:rFonts w:hint="eastAsia" w:ascii="Times New Roman" w:hAnsi="Times New Roman" w:eastAsia="仿宋_GB2312" w:cs="Times New Roman"/>
                <w:snapToGrid w:val="0"/>
                <w:kern w:val="0"/>
                <w:lang w:val="en-US" w:eastAsia="zh-CN"/>
              </w:rPr>
              <w:t>1）</w:t>
            </w:r>
            <w:r>
              <w:rPr>
                <w:rFonts w:ascii="Times New Roman" w:hAnsi="Times New Roman" w:eastAsia="仿宋_GB2312" w:cs="Times New Roman"/>
                <w:snapToGrid w:val="0"/>
                <w:kern w:val="0"/>
              </w:rPr>
              <w:t>场地平整：主要为清除表面、开挖和标高回填。</w:t>
            </w:r>
          </w:p>
          <w:p w14:paraId="155FABAB">
            <w:pPr>
              <w:adjustRightInd w:val="0"/>
              <w:snapToGrid w:val="0"/>
              <w:spacing w:line="360" w:lineRule="auto"/>
              <w:ind w:firstLine="420" w:firstLineChars="200"/>
              <w:jc w:val="left"/>
              <w:rPr>
                <w:rFonts w:ascii="Times New Roman" w:hAnsi="Times New Roman" w:eastAsia="仿宋_GB2312" w:cs="Times New Roman"/>
                <w:snapToGrid w:val="0"/>
                <w:kern w:val="0"/>
              </w:rPr>
            </w:pPr>
            <w:r>
              <w:rPr>
                <w:rFonts w:ascii="Times New Roman" w:hAnsi="Times New Roman" w:eastAsia="仿宋_GB2312" w:cs="Times New Roman"/>
                <w:snapToGrid w:val="0"/>
                <w:kern w:val="0"/>
              </w:rPr>
              <w:t>2）地基处理和基础施工：采用混凝土灌注桩基础，管廊管架、换热器及卧式容器、小型设备采用现浇钢筋混凝土天然基础，压缩机、地面火炬采用直径500mm 预制桩基础。</w:t>
            </w:r>
          </w:p>
          <w:p w14:paraId="1E93EEF7">
            <w:pPr>
              <w:adjustRightInd w:val="0"/>
              <w:snapToGrid w:val="0"/>
              <w:spacing w:line="360" w:lineRule="auto"/>
              <w:ind w:firstLine="420" w:firstLineChars="200"/>
              <w:jc w:val="left"/>
              <w:rPr>
                <w:rFonts w:ascii="Times New Roman" w:hAnsi="Times New Roman" w:eastAsia="仿宋_GB2312" w:cs="Times New Roman"/>
                <w:snapToGrid w:val="0"/>
                <w:kern w:val="0"/>
              </w:rPr>
            </w:pPr>
            <w:r>
              <w:rPr>
                <w:rFonts w:ascii="Times New Roman" w:hAnsi="Times New Roman" w:eastAsia="仿宋_GB2312" w:cs="Times New Roman"/>
                <w:snapToGrid w:val="0"/>
                <w:kern w:val="0"/>
              </w:rPr>
              <w:t>3）罐体施工：罐体焊接、吊装、附着设施安装。</w:t>
            </w:r>
          </w:p>
          <w:p w14:paraId="5B0599AD">
            <w:pPr>
              <w:adjustRightInd w:val="0"/>
              <w:snapToGrid w:val="0"/>
              <w:spacing w:line="360" w:lineRule="auto"/>
              <w:ind w:firstLine="420" w:firstLineChars="200"/>
              <w:jc w:val="left"/>
              <w:rPr>
                <w:rFonts w:ascii="Times New Roman" w:hAnsi="Times New Roman" w:eastAsia="仿宋_GB2312" w:cs="Times New Roman"/>
                <w:snapToGrid w:val="0"/>
                <w:kern w:val="0"/>
              </w:rPr>
            </w:pPr>
            <w:r>
              <w:rPr>
                <w:rFonts w:ascii="Times New Roman" w:hAnsi="Times New Roman" w:eastAsia="仿宋_GB2312" w:cs="Times New Roman"/>
                <w:snapToGrid w:val="0"/>
                <w:kern w:val="0"/>
              </w:rPr>
              <w:t>4）结构施工：管道、电气、仪表安装。</w:t>
            </w:r>
          </w:p>
          <w:p w14:paraId="6CC0398D">
            <w:pPr>
              <w:adjustRightInd w:val="0"/>
              <w:snapToGrid w:val="0"/>
              <w:spacing w:line="360" w:lineRule="auto"/>
              <w:ind w:firstLine="420" w:firstLineChars="200"/>
              <w:jc w:val="left"/>
              <w:rPr>
                <w:rFonts w:ascii="Times New Roman" w:hAnsi="Times New Roman" w:eastAsia="仿宋_GB2312" w:cs="Times New Roman"/>
                <w:snapToGrid w:val="0"/>
                <w:kern w:val="0"/>
              </w:rPr>
            </w:pPr>
            <w:r>
              <w:rPr>
                <w:rFonts w:ascii="Times New Roman" w:hAnsi="Times New Roman" w:eastAsia="仿宋_GB2312" w:cs="Times New Roman"/>
                <w:snapToGrid w:val="0"/>
                <w:kern w:val="0"/>
              </w:rPr>
              <w:t>5）调试：联合试运行。</w:t>
            </w:r>
          </w:p>
          <w:p w14:paraId="76DE2E12">
            <w:pPr>
              <w:adjustRightInd w:val="0"/>
              <w:snapToGrid w:val="0"/>
              <w:spacing w:line="360" w:lineRule="auto"/>
              <w:ind w:firstLine="420" w:firstLineChars="200"/>
              <w:jc w:val="left"/>
              <w:rPr>
                <w:rFonts w:eastAsia="仿宋_GB2312"/>
                <w:snapToGrid w:val="0"/>
                <w:kern w:val="0"/>
              </w:rPr>
            </w:pPr>
            <w:r>
              <w:rPr>
                <w:rFonts w:eastAsia="仿宋_GB2312"/>
                <w:snapToGrid w:val="0"/>
                <w:kern w:val="0"/>
              </w:rPr>
              <w:t>主要污染物是施工机械产生的噪声、尾气等。</w:t>
            </w:r>
          </w:p>
          <w:p w14:paraId="3808E641">
            <w:pPr>
              <w:adjustRightInd w:val="0"/>
              <w:snapToGrid w:val="0"/>
              <w:spacing w:line="360" w:lineRule="auto"/>
              <w:ind w:firstLine="422" w:firstLineChars="200"/>
              <w:jc w:val="left"/>
              <w:rPr>
                <w:rFonts w:eastAsia="仿宋_GB2312"/>
                <w:b/>
                <w:bCs/>
              </w:rPr>
            </w:pPr>
            <w:r>
              <w:rPr>
                <w:rFonts w:hint="eastAsia" w:eastAsia="仿宋_GB2312"/>
                <w:b/>
                <w:bCs/>
              </w:rPr>
              <w:t>二、运营期工艺流程及产污</w:t>
            </w:r>
          </w:p>
          <w:p w14:paraId="522A5640">
            <w:pPr>
              <w:pStyle w:val="17"/>
              <w:numPr>
                <w:ilvl w:val="0"/>
                <w:numId w:val="0"/>
              </w:numPr>
              <w:spacing w:line="360" w:lineRule="auto"/>
              <w:ind w:firstLine="420" w:firstLineChars="200"/>
              <w:rPr>
                <w:rFonts w:eastAsia="仿宋_GB2312"/>
              </w:rPr>
            </w:pPr>
            <w:r>
              <w:rPr>
                <w:rFonts w:hint="eastAsia" w:eastAsia="仿宋_GB2312"/>
              </w:rPr>
              <w:t>本项目卤水品质优化工程新增连续式双膜法产线，采用平板膜盐水精制装置脱除钙镁离子，然后通过纳滤膜处理装置脱除硫酸根离子，生产的高硝水通过管道输送至下游金东卤水精制厂，低硝水输送至二期盐硝系统。</w:t>
            </w:r>
          </w:p>
          <w:p w14:paraId="5C28A837">
            <w:pPr>
              <w:pStyle w:val="17"/>
              <w:numPr>
                <w:ilvl w:val="0"/>
                <w:numId w:val="0"/>
              </w:numPr>
              <w:spacing w:line="360" w:lineRule="auto"/>
              <w:ind w:firstLine="420" w:firstLineChars="200"/>
              <w:rPr>
                <w:rFonts w:eastAsia="仿宋_GB2312"/>
                <w:sz w:val="24"/>
                <w:szCs w:val="24"/>
              </w:rPr>
            </w:pPr>
            <w:r>
              <w:rPr>
                <w:rFonts w:hint="eastAsia" w:eastAsia="仿宋_GB2312"/>
              </w:rPr>
              <w:t>该工艺运行过程中平板膜过滤产生的盐雾经盐雾收集处理装置处理，盐酸储罐产生的酸雾经酸雾收集处理装置处理；膜组件反冲洗水和密封水均通过回用管道回用至矿区采卤。设备运行时产生噪声及固废，具体工艺流程及产污环节见图2-</w:t>
            </w:r>
            <w:r>
              <w:rPr>
                <w:rFonts w:hint="eastAsia" w:eastAsia="仿宋_GB2312"/>
                <w:lang w:val="en-US" w:eastAsia="zh-CN"/>
              </w:rPr>
              <w:t>6</w:t>
            </w:r>
            <w:r>
              <w:rPr>
                <w:rFonts w:hint="eastAsia" w:eastAsia="仿宋_GB2312"/>
              </w:rPr>
              <w:t>。</w:t>
            </w:r>
          </w:p>
        </w:tc>
      </w:tr>
    </w:tbl>
    <w:p w14:paraId="6672F4DB">
      <w:pPr>
        <w:pStyle w:val="28"/>
        <w:adjustRightInd w:val="0"/>
        <w:snapToGrid w:val="0"/>
        <w:spacing w:before="0" w:beforeAutospacing="0" w:after="0" w:afterAutospacing="0"/>
        <w:jc w:val="center"/>
        <w:rPr>
          <w:rFonts w:ascii="Times New Roman" w:hAnsi="Times New Roman" w:eastAsia="仿宋_GB2312"/>
          <w:bCs/>
          <w:kern w:val="2"/>
          <w:szCs w:val="24"/>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99"/>
      </w:tblGrid>
      <w:tr w14:paraId="6D1D8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0" w:hRule="atLeast"/>
        </w:trPr>
        <w:tc>
          <w:tcPr>
            <w:tcW w:w="20399" w:type="dxa"/>
          </w:tcPr>
          <w:p w14:paraId="0294C0F2">
            <w:pPr>
              <w:adjustRightInd w:val="0"/>
              <w:snapToGrid w:val="0"/>
              <w:spacing w:line="500" w:lineRule="exact"/>
              <w:ind w:firstLine="482" w:firstLineChars="200"/>
              <w:jc w:val="left"/>
              <w:rPr>
                <w:rFonts w:eastAsia="仿宋_GB2312"/>
                <w:b/>
                <w:bCs/>
                <w:sz w:val="24"/>
                <w:szCs w:val="24"/>
              </w:rPr>
            </w:pPr>
            <w:r>
              <w:rPr>
                <w:rFonts w:hint="eastAsia" w:eastAsia="仿宋_GB2312"/>
                <w:b/>
                <w:bCs/>
                <w:sz w:val="24"/>
                <w:szCs w:val="24"/>
              </w:rPr>
              <w:t>1）工艺流程：</w:t>
            </w:r>
          </w:p>
          <w:p w14:paraId="783BEAD7">
            <w:pPr>
              <w:pStyle w:val="28"/>
              <w:adjustRightInd w:val="0"/>
              <w:snapToGrid w:val="0"/>
              <w:spacing w:before="0" w:beforeAutospacing="0" w:after="0" w:afterAutospacing="0"/>
              <w:rPr>
                <w:rFonts w:ascii="Times New Roman" w:hAnsi="Times New Roman" w:eastAsia="仿宋_GB2312"/>
                <w:bCs/>
                <w:kern w:val="2"/>
                <w:szCs w:val="24"/>
              </w:rPr>
            </w:pPr>
          </w:p>
          <w:p w14:paraId="58413361">
            <w:pPr>
              <w:adjustRightInd w:val="0"/>
              <w:snapToGrid w:val="0"/>
              <w:spacing w:line="500" w:lineRule="exact"/>
              <w:jc w:val="center"/>
              <w:rPr>
                <w:rFonts w:eastAsia="仿宋_GB2312"/>
                <w:b/>
                <w:bCs/>
                <w:sz w:val="24"/>
                <w:szCs w:val="24"/>
              </w:rPr>
            </w:pPr>
            <w:r>
              <w:rPr>
                <w:rFonts w:asciiTheme="minorHAnsi" w:hAnsiTheme="minorHAnsi" w:eastAsiaTheme="minorEastAsia" w:cstheme="minorBidi"/>
                <w:sz w:val="22"/>
                <w:szCs w:val="24"/>
              </w:rPr>
              <w:pict>
                <v:shape id="_x0000_s2059" o:spid="_x0000_s2059" o:spt="75" type="#_x0000_t75" style="position:absolute;left:0pt;margin-left:1.05pt;margin-top:13.1pt;height:409.2pt;width:1001.9pt;mso-wrap-distance-bottom:0pt;mso-wrap-distance-top:0pt;z-index:251661312;mso-width-relative:page;mso-height-relative:page;" o:ole="t" filled="f" o:preferrelative="t" stroked="f" coordsize="21600,21600">
                  <v:path/>
                  <v:fill on="f" focussize="0,0"/>
                  <v:stroke on="f"/>
                  <v:imagedata r:id="rId32" o:title=""/>
                  <o:lock v:ext="edit" aspectratio="t"/>
                  <w10:wrap type="topAndBottom"/>
                </v:shape>
                <o:OLEObject Type="Embed" ProgID="Visio.Drawing.15" ShapeID="_x0000_s2059" DrawAspect="Content" ObjectID="_1468075729" r:id="rId31">
                  <o:LockedField>false</o:LockedField>
                </o:OLEObject>
              </w:pict>
            </w:r>
            <w:r>
              <w:rPr>
                <w:rFonts w:hint="eastAsia" w:eastAsia="仿宋_GB2312"/>
                <w:b/>
                <w:bCs/>
                <w:sz w:val="24"/>
                <w:szCs w:val="24"/>
              </w:rPr>
              <w:t>图2-</w:t>
            </w:r>
            <w:r>
              <w:rPr>
                <w:rFonts w:hint="eastAsia" w:eastAsia="仿宋_GB2312"/>
                <w:b/>
                <w:bCs/>
                <w:sz w:val="24"/>
                <w:szCs w:val="24"/>
                <w:lang w:val="en-US" w:eastAsia="zh-CN"/>
              </w:rPr>
              <w:t>6</w:t>
            </w:r>
            <w:r>
              <w:rPr>
                <w:rFonts w:hint="eastAsia" w:eastAsia="仿宋_GB2312"/>
                <w:b/>
                <w:bCs/>
                <w:sz w:val="24"/>
                <w:szCs w:val="24"/>
              </w:rPr>
              <w:t xml:space="preserve">  连续式双膜法产线工艺流程及排污节点图（W:废水、N:噪声、S：固废）</w:t>
            </w:r>
          </w:p>
          <w:p w14:paraId="2B809891">
            <w:pPr>
              <w:pStyle w:val="28"/>
              <w:adjustRightInd w:val="0"/>
              <w:snapToGrid w:val="0"/>
              <w:spacing w:before="0" w:beforeAutospacing="0" w:after="0" w:afterAutospacing="0"/>
              <w:rPr>
                <w:rFonts w:ascii="Times New Roman" w:hAnsi="Times New Roman" w:eastAsia="仿宋_GB2312"/>
                <w:bCs/>
                <w:kern w:val="2"/>
                <w:szCs w:val="24"/>
              </w:rPr>
            </w:pPr>
          </w:p>
          <w:p w14:paraId="360696E7">
            <w:pPr>
              <w:pStyle w:val="28"/>
              <w:adjustRightInd w:val="0"/>
              <w:snapToGrid w:val="0"/>
              <w:spacing w:before="0" w:beforeAutospacing="0" w:after="0" w:afterAutospacing="0"/>
              <w:rPr>
                <w:rFonts w:ascii="Times New Roman" w:hAnsi="Times New Roman" w:eastAsia="仿宋_GB2312"/>
                <w:bCs/>
                <w:kern w:val="2"/>
                <w:szCs w:val="24"/>
              </w:rPr>
            </w:pPr>
          </w:p>
        </w:tc>
      </w:tr>
    </w:tbl>
    <w:p w14:paraId="794113DF">
      <w:pPr>
        <w:pStyle w:val="28"/>
        <w:adjustRightInd w:val="0"/>
        <w:snapToGrid w:val="0"/>
        <w:spacing w:before="0" w:beforeAutospacing="0" w:after="0" w:afterAutospacing="0"/>
        <w:jc w:val="center"/>
        <w:rPr>
          <w:rFonts w:ascii="Times New Roman" w:hAnsi="Times New Roman" w:eastAsia="仿宋_GB2312"/>
          <w:bCs/>
          <w:kern w:val="2"/>
          <w:szCs w:val="24"/>
        </w:rPr>
        <w:sectPr>
          <w:pgSz w:w="23811" w:h="16838"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1"/>
        <w:tblW w:w="906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83"/>
        <w:gridCol w:w="8677"/>
      </w:tblGrid>
      <w:tr w14:paraId="2B6F98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3" w:hRule="atLeast"/>
          <w:jc w:val="center"/>
        </w:trPr>
        <w:tc>
          <w:tcPr>
            <w:tcW w:w="822" w:type="dxa"/>
            <w:vAlign w:val="center"/>
          </w:tcPr>
          <w:p w14:paraId="1B89E9E1">
            <w:pPr>
              <w:pStyle w:val="28"/>
              <w:adjustRightInd w:val="0"/>
              <w:snapToGrid w:val="0"/>
              <w:spacing w:before="0" w:beforeAutospacing="0" w:after="0" w:afterAutospacing="0"/>
              <w:jc w:val="center"/>
              <w:rPr>
                <w:rFonts w:ascii="Times New Roman" w:hAnsi="Times New Roman" w:eastAsia="仿宋_GB2312"/>
                <w:bCs/>
                <w:kern w:val="2"/>
                <w:szCs w:val="24"/>
              </w:rPr>
            </w:pPr>
            <w:r>
              <w:rPr>
                <w:rFonts w:eastAsia="仿宋_GB2312"/>
                <w:szCs w:val="21"/>
              </w:rPr>
              <w:t>工艺流程和产排污环节</w:t>
            </w:r>
          </w:p>
        </w:tc>
        <w:tc>
          <w:tcPr>
            <w:tcW w:w="8238" w:type="dxa"/>
          </w:tcPr>
          <w:p w14:paraId="1F7E48DA">
            <w:pPr>
              <w:adjustRightInd w:val="0"/>
              <w:snapToGrid w:val="0"/>
              <w:spacing w:line="360" w:lineRule="auto"/>
              <w:ind w:firstLine="422" w:firstLineChars="200"/>
              <w:jc w:val="left"/>
              <w:rPr>
                <w:rFonts w:eastAsia="仿宋_GB2312"/>
                <w:b/>
                <w:bCs/>
              </w:rPr>
            </w:pPr>
            <w:r>
              <w:rPr>
                <w:rFonts w:hint="eastAsia" w:eastAsia="仿宋_GB2312"/>
                <w:b/>
                <w:bCs/>
              </w:rPr>
              <w:t>2）工艺描述：</w:t>
            </w:r>
          </w:p>
          <w:p w14:paraId="5557E3E6">
            <w:pPr>
              <w:adjustRightInd w:val="0"/>
              <w:snapToGrid w:val="0"/>
              <w:spacing w:line="360" w:lineRule="auto"/>
              <w:ind w:firstLine="420" w:firstLineChars="200"/>
              <w:jc w:val="left"/>
              <w:rPr>
                <w:rFonts w:eastAsia="仿宋_GB2312"/>
              </w:rPr>
            </w:pPr>
            <w:r>
              <w:rPr>
                <w:rFonts w:hint="eastAsia" w:eastAsia="仿宋_GB2312"/>
              </w:rPr>
              <w:t>（1）原辅料混合反应</w:t>
            </w:r>
          </w:p>
          <w:p w14:paraId="1E489731">
            <w:pPr>
              <w:adjustRightInd w:val="0"/>
              <w:snapToGrid w:val="0"/>
              <w:spacing w:line="360" w:lineRule="auto"/>
              <w:ind w:firstLine="420" w:firstLineChars="200"/>
              <w:rPr>
                <w:rFonts w:eastAsia="仿宋_GB2312"/>
              </w:rPr>
            </w:pPr>
            <w:r>
              <w:rPr>
                <w:rFonts w:hint="eastAsia" w:eastAsia="仿宋_GB2312"/>
              </w:rPr>
              <w:t>原卤进入第一反应罐（T-1223）中心桶，与加入的生产原辅料（纯碱液、液碱、次氯酸钠）混合，混合反应后的卤水从中心桶自上而下由中心桶底部流出到外桶，在外桶内自下而上从T-1223罐顶部自流入第二反应罐（T-1222）中心桶内继续反应，反应合格的卤水（Ca</w:t>
            </w:r>
            <w:r>
              <w:rPr>
                <w:rFonts w:hint="eastAsia" w:eastAsia="仿宋_GB2312"/>
                <w:vertAlign w:val="superscript"/>
              </w:rPr>
              <w:t>2+</w:t>
            </w:r>
            <w:r>
              <w:rPr>
                <w:rFonts w:hint="eastAsia" w:eastAsia="仿宋_GB2312"/>
              </w:rPr>
              <w:t>和Mg</w:t>
            </w:r>
            <w:r>
              <w:rPr>
                <w:rFonts w:hint="eastAsia" w:eastAsia="仿宋_GB2312"/>
                <w:vertAlign w:val="superscript"/>
              </w:rPr>
              <w:t>2+</w:t>
            </w:r>
            <w:r>
              <w:rPr>
                <w:rFonts w:hint="eastAsia" w:eastAsia="仿宋_GB2312"/>
              </w:rPr>
              <w:t>总含量≤15ppm）从T-1222罐顶部自流入中间罐（T-1221）。</w:t>
            </w:r>
          </w:p>
          <w:p w14:paraId="7BF2F72E">
            <w:pPr>
              <w:widowControl/>
              <w:adjustRightInd w:val="0"/>
              <w:snapToGrid w:val="0"/>
              <w:spacing w:line="360" w:lineRule="auto"/>
              <w:ind w:firstLine="422" w:firstLineChars="200"/>
              <w:rPr>
                <w:rFonts w:eastAsia="仿宋_GB2312"/>
                <w:b/>
                <w:bCs/>
                <w:snapToGrid w:val="0"/>
                <w:kern w:val="0"/>
              </w:rPr>
            </w:pPr>
            <w:r>
              <w:rPr>
                <w:rFonts w:eastAsia="仿宋_GB2312"/>
                <w:b/>
                <w:bCs/>
                <w:snapToGrid w:val="0"/>
                <w:kern w:val="0"/>
              </w:rPr>
              <w:t>产污节点：</w:t>
            </w:r>
            <w:r>
              <w:rPr>
                <w:rFonts w:hint="eastAsia" w:eastAsia="仿宋_GB2312"/>
                <w:b/>
                <w:bCs/>
                <w:snapToGrid w:val="0"/>
                <w:kern w:val="0"/>
              </w:rPr>
              <w:t>设备运行时的噪声N。</w:t>
            </w:r>
          </w:p>
          <w:p w14:paraId="3F5C711B">
            <w:pPr>
              <w:adjustRightInd w:val="0"/>
              <w:snapToGrid w:val="0"/>
              <w:spacing w:line="360" w:lineRule="auto"/>
              <w:ind w:firstLine="420" w:firstLineChars="200"/>
              <w:jc w:val="left"/>
              <w:rPr>
                <w:rFonts w:eastAsia="仿宋_GB2312"/>
              </w:rPr>
            </w:pPr>
            <w:r>
              <w:rPr>
                <w:rFonts w:hint="eastAsia" w:eastAsia="仿宋_GB2312"/>
              </w:rPr>
              <w:t>（2）平板膜组过滤</w:t>
            </w:r>
          </w:p>
          <w:p w14:paraId="7522EAA4">
            <w:pPr>
              <w:adjustRightInd w:val="0"/>
              <w:snapToGrid w:val="0"/>
              <w:spacing w:line="360" w:lineRule="auto"/>
              <w:ind w:firstLine="420" w:firstLineChars="200"/>
              <w:rPr>
                <w:rFonts w:eastAsia="仿宋_GB2312"/>
              </w:rPr>
            </w:pPr>
            <w:r>
              <w:rPr>
                <w:rFonts w:hint="eastAsia" w:eastAsia="仿宋_GB2312"/>
              </w:rPr>
              <w:t>P-1551把T-1221底部泥浆抽入平板膜池（UF-1610A/B）内，或管式膜浓水进入平板膜池（UF-1610A/B）内，泥浆和浓水进膜池前加入亚硫酸钠溶液，经管道混合器混合均匀，膜池内的料液由平板膜产水泵（P-1620A/B）进行抽滤（利用压差进行过滤），过滤后的清液泵入超滤清卤罐（T-1730），被拦截的固体物沉淀在膜池底部，由泥浆泵（P-1630A/B）泵入泥浆罐(T-1451)。盐泥出售。</w:t>
            </w:r>
          </w:p>
          <w:p w14:paraId="76A76630">
            <w:pPr>
              <w:widowControl/>
              <w:adjustRightInd w:val="0"/>
              <w:snapToGrid w:val="0"/>
              <w:spacing w:line="360" w:lineRule="auto"/>
              <w:ind w:firstLine="422" w:firstLineChars="200"/>
              <w:rPr>
                <w:rFonts w:eastAsia="仿宋_GB2312"/>
                <w:b/>
                <w:bCs/>
                <w:snapToGrid w:val="0"/>
                <w:kern w:val="0"/>
              </w:rPr>
            </w:pPr>
            <w:r>
              <w:rPr>
                <w:rFonts w:eastAsia="仿宋_GB2312"/>
                <w:b/>
                <w:bCs/>
                <w:snapToGrid w:val="0"/>
                <w:kern w:val="0"/>
              </w:rPr>
              <w:t>产污节点：</w:t>
            </w:r>
            <w:r>
              <w:rPr>
                <w:rFonts w:hint="eastAsia" w:eastAsia="仿宋_GB2312"/>
                <w:b/>
                <w:bCs/>
                <w:snapToGrid w:val="0"/>
                <w:kern w:val="0"/>
              </w:rPr>
              <w:t>设备运行时的噪声N、盐泥S1、盐</w:t>
            </w:r>
            <w:r>
              <w:rPr>
                <w:rFonts w:hint="eastAsia" w:eastAsia="仿宋_GB2312"/>
                <w:b/>
                <w:bCs/>
                <w:snapToGrid w:val="0"/>
                <w:color w:val="auto"/>
                <w:kern w:val="0"/>
              </w:rPr>
              <w:t>雾</w:t>
            </w:r>
            <w:r>
              <w:rPr>
                <w:rFonts w:hint="eastAsia" w:eastAsia="仿宋_GB2312"/>
                <w:b/>
                <w:bCs/>
                <w:snapToGrid w:val="0"/>
                <w:color w:val="auto"/>
                <w:kern w:val="0"/>
                <w:lang w:val="en-US" w:eastAsia="zh-CN"/>
              </w:rPr>
              <w:t>颗粒</w:t>
            </w:r>
            <w:r>
              <w:rPr>
                <w:rFonts w:hint="eastAsia" w:eastAsia="仿宋_GB2312"/>
                <w:b/>
                <w:bCs/>
                <w:snapToGrid w:val="0"/>
                <w:color w:val="auto"/>
                <w:kern w:val="0"/>
              </w:rPr>
              <w:t>G1、废液W7。</w:t>
            </w:r>
          </w:p>
          <w:p w14:paraId="18F03869">
            <w:pPr>
              <w:adjustRightInd w:val="0"/>
              <w:snapToGrid w:val="0"/>
              <w:spacing w:line="360" w:lineRule="auto"/>
              <w:ind w:firstLine="420" w:firstLineChars="200"/>
              <w:jc w:val="left"/>
              <w:rPr>
                <w:rFonts w:eastAsia="仿宋_GB2312"/>
              </w:rPr>
            </w:pPr>
            <w:r>
              <w:rPr>
                <w:rFonts w:hint="eastAsia" w:eastAsia="仿宋_GB2312"/>
              </w:rPr>
              <w:t>（3）超滤膜组过滤</w:t>
            </w:r>
          </w:p>
          <w:p w14:paraId="31DB7753">
            <w:pPr>
              <w:adjustRightInd w:val="0"/>
              <w:snapToGrid w:val="0"/>
              <w:spacing w:line="360" w:lineRule="auto"/>
              <w:ind w:firstLine="420" w:firstLineChars="200"/>
              <w:rPr>
                <w:rFonts w:eastAsia="仿宋_GB2312"/>
              </w:rPr>
            </w:pPr>
            <w:r>
              <w:rPr>
                <w:rFonts w:hint="eastAsia" w:eastAsia="仿宋_GB2312"/>
              </w:rPr>
              <w:t>中间罐（T-1221)内的卤水由卤水泵（P-1223A/B、一用一备）抽出，先通过粗过滤器（M-1710A/B/C/D）拦截分离出粒径≥1.6mm的机械杂物，然后进入陶瓷膜循环罐（T-1710），循环罐内的卤水由循环泵（P-1712/1713/1714）对应泵入超滤膜设备（UF-1710A/B/C），三组超滤膜清液（SS＜10Ntu）汇总到清液总管，通过管道混合器（X-1710）与无水亚硫酸钠混合去除游离氯后（150Mv）自流入超滤清卤罐（T-1730），循环卤水回流入循环罐（T-1710）循环卤水有部分浓水排入平板膜池（UF-1610A/B），特殊情况下也可排入T-1223内。</w:t>
            </w:r>
          </w:p>
          <w:p w14:paraId="6F70FCB0">
            <w:pPr>
              <w:widowControl/>
              <w:adjustRightInd w:val="0"/>
              <w:snapToGrid w:val="0"/>
              <w:spacing w:line="360" w:lineRule="auto"/>
              <w:ind w:firstLine="422" w:firstLineChars="200"/>
              <w:rPr>
                <w:rFonts w:eastAsia="仿宋_GB2312"/>
                <w:b/>
                <w:bCs/>
                <w:snapToGrid w:val="0"/>
                <w:kern w:val="0"/>
              </w:rPr>
            </w:pPr>
            <w:r>
              <w:rPr>
                <w:rFonts w:eastAsia="仿宋_GB2312"/>
                <w:b/>
                <w:bCs/>
                <w:snapToGrid w:val="0"/>
                <w:kern w:val="0"/>
              </w:rPr>
              <w:t>产污节点：</w:t>
            </w:r>
            <w:r>
              <w:rPr>
                <w:rFonts w:hint="eastAsia" w:eastAsia="仿宋_GB2312"/>
                <w:b/>
                <w:bCs/>
                <w:snapToGrid w:val="0"/>
                <w:kern w:val="0"/>
              </w:rPr>
              <w:t>设备运行时的噪声N、废液W6</w:t>
            </w:r>
            <w:r>
              <w:rPr>
                <w:rFonts w:hint="eastAsia" w:eastAsia="仿宋_GB2312"/>
                <w:b/>
                <w:bCs/>
                <w:snapToGrid w:val="0"/>
                <w:kern w:val="0"/>
                <w:lang w:eastAsia="zh-CN"/>
              </w:rPr>
              <w:t>、</w:t>
            </w:r>
            <w:r>
              <w:rPr>
                <w:rFonts w:hint="eastAsia" w:eastAsia="仿宋_GB2312"/>
                <w:b/>
                <w:bCs/>
                <w:sz w:val="21"/>
                <w:szCs w:val="21"/>
              </w:rPr>
              <w:t>活性炭过滤器</w:t>
            </w:r>
            <w:r>
              <w:rPr>
                <w:rFonts w:hint="eastAsia" w:eastAsia="仿宋_GB2312"/>
                <w:b/>
                <w:bCs/>
                <w:sz w:val="21"/>
                <w:szCs w:val="21"/>
                <w:lang w:val="en-US" w:eastAsia="zh-CN"/>
              </w:rPr>
              <w:t>S2、</w:t>
            </w:r>
            <w:r>
              <w:rPr>
                <w:rFonts w:hint="eastAsia" w:eastAsia="仿宋_GB2312"/>
                <w:b/>
                <w:bCs/>
                <w:sz w:val="21"/>
                <w:szCs w:val="21"/>
              </w:rPr>
              <w:t>废保安过滤器滤芯</w:t>
            </w:r>
            <w:r>
              <w:rPr>
                <w:rFonts w:hint="eastAsia" w:eastAsia="仿宋_GB2312"/>
                <w:b/>
                <w:bCs/>
                <w:sz w:val="21"/>
                <w:szCs w:val="21"/>
                <w:lang w:val="en-US" w:eastAsia="zh-CN"/>
              </w:rPr>
              <w:t>S3</w:t>
            </w:r>
            <w:r>
              <w:rPr>
                <w:rFonts w:hint="eastAsia" w:eastAsia="仿宋_GB2312"/>
                <w:b/>
                <w:bCs/>
                <w:snapToGrid w:val="0"/>
                <w:kern w:val="0"/>
              </w:rPr>
              <w:t>。</w:t>
            </w:r>
          </w:p>
          <w:p w14:paraId="19BB794D">
            <w:pPr>
              <w:adjustRightInd w:val="0"/>
              <w:snapToGrid w:val="0"/>
              <w:spacing w:line="360" w:lineRule="auto"/>
              <w:ind w:firstLine="420" w:firstLineChars="200"/>
              <w:jc w:val="left"/>
              <w:rPr>
                <w:rFonts w:eastAsia="仿宋_GB2312"/>
              </w:rPr>
            </w:pPr>
            <w:r>
              <w:rPr>
                <w:rFonts w:hint="eastAsia" w:eastAsia="仿宋_GB2312"/>
              </w:rPr>
              <w:t>（4）纳滤膜组过滤</w:t>
            </w:r>
          </w:p>
          <w:p w14:paraId="0B20831F">
            <w:pPr>
              <w:adjustRightInd w:val="0"/>
              <w:snapToGrid w:val="0"/>
              <w:spacing w:line="360" w:lineRule="auto"/>
              <w:ind w:firstLine="420" w:firstLineChars="200"/>
              <w:rPr>
                <w:rFonts w:eastAsia="仿宋_GB2312"/>
              </w:rPr>
            </w:pPr>
            <w:r>
              <w:rPr>
                <w:rFonts w:hint="eastAsia" w:eastAsia="仿宋_GB2312"/>
              </w:rPr>
              <w:t>超滤清卤罐（T-1730）内的卤水，一部分由超滤清卤泵（P-1730A/B、一用一备）泵入二期清卤罐（T-1240）。</w:t>
            </w:r>
          </w:p>
          <w:p w14:paraId="37B9E083">
            <w:pPr>
              <w:adjustRightInd w:val="0"/>
              <w:snapToGrid w:val="0"/>
              <w:spacing w:line="360" w:lineRule="auto"/>
              <w:ind w:firstLine="420" w:firstLineChars="200"/>
              <w:rPr>
                <w:rFonts w:eastAsia="仿宋_GB2312"/>
              </w:rPr>
            </w:pPr>
            <w:r>
              <w:rPr>
                <w:rFonts w:hint="eastAsia" w:eastAsia="仿宋_GB2312"/>
              </w:rPr>
              <w:t>超滤清卤罐(T-1730)内的卤水，一部分由纳滤清卤泵(P-1730C/D、一用一备)抽出，先加入盐酸和亚硫酸钠，经过盐酸管道混合器(X-1810A)和亚纳管道混合器(X-1810B)调节卤水PH值(8-10)和去除游离氯(0ppm)，然后再通过活性碳塔(FL-1820A/B)吸附残留游离氯和大通量保安过滤器(FL-1830A/B/C/D)过滤杂质后，最后泵入纳滤清卤罐(T-1830)。纳滤清卤罐(T-1830)内卤水由纳滤高压泵(P-1830A/B、高压泵与纳滤膜一对一)对应泵入纳滤膜(NF-1840A/B),高硝水送至金东卤水精制厂(或卤水净化母液罐内，或二期盐硝甩后液桶)，低硝水出口管道接在P-1730A/B进口管道上，输送入二期清卤罐(T-1240)，与超滤清卤混合调配清卤硫酸钠含量。</w:t>
            </w:r>
          </w:p>
          <w:p w14:paraId="47B5070D">
            <w:pPr>
              <w:adjustRightInd w:val="0"/>
              <w:snapToGrid w:val="0"/>
              <w:spacing w:line="360" w:lineRule="auto"/>
              <w:ind w:firstLine="420" w:firstLineChars="200"/>
              <w:rPr>
                <w:rFonts w:eastAsia="仿宋_GB2312"/>
              </w:rPr>
            </w:pPr>
            <w:r>
              <w:rPr>
                <w:rFonts w:hint="eastAsia" w:eastAsia="仿宋_GB2312"/>
              </w:rPr>
              <w:t>二期清卤罐（T-1240）内卤水由清卤泵（P-1240A/B，一用一备）输送至二期盐硝系统，在清卤泵进口管道上加入阻垢剂（≈10ppm）。</w:t>
            </w:r>
          </w:p>
          <w:p w14:paraId="1DDA4601">
            <w:pPr>
              <w:widowControl/>
              <w:adjustRightInd w:val="0"/>
              <w:snapToGrid w:val="0"/>
              <w:spacing w:line="360" w:lineRule="auto"/>
              <w:ind w:firstLine="422" w:firstLineChars="200"/>
              <w:rPr>
                <w:rFonts w:eastAsia="仿宋_GB2312"/>
                <w:b/>
                <w:bCs/>
                <w:snapToGrid w:val="0"/>
                <w:kern w:val="0"/>
              </w:rPr>
            </w:pPr>
            <w:r>
              <w:rPr>
                <w:rFonts w:eastAsia="仿宋_GB2312"/>
                <w:b/>
                <w:bCs/>
                <w:snapToGrid w:val="0"/>
                <w:kern w:val="0"/>
              </w:rPr>
              <w:t>产污节点：</w:t>
            </w:r>
            <w:r>
              <w:rPr>
                <w:rFonts w:hint="eastAsia" w:eastAsia="仿宋_GB2312"/>
                <w:b/>
                <w:bCs/>
                <w:snapToGrid w:val="0"/>
                <w:kern w:val="0"/>
              </w:rPr>
              <w:t>设备运行时的噪声N</w:t>
            </w:r>
            <w:r>
              <w:rPr>
                <w:rFonts w:hint="eastAsia" w:eastAsia="仿宋_GB2312"/>
                <w:b/>
                <w:bCs/>
                <w:snapToGrid w:val="0"/>
                <w:kern w:val="0"/>
                <w:lang w:eastAsia="zh-CN"/>
              </w:rPr>
              <w:t>、</w:t>
            </w:r>
            <w:r>
              <w:rPr>
                <w:rFonts w:hint="eastAsia" w:eastAsia="仿宋_GB2312"/>
                <w:b/>
                <w:bCs/>
                <w:snapToGrid w:val="0"/>
                <w:kern w:val="0"/>
                <w:lang w:val="en-US" w:eastAsia="zh-CN"/>
              </w:rPr>
              <w:t>S4</w:t>
            </w:r>
            <w:r>
              <w:rPr>
                <w:rFonts w:hint="eastAsia" w:eastAsia="仿宋_GB2312"/>
                <w:b/>
                <w:bCs/>
                <w:sz w:val="21"/>
                <w:szCs w:val="21"/>
              </w:rPr>
              <w:t>过滤器滤芯</w:t>
            </w:r>
            <w:r>
              <w:rPr>
                <w:rFonts w:hint="eastAsia" w:eastAsia="仿宋_GB2312"/>
                <w:b/>
                <w:bCs/>
                <w:snapToGrid w:val="0"/>
                <w:kern w:val="0"/>
              </w:rPr>
              <w:t>。</w:t>
            </w:r>
          </w:p>
          <w:p w14:paraId="1A336E2C">
            <w:pPr>
              <w:adjustRightInd w:val="0"/>
              <w:snapToGrid w:val="0"/>
              <w:spacing w:line="360" w:lineRule="auto"/>
              <w:ind w:firstLine="420" w:firstLineChars="200"/>
              <w:jc w:val="left"/>
              <w:rPr>
                <w:rFonts w:eastAsia="仿宋_GB2312"/>
              </w:rPr>
            </w:pPr>
            <w:r>
              <w:rPr>
                <w:rFonts w:hint="eastAsia" w:eastAsia="仿宋_GB2312"/>
              </w:rPr>
              <w:t>（5）清洗</w:t>
            </w:r>
          </w:p>
          <w:p w14:paraId="7055A18D">
            <w:pPr>
              <w:pStyle w:val="12"/>
              <w:spacing w:before="0" w:after="0" w:line="360" w:lineRule="auto"/>
              <w:ind w:right="0" w:firstLine="420" w:firstLineChars="200"/>
              <w:rPr>
                <w:rFonts w:eastAsia="仿宋_GB2312"/>
                <w:sz w:val="21"/>
                <w:szCs w:val="21"/>
              </w:rPr>
            </w:pPr>
            <w:r>
              <w:rPr>
                <w:rFonts w:eastAsia="仿宋_GB2312"/>
                <w:sz w:val="21"/>
                <w:szCs w:val="21"/>
              </w:rPr>
              <w:t>在较长时间的运行后，因膜表面的污染可能会导致通量变化、过滤能力下降，需对膜表面进行化学清洗使其再生，使膜通量得到恢复、过滤能力达到起始状态。本过滤器设置了配套的清洗系统，在系统运行15天左右进行一次化学清洗，清洗流程为：</w:t>
            </w:r>
            <w:r>
              <w:rPr>
                <w:rFonts w:hint="eastAsia" w:eastAsia="仿宋_GB2312"/>
                <w:sz w:val="21"/>
                <w:szCs w:val="21"/>
              </w:rPr>
              <w:t>排空盐水→精卤冲洗→回流平板膜→加酸循环清洗→回流酸洗罐→精卤冲洗→回用采卤</w:t>
            </w:r>
            <w:r>
              <w:rPr>
                <w:rFonts w:eastAsia="仿宋_GB2312"/>
                <w:sz w:val="21"/>
                <w:szCs w:val="21"/>
              </w:rPr>
              <w:t>。化学清洗需</w:t>
            </w:r>
            <w:r>
              <w:rPr>
                <w:rFonts w:hint="eastAsia" w:eastAsia="仿宋_GB2312"/>
                <w:sz w:val="21"/>
                <w:szCs w:val="21"/>
              </w:rPr>
              <w:t>使用</w:t>
            </w:r>
            <w:r>
              <w:rPr>
                <w:rFonts w:eastAsia="仿宋_GB2312"/>
                <w:sz w:val="21"/>
                <w:szCs w:val="21"/>
              </w:rPr>
              <w:t>清洗液为</w:t>
            </w:r>
            <w:r>
              <w:rPr>
                <w:rFonts w:hint="eastAsia" w:eastAsia="仿宋_GB2312"/>
                <w:sz w:val="21"/>
                <w:szCs w:val="21"/>
              </w:rPr>
              <w:t>3</w:t>
            </w:r>
            <w:r>
              <w:rPr>
                <w:rFonts w:eastAsia="仿宋_GB2312"/>
                <w:sz w:val="21"/>
                <w:szCs w:val="21"/>
              </w:rPr>
              <w:t>0%的盐酸，将来自</w:t>
            </w:r>
            <w:r>
              <w:rPr>
                <w:rFonts w:hint="eastAsia" w:eastAsia="仿宋_GB2312"/>
                <w:sz w:val="21"/>
                <w:szCs w:val="21"/>
              </w:rPr>
              <w:t>盐酸储罐</w:t>
            </w:r>
            <w:r>
              <w:rPr>
                <w:rFonts w:eastAsia="仿宋_GB2312"/>
                <w:sz w:val="21"/>
                <w:szCs w:val="21"/>
              </w:rPr>
              <w:t>的3</w:t>
            </w:r>
            <w:r>
              <w:rPr>
                <w:rFonts w:hint="eastAsia" w:eastAsia="仿宋_GB2312"/>
                <w:sz w:val="21"/>
                <w:szCs w:val="21"/>
              </w:rPr>
              <w:t>0</w:t>
            </w:r>
            <w:r>
              <w:rPr>
                <w:rFonts w:eastAsia="仿宋_GB2312"/>
                <w:sz w:val="21"/>
                <w:szCs w:val="21"/>
              </w:rPr>
              <w:t>%盐酸加入到平板膜</w:t>
            </w:r>
            <w:r>
              <w:rPr>
                <w:rFonts w:hint="eastAsia" w:eastAsia="仿宋_GB2312"/>
                <w:sz w:val="21"/>
                <w:szCs w:val="21"/>
              </w:rPr>
              <w:t>酸洗</w:t>
            </w:r>
            <w:r>
              <w:rPr>
                <w:rFonts w:eastAsia="仿宋_GB2312"/>
                <w:sz w:val="21"/>
                <w:szCs w:val="21"/>
              </w:rPr>
              <w:t>罐中。膜池每次清洗后，清洗液均全量排回</w:t>
            </w:r>
            <w:r>
              <w:rPr>
                <w:rFonts w:hint="eastAsia" w:eastAsia="仿宋_GB2312"/>
                <w:sz w:val="21"/>
                <w:szCs w:val="21"/>
              </w:rPr>
              <w:t>酸洗</w:t>
            </w:r>
            <w:r>
              <w:rPr>
                <w:rFonts w:eastAsia="仿宋_GB2312"/>
                <w:sz w:val="21"/>
                <w:szCs w:val="21"/>
              </w:rPr>
              <w:t>罐，</w:t>
            </w:r>
            <w:r>
              <w:rPr>
                <w:rFonts w:hint="eastAsia" w:eastAsia="仿宋_GB2312"/>
                <w:sz w:val="21"/>
                <w:szCs w:val="21"/>
              </w:rPr>
              <w:t>酸洗</w:t>
            </w:r>
            <w:r>
              <w:rPr>
                <w:rFonts w:eastAsia="仿宋_GB2312"/>
                <w:sz w:val="21"/>
                <w:szCs w:val="21"/>
              </w:rPr>
              <w:t>罐需定期排污，平均</w:t>
            </w:r>
            <w:r>
              <w:rPr>
                <w:rFonts w:hint="eastAsia" w:eastAsia="仿宋_GB2312"/>
                <w:sz w:val="21"/>
                <w:szCs w:val="21"/>
              </w:rPr>
              <w:t>一月更新</w:t>
            </w:r>
            <w:r>
              <w:rPr>
                <w:rFonts w:eastAsia="仿宋_GB2312"/>
                <w:sz w:val="21"/>
                <w:szCs w:val="21"/>
              </w:rPr>
              <w:t>一次，废</w:t>
            </w:r>
            <w:r>
              <w:rPr>
                <w:rFonts w:hint="eastAsia" w:eastAsia="仿宋_GB2312"/>
                <w:sz w:val="21"/>
                <w:szCs w:val="21"/>
              </w:rPr>
              <w:t>液回用于采卤</w:t>
            </w:r>
            <w:r>
              <w:rPr>
                <w:rFonts w:eastAsia="仿宋_GB2312"/>
                <w:sz w:val="21"/>
                <w:szCs w:val="21"/>
              </w:rPr>
              <w:t>。</w:t>
            </w:r>
          </w:p>
          <w:p w14:paraId="0521DE9B">
            <w:pPr>
              <w:widowControl/>
              <w:adjustRightInd w:val="0"/>
              <w:snapToGrid w:val="0"/>
              <w:spacing w:line="360" w:lineRule="auto"/>
              <w:ind w:firstLine="422" w:firstLineChars="200"/>
              <w:rPr>
                <w:rFonts w:eastAsia="仿宋_GB2312"/>
                <w:b/>
                <w:bCs/>
                <w:snapToGrid w:val="0"/>
                <w:kern w:val="0"/>
              </w:rPr>
            </w:pPr>
            <w:r>
              <w:rPr>
                <w:rFonts w:eastAsia="仿宋_GB2312"/>
                <w:b/>
                <w:bCs/>
                <w:snapToGrid w:val="0"/>
                <w:kern w:val="0"/>
              </w:rPr>
              <w:t>产污节点：</w:t>
            </w:r>
            <w:r>
              <w:rPr>
                <w:rFonts w:hint="eastAsia" w:eastAsia="仿宋_GB2312"/>
                <w:b/>
                <w:bCs/>
                <w:snapToGrid w:val="0"/>
                <w:kern w:val="0"/>
              </w:rPr>
              <w:t>盐酸储罐产生的酸雾G2、废液W1~W5。</w:t>
            </w:r>
          </w:p>
          <w:p w14:paraId="56EC32AD">
            <w:pPr>
              <w:adjustRightInd w:val="0"/>
              <w:snapToGrid w:val="0"/>
              <w:spacing w:line="360" w:lineRule="auto"/>
              <w:ind w:firstLine="420" w:firstLineChars="200"/>
              <w:rPr>
                <w:rFonts w:eastAsia="仿宋_GB2312"/>
              </w:rPr>
            </w:pPr>
            <w:r>
              <w:rPr>
                <w:rFonts w:eastAsia="仿宋_GB2312"/>
              </w:rPr>
              <w:t>本项目运营期产生的污染物主要由</w:t>
            </w:r>
            <w:r>
              <w:rPr>
                <w:rFonts w:hint="eastAsia" w:eastAsia="仿宋_GB2312"/>
              </w:rPr>
              <w:t>废气、废水、</w:t>
            </w:r>
            <w:r>
              <w:rPr>
                <w:rFonts w:eastAsia="仿宋_GB2312"/>
              </w:rPr>
              <w:t>噪声和固废组成，详见表2-</w:t>
            </w:r>
            <w:r>
              <w:rPr>
                <w:rFonts w:hint="eastAsia" w:eastAsia="仿宋_GB2312"/>
                <w:lang w:val="en-US" w:eastAsia="zh-CN"/>
              </w:rPr>
              <w:t>10</w:t>
            </w:r>
            <w:r>
              <w:rPr>
                <w:rFonts w:eastAsia="仿宋_GB2312"/>
              </w:rPr>
              <w:t>。</w:t>
            </w:r>
          </w:p>
          <w:p w14:paraId="330C2AD9">
            <w:pPr>
              <w:adjustRightInd w:val="0"/>
              <w:snapToGrid w:val="0"/>
              <w:spacing w:line="360" w:lineRule="auto"/>
              <w:ind w:firstLine="420" w:firstLineChars="200"/>
              <w:rPr>
                <w:rFonts w:eastAsia="仿宋_GB2312"/>
                <w:color w:val="000000"/>
              </w:rPr>
            </w:pPr>
            <w:r>
              <w:rPr>
                <w:rFonts w:hint="eastAsia" w:eastAsia="仿宋_GB2312"/>
                <w:color w:val="000000"/>
              </w:rPr>
              <w:t>本项目</w:t>
            </w:r>
            <w:r>
              <w:rPr>
                <w:rFonts w:hint="eastAsia" w:eastAsia="仿宋_GB2312"/>
                <w:color w:val="000000"/>
                <w:kern w:val="0"/>
              </w:rPr>
              <w:t>输卤输水管线</w:t>
            </w:r>
            <w:r>
              <w:rPr>
                <w:rFonts w:hint="eastAsia" w:eastAsia="仿宋_GB2312"/>
                <w:color w:val="000000"/>
              </w:rPr>
              <w:t>营运期实行管专用，正常情况下无废气排放，无废水排放，管线为全密闭管线，营运期无噪声排放，正常工况下无固体废物排放。</w:t>
            </w:r>
          </w:p>
          <w:p w14:paraId="2FAF0D32">
            <w:pPr>
              <w:keepNext/>
              <w:keepLines/>
              <w:adjustRightInd w:val="0"/>
              <w:snapToGrid w:val="0"/>
              <w:spacing w:line="360" w:lineRule="auto"/>
              <w:jc w:val="center"/>
              <w:rPr>
                <w:rFonts w:eastAsia="仿宋_GB2312"/>
                <w:b/>
                <w:kern w:val="0"/>
              </w:rPr>
            </w:pPr>
            <w:r>
              <w:rPr>
                <w:rFonts w:eastAsia="仿宋_GB2312"/>
                <w:b/>
                <w:bCs/>
              </w:rPr>
              <w:t>表</w:t>
            </w:r>
            <w:r>
              <w:rPr>
                <w:rFonts w:eastAsia="仿宋_GB2312"/>
                <w:b/>
                <w:kern w:val="0"/>
              </w:rPr>
              <w:t>2-</w:t>
            </w:r>
            <w:r>
              <w:rPr>
                <w:rFonts w:hint="eastAsia" w:eastAsia="仿宋_GB2312"/>
                <w:b/>
                <w:kern w:val="0"/>
                <w:lang w:val="en-US" w:eastAsia="zh-CN"/>
              </w:rPr>
              <w:t>11</w:t>
            </w:r>
            <w:r>
              <w:rPr>
                <w:rFonts w:hint="eastAsia" w:eastAsia="仿宋_GB2312"/>
                <w:b/>
                <w:kern w:val="0"/>
              </w:rPr>
              <w:t xml:space="preserve">  本次技改后新增</w:t>
            </w:r>
            <w:r>
              <w:rPr>
                <w:rFonts w:eastAsia="仿宋_GB2312"/>
                <w:b/>
                <w:kern w:val="0"/>
              </w:rPr>
              <w:t>产污环节</w:t>
            </w:r>
            <w:r>
              <w:rPr>
                <w:rFonts w:hint="eastAsia" w:eastAsia="仿宋_GB2312"/>
                <w:b/>
                <w:kern w:val="0"/>
              </w:rPr>
              <w:t>汇总表</w:t>
            </w:r>
          </w:p>
          <w:tbl>
            <w:tblPr>
              <w:tblStyle w:val="3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39"/>
              <w:gridCol w:w="970"/>
              <w:gridCol w:w="2114"/>
              <w:gridCol w:w="2299"/>
              <w:gridCol w:w="2236"/>
            </w:tblGrid>
            <w:tr w14:paraId="29C06F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vAlign w:val="center"/>
                </w:tcPr>
                <w:p w14:paraId="2CFCED94">
                  <w:pPr>
                    <w:adjustRightInd w:val="0"/>
                    <w:snapToGrid w:val="0"/>
                    <w:jc w:val="center"/>
                    <w:rPr>
                      <w:rFonts w:eastAsia="仿宋_GB2312"/>
                      <w:b/>
                      <w:sz w:val="21"/>
                      <w:szCs w:val="21"/>
                    </w:rPr>
                  </w:pPr>
                  <w:bookmarkStart w:id="35" w:name="_Hlk500635603"/>
                  <w:r>
                    <w:rPr>
                      <w:rFonts w:eastAsia="仿宋_GB2312"/>
                      <w:b/>
                      <w:sz w:val="21"/>
                      <w:szCs w:val="21"/>
                    </w:rPr>
                    <w:t>类别</w:t>
                  </w:r>
                </w:p>
              </w:tc>
              <w:tc>
                <w:tcPr>
                  <w:tcW w:w="573" w:type="pct"/>
                  <w:vAlign w:val="center"/>
                </w:tcPr>
                <w:p w14:paraId="6245B3F6">
                  <w:pPr>
                    <w:adjustRightInd w:val="0"/>
                    <w:snapToGrid w:val="0"/>
                    <w:jc w:val="center"/>
                    <w:rPr>
                      <w:rFonts w:eastAsia="仿宋_GB2312"/>
                      <w:b/>
                      <w:sz w:val="21"/>
                      <w:szCs w:val="21"/>
                    </w:rPr>
                  </w:pPr>
                  <w:r>
                    <w:rPr>
                      <w:rFonts w:eastAsia="仿宋_GB2312"/>
                      <w:b/>
                      <w:sz w:val="21"/>
                      <w:szCs w:val="21"/>
                    </w:rPr>
                    <w:t>代码</w:t>
                  </w:r>
                </w:p>
              </w:tc>
              <w:tc>
                <w:tcPr>
                  <w:tcW w:w="1249" w:type="pct"/>
                  <w:vAlign w:val="center"/>
                </w:tcPr>
                <w:p w14:paraId="63A6979D">
                  <w:pPr>
                    <w:adjustRightInd w:val="0"/>
                    <w:snapToGrid w:val="0"/>
                    <w:jc w:val="center"/>
                    <w:rPr>
                      <w:rFonts w:eastAsia="仿宋_GB2312"/>
                      <w:b/>
                      <w:sz w:val="21"/>
                      <w:szCs w:val="21"/>
                    </w:rPr>
                  </w:pPr>
                  <w:r>
                    <w:rPr>
                      <w:rFonts w:eastAsia="仿宋_GB2312"/>
                      <w:b/>
                      <w:sz w:val="21"/>
                      <w:szCs w:val="21"/>
                    </w:rPr>
                    <w:t>污染源</w:t>
                  </w:r>
                </w:p>
              </w:tc>
              <w:tc>
                <w:tcPr>
                  <w:tcW w:w="1358" w:type="pct"/>
                  <w:vAlign w:val="center"/>
                </w:tcPr>
                <w:p w14:paraId="23A7F5DF">
                  <w:pPr>
                    <w:adjustRightInd w:val="0"/>
                    <w:snapToGrid w:val="0"/>
                    <w:jc w:val="center"/>
                    <w:rPr>
                      <w:rFonts w:eastAsia="仿宋_GB2312"/>
                      <w:b/>
                      <w:sz w:val="21"/>
                      <w:szCs w:val="21"/>
                    </w:rPr>
                  </w:pPr>
                  <w:r>
                    <w:rPr>
                      <w:rFonts w:eastAsia="仿宋_GB2312"/>
                      <w:b/>
                      <w:sz w:val="21"/>
                      <w:szCs w:val="21"/>
                    </w:rPr>
                    <w:t>污染物</w:t>
                  </w:r>
                </w:p>
              </w:tc>
              <w:tc>
                <w:tcPr>
                  <w:tcW w:w="1321" w:type="pct"/>
                  <w:vAlign w:val="center"/>
                </w:tcPr>
                <w:p w14:paraId="7FFB7F5E">
                  <w:pPr>
                    <w:adjustRightInd w:val="0"/>
                    <w:snapToGrid w:val="0"/>
                    <w:jc w:val="center"/>
                    <w:rPr>
                      <w:rFonts w:eastAsia="仿宋_GB2312"/>
                      <w:b/>
                      <w:sz w:val="21"/>
                      <w:szCs w:val="21"/>
                    </w:rPr>
                  </w:pPr>
                  <w:r>
                    <w:rPr>
                      <w:rFonts w:eastAsia="仿宋_GB2312"/>
                      <w:b/>
                      <w:sz w:val="21"/>
                      <w:szCs w:val="21"/>
                    </w:rPr>
                    <w:t>处理措施及排放去向</w:t>
                  </w:r>
                </w:p>
              </w:tc>
            </w:tr>
            <w:tr w14:paraId="25B6D7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vMerge w:val="restart"/>
                  <w:vAlign w:val="center"/>
                </w:tcPr>
                <w:p w14:paraId="5876F83B">
                  <w:pPr>
                    <w:adjustRightInd w:val="0"/>
                    <w:snapToGrid w:val="0"/>
                    <w:jc w:val="center"/>
                    <w:rPr>
                      <w:rFonts w:eastAsia="仿宋_GB2312"/>
                      <w:sz w:val="21"/>
                      <w:szCs w:val="21"/>
                    </w:rPr>
                  </w:pPr>
                  <w:r>
                    <w:rPr>
                      <w:rFonts w:eastAsia="仿宋_GB2312"/>
                      <w:sz w:val="21"/>
                      <w:szCs w:val="21"/>
                    </w:rPr>
                    <w:t>废气</w:t>
                  </w:r>
                </w:p>
              </w:tc>
              <w:tc>
                <w:tcPr>
                  <w:tcW w:w="573" w:type="pct"/>
                  <w:vAlign w:val="center"/>
                </w:tcPr>
                <w:p w14:paraId="6FBBC154">
                  <w:pPr>
                    <w:adjustRightInd w:val="0"/>
                    <w:snapToGrid w:val="0"/>
                    <w:jc w:val="center"/>
                    <w:rPr>
                      <w:rFonts w:eastAsia="仿宋_GB2312"/>
                      <w:sz w:val="21"/>
                      <w:szCs w:val="21"/>
                    </w:rPr>
                  </w:pPr>
                  <w:r>
                    <w:rPr>
                      <w:rFonts w:hint="eastAsia" w:eastAsia="仿宋_GB2312"/>
                      <w:sz w:val="21"/>
                      <w:szCs w:val="21"/>
                    </w:rPr>
                    <w:t>G1</w:t>
                  </w:r>
                </w:p>
              </w:tc>
              <w:tc>
                <w:tcPr>
                  <w:tcW w:w="1249" w:type="pct"/>
                  <w:shd w:val="clear" w:color="auto" w:fill="auto"/>
                  <w:vAlign w:val="center"/>
                </w:tcPr>
                <w:p w14:paraId="027DF7C4">
                  <w:pPr>
                    <w:adjustRightInd w:val="0"/>
                    <w:snapToGrid w:val="0"/>
                    <w:jc w:val="center"/>
                    <w:rPr>
                      <w:rFonts w:hint="eastAsia" w:ascii="Times New Roman" w:hAnsi="Times New Roman" w:eastAsia="仿宋_GB2312" w:cs="Times New Roman"/>
                      <w:kern w:val="2"/>
                      <w:sz w:val="21"/>
                      <w:szCs w:val="21"/>
                      <w:lang w:val="en-US" w:eastAsia="zh-CN" w:bidi="ar-SA"/>
                    </w:rPr>
                  </w:pPr>
                  <w:r>
                    <w:rPr>
                      <w:rFonts w:hint="eastAsia" w:eastAsia="仿宋_GB2312"/>
                      <w:sz w:val="21"/>
                      <w:szCs w:val="21"/>
                    </w:rPr>
                    <w:t>盐酸储罐呼吸废气</w:t>
                  </w:r>
                </w:p>
              </w:tc>
              <w:tc>
                <w:tcPr>
                  <w:tcW w:w="1358" w:type="pct"/>
                  <w:shd w:val="clear" w:color="auto" w:fill="auto"/>
                  <w:vAlign w:val="center"/>
                </w:tcPr>
                <w:p w14:paraId="39609CBD">
                  <w:pPr>
                    <w:adjustRightInd w:val="0"/>
                    <w:snapToGrid w:val="0"/>
                    <w:jc w:val="center"/>
                    <w:rPr>
                      <w:rFonts w:hint="eastAsia" w:ascii="Times New Roman" w:hAnsi="Times New Roman" w:eastAsia="仿宋_GB2312" w:cs="Times New Roman"/>
                      <w:snapToGrid w:val="0"/>
                      <w:kern w:val="2"/>
                      <w:sz w:val="21"/>
                      <w:szCs w:val="21"/>
                      <w:lang w:val="en-US" w:eastAsia="zh-CN" w:bidi="ar-SA"/>
                    </w:rPr>
                  </w:pPr>
                  <w:r>
                    <w:rPr>
                      <w:rFonts w:hint="eastAsia" w:eastAsia="仿宋_GB2312"/>
                      <w:snapToGrid w:val="0"/>
                      <w:sz w:val="21"/>
                      <w:szCs w:val="21"/>
                    </w:rPr>
                    <w:t>HCl</w:t>
                  </w:r>
                </w:p>
              </w:tc>
              <w:tc>
                <w:tcPr>
                  <w:tcW w:w="1321" w:type="pct"/>
                  <w:shd w:val="clear" w:color="auto" w:fill="auto"/>
                  <w:vAlign w:val="center"/>
                </w:tcPr>
                <w:p w14:paraId="6F9F7D3E">
                  <w:pPr>
                    <w:adjustRightInd w:val="0"/>
                    <w:snapToGrid w:val="0"/>
                    <w:jc w:val="center"/>
                    <w:rPr>
                      <w:rFonts w:hint="eastAsia" w:ascii="Times New Roman" w:hAnsi="Times New Roman" w:eastAsia="仿宋_GB2312" w:cs="Times New Roman"/>
                      <w:snapToGrid w:val="0"/>
                      <w:kern w:val="2"/>
                      <w:sz w:val="21"/>
                      <w:szCs w:val="21"/>
                      <w:lang w:val="en-US" w:eastAsia="zh-CN" w:bidi="ar-SA"/>
                    </w:rPr>
                  </w:pPr>
                  <w:r>
                    <w:rPr>
                      <w:rFonts w:hint="eastAsia" w:eastAsia="仿宋_GB2312"/>
                      <w:snapToGrid w:val="0"/>
                      <w:sz w:val="21"/>
                      <w:szCs w:val="21"/>
                    </w:rPr>
                    <w:t>酸雾尾气收集塔+3m高排气筒</w:t>
                  </w:r>
                  <w:r>
                    <w:rPr>
                      <w:rFonts w:hint="eastAsia" w:eastAsia="仿宋_GB2312"/>
                      <w:snapToGrid w:val="0"/>
                      <w:sz w:val="21"/>
                      <w:szCs w:val="21"/>
                      <w:lang w:val="en-US" w:eastAsia="zh-CN"/>
                    </w:rPr>
                    <w:t>无组织</w:t>
                  </w:r>
                  <w:r>
                    <w:rPr>
                      <w:rFonts w:hint="eastAsia" w:eastAsia="仿宋_GB2312"/>
                      <w:snapToGrid w:val="0"/>
                      <w:sz w:val="21"/>
                      <w:szCs w:val="21"/>
                    </w:rPr>
                    <w:t>排放</w:t>
                  </w:r>
                </w:p>
              </w:tc>
            </w:tr>
            <w:tr w14:paraId="7624AC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6" w:type="pct"/>
                  <w:vMerge w:val="continue"/>
                  <w:vAlign w:val="center"/>
                </w:tcPr>
                <w:p w14:paraId="5ECC697A">
                  <w:pPr>
                    <w:adjustRightInd w:val="0"/>
                    <w:snapToGrid w:val="0"/>
                    <w:jc w:val="center"/>
                    <w:rPr>
                      <w:rFonts w:eastAsia="仿宋_GB2312"/>
                      <w:sz w:val="21"/>
                      <w:szCs w:val="21"/>
                    </w:rPr>
                  </w:pPr>
                </w:p>
              </w:tc>
              <w:tc>
                <w:tcPr>
                  <w:tcW w:w="573" w:type="pct"/>
                  <w:vAlign w:val="center"/>
                </w:tcPr>
                <w:p w14:paraId="604D959A">
                  <w:pPr>
                    <w:adjustRightInd w:val="0"/>
                    <w:snapToGrid w:val="0"/>
                    <w:jc w:val="center"/>
                    <w:rPr>
                      <w:rFonts w:hint="default" w:eastAsia="仿宋_GB2312"/>
                      <w:sz w:val="21"/>
                      <w:szCs w:val="21"/>
                      <w:lang w:val="en-US" w:eastAsia="zh-CN"/>
                    </w:rPr>
                  </w:pPr>
                  <w:r>
                    <w:rPr>
                      <w:rFonts w:hint="eastAsia" w:eastAsia="仿宋_GB2312"/>
                      <w:sz w:val="21"/>
                      <w:szCs w:val="21"/>
                      <w:lang w:val="en-US" w:eastAsia="zh-CN"/>
                    </w:rPr>
                    <w:t>G2</w:t>
                  </w:r>
                </w:p>
              </w:tc>
              <w:tc>
                <w:tcPr>
                  <w:tcW w:w="1249" w:type="pct"/>
                  <w:shd w:val="clear" w:color="auto" w:fill="auto"/>
                  <w:vAlign w:val="center"/>
                </w:tcPr>
                <w:p w14:paraId="01FD9D5D">
                  <w:pPr>
                    <w:adjustRightInd w:val="0"/>
                    <w:snapToGrid w:val="0"/>
                    <w:jc w:val="center"/>
                    <w:rPr>
                      <w:rFonts w:ascii="Times New Roman" w:hAnsi="Times New Roman" w:eastAsia="仿宋_GB2312" w:cs="Times New Roman"/>
                      <w:kern w:val="2"/>
                      <w:sz w:val="21"/>
                      <w:szCs w:val="21"/>
                      <w:lang w:val="en-US" w:eastAsia="zh-CN" w:bidi="ar-SA"/>
                    </w:rPr>
                  </w:pPr>
                  <w:r>
                    <w:rPr>
                      <w:rFonts w:hint="eastAsia" w:eastAsia="仿宋_GB2312"/>
                      <w:sz w:val="21"/>
                      <w:szCs w:val="21"/>
                    </w:rPr>
                    <w:t>平板膜过滤废气</w:t>
                  </w:r>
                </w:p>
              </w:tc>
              <w:tc>
                <w:tcPr>
                  <w:tcW w:w="1358" w:type="pct"/>
                  <w:shd w:val="clear" w:color="auto" w:fill="auto"/>
                  <w:vAlign w:val="center"/>
                </w:tcPr>
                <w:p w14:paraId="29F6A324">
                  <w:pPr>
                    <w:adjustRightInd w:val="0"/>
                    <w:snapToGrid w:val="0"/>
                    <w:jc w:val="center"/>
                    <w:rPr>
                      <w:rFonts w:ascii="Times New Roman" w:hAnsi="Times New Roman" w:eastAsia="仿宋_GB2312" w:cs="Times New Roman"/>
                      <w:snapToGrid w:val="0"/>
                      <w:kern w:val="2"/>
                      <w:sz w:val="21"/>
                      <w:szCs w:val="21"/>
                      <w:lang w:val="en-US" w:eastAsia="zh-CN" w:bidi="ar-SA"/>
                    </w:rPr>
                  </w:pPr>
                  <w:r>
                    <w:rPr>
                      <w:rFonts w:hint="eastAsia" w:eastAsia="仿宋_GB2312"/>
                      <w:snapToGrid w:val="0"/>
                      <w:sz w:val="21"/>
                      <w:szCs w:val="21"/>
                    </w:rPr>
                    <w:t>颗粒物</w:t>
                  </w:r>
                </w:p>
              </w:tc>
              <w:tc>
                <w:tcPr>
                  <w:tcW w:w="1321" w:type="pct"/>
                  <w:shd w:val="clear" w:color="auto" w:fill="auto"/>
                  <w:vAlign w:val="center"/>
                </w:tcPr>
                <w:p w14:paraId="3E97A7BE">
                  <w:pPr>
                    <w:adjustRightInd w:val="0"/>
                    <w:snapToGrid w:val="0"/>
                    <w:jc w:val="center"/>
                    <w:rPr>
                      <w:rFonts w:ascii="Times New Roman" w:hAnsi="Times New Roman" w:eastAsia="仿宋_GB2312" w:cs="Times New Roman"/>
                      <w:snapToGrid w:val="0"/>
                      <w:kern w:val="2"/>
                      <w:sz w:val="21"/>
                      <w:szCs w:val="21"/>
                      <w:lang w:val="en-US" w:eastAsia="zh-CN" w:bidi="ar-SA"/>
                    </w:rPr>
                  </w:pPr>
                  <w:r>
                    <w:rPr>
                      <w:rFonts w:hint="eastAsia" w:eastAsia="仿宋_GB2312"/>
                      <w:snapToGrid w:val="0"/>
                      <w:sz w:val="21"/>
                      <w:szCs w:val="21"/>
                    </w:rPr>
                    <w:t>盐雾尾气收集塔+3m高排气筒</w:t>
                  </w:r>
                  <w:r>
                    <w:rPr>
                      <w:rFonts w:hint="eastAsia" w:eastAsia="仿宋_GB2312"/>
                      <w:snapToGrid w:val="0"/>
                      <w:sz w:val="21"/>
                      <w:szCs w:val="21"/>
                      <w:lang w:val="en-US" w:eastAsia="zh-CN"/>
                    </w:rPr>
                    <w:t>无组织</w:t>
                  </w:r>
                  <w:r>
                    <w:rPr>
                      <w:rFonts w:hint="eastAsia" w:eastAsia="仿宋_GB2312"/>
                      <w:snapToGrid w:val="0"/>
                      <w:sz w:val="21"/>
                      <w:szCs w:val="21"/>
                    </w:rPr>
                    <w:t>排放</w:t>
                  </w:r>
                </w:p>
              </w:tc>
            </w:tr>
            <w:tr w14:paraId="3DD3A5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vMerge w:val="continue"/>
                  <w:vAlign w:val="center"/>
                </w:tcPr>
                <w:p w14:paraId="595DB8D9">
                  <w:pPr>
                    <w:adjustRightInd w:val="0"/>
                    <w:snapToGrid w:val="0"/>
                    <w:jc w:val="center"/>
                    <w:rPr>
                      <w:rFonts w:eastAsia="仿宋_GB2312"/>
                      <w:sz w:val="21"/>
                      <w:szCs w:val="21"/>
                    </w:rPr>
                  </w:pPr>
                </w:p>
              </w:tc>
              <w:tc>
                <w:tcPr>
                  <w:tcW w:w="573" w:type="pct"/>
                  <w:vAlign w:val="center"/>
                </w:tcPr>
                <w:p w14:paraId="71A2893C">
                  <w:pPr>
                    <w:adjustRightInd w:val="0"/>
                    <w:snapToGrid w:val="0"/>
                    <w:jc w:val="center"/>
                    <w:rPr>
                      <w:rFonts w:eastAsia="仿宋_GB2312"/>
                      <w:sz w:val="21"/>
                      <w:szCs w:val="21"/>
                    </w:rPr>
                  </w:pPr>
                  <w:r>
                    <w:rPr>
                      <w:rFonts w:eastAsia="仿宋_GB2312"/>
                      <w:sz w:val="21"/>
                      <w:szCs w:val="21"/>
                    </w:rPr>
                    <w:t>/</w:t>
                  </w:r>
                </w:p>
              </w:tc>
              <w:tc>
                <w:tcPr>
                  <w:tcW w:w="1249" w:type="pct"/>
                  <w:vAlign w:val="center"/>
                </w:tcPr>
                <w:p w14:paraId="358A48C2">
                  <w:pPr>
                    <w:adjustRightInd w:val="0"/>
                    <w:snapToGrid w:val="0"/>
                    <w:jc w:val="center"/>
                    <w:rPr>
                      <w:rFonts w:eastAsia="仿宋_GB2312"/>
                      <w:sz w:val="21"/>
                      <w:szCs w:val="21"/>
                    </w:rPr>
                  </w:pPr>
                  <w:r>
                    <w:rPr>
                      <w:rFonts w:eastAsia="仿宋_GB2312"/>
                      <w:sz w:val="21"/>
                      <w:szCs w:val="21"/>
                    </w:rPr>
                    <w:t>设备维护</w:t>
                  </w:r>
                  <w:r>
                    <w:rPr>
                      <w:rFonts w:hint="eastAsia" w:eastAsia="仿宋_GB2312"/>
                      <w:sz w:val="21"/>
                      <w:szCs w:val="21"/>
                    </w:rPr>
                    <w:t>刷漆</w:t>
                  </w:r>
                </w:p>
              </w:tc>
              <w:tc>
                <w:tcPr>
                  <w:tcW w:w="1358" w:type="pct"/>
                  <w:vAlign w:val="center"/>
                </w:tcPr>
                <w:p w14:paraId="0699A6BF">
                  <w:pPr>
                    <w:adjustRightInd w:val="0"/>
                    <w:snapToGrid w:val="0"/>
                    <w:jc w:val="center"/>
                    <w:rPr>
                      <w:rFonts w:eastAsia="仿宋_GB2312"/>
                      <w:sz w:val="21"/>
                      <w:szCs w:val="21"/>
                    </w:rPr>
                  </w:pPr>
                  <w:r>
                    <w:rPr>
                      <w:rFonts w:eastAsia="仿宋_GB2312"/>
                      <w:snapToGrid w:val="0"/>
                      <w:sz w:val="21"/>
                      <w:szCs w:val="21"/>
                    </w:rPr>
                    <w:t>非甲烷总烃</w:t>
                  </w:r>
                </w:p>
              </w:tc>
              <w:tc>
                <w:tcPr>
                  <w:tcW w:w="1321" w:type="pct"/>
                  <w:vAlign w:val="center"/>
                </w:tcPr>
                <w:p w14:paraId="26C0A99C">
                  <w:pPr>
                    <w:adjustRightInd w:val="0"/>
                    <w:snapToGrid w:val="0"/>
                    <w:jc w:val="center"/>
                    <w:rPr>
                      <w:rFonts w:eastAsia="仿宋_GB2312"/>
                      <w:sz w:val="21"/>
                      <w:szCs w:val="21"/>
                      <w:highlight w:val="yellow"/>
                    </w:rPr>
                  </w:pPr>
                  <w:r>
                    <w:rPr>
                      <w:rFonts w:eastAsia="仿宋_GB2312"/>
                      <w:snapToGrid w:val="0"/>
                      <w:sz w:val="21"/>
                      <w:szCs w:val="21"/>
                    </w:rPr>
                    <w:t>无组织排放</w:t>
                  </w:r>
                </w:p>
              </w:tc>
            </w:tr>
            <w:tr w14:paraId="6C5C81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6" w:type="pct"/>
                  <w:vMerge w:val="restart"/>
                  <w:vAlign w:val="center"/>
                </w:tcPr>
                <w:p w14:paraId="6DB765E8">
                  <w:pPr>
                    <w:adjustRightInd w:val="0"/>
                    <w:snapToGrid w:val="0"/>
                    <w:jc w:val="center"/>
                    <w:rPr>
                      <w:rFonts w:eastAsia="仿宋_GB2312"/>
                      <w:sz w:val="21"/>
                      <w:szCs w:val="21"/>
                    </w:rPr>
                  </w:pPr>
                  <w:r>
                    <w:rPr>
                      <w:rFonts w:hint="eastAsia" w:eastAsia="仿宋_GB2312"/>
                      <w:sz w:val="21"/>
                      <w:szCs w:val="21"/>
                    </w:rPr>
                    <w:t>废水</w:t>
                  </w:r>
                </w:p>
              </w:tc>
              <w:tc>
                <w:tcPr>
                  <w:tcW w:w="573" w:type="pct"/>
                  <w:vAlign w:val="center"/>
                </w:tcPr>
                <w:p w14:paraId="01280E5C">
                  <w:pPr>
                    <w:adjustRightInd w:val="0"/>
                    <w:snapToGrid w:val="0"/>
                    <w:jc w:val="center"/>
                    <w:rPr>
                      <w:rFonts w:eastAsia="仿宋_GB2312"/>
                      <w:sz w:val="21"/>
                      <w:szCs w:val="21"/>
                    </w:rPr>
                  </w:pPr>
                  <w:r>
                    <w:rPr>
                      <w:rFonts w:hint="eastAsia" w:eastAsia="仿宋_GB2312"/>
                      <w:sz w:val="21"/>
                      <w:szCs w:val="21"/>
                    </w:rPr>
                    <w:t>W1</w:t>
                  </w:r>
                </w:p>
              </w:tc>
              <w:tc>
                <w:tcPr>
                  <w:tcW w:w="1249" w:type="pct"/>
                  <w:vAlign w:val="center"/>
                </w:tcPr>
                <w:p w14:paraId="72E11EFF">
                  <w:pPr>
                    <w:adjustRightInd w:val="0"/>
                    <w:snapToGrid w:val="0"/>
                    <w:jc w:val="center"/>
                    <w:rPr>
                      <w:rFonts w:eastAsia="仿宋_GB2312"/>
                      <w:sz w:val="21"/>
                      <w:szCs w:val="21"/>
                    </w:rPr>
                  </w:pPr>
                  <w:r>
                    <w:rPr>
                      <w:rFonts w:hint="eastAsia" w:eastAsia="仿宋_GB2312"/>
                      <w:sz w:val="21"/>
                      <w:szCs w:val="21"/>
                    </w:rPr>
                    <w:t>反冲洗废卤</w:t>
                  </w:r>
                </w:p>
              </w:tc>
              <w:tc>
                <w:tcPr>
                  <w:tcW w:w="1358" w:type="pct"/>
                  <w:vAlign w:val="center"/>
                </w:tcPr>
                <w:p w14:paraId="5F3D762F">
                  <w:pPr>
                    <w:adjustRightInd w:val="0"/>
                    <w:snapToGrid w:val="0"/>
                    <w:jc w:val="center"/>
                    <w:rPr>
                      <w:rFonts w:eastAsia="仿宋_GB2312"/>
                      <w:sz w:val="21"/>
                      <w:szCs w:val="21"/>
                    </w:rPr>
                  </w:pPr>
                  <w:r>
                    <w:rPr>
                      <w:rFonts w:hint="eastAsia" w:eastAsia="仿宋_GB2312"/>
                      <w:sz w:val="21"/>
                      <w:szCs w:val="21"/>
                    </w:rPr>
                    <w:t>氯化物、SS等</w:t>
                  </w:r>
                </w:p>
              </w:tc>
              <w:tc>
                <w:tcPr>
                  <w:tcW w:w="1321" w:type="pct"/>
                  <w:vMerge w:val="restart"/>
                  <w:vAlign w:val="center"/>
                </w:tcPr>
                <w:p w14:paraId="1101E2F8">
                  <w:pPr>
                    <w:adjustRightInd w:val="0"/>
                    <w:snapToGrid w:val="0"/>
                    <w:jc w:val="center"/>
                    <w:rPr>
                      <w:rFonts w:eastAsia="仿宋_GB2312"/>
                      <w:snapToGrid w:val="0"/>
                      <w:kern w:val="0"/>
                      <w:sz w:val="21"/>
                      <w:szCs w:val="21"/>
                    </w:rPr>
                  </w:pPr>
                  <w:r>
                    <w:rPr>
                      <w:rFonts w:hint="eastAsia" w:eastAsia="仿宋_GB2312"/>
                      <w:snapToGrid w:val="0"/>
                      <w:kern w:val="0"/>
                      <w:sz w:val="21"/>
                      <w:szCs w:val="21"/>
                    </w:rPr>
                    <w:t>经含盐废水专用管网打入中水池后，通过回用管道回用至矿区采卤</w:t>
                  </w:r>
                </w:p>
              </w:tc>
            </w:tr>
            <w:tr w14:paraId="3D6820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6" w:type="pct"/>
                  <w:vMerge w:val="continue"/>
                  <w:vAlign w:val="center"/>
                </w:tcPr>
                <w:p w14:paraId="035D60AC">
                  <w:pPr>
                    <w:adjustRightInd w:val="0"/>
                    <w:snapToGrid w:val="0"/>
                    <w:jc w:val="center"/>
                    <w:rPr>
                      <w:rFonts w:eastAsia="仿宋_GB2312"/>
                      <w:sz w:val="21"/>
                      <w:szCs w:val="21"/>
                    </w:rPr>
                  </w:pPr>
                </w:p>
              </w:tc>
              <w:tc>
                <w:tcPr>
                  <w:tcW w:w="573" w:type="pct"/>
                  <w:vAlign w:val="center"/>
                </w:tcPr>
                <w:p w14:paraId="71D16ACD">
                  <w:pPr>
                    <w:adjustRightInd w:val="0"/>
                    <w:snapToGrid w:val="0"/>
                    <w:jc w:val="center"/>
                    <w:rPr>
                      <w:rFonts w:eastAsia="仿宋_GB2312"/>
                      <w:sz w:val="21"/>
                      <w:szCs w:val="21"/>
                    </w:rPr>
                  </w:pPr>
                  <w:r>
                    <w:rPr>
                      <w:rFonts w:hint="eastAsia" w:eastAsia="仿宋_GB2312"/>
                      <w:sz w:val="21"/>
                      <w:szCs w:val="21"/>
                    </w:rPr>
                    <w:t>W2</w:t>
                  </w:r>
                </w:p>
              </w:tc>
              <w:tc>
                <w:tcPr>
                  <w:tcW w:w="1249" w:type="pct"/>
                  <w:vAlign w:val="center"/>
                </w:tcPr>
                <w:p w14:paraId="1BCD587A">
                  <w:pPr>
                    <w:adjustRightInd w:val="0"/>
                    <w:snapToGrid w:val="0"/>
                    <w:jc w:val="center"/>
                    <w:rPr>
                      <w:rFonts w:eastAsia="仿宋_GB2312"/>
                      <w:sz w:val="21"/>
                      <w:szCs w:val="21"/>
                    </w:rPr>
                  </w:pPr>
                  <w:r>
                    <w:rPr>
                      <w:rFonts w:hint="eastAsia" w:eastAsia="仿宋_GB2312"/>
                      <w:sz w:val="21"/>
                      <w:szCs w:val="21"/>
                    </w:rPr>
                    <w:t>化学清洗排卤</w:t>
                  </w:r>
                </w:p>
              </w:tc>
              <w:tc>
                <w:tcPr>
                  <w:tcW w:w="1358" w:type="pct"/>
                  <w:vAlign w:val="center"/>
                </w:tcPr>
                <w:p w14:paraId="08AB3E4F">
                  <w:pPr>
                    <w:adjustRightInd w:val="0"/>
                    <w:snapToGrid w:val="0"/>
                    <w:jc w:val="center"/>
                    <w:rPr>
                      <w:rFonts w:eastAsia="仿宋_GB2312"/>
                      <w:sz w:val="21"/>
                      <w:szCs w:val="21"/>
                    </w:rPr>
                  </w:pPr>
                  <w:r>
                    <w:rPr>
                      <w:rFonts w:hint="eastAsia" w:eastAsia="仿宋_GB2312"/>
                      <w:sz w:val="21"/>
                      <w:szCs w:val="21"/>
                    </w:rPr>
                    <w:t>盐酸、氯化物、SS等</w:t>
                  </w:r>
                </w:p>
              </w:tc>
              <w:tc>
                <w:tcPr>
                  <w:tcW w:w="1321" w:type="pct"/>
                  <w:vMerge w:val="continue"/>
                  <w:vAlign w:val="center"/>
                </w:tcPr>
                <w:p w14:paraId="5769BA1C">
                  <w:pPr>
                    <w:adjustRightInd w:val="0"/>
                    <w:snapToGrid w:val="0"/>
                    <w:jc w:val="center"/>
                    <w:rPr>
                      <w:rFonts w:eastAsia="仿宋_GB2312"/>
                      <w:snapToGrid w:val="0"/>
                      <w:kern w:val="0"/>
                      <w:sz w:val="21"/>
                      <w:szCs w:val="21"/>
                    </w:rPr>
                  </w:pPr>
                </w:p>
              </w:tc>
            </w:tr>
            <w:tr w14:paraId="693B69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6" w:type="pct"/>
                  <w:vMerge w:val="continue"/>
                  <w:vAlign w:val="center"/>
                </w:tcPr>
                <w:p w14:paraId="2FE1B724">
                  <w:pPr>
                    <w:adjustRightInd w:val="0"/>
                    <w:snapToGrid w:val="0"/>
                    <w:jc w:val="center"/>
                    <w:rPr>
                      <w:rFonts w:eastAsia="仿宋_GB2312"/>
                      <w:sz w:val="21"/>
                      <w:szCs w:val="21"/>
                    </w:rPr>
                  </w:pPr>
                </w:p>
              </w:tc>
              <w:tc>
                <w:tcPr>
                  <w:tcW w:w="573" w:type="pct"/>
                </w:tcPr>
                <w:p w14:paraId="4E8F3CE1">
                  <w:pPr>
                    <w:adjustRightInd w:val="0"/>
                    <w:snapToGrid w:val="0"/>
                    <w:jc w:val="center"/>
                    <w:rPr>
                      <w:rFonts w:eastAsia="仿宋_GB2312"/>
                      <w:sz w:val="21"/>
                      <w:szCs w:val="21"/>
                    </w:rPr>
                  </w:pPr>
                  <w:r>
                    <w:rPr>
                      <w:sz w:val="21"/>
                      <w:szCs w:val="21"/>
                    </w:rPr>
                    <w:t>W</w:t>
                  </w:r>
                  <w:r>
                    <w:rPr>
                      <w:rFonts w:hint="eastAsia"/>
                      <w:sz w:val="21"/>
                      <w:szCs w:val="21"/>
                    </w:rPr>
                    <w:t>3</w:t>
                  </w:r>
                </w:p>
              </w:tc>
              <w:tc>
                <w:tcPr>
                  <w:tcW w:w="1249" w:type="pct"/>
                  <w:vAlign w:val="center"/>
                </w:tcPr>
                <w:p w14:paraId="39CC72D7">
                  <w:pPr>
                    <w:adjustRightInd w:val="0"/>
                    <w:snapToGrid w:val="0"/>
                    <w:jc w:val="center"/>
                    <w:rPr>
                      <w:rFonts w:eastAsia="仿宋_GB2312"/>
                      <w:sz w:val="21"/>
                      <w:szCs w:val="21"/>
                    </w:rPr>
                  </w:pPr>
                  <w:r>
                    <w:rPr>
                      <w:rFonts w:hint="eastAsia" w:eastAsia="仿宋_GB2312"/>
                      <w:sz w:val="21"/>
                      <w:szCs w:val="21"/>
                    </w:rPr>
                    <w:t>反冲洗废卤</w:t>
                  </w:r>
                </w:p>
              </w:tc>
              <w:tc>
                <w:tcPr>
                  <w:tcW w:w="1358" w:type="pct"/>
                  <w:vAlign w:val="center"/>
                </w:tcPr>
                <w:p w14:paraId="2F21567A">
                  <w:pPr>
                    <w:adjustRightInd w:val="0"/>
                    <w:snapToGrid w:val="0"/>
                    <w:jc w:val="center"/>
                    <w:rPr>
                      <w:rFonts w:eastAsia="仿宋_GB2312"/>
                      <w:sz w:val="21"/>
                      <w:szCs w:val="21"/>
                    </w:rPr>
                  </w:pPr>
                  <w:r>
                    <w:rPr>
                      <w:rFonts w:hint="eastAsia" w:eastAsia="仿宋_GB2312"/>
                      <w:sz w:val="21"/>
                      <w:szCs w:val="21"/>
                    </w:rPr>
                    <w:t>氯化物、SS等</w:t>
                  </w:r>
                </w:p>
              </w:tc>
              <w:tc>
                <w:tcPr>
                  <w:tcW w:w="1321" w:type="pct"/>
                  <w:vMerge w:val="continue"/>
                  <w:vAlign w:val="center"/>
                </w:tcPr>
                <w:p w14:paraId="4B8FA41C">
                  <w:pPr>
                    <w:adjustRightInd w:val="0"/>
                    <w:snapToGrid w:val="0"/>
                    <w:jc w:val="center"/>
                    <w:rPr>
                      <w:rFonts w:eastAsia="仿宋_GB2312"/>
                      <w:snapToGrid w:val="0"/>
                      <w:kern w:val="0"/>
                      <w:sz w:val="21"/>
                      <w:szCs w:val="21"/>
                    </w:rPr>
                  </w:pPr>
                </w:p>
              </w:tc>
            </w:tr>
            <w:tr w14:paraId="2C442B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6" w:type="pct"/>
                  <w:vMerge w:val="continue"/>
                  <w:vAlign w:val="center"/>
                </w:tcPr>
                <w:p w14:paraId="62F0E352">
                  <w:pPr>
                    <w:adjustRightInd w:val="0"/>
                    <w:snapToGrid w:val="0"/>
                    <w:jc w:val="center"/>
                    <w:rPr>
                      <w:rFonts w:eastAsia="仿宋_GB2312"/>
                      <w:sz w:val="21"/>
                      <w:szCs w:val="21"/>
                    </w:rPr>
                  </w:pPr>
                </w:p>
              </w:tc>
              <w:tc>
                <w:tcPr>
                  <w:tcW w:w="573" w:type="pct"/>
                </w:tcPr>
                <w:p w14:paraId="00C56FBC">
                  <w:pPr>
                    <w:adjustRightInd w:val="0"/>
                    <w:snapToGrid w:val="0"/>
                    <w:jc w:val="center"/>
                    <w:rPr>
                      <w:rFonts w:eastAsia="仿宋_GB2312"/>
                      <w:sz w:val="21"/>
                      <w:szCs w:val="21"/>
                    </w:rPr>
                  </w:pPr>
                  <w:r>
                    <w:rPr>
                      <w:sz w:val="21"/>
                      <w:szCs w:val="21"/>
                    </w:rPr>
                    <w:t>W</w:t>
                  </w:r>
                  <w:r>
                    <w:rPr>
                      <w:rFonts w:hint="eastAsia"/>
                      <w:sz w:val="21"/>
                      <w:szCs w:val="21"/>
                    </w:rPr>
                    <w:t>4</w:t>
                  </w:r>
                </w:p>
              </w:tc>
              <w:tc>
                <w:tcPr>
                  <w:tcW w:w="1249" w:type="pct"/>
                  <w:vAlign w:val="center"/>
                </w:tcPr>
                <w:p w14:paraId="0FE49F49">
                  <w:pPr>
                    <w:adjustRightInd w:val="0"/>
                    <w:snapToGrid w:val="0"/>
                    <w:jc w:val="center"/>
                    <w:rPr>
                      <w:rFonts w:eastAsia="仿宋_GB2312"/>
                      <w:sz w:val="21"/>
                      <w:szCs w:val="21"/>
                    </w:rPr>
                  </w:pPr>
                  <w:r>
                    <w:rPr>
                      <w:rFonts w:hint="eastAsia" w:eastAsia="仿宋_GB2312"/>
                      <w:sz w:val="21"/>
                      <w:szCs w:val="21"/>
                    </w:rPr>
                    <w:t>化学清洗排卤</w:t>
                  </w:r>
                </w:p>
              </w:tc>
              <w:tc>
                <w:tcPr>
                  <w:tcW w:w="1358" w:type="pct"/>
                  <w:vAlign w:val="center"/>
                </w:tcPr>
                <w:p w14:paraId="4F37EAB8">
                  <w:pPr>
                    <w:adjustRightInd w:val="0"/>
                    <w:snapToGrid w:val="0"/>
                    <w:jc w:val="center"/>
                    <w:rPr>
                      <w:rFonts w:eastAsia="仿宋_GB2312"/>
                      <w:sz w:val="21"/>
                      <w:szCs w:val="21"/>
                    </w:rPr>
                  </w:pPr>
                  <w:r>
                    <w:rPr>
                      <w:rFonts w:hint="eastAsia" w:eastAsia="仿宋_GB2312"/>
                      <w:sz w:val="21"/>
                      <w:szCs w:val="21"/>
                    </w:rPr>
                    <w:t>盐酸、氯化物、SS等</w:t>
                  </w:r>
                </w:p>
              </w:tc>
              <w:tc>
                <w:tcPr>
                  <w:tcW w:w="1321" w:type="pct"/>
                  <w:vMerge w:val="continue"/>
                  <w:vAlign w:val="center"/>
                </w:tcPr>
                <w:p w14:paraId="003D1202">
                  <w:pPr>
                    <w:adjustRightInd w:val="0"/>
                    <w:snapToGrid w:val="0"/>
                    <w:jc w:val="center"/>
                    <w:rPr>
                      <w:rFonts w:eastAsia="仿宋_GB2312"/>
                      <w:snapToGrid w:val="0"/>
                      <w:kern w:val="0"/>
                      <w:sz w:val="21"/>
                      <w:szCs w:val="21"/>
                    </w:rPr>
                  </w:pPr>
                </w:p>
              </w:tc>
            </w:tr>
            <w:tr w14:paraId="4E713E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6" w:type="pct"/>
                  <w:vMerge w:val="continue"/>
                  <w:vAlign w:val="center"/>
                </w:tcPr>
                <w:p w14:paraId="5C2E0E24">
                  <w:pPr>
                    <w:adjustRightInd w:val="0"/>
                    <w:snapToGrid w:val="0"/>
                    <w:jc w:val="center"/>
                    <w:rPr>
                      <w:rFonts w:eastAsia="仿宋_GB2312"/>
                      <w:sz w:val="21"/>
                      <w:szCs w:val="21"/>
                    </w:rPr>
                  </w:pPr>
                </w:p>
              </w:tc>
              <w:tc>
                <w:tcPr>
                  <w:tcW w:w="573" w:type="pct"/>
                  <w:vAlign w:val="center"/>
                </w:tcPr>
                <w:p w14:paraId="4043B1C9">
                  <w:pPr>
                    <w:adjustRightInd w:val="0"/>
                    <w:snapToGrid w:val="0"/>
                    <w:jc w:val="center"/>
                    <w:rPr>
                      <w:rFonts w:eastAsia="仿宋_GB2312"/>
                      <w:sz w:val="21"/>
                      <w:szCs w:val="21"/>
                    </w:rPr>
                  </w:pPr>
                  <w:r>
                    <w:rPr>
                      <w:sz w:val="21"/>
                      <w:szCs w:val="21"/>
                    </w:rPr>
                    <w:t>W</w:t>
                  </w:r>
                  <w:r>
                    <w:rPr>
                      <w:rFonts w:hint="eastAsia"/>
                      <w:sz w:val="21"/>
                      <w:szCs w:val="21"/>
                    </w:rPr>
                    <w:t>5</w:t>
                  </w:r>
                </w:p>
              </w:tc>
              <w:tc>
                <w:tcPr>
                  <w:tcW w:w="1249" w:type="pct"/>
                  <w:vAlign w:val="center"/>
                </w:tcPr>
                <w:p w14:paraId="3E166037">
                  <w:pPr>
                    <w:adjustRightInd w:val="0"/>
                    <w:snapToGrid w:val="0"/>
                    <w:jc w:val="center"/>
                    <w:rPr>
                      <w:rFonts w:eastAsia="仿宋_GB2312"/>
                      <w:sz w:val="21"/>
                      <w:szCs w:val="21"/>
                    </w:rPr>
                  </w:pPr>
                  <w:r>
                    <w:rPr>
                      <w:rFonts w:hint="eastAsia" w:eastAsia="仿宋_GB2312"/>
                      <w:sz w:val="21"/>
                      <w:szCs w:val="21"/>
                    </w:rPr>
                    <w:t>化学清洗液定期排放废液</w:t>
                  </w:r>
                </w:p>
              </w:tc>
              <w:tc>
                <w:tcPr>
                  <w:tcW w:w="1358" w:type="pct"/>
                  <w:vAlign w:val="center"/>
                </w:tcPr>
                <w:p w14:paraId="6E50E53A">
                  <w:pPr>
                    <w:adjustRightInd w:val="0"/>
                    <w:snapToGrid w:val="0"/>
                    <w:jc w:val="center"/>
                    <w:rPr>
                      <w:rFonts w:eastAsia="仿宋_GB2312"/>
                      <w:sz w:val="21"/>
                      <w:szCs w:val="21"/>
                    </w:rPr>
                  </w:pPr>
                  <w:r>
                    <w:rPr>
                      <w:rFonts w:hint="eastAsia" w:eastAsia="仿宋_GB2312"/>
                      <w:sz w:val="21"/>
                      <w:szCs w:val="21"/>
                    </w:rPr>
                    <w:t>盐酸、氯化物、SS等</w:t>
                  </w:r>
                </w:p>
              </w:tc>
              <w:tc>
                <w:tcPr>
                  <w:tcW w:w="1321" w:type="pct"/>
                  <w:vMerge w:val="continue"/>
                  <w:vAlign w:val="center"/>
                </w:tcPr>
                <w:p w14:paraId="7D89A2D0">
                  <w:pPr>
                    <w:adjustRightInd w:val="0"/>
                    <w:snapToGrid w:val="0"/>
                    <w:jc w:val="center"/>
                    <w:rPr>
                      <w:rFonts w:eastAsia="仿宋_GB2312"/>
                      <w:snapToGrid w:val="0"/>
                      <w:kern w:val="0"/>
                      <w:sz w:val="21"/>
                      <w:szCs w:val="21"/>
                    </w:rPr>
                  </w:pPr>
                </w:p>
              </w:tc>
            </w:tr>
            <w:tr w14:paraId="725DF4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6" w:type="pct"/>
                  <w:vMerge w:val="continue"/>
                  <w:vAlign w:val="center"/>
                </w:tcPr>
                <w:p w14:paraId="6FDB5FC2">
                  <w:pPr>
                    <w:adjustRightInd w:val="0"/>
                    <w:snapToGrid w:val="0"/>
                    <w:jc w:val="center"/>
                    <w:rPr>
                      <w:rFonts w:eastAsia="仿宋_GB2312"/>
                      <w:sz w:val="21"/>
                      <w:szCs w:val="21"/>
                    </w:rPr>
                  </w:pPr>
                </w:p>
              </w:tc>
              <w:tc>
                <w:tcPr>
                  <w:tcW w:w="573" w:type="pct"/>
                </w:tcPr>
                <w:p w14:paraId="63EE8499">
                  <w:pPr>
                    <w:adjustRightInd w:val="0"/>
                    <w:snapToGrid w:val="0"/>
                    <w:jc w:val="center"/>
                    <w:rPr>
                      <w:sz w:val="21"/>
                      <w:szCs w:val="21"/>
                    </w:rPr>
                  </w:pPr>
                  <w:r>
                    <w:rPr>
                      <w:sz w:val="21"/>
                      <w:szCs w:val="21"/>
                    </w:rPr>
                    <w:t>W</w:t>
                  </w:r>
                  <w:r>
                    <w:rPr>
                      <w:rFonts w:hint="eastAsia"/>
                      <w:sz w:val="21"/>
                      <w:szCs w:val="21"/>
                    </w:rPr>
                    <w:t>6</w:t>
                  </w:r>
                </w:p>
              </w:tc>
              <w:tc>
                <w:tcPr>
                  <w:tcW w:w="1249" w:type="pct"/>
                  <w:vAlign w:val="center"/>
                </w:tcPr>
                <w:p w14:paraId="2B9FAF31">
                  <w:pPr>
                    <w:adjustRightInd w:val="0"/>
                    <w:snapToGrid w:val="0"/>
                    <w:jc w:val="center"/>
                    <w:rPr>
                      <w:rFonts w:eastAsia="仿宋_GB2312"/>
                      <w:sz w:val="21"/>
                      <w:szCs w:val="21"/>
                    </w:rPr>
                  </w:pPr>
                  <w:r>
                    <w:rPr>
                      <w:rFonts w:hint="eastAsia" w:eastAsia="仿宋_GB2312"/>
                      <w:sz w:val="21"/>
                      <w:szCs w:val="21"/>
                    </w:rPr>
                    <w:t>尾气吸收塔废水</w:t>
                  </w:r>
                </w:p>
              </w:tc>
              <w:tc>
                <w:tcPr>
                  <w:tcW w:w="1358" w:type="pct"/>
                  <w:vAlign w:val="center"/>
                </w:tcPr>
                <w:p w14:paraId="10C649F2">
                  <w:pPr>
                    <w:adjustRightInd w:val="0"/>
                    <w:snapToGrid w:val="0"/>
                    <w:jc w:val="center"/>
                    <w:rPr>
                      <w:rFonts w:eastAsia="仿宋_GB2312"/>
                      <w:sz w:val="21"/>
                      <w:szCs w:val="21"/>
                    </w:rPr>
                  </w:pPr>
                  <w:r>
                    <w:rPr>
                      <w:rFonts w:hint="eastAsia" w:eastAsia="仿宋_GB2312"/>
                      <w:sz w:val="21"/>
                      <w:szCs w:val="21"/>
                    </w:rPr>
                    <w:t>HCl</w:t>
                  </w:r>
                </w:p>
              </w:tc>
              <w:tc>
                <w:tcPr>
                  <w:tcW w:w="1321" w:type="pct"/>
                  <w:vMerge w:val="continue"/>
                  <w:vAlign w:val="center"/>
                </w:tcPr>
                <w:p w14:paraId="0BDCA7D8">
                  <w:pPr>
                    <w:adjustRightInd w:val="0"/>
                    <w:snapToGrid w:val="0"/>
                    <w:jc w:val="center"/>
                    <w:rPr>
                      <w:rFonts w:eastAsia="仿宋_GB2312"/>
                      <w:snapToGrid w:val="0"/>
                      <w:kern w:val="0"/>
                      <w:sz w:val="21"/>
                      <w:szCs w:val="21"/>
                    </w:rPr>
                  </w:pPr>
                </w:p>
              </w:tc>
            </w:tr>
            <w:tr w14:paraId="06F75C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6" w:type="pct"/>
                  <w:vMerge w:val="continue"/>
                  <w:vAlign w:val="center"/>
                </w:tcPr>
                <w:p w14:paraId="31A5B401">
                  <w:pPr>
                    <w:adjustRightInd w:val="0"/>
                    <w:snapToGrid w:val="0"/>
                    <w:jc w:val="center"/>
                    <w:rPr>
                      <w:rFonts w:eastAsia="仿宋_GB2312"/>
                      <w:sz w:val="21"/>
                      <w:szCs w:val="21"/>
                    </w:rPr>
                  </w:pPr>
                </w:p>
              </w:tc>
              <w:tc>
                <w:tcPr>
                  <w:tcW w:w="573" w:type="pct"/>
                </w:tcPr>
                <w:p w14:paraId="631DB41D">
                  <w:pPr>
                    <w:adjustRightInd w:val="0"/>
                    <w:snapToGrid w:val="0"/>
                    <w:jc w:val="center"/>
                    <w:rPr>
                      <w:color w:val="auto"/>
                      <w:sz w:val="21"/>
                      <w:szCs w:val="21"/>
                    </w:rPr>
                  </w:pPr>
                  <w:r>
                    <w:rPr>
                      <w:color w:val="auto"/>
                      <w:sz w:val="21"/>
                      <w:szCs w:val="21"/>
                    </w:rPr>
                    <w:t>W</w:t>
                  </w:r>
                  <w:r>
                    <w:rPr>
                      <w:rFonts w:hint="eastAsia"/>
                      <w:color w:val="auto"/>
                      <w:sz w:val="21"/>
                      <w:szCs w:val="21"/>
                    </w:rPr>
                    <w:t>7</w:t>
                  </w:r>
                </w:p>
              </w:tc>
              <w:tc>
                <w:tcPr>
                  <w:tcW w:w="1249" w:type="pct"/>
                  <w:vAlign w:val="center"/>
                </w:tcPr>
                <w:p w14:paraId="00EFCFBE">
                  <w:pPr>
                    <w:adjustRightInd w:val="0"/>
                    <w:snapToGrid w:val="0"/>
                    <w:jc w:val="center"/>
                    <w:rPr>
                      <w:rFonts w:eastAsia="仿宋_GB2312"/>
                      <w:color w:val="auto"/>
                      <w:sz w:val="21"/>
                      <w:szCs w:val="21"/>
                    </w:rPr>
                  </w:pPr>
                  <w:r>
                    <w:rPr>
                      <w:rFonts w:hint="eastAsia" w:eastAsia="仿宋_GB2312"/>
                      <w:color w:val="auto"/>
                      <w:sz w:val="21"/>
                      <w:szCs w:val="21"/>
                    </w:rPr>
                    <w:t>尾气吸收塔废水</w:t>
                  </w:r>
                </w:p>
              </w:tc>
              <w:tc>
                <w:tcPr>
                  <w:tcW w:w="1358" w:type="pct"/>
                  <w:vAlign w:val="center"/>
                </w:tcPr>
                <w:p w14:paraId="5CBB913B">
                  <w:pPr>
                    <w:adjustRightInd w:val="0"/>
                    <w:snapToGrid w:val="0"/>
                    <w:jc w:val="center"/>
                    <w:rPr>
                      <w:rFonts w:eastAsia="仿宋_GB2312"/>
                      <w:color w:val="auto"/>
                      <w:sz w:val="21"/>
                      <w:szCs w:val="21"/>
                    </w:rPr>
                  </w:pPr>
                  <w:r>
                    <w:rPr>
                      <w:rFonts w:hint="eastAsia" w:eastAsia="仿宋_GB2312"/>
                      <w:color w:val="auto"/>
                      <w:sz w:val="21"/>
                      <w:szCs w:val="21"/>
                    </w:rPr>
                    <w:t>氯化物、SS等</w:t>
                  </w:r>
                </w:p>
              </w:tc>
              <w:tc>
                <w:tcPr>
                  <w:tcW w:w="1321" w:type="pct"/>
                  <w:vMerge w:val="continue"/>
                  <w:vAlign w:val="center"/>
                </w:tcPr>
                <w:p w14:paraId="2897C223">
                  <w:pPr>
                    <w:adjustRightInd w:val="0"/>
                    <w:snapToGrid w:val="0"/>
                    <w:jc w:val="center"/>
                    <w:rPr>
                      <w:rFonts w:eastAsia="仿宋_GB2312"/>
                      <w:snapToGrid w:val="0"/>
                      <w:kern w:val="0"/>
                      <w:sz w:val="21"/>
                      <w:szCs w:val="21"/>
                    </w:rPr>
                  </w:pPr>
                </w:p>
              </w:tc>
            </w:tr>
            <w:tr w14:paraId="4F42D2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6" w:type="pct"/>
                  <w:vMerge w:val="continue"/>
                  <w:vAlign w:val="center"/>
                </w:tcPr>
                <w:p w14:paraId="187DF6D0">
                  <w:pPr>
                    <w:adjustRightInd w:val="0"/>
                    <w:snapToGrid w:val="0"/>
                    <w:jc w:val="center"/>
                    <w:rPr>
                      <w:rFonts w:eastAsia="仿宋_GB2312"/>
                      <w:sz w:val="21"/>
                      <w:szCs w:val="21"/>
                    </w:rPr>
                  </w:pPr>
                </w:p>
              </w:tc>
              <w:tc>
                <w:tcPr>
                  <w:tcW w:w="573" w:type="pct"/>
                </w:tcPr>
                <w:p w14:paraId="30EFE9F7">
                  <w:pPr>
                    <w:adjustRightInd w:val="0"/>
                    <w:snapToGrid w:val="0"/>
                    <w:jc w:val="center"/>
                    <w:rPr>
                      <w:rFonts w:eastAsia="仿宋_GB2312"/>
                      <w:sz w:val="21"/>
                      <w:szCs w:val="21"/>
                    </w:rPr>
                  </w:pPr>
                  <w:r>
                    <w:rPr>
                      <w:sz w:val="21"/>
                      <w:szCs w:val="21"/>
                    </w:rPr>
                    <w:t>W</w:t>
                  </w:r>
                  <w:r>
                    <w:rPr>
                      <w:rFonts w:hint="eastAsia"/>
                      <w:sz w:val="21"/>
                      <w:szCs w:val="21"/>
                    </w:rPr>
                    <w:t>8</w:t>
                  </w:r>
                </w:p>
              </w:tc>
              <w:tc>
                <w:tcPr>
                  <w:tcW w:w="1249" w:type="pct"/>
                  <w:vAlign w:val="center"/>
                </w:tcPr>
                <w:p w14:paraId="64F99E8F">
                  <w:pPr>
                    <w:adjustRightInd w:val="0"/>
                    <w:snapToGrid w:val="0"/>
                    <w:jc w:val="center"/>
                    <w:rPr>
                      <w:rFonts w:eastAsia="仿宋_GB2312"/>
                      <w:sz w:val="21"/>
                      <w:szCs w:val="21"/>
                    </w:rPr>
                  </w:pPr>
                  <w:r>
                    <w:rPr>
                      <w:rFonts w:hint="eastAsia" w:eastAsia="仿宋_GB2312"/>
                      <w:sz w:val="21"/>
                      <w:szCs w:val="21"/>
                    </w:rPr>
                    <w:t>密封水</w:t>
                  </w:r>
                </w:p>
              </w:tc>
              <w:tc>
                <w:tcPr>
                  <w:tcW w:w="1358" w:type="pct"/>
                  <w:vAlign w:val="center"/>
                </w:tcPr>
                <w:p w14:paraId="1F04E79A">
                  <w:pPr>
                    <w:adjustRightInd w:val="0"/>
                    <w:snapToGrid w:val="0"/>
                    <w:jc w:val="center"/>
                    <w:rPr>
                      <w:rFonts w:eastAsia="仿宋_GB2312"/>
                      <w:sz w:val="21"/>
                      <w:szCs w:val="21"/>
                    </w:rPr>
                  </w:pPr>
                  <w:r>
                    <w:rPr>
                      <w:rFonts w:hint="eastAsia" w:eastAsia="仿宋_GB2312"/>
                      <w:sz w:val="21"/>
                      <w:szCs w:val="21"/>
                    </w:rPr>
                    <w:t>氯化物、SS等</w:t>
                  </w:r>
                </w:p>
              </w:tc>
              <w:tc>
                <w:tcPr>
                  <w:tcW w:w="1321" w:type="pct"/>
                  <w:vMerge w:val="continue"/>
                  <w:vAlign w:val="center"/>
                </w:tcPr>
                <w:p w14:paraId="61DF1301">
                  <w:pPr>
                    <w:adjustRightInd w:val="0"/>
                    <w:snapToGrid w:val="0"/>
                    <w:jc w:val="center"/>
                    <w:rPr>
                      <w:rFonts w:eastAsia="仿宋_GB2312"/>
                      <w:snapToGrid w:val="0"/>
                      <w:kern w:val="0"/>
                      <w:sz w:val="21"/>
                      <w:szCs w:val="21"/>
                    </w:rPr>
                  </w:pPr>
                </w:p>
              </w:tc>
            </w:tr>
            <w:tr w14:paraId="58398F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vAlign w:val="center"/>
                </w:tcPr>
                <w:p w14:paraId="0AB55FD4">
                  <w:pPr>
                    <w:adjustRightInd w:val="0"/>
                    <w:snapToGrid w:val="0"/>
                    <w:jc w:val="center"/>
                    <w:rPr>
                      <w:rFonts w:eastAsia="仿宋_GB2312"/>
                      <w:sz w:val="21"/>
                      <w:szCs w:val="21"/>
                    </w:rPr>
                  </w:pPr>
                  <w:r>
                    <w:rPr>
                      <w:rFonts w:eastAsia="仿宋_GB2312"/>
                      <w:sz w:val="21"/>
                      <w:szCs w:val="21"/>
                    </w:rPr>
                    <w:t>噪声</w:t>
                  </w:r>
                </w:p>
              </w:tc>
              <w:tc>
                <w:tcPr>
                  <w:tcW w:w="573" w:type="pct"/>
                  <w:vAlign w:val="center"/>
                </w:tcPr>
                <w:p w14:paraId="69DEF0B7">
                  <w:pPr>
                    <w:adjustRightInd w:val="0"/>
                    <w:snapToGrid w:val="0"/>
                    <w:jc w:val="center"/>
                    <w:rPr>
                      <w:rFonts w:eastAsia="仿宋_GB2312"/>
                      <w:sz w:val="21"/>
                      <w:szCs w:val="21"/>
                    </w:rPr>
                  </w:pPr>
                  <w:r>
                    <w:rPr>
                      <w:rFonts w:eastAsia="仿宋_GB2312"/>
                      <w:sz w:val="21"/>
                      <w:szCs w:val="21"/>
                    </w:rPr>
                    <w:t>N</w:t>
                  </w:r>
                </w:p>
              </w:tc>
              <w:tc>
                <w:tcPr>
                  <w:tcW w:w="1249" w:type="pct"/>
                  <w:vAlign w:val="center"/>
                </w:tcPr>
                <w:p w14:paraId="7FA725FE">
                  <w:pPr>
                    <w:adjustRightInd w:val="0"/>
                    <w:snapToGrid w:val="0"/>
                    <w:jc w:val="center"/>
                    <w:rPr>
                      <w:rFonts w:eastAsia="仿宋_GB2312"/>
                      <w:sz w:val="21"/>
                      <w:szCs w:val="21"/>
                    </w:rPr>
                  </w:pPr>
                  <w:r>
                    <w:rPr>
                      <w:rFonts w:hint="eastAsia" w:eastAsia="仿宋_GB2312"/>
                      <w:sz w:val="21"/>
                      <w:szCs w:val="21"/>
                    </w:rPr>
                    <w:t>各类生产设备、</w:t>
                  </w:r>
                  <w:r>
                    <w:rPr>
                      <w:rFonts w:eastAsia="仿宋_GB2312"/>
                      <w:sz w:val="21"/>
                      <w:szCs w:val="21"/>
                    </w:rPr>
                    <w:t>各类泵</w:t>
                  </w:r>
                </w:p>
              </w:tc>
              <w:tc>
                <w:tcPr>
                  <w:tcW w:w="1358" w:type="pct"/>
                  <w:vAlign w:val="center"/>
                </w:tcPr>
                <w:p w14:paraId="5D03B59C">
                  <w:pPr>
                    <w:adjustRightInd w:val="0"/>
                    <w:snapToGrid w:val="0"/>
                    <w:jc w:val="center"/>
                    <w:rPr>
                      <w:rFonts w:eastAsia="仿宋_GB2312"/>
                      <w:sz w:val="21"/>
                      <w:szCs w:val="21"/>
                    </w:rPr>
                  </w:pPr>
                  <w:r>
                    <w:rPr>
                      <w:rFonts w:eastAsia="仿宋_GB2312"/>
                      <w:sz w:val="21"/>
                      <w:szCs w:val="21"/>
                    </w:rPr>
                    <w:t>噪声</w:t>
                  </w:r>
                </w:p>
              </w:tc>
              <w:tc>
                <w:tcPr>
                  <w:tcW w:w="1321" w:type="pct"/>
                  <w:vAlign w:val="center"/>
                </w:tcPr>
                <w:p w14:paraId="41A2E2D8">
                  <w:pPr>
                    <w:adjustRightInd w:val="0"/>
                    <w:snapToGrid w:val="0"/>
                    <w:jc w:val="center"/>
                    <w:rPr>
                      <w:rFonts w:eastAsia="仿宋_GB2312"/>
                      <w:sz w:val="21"/>
                      <w:szCs w:val="21"/>
                    </w:rPr>
                  </w:pPr>
                  <w:r>
                    <w:rPr>
                      <w:rFonts w:eastAsia="仿宋_GB2312"/>
                      <w:sz w:val="21"/>
                      <w:szCs w:val="21"/>
                    </w:rPr>
                    <w:t>隔声、减振</w:t>
                  </w:r>
                </w:p>
              </w:tc>
            </w:tr>
            <w:tr w14:paraId="5DBCF1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vMerge w:val="restart"/>
                  <w:vAlign w:val="center"/>
                </w:tcPr>
                <w:p w14:paraId="0D394F6B">
                  <w:pPr>
                    <w:adjustRightInd w:val="0"/>
                    <w:snapToGrid w:val="0"/>
                    <w:jc w:val="center"/>
                    <w:rPr>
                      <w:rFonts w:eastAsia="仿宋_GB2312"/>
                      <w:sz w:val="21"/>
                      <w:szCs w:val="21"/>
                    </w:rPr>
                  </w:pPr>
                  <w:r>
                    <w:rPr>
                      <w:rFonts w:hint="eastAsia" w:eastAsia="仿宋_GB2312"/>
                      <w:sz w:val="21"/>
                      <w:szCs w:val="21"/>
                    </w:rPr>
                    <w:t>固废</w:t>
                  </w:r>
                </w:p>
              </w:tc>
              <w:tc>
                <w:tcPr>
                  <w:tcW w:w="573" w:type="pct"/>
                  <w:vAlign w:val="center"/>
                </w:tcPr>
                <w:p w14:paraId="1C733935">
                  <w:pPr>
                    <w:adjustRightInd w:val="0"/>
                    <w:snapToGrid w:val="0"/>
                    <w:jc w:val="center"/>
                    <w:rPr>
                      <w:rFonts w:eastAsia="仿宋_GB2312"/>
                      <w:sz w:val="21"/>
                      <w:szCs w:val="21"/>
                    </w:rPr>
                  </w:pPr>
                  <w:r>
                    <w:rPr>
                      <w:rFonts w:hint="eastAsia" w:eastAsia="仿宋_GB2312"/>
                      <w:sz w:val="21"/>
                      <w:szCs w:val="21"/>
                    </w:rPr>
                    <w:t>S1</w:t>
                  </w:r>
                </w:p>
              </w:tc>
              <w:tc>
                <w:tcPr>
                  <w:tcW w:w="1249" w:type="pct"/>
                  <w:vAlign w:val="center"/>
                </w:tcPr>
                <w:p w14:paraId="2879A864">
                  <w:pPr>
                    <w:adjustRightInd w:val="0"/>
                    <w:snapToGrid w:val="0"/>
                    <w:jc w:val="center"/>
                    <w:rPr>
                      <w:rFonts w:eastAsia="仿宋_GB2312"/>
                      <w:sz w:val="21"/>
                      <w:szCs w:val="21"/>
                    </w:rPr>
                  </w:pPr>
                  <w:r>
                    <w:rPr>
                      <w:rFonts w:hint="eastAsia" w:eastAsia="仿宋_GB2312"/>
                      <w:sz w:val="21"/>
                      <w:szCs w:val="21"/>
                    </w:rPr>
                    <w:t>平板膜过滤盐泥</w:t>
                  </w:r>
                </w:p>
              </w:tc>
              <w:tc>
                <w:tcPr>
                  <w:tcW w:w="1358" w:type="pct"/>
                  <w:vAlign w:val="center"/>
                </w:tcPr>
                <w:p w14:paraId="74C208F6">
                  <w:pPr>
                    <w:adjustRightInd w:val="0"/>
                    <w:snapToGrid w:val="0"/>
                    <w:jc w:val="center"/>
                    <w:rPr>
                      <w:rFonts w:eastAsia="仿宋_GB2312"/>
                      <w:sz w:val="21"/>
                      <w:szCs w:val="21"/>
                    </w:rPr>
                  </w:pPr>
                  <w:r>
                    <w:rPr>
                      <w:rFonts w:hint="eastAsia" w:eastAsia="仿宋_GB2312"/>
                      <w:sz w:val="21"/>
                      <w:szCs w:val="21"/>
                    </w:rPr>
                    <w:t>CaCO</w:t>
                  </w:r>
                  <w:r>
                    <w:rPr>
                      <w:rFonts w:hint="eastAsia" w:eastAsia="仿宋_GB2312"/>
                      <w:sz w:val="21"/>
                      <w:szCs w:val="21"/>
                      <w:vertAlign w:val="subscript"/>
                    </w:rPr>
                    <w:t>3</w:t>
                  </w:r>
                  <w:r>
                    <w:rPr>
                      <w:rFonts w:hint="eastAsia" w:eastAsia="仿宋_GB2312"/>
                      <w:sz w:val="21"/>
                      <w:szCs w:val="21"/>
                    </w:rPr>
                    <w:t>、Mg(OH)</w:t>
                  </w:r>
                  <w:r>
                    <w:rPr>
                      <w:rFonts w:hint="eastAsia" w:eastAsia="仿宋_GB2312"/>
                      <w:sz w:val="21"/>
                      <w:szCs w:val="21"/>
                      <w:vertAlign w:val="subscript"/>
                    </w:rPr>
                    <w:t>2</w:t>
                  </w:r>
                  <w:r>
                    <w:rPr>
                      <w:rFonts w:hint="eastAsia" w:eastAsia="仿宋_GB2312"/>
                      <w:sz w:val="21"/>
                      <w:szCs w:val="21"/>
                    </w:rPr>
                    <w:t>、Fe(OH)</w:t>
                  </w:r>
                  <w:r>
                    <w:rPr>
                      <w:rFonts w:hint="eastAsia" w:eastAsia="仿宋_GB2312"/>
                      <w:sz w:val="21"/>
                      <w:szCs w:val="21"/>
                      <w:vertAlign w:val="subscript"/>
                    </w:rPr>
                    <w:t>3</w:t>
                  </w:r>
                  <w:r>
                    <w:rPr>
                      <w:rFonts w:hint="eastAsia" w:eastAsia="仿宋_GB2312"/>
                      <w:sz w:val="21"/>
                      <w:szCs w:val="21"/>
                    </w:rPr>
                    <w:t>等</w:t>
                  </w:r>
                </w:p>
              </w:tc>
              <w:tc>
                <w:tcPr>
                  <w:tcW w:w="1321" w:type="pct"/>
                  <w:vAlign w:val="center"/>
                </w:tcPr>
                <w:p w14:paraId="5584A48C">
                  <w:pPr>
                    <w:adjustRightInd w:val="0"/>
                    <w:snapToGrid w:val="0"/>
                    <w:jc w:val="center"/>
                    <w:rPr>
                      <w:rFonts w:hint="default" w:eastAsia="仿宋_GB2312"/>
                      <w:kern w:val="0"/>
                      <w:sz w:val="21"/>
                      <w:szCs w:val="21"/>
                      <w:lang w:val="en-US" w:eastAsia="zh-CN"/>
                    </w:rPr>
                  </w:pPr>
                  <w:r>
                    <w:rPr>
                      <w:rFonts w:hint="eastAsia" w:eastAsia="仿宋_GB2312"/>
                      <w:kern w:val="0"/>
                      <w:sz w:val="21"/>
                      <w:szCs w:val="21"/>
                      <w:lang w:val="en-US" w:eastAsia="zh-CN"/>
                    </w:rPr>
                    <w:t>回用于生产</w:t>
                  </w:r>
                </w:p>
              </w:tc>
            </w:tr>
            <w:tr w14:paraId="4B0B63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vMerge w:val="continue"/>
                  <w:vAlign w:val="center"/>
                </w:tcPr>
                <w:p w14:paraId="373433B8">
                  <w:pPr>
                    <w:adjustRightInd w:val="0"/>
                    <w:snapToGrid w:val="0"/>
                    <w:jc w:val="center"/>
                    <w:rPr>
                      <w:rFonts w:eastAsia="仿宋_GB2312"/>
                      <w:sz w:val="21"/>
                      <w:szCs w:val="21"/>
                    </w:rPr>
                  </w:pPr>
                </w:p>
              </w:tc>
              <w:tc>
                <w:tcPr>
                  <w:tcW w:w="573" w:type="pct"/>
                  <w:shd w:val="clear" w:color="auto" w:fill="auto"/>
                  <w:vAlign w:val="center"/>
                </w:tcPr>
                <w:p w14:paraId="2B759694">
                  <w:pPr>
                    <w:adjustRightInd w:val="0"/>
                    <w:snapToGrid w:val="0"/>
                    <w:jc w:val="center"/>
                    <w:rPr>
                      <w:rFonts w:hint="default" w:eastAsia="仿宋_GB2312"/>
                      <w:sz w:val="21"/>
                      <w:szCs w:val="21"/>
                      <w:lang w:val="en-US"/>
                    </w:rPr>
                  </w:pPr>
                  <w:r>
                    <w:rPr>
                      <w:rFonts w:hint="eastAsia" w:eastAsia="仿宋_GB2312"/>
                      <w:sz w:val="21"/>
                      <w:szCs w:val="21"/>
                      <w:lang w:val="en-US" w:eastAsia="zh-CN"/>
                    </w:rPr>
                    <w:t>S2</w:t>
                  </w:r>
                </w:p>
              </w:tc>
              <w:tc>
                <w:tcPr>
                  <w:tcW w:w="1249" w:type="pct"/>
                  <w:vAlign w:val="center"/>
                </w:tcPr>
                <w:p w14:paraId="3B5ADB33">
                  <w:pPr>
                    <w:adjustRightInd w:val="0"/>
                    <w:snapToGrid w:val="0"/>
                    <w:jc w:val="center"/>
                    <w:rPr>
                      <w:rFonts w:eastAsia="仿宋_GB2312"/>
                      <w:sz w:val="21"/>
                      <w:szCs w:val="21"/>
                    </w:rPr>
                  </w:pPr>
                  <w:r>
                    <w:rPr>
                      <w:rFonts w:hint="eastAsia" w:eastAsia="仿宋_GB2312"/>
                      <w:sz w:val="21"/>
                      <w:szCs w:val="21"/>
                    </w:rPr>
                    <w:t>活性炭过滤器</w:t>
                  </w:r>
                </w:p>
              </w:tc>
              <w:tc>
                <w:tcPr>
                  <w:tcW w:w="1358" w:type="pct"/>
                  <w:vAlign w:val="center"/>
                </w:tcPr>
                <w:p w14:paraId="7B14BA07">
                  <w:pPr>
                    <w:adjustRightInd w:val="0"/>
                    <w:snapToGrid w:val="0"/>
                    <w:jc w:val="center"/>
                    <w:rPr>
                      <w:rFonts w:eastAsia="仿宋_GB2312"/>
                      <w:sz w:val="21"/>
                      <w:szCs w:val="21"/>
                    </w:rPr>
                  </w:pPr>
                  <w:r>
                    <w:rPr>
                      <w:rFonts w:hint="eastAsia" w:eastAsia="仿宋_GB2312"/>
                      <w:sz w:val="21"/>
                      <w:szCs w:val="21"/>
                    </w:rPr>
                    <w:t>废活性炭</w:t>
                  </w:r>
                </w:p>
              </w:tc>
              <w:tc>
                <w:tcPr>
                  <w:tcW w:w="1321" w:type="pct"/>
                  <w:vAlign w:val="center"/>
                </w:tcPr>
                <w:p w14:paraId="708AD092">
                  <w:pPr>
                    <w:adjustRightInd w:val="0"/>
                    <w:snapToGrid w:val="0"/>
                    <w:jc w:val="center"/>
                    <w:rPr>
                      <w:rFonts w:eastAsia="仿宋_GB2312"/>
                      <w:kern w:val="0"/>
                      <w:sz w:val="21"/>
                      <w:szCs w:val="21"/>
                    </w:rPr>
                  </w:pPr>
                  <w:r>
                    <w:rPr>
                      <w:rFonts w:hint="eastAsia" w:eastAsia="仿宋_GB2312"/>
                      <w:kern w:val="0"/>
                      <w:sz w:val="21"/>
                      <w:szCs w:val="21"/>
                    </w:rPr>
                    <w:t>厂家更换自行带走</w:t>
                  </w:r>
                </w:p>
              </w:tc>
            </w:tr>
            <w:tr w14:paraId="3C59F0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vMerge w:val="continue"/>
                  <w:vAlign w:val="center"/>
                </w:tcPr>
                <w:p w14:paraId="1260F5B9">
                  <w:pPr>
                    <w:adjustRightInd w:val="0"/>
                    <w:snapToGrid w:val="0"/>
                    <w:jc w:val="center"/>
                    <w:rPr>
                      <w:rFonts w:eastAsia="仿宋_GB2312"/>
                      <w:sz w:val="21"/>
                      <w:szCs w:val="21"/>
                    </w:rPr>
                  </w:pPr>
                </w:p>
              </w:tc>
              <w:tc>
                <w:tcPr>
                  <w:tcW w:w="573" w:type="pct"/>
                  <w:shd w:val="clear" w:color="auto" w:fill="auto"/>
                  <w:vAlign w:val="center"/>
                </w:tcPr>
                <w:p w14:paraId="3E95B304">
                  <w:pPr>
                    <w:adjustRightInd w:val="0"/>
                    <w:snapToGrid w:val="0"/>
                    <w:jc w:val="center"/>
                    <w:rPr>
                      <w:rFonts w:hint="default" w:eastAsia="仿宋_GB2312"/>
                      <w:sz w:val="21"/>
                      <w:szCs w:val="21"/>
                      <w:lang w:val="en-US"/>
                    </w:rPr>
                  </w:pPr>
                  <w:r>
                    <w:rPr>
                      <w:rFonts w:hint="eastAsia" w:eastAsia="仿宋_GB2312"/>
                      <w:sz w:val="21"/>
                      <w:szCs w:val="21"/>
                      <w:lang w:val="en-US" w:eastAsia="zh-CN"/>
                    </w:rPr>
                    <w:t>S3</w:t>
                  </w:r>
                </w:p>
              </w:tc>
              <w:tc>
                <w:tcPr>
                  <w:tcW w:w="1249" w:type="pct"/>
                  <w:vAlign w:val="center"/>
                </w:tcPr>
                <w:p w14:paraId="3B4C956C">
                  <w:pPr>
                    <w:adjustRightInd w:val="0"/>
                    <w:snapToGrid w:val="0"/>
                    <w:jc w:val="center"/>
                    <w:rPr>
                      <w:rFonts w:eastAsia="仿宋_GB2312"/>
                      <w:sz w:val="21"/>
                      <w:szCs w:val="21"/>
                    </w:rPr>
                  </w:pPr>
                  <w:r>
                    <w:rPr>
                      <w:rFonts w:hint="eastAsia" w:eastAsia="仿宋_GB2312"/>
                      <w:sz w:val="21"/>
                      <w:szCs w:val="21"/>
                    </w:rPr>
                    <w:t>废保安过滤器滤芯</w:t>
                  </w:r>
                </w:p>
              </w:tc>
              <w:tc>
                <w:tcPr>
                  <w:tcW w:w="1358" w:type="pct"/>
                  <w:vAlign w:val="center"/>
                </w:tcPr>
                <w:p w14:paraId="1AEC620C">
                  <w:pPr>
                    <w:adjustRightInd w:val="0"/>
                    <w:snapToGrid w:val="0"/>
                    <w:jc w:val="center"/>
                    <w:rPr>
                      <w:rFonts w:eastAsia="仿宋_GB2312"/>
                      <w:sz w:val="21"/>
                      <w:szCs w:val="21"/>
                    </w:rPr>
                  </w:pPr>
                  <w:r>
                    <w:rPr>
                      <w:rFonts w:hint="eastAsia" w:eastAsia="仿宋_GB2312"/>
                      <w:sz w:val="21"/>
                      <w:szCs w:val="21"/>
                    </w:rPr>
                    <w:t>PP材质</w:t>
                  </w:r>
                </w:p>
              </w:tc>
              <w:tc>
                <w:tcPr>
                  <w:tcW w:w="1321" w:type="pct"/>
                  <w:vAlign w:val="center"/>
                </w:tcPr>
                <w:p w14:paraId="2FD2ADEE">
                  <w:pPr>
                    <w:adjustRightInd w:val="0"/>
                    <w:snapToGrid w:val="0"/>
                    <w:jc w:val="center"/>
                    <w:rPr>
                      <w:rFonts w:eastAsia="仿宋_GB2312"/>
                      <w:kern w:val="0"/>
                      <w:sz w:val="21"/>
                      <w:szCs w:val="21"/>
                    </w:rPr>
                  </w:pPr>
                  <w:r>
                    <w:rPr>
                      <w:rFonts w:hint="eastAsia" w:eastAsia="仿宋_GB2312"/>
                      <w:kern w:val="0"/>
                      <w:sz w:val="21"/>
                      <w:szCs w:val="21"/>
                    </w:rPr>
                    <w:t>厂家更换自行带走</w:t>
                  </w:r>
                </w:p>
              </w:tc>
            </w:tr>
            <w:tr w14:paraId="006794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vMerge w:val="continue"/>
                  <w:vAlign w:val="center"/>
                </w:tcPr>
                <w:p w14:paraId="388B71E1">
                  <w:pPr>
                    <w:adjustRightInd w:val="0"/>
                    <w:snapToGrid w:val="0"/>
                    <w:jc w:val="center"/>
                    <w:rPr>
                      <w:rFonts w:eastAsia="仿宋_GB2312"/>
                      <w:sz w:val="21"/>
                      <w:szCs w:val="21"/>
                    </w:rPr>
                  </w:pPr>
                </w:p>
              </w:tc>
              <w:tc>
                <w:tcPr>
                  <w:tcW w:w="573" w:type="pct"/>
                  <w:shd w:val="clear" w:color="auto" w:fill="auto"/>
                  <w:vAlign w:val="center"/>
                </w:tcPr>
                <w:p w14:paraId="540C0AC8">
                  <w:pPr>
                    <w:adjustRightInd w:val="0"/>
                    <w:snapToGrid w:val="0"/>
                    <w:jc w:val="center"/>
                    <w:rPr>
                      <w:rFonts w:hint="default" w:eastAsia="仿宋_GB2312"/>
                      <w:sz w:val="21"/>
                      <w:szCs w:val="21"/>
                      <w:lang w:val="en-US" w:eastAsia="zh-CN"/>
                    </w:rPr>
                  </w:pPr>
                  <w:r>
                    <w:rPr>
                      <w:rFonts w:hint="eastAsia" w:eastAsia="仿宋_GB2312"/>
                      <w:sz w:val="21"/>
                      <w:szCs w:val="21"/>
                      <w:lang w:val="en-US" w:eastAsia="zh-CN"/>
                    </w:rPr>
                    <w:t>S4</w:t>
                  </w:r>
                </w:p>
              </w:tc>
              <w:tc>
                <w:tcPr>
                  <w:tcW w:w="1249" w:type="pct"/>
                  <w:shd w:val="clear" w:color="auto" w:fill="auto"/>
                  <w:vAlign w:val="center"/>
                </w:tcPr>
                <w:p w14:paraId="530BC04C">
                  <w:pPr>
                    <w:adjustRightInd w:val="0"/>
                    <w:snapToGrid w:val="0"/>
                    <w:jc w:val="center"/>
                    <w:rPr>
                      <w:rFonts w:hint="eastAsia" w:ascii="Times New Roman" w:hAnsi="Times New Roman" w:eastAsia="仿宋_GB2312" w:cs="Times New Roman"/>
                      <w:kern w:val="2"/>
                      <w:sz w:val="21"/>
                      <w:szCs w:val="21"/>
                      <w:lang w:val="en-US" w:eastAsia="zh-CN" w:bidi="ar-SA"/>
                    </w:rPr>
                  </w:pPr>
                  <w:r>
                    <w:rPr>
                      <w:rFonts w:hint="eastAsia" w:eastAsia="仿宋_GB2312"/>
                      <w:sz w:val="21"/>
                      <w:szCs w:val="21"/>
                    </w:rPr>
                    <w:t>过滤器滤芯</w:t>
                  </w:r>
                </w:p>
              </w:tc>
              <w:tc>
                <w:tcPr>
                  <w:tcW w:w="1358" w:type="pct"/>
                  <w:shd w:val="clear" w:color="auto" w:fill="auto"/>
                  <w:vAlign w:val="center"/>
                </w:tcPr>
                <w:p w14:paraId="4035A1B9">
                  <w:pPr>
                    <w:adjustRightInd w:val="0"/>
                    <w:snapToGrid w:val="0"/>
                    <w:jc w:val="center"/>
                    <w:rPr>
                      <w:rFonts w:hint="eastAsia" w:ascii="Times New Roman" w:hAnsi="Times New Roman" w:eastAsia="仿宋_GB2312" w:cs="Times New Roman"/>
                      <w:kern w:val="2"/>
                      <w:sz w:val="21"/>
                      <w:szCs w:val="21"/>
                      <w:lang w:val="en-US" w:eastAsia="zh-CN" w:bidi="ar-SA"/>
                    </w:rPr>
                  </w:pPr>
                  <w:r>
                    <w:rPr>
                      <w:rFonts w:eastAsia="仿宋_GB2312"/>
                      <w:kern w:val="0"/>
                      <w:sz w:val="21"/>
                      <w:szCs w:val="21"/>
                    </w:rPr>
                    <w:t>TA2材质</w:t>
                  </w:r>
                </w:p>
              </w:tc>
              <w:tc>
                <w:tcPr>
                  <w:tcW w:w="1321" w:type="pct"/>
                  <w:shd w:val="clear" w:color="auto" w:fill="auto"/>
                  <w:vAlign w:val="center"/>
                </w:tcPr>
                <w:p w14:paraId="5053008B">
                  <w:pPr>
                    <w:adjustRightInd w:val="0"/>
                    <w:snapToGrid w:val="0"/>
                    <w:jc w:val="center"/>
                    <w:rPr>
                      <w:rFonts w:hint="eastAsia" w:ascii="Times New Roman" w:hAnsi="Times New Roman" w:eastAsia="仿宋_GB2312" w:cs="Times New Roman"/>
                      <w:kern w:val="0"/>
                      <w:sz w:val="21"/>
                      <w:szCs w:val="21"/>
                      <w:lang w:val="en-US" w:eastAsia="zh-CN" w:bidi="ar-SA"/>
                    </w:rPr>
                  </w:pPr>
                  <w:r>
                    <w:rPr>
                      <w:rFonts w:hint="eastAsia" w:eastAsia="仿宋_GB2312"/>
                      <w:kern w:val="0"/>
                      <w:sz w:val="21"/>
                      <w:szCs w:val="21"/>
                    </w:rPr>
                    <w:t>厂家更换自行带走</w:t>
                  </w:r>
                </w:p>
              </w:tc>
            </w:tr>
            <w:tr w14:paraId="040353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vMerge w:val="continue"/>
                  <w:vAlign w:val="center"/>
                </w:tcPr>
                <w:p w14:paraId="088F1183">
                  <w:pPr>
                    <w:adjustRightInd w:val="0"/>
                    <w:snapToGrid w:val="0"/>
                    <w:jc w:val="center"/>
                    <w:rPr>
                      <w:rFonts w:eastAsia="仿宋_GB2312"/>
                      <w:sz w:val="21"/>
                      <w:szCs w:val="21"/>
                    </w:rPr>
                  </w:pPr>
                </w:p>
              </w:tc>
              <w:tc>
                <w:tcPr>
                  <w:tcW w:w="573" w:type="pct"/>
                  <w:vAlign w:val="center"/>
                </w:tcPr>
                <w:p w14:paraId="277FF327">
                  <w:pPr>
                    <w:adjustRightInd w:val="0"/>
                    <w:snapToGrid w:val="0"/>
                    <w:jc w:val="center"/>
                    <w:rPr>
                      <w:rFonts w:eastAsia="仿宋_GB2312"/>
                      <w:sz w:val="21"/>
                      <w:szCs w:val="21"/>
                    </w:rPr>
                  </w:pPr>
                  <w:r>
                    <w:rPr>
                      <w:rFonts w:eastAsia="仿宋_GB2312"/>
                      <w:sz w:val="21"/>
                      <w:szCs w:val="21"/>
                    </w:rPr>
                    <w:t>/</w:t>
                  </w:r>
                </w:p>
              </w:tc>
              <w:tc>
                <w:tcPr>
                  <w:tcW w:w="1249" w:type="pct"/>
                  <w:vMerge w:val="restart"/>
                  <w:vAlign w:val="center"/>
                </w:tcPr>
                <w:p w14:paraId="48209B1B">
                  <w:pPr>
                    <w:adjustRightInd w:val="0"/>
                    <w:snapToGrid w:val="0"/>
                    <w:jc w:val="center"/>
                    <w:rPr>
                      <w:rFonts w:eastAsia="仿宋_GB2312"/>
                      <w:sz w:val="21"/>
                      <w:szCs w:val="21"/>
                    </w:rPr>
                  </w:pPr>
                  <w:r>
                    <w:rPr>
                      <w:rFonts w:eastAsia="仿宋_GB2312"/>
                      <w:sz w:val="21"/>
                      <w:szCs w:val="21"/>
                    </w:rPr>
                    <w:t>设备维护</w:t>
                  </w:r>
                </w:p>
              </w:tc>
              <w:tc>
                <w:tcPr>
                  <w:tcW w:w="1358" w:type="pct"/>
                  <w:vAlign w:val="center"/>
                </w:tcPr>
                <w:p w14:paraId="66F56D6E">
                  <w:pPr>
                    <w:adjustRightInd w:val="0"/>
                    <w:snapToGrid w:val="0"/>
                    <w:jc w:val="center"/>
                    <w:rPr>
                      <w:rFonts w:eastAsia="仿宋_GB2312"/>
                      <w:sz w:val="21"/>
                      <w:szCs w:val="21"/>
                    </w:rPr>
                  </w:pPr>
                  <w:r>
                    <w:rPr>
                      <w:rFonts w:eastAsia="仿宋_GB2312"/>
                      <w:sz w:val="21"/>
                      <w:szCs w:val="21"/>
                    </w:rPr>
                    <w:t>废机油</w:t>
                  </w:r>
                </w:p>
              </w:tc>
              <w:tc>
                <w:tcPr>
                  <w:tcW w:w="1321" w:type="pct"/>
                  <w:vMerge w:val="restart"/>
                  <w:vAlign w:val="center"/>
                </w:tcPr>
                <w:p w14:paraId="2B0DB363">
                  <w:pPr>
                    <w:adjustRightInd w:val="0"/>
                    <w:snapToGrid w:val="0"/>
                    <w:jc w:val="center"/>
                    <w:rPr>
                      <w:rFonts w:eastAsia="仿宋_GB2312"/>
                      <w:sz w:val="21"/>
                      <w:szCs w:val="21"/>
                    </w:rPr>
                  </w:pPr>
                  <w:r>
                    <w:rPr>
                      <w:rFonts w:hint="eastAsia" w:eastAsia="仿宋_GB2312"/>
                      <w:sz w:val="21"/>
                      <w:szCs w:val="21"/>
                    </w:rPr>
                    <w:t>委托有资质单位处置</w:t>
                  </w:r>
                </w:p>
              </w:tc>
            </w:tr>
            <w:tr w14:paraId="33DCDC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vMerge w:val="continue"/>
                  <w:vAlign w:val="center"/>
                </w:tcPr>
                <w:p w14:paraId="678B572E">
                  <w:pPr>
                    <w:adjustRightInd w:val="0"/>
                    <w:snapToGrid w:val="0"/>
                    <w:jc w:val="center"/>
                    <w:rPr>
                      <w:rFonts w:eastAsia="仿宋_GB2312"/>
                      <w:sz w:val="21"/>
                      <w:szCs w:val="21"/>
                    </w:rPr>
                  </w:pPr>
                </w:p>
              </w:tc>
              <w:tc>
                <w:tcPr>
                  <w:tcW w:w="573" w:type="pct"/>
                  <w:vAlign w:val="center"/>
                </w:tcPr>
                <w:p w14:paraId="67702267">
                  <w:pPr>
                    <w:adjustRightInd w:val="0"/>
                    <w:snapToGrid w:val="0"/>
                    <w:jc w:val="center"/>
                    <w:rPr>
                      <w:rFonts w:eastAsia="仿宋_GB2312"/>
                      <w:sz w:val="21"/>
                      <w:szCs w:val="21"/>
                    </w:rPr>
                  </w:pPr>
                  <w:r>
                    <w:rPr>
                      <w:rFonts w:eastAsia="仿宋_GB2312"/>
                      <w:sz w:val="21"/>
                      <w:szCs w:val="21"/>
                    </w:rPr>
                    <w:t>/</w:t>
                  </w:r>
                </w:p>
              </w:tc>
              <w:tc>
                <w:tcPr>
                  <w:tcW w:w="1249" w:type="pct"/>
                  <w:vMerge w:val="continue"/>
                  <w:vAlign w:val="center"/>
                </w:tcPr>
                <w:p w14:paraId="1008BC1A">
                  <w:pPr>
                    <w:adjustRightInd w:val="0"/>
                    <w:snapToGrid w:val="0"/>
                    <w:jc w:val="center"/>
                    <w:rPr>
                      <w:rFonts w:eastAsia="仿宋_GB2312"/>
                      <w:sz w:val="21"/>
                      <w:szCs w:val="21"/>
                    </w:rPr>
                  </w:pPr>
                </w:p>
              </w:tc>
              <w:tc>
                <w:tcPr>
                  <w:tcW w:w="1358" w:type="pct"/>
                  <w:vAlign w:val="center"/>
                </w:tcPr>
                <w:p w14:paraId="25311B6F">
                  <w:pPr>
                    <w:adjustRightInd w:val="0"/>
                    <w:snapToGrid w:val="0"/>
                    <w:jc w:val="center"/>
                    <w:rPr>
                      <w:rFonts w:eastAsia="仿宋_GB2312"/>
                      <w:sz w:val="21"/>
                      <w:szCs w:val="21"/>
                    </w:rPr>
                  </w:pPr>
                  <w:r>
                    <w:rPr>
                      <w:rFonts w:eastAsia="仿宋_GB2312"/>
                      <w:sz w:val="21"/>
                      <w:szCs w:val="21"/>
                    </w:rPr>
                    <w:t>废油桶</w:t>
                  </w:r>
                </w:p>
              </w:tc>
              <w:tc>
                <w:tcPr>
                  <w:tcW w:w="1321" w:type="pct"/>
                  <w:vMerge w:val="continue"/>
                  <w:vAlign w:val="center"/>
                </w:tcPr>
                <w:p w14:paraId="663C7DAE">
                  <w:pPr>
                    <w:adjustRightInd w:val="0"/>
                    <w:snapToGrid w:val="0"/>
                    <w:jc w:val="center"/>
                    <w:rPr>
                      <w:rFonts w:eastAsia="仿宋_GB2312"/>
                      <w:sz w:val="21"/>
                      <w:szCs w:val="21"/>
                    </w:rPr>
                  </w:pPr>
                </w:p>
              </w:tc>
            </w:tr>
            <w:tr w14:paraId="0FD454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6" w:type="pct"/>
                  <w:vMerge w:val="continue"/>
                  <w:vAlign w:val="center"/>
                </w:tcPr>
                <w:p w14:paraId="48421886">
                  <w:pPr>
                    <w:adjustRightInd w:val="0"/>
                    <w:snapToGrid w:val="0"/>
                    <w:jc w:val="center"/>
                    <w:rPr>
                      <w:rFonts w:eastAsia="仿宋_GB2312"/>
                      <w:sz w:val="21"/>
                      <w:szCs w:val="21"/>
                    </w:rPr>
                  </w:pPr>
                </w:p>
              </w:tc>
              <w:tc>
                <w:tcPr>
                  <w:tcW w:w="573" w:type="pct"/>
                  <w:vAlign w:val="center"/>
                </w:tcPr>
                <w:p w14:paraId="27D74006">
                  <w:pPr>
                    <w:adjustRightInd w:val="0"/>
                    <w:snapToGrid w:val="0"/>
                    <w:jc w:val="center"/>
                    <w:rPr>
                      <w:rFonts w:eastAsia="仿宋_GB2312"/>
                      <w:sz w:val="21"/>
                      <w:szCs w:val="21"/>
                    </w:rPr>
                  </w:pPr>
                  <w:r>
                    <w:rPr>
                      <w:rFonts w:eastAsia="仿宋_GB2312"/>
                      <w:sz w:val="21"/>
                      <w:szCs w:val="21"/>
                    </w:rPr>
                    <w:t>/</w:t>
                  </w:r>
                </w:p>
              </w:tc>
              <w:tc>
                <w:tcPr>
                  <w:tcW w:w="1249" w:type="pct"/>
                  <w:vMerge w:val="continue"/>
                  <w:vAlign w:val="center"/>
                </w:tcPr>
                <w:p w14:paraId="5F9FFBE8">
                  <w:pPr>
                    <w:adjustRightInd w:val="0"/>
                    <w:snapToGrid w:val="0"/>
                    <w:jc w:val="center"/>
                    <w:rPr>
                      <w:rFonts w:eastAsia="仿宋_GB2312"/>
                      <w:sz w:val="21"/>
                      <w:szCs w:val="21"/>
                    </w:rPr>
                  </w:pPr>
                </w:p>
              </w:tc>
              <w:tc>
                <w:tcPr>
                  <w:tcW w:w="1358" w:type="pct"/>
                  <w:vAlign w:val="center"/>
                </w:tcPr>
                <w:p w14:paraId="1321126A">
                  <w:pPr>
                    <w:adjustRightInd w:val="0"/>
                    <w:snapToGrid w:val="0"/>
                    <w:jc w:val="center"/>
                    <w:rPr>
                      <w:rFonts w:eastAsia="仿宋_GB2312"/>
                      <w:sz w:val="21"/>
                      <w:szCs w:val="21"/>
                    </w:rPr>
                  </w:pPr>
                  <w:r>
                    <w:rPr>
                      <w:rFonts w:eastAsia="仿宋_GB2312"/>
                      <w:sz w:val="21"/>
                      <w:szCs w:val="21"/>
                    </w:rPr>
                    <w:t>废漆桶</w:t>
                  </w:r>
                </w:p>
              </w:tc>
              <w:tc>
                <w:tcPr>
                  <w:tcW w:w="1321" w:type="pct"/>
                  <w:vMerge w:val="continue"/>
                  <w:vAlign w:val="center"/>
                </w:tcPr>
                <w:p w14:paraId="4637E9E3">
                  <w:pPr>
                    <w:adjustRightInd w:val="0"/>
                    <w:snapToGrid w:val="0"/>
                    <w:jc w:val="center"/>
                    <w:rPr>
                      <w:rFonts w:eastAsia="仿宋_GB2312"/>
                      <w:sz w:val="21"/>
                      <w:szCs w:val="21"/>
                    </w:rPr>
                  </w:pPr>
                </w:p>
              </w:tc>
            </w:tr>
            <w:tr w14:paraId="50FCE4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6" w:type="pct"/>
                  <w:vMerge w:val="continue"/>
                  <w:vAlign w:val="center"/>
                </w:tcPr>
                <w:p w14:paraId="79C7BD94">
                  <w:pPr>
                    <w:adjustRightInd w:val="0"/>
                    <w:snapToGrid w:val="0"/>
                    <w:jc w:val="center"/>
                    <w:rPr>
                      <w:rFonts w:eastAsia="仿宋_GB2312"/>
                      <w:sz w:val="21"/>
                      <w:szCs w:val="21"/>
                    </w:rPr>
                  </w:pPr>
                </w:p>
              </w:tc>
              <w:tc>
                <w:tcPr>
                  <w:tcW w:w="573" w:type="pct"/>
                  <w:vAlign w:val="center"/>
                </w:tcPr>
                <w:p w14:paraId="7DB9007C">
                  <w:pPr>
                    <w:adjustRightInd w:val="0"/>
                    <w:snapToGrid w:val="0"/>
                    <w:jc w:val="center"/>
                    <w:rPr>
                      <w:rFonts w:eastAsia="仿宋_GB2312"/>
                      <w:sz w:val="21"/>
                      <w:szCs w:val="21"/>
                    </w:rPr>
                  </w:pPr>
                  <w:r>
                    <w:rPr>
                      <w:rFonts w:eastAsia="仿宋_GB2312"/>
                      <w:sz w:val="21"/>
                      <w:szCs w:val="21"/>
                    </w:rPr>
                    <w:t>/</w:t>
                  </w:r>
                </w:p>
              </w:tc>
              <w:tc>
                <w:tcPr>
                  <w:tcW w:w="1249" w:type="pct"/>
                  <w:vMerge w:val="continue"/>
                  <w:vAlign w:val="center"/>
                </w:tcPr>
                <w:p w14:paraId="1F7A15A9">
                  <w:pPr>
                    <w:adjustRightInd w:val="0"/>
                    <w:snapToGrid w:val="0"/>
                    <w:jc w:val="center"/>
                    <w:rPr>
                      <w:rFonts w:eastAsia="仿宋_GB2312"/>
                      <w:sz w:val="21"/>
                      <w:szCs w:val="21"/>
                    </w:rPr>
                  </w:pPr>
                </w:p>
              </w:tc>
              <w:tc>
                <w:tcPr>
                  <w:tcW w:w="1358" w:type="pct"/>
                  <w:vAlign w:val="center"/>
                </w:tcPr>
                <w:p w14:paraId="5F95273E">
                  <w:pPr>
                    <w:adjustRightInd w:val="0"/>
                    <w:snapToGrid w:val="0"/>
                    <w:jc w:val="center"/>
                    <w:rPr>
                      <w:rFonts w:eastAsia="仿宋_GB2312"/>
                      <w:sz w:val="21"/>
                      <w:szCs w:val="21"/>
                    </w:rPr>
                  </w:pPr>
                  <w:r>
                    <w:rPr>
                      <w:rFonts w:eastAsia="仿宋_GB2312"/>
                      <w:sz w:val="21"/>
                      <w:szCs w:val="21"/>
                    </w:rPr>
                    <w:t>废漆刷</w:t>
                  </w:r>
                </w:p>
              </w:tc>
              <w:tc>
                <w:tcPr>
                  <w:tcW w:w="1321" w:type="pct"/>
                  <w:vMerge w:val="continue"/>
                  <w:vAlign w:val="center"/>
                </w:tcPr>
                <w:p w14:paraId="7C761358">
                  <w:pPr>
                    <w:adjustRightInd w:val="0"/>
                    <w:snapToGrid w:val="0"/>
                    <w:jc w:val="center"/>
                    <w:rPr>
                      <w:rFonts w:eastAsia="仿宋_GB2312"/>
                      <w:sz w:val="21"/>
                      <w:szCs w:val="21"/>
                    </w:rPr>
                  </w:pPr>
                </w:p>
              </w:tc>
            </w:tr>
            <w:tr w14:paraId="6D5191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6" w:type="pct"/>
                  <w:vMerge w:val="continue"/>
                  <w:vAlign w:val="center"/>
                </w:tcPr>
                <w:p w14:paraId="531EB221">
                  <w:pPr>
                    <w:adjustRightInd w:val="0"/>
                    <w:snapToGrid w:val="0"/>
                    <w:jc w:val="center"/>
                    <w:rPr>
                      <w:rFonts w:eastAsia="仿宋_GB2312"/>
                      <w:sz w:val="21"/>
                      <w:szCs w:val="21"/>
                    </w:rPr>
                  </w:pPr>
                </w:p>
              </w:tc>
              <w:tc>
                <w:tcPr>
                  <w:tcW w:w="573" w:type="pct"/>
                  <w:vAlign w:val="center"/>
                </w:tcPr>
                <w:p w14:paraId="017C8258">
                  <w:pPr>
                    <w:adjustRightInd w:val="0"/>
                    <w:snapToGrid w:val="0"/>
                    <w:jc w:val="center"/>
                    <w:rPr>
                      <w:rFonts w:eastAsia="仿宋_GB2312"/>
                      <w:sz w:val="21"/>
                      <w:szCs w:val="21"/>
                    </w:rPr>
                  </w:pPr>
                  <w:r>
                    <w:rPr>
                      <w:rFonts w:hint="eastAsia" w:eastAsia="仿宋_GB2312"/>
                      <w:sz w:val="21"/>
                      <w:szCs w:val="21"/>
                    </w:rPr>
                    <w:t>/</w:t>
                  </w:r>
                </w:p>
              </w:tc>
              <w:tc>
                <w:tcPr>
                  <w:tcW w:w="1249" w:type="pct"/>
                  <w:vAlign w:val="center"/>
                </w:tcPr>
                <w:p w14:paraId="2A626780">
                  <w:pPr>
                    <w:adjustRightInd w:val="0"/>
                    <w:snapToGrid w:val="0"/>
                    <w:jc w:val="center"/>
                    <w:rPr>
                      <w:rFonts w:eastAsia="仿宋_GB2312"/>
                      <w:sz w:val="21"/>
                      <w:szCs w:val="21"/>
                    </w:rPr>
                  </w:pPr>
                  <w:r>
                    <w:rPr>
                      <w:rFonts w:hint="eastAsia" w:eastAsia="仿宋_GB2312"/>
                      <w:sz w:val="21"/>
                      <w:szCs w:val="21"/>
                    </w:rPr>
                    <w:t>实验室</w:t>
                  </w:r>
                </w:p>
              </w:tc>
              <w:tc>
                <w:tcPr>
                  <w:tcW w:w="1358" w:type="pct"/>
                  <w:vAlign w:val="center"/>
                </w:tcPr>
                <w:p w14:paraId="523AFA22">
                  <w:pPr>
                    <w:adjustRightInd w:val="0"/>
                    <w:snapToGrid w:val="0"/>
                    <w:jc w:val="center"/>
                    <w:rPr>
                      <w:rFonts w:eastAsia="仿宋_GB2312"/>
                      <w:sz w:val="21"/>
                      <w:szCs w:val="21"/>
                    </w:rPr>
                  </w:pPr>
                  <w:r>
                    <w:rPr>
                      <w:rFonts w:hint="eastAsia" w:eastAsia="仿宋_GB2312"/>
                      <w:sz w:val="21"/>
                      <w:szCs w:val="21"/>
                    </w:rPr>
                    <w:t>实验室废液</w:t>
                  </w:r>
                </w:p>
              </w:tc>
              <w:tc>
                <w:tcPr>
                  <w:tcW w:w="1321" w:type="pct"/>
                  <w:vMerge w:val="continue"/>
                  <w:vAlign w:val="center"/>
                </w:tcPr>
                <w:p w14:paraId="53526475">
                  <w:pPr>
                    <w:adjustRightInd w:val="0"/>
                    <w:snapToGrid w:val="0"/>
                    <w:jc w:val="center"/>
                    <w:rPr>
                      <w:rFonts w:eastAsia="仿宋_GB2312"/>
                      <w:sz w:val="21"/>
                      <w:szCs w:val="21"/>
                    </w:rPr>
                  </w:pPr>
                </w:p>
              </w:tc>
            </w:tr>
            <w:bookmarkEnd w:id="35"/>
          </w:tbl>
          <w:p w14:paraId="3718F9DE">
            <w:pPr>
              <w:rPr>
                <w:rFonts w:eastAsia="仿宋_GB2312"/>
                <w:sz w:val="24"/>
              </w:rPr>
            </w:pPr>
          </w:p>
        </w:tc>
      </w:tr>
      <w:tr w14:paraId="3E8491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555" w:hRule="atLeast"/>
          <w:jc w:val="center"/>
        </w:trPr>
        <w:tc>
          <w:tcPr>
            <w:tcW w:w="822" w:type="dxa"/>
            <w:vAlign w:val="center"/>
          </w:tcPr>
          <w:p w14:paraId="7C0D477C">
            <w:pPr>
              <w:pStyle w:val="28"/>
              <w:adjustRightInd w:val="0"/>
              <w:snapToGrid w:val="0"/>
              <w:spacing w:before="0" w:beforeAutospacing="0" w:after="0" w:afterAutospacing="0"/>
              <w:jc w:val="center"/>
              <w:rPr>
                <w:rFonts w:ascii="Times New Roman" w:hAnsi="Times New Roman" w:eastAsia="仿宋_GB2312"/>
                <w:szCs w:val="24"/>
              </w:rPr>
            </w:pPr>
            <w:r>
              <w:rPr>
                <w:rFonts w:ascii="Times New Roman" w:hAnsi="Times New Roman" w:eastAsia="仿宋_GB2312"/>
                <w:bCs/>
                <w:kern w:val="2"/>
                <w:szCs w:val="24"/>
              </w:rPr>
              <w:t>与项目有关的原有环境污染问题</w:t>
            </w:r>
          </w:p>
        </w:tc>
        <w:tc>
          <w:tcPr>
            <w:tcW w:w="8238" w:type="dxa"/>
          </w:tcPr>
          <w:p w14:paraId="18689439">
            <w:pPr>
              <w:spacing w:line="360" w:lineRule="auto"/>
              <w:ind w:firstLine="422" w:firstLineChars="200"/>
              <w:rPr>
                <w:rFonts w:eastAsia="仿宋_GB2312"/>
                <w:b/>
                <w:bCs/>
                <w:snapToGrid w:val="0"/>
                <w:color w:val="000000"/>
              </w:rPr>
            </w:pPr>
            <w:r>
              <w:rPr>
                <w:rFonts w:hint="eastAsia" w:eastAsia="仿宋_GB2312"/>
                <w:b/>
                <w:bCs/>
                <w:snapToGrid w:val="0"/>
                <w:color w:val="000000"/>
              </w:rPr>
              <w:t>1</w:t>
            </w:r>
            <w:r>
              <w:rPr>
                <w:rFonts w:eastAsia="仿宋_GB2312"/>
                <w:b/>
                <w:bCs/>
                <w:snapToGrid w:val="0"/>
                <w:color w:val="000000"/>
              </w:rPr>
              <w:t>、现有项目概况</w:t>
            </w:r>
          </w:p>
          <w:p w14:paraId="76742E05">
            <w:pPr>
              <w:adjustRightInd w:val="0"/>
              <w:snapToGrid w:val="0"/>
              <w:spacing w:line="360" w:lineRule="auto"/>
              <w:ind w:firstLine="420" w:firstLineChars="200"/>
              <w:rPr>
                <w:rFonts w:eastAsia="仿宋_GB2312"/>
                <w:color w:val="000000"/>
                <w:kern w:val="0"/>
              </w:rPr>
            </w:pPr>
            <w:r>
              <w:rPr>
                <w:rFonts w:hint="eastAsia" w:eastAsia="仿宋_GB2312"/>
                <w:color w:val="000000"/>
                <w:kern w:val="0"/>
              </w:rPr>
              <w:t>中盐金坛盐化有限责任公司</w:t>
            </w:r>
            <w:r>
              <w:rPr>
                <w:rFonts w:eastAsia="仿宋_GB2312"/>
                <w:color w:val="000000"/>
                <w:kern w:val="0"/>
              </w:rPr>
              <w:t>成立于20</w:t>
            </w:r>
            <w:r>
              <w:rPr>
                <w:rFonts w:hint="eastAsia" w:eastAsia="仿宋_GB2312"/>
                <w:color w:val="000000"/>
                <w:kern w:val="0"/>
              </w:rPr>
              <w:t>01</w:t>
            </w:r>
            <w:r>
              <w:rPr>
                <w:rFonts w:eastAsia="仿宋_GB2312"/>
                <w:color w:val="000000"/>
                <w:kern w:val="0"/>
              </w:rPr>
              <w:t>年，中盐金坛的业务涵盖食用盐、工业盐、电力和热力、盐穴综合利用等方面，已形成“盐碱一体化、盐电一体化、盐穴一体化”的“三个一体化”产业布局和完整的产业链。</w:t>
            </w:r>
            <w:r>
              <w:rPr>
                <w:rFonts w:hint="eastAsia" w:eastAsia="仿宋_GB2312"/>
                <w:color w:val="000000"/>
                <w:kern w:val="0"/>
              </w:rPr>
              <w:t>中盐金坛盐化有限责任公司盐矿开采位于金坛盐矿区，制盐等位于盐厂路1号厂区，本项目位于盐厂路1号，本次主要对盐厂路1号厂区内概况进行分析。企业现有项目</w:t>
            </w:r>
            <w:r>
              <w:rPr>
                <w:rFonts w:eastAsia="仿宋_GB2312"/>
                <w:color w:val="000000"/>
                <w:kern w:val="0"/>
              </w:rPr>
              <w:t>主体工程及产品方案见表2-</w:t>
            </w:r>
            <w:r>
              <w:rPr>
                <w:rFonts w:hint="eastAsia" w:eastAsia="仿宋_GB2312"/>
                <w:color w:val="000000"/>
                <w:kern w:val="0"/>
                <w:lang w:val="en-US" w:eastAsia="zh-CN"/>
              </w:rPr>
              <w:t>12</w:t>
            </w:r>
            <w:r>
              <w:rPr>
                <w:rFonts w:eastAsia="仿宋_GB2312"/>
                <w:color w:val="000000"/>
                <w:kern w:val="0"/>
              </w:rPr>
              <w:t>。</w:t>
            </w:r>
          </w:p>
          <w:p w14:paraId="5A3CABBE">
            <w:pPr>
              <w:adjustRightInd w:val="0"/>
              <w:snapToGrid w:val="0"/>
              <w:spacing w:line="360" w:lineRule="auto"/>
              <w:jc w:val="center"/>
              <w:rPr>
                <w:rFonts w:eastAsia="仿宋_GB2312"/>
                <w:b/>
                <w:color w:val="000000"/>
                <w:kern w:val="0"/>
              </w:rPr>
            </w:pPr>
            <w:r>
              <w:rPr>
                <w:rFonts w:eastAsia="仿宋_GB2312"/>
                <w:b/>
                <w:color w:val="000000"/>
                <w:kern w:val="0"/>
              </w:rPr>
              <w:t>表2</w:t>
            </w:r>
            <w:r>
              <w:rPr>
                <w:rFonts w:hint="eastAsia" w:eastAsia="仿宋_GB2312"/>
                <w:b/>
                <w:color w:val="000000"/>
                <w:kern w:val="0"/>
                <w:lang w:val="en-US" w:eastAsia="zh-CN"/>
              </w:rPr>
              <w:t xml:space="preserve">-12  </w:t>
            </w:r>
            <w:r>
              <w:rPr>
                <w:rFonts w:eastAsia="仿宋_GB2312"/>
                <w:b/>
                <w:color w:val="000000"/>
                <w:kern w:val="0"/>
              </w:rPr>
              <w:t>现有项目主体工程及产品方案</w:t>
            </w:r>
            <w:r>
              <w:rPr>
                <w:rFonts w:hint="eastAsia" w:eastAsia="仿宋_GB2312"/>
                <w:b/>
                <w:color w:val="000000"/>
                <w:kern w:val="0"/>
              </w:rPr>
              <w:t>（全厂）</w:t>
            </w:r>
          </w:p>
          <w:tbl>
            <w:tblPr>
              <w:tblStyle w:val="3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47"/>
              <w:gridCol w:w="1932"/>
              <w:gridCol w:w="1591"/>
              <w:gridCol w:w="1280"/>
              <w:gridCol w:w="1136"/>
              <w:gridCol w:w="1280"/>
              <w:gridCol w:w="792"/>
            </w:tblGrid>
            <w:tr w14:paraId="6E2848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4" w:type="pct"/>
                  <w:vAlign w:val="center"/>
                </w:tcPr>
                <w:p w14:paraId="69294F6F">
                  <w:pPr>
                    <w:adjustRightInd w:val="0"/>
                    <w:snapToGrid w:val="0"/>
                    <w:jc w:val="center"/>
                    <w:rPr>
                      <w:rFonts w:ascii="仿宋_GB2312" w:eastAsia="仿宋_GB2312"/>
                      <w:b/>
                      <w:bCs/>
                      <w:color w:val="000000"/>
                      <w:kern w:val="0"/>
                      <w:sz w:val="21"/>
                      <w:szCs w:val="21"/>
                    </w:rPr>
                  </w:pPr>
                  <w:r>
                    <w:rPr>
                      <w:rFonts w:hint="eastAsia" w:ascii="仿宋_GB2312" w:eastAsia="仿宋_GB2312"/>
                      <w:b/>
                      <w:bCs/>
                      <w:color w:val="000000"/>
                      <w:kern w:val="0"/>
                      <w:sz w:val="21"/>
                      <w:szCs w:val="21"/>
                    </w:rPr>
                    <w:t>序号</w:t>
                  </w:r>
                </w:p>
              </w:tc>
              <w:tc>
                <w:tcPr>
                  <w:tcW w:w="1141" w:type="pct"/>
                  <w:vAlign w:val="center"/>
                </w:tcPr>
                <w:p w14:paraId="0FB59DB1">
                  <w:pPr>
                    <w:adjustRightInd w:val="0"/>
                    <w:snapToGrid w:val="0"/>
                    <w:jc w:val="center"/>
                    <w:rPr>
                      <w:rFonts w:ascii="仿宋_GB2312" w:eastAsia="仿宋_GB2312"/>
                      <w:b/>
                      <w:bCs/>
                      <w:color w:val="000000"/>
                      <w:kern w:val="0"/>
                      <w:sz w:val="21"/>
                      <w:szCs w:val="21"/>
                    </w:rPr>
                  </w:pPr>
                  <w:r>
                    <w:rPr>
                      <w:rFonts w:hint="eastAsia" w:ascii="仿宋_GB2312" w:eastAsia="仿宋_GB2312"/>
                      <w:b/>
                      <w:bCs/>
                      <w:color w:val="000000"/>
                      <w:kern w:val="0"/>
                      <w:sz w:val="21"/>
                      <w:szCs w:val="21"/>
                    </w:rPr>
                    <w:t>工程名称(车间、生产装置或生产线)</w:t>
                  </w:r>
                </w:p>
              </w:tc>
              <w:tc>
                <w:tcPr>
                  <w:tcW w:w="940" w:type="pct"/>
                  <w:vAlign w:val="center"/>
                </w:tcPr>
                <w:p w14:paraId="027FEBD2">
                  <w:pPr>
                    <w:adjustRightInd w:val="0"/>
                    <w:snapToGrid w:val="0"/>
                    <w:jc w:val="center"/>
                    <w:rPr>
                      <w:rFonts w:ascii="仿宋_GB2312" w:eastAsia="仿宋_GB2312"/>
                      <w:b/>
                      <w:bCs/>
                      <w:color w:val="000000"/>
                      <w:kern w:val="0"/>
                      <w:sz w:val="21"/>
                      <w:szCs w:val="21"/>
                    </w:rPr>
                  </w:pPr>
                  <w:r>
                    <w:rPr>
                      <w:rFonts w:hint="eastAsia" w:ascii="仿宋_GB2312" w:eastAsia="仿宋_GB2312"/>
                      <w:b/>
                      <w:bCs/>
                      <w:color w:val="000000"/>
                      <w:kern w:val="0"/>
                      <w:sz w:val="21"/>
                      <w:szCs w:val="21"/>
                    </w:rPr>
                    <w:t>产品名称</w:t>
                  </w:r>
                </w:p>
              </w:tc>
              <w:tc>
                <w:tcPr>
                  <w:tcW w:w="756" w:type="pct"/>
                  <w:vAlign w:val="center"/>
                </w:tcPr>
                <w:p w14:paraId="2011687B">
                  <w:pPr>
                    <w:adjustRightInd w:val="0"/>
                    <w:snapToGrid w:val="0"/>
                    <w:jc w:val="center"/>
                    <w:rPr>
                      <w:rFonts w:ascii="仿宋_GB2312" w:eastAsia="仿宋_GB2312"/>
                      <w:b/>
                      <w:bCs/>
                      <w:color w:val="000000"/>
                      <w:kern w:val="0"/>
                      <w:sz w:val="21"/>
                      <w:szCs w:val="21"/>
                    </w:rPr>
                  </w:pPr>
                  <w:r>
                    <w:rPr>
                      <w:rFonts w:hint="eastAsia" w:ascii="仿宋_GB2312" w:eastAsia="仿宋_GB2312"/>
                      <w:b/>
                      <w:bCs/>
                      <w:color w:val="000000"/>
                      <w:kern w:val="0"/>
                      <w:sz w:val="21"/>
                      <w:szCs w:val="21"/>
                    </w:rPr>
                    <w:t>年设计生产能力</w:t>
                  </w:r>
                </w:p>
              </w:tc>
              <w:tc>
                <w:tcPr>
                  <w:tcW w:w="671" w:type="pct"/>
                  <w:vAlign w:val="center"/>
                </w:tcPr>
                <w:p w14:paraId="3FC5E2C3">
                  <w:pPr>
                    <w:adjustRightInd w:val="0"/>
                    <w:snapToGrid w:val="0"/>
                    <w:jc w:val="center"/>
                    <w:rPr>
                      <w:rFonts w:ascii="仿宋_GB2312" w:eastAsia="仿宋_GB2312"/>
                      <w:b/>
                      <w:bCs/>
                      <w:color w:val="000000"/>
                      <w:kern w:val="0"/>
                      <w:sz w:val="21"/>
                      <w:szCs w:val="21"/>
                    </w:rPr>
                  </w:pPr>
                  <w:r>
                    <w:rPr>
                      <w:rFonts w:hint="eastAsia" w:ascii="仿宋_GB2312" w:eastAsia="仿宋_GB2312"/>
                      <w:b/>
                      <w:bCs/>
                      <w:color w:val="000000"/>
                      <w:kern w:val="0"/>
                      <w:sz w:val="21"/>
                      <w:szCs w:val="21"/>
                    </w:rPr>
                    <w:t>年运行时数h/a</w:t>
                  </w:r>
                </w:p>
              </w:tc>
              <w:tc>
                <w:tcPr>
                  <w:tcW w:w="756" w:type="pct"/>
                  <w:vAlign w:val="center"/>
                </w:tcPr>
                <w:p w14:paraId="47E91D09">
                  <w:pPr>
                    <w:adjustRightInd w:val="0"/>
                    <w:snapToGrid w:val="0"/>
                    <w:jc w:val="center"/>
                    <w:rPr>
                      <w:rFonts w:ascii="仿宋_GB2312" w:eastAsia="仿宋_GB2312"/>
                      <w:b/>
                      <w:bCs/>
                      <w:color w:val="000000"/>
                      <w:kern w:val="0"/>
                      <w:sz w:val="21"/>
                      <w:szCs w:val="21"/>
                    </w:rPr>
                  </w:pPr>
                  <w:r>
                    <w:rPr>
                      <w:rFonts w:hint="eastAsia" w:ascii="仿宋_GB2312" w:eastAsia="仿宋_GB2312"/>
                      <w:b/>
                      <w:bCs/>
                      <w:color w:val="000000"/>
                      <w:kern w:val="0"/>
                      <w:sz w:val="21"/>
                      <w:szCs w:val="21"/>
                    </w:rPr>
                    <w:t>备注</w:t>
                  </w:r>
                </w:p>
              </w:tc>
              <w:tc>
                <w:tcPr>
                  <w:tcW w:w="468" w:type="pct"/>
                  <w:vAlign w:val="center"/>
                </w:tcPr>
                <w:p w14:paraId="5E644CDE">
                  <w:pPr>
                    <w:adjustRightInd w:val="0"/>
                    <w:snapToGrid w:val="0"/>
                    <w:jc w:val="center"/>
                    <w:rPr>
                      <w:rFonts w:ascii="仿宋_GB2312" w:eastAsia="仿宋_GB2312"/>
                      <w:b/>
                      <w:bCs/>
                      <w:color w:val="000000"/>
                      <w:kern w:val="0"/>
                      <w:sz w:val="21"/>
                      <w:szCs w:val="21"/>
                    </w:rPr>
                  </w:pPr>
                  <w:r>
                    <w:rPr>
                      <w:rFonts w:hint="eastAsia" w:ascii="仿宋_GB2312" w:eastAsia="仿宋_GB2312"/>
                      <w:b/>
                      <w:bCs/>
                      <w:color w:val="000000"/>
                      <w:kern w:val="0"/>
                      <w:sz w:val="21"/>
                      <w:szCs w:val="21"/>
                    </w:rPr>
                    <w:t>厂区</w:t>
                  </w:r>
                </w:p>
              </w:tc>
            </w:tr>
            <w:tr w14:paraId="65865C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4" w:type="pct"/>
                  <w:vAlign w:val="center"/>
                </w:tcPr>
                <w:p w14:paraId="68CF75D7">
                  <w:pPr>
                    <w:adjustRightInd w:val="0"/>
                    <w:snapToGrid w:val="0"/>
                    <w:jc w:val="center"/>
                    <w:rPr>
                      <w:rFonts w:eastAsia="仿宋_GB2312"/>
                      <w:color w:val="000000"/>
                      <w:kern w:val="0"/>
                      <w:sz w:val="21"/>
                      <w:szCs w:val="21"/>
                    </w:rPr>
                  </w:pPr>
                  <w:r>
                    <w:rPr>
                      <w:rFonts w:eastAsia="仿宋_GB2312"/>
                      <w:color w:val="000000"/>
                      <w:kern w:val="0"/>
                      <w:sz w:val="21"/>
                      <w:szCs w:val="21"/>
                    </w:rPr>
                    <w:t>1</w:t>
                  </w:r>
                </w:p>
              </w:tc>
              <w:tc>
                <w:tcPr>
                  <w:tcW w:w="1141" w:type="pct"/>
                  <w:vMerge w:val="restart"/>
                  <w:vAlign w:val="center"/>
                </w:tcPr>
                <w:p w14:paraId="2C3EB504">
                  <w:pPr>
                    <w:adjustRightInd w:val="0"/>
                    <w:snapToGrid w:val="0"/>
                    <w:jc w:val="center"/>
                    <w:rPr>
                      <w:rFonts w:eastAsia="仿宋_GB2312"/>
                      <w:color w:val="000000"/>
                      <w:kern w:val="0"/>
                      <w:sz w:val="21"/>
                      <w:szCs w:val="21"/>
                    </w:rPr>
                  </w:pPr>
                  <w:r>
                    <w:rPr>
                      <w:rFonts w:hint="eastAsia" w:eastAsia="仿宋_GB2312"/>
                      <w:color w:val="000000"/>
                      <w:kern w:val="0"/>
                      <w:sz w:val="21"/>
                      <w:szCs w:val="21"/>
                      <w:lang w:val="en-US" w:eastAsia="zh-CN"/>
                    </w:rPr>
                    <w:t>真空</w:t>
                  </w:r>
                  <w:r>
                    <w:rPr>
                      <w:rFonts w:hint="eastAsia" w:eastAsia="仿宋_GB2312"/>
                      <w:color w:val="000000"/>
                      <w:kern w:val="0"/>
                      <w:sz w:val="21"/>
                      <w:szCs w:val="21"/>
                    </w:rPr>
                    <w:t>制盐</w:t>
                  </w:r>
                  <w:r>
                    <w:rPr>
                      <w:rFonts w:eastAsia="仿宋_GB2312"/>
                      <w:color w:val="000000"/>
                      <w:kern w:val="0"/>
                      <w:sz w:val="21"/>
                      <w:szCs w:val="21"/>
                    </w:rPr>
                    <w:t>生产线</w:t>
                  </w:r>
                </w:p>
              </w:tc>
              <w:tc>
                <w:tcPr>
                  <w:tcW w:w="940" w:type="pct"/>
                  <w:vAlign w:val="center"/>
                </w:tcPr>
                <w:p w14:paraId="48D33B93">
                  <w:pPr>
                    <w:adjustRightInd w:val="0"/>
                    <w:snapToGrid w:val="0"/>
                    <w:jc w:val="center"/>
                    <w:rPr>
                      <w:rFonts w:eastAsia="仿宋_GB2312"/>
                      <w:color w:val="000000"/>
                      <w:kern w:val="0"/>
                      <w:sz w:val="21"/>
                      <w:szCs w:val="21"/>
                    </w:rPr>
                  </w:pPr>
                  <w:r>
                    <w:rPr>
                      <w:rFonts w:eastAsia="仿宋_GB2312"/>
                      <w:snapToGrid w:val="0"/>
                      <w:color w:val="000000"/>
                      <w:sz w:val="21"/>
                      <w:szCs w:val="21"/>
                    </w:rPr>
                    <w:t>精制盐</w:t>
                  </w:r>
                </w:p>
              </w:tc>
              <w:tc>
                <w:tcPr>
                  <w:tcW w:w="756" w:type="pct"/>
                  <w:vAlign w:val="center"/>
                </w:tcPr>
                <w:p w14:paraId="10081AC6">
                  <w:pPr>
                    <w:adjustRightInd w:val="0"/>
                    <w:snapToGrid w:val="0"/>
                    <w:jc w:val="center"/>
                    <w:rPr>
                      <w:rFonts w:eastAsia="仿宋_GB2312"/>
                      <w:color w:val="000000"/>
                      <w:kern w:val="0"/>
                      <w:sz w:val="21"/>
                      <w:szCs w:val="21"/>
                    </w:rPr>
                  </w:pPr>
                  <w:r>
                    <w:rPr>
                      <w:rFonts w:hint="eastAsia" w:eastAsia="仿宋_GB2312"/>
                      <w:color w:val="000000"/>
                      <w:kern w:val="0"/>
                      <w:sz w:val="21"/>
                      <w:szCs w:val="21"/>
                    </w:rPr>
                    <w:t>160</w:t>
                  </w:r>
                  <w:r>
                    <w:rPr>
                      <w:rFonts w:eastAsia="仿宋_GB2312"/>
                      <w:color w:val="000000"/>
                      <w:kern w:val="0"/>
                      <w:sz w:val="21"/>
                      <w:szCs w:val="21"/>
                    </w:rPr>
                    <w:t>万</w:t>
                  </w:r>
                  <w:r>
                    <w:rPr>
                      <w:rFonts w:hint="eastAsia" w:eastAsia="仿宋_GB2312"/>
                      <w:color w:val="000000"/>
                      <w:kern w:val="0"/>
                      <w:sz w:val="21"/>
                      <w:szCs w:val="21"/>
                    </w:rPr>
                    <w:t>t</w:t>
                  </w:r>
                  <w:r>
                    <w:rPr>
                      <w:rFonts w:eastAsia="仿宋_GB2312"/>
                      <w:color w:val="000000"/>
                      <w:kern w:val="0"/>
                      <w:sz w:val="21"/>
                      <w:szCs w:val="21"/>
                    </w:rPr>
                    <w:t>/a</w:t>
                  </w:r>
                </w:p>
              </w:tc>
              <w:tc>
                <w:tcPr>
                  <w:tcW w:w="671" w:type="pct"/>
                  <w:vAlign w:val="center"/>
                </w:tcPr>
                <w:p w14:paraId="74F7AFA4">
                  <w:pPr>
                    <w:adjustRightInd w:val="0"/>
                    <w:snapToGrid w:val="0"/>
                    <w:jc w:val="center"/>
                    <w:rPr>
                      <w:rFonts w:hint="default" w:eastAsia="仿宋_GB2312"/>
                      <w:color w:val="000000"/>
                      <w:kern w:val="0"/>
                      <w:sz w:val="21"/>
                      <w:szCs w:val="21"/>
                      <w:lang w:val="en-US" w:eastAsia="zh-CN"/>
                    </w:rPr>
                  </w:pPr>
                  <w:r>
                    <w:rPr>
                      <w:rFonts w:hint="eastAsia" w:eastAsia="仿宋_GB2312"/>
                      <w:color w:val="000000"/>
                      <w:kern w:val="0"/>
                      <w:sz w:val="21"/>
                      <w:szCs w:val="21"/>
                      <w:lang w:val="en-US" w:eastAsia="zh-CN"/>
                    </w:rPr>
                    <w:t>8160</w:t>
                  </w:r>
                </w:p>
              </w:tc>
              <w:tc>
                <w:tcPr>
                  <w:tcW w:w="756" w:type="pct"/>
                  <w:vAlign w:val="center"/>
                </w:tcPr>
                <w:p w14:paraId="6D38E090">
                  <w:pPr>
                    <w:adjustRightInd w:val="0"/>
                    <w:snapToGrid w:val="0"/>
                    <w:jc w:val="center"/>
                    <w:rPr>
                      <w:rFonts w:eastAsia="仿宋_GB2312"/>
                      <w:color w:val="000000"/>
                      <w:kern w:val="0"/>
                      <w:sz w:val="21"/>
                      <w:szCs w:val="21"/>
                    </w:rPr>
                  </w:pPr>
                  <w:r>
                    <w:rPr>
                      <w:rFonts w:eastAsia="仿宋_GB2312"/>
                      <w:color w:val="000000"/>
                      <w:kern w:val="0"/>
                      <w:sz w:val="21"/>
                      <w:szCs w:val="21"/>
                    </w:rPr>
                    <w:t>在产</w:t>
                  </w:r>
                </w:p>
              </w:tc>
              <w:tc>
                <w:tcPr>
                  <w:tcW w:w="468" w:type="pct"/>
                  <w:vMerge w:val="restart"/>
                  <w:vAlign w:val="center"/>
                </w:tcPr>
                <w:p w14:paraId="0D117D68">
                  <w:pPr>
                    <w:adjustRightInd w:val="0"/>
                    <w:snapToGrid w:val="0"/>
                    <w:jc w:val="center"/>
                    <w:rPr>
                      <w:rFonts w:eastAsia="仿宋_GB2312"/>
                      <w:color w:val="000000"/>
                      <w:kern w:val="0"/>
                      <w:sz w:val="21"/>
                      <w:szCs w:val="21"/>
                    </w:rPr>
                  </w:pPr>
                  <w:r>
                    <w:rPr>
                      <w:rFonts w:hint="eastAsia" w:eastAsia="仿宋_GB2312"/>
                      <w:color w:val="000000"/>
                      <w:kern w:val="0"/>
                      <w:sz w:val="21"/>
                      <w:szCs w:val="21"/>
                    </w:rPr>
                    <w:t>盐厂路1号</w:t>
                  </w:r>
                </w:p>
              </w:tc>
            </w:tr>
            <w:tr w14:paraId="1AA6C9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4" w:type="pct"/>
                  <w:vAlign w:val="center"/>
                </w:tcPr>
                <w:p w14:paraId="75293D1E">
                  <w:pPr>
                    <w:adjustRightInd w:val="0"/>
                    <w:snapToGrid w:val="0"/>
                    <w:jc w:val="center"/>
                    <w:rPr>
                      <w:rFonts w:eastAsia="仿宋_GB2312"/>
                      <w:color w:val="000000"/>
                      <w:kern w:val="0"/>
                      <w:sz w:val="21"/>
                      <w:szCs w:val="21"/>
                    </w:rPr>
                  </w:pPr>
                  <w:r>
                    <w:rPr>
                      <w:rFonts w:eastAsia="仿宋_GB2312"/>
                      <w:color w:val="000000"/>
                      <w:kern w:val="0"/>
                      <w:sz w:val="21"/>
                      <w:szCs w:val="21"/>
                    </w:rPr>
                    <w:t>2</w:t>
                  </w:r>
                </w:p>
              </w:tc>
              <w:tc>
                <w:tcPr>
                  <w:tcW w:w="1141" w:type="pct"/>
                  <w:vMerge w:val="continue"/>
                  <w:vAlign w:val="center"/>
                </w:tcPr>
                <w:p w14:paraId="691E81A7">
                  <w:pPr>
                    <w:adjustRightInd w:val="0"/>
                    <w:snapToGrid w:val="0"/>
                    <w:jc w:val="center"/>
                    <w:rPr>
                      <w:rFonts w:eastAsia="仿宋_GB2312"/>
                      <w:color w:val="000000"/>
                      <w:kern w:val="0"/>
                      <w:sz w:val="21"/>
                      <w:szCs w:val="21"/>
                    </w:rPr>
                  </w:pPr>
                </w:p>
              </w:tc>
              <w:tc>
                <w:tcPr>
                  <w:tcW w:w="940" w:type="pct"/>
                  <w:vAlign w:val="center"/>
                </w:tcPr>
                <w:p w14:paraId="6BC0A4F9">
                  <w:pPr>
                    <w:adjustRightInd w:val="0"/>
                    <w:snapToGrid w:val="0"/>
                    <w:jc w:val="center"/>
                    <w:rPr>
                      <w:rFonts w:eastAsia="仿宋_GB2312"/>
                      <w:color w:val="000000"/>
                      <w:kern w:val="0"/>
                      <w:sz w:val="21"/>
                      <w:szCs w:val="21"/>
                    </w:rPr>
                  </w:pPr>
                  <w:r>
                    <w:rPr>
                      <w:rFonts w:eastAsia="仿宋_GB2312"/>
                      <w:snapToGrid w:val="0"/>
                      <w:color w:val="000000"/>
                      <w:sz w:val="21"/>
                      <w:szCs w:val="21"/>
                    </w:rPr>
                    <w:t>芒硝</w:t>
                  </w:r>
                </w:p>
              </w:tc>
              <w:tc>
                <w:tcPr>
                  <w:tcW w:w="756" w:type="pct"/>
                  <w:vAlign w:val="center"/>
                </w:tcPr>
                <w:p w14:paraId="1F83CD88">
                  <w:pPr>
                    <w:adjustRightInd w:val="0"/>
                    <w:snapToGrid w:val="0"/>
                    <w:jc w:val="center"/>
                    <w:rPr>
                      <w:rFonts w:eastAsia="仿宋_GB2312"/>
                      <w:color w:val="000000"/>
                      <w:kern w:val="0"/>
                      <w:sz w:val="21"/>
                      <w:szCs w:val="21"/>
                    </w:rPr>
                  </w:pPr>
                  <w:r>
                    <w:rPr>
                      <w:rFonts w:hint="eastAsia" w:eastAsia="仿宋_GB2312"/>
                      <w:color w:val="000000"/>
                      <w:kern w:val="0"/>
                      <w:sz w:val="21"/>
                      <w:szCs w:val="21"/>
                    </w:rPr>
                    <w:t>8</w:t>
                  </w:r>
                  <w:r>
                    <w:rPr>
                      <w:rFonts w:eastAsia="仿宋_GB2312"/>
                      <w:color w:val="000000"/>
                      <w:kern w:val="0"/>
                      <w:sz w:val="21"/>
                      <w:szCs w:val="21"/>
                    </w:rPr>
                    <w:t>万</w:t>
                  </w:r>
                  <w:r>
                    <w:rPr>
                      <w:rFonts w:hint="eastAsia" w:eastAsia="仿宋_GB2312"/>
                      <w:color w:val="000000"/>
                      <w:kern w:val="0"/>
                      <w:sz w:val="21"/>
                      <w:szCs w:val="21"/>
                    </w:rPr>
                    <w:t>t</w:t>
                  </w:r>
                  <w:r>
                    <w:rPr>
                      <w:rFonts w:eastAsia="仿宋_GB2312"/>
                      <w:color w:val="000000"/>
                      <w:kern w:val="0"/>
                      <w:sz w:val="21"/>
                      <w:szCs w:val="21"/>
                    </w:rPr>
                    <w:t>/a</w:t>
                  </w:r>
                </w:p>
              </w:tc>
              <w:tc>
                <w:tcPr>
                  <w:tcW w:w="671" w:type="pct"/>
                  <w:vAlign w:val="center"/>
                </w:tcPr>
                <w:p w14:paraId="287AF910">
                  <w:pPr>
                    <w:adjustRightInd w:val="0"/>
                    <w:snapToGrid w:val="0"/>
                    <w:jc w:val="center"/>
                    <w:rPr>
                      <w:rFonts w:eastAsia="仿宋_GB2312"/>
                      <w:color w:val="000000"/>
                      <w:kern w:val="0"/>
                      <w:sz w:val="21"/>
                      <w:szCs w:val="21"/>
                    </w:rPr>
                  </w:pPr>
                  <w:r>
                    <w:rPr>
                      <w:rFonts w:hint="eastAsia" w:eastAsia="仿宋_GB2312"/>
                      <w:color w:val="000000"/>
                      <w:kern w:val="0"/>
                      <w:sz w:val="21"/>
                      <w:szCs w:val="21"/>
                      <w:lang w:val="en-US" w:eastAsia="zh-CN"/>
                    </w:rPr>
                    <w:t>8160</w:t>
                  </w:r>
                </w:p>
              </w:tc>
              <w:tc>
                <w:tcPr>
                  <w:tcW w:w="756" w:type="pct"/>
                  <w:vAlign w:val="center"/>
                </w:tcPr>
                <w:p w14:paraId="5BF99CF0">
                  <w:pPr>
                    <w:adjustRightInd w:val="0"/>
                    <w:snapToGrid w:val="0"/>
                    <w:jc w:val="center"/>
                    <w:rPr>
                      <w:rFonts w:eastAsia="仿宋_GB2312"/>
                      <w:color w:val="000000"/>
                      <w:kern w:val="0"/>
                      <w:sz w:val="21"/>
                      <w:szCs w:val="21"/>
                    </w:rPr>
                  </w:pPr>
                  <w:r>
                    <w:rPr>
                      <w:rFonts w:eastAsia="仿宋_GB2312"/>
                      <w:color w:val="000000"/>
                      <w:kern w:val="0"/>
                      <w:sz w:val="21"/>
                      <w:szCs w:val="21"/>
                    </w:rPr>
                    <w:t>在产</w:t>
                  </w:r>
                </w:p>
              </w:tc>
              <w:tc>
                <w:tcPr>
                  <w:tcW w:w="468" w:type="pct"/>
                  <w:vMerge w:val="continue"/>
                  <w:vAlign w:val="center"/>
                </w:tcPr>
                <w:p w14:paraId="04FFA622">
                  <w:pPr>
                    <w:adjustRightInd w:val="0"/>
                    <w:snapToGrid w:val="0"/>
                    <w:jc w:val="center"/>
                    <w:rPr>
                      <w:rFonts w:eastAsia="仿宋_GB2312"/>
                      <w:color w:val="000000"/>
                      <w:kern w:val="0"/>
                      <w:sz w:val="21"/>
                      <w:szCs w:val="21"/>
                    </w:rPr>
                  </w:pPr>
                </w:p>
              </w:tc>
            </w:tr>
            <w:tr w14:paraId="1F0947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4" w:type="pct"/>
                  <w:vAlign w:val="center"/>
                </w:tcPr>
                <w:p w14:paraId="49D76A85">
                  <w:pPr>
                    <w:adjustRightInd w:val="0"/>
                    <w:snapToGrid w:val="0"/>
                    <w:jc w:val="center"/>
                    <w:rPr>
                      <w:rFonts w:eastAsia="仿宋_GB2312"/>
                      <w:color w:val="000000"/>
                      <w:kern w:val="0"/>
                      <w:sz w:val="21"/>
                      <w:szCs w:val="21"/>
                    </w:rPr>
                  </w:pPr>
                  <w:r>
                    <w:rPr>
                      <w:rFonts w:eastAsia="仿宋_GB2312"/>
                      <w:color w:val="000000"/>
                      <w:kern w:val="0"/>
                      <w:sz w:val="21"/>
                      <w:szCs w:val="21"/>
                    </w:rPr>
                    <w:t>3</w:t>
                  </w:r>
                </w:p>
              </w:tc>
              <w:tc>
                <w:tcPr>
                  <w:tcW w:w="1141" w:type="pct"/>
                  <w:vAlign w:val="center"/>
                </w:tcPr>
                <w:p w14:paraId="6C7BCE19">
                  <w:pPr>
                    <w:adjustRightInd w:val="0"/>
                    <w:snapToGrid w:val="0"/>
                    <w:jc w:val="center"/>
                    <w:rPr>
                      <w:rFonts w:eastAsia="仿宋_GB2312"/>
                      <w:color w:val="000000"/>
                      <w:kern w:val="0"/>
                      <w:sz w:val="21"/>
                      <w:szCs w:val="21"/>
                    </w:rPr>
                  </w:pPr>
                  <w:r>
                    <w:rPr>
                      <w:rFonts w:hint="eastAsia" w:eastAsia="仿宋_GB2312"/>
                      <w:color w:val="000000"/>
                      <w:kern w:val="0"/>
                      <w:sz w:val="21"/>
                      <w:szCs w:val="21"/>
                    </w:rPr>
                    <w:t>卤水净化</w:t>
                  </w:r>
                  <w:r>
                    <w:rPr>
                      <w:rFonts w:eastAsia="仿宋_GB2312"/>
                      <w:color w:val="000000"/>
                      <w:kern w:val="0"/>
                      <w:sz w:val="21"/>
                      <w:szCs w:val="21"/>
                    </w:rPr>
                    <w:t>生产线</w:t>
                  </w:r>
                </w:p>
              </w:tc>
              <w:tc>
                <w:tcPr>
                  <w:tcW w:w="940" w:type="pct"/>
                  <w:vAlign w:val="center"/>
                </w:tcPr>
                <w:p w14:paraId="5F196B9F">
                  <w:pPr>
                    <w:adjustRightInd w:val="0"/>
                    <w:snapToGrid w:val="0"/>
                    <w:jc w:val="center"/>
                    <w:rPr>
                      <w:rFonts w:eastAsia="仿宋_GB2312"/>
                      <w:color w:val="000000"/>
                      <w:kern w:val="0"/>
                      <w:sz w:val="21"/>
                      <w:szCs w:val="21"/>
                    </w:rPr>
                  </w:pPr>
                  <w:r>
                    <w:rPr>
                      <w:rFonts w:hint="eastAsia" w:eastAsia="仿宋_GB2312"/>
                      <w:snapToGrid w:val="0"/>
                      <w:color w:val="000000"/>
                      <w:sz w:val="21"/>
                      <w:szCs w:val="21"/>
                    </w:rPr>
                    <w:t>净化原卤水</w:t>
                  </w:r>
                </w:p>
              </w:tc>
              <w:tc>
                <w:tcPr>
                  <w:tcW w:w="756" w:type="pct"/>
                  <w:vAlign w:val="center"/>
                </w:tcPr>
                <w:p w14:paraId="739FAD1E">
                  <w:pPr>
                    <w:adjustRightInd w:val="0"/>
                    <w:snapToGrid w:val="0"/>
                    <w:jc w:val="center"/>
                    <w:rPr>
                      <w:rFonts w:eastAsia="仿宋_GB2312"/>
                      <w:color w:val="000000"/>
                      <w:kern w:val="0"/>
                      <w:sz w:val="21"/>
                      <w:szCs w:val="21"/>
                    </w:rPr>
                  </w:pPr>
                  <w:r>
                    <w:rPr>
                      <w:rFonts w:hint="eastAsia" w:eastAsia="仿宋_GB2312"/>
                      <w:color w:val="000000"/>
                      <w:kern w:val="0"/>
                      <w:sz w:val="21"/>
                      <w:szCs w:val="21"/>
                    </w:rPr>
                    <w:t>5</w:t>
                  </w:r>
                  <w:r>
                    <w:rPr>
                      <w:rFonts w:hint="eastAsia" w:eastAsia="仿宋_GB2312"/>
                      <w:color w:val="000000"/>
                      <w:kern w:val="0"/>
                      <w:sz w:val="21"/>
                      <w:szCs w:val="21"/>
                      <w:lang w:val="en-US" w:eastAsia="zh-CN"/>
                    </w:rPr>
                    <w:t>55.1</w:t>
                  </w:r>
                  <w:r>
                    <w:rPr>
                      <w:rFonts w:eastAsia="仿宋_GB2312"/>
                      <w:color w:val="000000"/>
                      <w:kern w:val="0"/>
                      <w:sz w:val="21"/>
                      <w:szCs w:val="21"/>
                    </w:rPr>
                    <w:t>万</w:t>
                  </w:r>
                  <w:r>
                    <w:rPr>
                      <w:rFonts w:hint="eastAsia" w:eastAsia="仿宋_GB2312"/>
                      <w:color w:val="000000"/>
                      <w:kern w:val="0"/>
                      <w:sz w:val="21"/>
                      <w:szCs w:val="21"/>
                    </w:rPr>
                    <w:t>t</w:t>
                  </w:r>
                  <w:r>
                    <w:rPr>
                      <w:rFonts w:eastAsia="仿宋_GB2312"/>
                      <w:color w:val="000000"/>
                      <w:kern w:val="0"/>
                      <w:sz w:val="21"/>
                      <w:szCs w:val="21"/>
                    </w:rPr>
                    <w:t>/a</w:t>
                  </w:r>
                </w:p>
              </w:tc>
              <w:tc>
                <w:tcPr>
                  <w:tcW w:w="671" w:type="pct"/>
                  <w:vAlign w:val="center"/>
                </w:tcPr>
                <w:p w14:paraId="565152F7">
                  <w:pPr>
                    <w:adjustRightInd w:val="0"/>
                    <w:snapToGrid w:val="0"/>
                    <w:jc w:val="center"/>
                    <w:rPr>
                      <w:rFonts w:eastAsia="仿宋_GB2312"/>
                      <w:color w:val="000000"/>
                      <w:kern w:val="0"/>
                      <w:sz w:val="21"/>
                      <w:szCs w:val="21"/>
                    </w:rPr>
                  </w:pPr>
                  <w:r>
                    <w:rPr>
                      <w:rFonts w:hint="eastAsia" w:eastAsia="仿宋_GB2312"/>
                      <w:color w:val="000000"/>
                      <w:kern w:val="0"/>
                      <w:sz w:val="21"/>
                      <w:szCs w:val="21"/>
                      <w:lang w:val="en-US" w:eastAsia="zh-CN"/>
                    </w:rPr>
                    <w:t>8160</w:t>
                  </w:r>
                </w:p>
              </w:tc>
              <w:tc>
                <w:tcPr>
                  <w:tcW w:w="756" w:type="pct"/>
                  <w:vAlign w:val="center"/>
                </w:tcPr>
                <w:p w14:paraId="1F9B688B">
                  <w:pPr>
                    <w:adjustRightInd w:val="0"/>
                    <w:snapToGrid w:val="0"/>
                    <w:jc w:val="center"/>
                    <w:rPr>
                      <w:rFonts w:hint="eastAsia" w:eastAsia="仿宋_GB2312"/>
                      <w:color w:val="000000"/>
                      <w:kern w:val="0"/>
                      <w:sz w:val="21"/>
                      <w:szCs w:val="21"/>
                      <w:lang w:eastAsia="zh-CN"/>
                    </w:rPr>
                  </w:pPr>
                  <w:r>
                    <w:rPr>
                      <w:rFonts w:hint="eastAsia" w:eastAsia="仿宋_GB2312"/>
                      <w:color w:val="000000"/>
                      <w:kern w:val="0"/>
                      <w:sz w:val="21"/>
                      <w:szCs w:val="21"/>
                    </w:rPr>
                    <w:t>在产（一期为CO法、二期为两碱法及本项目连续式双膜法），原卤水净化工艺作为备用应急产线使用</w:t>
                  </w:r>
                </w:p>
              </w:tc>
              <w:tc>
                <w:tcPr>
                  <w:tcW w:w="468" w:type="pct"/>
                  <w:vMerge w:val="continue"/>
                  <w:vAlign w:val="center"/>
                </w:tcPr>
                <w:p w14:paraId="678FE1DB">
                  <w:pPr>
                    <w:adjustRightInd w:val="0"/>
                    <w:snapToGrid w:val="0"/>
                    <w:jc w:val="center"/>
                    <w:rPr>
                      <w:rFonts w:eastAsia="仿宋_GB2312"/>
                      <w:color w:val="000000"/>
                      <w:kern w:val="0"/>
                      <w:sz w:val="21"/>
                      <w:szCs w:val="21"/>
                    </w:rPr>
                  </w:pPr>
                </w:p>
              </w:tc>
            </w:tr>
            <w:tr w14:paraId="3F5EFD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4" w:type="pct"/>
                  <w:vAlign w:val="center"/>
                </w:tcPr>
                <w:p w14:paraId="180DEE0F">
                  <w:pPr>
                    <w:adjustRightInd w:val="0"/>
                    <w:snapToGrid w:val="0"/>
                    <w:jc w:val="center"/>
                    <w:rPr>
                      <w:rFonts w:eastAsia="仿宋_GB2312"/>
                      <w:color w:val="000000"/>
                      <w:kern w:val="0"/>
                      <w:sz w:val="21"/>
                      <w:szCs w:val="21"/>
                    </w:rPr>
                  </w:pPr>
                  <w:r>
                    <w:rPr>
                      <w:rFonts w:eastAsia="仿宋_GB2312"/>
                      <w:color w:val="000000"/>
                      <w:kern w:val="0"/>
                      <w:sz w:val="21"/>
                      <w:szCs w:val="21"/>
                    </w:rPr>
                    <w:t>4</w:t>
                  </w:r>
                </w:p>
              </w:tc>
              <w:tc>
                <w:tcPr>
                  <w:tcW w:w="1141" w:type="pct"/>
                  <w:vAlign w:val="center"/>
                </w:tcPr>
                <w:p w14:paraId="7D19F3B6">
                  <w:pPr>
                    <w:adjustRightInd w:val="0"/>
                    <w:snapToGrid w:val="0"/>
                    <w:jc w:val="center"/>
                    <w:rPr>
                      <w:rFonts w:eastAsia="仿宋_GB2312"/>
                      <w:color w:val="000000"/>
                      <w:kern w:val="0"/>
                      <w:sz w:val="21"/>
                      <w:szCs w:val="21"/>
                    </w:rPr>
                  </w:pPr>
                  <w:r>
                    <w:rPr>
                      <w:rFonts w:hint="eastAsia" w:eastAsia="仿宋_GB2312"/>
                      <w:color w:val="000000"/>
                      <w:kern w:val="0"/>
                      <w:sz w:val="21"/>
                      <w:szCs w:val="21"/>
                    </w:rPr>
                    <w:t>精制盐包装线</w:t>
                  </w:r>
                </w:p>
              </w:tc>
              <w:tc>
                <w:tcPr>
                  <w:tcW w:w="940" w:type="pct"/>
                  <w:vAlign w:val="center"/>
                </w:tcPr>
                <w:p w14:paraId="187C1A1F">
                  <w:pPr>
                    <w:adjustRightInd w:val="0"/>
                    <w:snapToGrid w:val="0"/>
                    <w:jc w:val="center"/>
                    <w:rPr>
                      <w:rFonts w:eastAsia="仿宋_GB2312"/>
                      <w:color w:val="000000"/>
                      <w:kern w:val="0"/>
                      <w:sz w:val="21"/>
                      <w:szCs w:val="21"/>
                    </w:rPr>
                  </w:pPr>
                  <w:r>
                    <w:rPr>
                      <w:rFonts w:hint="eastAsia" w:eastAsia="仿宋_GB2312"/>
                      <w:color w:val="000000"/>
                      <w:kern w:val="0"/>
                      <w:sz w:val="21"/>
                      <w:szCs w:val="21"/>
                    </w:rPr>
                    <w:t>精制盐包装</w:t>
                  </w:r>
                </w:p>
              </w:tc>
              <w:tc>
                <w:tcPr>
                  <w:tcW w:w="756" w:type="pct"/>
                  <w:vAlign w:val="center"/>
                </w:tcPr>
                <w:p w14:paraId="3630B597">
                  <w:pPr>
                    <w:adjustRightInd w:val="0"/>
                    <w:snapToGrid w:val="0"/>
                    <w:jc w:val="center"/>
                    <w:rPr>
                      <w:rFonts w:eastAsia="仿宋_GB2312"/>
                      <w:color w:val="000000"/>
                      <w:kern w:val="0"/>
                      <w:sz w:val="21"/>
                      <w:szCs w:val="21"/>
                    </w:rPr>
                  </w:pPr>
                  <w:r>
                    <w:rPr>
                      <w:rFonts w:hint="eastAsia" w:eastAsia="仿宋_GB2312"/>
                      <w:color w:val="000000"/>
                      <w:kern w:val="0"/>
                      <w:sz w:val="21"/>
                      <w:szCs w:val="21"/>
                    </w:rPr>
                    <w:t>100</w:t>
                  </w:r>
                  <w:r>
                    <w:rPr>
                      <w:rFonts w:eastAsia="仿宋_GB2312"/>
                      <w:color w:val="000000"/>
                      <w:kern w:val="0"/>
                      <w:sz w:val="21"/>
                      <w:szCs w:val="21"/>
                    </w:rPr>
                    <w:t>万</w:t>
                  </w:r>
                  <w:r>
                    <w:rPr>
                      <w:rFonts w:hint="eastAsia" w:eastAsia="仿宋_GB2312"/>
                      <w:color w:val="000000"/>
                      <w:kern w:val="0"/>
                      <w:sz w:val="21"/>
                      <w:szCs w:val="21"/>
                    </w:rPr>
                    <w:t>t</w:t>
                  </w:r>
                  <w:r>
                    <w:rPr>
                      <w:rFonts w:eastAsia="仿宋_GB2312"/>
                      <w:color w:val="000000"/>
                      <w:kern w:val="0"/>
                      <w:sz w:val="21"/>
                      <w:szCs w:val="21"/>
                    </w:rPr>
                    <w:t>/a</w:t>
                  </w:r>
                </w:p>
              </w:tc>
              <w:tc>
                <w:tcPr>
                  <w:tcW w:w="671" w:type="pct"/>
                  <w:vAlign w:val="center"/>
                </w:tcPr>
                <w:p w14:paraId="18706C57">
                  <w:pPr>
                    <w:adjustRightInd w:val="0"/>
                    <w:snapToGrid w:val="0"/>
                    <w:jc w:val="center"/>
                    <w:rPr>
                      <w:rFonts w:eastAsia="仿宋_GB2312"/>
                      <w:color w:val="000000"/>
                      <w:kern w:val="0"/>
                      <w:sz w:val="21"/>
                      <w:szCs w:val="21"/>
                    </w:rPr>
                  </w:pPr>
                  <w:r>
                    <w:rPr>
                      <w:rFonts w:hint="eastAsia" w:eastAsia="仿宋_GB2312"/>
                      <w:color w:val="000000"/>
                      <w:kern w:val="0"/>
                      <w:sz w:val="21"/>
                      <w:szCs w:val="21"/>
                      <w:lang w:val="en-US" w:eastAsia="zh-CN"/>
                    </w:rPr>
                    <w:t>8160</w:t>
                  </w:r>
                </w:p>
              </w:tc>
              <w:tc>
                <w:tcPr>
                  <w:tcW w:w="756" w:type="pct"/>
                  <w:vAlign w:val="center"/>
                </w:tcPr>
                <w:p w14:paraId="556565A5">
                  <w:pPr>
                    <w:adjustRightInd w:val="0"/>
                    <w:snapToGrid w:val="0"/>
                    <w:jc w:val="center"/>
                    <w:rPr>
                      <w:rFonts w:hint="eastAsia" w:eastAsia="仿宋_GB2312"/>
                      <w:color w:val="000000"/>
                      <w:kern w:val="0"/>
                      <w:sz w:val="21"/>
                      <w:szCs w:val="21"/>
                      <w:lang w:eastAsia="zh-CN"/>
                    </w:rPr>
                  </w:pPr>
                  <w:r>
                    <w:rPr>
                      <w:rFonts w:eastAsia="仿宋_GB2312"/>
                      <w:color w:val="000000"/>
                      <w:kern w:val="0"/>
                      <w:sz w:val="21"/>
                      <w:szCs w:val="21"/>
                    </w:rPr>
                    <w:t>在产</w:t>
                  </w:r>
                  <w:r>
                    <w:rPr>
                      <w:rFonts w:hint="eastAsia" w:eastAsia="仿宋_GB2312"/>
                      <w:color w:val="000000"/>
                      <w:kern w:val="0"/>
                      <w:sz w:val="21"/>
                      <w:szCs w:val="21"/>
                      <w:lang w:eastAsia="zh-CN"/>
                    </w:rPr>
                    <w:t>（</w:t>
                  </w:r>
                  <w:r>
                    <w:rPr>
                      <w:rFonts w:hint="eastAsia" w:eastAsia="仿宋_GB2312"/>
                      <w:color w:val="000000"/>
                      <w:kern w:val="0"/>
                      <w:sz w:val="21"/>
                      <w:szCs w:val="21"/>
                      <w:lang w:val="en-US" w:eastAsia="zh-CN"/>
                    </w:rPr>
                    <w:t>含2006年</w:t>
                  </w:r>
                  <w:r>
                    <w:rPr>
                      <w:rFonts w:ascii="Times New Roman" w:hAnsi="Times New Roman" w:eastAsia="仿宋_GB2312" w:cs="Times New Roman"/>
                      <w:snapToGrid w:val="0"/>
                      <w:color w:val="000000"/>
                      <w:sz w:val="21"/>
                      <w:szCs w:val="21"/>
                    </w:rPr>
                    <w:t>20万t/a精制盐包装生产线</w:t>
                  </w:r>
                  <w:r>
                    <w:rPr>
                      <w:rFonts w:hint="eastAsia" w:eastAsia="仿宋_GB2312" w:cs="Times New Roman"/>
                      <w:snapToGrid w:val="0"/>
                      <w:color w:val="000000"/>
                      <w:sz w:val="21"/>
                      <w:szCs w:val="21"/>
                      <w:lang w:val="en-US" w:eastAsia="zh-CN"/>
                    </w:rPr>
                    <w:t>产能</w:t>
                  </w:r>
                  <w:r>
                    <w:rPr>
                      <w:rFonts w:hint="eastAsia" w:eastAsia="仿宋_GB2312"/>
                      <w:color w:val="000000"/>
                      <w:kern w:val="0"/>
                      <w:sz w:val="21"/>
                      <w:szCs w:val="21"/>
                      <w:lang w:eastAsia="zh-CN"/>
                    </w:rPr>
                    <w:t>）</w:t>
                  </w:r>
                </w:p>
              </w:tc>
              <w:tc>
                <w:tcPr>
                  <w:tcW w:w="468" w:type="pct"/>
                  <w:vMerge w:val="continue"/>
                  <w:vAlign w:val="center"/>
                </w:tcPr>
                <w:p w14:paraId="7F7222CF">
                  <w:pPr>
                    <w:adjustRightInd w:val="0"/>
                    <w:snapToGrid w:val="0"/>
                    <w:jc w:val="center"/>
                    <w:rPr>
                      <w:rFonts w:eastAsia="仿宋_GB2312"/>
                      <w:color w:val="000000"/>
                      <w:kern w:val="0"/>
                      <w:sz w:val="21"/>
                      <w:szCs w:val="21"/>
                    </w:rPr>
                  </w:pPr>
                </w:p>
              </w:tc>
            </w:tr>
            <w:tr w14:paraId="2D632B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4" w:type="pct"/>
                  <w:vAlign w:val="center"/>
                </w:tcPr>
                <w:p w14:paraId="193A9D6D">
                  <w:pPr>
                    <w:adjustRightInd w:val="0"/>
                    <w:snapToGrid w:val="0"/>
                    <w:jc w:val="center"/>
                    <w:rPr>
                      <w:rFonts w:eastAsia="仿宋_GB2312"/>
                      <w:color w:val="000000"/>
                      <w:kern w:val="0"/>
                      <w:sz w:val="21"/>
                      <w:szCs w:val="21"/>
                    </w:rPr>
                  </w:pPr>
                  <w:r>
                    <w:rPr>
                      <w:rFonts w:eastAsia="仿宋_GB2312"/>
                      <w:color w:val="000000"/>
                      <w:kern w:val="0"/>
                      <w:sz w:val="21"/>
                      <w:szCs w:val="21"/>
                    </w:rPr>
                    <w:t>5</w:t>
                  </w:r>
                </w:p>
              </w:tc>
              <w:tc>
                <w:tcPr>
                  <w:tcW w:w="1141" w:type="pct"/>
                  <w:vAlign w:val="center"/>
                </w:tcPr>
                <w:p w14:paraId="0DAC8FC7">
                  <w:pPr>
                    <w:adjustRightInd w:val="0"/>
                    <w:snapToGrid w:val="0"/>
                    <w:jc w:val="center"/>
                    <w:rPr>
                      <w:rFonts w:eastAsia="仿宋_GB2312"/>
                      <w:color w:val="000000"/>
                      <w:kern w:val="0"/>
                      <w:sz w:val="21"/>
                      <w:szCs w:val="21"/>
                    </w:rPr>
                  </w:pPr>
                  <w:r>
                    <w:rPr>
                      <w:rFonts w:eastAsia="仿宋_GB2312"/>
                      <w:snapToGrid w:val="0"/>
                      <w:color w:val="000000"/>
                      <w:sz w:val="21"/>
                      <w:szCs w:val="21"/>
                    </w:rPr>
                    <w:t>集装袋盐</w:t>
                  </w:r>
                  <w:r>
                    <w:rPr>
                      <w:rFonts w:hint="eastAsia" w:eastAsia="仿宋_GB2312"/>
                      <w:snapToGrid w:val="0"/>
                      <w:color w:val="000000"/>
                      <w:sz w:val="21"/>
                      <w:szCs w:val="21"/>
                    </w:rPr>
                    <w:t>生产线</w:t>
                  </w:r>
                </w:p>
              </w:tc>
              <w:tc>
                <w:tcPr>
                  <w:tcW w:w="940" w:type="pct"/>
                  <w:vAlign w:val="center"/>
                </w:tcPr>
                <w:p w14:paraId="261E78BA">
                  <w:pPr>
                    <w:adjustRightInd w:val="0"/>
                    <w:snapToGrid w:val="0"/>
                    <w:jc w:val="center"/>
                    <w:rPr>
                      <w:rFonts w:eastAsia="仿宋_GB2312"/>
                      <w:color w:val="000000"/>
                      <w:kern w:val="0"/>
                      <w:sz w:val="21"/>
                      <w:szCs w:val="21"/>
                    </w:rPr>
                  </w:pPr>
                  <w:r>
                    <w:rPr>
                      <w:rFonts w:eastAsia="仿宋_GB2312"/>
                      <w:snapToGrid w:val="0"/>
                      <w:color w:val="000000"/>
                      <w:sz w:val="21"/>
                      <w:szCs w:val="21"/>
                    </w:rPr>
                    <w:t>集装袋盐</w:t>
                  </w:r>
                </w:p>
              </w:tc>
              <w:tc>
                <w:tcPr>
                  <w:tcW w:w="756" w:type="pct"/>
                  <w:vAlign w:val="center"/>
                </w:tcPr>
                <w:p w14:paraId="1915FD08">
                  <w:pPr>
                    <w:adjustRightInd w:val="0"/>
                    <w:snapToGrid w:val="0"/>
                    <w:jc w:val="center"/>
                    <w:rPr>
                      <w:rFonts w:eastAsia="仿宋_GB2312"/>
                      <w:color w:val="000000"/>
                      <w:kern w:val="0"/>
                      <w:sz w:val="21"/>
                      <w:szCs w:val="21"/>
                    </w:rPr>
                  </w:pPr>
                  <w:r>
                    <w:rPr>
                      <w:rFonts w:hint="eastAsia" w:eastAsia="仿宋_GB2312"/>
                      <w:color w:val="000000"/>
                      <w:kern w:val="0"/>
                      <w:sz w:val="21"/>
                      <w:szCs w:val="21"/>
                    </w:rPr>
                    <w:t>10</w:t>
                  </w:r>
                  <w:r>
                    <w:rPr>
                      <w:rFonts w:eastAsia="仿宋_GB2312"/>
                      <w:color w:val="000000"/>
                      <w:kern w:val="0"/>
                      <w:sz w:val="21"/>
                      <w:szCs w:val="21"/>
                    </w:rPr>
                    <w:t>万</w:t>
                  </w:r>
                  <w:r>
                    <w:rPr>
                      <w:rFonts w:hint="eastAsia" w:eastAsia="仿宋_GB2312"/>
                      <w:color w:val="000000"/>
                      <w:kern w:val="0"/>
                      <w:sz w:val="21"/>
                      <w:szCs w:val="21"/>
                    </w:rPr>
                    <w:t>t</w:t>
                  </w:r>
                  <w:r>
                    <w:rPr>
                      <w:rFonts w:eastAsia="仿宋_GB2312"/>
                      <w:color w:val="000000"/>
                      <w:kern w:val="0"/>
                      <w:sz w:val="21"/>
                      <w:szCs w:val="21"/>
                    </w:rPr>
                    <w:t>/a</w:t>
                  </w:r>
                </w:p>
              </w:tc>
              <w:tc>
                <w:tcPr>
                  <w:tcW w:w="671" w:type="pct"/>
                  <w:vAlign w:val="center"/>
                </w:tcPr>
                <w:p w14:paraId="64607920">
                  <w:pPr>
                    <w:adjustRightInd w:val="0"/>
                    <w:snapToGrid w:val="0"/>
                    <w:jc w:val="center"/>
                    <w:rPr>
                      <w:rFonts w:eastAsia="仿宋_GB2312"/>
                      <w:color w:val="000000"/>
                      <w:kern w:val="0"/>
                      <w:sz w:val="21"/>
                      <w:szCs w:val="21"/>
                    </w:rPr>
                  </w:pPr>
                  <w:r>
                    <w:rPr>
                      <w:rFonts w:hint="eastAsia" w:eastAsia="仿宋_GB2312"/>
                      <w:color w:val="000000"/>
                      <w:kern w:val="0"/>
                      <w:sz w:val="21"/>
                      <w:szCs w:val="21"/>
                      <w:lang w:val="en-US" w:eastAsia="zh-CN"/>
                    </w:rPr>
                    <w:t>8160</w:t>
                  </w:r>
                </w:p>
              </w:tc>
              <w:tc>
                <w:tcPr>
                  <w:tcW w:w="756" w:type="pct"/>
                  <w:vAlign w:val="center"/>
                </w:tcPr>
                <w:p w14:paraId="50FF16DD">
                  <w:pPr>
                    <w:adjustRightInd w:val="0"/>
                    <w:snapToGrid w:val="0"/>
                    <w:jc w:val="center"/>
                    <w:rPr>
                      <w:rFonts w:eastAsia="仿宋_GB2312"/>
                      <w:color w:val="000000"/>
                      <w:kern w:val="0"/>
                      <w:sz w:val="21"/>
                      <w:szCs w:val="21"/>
                    </w:rPr>
                  </w:pPr>
                  <w:r>
                    <w:rPr>
                      <w:rFonts w:eastAsia="仿宋_GB2312"/>
                      <w:color w:val="000000"/>
                      <w:kern w:val="0"/>
                      <w:sz w:val="21"/>
                      <w:szCs w:val="21"/>
                    </w:rPr>
                    <w:t>在产</w:t>
                  </w:r>
                </w:p>
              </w:tc>
              <w:tc>
                <w:tcPr>
                  <w:tcW w:w="468" w:type="pct"/>
                  <w:vMerge w:val="continue"/>
                  <w:vAlign w:val="center"/>
                </w:tcPr>
                <w:p w14:paraId="08424752">
                  <w:pPr>
                    <w:adjustRightInd w:val="0"/>
                    <w:snapToGrid w:val="0"/>
                    <w:jc w:val="center"/>
                    <w:rPr>
                      <w:rFonts w:eastAsia="仿宋_GB2312"/>
                      <w:color w:val="000000"/>
                      <w:kern w:val="0"/>
                      <w:sz w:val="21"/>
                      <w:szCs w:val="21"/>
                    </w:rPr>
                  </w:pPr>
                </w:p>
              </w:tc>
            </w:tr>
            <w:tr w14:paraId="7C168F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4" w:type="pct"/>
                  <w:vAlign w:val="center"/>
                </w:tcPr>
                <w:p w14:paraId="54DDEC54">
                  <w:pPr>
                    <w:adjustRightInd w:val="0"/>
                    <w:snapToGrid w:val="0"/>
                    <w:jc w:val="center"/>
                    <w:rPr>
                      <w:rFonts w:eastAsia="仿宋_GB2312"/>
                      <w:color w:val="000000"/>
                      <w:kern w:val="0"/>
                      <w:sz w:val="21"/>
                      <w:szCs w:val="21"/>
                    </w:rPr>
                  </w:pPr>
                  <w:r>
                    <w:rPr>
                      <w:rFonts w:hint="eastAsia" w:eastAsia="仿宋_GB2312"/>
                      <w:color w:val="000000"/>
                      <w:kern w:val="0"/>
                      <w:sz w:val="21"/>
                      <w:szCs w:val="21"/>
                    </w:rPr>
                    <w:t>6</w:t>
                  </w:r>
                </w:p>
              </w:tc>
              <w:tc>
                <w:tcPr>
                  <w:tcW w:w="1141" w:type="pct"/>
                  <w:vAlign w:val="center"/>
                </w:tcPr>
                <w:p w14:paraId="407C313E">
                  <w:pPr>
                    <w:adjustRightInd w:val="0"/>
                    <w:snapToGrid w:val="0"/>
                    <w:jc w:val="center"/>
                    <w:rPr>
                      <w:rFonts w:eastAsia="仿宋_GB2312"/>
                      <w:snapToGrid w:val="0"/>
                      <w:color w:val="000000"/>
                      <w:sz w:val="21"/>
                      <w:szCs w:val="21"/>
                    </w:rPr>
                  </w:pPr>
                  <w:r>
                    <w:rPr>
                      <w:rFonts w:eastAsia="仿宋_GB2312"/>
                      <w:snapToGrid w:val="0"/>
                      <w:color w:val="000000"/>
                      <w:sz w:val="21"/>
                      <w:szCs w:val="21"/>
                    </w:rPr>
                    <w:t>畜牧用盐砖</w:t>
                  </w:r>
                  <w:r>
                    <w:rPr>
                      <w:rFonts w:hint="eastAsia" w:eastAsia="仿宋_GB2312"/>
                      <w:snapToGrid w:val="0"/>
                      <w:color w:val="000000"/>
                      <w:sz w:val="21"/>
                      <w:szCs w:val="21"/>
                    </w:rPr>
                    <w:t>生产线</w:t>
                  </w:r>
                </w:p>
              </w:tc>
              <w:tc>
                <w:tcPr>
                  <w:tcW w:w="940" w:type="pct"/>
                  <w:vAlign w:val="center"/>
                </w:tcPr>
                <w:p w14:paraId="63FE955F">
                  <w:pPr>
                    <w:adjustRightInd w:val="0"/>
                    <w:snapToGrid w:val="0"/>
                    <w:jc w:val="center"/>
                    <w:rPr>
                      <w:rFonts w:eastAsia="仿宋_GB2312"/>
                      <w:color w:val="000000"/>
                      <w:kern w:val="0"/>
                      <w:sz w:val="21"/>
                      <w:szCs w:val="21"/>
                    </w:rPr>
                  </w:pPr>
                  <w:r>
                    <w:rPr>
                      <w:rFonts w:eastAsia="仿宋_GB2312"/>
                      <w:snapToGrid w:val="0"/>
                      <w:color w:val="000000"/>
                      <w:sz w:val="21"/>
                      <w:szCs w:val="21"/>
                    </w:rPr>
                    <w:t>畜牧用盐砖</w:t>
                  </w:r>
                </w:p>
              </w:tc>
              <w:tc>
                <w:tcPr>
                  <w:tcW w:w="756" w:type="pct"/>
                  <w:vAlign w:val="center"/>
                </w:tcPr>
                <w:p w14:paraId="64B388BA">
                  <w:pPr>
                    <w:adjustRightInd w:val="0"/>
                    <w:snapToGrid w:val="0"/>
                    <w:jc w:val="center"/>
                    <w:rPr>
                      <w:rFonts w:eastAsia="仿宋_GB2312"/>
                      <w:color w:val="000000"/>
                      <w:kern w:val="0"/>
                      <w:sz w:val="21"/>
                      <w:szCs w:val="21"/>
                    </w:rPr>
                  </w:pPr>
                  <w:r>
                    <w:rPr>
                      <w:rFonts w:hint="eastAsia" w:eastAsia="仿宋_GB2312"/>
                      <w:color w:val="000000"/>
                      <w:kern w:val="0"/>
                      <w:sz w:val="21"/>
                      <w:szCs w:val="21"/>
                    </w:rPr>
                    <w:t>3</w:t>
                  </w:r>
                  <w:r>
                    <w:rPr>
                      <w:rFonts w:eastAsia="仿宋_GB2312"/>
                      <w:color w:val="000000"/>
                      <w:kern w:val="0"/>
                      <w:sz w:val="21"/>
                      <w:szCs w:val="21"/>
                    </w:rPr>
                    <w:t>万</w:t>
                  </w:r>
                  <w:r>
                    <w:rPr>
                      <w:rFonts w:hint="eastAsia" w:eastAsia="仿宋_GB2312"/>
                      <w:color w:val="000000"/>
                      <w:kern w:val="0"/>
                      <w:sz w:val="21"/>
                      <w:szCs w:val="21"/>
                    </w:rPr>
                    <w:t>t</w:t>
                  </w:r>
                  <w:r>
                    <w:rPr>
                      <w:rFonts w:eastAsia="仿宋_GB2312"/>
                      <w:color w:val="000000"/>
                      <w:kern w:val="0"/>
                      <w:sz w:val="21"/>
                      <w:szCs w:val="21"/>
                    </w:rPr>
                    <w:t>/a</w:t>
                  </w:r>
                </w:p>
              </w:tc>
              <w:tc>
                <w:tcPr>
                  <w:tcW w:w="671" w:type="pct"/>
                  <w:vAlign w:val="center"/>
                </w:tcPr>
                <w:p w14:paraId="0BB0FCCE">
                  <w:pPr>
                    <w:adjustRightInd w:val="0"/>
                    <w:snapToGrid w:val="0"/>
                    <w:jc w:val="center"/>
                    <w:rPr>
                      <w:rFonts w:eastAsia="仿宋_GB2312"/>
                      <w:color w:val="000000"/>
                      <w:kern w:val="0"/>
                      <w:sz w:val="21"/>
                      <w:szCs w:val="21"/>
                    </w:rPr>
                  </w:pPr>
                  <w:r>
                    <w:rPr>
                      <w:rFonts w:hint="eastAsia" w:eastAsia="仿宋_GB2312"/>
                      <w:color w:val="000000"/>
                      <w:kern w:val="0"/>
                      <w:sz w:val="21"/>
                      <w:szCs w:val="21"/>
                      <w:lang w:val="en-US" w:eastAsia="zh-CN"/>
                    </w:rPr>
                    <w:t>8160</w:t>
                  </w:r>
                </w:p>
              </w:tc>
              <w:tc>
                <w:tcPr>
                  <w:tcW w:w="756" w:type="pct"/>
                  <w:vAlign w:val="center"/>
                </w:tcPr>
                <w:p w14:paraId="1595336E">
                  <w:pPr>
                    <w:adjustRightInd w:val="0"/>
                    <w:snapToGrid w:val="0"/>
                    <w:jc w:val="center"/>
                    <w:rPr>
                      <w:rFonts w:eastAsia="仿宋_GB2312"/>
                      <w:color w:val="000000"/>
                      <w:kern w:val="0"/>
                      <w:sz w:val="21"/>
                      <w:szCs w:val="21"/>
                    </w:rPr>
                  </w:pPr>
                  <w:r>
                    <w:rPr>
                      <w:rFonts w:eastAsia="仿宋_GB2312"/>
                      <w:color w:val="000000"/>
                      <w:kern w:val="0"/>
                      <w:sz w:val="21"/>
                      <w:szCs w:val="21"/>
                    </w:rPr>
                    <w:t>在产</w:t>
                  </w:r>
                </w:p>
              </w:tc>
              <w:tc>
                <w:tcPr>
                  <w:tcW w:w="468" w:type="pct"/>
                  <w:vMerge w:val="continue"/>
                  <w:vAlign w:val="center"/>
                </w:tcPr>
                <w:p w14:paraId="46C60902">
                  <w:pPr>
                    <w:adjustRightInd w:val="0"/>
                    <w:snapToGrid w:val="0"/>
                    <w:jc w:val="center"/>
                    <w:rPr>
                      <w:rFonts w:eastAsia="仿宋_GB2312"/>
                      <w:color w:val="000000"/>
                      <w:kern w:val="0"/>
                      <w:sz w:val="21"/>
                      <w:szCs w:val="21"/>
                    </w:rPr>
                  </w:pPr>
                </w:p>
              </w:tc>
            </w:tr>
            <w:tr w14:paraId="0BA80B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4" w:type="pct"/>
                  <w:vAlign w:val="center"/>
                </w:tcPr>
                <w:p w14:paraId="19ECA283">
                  <w:pPr>
                    <w:adjustRightInd w:val="0"/>
                    <w:snapToGrid w:val="0"/>
                    <w:jc w:val="center"/>
                    <w:rPr>
                      <w:rFonts w:eastAsia="仿宋_GB2312"/>
                      <w:color w:val="000000"/>
                      <w:kern w:val="0"/>
                      <w:sz w:val="21"/>
                      <w:szCs w:val="21"/>
                    </w:rPr>
                  </w:pPr>
                  <w:r>
                    <w:rPr>
                      <w:rFonts w:hint="eastAsia" w:eastAsia="仿宋_GB2312"/>
                      <w:color w:val="000000"/>
                      <w:kern w:val="0"/>
                      <w:sz w:val="21"/>
                      <w:szCs w:val="21"/>
                    </w:rPr>
                    <w:t>7</w:t>
                  </w:r>
                </w:p>
              </w:tc>
              <w:tc>
                <w:tcPr>
                  <w:tcW w:w="1141" w:type="pct"/>
                  <w:vAlign w:val="center"/>
                </w:tcPr>
                <w:p w14:paraId="405BD0C0">
                  <w:pPr>
                    <w:adjustRightInd w:val="0"/>
                    <w:snapToGrid w:val="0"/>
                    <w:jc w:val="center"/>
                    <w:rPr>
                      <w:rFonts w:eastAsia="仿宋_GB2312"/>
                      <w:snapToGrid w:val="0"/>
                      <w:color w:val="000000"/>
                      <w:sz w:val="21"/>
                      <w:szCs w:val="21"/>
                    </w:rPr>
                  </w:pPr>
                  <w:r>
                    <w:rPr>
                      <w:rFonts w:hint="eastAsia" w:eastAsia="仿宋_GB2312"/>
                      <w:snapToGrid w:val="0"/>
                      <w:color w:val="000000"/>
                      <w:sz w:val="21"/>
                      <w:szCs w:val="21"/>
                    </w:rPr>
                    <w:t>液体盐生产线</w:t>
                  </w:r>
                </w:p>
              </w:tc>
              <w:tc>
                <w:tcPr>
                  <w:tcW w:w="940" w:type="pct"/>
                  <w:vAlign w:val="center"/>
                </w:tcPr>
                <w:p w14:paraId="57B625CB">
                  <w:pPr>
                    <w:adjustRightInd w:val="0"/>
                    <w:snapToGrid w:val="0"/>
                    <w:jc w:val="center"/>
                    <w:rPr>
                      <w:rFonts w:eastAsia="仿宋_GB2312"/>
                      <w:snapToGrid w:val="0"/>
                      <w:color w:val="000000"/>
                      <w:sz w:val="21"/>
                      <w:szCs w:val="21"/>
                    </w:rPr>
                  </w:pPr>
                  <w:r>
                    <w:rPr>
                      <w:rFonts w:hint="eastAsia" w:eastAsia="仿宋_GB2312"/>
                      <w:snapToGrid w:val="0"/>
                      <w:color w:val="000000"/>
                      <w:sz w:val="21"/>
                      <w:szCs w:val="21"/>
                    </w:rPr>
                    <w:t>液体盐</w:t>
                  </w:r>
                </w:p>
              </w:tc>
              <w:tc>
                <w:tcPr>
                  <w:tcW w:w="756" w:type="pct"/>
                  <w:vAlign w:val="center"/>
                </w:tcPr>
                <w:p w14:paraId="35A0DE6A">
                  <w:pPr>
                    <w:adjustRightInd w:val="0"/>
                    <w:snapToGrid w:val="0"/>
                    <w:jc w:val="center"/>
                    <w:rPr>
                      <w:rFonts w:eastAsia="仿宋_GB2312"/>
                      <w:color w:val="000000"/>
                      <w:kern w:val="0"/>
                      <w:sz w:val="21"/>
                      <w:szCs w:val="21"/>
                    </w:rPr>
                  </w:pPr>
                  <w:r>
                    <w:rPr>
                      <w:rFonts w:hint="eastAsia" w:eastAsia="仿宋_GB2312"/>
                      <w:color w:val="000000"/>
                      <w:kern w:val="0"/>
                      <w:sz w:val="21"/>
                      <w:szCs w:val="21"/>
                    </w:rPr>
                    <w:t>440</w:t>
                  </w:r>
                  <w:r>
                    <w:rPr>
                      <w:rFonts w:eastAsia="仿宋_GB2312"/>
                      <w:color w:val="000000"/>
                      <w:kern w:val="0"/>
                      <w:sz w:val="21"/>
                      <w:szCs w:val="21"/>
                    </w:rPr>
                    <w:t>万</w:t>
                  </w:r>
                  <w:r>
                    <w:rPr>
                      <w:rFonts w:hint="eastAsia" w:eastAsia="仿宋_GB2312"/>
                      <w:color w:val="000000"/>
                      <w:kern w:val="0"/>
                      <w:sz w:val="21"/>
                      <w:szCs w:val="21"/>
                    </w:rPr>
                    <w:t>t</w:t>
                  </w:r>
                  <w:r>
                    <w:rPr>
                      <w:rFonts w:eastAsia="仿宋_GB2312"/>
                      <w:color w:val="000000"/>
                      <w:kern w:val="0"/>
                      <w:sz w:val="21"/>
                      <w:szCs w:val="21"/>
                    </w:rPr>
                    <w:t>/a</w:t>
                  </w:r>
                </w:p>
              </w:tc>
              <w:tc>
                <w:tcPr>
                  <w:tcW w:w="671" w:type="pct"/>
                  <w:vAlign w:val="center"/>
                </w:tcPr>
                <w:p w14:paraId="745BC798">
                  <w:pPr>
                    <w:adjustRightInd w:val="0"/>
                    <w:snapToGrid w:val="0"/>
                    <w:jc w:val="center"/>
                    <w:rPr>
                      <w:rFonts w:eastAsia="仿宋_GB2312"/>
                      <w:color w:val="000000"/>
                      <w:kern w:val="0"/>
                      <w:sz w:val="21"/>
                      <w:szCs w:val="21"/>
                    </w:rPr>
                  </w:pPr>
                  <w:r>
                    <w:rPr>
                      <w:rFonts w:hint="eastAsia" w:eastAsia="仿宋_GB2312"/>
                      <w:color w:val="000000"/>
                      <w:kern w:val="0"/>
                      <w:sz w:val="21"/>
                      <w:szCs w:val="21"/>
                      <w:lang w:val="en-US" w:eastAsia="zh-CN"/>
                    </w:rPr>
                    <w:t>8160</w:t>
                  </w:r>
                </w:p>
              </w:tc>
              <w:tc>
                <w:tcPr>
                  <w:tcW w:w="756" w:type="pct"/>
                  <w:vAlign w:val="center"/>
                </w:tcPr>
                <w:p w14:paraId="4FA2D4F0">
                  <w:pPr>
                    <w:adjustRightInd w:val="0"/>
                    <w:snapToGrid w:val="0"/>
                    <w:jc w:val="center"/>
                    <w:rPr>
                      <w:rFonts w:hint="eastAsia" w:eastAsia="仿宋_GB2312"/>
                      <w:color w:val="000000"/>
                      <w:kern w:val="0"/>
                      <w:sz w:val="21"/>
                      <w:szCs w:val="21"/>
                      <w:lang w:eastAsia="zh-CN"/>
                    </w:rPr>
                  </w:pPr>
                  <w:r>
                    <w:rPr>
                      <w:rFonts w:hint="eastAsia" w:eastAsia="仿宋_GB2312"/>
                      <w:color w:val="000000"/>
                      <w:kern w:val="0"/>
                      <w:sz w:val="21"/>
                      <w:szCs w:val="21"/>
                    </w:rPr>
                    <w:t>未</w:t>
                  </w:r>
                  <w:r>
                    <w:rPr>
                      <w:rFonts w:hint="eastAsia" w:eastAsia="仿宋_GB2312"/>
                      <w:color w:val="000000"/>
                      <w:kern w:val="0"/>
                      <w:sz w:val="21"/>
                      <w:szCs w:val="21"/>
                      <w:lang w:val="en-US" w:eastAsia="zh-CN"/>
                    </w:rPr>
                    <w:t>建设</w:t>
                  </w:r>
                </w:p>
              </w:tc>
              <w:tc>
                <w:tcPr>
                  <w:tcW w:w="468" w:type="pct"/>
                  <w:vMerge w:val="continue"/>
                  <w:vAlign w:val="center"/>
                </w:tcPr>
                <w:p w14:paraId="0DE32AD0">
                  <w:pPr>
                    <w:adjustRightInd w:val="0"/>
                    <w:snapToGrid w:val="0"/>
                    <w:jc w:val="center"/>
                    <w:rPr>
                      <w:rFonts w:eastAsia="仿宋_GB2312"/>
                      <w:color w:val="000000"/>
                      <w:kern w:val="0"/>
                      <w:sz w:val="21"/>
                      <w:szCs w:val="21"/>
                    </w:rPr>
                  </w:pPr>
                </w:p>
              </w:tc>
            </w:tr>
            <w:tr w14:paraId="7F03A6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4" w:type="pct"/>
                  <w:vAlign w:val="center"/>
                </w:tcPr>
                <w:p w14:paraId="6862D5A5">
                  <w:pPr>
                    <w:adjustRightInd w:val="0"/>
                    <w:snapToGrid w:val="0"/>
                    <w:jc w:val="center"/>
                    <w:rPr>
                      <w:rFonts w:eastAsia="仿宋_GB2312"/>
                      <w:color w:val="000000"/>
                      <w:kern w:val="0"/>
                      <w:sz w:val="21"/>
                      <w:szCs w:val="21"/>
                    </w:rPr>
                  </w:pPr>
                  <w:r>
                    <w:rPr>
                      <w:rFonts w:hint="eastAsia" w:eastAsia="仿宋_GB2312"/>
                      <w:color w:val="000000"/>
                      <w:kern w:val="0"/>
                      <w:sz w:val="21"/>
                      <w:szCs w:val="21"/>
                    </w:rPr>
                    <w:t>8</w:t>
                  </w:r>
                </w:p>
              </w:tc>
              <w:tc>
                <w:tcPr>
                  <w:tcW w:w="1141" w:type="pct"/>
                  <w:vMerge w:val="restart"/>
                  <w:vAlign w:val="center"/>
                </w:tcPr>
                <w:p w14:paraId="173300D9">
                  <w:pPr>
                    <w:adjustRightInd w:val="0"/>
                    <w:snapToGrid w:val="0"/>
                    <w:jc w:val="center"/>
                    <w:rPr>
                      <w:rFonts w:eastAsia="仿宋_GB2312"/>
                      <w:snapToGrid w:val="0"/>
                      <w:color w:val="000000"/>
                      <w:sz w:val="21"/>
                      <w:szCs w:val="21"/>
                    </w:rPr>
                  </w:pPr>
                  <w:r>
                    <w:rPr>
                      <w:rFonts w:hint="eastAsia" w:eastAsia="仿宋_GB2312"/>
                      <w:snapToGrid w:val="0"/>
                      <w:color w:val="000000"/>
                      <w:sz w:val="21"/>
                      <w:szCs w:val="21"/>
                    </w:rPr>
                    <w:t>盐泥综合利用生产线</w:t>
                  </w:r>
                </w:p>
              </w:tc>
              <w:tc>
                <w:tcPr>
                  <w:tcW w:w="940" w:type="pct"/>
                  <w:vAlign w:val="center"/>
                </w:tcPr>
                <w:p w14:paraId="3C5435BD">
                  <w:pPr>
                    <w:adjustRightInd w:val="0"/>
                    <w:snapToGrid w:val="0"/>
                    <w:jc w:val="center"/>
                    <w:rPr>
                      <w:rFonts w:eastAsia="仿宋_GB2312"/>
                      <w:snapToGrid w:val="0"/>
                      <w:color w:val="000000"/>
                      <w:sz w:val="21"/>
                      <w:szCs w:val="21"/>
                    </w:rPr>
                  </w:pPr>
                  <w:r>
                    <w:rPr>
                      <w:rFonts w:hint="eastAsia" w:eastAsia="仿宋_GB2312"/>
                      <w:snapToGrid w:val="0"/>
                      <w:color w:val="000000"/>
                      <w:kern w:val="0"/>
                      <w:sz w:val="21"/>
                      <w:szCs w:val="21"/>
                    </w:rPr>
                    <w:t>碳酸钙中和剂</w:t>
                  </w:r>
                </w:p>
              </w:tc>
              <w:tc>
                <w:tcPr>
                  <w:tcW w:w="756" w:type="pct"/>
                  <w:vAlign w:val="center"/>
                </w:tcPr>
                <w:p w14:paraId="7189459C">
                  <w:pPr>
                    <w:adjustRightInd w:val="0"/>
                    <w:snapToGrid w:val="0"/>
                    <w:jc w:val="center"/>
                    <w:rPr>
                      <w:rFonts w:eastAsia="仿宋_GB2312"/>
                      <w:color w:val="000000"/>
                      <w:kern w:val="0"/>
                      <w:sz w:val="21"/>
                      <w:szCs w:val="21"/>
                    </w:rPr>
                  </w:pPr>
                  <w:r>
                    <w:rPr>
                      <w:rFonts w:hint="eastAsia" w:eastAsia="仿宋_GB2312"/>
                      <w:color w:val="000000"/>
                      <w:kern w:val="0"/>
                      <w:sz w:val="21"/>
                      <w:szCs w:val="21"/>
                      <w:lang w:val="en-US" w:eastAsia="zh-CN"/>
                    </w:rPr>
                    <w:t>3.2</w:t>
                  </w:r>
                  <w:r>
                    <w:rPr>
                      <w:rFonts w:eastAsia="仿宋_GB2312"/>
                      <w:color w:val="000000"/>
                      <w:kern w:val="0"/>
                      <w:sz w:val="21"/>
                      <w:szCs w:val="21"/>
                    </w:rPr>
                    <w:t>万</w:t>
                  </w:r>
                  <w:r>
                    <w:rPr>
                      <w:rFonts w:hint="eastAsia" w:eastAsia="仿宋_GB2312"/>
                      <w:color w:val="000000"/>
                      <w:kern w:val="0"/>
                      <w:sz w:val="21"/>
                      <w:szCs w:val="21"/>
                    </w:rPr>
                    <w:t>t</w:t>
                  </w:r>
                  <w:r>
                    <w:rPr>
                      <w:rFonts w:eastAsia="仿宋_GB2312"/>
                      <w:color w:val="000000"/>
                      <w:kern w:val="0"/>
                      <w:sz w:val="21"/>
                      <w:szCs w:val="21"/>
                    </w:rPr>
                    <w:t>/a</w:t>
                  </w:r>
                </w:p>
              </w:tc>
              <w:tc>
                <w:tcPr>
                  <w:tcW w:w="671" w:type="pct"/>
                  <w:vAlign w:val="center"/>
                </w:tcPr>
                <w:p w14:paraId="62A0E122">
                  <w:pPr>
                    <w:adjustRightInd w:val="0"/>
                    <w:snapToGrid w:val="0"/>
                    <w:jc w:val="center"/>
                    <w:rPr>
                      <w:rFonts w:eastAsia="仿宋_GB2312"/>
                      <w:color w:val="000000"/>
                      <w:kern w:val="0"/>
                      <w:sz w:val="21"/>
                      <w:szCs w:val="21"/>
                    </w:rPr>
                  </w:pPr>
                  <w:r>
                    <w:rPr>
                      <w:rFonts w:hint="eastAsia" w:eastAsia="仿宋_GB2312"/>
                      <w:color w:val="000000"/>
                      <w:kern w:val="0"/>
                      <w:sz w:val="21"/>
                      <w:szCs w:val="21"/>
                      <w:lang w:val="en-US" w:eastAsia="zh-CN"/>
                    </w:rPr>
                    <w:t>8160</w:t>
                  </w:r>
                </w:p>
              </w:tc>
              <w:tc>
                <w:tcPr>
                  <w:tcW w:w="756" w:type="pct"/>
                  <w:vAlign w:val="center"/>
                </w:tcPr>
                <w:p w14:paraId="06C96DE1">
                  <w:pPr>
                    <w:adjustRightInd w:val="0"/>
                    <w:snapToGrid w:val="0"/>
                    <w:jc w:val="center"/>
                    <w:rPr>
                      <w:rFonts w:hint="default" w:eastAsia="仿宋_GB2312"/>
                      <w:color w:val="000000"/>
                      <w:kern w:val="0"/>
                      <w:sz w:val="21"/>
                      <w:szCs w:val="21"/>
                      <w:lang w:val="en-US" w:eastAsia="zh-CN"/>
                    </w:rPr>
                  </w:pPr>
                  <w:r>
                    <w:rPr>
                      <w:rFonts w:hint="eastAsia" w:eastAsia="仿宋_GB2312"/>
                      <w:color w:val="000000"/>
                      <w:kern w:val="0"/>
                      <w:sz w:val="21"/>
                      <w:szCs w:val="21"/>
                    </w:rPr>
                    <w:t>在产</w:t>
                  </w:r>
                  <w:r>
                    <w:rPr>
                      <w:rFonts w:hint="eastAsia" w:eastAsia="仿宋_GB2312"/>
                      <w:color w:val="000000"/>
                      <w:kern w:val="0"/>
                      <w:sz w:val="21"/>
                      <w:szCs w:val="21"/>
                      <w:lang w:eastAsia="zh-CN"/>
                    </w:rPr>
                    <w:t>，</w:t>
                  </w:r>
                  <w:r>
                    <w:rPr>
                      <w:rFonts w:hint="eastAsia" w:eastAsia="仿宋_GB2312"/>
                      <w:color w:val="000000"/>
                      <w:kern w:val="0"/>
                      <w:sz w:val="21"/>
                      <w:szCs w:val="21"/>
                      <w:lang w:val="en-US" w:eastAsia="zh-CN"/>
                    </w:rPr>
                    <w:t>环评设计1.8</w:t>
                  </w:r>
                  <w:r>
                    <w:rPr>
                      <w:rFonts w:eastAsia="仿宋_GB2312"/>
                      <w:color w:val="000000"/>
                      <w:kern w:val="0"/>
                      <w:sz w:val="21"/>
                      <w:szCs w:val="21"/>
                    </w:rPr>
                    <w:t>万</w:t>
                  </w:r>
                  <w:r>
                    <w:rPr>
                      <w:rFonts w:hint="eastAsia" w:eastAsia="仿宋_GB2312"/>
                      <w:color w:val="000000"/>
                      <w:kern w:val="0"/>
                      <w:sz w:val="21"/>
                      <w:szCs w:val="21"/>
                    </w:rPr>
                    <w:t>t</w:t>
                  </w:r>
                  <w:r>
                    <w:rPr>
                      <w:rFonts w:eastAsia="仿宋_GB2312"/>
                      <w:color w:val="000000"/>
                      <w:kern w:val="0"/>
                      <w:sz w:val="21"/>
                      <w:szCs w:val="21"/>
                    </w:rPr>
                    <w:t>/a</w:t>
                  </w:r>
                  <w:r>
                    <w:rPr>
                      <w:rFonts w:hint="eastAsia" w:eastAsia="仿宋_GB2312"/>
                      <w:color w:val="000000"/>
                      <w:kern w:val="0"/>
                      <w:sz w:val="21"/>
                      <w:szCs w:val="21"/>
                      <w:lang w:eastAsia="zh-CN"/>
                    </w:rPr>
                    <w:t>，</w:t>
                  </w:r>
                  <w:r>
                    <w:rPr>
                      <w:rFonts w:hint="eastAsia" w:eastAsia="仿宋_GB2312"/>
                      <w:color w:val="000000"/>
                      <w:kern w:val="0"/>
                      <w:sz w:val="21"/>
                      <w:szCs w:val="21"/>
                      <w:lang w:val="en-US" w:eastAsia="zh-CN"/>
                    </w:rPr>
                    <w:t>实际为3.2</w:t>
                  </w:r>
                  <w:r>
                    <w:rPr>
                      <w:rFonts w:eastAsia="仿宋_GB2312"/>
                      <w:color w:val="000000"/>
                      <w:kern w:val="0"/>
                      <w:sz w:val="21"/>
                      <w:szCs w:val="21"/>
                    </w:rPr>
                    <w:t>万</w:t>
                  </w:r>
                  <w:r>
                    <w:rPr>
                      <w:rFonts w:hint="eastAsia" w:eastAsia="仿宋_GB2312"/>
                      <w:color w:val="000000"/>
                      <w:kern w:val="0"/>
                      <w:sz w:val="21"/>
                      <w:szCs w:val="21"/>
                    </w:rPr>
                    <w:t>t</w:t>
                  </w:r>
                  <w:r>
                    <w:rPr>
                      <w:rFonts w:eastAsia="仿宋_GB2312"/>
                      <w:color w:val="000000"/>
                      <w:kern w:val="0"/>
                      <w:sz w:val="21"/>
                      <w:szCs w:val="21"/>
                    </w:rPr>
                    <w:t>/a</w:t>
                  </w:r>
                  <w:r>
                    <w:rPr>
                      <w:rFonts w:hint="eastAsia" w:eastAsia="仿宋_GB2312"/>
                      <w:color w:val="000000"/>
                      <w:kern w:val="0"/>
                      <w:sz w:val="21"/>
                      <w:szCs w:val="21"/>
                      <w:lang w:eastAsia="zh-CN"/>
                    </w:rPr>
                    <w:t>，</w:t>
                  </w:r>
                  <w:r>
                    <w:rPr>
                      <w:rFonts w:hint="eastAsia" w:eastAsia="仿宋_GB2312"/>
                      <w:color w:val="000000"/>
                      <w:kern w:val="0"/>
                      <w:sz w:val="21"/>
                      <w:szCs w:val="21"/>
                      <w:lang w:val="en-US" w:eastAsia="zh-CN"/>
                    </w:rPr>
                    <w:t>已完成变动分析</w:t>
                  </w:r>
                </w:p>
              </w:tc>
              <w:tc>
                <w:tcPr>
                  <w:tcW w:w="468" w:type="pct"/>
                  <w:vMerge w:val="continue"/>
                  <w:vAlign w:val="center"/>
                </w:tcPr>
                <w:p w14:paraId="13B9FA1C">
                  <w:pPr>
                    <w:adjustRightInd w:val="0"/>
                    <w:snapToGrid w:val="0"/>
                    <w:jc w:val="center"/>
                    <w:rPr>
                      <w:rFonts w:eastAsia="仿宋_GB2312"/>
                      <w:color w:val="000000"/>
                      <w:kern w:val="0"/>
                      <w:sz w:val="21"/>
                      <w:szCs w:val="21"/>
                    </w:rPr>
                  </w:pPr>
                </w:p>
              </w:tc>
            </w:tr>
            <w:tr w14:paraId="64299C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4" w:type="pct"/>
                  <w:vAlign w:val="center"/>
                </w:tcPr>
                <w:p w14:paraId="127D9777">
                  <w:pPr>
                    <w:adjustRightInd w:val="0"/>
                    <w:snapToGrid w:val="0"/>
                    <w:jc w:val="center"/>
                    <w:rPr>
                      <w:rFonts w:eastAsia="仿宋_GB2312"/>
                      <w:color w:val="000000"/>
                      <w:kern w:val="0"/>
                      <w:sz w:val="21"/>
                      <w:szCs w:val="21"/>
                    </w:rPr>
                  </w:pPr>
                  <w:r>
                    <w:rPr>
                      <w:rFonts w:hint="eastAsia" w:eastAsia="仿宋_GB2312"/>
                      <w:color w:val="000000"/>
                      <w:kern w:val="0"/>
                      <w:sz w:val="21"/>
                      <w:szCs w:val="21"/>
                    </w:rPr>
                    <w:t>9</w:t>
                  </w:r>
                </w:p>
              </w:tc>
              <w:tc>
                <w:tcPr>
                  <w:tcW w:w="1141" w:type="pct"/>
                  <w:vMerge w:val="continue"/>
                  <w:vAlign w:val="center"/>
                </w:tcPr>
                <w:p w14:paraId="0CDA21D0">
                  <w:pPr>
                    <w:adjustRightInd w:val="0"/>
                    <w:snapToGrid w:val="0"/>
                    <w:jc w:val="center"/>
                    <w:rPr>
                      <w:rFonts w:eastAsia="仿宋_GB2312"/>
                      <w:snapToGrid w:val="0"/>
                      <w:color w:val="000000"/>
                      <w:sz w:val="21"/>
                      <w:szCs w:val="21"/>
                    </w:rPr>
                  </w:pPr>
                </w:p>
              </w:tc>
              <w:tc>
                <w:tcPr>
                  <w:tcW w:w="940" w:type="pct"/>
                  <w:vAlign w:val="center"/>
                </w:tcPr>
                <w:p w14:paraId="18708A2A">
                  <w:pPr>
                    <w:adjustRightInd w:val="0"/>
                    <w:snapToGrid w:val="0"/>
                    <w:jc w:val="center"/>
                    <w:rPr>
                      <w:rFonts w:eastAsia="仿宋_GB2312"/>
                      <w:snapToGrid w:val="0"/>
                      <w:color w:val="000000"/>
                      <w:sz w:val="21"/>
                      <w:szCs w:val="21"/>
                    </w:rPr>
                  </w:pPr>
                  <w:r>
                    <w:rPr>
                      <w:rFonts w:hint="eastAsia" w:eastAsia="仿宋_GB2312"/>
                      <w:snapToGrid w:val="0"/>
                      <w:color w:val="000000"/>
                      <w:kern w:val="0"/>
                      <w:sz w:val="21"/>
                      <w:szCs w:val="21"/>
                    </w:rPr>
                    <w:t>碳酸钙脱硫剂</w:t>
                  </w:r>
                </w:p>
              </w:tc>
              <w:tc>
                <w:tcPr>
                  <w:tcW w:w="756" w:type="pct"/>
                  <w:vAlign w:val="center"/>
                </w:tcPr>
                <w:p w14:paraId="22983002">
                  <w:pPr>
                    <w:adjustRightInd w:val="0"/>
                    <w:snapToGrid w:val="0"/>
                    <w:jc w:val="center"/>
                    <w:rPr>
                      <w:rFonts w:eastAsia="仿宋_GB2312"/>
                      <w:color w:val="000000"/>
                      <w:kern w:val="0"/>
                      <w:sz w:val="21"/>
                      <w:szCs w:val="21"/>
                    </w:rPr>
                  </w:pPr>
                  <w:r>
                    <w:rPr>
                      <w:rFonts w:hint="eastAsia" w:eastAsia="仿宋_GB2312"/>
                      <w:color w:val="000000"/>
                      <w:kern w:val="0"/>
                      <w:sz w:val="21"/>
                      <w:szCs w:val="21"/>
                      <w:lang w:val="en-US" w:eastAsia="zh-CN"/>
                    </w:rPr>
                    <w:t>0.4</w:t>
                  </w:r>
                  <w:r>
                    <w:rPr>
                      <w:rFonts w:eastAsia="仿宋_GB2312"/>
                      <w:color w:val="000000"/>
                      <w:kern w:val="0"/>
                      <w:sz w:val="21"/>
                      <w:szCs w:val="21"/>
                    </w:rPr>
                    <w:t>万</w:t>
                  </w:r>
                  <w:r>
                    <w:rPr>
                      <w:rFonts w:hint="eastAsia" w:eastAsia="仿宋_GB2312"/>
                      <w:color w:val="000000"/>
                      <w:kern w:val="0"/>
                      <w:sz w:val="21"/>
                      <w:szCs w:val="21"/>
                    </w:rPr>
                    <w:t>t</w:t>
                  </w:r>
                  <w:r>
                    <w:rPr>
                      <w:rFonts w:eastAsia="仿宋_GB2312"/>
                      <w:color w:val="000000"/>
                      <w:kern w:val="0"/>
                      <w:sz w:val="21"/>
                      <w:szCs w:val="21"/>
                    </w:rPr>
                    <w:t>/a</w:t>
                  </w:r>
                </w:p>
              </w:tc>
              <w:tc>
                <w:tcPr>
                  <w:tcW w:w="671" w:type="pct"/>
                  <w:vAlign w:val="center"/>
                </w:tcPr>
                <w:p w14:paraId="4D278EA1">
                  <w:pPr>
                    <w:adjustRightInd w:val="0"/>
                    <w:snapToGrid w:val="0"/>
                    <w:jc w:val="center"/>
                    <w:rPr>
                      <w:rFonts w:eastAsia="仿宋_GB2312"/>
                      <w:color w:val="000000"/>
                      <w:kern w:val="0"/>
                      <w:sz w:val="21"/>
                      <w:szCs w:val="21"/>
                    </w:rPr>
                  </w:pPr>
                  <w:r>
                    <w:rPr>
                      <w:rFonts w:hint="eastAsia" w:eastAsia="仿宋_GB2312"/>
                      <w:color w:val="000000"/>
                      <w:kern w:val="0"/>
                      <w:sz w:val="21"/>
                      <w:szCs w:val="21"/>
                      <w:lang w:val="en-US" w:eastAsia="zh-CN"/>
                    </w:rPr>
                    <w:t>8160</w:t>
                  </w:r>
                </w:p>
              </w:tc>
              <w:tc>
                <w:tcPr>
                  <w:tcW w:w="756" w:type="pct"/>
                  <w:vAlign w:val="center"/>
                </w:tcPr>
                <w:p w14:paraId="7643EA08">
                  <w:pPr>
                    <w:adjustRightInd w:val="0"/>
                    <w:snapToGrid w:val="0"/>
                    <w:jc w:val="center"/>
                    <w:rPr>
                      <w:rFonts w:eastAsia="仿宋_GB2312"/>
                      <w:color w:val="000000"/>
                      <w:kern w:val="0"/>
                      <w:sz w:val="21"/>
                      <w:szCs w:val="21"/>
                    </w:rPr>
                  </w:pPr>
                  <w:r>
                    <w:rPr>
                      <w:rFonts w:hint="eastAsia" w:eastAsia="仿宋_GB2312"/>
                      <w:color w:val="000000"/>
                      <w:kern w:val="0"/>
                      <w:sz w:val="21"/>
                      <w:szCs w:val="21"/>
                    </w:rPr>
                    <w:t>在产</w:t>
                  </w:r>
                  <w:r>
                    <w:rPr>
                      <w:rFonts w:hint="eastAsia" w:eastAsia="仿宋_GB2312"/>
                      <w:color w:val="000000"/>
                      <w:kern w:val="0"/>
                      <w:sz w:val="21"/>
                      <w:szCs w:val="21"/>
                      <w:lang w:eastAsia="zh-CN"/>
                    </w:rPr>
                    <w:t>，</w:t>
                  </w:r>
                  <w:r>
                    <w:rPr>
                      <w:rFonts w:hint="eastAsia" w:eastAsia="仿宋_GB2312"/>
                      <w:color w:val="000000"/>
                      <w:kern w:val="0"/>
                      <w:sz w:val="21"/>
                      <w:szCs w:val="21"/>
                      <w:lang w:val="en-US" w:eastAsia="zh-CN"/>
                    </w:rPr>
                    <w:t>环评设计1.8</w:t>
                  </w:r>
                  <w:r>
                    <w:rPr>
                      <w:rFonts w:eastAsia="仿宋_GB2312"/>
                      <w:color w:val="000000"/>
                      <w:kern w:val="0"/>
                      <w:sz w:val="21"/>
                      <w:szCs w:val="21"/>
                    </w:rPr>
                    <w:t>万</w:t>
                  </w:r>
                  <w:r>
                    <w:rPr>
                      <w:rFonts w:hint="eastAsia" w:eastAsia="仿宋_GB2312"/>
                      <w:color w:val="000000"/>
                      <w:kern w:val="0"/>
                      <w:sz w:val="21"/>
                      <w:szCs w:val="21"/>
                    </w:rPr>
                    <w:t>t</w:t>
                  </w:r>
                  <w:r>
                    <w:rPr>
                      <w:rFonts w:eastAsia="仿宋_GB2312"/>
                      <w:color w:val="000000"/>
                      <w:kern w:val="0"/>
                      <w:sz w:val="21"/>
                      <w:szCs w:val="21"/>
                    </w:rPr>
                    <w:t>/a</w:t>
                  </w:r>
                  <w:r>
                    <w:rPr>
                      <w:rFonts w:hint="eastAsia" w:eastAsia="仿宋_GB2312"/>
                      <w:color w:val="000000"/>
                      <w:kern w:val="0"/>
                      <w:sz w:val="21"/>
                      <w:szCs w:val="21"/>
                      <w:lang w:eastAsia="zh-CN"/>
                    </w:rPr>
                    <w:t>，</w:t>
                  </w:r>
                  <w:r>
                    <w:rPr>
                      <w:rFonts w:hint="eastAsia" w:eastAsia="仿宋_GB2312"/>
                      <w:color w:val="000000"/>
                      <w:kern w:val="0"/>
                      <w:sz w:val="21"/>
                      <w:szCs w:val="21"/>
                      <w:lang w:val="en-US" w:eastAsia="zh-CN"/>
                    </w:rPr>
                    <w:t>实际为0.4</w:t>
                  </w:r>
                  <w:r>
                    <w:rPr>
                      <w:rFonts w:eastAsia="仿宋_GB2312"/>
                      <w:color w:val="000000"/>
                      <w:kern w:val="0"/>
                      <w:sz w:val="21"/>
                      <w:szCs w:val="21"/>
                    </w:rPr>
                    <w:t>万</w:t>
                  </w:r>
                  <w:r>
                    <w:rPr>
                      <w:rFonts w:hint="eastAsia" w:eastAsia="仿宋_GB2312"/>
                      <w:color w:val="000000"/>
                      <w:kern w:val="0"/>
                      <w:sz w:val="21"/>
                      <w:szCs w:val="21"/>
                    </w:rPr>
                    <w:t>t</w:t>
                  </w:r>
                  <w:r>
                    <w:rPr>
                      <w:rFonts w:eastAsia="仿宋_GB2312"/>
                      <w:color w:val="000000"/>
                      <w:kern w:val="0"/>
                      <w:sz w:val="21"/>
                      <w:szCs w:val="21"/>
                    </w:rPr>
                    <w:t>/a</w:t>
                  </w:r>
                  <w:r>
                    <w:rPr>
                      <w:rFonts w:hint="eastAsia" w:eastAsia="仿宋_GB2312"/>
                      <w:color w:val="000000"/>
                      <w:kern w:val="0"/>
                      <w:sz w:val="21"/>
                      <w:szCs w:val="21"/>
                      <w:lang w:eastAsia="zh-CN"/>
                    </w:rPr>
                    <w:t>，</w:t>
                  </w:r>
                  <w:r>
                    <w:rPr>
                      <w:rFonts w:hint="eastAsia" w:eastAsia="仿宋_GB2312"/>
                      <w:color w:val="000000"/>
                      <w:kern w:val="0"/>
                      <w:sz w:val="21"/>
                      <w:szCs w:val="21"/>
                      <w:lang w:val="en-US" w:eastAsia="zh-CN"/>
                    </w:rPr>
                    <w:t>已完成变动分析</w:t>
                  </w:r>
                </w:p>
              </w:tc>
              <w:tc>
                <w:tcPr>
                  <w:tcW w:w="468" w:type="pct"/>
                  <w:vMerge w:val="continue"/>
                  <w:vAlign w:val="center"/>
                </w:tcPr>
                <w:p w14:paraId="0024F5F7">
                  <w:pPr>
                    <w:adjustRightInd w:val="0"/>
                    <w:snapToGrid w:val="0"/>
                    <w:jc w:val="center"/>
                    <w:rPr>
                      <w:rFonts w:eastAsia="仿宋_GB2312"/>
                      <w:color w:val="000000"/>
                      <w:kern w:val="0"/>
                      <w:sz w:val="21"/>
                      <w:szCs w:val="21"/>
                    </w:rPr>
                  </w:pPr>
                </w:p>
              </w:tc>
            </w:tr>
          </w:tbl>
          <w:p w14:paraId="710B9FB3">
            <w:pPr>
              <w:spacing w:beforeLines="50" w:line="360" w:lineRule="auto"/>
              <w:ind w:firstLine="422" w:firstLineChars="200"/>
              <w:rPr>
                <w:rFonts w:eastAsia="仿宋_GB2312"/>
                <w:b/>
                <w:bCs/>
                <w:snapToGrid w:val="0"/>
                <w:color w:val="000000"/>
              </w:rPr>
            </w:pPr>
            <w:r>
              <w:rPr>
                <w:rFonts w:hint="eastAsia" w:eastAsia="仿宋_GB2312"/>
                <w:b/>
                <w:bCs/>
                <w:snapToGrid w:val="0"/>
                <w:color w:val="000000"/>
              </w:rPr>
              <w:t>2、现有项目环保手续履行情况</w:t>
            </w:r>
          </w:p>
          <w:p w14:paraId="496C9B0B">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eastAsia="仿宋_GB2312"/>
                <w:b/>
                <w:bCs/>
                <w:color w:val="000000"/>
                <w:kern w:val="0"/>
              </w:rPr>
            </w:pPr>
            <w:r>
              <w:rPr>
                <w:rFonts w:eastAsia="仿宋_GB2312"/>
                <w:b/>
                <w:bCs/>
                <w:color w:val="000000"/>
                <w:kern w:val="0"/>
              </w:rPr>
              <w:t>表2-1</w:t>
            </w:r>
            <w:r>
              <w:rPr>
                <w:rFonts w:hint="eastAsia" w:eastAsia="仿宋_GB2312"/>
                <w:b/>
                <w:bCs/>
                <w:color w:val="000000"/>
                <w:kern w:val="0"/>
                <w:lang w:val="en-US" w:eastAsia="zh-CN"/>
              </w:rPr>
              <w:t xml:space="preserve">3  </w:t>
            </w:r>
            <w:r>
              <w:rPr>
                <w:rFonts w:hint="eastAsia" w:eastAsia="仿宋_GB2312"/>
                <w:b/>
                <w:bCs/>
                <w:color w:val="000000"/>
                <w:kern w:val="0"/>
              </w:rPr>
              <w:t>厂区</w:t>
            </w:r>
            <w:r>
              <w:rPr>
                <w:rFonts w:eastAsia="仿宋_GB2312"/>
                <w:b/>
                <w:bCs/>
                <w:color w:val="000000"/>
                <w:kern w:val="0"/>
              </w:rPr>
              <w:t>现有项目环评情况</w:t>
            </w:r>
          </w:p>
          <w:tbl>
            <w:tblPr>
              <w:tblStyle w:val="3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68"/>
              <w:gridCol w:w="1313"/>
              <w:gridCol w:w="2162"/>
              <w:gridCol w:w="1092"/>
              <w:gridCol w:w="1914"/>
              <w:gridCol w:w="800"/>
              <w:gridCol w:w="412"/>
            </w:tblGrid>
            <w:tr w14:paraId="427545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572" w:type="pct"/>
                  <w:vAlign w:val="center"/>
                </w:tcPr>
                <w:p w14:paraId="1C4B61E7">
                  <w:pPr>
                    <w:adjustRightInd w:val="0"/>
                    <w:snapToGrid w:val="0"/>
                    <w:jc w:val="center"/>
                    <w:rPr>
                      <w:rFonts w:eastAsia="仿宋_GB2312"/>
                      <w:b/>
                      <w:bCs/>
                      <w:color w:val="000000"/>
                      <w:kern w:val="0"/>
                      <w:sz w:val="21"/>
                      <w:szCs w:val="21"/>
                    </w:rPr>
                  </w:pPr>
                  <w:bookmarkStart w:id="36" w:name="_Hlk199857071"/>
                  <w:r>
                    <w:rPr>
                      <w:rFonts w:eastAsia="仿宋_GB2312"/>
                      <w:b/>
                      <w:bCs/>
                      <w:color w:val="000000"/>
                      <w:kern w:val="0"/>
                      <w:sz w:val="21"/>
                      <w:szCs w:val="21"/>
                    </w:rPr>
                    <w:t>项目名称</w:t>
                  </w:r>
                </w:p>
              </w:tc>
              <w:tc>
                <w:tcPr>
                  <w:tcW w:w="1077" w:type="pct"/>
                  <w:vAlign w:val="center"/>
                </w:tcPr>
                <w:p w14:paraId="22C59644">
                  <w:pPr>
                    <w:adjustRightInd w:val="0"/>
                    <w:snapToGrid w:val="0"/>
                    <w:jc w:val="center"/>
                    <w:rPr>
                      <w:rFonts w:eastAsia="仿宋_GB2312"/>
                      <w:b/>
                      <w:bCs/>
                      <w:color w:val="000000"/>
                      <w:kern w:val="0"/>
                      <w:sz w:val="21"/>
                      <w:szCs w:val="21"/>
                    </w:rPr>
                  </w:pPr>
                  <w:r>
                    <w:rPr>
                      <w:rFonts w:hint="eastAsia" w:eastAsia="仿宋_GB2312"/>
                      <w:b/>
                      <w:bCs/>
                      <w:color w:val="000000"/>
                      <w:kern w:val="0"/>
                      <w:sz w:val="21"/>
                      <w:szCs w:val="21"/>
                    </w:rPr>
                    <w:t>建设规模</w:t>
                  </w:r>
                </w:p>
              </w:tc>
              <w:tc>
                <w:tcPr>
                  <w:tcW w:w="919" w:type="pct"/>
                  <w:vAlign w:val="center"/>
                </w:tcPr>
                <w:p w14:paraId="3C665314">
                  <w:pPr>
                    <w:adjustRightInd w:val="0"/>
                    <w:snapToGrid w:val="0"/>
                    <w:jc w:val="center"/>
                    <w:rPr>
                      <w:rFonts w:eastAsia="仿宋_GB2312"/>
                      <w:b/>
                      <w:bCs/>
                      <w:color w:val="000000"/>
                      <w:kern w:val="0"/>
                      <w:sz w:val="21"/>
                      <w:szCs w:val="21"/>
                    </w:rPr>
                  </w:pPr>
                  <w:r>
                    <w:rPr>
                      <w:rFonts w:eastAsia="仿宋_GB2312"/>
                      <w:b/>
                      <w:bCs/>
                      <w:color w:val="000000"/>
                      <w:kern w:val="0"/>
                      <w:sz w:val="21"/>
                      <w:szCs w:val="21"/>
                    </w:rPr>
                    <w:t>环评批复</w:t>
                  </w:r>
                </w:p>
              </w:tc>
              <w:tc>
                <w:tcPr>
                  <w:tcW w:w="659" w:type="pct"/>
                  <w:vAlign w:val="center"/>
                </w:tcPr>
                <w:p w14:paraId="034282B6">
                  <w:pPr>
                    <w:adjustRightInd w:val="0"/>
                    <w:snapToGrid w:val="0"/>
                    <w:jc w:val="center"/>
                    <w:rPr>
                      <w:rFonts w:eastAsia="仿宋_GB2312"/>
                      <w:b/>
                      <w:bCs/>
                      <w:color w:val="000000"/>
                      <w:kern w:val="0"/>
                      <w:sz w:val="21"/>
                      <w:szCs w:val="21"/>
                    </w:rPr>
                  </w:pPr>
                  <w:r>
                    <w:rPr>
                      <w:rFonts w:eastAsia="仿宋_GB2312"/>
                      <w:b/>
                      <w:bCs/>
                      <w:color w:val="000000"/>
                      <w:kern w:val="0"/>
                      <w:sz w:val="21"/>
                      <w:szCs w:val="21"/>
                    </w:rPr>
                    <w:t>登记/获批复时间</w:t>
                  </w:r>
                </w:p>
              </w:tc>
              <w:tc>
                <w:tcPr>
                  <w:tcW w:w="914" w:type="pct"/>
                  <w:vAlign w:val="center"/>
                </w:tcPr>
                <w:p w14:paraId="4D0D584D">
                  <w:pPr>
                    <w:adjustRightInd w:val="0"/>
                    <w:snapToGrid w:val="0"/>
                    <w:jc w:val="center"/>
                    <w:rPr>
                      <w:rFonts w:eastAsia="仿宋_GB2312"/>
                      <w:b/>
                      <w:bCs/>
                      <w:color w:val="000000"/>
                      <w:kern w:val="0"/>
                      <w:sz w:val="21"/>
                      <w:szCs w:val="21"/>
                    </w:rPr>
                  </w:pPr>
                  <w:r>
                    <w:rPr>
                      <w:rFonts w:eastAsia="仿宋_GB2312"/>
                      <w:b/>
                      <w:bCs/>
                      <w:color w:val="000000"/>
                      <w:kern w:val="0"/>
                      <w:sz w:val="21"/>
                      <w:szCs w:val="21"/>
                    </w:rPr>
                    <w:t>验收时间</w:t>
                  </w:r>
                </w:p>
              </w:tc>
              <w:tc>
                <w:tcPr>
                  <w:tcW w:w="610" w:type="pct"/>
                  <w:vAlign w:val="center"/>
                </w:tcPr>
                <w:p w14:paraId="0928D48C">
                  <w:pPr>
                    <w:adjustRightInd w:val="0"/>
                    <w:snapToGrid w:val="0"/>
                    <w:jc w:val="center"/>
                    <w:rPr>
                      <w:rFonts w:eastAsia="仿宋_GB2312"/>
                      <w:b/>
                      <w:bCs/>
                      <w:color w:val="000000"/>
                      <w:kern w:val="0"/>
                      <w:sz w:val="21"/>
                      <w:szCs w:val="21"/>
                    </w:rPr>
                  </w:pPr>
                  <w:r>
                    <w:rPr>
                      <w:rFonts w:eastAsia="仿宋_GB2312"/>
                      <w:b/>
                      <w:bCs/>
                      <w:color w:val="000000"/>
                      <w:kern w:val="0"/>
                      <w:sz w:val="21"/>
                      <w:szCs w:val="21"/>
                    </w:rPr>
                    <w:t>是否生产</w:t>
                  </w:r>
                </w:p>
              </w:tc>
              <w:tc>
                <w:tcPr>
                  <w:tcW w:w="246" w:type="pct"/>
                  <w:vAlign w:val="center"/>
                </w:tcPr>
                <w:p w14:paraId="1D636577">
                  <w:pPr>
                    <w:adjustRightInd w:val="0"/>
                    <w:snapToGrid w:val="0"/>
                    <w:jc w:val="center"/>
                    <w:rPr>
                      <w:rFonts w:eastAsia="仿宋_GB2312"/>
                      <w:b/>
                      <w:bCs/>
                      <w:color w:val="000000"/>
                      <w:kern w:val="0"/>
                      <w:sz w:val="21"/>
                      <w:szCs w:val="21"/>
                    </w:rPr>
                  </w:pPr>
                  <w:r>
                    <w:rPr>
                      <w:rFonts w:hint="eastAsia" w:eastAsia="仿宋_GB2312"/>
                      <w:b/>
                      <w:bCs/>
                      <w:color w:val="000000"/>
                      <w:kern w:val="0"/>
                      <w:sz w:val="21"/>
                      <w:szCs w:val="21"/>
                    </w:rPr>
                    <w:t>厂区</w:t>
                  </w:r>
                </w:p>
              </w:tc>
            </w:tr>
            <w:tr w14:paraId="53D9B1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2" w:type="pct"/>
                  <w:vAlign w:val="center"/>
                </w:tcPr>
                <w:p w14:paraId="4E4FEF66">
                  <w:pPr>
                    <w:pStyle w:val="69"/>
                    <w:autoSpaceDE w:val="0"/>
                    <w:autoSpaceDN w:val="0"/>
                    <w:adjustRightInd w:val="0"/>
                    <w:snapToGrid w:val="0"/>
                    <w:jc w:val="center"/>
                    <w:rPr>
                      <w:rFonts w:ascii="Times New Roman" w:hAnsi="Times New Roman" w:eastAsia="仿宋_GB2312" w:cs="Times New Roman"/>
                      <w:snapToGrid w:val="0"/>
                      <w:color w:val="000000"/>
                      <w:sz w:val="21"/>
                      <w:szCs w:val="21"/>
                    </w:rPr>
                  </w:pPr>
                  <w:r>
                    <w:rPr>
                      <w:rFonts w:ascii="Times New Roman" w:hAnsi="Times New Roman" w:eastAsia="仿宋_GB2312" w:cs="Times New Roman"/>
                      <w:snapToGrid w:val="0"/>
                      <w:color w:val="000000"/>
                      <w:sz w:val="21"/>
                      <w:szCs w:val="21"/>
                    </w:rPr>
                    <w:t>中盐金坛盐化有限责任公司年产60万吨真空盐工程</w:t>
                  </w:r>
                </w:p>
              </w:tc>
              <w:tc>
                <w:tcPr>
                  <w:tcW w:w="1077" w:type="pct"/>
                  <w:vAlign w:val="center"/>
                </w:tcPr>
                <w:p w14:paraId="1F43B5EA">
                  <w:pPr>
                    <w:pStyle w:val="69"/>
                    <w:autoSpaceDE w:val="0"/>
                    <w:autoSpaceDN w:val="0"/>
                    <w:adjustRightInd w:val="0"/>
                    <w:snapToGrid w:val="0"/>
                    <w:jc w:val="center"/>
                    <w:rPr>
                      <w:rFonts w:ascii="Times New Roman" w:hAnsi="Times New Roman" w:eastAsia="仿宋_GB2312" w:cs="Times New Roman"/>
                      <w:snapToGrid w:val="0"/>
                      <w:color w:val="000000"/>
                      <w:sz w:val="21"/>
                      <w:szCs w:val="21"/>
                    </w:rPr>
                  </w:pPr>
                  <w:r>
                    <w:rPr>
                      <w:rFonts w:hint="eastAsia" w:ascii="Times New Roman" w:hAnsi="Times New Roman" w:eastAsia="仿宋_GB2312" w:cs="Times New Roman"/>
                      <w:snapToGrid w:val="0"/>
                      <w:color w:val="000000"/>
                      <w:sz w:val="21"/>
                      <w:szCs w:val="21"/>
                    </w:rPr>
                    <w:t>净化原卤水216万m</w:t>
                  </w:r>
                  <w:r>
                    <w:rPr>
                      <w:rFonts w:hint="eastAsia" w:ascii="Times New Roman" w:hAnsi="Times New Roman" w:eastAsia="仿宋_GB2312" w:cs="Times New Roman"/>
                      <w:snapToGrid w:val="0"/>
                      <w:color w:val="000000"/>
                      <w:sz w:val="21"/>
                      <w:szCs w:val="21"/>
                      <w:vertAlign w:val="superscript"/>
                    </w:rPr>
                    <w:t>3</w:t>
                  </w:r>
                  <w:r>
                    <w:rPr>
                      <w:rFonts w:hint="eastAsia" w:ascii="Times New Roman" w:hAnsi="Times New Roman" w:eastAsia="仿宋_GB2312" w:cs="Times New Roman"/>
                      <w:snapToGrid w:val="0"/>
                      <w:color w:val="000000"/>
                      <w:sz w:val="21"/>
                      <w:szCs w:val="21"/>
                    </w:rPr>
                    <w:t>/a，</w:t>
                  </w:r>
                  <w:r>
                    <w:rPr>
                      <w:rFonts w:ascii="Times New Roman" w:hAnsi="Times New Roman" w:eastAsia="仿宋_GB2312" w:cs="Times New Roman"/>
                      <w:snapToGrid w:val="0"/>
                      <w:color w:val="000000"/>
                      <w:sz w:val="21"/>
                      <w:szCs w:val="21"/>
                    </w:rPr>
                    <w:t>精制盐60万t/a</w:t>
                  </w:r>
                  <w:r>
                    <w:rPr>
                      <w:rFonts w:hint="eastAsia" w:ascii="Times New Roman" w:hAnsi="Times New Roman" w:eastAsia="仿宋_GB2312" w:cs="Times New Roman"/>
                      <w:snapToGrid w:val="0"/>
                      <w:color w:val="000000"/>
                      <w:sz w:val="21"/>
                      <w:szCs w:val="21"/>
                    </w:rPr>
                    <w:t>，</w:t>
                  </w:r>
                  <w:r>
                    <w:rPr>
                      <w:rFonts w:ascii="Times New Roman" w:hAnsi="Times New Roman" w:eastAsia="仿宋_GB2312" w:cs="Times New Roman"/>
                      <w:snapToGrid w:val="0"/>
                      <w:color w:val="000000"/>
                      <w:sz w:val="21"/>
                      <w:szCs w:val="21"/>
                    </w:rPr>
                    <w:t>芒硝3万t/a</w:t>
                  </w:r>
                </w:p>
              </w:tc>
              <w:tc>
                <w:tcPr>
                  <w:tcW w:w="919" w:type="pct"/>
                  <w:vAlign w:val="center"/>
                </w:tcPr>
                <w:p w14:paraId="3C3B81D6">
                  <w:pPr>
                    <w:pStyle w:val="69"/>
                    <w:autoSpaceDE w:val="0"/>
                    <w:autoSpaceDN w:val="0"/>
                    <w:adjustRightInd w:val="0"/>
                    <w:snapToGrid w:val="0"/>
                    <w:jc w:val="center"/>
                    <w:rPr>
                      <w:rFonts w:ascii="Times New Roman" w:hAnsi="Times New Roman" w:eastAsia="仿宋_GB2312" w:cs="Times New Roman"/>
                      <w:snapToGrid w:val="0"/>
                      <w:color w:val="000000"/>
                      <w:sz w:val="21"/>
                      <w:szCs w:val="21"/>
                    </w:rPr>
                  </w:pPr>
                  <w:r>
                    <w:rPr>
                      <w:rFonts w:ascii="Times New Roman" w:hAnsi="Times New Roman" w:eastAsia="仿宋_GB2312" w:cs="Times New Roman"/>
                      <w:snapToGrid w:val="0"/>
                      <w:color w:val="000000"/>
                      <w:sz w:val="21"/>
                      <w:szCs w:val="21"/>
                    </w:rPr>
                    <w:t>苏环管[2005]106号</w:t>
                  </w:r>
                </w:p>
              </w:tc>
              <w:tc>
                <w:tcPr>
                  <w:tcW w:w="659" w:type="pct"/>
                  <w:vAlign w:val="center"/>
                </w:tcPr>
                <w:p w14:paraId="2BDF82CA">
                  <w:pPr>
                    <w:adjustRightInd w:val="0"/>
                    <w:snapToGrid w:val="0"/>
                    <w:jc w:val="center"/>
                    <w:rPr>
                      <w:rFonts w:eastAsia="仿宋_GB2312"/>
                      <w:color w:val="000000"/>
                      <w:kern w:val="0"/>
                      <w:sz w:val="21"/>
                      <w:szCs w:val="21"/>
                    </w:rPr>
                  </w:pPr>
                  <w:r>
                    <w:rPr>
                      <w:rFonts w:eastAsia="仿宋_GB2312"/>
                      <w:snapToGrid w:val="0"/>
                      <w:color w:val="000000"/>
                      <w:sz w:val="21"/>
                      <w:szCs w:val="21"/>
                    </w:rPr>
                    <w:t>2005.4.13</w:t>
                  </w:r>
                </w:p>
              </w:tc>
              <w:tc>
                <w:tcPr>
                  <w:tcW w:w="914" w:type="pct"/>
                  <w:vAlign w:val="center"/>
                </w:tcPr>
                <w:p w14:paraId="66C2996F">
                  <w:pPr>
                    <w:pStyle w:val="69"/>
                    <w:autoSpaceDE w:val="0"/>
                    <w:autoSpaceDN w:val="0"/>
                    <w:adjustRightInd w:val="0"/>
                    <w:snapToGrid w:val="0"/>
                    <w:jc w:val="center"/>
                    <w:rPr>
                      <w:rFonts w:ascii="Times New Roman" w:hAnsi="Times New Roman" w:eastAsia="仿宋_GB2312" w:cs="Times New Roman"/>
                      <w:snapToGrid w:val="0"/>
                      <w:color w:val="000000"/>
                      <w:sz w:val="21"/>
                      <w:szCs w:val="21"/>
                    </w:rPr>
                  </w:pPr>
                  <w:r>
                    <w:rPr>
                      <w:rFonts w:ascii="Times New Roman" w:hAnsi="Times New Roman" w:eastAsia="仿宋_GB2312" w:cs="Times New Roman"/>
                      <w:snapToGrid w:val="0"/>
                      <w:color w:val="000000"/>
                      <w:sz w:val="21"/>
                      <w:szCs w:val="21"/>
                    </w:rPr>
                    <w:t>环验(2007)113 号</w:t>
                  </w:r>
                </w:p>
                <w:p w14:paraId="3CA59C78">
                  <w:pPr>
                    <w:pStyle w:val="69"/>
                    <w:autoSpaceDE w:val="0"/>
                    <w:autoSpaceDN w:val="0"/>
                    <w:adjustRightInd w:val="0"/>
                    <w:snapToGrid w:val="0"/>
                    <w:jc w:val="center"/>
                    <w:rPr>
                      <w:rFonts w:ascii="Times New Roman" w:hAnsi="Times New Roman" w:eastAsia="仿宋_GB2312" w:cs="Times New Roman"/>
                      <w:snapToGrid w:val="0"/>
                      <w:color w:val="000000"/>
                      <w:sz w:val="21"/>
                      <w:szCs w:val="21"/>
                    </w:rPr>
                  </w:pPr>
                  <w:r>
                    <w:rPr>
                      <w:rFonts w:ascii="Times New Roman" w:hAnsi="Times New Roman" w:eastAsia="仿宋_GB2312" w:cs="Times New Roman"/>
                      <w:snapToGrid w:val="0"/>
                      <w:color w:val="000000"/>
                      <w:sz w:val="21"/>
                      <w:szCs w:val="21"/>
                    </w:rPr>
                    <w:t>2007.12.26</w:t>
                  </w:r>
                </w:p>
              </w:tc>
              <w:tc>
                <w:tcPr>
                  <w:tcW w:w="610" w:type="pct"/>
                  <w:vAlign w:val="center"/>
                </w:tcPr>
                <w:p w14:paraId="61010276">
                  <w:pPr>
                    <w:adjustRightInd w:val="0"/>
                    <w:snapToGrid w:val="0"/>
                    <w:jc w:val="center"/>
                    <w:rPr>
                      <w:rFonts w:eastAsia="仿宋_GB2312"/>
                      <w:color w:val="000000"/>
                      <w:kern w:val="0"/>
                      <w:sz w:val="21"/>
                      <w:szCs w:val="21"/>
                    </w:rPr>
                  </w:pPr>
                  <w:r>
                    <w:rPr>
                      <w:rFonts w:eastAsia="仿宋_GB2312"/>
                      <w:color w:val="000000"/>
                      <w:kern w:val="0"/>
                      <w:sz w:val="21"/>
                      <w:szCs w:val="21"/>
                    </w:rPr>
                    <w:t>已生产</w:t>
                  </w:r>
                </w:p>
              </w:tc>
              <w:tc>
                <w:tcPr>
                  <w:tcW w:w="246" w:type="pct"/>
                  <w:vMerge w:val="restart"/>
                  <w:vAlign w:val="center"/>
                </w:tcPr>
                <w:p w14:paraId="4AFAFCF4">
                  <w:pPr>
                    <w:adjustRightInd w:val="0"/>
                    <w:snapToGrid w:val="0"/>
                    <w:jc w:val="center"/>
                    <w:rPr>
                      <w:rFonts w:eastAsia="仿宋_GB2312"/>
                      <w:color w:val="000000"/>
                      <w:kern w:val="0"/>
                      <w:sz w:val="21"/>
                      <w:szCs w:val="21"/>
                    </w:rPr>
                  </w:pPr>
                  <w:r>
                    <w:rPr>
                      <w:rFonts w:hint="eastAsia" w:eastAsia="仿宋_GB2312"/>
                      <w:color w:val="000000"/>
                      <w:kern w:val="0"/>
                      <w:sz w:val="21"/>
                      <w:szCs w:val="21"/>
                    </w:rPr>
                    <w:t>盐厂路1号</w:t>
                  </w:r>
                </w:p>
              </w:tc>
            </w:tr>
            <w:tr w14:paraId="640A7C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2" w:type="pct"/>
                  <w:vAlign w:val="center"/>
                </w:tcPr>
                <w:p w14:paraId="721D17FE">
                  <w:pPr>
                    <w:pStyle w:val="69"/>
                    <w:autoSpaceDE w:val="0"/>
                    <w:autoSpaceDN w:val="0"/>
                    <w:adjustRightInd w:val="0"/>
                    <w:snapToGrid w:val="0"/>
                    <w:jc w:val="center"/>
                    <w:rPr>
                      <w:rFonts w:ascii="Times New Roman" w:hAnsi="Times New Roman" w:eastAsia="仿宋_GB2312" w:cs="Times New Roman"/>
                      <w:snapToGrid w:val="0"/>
                      <w:color w:val="000000"/>
                      <w:sz w:val="21"/>
                      <w:szCs w:val="21"/>
                    </w:rPr>
                  </w:pPr>
                  <w:r>
                    <w:rPr>
                      <w:rFonts w:ascii="Times New Roman" w:hAnsi="Times New Roman" w:eastAsia="仿宋_GB2312" w:cs="Times New Roman"/>
                      <w:snapToGrid w:val="0"/>
                      <w:color w:val="000000"/>
                      <w:sz w:val="21"/>
                      <w:szCs w:val="21"/>
                    </w:rPr>
                    <w:t>中盐金坛盐化有限责任公司二期（100万t/a）真空制盐工程</w:t>
                  </w:r>
                </w:p>
              </w:tc>
              <w:tc>
                <w:tcPr>
                  <w:tcW w:w="1077" w:type="pct"/>
                  <w:vAlign w:val="center"/>
                </w:tcPr>
                <w:p w14:paraId="71BC90D7">
                  <w:pPr>
                    <w:pStyle w:val="69"/>
                    <w:autoSpaceDE w:val="0"/>
                    <w:autoSpaceDN w:val="0"/>
                    <w:adjustRightInd w:val="0"/>
                    <w:snapToGrid w:val="0"/>
                    <w:jc w:val="center"/>
                    <w:rPr>
                      <w:rFonts w:ascii="Times New Roman" w:hAnsi="Times New Roman" w:eastAsia="仿宋_GB2312" w:cs="Times New Roman"/>
                      <w:snapToGrid w:val="0"/>
                      <w:color w:val="000000"/>
                      <w:sz w:val="21"/>
                      <w:szCs w:val="21"/>
                    </w:rPr>
                  </w:pPr>
                  <w:r>
                    <w:rPr>
                      <w:rFonts w:hint="eastAsia" w:ascii="Times New Roman" w:hAnsi="Times New Roman" w:eastAsia="仿宋_GB2312" w:cs="Times New Roman"/>
                      <w:snapToGrid w:val="0"/>
                      <w:color w:val="000000"/>
                      <w:sz w:val="21"/>
                      <w:szCs w:val="21"/>
                    </w:rPr>
                    <w:t>净化原卤水356万m</w:t>
                  </w:r>
                  <w:r>
                    <w:rPr>
                      <w:rFonts w:hint="eastAsia" w:ascii="Times New Roman" w:hAnsi="Times New Roman" w:eastAsia="仿宋_GB2312" w:cs="Times New Roman"/>
                      <w:snapToGrid w:val="0"/>
                      <w:color w:val="000000"/>
                      <w:sz w:val="21"/>
                      <w:szCs w:val="21"/>
                      <w:vertAlign w:val="superscript"/>
                    </w:rPr>
                    <w:t>3</w:t>
                  </w:r>
                  <w:r>
                    <w:rPr>
                      <w:rFonts w:hint="eastAsia" w:ascii="Times New Roman" w:hAnsi="Times New Roman" w:eastAsia="仿宋_GB2312" w:cs="Times New Roman"/>
                      <w:snapToGrid w:val="0"/>
                      <w:color w:val="000000"/>
                      <w:sz w:val="21"/>
                      <w:szCs w:val="21"/>
                    </w:rPr>
                    <w:t>/a，</w:t>
                  </w:r>
                  <w:r>
                    <w:rPr>
                      <w:rFonts w:ascii="Times New Roman" w:hAnsi="Times New Roman" w:eastAsia="仿宋_GB2312" w:cs="Times New Roman"/>
                      <w:snapToGrid w:val="0"/>
                      <w:color w:val="000000"/>
                      <w:sz w:val="21"/>
                      <w:szCs w:val="21"/>
                    </w:rPr>
                    <w:t>精制盐100万t/a</w:t>
                  </w:r>
                  <w:r>
                    <w:rPr>
                      <w:rFonts w:hint="eastAsia" w:ascii="Times New Roman" w:hAnsi="Times New Roman" w:eastAsia="仿宋_GB2312" w:cs="Times New Roman"/>
                      <w:snapToGrid w:val="0"/>
                      <w:color w:val="000000"/>
                      <w:sz w:val="21"/>
                      <w:szCs w:val="21"/>
                    </w:rPr>
                    <w:t>，</w:t>
                  </w:r>
                  <w:r>
                    <w:rPr>
                      <w:rFonts w:ascii="Times New Roman" w:hAnsi="Times New Roman" w:eastAsia="仿宋_GB2312" w:cs="Times New Roman"/>
                      <w:snapToGrid w:val="0"/>
                      <w:color w:val="000000"/>
                      <w:sz w:val="21"/>
                      <w:szCs w:val="21"/>
                    </w:rPr>
                    <w:t>芒硝5万t/a</w:t>
                  </w:r>
                </w:p>
              </w:tc>
              <w:tc>
                <w:tcPr>
                  <w:tcW w:w="919" w:type="pct"/>
                  <w:vAlign w:val="center"/>
                </w:tcPr>
                <w:p w14:paraId="54DF86C0">
                  <w:pPr>
                    <w:pStyle w:val="69"/>
                    <w:autoSpaceDE w:val="0"/>
                    <w:autoSpaceDN w:val="0"/>
                    <w:adjustRightInd w:val="0"/>
                    <w:snapToGrid w:val="0"/>
                    <w:jc w:val="center"/>
                    <w:rPr>
                      <w:rFonts w:ascii="Times New Roman" w:hAnsi="Times New Roman" w:eastAsia="仿宋_GB2312" w:cs="Times New Roman"/>
                      <w:snapToGrid w:val="0"/>
                      <w:color w:val="000000"/>
                      <w:sz w:val="21"/>
                      <w:szCs w:val="21"/>
                    </w:rPr>
                  </w:pPr>
                  <w:r>
                    <w:rPr>
                      <w:rFonts w:ascii="Times New Roman" w:hAnsi="Times New Roman" w:eastAsia="仿宋_GB2312" w:cs="Times New Roman"/>
                      <w:snapToGrid w:val="0"/>
                      <w:color w:val="000000"/>
                      <w:sz w:val="21"/>
                      <w:szCs w:val="21"/>
                    </w:rPr>
                    <w:t>苏环管[2005]142 号</w:t>
                  </w:r>
                </w:p>
              </w:tc>
              <w:tc>
                <w:tcPr>
                  <w:tcW w:w="659" w:type="pct"/>
                  <w:vAlign w:val="center"/>
                </w:tcPr>
                <w:p w14:paraId="3ED03895">
                  <w:pPr>
                    <w:adjustRightInd w:val="0"/>
                    <w:snapToGrid w:val="0"/>
                    <w:jc w:val="center"/>
                    <w:rPr>
                      <w:rFonts w:eastAsia="仿宋_GB2312"/>
                      <w:color w:val="000000"/>
                      <w:kern w:val="0"/>
                      <w:sz w:val="21"/>
                      <w:szCs w:val="21"/>
                    </w:rPr>
                  </w:pPr>
                  <w:r>
                    <w:rPr>
                      <w:rFonts w:eastAsia="仿宋_GB2312"/>
                      <w:snapToGrid w:val="0"/>
                      <w:color w:val="000000"/>
                      <w:sz w:val="21"/>
                      <w:szCs w:val="21"/>
                    </w:rPr>
                    <w:t>2005.5.13</w:t>
                  </w:r>
                </w:p>
              </w:tc>
              <w:tc>
                <w:tcPr>
                  <w:tcW w:w="914" w:type="pct"/>
                  <w:vAlign w:val="center"/>
                </w:tcPr>
                <w:p w14:paraId="4203B859">
                  <w:pPr>
                    <w:pStyle w:val="69"/>
                    <w:autoSpaceDE w:val="0"/>
                    <w:autoSpaceDN w:val="0"/>
                    <w:adjustRightInd w:val="0"/>
                    <w:snapToGrid w:val="0"/>
                    <w:jc w:val="center"/>
                    <w:rPr>
                      <w:rFonts w:ascii="Times New Roman" w:hAnsi="Times New Roman" w:eastAsia="仿宋_GB2312" w:cs="Times New Roman"/>
                      <w:snapToGrid w:val="0"/>
                      <w:color w:val="000000"/>
                      <w:sz w:val="21"/>
                      <w:szCs w:val="21"/>
                    </w:rPr>
                  </w:pPr>
                  <w:r>
                    <w:rPr>
                      <w:rFonts w:ascii="Times New Roman" w:hAnsi="Times New Roman" w:eastAsia="仿宋_GB2312" w:cs="Times New Roman"/>
                      <w:snapToGrid w:val="0"/>
                      <w:color w:val="000000"/>
                      <w:sz w:val="21"/>
                      <w:szCs w:val="21"/>
                    </w:rPr>
                    <w:t>苏环验[2012]89号</w:t>
                  </w:r>
                </w:p>
                <w:p w14:paraId="6A745567">
                  <w:pPr>
                    <w:pStyle w:val="69"/>
                    <w:autoSpaceDE w:val="0"/>
                    <w:autoSpaceDN w:val="0"/>
                    <w:adjustRightInd w:val="0"/>
                    <w:snapToGrid w:val="0"/>
                    <w:jc w:val="center"/>
                    <w:rPr>
                      <w:rFonts w:ascii="Times New Roman" w:hAnsi="Times New Roman" w:eastAsia="仿宋_GB2312" w:cs="Times New Roman"/>
                      <w:snapToGrid w:val="0"/>
                      <w:color w:val="000000"/>
                      <w:sz w:val="21"/>
                      <w:szCs w:val="21"/>
                    </w:rPr>
                  </w:pPr>
                  <w:r>
                    <w:rPr>
                      <w:rFonts w:ascii="Times New Roman" w:hAnsi="Times New Roman" w:eastAsia="仿宋_GB2312" w:cs="Times New Roman"/>
                      <w:snapToGrid w:val="0"/>
                      <w:color w:val="000000"/>
                      <w:sz w:val="21"/>
                      <w:szCs w:val="21"/>
                    </w:rPr>
                    <w:t>2012.9.25</w:t>
                  </w:r>
                </w:p>
              </w:tc>
              <w:tc>
                <w:tcPr>
                  <w:tcW w:w="610" w:type="pct"/>
                  <w:vAlign w:val="center"/>
                </w:tcPr>
                <w:p w14:paraId="746D0093">
                  <w:pPr>
                    <w:adjustRightInd w:val="0"/>
                    <w:snapToGrid w:val="0"/>
                    <w:jc w:val="center"/>
                    <w:rPr>
                      <w:rFonts w:eastAsia="仿宋_GB2312"/>
                      <w:color w:val="000000"/>
                      <w:kern w:val="0"/>
                      <w:sz w:val="21"/>
                      <w:szCs w:val="21"/>
                    </w:rPr>
                  </w:pPr>
                  <w:r>
                    <w:rPr>
                      <w:rFonts w:eastAsia="仿宋_GB2312"/>
                      <w:color w:val="000000"/>
                      <w:kern w:val="0"/>
                      <w:sz w:val="21"/>
                      <w:szCs w:val="21"/>
                    </w:rPr>
                    <w:t>已生产</w:t>
                  </w:r>
                </w:p>
              </w:tc>
              <w:tc>
                <w:tcPr>
                  <w:tcW w:w="246" w:type="pct"/>
                  <w:vMerge w:val="continue"/>
                  <w:vAlign w:val="center"/>
                </w:tcPr>
                <w:p w14:paraId="4CBDBEA7">
                  <w:pPr>
                    <w:adjustRightInd w:val="0"/>
                    <w:snapToGrid w:val="0"/>
                    <w:jc w:val="center"/>
                    <w:rPr>
                      <w:rFonts w:eastAsia="仿宋_GB2312"/>
                      <w:color w:val="000000"/>
                      <w:kern w:val="0"/>
                      <w:sz w:val="21"/>
                      <w:szCs w:val="21"/>
                    </w:rPr>
                  </w:pPr>
                </w:p>
              </w:tc>
            </w:tr>
            <w:tr w14:paraId="452153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2" w:type="pct"/>
                  <w:vAlign w:val="center"/>
                </w:tcPr>
                <w:p w14:paraId="0B704CF4">
                  <w:pPr>
                    <w:pStyle w:val="69"/>
                    <w:autoSpaceDE w:val="0"/>
                    <w:autoSpaceDN w:val="0"/>
                    <w:adjustRightInd w:val="0"/>
                    <w:snapToGrid w:val="0"/>
                    <w:jc w:val="center"/>
                    <w:rPr>
                      <w:rFonts w:ascii="Times New Roman" w:hAnsi="Times New Roman" w:eastAsia="仿宋_GB2312" w:cs="Times New Roman"/>
                      <w:snapToGrid w:val="0"/>
                      <w:color w:val="000000"/>
                      <w:sz w:val="21"/>
                      <w:szCs w:val="21"/>
                    </w:rPr>
                  </w:pPr>
                  <w:r>
                    <w:rPr>
                      <w:rFonts w:ascii="Times New Roman" w:hAnsi="Times New Roman" w:eastAsia="仿宋_GB2312" w:cs="Times New Roman"/>
                      <w:snapToGrid w:val="0"/>
                      <w:color w:val="000000"/>
                      <w:sz w:val="21"/>
                      <w:szCs w:val="21"/>
                    </w:rPr>
                    <w:t>20万t/a精制盐包装生产线</w:t>
                  </w:r>
                </w:p>
              </w:tc>
              <w:tc>
                <w:tcPr>
                  <w:tcW w:w="1077" w:type="pct"/>
                  <w:vAlign w:val="center"/>
                </w:tcPr>
                <w:p w14:paraId="075DA23C">
                  <w:pPr>
                    <w:pStyle w:val="69"/>
                    <w:autoSpaceDE w:val="0"/>
                    <w:autoSpaceDN w:val="0"/>
                    <w:adjustRightInd w:val="0"/>
                    <w:snapToGrid w:val="0"/>
                    <w:jc w:val="center"/>
                    <w:rPr>
                      <w:rFonts w:ascii="Times New Roman" w:hAnsi="Times New Roman" w:eastAsia="仿宋_GB2312" w:cs="Times New Roman"/>
                      <w:snapToGrid w:val="0"/>
                      <w:color w:val="000000"/>
                      <w:sz w:val="21"/>
                      <w:szCs w:val="21"/>
                    </w:rPr>
                  </w:pPr>
                  <w:r>
                    <w:rPr>
                      <w:rFonts w:ascii="Times New Roman" w:hAnsi="Times New Roman" w:eastAsia="仿宋_GB2312" w:cs="Times New Roman"/>
                      <w:snapToGrid w:val="0"/>
                      <w:color w:val="000000"/>
                      <w:sz w:val="21"/>
                      <w:szCs w:val="21"/>
                    </w:rPr>
                    <w:t>20万t/a精制盐包装</w:t>
                  </w:r>
                </w:p>
              </w:tc>
              <w:tc>
                <w:tcPr>
                  <w:tcW w:w="919" w:type="pct"/>
                  <w:vAlign w:val="center"/>
                </w:tcPr>
                <w:p w14:paraId="253840F2">
                  <w:pPr>
                    <w:pStyle w:val="69"/>
                    <w:autoSpaceDE w:val="0"/>
                    <w:autoSpaceDN w:val="0"/>
                    <w:adjustRightInd w:val="0"/>
                    <w:snapToGrid w:val="0"/>
                    <w:jc w:val="center"/>
                    <w:rPr>
                      <w:rFonts w:ascii="Times New Roman" w:hAnsi="Times New Roman" w:eastAsia="仿宋_GB2312" w:cs="Times New Roman"/>
                      <w:snapToGrid w:val="0"/>
                      <w:color w:val="000000"/>
                      <w:sz w:val="21"/>
                      <w:szCs w:val="21"/>
                    </w:rPr>
                  </w:pPr>
                  <w:r>
                    <w:rPr>
                      <w:rFonts w:ascii="Times New Roman" w:hAnsi="Times New Roman" w:eastAsia="仿宋_GB2312" w:cs="Times New Roman"/>
                      <w:snapToGrid w:val="0"/>
                      <w:color w:val="000000"/>
                      <w:sz w:val="21"/>
                      <w:szCs w:val="21"/>
                    </w:rPr>
                    <w:t>/</w:t>
                  </w:r>
                </w:p>
              </w:tc>
              <w:tc>
                <w:tcPr>
                  <w:tcW w:w="659" w:type="pct"/>
                  <w:vAlign w:val="center"/>
                </w:tcPr>
                <w:p w14:paraId="79D4BCA0">
                  <w:pPr>
                    <w:adjustRightInd w:val="0"/>
                    <w:snapToGrid w:val="0"/>
                    <w:jc w:val="center"/>
                    <w:rPr>
                      <w:rFonts w:eastAsia="仿宋_GB2312"/>
                      <w:color w:val="000000"/>
                      <w:kern w:val="0"/>
                      <w:sz w:val="21"/>
                      <w:szCs w:val="21"/>
                    </w:rPr>
                  </w:pPr>
                  <w:r>
                    <w:rPr>
                      <w:rFonts w:eastAsia="仿宋_GB2312"/>
                      <w:snapToGrid w:val="0"/>
                      <w:color w:val="000000"/>
                      <w:sz w:val="21"/>
                      <w:szCs w:val="21"/>
                    </w:rPr>
                    <w:t>2006.10.10</w:t>
                  </w:r>
                </w:p>
              </w:tc>
              <w:tc>
                <w:tcPr>
                  <w:tcW w:w="914" w:type="pct"/>
                  <w:vAlign w:val="center"/>
                </w:tcPr>
                <w:p w14:paraId="141ECC20">
                  <w:pPr>
                    <w:pStyle w:val="69"/>
                    <w:autoSpaceDE w:val="0"/>
                    <w:autoSpaceDN w:val="0"/>
                    <w:adjustRightInd w:val="0"/>
                    <w:snapToGrid w:val="0"/>
                    <w:jc w:val="center"/>
                    <w:rPr>
                      <w:rFonts w:ascii="Times New Roman" w:hAnsi="Times New Roman" w:eastAsia="仿宋_GB2312" w:cs="Times New Roman"/>
                      <w:snapToGrid w:val="0"/>
                      <w:color w:val="000000"/>
                      <w:sz w:val="21"/>
                      <w:szCs w:val="21"/>
                    </w:rPr>
                  </w:pPr>
                  <w:r>
                    <w:rPr>
                      <w:rFonts w:ascii="Times New Roman" w:hAnsi="Times New Roman" w:eastAsia="仿宋_GB2312" w:cs="Times New Roman"/>
                      <w:snapToGrid w:val="0"/>
                      <w:color w:val="000000"/>
                      <w:sz w:val="21"/>
                      <w:szCs w:val="21"/>
                    </w:rPr>
                    <w:t>2009Y0422009</w:t>
                  </w:r>
                  <w:r>
                    <w:rPr>
                      <w:rFonts w:hint="eastAsia" w:ascii="Times New Roman" w:hAnsi="Times New Roman" w:eastAsia="仿宋_GB2312" w:cs="Times New Roman"/>
                      <w:snapToGrid w:val="0"/>
                      <w:color w:val="000000"/>
                      <w:sz w:val="21"/>
                      <w:szCs w:val="21"/>
                    </w:rPr>
                    <w:t>.10.14</w:t>
                  </w:r>
                </w:p>
              </w:tc>
              <w:tc>
                <w:tcPr>
                  <w:tcW w:w="610" w:type="pct"/>
                  <w:vAlign w:val="center"/>
                </w:tcPr>
                <w:p w14:paraId="7BBFA50E">
                  <w:pPr>
                    <w:adjustRightInd w:val="0"/>
                    <w:snapToGrid w:val="0"/>
                    <w:jc w:val="center"/>
                    <w:rPr>
                      <w:rFonts w:eastAsia="仿宋_GB2312"/>
                      <w:color w:val="000000"/>
                      <w:kern w:val="0"/>
                      <w:sz w:val="21"/>
                      <w:szCs w:val="21"/>
                    </w:rPr>
                  </w:pPr>
                  <w:r>
                    <w:rPr>
                      <w:rFonts w:eastAsia="仿宋_GB2312"/>
                      <w:color w:val="000000"/>
                      <w:kern w:val="0"/>
                      <w:sz w:val="21"/>
                      <w:szCs w:val="21"/>
                    </w:rPr>
                    <w:t>已生产</w:t>
                  </w:r>
                  <w:r>
                    <w:rPr>
                      <w:rFonts w:hint="eastAsia" w:eastAsia="仿宋_GB2312"/>
                      <w:color w:val="000000"/>
                      <w:kern w:val="0"/>
                      <w:sz w:val="21"/>
                      <w:szCs w:val="21"/>
                      <w:lang w:eastAsia="zh-CN"/>
                    </w:rPr>
                    <w:t>（</w:t>
                  </w:r>
                  <w:r>
                    <w:rPr>
                      <w:rFonts w:hint="eastAsia" w:eastAsia="仿宋_GB2312"/>
                      <w:color w:val="000000"/>
                      <w:kern w:val="0"/>
                      <w:sz w:val="21"/>
                      <w:szCs w:val="21"/>
                      <w:lang w:val="en-US" w:eastAsia="zh-CN"/>
                    </w:rPr>
                    <w:t>2016年自查评估纳入全厂产能</w:t>
                  </w:r>
                  <w:r>
                    <w:rPr>
                      <w:rFonts w:hint="eastAsia" w:eastAsia="仿宋_GB2312"/>
                      <w:color w:val="000000"/>
                      <w:kern w:val="0"/>
                      <w:sz w:val="21"/>
                      <w:szCs w:val="21"/>
                      <w:lang w:eastAsia="zh-CN"/>
                    </w:rPr>
                    <w:t>）</w:t>
                  </w:r>
                </w:p>
              </w:tc>
              <w:tc>
                <w:tcPr>
                  <w:tcW w:w="246" w:type="pct"/>
                  <w:vMerge w:val="continue"/>
                  <w:vAlign w:val="center"/>
                </w:tcPr>
                <w:p w14:paraId="44C57AE9">
                  <w:pPr>
                    <w:adjustRightInd w:val="0"/>
                    <w:snapToGrid w:val="0"/>
                    <w:jc w:val="center"/>
                    <w:rPr>
                      <w:rFonts w:eastAsia="仿宋_GB2312"/>
                      <w:color w:val="000000"/>
                      <w:kern w:val="0"/>
                      <w:sz w:val="21"/>
                      <w:szCs w:val="21"/>
                    </w:rPr>
                  </w:pPr>
                </w:p>
              </w:tc>
            </w:tr>
            <w:tr w14:paraId="2072E7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2" w:type="pct"/>
                  <w:vAlign w:val="center"/>
                </w:tcPr>
                <w:p w14:paraId="114A28B0">
                  <w:pPr>
                    <w:pStyle w:val="69"/>
                    <w:autoSpaceDE w:val="0"/>
                    <w:autoSpaceDN w:val="0"/>
                    <w:adjustRightInd w:val="0"/>
                    <w:snapToGrid w:val="0"/>
                    <w:jc w:val="center"/>
                    <w:rPr>
                      <w:rFonts w:ascii="Times New Roman" w:hAnsi="Times New Roman" w:eastAsia="仿宋_GB2312" w:cs="Times New Roman"/>
                      <w:snapToGrid w:val="0"/>
                      <w:color w:val="000000"/>
                      <w:sz w:val="21"/>
                      <w:szCs w:val="21"/>
                    </w:rPr>
                  </w:pPr>
                  <w:r>
                    <w:rPr>
                      <w:rFonts w:hint="eastAsia" w:ascii="Times New Roman" w:hAnsi="Times New Roman" w:eastAsia="仿宋_GB2312" w:cs="Times New Roman"/>
                      <w:snapToGrid w:val="0"/>
                      <w:color w:val="000000"/>
                      <w:sz w:val="21"/>
                      <w:szCs w:val="21"/>
                    </w:rPr>
                    <w:t>中盐金坛盐化有限责任公司卤水净化技术改造工程项目</w:t>
                  </w:r>
                </w:p>
              </w:tc>
              <w:tc>
                <w:tcPr>
                  <w:tcW w:w="1077" w:type="pct"/>
                  <w:vAlign w:val="center"/>
                </w:tcPr>
                <w:p w14:paraId="51E7D8EA">
                  <w:pPr>
                    <w:pStyle w:val="69"/>
                    <w:autoSpaceDE w:val="0"/>
                    <w:autoSpaceDN w:val="0"/>
                    <w:adjustRightInd w:val="0"/>
                    <w:snapToGrid w:val="0"/>
                    <w:jc w:val="center"/>
                    <w:rPr>
                      <w:rFonts w:ascii="Times New Roman" w:hAnsi="Times New Roman" w:eastAsia="仿宋_GB2312" w:cs="Times New Roman"/>
                      <w:snapToGrid w:val="0"/>
                      <w:color w:val="000000"/>
                      <w:sz w:val="21"/>
                      <w:szCs w:val="21"/>
                    </w:rPr>
                  </w:pPr>
                  <w:r>
                    <w:rPr>
                      <w:rFonts w:hint="eastAsia" w:ascii="Times New Roman" w:hAnsi="Times New Roman" w:eastAsia="仿宋_GB2312" w:cs="Times New Roman"/>
                      <w:snapToGrid w:val="0"/>
                      <w:color w:val="000000"/>
                      <w:sz w:val="21"/>
                      <w:szCs w:val="21"/>
                    </w:rPr>
                    <w:t>对</w:t>
                  </w:r>
                  <w:r>
                    <w:rPr>
                      <w:rFonts w:hint="eastAsia" w:ascii="Times New Roman" w:hAnsi="Times New Roman" w:eastAsia="仿宋_GB2312" w:cs="Times New Roman"/>
                      <w:snapToGrid w:val="0"/>
                      <w:color w:val="000000"/>
                      <w:sz w:val="21"/>
                      <w:szCs w:val="21"/>
                      <w:lang w:val="en-US" w:eastAsia="zh-CN"/>
                    </w:rPr>
                    <w:t>一期、二期</w:t>
                  </w:r>
                  <w:r>
                    <w:rPr>
                      <w:rFonts w:hint="eastAsia" w:ascii="Times New Roman" w:hAnsi="Times New Roman" w:eastAsia="仿宋_GB2312" w:cs="Times New Roman"/>
                      <w:snapToGrid w:val="0"/>
                      <w:color w:val="000000"/>
                      <w:sz w:val="21"/>
                      <w:szCs w:val="21"/>
                    </w:rPr>
                    <w:t>卤水净化系统进行改造，液体盐440万m</w:t>
                  </w:r>
                  <w:r>
                    <w:rPr>
                      <w:rFonts w:hint="eastAsia" w:ascii="Times New Roman" w:hAnsi="Times New Roman" w:eastAsia="仿宋_GB2312" w:cs="Times New Roman"/>
                      <w:snapToGrid w:val="0"/>
                      <w:color w:val="000000"/>
                      <w:sz w:val="21"/>
                      <w:szCs w:val="21"/>
                      <w:vertAlign w:val="superscript"/>
                    </w:rPr>
                    <w:t>3</w:t>
                  </w:r>
                  <w:r>
                    <w:rPr>
                      <w:rFonts w:hint="eastAsia" w:ascii="Times New Roman" w:hAnsi="Times New Roman" w:eastAsia="仿宋_GB2312" w:cs="Times New Roman"/>
                      <w:snapToGrid w:val="0"/>
                      <w:color w:val="000000"/>
                      <w:sz w:val="21"/>
                      <w:szCs w:val="21"/>
                    </w:rPr>
                    <w:t>/a</w:t>
                  </w:r>
                </w:p>
              </w:tc>
              <w:tc>
                <w:tcPr>
                  <w:tcW w:w="919" w:type="pct"/>
                  <w:vAlign w:val="center"/>
                </w:tcPr>
                <w:p w14:paraId="3473A5DD">
                  <w:pPr>
                    <w:pStyle w:val="69"/>
                    <w:autoSpaceDE w:val="0"/>
                    <w:autoSpaceDN w:val="0"/>
                    <w:adjustRightInd w:val="0"/>
                    <w:snapToGrid w:val="0"/>
                    <w:jc w:val="center"/>
                    <w:rPr>
                      <w:rFonts w:ascii="Times New Roman" w:hAnsi="Times New Roman" w:eastAsia="仿宋_GB2312" w:cs="Times New Roman"/>
                      <w:snapToGrid w:val="0"/>
                      <w:color w:val="000000"/>
                      <w:sz w:val="21"/>
                      <w:szCs w:val="21"/>
                    </w:rPr>
                  </w:pPr>
                  <w:r>
                    <w:rPr>
                      <w:rFonts w:hint="eastAsia" w:ascii="Times New Roman" w:hAnsi="Times New Roman" w:eastAsia="仿宋_GB2312" w:cs="Times New Roman"/>
                      <w:snapToGrid w:val="0"/>
                      <w:color w:val="000000"/>
                      <w:sz w:val="21"/>
                      <w:szCs w:val="21"/>
                    </w:rPr>
                    <w:t>常环服[2011]4号</w:t>
                  </w:r>
                </w:p>
              </w:tc>
              <w:tc>
                <w:tcPr>
                  <w:tcW w:w="659" w:type="pct"/>
                  <w:vAlign w:val="center"/>
                </w:tcPr>
                <w:p w14:paraId="5636D673">
                  <w:pPr>
                    <w:adjustRightInd w:val="0"/>
                    <w:snapToGrid w:val="0"/>
                    <w:jc w:val="center"/>
                    <w:rPr>
                      <w:rFonts w:eastAsia="仿宋_GB2312"/>
                      <w:snapToGrid w:val="0"/>
                      <w:color w:val="000000"/>
                      <w:sz w:val="21"/>
                      <w:szCs w:val="21"/>
                    </w:rPr>
                  </w:pPr>
                  <w:r>
                    <w:rPr>
                      <w:rFonts w:hint="eastAsia" w:eastAsia="仿宋_GB2312"/>
                      <w:snapToGrid w:val="0"/>
                      <w:color w:val="000000"/>
                      <w:sz w:val="21"/>
                      <w:szCs w:val="21"/>
                    </w:rPr>
                    <w:t>2011.2.17</w:t>
                  </w:r>
                </w:p>
              </w:tc>
              <w:tc>
                <w:tcPr>
                  <w:tcW w:w="914" w:type="pct"/>
                  <w:vAlign w:val="center"/>
                </w:tcPr>
                <w:p w14:paraId="78D8ECB3">
                  <w:pPr>
                    <w:adjustRightInd w:val="0"/>
                    <w:snapToGrid w:val="0"/>
                    <w:jc w:val="center"/>
                    <w:rPr>
                      <w:rFonts w:eastAsia="仿宋_GB2312"/>
                      <w:snapToGrid w:val="0"/>
                      <w:color w:val="000000"/>
                      <w:sz w:val="21"/>
                      <w:szCs w:val="21"/>
                    </w:rPr>
                  </w:pPr>
                  <w:r>
                    <w:rPr>
                      <w:rFonts w:hint="eastAsia" w:eastAsia="仿宋_GB2312"/>
                      <w:snapToGrid w:val="0"/>
                      <w:color w:val="000000"/>
                      <w:sz w:val="21"/>
                      <w:szCs w:val="21"/>
                    </w:rPr>
                    <w:t>阶段验收2024.3.11</w:t>
                  </w:r>
                </w:p>
              </w:tc>
              <w:tc>
                <w:tcPr>
                  <w:tcW w:w="610" w:type="pct"/>
                  <w:vAlign w:val="center"/>
                </w:tcPr>
                <w:p w14:paraId="427549DD">
                  <w:pPr>
                    <w:adjustRightInd w:val="0"/>
                    <w:snapToGrid w:val="0"/>
                    <w:jc w:val="center"/>
                    <w:rPr>
                      <w:rFonts w:hint="default" w:eastAsia="仿宋_GB2312"/>
                      <w:color w:val="000000"/>
                      <w:kern w:val="0"/>
                      <w:sz w:val="21"/>
                      <w:szCs w:val="21"/>
                      <w:lang w:val="en-US" w:eastAsia="zh-CN"/>
                    </w:rPr>
                  </w:pPr>
                  <w:r>
                    <w:rPr>
                      <w:rFonts w:hint="eastAsia" w:eastAsia="仿宋_GB2312"/>
                      <w:color w:val="000000"/>
                      <w:kern w:val="0"/>
                      <w:sz w:val="21"/>
                      <w:szCs w:val="21"/>
                      <w:lang w:val="en-US" w:eastAsia="zh-CN"/>
                    </w:rPr>
                    <w:t>一期</w:t>
                  </w:r>
                  <w:r>
                    <w:rPr>
                      <w:rFonts w:hint="eastAsia" w:ascii="Times New Roman" w:hAnsi="Times New Roman" w:eastAsia="仿宋_GB2312" w:cs="Times New Roman"/>
                      <w:snapToGrid w:val="0"/>
                      <w:color w:val="000000"/>
                      <w:sz w:val="21"/>
                      <w:szCs w:val="21"/>
                    </w:rPr>
                    <w:t>卤水净化系统</w:t>
                  </w:r>
                  <w:r>
                    <w:rPr>
                      <w:rFonts w:hint="eastAsia" w:eastAsia="仿宋_GB2312"/>
                      <w:color w:val="000000"/>
                      <w:kern w:val="0"/>
                      <w:sz w:val="21"/>
                      <w:szCs w:val="21"/>
                      <w:lang w:val="en-US" w:eastAsia="zh-CN"/>
                    </w:rPr>
                    <w:t>完成</w:t>
                  </w:r>
                  <w:r>
                    <w:rPr>
                      <w:rFonts w:hint="eastAsia" w:eastAsia="仿宋_GB2312"/>
                      <w:color w:val="000000"/>
                      <w:kern w:val="0"/>
                      <w:sz w:val="21"/>
                      <w:szCs w:val="21"/>
                    </w:rPr>
                    <w:t>验收</w:t>
                  </w:r>
                  <w:r>
                    <w:rPr>
                      <w:rFonts w:hint="eastAsia" w:eastAsia="仿宋_GB2312" w:cs="Times New Roman"/>
                      <w:snapToGrid w:val="0"/>
                      <w:color w:val="000000"/>
                      <w:sz w:val="21"/>
                      <w:szCs w:val="21"/>
                      <w:lang w:eastAsia="zh-CN"/>
                    </w:rPr>
                    <w:t>，</w:t>
                  </w:r>
                  <w:r>
                    <w:rPr>
                      <w:rFonts w:hint="eastAsia" w:eastAsia="仿宋_GB2312" w:cs="Times New Roman"/>
                      <w:snapToGrid w:val="0"/>
                      <w:color w:val="000000"/>
                      <w:sz w:val="21"/>
                      <w:szCs w:val="21"/>
                      <w:lang w:val="en-US" w:eastAsia="zh-CN"/>
                    </w:rPr>
                    <w:t>二期</w:t>
                  </w:r>
                  <w:r>
                    <w:rPr>
                      <w:rFonts w:hint="eastAsia" w:ascii="Times New Roman" w:hAnsi="Times New Roman" w:eastAsia="仿宋_GB2312" w:cs="Times New Roman"/>
                      <w:snapToGrid w:val="0"/>
                      <w:color w:val="000000"/>
                      <w:sz w:val="21"/>
                      <w:szCs w:val="21"/>
                    </w:rPr>
                    <w:t>卤水净化系统</w:t>
                  </w:r>
                  <w:r>
                    <w:rPr>
                      <w:rFonts w:hint="eastAsia" w:eastAsia="仿宋_GB2312" w:cs="Times New Roman"/>
                      <w:snapToGrid w:val="0"/>
                      <w:color w:val="000000"/>
                      <w:sz w:val="21"/>
                      <w:szCs w:val="21"/>
                      <w:lang w:val="en-US" w:eastAsia="zh-CN"/>
                    </w:rPr>
                    <w:t>未改造，液体盐项目未上</w:t>
                  </w:r>
                </w:p>
              </w:tc>
              <w:tc>
                <w:tcPr>
                  <w:tcW w:w="246" w:type="pct"/>
                  <w:vMerge w:val="continue"/>
                  <w:vAlign w:val="center"/>
                </w:tcPr>
                <w:p w14:paraId="440D5422">
                  <w:pPr>
                    <w:adjustRightInd w:val="0"/>
                    <w:snapToGrid w:val="0"/>
                    <w:jc w:val="center"/>
                    <w:rPr>
                      <w:rFonts w:eastAsia="仿宋_GB2312"/>
                      <w:color w:val="000000"/>
                      <w:kern w:val="0"/>
                      <w:sz w:val="21"/>
                      <w:szCs w:val="21"/>
                    </w:rPr>
                  </w:pPr>
                </w:p>
              </w:tc>
            </w:tr>
            <w:tr w14:paraId="61931B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2" w:type="pct"/>
                  <w:vAlign w:val="center"/>
                </w:tcPr>
                <w:p w14:paraId="3F202960">
                  <w:pPr>
                    <w:pStyle w:val="69"/>
                    <w:autoSpaceDE w:val="0"/>
                    <w:autoSpaceDN w:val="0"/>
                    <w:adjustRightInd w:val="0"/>
                    <w:snapToGrid w:val="0"/>
                    <w:jc w:val="center"/>
                    <w:rPr>
                      <w:rFonts w:ascii="Times New Roman" w:hAnsi="Times New Roman" w:eastAsia="仿宋_GB2312" w:cs="Times New Roman"/>
                      <w:snapToGrid w:val="0"/>
                      <w:color w:val="000000"/>
                      <w:sz w:val="21"/>
                      <w:szCs w:val="21"/>
                    </w:rPr>
                  </w:pPr>
                  <w:r>
                    <w:rPr>
                      <w:rFonts w:ascii="Times New Roman" w:hAnsi="Times New Roman" w:eastAsia="仿宋_GB2312" w:cs="Times New Roman"/>
                      <w:snapToGrid w:val="0"/>
                      <w:color w:val="000000"/>
                      <w:sz w:val="21"/>
                      <w:szCs w:val="21"/>
                    </w:rPr>
                    <w:t>中盐金坛盐化有限责任公司110kV输变电工程</w:t>
                  </w:r>
                </w:p>
              </w:tc>
              <w:tc>
                <w:tcPr>
                  <w:tcW w:w="1077" w:type="pct"/>
                  <w:vAlign w:val="center"/>
                </w:tcPr>
                <w:p w14:paraId="05BEA35F">
                  <w:pPr>
                    <w:pStyle w:val="69"/>
                    <w:autoSpaceDE w:val="0"/>
                    <w:autoSpaceDN w:val="0"/>
                    <w:adjustRightInd w:val="0"/>
                    <w:snapToGrid w:val="0"/>
                    <w:jc w:val="center"/>
                    <w:rPr>
                      <w:rFonts w:ascii="Times New Roman" w:hAnsi="Times New Roman" w:eastAsia="仿宋_GB2312" w:cs="Times New Roman"/>
                      <w:snapToGrid w:val="0"/>
                      <w:color w:val="000000"/>
                      <w:sz w:val="21"/>
                      <w:szCs w:val="21"/>
                    </w:rPr>
                  </w:pPr>
                  <w:r>
                    <w:rPr>
                      <w:rFonts w:ascii="Times New Roman" w:hAnsi="Times New Roman" w:eastAsia="仿宋_GB2312" w:cs="Times New Roman"/>
                      <w:snapToGrid w:val="0"/>
                      <w:color w:val="000000"/>
                      <w:sz w:val="21"/>
                      <w:szCs w:val="21"/>
                    </w:rPr>
                    <w:t>新建110kV厂用变电站（户内型）一座，110kV主变压器一台，主变容量31.5MVA；新建110kV线路一回，地下电缆布设，从变电站北侧110kV茅电7822线52号塔接入中盐变。线路长约30m。</w:t>
                  </w:r>
                </w:p>
              </w:tc>
              <w:tc>
                <w:tcPr>
                  <w:tcW w:w="919" w:type="pct"/>
                  <w:vAlign w:val="center"/>
                </w:tcPr>
                <w:p w14:paraId="03819A3C">
                  <w:pPr>
                    <w:pStyle w:val="69"/>
                    <w:autoSpaceDE w:val="0"/>
                    <w:autoSpaceDN w:val="0"/>
                    <w:adjustRightInd w:val="0"/>
                    <w:snapToGrid w:val="0"/>
                    <w:jc w:val="center"/>
                    <w:rPr>
                      <w:rFonts w:ascii="Times New Roman" w:hAnsi="Times New Roman" w:eastAsia="仿宋_GB2312" w:cs="Times New Roman"/>
                      <w:snapToGrid w:val="0"/>
                      <w:color w:val="000000"/>
                      <w:sz w:val="21"/>
                      <w:szCs w:val="21"/>
                    </w:rPr>
                  </w:pPr>
                  <w:r>
                    <w:rPr>
                      <w:rFonts w:hint="eastAsia" w:ascii="Times New Roman" w:hAnsi="Times New Roman" w:eastAsia="仿宋_GB2312" w:cs="Times New Roman"/>
                      <w:snapToGrid w:val="0"/>
                      <w:color w:val="000000"/>
                      <w:sz w:val="21"/>
                      <w:szCs w:val="21"/>
                    </w:rPr>
                    <w:t>常环核审[2016]51号</w:t>
                  </w:r>
                </w:p>
              </w:tc>
              <w:tc>
                <w:tcPr>
                  <w:tcW w:w="659" w:type="pct"/>
                  <w:vAlign w:val="center"/>
                </w:tcPr>
                <w:p w14:paraId="297D2962">
                  <w:pPr>
                    <w:adjustRightInd w:val="0"/>
                    <w:snapToGrid w:val="0"/>
                    <w:jc w:val="center"/>
                    <w:rPr>
                      <w:rFonts w:eastAsia="仿宋_GB2312"/>
                      <w:snapToGrid w:val="0"/>
                      <w:color w:val="000000"/>
                      <w:sz w:val="21"/>
                      <w:szCs w:val="21"/>
                    </w:rPr>
                  </w:pPr>
                  <w:r>
                    <w:rPr>
                      <w:rFonts w:hint="eastAsia" w:eastAsia="仿宋_GB2312"/>
                      <w:snapToGrid w:val="0"/>
                      <w:color w:val="000000"/>
                      <w:sz w:val="21"/>
                      <w:szCs w:val="21"/>
                    </w:rPr>
                    <w:t>2016.6.13</w:t>
                  </w:r>
                </w:p>
              </w:tc>
              <w:tc>
                <w:tcPr>
                  <w:tcW w:w="914" w:type="pct"/>
                  <w:vAlign w:val="center"/>
                </w:tcPr>
                <w:p w14:paraId="2214830C">
                  <w:pPr>
                    <w:pStyle w:val="69"/>
                    <w:autoSpaceDE w:val="0"/>
                    <w:autoSpaceDN w:val="0"/>
                    <w:adjustRightInd w:val="0"/>
                    <w:snapToGrid w:val="0"/>
                    <w:jc w:val="center"/>
                    <w:rPr>
                      <w:rFonts w:ascii="Times New Roman" w:hAnsi="Times New Roman" w:eastAsia="仿宋_GB2312" w:cs="Times New Roman"/>
                      <w:snapToGrid w:val="0"/>
                      <w:color w:val="000000"/>
                      <w:sz w:val="21"/>
                      <w:szCs w:val="21"/>
                    </w:rPr>
                  </w:pPr>
                  <w:r>
                    <w:rPr>
                      <w:rFonts w:hint="eastAsia" w:ascii="Times New Roman" w:hAnsi="Times New Roman" w:eastAsia="仿宋_GB2312" w:cs="Times New Roman"/>
                      <w:snapToGrid w:val="0"/>
                      <w:color w:val="000000"/>
                      <w:sz w:val="21"/>
                      <w:szCs w:val="21"/>
                    </w:rPr>
                    <w:t>2017.12.4</w:t>
                  </w:r>
                </w:p>
              </w:tc>
              <w:tc>
                <w:tcPr>
                  <w:tcW w:w="610" w:type="pct"/>
                  <w:vAlign w:val="center"/>
                </w:tcPr>
                <w:p w14:paraId="5E64EA04">
                  <w:pPr>
                    <w:adjustRightInd w:val="0"/>
                    <w:snapToGrid w:val="0"/>
                    <w:jc w:val="center"/>
                    <w:rPr>
                      <w:rFonts w:eastAsia="仿宋_GB2312"/>
                      <w:color w:val="000000"/>
                      <w:kern w:val="0"/>
                      <w:sz w:val="21"/>
                      <w:szCs w:val="21"/>
                    </w:rPr>
                  </w:pPr>
                  <w:r>
                    <w:rPr>
                      <w:rFonts w:hint="eastAsia" w:eastAsia="仿宋_GB2312"/>
                      <w:color w:val="000000"/>
                      <w:kern w:val="0"/>
                      <w:sz w:val="21"/>
                      <w:szCs w:val="21"/>
                    </w:rPr>
                    <w:t>已投产</w:t>
                  </w:r>
                </w:p>
              </w:tc>
              <w:tc>
                <w:tcPr>
                  <w:tcW w:w="246" w:type="pct"/>
                  <w:vMerge w:val="continue"/>
                  <w:vAlign w:val="center"/>
                </w:tcPr>
                <w:p w14:paraId="5B640987">
                  <w:pPr>
                    <w:adjustRightInd w:val="0"/>
                    <w:snapToGrid w:val="0"/>
                    <w:jc w:val="center"/>
                    <w:rPr>
                      <w:rFonts w:eastAsia="仿宋_GB2312"/>
                      <w:color w:val="000000"/>
                      <w:kern w:val="0"/>
                      <w:sz w:val="21"/>
                      <w:szCs w:val="21"/>
                    </w:rPr>
                  </w:pPr>
                </w:p>
              </w:tc>
            </w:tr>
            <w:tr w14:paraId="0D9A2F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2" w:type="pct"/>
                  <w:vAlign w:val="center"/>
                </w:tcPr>
                <w:p w14:paraId="32386B1F">
                  <w:pPr>
                    <w:pStyle w:val="69"/>
                    <w:autoSpaceDE w:val="0"/>
                    <w:autoSpaceDN w:val="0"/>
                    <w:adjustRightInd w:val="0"/>
                    <w:snapToGrid w:val="0"/>
                    <w:jc w:val="center"/>
                    <w:rPr>
                      <w:rFonts w:ascii="Times New Roman" w:hAnsi="Times New Roman" w:eastAsia="仿宋_GB2312" w:cs="Times New Roman"/>
                      <w:snapToGrid w:val="0"/>
                      <w:color w:val="000000"/>
                      <w:sz w:val="21"/>
                      <w:szCs w:val="21"/>
                    </w:rPr>
                  </w:pPr>
                  <w:r>
                    <w:rPr>
                      <w:rFonts w:ascii="Times New Roman" w:hAnsi="Times New Roman" w:eastAsia="仿宋_GB2312" w:cs="Times New Roman"/>
                      <w:snapToGrid w:val="0"/>
                      <w:color w:val="000000"/>
                      <w:sz w:val="21"/>
                      <w:szCs w:val="21"/>
                    </w:rPr>
                    <w:t>100万吨/年精制盐包装</w:t>
                  </w:r>
                </w:p>
              </w:tc>
              <w:tc>
                <w:tcPr>
                  <w:tcW w:w="1077" w:type="pct"/>
                  <w:vAlign w:val="center"/>
                </w:tcPr>
                <w:p w14:paraId="0FB83BB8">
                  <w:pPr>
                    <w:pStyle w:val="69"/>
                    <w:autoSpaceDE w:val="0"/>
                    <w:autoSpaceDN w:val="0"/>
                    <w:adjustRightInd w:val="0"/>
                    <w:snapToGrid w:val="0"/>
                    <w:jc w:val="center"/>
                    <w:rPr>
                      <w:rFonts w:ascii="Times New Roman" w:hAnsi="Times New Roman" w:eastAsia="仿宋_GB2312" w:cs="Times New Roman"/>
                      <w:snapToGrid w:val="0"/>
                      <w:color w:val="000000"/>
                      <w:sz w:val="21"/>
                      <w:szCs w:val="21"/>
                    </w:rPr>
                  </w:pPr>
                  <w:r>
                    <w:rPr>
                      <w:rFonts w:ascii="Times New Roman" w:hAnsi="Times New Roman" w:eastAsia="仿宋_GB2312" w:cs="Times New Roman"/>
                      <w:snapToGrid w:val="0"/>
                      <w:color w:val="000000"/>
                      <w:sz w:val="21"/>
                      <w:szCs w:val="21"/>
                    </w:rPr>
                    <w:t>100万吨/年精制盐包装</w:t>
                  </w:r>
                </w:p>
              </w:tc>
              <w:tc>
                <w:tcPr>
                  <w:tcW w:w="919" w:type="pct"/>
                  <w:vAlign w:val="center"/>
                </w:tcPr>
                <w:p w14:paraId="405EDE9A">
                  <w:pPr>
                    <w:pStyle w:val="69"/>
                    <w:autoSpaceDE w:val="0"/>
                    <w:autoSpaceDN w:val="0"/>
                    <w:adjustRightInd w:val="0"/>
                    <w:snapToGrid w:val="0"/>
                    <w:jc w:val="center"/>
                    <w:rPr>
                      <w:rFonts w:ascii="Times New Roman" w:hAnsi="Times New Roman" w:eastAsia="仿宋_GB2312" w:cs="Times New Roman"/>
                      <w:snapToGrid w:val="0"/>
                      <w:color w:val="000000"/>
                      <w:sz w:val="21"/>
                      <w:szCs w:val="21"/>
                    </w:rPr>
                  </w:pPr>
                  <w:r>
                    <w:rPr>
                      <w:rFonts w:hint="eastAsia" w:ascii="Times New Roman" w:hAnsi="Times New Roman" w:eastAsia="仿宋_GB2312" w:cs="Times New Roman"/>
                      <w:snapToGrid w:val="0"/>
                      <w:color w:val="000000"/>
                      <w:sz w:val="21"/>
                      <w:szCs w:val="21"/>
                    </w:rPr>
                    <w:t>纳入环境保护登记管理建设项目自查评估报告</w:t>
                  </w:r>
                </w:p>
              </w:tc>
              <w:tc>
                <w:tcPr>
                  <w:tcW w:w="659" w:type="pct"/>
                  <w:vAlign w:val="center"/>
                </w:tcPr>
                <w:p w14:paraId="1EB52DBD">
                  <w:pPr>
                    <w:adjustRightInd w:val="0"/>
                    <w:snapToGrid w:val="0"/>
                    <w:jc w:val="center"/>
                    <w:rPr>
                      <w:rFonts w:eastAsia="仿宋_GB2312"/>
                      <w:snapToGrid w:val="0"/>
                      <w:color w:val="000000"/>
                      <w:sz w:val="21"/>
                      <w:szCs w:val="21"/>
                    </w:rPr>
                  </w:pPr>
                  <w:r>
                    <w:rPr>
                      <w:rFonts w:hint="eastAsia" w:eastAsia="仿宋_GB2312"/>
                      <w:snapToGrid w:val="0"/>
                      <w:color w:val="000000"/>
                      <w:sz w:val="21"/>
                      <w:szCs w:val="21"/>
                    </w:rPr>
                    <w:t>2016.7.27</w:t>
                  </w:r>
                </w:p>
              </w:tc>
              <w:tc>
                <w:tcPr>
                  <w:tcW w:w="914" w:type="pct"/>
                  <w:vAlign w:val="center"/>
                </w:tcPr>
                <w:p w14:paraId="36211BF2">
                  <w:pPr>
                    <w:pStyle w:val="69"/>
                    <w:autoSpaceDE w:val="0"/>
                    <w:autoSpaceDN w:val="0"/>
                    <w:adjustRightInd w:val="0"/>
                    <w:snapToGrid w:val="0"/>
                    <w:jc w:val="center"/>
                    <w:rPr>
                      <w:rFonts w:ascii="Times New Roman" w:hAnsi="Times New Roman" w:eastAsia="仿宋_GB2312" w:cs="Times New Roman"/>
                      <w:snapToGrid w:val="0"/>
                      <w:color w:val="000000"/>
                      <w:sz w:val="21"/>
                      <w:szCs w:val="21"/>
                    </w:rPr>
                  </w:pPr>
                  <w:r>
                    <w:rPr>
                      <w:rFonts w:hint="eastAsia" w:ascii="Times New Roman" w:hAnsi="Times New Roman" w:eastAsia="仿宋_GB2312" w:cs="Times New Roman"/>
                      <w:snapToGrid w:val="0"/>
                      <w:color w:val="000000"/>
                      <w:sz w:val="21"/>
                      <w:szCs w:val="21"/>
                    </w:rPr>
                    <w:t>/</w:t>
                  </w:r>
                </w:p>
              </w:tc>
              <w:tc>
                <w:tcPr>
                  <w:tcW w:w="610" w:type="pct"/>
                  <w:vAlign w:val="center"/>
                </w:tcPr>
                <w:p w14:paraId="0636D73E">
                  <w:pPr>
                    <w:adjustRightInd w:val="0"/>
                    <w:snapToGrid w:val="0"/>
                    <w:jc w:val="center"/>
                    <w:rPr>
                      <w:rFonts w:hint="eastAsia" w:eastAsia="仿宋_GB2312"/>
                      <w:color w:val="000000"/>
                      <w:kern w:val="0"/>
                      <w:sz w:val="21"/>
                      <w:szCs w:val="21"/>
                      <w:lang w:eastAsia="zh-CN"/>
                    </w:rPr>
                  </w:pPr>
                  <w:r>
                    <w:rPr>
                      <w:rFonts w:eastAsia="仿宋_GB2312"/>
                      <w:color w:val="000000"/>
                      <w:kern w:val="0"/>
                      <w:sz w:val="21"/>
                      <w:szCs w:val="21"/>
                    </w:rPr>
                    <w:t>已生产</w:t>
                  </w:r>
                  <w:r>
                    <w:rPr>
                      <w:rFonts w:hint="eastAsia" w:eastAsia="仿宋_GB2312"/>
                      <w:color w:val="000000"/>
                      <w:kern w:val="0"/>
                      <w:sz w:val="21"/>
                      <w:szCs w:val="21"/>
                    </w:rPr>
                    <w:t>，全厂精制盐包装共</w:t>
                  </w:r>
                  <w:r>
                    <w:rPr>
                      <w:rFonts w:eastAsia="仿宋_GB2312"/>
                      <w:snapToGrid w:val="0"/>
                      <w:color w:val="000000"/>
                      <w:sz w:val="21"/>
                      <w:szCs w:val="21"/>
                    </w:rPr>
                    <w:t>100万吨/年</w:t>
                  </w:r>
                  <w:r>
                    <w:rPr>
                      <w:rFonts w:hint="eastAsia" w:eastAsia="仿宋_GB2312"/>
                      <w:snapToGrid w:val="0"/>
                      <w:color w:val="000000"/>
                      <w:sz w:val="21"/>
                      <w:szCs w:val="21"/>
                      <w:lang w:eastAsia="zh-CN"/>
                    </w:rPr>
                    <w:t>（</w:t>
                  </w:r>
                  <w:r>
                    <w:rPr>
                      <w:rFonts w:hint="eastAsia" w:eastAsia="仿宋_GB2312"/>
                      <w:snapToGrid w:val="0"/>
                      <w:color w:val="000000"/>
                      <w:sz w:val="21"/>
                      <w:szCs w:val="21"/>
                      <w:lang w:val="en-US" w:eastAsia="zh-CN"/>
                    </w:rPr>
                    <w:t>含</w:t>
                  </w:r>
                  <w:r>
                    <w:rPr>
                      <w:rFonts w:ascii="Times New Roman" w:hAnsi="Times New Roman" w:eastAsia="仿宋_GB2312" w:cs="Times New Roman"/>
                      <w:snapToGrid w:val="0"/>
                      <w:color w:val="000000"/>
                      <w:sz w:val="21"/>
                      <w:szCs w:val="21"/>
                    </w:rPr>
                    <w:t>20万t/a精制盐包装生产线</w:t>
                  </w:r>
                  <w:r>
                    <w:rPr>
                      <w:rFonts w:hint="eastAsia" w:eastAsia="仿宋_GB2312" w:cs="Times New Roman"/>
                      <w:snapToGrid w:val="0"/>
                      <w:color w:val="000000"/>
                      <w:sz w:val="21"/>
                      <w:szCs w:val="21"/>
                      <w:lang w:eastAsia="zh-CN"/>
                    </w:rPr>
                    <w:t>的</w:t>
                  </w:r>
                  <w:r>
                    <w:rPr>
                      <w:rFonts w:hint="eastAsia" w:eastAsia="仿宋_GB2312" w:cs="Times New Roman"/>
                      <w:snapToGrid w:val="0"/>
                      <w:color w:val="000000"/>
                      <w:sz w:val="21"/>
                      <w:szCs w:val="21"/>
                      <w:lang w:val="en-US" w:eastAsia="zh-CN"/>
                    </w:rPr>
                    <w:t>产能</w:t>
                  </w:r>
                  <w:r>
                    <w:rPr>
                      <w:rFonts w:hint="eastAsia" w:eastAsia="仿宋_GB2312"/>
                      <w:snapToGrid w:val="0"/>
                      <w:color w:val="000000"/>
                      <w:sz w:val="21"/>
                      <w:szCs w:val="21"/>
                      <w:lang w:eastAsia="zh-CN"/>
                    </w:rPr>
                    <w:t>）</w:t>
                  </w:r>
                </w:p>
              </w:tc>
              <w:tc>
                <w:tcPr>
                  <w:tcW w:w="246" w:type="pct"/>
                  <w:vMerge w:val="continue"/>
                  <w:vAlign w:val="center"/>
                </w:tcPr>
                <w:p w14:paraId="4DB1AAE7">
                  <w:pPr>
                    <w:adjustRightInd w:val="0"/>
                    <w:snapToGrid w:val="0"/>
                    <w:jc w:val="center"/>
                    <w:rPr>
                      <w:rFonts w:eastAsia="仿宋_GB2312"/>
                      <w:color w:val="000000"/>
                      <w:kern w:val="0"/>
                      <w:sz w:val="21"/>
                      <w:szCs w:val="21"/>
                    </w:rPr>
                  </w:pPr>
                </w:p>
              </w:tc>
            </w:tr>
            <w:tr w14:paraId="106BB7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2" w:type="pct"/>
                  <w:vAlign w:val="center"/>
                </w:tcPr>
                <w:p w14:paraId="34EB168B">
                  <w:pPr>
                    <w:pStyle w:val="69"/>
                    <w:autoSpaceDE w:val="0"/>
                    <w:autoSpaceDN w:val="0"/>
                    <w:adjustRightInd w:val="0"/>
                    <w:snapToGrid w:val="0"/>
                    <w:jc w:val="center"/>
                    <w:rPr>
                      <w:rFonts w:ascii="Times New Roman" w:hAnsi="Times New Roman" w:eastAsia="仿宋_GB2312" w:cs="Times New Roman"/>
                      <w:snapToGrid w:val="0"/>
                      <w:color w:val="000000"/>
                      <w:sz w:val="21"/>
                      <w:szCs w:val="21"/>
                    </w:rPr>
                  </w:pPr>
                  <w:r>
                    <w:rPr>
                      <w:rFonts w:ascii="Times New Roman" w:hAnsi="Times New Roman" w:eastAsia="仿宋_GB2312" w:cs="Times New Roman"/>
                      <w:snapToGrid w:val="0"/>
                      <w:color w:val="000000"/>
                      <w:sz w:val="21"/>
                      <w:szCs w:val="21"/>
                    </w:rPr>
                    <w:t>CZF01型集装箱散盐装料项目</w:t>
                  </w:r>
                </w:p>
              </w:tc>
              <w:tc>
                <w:tcPr>
                  <w:tcW w:w="1077" w:type="pct"/>
                  <w:vAlign w:val="center"/>
                </w:tcPr>
                <w:p w14:paraId="4E118C3A">
                  <w:pPr>
                    <w:pStyle w:val="69"/>
                    <w:autoSpaceDE w:val="0"/>
                    <w:autoSpaceDN w:val="0"/>
                    <w:adjustRightInd w:val="0"/>
                    <w:snapToGrid w:val="0"/>
                    <w:jc w:val="center"/>
                    <w:rPr>
                      <w:rFonts w:ascii="Times New Roman" w:hAnsi="Times New Roman" w:eastAsia="仿宋_GB2312" w:cs="Times New Roman"/>
                      <w:snapToGrid w:val="0"/>
                      <w:color w:val="000000"/>
                      <w:sz w:val="21"/>
                      <w:szCs w:val="21"/>
                    </w:rPr>
                  </w:pPr>
                  <w:r>
                    <w:rPr>
                      <w:rFonts w:ascii="Times New Roman" w:hAnsi="Times New Roman" w:eastAsia="仿宋_GB2312" w:cs="Times New Roman"/>
                      <w:snapToGrid w:val="0"/>
                      <w:color w:val="000000"/>
                      <w:sz w:val="21"/>
                      <w:szCs w:val="21"/>
                    </w:rPr>
                    <w:t>集装袋盐10万吨/年</w:t>
                  </w:r>
                </w:p>
              </w:tc>
              <w:tc>
                <w:tcPr>
                  <w:tcW w:w="919" w:type="pct"/>
                  <w:vAlign w:val="center"/>
                </w:tcPr>
                <w:p w14:paraId="21B2381F">
                  <w:pPr>
                    <w:pStyle w:val="69"/>
                    <w:autoSpaceDE w:val="0"/>
                    <w:autoSpaceDN w:val="0"/>
                    <w:adjustRightInd w:val="0"/>
                    <w:snapToGrid w:val="0"/>
                    <w:jc w:val="center"/>
                    <w:rPr>
                      <w:rFonts w:ascii="Times New Roman" w:hAnsi="Times New Roman" w:eastAsia="仿宋_GB2312" w:cs="Times New Roman"/>
                      <w:snapToGrid w:val="0"/>
                      <w:color w:val="000000"/>
                      <w:sz w:val="21"/>
                      <w:szCs w:val="21"/>
                    </w:rPr>
                  </w:pPr>
                  <w:r>
                    <w:rPr>
                      <w:rFonts w:hint="eastAsia" w:ascii="Times New Roman" w:hAnsi="Times New Roman" w:eastAsia="仿宋_GB2312" w:cs="Times New Roman"/>
                      <w:snapToGrid w:val="0"/>
                      <w:color w:val="000000"/>
                      <w:sz w:val="21"/>
                      <w:szCs w:val="21"/>
                    </w:rPr>
                    <w:t>登记表，备案号：201832041300000098</w:t>
                  </w:r>
                </w:p>
              </w:tc>
              <w:tc>
                <w:tcPr>
                  <w:tcW w:w="659" w:type="pct"/>
                  <w:vAlign w:val="center"/>
                </w:tcPr>
                <w:p w14:paraId="60EFD8D9">
                  <w:pPr>
                    <w:adjustRightInd w:val="0"/>
                    <w:snapToGrid w:val="0"/>
                    <w:jc w:val="center"/>
                    <w:rPr>
                      <w:rFonts w:eastAsia="仿宋_GB2312"/>
                      <w:snapToGrid w:val="0"/>
                      <w:color w:val="000000"/>
                      <w:sz w:val="21"/>
                      <w:szCs w:val="21"/>
                    </w:rPr>
                  </w:pPr>
                  <w:r>
                    <w:rPr>
                      <w:rFonts w:hint="eastAsia" w:eastAsia="仿宋_GB2312"/>
                      <w:snapToGrid w:val="0"/>
                      <w:color w:val="000000"/>
                      <w:sz w:val="21"/>
                      <w:szCs w:val="21"/>
                    </w:rPr>
                    <w:t>2018.6.28</w:t>
                  </w:r>
                </w:p>
              </w:tc>
              <w:tc>
                <w:tcPr>
                  <w:tcW w:w="914" w:type="pct"/>
                  <w:vAlign w:val="center"/>
                </w:tcPr>
                <w:p w14:paraId="7D6CECEE">
                  <w:pPr>
                    <w:pStyle w:val="69"/>
                    <w:autoSpaceDE w:val="0"/>
                    <w:autoSpaceDN w:val="0"/>
                    <w:adjustRightInd w:val="0"/>
                    <w:snapToGrid w:val="0"/>
                    <w:jc w:val="center"/>
                    <w:rPr>
                      <w:rFonts w:ascii="Times New Roman" w:hAnsi="Times New Roman" w:eastAsia="仿宋_GB2312" w:cs="Times New Roman"/>
                      <w:snapToGrid w:val="0"/>
                      <w:color w:val="000000"/>
                      <w:sz w:val="21"/>
                      <w:szCs w:val="21"/>
                    </w:rPr>
                  </w:pPr>
                  <w:r>
                    <w:rPr>
                      <w:rFonts w:hint="eastAsia" w:ascii="Times New Roman" w:hAnsi="Times New Roman" w:eastAsia="仿宋_GB2312" w:cs="Times New Roman"/>
                      <w:snapToGrid w:val="0"/>
                      <w:color w:val="000000"/>
                      <w:sz w:val="21"/>
                      <w:szCs w:val="21"/>
                    </w:rPr>
                    <w:t>/</w:t>
                  </w:r>
                </w:p>
              </w:tc>
              <w:tc>
                <w:tcPr>
                  <w:tcW w:w="610" w:type="pct"/>
                  <w:vAlign w:val="center"/>
                </w:tcPr>
                <w:p w14:paraId="680A470F">
                  <w:pPr>
                    <w:adjustRightInd w:val="0"/>
                    <w:snapToGrid w:val="0"/>
                    <w:jc w:val="center"/>
                    <w:rPr>
                      <w:rFonts w:eastAsia="仿宋_GB2312"/>
                      <w:color w:val="000000"/>
                      <w:kern w:val="0"/>
                      <w:sz w:val="21"/>
                      <w:szCs w:val="21"/>
                    </w:rPr>
                  </w:pPr>
                  <w:r>
                    <w:rPr>
                      <w:rFonts w:eastAsia="仿宋_GB2312"/>
                      <w:color w:val="000000"/>
                      <w:kern w:val="0"/>
                      <w:sz w:val="21"/>
                      <w:szCs w:val="21"/>
                    </w:rPr>
                    <w:t>已生产</w:t>
                  </w:r>
                </w:p>
              </w:tc>
              <w:tc>
                <w:tcPr>
                  <w:tcW w:w="246" w:type="pct"/>
                  <w:vMerge w:val="continue"/>
                  <w:vAlign w:val="center"/>
                </w:tcPr>
                <w:p w14:paraId="7CCFABF2">
                  <w:pPr>
                    <w:adjustRightInd w:val="0"/>
                    <w:snapToGrid w:val="0"/>
                    <w:jc w:val="center"/>
                    <w:rPr>
                      <w:rFonts w:eastAsia="仿宋_GB2312"/>
                      <w:color w:val="000000"/>
                      <w:kern w:val="0"/>
                      <w:sz w:val="21"/>
                      <w:szCs w:val="21"/>
                    </w:rPr>
                  </w:pPr>
                </w:p>
              </w:tc>
            </w:tr>
            <w:tr w14:paraId="7C0FB3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2" w:type="pct"/>
                  <w:vAlign w:val="center"/>
                </w:tcPr>
                <w:p w14:paraId="2B1F7B29">
                  <w:pPr>
                    <w:pStyle w:val="69"/>
                    <w:autoSpaceDE w:val="0"/>
                    <w:autoSpaceDN w:val="0"/>
                    <w:adjustRightInd w:val="0"/>
                    <w:snapToGrid w:val="0"/>
                    <w:jc w:val="center"/>
                    <w:rPr>
                      <w:rFonts w:ascii="Times New Roman" w:hAnsi="Times New Roman" w:eastAsia="仿宋_GB2312" w:cs="Times New Roman"/>
                      <w:snapToGrid w:val="0"/>
                      <w:color w:val="000000"/>
                      <w:sz w:val="21"/>
                      <w:szCs w:val="21"/>
                    </w:rPr>
                  </w:pPr>
                  <w:r>
                    <w:rPr>
                      <w:rFonts w:ascii="Times New Roman" w:hAnsi="Times New Roman" w:eastAsia="仿宋_GB2312" w:cs="Times New Roman"/>
                      <w:snapToGrid w:val="0"/>
                      <w:color w:val="000000"/>
                      <w:sz w:val="21"/>
                      <w:szCs w:val="21"/>
                    </w:rPr>
                    <w:t>年产3万吨畜牧用盐砖项目</w:t>
                  </w:r>
                </w:p>
              </w:tc>
              <w:tc>
                <w:tcPr>
                  <w:tcW w:w="1077" w:type="pct"/>
                  <w:vAlign w:val="center"/>
                </w:tcPr>
                <w:p w14:paraId="116D1217">
                  <w:pPr>
                    <w:pStyle w:val="69"/>
                    <w:autoSpaceDE w:val="0"/>
                    <w:autoSpaceDN w:val="0"/>
                    <w:adjustRightInd w:val="0"/>
                    <w:snapToGrid w:val="0"/>
                    <w:jc w:val="center"/>
                    <w:rPr>
                      <w:rFonts w:ascii="Times New Roman" w:hAnsi="Times New Roman" w:eastAsia="仿宋_GB2312" w:cs="Times New Roman"/>
                      <w:snapToGrid w:val="0"/>
                      <w:color w:val="000000"/>
                      <w:sz w:val="21"/>
                      <w:szCs w:val="21"/>
                    </w:rPr>
                  </w:pPr>
                  <w:r>
                    <w:rPr>
                      <w:rFonts w:ascii="Times New Roman" w:hAnsi="Times New Roman" w:eastAsia="仿宋_GB2312" w:cs="Times New Roman"/>
                      <w:snapToGrid w:val="0"/>
                      <w:color w:val="000000"/>
                      <w:sz w:val="21"/>
                      <w:szCs w:val="21"/>
                    </w:rPr>
                    <w:t>年产3万吨畜牧用盐砖</w:t>
                  </w:r>
                </w:p>
              </w:tc>
              <w:tc>
                <w:tcPr>
                  <w:tcW w:w="919" w:type="pct"/>
                  <w:vAlign w:val="center"/>
                </w:tcPr>
                <w:p w14:paraId="661930A3">
                  <w:pPr>
                    <w:pStyle w:val="69"/>
                    <w:autoSpaceDE w:val="0"/>
                    <w:autoSpaceDN w:val="0"/>
                    <w:adjustRightInd w:val="0"/>
                    <w:snapToGrid w:val="0"/>
                    <w:jc w:val="center"/>
                    <w:rPr>
                      <w:rFonts w:ascii="Times New Roman" w:hAnsi="Times New Roman" w:eastAsia="仿宋_GB2312" w:cs="Times New Roman"/>
                      <w:snapToGrid w:val="0"/>
                      <w:color w:val="000000"/>
                      <w:sz w:val="21"/>
                      <w:szCs w:val="21"/>
                    </w:rPr>
                  </w:pPr>
                  <w:r>
                    <w:rPr>
                      <w:rFonts w:hint="eastAsia" w:ascii="Times New Roman" w:hAnsi="Times New Roman" w:eastAsia="仿宋_GB2312" w:cs="Times New Roman"/>
                      <w:snapToGrid w:val="0"/>
                      <w:color w:val="000000"/>
                      <w:sz w:val="21"/>
                      <w:szCs w:val="21"/>
                    </w:rPr>
                    <w:t>登记表，备案号：202032041300000347</w:t>
                  </w:r>
                </w:p>
              </w:tc>
              <w:tc>
                <w:tcPr>
                  <w:tcW w:w="659" w:type="pct"/>
                  <w:vAlign w:val="center"/>
                </w:tcPr>
                <w:p w14:paraId="5AC7DE36">
                  <w:pPr>
                    <w:adjustRightInd w:val="0"/>
                    <w:snapToGrid w:val="0"/>
                    <w:jc w:val="center"/>
                    <w:rPr>
                      <w:rFonts w:eastAsia="仿宋_GB2312"/>
                      <w:snapToGrid w:val="0"/>
                      <w:color w:val="000000"/>
                      <w:sz w:val="21"/>
                      <w:szCs w:val="21"/>
                    </w:rPr>
                  </w:pPr>
                  <w:r>
                    <w:rPr>
                      <w:rFonts w:hint="eastAsia" w:eastAsia="仿宋_GB2312"/>
                      <w:snapToGrid w:val="0"/>
                      <w:color w:val="000000"/>
                      <w:sz w:val="21"/>
                      <w:szCs w:val="21"/>
                    </w:rPr>
                    <w:t>2020.9.23</w:t>
                  </w:r>
                </w:p>
              </w:tc>
              <w:tc>
                <w:tcPr>
                  <w:tcW w:w="914" w:type="pct"/>
                  <w:vAlign w:val="center"/>
                </w:tcPr>
                <w:p w14:paraId="0DE89453">
                  <w:pPr>
                    <w:pStyle w:val="69"/>
                    <w:autoSpaceDE w:val="0"/>
                    <w:autoSpaceDN w:val="0"/>
                    <w:adjustRightInd w:val="0"/>
                    <w:snapToGrid w:val="0"/>
                    <w:jc w:val="center"/>
                    <w:rPr>
                      <w:rFonts w:ascii="Times New Roman" w:hAnsi="Times New Roman" w:eastAsia="仿宋_GB2312" w:cs="Times New Roman"/>
                      <w:snapToGrid w:val="0"/>
                      <w:color w:val="000000"/>
                      <w:sz w:val="21"/>
                      <w:szCs w:val="21"/>
                    </w:rPr>
                  </w:pPr>
                  <w:r>
                    <w:rPr>
                      <w:rFonts w:hint="eastAsia" w:ascii="Times New Roman" w:hAnsi="Times New Roman" w:eastAsia="仿宋_GB2312" w:cs="Times New Roman"/>
                      <w:snapToGrid w:val="0"/>
                      <w:color w:val="000000"/>
                      <w:sz w:val="21"/>
                      <w:szCs w:val="21"/>
                    </w:rPr>
                    <w:t>/</w:t>
                  </w:r>
                </w:p>
              </w:tc>
              <w:tc>
                <w:tcPr>
                  <w:tcW w:w="610" w:type="pct"/>
                  <w:vAlign w:val="center"/>
                </w:tcPr>
                <w:p w14:paraId="13FF8105">
                  <w:pPr>
                    <w:adjustRightInd w:val="0"/>
                    <w:snapToGrid w:val="0"/>
                    <w:jc w:val="center"/>
                    <w:rPr>
                      <w:rFonts w:eastAsia="仿宋_GB2312"/>
                      <w:color w:val="000000"/>
                      <w:kern w:val="0"/>
                      <w:sz w:val="21"/>
                      <w:szCs w:val="21"/>
                    </w:rPr>
                  </w:pPr>
                  <w:r>
                    <w:rPr>
                      <w:rFonts w:eastAsia="仿宋_GB2312"/>
                      <w:color w:val="000000"/>
                      <w:kern w:val="0"/>
                      <w:sz w:val="21"/>
                      <w:szCs w:val="21"/>
                    </w:rPr>
                    <w:t>已生产</w:t>
                  </w:r>
                </w:p>
              </w:tc>
              <w:tc>
                <w:tcPr>
                  <w:tcW w:w="246" w:type="pct"/>
                  <w:vMerge w:val="continue"/>
                  <w:vAlign w:val="center"/>
                </w:tcPr>
                <w:p w14:paraId="0819C5A4">
                  <w:pPr>
                    <w:adjustRightInd w:val="0"/>
                    <w:snapToGrid w:val="0"/>
                    <w:jc w:val="center"/>
                    <w:rPr>
                      <w:rFonts w:eastAsia="仿宋_GB2312"/>
                      <w:color w:val="000000"/>
                      <w:kern w:val="0"/>
                      <w:sz w:val="21"/>
                      <w:szCs w:val="21"/>
                    </w:rPr>
                  </w:pPr>
                </w:p>
              </w:tc>
            </w:tr>
            <w:tr w14:paraId="23D5D7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572" w:type="pct"/>
                  <w:vAlign w:val="center"/>
                </w:tcPr>
                <w:p w14:paraId="0804780B">
                  <w:pPr>
                    <w:pStyle w:val="69"/>
                    <w:autoSpaceDE w:val="0"/>
                    <w:autoSpaceDN w:val="0"/>
                    <w:adjustRightInd w:val="0"/>
                    <w:snapToGrid w:val="0"/>
                    <w:jc w:val="center"/>
                    <w:rPr>
                      <w:rFonts w:ascii="Times New Roman" w:hAnsi="Times New Roman" w:eastAsia="仿宋_GB2312" w:cs="Times New Roman"/>
                      <w:snapToGrid w:val="0"/>
                      <w:color w:val="000000"/>
                      <w:sz w:val="21"/>
                      <w:szCs w:val="21"/>
                    </w:rPr>
                  </w:pPr>
                  <w:r>
                    <w:rPr>
                      <w:rFonts w:ascii="Times New Roman" w:hAnsi="Times New Roman" w:eastAsia="仿宋_GB2312" w:cs="Times New Roman"/>
                      <w:snapToGrid w:val="0"/>
                      <w:color w:val="000000"/>
                      <w:sz w:val="21"/>
                      <w:szCs w:val="21"/>
                    </w:rPr>
                    <w:t>盐硝车间新增废气处理装置项目</w:t>
                  </w:r>
                </w:p>
              </w:tc>
              <w:tc>
                <w:tcPr>
                  <w:tcW w:w="1077" w:type="pct"/>
                  <w:vAlign w:val="center"/>
                </w:tcPr>
                <w:p w14:paraId="798FBA39">
                  <w:pPr>
                    <w:pStyle w:val="69"/>
                    <w:autoSpaceDE w:val="0"/>
                    <w:autoSpaceDN w:val="0"/>
                    <w:adjustRightInd w:val="0"/>
                    <w:snapToGrid w:val="0"/>
                    <w:jc w:val="center"/>
                    <w:rPr>
                      <w:rFonts w:ascii="Times New Roman" w:hAnsi="Times New Roman" w:eastAsia="仿宋_GB2312" w:cs="Times New Roman"/>
                      <w:snapToGrid w:val="0"/>
                      <w:color w:val="000000"/>
                      <w:sz w:val="21"/>
                      <w:szCs w:val="21"/>
                    </w:rPr>
                  </w:pPr>
                  <w:r>
                    <w:rPr>
                      <w:rFonts w:hint="eastAsia" w:ascii="Times New Roman" w:hAnsi="Times New Roman" w:eastAsia="仿宋_GB2312" w:cs="Times New Roman"/>
                      <w:snapToGrid w:val="0"/>
                      <w:color w:val="000000"/>
                      <w:sz w:val="21"/>
                      <w:szCs w:val="21"/>
                    </w:rPr>
                    <w:t>新增2套除尘喷淋装置</w:t>
                  </w:r>
                </w:p>
              </w:tc>
              <w:tc>
                <w:tcPr>
                  <w:tcW w:w="919" w:type="pct"/>
                  <w:vAlign w:val="center"/>
                </w:tcPr>
                <w:p w14:paraId="664C428B">
                  <w:pPr>
                    <w:pStyle w:val="69"/>
                    <w:autoSpaceDE w:val="0"/>
                    <w:autoSpaceDN w:val="0"/>
                    <w:adjustRightInd w:val="0"/>
                    <w:snapToGrid w:val="0"/>
                    <w:jc w:val="center"/>
                    <w:rPr>
                      <w:rFonts w:ascii="Times New Roman" w:hAnsi="Times New Roman" w:eastAsia="仿宋_GB2312" w:cs="Times New Roman"/>
                      <w:snapToGrid w:val="0"/>
                      <w:color w:val="000000"/>
                      <w:sz w:val="21"/>
                      <w:szCs w:val="21"/>
                    </w:rPr>
                  </w:pPr>
                  <w:r>
                    <w:rPr>
                      <w:rFonts w:hint="eastAsia" w:ascii="Times New Roman" w:hAnsi="Times New Roman" w:eastAsia="仿宋_GB2312" w:cs="Times New Roman"/>
                      <w:snapToGrid w:val="0"/>
                      <w:color w:val="000000"/>
                      <w:sz w:val="21"/>
                      <w:szCs w:val="21"/>
                    </w:rPr>
                    <w:t>登记表，备案号：20223204000200000049</w:t>
                  </w:r>
                </w:p>
              </w:tc>
              <w:tc>
                <w:tcPr>
                  <w:tcW w:w="659" w:type="pct"/>
                  <w:vAlign w:val="center"/>
                </w:tcPr>
                <w:p w14:paraId="68FE9FD0">
                  <w:pPr>
                    <w:adjustRightInd w:val="0"/>
                    <w:snapToGrid w:val="0"/>
                    <w:jc w:val="center"/>
                    <w:rPr>
                      <w:rFonts w:eastAsia="仿宋_GB2312"/>
                      <w:snapToGrid w:val="0"/>
                      <w:color w:val="000000"/>
                      <w:sz w:val="21"/>
                      <w:szCs w:val="21"/>
                    </w:rPr>
                  </w:pPr>
                  <w:r>
                    <w:rPr>
                      <w:rFonts w:hint="eastAsia" w:eastAsia="仿宋_GB2312"/>
                      <w:snapToGrid w:val="0"/>
                      <w:color w:val="000000"/>
                      <w:sz w:val="21"/>
                      <w:szCs w:val="21"/>
                    </w:rPr>
                    <w:t>2022.6.20</w:t>
                  </w:r>
                </w:p>
              </w:tc>
              <w:tc>
                <w:tcPr>
                  <w:tcW w:w="914" w:type="pct"/>
                  <w:vAlign w:val="center"/>
                </w:tcPr>
                <w:p w14:paraId="4F7FDA92">
                  <w:pPr>
                    <w:pStyle w:val="69"/>
                    <w:autoSpaceDE w:val="0"/>
                    <w:autoSpaceDN w:val="0"/>
                    <w:adjustRightInd w:val="0"/>
                    <w:snapToGrid w:val="0"/>
                    <w:jc w:val="center"/>
                    <w:rPr>
                      <w:rFonts w:ascii="Times New Roman" w:hAnsi="Times New Roman" w:eastAsia="仿宋_GB2312" w:cs="Times New Roman"/>
                      <w:snapToGrid w:val="0"/>
                      <w:color w:val="000000"/>
                      <w:sz w:val="21"/>
                      <w:szCs w:val="21"/>
                    </w:rPr>
                  </w:pPr>
                  <w:r>
                    <w:rPr>
                      <w:rFonts w:hint="eastAsia" w:ascii="Times New Roman" w:hAnsi="Times New Roman" w:eastAsia="仿宋_GB2312" w:cs="Times New Roman"/>
                      <w:snapToGrid w:val="0"/>
                      <w:color w:val="000000"/>
                      <w:sz w:val="21"/>
                      <w:szCs w:val="21"/>
                    </w:rPr>
                    <w:t>/</w:t>
                  </w:r>
                </w:p>
              </w:tc>
              <w:tc>
                <w:tcPr>
                  <w:tcW w:w="610" w:type="pct"/>
                  <w:vAlign w:val="center"/>
                </w:tcPr>
                <w:p w14:paraId="5B9010CC">
                  <w:pPr>
                    <w:adjustRightInd w:val="0"/>
                    <w:snapToGrid w:val="0"/>
                    <w:jc w:val="center"/>
                    <w:rPr>
                      <w:rFonts w:eastAsia="仿宋_GB2312"/>
                      <w:color w:val="auto"/>
                      <w:kern w:val="0"/>
                      <w:sz w:val="21"/>
                      <w:szCs w:val="21"/>
                    </w:rPr>
                  </w:pPr>
                  <w:r>
                    <w:rPr>
                      <w:rFonts w:hint="eastAsia" w:eastAsia="仿宋_GB2312"/>
                      <w:color w:val="auto"/>
                      <w:kern w:val="0"/>
                      <w:sz w:val="21"/>
                      <w:szCs w:val="21"/>
                      <w:lang w:val="en-US" w:eastAsia="zh-CN"/>
                    </w:rPr>
                    <w:t>已完成</w:t>
                  </w:r>
                </w:p>
              </w:tc>
              <w:tc>
                <w:tcPr>
                  <w:tcW w:w="246" w:type="pct"/>
                  <w:vMerge w:val="continue"/>
                  <w:vAlign w:val="center"/>
                </w:tcPr>
                <w:p w14:paraId="229BB2A5">
                  <w:pPr>
                    <w:adjustRightInd w:val="0"/>
                    <w:snapToGrid w:val="0"/>
                    <w:jc w:val="center"/>
                    <w:rPr>
                      <w:rFonts w:eastAsia="仿宋_GB2312"/>
                      <w:color w:val="000000"/>
                      <w:kern w:val="0"/>
                      <w:sz w:val="21"/>
                      <w:szCs w:val="21"/>
                    </w:rPr>
                  </w:pPr>
                </w:p>
              </w:tc>
            </w:tr>
            <w:tr w14:paraId="61C54B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2" w:type="pct"/>
                  <w:vAlign w:val="center"/>
                </w:tcPr>
                <w:p w14:paraId="0DE1A3C8">
                  <w:pPr>
                    <w:pStyle w:val="69"/>
                    <w:autoSpaceDE w:val="0"/>
                    <w:autoSpaceDN w:val="0"/>
                    <w:adjustRightInd w:val="0"/>
                    <w:snapToGrid w:val="0"/>
                    <w:jc w:val="center"/>
                    <w:rPr>
                      <w:rFonts w:ascii="Times New Roman" w:hAnsi="Times New Roman" w:eastAsia="仿宋_GB2312" w:cs="Times New Roman"/>
                      <w:snapToGrid w:val="0"/>
                      <w:color w:val="000000"/>
                      <w:sz w:val="21"/>
                      <w:szCs w:val="21"/>
                    </w:rPr>
                  </w:pPr>
                  <w:r>
                    <w:rPr>
                      <w:rFonts w:ascii="Times New Roman" w:hAnsi="Times New Roman" w:eastAsia="仿宋_GB2312" w:cs="Times New Roman"/>
                      <w:snapToGrid w:val="0"/>
                      <w:color w:val="000000"/>
                      <w:sz w:val="21"/>
                      <w:szCs w:val="21"/>
                    </w:rPr>
                    <w:t>包装区环保提升项目</w:t>
                  </w:r>
                </w:p>
              </w:tc>
              <w:tc>
                <w:tcPr>
                  <w:tcW w:w="1077" w:type="pct"/>
                  <w:vAlign w:val="center"/>
                </w:tcPr>
                <w:p w14:paraId="767FD2A0">
                  <w:pPr>
                    <w:pStyle w:val="69"/>
                    <w:autoSpaceDE w:val="0"/>
                    <w:autoSpaceDN w:val="0"/>
                    <w:adjustRightInd w:val="0"/>
                    <w:snapToGrid w:val="0"/>
                    <w:jc w:val="center"/>
                    <w:rPr>
                      <w:rFonts w:ascii="Times New Roman" w:hAnsi="Times New Roman" w:eastAsia="仿宋_GB2312" w:cs="Times New Roman"/>
                      <w:snapToGrid w:val="0"/>
                      <w:color w:val="000000"/>
                      <w:sz w:val="21"/>
                      <w:szCs w:val="21"/>
                    </w:rPr>
                  </w:pPr>
                  <w:r>
                    <w:rPr>
                      <w:rFonts w:hint="eastAsia" w:ascii="Times New Roman" w:hAnsi="Times New Roman" w:eastAsia="仿宋_GB2312" w:cs="Times New Roman"/>
                      <w:snapToGrid w:val="0"/>
                      <w:color w:val="000000"/>
                      <w:sz w:val="21"/>
                      <w:szCs w:val="21"/>
                    </w:rPr>
                    <w:t>新增1套水磨除尘装置</w:t>
                  </w:r>
                </w:p>
              </w:tc>
              <w:tc>
                <w:tcPr>
                  <w:tcW w:w="919" w:type="pct"/>
                  <w:vAlign w:val="center"/>
                </w:tcPr>
                <w:p w14:paraId="1A0FE852">
                  <w:pPr>
                    <w:pStyle w:val="69"/>
                    <w:autoSpaceDE w:val="0"/>
                    <w:autoSpaceDN w:val="0"/>
                    <w:adjustRightInd w:val="0"/>
                    <w:snapToGrid w:val="0"/>
                    <w:jc w:val="center"/>
                    <w:rPr>
                      <w:rFonts w:ascii="Times New Roman" w:hAnsi="Times New Roman" w:eastAsia="仿宋_GB2312" w:cs="Times New Roman"/>
                      <w:snapToGrid w:val="0"/>
                      <w:color w:val="000000"/>
                      <w:sz w:val="21"/>
                      <w:szCs w:val="21"/>
                    </w:rPr>
                  </w:pPr>
                  <w:r>
                    <w:rPr>
                      <w:rFonts w:hint="eastAsia" w:ascii="Times New Roman" w:hAnsi="Times New Roman" w:eastAsia="仿宋_GB2312" w:cs="Times New Roman"/>
                      <w:snapToGrid w:val="0"/>
                      <w:color w:val="000000"/>
                      <w:sz w:val="21"/>
                      <w:szCs w:val="21"/>
                    </w:rPr>
                    <w:t>登记表，备案号：20223204000200000049</w:t>
                  </w:r>
                </w:p>
              </w:tc>
              <w:tc>
                <w:tcPr>
                  <w:tcW w:w="659" w:type="pct"/>
                  <w:vAlign w:val="center"/>
                </w:tcPr>
                <w:p w14:paraId="0833F4F1">
                  <w:pPr>
                    <w:adjustRightInd w:val="0"/>
                    <w:snapToGrid w:val="0"/>
                    <w:jc w:val="center"/>
                    <w:rPr>
                      <w:rFonts w:eastAsia="仿宋_GB2312"/>
                      <w:snapToGrid w:val="0"/>
                      <w:color w:val="000000"/>
                      <w:sz w:val="21"/>
                      <w:szCs w:val="21"/>
                    </w:rPr>
                  </w:pPr>
                  <w:r>
                    <w:rPr>
                      <w:rFonts w:hint="eastAsia" w:eastAsia="仿宋_GB2312"/>
                      <w:snapToGrid w:val="0"/>
                      <w:color w:val="000000"/>
                      <w:sz w:val="21"/>
                      <w:szCs w:val="21"/>
                    </w:rPr>
                    <w:t>2022.7.21</w:t>
                  </w:r>
                </w:p>
              </w:tc>
              <w:tc>
                <w:tcPr>
                  <w:tcW w:w="914" w:type="pct"/>
                  <w:vAlign w:val="center"/>
                </w:tcPr>
                <w:p w14:paraId="40D2C037">
                  <w:pPr>
                    <w:pStyle w:val="69"/>
                    <w:autoSpaceDE w:val="0"/>
                    <w:autoSpaceDN w:val="0"/>
                    <w:adjustRightInd w:val="0"/>
                    <w:snapToGrid w:val="0"/>
                    <w:jc w:val="center"/>
                    <w:rPr>
                      <w:rFonts w:ascii="Times New Roman" w:hAnsi="Times New Roman" w:eastAsia="仿宋_GB2312" w:cs="Times New Roman"/>
                      <w:snapToGrid w:val="0"/>
                      <w:color w:val="000000"/>
                      <w:sz w:val="21"/>
                      <w:szCs w:val="21"/>
                    </w:rPr>
                  </w:pPr>
                  <w:r>
                    <w:rPr>
                      <w:rFonts w:hint="eastAsia" w:ascii="Times New Roman" w:hAnsi="Times New Roman" w:eastAsia="仿宋_GB2312" w:cs="Times New Roman"/>
                      <w:snapToGrid w:val="0"/>
                      <w:color w:val="000000"/>
                      <w:sz w:val="21"/>
                      <w:szCs w:val="21"/>
                    </w:rPr>
                    <w:t>/</w:t>
                  </w:r>
                </w:p>
              </w:tc>
              <w:tc>
                <w:tcPr>
                  <w:tcW w:w="610" w:type="pct"/>
                  <w:vAlign w:val="center"/>
                </w:tcPr>
                <w:p w14:paraId="5B552A43">
                  <w:pPr>
                    <w:adjustRightInd w:val="0"/>
                    <w:snapToGrid w:val="0"/>
                    <w:jc w:val="center"/>
                    <w:rPr>
                      <w:rFonts w:hint="eastAsia" w:eastAsia="仿宋_GB2312"/>
                      <w:color w:val="auto"/>
                      <w:kern w:val="0"/>
                      <w:sz w:val="21"/>
                      <w:szCs w:val="21"/>
                      <w:lang w:eastAsia="zh-CN"/>
                    </w:rPr>
                  </w:pPr>
                  <w:r>
                    <w:rPr>
                      <w:rFonts w:hint="eastAsia" w:eastAsia="仿宋_GB2312"/>
                      <w:color w:val="auto"/>
                      <w:kern w:val="0"/>
                      <w:sz w:val="21"/>
                      <w:szCs w:val="21"/>
                      <w:lang w:val="en-US" w:eastAsia="zh-CN"/>
                    </w:rPr>
                    <w:t>已完成</w:t>
                  </w:r>
                </w:p>
              </w:tc>
              <w:tc>
                <w:tcPr>
                  <w:tcW w:w="246" w:type="pct"/>
                  <w:vMerge w:val="continue"/>
                  <w:vAlign w:val="center"/>
                </w:tcPr>
                <w:p w14:paraId="6D3935A4">
                  <w:pPr>
                    <w:adjustRightInd w:val="0"/>
                    <w:snapToGrid w:val="0"/>
                    <w:jc w:val="center"/>
                    <w:rPr>
                      <w:rFonts w:eastAsia="仿宋_GB2312"/>
                      <w:color w:val="000000"/>
                      <w:kern w:val="0"/>
                      <w:sz w:val="21"/>
                      <w:szCs w:val="21"/>
                    </w:rPr>
                  </w:pPr>
                </w:p>
              </w:tc>
            </w:tr>
            <w:tr w14:paraId="4C2832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2" w:type="pct"/>
                  <w:vAlign w:val="center"/>
                </w:tcPr>
                <w:p w14:paraId="27776E8A">
                  <w:pPr>
                    <w:pStyle w:val="69"/>
                    <w:autoSpaceDE w:val="0"/>
                    <w:autoSpaceDN w:val="0"/>
                    <w:adjustRightInd w:val="0"/>
                    <w:snapToGrid w:val="0"/>
                    <w:jc w:val="center"/>
                    <w:rPr>
                      <w:rFonts w:ascii="Times New Roman" w:hAnsi="Times New Roman" w:eastAsia="仿宋_GB2312" w:cs="Times New Roman"/>
                      <w:snapToGrid w:val="0"/>
                      <w:color w:val="000000"/>
                      <w:sz w:val="21"/>
                      <w:szCs w:val="21"/>
                    </w:rPr>
                  </w:pPr>
                  <w:r>
                    <w:rPr>
                      <w:rFonts w:hint="eastAsia" w:ascii="Times New Roman" w:hAnsi="Times New Roman" w:eastAsia="仿宋_GB2312" w:cs="Times New Roman"/>
                      <w:snapToGrid w:val="0"/>
                      <w:color w:val="000000"/>
                      <w:sz w:val="21"/>
                      <w:szCs w:val="21"/>
                    </w:rPr>
                    <w:t>盐泥综合利用项目</w:t>
                  </w:r>
                </w:p>
              </w:tc>
              <w:tc>
                <w:tcPr>
                  <w:tcW w:w="1077" w:type="pct"/>
                  <w:vAlign w:val="center"/>
                </w:tcPr>
                <w:p w14:paraId="64BCF049">
                  <w:pPr>
                    <w:pStyle w:val="69"/>
                    <w:autoSpaceDE w:val="0"/>
                    <w:autoSpaceDN w:val="0"/>
                    <w:adjustRightInd w:val="0"/>
                    <w:snapToGrid w:val="0"/>
                    <w:jc w:val="center"/>
                    <w:rPr>
                      <w:rFonts w:ascii="Times New Roman" w:hAnsi="Times New Roman" w:eastAsia="仿宋_GB2312" w:cs="Times New Roman"/>
                      <w:snapToGrid w:val="0"/>
                      <w:color w:val="000000"/>
                      <w:sz w:val="21"/>
                      <w:szCs w:val="21"/>
                    </w:rPr>
                  </w:pPr>
                  <w:r>
                    <w:rPr>
                      <w:rFonts w:hint="eastAsia" w:ascii="Times New Roman" w:hAnsi="Times New Roman" w:eastAsia="仿宋_GB2312" w:cs="Times New Roman"/>
                      <w:snapToGrid w:val="0"/>
                      <w:color w:val="000000"/>
                      <w:sz w:val="21"/>
                      <w:szCs w:val="21"/>
                    </w:rPr>
                    <w:t>新建盐泥综合利用生产线1条，碳酸钙中和剂1.8万t/a、碳酸钙脱硫剂1.8万t/a</w:t>
                  </w:r>
                </w:p>
              </w:tc>
              <w:tc>
                <w:tcPr>
                  <w:tcW w:w="919" w:type="pct"/>
                  <w:vAlign w:val="center"/>
                </w:tcPr>
                <w:p w14:paraId="64A1B418">
                  <w:pPr>
                    <w:pStyle w:val="69"/>
                    <w:autoSpaceDE w:val="0"/>
                    <w:autoSpaceDN w:val="0"/>
                    <w:adjustRightInd w:val="0"/>
                    <w:snapToGrid w:val="0"/>
                    <w:jc w:val="center"/>
                    <w:rPr>
                      <w:rFonts w:ascii="Times New Roman" w:hAnsi="Times New Roman" w:eastAsia="仿宋_GB2312" w:cs="Times New Roman"/>
                      <w:snapToGrid w:val="0"/>
                      <w:color w:val="000000"/>
                      <w:sz w:val="21"/>
                      <w:szCs w:val="21"/>
                    </w:rPr>
                  </w:pPr>
                  <w:r>
                    <w:rPr>
                      <w:rFonts w:hint="eastAsia" w:ascii="Times New Roman" w:hAnsi="Times New Roman" w:eastAsia="仿宋_GB2312" w:cs="Times New Roman"/>
                      <w:snapToGrid w:val="0"/>
                      <w:color w:val="000000"/>
                      <w:sz w:val="21"/>
                      <w:szCs w:val="21"/>
                    </w:rPr>
                    <w:t>常金环审[2022]113号</w:t>
                  </w:r>
                </w:p>
              </w:tc>
              <w:tc>
                <w:tcPr>
                  <w:tcW w:w="659" w:type="pct"/>
                  <w:vAlign w:val="center"/>
                </w:tcPr>
                <w:p w14:paraId="0C34D0E2">
                  <w:pPr>
                    <w:adjustRightInd w:val="0"/>
                    <w:snapToGrid w:val="0"/>
                    <w:jc w:val="center"/>
                    <w:rPr>
                      <w:rFonts w:eastAsia="仿宋_GB2312"/>
                      <w:snapToGrid w:val="0"/>
                      <w:color w:val="000000"/>
                      <w:sz w:val="21"/>
                      <w:szCs w:val="21"/>
                    </w:rPr>
                  </w:pPr>
                  <w:r>
                    <w:rPr>
                      <w:rFonts w:eastAsia="仿宋_GB2312"/>
                      <w:snapToGrid w:val="0"/>
                      <w:color w:val="000000"/>
                      <w:sz w:val="21"/>
                      <w:szCs w:val="21"/>
                    </w:rPr>
                    <w:t>2022.</w:t>
                  </w:r>
                  <w:r>
                    <w:rPr>
                      <w:rFonts w:hint="eastAsia" w:eastAsia="仿宋_GB2312"/>
                      <w:snapToGrid w:val="0"/>
                      <w:color w:val="000000"/>
                      <w:sz w:val="21"/>
                      <w:szCs w:val="21"/>
                    </w:rPr>
                    <w:t>12.5</w:t>
                  </w:r>
                </w:p>
              </w:tc>
              <w:tc>
                <w:tcPr>
                  <w:tcW w:w="914" w:type="pct"/>
                  <w:vAlign w:val="center"/>
                </w:tcPr>
                <w:p w14:paraId="28284AC5">
                  <w:pPr>
                    <w:pStyle w:val="69"/>
                    <w:autoSpaceDE w:val="0"/>
                    <w:autoSpaceDN w:val="0"/>
                    <w:adjustRightInd w:val="0"/>
                    <w:snapToGrid w:val="0"/>
                    <w:jc w:val="center"/>
                    <w:rPr>
                      <w:rFonts w:ascii="Times New Roman" w:hAnsi="Times New Roman" w:eastAsia="仿宋_GB2312" w:cs="Times New Roman"/>
                      <w:snapToGrid w:val="0"/>
                      <w:color w:val="000000"/>
                      <w:sz w:val="21"/>
                      <w:szCs w:val="21"/>
                    </w:rPr>
                  </w:pPr>
                  <w:r>
                    <w:rPr>
                      <w:rFonts w:hint="eastAsia" w:ascii="Times New Roman" w:hAnsi="Times New Roman" w:eastAsia="仿宋_GB2312" w:cs="Times New Roman"/>
                      <w:snapToGrid w:val="0"/>
                      <w:color w:val="000000"/>
                      <w:sz w:val="21"/>
                      <w:szCs w:val="21"/>
                    </w:rPr>
                    <w:t>2023.7.8</w:t>
                  </w:r>
                </w:p>
              </w:tc>
              <w:tc>
                <w:tcPr>
                  <w:tcW w:w="610" w:type="pct"/>
                  <w:vAlign w:val="center"/>
                </w:tcPr>
                <w:p w14:paraId="41DA0DC3">
                  <w:pPr>
                    <w:adjustRightInd w:val="0"/>
                    <w:snapToGrid w:val="0"/>
                    <w:jc w:val="center"/>
                    <w:rPr>
                      <w:rFonts w:eastAsia="仿宋_GB2312"/>
                      <w:color w:val="000000"/>
                      <w:kern w:val="0"/>
                      <w:sz w:val="21"/>
                      <w:szCs w:val="21"/>
                    </w:rPr>
                  </w:pPr>
                  <w:r>
                    <w:rPr>
                      <w:rFonts w:hint="eastAsia" w:eastAsia="仿宋_GB2312"/>
                      <w:color w:val="000000"/>
                      <w:kern w:val="0"/>
                      <w:sz w:val="21"/>
                      <w:szCs w:val="21"/>
                    </w:rPr>
                    <w:t>已生产</w:t>
                  </w:r>
                </w:p>
              </w:tc>
              <w:tc>
                <w:tcPr>
                  <w:tcW w:w="246" w:type="pct"/>
                  <w:vMerge w:val="continue"/>
                  <w:vAlign w:val="center"/>
                </w:tcPr>
                <w:p w14:paraId="26570FD9">
                  <w:pPr>
                    <w:adjustRightInd w:val="0"/>
                    <w:snapToGrid w:val="0"/>
                    <w:jc w:val="center"/>
                    <w:rPr>
                      <w:rFonts w:eastAsia="仿宋_GB2312"/>
                      <w:color w:val="000000"/>
                      <w:kern w:val="0"/>
                      <w:sz w:val="21"/>
                      <w:szCs w:val="21"/>
                    </w:rPr>
                  </w:pPr>
                </w:p>
              </w:tc>
            </w:tr>
            <w:tr w14:paraId="00FA31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2" w:type="pct"/>
                  <w:vAlign w:val="center"/>
                </w:tcPr>
                <w:p w14:paraId="5AEBD326">
                  <w:pPr>
                    <w:pStyle w:val="69"/>
                    <w:adjustRightInd w:val="0"/>
                    <w:snapToGrid w:val="0"/>
                    <w:jc w:val="center"/>
                    <w:rPr>
                      <w:rFonts w:ascii="Times New Roman" w:hAnsi="Times New Roman" w:eastAsia="仿宋_GB2312" w:cs="Times New Roman"/>
                      <w:snapToGrid w:val="0"/>
                      <w:color w:val="000000"/>
                      <w:kern w:val="0"/>
                      <w:sz w:val="21"/>
                      <w:szCs w:val="21"/>
                    </w:rPr>
                  </w:pPr>
                  <w:r>
                    <w:rPr>
                      <w:rFonts w:ascii="Times New Roman" w:hAnsi="Times New Roman" w:eastAsia="仿宋_GB2312" w:cs="Times New Roman"/>
                      <w:snapToGrid w:val="0"/>
                      <w:color w:val="000000"/>
                      <w:kern w:val="0"/>
                      <w:sz w:val="21"/>
                      <w:szCs w:val="21"/>
                    </w:rPr>
                    <w:t>中盐金坛盐化有限责任公司金坛盐矿</w:t>
                  </w:r>
                  <w:r>
                    <w:rPr>
                      <w:rFonts w:hint="eastAsia" w:ascii="Times New Roman" w:hAnsi="Times New Roman" w:eastAsia="仿宋_GB2312" w:cs="Times New Roman"/>
                      <w:snapToGrid w:val="0"/>
                      <w:color w:val="000000"/>
                      <w:kern w:val="0"/>
                      <w:sz w:val="21"/>
                      <w:szCs w:val="21"/>
                    </w:rPr>
                    <w:t>项目</w:t>
                  </w:r>
                </w:p>
              </w:tc>
              <w:tc>
                <w:tcPr>
                  <w:tcW w:w="1077" w:type="pct"/>
                  <w:vAlign w:val="center"/>
                </w:tcPr>
                <w:p w14:paraId="44CB1214">
                  <w:pPr>
                    <w:pStyle w:val="69"/>
                    <w:adjustRightInd w:val="0"/>
                    <w:snapToGrid w:val="0"/>
                    <w:jc w:val="center"/>
                    <w:rPr>
                      <w:rFonts w:ascii="Times New Roman" w:hAnsi="Times New Roman" w:eastAsia="仿宋_GB2312" w:cs="Times New Roman"/>
                      <w:snapToGrid w:val="0"/>
                      <w:color w:val="000000"/>
                      <w:kern w:val="0"/>
                      <w:sz w:val="21"/>
                      <w:szCs w:val="21"/>
                    </w:rPr>
                  </w:pPr>
                  <w:r>
                    <w:rPr>
                      <w:rFonts w:ascii="Times New Roman" w:hAnsi="Times New Roman" w:eastAsia="仿宋_GB2312" w:cs="Times New Roman"/>
                      <w:snapToGrid w:val="0"/>
                      <w:color w:val="000000"/>
                      <w:kern w:val="0"/>
                      <w:sz w:val="21"/>
                      <w:szCs w:val="21"/>
                    </w:rPr>
                    <w:t>新金冠矿区5口采卤井及配套设施、岗龙矿区8口采卤井及配套设施、茅兴盐矿16口采卤井及配套设施、赵家棚矿区11口采卤井及配套设施、矿区采输卤管线（3km长采输卤管线）、外输卤管线（φ630mm，18km长外输卤管线）、集卤中心（4×2800t储卤罐及配套设施）。</w:t>
                  </w:r>
                </w:p>
              </w:tc>
              <w:tc>
                <w:tcPr>
                  <w:tcW w:w="919" w:type="pct"/>
                  <w:vAlign w:val="center"/>
                </w:tcPr>
                <w:p w14:paraId="36456940">
                  <w:pPr>
                    <w:pStyle w:val="69"/>
                    <w:adjustRightInd w:val="0"/>
                    <w:snapToGrid w:val="0"/>
                    <w:jc w:val="center"/>
                    <w:rPr>
                      <w:rFonts w:ascii="Times New Roman" w:hAnsi="Times New Roman" w:eastAsia="仿宋_GB2312" w:cs="Times New Roman"/>
                      <w:snapToGrid w:val="0"/>
                      <w:color w:val="000000"/>
                      <w:kern w:val="0"/>
                      <w:sz w:val="21"/>
                      <w:szCs w:val="21"/>
                    </w:rPr>
                  </w:pPr>
                  <w:r>
                    <w:rPr>
                      <w:rFonts w:ascii="Times New Roman" w:hAnsi="Times New Roman" w:eastAsia="仿宋_GB2312" w:cs="Times New Roman"/>
                      <w:snapToGrid w:val="0"/>
                      <w:color w:val="000000"/>
                      <w:kern w:val="0"/>
                      <w:sz w:val="21"/>
                      <w:szCs w:val="21"/>
                    </w:rPr>
                    <w:t>坛环管字(2007)第11号</w:t>
                  </w:r>
                </w:p>
              </w:tc>
              <w:tc>
                <w:tcPr>
                  <w:tcW w:w="659" w:type="pct"/>
                  <w:vAlign w:val="center"/>
                </w:tcPr>
                <w:p w14:paraId="1481C37D">
                  <w:pPr>
                    <w:pStyle w:val="69"/>
                    <w:adjustRightInd w:val="0"/>
                    <w:snapToGrid w:val="0"/>
                    <w:jc w:val="center"/>
                    <w:rPr>
                      <w:rFonts w:ascii="Times New Roman" w:hAnsi="Times New Roman" w:eastAsia="仿宋_GB2312" w:cs="Times New Roman"/>
                      <w:snapToGrid w:val="0"/>
                      <w:color w:val="000000"/>
                      <w:kern w:val="0"/>
                      <w:sz w:val="21"/>
                      <w:szCs w:val="21"/>
                    </w:rPr>
                  </w:pPr>
                  <w:r>
                    <w:rPr>
                      <w:rFonts w:ascii="Times New Roman" w:hAnsi="Times New Roman" w:eastAsia="仿宋_GB2312" w:cs="Times New Roman"/>
                      <w:snapToGrid w:val="0"/>
                      <w:color w:val="000000"/>
                      <w:kern w:val="0"/>
                      <w:sz w:val="21"/>
                      <w:szCs w:val="21"/>
                    </w:rPr>
                    <w:t>2007.7.12</w:t>
                  </w:r>
                </w:p>
              </w:tc>
              <w:tc>
                <w:tcPr>
                  <w:tcW w:w="914" w:type="pct"/>
                  <w:vAlign w:val="center"/>
                </w:tcPr>
                <w:p w14:paraId="0534AA92">
                  <w:pPr>
                    <w:pStyle w:val="69"/>
                    <w:adjustRightInd w:val="0"/>
                    <w:snapToGrid w:val="0"/>
                    <w:jc w:val="center"/>
                    <w:rPr>
                      <w:rFonts w:ascii="Times New Roman" w:hAnsi="Times New Roman" w:eastAsia="仿宋_GB2312" w:cs="Times New Roman"/>
                      <w:snapToGrid w:val="0"/>
                      <w:color w:val="000000"/>
                      <w:kern w:val="0"/>
                      <w:sz w:val="21"/>
                      <w:szCs w:val="21"/>
                    </w:rPr>
                  </w:pPr>
                  <w:r>
                    <w:rPr>
                      <w:rFonts w:ascii="Times New Roman" w:hAnsi="Times New Roman" w:eastAsia="仿宋_GB2312" w:cs="Times New Roman"/>
                      <w:snapToGrid w:val="0"/>
                      <w:color w:val="000000"/>
                      <w:kern w:val="0"/>
                      <w:sz w:val="21"/>
                      <w:szCs w:val="21"/>
                    </w:rPr>
                    <w:t>坛环验(2010)6号2010.5.13</w:t>
                  </w:r>
                </w:p>
              </w:tc>
              <w:tc>
                <w:tcPr>
                  <w:tcW w:w="610" w:type="pct"/>
                  <w:vAlign w:val="center"/>
                </w:tcPr>
                <w:p w14:paraId="2F9000C1">
                  <w:pPr>
                    <w:adjustRightInd w:val="0"/>
                    <w:snapToGrid w:val="0"/>
                    <w:jc w:val="center"/>
                    <w:rPr>
                      <w:rFonts w:eastAsia="仿宋_GB2312"/>
                      <w:color w:val="000000"/>
                      <w:kern w:val="0"/>
                      <w:sz w:val="21"/>
                      <w:szCs w:val="21"/>
                    </w:rPr>
                  </w:pPr>
                  <w:r>
                    <w:rPr>
                      <w:rFonts w:hint="eastAsia" w:eastAsia="仿宋_GB2312"/>
                      <w:color w:val="000000"/>
                      <w:kern w:val="0"/>
                      <w:sz w:val="21"/>
                      <w:szCs w:val="21"/>
                    </w:rPr>
                    <w:t>已生产</w:t>
                  </w:r>
                </w:p>
              </w:tc>
              <w:tc>
                <w:tcPr>
                  <w:tcW w:w="246" w:type="pct"/>
                  <w:vAlign w:val="center"/>
                </w:tcPr>
                <w:p w14:paraId="2606A073">
                  <w:pPr>
                    <w:pStyle w:val="2"/>
                    <w:spacing w:before="0" w:after="0" w:line="240" w:lineRule="auto"/>
                    <w:rPr>
                      <w:rFonts w:ascii="仿宋_GB2312" w:eastAsia="仿宋_GB2312"/>
                      <w:b w:val="0"/>
                      <w:bCs w:val="0"/>
                      <w:color w:val="000000"/>
                      <w:sz w:val="21"/>
                      <w:szCs w:val="21"/>
                    </w:rPr>
                  </w:pPr>
                  <w:bookmarkStart w:id="37" w:name="_Toc30300"/>
                  <w:bookmarkStart w:id="38" w:name="_Toc21532"/>
                  <w:r>
                    <w:rPr>
                      <w:rFonts w:hint="eastAsia" w:ascii="仿宋_GB2312" w:eastAsia="仿宋_GB2312"/>
                      <w:b w:val="0"/>
                      <w:bCs w:val="0"/>
                      <w:color w:val="000000"/>
                      <w:sz w:val="21"/>
                      <w:szCs w:val="21"/>
                    </w:rPr>
                    <w:t>盐矿区</w:t>
                  </w:r>
                  <w:bookmarkEnd w:id="37"/>
                  <w:bookmarkEnd w:id="38"/>
                </w:p>
              </w:tc>
            </w:tr>
            <w:tr w14:paraId="436117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2" w:type="pct"/>
                  <w:vAlign w:val="center"/>
                </w:tcPr>
                <w:p w14:paraId="46FC76BD">
                  <w:pPr>
                    <w:pStyle w:val="69"/>
                    <w:adjustRightInd w:val="0"/>
                    <w:snapToGrid w:val="0"/>
                    <w:jc w:val="center"/>
                    <w:rPr>
                      <w:rFonts w:ascii="Times New Roman" w:hAnsi="Times New Roman" w:eastAsia="仿宋_GB2312" w:cs="Times New Roman"/>
                      <w:snapToGrid w:val="0"/>
                      <w:color w:val="000000"/>
                      <w:kern w:val="0"/>
                      <w:sz w:val="21"/>
                      <w:szCs w:val="21"/>
                    </w:rPr>
                  </w:pPr>
                  <w:r>
                    <w:rPr>
                      <w:rFonts w:ascii="Times New Roman" w:hAnsi="Times New Roman" w:eastAsia="仿宋_GB2312" w:cs="Times New Roman"/>
                      <w:snapToGrid w:val="0"/>
                      <w:color w:val="000000"/>
                      <w:kern w:val="0"/>
                      <w:sz w:val="21"/>
                      <w:szCs w:val="21"/>
                    </w:rPr>
                    <w:t>中盐金坛盐化有限责任公司输卤管线扩建工程</w:t>
                  </w:r>
                </w:p>
              </w:tc>
              <w:tc>
                <w:tcPr>
                  <w:tcW w:w="1077" w:type="pct"/>
                  <w:vAlign w:val="center"/>
                </w:tcPr>
                <w:p w14:paraId="2D81E7CD">
                  <w:pPr>
                    <w:pStyle w:val="69"/>
                    <w:adjustRightInd w:val="0"/>
                    <w:snapToGrid w:val="0"/>
                    <w:jc w:val="center"/>
                    <w:rPr>
                      <w:rFonts w:ascii="Times New Roman" w:hAnsi="Times New Roman" w:eastAsia="仿宋_GB2312" w:cs="Times New Roman"/>
                      <w:snapToGrid w:val="0"/>
                      <w:color w:val="000000"/>
                      <w:kern w:val="0"/>
                      <w:sz w:val="21"/>
                      <w:szCs w:val="21"/>
                    </w:rPr>
                  </w:pPr>
                  <w:r>
                    <w:rPr>
                      <w:rFonts w:ascii="Times New Roman" w:hAnsi="Times New Roman" w:eastAsia="仿宋_GB2312" w:cs="Times New Roman"/>
                      <w:snapToGrid w:val="0"/>
                      <w:color w:val="000000"/>
                      <w:kern w:val="0"/>
                      <w:sz w:val="21"/>
                      <w:szCs w:val="21"/>
                    </w:rPr>
                    <w:t>1#线茅兴盐矿—新金冠盐矿，全长约6km；2#线新金冠盐矿—金赛盐厂，全长约18km；3#线茅东水库—新金冠盐矿，全长约18km。</w:t>
                  </w:r>
                </w:p>
              </w:tc>
              <w:tc>
                <w:tcPr>
                  <w:tcW w:w="919" w:type="pct"/>
                  <w:vAlign w:val="center"/>
                </w:tcPr>
                <w:p w14:paraId="73011C36">
                  <w:pPr>
                    <w:pStyle w:val="69"/>
                    <w:adjustRightInd w:val="0"/>
                    <w:snapToGrid w:val="0"/>
                    <w:jc w:val="center"/>
                    <w:rPr>
                      <w:rFonts w:ascii="Times New Roman" w:hAnsi="Times New Roman" w:eastAsia="仿宋_GB2312" w:cs="Times New Roman"/>
                      <w:snapToGrid w:val="0"/>
                      <w:color w:val="000000"/>
                      <w:kern w:val="0"/>
                      <w:sz w:val="21"/>
                      <w:szCs w:val="21"/>
                    </w:rPr>
                  </w:pPr>
                  <w:r>
                    <w:rPr>
                      <w:rFonts w:ascii="Times New Roman" w:hAnsi="Times New Roman" w:eastAsia="仿宋_GB2312" w:cs="Times New Roman"/>
                      <w:snapToGrid w:val="0"/>
                      <w:color w:val="000000"/>
                      <w:kern w:val="0"/>
                      <w:sz w:val="21"/>
                      <w:szCs w:val="21"/>
                    </w:rPr>
                    <w:t>坛环审[2011]126</w:t>
                  </w:r>
                </w:p>
                <w:p w14:paraId="0B7941B0">
                  <w:pPr>
                    <w:pStyle w:val="69"/>
                    <w:adjustRightInd w:val="0"/>
                    <w:snapToGrid w:val="0"/>
                    <w:jc w:val="center"/>
                    <w:rPr>
                      <w:rFonts w:ascii="Times New Roman" w:hAnsi="Times New Roman" w:eastAsia="仿宋_GB2312" w:cs="Times New Roman"/>
                      <w:snapToGrid w:val="0"/>
                      <w:color w:val="000000"/>
                      <w:kern w:val="0"/>
                      <w:sz w:val="21"/>
                      <w:szCs w:val="21"/>
                    </w:rPr>
                  </w:pPr>
                  <w:r>
                    <w:rPr>
                      <w:rFonts w:ascii="Times New Roman" w:hAnsi="Times New Roman" w:eastAsia="仿宋_GB2312" w:cs="Times New Roman"/>
                      <w:snapToGrid w:val="0"/>
                      <w:color w:val="000000"/>
                      <w:kern w:val="0"/>
                      <w:sz w:val="21"/>
                      <w:szCs w:val="21"/>
                    </w:rPr>
                    <w:t>号</w:t>
                  </w:r>
                </w:p>
              </w:tc>
              <w:tc>
                <w:tcPr>
                  <w:tcW w:w="659" w:type="pct"/>
                  <w:vAlign w:val="center"/>
                </w:tcPr>
                <w:p w14:paraId="266E801D">
                  <w:pPr>
                    <w:pStyle w:val="69"/>
                    <w:adjustRightInd w:val="0"/>
                    <w:snapToGrid w:val="0"/>
                    <w:jc w:val="center"/>
                    <w:rPr>
                      <w:rFonts w:ascii="Times New Roman" w:hAnsi="Times New Roman" w:eastAsia="仿宋_GB2312" w:cs="Times New Roman"/>
                      <w:snapToGrid w:val="0"/>
                      <w:color w:val="000000"/>
                      <w:kern w:val="0"/>
                      <w:sz w:val="21"/>
                      <w:szCs w:val="21"/>
                    </w:rPr>
                  </w:pPr>
                  <w:r>
                    <w:rPr>
                      <w:rFonts w:ascii="Times New Roman" w:hAnsi="Times New Roman" w:eastAsia="仿宋_GB2312" w:cs="Times New Roman"/>
                      <w:snapToGrid w:val="0"/>
                      <w:color w:val="000000"/>
                      <w:kern w:val="0"/>
                      <w:sz w:val="21"/>
                      <w:szCs w:val="21"/>
                    </w:rPr>
                    <w:t>2011.7.4</w:t>
                  </w:r>
                </w:p>
              </w:tc>
              <w:tc>
                <w:tcPr>
                  <w:tcW w:w="914" w:type="pct"/>
                  <w:vAlign w:val="center"/>
                </w:tcPr>
                <w:p w14:paraId="764F9C92">
                  <w:pPr>
                    <w:pStyle w:val="69"/>
                    <w:adjustRightInd w:val="0"/>
                    <w:snapToGrid w:val="0"/>
                    <w:jc w:val="center"/>
                    <w:rPr>
                      <w:rFonts w:ascii="Times New Roman" w:hAnsi="Times New Roman" w:eastAsia="仿宋_GB2312" w:cs="Times New Roman"/>
                      <w:snapToGrid w:val="0"/>
                      <w:color w:val="000000"/>
                      <w:kern w:val="0"/>
                      <w:sz w:val="21"/>
                      <w:szCs w:val="21"/>
                    </w:rPr>
                  </w:pPr>
                  <w:r>
                    <w:rPr>
                      <w:rFonts w:hint="eastAsia" w:ascii="Times New Roman" w:hAnsi="Times New Roman" w:eastAsia="仿宋_GB2312" w:cs="Times New Roman"/>
                      <w:snapToGrid w:val="0"/>
                      <w:color w:val="000000"/>
                      <w:kern w:val="0"/>
                      <w:sz w:val="21"/>
                      <w:szCs w:val="21"/>
                    </w:rPr>
                    <w:t>已验收</w:t>
                  </w:r>
                </w:p>
              </w:tc>
              <w:tc>
                <w:tcPr>
                  <w:tcW w:w="610" w:type="pct"/>
                  <w:vAlign w:val="center"/>
                </w:tcPr>
                <w:p w14:paraId="5073E9FB">
                  <w:pPr>
                    <w:adjustRightInd w:val="0"/>
                    <w:snapToGrid w:val="0"/>
                    <w:jc w:val="center"/>
                    <w:rPr>
                      <w:rFonts w:eastAsia="仿宋_GB2312"/>
                      <w:color w:val="000000"/>
                      <w:kern w:val="0"/>
                      <w:sz w:val="21"/>
                      <w:szCs w:val="21"/>
                    </w:rPr>
                  </w:pPr>
                  <w:r>
                    <w:rPr>
                      <w:rFonts w:hint="eastAsia" w:eastAsia="仿宋_GB2312"/>
                      <w:color w:val="000000"/>
                      <w:kern w:val="0"/>
                      <w:sz w:val="21"/>
                      <w:szCs w:val="21"/>
                    </w:rPr>
                    <w:t>已投入使用</w:t>
                  </w:r>
                </w:p>
              </w:tc>
              <w:tc>
                <w:tcPr>
                  <w:tcW w:w="246" w:type="pct"/>
                  <w:vAlign w:val="center"/>
                </w:tcPr>
                <w:p w14:paraId="0F946F18">
                  <w:pPr>
                    <w:adjustRightInd w:val="0"/>
                    <w:snapToGrid w:val="0"/>
                    <w:jc w:val="center"/>
                    <w:rPr>
                      <w:rFonts w:eastAsia="仿宋_GB2312"/>
                      <w:color w:val="000000"/>
                      <w:kern w:val="0"/>
                      <w:sz w:val="21"/>
                      <w:szCs w:val="21"/>
                    </w:rPr>
                  </w:pPr>
                  <w:r>
                    <w:rPr>
                      <w:rFonts w:hint="eastAsia" w:eastAsia="仿宋_GB2312"/>
                      <w:color w:val="000000"/>
                      <w:kern w:val="0"/>
                      <w:sz w:val="21"/>
                      <w:szCs w:val="21"/>
                    </w:rPr>
                    <w:t>盐矿区至盐厂路1号</w:t>
                  </w:r>
                </w:p>
              </w:tc>
            </w:tr>
            <w:bookmarkEnd w:id="36"/>
          </w:tbl>
          <w:p w14:paraId="7121176A">
            <w:pPr>
              <w:keepNext/>
              <w:keepLines/>
              <w:adjustRightInd w:val="0"/>
              <w:snapToGrid w:val="0"/>
              <w:spacing w:line="360" w:lineRule="auto"/>
              <w:ind w:firstLine="420" w:firstLineChars="200"/>
              <w:jc w:val="left"/>
              <w:rPr>
                <w:rFonts w:eastAsia="仿宋_GB2312"/>
              </w:rPr>
            </w:pPr>
            <w:r>
              <w:rPr>
                <w:rFonts w:eastAsia="仿宋_GB2312"/>
              </w:rPr>
              <w:t>根据验收资料，企业已投产项目均能履行环评批文中的要求</w:t>
            </w:r>
            <w:r>
              <w:rPr>
                <w:rFonts w:hint="eastAsia" w:eastAsia="仿宋_GB2312"/>
              </w:rPr>
              <w:t>。</w:t>
            </w:r>
          </w:p>
          <w:p w14:paraId="48D3559F">
            <w:pPr>
              <w:keepNext/>
              <w:keepLines/>
              <w:adjustRightInd w:val="0"/>
              <w:snapToGrid w:val="0"/>
              <w:spacing w:line="360" w:lineRule="auto"/>
              <w:ind w:firstLine="422" w:firstLineChars="200"/>
              <w:rPr>
                <w:rFonts w:eastAsia="仿宋_GB2312"/>
                <w:b/>
                <w:bCs/>
              </w:rPr>
            </w:pPr>
            <w:r>
              <w:rPr>
                <w:rFonts w:eastAsia="仿宋_GB2312"/>
                <w:b/>
                <w:bCs/>
              </w:rPr>
              <w:t>3、现有项目排污许可申报情况</w:t>
            </w:r>
          </w:p>
          <w:p w14:paraId="18EF6532">
            <w:pPr>
              <w:keepNext/>
              <w:keepLines/>
              <w:adjustRightInd w:val="0"/>
              <w:snapToGrid w:val="0"/>
              <w:spacing w:line="360" w:lineRule="auto"/>
              <w:ind w:firstLine="420" w:firstLineChars="200"/>
              <w:jc w:val="left"/>
              <w:rPr>
                <w:rFonts w:hint="default" w:eastAsia="仿宋_GB2312"/>
                <w:color w:val="31849B"/>
                <w:lang w:val="en-US" w:eastAsia="zh-CN"/>
              </w:rPr>
            </w:pPr>
            <w:r>
              <w:rPr>
                <w:rFonts w:eastAsia="仿宋_GB2312"/>
              </w:rPr>
              <w:t>企业于20</w:t>
            </w:r>
            <w:r>
              <w:rPr>
                <w:rFonts w:hint="eastAsia" w:eastAsia="仿宋_GB2312"/>
              </w:rPr>
              <w:t>24</w:t>
            </w:r>
            <w:r>
              <w:rPr>
                <w:rFonts w:eastAsia="仿宋_GB2312"/>
              </w:rPr>
              <w:t>年</w:t>
            </w:r>
            <w:r>
              <w:rPr>
                <w:rFonts w:hint="eastAsia" w:eastAsia="仿宋_GB2312"/>
              </w:rPr>
              <w:t>11</w:t>
            </w:r>
            <w:r>
              <w:rPr>
                <w:rFonts w:eastAsia="仿宋_GB2312"/>
              </w:rPr>
              <w:t>月</w:t>
            </w:r>
            <w:r>
              <w:rPr>
                <w:rFonts w:hint="eastAsia" w:eastAsia="仿宋_GB2312"/>
              </w:rPr>
              <w:t>21</w:t>
            </w:r>
            <w:r>
              <w:rPr>
                <w:rFonts w:eastAsia="仿宋_GB2312"/>
              </w:rPr>
              <w:t>日</w:t>
            </w:r>
            <w:r>
              <w:rPr>
                <w:rFonts w:hint="eastAsia" w:eastAsia="仿宋_GB2312"/>
              </w:rPr>
              <w:t>重新申领了</w:t>
            </w:r>
            <w:r>
              <w:rPr>
                <w:rFonts w:eastAsia="仿宋_GB2312"/>
              </w:rPr>
              <w:t>排污</w:t>
            </w:r>
            <w:r>
              <w:rPr>
                <w:rFonts w:hint="eastAsia" w:eastAsia="仿宋_GB2312"/>
              </w:rPr>
              <w:t>许可证</w:t>
            </w:r>
            <w:r>
              <w:rPr>
                <w:rFonts w:eastAsia="仿宋_GB2312"/>
              </w:rPr>
              <w:t>，排污许可类别为</w:t>
            </w:r>
            <w:r>
              <w:rPr>
                <w:rFonts w:hint="eastAsia" w:eastAsia="仿宋_GB2312"/>
              </w:rPr>
              <w:t>简化</w:t>
            </w:r>
            <w:r>
              <w:rPr>
                <w:rFonts w:eastAsia="仿宋_GB2312"/>
              </w:rPr>
              <w:t>管理，编号为</w:t>
            </w:r>
            <w:r>
              <w:rPr>
                <w:rFonts w:hint="eastAsia" w:eastAsia="仿宋_GB2312"/>
              </w:rPr>
              <w:t>91320413752722321U003Z</w:t>
            </w:r>
            <w:r>
              <w:rPr>
                <w:rFonts w:eastAsia="仿宋_GB2312"/>
              </w:rPr>
              <w:t>，</w:t>
            </w:r>
            <w:r>
              <w:rPr>
                <w:rFonts w:hint="eastAsia" w:eastAsia="仿宋_GB2312"/>
              </w:rPr>
              <w:t>有效期为2024年11月21日至2029年11月20日</w:t>
            </w:r>
            <w:r>
              <w:rPr>
                <w:rFonts w:eastAsia="仿宋_GB2312"/>
              </w:rPr>
              <w:t>。</w:t>
            </w:r>
            <w:r>
              <w:rPr>
                <w:rFonts w:hint="eastAsia" w:eastAsia="仿宋_GB2312"/>
                <w:lang w:val="en-US" w:eastAsia="zh-CN"/>
              </w:rPr>
              <w:t>参照《排污许可证自行监测指南 食品制造》（HJ1084-2020）定期进行例行监测，例行监测内容详见6、达标排放情况。</w:t>
            </w:r>
          </w:p>
          <w:p w14:paraId="47438C1B">
            <w:pPr>
              <w:keepNext/>
              <w:keepLines/>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eastAsia="仿宋_GB2312"/>
                <w:b/>
                <w:bCs/>
              </w:rPr>
            </w:pPr>
            <w:r>
              <w:rPr>
                <w:rFonts w:hint="eastAsia" w:eastAsia="仿宋_GB2312"/>
                <w:b/>
                <w:bCs/>
              </w:rPr>
              <w:t>4、现有工艺及产污环节</w:t>
            </w:r>
          </w:p>
          <w:p w14:paraId="37EDF990">
            <w:pPr>
              <w:keepNext/>
              <w:keepLines/>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eastAsia="仿宋_GB2312"/>
                <w:b/>
                <w:bCs/>
              </w:rPr>
            </w:pPr>
            <w:r>
              <w:rPr>
                <w:rFonts w:hint="eastAsia" w:eastAsia="仿宋_GB2312"/>
                <w:b/>
                <w:bCs/>
              </w:rPr>
              <w:t>（</w:t>
            </w:r>
            <w:r>
              <w:rPr>
                <w:rFonts w:hint="eastAsia" w:eastAsia="仿宋_GB2312"/>
                <w:b/>
                <w:bCs/>
                <w:lang w:val="en-US" w:eastAsia="zh-CN"/>
              </w:rPr>
              <w:t>1</w:t>
            </w:r>
            <w:r>
              <w:rPr>
                <w:rFonts w:hint="eastAsia" w:eastAsia="仿宋_GB2312"/>
                <w:b/>
                <w:bCs/>
              </w:rPr>
              <w:t>）</w:t>
            </w:r>
            <w:r>
              <w:rPr>
                <w:rFonts w:hint="eastAsia" w:eastAsia="仿宋_GB2312"/>
                <w:b/>
                <w:color w:val="000000"/>
                <w:kern w:val="0"/>
              </w:rPr>
              <w:t>真空制盐工艺</w:t>
            </w:r>
          </w:p>
          <w:p w14:paraId="2E8CC049">
            <w:pPr>
              <w:pStyle w:val="16"/>
              <w:pageBreakBefore w:val="0"/>
              <w:widowControl w:val="0"/>
              <w:kinsoku/>
              <w:wordWrap/>
              <w:overflowPunct/>
              <w:topLinePunct w:val="0"/>
              <w:autoSpaceDE/>
              <w:autoSpaceDN/>
              <w:bidi w:val="0"/>
              <w:snapToGrid w:val="0"/>
              <w:spacing w:line="360" w:lineRule="auto"/>
              <w:ind w:firstLine="523"/>
              <w:textAlignment w:val="auto"/>
              <w:rPr>
                <w:rFonts w:hint="default" w:ascii="Times New Roman" w:hAnsi="Times New Roman" w:eastAsia="仿宋_GB2312" w:cs="Times New Roman"/>
                <w:kern w:val="2"/>
                <w:sz w:val="21"/>
                <w:szCs w:val="21"/>
                <w:lang w:val="en-US" w:eastAsia="zh-CN" w:bidi="ar-SA"/>
              </w:rPr>
            </w:pPr>
            <w:r>
              <w:rPr>
                <w:rFonts w:hint="eastAsia" w:ascii="Times New Roman" w:hAnsi="Times New Roman" w:eastAsia="仿宋_GB2312" w:cs="Times New Roman"/>
                <w:kern w:val="2"/>
                <w:sz w:val="21"/>
                <w:szCs w:val="21"/>
                <w:lang w:val="en-US" w:eastAsia="zh-CN" w:bidi="ar-SA"/>
              </w:rPr>
              <w:t>企业现有2条生产工序，分别为60万吨真空盐生产线、100万吨真空盐生产线。卤水净化为制盐的前处理工段，现有工程中一期60万吨真空盐项目卤水净化线为间歇CO2法，二期100万吨真空盐项目为</w:t>
            </w:r>
            <w:r>
              <w:rPr>
                <w:rFonts w:hint="eastAsia" w:eastAsia="仿宋_GB2312"/>
                <w:color w:val="000000"/>
                <w:kern w:val="0"/>
                <w:sz w:val="21"/>
                <w:szCs w:val="21"/>
                <w:lang w:val="en-US" w:eastAsia="zh-CN"/>
              </w:rPr>
              <w:t>两碱法。具体工艺见下图。</w:t>
            </w:r>
          </w:p>
          <w:p w14:paraId="56C78BEB">
            <w:pPr>
              <w:pStyle w:val="16"/>
              <w:snapToGrid w:val="0"/>
              <w:spacing w:line="500" w:lineRule="exact"/>
              <w:ind w:firstLine="523"/>
              <w:rPr>
                <w:rFonts w:ascii="Times New Roman" w:hAnsi="Times New Roman"/>
                <w:sz w:val="24"/>
              </w:rPr>
            </w:pPr>
          </w:p>
          <w:p w14:paraId="25D7F5D7">
            <w:pPr>
              <w:pStyle w:val="16"/>
              <w:snapToGrid w:val="0"/>
              <w:spacing w:line="500" w:lineRule="exact"/>
              <w:ind w:firstLine="523"/>
              <w:rPr>
                <w:rFonts w:ascii="Times New Roman" w:hAnsi="Times New Roman"/>
                <w:sz w:val="24"/>
              </w:rPr>
            </w:pPr>
          </w:p>
          <w:p w14:paraId="33568B6A">
            <w:pPr>
              <w:pStyle w:val="16"/>
              <w:snapToGrid w:val="0"/>
              <w:spacing w:line="500" w:lineRule="exact"/>
              <w:ind w:firstLine="523"/>
              <w:rPr>
                <w:rFonts w:ascii="Times New Roman" w:hAnsi="Times New Roman"/>
                <w:sz w:val="24"/>
              </w:rPr>
            </w:pPr>
          </w:p>
          <w:p w14:paraId="758542A9">
            <w:pPr>
              <w:pStyle w:val="16"/>
              <w:snapToGrid w:val="0"/>
              <w:spacing w:line="500" w:lineRule="exact"/>
              <w:ind w:firstLine="523"/>
              <w:rPr>
                <w:rFonts w:ascii="Times New Roman" w:hAnsi="Times New Roman"/>
                <w:sz w:val="24"/>
              </w:rPr>
            </w:pPr>
          </w:p>
          <w:p w14:paraId="53013848">
            <w:pPr>
              <w:pStyle w:val="16"/>
              <w:snapToGrid w:val="0"/>
              <w:spacing w:line="500" w:lineRule="exact"/>
              <w:ind w:firstLine="523"/>
              <w:rPr>
                <w:rFonts w:ascii="Times New Roman" w:hAnsi="Times New Roman"/>
                <w:sz w:val="24"/>
              </w:rPr>
            </w:pPr>
          </w:p>
          <w:p w14:paraId="0238A5B3">
            <w:pPr>
              <w:pStyle w:val="16"/>
              <w:snapToGrid w:val="0"/>
              <w:spacing w:line="500" w:lineRule="exact"/>
              <w:ind w:firstLine="523"/>
              <w:rPr>
                <w:rFonts w:ascii="Times New Roman" w:hAnsi="Times New Roman"/>
                <w:sz w:val="24"/>
              </w:rPr>
            </w:pPr>
          </w:p>
          <w:p w14:paraId="44668682">
            <w:pPr>
              <w:pStyle w:val="16"/>
              <w:snapToGrid w:val="0"/>
              <w:spacing w:line="500" w:lineRule="exact"/>
              <w:ind w:firstLine="523"/>
              <w:rPr>
                <w:rFonts w:ascii="Times New Roman" w:hAnsi="Times New Roman"/>
                <w:sz w:val="24"/>
              </w:rPr>
            </w:pPr>
          </w:p>
          <w:p w14:paraId="31234803">
            <w:pPr>
              <w:pStyle w:val="16"/>
              <w:snapToGrid w:val="0"/>
              <w:spacing w:line="500" w:lineRule="exact"/>
              <w:ind w:firstLine="523"/>
              <w:rPr>
                <w:rFonts w:ascii="Times New Roman" w:hAnsi="Times New Roman"/>
                <w:sz w:val="24"/>
              </w:rPr>
            </w:pPr>
          </w:p>
          <w:p w14:paraId="5D2881DF">
            <w:pPr>
              <w:pStyle w:val="16"/>
              <w:snapToGrid w:val="0"/>
              <w:spacing w:line="500" w:lineRule="exact"/>
              <w:ind w:firstLine="523"/>
              <w:rPr>
                <w:rFonts w:ascii="Times New Roman" w:hAnsi="Times New Roman"/>
                <w:sz w:val="24"/>
              </w:rPr>
            </w:pPr>
          </w:p>
          <w:p w14:paraId="62C0A1F8">
            <w:pPr>
              <w:pStyle w:val="16"/>
              <w:snapToGrid w:val="0"/>
              <w:spacing w:line="500" w:lineRule="exact"/>
              <w:ind w:firstLine="523"/>
              <w:rPr>
                <w:rFonts w:ascii="Times New Roman" w:hAnsi="Times New Roman"/>
                <w:sz w:val="24"/>
              </w:rPr>
            </w:pPr>
          </w:p>
          <w:p w14:paraId="0BA43EAA">
            <w:pPr>
              <w:pStyle w:val="16"/>
              <w:snapToGrid w:val="0"/>
              <w:spacing w:line="500" w:lineRule="exact"/>
              <w:ind w:firstLine="523"/>
              <w:rPr>
                <w:rFonts w:ascii="Times New Roman" w:hAnsi="Times New Roman"/>
                <w:sz w:val="24"/>
              </w:rPr>
            </w:pPr>
          </w:p>
          <w:p w14:paraId="65C64C87">
            <w:pPr>
              <w:pStyle w:val="16"/>
              <w:snapToGrid w:val="0"/>
              <w:spacing w:line="500" w:lineRule="exact"/>
              <w:ind w:firstLine="523"/>
              <w:rPr>
                <w:rFonts w:ascii="Times New Roman" w:hAnsi="Times New Roman"/>
                <w:sz w:val="24"/>
              </w:rPr>
            </w:pPr>
          </w:p>
          <w:p w14:paraId="047A2B14">
            <w:pPr>
              <w:pStyle w:val="16"/>
              <w:snapToGrid w:val="0"/>
              <w:spacing w:line="500" w:lineRule="exact"/>
              <w:ind w:firstLine="523"/>
              <w:rPr>
                <w:rFonts w:ascii="Times New Roman" w:hAnsi="Times New Roman"/>
                <w:sz w:val="24"/>
              </w:rPr>
            </w:pPr>
          </w:p>
          <w:p w14:paraId="0CEF3BF1">
            <w:pPr>
              <w:pStyle w:val="16"/>
              <w:snapToGrid w:val="0"/>
              <w:spacing w:line="500" w:lineRule="exact"/>
              <w:ind w:firstLine="523"/>
              <w:rPr>
                <w:rFonts w:ascii="Times New Roman" w:hAnsi="Times New Roman"/>
                <w:sz w:val="24"/>
              </w:rPr>
            </w:pPr>
            <w:r>
              <w:rPr>
                <w:rFonts w:ascii="Times New Roman" w:hAnsi="Times New Roman"/>
                <w:sz w:val="24"/>
              </w:rPr>
              <w:pict>
                <v:shape id="_x0000_s2326" o:spid="_x0000_s2326" o:spt="202" type="#_x0000_t202" style="position:absolute;left:0pt;margin-left:13.8pt;margin-top:1.05pt;height:59.75pt;width:91.55pt;z-index:251805696;mso-width-relative:page;mso-height-relative:page;" filled="f" stroked="f" coordsize="21600,21600" o:gfxdata="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CLQUwTXAAAACQEAAA8AAAAAAAAAAQAgAAAAIgAAAGRycy9kb3du&#10;cmV2LnhtbFBLAQIUABQAAAAIAIdO4kCLYcJ3xwEAAIUDAAAOAAAAAAAAAAEAIAAAACYBAABkcnMv&#10;ZTJvRG9jLnhtbFBLBQYAAAAABgAGAFkBAABfBQAAAAA=&#10;">
                  <v:path/>
                  <v:fill on="f" focussize="0,0"/>
                  <v:stroke on="f"/>
                  <v:imagedata o:title=""/>
                  <o:lock v:ext="edit" aspectratio="f"/>
                  <v:textbox inset="1.5mm,1.27mm,0.5mm,1.27mm">
                    <w:txbxContent>
                      <w:p w14:paraId="59E11746">
                        <w:pPr>
                          <w:spacing w:line="320" w:lineRule="exact"/>
                          <w:rPr>
                            <w:rFonts w:hint="default" w:eastAsia="宋体"/>
                            <w:lang w:val="en-US" w:eastAsia="zh-CN"/>
                          </w:rPr>
                        </w:pPr>
                        <w:r>
                          <w:rPr>
                            <w:rFonts w:hint="eastAsia"/>
                            <w:lang w:val="en-US" w:eastAsia="zh-CN"/>
                          </w:rPr>
                          <w:t>生石灰、纯碱</w:t>
                        </w:r>
                      </w:p>
                      <w:p w14:paraId="6D5CE9B3">
                        <w:pPr>
                          <w:spacing w:line="320" w:lineRule="exact"/>
                          <w:rPr>
                            <w:rFonts w:hint="eastAsia"/>
                            <w:lang w:val="en-US" w:eastAsia="zh-CN"/>
                          </w:rPr>
                        </w:pPr>
                        <w:r>
                          <w:rPr>
                            <w:rFonts w:hint="eastAsia"/>
                            <w:lang w:val="en-US" w:eastAsia="zh-CN"/>
                          </w:rPr>
                          <w:t>阻垢剂</w:t>
                        </w:r>
                        <w:r>
                          <w:rPr>
                            <w:rFonts w:hint="eastAsia"/>
                          </w:rPr>
                          <w:t>、</w:t>
                        </w:r>
                        <w:r>
                          <w:rPr>
                            <w:rFonts w:hint="eastAsia"/>
                            <w:lang w:val="en-US" w:eastAsia="zh-CN"/>
                          </w:rPr>
                          <w:t>絮凝剂</w:t>
                        </w:r>
                      </w:p>
                      <w:p w14:paraId="442C5E33">
                        <w:pPr>
                          <w:spacing w:line="320" w:lineRule="exact"/>
                          <w:rPr>
                            <w:rFonts w:hint="default" w:eastAsia="宋体"/>
                            <w:lang w:val="en-US" w:eastAsia="zh-CN"/>
                          </w:rPr>
                        </w:pPr>
                        <w:r>
                          <w:rPr>
                            <w:rFonts w:hint="eastAsia"/>
                            <w:lang w:val="en-US" w:eastAsia="zh-CN"/>
                          </w:rPr>
                          <w:t>烟道气、冷凝水</w:t>
                        </w:r>
                      </w:p>
                      <w:p w14:paraId="76170889">
                        <w:pPr>
                          <w:spacing w:line="320" w:lineRule="exact"/>
                        </w:pPr>
                      </w:p>
                    </w:txbxContent>
                  </v:textbox>
                </v:shape>
              </w:pict>
            </w:r>
            <w:r>
              <w:rPr>
                <w:rFonts w:ascii="Times New Roman" w:hAnsi="Times New Roman"/>
                <w:sz w:val="24"/>
              </w:rPr>
              <w:pict>
                <v:shape id="_x0000_s2327" o:spid="_x0000_s2327" o:spt="202" type="#_x0000_t202" style="position:absolute;left:0pt;margin-left:135pt;margin-top:14pt;height:23.4pt;width:27pt;z-index:251803648;mso-width-relative:page;mso-height-relative:page;" stroked="f" coordsize="21600,21600" o:gfxdata="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Ch9Nz1wAAAAkBAAAPAAAAAAAAAAEA&#10;IAAAACIAAABkcnMvZG93bnJldi54bWxQSwECFAAUAAAACACHTuJAiyaC/NcBAACmAwAADgAAAAAA&#10;AAABACAAAAAmAQAAZHJzL2Uyb0RvYy54bWxQSwUGAAAAAAYABgBZAQAAbwUAAAAA&#10;">
                  <v:path/>
                  <v:fill focussize="0,0"/>
                  <v:stroke on="f" joinstyle="miter"/>
                  <v:imagedata o:title=""/>
                  <o:lock v:ext="edit"/>
                  <v:textbox inset="0mm,1.27mm,0mm,1.27mm">
                    <w:txbxContent>
                      <w:p w14:paraId="5BA3968C">
                        <w:pPr>
                          <w:spacing w:line="320" w:lineRule="exact"/>
                          <w:jc w:val="center"/>
                        </w:pPr>
                        <w:r>
                          <w:rPr>
                            <w:rFonts w:hint="eastAsia"/>
                          </w:rPr>
                          <w:t>原卤</w:t>
                        </w:r>
                      </w:p>
                    </w:txbxContent>
                  </v:textbox>
                </v:shape>
              </w:pict>
            </w:r>
            <w:r>
              <w:rPr>
                <w:rFonts w:ascii="Times New Roman" w:hAnsi="Times New Roman"/>
                <w:sz w:val="24"/>
              </w:rPr>
              <w:pict>
                <v:line id="_x0000_s2328" o:spid="_x0000_s2328" o:spt="20" style="position:absolute;left:0pt;margin-left:135pt;margin-top:23.4pt;height:27pt;width:0pt;z-index:251815936;mso-width-relative:page;mso-height-relative:page;" coordsize="21600,21600" o:gfxdata="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Z6zzD2AAAAAoBAAAPAAAAAAAAAAEAIAAAACIAAABkcnMvZG93bnJl&#10;di54bWxQSwECFAAUAAAACACHTuJAa1Sj//0BAADrAwAADgAAAAAAAAABACAAAAAnAQAAZHJzL2Uy&#10;b0RvYy54bWxQSwUGAAAAAAYABgBZAQAAlgUAAAAA&#10;">
                  <v:path arrowok="t"/>
                  <v:fill focussize="0,0"/>
                  <v:stroke endarrow="block"/>
                  <v:imagedata o:title=""/>
                  <o:lock v:ext="edit"/>
                </v:line>
              </w:pict>
            </w:r>
          </w:p>
          <w:p w14:paraId="02174D32">
            <w:pPr>
              <w:pStyle w:val="16"/>
              <w:snapToGrid w:val="0"/>
              <w:spacing w:line="500" w:lineRule="exact"/>
              <w:ind w:firstLine="523"/>
              <w:rPr>
                <w:rFonts w:ascii="Times New Roman" w:hAnsi="Times New Roman"/>
                <w:sz w:val="24"/>
              </w:rPr>
            </w:pPr>
            <w:r>
              <w:rPr>
                <w:rFonts w:ascii="Times New Roman" w:hAnsi="Times New Roman"/>
                <w:sz w:val="24"/>
              </w:rPr>
              <w:pict>
                <v:shape id="_x0000_s2329" o:spid="_x0000_s2329" o:spt="202" type="#_x0000_t202" style="position:absolute;left:0pt;margin-left:297pt;margin-top:20.2pt;height:23.4pt;width:45pt;z-index:251821056;mso-width-relative:page;mso-height-relative:page;" filled="f" stroked="f" coordsize="21600,21600" o:gfxdata="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PliJvHaAAAACQEAAA8AAAAAAAAAAQAgAAAAIgAAAGRycy9kb3ducmV2&#10;LnhtbFBLAQIUABQAAAAIAIdO4kD5Ogl6wQEAAH0DAAAOAAAAAAAAAAEAIAAAACkBAABkcnMvZTJv&#10;RG9jLnhtbFBLBQYAAAAABgAGAFkBAABcBQAAAAA=&#10;">
                  <v:path/>
                  <v:fill on="f" focussize="0,0"/>
                  <v:stroke on="f" joinstyle="miter"/>
                  <v:imagedata o:title=""/>
                  <o:lock v:ext="edit"/>
                  <v:textbox inset="0mm,1.27mm,0mm,1.27mm">
                    <w:txbxContent>
                      <w:p w14:paraId="36FB3270">
                        <w:pPr>
                          <w:spacing w:line="320" w:lineRule="exact"/>
                          <w:jc w:val="center"/>
                        </w:pPr>
                        <w:r>
                          <w:rPr>
                            <w:rFonts w:hint="eastAsia"/>
                          </w:rPr>
                          <w:t>S</w:t>
                        </w:r>
                        <w:r>
                          <w:rPr>
                            <w:rFonts w:hint="eastAsia"/>
                            <w:vertAlign w:val="subscript"/>
                          </w:rPr>
                          <w:t>1</w:t>
                        </w:r>
                        <w:r>
                          <w:rPr>
                            <w:rFonts w:hint="eastAsia"/>
                          </w:rPr>
                          <w:t>盐泥</w:t>
                        </w:r>
                      </w:p>
                    </w:txbxContent>
                  </v:textbox>
                </v:shape>
              </w:pict>
            </w:r>
            <w:r>
              <w:rPr>
                <w:rFonts w:ascii="Times New Roman" w:hAnsi="Times New Roman"/>
                <w:sz w:val="24"/>
              </w:rPr>
              <w:pict>
                <v:shape id="_x0000_s2330" o:spid="_x0000_s2330" o:spt="202" type="#_x0000_t202" style="position:absolute;left:0pt;margin-left:189pt;margin-top:14pt;height:23.4pt;width:27pt;z-index:251794432;mso-width-relative:page;mso-height-relative:page;" stroked="f" coordsize="21600,21600" o:gfxdata="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0qPV1dgAAAAJAQAADwAAAAAAAAAB&#10;ACAAAAAiAAAAZHJzL2Rvd25yZXYueG1sUEsBAhQAFAAAAAgAh07iQD/Vv0DXAQAApgMAAA4AAAAA&#10;AAAAAQAgAAAAJwEAAGRycy9lMm9Eb2MueG1sUEsFBgAAAAAGAAYAWQEAAHAFAAAAAA==&#10;">
                  <v:path/>
                  <v:fill focussize="0,0"/>
                  <v:stroke on="f" joinstyle="miter"/>
                  <v:imagedata o:title=""/>
                  <o:lock v:ext="edit"/>
                  <v:textbox inset="0mm,1.27mm,0mm,1.27mm">
                    <w:txbxContent>
                      <w:p w14:paraId="4ED0B84D">
                        <w:pPr>
                          <w:spacing w:line="320" w:lineRule="exact"/>
                          <w:jc w:val="center"/>
                        </w:pPr>
                        <w:r>
                          <w:rPr>
                            <w:rFonts w:hint="eastAsia"/>
                          </w:rPr>
                          <w:t>盐泥</w:t>
                        </w:r>
                      </w:p>
                    </w:txbxContent>
                  </v:textbox>
                </v:shape>
              </w:pict>
            </w:r>
            <w:r>
              <w:rPr>
                <w:rFonts w:ascii="Times New Roman" w:hAnsi="Times New Roman"/>
                <w:sz w:val="24"/>
              </w:rPr>
              <w:pict>
                <v:shape id="_x0000_s2331" o:spid="_x0000_s2331" o:spt="202" type="#_x0000_t202" style="position:absolute;left:0pt;margin-left:117.15pt;margin-top:24.05pt;height:23.4pt;width:45pt;z-index:251806720;mso-width-relative:page;mso-height-relative:page;" coordsize="21600,21600" o:gfxdata="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tlT3q2AAAAAkBAAAPAAAAAAAAAAEA&#10;IAAAACIAAABkcnMvZG93bnJldi54bWxQSwECFAAUAAAACACHTuJALfaLEQ8CAAA5BAAADgAAAAAA&#10;AAABACAAAAAnAQAAZHJzL2Uyb0RvYy54bWxQSwUGAAAAAAYABgBZAQAAqAUAAAAA&#10;">
                  <v:path/>
                  <v:fill focussize="0,0"/>
                  <v:stroke joinstyle="miter"/>
                  <v:imagedata o:title=""/>
                  <o:lock v:ext="edit"/>
                  <v:textbox>
                    <w:txbxContent>
                      <w:p w14:paraId="4F4047D1">
                        <w:pPr>
                          <w:pStyle w:val="95"/>
                          <w:widowControl/>
                          <w:snapToGrid/>
                          <w:spacing w:line="320" w:lineRule="exact"/>
                          <w:rPr>
                            <w:rFonts w:ascii="Times New Roman"/>
                            <w:kern w:val="0"/>
                            <w:szCs w:val="21"/>
                          </w:rPr>
                        </w:pPr>
                        <w:r>
                          <w:rPr>
                            <w:rFonts w:hint="eastAsia" w:ascii="Times New Roman"/>
                            <w:kern w:val="0"/>
                            <w:szCs w:val="21"/>
                          </w:rPr>
                          <w:t>净化</w:t>
                        </w:r>
                      </w:p>
                    </w:txbxContent>
                  </v:textbox>
                </v:shape>
              </w:pict>
            </w:r>
          </w:p>
          <w:p w14:paraId="21D37168">
            <w:pPr>
              <w:pStyle w:val="16"/>
              <w:snapToGrid w:val="0"/>
              <w:spacing w:line="500" w:lineRule="exact"/>
              <w:ind w:firstLine="523"/>
              <w:rPr>
                <w:rFonts w:ascii="Times New Roman" w:hAnsi="Times New Roman"/>
                <w:sz w:val="24"/>
              </w:rPr>
            </w:pPr>
            <w:r>
              <w:rPr>
                <w:rFonts w:ascii="Times New Roman" w:hAnsi="Times New Roman"/>
                <w:sz w:val="24"/>
              </w:rPr>
              <w:pict>
                <v:line id="_x0000_s2332" o:spid="_x0000_s2332" o:spt="20" style="position:absolute;left:0pt;margin-left:0pt;margin-top:12.4pt;height:0pt;width:117pt;z-index:251809792;mso-width-relative:page;mso-height-relative:page;" coordsize="21600,21600" o:gfxdata="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OUJY31gAAAAYBAAAPAAAAAAAAAAEAIAAAACIAAABkcnMvZG93bnJl&#10;di54bWxQSwECFAAUAAAACACHTuJAFAnCF/8BAADsAwAADgAAAAAAAAABACAAAAAlAQAAZHJzL2Uy&#10;b0RvYy54bWxQSwUGAAAAAAYABgBZAQAAlgUAAAAA&#10;">
                  <v:path arrowok="t"/>
                  <v:fill focussize="0,0"/>
                  <v:stroke endarrow="block"/>
                  <v:imagedata o:title=""/>
                  <o:lock v:ext="edit"/>
                </v:line>
              </w:pict>
            </w:r>
            <w:r>
              <w:rPr>
                <w:rFonts w:ascii="Times New Roman" w:hAnsi="Times New Roman"/>
                <w:sz w:val="24"/>
              </w:rPr>
              <w:pict>
                <v:line id="_x0000_s2333" o:spid="_x0000_s2333" o:spt="20" style="position:absolute;left:0pt;margin-left:135pt;margin-top:22.45pt;height:21.15pt;width:0pt;z-index:251814912;mso-width-relative:page;mso-height-relative:page;" coordsize="21600,21600" o:gfxdata="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vW4r9kAAAAJAQAADwAAAAAAAAABACAAAAAiAAAAZHJzL2Rvd25y&#10;ZXYueG1sUEsBAhQAFAAAAAgAh07iQHhZcP39AQAA6wMAAA4AAAAAAAAAAQAgAAAAKAEAAGRycy9l&#10;Mm9Eb2MueG1sUEsFBgAAAAAGAAYAWQEAAJcFAAAAAA==&#10;">
                  <v:path arrowok="t"/>
                  <v:fill focussize="0,0"/>
                  <v:stroke endarrow="block"/>
                  <v:imagedata o:title=""/>
                  <o:lock v:ext="edit"/>
                </v:line>
              </w:pict>
            </w:r>
            <w:r>
              <w:rPr>
                <w:rFonts w:ascii="Times New Roman" w:hAnsi="Times New Roman"/>
                <w:sz w:val="24"/>
              </w:rPr>
              <w:pict>
                <v:shape id="_x0000_s2334" o:spid="_x0000_s2334" o:spt="202" type="#_x0000_t202" style="position:absolute;left:0pt;margin-left:189pt;margin-top:20.2pt;height:15.6pt;width:27pt;z-index:251795456;mso-width-relative:page;mso-height-relative:page;" stroked="f" coordsize="21600,21600" o:gfxdata="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KT5IXjbAAAACQEAAA8A&#10;AAAAAAAAAQAgAAAAIgAAAGRycy9kb3ducmV2LnhtbFBLAQIUABQAAAAIAIdO4kBMQIgT2wEAAKYD&#10;AAAOAAAAAAAAAAEAIAAAACoBAABkcnMvZTJvRG9jLnhtbFBLBQYAAAAABgAGAFkBAAB3BQAAAAA=&#10;">
                  <v:path/>
                  <v:fill focussize="0,0"/>
                  <v:stroke on="f" joinstyle="miter"/>
                  <v:imagedata o:title=""/>
                  <o:lock v:ext="edit"/>
                  <v:textbox inset="0mm,0.3mm,0mm,1.27mm">
                    <w:txbxContent>
                      <w:p w14:paraId="767A00AA">
                        <w:pPr>
                          <w:snapToGrid w:val="0"/>
                          <w:jc w:val="center"/>
                        </w:pPr>
                        <w:r>
                          <w:rPr>
                            <w:rFonts w:hint="eastAsia"/>
                          </w:rPr>
                          <w:t>卤水</w:t>
                        </w:r>
                      </w:p>
                    </w:txbxContent>
                  </v:textbox>
                </v:shape>
              </w:pict>
            </w:r>
            <w:r>
              <w:rPr>
                <w:rFonts w:ascii="Times New Roman" w:hAnsi="Times New Roman"/>
                <w:sz w:val="24"/>
              </w:rPr>
              <w:pict>
                <v:shape id="_x0000_s2335" o:spid="_x0000_s2335" o:spt="202" type="#_x0000_t202" style="position:absolute;left:0pt;margin-left:135pt;margin-top:20.2pt;height:23.4pt;width:45pt;z-index:251804672;mso-width-relative:page;mso-height-relative:page;" stroked="f" coordsize="21600,21600" o:gfxdata="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QPeXD2AAAAAkBAAAPAAAAAAAAAAEA&#10;IAAAACIAAABkcnMvZG93bnJldi54bWxQSwECFAAUAAAACACHTuJAQZGUsdYBAACmAwAADgAAAAAA&#10;AAABACAAAAAnAQAAZHJzL2Uyb0RvYy54bWxQSwUGAAAAAAYABgBZAQAAbwUAAAAA&#10;">
                  <v:path/>
                  <v:fill focussize="0,0"/>
                  <v:stroke on="f" joinstyle="miter"/>
                  <v:imagedata o:title=""/>
                  <o:lock v:ext="edit"/>
                  <v:textbox inset="0mm,1.27mm,0mm,1.27mm">
                    <w:txbxContent>
                      <w:p w14:paraId="3AC23B5C">
                        <w:pPr>
                          <w:spacing w:line="320" w:lineRule="exact"/>
                          <w:jc w:val="center"/>
                        </w:pPr>
                        <w:r>
                          <w:rPr>
                            <w:rFonts w:hint="eastAsia"/>
                          </w:rPr>
                          <w:t>精卤</w:t>
                        </w:r>
                      </w:p>
                    </w:txbxContent>
                  </v:textbox>
                </v:shape>
              </w:pict>
            </w:r>
            <w:r>
              <w:rPr>
                <w:rFonts w:ascii="Times New Roman" w:hAnsi="Times New Roman"/>
                <w:sz w:val="24"/>
              </w:rPr>
              <w:pict>
                <v:line id="_x0000_s2336" o:spid="_x0000_s2336" o:spt="20" style="position:absolute;left:0pt;margin-left:162pt;margin-top:18.6pt;height:0pt;width:81pt;z-index:251817984;mso-width-relative:page;mso-height-relative:page;" coordsize="21600,21600" o:gfxdata="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p/4mrZAAAACQEAAA8AAAAAAAAAAQAgAAAAIgAAAGRycy9kb3du&#10;cmV2LnhtbFBLAQIUABQAAAAIAIdO4kBF1RfX/gEAAOwDAAAOAAAAAAAAAAEAIAAAACgBAABkcnMv&#10;ZTJvRG9jLnhtbFBLBQYAAAAABgAGAFkBAACYBQAAAAA=&#10;">
                  <v:path arrowok="t"/>
                  <v:fill focussize="0,0"/>
                  <v:stroke startarrow="block"/>
                  <v:imagedata o:title=""/>
                  <o:lock v:ext="edit"/>
                </v:line>
              </w:pict>
            </w:r>
            <w:r>
              <w:rPr>
                <w:rFonts w:ascii="Times New Roman" w:hAnsi="Times New Roman"/>
                <w:sz w:val="24"/>
              </w:rPr>
              <w:pict>
                <v:line id="_x0000_s2337" o:spid="_x0000_s2337" o:spt="20" style="position:absolute;left:0pt;margin-left:162pt;margin-top:10.8pt;height:0pt;width:81pt;z-index:251816960;mso-width-relative:page;mso-height-relative:page;" coordsize="21600,21600" o:gfxdata="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mXOW9gAAAAJAQAADwAAAAAAAAABACAAAAAiAAAAZHJzL2Rvd25y&#10;ZXYueG1sUEsBAhQAFAAAAAgAh07iQMeOAtv+AQAA7AMAAA4AAAAAAAAAAQAgAAAAJwEAAGRycy9l&#10;Mm9Eb2MueG1sUEsFBgAAAAAGAAYAWQEAAJcFAAAAAA==&#10;">
                  <v:path arrowok="t"/>
                  <v:fill focussize="0,0"/>
                  <v:stroke endarrow="block"/>
                  <v:imagedata o:title=""/>
                  <o:lock v:ext="edit"/>
                </v:line>
              </w:pict>
            </w:r>
            <w:r>
              <w:rPr>
                <w:rFonts w:ascii="Times New Roman" w:hAnsi="Times New Roman"/>
                <w:sz w:val="24"/>
              </w:rPr>
              <w:pict>
                <v:line id="_x0000_s2338" o:spid="_x0000_s2338" o:spt="20" style="position:absolute;left:0pt;margin-left:288pt;margin-top:18.6pt;height:0pt;width:44.95pt;z-index:251820032;mso-width-relative:page;mso-height-relative:page;" coordsize="21600,21600" o:gfxdata="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XmnYTYAAAACQEAAA8AAAAAAAAAAQAgAAAAIgAAAGRycy9kb3ducmV2&#10;LnhtbFBLAQIUABQAAAAIAIdO4kBdWtzc/AEAAOsDAAAOAAAAAAAAAAEAIAAAACcBAABkcnMvZTJv&#10;RG9jLnhtbFBLBQYAAAAABgAGAFkBAACVBQAAAAA=&#10;">
                  <v:path arrowok="t"/>
                  <v:fill focussize="0,0"/>
                  <v:stroke endarrow="block"/>
                  <v:imagedata o:title=""/>
                  <o:lock v:ext="edit"/>
                </v:line>
              </w:pict>
            </w:r>
            <w:r>
              <w:rPr>
                <w:rFonts w:ascii="Times New Roman" w:hAnsi="Times New Roman"/>
                <w:sz w:val="24"/>
              </w:rPr>
              <w:pict>
                <v:shape id="_x0000_s2339" o:spid="_x0000_s2339" o:spt="202" type="#_x0000_t202" style="position:absolute;left:0pt;margin-left:243pt;margin-top:3pt;height:23.4pt;width:45pt;z-index:251819008;mso-width-relative:page;mso-height-relative:page;" coordsize="21600,21600" o:gfxdata="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WUOSYNYAAAAIAQAADwAAAAAAAAABACAA&#10;AAAiAAAAZHJzL2Rvd25yZXYueG1sUEsBAhQAFAAAAAgAh07iQFb5P08PAgAAOQQAAA4AAAAAAAAA&#10;AQAgAAAAJQEAAGRycy9lMm9Eb2MueG1sUEsFBgAAAAAGAAYAWQEAAKYFAAAAAA==&#10;">
                  <v:path/>
                  <v:fill focussize="0,0"/>
                  <v:stroke joinstyle="miter"/>
                  <v:imagedata o:title=""/>
                  <o:lock v:ext="edit"/>
                  <v:textbox>
                    <w:txbxContent>
                      <w:p w14:paraId="30D94921">
                        <w:pPr>
                          <w:pStyle w:val="95"/>
                          <w:widowControl/>
                          <w:snapToGrid/>
                          <w:spacing w:line="320" w:lineRule="exact"/>
                          <w:rPr>
                            <w:rFonts w:ascii="Times New Roman"/>
                            <w:kern w:val="0"/>
                            <w:szCs w:val="21"/>
                          </w:rPr>
                        </w:pPr>
                        <w:r>
                          <w:rPr>
                            <w:rFonts w:hint="eastAsia" w:ascii="Times New Roman"/>
                            <w:kern w:val="0"/>
                            <w:szCs w:val="21"/>
                          </w:rPr>
                          <w:t>压滤</w:t>
                        </w:r>
                      </w:p>
                    </w:txbxContent>
                  </v:textbox>
                </v:shape>
              </w:pict>
            </w:r>
          </w:p>
          <w:p w14:paraId="5FC05983">
            <w:pPr>
              <w:pStyle w:val="16"/>
              <w:snapToGrid w:val="0"/>
              <w:spacing w:line="500" w:lineRule="exact"/>
              <w:ind w:firstLine="523"/>
              <w:rPr>
                <w:rFonts w:ascii="Times New Roman" w:hAnsi="Times New Roman"/>
                <w:sz w:val="24"/>
              </w:rPr>
            </w:pPr>
            <w:r>
              <w:rPr>
                <w:rFonts w:ascii="Times New Roman" w:hAnsi="Times New Roman"/>
                <w:sz w:val="24"/>
              </w:rPr>
              <w:pict>
                <v:shape id="_x0000_s2340" o:spid="_x0000_s2340" o:spt="202" type="#_x0000_t202" style="position:absolute;left:0pt;margin-left:117pt;margin-top:18.6pt;height:23.4pt;width:45pt;z-index:251807744;mso-width-relative:page;mso-height-relative:page;" coordsize="21600,21600" o:gfxdata="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4rGT82AAAAAkBAAAPAAAAAAAAAAEA&#10;IAAAACIAAABkcnMvZG93bnJldi54bWxQSwECFAAUAAAACACHTuJAFWF0WQ8CAAA5BAAADgAAAAAA&#10;AAABACAAAAAnAQAAZHJzL2Uyb0RvYy54bWxQSwUGAAAAAAYABgBZAQAAqAUAAAAA&#10;">
                  <v:path/>
                  <v:fill focussize="0,0"/>
                  <v:stroke joinstyle="miter"/>
                  <v:imagedata o:title=""/>
                  <o:lock v:ext="edit"/>
                  <v:textbox>
                    <w:txbxContent>
                      <w:p w14:paraId="78B077F4">
                        <w:pPr>
                          <w:spacing w:line="320" w:lineRule="exact"/>
                          <w:jc w:val="center"/>
                        </w:pPr>
                        <w:r>
                          <w:rPr>
                            <w:rFonts w:hint="eastAsia"/>
                          </w:rPr>
                          <w:t>预热</w:t>
                        </w:r>
                      </w:p>
                    </w:txbxContent>
                  </v:textbox>
                </v:shape>
              </w:pict>
            </w:r>
          </w:p>
          <w:p w14:paraId="1872840F">
            <w:pPr>
              <w:pStyle w:val="16"/>
              <w:snapToGrid w:val="0"/>
              <w:spacing w:line="500" w:lineRule="exact"/>
              <w:ind w:firstLine="523"/>
              <w:rPr>
                <w:rFonts w:ascii="Times New Roman" w:hAnsi="Times New Roman"/>
                <w:sz w:val="24"/>
              </w:rPr>
            </w:pPr>
            <w:r>
              <w:rPr>
                <w:rFonts w:ascii="Times New Roman" w:hAnsi="Times New Roman"/>
                <w:sz w:val="20"/>
              </w:rPr>
              <w:pict>
                <v:line id="_x0000_s2341" o:spid="_x0000_s2341" o:spt="20" style="position:absolute;left:0pt;flip:y;margin-left:261pt;margin-top:1.4pt;height:304.2pt;width:0pt;z-index:251888640;mso-width-relative:page;mso-height-relative:page;" stroked="t" coordsize="21600,21600" o:gfxdata="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5bti7VAAAACQEAAA8AAAAAAAAAAQAgAAAAIgAAAGRycy9kb3ducmV2&#10;LnhtbFBLAQIUABQAAAAIAIdO4kAhZ9uG/wEAAPMDAAAOAAAAAAAAAAEAIAAAACQBAABkcnMvZTJv&#10;RG9jLnhtbFBLBQYAAAAABgAGAFkBAACVBQAAAAA=&#10;">
                  <v:path arrowok="t"/>
                  <v:fill focussize="0,0"/>
                  <v:stroke color="#008000" dashstyle="longDash"/>
                  <v:imagedata o:title=""/>
                  <o:lock v:ext="edit"/>
                </v:line>
              </w:pict>
            </w:r>
            <w:r>
              <w:rPr>
                <w:rFonts w:ascii="Times New Roman" w:hAnsi="Times New Roman"/>
                <w:sz w:val="20"/>
              </w:rPr>
              <w:pict>
                <v:line id="_x0000_s2342" o:spid="_x0000_s2342" o:spt="20" style="position:absolute;left:0pt;margin-left:53.85pt;margin-top:9.2pt;height:0pt;width:63pt;z-index:251917312;mso-width-relative:page;mso-height-relative:page;" stroked="t" coordsize="21600,21600" o:gfxdata="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GDwFOtkAAAAJAQAADwAAAAAAAAABACAAAAAiAAAAZHJzL2Rvd25y&#10;ZXYueG1sUEsBAhQAFAAAAAgAh07iQNXEIuD9AQAA6wMAAA4AAAAAAAAAAQAgAAAAKAEAAGRycy9l&#10;Mm9Eb2MueG1sUEsFBgAAAAAGAAYAWQEAAJcFAAAAAA==&#10;">
                  <v:path arrowok="t"/>
                  <v:fill focussize="0,0"/>
                  <v:stroke color="#800000" endarrow="block"/>
                  <v:imagedata o:title=""/>
                  <o:lock v:ext="edit"/>
                </v:line>
              </w:pict>
            </w:r>
            <w:r>
              <w:rPr>
                <w:rFonts w:ascii="Times New Roman" w:hAnsi="Times New Roman"/>
                <w:sz w:val="20"/>
              </w:rPr>
              <w:pict>
                <v:line id="_x0000_s2343" o:spid="_x0000_s2343" o:spt="20" style="position:absolute;left:0pt;flip:y;margin-left:53.85pt;margin-top:9.2pt;height:218.4pt;width:0pt;z-index:251916288;mso-width-relative:page;mso-height-relative:page;" stroked="t" coordsize="21600,21600" o:gfxdata="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T0H8DZAAAACgEAAA8AAAAAAAAAAQAgAAAAIgAAAGRycy9k&#10;b3ducmV2LnhtbFBLAQIUABQAAAAIAIdO4kA2j4vlAQIAAPIDAAAOAAAAAAAAAAEAIAAAACgBAABk&#10;cnMvZTJvRG9jLnhtbFBLBQYAAAAABgAGAFkBAACbBQAAAAA=&#10;">
                  <v:path arrowok="t"/>
                  <v:fill focussize="0,0"/>
                  <v:stroke color="#800000"/>
                  <v:imagedata o:title=""/>
                  <o:lock v:ext="edit"/>
                </v:line>
              </w:pict>
            </w:r>
            <w:r>
              <w:rPr>
                <w:rFonts w:ascii="Times New Roman" w:hAnsi="Times New Roman"/>
                <w:sz w:val="20"/>
              </w:rPr>
              <w:pict>
                <v:line id="_x0000_s2344" o:spid="_x0000_s2344" o:spt="20" style="position:absolute;left:0pt;flip:y;margin-left:36pt;margin-top:1.4pt;height:179.4pt;width:0pt;z-index:251848704;mso-width-relative:page;mso-height-relative:page;" stroked="t" coordsize="21600,21600" o:gfxdata="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MGfEHRAAAABwEAAA8AAAAAAAAAAQAgAAAAIgAAAGRycy9kb3ducmV2LnhtbFBL&#10;AQIUABQAAAAIAIdO4kBgJYNh/QEAAPIDAAAOAAAAAAAAAAEAIAAAACABAABkcnMvZTJvRG9jLnht&#10;bFBLBQYAAAAABgAGAFkBAACPBQAAAAA=&#10;">
                  <v:path arrowok="t"/>
                  <v:fill focussize="0,0"/>
                  <v:stroke color="#008000"/>
                  <v:imagedata o:title=""/>
                  <o:lock v:ext="edit"/>
                </v:line>
              </w:pict>
            </w:r>
            <w:r>
              <w:rPr>
                <w:rFonts w:ascii="Times New Roman" w:hAnsi="Times New Roman"/>
                <w:sz w:val="20"/>
              </w:rPr>
              <w:pict>
                <v:line id="_x0000_s2345" o:spid="_x0000_s2345" o:spt="20" style="position:absolute;left:0pt;margin-left:36pt;margin-top:1.4pt;height:0pt;width:81pt;z-index:251849728;mso-width-relative:page;mso-height-relative:page;" stroked="t" coordsize="21600,21600" o:gfxdata="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jOxV01AAAAAYBAAAPAAAAAAAAAAEAIAAAACIAAABkcnMvZG93bnJldi54&#10;bWxQSwECFAAUAAAACACHTuJACdQJVf4BAADsAwAADgAAAAAAAAABACAAAAAjAQAAZHJzL2Uyb0Rv&#10;Yy54bWxQSwUGAAAAAAYABgBZAQAAkwUAAAAA&#10;">
                  <v:path arrowok="t"/>
                  <v:fill focussize="0,0"/>
                  <v:stroke color="#008000" endarrow="block"/>
                  <v:imagedata o:title=""/>
                  <o:lock v:ext="edit"/>
                </v:line>
              </w:pict>
            </w:r>
            <w:r>
              <w:rPr>
                <w:rFonts w:ascii="Times New Roman" w:hAnsi="Times New Roman"/>
                <w:sz w:val="20"/>
              </w:rPr>
              <w:pict>
                <v:line id="_x0000_s2346" o:spid="_x0000_s2346" o:spt="20" style="position:absolute;left:0pt;margin-left:162pt;margin-top:1.4pt;height:0pt;width:99pt;z-index:251850752;mso-width-relative:page;mso-height-relative:page;" stroked="t" coordsize="21600,21600" o:gfxdata="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9XQZn0wAAAAcBAAAPAAAAAAAAAAEAIAAAACIAAABkcnMvZG93bnJldi54bWxQSwEC&#10;FAAUAAAACACHTuJAe5LQl/kBAADpAwAADgAAAAAAAAABACAAAAAiAQAAZHJzL2Uyb0RvYy54bWxQ&#10;SwUGAAAAAAYABgBZAQAAjQUAAAAA&#10;">
                  <v:path arrowok="t"/>
                  <v:fill focussize="0,0"/>
                  <v:stroke color="#008000" dashstyle="longDash"/>
                  <v:imagedata o:title=""/>
                  <o:lock v:ext="edit"/>
                </v:line>
              </w:pict>
            </w:r>
            <w:r>
              <w:rPr>
                <w:rFonts w:ascii="Times New Roman" w:hAnsi="Times New Roman"/>
                <w:sz w:val="20"/>
              </w:rPr>
              <w:pict>
                <v:line id="_x0000_s2347" o:spid="_x0000_s2347" o:spt="20" style="position:absolute;left:0pt;margin-left:135pt;margin-top:17pt;height:23.4pt;width:0pt;z-index:251832320;mso-width-relative:page;mso-height-relative:page;" coordsize="21600,21600" o:gfxdata="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20GHA2AAAAAkBAAAPAAAAAAAAAAEAIAAAACIAAABkcnMvZG93bnJl&#10;di54bWxQSwECFAAUAAAACACHTuJAHq+EVv0BAADrAwAADgAAAAAAAAABACAAAAAnAQAAZHJzL2Uy&#10;b0RvYy54bWxQSwUGAAAAAAYABgBZAQAAlgUAAAAA&#10;">
                  <v:path arrowok="t"/>
                  <v:fill focussize="0,0"/>
                  <v:stroke endarrow="block"/>
                  <v:imagedata o:title=""/>
                  <o:lock v:ext="edit"/>
                </v:line>
              </w:pict>
            </w:r>
          </w:p>
          <w:p w14:paraId="6278B6C6">
            <w:pPr>
              <w:pStyle w:val="16"/>
              <w:snapToGrid w:val="0"/>
              <w:spacing w:line="500" w:lineRule="exact"/>
              <w:ind w:firstLine="523"/>
              <w:rPr>
                <w:rFonts w:ascii="Times New Roman" w:hAnsi="Times New Roman"/>
                <w:sz w:val="24"/>
              </w:rPr>
            </w:pPr>
            <w:r>
              <w:rPr>
                <w:rFonts w:ascii="Times New Roman" w:hAnsi="Times New Roman"/>
                <w:sz w:val="24"/>
              </w:rPr>
              <w:pict>
                <v:shape id="_x0000_s2348" o:spid="_x0000_s2348" o:spt="202" type="#_x0000_t202" style="position:absolute;left:0pt;margin-left:207pt;margin-top:15.4pt;height:17.2pt;width:27pt;z-index:251801600;mso-width-relative:page;mso-height-relative:page;" filled="f" stroked="f" coordsize="21600,21600" o:gfxdata="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sGsjbZAAAACQEAAA8AAAAAAAAAAQAgAAAAIgAAAGRycy9kb3ducmV2Lnht&#10;bFBLAQIUABQAAAAIAIdO4kD7VhoRvwEAAH0DAAAOAAAAAAAAAAEAIAAAACgBAABkcnMvZTJvRG9j&#10;LnhtbFBLBQYAAAAABgAGAFkBAABZBQAAAAA=&#10;">
                  <v:path/>
                  <v:fill on="f" focussize="0,0"/>
                  <v:stroke on="f" joinstyle="miter"/>
                  <v:imagedata o:title=""/>
                  <o:lock v:ext="edit"/>
                  <v:textbox inset="0mm,0.3mm,0mm,0.3mm">
                    <w:txbxContent>
                      <w:p w14:paraId="417BAABF">
                        <w:pPr>
                          <w:snapToGrid w:val="0"/>
                          <w:jc w:val="center"/>
                          <w:rPr>
                            <w:vertAlign w:val="subscript"/>
                          </w:rPr>
                        </w:pPr>
                        <w:r>
                          <w:rPr>
                            <w:rFonts w:hint="eastAsia"/>
                          </w:rPr>
                          <w:t>W</w:t>
                        </w:r>
                        <w:r>
                          <w:rPr>
                            <w:rFonts w:hint="eastAsia"/>
                            <w:vertAlign w:val="subscript"/>
                          </w:rPr>
                          <w:t>1</w:t>
                        </w:r>
                      </w:p>
                    </w:txbxContent>
                  </v:textbox>
                </v:shape>
              </w:pict>
            </w:r>
            <w:r>
              <w:rPr>
                <w:rFonts w:ascii="Times New Roman" w:hAnsi="Times New Roman"/>
                <w:sz w:val="20"/>
              </w:rPr>
              <w:pict>
                <v:line id="_x0000_s2349" o:spid="_x0000_s2349" o:spt="20" style="position:absolute;left:0pt;margin-left:63pt;margin-top:23.2pt;height:0pt;width:54pt;z-index:251914240;mso-width-relative:page;mso-height-relative:page;" stroked="t" coordsize="21600,21600" o:gfxdata="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wgg0zZAAAACQEAAA8AAAAAAAAAAQAgAAAAIgAAAGRycy9kb3du&#10;cmV2LnhtbFBLAQIUABQAAAAIAIdO4kDn2RyJ/gEAAOsDAAAOAAAAAAAAAAEAIAAAACgBAABkcnMv&#10;ZTJvRG9jLnhtbFBLBQYAAAAABgAGAFkBAACYBQAAAAA=&#10;">
                  <v:path arrowok="t"/>
                  <v:fill focussize="0,0"/>
                  <v:stroke color="#800000" endarrow="block"/>
                  <v:imagedata o:title=""/>
                  <o:lock v:ext="edit"/>
                </v:line>
              </w:pict>
            </w:r>
            <w:r>
              <w:rPr>
                <w:rFonts w:ascii="Times New Roman" w:hAnsi="Times New Roman"/>
                <w:sz w:val="20"/>
              </w:rPr>
              <w:pict>
                <v:line id="_x0000_s2350" o:spid="_x0000_s2350" o:spt="20" style="position:absolute;left:0pt;flip:y;margin-left:63pt;margin-top:23.2pt;height:78pt;width:0pt;z-index:251913216;mso-width-relative:page;mso-height-relative:page;" stroked="t" coordsize="21600,21600" o:gfxdata="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benMrtgAAAAKAQAADwAAAAAAAAABACAAAAAiAAAAZHJzL2Rvd25y&#10;ZXYueG1sUEsBAhQAFAAAAAgAh07iQBeBN87+AQAA8QMAAA4AAAAAAAAAAQAgAAAAJwEAAGRycy9l&#10;Mm9Eb2MueG1sUEsFBgAAAAAGAAYAWQEAAJcFAAAAAA==&#10;">
                  <v:path arrowok="t"/>
                  <v:fill focussize="0,0"/>
                  <v:stroke color="#800000"/>
                  <v:imagedata o:title=""/>
                  <o:lock v:ext="edit"/>
                </v:line>
              </w:pict>
            </w:r>
            <w:r>
              <w:rPr>
                <w:rFonts w:ascii="Times New Roman" w:hAnsi="Times New Roman"/>
                <w:sz w:val="20"/>
              </w:rPr>
              <w:pict>
                <v:shape id="_x0000_s2351" o:spid="_x0000_s2351" o:spt="202" type="#_x0000_t202" style="position:absolute;left:0pt;margin-left:117pt;margin-top:15.4pt;height:23.4pt;width:45pt;z-index:251831296;mso-width-relative:page;mso-height-relative:page;" coordsize="21600,21600" o:gfxdata="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USBjfYAAAACQEAAA8AAAAAAAAAAQAg&#10;AAAAIgAAAGRycy9kb3ducmV2LnhtbFBLAQIUABQAAAAIAIdO4kCfUVVrDgIAADkEAAAOAAAAAAAA&#10;AAEAIAAAACcBAABkcnMvZTJvRG9jLnhtbFBLBQYAAAAABgAGAFkBAACnBQAAAAA=&#10;">
                  <v:path/>
                  <v:fill focussize="0,0"/>
                  <v:stroke joinstyle="miter"/>
                  <v:imagedata o:title=""/>
                  <o:lock v:ext="edit"/>
                  <v:textbox>
                    <w:txbxContent>
                      <w:p w14:paraId="229E9710">
                        <w:pPr>
                          <w:spacing w:line="320" w:lineRule="exact"/>
                          <w:jc w:val="center"/>
                        </w:pPr>
                        <w:r>
                          <w:rPr>
                            <w:rFonts w:hint="eastAsia"/>
                          </w:rPr>
                          <w:t>预热</w:t>
                        </w:r>
                      </w:p>
                    </w:txbxContent>
                  </v:textbox>
                </v:shape>
              </w:pict>
            </w:r>
          </w:p>
          <w:p w14:paraId="53349847">
            <w:pPr>
              <w:pStyle w:val="16"/>
              <w:snapToGrid w:val="0"/>
              <w:spacing w:line="500" w:lineRule="exact"/>
              <w:ind w:firstLine="523"/>
              <w:rPr>
                <w:rFonts w:ascii="Times New Roman" w:hAnsi="Times New Roman"/>
                <w:sz w:val="24"/>
              </w:rPr>
            </w:pPr>
            <w:r>
              <w:rPr>
                <w:rFonts w:ascii="Times New Roman" w:hAnsi="Times New Roman"/>
                <w:sz w:val="20"/>
              </w:rPr>
              <w:pict>
                <v:line id="_x0000_s2352" o:spid="_x0000_s2352" o:spt="20" style="position:absolute;left:0pt;margin-left:162pt;margin-top:6pt;height:0pt;width:81pt;z-index:251841536;mso-width-relative:page;mso-height-relative:page;" stroked="t" coordsize="21600,21600" o:gfxdata="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9JMTy9UAAAAJAQAADwAAAAAAAAABACAAAAAiAAAAZHJzL2Rvd25y&#10;ZXYueG1sUEsBAhQAFAAAAAgAh07iQAj6/2EBAgAA7QMAAA4AAAAAAAAAAQAgAAAAJAEAAGRycy9l&#10;Mm9Eb2MueG1sUEsFBgAAAAAGAAYAWQEAAJcFAAAAAA==&#10;">
                  <v:path arrowok="t"/>
                  <v:fill focussize="0,0"/>
                  <v:stroke color="#0000FF" dashstyle="longDash" endarrow="block"/>
                  <v:imagedata o:title=""/>
                  <o:lock v:ext="edit"/>
                </v:line>
              </w:pict>
            </w:r>
            <w:r>
              <w:rPr>
                <w:rFonts w:ascii="Times New Roman" w:hAnsi="Times New Roman"/>
                <w:sz w:val="20"/>
              </w:rPr>
              <w:pict>
                <v:line id="_x0000_s2353" o:spid="_x0000_s2353" o:spt="20" style="position:absolute;left:0pt;flip:y;margin-left:72pt;margin-top:6pt;height:46.8pt;width:0pt;z-index:251839488;mso-width-relative:page;mso-height-relative:page;" stroked="t" coordsize="21600,21600" o:gfxdata="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i4lPTTAAAACgEAAA8AAAAAAAAAAQAgAAAAIgAAAGRycy9kb3ducmV2&#10;LnhtbFBLAQIUABQAAAAIAIdO4kD98yBuAQIAAPEDAAAOAAAAAAAAAAEAIAAAACIBAABkcnMvZTJv&#10;RG9jLnhtbFBLBQYAAAAABgAGAFkBAACVBQAAAAA=&#10;">
                  <v:path arrowok="t"/>
                  <v:fill focussize="0,0"/>
                  <v:stroke color="#0000FF"/>
                  <v:imagedata o:title=""/>
                  <o:lock v:ext="edit"/>
                </v:line>
              </w:pict>
            </w:r>
            <w:r>
              <w:rPr>
                <w:rFonts w:ascii="Times New Roman" w:hAnsi="Times New Roman"/>
                <w:sz w:val="20"/>
              </w:rPr>
              <w:pict>
                <v:line id="_x0000_s2354" o:spid="_x0000_s2354" o:spt="20" style="position:absolute;left:0pt;margin-left:72pt;margin-top:6pt;height:0pt;width:44.95pt;z-index:251840512;mso-width-relative:page;mso-height-relative:page;" stroked="t" coordsize="21600,21600" o:gfxdata="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5vXLMtAAAAAJAQAADwAAAAAAAAABACAAAAAiAAAAZHJzL2Rvd25yZXYueG1s&#10;UEsBAhQAFAAAAAgAh07iQLwM3D4AAgAA6wMAAA4AAAAAAAAAAQAgAAAAHwEAAGRycy9lMm9Eb2Mu&#10;eG1sUEsFBgAAAAAGAAYAWQEAAJEFAAAAAA==&#10;">
                  <v:path arrowok="t"/>
                  <v:fill focussize="0,0"/>
                  <v:stroke color="#0000FF" endarrow="block"/>
                  <v:imagedata o:title=""/>
                  <o:lock v:ext="edit"/>
                </v:line>
              </w:pict>
            </w:r>
            <w:r>
              <w:rPr>
                <w:rFonts w:ascii="Times New Roman" w:hAnsi="Times New Roman"/>
                <w:sz w:val="24"/>
              </w:rPr>
              <w:pict>
                <v:shape id="_x0000_s2355" o:spid="_x0000_s2355" o:spt="202" type="#_x0000_t202" style="position:absolute;left:0pt;margin-left:0pt;margin-top:6pt;height:23.4pt;width:45pt;z-index:251797504;mso-width-relative:page;mso-height-relative:page;" stroked="f" coordsize="21600,21600" o:gfxdata="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xK0yV0wAAAAUBAAAPAAAAAAAAAAEAIAAAACIAAABkcnMvZG93bnJldi54bWxQ&#10;SwECFAAUAAAACACHTuJAd6Wm3sMBAAB6AwAADgAAAAAAAAABACAAAAAiAQAAZHJzL2Uyb0RvYy54&#10;bWxQSwUGAAAAAAYABgBZAQAAVwUAAAAA&#10;">
                  <v:path/>
                  <v:fill focussize="0,0"/>
                  <v:stroke on="f" joinstyle="miter"/>
                  <v:imagedata o:title=""/>
                  <o:lock v:ext="edit"/>
                  <v:textbox>
                    <w:txbxContent>
                      <w:p w14:paraId="7E7D89E5">
                        <w:pPr>
                          <w:spacing w:line="280" w:lineRule="exact"/>
                          <w:rPr>
                            <w:szCs w:val="18"/>
                          </w:rPr>
                        </w:pPr>
                        <w:r>
                          <w:rPr>
                            <w:rFonts w:hint="eastAsia"/>
                            <w:szCs w:val="18"/>
                          </w:rPr>
                          <w:t>蒸汽</w:t>
                        </w:r>
                      </w:p>
                    </w:txbxContent>
                  </v:textbox>
                </v:shape>
              </w:pict>
            </w:r>
            <w:r>
              <w:rPr>
                <w:rFonts w:ascii="Times New Roman" w:hAnsi="Times New Roman"/>
                <w:sz w:val="20"/>
              </w:rPr>
              <w:pict>
                <v:line id="_x0000_s2356" o:spid="_x0000_s2356" o:spt="20" style="position:absolute;left:0pt;margin-left:135pt;margin-top:13.8pt;height:23.4pt;width:0pt;z-index:251833344;mso-width-relative:page;mso-height-relative:page;" coordsize="21600,21600" o:gfxdata="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iReTzZAAAACQEAAA8AAAAAAAAAAQAgAAAAIgAAAGRycy9kb3du&#10;cmV2LnhtbFBLAQIUABQAAAAIAIdO4kDtoFDB/gEAAOsDAAAOAAAAAAAAAAEAIAAAACgBAABkcnMv&#10;ZTJvRG9jLnhtbFBLBQYAAAAABgAGAFkBAACYBQAAAAA=&#10;">
                  <v:path arrowok="t"/>
                  <v:fill focussize="0,0"/>
                  <v:stroke endarrow="block"/>
                  <v:imagedata o:title=""/>
                  <o:lock v:ext="edit"/>
                </v:line>
              </w:pict>
            </w:r>
          </w:p>
          <w:p w14:paraId="227EBC7B">
            <w:pPr>
              <w:pStyle w:val="16"/>
              <w:snapToGrid w:val="0"/>
              <w:spacing w:line="500" w:lineRule="exact"/>
              <w:ind w:firstLine="523"/>
              <w:rPr>
                <w:rFonts w:ascii="Times New Roman" w:hAnsi="Times New Roman"/>
                <w:sz w:val="24"/>
              </w:rPr>
            </w:pPr>
            <w:r>
              <w:rPr>
                <w:rFonts w:ascii="Times New Roman" w:hAnsi="Times New Roman"/>
                <w:sz w:val="20"/>
              </w:rPr>
              <w:pict>
                <v:line id="_x0000_s2357" o:spid="_x0000_s2357" o:spt="20" style="position:absolute;left:0pt;margin-left:234pt;margin-top:20pt;height:148.2pt;width:0pt;z-index:251871232;mso-width-relative:page;mso-height-relative:page;" stroked="t" coordsize="21600,21600" o:gfxdata="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GI+shNYAAAAKAQAADwAAAAAAAAABACAAAAAiAAAAZHJzL2Rvd25y&#10;ZXYueG1sUEsBAhQAFAAAAAgAh07iQNqW2wkAAgAA7AMAAA4AAAAAAAAAAQAgAAAAJQEAAGRycy9l&#10;Mm9Eb2MueG1sUEsFBgAAAAAGAAYAWQEAAJcFAAAAAA==&#10;">
                  <v:path arrowok="t"/>
                  <v:fill focussize="0,0"/>
                  <v:stroke color="#FF0000" endarrow="block"/>
                  <v:imagedata o:title=""/>
                  <o:lock v:ext="edit"/>
                </v:line>
              </w:pict>
            </w:r>
            <w:r>
              <w:rPr>
                <w:rFonts w:ascii="Times New Roman" w:hAnsi="Times New Roman"/>
                <w:sz w:val="20"/>
              </w:rPr>
              <w:pict>
                <v:line id="_x0000_s2358" o:spid="_x0000_s2358" o:spt="20" style="position:absolute;left:0pt;margin-left:171pt;margin-top:20pt;height:0pt;width:63pt;z-index:251868160;mso-width-relative:page;mso-height-relative:page;" stroked="t" coordsize="21600,21600" o:gfxdata="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kSQm3WAAAACQEAAA8AAAAAAAAAAQAgAAAAIgAAAGRycy9kb3ducmV2LnhtbFBL&#10;AQIUABQAAAAIAIdO4kARuGcy+AEAAOcDAAAOAAAAAAAAAAEAIAAAACUBAABkcnMvZTJvRG9jLnht&#10;bFBLBQYAAAAABgAGAFkBAACPBQAAAAA=&#10;">
                  <v:path arrowok="t"/>
                  <v:fill focussize="0,0"/>
                  <v:stroke color="#FF0000"/>
                  <v:imagedata o:title=""/>
                  <o:lock v:ext="edit"/>
                </v:line>
              </w:pict>
            </w:r>
            <w:r>
              <w:rPr>
                <w:rFonts w:ascii="Times New Roman" w:hAnsi="Times New Roman"/>
                <w:sz w:val="20"/>
              </w:rPr>
              <w:pict>
                <v:line id="_x0000_s2359" o:spid="_x0000_s2359" o:spt="20" style="position:absolute;left:0pt;flip:x;margin-left:0pt;margin-top:4.4pt;height:0pt;width:72pt;z-index:251846656;mso-width-relative:page;mso-height-relative:page;" stroked="t" coordsize="21600,21600" o:gfxdata="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62WQd0AAAAAQBAAAPAAAAAAAAAAEAIAAAACIAAABkcnMvZG93bnJldi54bWxQ&#10;SwECFAAUAAAACACHTuJAxWPy5P8BAADxAwAADgAAAAAAAAABACAAAAAfAQAAZHJzL2Uyb0RvYy54&#10;bWxQSwUGAAAAAAYABgBZAQAAkAUAAAAA&#10;">
                  <v:path arrowok="t"/>
                  <v:fill focussize="0,0"/>
                  <v:stroke color="#0000FF"/>
                  <v:imagedata o:title=""/>
                  <o:lock v:ext="edit"/>
                </v:line>
              </w:pict>
            </w:r>
            <w:r>
              <w:rPr>
                <w:rFonts w:ascii="Times New Roman" w:hAnsi="Times New Roman"/>
                <w:sz w:val="24"/>
              </w:rPr>
              <w:pict>
                <v:shape id="_x0000_s2360" o:spid="_x0000_s2360" o:spt="202" type="#_x0000_t202" style="position:absolute;left:0pt;margin-left:117pt;margin-top:12.2pt;height:23.4pt;width:54pt;z-index:251811840;mso-width-relative:page;mso-height-relative:page;" coordsize="21600,21600" o:gfxdata="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Vc&#10;CPzWAAAACQEAAA8AAAAAAAAAAQAgAAAAIgAAAGRycy9kb3ducmV2LnhtbFBLAQIUABQAAAAIAIdO&#10;4kARMWXtJQIAAG0EAAAOAAAAAAAAAAEAIAAAACUBAABkcnMvZTJvRG9jLnhtbFBLBQYAAAAABgAG&#10;AFkBAAC8BQAAAAA=&#10;">
                  <v:path/>
                  <v:fill focussize="0,0"/>
                  <v:stroke joinstyle="miter"/>
                  <v:imagedata o:title=""/>
                  <o:lock v:ext="edit"/>
                  <v:textbox inset="0.5mm,1.27mm,0.5mm,1.27mm">
                    <w:txbxContent>
                      <w:p w14:paraId="0C11B1E6">
                        <w:pPr>
                          <w:spacing w:line="320" w:lineRule="exact"/>
                          <w:jc w:val="center"/>
                        </w:pPr>
                        <w:r>
                          <w:rPr>
                            <w:rFonts w:hint="eastAsia" w:ascii="宋体" w:hAnsi="宋体"/>
                          </w:rPr>
                          <w:t>一效闪蒸</w:t>
                        </w:r>
                      </w:p>
                      <w:p w14:paraId="716BF99A">
                        <w:pPr>
                          <w:spacing w:line="320" w:lineRule="exact"/>
                          <w:jc w:val="center"/>
                        </w:pPr>
                      </w:p>
                      <w:p w14:paraId="550BB720">
                        <w:pPr>
                          <w:spacing w:line="360" w:lineRule="exact"/>
                        </w:pPr>
                        <w:r>
                          <w:rPr>
                            <w:rFonts w:hint="eastAsia"/>
                          </w:rPr>
                          <w:t>滤</w:t>
                        </w:r>
                      </w:p>
                    </w:txbxContent>
                  </v:textbox>
                </v:shape>
              </w:pict>
            </w:r>
          </w:p>
          <w:p w14:paraId="47694EFE">
            <w:pPr>
              <w:pStyle w:val="16"/>
              <w:snapToGrid w:val="0"/>
              <w:spacing w:line="500" w:lineRule="exact"/>
              <w:ind w:firstLine="523"/>
              <w:rPr>
                <w:rFonts w:ascii="Times New Roman" w:hAnsi="Times New Roman"/>
                <w:sz w:val="24"/>
              </w:rPr>
            </w:pPr>
            <w:r>
              <w:rPr>
                <w:rFonts w:ascii="Times New Roman" w:hAnsi="Times New Roman"/>
                <w:sz w:val="20"/>
              </w:rPr>
              <w:pict>
                <v:shape id="_x0000_s2361" o:spid="_x0000_s2361" o:spt="202" type="#_x0000_t202" style="position:absolute;left:0pt;margin-left:383.75pt;margin-top:2.8pt;height:17.2pt;width:27pt;z-index:251886592;mso-width-relative:page;mso-height-relative:page;" filled="f" stroked="f" coordsize="21600,21600" o:gfxdata="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HCZEnYAAAACAEAAA8AAAAAAAAAAQAgAAAAIgAAAGRycy9kb3ducmV2Lnht&#10;bFBLAQIUABQAAAAIAIdO4kCRLDAowAEAAH0DAAAOAAAAAAAAAAEAIAAAACcBAABkcnMvZTJvRG9j&#10;LnhtbFBLBQYAAAAABgAGAFkBAABZBQAAAAA=&#10;">
                  <v:path/>
                  <v:fill on="f" focussize="0,0"/>
                  <v:stroke on="f" joinstyle="miter"/>
                  <v:imagedata o:title=""/>
                  <o:lock v:ext="edit"/>
                  <v:textbox inset="0mm,0.3mm,0mm,0.3mm">
                    <w:txbxContent>
                      <w:p w14:paraId="18149981">
                        <w:pPr>
                          <w:snapToGrid w:val="0"/>
                          <w:jc w:val="center"/>
                          <w:rPr>
                            <w:vertAlign w:val="subscript"/>
                          </w:rPr>
                        </w:pPr>
                        <w:r>
                          <w:rPr>
                            <w:rFonts w:hint="eastAsia"/>
                          </w:rPr>
                          <w:t>W</w:t>
                        </w:r>
                        <w:r>
                          <w:rPr>
                            <w:rFonts w:hint="eastAsia"/>
                            <w:vertAlign w:val="subscript"/>
                          </w:rPr>
                          <w:t>2</w:t>
                        </w:r>
                      </w:p>
                    </w:txbxContent>
                  </v:textbox>
                </v:shape>
              </w:pict>
            </w:r>
            <w:r>
              <w:rPr>
                <w:rFonts w:ascii="Times New Roman" w:hAnsi="Times New Roman"/>
                <w:sz w:val="20"/>
              </w:rPr>
              <w:pict>
                <v:shape id="_x0000_s2362" o:spid="_x0000_s2362" o:spt="202" type="#_x0000_t202" style="position:absolute;left:0pt;margin-left:153pt;margin-top:18.4pt;height:23.4pt;width:45pt;z-index:251843584;mso-width-relative:page;mso-height-relative:page;" filled="f" stroked="f" coordsize="21600,21600" o:gfxdata="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E/ufR2AAAAAkBAAAPAAAAAAAAAAEAIAAAACIAAABkcnMvZG93bnJl&#10;di54bWxQSwECFAAUAAAACACHTuJAm0waJ8QBAACFAwAADgAAAAAAAAABACAAAAAnAQAAZHJzL2Uy&#10;b0RvYy54bWxQSwUGAAAAAAYABgBZAQAAXQUAAAAA&#10;">
                  <v:path/>
                  <v:fill on="f" focussize="0,0"/>
                  <v:stroke on="f" joinstyle="miter"/>
                  <v:imagedata o:title=""/>
                  <o:lock v:ext="edit"/>
                  <v:textbox inset="0.5mm,1.27mm,0.5mm,1.27mm">
                    <w:txbxContent>
                      <w:p w14:paraId="01E39A2F">
                        <w:pPr>
                          <w:pStyle w:val="95"/>
                          <w:widowControl/>
                          <w:snapToGrid/>
                          <w:spacing w:line="280" w:lineRule="exact"/>
                          <w:rPr>
                            <w:rFonts w:ascii="Times New Roman"/>
                            <w:kern w:val="0"/>
                            <w:szCs w:val="18"/>
                          </w:rPr>
                        </w:pPr>
                        <w:r>
                          <w:rPr>
                            <w:rFonts w:hint="eastAsia" w:ascii="Times New Roman"/>
                            <w:kern w:val="0"/>
                            <w:szCs w:val="18"/>
                          </w:rPr>
                          <w:t>二次汽</w:t>
                        </w:r>
                      </w:p>
                    </w:txbxContent>
                  </v:textbox>
                </v:shape>
              </w:pict>
            </w:r>
            <w:r>
              <w:rPr>
                <w:rFonts w:ascii="Times New Roman" w:hAnsi="Times New Roman"/>
                <w:sz w:val="20"/>
              </w:rPr>
              <w:pict>
                <v:line id="_x0000_s2363" o:spid="_x0000_s2363" o:spt="20" style="position:absolute;left:0pt;flip:x;margin-left:153pt;margin-top:10.6pt;height:31.2pt;width:0pt;z-index:251842560;mso-width-relative:page;mso-height-relative:page;" stroked="t" coordsize="21600,21600" o:gfxdata="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VgSvuNcAAAAJAQAADwAAAAAAAAABACAAAAAiAAAA&#10;ZHJzL2Rvd25yZXYueG1sUEsBAhQAFAAAAAgAh07iQAZVu6cIAgAA9QMAAA4AAAAAAAAAAQAgAAAA&#10;JgEAAGRycy9lMm9Eb2MueG1sUEsFBgAAAAAGAAYAWQEAAKAFAAAAAA==&#10;">
                  <v:path arrowok="t"/>
                  <v:fill focussize="0,0"/>
                  <v:stroke color="#800000" endarrow="block"/>
                  <v:imagedata o:title=""/>
                  <o:lock v:ext="edit"/>
                </v:line>
              </w:pict>
            </w:r>
            <w:r>
              <w:rPr>
                <w:rFonts w:ascii="Times New Roman" w:hAnsi="Times New Roman"/>
                <w:sz w:val="20"/>
              </w:rPr>
              <w:pict>
                <v:shape id="_x0000_s2364" o:spid="_x0000_s2364" o:spt="202" type="#_x0000_t202" style="position:absolute;left:0pt;margin-left:297pt;margin-top:-5pt;height:23.4pt;width:54pt;z-index:251890688;mso-width-relative:page;mso-height-relative:page;" filled="f" coordsize="21600,21600" o:gfxdata="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Mikg3XAAAA&#10;CgEAAA8AAAAAAAAAAQAgAAAAIgAAAGRycy9kb3ducmV2LnhtbFBLAQIUABQAAAAIAIdO4kDZlDLq&#10;HgIAAEQEAAAOAAAAAAAAAAEAIAAAACYBAABkcnMvZTJvRG9jLnhtbFBLBQYAAAAABgAGAFkBAAC2&#10;BQAAAAA=&#10;">
                  <v:path/>
                  <v:fill on="f" focussize="0,0"/>
                  <v:stroke joinstyle="miter"/>
                  <v:imagedata o:title=""/>
                  <o:lock v:ext="edit"/>
                  <v:textbox inset="0.5mm,1.27mm,0.5mm,1.27mm">
                    <w:txbxContent>
                      <w:p w14:paraId="140E3FAF">
                        <w:pPr>
                          <w:spacing w:line="320" w:lineRule="exact"/>
                          <w:jc w:val="center"/>
                        </w:pPr>
                        <w:r>
                          <w:rPr>
                            <w:rFonts w:hint="eastAsia" w:ascii="宋体" w:hAnsi="宋体"/>
                          </w:rPr>
                          <w:t>冷凝水桶</w:t>
                        </w:r>
                      </w:p>
                      <w:p w14:paraId="514C8E09">
                        <w:pPr>
                          <w:spacing w:line="320" w:lineRule="exact"/>
                          <w:jc w:val="center"/>
                        </w:pPr>
                      </w:p>
                      <w:p w14:paraId="552F7AE2">
                        <w:pPr>
                          <w:spacing w:line="360" w:lineRule="exact"/>
                        </w:pPr>
                        <w:r>
                          <w:rPr>
                            <w:rFonts w:hint="eastAsia"/>
                          </w:rPr>
                          <w:t>滤</w:t>
                        </w:r>
                      </w:p>
                    </w:txbxContent>
                  </v:textbox>
                </v:shape>
              </w:pict>
            </w:r>
            <w:r>
              <w:rPr>
                <w:rFonts w:ascii="Times New Roman" w:hAnsi="Times New Roman"/>
                <w:sz w:val="20"/>
              </w:rPr>
              <w:pict>
                <v:line id="_x0000_s2365" o:spid="_x0000_s2365" o:spt="20" style="position:absolute;left:0pt;margin-left:351pt;margin-top:10.6pt;height:0pt;width:36pt;z-index:251891712;mso-width-relative:page;mso-height-relative:page;" stroked="t" coordsize="21600,21600" o:gfxdata="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WCDLkNcAAAAJAQAADwAAAAAAAAABACAAAAAiAAAAZHJzL2Rvd25y&#10;ZXYueG1sUEsBAhQAFAAAAAgAh07iQEH4fzr/AQAA7AMAAA4AAAAAAAAAAQAgAAAAJgEAAGRycy9l&#10;Mm9Eb2MueG1sUEsFBgAAAAAGAAYAWQEAAJcFAAAAAA==&#10;">
                  <v:path arrowok="t"/>
                  <v:fill focussize="0,0"/>
                  <v:stroke color="#008000" dashstyle="longDash" endarrow="block"/>
                  <v:imagedata o:title=""/>
                  <o:lock v:ext="edit"/>
                </v:line>
              </w:pict>
            </w:r>
            <w:r>
              <w:rPr>
                <w:rFonts w:ascii="Times New Roman" w:hAnsi="Times New Roman"/>
                <w:sz w:val="20"/>
              </w:rPr>
              <w:pict>
                <v:line id="_x0000_s2366" o:spid="_x0000_s2366" o:spt="20" style="position:absolute;left:0pt;margin-left:261pt;margin-top:10.6pt;height:0pt;width:36pt;z-index:251889664;mso-width-relative:page;mso-height-relative:page;" stroked="t" coordsize="21600,21600" o:gfxdata="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f0tb61gAAAAkBAAAPAAAAAAAAAAEAIAAAACIAAABkcnMvZG93bnJl&#10;di54bWxQSwECFAAUAAAACACHTuJAn9xxNP8BAADsAwAADgAAAAAAAAABACAAAAAlAQAAZHJzL2Uy&#10;b0RvYy54bWxQSwUGAAAAAAYABgBZAQAAlgUAAAAA&#10;">
                  <v:path arrowok="t"/>
                  <v:fill focussize="0,0"/>
                  <v:stroke color="#008000" dashstyle="longDash" endarrow="block"/>
                  <v:imagedata o:title=""/>
                  <o:lock v:ext="edit"/>
                </v:line>
              </w:pict>
            </w:r>
            <w:r>
              <w:rPr>
                <w:rFonts w:ascii="Times New Roman" w:hAnsi="Times New Roman"/>
                <w:sz w:val="20"/>
              </w:rPr>
              <w:pict>
                <v:line id="_x0000_s2367" o:spid="_x0000_s2367" o:spt="20" style="position:absolute;left:0pt;margin-left:135pt;margin-top:10.6pt;height:31.2pt;width:0pt;z-index:251835392;mso-width-relative:page;mso-height-relative:page;" coordsize="21600,21600" o:gfxdata="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OYDmnZAAAACQEAAA8AAAAAAAAAAQAgAAAAIgAAAGRycy9kb3du&#10;cmV2LnhtbFBLAQIUABQAAAAIAIdO4kBYeeba/gEAAOsDAAAOAAAAAAAAAAEAIAAAACgBAABkcnMv&#10;ZTJvRG9jLnhtbFBLBQYAAAAABgAGAFkBAACYBQAAAAA=&#10;">
                  <v:path arrowok="t"/>
                  <v:fill focussize="0,0"/>
                  <v:stroke endarrow="block"/>
                  <v:imagedata o:title=""/>
                  <o:lock v:ext="edit"/>
                </v:line>
              </w:pict>
            </w:r>
            <w:r>
              <w:rPr>
                <w:rFonts w:ascii="Times New Roman" w:hAnsi="Times New Roman"/>
                <w:sz w:val="20"/>
              </w:rPr>
              <w:pict>
                <v:line id="_x0000_s2368" o:spid="_x0000_s2368" o:spt="20" style="position:absolute;left:0pt;margin-left:72pt;margin-top:2.8pt;height:0pt;width:44.95pt;z-index:251838464;mso-width-relative:page;mso-height-relative:page;" stroked="t" coordsize="21600,21600" o:gfxdata="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VevVLM8AAAAHAQAADwAAAAAAAAABACAAAAAiAAAAZHJzL2Rvd25yZXYueG1sUEsB&#10;AhQAFAAAAAgAh07iQAEvHsD+AQAA6wMAAA4AAAAAAAAAAQAgAAAAHgEAAGRycy9lMm9Eb2MueG1s&#10;UEsFBgAAAAAGAAYAWQEAAI4FAAAAAA==&#10;">
                  <v:path arrowok="t"/>
                  <v:fill focussize="0,0"/>
                  <v:stroke color="#0000FF" endarrow="block"/>
                  <v:imagedata o:title=""/>
                  <o:lock v:ext="edit"/>
                </v:line>
              </w:pict>
            </w:r>
          </w:p>
          <w:p w14:paraId="68DF82EA">
            <w:pPr>
              <w:pStyle w:val="16"/>
              <w:snapToGrid w:val="0"/>
              <w:spacing w:line="500" w:lineRule="exact"/>
              <w:ind w:firstLine="523"/>
              <w:rPr>
                <w:rFonts w:ascii="Times New Roman" w:hAnsi="Times New Roman"/>
                <w:sz w:val="24"/>
              </w:rPr>
            </w:pPr>
            <w:r>
              <w:rPr>
                <w:rFonts w:ascii="Times New Roman" w:hAnsi="Times New Roman"/>
                <w:sz w:val="20"/>
              </w:rPr>
              <w:pict>
                <v:line id="_x0000_s2369" o:spid="_x0000_s2369" o:spt="20" style="position:absolute;left:0pt;flip:x;margin-left:63pt;margin-top:1.2pt;height:0pt;width:90pt;z-index:251912192;mso-width-relative:page;mso-height-relative:page;" stroked="t" coordsize="21600,21600" o:gfxdata="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7rt7ldQAAAAHAQAADwAAAAAAAAABACAAAAAiAAAAZHJzL2Rvd25yZXYu&#10;eG1sUEsBAhQAFAAAAAgAh07iQO39JGT/AQAA8gMAAA4AAAAAAAAAAQAgAAAAIwEAAGRycy9lMm9E&#10;b2MueG1sUEsFBgAAAAAGAAYAWQEAAJQFAAAAAA==&#10;">
                  <v:path arrowok="t"/>
                  <v:fill focussize="0,0"/>
                  <v:stroke color="#800000"/>
                  <v:imagedata o:title=""/>
                  <o:lock v:ext="edit"/>
                </v:line>
              </w:pict>
            </w:r>
            <w:r>
              <w:rPr>
                <w:rFonts w:ascii="Times New Roman" w:hAnsi="Times New Roman"/>
                <w:sz w:val="20"/>
              </w:rPr>
              <w:pict>
                <v:shape id="_x0000_s2370" o:spid="_x0000_s2370" o:spt="202" type="#_x0000_t202" style="position:absolute;left:0pt;margin-left:117pt;margin-top:16.8pt;height:23.4pt;width:54pt;z-index:251834368;mso-width-relative:page;mso-height-relative:page;" coordsize="21600,21600" o:gfxdata="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jY&#10;jADXAAAACQEAAA8AAAAAAAAAAQAgAAAAIgAAAGRycy9kb3ducmV2LnhtbFBLAQIUABQAAAAIAIdO&#10;4kAVn4iCJAIAAG0EAAAOAAAAAAAAAAEAIAAAACYBAABkcnMvZTJvRG9jLnhtbFBLBQYAAAAABgAG&#10;AFkBAAC8BQAAAAA=&#10;">
                  <v:path/>
                  <v:fill focussize="0,0"/>
                  <v:stroke joinstyle="miter"/>
                  <v:imagedata o:title=""/>
                  <o:lock v:ext="edit"/>
                  <v:textbox inset="0.5mm,1.27mm,0.5mm,1.27mm">
                    <w:txbxContent>
                      <w:p w14:paraId="09856FFF">
                        <w:pPr>
                          <w:spacing w:line="320" w:lineRule="exact"/>
                          <w:jc w:val="center"/>
                        </w:pPr>
                        <w:r>
                          <w:rPr>
                            <w:rFonts w:hint="eastAsia" w:ascii="宋体" w:hAnsi="宋体"/>
                          </w:rPr>
                          <w:t>二效闪蒸</w:t>
                        </w:r>
                      </w:p>
                      <w:p w14:paraId="6EFE387B">
                        <w:pPr>
                          <w:spacing w:line="320" w:lineRule="exact"/>
                          <w:jc w:val="center"/>
                        </w:pPr>
                      </w:p>
                      <w:p w14:paraId="144A66A3">
                        <w:pPr>
                          <w:spacing w:line="360" w:lineRule="exact"/>
                        </w:pPr>
                        <w:r>
                          <w:rPr>
                            <w:rFonts w:hint="eastAsia"/>
                          </w:rPr>
                          <w:t>滤</w:t>
                        </w:r>
                      </w:p>
                    </w:txbxContent>
                  </v:textbox>
                </v:shape>
              </w:pict>
            </w:r>
          </w:p>
          <w:p w14:paraId="517A42C9">
            <w:pPr>
              <w:pStyle w:val="16"/>
              <w:snapToGrid w:val="0"/>
              <w:spacing w:line="500" w:lineRule="exact"/>
              <w:ind w:firstLine="523"/>
              <w:rPr>
                <w:rFonts w:ascii="Times New Roman" w:hAnsi="Times New Roman"/>
                <w:sz w:val="24"/>
              </w:rPr>
            </w:pPr>
            <w:r>
              <w:rPr>
                <w:rFonts w:ascii="Times New Roman" w:hAnsi="Times New Roman"/>
                <w:sz w:val="20"/>
              </w:rPr>
              <w:pict>
                <v:shape id="_x0000_s2371" o:spid="_x0000_s2371" o:spt="202" type="#_x0000_t202" style="position:absolute;left:0pt;margin-left:63pt;margin-top:7.4pt;height:23.4pt;width:45pt;z-index:251844608;mso-width-relative:page;mso-height-relative:page;" filled="f" stroked="f" coordsize="21600,21600" o:gfxdata="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xFbKbdcAAAAJAQAADwAAAAAAAAABACAAAAAiAAAAZHJzL2Rvd25yZXYu&#10;eG1sUEsBAhQAFAAAAAgAh07iQPEYpT/DAQAAhQMAAA4AAAAAAAAAAQAgAAAAJgEAAGRycy9lMm9E&#10;b2MueG1sUEsFBgAAAAAGAAYAWQEAAFsFAAAAAA==&#10;">
                  <v:path/>
                  <v:fill on="f" focussize="0,0"/>
                  <v:stroke on="f" joinstyle="miter"/>
                  <v:imagedata o:title=""/>
                  <o:lock v:ext="edit"/>
                  <v:textbox inset="0.5mm,1.27mm,0.5mm,1.27mm">
                    <w:txbxContent>
                      <w:p w14:paraId="48D396F1">
                        <w:pPr>
                          <w:pStyle w:val="95"/>
                          <w:widowControl/>
                          <w:rPr>
                            <w:rFonts w:ascii="Times New Roman"/>
                            <w:kern w:val="0"/>
                            <w:szCs w:val="18"/>
                          </w:rPr>
                        </w:pPr>
                        <w:r>
                          <w:rPr>
                            <w:rFonts w:hint="eastAsia" w:ascii="Times New Roman"/>
                            <w:kern w:val="0"/>
                            <w:szCs w:val="18"/>
                          </w:rPr>
                          <w:t>二次汽</w:t>
                        </w:r>
                      </w:p>
                    </w:txbxContent>
                  </v:textbox>
                </v:shape>
              </w:pict>
            </w:r>
            <w:r>
              <w:rPr>
                <w:rFonts w:ascii="Times New Roman" w:hAnsi="Times New Roman"/>
                <w:sz w:val="20"/>
              </w:rPr>
              <w:pict>
                <v:line id="_x0000_s2372" o:spid="_x0000_s2372" o:spt="20" style="position:absolute;left:0pt;margin-left:135pt;margin-top:15.2pt;height:31.2pt;width:0pt;z-index:251845632;mso-width-relative:page;mso-height-relative:page;" stroked="t" coordsize="21600,21600" o:gfxdata="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g6rys1wAAAAkBAAAPAAAAAAAAAAEAIAAAACIAAABkcnMvZG93bnJl&#10;di54bWxQSwECFAAUAAAACACHTuJAAVrKkP4BAADrAwAADgAAAAAAAAABACAAAAAmAQAAZHJzL2Uy&#10;b0RvYy54bWxQSwUGAAAAAAYABgBZAQAAlgUAAAAA&#10;">
                  <v:path arrowok="t"/>
                  <v:fill focussize="0,0"/>
                  <v:stroke color="#008000" endarrow="block"/>
                  <v:imagedata o:title=""/>
                  <o:lock v:ext="edit"/>
                </v:line>
              </w:pict>
            </w:r>
            <w:r>
              <w:rPr>
                <w:rFonts w:ascii="Times New Roman" w:hAnsi="Times New Roman"/>
                <w:sz w:val="20"/>
              </w:rPr>
              <w:pict>
                <v:line id="_x0000_s2373" o:spid="_x0000_s2373" o:spt="20" style="position:absolute;left:0pt;margin-left:153pt;margin-top:15.2pt;height:31.2pt;width:0pt;z-index:251837440;mso-width-relative:page;mso-height-relative:page;" coordsize="21600,21600" o:gfxdata="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D9LrrZAAAACQEAAA8AAAAAAAAAAQAgAAAAIgAAAGRycy9kb3du&#10;cmV2LnhtbFBLAQIUABQAAAAIAIdO4kC9b9Zm/gEAAOsDAAAOAAAAAAAAAAEAIAAAACgBAABkcnMv&#10;ZTJvRG9jLnhtbFBLBQYAAAAABgAGAFkBAACYBQAAAAA=&#10;">
                  <v:path arrowok="t"/>
                  <v:fill focussize="0,0"/>
                  <v:stroke endarrow="block"/>
                  <v:imagedata o:title=""/>
                  <o:lock v:ext="edit"/>
                </v:line>
              </w:pict>
            </w:r>
            <w:r>
              <w:rPr>
                <w:rFonts w:ascii="Times New Roman" w:hAnsi="Times New Roman"/>
                <w:sz w:val="24"/>
              </w:rPr>
              <w:pict>
                <v:shape id="_x0000_s2375" o:spid="_x0000_s2375" o:spt="202" type="#_x0000_t202" style="position:absolute;left:0pt;margin-left:360pt;margin-top:-0.4pt;height:23.4pt;width:45pt;z-index:251796480;mso-width-relative:page;mso-height-relative:page;" stroked="f" coordsize="21600,21600" o:gfxdata="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sobur1AAAAAgBAAAPAAAAAAAAAAEAIAAA&#10;ACIAAABkcnMvZG93bnJldi54bWxQSwECFAAUAAAACACHTuJAbH1uqtcBAACmAwAADgAAAAAAAAAB&#10;ACAAAAAjAQAAZHJzL2Uyb0RvYy54bWxQSwUGAAAAAAYABgBZAQAAbAUAAAAA&#10;">
                  <v:path/>
                  <v:fill focussize="0,0"/>
                  <v:stroke on="f" joinstyle="miter"/>
                  <v:imagedata o:title=""/>
                  <o:lock v:ext="edit"/>
                  <v:textbox inset="0mm,1.27mm,0mm,1.27mm">
                    <w:txbxContent>
                      <w:p w14:paraId="17F531CC">
                        <w:pPr>
                          <w:spacing w:line="320" w:lineRule="exact"/>
                          <w:jc w:val="center"/>
                          <w:rPr>
                            <w:vertAlign w:val="subscript"/>
                          </w:rPr>
                        </w:pPr>
                        <w:r>
                          <w:rPr>
                            <w:rFonts w:hint="eastAsia"/>
                          </w:rPr>
                          <w:t>G</w:t>
                        </w:r>
                        <w:r>
                          <w:rPr>
                            <w:rFonts w:hint="eastAsia"/>
                            <w:vertAlign w:val="subscript"/>
                          </w:rPr>
                          <w:t xml:space="preserve">1 </w:t>
                        </w:r>
                        <w:r>
                          <w:rPr>
                            <w:rFonts w:hint="eastAsia"/>
                          </w:rPr>
                          <w:t>盐尘</w:t>
                        </w:r>
                      </w:p>
                    </w:txbxContent>
                  </v:textbox>
                </v:shape>
              </w:pict>
            </w:r>
            <w:r>
              <w:rPr>
                <w:rFonts w:ascii="Times New Roman" w:hAnsi="Times New Roman"/>
                <w:sz w:val="20"/>
              </w:rPr>
              <w:pict>
                <v:line id="_x0000_s2376" o:spid="_x0000_s2376" o:spt="20" style="position:absolute;left:0pt;margin-left:369pt;margin-top:23pt;height:23.7pt;width:0pt;z-index:251879424;mso-width-relative:page;mso-height-relative:page;" stroked="t" coordsize="21600,21600" o:gfxdata="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O44r2wAAAAkBAAAPAAAAAAAAAAEAIAAAACIAAABkcnMv&#10;ZG93bnJldi54bWxQSwECFAAUAAAACACHTuJA/lyWdQACAADrAwAADgAAAAAAAAABACAAAAAqAQAA&#10;ZHJzL2Uyb0RvYy54bWxQSwUGAAAAAAYABgBZAQAAnAUAAAAA&#10;">
                  <v:path arrowok="t"/>
                  <v:fill focussize="0,0"/>
                  <v:stroke color="#FF0000" startarrow="block"/>
                  <v:imagedata o:title=""/>
                  <o:lock v:ext="edit"/>
                </v:line>
              </w:pict>
            </w:r>
            <w:r>
              <w:rPr>
                <w:rFonts w:ascii="Times New Roman" w:hAnsi="Times New Roman"/>
                <w:sz w:val="20"/>
              </w:rPr>
              <w:pict>
                <v:line id="_x0000_s2377" o:spid="_x0000_s2377" o:spt="20" style="position:absolute;left:0pt;margin-left:225pt;margin-top:7.4pt;height:85.8pt;width:0pt;z-index:251870208;mso-width-relative:page;mso-height-relative:page;" stroked="t" coordsize="21600,21600" o:gfxdata="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uTgsXWAAAACgEAAA8AAAAAAAAAAQAgAAAAIgAAAGRycy9kb3du&#10;cmV2LnhtbFBLAQIUABQAAAAIAIdO4kAhZgxwAQIAAOwDAAAOAAAAAAAAAAEAIAAAACUBAABkcnMv&#10;ZTJvRG9jLnhtbFBLBQYAAAAABgAGAFkBAACYBQAAAAA=&#10;">
                  <v:path arrowok="t"/>
                  <v:fill focussize="0,0"/>
                  <v:stroke color="#FF0000" endarrow="block"/>
                  <v:imagedata o:title=""/>
                  <o:lock v:ext="edit"/>
                </v:line>
              </w:pict>
            </w:r>
            <w:r>
              <w:rPr>
                <w:rFonts w:ascii="Times New Roman" w:hAnsi="Times New Roman"/>
                <w:sz w:val="20"/>
              </w:rPr>
              <w:pict>
                <v:line id="_x0000_s2515" o:spid="_x0000_s2515" o:spt="20" style="position:absolute;left:0pt;margin-left:171pt;margin-top:7.4pt;height:0pt;width:54pt;z-index:251867136;mso-width-relative:page;mso-height-relative:page;" stroked="t" coordsize="21600,21600" o:gfxdata="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JwHQcfWAAAACQEAAA8AAAAAAAAAAQAgAAAAIgAAAGRycy9kb3ducmV2LnhtbFBL&#10;AQIUABQAAAAIAIdO4kD9AoYV+AEAAOcDAAAOAAAAAAAAAAEAIAAAACUBAABkcnMvZTJvRG9jLnht&#10;bFBLBQYAAAAABgAGAFkBAACPBQAAAAA=&#10;">
                  <v:path arrowok="t"/>
                  <v:fill focussize="0,0"/>
                  <v:stroke color="#FF0000"/>
                  <v:imagedata o:title=""/>
                  <o:lock v:ext="edit"/>
                </v:line>
              </w:pict>
            </w:r>
          </w:p>
          <w:p w14:paraId="0CE733C7">
            <w:pPr>
              <w:pStyle w:val="16"/>
              <w:snapToGrid w:val="0"/>
              <w:spacing w:line="500" w:lineRule="exact"/>
              <w:ind w:firstLine="523"/>
              <w:rPr>
                <w:rFonts w:ascii="Times New Roman" w:hAnsi="Times New Roman"/>
                <w:sz w:val="24"/>
              </w:rPr>
            </w:pPr>
            <w:r>
              <w:rPr>
                <w:rFonts w:ascii="Times New Roman" w:hAnsi="Times New Roman"/>
                <w:sz w:val="20"/>
              </w:rPr>
              <w:pict>
                <v:shape id="_x0000_s2516" o:spid="_x0000_s2516" o:spt="202" type="#_x0000_t202" style="position:absolute;left:0pt;margin-left:-4.5pt;margin-top:6.35pt;height:23.4pt;width:45pt;z-index:251901952;mso-width-relative:page;mso-height-relative:page;" stroked="f" coordsize="21600,21600" o:gfxdata="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9CIvXtYAAAAHAQAADwAAAAAAAAABACAA&#10;AAAiAAAAZHJzL2Rvd25yZXYueG1sUEsBAhQAFAAAAAgAh07iQLWBaC3WAQAApgMAAA4AAAAAAAAA&#10;AQAgAAAAJQEAAGRycy9lMm9Eb2MueG1sUEsFBgAAAAAGAAYAWQEAAG0FAAAAAA==&#10;">
                  <v:path/>
                  <v:fill focussize="0,0"/>
                  <v:stroke on="f" joinstyle="miter"/>
                  <v:imagedata o:title=""/>
                  <o:lock v:ext="edit"/>
                  <v:textbox inset="0mm,1.27mm,0mm,1.27mm">
                    <w:txbxContent>
                      <w:p w14:paraId="675982A2">
                        <w:pPr>
                          <w:spacing w:line="320" w:lineRule="exact"/>
                          <w:jc w:val="center"/>
                          <w:rPr>
                            <w:vertAlign w:val="subscript"/>
                          </w:rPr>
                        </w:pPr>
                        <w:r>
                          <w:rPr>
                            <w:rFonts w:hint="eastAsia"/>
                          </w:rPr>
                          <w:t>G</w:t>
                        </w:r>
                        <w:r>
                          <w:rPr>
                            <w:rFonts w:hint="eastAsia"/>
                            <w:vertAlign w:val="subscript"/>
                          </w:rPr>
                          <w:t>3</w:t>
                        </w:r>
                        <w:r>
                          <w:rPr>
                            <w:rFonts w:hint="eastAsia"/>
                          </w:rPr>
                          <w:t>不凝气</w:t>
                        </w:r>
                      </w:p>
                    </w:txbxContent>
                  </v:textbox>
                </v:shape>
              </w:pict>
            </w:r>
            <w:r>
              <w:rPr>
                <w:rFonts w:ascii="Times New Roman" w:hAnsi="Times New Roman"/>
                <w:sz w:val="20"/>
              </w:rPr>
              <w:pict>
                <v:line id="_x0000_s2517" o:spid="_x0000_s2517" o:spt="20" style="position:absolute;left:0pt;flip:x;margin-left:36pt;margin-top:5.8pt;height:0pt;width:99pt;z-index:251847680;mso-width-relative:page;mso-height-relative:page;" stroked="t" coordsize="21600,21600" o:gfxdata="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uJCu/RAAAACAEAAA8AAAAAAAAAAQAgAAAAIgAAAGRycy9kb3ducmV2Lnht&#10;bFBLAQIUABQAAAAIAIdO4kBFCgMxAAIAAPIDAAAOAAAAAAAAAAEAIAAAACABAABkcnMvZTJvRG9j&#10;LnhtbFBLBQYAAAAABgAGAFkBAACSBQAAAAA=&#10;">
                  <v:path arrowok="t"/>
                  <v:fill focussize="0,0"/>
                  <v:stroke color="#008000"/>
                  <v:imagedata o:title=""/>
                  <o:lock v:ext="edit"/>
                </v:line>
              </w:pict>
            </w:r>
            <w:r>
              <w:rPr>
                <w:rFonts w:ascii="Times New Roman" w:hAnsi="Times New Roman"/>
                <w:sz w:val="20"/>
              </w:rPr>
              <w:pict>
                <v:shape id="_x0000_s2518" o:spid="_x0000_s2518" o:spt="202" type="#_x0000_t202" style="position:absolute;left:0pt;margin-left:351pt;margin-top:21.4pt;height:23.4pt;width:45pt;z-index:251878400;mso-width-relative:page;mso-height-relative:page;" coordsize="21600,21600" o:gfxdata="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lSAGxdUAAAAJAQAADwAAAAAAAAABACAA&#10;AAAiAAAAZHJzL2Rvd25yZXYueG1sUEsBAhQAFAAAAAgAh07iQGqndVQQAgAAOgQAAA4AAAAAAAAA&#10;AQAgAAAAJAEAAGRycy9lMm9Eb2MueG1sUEsFBgAAAAAGAAYAWQEAAKYFAAAAAA==&#10;">
                  <v:path/>
                  <v:fill focussize="0,0"/>
                  <v:stroke dashstyle="longDash"/>
                  <v:imagedata o:title=""/>
                  <o:lock v:ext="edit"/>
                  <v:textbox>
                    <w:txbxContent>
                      <w:p w14:paraId="5CEBA7C3">
                        <w:pPr>
                          <w:spacing w:line="320" w:lineRule="exact"/>
                          <w:jc w:val="center"/>
                        </w:pPr>
                        <w:r>
                          <w:rPr>
                            <w:rFonts w:hint="eastAsia" w:ascii="宋体" w:hAnsi="宋体"/>
                          </w:rPr>
                          <w:t>除尘</w:t>
                        </w:r>
                      </w:p>
                      <w:p w14:paraId="4B49DA54">
                        <w:pPr>
                          <w:spacing w:line="320" w:lineRule="exact"/>
                          <w:jc w:val="center"/>
                        </w:pPr>
                      </w:p>
                      <w:p w14:paraId="6B947DA0">
                        <w:pPr>
                          <w:spacing w:line="360" w:lineRule="exact"/>
                        </w:pPr>
                        <w:r>
                          <w:rPr>
                            <w:rFonts w:hint="eastAsia"/>
                          </w:rPr>
                          <w:t>滤</w:t>
                        </w:r>
                      </w:p>
                    </w:txbxContent>
                  </v:textbox>
                </v:shape>
              </w:pict>
            </w:r>
            <w:r>
              <w:rPr>
                <w:rFonts w:ascii="Times New Roman" w:hAnsi="Times New Roman"/>
                <w:sz w:val="20"/>
              </w:rPr>
              <w:pict>
                <v:shape id="_x0000_s2519" o:spid="_x0000_s2519" o:spt="202" type="#_x0000_t202" style="position:absolute;left:0pt;margin-left:117pt;margin-top:21.4pt;height:23.4pt;width:54pt;z-index:251836416;mso-width-relative:page;mso-height-relative:page;" coordsize="21600,21600" o:gfxdata="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yf&#10;TKPWAAAACQEAAA8AAAAAAAAAAQAgAAAAIgAAAGRycy9kb3ducmV2LnhtbFBLAQIUABQAAAAIAIdO&#10;4kAj1xQxJQIAAG0EAAAOAAAAAAAAAAEAIAAAACUBAABkcnMvZTJvRG9jLnhtbFBLBQYAAAAABgAG&#10;AFkBAAC8BQAAAAA=&#10;">
                  <v:path/>
                  <v:fill focussize="0,0"/>
                  <v:stroke joinstyle="miter"/>
                  <v:imagedata o:title=""/>
                  <o:lock v:ext="edit"/>
                  <v:textbox inset="0.5mm,1.27mm,0.5mm,1.27mm">
                    <w:txbxContent>
                      <w:p w14:paraId="6B990D17">
                        <w:pPr>
                          <w:spacing w:line="320" w:lineRule="exact"/>
                          <w:jc w:val="center"/>
                        </w:pPr>
                        <w:r>
                          <w:rPr>
                            <w:rFonts w:hint="eastAsia" w:ascii="宋体" w:hAnsi="宋体"/>
                          </w:rPr>
                          <w:t>三效闪蒸</w:t>
                        </w:r>
                      </w:p>
                      <w:p w14:paraId="2A714448">
                        <w:pPr>
                          <w:spacing w:line="320" w:lineRule="exact"/>
                          <w:jc w:val="center"/>
                        </w:pPr>
                      </w:p>
                      <w:p w14:paraId="271EC450">
                        <w:pPr>
                          <w:spacing w:line="360" w:lineRule="exact"/>
                        </w:pPr>
                        <w:r>
                          <w:rPr>
                            <w:rFonts w:hint="eastAsia"/>
                          </w:rPr>
                          <w:t>滤</w:t>
                        </w:r>
                      </w:p>
                    </w:txbxContent>
                  </v:textbox>
                </v:shape>
              </w:pict>
            </w:r>
          </w:p>
          <w:p w14:paraId="1579CE34">
            <w:pPr>
              <w:pStyle w:val="16"/>
              <w:snapToGrid w:val="0"/>
              <w:spacing w:line="500" w:lineRule="exact"/>
              <w:ind w:firstLine="523"/>
              <w:rPr>
                <w:rFonts w:ascii="Times New Roman" w:hAnsi="Times New Roman"/>
                <w:sz w:val="24"/>
              </w:rPr>
            </w:pPr>
            <w:r>
              <w:rPr>
                <w:rFonts w:ascii="Times New Roman" w:hAnsi="Times New Roman"/>
                <w:sz w:val="20"/>
              </w:rPr>
              <w:pict>
                <v:line id="_x0000_s2520" o:spid="_x0000_s2520" o:spt="20" style="position:absolute;left:0pt;flip:y;margin-left:18pt;margin-top:4.2pt;height:31.2pt;width:0pt;z-index:251896832;mso-width-relative:page;mso-height-relative:page;" stroked="t" coordsize="21600,21600" o:gfxdata="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B0EinSAAAABgEAAA8AAAAAAAAAAQAgAAAAIgAAAGRycy9kb3du&#10;cmV2LnhtbFBLAQIUABQAAAAIAIdO4kD3sgKgBQIAAPUDAAAOAAAAAAAAAAEAIAAAACEBAABkcnMv&#10;ZTJvRG9jLnhtbFBLBQYAAAAABgAGAFkBAACYBQAAAAA=&#10;">
                  <v:path arrowok="t"/>
                  <v:fill focussize="0,0"/>
                  <v:stroke color="#008000" endarrow="block"/>
                  <v:imagedata o:title=""/>
                  <o:lock v:ext="edit"/>
                </v:line>
              </w:pict>
            </w:r>
            <w:r>
              <w:rPr>
                <w:rFonts w:ascii="Times New Roman" w:hAnsi="Times New Roman"/>
                <w:sz w:val="20"/>
              </w:rPr>
              <w:pict>
                <v:shape id="_x0000_s2521" o:spid="_x0000_s2521" o:spt="202" type="#_x0000_t202" style="position:absolute;left:0pt;margin-left:153pt;margin-top:19.8pt;height:23.4pt;width:45pt;z-index:251893760;mso-width-relative:page;mso-height-relative:page;" filled="f" stroked="f" coordsize="21600,21600" o:gfxdata="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NmqLd/XAAAACQEAAA8AAAAAAAAAAQAgAAAAIgAAAGRycy9kb3ducmV2&#10;LnhtbFBLAQIUABQAAAAIAIdO4kBUZYJ2xAEAAIUDAAAOAAAAAAAAAAEAIAAAACYBAABkcnMvZTJv&#10;RG9jLnhtbFBLBQYAAAAABgAGAFkBAABcBQAAAAA=&#10;">
                  <v:path/>
                  <v:fill on="f" focussize="0,0"/>
                  <v:stroke on="f" joinstyle="miter"/>
                  <v:imagedata o:title=""/>
                  <o:lock v:ext="edit"/>
                  <v:textbox inset="0.5mm,1.27mm,0.5mm,1.27mm">
                    <w:txbxContent>
                      <w:p w14:paraId="0000EF7E">
                        <w:pPr>
                          <w:pStyle w:val="95"/>
                          <w:widowControl/>
                          <w:snapToGrid/>
                          <w:spacing w:line="280" w:lineRule="exact"/>
                          <w:rPr>
                            <w:rFonts w:ascii="Times New Roman"/>
                            <w:kern w:val="0"/>
                            <w:szCs w:val="18"/>
                          </w:rPr>
                        </w:pPr>
                        <w:r>
                          <w:rPr>
                            <w:rFonts w:hint="eastAsia" w:ascii="Times New Roman"/>
                            <w:kern w:val="0"/>
                            <w:szCs w:val="18"/>
                          </w:rPr>
                          <w:t>二次汽</w:t>
                        </w:r>
                      </w:p>
                    </w:txbxContent>
                  </v:textbox>
                </v:shape>
              </w:pict>
            </w:r>
            <w:r>
              <w:rPr>
                <w:rFonts w:ascii="Times New Roman" w:hAnsi="Times New Roman"/>
                <w:sz w:val="20"/>
              </w:rPr>
              <w:pict>
                <v:line id="_x0000_s2522" o:spid="_x0000_s2522" o:spt="20" style="position:absolute;left:0pt;margin-left:153pt;margin-top:19.8pt;height:23.4pt;width:0pt;z-index:251892736;mso-width-relative:page;mso-height-relative:page;" stroked="t" coordsize="21600,21600" o:gfxdata="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F6LbD2wAAAAkBAAAPAAAAAAAAAAEAIAAAACIAAABkcnMv&#10;ZG93bnJldi54bWxQSwECFAAUAAAACACHTuJAjcfR2QACAADrAwAADgAAAAAAAAABACAAAAAqAQAA&#10;ZHJzL2Uyb0RvYy54bWxQSwUGAAAAAAYABgBZAQAAnAUAAAAA&#10;">
                  <v:path arrowok="t"/>
                  <v:fill focussize="0,0"/>
                  <v:stroke color="#800000" endarrow="block"/>
                  <v:imagedata o:title=""/>
                  <o:lock v:ext="edit"/>
                </v:line>
              </w:pict>
            </w:r>
            <w:r>
              <w:rPr>
                <w:rFonts w:ascii="Times New Roman" w:hAnsi="Times New Roman"/>
                <w:sz w:val="24"/>
              </w:rPr>
              <w:pict>
                <v:line id="_x0000_s2523" o:spid="_x0000_s2523" o:spt="20" style="position:absolute;left:0pt;margin-left:369pt;margin-top:19.8pt;height:23.7pt;width:0pt;z-index:251823104;mso-width-relative:page;mso-height-relative:page;" stroked="t" coordsize="21600,21600" o:gfxdata="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uQ3STaAAAACQEAAA8AAAAAAAAAAQAgAAAAIgAAAGRycy9k&#10;b3ducmV2LnhtbFBLAQIUABQAAAAIAIdO4kCjF3fzAAIAAOsDAAAOAAAAAAAAAAEAIAAAACkBAABk&#10;cnMvZTJvRG9jLnhtbFBLBQYAAAAABgAGAFkBAACbBQAAAAA=&#10;">
                  <v:path arrowok="t"/>
                  <v:fill focussize="0,0"/>
                  <v:stroke color="#FF0000" startarrow="block"/>
                  <v:imagedata o:title=""/>
                  <o:lock v:ext="edit"/>
                </v:line>
              </w:pict>
            </w:r>
            <w:r>
              <w:rPr>
                <w:rFonts w:ascii="Times New Roman" w:hAnsi="Times New Roman"/>
                <w:sz w:val="20"/>
              </w:rPr>
              <w:pict>
                <v:line id="_x0000_s2524" o:spid="_x0000_s2524" o:spt="20" style="position:absolute;left:0pt;margin-left:216pt;margin-top:12pt;height:31.2pt;width:0pt;z-index:251869184;mso-width-relative:page;mso-height-relative:page;" stroked="t" coordsize="21600,21600" o:gfxdata="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yCuTXAAAACQEAAA8AAAAAAAAAAQAgAAAAIgAAAGRycy9kb3du&#10;cmV2LnhtbFBLAQIUABQAAAAIAIdO4kAXGSiBAAIAAOsDAAAOAAAAAAAAAAEAIAAAACYBAABkcnMv&#10;ZTJvRG9jLnhtbFBLBQYAAAAABgAGAFkBAACYBQAAAAA=&#10;">
                  <v:path arrowok="t"/>
                  <v:fill focussize="0,0"/>
                  <v:stroke color="#FF0000" endarrow="block"/>
                  <v:imagedata o:title=""/>
                  <o:lock v:ext="edit"/>
                </v:line>
              </w:pict>
            </w:r>
            <w:r>
              <w:rPr>
                <w:rFonts w:ascii="Times New Roman" w:hAnsi="Times New Roman"/>
                <w:sz w:val="20"/>
              </w:rPr>
              <w:pict>
                <v:line id="_x0000_s2525" o:spid="_x0000_s2525" o:spt="20" style="position:absolute;left:0pt;margin-left:171pt;margin-top:12pt;height:0pt;width:45pt;z-index:251866112;mso-width-relative:page;mso-height-relative:page;" stroked="t" coordsize="21600,21600" o:gfxdata="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ADvBrWAAAACQEAAA8AAAAAAAAAAQAgAAAAIgAAAGRycy9kb3ducmV2LnhtbFBL&#10;AQIUABQAAAAIAIdO4kC4LrvU+AEAAOcDAAAOAAAAAAAAAAEAIAAAACUBAABkcnMvZTJvRG9jLnht&#10;bFBLBQYAAAAABgAGAFkBAACPBQAAAAA=&#10;">
                  <v:path arrowok="t"/>
                  <v:fill focussize="0,0"/>
                  <v:stroke color="#FF0000"/>
                  <v:imagedata o:title=""/>
                  <o:lock v:ext="edit"/>
                </v:line>
              </w:pict>
            </w:r>
            <w:r>
              <w:rPr>
                <w:rFonts w:ascii="Times New Roman" w:hAnsi="Times New Roman"/>
                <w:sz w:val="24"/>
              </w:rPr>
              <w:pict>
                <v:line id="_x0000_s2526" o:spid="_x0000_s2526" o:spt="20" style="position:absolute;left:0pt;margin-left:135pt;margin-top:19.8pt;height:23.4pt;width:0pt;z-index:251813888;mso-width-relative:page;mso-height-relative:page;" coordsize="21600,21600" o:gfxdata="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ZGTl/ZAAAACQEAAA8AAAAAAAAAAQAgAAAAIgAAAGRycy9kb3du&#10;cmV2LnhtbFBLAQIUABQAAAAIAIdO4kBW13C4/gEAAOsDAAAOAAAAAAAAAAEAIAAAACgBAABkcnMv&#10;ZTJvRG9jLnhtbFBLBQYAAAAABgAGAFkBAACYBQAAAAA=&#10;">
                  <v:path arrowok="t"/>
                  <v:fill focussize="0,0"/>
                  <v:stroke endarrow="block"/>
                  <v:imagedata o:title=""/>
                  <o:lock v:ext="edit"/>
                </v:line>
              </w:pict>
            </w:r>
          </w:p>
          <w:p w14:paraId="633C12F4">
            <w:pPr>
              <w:pStyle w:val="16"/>
              <w:snapToGrid w:val="0"/>
              <w:spacing w:line="500" w:lineRule="exact"/>
              <w:ind w:firstLine="523"/>
              <w:rPr>
                <w:rFonts w:ascii="Times New Roman" w:hAnsi="Times New Roman"/>
                <w:sz w:val="24"/>
              </w:rPr>
            </w:pPr>
            <w:r>
              <w:rPr>
                <w:sz w:val="20"/>
              </w:rPr>
              <w:pict>
                <v:shape id="_x0000_s2527" o:spid="_x0000_s2527" o:spt="34" type="#_x0000_t34" style="position:absolute;left:0pt;margin-left:327.1pt;margin-top:25pt;height:62.95pt;width:29.8pt;rotation:5898240f;z-index:251887616;mso-width-relative:page;mso-height-relative:page;" filled="f" stroked="t" coordsize="21600,21600" o:gfxdata="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IC+uPrZAAAACgEAAA8A&#10;AAAAAAAAAQAgAAAAIgAAAGRycy9kb3ducmV2LnhtbFBLAQIUABQAAAAIAIdO4kCvByOmTwIAAGgE&#10;AAAOAAAAAAAAAAEAIAAAACgBAABkcnMvZTJvRG9jLnhtbFBLBQYAAAAABgAGAFkBAADpBQAAAAA=&#10;" adj="10782">
                  <v:path arrowok="t"/>
                  <v:fill on="f" focussize="0,0"/>
                  <v:stroke weight="1pt" color="#FF0000" endarrow="open"/>
                  <v:imagedata o:title=""/>
                  <o:lock v:ext="edit"/>
                </v:shape>
              </w:pict>
            </w:r>
            <w:r>
              <w:rPr>
                <w:rFonts w:ascii="Times New Roman" w:hAnsi="Times New Roman"/>
                <w:sz w:val="20"/>
              </w:rPr>
              <w:pict>
                <v:line id="_x0000_s2528" o:spid="_x0000_s2528" o:spt="20" style="position:absolute;left:0pt;flip:x;margin-left:53.85pt;margin-top:2.6pt;height:0pt;width:99pt;z-index:251915264;mso-width-relative:page;mso-height-relative:page;" stroked="t" coordsize="21600,21600" o:gfxdata="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YN3tDUAAAABwEAAA8AAAAAAAAAAQAgAAAAIgAAAGRycy9kb3ducmV2&#10;LnhtbFBLAQIUABQAAAAIAIdO4kBc6OOvAAIAAPIDAAAOAAAAAAAAAAEAIAAAACMBAABkcnMvZTJv&#10;RG9jLnhtbFBLBQYAAAAABgAGAFkBAACVBQAAAAA=&#10;">
                  <v:path arrowok="t"/>
                  <v:fill focussize="0,0"/>
                  <v:stroke color="#800000"/>
                  <v:imagedata o:title=""/>
                  <o:lock v:ext="edit"/>
                </v:line>
              </w:pict>
            </w:r>
            <w:r>
              <w:rPr>
                <w:rFonts w:ascii="Times New Roman" w:hAnsi="Times New Roman"/>
                <w:sz w:val="20"/>
              </w:rPr>
              <w:pict>
                <v:shape id="_x0000_s2529" o:spid="_x0000_s2529" o:spt="202" type="#_x0000_t202" style="position:absolute;left:0pt;margin-left:0pt;margin-top:10.4pt;height:23.4pt;width:45pt;z-index:251895808;mso-width-relative:page;mso-height-relative:page;" filled="f" coordsize="21600,21600" o:gfxdata="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9hfCLRAAAABQEAAA8A&#10;AAAAAAAAAQAgAAAAIgAAAGRycy9kb3ducmV2LnhtbFBLAQIUABQAAAAIAIdO4kAufRVbHgIAAEQE&#10;AAAOAAAAAAAAAAEAIAAAACABAABkcnMvZTJvRG9jLnhtbFBLBQYAAAAABgAGAFkBAACwBQAAAAA=&#10;">
                  <v:path/>
                  <v:fill on="f" focussize="0,0"/>
                  <v:stroke joinstyle="miter"/>
                  <v:imagedata o:title=""/>
                  <o:lock v:ext="edit"/>
                  <v:textbox inset="0.5mm,1.27mm,0.5mm,1.27mm">
                    <w:txbxContent>
                      <w:p w14:paraId="454CF34F">
                        <w:pPr>
                          <w:spacing w:line="320" w:lineRule="exact"/>
                          <w:jc w:val="center"/>
                        </w:pPr>
                        <w:r>
                          <w:rPr>
                            <w:rFonts w:hint="eastAsia" w:ascii="宋体" w:hAnsi="宋体"/>
                          </w:rPr>
                          <w:t>喷射器</w:t>
                        </w:r>
                      </w:p>
                      <w:p w14:paraId="6D0C1436">
                        <w:pPr>
                          <w:spacing w:line="320" w:lineRule="exact"/>
                          <w:jc w:val="center"/>
                        </w:pPr>
                      </w:p>
                      <w:p w14:paraId="3DB9472A">
                        <w:pPr>
                          <w:spacing w:line="360" w:lineRule="exact"/>
                        </w:pPr>
                        <w:r>
                          <w:rPr>
                            <w:rFonts w:hint="eastAsia"/>
                          </w:rPr>
                          <w:t>滤</w:t>
                        </w:r>
                      </w:p>
                    </w:txbxContent>
                  </v:textbox>
                </v:shape>
              </w:pict>
            </w:r>
            <w:r>
              <w:rPr>
                <w:rFonts w:ascii="Times New Roman" w:hAnsi="Times New Roman"/>
                <w:sz w:val="20"/>
              </w:rPr>
              <w:pict>
                <v:shape id="_x0000_s2530" o:spid="_x0000_s2530" o:spt="202" type="#_x0000_t202" style="position:absolute;left:0pt;margin-left:171pt;margin-top:10.4pt;height:23.4pt;width:27pt;z-index:251885568;mso-width-relative:page;mso-height-relative:page;" filled="f" stroked="f" coordsize="21600,21600" o:gfxdata="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Fsl73XZAAAACQEAAA8AAAAAAAAAAQAgAAAAIgAAAGRycy9kb3ducmV2&#10;LnhtbFBLAQIUABQAAAAIAIdO4kAH+kKHwgEAAH0DAAAOAAAAAAAAAAEAIAAAACgBAABkcnMvZTJv&#10;RG9jLnhtbFBLBQYAAAAABgAGAFkBAABcBQAAAAA=&#10;">
                  <v:path/>
                  <v:fill on="f" focussize="0,0"/>
                  <v:stroke on="f" joinstyle="miter"/>
                  <v:imagedata o:title=""/>
                  <o:lock v:ext="edit"/>
                  <v:textbox inset="0mm,1.27mm,0mm,1.27mm">
                    <w:txbxContent>
                      <w:p w14:paraId="3F0EFADB">
                        <w:pPr>
                          <w:spacing w:line="320" w:lineRule="exact"/>
                          <w:jc w:val="right"/>
                        </w:pPr>
                        <w:r>
                          <w:rPr>
                            <w:rFonts w:hint="eastAsia"/>
                          </w:rPr>
                          <w:t>盐浆</w:t>
                        </w:r>
                      </w:p>
                    </w:txbxContent>
                  </v:textbox>
                </v:shape>
              </w:pict>
            </w:r>
            <w:r>
              <w:rPr>
                <w:rFonts w:ascii="Times New Roman" w:hAnsi="Times New Roman"/>
                <w:sz w:val="24"/>
              </w:rPr>
              <w:pict>
                <v:shape id="_x0000_s2531" o:spid="_x0000_s2531" o:spt="202" type="#_x0000_t202" style="position:absolute;left:0pt;margin-left:351pt;margin-top:18.2pt;height:23.4pt;width:45pt;z-index:251822080;mso-width-relative:page;mso-height-relative:page;" coordsize="21600,21600" o:gfxdata="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Y8+AS9UAAAAJAQAADwAAAAAAAAABACAA&#10;AAAiAAAAZHJzL2Rvd25yZXYueG1sUEsBAhQAFAAAAAgAh07iQKj9T5EQAgAAOgQAAA4AAAAAAAAA&#10;AQAgAAAAJAEAAGRycy9lMm9Eb2MueG1sUEsFBgAAAAAGAAYAWQEAAKYFAAAAAA==&#10;">
                  <v:path/>
                  <v:fill focussize="0,0"/>
                  <v:stroke dashstyle="longDash"/>
                  <v:imagedata o:title=""/>
                  <o:lock v:ext="edit"/>
                  <v:textbox>
                    <w:txbxContent>
                      <w:p w14:paraId="33CD37D3">
                        <w:pPr>
                          <w:spacing w:line="320" w:lineRule="exact"/>
                          <w:jc w:val="center"/>
                        </w:pPr>
                        <w:r>
                          <w:rPr>
                            <w:rFonts w:hint="eastAsia" w:ascii="宋体" w:hAnsi="宋体"/>
                          </w:rPr>
                          <w:t>干燥</w:t>
                        </w:r>
                      </w:p>
                      <w:p w14:paraId="55293B2D">
                        <w:pPr>
                          <w:spacing w:line="320" w:lineRule="exact"/>
                          <w:jc w:val="center"/>
                        </w:pPr>
                      </w:p>
                      <w:p w14:paraId="1FBE9C0C">
                        <w:pPr>
                          <w:spacing w:line="360" w:lineRule="exact"/>
                        </w:pPr>
                        <w:r>
                          <w:rPr>
                            <w:rFonts w:hint="eastAsia"/>
                          </w:rPr>
                          <w:t>滤</w:t>
                        </w:r>
                      </w:p>
                    </w:txbxContent>
                  </v:textbox>
                </v:shape>
              </w:pict>
            </w:r>
            <w:r>
              <w:rPr>
                <w:rFonts w:ascii="Times New Roman" w:hAnsi="Times New Roman"/>
                <w:sz w:val="20"/>
              </w:rPr>
              <w:pict>
                <v:shape id="_x0000_s2532" o:spid="_x0000_s2532" o:spt="202" type="#_x0000_t202" style="position:absolute;left:0pt;margin-left:279pt;margin-top:18.2pt;height:23.4pt;width:45pt;z-index:251864064;mso-width-relative:page;mso-height-relative:page;" filled="f" coordsize="21600,21600" o:gfxdata="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Tt+/tYAAAAJ&#10;AQAADwAAAAAAAAABACAAAAAiAAAAZHJzL2Rvd25yZXYueG1sUEsBAhQAFAAAAAgAh07iQJxpJzMe&#10;AgAARAQAAA4AAAAAAAAAAQAgAAAAJQEAAGRycy9lMm9Eb2MueG1sUEsFBgAAAAAGAAYAWQEAALUF&#10;AAAAAA==&#10;">
                  <v:path/>
                  <v:fill on="f" focussize="0,0"/>
                  <v:stroke joinstyle="miter"/>
                  <v:imagedata o:title=""/>
                  <o:lock v:ext="edit"/>
                  <v:textbox inset="0.5mm,1.27mm,0.5mm,1.27mm">
                    <w:txbxContent>
                      <w:p w14:paraId="4312BA01">
                        <w:pPr>
                          <w:spacing w:line="320" w:lineRule="exact"/>
                          <w:jc w:val="center"/>
                        </w:pPr>
                        <w:r>
                          <w:rPr>
                            <w:rFonts w:hint="eastAsia" w:ascii="宋体" w:hAnsi="宋体"/>
                          </w:rPr>
                          <w:t>离心</w:t>
                        </w:r>
                      </w:p>
                      <w:p w14:paraId="59A5FF29">
                        <w:pPr>
                          <w:spacing w:line="320" w:lineRule="exact"/>
                          <w:jc w:val="center"/>
                        </w:pPr>
                      </w:p>
                      <w:p w14:paraId="5AF575D2">
                        <w:pPr>
                          <w:spacing w:line="360" w:lineRule="exact"/>
                        </w:pPr>
                        <w:r>
                          <w:rPr>
                            <w:rFonts w:hint="eastAsia"/>
                          </w:rPr>
                          <w:t>滤</w:t>
                        </w:r>
                      </w:p>
                    </w:txbxContent>
                  </v:textbox>
                </v:shape>
              </w:pict>
            </w:r>
            <w:r>
              <w:rPr>
                <w:rFonts w:ascii="Times New Roman" w:hAnsi="Times New Roman"/>
                <w:sz w:val="24"/>
              </w:rPr>
              <w:pict>
                <v:shape id="_x0000_s2533" o:spid="_x0000_s2533" o:spt="202" type="#_x0000_t202" style="position:absolute;left:0pt;margin-left:207pt;margin-top:18.2pt;height:23.4pt;width:45pt;z-index:251825152;mso-width-relative:page;mso-height-relative:page;" filled="f" coordsize="21600,21600" o:gfxdata="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D5ylTXAAAA&#10;CQEAAA8AAAAAAAAAAQAgAAAAIgAAAGRycy9kb3ducmV2LnhtbFBLAQIUABQAAAAIAIdO4kBAcft8&#10;HgIAAEQEAAAOAAAAAAAAAAEAIAAAACYBAABkcnMvZTJvRG9jLnhtbFBLBQYAAAAABgAGAFkBAAC2&#10;BQAAAAA=&#10;">
                  <v:path/>
                  <v:fill on="f" focussize="0,0"/>
                  <v:stroke joinstyle="miter"/>
                  <v:imagedata o:title=""/>
                  <o:lock v:ext="edit"/>
                  <v:textbox inset="0.5mm,1.27mm,0.5mm,1.27mm">
                    <w:txbxContent>
                      <w:p w14:paraId="1FBD90A2">
                        <w:pPr>
                          <w:spacing w:line="320" w:lineRule="exact"/>
                          <w:jc w:val="center"/>
                        </w:pPr>
                        <w:r>
                          <w:rPr>
                            <w:rFonts w:hint="eastAsia" w:ascii="宋体" w:hAnsi="宋体"/>
                          </w:rPr>
                          <w:t>稠厚器</w:t>
                        </w:r>
                      </w:p>
                      <w:p w14:paraId="2BDC3E3F">
                        <w:pPr>
                          <w:spacing w:line="320" w:lineRule="exact"/>
                          <w:jc w:val="center"/>
                        </w:pPr>
                      </w:p>
                      <w:p w14:paraId="3DD4E3A2">
                        <w:pPr>
                          <w:spacing w:line="360" w:lineRule="exact"/>
                        </w:pPr>
                        <w:r>
                          <w:rPr>
                            <w:rFonts w:hint="eastAsia"/>
                          </w:rPr>
                          <w:t>滤</w:t>
                        </w:r>
                      </w:p>
                    </w:txbxContent>
                  </v:textbox>
                </v:shape>
              </w:pict>
            </w:r>
            <w:r>
              <w:rPr>
                <w:rFonts w:ascii="Times New Roman" w:hAnsi="Times New Roman"/>
                <w:sz w:val="24"/>
              </w:rPr>
              <w:pict>
                <v:shape id="_x0000_s2534" o:spid="_x0000_s2534" o:spt="202" type="#_x0000_t202" style="position:absolute;left:0pt;margin-left:117pt;margin-top:18.2pt;height:23.4pt;width:54pt;z-index:251812864;mso-width-relative:page;mso-height-relative:page;" coordsize="21600,21600" o:gfxdata="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4yebTYAAAACQEAAA8AAAAAAAAAAQAg&#10;AAAAIgAAAGRycy9kb3ducmV2LnhtbFBLAQIUABQAAAAIAIdO4kC4qbVmDgIAADkEAAAOAAAAAAAA&#10;AAEAIAAAACcBAABkcnMvZTJvRG9jLnhtbFBLBQYAAAAABgAGAFkBAACnBQAAAAA=&#10;">
                  <v:path/>
                  <v:fill focussize="0,0"/>
                  <v:stroke joinstyle="miter"/>
                  <v:imagedata o:title=""/>
                  <o:lock v:ext="edit"/>
                  <v:textbox>
                    <w:txbxContent>
                      <w:p w14:paraId="79191413">
                        <w:pPr>
                          <w:spacing w:line="320" w:lineRule="exact"/>
                          <w:jc w:val="center"/>
                        </w:pPr>
                        <w:r>
                          <w:rPr>
                            <w:rFonts w:hint="eastAsia" w:ascii="宋体" w:hAnsi="宋体"/>
                          </w:rPr>
                          <w:t>制盐罐</w:t>
                        </w:r>
                      </w:p>
                      <w:p w14:paraId="3EA06E00">
                        <w:pPr>
                          <w:spacing w:line="320" w:lineRule="exact"/>
                          <w:jc w:val="center"/>
                        </w:pPr>
                      </w:p>
                      <w:p w14:paraId="4CEF1E4F">
                        <w:pPr>
                          <w:spacing w:line="360" w:lineRule="exact"/>
                        </w:pPr>
                        <w:r>
                          <w:rPr>
                            <w:rFonts w:hint="eastAsia"/>
                          </w:rPr>
                          <w:t>滤</w:t>
                        </w:r>
                      </w:p>
                    </w:txbxContent>
                  </v:textbox>
                </v:shape>
              </w:pict>
            </w:r>
          </w:p>
          <w:p w14:paraId="3FDBFFFE">
            <w:pPr>
              <w:pStyle w:val="16"/>
              <w:snapToGrid w:val="0"/>
              <w:spacing w:line="500" w:lineRule="exact"/>
              <w:ind w:firstLine="523"/>
              <w:rPr>
                <w:rFonts w:ascii="Times New Roman" w:hAnsi="Times New Roman"/>
                <w:sz w:val="24"/>
              </w:rPr>
            </w:pPr>
            <w:r>
              <w:rPr>
                <w:rFonts w:ascii="Times New Roman" w:hAnsi="Times New Roman"/>
                <w:sz w:val="20"/>
              </w:rPr>
              <w:pict>
                <v:shape id="_x0000_s2535" o:spid="_x0000_s2535" o:spt="202" type="#_x0000_t202" style="position:absolute;left:0pt;margin-left:72pt;margin-top:24.4pt;height:23.4pt;width:36pt;z-index:251863040;mso-width-relative:page;mso-height-relative:page;" filled="f" stroked="f" coordsize="21600,21600" o:gfxdata="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CnAZkzYAAAACQEAAA8AAAAAAAAAAQAgAAAAIgAAAGRycy9kb3ducmV2&#10;LnhtbFBLAQIUABQAAAAIAIdO4kBd1DBMwwEAAIUDAAAOAAAAAAAAAAEAIAAAACcBAABkcnMvZTJv&#10;RG9jLnhtbFBLBQYAAAAABgAGAFkBAABcBQAAAAA=&#10;">
                  <v:path/>
                  <v:fill on="f" focussize="0,0"/>
                  <v:stroke on="f" joinstyle="miter"/>
                  <v:imagedata o:title=""/>
                  <o:lock v:ext="edit"/>
                  <v:textbox inset="0.5mm,1.27mm,0.5mm,1.27mm">
                    <w:txbxContent>
                      <w:p w14:paraId="13136878">
                        <w:pPr>
                          <w:pStyle w:val="95"/>
                          <w:widowControl/>
                          <w:rPr>
                            <w:rFonts w:ascii="Times New Roman"/>
                            <w:kern w:val="0"/>
                            <w:szCs w:val="18"/>
                          </w:rPr>
                        </w:pPr>
                        <w:r>
                          <w:rPr>
                            <w:rFonts w:hint="eastAsia" w:ascii="Times New Roman"/>
                            <w:kern w:val="0"/>
                            <w:szCs w:val="18"/>
                          </w:rPr>
                          <w:t>二次汽</w:t>
                        </w:r>
                      </w:p>
                    </w:txbxContent>
                  </v:textbox>
                </v:shape>
              </w:pict>
            </w:r>
            <w:r>
              <w:rPr>
                <w:rFonts w:ascii="Times New Roman" w:hAnsi="Times New Roman"/>
                <w:sz w:val="20"/>
              </w:rPr>
              <w:pict>
                <v:line id="_x0000_s2536" o:spid="_x0000_s2536" o:spt="20" style="position:absolute;left:0pt;margin-left:297pt;margin-top:16.6pt;height:15.6pt;width:0pt;z-index:251902976;mso-width-relative:page;mso-height-relative:page;" coordsize="21600,21600" o:gfxdata="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cqIhONcAAAAJAQAADwAAAAAAAAABACAAAAAiAAAAZHJzL2Rvd25yZXYueG1sUEsB&#10;AhQAFAAAAAgAh07iQLis/WL2AQAA5wMAAA4AAAAAAAAAAQAgAAAAJgEAAGRycy9lMm9Eb2MueG1s&#10;UEsFBgAAAAAGAAYAWQEAAI4FAAAAAA==&#10;">
                  <v:path arrowok="t"/>
                  <v:fill focussize="0,0"/>
                  <v:stroke/>
                  <v:imagedata o:title=""/>
                  <o:lock v:ext="edit"/>
                </v:line>
              </w:pict>
            </w:r>
            <w:r>
              <w:rPr>
                <w:rFonts w:ascii="Times New Roman" w:hAnsi="Times New Roman"/>
                <w:sz w:val="20"/>
              </w:rPr>
              <w:pict>
                <v:line id="_x0000_s2537" o:spid="_x0000_s2537" o:spt="20" style="position:absolute;left:0pt;flip:y;margin-left:153pt;margin-top:16.6pt;height:15.6pt;width:0pt;z-index:251904000;mso-width-relative:page;mso-height-relative:page;" coordsize="21600,21600" o:gfxdata="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&#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gFRkK2AAAAAkBAAAPAAAAAAAAAAEAIAAAACIAAABk&#10;cnMvZG93bnJldi54bWxQSwECFAAUAAAACACHTuJAXf1RFgYCAAD1AwAADgAAAAAAAAABACAAAAAn&#10;AQAAZHJzL2Uyb0RvYy54bWxQSwUGAAAAAAYABgBZAQAAnwUAAAAA&#10;">
                  <v:path arrowok="t"/>
                  <v:fill focussize="0,0"/>
                  <v:stroke endarrow="block"/>
                  <v:imagedata o:title=""/>
                  <o:lock v:ext="edit"/>
                </v:line>
              </w:pict>
            </w:r>
            <w:r>
              <w:rPr>
                <w:rFonts w:ascii="Times New Roman" w:hAnsi="Times New Roman"/>
                <w:sz w:val="20"/>
              </w:rPr>
              <w:pict>
                <v:line id="_x0000_s2538" o:spid="_x0000_s2538" o:spt="20" style="position:absolute;left:0pt;margin-left:18pt;margin-top:8.8pt;height:15.6pt;width:0pt;z-index:251898880;mso-width-relative:page;mso-height-relative:page;" stroked="t" coordsize="21600,21600" o:gfxdata="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ttwcJ1gAAAAcBAAAPAAAAAAAAAAEAIAAAACIAAABkcnMvZG93bnJldi54&#10;bWxQSwECFAAUAAAACACHTuJA6jaGcPwBAADrAwAADgAAAAAAAAABACAAAAAlAQAAZHJzL2Uyb0Rv&#10;Yy54bWxQSwUGAAAAAAYABgBZAQAAkwUAAAAA&#10;">
                  <v:path arrowok="t"/>
                  <v:fill focussize="0,0"/>
                  <v:stroke color="#008000" endarrow="block"/>
                  <v:imagedata o:title=""/>
                  <o:lock v:ext="edit"/>
                </v:line>
              </w:pict>
            </w:r>
            <w:r>
              <w:rPr>
                <w:rFonts w:ascii="Times New Roman" w:hAnsi="Times New Roman"/>
                <w:sz w:val="20"/>
              </w:rPr>
              <w:pict>
                <v:shape id="_x0000_s2539" o:spid="_x0000_s2539" o:spt="202" type="#_x0000_t202" style="position:absolute;left:0pt;margin-left:0pt;margin-top:24.4pt;height:23.4pt;width:45pt;z-index:251897856;mso-width-relative:page;mso-height-relative:page;" filled="f" coordsize="21600,21600" o:gfxdata="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TV8Vg0gAAAAUBAAAP&#10;AAAAAAAAAAEAIAAAACIAAABkcnMvZG93bnJldi54bWxQSwECFAAUAAAACACHTuJAQ4thWh4CAABE&#10;BAAADgAAAAAAAAABACAAAAAhAQAAZHJzL2Uyb0RvYy54bWxQSwUGAAAAAAYABgBZAQAAsQUAAAAA&#10;">
                  <v:path/>
                  <v:fill on="f" focussize="0,0"/>
                  <v:stroke joinstyle="miter"/>
                  <v:imagedata o:title=""/>
                  <o:lock v:ext="edit"/>
                  <v:textbox inset="0.5mm,1.27mm,0.5mm,1.27mm">
                    <w:txbxContent>
                      <w:p w14:paraId="37A25FA3">
                        <w:pPr>
                          <w:spacing w:line="320" w:lineRule="exact"/>
                          <w:jc w:val="center"/>
                        </w:pPr>
                        <w:r>
                          <w:rPr>
                            <w:rFonts w:hint="eastAsia" w:ascii="宋体" w:hAnsi="宋体"/>
                          </w:rPr>
                          <w:t>冷凝器</w:t>
                        </w:r>
                      </w:p>
                      <w:p w14:paraId="6CB9E72F">
                        <w:pPr>
                          <w:spacing w:line="320" w:lineRule="exact"/>
                          <w:jc w:val="center"/>
                        </w:pPr>
                      </w:p>
                      <w:p w14:paraId="7AF2373D">
                        <w:pPr>
                          <w:spacing w:line="360" w:lineRule="exact"/>
                        </w:pPr>
                        <w:r>
                          <w:rPr>
                            <w:rFonts w:hint="eastAsia"/>
                          </w:rPr>
                          <w:t>滤</w:t>
                        </w:r>
                      </w:p>
                    </w:txbxContent>
                  </v:textbox>
                </v:shape>
              </w:pict>
            </w:r>
            <w:r>
              <w:rPr>
                <w:rFonts w:ascii="Times New Roman" w:hAnsi="Times New Roman"/>
                <w:sz w:val="20"/>
              </w:rPr>
              <w:pict>
                <v:line id="_x0000_s2540" o:spid="_x0000_s2540" o:spt="20" style="position:absolute;left:0pt;flip:x;margin-left:45pt;margin-top:1pt;height:0pt;width:72pt;z-index:251894784;mso-width-relative:page;mso-height-relative:page;" stroked="t" coordsize="21600,21600" o:gfxdata="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U7wFg0gAAAAYBAAAPAAAAAAAAAAEAIAAAACIAAABkcnMvZG93&#10;bnJldi54bWxQSwECFAAUAAAACACHTuJAVYMMygYCAAD1AwAADgAAAAAAAAABACAAAAAhAQAAZHJz&#10;L2Uyb0RvYy54bWxQSwUGAAAAAAYABgBZAQAAmQUAAAAA&#10;">
                  <v:path arrowok="t"/>
                  <v:fill focussize="0,0"/>
                  <v:stroke color="#008000" endarrow="block"/>
                  <v:imagedata o:title=""/>
                  <o:lock v:ext="edit"/>
                </v:line>
              </w:pict>
            </w:r>
            <w:r>
              <w:rPr>
                <w:rFonts w:ascii="Times New Roman" w:hAnsi="Times New Roman"/>
                <w:sz w:val="20"/>
              </w:rPr>
              <w:pict>
                <v:line id="_x0000_s2541" o:spid="_x0000_s2541" o:spt="20" style="position:absolute;left:0pt;margin-left:324pt;margin-top:8.8pt;height:0pt;width:27pt;z-index:251875328;mso-width-relative:page;mso-height-relative:page;" stroked="t" coordsize="21600,21600" o:gfxdata="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NWVYbWAAAACQEAAA8AAAAAAAAAAQAgAAAAIgAAAGRycy9kb3du&#10;cmV2LnhtbFBLAQIUABQAAAAIAIdO4kBHxvq/AQIAAOsDAAAOAAAAAAAAAAEAIAAAACUBAABkcnMv&#10;ZTJvRG9jLnhtbFBLBQYAAAAABgAGAFkBAACYBQAAAAA=&#10;">
                  <v:path arrowok="t"/>
                  <v:fill focussize="0,0"/>
                  <v:stroke color="#FF0000" endarrow="block"/>
                  <v:imagedata o:title=""/>
                  <o:lock v:ext="edit"/>
                </v:line>
              </w:pict>
            </w:r>
            <w:r>
              <w:rPr>
                <w:rFonts w:ascii="Times New Roman" w:hAnsi="Times New Roman"/>
                <w:sz w:val="24"/>
              </w:rPr>
              <w:pict>
                <v:line id="_x0000_s2542" o:spid="_x0000_s2542" o:spt="20" style="position:absolute;left:0pt;margin-left:252pt;margin-top:8.8pt;height:0pt;width:27pt;z-index:251824128;mso-width-relative:page;mso-height-relative:page;" stroked="t" coordsize="21600,21600" o:gfxdata="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rbIpNYAAAAJAQAADwAAAAAAAAABACAAAAAiAAAAZHJzL2Rvd25y&#10;ZXYueG1sUEsBAhQAFAAAAAgAh07iQJ8eRMgAAgAA6wMAAA4AAAAAAAAAAQAgAAAAJQEAAGRycy9l&#10;Mm9Eb2MueG1sUEsFBgAAAAAGAAYAWQEAAJcFAAAAAA==&#10;">
                  <v:path arrowok="t"/>
                  <v:fill focussize="0,0"/>
                  <v:stroke color="#FF0000" endarrow="block"/>
                  <v:imagedata o:title=""/>
                  <o:lock v:ext="edit"/>
                </v:line>
              </w:pict>
            </w:r>
            <w:r>
              <w:rPr>
                <w:rFonts w:ascii="Times New Roman" w:hAnsi="Times New Roman"/>
                <w:sz w:val="20"/>
              </w:rPr>
              <w:pict>
                <v:line id="_x0000_s2543" o:spid="_x0000_s2543" o:spt="20" style="position:absolute;left:0pt;margin-left:171pt;margin-top:8.8pt;height:0pt;width:36pt;z-index:251865088;mso-width-relative:page;mso-height-relative:page;" stroked="t" coordsize="21600,21600" o:gfxdata="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vgxgz1QAAAAkBAAAPAAAAAAAAAAEAIAAAACIAAABkcnMvZG93bnJl&#10;di54bWxQSwECFAAUAAAACACHTuJA4/Bs5gACAADrAwAADgAAAAAAAAABACAAAAAkAQAAZHJzL2Uy&#10;b0RvYy54bWxQSwUGAAAAAAYABgBZAQAAlgUAAAAA&#10;">
                  <v:path arrowok="t"/>
                  <v:fill focussize="0,0"/>
                  <v:stroke color="#FF0000" endarrow="block"/>
                  <v:imagedata o:title=""/>
                  <o:lock v:ext="edit"/>
                </v:line>
              </w:pict>
            </w:r>
            <w:r>
              <w:rPr>
                <w:rFonts w:ascii="Times New Roman" w:hAnsi="Times New Roman"/>
                <w:sz w:val="20"/>
              </w:rPr>
              <w:pict>
                <v:line id="_x0000_s2544" o:spid="_x0000_s2544" o:spt="20" style="position:absolute;left:0pt;margin-left:63pt;margin-top:8.8pt;height:0pt;width:54pt;z-index:251860992;mso-width-relative:page;mso-height-relative:page;" coordsize="21600,21600" o:gfxdata="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xai5LWAAAACQEAAA8AAAAAAAAAAQAgAAAAIgAAAGRycy9kb3ducmV2&#10;LnhtbFBLAQIUABQAAAAIAIdO4kBGszTs/gEAAOsDAAAOAAAAAAAAAAEAIAAAACUBAABkcnMvZTJv&#10;RG9jLnhtbFBLBQYAAAAABgAGAFkBAACVBQAAAAA=&#10;">
                  <v:path arrowok="t"/>
                  <v:fill focussize="0,0"/>
                  <v:stroke endarrow="block"/>
                  <v:imagedata o:title=""/>
                  <o:lock v:ext="edit"/>
                </v:line>
              </w:pict>
            </w:r>
            <w:r>
              <w:rPr>
                <w:rFonts w:ascii="Times New Roman" w:hAnsi="Times New Roman"/>
                <w:sz w:val="20"/>
              </w:rPr>
              <w:pict>
                <v:line id="_x0000_s2545" o:spid="_x0000_s2545" o:spt="20" style="position:absolute;left:0pt;flip:y;margin-left:63pt;margin-top:8.8pt;height:78pt;width:0pt;z-index:251859968;mso-width-relative:page;mso-height-relative:page;" coordsize="21600,21600" o:gfxdata="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1RYYidMAAAAKAQAADwAAAAAAAAABACAAAAAiAAAAZHJzL2Rvd25yZXYueG1s&#10;UEsBAhQAFAAAAAgAh07iQGyr6CP9AQAA8QMAAA4AAAAAAAAAAQAgAAAAIgEAAGRycy9lMm9Eb2Mu&#10;eG1sUEsFBgAAAAAGAAYAWQEAAJEFAAAAAA==&#10;">
                  <v:path arrowok="t"/>
                  <v:fill focussize="0,0"/>
                  <v:stroke/>
                  <v:imagedata o:title=""/>
                  <o:lock v:ext="edit"/>
                </v:line>
              </w:pict>
            </w:r>
            <w:r>
              <w:rPr>
                <w:rFonts w:ascii="Times New Roman" w:hAnsi="Times New Roman"/>
                <w:sz w:val="20"/>
              </w:rPr>
              <w:pict>
                <v:line id="_x0000_s2546" o:spid="_x0000_s2546" o:spt="20" style="position:absolute;left:0pt;margin-left:135pt;margin-top:16.6pt;height:23.4pt;width:0pt;z-index:251852800;mso-width-relative:page;mso-height-relative:page;" coordsize="21600,21600" o:gfxdata="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HC2IM2AAAAAkBAAAPAAAAAAAAAAEAIAAAACIAAABkcnMvZG93bnJl&#10;di54bWxQSwECFAAUAAAACACHTuJAYaselv0BAADrAwAADgAAAAAAAAABACAAAAAnAQAAZHJzL2Uy&#10;b0RvYy54bWxQSwUGAAAAAAYABgBZAQAAlgUAAAAA&#10;">
                  <v:path arrowok="t"/>
                  <v:fill focussize="0,0"/>
                  <v:stroke endarrow="block"/>
                  <v:imagedata o:title=""/>
                  <o:lock v:ext="edit"/>
                </v:line>
              </w:pict>
            </w:r>
          </w:p>
          <w:p w14:paraId="45184F38">
            <w:pPr>
              <w:pStyle w:val="16"/>
              <w:snapToGrid w:val="0"/>
              <w:spacing w:line="500" w:lineRule="exact"/>
              <w:ind w:firstLine="523"/>
              <w:rPr>
                <w:rFonts w:ascii="Times New Roman" w:hAnsi="Times New Roman"/>
                <w:sz w:val="24"/>
              </w:rPr>
            </w:pPr>
            <w:r>
              <w:rPr>
                <w:rFonts w:ascii="Times New Roman" w:hAnsi="Times New Roman"/>
                <w:sz w:val="24"/>
              </w:rPr>
              <w:pict>
                <v:shape id="_x0000_s2547" o:spid="_x0000_s2547" o:spt="202" type="#_x0000_t202" style="position:absolute;left:0pt;margin-left:288.05pt;margin-top:21.4pt;height:23.4pt;width:45pt;z-index:251802624;mso-width-relative:page;mso-height-relative:page;" stroked="f" coordsize="21600,21600" o:gfxdata="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BjNnl9gAAAAJAQAADwAAAAAAAAAB&#10;ACAAAAAiAAAAZHJzL2Rvd25yZXYueG1sUEsBAhQAFAAAAAgAh07iQFaW0cTXAQAApgMAAA4AAAAA&#10;AAAAAQAgAAAAJwEAAGRycy9lMm9Eb2MueG1sUEsFBgAAAAAGAAYAWQEAAHAFAAAAAA==&#10;">
                  <v:path/>
                  <v:fill focussize="0,0"/>
                  <v:stroke on="f" joinstyle="miter"/>
                  <v:imagedata o:title=""/>
                  <o:lock v:ext="edit"/>
                  <v:textbox inset="0mm,1.27mm,0mm,1.27mm">
                    <w:txbxContent>
                      <w:p w14:paraId="1F1B6CAC">
                        <w:pPr>
                          <w:spacing w:line="320" w:lineRule="exact"/>
                          <w:jc w:val="center"/>
                          <w:rPr>
                            <w:vertAlign w:val="subscript"/>
                          </w:rPr>
                        </w:pPr>
                        <w:r>
                          <w:rPr>
                            <w:rFonts w:hint="eastAsia"/>
                          </w:rPr>
                          <w:t>成品盐</w:t>
                        </w:r>
                      </w:p>
                    </w:txbxContent>
                  </v:textbox>
                </v:shape>
              </w:pict>
            </w:r>
            <w:r>
              <w:rPr>
                <w:rFonts w:ascii="Times New Roman" w:hAnsi="Times New Roman"/>
                <w:sz w:val="20"/>
              </w:rPr>
              <w:pict>
                <v:shape id="_x0000_s2548" o:spid="_x0000_s2548" o:spt="202" type="#_x0000_t202" style="position:absolute;left:0pt;margin-left:191.95pt;margin-top:6.1pt;height:23.4pt;width:45pt;z-index:251909120;mso-width-relative:page;mso-height-relative:page;" filled="f" stroked="f" coordsize="21600,21600" o:gfxdata="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WMQY0tkAAAAJAQAADwAAAAAAAAABACAAAAAiAAAAZHJzL2Rvd25yZXYu&#10;eG1sUEsBAhQAFAAAAAgAh07iQMUbRSvBAQAAfQMAAA4AAAAAAAAAAQAgAAAAKAEAAGRycy9lMm9E&#10;b2MueG1sUEsFBgAAAAAGAAYAWQEAAFsFAAAAAA==&#10;">
                  <v:path/>
                  <v:fill on="f" focussize="0,0"/>
                  <v:stroke on="f" joinstyle="miter"/>
                  <v:imagedata o:title=""/>
                  <o:lock v:ext="edit"/>
                  <v:textbox inset="0mm,1.27mm,0mm,1.27mm">
                    <w:txbxContent>
                      <w:p w14:paraId="77481C0A">
                        <w:pPr>
                          <w:spacing w:line="320" w:lineRule="exact"/>
                          <w:jc w:val="center"/>
                          <w:rPr>
                            <w:vertAlign w:val="subscript"/>
                          </w:rPr>
                        </w:pPr>
                        <w:r>
                          <w:rPr>
                            <w:rFonts w:hint="eastAsia"/>
                          </w:rPr>
                          <w:t>液体回流</w:t>
                        </w:r>
                      </w:p>
                    </w:txbxContent>
                  </v:textbox>
                </v:shape>
              </w:pict>
            </w:r>
            <w:r>
              <w:rPr>
                <w:rFonts w:ascii="Times New Roman" w:hAnsi="Times New Roman"/>
                <w:sz w:val="24"/>
              </w:rPr>
              <w:pict>
                <v:line id="_x0000_s2549" o:spid="_x0000_s2549" o:spt="20" style="position:absolute;left:0pt;margin-left:99pt;margin-top:22.8pt;height:0pt;width:18pt;z-index:251810816;mso-width-relative:page;mso-height-relative:page;" stroked="t" coordsize="21600,21600" o:gfxdata="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2SgR3XAAAACQEAAA8AAAAAAAAAAQAgAAAAIgAAAGRycy9kb3ducmV2&#10;LnhtbFBLAQIUABQAAAAIAIdO4kD8rL8w/QEAAOsDAAAOAAAAAAAAAAEAIAAAACYBAABkcnMvZTJv&#10;RG9jLnhtbFBLBQYAAAAABgAGAFkBAACVBQAAAAA=&#10;">
                  <v:path arrowok="t"/>
                  <v:fill focussize="0,0"/>
                  <v:stroke color="#008000" endarrow="block"/>
                  <v:imagedata o:title=""/>
                  <o:lock v:ext="edit"/>
                </v:line>
              </w:pict>
            </w:r>
            <w:r>
              <w:rPr>
                <w:rFonts w:ascii="Times New Roman" w:hAnsi="Times New Roman"/>
                <w:sz w:val="20"/>
              </w:rPr>
              <w:pict>
                <v:line id="_x0000_s2550" o:spid="_x0000_s2550" o:spt="20" style="position:absolute;left:0pt;margin-left:99pt;margin-top:22.8pt;height:46.8pt;width:0pt;z-index:251918336;mso-width-relative:page;mso-height-relative:page;" stroked="t" coordsize="21600,21600" o:gfxdata="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HfriHaAAAACgEAAA8AAAAAAAAAAQAgAAAAIgAAAGRycy9kb3ducmV2Lnht&#10;bFBLAQIUABQAAAAIAIdO4kCabjsL9wEAAOcDAAAOAAAAAAAAAAEAIAAAACkBAABkcnMvZTJvRG9j&#10;LnhtbFBLBQYAAAAABgAGAFkBAACSBQAAAAA=&#10;">
                  <v:path arrowok="t"/>
                  <v:fill focussize="0,0"/>
                  <v:stroke color="#008000"/>
                  <v:imagedata o:title=""/>
                  <o:lock v:ext="edit"/>
                </v:line>
              </w:pict>
            </w:r>
            <w:r>
              <w:rPr>
                <w:rFonts w:ascii="Times New Roman" w:hAnsi="Times New Roman"/>
                <w:sz w:val="20"/>
              </w:rPr>
              <w:pict>
                <v:line id="_x0000_s2551" o:spid="_x0000_s2551" o:spt="20" style="position:absolute;left:0pt;margin-left:153pt;margin-top:7.2pt;height:0pt;width:144pt;z-index:251905024;mso-width-relative:page;mso-height-relative:page;" coordsize="21600,21600" o:gfxdata="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w2cJa9YAAAAJAQAADwAAAAAAAAABACAAAAAiAAAAZHJzL2Rvd25yZXYueG1sUEsB&#10;AhQAFAAAAAgAh07iQCiT3yT3AQAA6AMAAA4AAAAAAAAAAQAgAAAAJQEAAGRycy9lMm9Eb2MueG1s&#10;UEsFBgAAAAAGAAYAWQEAAI4FAAAAAA==&#10;">
                  <v:path arrowok="t"/>
                  <v:fill focussize="0,0"/>
                  <v:stroke/>
                  <v:imagedata o:title=""/>
                  <o:lock v:ext="edit"/>
                </v:line>
              </w:pict>
            </w:r>
            <w:r>
              <w:rPr>
                <w:rFonts w:ascii="Times New Roman" w:hAnsi="Times New Roman"/>
                <w:sz w:val="20"/>
              </w:rPr>
              <w:pict>
                <v:line id="_x0000_s2552" o:spid="_x0000_s2552" o:spt="20" style="position:absolute;left:0pt;margin-left:18pt;margin-top:22.8pt;height:31.2pt;width:0pt;z-index:251899904;mso-width-relative:page;mso-height-relative:page;" stroked="t" coordsize="21600,21600" o:gfxdata="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vMWWX1gAAAAgBAAAPAAAAAAAAAAEAIAAAACIAAABkcnMvZG93bnJl&#10;di54bWxQSwECFAAUAAAACACHTuJAEw+PMf8BAADsAwAADgAAAAAAAAABACAAAAAlAQAAZHJzL2Uy&#10;b0RvYy54bWxQSwUGAAAAAAYABgBZAQAAlgUAAAAA&#10;">
                  <v:path arrowok="t"/>
                  <v:fill focussize="0,0"/>
                  <v:stroke color="#008000" dashstyle="longDash" endarrow="block"/>
                  <v:imagedata o:title=""/>
                  <o:lock v:ext="edit"/>
                </v:line>
              </w:pict>
            </w:r>
            <w:r>
              <w:rPr>
                <w:rFonts w:ascii="Times New Roman" w:hAnsi="Times New Roman"/>
                <w:sz w:val="20"/>
              </w:rPr>
              <w:pict>
                <v:shape id="_x0000_s2553" o:spid="_x0000_s2553" o:spt="202" type="#_x0000_t202" style="position:absolute;left:0pt;margin-left:117pt;margin-top:15pt;height:23.4pt;width:54pt;z-index:251851776;mso-width-relative:page;mso-height-relative:page;" coordsize="21600,21600" o:gfxdata="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xQYSLZAAAACQEAAA8AAAAAAAAAAQAg&#10;AAAAIgAAAGRycy9kb3ducmV2LnhtbFBLAQIUABQAAAAIAIdO4kAKDmscDQIAADkEAAAOAAAAAAAA&#10;AAEAIAAAACgBAABkcnMvZTJvRG9jLnhtbFBLBQYAAAAABgAGAFkBAACnBQAAAAA=&#10;">
                  <v:path/>
                  <v:fill focussize="0,0"/>
                  <v:stroke joinstyle="miter"/>
                  <v:imagedata o:title=""/>
                  <o:lock v:ext="edit"/>
                  <v:textbox>
                    <w:txbxContent>
                      <w:p w14:paraId="5EDA2191">
                        <w:pPr>
                          <w:spacing w:line="320" w:lineRule="exact"/>
                          <w:jc w:val="center"/>
                        </w:pPr>
                        <w:r>
                          <w:rPr>
                            <w:rFonts w:hint="eastAsia" w:ascii="宋体" w:hAnsi="宋体"/>
                          </w:rPr>
                          <w:t>预热</w:t>
                        </w:r>
                      </w:p>
                      <w:p w14:paraId="183219AB">
                        <w:pPr>
                          <w:spacing w:line="320" w:lineRule="exact"/>
                          <w:jc w:val="center"/>
                        </w:pPr>
                      </w:p>
                      <w:p w14:paraId="0A847665">
                        <w:pPr>
                          <w:spacing w:line="360" w:lineRule="exact"/>
                        </w:pPr>
                        <w:r>
                          <w:rPr>
                            <w:rFonts w:hint="eastAsia"/>
                          </w:rPr>
                          <w:t>滤</w:t>
                        </w:r>
                      </w:p>
                    </w:txbxContent>
                  </v:textbox>
                </v:shape>
              </w:pict>
            </w:r>
          </w:p>
          <w:p w14:paraId="344D301D">
            <w:pPr>
              <w:pStyle w:val="16"/>
              <w:snapToGrid w:val="0"/>
              <w:spacing w:line="500" w:lineRule="exact"/>
              <w:ind w:firstLine="523"/>
              <w:rPr>
                <w:rFonts w:ascii="Times New Roman" w:hAnsi="Times New Roman"/>
                <w:sz w:val="24"/>
              </w:rPr>
            </w:pPr>
            <w:r>
              <w:rPr>
                <w:rFonts w:ascii="Times New Roman" w:hAnsi="Times New Roman"/>
                <w:sz w:val="20"/>
              </w:rPr>
              <w:pict>
                <v:shape id="_x0000_s2554" o:spid="_x0000_s2554" o:spt="202" type="#_x0000_t202" style="position:absolute;left:0pt;margin-left:-10.6pt;margin-top:17.4pt;height:23.4pt;width:64.05pt;z-index:251900928;mso-width-relative:page;mso-height-relative:page;" filled="f" stroked="f" coordsize="21600,21600" o:gfxdata="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OSa+xjZAAAACQEAAA8AAAAAAAAAAQAgAAAAIgAAAGRycy9kb3ducmV2&#10;LnhtbFBLAQIUABQAAAAIAIdO4kBnsX54wgEAAH0DAAAOAAAAAAAAAAEAIAAAACgBAABkcnMvZTJv&#10;RG9jLnhtbFBLBQYAAAAABgAGAFkBAABcBQAAAAA=&#10;">
                  <v:path/>
                  <v:fill on="f" focussize="0,0"/>
                  <v:stroke on="f" joinstyle="miter"/>
                  <v:imagedata o:title=""/>
                  <o:lock v:ext="edit"/>
                  <v:textbox inset="0mm,1.27mm,0mm,1.27mm">
                    <w:txbxContent>
                      <w:p w14:paraId="66C15E4C">
                        <w:pPr>
                          <w:spacing w:line="320" w:lineRule="exact"/>
                          <w:jc w:val="center"/>
                          <w:rPr>
                            <w:sz w:val="18"/>
                            <w:szCs w:val="18"/>
                          </w:rPr>
                        </w:pPr>
                        <w:r>
                          <w:rPr>
                            <w:rFonts w:hint="eastAsia"/>
                            <w:sz w:val="18"/>
                            <w:szCs w:val="18"/>
                          </w:rPr>
                          <w:t>补充冷却W</w:t>
                        </w:r>
                        <w:r>
                          <w:rPr>
                            <w:rFonts w:hint="eastAsia"/>
                            <w:sz w:val="18"/>
                            <w:szCs w:val="18"/>
                            <w:vertAlign w:val="subscript"/>
                          </w:rPr>
                          <w:t>4</w:t>
                        </w:r>
                      </w:p>
                    </w:txbxContent>
                  </v:textbox>
                </v:shape>
              </w:pict>
            </w:r>
            <w:r>
              <w:rPr>
                <w:rFonts w:ascii="Times New Roman" w:hAnsi="Times New Roman"/>
                <w:sz w:val="20"/>
              </w:rPr>
              <w:pict>
                <v:line id="_x0000_s2555" o:spid="_x0000_s2555" o:spt="20" style="position:absolute;left:0pt;margin-left:171pt;margin-top:5.6pt;height:0.15pt;width:90pt;z-index:251874304;mso-width-relative:page;mso-height-relative:page;" stroked="t" coordsize="21600,21600" o:gfxdata="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gaeSdtYAAAAJAQAADwAAAAAAAAABACAAAAAiAAAAZHJzL2Rvd25yZXYueG1s&#10;UEsBAhQAFAAAAAgAh07iQI8QDIL6AQAA7AMAAA4AAAAAAAAAAQAgAAAAJQEAAGRycy9lMm9Eb2Mu&#10;eG1sUEsFBgAAAAAGAAYAWQEAAJEFAAAAAA==&#10;">
                  <v:path arrowok="t"/>
                  <v:fill focussize="0,0"/>
                  <v:stroke color="#008000" dashstyle="longDash"/>
                  <v:imagedata o:title=""/>
                  <o:lock v:ext="edit"/>
                </v:line>
              </w:pict>
            </w:r>
          </w:p>
          <w:p w14:paraId="31119042">
            <w:pPr>
              <w:pStyle w:val="16"/>
              <w:snapToGrid w:val="0"/>
              <w:spacing w:line="500" w:lineRule="exact"/>
              <w:ind w:firstLine="523"/>
              <w:rPr>
                <w:rFonts w:ascii="Times New Roman" w:hAnsi="Times New Roman"/>
                <w:sz w:val="24"/>
              </w:rPr>
            </w:pPr>
            <w:r>
              <w:rPr>
                <w:rFonts w:ascii="Times New Roman" w:hAnsi="Times New Roman"/>
                <w:sz w:val="20"/>
              </w:rPr>
              <w:pict>
                <v:shape id="_x0000_s2556" o:spid="_x0000_s2556" o:spt="202" type="#_x0000_t202" style="position:absolute;left:0pt;margin-left:117pt;margin-top:11.8pt;height:23.4pt;width:54pt;z-index:251853824;mso-width-relative:page;mso-height-relative:page;" coordsize="21600,21600" o:gfxdata="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OiiWNkAAAAJAQAADwAAAAAAAAABACAA&#10;AAAiAAAAZHJzL2Rvd25yZXYueG1sUEsBAhQAFAAAAAgAh07iQFf/xroMAgAAOQQAAA4AAAAAAAAA&#10;AQAgAAAAKAEAAGRycy9lMm9Eb2MueG1sUEsFBgAAAAAGAAYAWQEAAKYFAAAAAA==&#10;">
                  <v:path/>
                  <v:fill focussize="0,0"/>
                  <v:stroke joinstyle="miter"/>
                  <v:imagedata o:title=""/>
                  <o:lock v:ext="edit"/>
                  <v:textbox>
                    <w:txbxContent>
                      <w:p w14:paraId="07CD7D0B">
                        <w:pPr>
                          <w:spacing w:line="320" w:lineRule="exact"/>
                          <w:jc w:val="center"/>
                        </w:pPr>
                        <w:r>
                          <w:rPr>
                            <w:rFonts w:hint="eastAsia" w:ascii="宋体" w:hAnsi="宋体"/>
                          </w:rPr>
                          <w:t>预热</w:t>
                        </w:r>
                      </w:p>
                      <w:p w14:paraId="7C20CD38">
                        <w:pPr>
                          <w:spacing w:line="320" w:lineRule="exact"/>
                          <w:jc w:val="center"/>
                        </w:pPr>
                      </w:p>
                      <w:p w14:paraId="1B15059B">
                        <w:pPr>
                          <w:spacing w:line="360" w:lineRule="exact"/>
                        </w:pPr>
                        <w:r>
                          <w:rPr>
                            <w:rFonts w:hint="eastAsia"/>
                          </w:rPr>
                          <w:t>滤</w:t>
                        </w:r>
                      </w:p>
                    </w:txbxContent>
                  </v:textbox>
                </v:shape>
              </w:pict>
            </w:r>
            <w:r>
              <w:rPr>
                <w:rFonts w:ascii="Times New Roman" w:hAnsi="Times New Roman"/>
                <w:sz w:val="20"/>
              </w:rPr>
              <w:pict>
                <v:line id="_x0000_s2557" o:spid="_x0000_s2557" o:spt="20" style="position:absolute;left:0pt;flip:x;margin-left:81pt;margin-top:19.6pt;height:0pt;width:18pt;z-index:251919360;mso-width-relative:page;mso-height-relative:page;" stroked="t" coordsize="21600,21600" o:gfxdata="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JJFW+NIAAAAJAQAADwAAAAAAAAABACAAAAAiAAAAZHJzL2Rvd25yZXYueG1s&#10;UEsBAhQAFAAAAAgAh07iQJiCKJj+AQAA8QMAAA4AAAAAAAAAAQAgAAAAIQEAAGRycy9lMm9Eb2Mu&#10;eG1sUEsFBgAAAAAGAAYAWQEAAJEFAAAAAA==&#10;">
                  <v:path arrowok="t"/>
                  <v:fill focussize="0,0"/>
                  <v:stroke color="#008000"/>
                  <v:imagedata o:title=""/>
                  <o:lock v:ext="edit"/>
                </v:line>
              </w:pict>
            </w:r>
            <w:r>
              <w:rPr>
                <w:rFonts w:ascii="Times New Roman" w:hAnsi="Times New Roman"/>
                <w:sz w:val="24"/>
              </w:rPr>
              <w:pict>
                <v:shape id="_x0000_s2558" o:spid="_x0000_s2558" o:spt="202" type="#_x0000_t202" style="position:absolute;left:0pt;margin-left:36pt;margin-top:11.8pt;height:23.4pt;width:45pt;z-index:251826176;mso-width-relative:page;mso-height-relative:page;" filled="f" coordsize="21600,21600" o:gfxdata="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O64t9QAAAAIAQAA&#10;DwAAAAAAAAABACAAAAAiAAAAZHJzL2Rvd25yZXYueG1sUEsBAhQAFAAAAAgAh07iQN9YkowdAgAA&#10;RAQAAA4AAAAAAAAAAQAgAAAAIwEAAGRycy9lMm9Eb2MueG1sUEsFBgAAAAAGAAYAWQEAALIFAAAA&#10;AA==&#10;">
                  <v:path/>
                  <v:fill on="f" focussize="0,0"/>
                  <v:stroke joinstyle="miter"/>
                  <v:imagedata o:title=""/>
                  <o:lock v:ext="edit"/>
                  <v:textbox inset="0.5mm,1.27mm,0.5mm,1.27mm">
                    <w:txbxContent>
                      <w:p w14:paraId="7F6F05AE">
                        <w:pPr>
                          <w:spacing w:line="320" w:lineRule="exact"/>
                          <w:jc w:val="center"/>
                        </w:pPr>
                        <w:r>
                          <w:rPr>
                            <w:rFonts w:hint="eastAsia" w:ascii="宋体" w:hAnsi="宋体"/>
                          </w:rPr>
                          <w:t>闪发罐</w:t>
                        </w:r>
                      </w:p>
                    </w:txbxContent>
                  </v:textbox>
                </v:shape>
              </w:pict>
            </w:r>
            <w:r>
              <w:rPr>
                <w:rFonts w:ascii="Times New Roman" w:hAnsi="Times New Roman"/>
                <w:sz w:val="20"/>
              </w:rPr>
              <w:pict>
                <v:line id="_x0000_s2559" o:spid="_x0000_s2559" o:spt="20" style="position:absolute;left:0pt;margin-left:135pt;margin-top:-11.6pt;height:23.4pt;width:0pt;z-index:251854848;mso-width-relative:page;mso-height-relative:page;" coordsize="21600,21600" o:gfxdata="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oNj6w2gAAAAoBAAAPAAAAAAAAAAEAIAAAACIAAABkcnMvZG93&#10;bnJldi54bWxQSwECFAAUAAAACACHTuJAmBYq5P4BAADrAwAADgAAAAAAAAABACAAAAApAQAAZHJz&#10;L2Uyb0RvYy54bWxQSwUGAAAAAAYABgBZAQAAmQUAAAAA&#10;">
                  <v:path arrowok="t"/>
                  <v:fill focussize="0,0"/>
                  <v:stroke endarrow="block"/>
                  <v:imagedata o:title=""/>
                  <o:lock v:ext="edit"/>
                </v:line>
              </w:pict>
            </w:r>
          </w:p>
          <w:p w14:paraId="2217B4C0">
            <w:pPr>
              <w:pStyle w:val="16"/>
              <w:snapToGrid w:val="0"/>
              <w:spacing w:line="500" w:lineRule="exact"/>
              <w:ind w:firstLine="523"/>
              <w:rPr>
                <w:rFonts w:ascii="Times New Roman" w:hAnsi="Times New Roman"/>
                <w:sz w:val="24"/>
              </w:rPr>
            </w:pPr>
            <w:r>
              <w:rPr>
                <w:rFonts w:ascii="Times New Roman" w:hAnsi="Times New Roman"/>
                <w:sz w:val="24"/>
              </w:rPr>
              <w:pict>
                <v:shape id="_x0000_s2560" o:spid="_x0000_s2560" o:spt="202" type="#_x0000_t202" style="position:absolute;left:0pt;margin-left:207pt;margin-top:2.4pt;height:23.4pt;width:27pt;z-index:251800576;mso-width-relative:page;mso-height-relative:page;" stroked="f" coordsize="21600,21600" o:gfxdata="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PIpnlfXAAAACAEAAA8AAAAAAAAAAQAg&#10;AAAAIgAAAGRycy9kb3ducmV2LnhtbFBLAQIUABQAAAAIAIdO4kB9p5Cv1gEAAKYDAAAOAAAAAAAA&#10;AAEAIAAAACYBAABkcnMvZTJvRG9jLnhtbFBLBQYAAAAABgAGAFkBAABuBQAAAAA=&#10;">
                  <v:path/>
                  <v:fill focussize="0,0"/>
                  <v:stroke on="f" joinstyle="miter"/>
                  <v:imagedata o:title=""/>
                  <o:lock v:ext="edit"/>
                  <v:textbox inset="0mm,1.27mm,0mm,1.27mm">
                    <w:txbxContent>
                      <w:p w14:paraId="65D1C79C">
                        <w:pPr>
                          <w:spacing w:line="320" w:lineRule="exact"/>
                          <w:jc w:val="center"/>
                        </w:pPr>
                        <w:r>
                          <w:rPr>
                            <w:rFonts w:hint="eastAsia"/>
                          </w:rPr>
                          <w:t>W</w:t>
                        </w:r>
                        <w:r>
                          <w:rPr>
                            <w:rFonts w:hint="eastAsia"/>
                            <w:vertAlign w:val="subscript"/>
                          </w:rPr>
                          <w:t>3</w:t>
                        </w:r>
                      </w:p>
                    </w:txbxContent>
                  </v:textbox>
                </v:shape>
              </w:pict>
            </w:r>
            <w:r>
              <w:rPr>
                <w:rFonts w:ascii="Times New Roman" w:hAnsi="Times New Roman"/>
                <w:sz w:val="20"/>
              </w:rPr>
              <w:pict>
                <v:line id="_x0000_s2561" o:spid="_x0000_s2561" o:spt="20" style="position:absolute;left:0pt;flip:y;margin-left:153pt;margin-top:10.2pt;height:31.2pt;width:0pt;z-index:251911168;mso-width-relative:page;mso-height-relative:page;" stroked="t" coordsize="21600,21600" o:gfxdata="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8ml6ydUAAAAJAQAADwAAAAAAAAABACAAAAAiAAAAZHJzL2Rv&#10;d25yZXYueG1sUEsBAhQAFAAAAAgAh07iQF43hQ0EAgAA9QMAAA4AAAAAAAAAAQAgAAAAJAEAAGRy&#10;cy9lMm9Eb2MueG1sUEsFBgAAAAAGAAYAWQEAAJoFAAAAAA==&#10;">
                  <v:path arrowok="t"/>
                  <v:fill focussize="0,0"/>
                  <v:stroke color="#008000" endarrow="block"/>
                  <v:imagedata o:title=""/>
                  <o:lock v:ext="edit"/>
                </v:line>
              </w:pict>
            </w:r>
            <w:r>
              <w:rPr>
                <w:rFonts w:ascii="Times New Roman" w:hAnsi="Times New Roman"/>
                <w:sz w:val="24"/>
              </w:rPr>
              <w:pict>
                <v:line id="_x0000_s2562" o:spid="_x0000_s2562" o:spt="20" style="position:absolute;left:0pt;margin-left:63pt;margin-top:10.2pt;height:78pt;width:0pt;z-index:251830272;mso-width-relative:page;mso-height-relative:page;" coordsize="21600,21600" o:gfxdata="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F2LFGtkAAAAKAQAADwAAAAAAAAABACAAAAAiAAAAZHJzL2Rvd25y&#10;ZXYueG1sUEsBAhQAFAAAAAgAh07iQDFZ58v9AQAA6wMAAA4AAAAAAAAAAQAgAAAAKAEAAGRycy9l&#10;Mm9Eb2MueG1sUEsFBgAAAAAGAAYAWQEAAJcFAAAAAA==&#10;">
                  <v:path arrowok="t"/>
                  <v:fill focussize="0,0"/>
                  <v:stroke startarrow="block"/>
                  <v:imagedata o:title=""/>
                  <o:lock v:ext="edit"/>
                </v:line>
              </w:pict>
            </w:r>
            <w:r>
              <w:rPr>
                <w:rFonts w:ascii="Times New Roman" w:hAnsi="Times New Roman"/>
                <w:sz w:val="20"/>
              </w:rPr>
              <w:pict>
                <v:line id="_x0000_s2563" o:spid="_x0000_s2563" o:spt="20" style="position:absolute;left:0pt;margin-left:135pt;margin-top:10.2pt;height:31.2pt;width:0pt;z-index:251856896;mso-width-relative:page;mso-height-relative:page;" coordsize="21600,21600" o:gfxdata="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wVSTR2AAAAAkBAAAPAAAAAAAAAAEAIAAAACIAAABkcnMvZG93bnJl&#10;di54bWxQSwECFAAUAAAACACHTuJAwsMeWP0BAADrAwAADgAAAAAAAAABACAAAAAnAQAAZHJzL2Uy&#10;b0RvYy54bWxQSwUGAAAAAAYABgBZAQAAlgUAAAAA&#10;">
                  <v:path arrowok="t"/>
                  <v:fill focussize="0,0"/>
                  <v:stroke endarrow="block"/>
                  <v:imagedata o:title=""/>
                  <o:lock v:ext="edit"/>
                </v:line>
              </w:pict>
            </w:r>
            <w:r>
              <w:rPr>
                <w:rFonts w:ascii="Times New Roman" w:hAnsi="Times New Roman"/>
                <w:sz w:val="20"/>
              </w:rPr>
              <w:pict>
                <v:shape id="_x0000_s2564" o:spid="_x0000_s2564" o:spt="202" type="#_x0000_t202" style="position:absolute;left:0pt;margin-left:360pt;margin-top:-52.2pt;height:23.4pt;width:45pt;z-index:251880448;mso-width-relative:page;mso-height-relative:page;" stroked="f" coordsize="21600,21600" o:gfxdata="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Agn1mtkAAAAMAQAADwAAAAAAAAAB&#10;ACAAAAAiAAAAZHJzL2Rvd25yZXYueG1sUEsBAhQAFAAAAAgAh07iQP7CxhjWAQAApgMAAA4AAAAA&#10;AAAAAQAgAAAAKAEAAGRycy9lMm9Eb2MueG1sUEsFBgAAAAAGAAYAWQEAAHAFAAAAAA==&#10;">
                  <v:path/>
                  <v:fill focussize="0,0"/>
                  <v:stroke on="f" joinstyle="miter"/>
                  <v:imagedata o:title=""/>
                  <o:lock v:ext="edit"/>
                  <v:textbox inset="0mm,1.27mm,0mm,1.27mm">
                    <w:txbxContent>
                      <w:p w14:paraId="00C9D220">
                        <w:pPr>
                          <w:spacing w:line="320" w:lineRule="exact"/>
                          <w:jc w:val="center"/>
                          <w:rPr>
                            <w:vertAlign w:val="subscript"/>
                          </w:rPr>
                        </w:pPr>
                        <w:r>
                          <w:rPr>
                            <w:rFonts w:hint="eastAsia"/>
                          </w:rPr>
                          <w:t>G</w:t>
                        </w:r>
                        <w:r>
                          <w:rPr>
                            <w:rFonts w:hint="eastAsia"/>
                            <w:vertAlign w:val="subscript"/>
                          </w:rPr>
                          <w:t>2</w:t>
                        </w:r>
                        <w:r>
                          <w:rPr>
                            <w:rFonts w:hint="eastAsia"/>
                          </w:rPr>
                          <w:t xml:space="preserve"> 硝尘</w:t>
                        </w:r>
                      </w:p>
                    </w:txbxContent>
                  </v:textbox>
                </v:shape>
              </w:pict>
            </w:r>
            <w:r>
              <w:rPr>
                <w:rFonts w:ascii="Times New Roman" w:hAnsi="Times New Roman"/>
                <w:sz w:val="20"/>
              </w:rPr>
              <w:pict>
                <v:line id="_x0000_s2565" o:spid="_x0000_s2565" o:spt="20" style="position:absolute;left:0pt;margin-left:387pt;margin-top:18pt;height:23.4pt;width:0pt;z-index:251884544;mso-width-relative:page;mso-height-relative:page;" stroked="t" coordsize="21600,21600" o:gfxdata="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jXQ7r1wAAAAkBAAAPAAAAAAAAAAEAIAAAACIAAABkcnMvZG93&#10;bnJldi54bWxQSwECFAAUAAAACACHTuJA+Ksg6AECAADrAwAADgAAAAAAAAABACAAAAAmAQAAZHJz&#10;L2Uyb0RvYy54bWxQSwUGAAAAAAYABgBZAQAAmQUAAAAA&#10;">
                  <v:path arrowok="t"/>
                  <v:fill focussize="0,0"/>
                  <v:stroke color="#FF0000" endarrow="block"/>
                  <v:imagedata o:title=""/>
                  <o:lock v:ext="edit"/>
                </v:line>
              </w:pict>
            </w:r>
            <w:r>
              <w:rPr>
                <w:rFonts w:ascii="Times New Roman" w:hAnsi="Times New Roman"/>
                <w:sz w:val="20"/>
              </w:rPr>
              <w:pict>
                <v:line id="_x0000_s2566" o:spid="_x0000_s2566" o:spt="20" style="position:absolute;left:0pt;margin-left:369pt;margin-top:-28.8pt;height:23.7pt;width:0pt;z-index:251883520;mso-width-relative:page;mso-height-relative:page;" stroked="t" coordsize="21600,21600" o:gfxdata="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VEIPzbAAAACwEAAA8AAAAAAAAAAQAgAAAAIgAAAGRycy9k&#10;b3ducmV2LnhtbFBLAQIUABQAAAAIAIdO4kCKNgPd/wEAAOsDAAAOAAAAAAAAAAEAIAAAACoBAABk&#10;cnMvZTJvRG9jLnhtbFBLBQYAAAAABgAGAFkBAACbBQAAAAA=&#10;">
                  <v:path arrowok="t"/>
                  <v:fill focussize="0,0"/>
                  <v:stroke color="#FF0000" startarrow="block"/>
                  <v:imagedata o:title=""/>
                  <o:lock v:ext="edit"/>
                </v:line>
              </w:pict>
            </w:r>
            <w:r>
              <w:rPr>
                <w:rFonts w:ascii="Times New Roman" w:hAnsi="Times New Roman"/>
                <w:sz w:val="20"/>
              </w:rPr>
              <w:pict>
                <v:shape id="_x0000_s2567" o:spid="_x0000_s2567" o:spt="202" type="#_x0000_t202" style="position:absolute;left:0pt;margin-left:351pt;margin-top:-5.4pt;height:23.4pt;width:45pt;z-index:251882496;mso-width-relative:page;mso-height-relative:page;" coordsize="21600,21600" o:gfxdata="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LJ9al2QAAAAoBAAAPAAAAAAAAAAEA&#10;IAAAACIAAABkcnMvZG93bnJldi54bWxQSwECFAAUAAAACACHTuJAH0bWNg4CAAA5BAAADgAAAAAA&#10;AAABACAAAAAoAQAAZHJzL2Uyb0RvYy54bWxQSwUGAAAAAAYABgBZAQAAqAUAAAAA&#10;">
                  <v:path/>
                  <v:fill focussize="0,0"/>
                  <v:stroke joinstyle="miter"/>
                  <v:imagedata o:title=""/>
                  <o:lock v:ext="edit"/>
                  <v:textbox>
                    <w:txbxContent>
                      <w:p w14:paraId="3F7634F5">
                        <w:pPr>
                          <w:spacing w:line="320" w:lineRule="exact"/>
                          <w:jc w:val="center"/>
                        </w:pPr>
                        <w:r>
                          <w:rPr>
                            <w:rFonts w:hint="eastAsia" w:ascii="宋体" w:hAnsi="宋体"/>
                          </w:rPr>
                          <w:t>除尘</w:t>
                        </w:r>
                      </w:p>
                      <w:p w14:paraId="7E04C48B">
                        <w:pPr>
                          <w:spacing w:line="320" w:lineRule="exact"/>
                          <w:jc w:val="center"/>
                        </w:pPr>
                      </w:p>
                      <w:p w14:paraId="1A82CA2E">
                        <w:pPr>
                          <w:spacing w:line="360" w:lineRule="exact"/>
                        </w:pPr>
                        <w:r>
                          <w:rPr>
                            <w:rFonts w:hint="eastAsia"/>
                          </w:rPr>
                          <w:t>滤</w:t>
                        </w:r>
                      </w:p>
                    </w:txbxContent>
                  </v:textbox>
                </v:shape>
              </w:pict>
            </w:r>
            <w:r>
              <w:rPr>
                <w:rFonts w:ascii="Times New Roman" w:hAnsi="Times New Roman"/>
                <w:sz w:val="20"/>
              </w:rPr>
              <w:pict>
                <v:line id="_x0000_s2568" o:spid="_x0000_s2568" o:spt="20" style="position:absolute;left:0pt;margin-left:369pt;margin-top:18pt;height:23.7pt;width:0pt;z-index:251881472;mso-width-relative:page;mso-height-relative:page;" stroked="t" coordsize="21600,21600" o:gfxdata="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UUMotoAAAAJAQAADwAAAAAAAAABACAAAAAiAAAAZHJzL2Rv&#10;d25yZXYueG1sUEsBAhQAFAAAAAgAh07iQKCV1E7/AQAA6wMAAA4AAAAAAAAAAQAgAAAAKQEAAGRy&#10;cy9lMm9Eb2MueG1sUEsFBgAAAAAGAAYAWQEAAJoFAAAAAA==&#10;">
                  <v:path arrowok="t"/>
                  <v:fill focussize="0,0"/>
                  <v:stroke color="#FF0000" startarrow="block"/>
                  <v:imagedata o:title=""/>
                  <o:lock v:ext="edit"/>
                </v:line>
              </w:pict>
            </w:r>
          </w:p>
          <w:p w14:paraId="571199A9">
            <w:pPr>
              <w:pStyle w:val="16"/>
              <w:snapToGrid w:val="0"/>
              <w:spacing w:line="500" w:lineRule="exact"/>
              <w:ind w:firstLine="523"/>
              <w:rPr>
                <w:rFonts w:ascii="Times New Roman" w:hAnsi="Times New Roman"/>
                <w:sz w:val="24"/>
              </w:rPr>
            </w:pPr>
            <w:r>
              <w:rPr>
                <w:rFonts w:ascii="Times New Roman" w:hAnsi="Times New Roman"/>
                <w:sz w:val="20"/>
              </w:rPr>
              <w:pict>
                <v:line id="_x0000_s2569" o:spid="_x0000_s2569" o:spt="20" style="position:absolute;left:0pt;margin-left:162pt;margin-top:0.8pt;height:0pt;width:72pt;z-index:251862016;mso-width-relative:page;mso-height-relative:page;" stroked="t" coordsize="21600,21600" o:gfxdata="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LNytzVAAAABwEAAA8AAAAAAAAAAQAgAAAAIgAAAGRycy9kb3ducmV2&#10;LnhtbFBLAQIUABQAAAAIAIdO4kB1f39//wEAAOwDAAAOAAAAAAAAAAEAIAAAACQBAABkcnMvZTJv&#10;RG9jLnhtbFBLBQYAAAAABgAGAFkBAACVBQAAAAA=&#10;">
                  <v:path arrowok="t"/>
                  <v:fill focussize="0,0"/>
                  <v:stroke color="#0000FF" dashstyle="longDash" endarrow="block"/>
                  <v:imagedata o:title=""/>
                  <o:lock v:ext="edit"/>
                </v:line>
              </w:pict>
            </w:r>
            <w:r>
              <w:rPr>
                <w:rFonts w:ascii="Times New Roman" w:hAnsi="Times New Roman"/>
                <w:sz w:val="20"/>
              </w:rPr>
              <w:pict>
                <v:line id="_x0000_s2570" o:spid="_x0000_s2570" o:spt="20" style="position:absolute;left:0pt;flip:y;margin-left:162pt;margin-top:0.8pt;height:15.6pt;width:0pt;z-index:251923456;mso-width-relative:page;mso-height-relative:page;" stroked="t" coordsize="21600,21600" o:gfxdata="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aubW21gAAAAgBAAAPAAAAAAAAAAEAIAAAACIAAABkcnMvZG93bnJl&#10;di54bWxQSwECFAAUAAAACACHTuJAmKADlv8BAADyAwAADgAAAAAAAAABACAAAAAlAQAAZHJzL2Uy&#10;b0RvYy54bWxQSwUGAAAAAAYABgBZAQAAlgUAAAAA&#10;">
                  <v:path arrowok="t"/>
                  <v:fill focussize="0,0"/>
                  <v:stroke color="#0000FF" dashstyle="longDash"/>
                  <v:imagedata o:title=""/>
                  <o:lock v:ext="edit"/>
                </v:line>
              </w:pict>
            </w:r>
            <w:r>
              <w:rPr>
                <w:rFonts w:ascii="Times New Roman" w:hAnsi="Times New Roman"/>
                <w:sz w:val="20"/>
              </w:rPr>
              <w:pict>
                <v:line id="_x0000_s2571" o:spid="_x0000_s2571" o:spt="20" style="position:absolute;left:0pt;margin-left:99pt;margin-top:0.8pt;height:23.4pt;width:0pt;z-index:251921408;mso-width-relative:page;mso-height-relative:page;" stroked="t" coordsize="21600,21600" o:gfxdata="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B4jD0fXAAAACAEAAA8AAAAAAAAAAQAgAAAAIgAAAGRycy9kb3ducmV2LnhtbFBLAQIU&#10;ABQAAAAIAIdO4kCPlyjI9AEAAOcDAAAOAAAAAAAAAAEAIAAAACYBAABkcnMvZTJvRG9jLnhtbFBL&#10;BQYAAAAABgAGAFkBAACMBQAAAAA=&#10;">
                  <v:path arrowok="t"/>
                  <v:fill focussize="0,0"/>
                  <v:stroke color="#008000"/>
                  <v:imagedata o:title=""/>
                  <o:lock v:ext="edit"/>
                </v:line>
              </w:pict>
            </w:r>
            <w:r>
              <w:rPr>
                <w:rFonts w:ascii="Times New Roman" w:hAnsi="Times New Roman"/>
                <w:sz w:val="20"/>
              </w:rPr>
              <w:pict>
                <v:line id="_x0000_s2572" o:spid="_x0000_s2572" o:spt="20" style="position:absolute;left:0pt;flip:x;margin-left:99pt;margin-top:0.8pt;height:0pt;width:54pt;z-index:251920384;mso-width-relative:page;mso-height-relative:page;" stroked="t" coordsize="21600,21600" o:gfxdata="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3/McDzwAAAAcBAAAPAAAAAAAAAAEAIAAAACIAAABkcnMvZG93bnJldi54bWxQSwEC&#10;FAAUAAAACACHTuJAqfVsq/0BAADxAwAADgAAAAAAAAABACAAAAAeAQAAZHJzL2Uyb0RvYy54bWxQ&#10;SwUGAAAAAAYABgBZAQAAjQUAAAAA&#10;">
                  <v:path arrowok="t"/>
                  <v:fill focussize="0,0"/>
                  <v:stroke color="#008000"/>
                  <v:imagedata o:title=""/>
                  <o:lock v:ext="edit"/>
                </v:line>
              </w:pict>
            </w:r>
          </w:p>
          <w:p w14:paraId="39F43A8E">
            <w:pPr>
              <w:pStyle w:val="16"/>
              <w:snapToGrid w:val="0"/>
              <w:spacing w:line="500" w:lineRule="exact"/>
              <w:ind w:firstLine="523"/>
              <w:rPr>
                <w:rFonts w:ascii="Times New Roman" w:hAnsi="Times New Roman"/>
                <w:sz w:val="24"/>
              </w:rPr>
            </w:pPr>
            <w:r>
              <w:rPr>
                <w:rFonts w:ascii="Times New Roman" w:hAnsi="Times New Roman"/>
                <w:sz w:val="20"/>
              </w:rPr>
              <w:pict>
                <v:line id="_x0000_s2573" o:spid="_x0000_s2573" o:spt="20" style="position:absolute;left:0pt;margin-left:375.25pt;margin-top:14.55pt;height:23.4pt;width:0pt;z-index:251924480;mso-width-relative:page;mso-height-relative:page;" stroked="t" coordsize="21600,21600" o:gfxdata="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dqFDDWAAAACQEAAA8AAAAAAAAAAQAgAAAAIgAAAGRycy9kb3du&#10;cmV2LnhtbFBLAQIUABQAAAAIAIdO4kD+V5CRAQIAAOsDAAAOAAAAAAAAAAEAIAAAACUBAABkcnMv&#10;ZTJvRG9jLnhtbFBLBQYAAAAABgAGAFkBAACYBQAAAAA=&#10;">
                  <v:path arrowok="t"/>
                  <v:fill focussize="0,0"/>
                  <v:stroke color="#FF0000" endarrow="block"/>
                  <v:imagedata o:title=""/>
                  <o:lock v:ext="edit"/>
                </v:line>
              </w:pict>
            </w:r>
            <w:r>
              <w:rPr>
                <w:rFonts w:ascii="Times New Roman" w:hAnsi="Times New Roman"/>
                <w:sz w:val="24"/>
              </w:rPr>
              <w:pict>
                <v:shape id="_x0000_s2574" o:spid="_x0000_s2574" o:spt="202" type="#_x0000_t202" style="position:absolute;left:0pt;margin-left:36pt;margin-top:7pt;height:23.4pt;width:27pt;z-index:251829248;mso-width-relative:page;mso-height-relative:page;" stroked="f" coordsize="21600,21600" o:gfxdata="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McjhOdYAAAAIAQAADwAAAAAAAAABACAA&#10;AAAiAAAAZHJzL2Rvd25yZXYueG1sUEsBAhQAFAAAAAgAh07iQNT32PrWAQAApgMAAA4AAAAAAAAA&#10;AQAgAAAAJQEAAGRycy9lMm9Eb2MueG1sUEsFBgAAAAAGAAYAWQEAAG0FAAAAAA==&#10;">
                  <v:path/>
                  <v:fill focussize="0,0"/>
                  <v:stroke on="f" joinstyle="miter"/>
                  <v:imagedata o:title=""/>
                  <o:lock v:ext="edit"/>
                  <v:textbox inset="0mm,1.27mm,0mm,1.27mm">
                    <w:txbxContent>
                      <w:p w14:paraId="458265E3">
                        <w:pPr>
                          <w:spacing w:line="320" w:lineRule="exact"/>
                          <w:jc w:val="center"/>
                        </w:pPr>
                        <w:r>
                          <w:rPr>
                            <w:rFonts w:hint="eastAsia"/>
                          </w:rPr>
                          <w:t>母液</w:t>
                        </w:r>
                      </w:p>
                      <w:p w14:paraId="79CCA53A"/>
                    </w:txbxContent>
                  </v:textbox>
                </v:shape>
              </w:pict>
            </w:r>
            <w:r>
              <w:rPr>
                <w:rFonts w:ascii="Times New Roman" w:hAnsi="Times New Roman"/>
                <w:sz w:val="20"/>
              </w:rPr>
              <w:pict>
                <v:line id="_x0000_s2575" o:spid="_x0000_s2575" o:spt="20" style="position:absolute;left:0pt;margin-left:99pt;margin-top:-0.8pt;height:0pt;width:18pt;z-index:251922432;mso-width-relative:page;mso-height-relative:page;" stroked="t" coordsize="21600,21600" o:gfxdata="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ZDqEPXAAAACQEAAA8AAAAAAAAAAQAgAAAAIgAAAGRycy9kb3ducmV2&#10;LnhtbFBLAQIUABQAAAAIAIdO4kDG6jzx/QEAAOsDAAAOAAAAAAAAAAEAIAAAACYBAABkcnMvZTJv&#10;RG9jLnhtbFBLBQYAAAAABgAGAFkBAACVBQAAAAA=&#10;">
                  <v:path arrowok="t"/>
                  <v:fill focussize="0,0"/>
                  <v:stroke color="#008000" endarrow="block"/>
                  <v:imagedata o:title=""/>
                  <o:lock v:ext="edit"/>
                </v:line>
              </w:pict>
            </w:r>
            <w:r>
              <w:rPr>
                <w:rFonts w:ascii="Times New Roman" w:hAnsi="Times New Roman"/>
                <w:sz w:val="20"/>
              </w:rPr>
              <w:pict>
                <v:shape id="_x0000_s2576" o:spid="_x0000_s2576" o:spt="202" type="#_x0000_t202" style="position:absolute;left:0pt;margin-left:-9pt;margin-top:-16.4pt;height:23.4pt;width:45pt;z-index:251857920;mso-width-relative:page;mso-height-relative:page;" filled="f" stroked="f" coordsize="21600,21600" o:gfxdata="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b/PaLdYA&#10;AAAJAQAADwAAAAAAAAABACAAAAAiAAAAZHJzL2Rvd25yZXYueG1sUEsBAhQAFAAAAAgAh07iQLSF&#10;PsCvAQAAUQMAAA4AAAAAAAAAAQAgAAAAJQEAAGRycy9lMm9Eb2MueG1sUEsFBgAAAAAGAAYAWQEA&#10;AEYFAAAAAA==&#10;">
                  <v:path/>
                  <v:fill on="f" focussize="0,0"/>
                  <v:stroke on="f" joinstyle="miter"/>
                  <v:imagedata o:title=""/>
                  <o:lock v:ext="edit"/>
                  <v:textbox>
                    <w:txbxContent>
                      <w:p w14:paraId="27FCE270">
                        <w:pPr>
                          <w:spacing w:line="280" w:lineRule="exact"/>
                          <w:rPr>
                            <w:szCs w:val="18"/>
                          </w:rPr>
                        </w:pPr>
                        <w:r>
                          <w:rPr>
                            <w:rFonts w:hint="eastAsia"/>
                            <w:szCs w:val="18"/>
                          </w:rPr>
                          <w:t>蒸汽</w:t>
                        </w:r>
                      </w:p>
                    </w:txbxContent>
                  </v:textbox>
                </v:shape>
              </w:pict>
            </w:r>
            <w:r>
              <w:rPr>
                <w:rFonts w:ascii="Times New Roman" w:hAnsi="Times New Roman"/>
                <w:sz w:val="20"/>
              </w:rPr>
              <w:pict>
                <v:line id="_x0000_s2577" o:spid="_x0000_s2577" o:spt="20" style="position:absolute;left:0pt;margin-left:0pt;margin-top:7pt;height:0pt;width:117pt;z-index:251858944;mso-width-relative:page;mso-height-relative:page;" stroked="t" coordsize="21600,21600" o:gfxdata="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dMzprPAAAABgEAAA8AAAAAAAAAAQAgAAAAIgAAAGRycy9kb3ducmV2LnhtbFBL&#10;AQIUABQAAAAIAIdO4kAkkxko/wEAAOwDAAAOAAAAAAAAAAEAIAAAAB4BAABkcnMvZTJvRG9jLnht&#10;bFBLBQYAAAAABgAGAFkBAACPBQAAAAA=&#10;">
                  <v:path arrowok="t"/>
                  <v:fill focussize="0,0"/>
                  <v:stroke color="#0000FF" endarrow="block"/>
                  <v:imagedata o:title=""/>
                  <o:lock v:ext="edit"/>
                </v:line>
              </w:pict>
            </w:r>
            <w:r>
              <w:rPr>
                <w:rFonts w:ascii="Times New Roman" w:hAnsi="Times New Roman"/>
                <w:sz w:val="24"/>
              </w:rPr>
              <w:pict>
                <v:shape id="_x0000_s2578" o:spid="_x0000_s2578" o:spt="202" type="#_x0000_t202" style="position:absolute;left:0pt;margin-left:171pt;margin-top:-16.4pt;height:23.4pt;width:27pt;z-index:251799552;mso-width-relative:page;mso-height-relative:page;" filled="f" stroked="f" coordsize="21600,21600" o:gfxdata="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QAp1LZAAAACgEAAA8AAAAAAAAAAQAgAAAAIgAAAGRycy9kb3ducmV2&#10;LnhtbFBLAQIUABQAAAAIAIdO4kAmIF27wgEAAH0DAAAOAAAAAAAAAAEAIAAAACgBAABkcnMvZTJv&#10;RG9jLnhtbFBLBQYAAAAABgAGAFkBAABcBQAAAAA=&#10;">
                  <v:path/>
                  <v:fill on="f" focussize="0,0"/>
                  <v:stroke on="f" joinstyle="miter"/>
                  <v:imagedata o:title=""/>
                  <o:lock v:ext="edit"/>
                  <v:textbox inset="0mm,1.27mm,0mm,1.27mm">
                    <w:txbxContent>
                      <w:p w14:paraId="6F6D08DC">
                        <w:pPr>
                          <w:spacing w:line="320" w:lineRule="exact"/>
                          <w:jc w:val="right"/>
                        </w:pPr>
                        <w:r>
                          <w:rPr>
                            <w:rFonts w:hint="eastAsia"/>
                          </w:rPr>
                          <w:t>硝浆</w:t>
                        </w:r>
                      </w:p>
                    </w:txbxContent>
                  </v:textbox>
                </v:shape>
              </w:pict>
            </w:r>
            <w:r>
              <w:rPr>
                <w:rFonts w:ascii="Times New Roman" w:hAnsi="Times New Roman"/>
                <w:sz w:val="20"/>
              </w:rPr>
              <w:pict>
                <v:line id="_x0000_s2579" o:spid="_x0000_s2579" o:spt="20" style="position:absolute;left:0pt;margin-left:324pt;margin-top:7pt;height:0pt;width:27pt;z-index:251877376;mso-width-relative:page;mso-height-relative:page;" stroked="t" coordsize="21600,21600" o:gfxdata="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ltiBJ9QAAAAJAQAADwAAAAAAAAABACAAAAAiAAAAZHJzL2Rvd25yZXYu&#10;eG1sUEsBAhQAFAAAAAgAh07iQKzA1q//AQAA6wMAAA4AAAAAAAAAAQAgAAAAIwEAAGRycy9lMm9E&#10;b2MueG1sUEsFBgAAAAAGAAYAWQEAAJQFAAAAAA==&#10;">
                  <v:path arrowok="t"/>
                  <v:fill focussize="0,0"/>
                  <v:stroke color="#FF0000" endarrow="block"/>
                  <v:imagedata o:title=""/>
                  <o:lock v:ext="edit"/>
                </v:line>
              </w:pict>
            </w:r>
            <w:r>
              <w:rPr>
                <w:rFonts w:ascii="Times New Roman" w:hAnsi="Times New Roman"/>
                <w:sz w:val="20"/>
              </w:rPr>
              <w:pict>
                <v:shape id="_x0000_s2580" o:spid="_x0000_s2580" o:spt="202" type="#_x0000_t202" style="position:absolute;left:0pt;margin-left:351pt;margin-top:-8.6pt;height:23.4pt;width:45pt;z-index:251876352;mso-width-relative:page;mso-height-relative:page;" coordsize="21600,21600" o:gfxdata="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9qE1u2QAAAAoBAAAPAAAAAAAAAAEA&#10;IAAAACIAAABkcnMvZG93bnJldi54bWxQSwECFAAUAAAACACHTuJAZbOWXQ4CAAA5BAAADgAAAAAA&#10;AAABACAAAAAoAQAAZHJzL2Uyb0RvYy54bWxQSwUGAAAAAAYABgBZAQAAqAUAAAAA&#10;">
                  <v:path/>
                  <v:fill focussize="0,0"/>
                  <v:stroke joinstyle="miter"/>
                  <v:imagedata o:title=""/>
                  <o:lock v:ext="edit"/>
                  <v:textbox>
                    <w:txbxContent>
                      <w:p w14:paraId="5732904A">
                        <w:pPr>
                          <w:spacing w:line="320" w:lineRule="exact"/>
                          <w:jc w:val="center"/>
                        </w:pPr>
                        <w:r>
                          <w:rPr>
                            <w:rFonts w:hint="eastAsia" w:ascii="宋体" w:hAnsi="宋体"/>
                          </w:rPr>
                          <w:t>干燥</w:t>
                        </w:r>
                      </w:p>
                      <w:p w14:paraId="35819E17">
                        <w:pPr>
                          <w:spacing w:line="320" w:lineRule="exact"/>
                          <w:jc w:val="center"/>
                        </w:pPr>
                      </w:p>
                      <w:p w14:paraId="1FA3D294">
                        <w:pPr>
                          <w:spacing w:line="360" w:lineRule="exact"/>
                        </w:pPr>
                        <w:r>
                          <w:rPr>
                            <w:rFonts w:hint="eastAsia"/>
                          </w:rPr>
                          <w:t>滤</w:t>
                        </w:r>
                      </w:p>
                    </w:txbxContent>
                  </v:textbox>
                </v:shape>
              </w:pict>
            </w:r>
            <w:r>
              <w:rPr>
                <w:rFonts w:ascii="Times New Roman" w:hAnsi="Times New Roman"/>
                <w:sz w:val="20"/>
              </w:rPr>
              <w:pict>
                <v:shape id="_x0000_s2581" o:spid="_x0000_s2581" o:spt="202" type="#_x0000_t202" style="position:absolute;left:0pt;margin-left:207pt;margin-top:-8.6pt;height:23.4pt;width:45pt;z-index:251873280;mso-width-relative:page;mso-height-relative:page;" filled="f" coordsize="21600,21600" o:gfxdata="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2cu4C2AAA&#10;AAoBAAAPAAAAAAAAAAEAIAAAACIAAABkcnMvZG93bnJldi54bWxQSwECFAAUAAAACACHTuJAcnmj&#10;BB4CAABEBAAADgAAAAAAAAABACAAAAAnAQAAZHJzL2Uyb0RvYy54bWxQSwUGAAAAAAYABgBZAQAA&#10;twUAAAAA&#10;">
                  <v:path/>
                  <v:fill on="f" focussize="0,0"/>
                  <v:stroke joinstyle="miter"/>
                  <v:imagedata o:title=""/>
                  <o:lock v:ext="edit"/>
                  <v:textbox inset="0.5mm,1.27mm,0.5mm,1.27mm">
                    <w:txbxContent>
                      <w:p w14:paraId="69685F4F">
                        <w:pPr>
                          <w:spacing w:line="320" w:lineRule="exact"/>
                          <w:jc w:val="center"/>
                        </w:pPr>
                        <w:r>
                          <w:rPr>
                            <w:rFonts w:hint="eastAsia" w:ascii="宋体" w:hAnsi="宋体"/>
                          </w:rPr>
                          <w:t>稠厚器</w:t>
                        </w:r>
                      </w:p>
                      <w:p w14:paraId="46562FA5">
                        <w:pPr>
                          <w:spacing w:line="320" w:lineRule="exact"/>
                          <w:jc w:val="center"/>
                        </w:pPr>
                      </w:p>
                      <w:p w14:paraId="2EEC4EB0">
                        <w:pPr>
                          <w:spacing w:line="360" w:lineRule="exact"/>
                        </w:pPr>
                        <w:r>
                          <w:rPr>
                            <w:rFonts w:hint="eastAsia"/>
                          </w:rPr>
                          <w:t>滤</w:t>
                        </w:r>
                      </w:p>
                    </w:txbxContent>
                  </v:textbox>
                </v:shape>
              </w:pict>
            </w:r>
            <w:r>
              <w:rPr>
                <w:rFonts w:ascii="Times New Roman" w:hAnsi="Times New Roman"/>
                <w:sz w:val="20"/>
              </w:rPr>
              <w:pict>
                <v:line id="_x0000_s2582" o:spid="_x0000_s2582" o:spt="20" style="position:absolute;left:0pt;margin-left:252pt;margin-top:7pt;height:0pt;width:27pt;z-index:251872256;mso-width-relative:page;mso-height-relative:page;" stroked="t" coordsize="21600,21600" o:gfxdata="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VzgcBdQAAAAJAQAADwAAAAAAAAABACAAAAAiAAAAZHJzL2Rvd25yZXYu&#10;eG1sUEsBAhQAFAAAAAgAh07iQNDuvSz/AQAA6wMAAA4AAAAAAAAAAQAgAAAAIwEAAGRycy9lMm9E&#10;b2MueG1sUEsFBgAAAAAGAAYAWQEAAJQFAAAAAA==&#10;">
                  <v:path arrowok="t"/>
                  <v:fill focussize="0,0"/>
                  <v:stroke color="#FF0000" endarrow="block"/>
                  <v:imagedata o:title=""/>
                  <o:lock v:ext="edit"/>
                </v:line>
              </w:pict>
            </w:r>
            <w:r>
              <w:rPr>
                <w:rFonts w:ascii="Times New Roman" w:hAnsi="Times New Roman"/>
                <w:sz w:val="24"/>
              </w:rPr>
              <w:pict>
                <v:shape id="_x0000_s2583" o:spid="_x0000_s2583" o:spt="202" type="#_x0000_t202" style="position:absolute;left:0pt;margin-left:279pt;margin-top:-8.6pt;height:23.4pt;width:45pt;z-index:251827200;mso-width-relative:page;mso-height-relative:page;" filled="f" coordsize="21600,21600" o:gfxdata="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9VoQ12AAA&#10;AAoBAAAPAAAAAAAAAAEAIAAAACIAAABkcnMvZG93bnJldi54bWxQSwECFAAUAAAACACHTuJAK3O6&#10;MB4CAABEBAAADgAAAAAAAAABACAAAAAnAQAAZHJzL2Uyb0RvYy54bWxQSwUGAAAAAAYABgBZAQAA&#10;twUAAAAA&#10;">
                  <v:path/>
                  <v:fill on="f" focussize="0,0"/>
                  <v:stroke joinstyle="miter"/>
                  <v:imagedata o:title=""/>
                  <o:lock v:ext="edit"/>
                  <v:textbox inset="0.5mm,1.27mm,0.5mm,1.27mm">
                    <w:txbxContent>
                      <w:p w14:paraId="5BFE197A">
                        <w:pPr>
                          <w:spacing w:line="320" w:lineRule="exact"/>
                          <w:jc w:val="center"/>
                        </w:pPr>
                        <w:r>
                          <w:rPr>
                            <w:rFonts w:hint="eastAsia" w:ascii="宋体" w:hAnsi="宋体"/>
                          </w:rPr>
                          <w:t>离心</w:t>
                        </w:r>
                      </w:p>
                      <w:p w14:paraId="7BE93D16">
                        <w:pPr>
                          <w:spacing w:line="320" w:lineRule="exact"/>
                          <w:jc w:val="center"/>
                        </w:pPr>
                      </w:p>
                      <w:p w14:paraId="06126CF4">
                        <w:pPr>
                          <w:spacing w:line="360" w:lineRule="exact"/>
                        </w:pPr>
                        <w:r>
                          <w:rPr>
                            <w:rFonts w:hint="eastAsia"/>
                          </w:rPr>
                          <w:t>滤</w:t>
                        </w:r>
                      </w:p>
                    </w:txbxContent>
                  </v:textbox>
                </v:shape>
              </w:pict>
            </w:r>
            <w:r>
              <w:rPr>
                <w:rFonts w:ascii="Times New Roman" w:hAnsi="Times New Roman"/>
                <w:sz w:val="24"/>
              </w:rPr>
              <w:pict>
                <v:line id="_x0000_s2584" o:spid="_x0000_s2584" o:spt="20" style="position:absolute;left:0pt;margin-left:171pt;margin-top:7pt;height:0pt;width:36pt;z-index:251808768;mso-width-relative:page;mso-height-relative:page;" stroked="t" coordsize="21600,21600" o:gfxdata="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oNzJLRAAAACQEAAA8AAAAAAAAAAQAgAAAAIgAAAGRycy9kb3ducmV2Lnht&#10;bFBLAQIUABQAAAAIAIdO4kB1rJYGAAIAAOsDAAAOAAAAAAAAAAEAIAAAACABAABkcnMvZTJvRG9j&#10;LnhtbFBLBQYAAAAABgAGAFkBAACSBQAAAAA=&#10;">
                  <v:path arrowok="t"/>
                  <v:fill focussize="0,0"/>
                  <v:stroke color="#FF0000" endarrow="block"/>
                  <v:imagedata o:title=""/>
                  <o:lock v:ext="edit"/>
                </v:line>
              </w:pict>
            </w:r>
            <w:r>
              <w:rPr>
                <w:rFonts w:ascii="Times New Roman" w:hAnsi="Times New Roman"/>
                <w:sz w:val="20"/>
              </w:rPr>
              <w:pict>
                <v:shape id="_x0000_s2585" o:spid="_x0000_s2585" o:spt="202" type="#_x0000_t202" style="position:absolute;left:0pt;margin-left:117pt;margin-top:-8.6pt;height:23.4pt;width:54pt;z-index:251855872;mso-width-relative:page;mso-height-relative:page;" coordsize="21600,21600" o:gfxdata="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JHQq7ZAAAACgEAAA8AAAAAAAAAAQAg&#10;AAAAIgAAAGRycy9kb3ducmV2LnhtbFBLAQIUABQAAAAIAIdO4kC7GkYPDQIAADkEAAAOAAAAAAAA&#10;AAEAIAAAACgBAABkcnMvZTJvRG9jLnhtbFBLBQYAAAAABgAGAFkBAACnBQAAAAA=&#10;">
                  <v:path/>
                  <v:fill focussize="0,0"/>
                  <v:stroke joinstyle="miter"/>
                  <v:imagedata o:title=""/>
                  <o:lock v:ext="edit"/>
                  <v:textbox>
                    <w:txbxContent>
                      <w:p w14:paraId="144D7B5F">
                        <w:pPr>
                          <w:spacing w:line="320" w:lineRule="exact"/>
                          <w:jc w:val="center"/>
                          <w:rPr>
                            <w:rFonts w:hAnsi="宋体"/>
                            <w:bCs/>
                          </w:rPr>
                        </w:pPr>
                        <w:r>
                          <w:rPr>
                            <w:rFonts w:hint="eastAsia" w:ascii="宋体" w:hAnsi="宋体"/>
                          </w:rPr>
                          <w:t>制硝罐</w:t>
                        </w:r>
                      </w:p>
                      <w:p w14:paraId="587688A3">
                        <w:pPr>
                          <w:spacing w:line="320" w:lineRule="exact"/>
                          <w:jc w:val="center"/>
                        </w:pPr>
                      </w:p>
                      <w:p w14:paraId="4F9758D5">
                        <w:pPr>
                          <w:spacing w:line="360" w:lineRule="exact"/>
                        </w:pPr>
                        <w:r>
                          <w:rPr>
                            <w:rFonts w:hint="eastAsia"/>
                          </w:rPr>
                          <w:t>滤</w:t>
                        </w:r>
                      </w:p>
                      <w:p w14:paraId="0F9F28FC">
                        <w:pPr>
                          <w:spacing w:line="320" w:lineRule="exact"/>
                          <w:jc w:val="center"/>
                        </w:pPr>
                      </w:p>
                      <w:p w14:paraId="4F868840">
                        <w:pPr>
                          <w:spacing w:line="360" w:lineRule="exact"/>
                        </w:pPr>
                        <w:r>
                          <w:rPr>
                            <w:rFonts w:hint="eastAsia"/>
                          </w:rPr>
                          <w:t>滤</w:t>
                        </w:r>
                      </w:p>
                    </w:txbxContent>
                  </v:textbox>
                </v:shape>
              </w:pict>
            </w:r>
            <w:r>
              <w:rPr>
                <w:rFonts w:ascii="Times New Roman" w:hAnsi="Times New Roman"/>
                <w:sz w:val="20"/>
              </w:rPr>
              <w:pict>
                <v:line id="_x0000_s2586" o:spid="_x0000_s2586" o:spt="20" style="position:absolute;left:0pt;margin-left:153pt;margin-top:30.4pt;height:0pt;width:144pt;z-index:251908096;mso-width-relative:page;mso-height-relative:page;" coordsize="21600,21600" o:gfxdata="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j1gxnNYAAAAJAQAADwAAAAAAAAABACAAAAAiAAAAZHJzL2Rvd25yZXYueG1sUEsB&#10;AhQAFAAAAAgAh07iQHPmSFL3AQAA6AMAAA4AAAAAAAAAAQAgAAAAJQEAAGRycy9lMm9Eb2MueG1s&#10;UEsFBgAAAAAGAAYAWQEAAI4FAAAAAA==&#10;">
                  <v:path arrowok="t"/>
                  <v:fill focussize="0,0"/>
                  <v:stroke/>
                  <v:imagedata o:title=""/>
                  <o:lock v:ext="edit"/>
                </v:line>
              </w:pict>
            </w:r>
            <w:r>
              <w:rPr>
                <w:rFonts w:ascii="Times New Roman" w:hAnsi="Times New Roman"/>
                <w:sz w:val="20"/>
              </w:rPr>
              <w:pict>
                <v:line id="_x0000_s2587" o:spid="_x0000_s2587" o:spt="20" style="position:absolute;left:0pt;flip:y;margin-left:153pt;margin-top:14.8pt;height:15.6pt;width:0pt;z-index:251907072;mso-width-relative:page;mso-height-relative:page;" coordsize="21600,21600" o:gfxdata="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&#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rO0hfYAAAACQEAAA8AAAAAAAAAAQAgAAAAIgAAAGRy&#10;cy9kb3ducmV2LnhtbFBLAQIUABQAAAAIAIdO4kB8QufaBQIAAPUDAAAOAAAAAAAAAAEAIAAAACcB&#10;AABkcnMvZTJvRG9jLnhtbFBLBQYAAAAABgAGAFkBAACeBQAAAAA=&#10;">
                  <v:path arrowok="t"/>
                  <v:fill focussize="0,0"/>
                  <v:stroke endarrow="block"/>
                  <v:imagedata o:title=""/>
                  <o:lock v:ext="edit"/>
                </v:line>
              </w:pict>
            </w:r>
            <w:r>
              <w:rPr>
                <w:rFonts w:ascii="Times New Roman" w:hAnsi="Times New Roman"/>
                <w:sz w:val="20"/>
              </w:rPr>
              <w:pict>
                <v:line id="_x0000_s2588" o:spid="_x0000_s2588" o:spt="20" style="position:absolute;left:0pt;margin-left:297pt;margin-top:14.8pt;height:15.6pt;width:0pt;z-index:251906048;mso-width-relative:page;mso-height-relative:page;" coordsize="21600,21600" o:gfxdata="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OHnqJdcAAAAJAQAADwAAAAAAAAABACAAAAAiAAAAZHJzL2Rvd25yZXYueG1sUEsB&#10;AhQAFAAAAAgAh07iQH2GttP2AQAA5wMAAA4AAAAAAAAAAQAgAAAAJgEAAGRycy9lMm9Eb2MueG1s&#10;UEsFBgAAAAAGAAYAWQEAAI4FAAAAAA==&#10;">
                  <v:path arrowok="t"/>
                  <v:fill focussize="0,0"/>
                  <v:stroke/>
                  <v:imagedata o:title=""/>
                  <o:lock v:ext="edit"/>
                </v:line>
              </w:pict>
            </w:r>
            <w:r>
              <w:rPr>
                <w:rFonts w:ascii="Times New Roman" w:hAnsi="Times New Roman"/>
                <w:sz w:val="20"/>
              </w:rPr>
              <w:pict>
                <v:line id="_x0000_s2589" o:spid="_x0000_s2589" o:spt="20" style="position:absolute;left:0pt;margin-left:135pt;margin-top:14.8pt;height:23.4pt;width:0pt;z-index:251859968;mso-width-relative:page;mso-height-relative:page;" coordsize="21600,21600" o:gfxdata="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bLS3n1gAAAAkBAAAPAAAAAAAAAAEAIAAAACIAAABkcnMvZG93bnJldi54bWxQSwEC&#10;FAAUAAAACACHTuJAVQtZG/YBAADnAwAADgAAAAAAAAABACAAAAAlAQAAZHJzL2Uyb0RvYy54bWxQ&#10;SwUGAAAAAAYABgBZAQAAjQUAAAAA&#10;">
                  <v:path arrowok="t"/>
                  <v:fill focussize="0,0"/>
                  <v:stroke/>
                  <v:imagedata o:title=""/>
                  <o:lock v:ext="edit"/>
                </v:line>
              </w:pict>
            </w:r>
            <w:r>
              <w:rPr>
                <w:rFonts w:ascii="Times New Roman" w:hAnsi="Times New Roman"/>
                <w:sz w:val="20"/>
              </w:rPr>
              <w:pict>
                <v:shape id="_x0000_s2590" o:spid="_x0000_s2590" o:spt="202" type="#_x0000_t202" style="position:absolute;left:0pt;margin-left:252pt;margin-top:22.6pt;height:23.4pt;width:45pt;z-index:251910144;mso-width-relative:page;mso-height-relative:page;" filled="f" stroked="f" coordsize="21600,21600" o:gfxdata="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YDZgBtkAAAAJAQAADwAAAAAAAAABACAAAAAiAAAAZHJzL2Rvd25yZXYu&#10;eG1sUEsBAhQAFAAAAAgAh07iQExqepLBAQAAfQMAAA4AAAAAAAAAAQAgAAAAKAEAAGRycy9lMm9E&#10;b2MueG1sUEsFBgAAAAAGAAYAWQEAAFsFAAAAAA==&#10;">
                  <v:path/>
                  <v:fill on="f" focussize="0,0"/>
                  <v:stroke on="f" joinstyle="miter"/>
                  <v:imagedata o:title=""/>
                  <o:lock v:ext="edit"/>
                  <v:textbox inset="0mm,1.27mm,0mm,1.27mm">
                    <w:txbxContent>
                      <w:p w14:paraId="21EB700F">
                        <w:pPr>
                          <w:spacing w:line="320" w:lineRule="exact"/>
                          <w:jc w:val="center"/>
                          <w:rPr>
                            <w:vertAlign w:val="subscript"/>
                          </w:rPr>
                        </w:pPr>
                        <w:r>
                          <w:rPr>
                            <w:rFonts w:hint="eastAsia"/>
                          </w:rPr>
                          <w:t>液体回流</w:t>
                        </w:r>
                      </w:p>
                    </w:txbxContent>
                  </v:textbox>
                </v:shape>
              </w:pict>
            </w:r>
          </w:p>
          <w:p w14:paraId="55680011">
            <w:pPr>
              <w:pStyle w:val="16"/>
              <w:snapToGrid w:val="0"/>
              <w:spacing w:line="500" w:lineRule="exact"/>
              <w:ind w:firstLine="523"/>
              <w:rPr>
                <w:rFonts w:ascii="Times New Roman" w:hAnsi="Times New Roman"/>
                <w:sz w:val="24"/>
              </w:rPr>
            </w:pPr>
            <w:r>
              <w:pict>
                <v:shape id="_x0000_s2602" o:spid="_x0000_s2602" o:spt="202" type="#_x0000_t202" style="position:absolute;left:0pt;margin-left:252.95pt;margin-top:20pt;height:78pt;width:90pt;z-index:251925504;mso-width-relative:page;mso-height-relative:page;" fillcolor="#FFFFFF" filled="t" stroked="f" coordsize="21600,21600" o:gfxdata="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ob9Fy9MAAAAFAQAADwAAAAAAAAAB&#10;ACAAAAAiAAAAZHJzL2Rvd25yZXYueG1sUEsBAhQAFAAAAAgAh07iQASGWrvcAQAArwMAAA4AAAAA&#10;AAAAAQAgAAAAIgEAAGRycy9lMm9Eb2MueG1sUEsFBgAAAAAGAAYAWQEAAHAFAAAAAA==&#10;">
                  <v:path/>
                  <v:fill on="t" focussize="0,0"/>
                  <v:stroke on="f"/>
                  <v:imagedata o:title=""/>
                  <o:lock v:ext="edit" aspectratio="f"/>
                  <v:textbox inset="0mm,1.27mm,0mm,1.27mm">
                    <w:txbxContent>
                      <w:p w14:paraId="378E8F7C">
                        <w:pPr>
                          <w:snapToGrid w:val="0"/>
                          <w:jc w:val="center"/>
                          <w:rPr>
                            <w:rFonts w:hint="eastAsia" w:eastAsia="黑体"/>
                            <w:sz w:val="21"/>
                            <w:szCs w:val="21"/>
                          </w:rPr>
                        </w:pPr>
                        <w:r>
                          <w:rPr>
                            <w:rFonts w:hint="eastAsia" w:eastAsia="黑体"/>
                            <w:sz w:val="21"/>
                            <w:szCs w:val="21"/>
                          </w:rPr>
                          <w:t>图    例</w:t>
                        </w:r>
                      </w:p>
                      <w:p w14:paraId="0BE802B7">
                        <w:pPr>
                          <w:snapToGrid w:val="0"/>
                          <w:ind w:firstLine="987" w:firstLineChars="470"/>
                          <w:jc w:val="both"/>
                          <w:rPr>
                            <w:rFonts w:hint="eastAsia"/>
                            <w:sz w:val="21"/>
                            <w:szCs w:val="21"/>
                          </w:rPr>
                        </w:pPr>
                        <w:r>
                          <w:rPr>
                            <w:rFonts w:hint="eastAsia"/>
                            <w:sz w:val="21"/>
                            <w:szCs w:val="21"/>
                          </w:rPr>
                          <w:t>蒸汽</w:t>
                        </w:r>
                      </w:p>
                      <w:p w14:paraId="47F45B50">
                        <w:pPr>
                          <w:snapToGrid w:val="0"/>
                          <w:ind w:firstLine="987" w:firstLineChars="470"/>
                          <w:jc w:val="both"/>
                          <w:rPr>
                            <w:rFonts w:hint="eastAsia"/>
                            <w:sz w:val="21"/>
                            <w:szCs w:val="21"/>
                          </w:rPr>
                        </w:pPr>
                        <w:r>
                          <w:rPr>
                            <w:rFonts w:hint="eastAsia"/>
                            <w:sz w:val="21"/>
                            <w:szCs w:val="21"/>
                          </w:rPr>
                          <w:t>二次汽</w:t>
                        </w:r>
                      </w:p>
                      <w:p w14:paraId="5D75E5D8">
                        <w:pPr>
                          <w:snapToGrid w:val="0"/>
                          <w:ind w:firstLine="987" w:firstLineChars="470"/>
                          <w:jc w:val="both"/>
                          <w:rPr>
                            <w:rFonts w:hint="eastAsia"/>
                            <w:sz w:val="21"/>
                            <w:szCs w:val="21"/>
                          </w:rPr>
                        </w:pPr>
                        <w:r>
                          <w:rPr>
                            <w:rFonts w:hint="eastAsia"/>
                            <w:sz w:val="21"/>
                            <w:szCs w:val="21"/>
                          </w:rPr>
                          <w:t>冷凝水</w:t>
                        </w:r>
                      </w:p>
                      <w:p w14:paraId="32E8A343">
                        <w:pPr>
                          <w:snapToGrid w:val="0"/>
                          <w:ind w:firstLine="359" w:firstLineChars="171"/>
                          <w:jc w:val="both"/>
                        </w:pPr>
                        <w:r>
                          <w:rPr>
                            <w:rFonts w:hint="eastAsia"/>
                            <w:sz w:val="21"/>
                            <w:szCs w:val="21"/>
                          </w:rPr>
                          <w:t xml:space="preserve">      盐、硝</w:t>
                        </w:r>
                      </w:p>
                    </w:txbxContent>
                  </v:textbox>
                </v:shape>
              </w:pict>
            </w:r>
            <w:r>
              <w:rPr>
                <w:rFonts w:ascii="Times New Roman" w:hAnsi="Times New Roman"/>
                <w:sz w:val="24"/>
              </w:rPr>
              <w:pict>
                <v:shape id="_x0000_s2591" o:spid="_x0000_s2591" o:spt="202" type="#_x0000_t202" style="position:absolute;left:0pt;margin-left:352.8pt;margin-top:13.65pt;height:23.4pt;width:45pt;z-index:251798528;mso-width-relative:page;mso-height-relative:page;" stroked="f" coordsize="21600,21600" o:gfxdata="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D9ETadcAAAAJAQAADwAAAAAAAAABACAA&#10;AAAiAAAAZHJzL2Rvd25yZXYueG1sUEsBAhQAFAAAAAgAh07iQJe3zCzVAQAApgMAAA4AAAAAAAAA&#10;AQAgAAAAJgEAAGRycy9lMm9Eb2MueG1sUEsFBgAAAAAGAAYAWQEAAG0FAAAAAA==&#10;">
                  <v:path/>
                  <v:fill focussize="0,0"/>
                  <v:stroke on="f" joinstyle="miter"/>
                  <v:imagedata o:title=""/>
                  <o:lock v:ext="edit"/>
                  <v:textbox inset="0mm,1.27mm,0mm,1.27mm">
                    <w:txbxContent>
                      <w:p w14:paraId="2DC2EA9F">
                        <w:pPr>
                          <w:spacing w:line="320" w:lineRule="exact"/>
                          <w:jc w:val="center"/>
                        </w:pPr>
                        <w:r>
                          <w:rPr>
                            <w:rFonts w:hint="eastAsia"/>
                          </w:rPr>
                          <w:t>成品硝</w:t>
                        </w:r>
                      </w:p>
                    </w:txbxContent>
                  </v:textbox>
                </v:shape>
              </w:pict>
            </w:r>
            <w:r>
              <w:rPr>
                <w:rFonts w:ascii="Times New Roman" w:hAnsi="Times New Roman"/>
                <w:sz w:val="24"/>
              </w:rPr>
              <w:pict>
                <v:line id="_x0000_s2592" o:spid="_x0000_s2592" o:spt="20" style="position:absolute;left:0pt;margin-left:63pt;margin-top:13.2pt;height:0pt;width:72pt;z-index:251828224;mso-width-relative:page;mso-height-relative:page;" coordsize="21600,21600" o:gfxdata="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SiezVAAAACQEAAA8AAAAAAAAAAQAgAAAAIgAAAGRycy9kb3ducmV2LnhtbFBLAQIU&#10;ABQAAAAIAIdO4kCnLCkN9gEAAOcDAAAOAAAAAAAAAAEAIAAAACQBAABkcnMvZTJvRG9jLnhtbFBL&#10;BQYAAAAABgAGAFkBAACMBQAAAAA=&#10;">
                  <v:path arrowok="t"/>
                  <v:fill focussize="0,0"/>
                  <v:stroke/>
                  <v:imagedata o:title=""/>
                  <o:lock v:ext="edit"/>
                </v:line>
              </w:pict>
            </w:r>
          </w:p>
          <w:p w14:paraId="42F13C9E">
            <w:pPr>
              <w:pStyle w:val="16"/>
              <w:snapToGrid w:val="0"/>
              <w:spacing w:line="500" w:lineRule="exact"/>
              <w:ind w:firstLine="523"/>
              <w:rPr>
                <w:rFonts w:ascii="Times New Roman" w:hAnsi="Times New Roman"/>
                <w:sz w:val="24"/>
              </w:rPr>
            </w:pPr>
            <w:r>
              <w:pict>
                <v:line id="直接连接符 5" o:spid="_x0000_s2603" o:spt="20" style="position:absolute;left:0pt;margin-left:261.95pt;margin-top:18.4pt;height:0pt;width:36pt;z-index:251925504;mso-width-relative:page;mso-height-relative:page;" filled="f" stroked="t" coordsize="21600,21600" o:gfxdata="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DR6MCc4AAAAHAQAADwAAAAAAAAABACAAAAAiAAAAZHJzL2Rv&#10;d25yZXYueG1sUEsBAhQAFAAAAAgAh07iQLU6x6MLAgAA8wMAAA4AAAAAAAAAAQAgAAAAHQEAAGRy&#10;cy9lMm9Eb2MueG1sUEsFBgAAAAAGAAYAWQEAAJoFAAAAAA==&#10;">
                  <v:path arrowok="t"/>
                  <v:fill on="f" focussize="0,0"/>
                  <v:stroke color="#0000FF" joinstyle="round" endarrow="block"/>
                  <v:imagedata o:title=""/>
                  <o:lock v:ext="edit" aspectratio="f"/>
                </v:line>
              </w:pict>
            </w:r>
          </w:p>
          <w:p w14:paraId="64238897">
            <w:pPr>
              <w:pStyle w:val="16"/>
              <w:snapToGrid w:val="0"/>
              <w:spacing w:line="500" w:lineRule="exact"/>
              <w:ind w:firstLine="523"/>
              <w:rPr>
                <w:rFonts w:ascii="Times New Roman" w:hAnsi="Times New Roman"/>
                <w:sz w:val="24"/>
              </w:rPr>
            </w:pPr>
            <w:r>
              <w:pict>
                <v:line id="_x0000_s2625" o:spid="_x0000_s2625" o:spt="20" style="position:absolute;left:0pt;flip:y;margin-left:280.1pt;margin-top:20.5pt;height:0pt;width:18pt;z-index:251931648;mso-width-relative:page;mso-height-relative:page;" filled="f" stroked="t" coordsize="21600,21600" o:gfxdata="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1knOj1QAAAAkBAAAPAAAAAAAA&#10;AAEAIAAAACIAAABkcnMvZG93bnJldi54bWxQSwECFAAUAAAACACHTuJAFR2KyBUCAAAABAAADgAA&#10;AAAAAAABACAAAAAkAQAAZHJzL2Uyb0RvYy54bWxQSwUGAAAAAAYABgBZAQAAqwUAAAAA&#10;">
                  <v:path arrowok="t"/>
                  <v:fill on="f" focussize="0,0"/>
                  <v:stroke color="#339966" joinstyle="round" dashstyle="longDash" endarrow="block"/>
                  <v:imagedata o:title=""/>
                  <o:lock v:ext="edit" aspectratio="f"/>
                </v:line>
              </w:pict>
            </w:r>
            <w:r>
              <w:pict>
                <v:line id="_x0000_s2626" o:spid="_x0000_s2626" o:spt="20" style="position:absolute;left:0pt;margin-left:262.1pt;margin-top:20.5pt;height:0pt;width:18pt;z-index:251931648;mso-width-relative:page;mso-height-relative:page;" filled="f" stroked="t" coordsize="21600,21600" o:gfxdata="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MNNEwNgAAAAJAQAADwAAAAAAAAABACAAAAAi&#10;AAAAZHJzL2Rvd25yZXYueG1sUEsBAhQAFAAAAAgAh07iQB3+V2wKAgAA9gMAAA4AAAAAAAAAAQAg&#10;AAAAJwEAAGRycy9lMm9Eb2MueG1sUEsFBgAAAAAGAAYAWQEAAKMFAAAAAA==&#10;">
                  <v:path arrowok="t"/>
                  <v:fill on="f" focussize="0,0"/>
                  <v:stroke color="#800000" joinstyle="round" dashstyle="longDash" endarrow="block"/>
                  <v:imagedata o:title=""/>
                  <o:lock v:ext="edit" aspectratio="f"/>
                </v:line>
              </w:pict>
            </w:r>
            <w:r>
              <w:pict>
                <v:line id="_x0000_s2624" o:spid="_x0000_s2624" o:spt="20" style="position:absolute;left:0pt;margin-left:262.2pt;margin-top:7.35pt;height:0pt;width:18pt;z-index:251931648;mso-width-relative:page;mso-height-relative:page;" filled="f" stroked="t" coordsize="21600,21600" o:gfxdata="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pIUB41wAAAAcBAAAPAAAAAAAAAAEAIAAAACIA&#10;AABkcnMvZG93bnJldi54bWxQSwECFAAUAAAACACHTuJAur1IGQoCAAD1AwAADgAAAAAAAAABACAA&#10;AAAmAQAAZHJzL2Uyb0RvYy54bWxQSwUGAAAAAAYABgBZAQAAogUAAAAA&#10;">
                  <v:path arrowok="t"/>
                  <v:fill on="f" focussize="0,0"/>
                  <v:stroke color="#800000" joinstyle="round" endarrow="block"/>
                  <v:imagedata o:title=""/>
                  <o:lock v:ext="edit" aspectratio="f"/>
                </v:line>
              </w:pict>
            </w:r>
            <w:r>
              <w:pict>
                <v:line id="_x0000_s2623" o:spid="_x0000_s2623" o:spt="20" style="position:absolute;left:0pt;flip:y;margin-left:280.2pt;margin-top:7.35pt;height:0pt;width:18pt;z-index:251931648;mso-width-relative:page;mso-height-relative:page;" filled="f" stroked="t" coordsize="21600,21600" o:gfxdata="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AWRkz0gAAAAcBAAAPAAAAAAAAAAEAIAAA&#10;ACIAAABkcnMvZG93bnJldi54bWxQSwECFAAUAAAACACHTuJA3vP6DhICAAD9AwAADgAAAAAAAAAB&#10;ACAAAAAhAQAAZHJzL2Uyb0RvYy54bWxQSwUGAAAAAAYABgBZAQAApQUAAAAA&#10;">
                  <v:path arrowok="t"/>
                  <v:fill on="f" focussize="0,0"/>
                  <v:stroke color="#339966" joinstyle="round" endarrow="block"/>
                  <v:imagedata o:title=""/>
                  <o:lock v:ext="edit" aspectratio="f"/>
                </v:line>
              </w:pict>
            </w:r>
          </w:p>
          <w:p w14:paraId="45DFF223">
            <w:pPr>
              <w:pStyle w:val="16"/>
              <w:snapToGrid w:val="0"/>
              <w:spacing w:line="500" w:lineRule="exact"/>
              <w:ind w:firstLine="523"/>
              <w:rPr>
                <w:rFonts w:ascii="Times New Roman" w:hAnsi="Times New Roman"/>
                <w:sz w:val="24"/>
              </w:rPr>
            </w:pPr>
            <w:r>
              <w:rPr>
                <w:rFonts w:hint="default" w:ascii="Times New Roman" w:hAnsi="Times New Roman" w:cs="Times New Roman"/>
              </w:rPr>
              <w:pict>
                <v:line id="直接连接符 7" o:spid="_x0000_s2610" o:spt="20" style="position:absolute;left:0pt;margin-left:262.8pt;margin-top:9.8pt;height:0pt;width:36pt;z-index:251926528;mso-width-relative:page;mso-height-relative:page;" filled="f" stroked="t" coordsize="21600,21600" o:gfxdata="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OL9wtAAAAABAQAADwAAAAAAAAABACAAAAAiAAAAZHJz&#10;L2Rvd25yZXYueG1sUEsBAhQAFAAAAAgAh07iQCCRO7QMAgAA8wMAAA4AAAAAAAAAAQAgAAAAHwEA&#10;AGRycy9lMm9Eb2MueG1sUEsFBgAAAAAGAAYAWQEAAJ0FAAAAAA==&#10;">
                  <v:path arrowok="t"/>
                  <v:fill on="f" focussize="0,0"/>
                  <v:stroke color="#FF0000" joinstyle="round" endarrow="block"/>
                  <v:imagedata o:title=""/>
                  <o:lock v:ext="edit" aspectratio="f"/>
                </v:line>
              </w:pict>
            </w:r>
          </w:p>
          <w:p w14:paraId="75BD4254">
            <w:pPr>
              <w:pStyle w:val="16"/>
              <w:snapToGrid w:val="0"/>
              <w:spacing w:line="500" w:lineRule="exact"/>
              <w:ind w:firstLine="523"/>
              <w:rPr>
                <w:rFonts w:hint="default" w:ascii="Times New Roman" w:hAnsi="Times New Roman" w:cs="Times New Roman"/>
                <w:sz w:val="24"/>
              </w:rPr>
            </w:pPr>
            <w:r>
              <w:rPr>
                <w:rFonts w:hint="default" w:ascii="Times New Roman" w:hAnsi="Times New Roman" w:eastAsia="仿宋_GB2312" w:cs="Times New Roman"/>
                <w:b/>
                <w:color w:val="000000"/>
                <w:kern w:val="0"/>
              </w:rPr>
              <w:t>图2-</w:t>
            </w:r>
            <w:r>
              <w:rPr>
                <w:rFonts w:hint="eastAsia" w:ascii="Times New Roman" w:hAnsi="Times New Roman" w:eastAsia="仿宋_GB2312" w:cs="Times New Roman"/>
                <w:b/>
                <w:color w:val="000000"/>
                <w:kern w:val="0"/>
                <w:lang w:val="en-US" w:eastAsia="zh-CN"/>
              </w:rPr>
              <w:t>7</w:t>
            </w:r>
            <w:r>
              <w:rPr>
                <w:rFonts w:hint="default" w:ascii="Times New Roman" w:hAnsi="Times New Roman" w:eastAsia="仿宋_GB2312" w:cs="Times New Roman"/>
                <w:b/>
                <w:color w:val="000000"/>
                <w:kern w:val="0"/>
                <w:lang w:val="en-US" w:eastAsia="zh-CN"/>
              </w:rPr>
              <w:t xml:space="preserve">  </w:t>
            </w:r>
            <w:r>
              <w:rPr>
                <w:rFonts w:hint="default" w:ascii="Times New Roman" w:hAnsi="Times New Roman" w:eastAsia="仿宋_GB2312" w:cs="Times New Roman"/>
                <w:b/>
                <w:color w:val="000000"/>
                <w:kern w:val="0"/>
              </w:rPr>
              <w:t>真空制盐（</w:t>
            </w:r>
            <w:r>
              <w:rPr>
                <w:rFonts w:hint="default" w:ascii="Times New Roman" w:hAnsi="Times New Roman" w:eastAsia="仿宋_GB2312" w:cs="Times New Roman"/>
                <w:b/>
                <w:color w:val="000000"/>
                <w:kern w:val="0"/>
                <w:lang w:val="en-US" w:eastAsia="zh-CN"/>
              </w:rPr>
              <w:t>一</w:t>
            </w:r>
            <w:r>
              <w:rPr>
                <w:rFonts w:hint="default" w:ascii="Times New Roman" w:hAnsi="Times New Roman" w:eastAsia="仿宋_GB2312" w:cs="Times New Roman"/>
                <w:b/>
                <w:color w:val="000000"/>
                <w:kern w:val="0"/>
              </w:rPr>
              <w:t>期）</w:t>
            </w:r>
            <w:r>
              <w:rPr>
                <w:rFonts w:hint="eastAsia" w:ascii="Times New Roman" w:hAnsi="Times New Roman" w:eastAsia="仿宋_GB2312" w:cs="Times New Roman"/>
                <w:b/>
                <w:color w:val="000000"/>
                <w:kern w:val="0"/>
                <w:lang w:val="en-US" w:eastAsia="zh-CN"/>
              </w:rPr>
              <w:t>60万t/a</w:t>
            </w:r>
            <w:r>
              <w:rPr>
                <w:rFonts w:hint="default" w:ascii="Times New Roman" w:hAnsi="Times New Roman" w:eastAsia="仿宋_GB2312" w:cs="Times New Roman"/>
                <w:b/>
                <w:color w:val="000000"/>
                <w:kern w:val="0"/>
              </w:rPr>
              <w:t>生产工艺流程及产污环节示意图</w:t>
            </w:r>
          </w:p>
          <w:p w14:paraId="775406E4">
            <w:pPr>
              <w:pStyle w:val="16"/>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eastAsia" w:eastAsia="仿宋_GB2312"/>
                <w:b/>
                <w:bCs/>
              </w:rPr>
            </w:pPr>
          </w:p>
          <w:p w14:paraId="5D58EA65">
            <w:pPr>
              <w:pStyle w:val="16"/>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eastAsia" w:eastAsia="仿宋_GB2312"/>
                <w:b/>
                <w:bCs/>
              </w:rPr>
            </w:pPr>
            <w:r>
              <w:rPr>
                <w:rFonts w:hint="eastAsia" w:eastAsia="仿宋_GB2312"/>
                <w:b/>
                <w:bCs/>
              </w:rPr>
              <w:t>工艺流程简述：</w:t>
            </w:r>
          </w:p>
          <w:p w14:paraId="395C40E8">
            <w:pPr>
              <w:pStyle w:val="16"/>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eastAsia="仿宋_GB2312"/>
                <w:b/>
                <w:bCs/>
              </w:rPr>
            </w:pPr>
            <w:r>
              <w:rPr>
                <w:rFonts w:ascii="Times New Roman" w:hAnsi="Times New Roman" w:eastAsia="仿宋_GB2312"/>
                <w:szCs w:val="21"/>
              </w:rPr>
              <w:t>目前真空制盐的生产工艺主要为卤水净化处理、真空制盐和提硝三部分组成，其中真空制盐和提硝位于同一车间。</w:t>
            </w:r>
          </w:p>
          <w:p w14:paraId="0BF250EE">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default" w:ascii="Times New Roman" w:hAnsi="Times New Roman" w:eastAsia="仿宋_GB2312" w:cs="Times New Roman"/>
                <w:b/>
                <w:bCs/>
                <w:kern w:val="2"/>
                <w:sz w:val="21"/>
                <w:szCs w:val="21"/>
                <w:lang w:val="en-US" w:eastAsia="zh-CN" w:bidi="ar-SA"/>
              </w:rPr>
            </w:pPr>
            <w:r>
              <w:rPr>
                <w:rFonts w:hint="eastAsia" w:eastAsia="仿宋_GB2312" w:cs="Times New Roman"/>
                <w:b/>
                <w:bCs/>
                <w:kern w:val="2"/>
                <w:sz w:val="21"/>
                <w:szCs w:val="21"/>
                <w:lang w:val="en-US" w:eastAsia="zh-CN" w:bidi="ar-SA"/>
              </w:rPr>
              <w:t>1、卤水净化处理</w:t>
            </w:r>
          </w:p>
          <w:p w14:paraId="3A31CC6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ascii="Times New Roman" w:hAnsi="Times New Roman" w:eastAsia="仿宋_GB2312" w:cs="Times New Roman"/>
                <w:kern w:val="2"/>
                <w:sz w:val="21"/>
                <w:szCs w:val="21"/>
                <w:lang w:val="en-US" w:eastAsia="zh-CN" w:bidi="ar-SA"/>
              </w:rPr>
            </w:pPr>
            <w:r>
              <w:rPr>
                <w:rFonts w:hint="eastAsia" w:ascii="Times New Roman" w:hAnsi="Times New Roman" w:eastAsia="仿宋_GB2312" w:cs="Times New Roman"/>
                <w:kern w:val="2"/>
                <w:sz w:val="21"/>
                <w:szCs w:val="21"/>
                <w:lang w:val="en-US" w:eastAsia="zh-CN" w:bidi="ar-SA"/>
              </w:rPr>
              <w:t>（1）</w:t>
            </w:r>
            <w:r>
              <w:rPr>
                <w:rFonts w:ascii="Times New Roman" w:hAnsi="Times New Roman" w:eastAsia="仿宋_GB2312" w:cs="Times New Roman"/>
                <w:kern w:val="2"/>
                <w:sz w:val="21"/>
                <w:szCs w:val="21"/>
                <w:lang w:val="en-US" w:eastAsia="zh-CN" w:bidi="ar-SA"/>
              </w:rPr>
              <w:t>配置添加剂</w:t>
            </w:r>
          </w:p>
          <w:p w14:paraId="4BCAC47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ascii="Times New Roman" w:hAnsi="Times New Roman" w:eastAsia="仿宋_GB2312" w:cs="Times New Roman"/>
                <w:kern w:val="2"/>
                <w:sz w:val="21"/>
                <w:szCs w:val="21"/>
                <w:lang w:val="en-US" w:eastAsia="zh-CN" w:bidi="ar-SA"/>
              </w:rPr>
            </w:pPr>
            <w:r>
              <w:rPr>
                <w:rFonts w:ascii="Times New Roman" w:hAnsi="Times New Roman" w:eastAsia="仿宋_GB2312" w:cs="Times New Roman"/>
                <w:kern w:val="2"/>
                <w:sz w:val="21"/>
                <w:szCs w:val="21"/>
                <w:lang w:val="en-US" w:eastAsia="zh-CN" w:bidi="ar-SA"/>
              </w:rPr>
              <w:t>在石灰乳配置桶和纯碱液配置桶分别加入石灰和纯碱，用回用的滤液和冷凝水配置成15％的石灰乳液和纯碱液。</w:t>
            </w:r>
          </w:p>
          <w:p w14:paraId="1B37D0F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ascii="Times New Roman" w:hAnsi="Times New Roman" w:eastAsia="仿宋_GB2312" w:cs="Times New Roman"/>
                <w:kern w:val="2"/>
                <w:sz w:val="21"/>
                <w:szCs w:val="21"/>
                <w:lang w:val="en-US" w:eastAsia="zh-CN" w:bidi="ar-SA"/>
              </w:rPr>
            </w:pPr>
            <w:r>
              <w:rPr>
                <w:rFonts w:hint="eastAsia" w:ascii="Times New Roman" w:hAnsi="Times New Roman" w:eastAsia="仿宋_GB2312" w:cs="Times New Roman"/>
                <w:kern w:val="2"/>
                <w:sz w:val="21"/>
                <w:szCs w:val="21"/>
                <w:lang w:val="en-US" w:eastAsia="zh-CN" w:bidi="ar-SA"/>
              </w:rPr>
              <w:t>（2）</w:t>
            </w:r>
            <w:r>
              <w:rPr>
                <w:rFonts w:ascii="Times New Roman" w:hAnsi="Times New Roman" w:eastAsia="仿宋_GB2312" w:cs="Times New Roman"/>
                <w:kern w:val="2"/>
                <w:sz w:val="21"/>
                <w:szCs w:val="21"/>
                <w:lang w:val="en-US" w:eastAsia="zh-CN" w:bidi="ar-SA"/>
              </w:rPr>
              <w:t>净化一级反应</w:t>
            </w:r>
          </w:p>
          <w:p w14:paraId="689A42D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ascii="Times New Roman" w:hAnsi="Times New Roman" w:eastAsia="仿宋_GB2312" w:cs="Times New Roman"/>
                <w:kern w:val="2"/>
                <w:sz w:val="21"/>
                <w:szCs w:val="21"/>
                <w:lang w:val="en-US" w:eastAsia="zh-CN" w:bidi="ar-SA"/>
              </w:rPr>
            </w:pPr>
            <w:r>
              <w:rPr>
                <w:rFonts w:ascii="Times New Roman" w:hAnsi="Times New Roman" w:eastAsia="仿宋_GB2312" w:cs="Times New Roman"/>
                <w:kern w:val="2"/>
                <w:sz w:val="21"/>
                <w:szCs w:val="21"/>
                <w:lang w:val="en-US" w:eastAsia="zh-CN" w:bidi="ar-SA"/>
              </w:rPr>
              <w:t>原卤连续泵入原卤桶，原卤桶作为后续</w:t>
            </w:r>
            <w:r>
              <w:rPr>
                <w:rFonts w:hint="eastAsia" w:ascii="Times New Roman" w:hAnsi="Times New Roman" w:eastAsia="仿宋_GB2312" w:cs="Times New Roman"/>
                <w:kern w:val="2"/>
                <w:sz w:val="21"/>
                <w:szCs w:val="21"/>
                <w:lang w:val="en-US" w:eastAsia="zh-CN" w:bidi="ar-SA"/>
              </w:rPr>
              <w:t>间断</w:t>
            </w:r>
            <w:r>
              <w:rPr>
                <w:rFonts w:ascii="Times New Roman" w:hAnsi="Times New Roman" w:eastAsia="仿宋_GB2312" w:cs="Times New Roman"/>
                <w:kern w:val="2"/>
                <w:sz w:val="21"/>
                <w:szCs w:val="21"/>
                <w:lang w:val="en-US" w:eastAsia="zh-CN" w:bidi="ar-SA"/>
              </w:rPr>
              <w:t>处理的缓冲器。卤水用盐硝</w:t>
            </w:r>
            <w:r>
              <w:rPr>
                <w:rFonts w:hint="eastAsia" w:ascii="Times New Roman" w:hAnsi="Times New Roman" w:eastAsia="仿宋_GB2312" w:cs="Times New Roman"/>
                <w:kern w:val="2"/>
                <w:sz w:val="21"/>
                <w:szCs w:val="21"/>
                <w:lang w:val="en-US" w:eastAsia="zh-CN" w:bidi="ar-SA"/>
              </w:rPr>
              <w:t>车间</w:t>
            </w:r>
            <w:r>
              <w:rPr>
                <w:rFonts w:ascii="Times New Roman" w:hAnsi="Times New Roman" w:eastAsia="仿宋_GB2312" w:cs="Times New Roman"/>
                <w:kern w:val="2"/>
                <w:sz w:val="21"/>
                <w:szCs w:val="21"/>
                <w:lang w:val="en-US" w:eastAsia="zh-CN" w:bidi="ar-SA"/>
              </w:rPr>
              <w:t>蒸汽冷凝水预热后批量进入一级反应罐</w:t>
            </w:r>
            <w:r>
              <w:rPr>
                <w:rFonts w:hint="eastAsia" w:ascii="Times New Roman" w:hAnsi="Times New Roman" w:eastAsia="仿宋_GB2312" w:cs="Times New Roman"/>
                <w:kern w:val="2"/>
                <w:sz w:val="21"/>
                <w:szCs w:val="21"/>
                <w:lang w:val="en-US" w:eastAsia="zh-CN" w:bidi="ar-SA"/>
              </w:rPr>
              <w:t>。</w:t>
            </w:r>
            <w:r>
              <w:rPr>
                <w:rFonts w:ascii="Times New Roman" w:hAnsi="Times New Roman" w:eastAsia="仿宋_GB2312" w:cs="Times New Roman"/>
                <w:kern w:val="2"/>
                <w:sz w:val="21"/>
                <w:szCs w:val="21"/>
                <w:lang w:val="en-US" w:eastAsia="zh-CN" w:bidi="ar-SA"/>
              </w:rPr>
              <w:t>注入原卤后、加入石灰乳液，搅拌反应1小时</w:t>
            </w:r>
            <w:r>
              <w:rPr>
                <w:rFonts w:hint="eastAsia" w:ascii="Times New Roman" w:hAnsi="Times New Roman" w:eastAsia="仿宋_GB2312" w:cs="Times New Roman"/>
                <w:kern w:val="2"/>
                <w:sz w:val="21"/>
                <w:szCs w:val="21"/>
                <w:lang w:val="en-US" w:eastAsia="zh-CN" w:bidi="ar-SA"/>
              </w:rPr>
              <w:t>。</w:t>
            </w:r>
            <w:r>
              <w:rPr>
                <w:rFonts w:ascii="Times New Roman" w:hAnsi="Times New Roman" w:eastAsia="仿宋_GB2312" w:cs="Times New Roman"/>
                <w:kern w:val="2"/>
                <w:sz w:val="21"/>
                <w:szCs w:val="21"/>
                <w:lang w:val="en-US" w:eastAsia="zh-CN" w:bidi="ar-SA"/>
              </w:rPr>
              <w:t>反应结束前，泵入一级反应絮凝剂</w:t>
            </w:r>
            <w:r>
              <w:rPr>
                <w:rFonts w:hint="eastAsia" w:ascii="Times New Roman" w:hAnsi="Times New Roman" w:eastAsia="仿宋_GB2312" w:cs="Times New Roman"/>
                <w:kern w:val="2"/>
                <w:sz w:val="21"/>
                <w:szCs w:val="21"/>
                <w:lang w:val="en-US" w:eastAsia="zh-CN" w:bidi="ar-SA"/>
              </w:rPr>
              <w:t>，</w:t>
            </w:r>
            <w:r>
              <w:rPr>
                <w:rFonts w:ascii="Times New Roman" w:hAnsi="Times New Roman" w:eastAsia="仿宋_GB2312" w:cs="Times New Roman"/>
                <w:kern w:val="2"/>
                <w:sz w:val="21"/>
                <w:szCs w:val="21"/>
                <w:lang w:val="en-US" w:eastAsia="zh-CN" w:bidi="ar-SA"/>
              </w:rPr>
              <w:t>关闭搅拌，使盐泥沉降约4小时。沉降结束后，卤水用转移泵转入二级反应罐</w:t>
            </w:r>
            <w:r>
              <w:rPr>
                <w:rFonts w:hint="eastAsia" w:ascii="Times New Roman" w:hAnsi="Times New Roman" w:eastAsia="仿宋_GB2312" w:cs="Times New Roman"/>
                <w:kern w:val="2"/>
                <w:sz w:val="21"/>
                <w:szCs w:val="21"/>
                <w:lang w:val="en-US" w:eastAsia="zh-CN" w:bidi="ar-SA"/>
              </w:rPr>
              <w:t>。</w:t>
            </w:r>
            <w:r>
              <w:rPr>
                <w:rFonts w:ascii="Times New Roman" w:hAnsi="Times New Roman" w:eastAsia="仿宋_GB2312" w:cs="Times New Roman"/>
                <w:kern w:val="2"/>
                <w:sz w:val="21"/>
                <w:szCs w:val="21"/>
                <w:lang w:val="en-US" w:eastAsia="zh-CN" w:bidi="ar-SA"/>
              </w:rPr>
              <w:t>最后剩余的盐泥通过相应的盐泥泵泵入一级反应盐泥收集桶</w:t>
            </w:r>
            <w:r>
              <w:rPr>
                <w:rFonts w:hint="eastAsia" w:ascii="Times New Roman" w:hAnsi="Times New Roman" w:eastAsia="仿宋_GB2312" w:cs="Times New Roman"/>
                <w:kern w:val="2"/>
                <w:sz w:val="21"/>
                <w:szCs w:val="21"/>
                <w:lang w:val="en-US" w:eastAsia="zh-CN" w:bidi="ar-SA"/>
              </w:rPr>
              <w:t>。</w:t>
            </w:r>
          </w:p>
          <w:p w14:paraId="19DB311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ascii="Times New Roman" w:hAnsi="Times New Roman" w:eastAsia="仿宋_GB2312" w:cs="Times New Roman"/>
                <w:kern w:val="2"/>
                <w:sz w:val="21"/>
                <w:szCs w:val="21"/>
                <w:lang w:val="en-US" w:eastAsia="zh-CN" w:bidi="ar-SA"/>
              </w:rPr>
            </w:pPr>
            <w:r>
              <w:rPr>
                <w:rFonts w:hint="eastAsia" w:ascii="Times New Roman" w:hAnsi="Times New Roman" w:eastAsia="仿宋_GB2312" w:cs="Times New Roman"/>
                <w:kern w:val="2"/>
                <w:sz w:val="21"/>
                <w:szCs w:val="21"/>
                <w:lang w:val="en-US" w:eastAsia="zh-CN" w:bidi="ar-SA"/>
              </w:rPr>
              <w:t>（3）</w:t>
            </w:r>
            <w:r>
              <w:rPr>
                <w:rFonts w:ascii="Times New Roman" w:hAnsi="Times New Roman" w:eastAsia="仿宋_GB2312" w:cs="Times New Roman"/>
                <w:kern w:val="2"/>
                <w:sz w:val="21"/>
                <w:szCs w:val="21"/>
                <w:lang w:val="en-US" w:eastAsia="zh-CN" w:bidi="ar-SA"/>
              </w:rPr>
              <w:t>净化二级反应</w:t>
            </w:r>
          </w:p>
          <w:p w14:paraId="5342A4F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ascii="Times New Roman" w:hAnsi="Times New Roman" w:eastAsia="仿宋_GB2312" w:cs="Times New Roman"/>
                <w:kern w:val="2"/>
                <w:sz w:val="21"/>
                <w:szCs w:val="21"/>
                <w:lang w:val="en-US" w:eastAsia="zh-CN" w:bidi="ar-SA"/>
              </w:rPr>
            </w:pPr>
            <w:r>
              <w:rPr>
                <w:rFonts w:ascii="Times New Roman" w:hAnsi="Times New Roman" w:eastAsia="仿宋_GB2312" w:cs="Times New Roman"/>
                <w:kern w:val="2"/>
                <w:sz w:val="21"/>
                <w:szCs w:val="21"/>
                <w:lang w:val="en-US" w:eastAsia="zh-CN" w:bidi="ar-SA"/>
              </w:rPr>
              <w:t>通过卤水转移泵，卤水批量进入二级反应罐。注入卤水后，在搅拌前加入母液（大部分为硫酸钠，少量的氯化钠和碳酸钠，主要目的为增加Ca</w:t>
            </w:r>
            <w:r>
              <w:rPr>
                <w:rFonts w:hint="eastAsia" w:ascii="Times New Roman" w:hAnsi="Times New Roman" w:eastAsia="仿宋_GB2312" w:cs="Times New Roman"/>
                <w:kern w:val="2"/>
                <w:sz w:val="21"/>
                <w:szCs w:val="21"/>
                <w:lang w:val="en-US" w:eastAsia="zh-CN" w:bidi="ar-SA"/>
              </w:rPr>
              <w:t>2+</w:t>
            </w:r>
            <w:r>
              <w:rPr>
                <w:rFonts w:ascii="Times New Roman" w:hAnsi="Times New Roman" w:eastAsia="仿宋_GB2312" w:cs="Times New Roman"/>
                <w:kern w:val="2"/>
                <w:sz w:val="21"/>
                <w:szCs w:val="21"/>
                <w:lang w:val="en-US" w:eastAsia="zh-CN" w:bidi="ar-SA"/>
              </w:rPr>
              <w:t>的沉淀效果）和15％的纯碱溶液。然后从反应罐底部通入烟道气（烟道气由加怡热电站锅炉</w:t>
            </w:r>
            <w:r>
              <w:rPr>
                <w:rFonts w:hint="eastAsia" w:ascii="Times New Roman" w:hAnsi="Times New Roman" w:eastAsia="仿宋_GB2312" w:cs="Times New Roman"/>
                <w:kern w:val="2"/>
                <w:sz w:val="21"/>
                <w:szCs w:val="21"/>
                <w:lang w:val="en-US" w:eastAsia="zh-CN" w:bidi="ar-SA"/>
              </w:rPr>
              <w:t>烟囱</w:t>
            </w:r>
            <w:r>
              <w:rPr>
                <w:rFonts w:ascii="Times New Roman" w:hAnsi="Times New Roman" w:eastAsia="仿宋_GB2312" w:cs="Times New Roman"/>
                <w:kern w:val="2"/>
                <w:sz w:val="21"/>
                <w:szCs w:val="21"/>
                <w:lang w:val="en-US" w:eastAsia="zh-CN" w:bidi="ar-SA"/>
              </w:rPr>
              <w:t>前风管引出通过压缩机送入二级反应桶），通气反应大约2</w:t>
            </w:r>
            <w:r>
              <w:rPr>
                <w:rFonts w:hint="eastAsia" w:ascii="Times New Roman" w:hAnsi="Times New Roman" w:eastAsia="仿宋_GB2312" w:cs="Times New Roman"/>
                <w:kern w:val="2"/>
                <w:sz w:val="21"/>
                <w:szCs w:val="21"/>
                <w:lang w:val="en-US" w:eastAsia="zh-CN" w:bidi="ar-SA"/>
              </w:rPr>
              <w:t>~</w:t>
            </w:r>
            <w:r>
              <w:rPr>
                <w:rFonts w:ascii="Times New Roman" w:hAnsi="Times New Roman" w:eastAsia="仿宋_GB2312" w:cs="Times New Roman"/>
                <w:kern w:val="2"/>
                <w:sz w:val="21"/>
                <w:szCs w:val="21"/>
                <w:lang w:val="en-US" w:eastAsia="zh-CN" w:bidi="ar-SA"/>
              </w:rPr>
              <w:t>3小时、流量68</w:t>
            </w:r>
            <w:r>
              <w:rPr>
                <w:rFonts w:hint="eastAsia" w:ascii="Times New Roman" w:hAnsi="Times New Roman" w:eastAsia="仿宋_GB2312" w:cs="Times New Roman"/>
                <w:kern w:val="2"/>
                <w:sz w:val="21"/>
                <w:szCs w:val="21"/>
                <w:lang w:val="en-US" w:eastAsia="zh-CN" w:bidi="ar-SA"/>
              </w:rPr>
              <w:t>m3/</w:t>
            </w:r>
            <w:r>
              <w:rPr>
                <w:rFonts w:ascii="Times New Roman" w:hAnsi="Times New Roman" w:eastAsia="仿宋_GB2312" w:cs="Times New Roman"/>
                <w:kern w:val="2"/>
                <w:sz w:val="21"/>
                <w:szCs w:val="21"/>
                <w:lang w:val="en-US" w:eastAsia="zh-CN" w:bidi="ar-SA"/>
              </w:rPr>
              <w:t>min</w:t>
            </w:r>
            <w:r>
              <w:rPr>
                <w:rFonts w:hint="eastAsia" w:ascii="Times New Roman" w:hAnsi="Times New Roman" w:eastAsia="仿宋_GB2312" w:cs="Times New Roman"/>
                <w:kern w:val="2"/>
                <w:sz w:val="21"/>
                <w:szCs w:val="21"/>
                <w:lang w:val="en-US" w:eastAsia="zh-CN" w:bidi="ar-SA"/>
              </w:rPr>
              <w:t>。</w:t>
            </w:r>
            <w:r>
              <w:rPr>
                <w:rFonts w:ascii="Times New Roman" w:hAnsi="Times New Roman" w:eastAsia="仿宋_GB2312" w:cs="Times New Roman"/>
                <w:kern w:val="2"/>
                <w:sz w:val="21"/>
                <w:szCs w:val="21"/>
                <w:lang w:val="en-US" w:eastAsia="zh-CN" w:bidi="ar-SA"/>
              </w:rPr>
              <w:t>搅拌结束前，</w:t>
            </w:r>
            <w:r>
              <w:rPr>
                <w:rFonts w:hint="eastAsia" w:ascii="Times New Roman" w:hAnsi="Times New Roman" w:eastAsia="仿宋_GB2312" w:cs="Times New Roman"/>
                <w:kern w:val="2"/>
                <w:sz w:val="21"/>
                <w:szCs w:val="21"/>
                <w:lang w:val="en-US" w:eastAsia="zh-CN" w:bidi="ar-SA"/>
              </w:rPr>
              <w:t>泵</w:t>
            </w:r>
            <w:r>
              <w:rPr>
                <w:rFonts w:ascii="Times New Roman" w:hAnsi="Times New Roman" w:eastAsia="仿宋_GB2312" w:cs="Times New Roman"/>
                <w:kern w:val="2"/>
                <w:sz w:val="21"/>
                <w:szCs w:val="21"/>
                <w:lang w:val="en-US" w:eastAsia="zh-CN" w:bidi="ar-SA"/>
              </w:rPr>
              <w:t>入二级反应絮凝剂</w:t>
            </w:r>
            <w:r>
              <w:rPr>
                <w:rFonts w:hint="eastAsia" w:ascii="Times New Roman" w:hAnsi="Times New Roman" w:eastAsia="仿宋_GB2312" w:cs="Times New Roman"/>
                <w:kern w:val="2"/>
                <w:sz w:val="21"/>
                <w:szCs w:val="21"/>
                <w:lang w:val="en-US" w:eastAsia="zh-CN" w:bidi="ar-SA"/>
              </w:rPr>
              <w:t>。关闭</w:t>
            </w:r>
            <w:r>
              <w:rPr>
                <w:rFonts w:ascii="Times New Roman" w:hAnsi="Times New Roman" w:eastAsia="仿宋_GB2312" w:cs="Times New Roman"/>
                <w:kern w:val="2"/>
                <w:sz w:val="21"/>
                <w:szCs w:val="21"/>
                <w:lang w:val="en-US" w:eastAsia="zh-CN" w:bidi="ar-SA"/>
              </w:rPr>
              <w:t>搅拌，使盐泥沉降约4小时。沉降结束后，卤水用卤水转移泵转入精卤桶。最后剩余的盐泥通过相应的盐泥泵泵入二级反应盐泥收集桶。</w:t>
            </w:r>
          </w:p>
          <w:p w14:paraId="16A65D0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ascii="Times New Roman" w:hAnsi="Times New Roman" w:eastAsia="仿宋_GB2312" w:cs="Times New Roman"/>
                <w:kern w:val="2"/>
                <w:sz w:val="21"/>
                <w:szCs w:val="21"/>
                <w:lang w:val="en-US" w:eastAsia="zh-CN" w:bidi="ar-SA"/>
              </w:rPr>
            </w:pPr>
            <w:r>
              <w:rPr>
                <w:rFonts w:hint="eastAsia" w:ascii="Times New Roman" w:hAnsi="Times New Roman" w:eastAsia="仿宋_GB2312" w:cs="Times New Roman"/>
                <w:kern w:val="2"/>
                <w:sz w:val="21"/>
                <w:szCs w:val="21"/>
                <w:lang w:val="en-US" w:eastAsia="zh-CN" w:bidi="ar-SA"/>
              </w:rPr>
              <w:t>（4）</w:t>
            </w:r>
            <w:r>
              <w:rPr>
                <w:rFonts w:ascii="Times New Roman" w:hAnsi="Times New Roman" w:eastAsia="仿宋_GB2312" w:cs="Times New Roman"/>
                <w:kern w:val="2"/>
                <w:sz w:val="21"/>
                <w:szCs w:val="21"/>
                <w:lang w:val="en-US" w:eastAsia="zh-CN" w:bidi="ar-SA"/>
              </w:rPr>
              <w:t>盐泥分离和处理</w:t>
            </w:r>
          </w:p>
          <w:p w14:paraId="3A2B1F6B">
            <w:pPr>
              <w:pStyle w:val="16"/>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hint="eastAsia" w:ascii="Times New Roman" w:hAnsi="Times New Roman" w:eastAsia="仿宋_GB2312" w:cs="Times New Roman"/>
                <w:kern w:val="2"/>
                <w:sz w:val="21"/>
                <w:szCs w:val="21"/>
                <w:lang w:val="en-US" w:eastAsia="zh-CN" w:bidi="ar-SA"/>
              </w:rPr>
            </w:pPr>
            <w:r>
              <w:rPr>
                <w:rFonts w:ascii="Times New Roman" w:hAnsi="Times New Roman" w:eastAsia="仿宋_GB2312" w:cs="Times New Roman"/>
                <w:kern w:val="2"/>
                <w:sz w:val="21"/>
                <w:szCs w:val="21"/>
                <w:lang w:val="en-US" w:eastAsia="zh-CN" w:bidi="ar-SA"/>
              </w:rPr>
              <w:t>反应罐产生的盐泥转入反应盐泥收集罐，此罐需搅拌以防止沉淀，通过盐泥转移</w:t>
            </w:r>
            <w:r>
              <w:rPr>
                <w:rFonts w:hint="eastAsia" w:ascii="Times New Roman" w:hAnsi="Times New Roman" w:eastAsia="仿宋_GB2312" w:cs="Times New Roman"/>
                <w:kern w:val="2"/>
                <w:sz w:val="21"/>
                <w:szCs w:val="21"/>
                <w:lang w:val="en-US" w:eastAsia="zh-CN" w:bidi="ar-SA"/>
              </w:rPr>
              <w:t>泵</w:t>
            </w:r>
            <w:r>
              <w:rPr>
                <w:rFonts w:ascii="Times New Roman" w:hAnsi="Times New Roman" w:eastAsia="仿宋_GB2312" w:cs="Times New Roman"/>
                <w:kern w:val="2"/>
                <w:sz w:val="21"/>
                <w:szCs w:val="21"/>
                <w:lang w:val="en-US" w:eastAsia="zh-CN" w:bidi="ar-SA"/>
              </w:rPr>
              <w:t>，盐泥不</w:t>
            </w:r>
            <w:r>
              <w:rPr>
                <w:rFonts w:hint="eastAsia" w:ascii="Times New Roman" w:hAnsi="Times New Roman" w:eastAsia="仿宋_GB2312" w:cs="Times New Roman"/>
                <w:kern w:val="2"/>
                <w:sz w:val="21"/>
                <w:szCs w:val="21"/>
                <w:lang w:val="en-US" w:eastAsia="zh-CN" w:bidi="ar-SA"/>
              </w:rPr>
              <w:t>间断</w:t>
            </w:r>
            <w:r>
              <w:rPr>
                <w:rFonts w:ascii="Times New Roman" w:hAnsi="Times New Roman" w:eastAsia="仿宋_GB2312" w:cs="Times New Roman"/>
                <w:kern w:val="2"/>
                <w:sz w:val="21"/>
                <w:szCs w:val="21"/>
                <w:lang w:val="en-US" w:eastAsia="zh-CN" w:bidi="ar-SA"/>
              </w:rPr>
              <w:t>地转入反应泥浆沉降桶（增稠器），将残留的卤水分离。增稠器内置刮板，不</w:t>
            </w:r>
            <w:r>
              <w:rPr>
                <w:rFonts w:hint="eastAsia" w:ascii="Times New Roman" w:hAnsi="Times New Roman" w:eastAsia="仿宋_GB2312" w:cs="Times New Roman"/>
                <w:kern w:val="2"/>
                <w:sz w:val="21"/>
                <w:szCs w:val="21"/>
                <w:lang w:val="en-US" w:eastAsia="zh-CN" w:bidi="ar-SA"/>
              </w:rPr>
              <w:t>间断</w:t>
            </w:r>
            <w:r>
              <w:rPr>
                <w:rFonts w:ascii="Times New Roman" w:hAnsi="Times New Roman" w:eastAsia="仿宋_GB2312" w:cs="Times New Roman"/>
                <w:kern w:val="2"/>
                <w:sz w:val="21"/>
                <w:szCs w:val="21"/>
                <w:lang w:val="en-US" w:eastAsia="zh-CN" w:bidi="ar-SA"/>
              </w:rPr>
              <w:t>地刮出增稠的盐泥，从盐泥中分离的卤水溢流入滤液桶。盐泥从增稠器进入反应真空过滤转鼓</w:t>
            </w:r>
            <w:r>
              <w:rPr>
                <w:rFonts w:hint="eastAsia" w:ascii="Times New Roman" w:hAnsi="Times New Roman" w:eastAsia="仿宋_GB2312" w:cs="Times New Roman"/>
                <w:kern w:val="2"/>
                <w:sz w:val="21"/>
                <w:szCs w:val="21"/>
                <w:lang w:val="en-US" w:eastAsia="zh-CN" w:bidi="ar-SA"/>
              </w:rPr>
              <w:t>，</w:t>
            </w:r>
            <w:r>
              <w:rPr>
                <w:rFonts w:ascii="Times New Roman" w:hAnsi="Times New Roman" w:eastAsia="仿宋_GB2312" w:cs="Times New Roman"/>
                <w:kern w:val="2"/>
                <w:sz w:val="21"/>
                <w:szCs w:val="21"/>
                <w:lang w:val="en-US" w:eastAsia="zh-CN" w:bidi="ar-SA"/>
              </w:rPr>
              <w:t>其中卤水用真空泵打入分离器。分离后的滤液用滤出液泵打进一级滤液桶。滤饼从转鼓中刮出来，进入反应盐泥清洗桶，用冷凝水稀释、搅拌混合。清洗过的盐泥进入反应真空过滤转鼓，其中卤水用真空泵打入分离器</w:t>
            </w:r>
            <w:r>
              <w:rPr>
                <w:rFonts w:hint="eastAsia" w:ascii="Times New Roman" w:hAnsi="Times New Roman" w:eastAsia="仿宋_GB2312" w:cs="Times New Roman"/>
                <w:kern w:val="2"/>
                <w:sz w:val="21"/>
                <w:szCs w:val="21"/>
                <w:lang w:val="en-US" w:eastAsia="zh-CN" w:bidi="ar-SA"/>
              </w:rPr>
              <w:t>，</w:t>
            </w:r>
            <w:r>
              <w:rPr>
                <w:rFonts w:ascii="Times New Roman" w:hAnsi="Times New Roman" w:eastAsia="仿宋_GB2312" w:cs="Times New Roman"/>
                <w:kern w:val="2"/>
                <w:sz w:val="21"/>
                <w:szCs w:val="21"/>
                <w:lang w:val="en-US" w:eastAsia="zh-CN" w:bidi="ar-SA"/>
              </w:rPr>
              <w:t>分离后的滤液泵入滤液桶，滤饼（NaCl合量不能超过2％）从转鼓中刮出来，进入盐泥鼓，收集后回矿注入废</w:t>
            </w:r>
            <w:r>
              <w:rPr>
                <w:rFonts w:hint="eastAsia" w:ascii="Times New Roman" w:hAnsi="Times New Roman" w:eastAsia="仿宋_GB2312" w:cs="Times New Roman"/>
                <w:kern w:val="2"/>
                <w:sz w:val="21"/>
                <w:szCs w:val="21"/>
                <w:lang w:val="en-US" w:eastAsia="zh-CN" w:bidi="ar-SA"/>
              </w:rPr>
              <w:t>井</w:t>
            </w:r>
            <w:r>
              <w:rPr>
                <w:rFonts w:ascii="Times New Roman" w:hAnsi="Times New Roman" w:eastAsia="仿宋_GB2312" w:cs="Times New Roman"/>
                <w:kern w:val="2"/>
                <w:sz w:val="21"/>
                <w:szCs w:val="21"/>
                <w:lang w:val="en-US" w:eastAsia="zh-CN" w:bidi="ar-SA"/>
              </w:rPr>
              <w:t>。滤液桶里的滤液泵入石灰乳液和纯碱配置桶。</w:t>
            </w:r>
          </w:p>
          <w:p w14:paraId="6553A679">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eastAsia" w:eastAsia="仿宋_GB2312" w:cs="Times New Roman"/>
                <w:b/>
                <w:bCs/>
                <w:kern w:val="2"/>
                <w:sz w:val="21"/>
                <w:szCs w:val="21"/>
                <w:lang w:val="en-US" w:eastAsia="zh-CN" w:bidi="ar-SA"/>
              </w:rPr>
            </w:pPr>
            <w:r>
              <w:rPr>
                <w:rFonts w:hint="eastAsia" w:eastAsia="仿宋_GB2312" w:cs="Times New Roman"/>
                <w:b/>
                <w:bCs/>
                <w:kern w:val="2"/>
                <w:sz w:val="21"/>
                <w:szCs w:val="21"/>
                <w:lang w:val="en-US" w:eastAsia="zh-CN" w:bidi="ar-SA"/>
              </w:rPr>
              <w:t>2、盐硝制备</w:t>
            </w:r>
          </w:p>
          <w:p w14:paraId="4D3E8414">
            <w:pPr>
              <w:pStyle w:val="16"/>
              <w:snapToGrid w:val="0"/>
              <w:spacing w:line="360" w:lineRule="auto"/>
              <w:ind w:firstLine="420" w:firstLineChars="200"/>
              <w:rPr>
                <w:rFonts w:ascii="Times New Roman" w:hAnsi="Times New Roman" w:eastAsia="仿宋_GB2312"/>
                <w:szCs w:val="21"/>
              </w:rPr>
            </w:pPr>
            <w:r>
              <w:rPr>
                <w:rFonts w:ascii="Times New Roman" w:hAnsi="Times New Roman" w:eastAsia="仿宋_GB2312"/>
                <w:szCs w:val="21"/>
              </w:rPr>
              <w:t>在NaCl-Na</w:t>
            </w:r>
            <w:r>
              <w:rPr>
                <w:rFonts w:ascii="Times New Roman" w:hAnsi="Times New Roman" w:eastAsia="仿宋_GB2312"/>
                <w:szCs w:val="21"/>
                <w:vertAlign w:val="subscript"/>
              </w:rPr>
              <w:t>2</w:t>
            </w:r>
            <w:r>
              <w:rPr>
                <w:rFonts w:ascii="Times New Roman" w:hAnsi="Times New Roman" w:eastAsia="仿宋_GB2312"/>
                <w:szCs w:val="21"/>
              </w:rPr>
              <w:t>SO</w:t>
            </w:r>
            <w:r>
              <w:rPr>
                <w:rFonts w:ascii="Times New Roman" w:hAnsi="Times New Roman" w:eastAsia="仿宋_GB2312"/>
                <w:szCs w:val="21"/>
                <w:vertAlign w:val="subscript"/>
              </w:rPr>
              <w:t>4</w:t>
            </w:r>
            <w:r>
              <w:rPr>
                <w:rFonts w:ascii="Times New Roman" w:hAnsi="Times New Roman" w:eastAsia="仿宋_GB2312"/>
                <w:szCs w:val="21"/>
              </w:rPr>
              <w:t>-H</w:t>
            </w:r>
            <w:r>
              <w:rPr>
                <w:rFonts w:ascii="Times New Roman" w:hAnsi="Times New Roman" w:eastAsia="仿宋_GB2312"/>
                <w:szCs w:val="21"/>
                <w:vertAlign w:val="subscript"/>
              </w:rPr>
              <w:t>2</w:t>
            </w:r>
            <w:r>
              <w:rPr>
                <w:rFonts w:ascii="Times New Roman" w:hAnsi="Times New Roman" w:eastAsia="仿宋_GB2312"/>
                <w:szCs w:val="21"/>
              </w:rPr>
              <w:t>O三元体系相中，NaCl和Na</w:t>
            </w:r>
            <w:r>
              <w:rPr>
                <w:rFonts w:ascii="Times New Roman" w:hAnsi="Times New Roman" w:eastAsia="仿宋_GB2312"/>
                <w:szCs w:val="21"/>
                <w:vertAlign w:val="subscript"/>
              </w:rPr>
              <w:t>2</w:t>
            </w:r>
            <w:r>
              <w:rPr>
                <w:rFonts w:ascii="Times New Roman" w:hAnsi="Times New Roman" w:eastAsia="仿宋_GB2312"/>
                <w:szCs w:val="21"/>
              </w:rPr>
              <w:t>SO</w:t>
            </w:r>
            <w:r>
              <w:rPr>
                <w:rFonts w:ascii="Times New Roman" w:hAnsi="Times New Roman" w:eastAsia="仿宋_GB2312"/>
                <w:szCs w:val="21"/>
                <w:vertAlign w:val="subscript"/>
              </w:rPr>
              <w:t>4</w:t>
            </w:r>
            <w:r>
              <w:rPr>
                <w:rFonts w:ascii="Times New Roman" w:hAnsi="Times New Roman" w:eastAsia="仿宋_GB2312"/>
                <w:szCs w:val="21"/>
              </w:rPr>
              <w:t>在各变化温度下共饱和溶液组成存在明显差异，其中NaCl饱和溶液浓度随温度变化影响不大，而Na</w:t>
            </w:r>
            <w:r>
              <w:rPr>
                <w:rFonts w:ascii="Times New Roman" w:hAnsi="Times New Roman" w:eastAsia="仿宋_GB2312"/>
                <w:szCs w:val="21"/>
                <w:vertAlign w:val="subscript"/>
              </w:rPr>
              <w:t>2</w:t>
            </w:r>
            <w:r>
              <w:rPr>
                <w:rFonts w:ascii="Times New Roman" w:hAnsi="Times New Roman" w:eastAsia="仿宋_GB2312"/>
                <w:szCs w:val="21"/>
              </w:rPr>
              <w:t>SO</w:t>
            </w:r>
            <w:r>
              <w:rPr>
                <w:rFonts w:ascii="Times New Roman" w:hAnsi="Times New Roman" w:eastAsia="仿宋_GB2312"/>
                <w:szCs w:val="21"/>
                <w:vertAlign w:val="subscript"/>
              </w:rPr>
              <w:t>4</w:t>
            </w:r>
            <w:r>
              <w:rPr>
                <w:rFonts w:ascii="Times New Roman" w:hAnsi="Times New Roman" w:eastAsia="仿宋_GB2312"/>
                <w:szCs w:val="21"/>
              </w:rPr>
              <w:t>则变化较大。在温度低于17.9℃时，NaCl的溶解度随温度降低略有增加，而Na</w:t>
            </w:r>
            <w:r>
              <w:rPr>
                <w:rFonts w:ascii="Times New Roman" w:hAnsi="Times New Roman" w:eastAsia="仿宋_GB2312"/>
                <w:szCs w:val="21"/>
                <w:vertAlign w:val="subscript"/>
              </w:rPr>
              <w:t>2</w:t>
            </w:r>
            <w:r>
              <w:rPr>
                <w:rFonts w:ascii="Times New Roman" w:hAnsi="Times New Roman" w:eastAsia="仿宋_GB2312"/>
                <w:szCs w:val="21"/>
              </w:rPr>
              <w:t>SO</w:t>
            </w:r>
            <w:r>
              <w:rPr>
                <w:rFonts w:ascii="Times New Roman" w:hAnsi="Times New Roman" w:eastAsia="仿宋_GB2312"/>
                <w:szCs w:val="21"/>
                <w:vertAlign w:val="subscript"/>
              </w:rPr>
              <w:t>4</w:t>
            </w:r>
            <w:r>
              <w:rPr>
                <w:rFonts w:ascii="Times New Roman" w:hAnsi="Times New Roman" w:eastAsia="仿宋_GB2312"/>
                <w:szCs w:val="21"/>
              </w:rPr>
              <w:t>却大幅度下降。在温度高于17.9℃时，NaCl的溶解度随温度升高缓慢增加，而Na</w:t>
            </w:r>
            <w:r>
              <w:rPr>
                <w:rFonts w:ascii="Times New Roman" w:hAnsi="Times New Roman" w:eastAsia="仿宋_GB2312"/>
                <w:szCs w:val="21"/>
                <w:vertAlign w:val="subscript"/>
              </w:rPr>
              <w:t>2</w:t>
            </w:r>
            <w:r>
              <w:rPr>
                <w:rFonts w:ascii="Times New Roman" w:hAnsi="Times New Roman" w:eastAsia="仿宋_GB2312"/>
                <w:szCs w:val="21"/>
              </w:rPr>
              <w:t>SO</w:t>
            </w:r>
            <w:r>
              <w:rPr>
                <w:rFonts w:ascii="Times New Roman" w:hAnsi="Times New Roman" w:eastAsia="仿宋_GB2312"/>
                <w:szCs w:val="21"/>
                <w:vertAlign w:val="subscript"/>
              </w:rPr>
              <w:t>4</w:t>
            </w:r>
            <w:r>
              <w:rPr>
                <w:rFonts w:ascii="Times New Roman" w:hAnsi="Times New Roman" w:eastAsia="仿宋_GB2312"/>
                <w:szCs w:val="21"/>
              </w:rPr>
              <w:t>的溶解度反而急剧下降。从硫酸盐氯化钠型矿盐卤水中分离盐硝就是利用这一原理。</w:t>
            </w:r>
          </w:p>
          <w:p w14:paraId="4CFA487B">
            <w:pPr>
              <w:pStyle w:val="16"/>
              <w:snapToGrid w:val="0"/>
              <w:spacing w:line="360" w:lineRule="auto"/>
              <w:ind w:firstLine="420" w:firstLineChars="200"/>
              <w:rPr>
                <w:rFonts w:ascii="Times New Roman" w:hAnsi="Times New Roman" w:eastAsia="仿宋_GB2312"/>
                <w:szCs w:val="21"/>
              </w:rPr>
            </w:pPr>
            <w:r>
              <w:rPr>
                <w:rFonts w:ascii="Times New Roman" w:hAnsi="Times New Roman" w:eastAsia="仿宋_GB2312"/>
                <w:szCs w:val="21"/>
              </w:rPr>
              <w:t>真空形成主要是由于二次蒸汽迅速冷凝而成，在标准大气压下，水比容为0.001m</w:t>
            </w:r>
            <w:r>
              <w:rPr>
                <w:rFonts w:ascii="Times New Roman" w:hAnsi="Times New Roman" w:eastAsia="仿宋_GB2312"/>
                <w:szCs w:val="21"/>
                <w:vertAlign w:val="superscript"/>
              </w:rPr>
              <w:t>3</w:t>
            </w:r>
            <w:r>
              <w:rPr>
                <w:rFonts w:ascii="Times New Roman" w:hAnsi="Times New Roman" w:eastAsia="仿宋_GB2312"/>
                <w:szCs w:val="21"/>
              </w:rPr>
              <w:t>/kg，蒸汽比容为1.673m</w:t>
            </w:r>
            <w:r>
              <w:rPr>
                <w:rFonts w:ascii="Times New Roman" w:hAnsi="Times New Roman" w:eastAsia="仿宋_GB2312"/>
                <w:szCs w:val="21"/>
                <w:vertAlign w:val="superscript"/>
              </w:rPr>
              <w:t>3</w:t>
            </w:r>
            <w:r>
              <w:rPr>
                <w:rFonts w:ascii="Times New Roman" w:hAnsi="Times New Roman" w:eastAsia="仿宋_GB2312"/>
                <w:szCs w:val="21"/>
              </w:rPr>
              <w:t>/kg，即比容差是1673倍，所以当蒸汽被迅速冷凝时体积急剧缩小即形成真空。本项目采用的真空喷射泵即采用该原理，蒸汽与循环水接触后冷凝形成真空。</w:t>
            </w:r>
          </w:p>
          <w:p w14:paraId="432816AE">
            <w:pPr>
              <w:pStyle w:val="16"/>
              <w:snapToGrid w:val="0"/>
              <w:spacing w:line="360" w:lineRule="auto"/>
              <w:ind w:firstLine="420" w:firstLineChars="200"/>
              <w:rPr>
                <w:rFonts w:ascii="Times New Roman" w:hAnsi="Times New Roman" w:eastAsia="仿宋_GB2312"/>
                <w:szCs w:val="21"/>
              </w:rPr>
            </w:pPr>
            <w:r>
              <w:rPr>
                <w:rFonts w:ascii="Times New Roman" w:hAnsi="Times New Roman" w:eastAsia="仿宋_GB2312"/>
                <w:szCs w:val="21"/>
              </w:rPr>
              <w:t>真空制盐系统主要包括一效闪蒸器、二效闪蒸器和三效闪蒸器，制盐罐、制硝罐和闪发罐，以及相应的预加热装置和真空装置，冷凝水回收装置等。</w:t>
            </w:r>
          </w:p>
          <w:p w14:paraId="356A1B75">
            <w:pPr>
              <w:pStyle w:val="16"/>
              <w:snapToGrid w:val="0"/>
              <w:spacing w:line="360" w:lineRule="auto"/>
              <w:ind w:firstLine="420" w:firstLineChars="200"/>
              <w:rPr>
                <w:rFonts w:ascii="Times New Roman" w:hAnsi="Times New Roman" w:eastAsia="仿宋_GB2312"/>
                <w:szCs w:val="21"/>
              </w:rPr>
            </w:pPr>
            <w:r>
              <w:rPr>
                <w:rFonts w:ascii="Times New Roman" w:hAnsi="Times New Roman" w:eastAsia="仿宋_GB2312"/>
                <w:szCs w:val="21"/>
              </w:rPr>
              <w:t>卤水和盐硝流程：净化后的精制卤水经五级预加热器和换热器加热后依次进入一效闪蒸器、二效闪蒸器、三效闪蒸器、制盐罐，产生部分盐浆，盐浆上层液体称做母液继续制硝。含硝母液再次经两级预加热器和换热器加热后进入制硝罐，经充分结晶后形成硝浆，上层母液回收到闪发罐闪发，再回到制盐罐制盐生成盐浆。</w:t>
            </w:r>
          </w:p>
          <w:p w14:paraId="1E5FEF83">
            <w:pPr>
              <w:pStyle w:val="16"/>
              <w:snapToGrid w:val="0"/>
              <w:spacing w:line="360" w:lineRule="auto"/>
              <w:ind w:firstLine="420" w:firstLineChars="200"/>
              <w:rPr>
                <w:rFonts w:ascii="Times New Roman" w:hAnsi="Times New Roman" w:eastAsia="仿宋_GB2312"/>
                <w:szCs w:val="21"/>
              </w:rPr>
            </w:pPr>
            <w:r>
              <w:rPr>
                <w:rFonts w:ascii="Times New Roman" w:hAnsi="Times New Roman" w:eastAsia="仿宋_GB2312"/>
                <w:szCs w:val="21"/>
              </w:rPr>
              <w:t>一效闪蒸器、二效闪蒸器、三效闪蒸器和制盐罐平流排盐进入盐浆桶，由稠厚器增稠，进离心机脱水，母液回流到制盐罐，湿盐经干燥器干燥后通过皮带输送装置直接输送到码头装船。干燥器产生的干燥盐尘经旋风除尘器分离出大部分盐粉后，盐分回收利用，废气再经水喷淋除尘器除尘排空，产生废气G1，喷淋水循环使用，达到一定浓度后送卤水罐回收，该处理工艺盐尘的去除效率可达99.5%。</w:t>
            </w:r>
          </w:p>
          <w:p w14:paraId="6C69976C">
            <w:pPr>
              <w:pStyle w:val="16"/>
              <w:snapToGrid w:val="0"/>
              <w:spacing w:line="360" w:lineRule="auto"/>
              <w:ind w:firstLine="420" w:firstLineChars="200"/>
              <w:rPr>
                <w:rFonts w:ascii="Times New Roman" w:hAnsi="Times New Roman" w:eastAsia="仿宋_GB2312"/>
                <w:szCs w:val="21"/>
              </w:rPr>
            </w:pPr>
            <w:r>
              <w:rPr>
                <w:rFonts w:ascii="Times New Roman" w:hAnsi="Times New Roman" w:eastAsia="仿宋_GB2312"/>
                <w:szCs w:val="21"/>
              </w:rPr>
              <w:t>制硝罐平流排硝进入硝浆桶，由稠厚器增稠，进离心机脱水，液体回流到制硝罐，硝经干燥器干燥后通过皮带输送装置输送到码头装船。干燥器产生干燥硝尘经旋风除尘器分离出大部分硝粉，硝粉回收利用，废气再经水喷淋除尘器除尘排空，产生废气G2。喷淋水循环使用，达到一定浓度后回送制硝罐提硝，该处理工艺硝尘的去除效率可达99.5%。</w:t>
            </w:r>
          </w:p>
          <w:p w14:paraId="250415E7">
            <w:pPr>
              <w:pStyle w:val="16"/>
              <w:snapToGrid w:val="0"/>
              <w:spacing w:line="360" w:lineRule="auto"/>
              <w:ind w:firstLine="420" w:firstLineChars="200"/>
              <w:rPr>
                <w:rFonts w:ascii="Times New Roman" w:hAnsi="Times New Roman" w:eastAsia="仿宋_GB2312"/>
                <w:szCs w:val="21"/>
              </w:rPr>
            </w:pPr>
            <w:r>
              <w:rPr>
                <w:rFonts w:ascii="Times New Roman" w:hAnsi="Times New Roman" w:eastAsia="仿宋_GB2312"/>
                <w:szCs w:val="21"/>
              </w:rPr>
              <w:t>蒸汽和冷凝水系统流程：真空制盐系统的关键是控制各闪蒸罐、制盐罐和制硝罐的温度和压力。各设备初始蒸汽均由加怡热电厂供应的低压蒸汽供应，加热方式采用列管式加热。</w:t>
            </w:r>
          </w:p>
          <w:p w14:paraId="6B7FFE3E">
            <w:pPr>
              <w:pStyle w:val="16"/>
              <w:snapToGrid w:val="0"/>
              <w:spacing w:line="360" w:lineRule="auto"/>
              <w:ind w:firstLine="420" w:firstLineChars="200"/>
              <w:rPr>
                <w:rFonts w:ascii="Times New Roman" w:hAnsi="Times New Roman" w:eastAsia="仿宋_GB2312"/>
                <w:szCs w:val="21"/>
              </w:rPr>
            </w:pPr>
            <w:r>
              <w:rPr>
                <w:rFonts w:ascii="Times New Roman" w:hAnsi="Times New Roman" w:eastAsia="仿宋_GB2312"/>
                <w:szCs w:val="21"/>
              </w:rPr>
              <w:t>低压蒸汽经蒸汽加热器后进入一效闪蒸器，一效闪蒸器产生的二次蒸汽经除沫器除盐后一部分进入二效闪蒸器，一部分蒸汽经喷射泵后回到一效闪蒸器，另一部分蒸汽作为卤水加热的热源；二效闪蒸器产生的二次蒸汽经沫器除盐后一部分进入三效闪蒸器，另一部分蒸汽作为卤水加热的热源；三效闪蒸器产生的二次蒸汽经沫器除盐后一部分进入制盐罐，另一部分蒸汽作为卤水加热的热源；制盐罐产生的末端蒸汽中残余各级蒸闪过程中富积的空气，经喷射泵喷射排空（G3）后冷凝，产生冷凝水W</w:t>
            </w:r>
            <w:r>
              <w:rPr>
                <w:rFonts w:ascii="Times New Roman" w:hAnsi="Times New Roman" w:eastAsia="仿宋_GB2312"/>
                <w:szCs w:val="21"/>
                <w:vertAlign w:val="subscript"/>
              </w:rPr>
              <w:t>4</w:t>
            </w:r>
            <w:r>
              <w:rPr>
                <w:rFonts w:ascii="Times New Roman" w:hAnsi="Times New Roman" w:eastAsia="仿宋_GB2312"/>
                <w:szCs w:val="21"/>
              </w:rPr>
              <w:t>，作为冷却水的补充水进入冷却水循环系统。</w:t>
            </w:r>
          </w:p>
          <w:p w14:paraId="6765881E">
            <w:pPr>
              <w:pStyle w:val="16"/>
              <w:snapToGrid w:val="0"/>
              <w:spacing w:line="360" w:lineRule="auto"/>
              <w:ind w:firstLine="420" w:firstLineChars="200"/>
              <w:rPr>
                <w:rFonts w:ascii="Times New Roman" w:hAnsi="Times New Roman" w:eastAsia="仿宋_GB2312"/>
                <w:szCs w:val="21"/>
              </w:rPr>
            </w:pPr>
            <w:r>
              <w:rPr>
                <w:rFonts w:ascii="Times New Roman" w:hAnsi="Times New Roman" w:eastAsia="仿宋_GB2312"/>
                <w:szCs w:val="21"/>
              </w:rPr>
              <w:t>低压蒸汽经蒸汽加热器后进入制硝罐，制硝罐产生的二次蒸汽经除沫器除盐后一部分作为母液的加热热源，另一部分回用到制硝罐。</w:t>
            </w:r>
          </w:p>
          <w:p w14:paraId="31816B43">
            <w:pPr>
              <w:pStyle w:val="16"/>
              <w:snapToGrid w:val="0"/>
              <w:spacing w:line="360" w:lineRule="auto"/>
              <w:ind w:firstLine="420" w:firstLineChars="200"/>
              <w:rPr>
                <w:rFonts w:ascii="Times New Roman" w:hAnsi="Times New Roman" w:eastAsia="仿宋_GB2312"/>
                <w:szCs w:val="21"/>
              </w:rPr>
            </w:pPr>
            <w:r>
              <w:rPr>
                <w:rFonts w:ascii="Times New Roman" w:hAnsi="Times New Roman" w:eastAsia="仿宋_GB2312"/>
                <w:szCs w:val="21"/>
              </w:rPr>
              <w:t>各效闪蒸器分配出部分给卤水加热的二次汽均冷凝下来进入冷凝水桶，因为是二次汽，所以其中含有一定的盐，成为含盐冷凝水（废水W2），最后均排入到泛水池。</w:t>
            </w:r>
          </w:p>
          <w:p w14:paraId="22B9F570">
            <w:pPr>
              <w:pStyle w:val="16"/>
              <w:snapToGrid w:val="0"/>
              <w:spacing w:line="500" w:lineRule="exact"/>
              <w:ind w:firstLine="523"/>
              <w:rPr>
                <w:rFonts w:hint="eastAsia" w:eastAsia="仿宋_GB2312"/>
                <w:b/>
                <w:bCs/>
                <w:lang w:val="en-US" w:eastAsia="zh-CN"/>
              </w:rPr>
            </w:pPr>
            <w:r>
              <w:rPr>
                <w:rFonts w:ascii="Times New Roman" w:hAnsi="Times New Roman" w:eastAsia="仿宋_GB2312"/>
                <w:szCs w:val="21"/>
              </w:rPr>
              <w:t>加怡热电厂的初始蒸气，第一效二次汽包括制硝罐的部分冷凝下来的水因为盐分较少，可以作为清洁水利用，成为W1、W3，作为回电厂使用或出售作热水用。</w:t>
            </w:r>
          </w:p>
          <w:p w14:paraId="74018C0E">
            <w:pPr>
              <w:jc w:val="center"/>
              <w:rPr>
                <w:rFonts w:eastAsia="仿宋_GB2312"/>
                <w:b/>
                <w:sz w:val="24"/>
              </w:rPr>
            </w:pPr>
          </w:p>
          <w:p w14:paraId="19DC23DC">
            <w:pPr>
              <w:jc w:val="center"/>
              <w:rPr>
                <w:rFonts w:eastAsia="仿宋_GB2312"/>
                <w:b/>
                <w:sz w:val="24"/>
              </w:rPr>
            </w:pPr>
            <w:r>
              <w:rPr>
                <w:rFonts w:eastAsia="仿宋_GB2312"/>
              </w:rPr>
              <w:pict>
                <v:shape id="Object 3" o:spid="_x0000_s2620" o:spt="75" type="#_x0000_t75" style="position:absolute;left:0pt;margin-left:-1.4pt;margin-top:1.75pt;height:425.2pt;width:402.9pt;mso-wrap-distance-bottom:0pt;mso-wrap-distance-top:0pt;z-index:251930624;mso-width-relative:page;mso-height-relative:page;" o:ole="t" filled="f" o:preferrelative="t" stroked="f" coordsize="21600,21600">
                  <v:path/>
                  <v:fill on="f" focussize="0,0"/>
                  <v:stroke on="f"/>
                  <v:imagedata r:id="rId34" o:title=""/>
                  <o:lock v:ext="edit" aspectratio="t"/>
                  <w10:wrap type="topAndBottom"/>
                </v:shape>
                <o:OLEObject Type="Embed" ProgID="" ShapeID="Object 3" DrawAspect="Content" ObjectID="_1468075730" r:id="rId33">
                  <o:LockedField>false</o:LockedField>
                </o:OLEObject>
              </w:pict>
            </w:r>
          </w:p>
          <w:p w14:paraId="1C15B569">
            <w:pPr>
              <w:pStyle w:val="16"/>
              <w:snapToGrid w:val="0"/>
              <w:spacing w:line="500" w:lineRule="exact"/>
              <w:ind w:firstLine="523"/>
              <w:jc w:val="center"/>
              <w:rPr>
                <w:rFonts w:hint="default" w:ascii="Times New Roman" w:hAnsi="Times New Roman" w:eastAsia="仿宋_GB2312" w:cs="Times New Roman"/>
                <w:b/>
                <w:color w:val="000000"/>
                <w:kern w:val="0"/>
              </w:rPr>
            </w:pPr>
            <w:r>
              <w:rPr>
                <w:rFonts w:hint="default" w:ascii="Times New Roman" w:hAnsi="Times New Roman" w:eastAsia="仿宋_GB2312" w:cs="Times New Roman"/>
                <w:b/>
                <w:color w:val="000000"/>
                <w:kern w:val="0"/>
              </w:rPr>
              <w:t>图</w:t>
            </w:r>
            <w:r>
              <w:rPr>
                <w:rFonts w:hint="eastAsia" w:ascii="Times New Roman" w:hAnsi="Times New Roman" w:eastAsia="仿宋_GB2312" w:cs="Times New Roman"/>
                <w:b/>
                <w:color w:val="000000"/>
                <w:kern w:val="0"/>
                <w:lang w:val="en-US" w:eastAsia="zh-CN"/>
              </w:rPr>
              <w:t xml:space="preserve">2-8 </w:t>
            </w:r>
            <w:r>
              <w:rPr>
                <w:rFonts w:hint="default" w:ascii="Times New Roman" w:hAnsi="Times New Roman" w:eastAsia="仿宋_GB2312" w:cs="Times New Roman"/>
                <w:b/>
                <w:color w:val="000000"/>
                <w:kern w:val="0"/>
              </w:rPr>
              <w:t xml:space="preserve"> 真空制盐（</w:t>
            </w:r>
            <w:r>
              <w:rPr>
                <w:rFonts w:hint="default" w:ascii="Times New Roman" w:hAnsi="Times New Roman" w:eastAsia="仿宋_GB2312" w:cs="Times New Roman"/>
                <w:b/>
                <w:color w:val="000000"/>
                <w:kern w:val="0"/>
                <w:lang w:val="en-US" w:eastAsia="zh-CN"/>
              </w:rPr>
              <w:t>一</w:t>
            </w:r>
            <w:r>
              <w:rPr>
                <w:rFonts w:hint="default" w:ascii="Times New Roman" w:hAnsi="Times New Roman" w:eastAsia="仿宋_GB2312" w:cs="Times New Roman"/>
                <w:b/>
                <w:color w:val="000000"/>
                <w:kern w:val="0"/>
              </w:rPr>
              <w:t>期）卤水净化工艺流程</w:t>
            </w:r>
          </w:p>
          <w:p w14:paraId="2380A98E">
            <w:pPr>
              <w:pStyle w:val="16"/>
              <w:snapToGrid w:val="0"/>
              <w:spacing w:line="500" w:lineRule="exact"/>
              <w:ind w:firstLine="523"/>
              <w:rPr>
                <w:rFonts w:hint="eastAsia" w:eastAsia="仿宋_GB2312"/>
                <w:b/>
                <w:bCs/>
              </w:rPr>
            </w:pPr>
          </w:p>
          <w:p w14:paraId="0E77E936">
            <w:pPr>
              <w:pStyle w:val="16"/>
              <w:snapToGrid w:val="0"/>
              <w:spacing w:line="500" w:lineRule="exact"/>
              <w:ind w:firstLine="523"/>
              <w:rPr>
                <w:rFonts w:hint="eastAsia" w:eastAsia="仿宋_GB2312"/>
                <w:b/>
                <w:bCs/>
              </w:rPr>
            </w:pPr>
          </w:p>
          <w:p w14:paraId="35B58AB2">
            <w:pPr>
              <w:pStyle w:val="16"/>
              <w:snapToGrid w:val="0"/>
              <w:spacing w:line="500" w:lineRule="exact"/>
              <w:ind w:firstLine="523"/>
              <w:rPr>
                <w:rFonts w:hint="eastAsia" w:eastAsia="仿宋_GB2312"/>
                <w:b/>
                <w:bCs/>
              </w:rPr>
            </w:pPr>
          </w:p>
          <w:p w14:paraId="4B64BDFC">
            <w:pPr>
              <w:pStyle w:val="16"/>
              <w:snapToGrid w:val="0"/>
              <w:spacing w:line="500" w:lineRule="exact"/>
              <w:ind w:firstLine="523"/>
              <w:rPr>
                <w:rFonts w:hint="eastAsia" w:eastAsia="仿宋_GB2312"/>
                <w:b/>
                <w:bCs/>
              </w:rPr>
            </w:pPr>
          </w:p>
          <w:p w14:paraId="0D34E2CC">
            <w:pPr>
              <w:pStyle w:val="16"/>
              <w:snapToGrid w:val="0"/>
              <w:spacing w:line="500" w:lineRule="exact"/>
              <w:ind w:firstLine="523"/>
              <w:rPr>
                <w:rFonts w:hint="eastAsia" w:eastAsia="仿宋_GB2312"/>
                <w:b/>
                <w:bCs/>
              </w:rPr>
            </w:pPr>
          </w:p>
          <w:p w14:paraId="2CB9ACB7">
            <w:pPr>
              <w:pStyle w:val="16"/>
              <w:snapToGrid w:val="0"/>
              <w:spacing w:line="500" w:lineRule="exact"/>
              <w:ind w:firstLine="523"/>
              <w:rPr>
                <w:rFonts w:ascii="Times New Roman" w:hAnsi="Times New Roman"/>
                <w:sz w:val="24"/>
              </w:rPr>
            </w:pPr>
            <w:r>
              <w:rPr>
                <w:rFonts w:ascii="Times New Roman" w:hAnsi="Times New Roman"/>
                <w:sz w:val="24"/>
              </w:rPr>
              <w:pict>
                <v:shape id="_x0000_s2050" o:spid="_x0000_s2050" o:spt="202" type="#_x0000_t202" style="position:absolute;left:0pt;margin-left:30.5pt;margin-top:5.5pt;height:55.3pt;width:81.15pt;z-index:251674624;mso-width-relative:page;mso-height-relative:page;" filled="f" stroked="f" coordsize="21600,21600" o:gfxdata="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CLQUwTXAAAACQEAAA8AAAAAAAAAAQAgAAAAIgAAAGRycy9kb3du&#10;cmV2LnhtbFBLAQIUABQAAAAIAIdO4kCLYcJ3xwEAAIUDAAAOAAAAAAAAAAEAIAAAACYBAABkcnMv&#10;ZTJvRG9jLnhtbFBLBQYAAAAABgAGAFkBAABfBQAAAAA=&#10;">
                  <v:path/>
                  <v:fill on="f" focussize="0,0"/>
                  <v:stroke on="f"/>
                  <v:imagedata o:title=""/>
                  <o:lock v:ext="edit" aspectratio="f"/>
                  <v:textbox inset="1.5mm,1.27mm,0.5mm,1.27mm">
                    <w:txbxContent>
                      <w:p w14:paraId="7168C7E7">
                        <w:pPr>
                          <w:spacing w:line="320" w:lineRule="exact"/>
                          <w:rPr>
                            <w:rFonts w:hint="eastAsia"/>
                            <w:sz w:val="21"/>
                            <w:szCs w:val="21"/>
                          </w:rPr>
                        </w:pPr>
                        <w:r>
                          <w:rPr>
                            <w:rFonts w:hint="eastAsia"/>
                            <w:sz w:val="21"/>
                            <w:szCs w:val="21"/>
                          </w:rPr>
                          <w:t>30%NaOH</w:t>
                        </w:r>
                      </w:p>
                      <w:p w14:paraId="47DC752C">
                        <w:pPr>
                          <w:spacing w:line="320" w:lineRule="exact"/>
                          <w:rPr>
                            <w:rFonts w:hint="eastAsia"/>
                            <w:sz w:val="21"/>
                            <w:szCs w:val="21"/>
                            <w:vertAlign w:val="subscript"/>
                          </w:rPr>
                        </w:pPr>
                        <w:r>
                          <w:rPr>
                            <w:rFonts w:hint="eastAsia"/>
                            <w:sz w:val="21"/>
                            <w:szCs w:val="21"/>
                          </w:rPr>
                          <w:t>Na</w:t>
                        </w:r>
                        <w:r>
                          <w:rPr>
                            <w:rFonts w:hint="eastAsia"/>
                            <w:sz w:val="21"/>
                            <w:szCs w:val="21"/>
                            <w:vertAlign w:val="subscript"/>
                          </w:rPr>
                          <w:t>2</w:t>
                        </w:r>
                        <w:r>
                          <w:rPr>
                            <w:rFonts w:hint="eastAsia"/>
                            <w:sz w:val="21"/>
                            <w:szCs w:val="21"/>
                          </w:rPr>
                          <w:t>CO</w:t>
                        </w:r>
                        <w:r>
                          <w:rPr>
                            <w:rFonts w:hint="eastAsia"/>
                            <w:sz w:val="21"/>
                            <w:szCs w:val="21"/>
                            <w:vertAlign w:val="subscript"/>
                          </w:rPr>
                          <w:t>3</w:t>
                        </w:r>
                        <w:r>
                          <w:rPr>
                            <w:rFonts w:hint="eastAsia"/>
                            <w:sz w:val="21"/>
                            <w:szCs w:val="21"/>
                          </w:rPr>
                          <w:t>、盐酸</w:t>
                        </w:r>
                      </w:p>
                      <w:p w14:paraId="3DE829EC">
                        <w:pPr>
                          <w:spacing w:line="320" w:lineRule="exact"/>
                          <w:rPr>
                            <w:rFonts w:hint="eastAsia"/>
                            <w:sz w:val="21"/>
                            <w:szCs w:val="21"/>
                          </w:rPr>
                        </w:pPr>
                        <w:r>
                          <w:rPr>
                            <w:rFonts w:hint="eastAsia"/>
                            <w:sz w:val="21"/>
                            <w:szCs w:val="21"/>
                          </w:rPr>
                          <w:t>助沉剂</w:t>
                        </w:r>
                      </w:p>
                      <w:p w14:paraId="323CAE93">
                        <w:pPr>
                          <w:spacing w:line="320" w:lineRule="exact"/>
                          <w:rPr>
                            <w:rFonts w:hint="default" w:eastAsia="宋体"/>
                            <w:lang w:val="en-US" w:eastAsia="zh-CN"/>
                          </w:rPr>
                        </w:pPr>
                      </w:p>
                    </w:txbxContent>
                  </v:textbox>
                </v:shape>
              </w:pict>
            </w:r>
            <w:r>
              <w:rPr>
                <w:rFonts w:ascii="Times New Roman" w:hAnsi="Times New Roman"/>
                <w:sz w:val="24"/>
              </w:rPr>
              <w:pict>
                <v:shape id="_x0000_s2051" o:spid="_x0000_s2051" o:spt="202" type="#_x0000_t202" style="position:absolute;left:0pt;margin-left:135pt;margin-top:14pt;height:23.4pt;width:27pt;z-index:251672576;mso-width-relative:page;mso-height-relative:page;" stroked="f" coordsize="21600,21600" o:gfxdata="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Ch9Nz1wAAAAkBAAAPAAAAAAAAAAEA&#10;IAAAACIAAABkcnMvZG93bnJldi54bWxQSwECFAAUAAAACACHTuJAiyaC/NcBAACmAwAADgAAAAAA&#10;AAABACAAAAAmAQAAZHJzL2Uyb0RvYy54bWxQSwUGAAAAAAYABgBZAQAAbwUAAAAA&#10;">
                  <v:path/>
                  <v:fill focussize="0,0"/>
                  <v:stroke on="f" joinstyle="miter"/>
                  <v:imagedata o:title=""/>
                  <o:lock v:ext="edit"/>
                  <v:textbox inset="0mm,1.27mm,0mm,1.27mm">
                    <w:txbxContent>
                      <w:p w14:paraId="31CF492D">
                        <w:pPr>
                          <w:spacing w:line="320" w:lineRule="exact"/>
                          <w:jc w:val="center"/>
                        </w:pPr>
                        <w:r>
                          <w:rPr>
                            <w:rFonts w:hint="eastAsia"/>
                          </w:rPr>
                          <w:t>原卤</w:t>
                        </w:r>
                      </w:p>
                    </w:txbxContent>
                  </v:textbox>
                </v:shape>
              </w:pict>
            </w:r>
            <w:r>
              <w:rPr>
                <w:rFonts w:ascii="Times New Roman" w:hAnsi="Times New Roman"/>
                <w:sz w:val="24"/>
              </w:rPr>
              <w:pict>
                <v:line id="_x0000_s2052" o:spid="_x0000_s2052" o:spt="20" style="position:absolute;left:0pt;margin-left:135pt;margin-top:23.4pt;height:27pt;width:0pt;z-index:251684864;mso-width-relative:page;mso-height-relative:page;" coordsize="21600,21600" o:gfxdata="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Z6zzD2AAAAAoBAAAPAAAAAAAAAAEAIAAAACIAAABkcnMvZG93bnJl&#10;di54bWxQSwECFAAUAAAACACHTuJAa1Sj//0BAADrAwAADgAAAAAAAAABACAAAAAnAQAAZHJzL2Uy&#10;b0RvYy54bWxQSwUGAAAAAAYABgBZAQAAlgUAAAAA&#10;">
                  <v:path arrowok="t"/>
                  <v:fill focussize="0,0"/>
                  <v:stroke endarrow="block"/>
                  <v:imagedata o:title=""/>
                  <o:lock v:ext="edit"/>
                </v:line>
              </w:pict>
            </w:r>
          </w:p>
          <w:p w14:paraId="14E906AA">
            <w:pPr>
              <w:pStyle w:val="16"/>
              <w:snapToGrid w:val="0"/>
              <w:spacing w:line="500" w:lineRule="exact"/>
              <w:ind w:firstLine="523"/>
              <w:rPr>
                <w:rFonts w:ascii="Times New Roman" w:hAnsi="Times New Roman"/>
                <w:sz w:val="24"/>
              </w:rPr>
            </w:pPr>
            <w:r>
              <w:rPr>
                <w:rFonts w:ascii="Times New Roman" w:hAnsi="Times New Roman"/>
                <w:sz w:val="24"/>
              </w:rPr>
              <w:pict>
                <v:shape id="_x0000_s2053" o:spid="_x0000_s2053" o:spt="202" type="#_x0000_t202" style="position:absolute;left:0pt;margin-left:297pt;margin-top:20.2pt;height:23.4pt;width:45pt;z-index:251689984;mso-width-relative:page;mso-height-relative:page;" filled="f" stroked="f" coordsize="21600,21600" o:gfxdata="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PliJvHaAAAACQEAAA8AAAAAAAAAAQAgAAAAIgAAAGRycy9kb3ducmV2&#10;LnhtbFBLAQIUABQAAAAIAIdO4kD5Ogl6wQEAAH0DAAAOAAAAAAAAAAEAIAAAACkBAABkcnMvZTJv&#10;RG9jLnhtbFBLBQYAAAAABgAGAFkBAABcBQAAAAA=&#10;">
                  <v:path/>
                  <v:fill on="f" focussize="0,0"/>
                  <v:stroke on="f" joinstyle="miter"/>
                  <v:imagedata o:title=""/>
                  <o:lock v:ext="edit"/>
                  <v:textbox inset="0mm,1.27mm,0mm,1.27mm">
                    <w:txbxContent>
                      <w:p w14:paraId="79A02FD4">
                        <w:pPr>
                          <w:spacing w:line="320" w:lineRule="exact"/>
                          <w:jc w:val="center"/>
                        </w:pPr>
                        <w:r>
                          <w:rPr>
                            <w:rFonts w:hint="eastAsia"/>
                          </w:rPr>
                          <w:t>S</w:t>
                        </w:r>
                        <w:r>
                          <w:rPr>
                            <w:rFonts w:hint="eastAsia"/>
                            <w:vertAlign w:val="subscript"/>
                          </w:rPr>
                          <w:t>1</w:t>
                        </w:r>
                        <w:r>
                          <w:rPr>
                            <w:rFonts w:hint="eastAsia"/>
                          </w:rPr>
                          <w:t>盐泥</w:t>
                        </w:r>
                      </w:p>
                    </w:txbxContent>
                  </v:textbox>
                </v:shape>
              </w:pict>
            </w:r>
            <w:r>
              <w:rPr>
                <w:rFonts w:ascii="Times New Roman" w:hAnsi="Times New Roman"/>
                <w:sz w:val="24"/>
              </w:rPr>
              <w:pict>
                <v:shape id="_x0000_s2054" o:spid="_x0000_s2054" o:spt="202" type="#_x0000_t202" style="position:absolute;left:0pt;margin-left:189pt;margin-top:14pt;height:23.4pt;width:27pt;z-index:251663360;mso-width-relative:page;mso-height-relative:page;" stroked="f" coordsize="21600,21600" o:gfxdata="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0qPV1dgAAAAJAQAADwAAAAAAAAAB&#10;ACAAAAAiAAAAZHJzL2Rvd25yZXYueG1sUEsBAhQAFAAAAAgAh07iQD/Vv0DXAQAApgMAAA4AAAAA&#10;AAAAAQAgAAAAJwEAAGRycy9lMm9Eb2MueG1sUEsFBgAAAAAGAAYAWQEAAHAFAAAAAA==&#10;">
                  <v:path/>
                  <v:fill focussize="0,0"/>
                  <v:stroke on="f" joinstyle="miter"/>
                  <v:imagedata o:title=""/>
                  <o:lock v:ext="edit"/>
                  <v:textbox inset="0mm,1.27mm,0mm,1.27mm">
                    <w:txbxContent>
                      <w:p w14:paraId="71B21303">
                        <w:pPr>
                          <w:spacing w:line="320" w:lineRule="exact"/>
                          <w:jc w:val="center"/>
                        </w:pPr>
                        <w:r>
                          <w:rPr>
                            <w:rFonts w:hint="eastAsia"/>
                          </w:rPr>
                          <w:t>盐泥</w:t>
                        </w:r>
                      </w:p>
                    </w:txbxContent>
                  </v:textbox>
                </v:shape>
              </w:pict>
            </w:r>
            <w:r>
              <w:rPr>
                <w:rFonts w:ascii="Times New Roman" w:hAnsi="Times New Roman"/>
                <w:sz w:val="24"/>
              </w:rPr>
              <w:pict>
                <v:shape id="_x0000_s2055" o:spid="_x0000_s2055" o:spt="202" type="#_x0000_t202" style="position:absolute;left:0pt;margin-left:117.15pt;margin-top:24.05pt;height:23.4pt;width:45pt;z-index:251675648;mso-width-relative:page;mso-height-relative:page;" coordsize="21600,21600" o:gfxdata="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tlT3q2AAAAAkBAAAPAAAAAAAAAAEA&#10;IAAAACIAAABkcnMvZG93bnJldi54bWxQSwECFAAUAAAACACHTuJALfaLEQ8CAAA5BAAADgAAAAAA&#10;AAABACAAAAAnAQAAZHJzL2Uyb0RvYy54bWxQSwUGAAAAAAYABgBZAQAAqAUAAAAA&#10;">
                  <v:path/>
                  <v:fill focussize="0,0"/>
                  <v:stroke joinstyle="miter"/>
                  <v:imagedata o:title=""/>
                  <o:lock v:ext="edit"/>
                  <v:textbox>
                    <w:txbxContent>
                      <w:p w14:paraId="638121CF">
                        <w:pPr>
                          <w:pStyle w:val="95"/>
                          <w:widowControl/>
                          <w:snapToGrid/>
                          <w:spacing w:line="320" w:lineRule="exact"/>
                          <w:rPr>
                            <w:rFonts w:ascii="Times New Roman"/>
                            <w:kern w:val="0"/>
                            <w:szCs w:val="21"/>
                          </w:rPr>
                        </w:pPr>
                        <w:r>
                          <w:rPr>
                            <w:rFonts w:hint="eastAsia" w:ascii="Times New Roman"/>
                            <w:kern w:val="0"/>
                            <w:szCs w:val="21"/>
                          </w:rPr>
                          <w:t>净化</w:t>
                        </w:r>
                      </w:p>
                    </w:txbxContent>
                  </v:textbox>
                </v:shape>
              </w:pict>
            </w:r>
          </w:p>
          <w:p w14:paraId="3D47AE58">
            <w:pPr>
              <w:pStyle w:val="16"/>
              <w:snapToGrid w:val="0"/>
              <w:spacing w:line="500" w:lineRule="exact"/>
              <w:ind w:firstLine="523"/>
              <w:rPr>
                <w:rFonts w:ascii="Times New Roman" w:hAnsi="Times New Roman"/>
                <w:sz w:val="24"/>
              </w:rPr>
            </w:pPr>
            <w:r>
              <w:rPr>
                <w:rFonts w:ascii="Times New Roman" w:hAnsi="Times New Roman"/>
                <w:sz w:val="24"/>
              </w:rPr>
              <w:pict>
                <v:line id="_x0000_s2056" o:spid="_x0000_s2056" o:spt="20" style="position:absolute;left:0pt;margin-left:0pt;margin-top:12.4pt;height:0pt;width:117pt;z-index:251678720;mso-width-relative:page;mso-height-relative:page;" coordsize="21600,21600" o:gfxdata="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OUJY31gAAAAYBAAAPAAAAAAAAAAEAIAAAACIAAABkcnMvZG93bnJl&#10;di54bWxQSwECFAAUAAAACACHTuJAFAnCF/8BAADsAwAADgAAAAAAAAABACAAAAAlAQAAZHJzL2Uy&#10;b0RvYy54bWxQSwUGAAAAAAYABgBZAQAAlgUAAAAA&#10;">
                  <v:path arrowok="t"/>
                  <v:fill focussize="0,0"/>
                  <v:stroke endarrow="block"/>
                  <v:imagedata o:title=""/>
                  <o:lock v:ext="edit"/>
                </v:line>
              </w:pict>
            </w:r>
            <w:r>
              <w:rPr>
                <w:rFonts w:ascii="Times New Roman" w:hAnsi="Times New Roman"/>
                <w:sz w:val="24"/>
              </w:rPr>
              <w:pict>
                <v:line id="_x0000_s2057" o:spid="_x0000_s2057" o:spt="20" style="position:absolute;left:0pt;margin-left:135pt;margin-top:22.45pt;height:21.15pt;width:0pt;z-index:251683840;mso-width-relative:page;mso-height-relative:page;" coordsize="21600,21600" o:gfxdata="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vW4r9kAAAAJAQAADwAAAAAAAAABACAAAAAiAAAAZHJzL2Rvd25y&#10;ZXYueG1sUEsBAhQAFAAAAAgAh07iQHhZcP39AQAA6wMAAA4AAAAAAAAAAQAgAAAAKAEAAGRycy9l&#10;Mm9Eb2MueG1sUEsFBgAAAAAGAAYAWQEAAJcFAAAAAA==&#10;">
                  <v:path arrowok="t"/>
                  <v:fill focussize="0,0"/>
                  <v:stroke endarrow="block"/>
                  <v:imagedata o:title=""/>
                  <o:lock v:ext="edit"/>
                </v:line>
              </w:pict>
            </w:r>
            <w:r>
              <w:rPr>
                <w:rFonts w:ascii="Times New Roman" w:hAnsi="Times New Roman"/>
                <w:sz w:val="24"/>
              </w:rPr>
              <w:pict>
                <v:shape id="_x0000_s2058" o:spid="_x0000_s2058" o:spt="202" type="#_x0000_t202" style="position:absolute;left:0pt;margin-left:189pt;margin-top:20.2pt;height:15.6pt;width:27pt;z-index:251664384;mso-width-relative:page;mso-height-relative:page;" stroked="f" coordsize="21600,21600" o:gfxdata="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KT5IXjbAAAACQEAAA8A&#10;AAAAAAAAAQAgAAAAIgAAAGRycy9kb3ducmV2LnhtbFBLAQIUABQAAAAIAIdO4kBMQIgT2wEAAKYD&#10;AAAOAAAAAAAAAAEAIAAAACoBAABkcnMvZTJvRG9jLnhtbFBLBQYAAAAABgAGAFkBAAB3BQAAAAA=&#10;">
                  <v:path/>
                  <v:fill focussize="0,0"/>
                  <v:stroke on="f" joinstyle="miter"/>
                  <v:imagedata o:title=""/>
                  <o:lock v:ext="edit"/>
                  <v:textbox inset="0mm,0.3mm,0mm,1.27mm">
                    <w:txbxContent>
                      <w:p w14:paraId="2A3D7B10">
                        <w:pPr>
                          <w:snapToGrid w:val="0"/>
                          <w:jc w:val="center"/>
                        </w:pPr>
                        <w:r>
                          <w:rPr>
                            <w:rFonts w:hint="eastAsia"/>
                          </w:rPr>
                          <w:t>卤水</w:t>
                        </w:r>
                      </w:p>
                    </w:txbxContent>
                  </v:textbox>
                </v:shape>
              </w:pict>
            </w:r>
            <w:r>
              <w:rPr>
                <w:rFonts w:ascii="Times New Roman" w:hAnsi="Times New Roman"/>
                <w:sz w:val="24"/>
              </w:rPr>
              <w:pict>
                <v:shape id="_x0000_s2060" o:spid="_x0000_s2060" o:spt="202" type="#_x0000_t202" style="position:absolute;left:0pt;margin-left:135pt;margin-top:20.2pt;height:23.4pt;width:45pt;z-index:251673600;mso-width-relative:page;mso-height-relative:page;" stroked="f" coordsize="21600,21600" o:gfxdata="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QPeXD2AAAAAkBAAAPAAAAAAAAAAEA&#10;IAAAACIAAABkcnMvZG93bnJldi54bWxQSwECFAAUAAAACACHTuJAQZGUsdYBAACmAwAADgAAAAAA&#10;AAABACAAAAAnAQAAZHJzL2Uyb0RvYy54bWxQSwUGAAAAAAYABgBZAQAAbwUAAAAA&#10;">
                  <v:path/>
                  <v:fill focussize="0,0"/>
                  <v:stroke on="f" joinstyle="miter"/>
                  <v:imagedata o:title=""/>
                  <o:lock v:ext="edit"/>
                  <v:textbox inset="0mm,1.27mm,0mm,1.27mm">
                    <w:txbxContent>
                      <w:p w14:paraId="2B3E3E6F">
                        <w:pPr>
                          <w:spacing w:line="320" w:lineRule="exact"/>
                          <w:jc w:val="center"/>
                        </w:pPr>
                        <w:r>
                          <w:rPr>
                            <w:rFonts w:hint="eastAsia"/>
                          </w:rPr>
                          <w:t>精卤</w:t>
                        </w:r>
                      </w:p>
                    </w:txbxContent>
                  </v:textbox>
                </v:shape>
              </w:pict>
            </w:r>
            <w:r>
              <w:rPr>
                <w:rFonts w:ascii="Times New Roman" w:hAnsi="Times New Roman"/>
                <w:sz w:val="24"/>
              </w:rPr>
              <w:pict>
                <v:line id="_x0000_s2061" o:spid="_x0000_s2061" o:spt="20" style="position:absolute;left:0pt;margin-left:162pt;margin-top:18.6pt;height:0pt;width:81pt;z-index:251686912;mso-width-relative:page;mso-height-relative:page;" coordsize="21600,21600" o:gfxdata="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p/4mrZAAAACQEAAA8AAAAAAAAAAQAgAAAAIgAAAGRycy9kb3du&#10;cmV2LnhtbFBLAQIUABQAAAAIAIdO4kBF1RfX/gEAAOwDAAAOAAAAAAAAAAEAIAAAACgBAABkcnMv&#10;ZTJvRG9jLnhtbFBLBQYAAAAABgAGAFkBAACYBQAAAAA=&#10;">
                  <v:path arrowok="t"/>
                  <v:fill focussize="0,0"/>
                  <v:stroke startarrow="block"/>
                  <v:imagedata o:title=""/>
                  <o:lock v:ext="edit"/>
                </v:line>
              </w:pict>
            </w:r>
            <w:r>
              <w:rPr>
                <w:rFonts w:ascii="Times New Roman" w:hAnsi="Times New Roman"/>
                <w:sz w:val="24"/>
              </w:rPr>
              <w:pict>
                <v:line id="_x0000_s2062" o:spid="_x0000_s2062" o:spt="20" style="position:absolute;left:0pt;margin-left:162pt;margin-top:10.8pt;height:0pt;width:81pt;z-index:251685888;mso-width-relative:page;mso-height-relative:page;" coordsize="21600,21600" o:gfxdata="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mXOW9gAAAAJAQAADwAAAAAAAAABACAAAAAiAAAAZHJzL2Rvd25y&#10;ZXYueG1sUEsBAhQAFAAAAAgAh07iQMeOAtv+AQAA7AMAAA4AAAAAAAAAAQAgAAAAJwEAAGRycy9l&#10;Mm9Eb2MueG1sUEsFBgAAAAAGAAYAWQEAAJcFAAAAAA==&#10;">
                  <v:path arrowok="t"/>
                  <v:fill focussize="0,0"/>
                  <v:stroke endarrow="block"/>
                  <v:imagedata o:title=""/>
                  <o:lock v:ext="edit"/>
                </v:line>
              </w:pict>
            </w:r>
            <w:r>
              <w:rPr>
                <w:rFonts w:ascii="Times New Roman" w:hAnsi="Times New Roman"/>
                <w:sz w:val="24"/>
              </w:rPr>
              <w:pict>
                <v:line id="_x0000_s2063" o:spid="_x0000_s2063" o:spt="20" style="position:absolute;left:0pt;margin-left:288pt;margin-top:18.6pt;height:0pt;width:44.95pt;z-index:251688960;mso-width-relative:page;mso-height-relative:page;" coordsize="21600,21600" o:gfxdata="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XmnYTYAAAACQEAAA8AAAAAAAAAAQAgAAAAIgAAAGRycy9kb3ducmV2&#10;LnhtbFBLAQIUABQAAAAIAIdO4kBdWtzc/AEAAOsDAAAOAAAAAAAAAAEAIAAAACcBAABkcnMvZTJv&#10;RG9jLnhtbFBLBQYAAAAABgAGAFkBAACVBQAAAAA=&#10;">
                  <v:path arrowok="t"/>
                  <v:fill focussize="0,0"/>
                  <v:stroke endarrow="block"/>
                  <v:imagedata o:title=""/>
                  <o:lock v:ext="edit"/>
                </v:line>
              </w:pict>
            </w:r>
            <w:r>
              <w:rPr>
                <w:rFonts w:ascii="Times New Roman" w:hAnsi="Times New Roman"/>
                <w:sz w:val="24"/>
              </w:rPr>
              <w:pict>
                <v:shape id="_x0000_s2064" o:spid="_x0000_s2064" o:spt="202" type="#_x0000_t202" style="position:absolute;left:0pt;margin-left:243pt;margin-top:3pt;height:23.4pt;width:45pt;z-index:251687936;mso-width-relative:page;mso-height-relative:page;" coordsize="21600,21600" o:gfxdata="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WUOSYNYAAAAIAQAADwAAAAAAAAABACAA&#10;AAAiAAAAZHJzL2Rvd25yZXYueG1sUEsBAhQAFAAAAAgAh07iQFb5P08PAgAAOQQAAA4AAAAAAAAA&#10;AQAgAAAAJQEAAGRycy9lMm9Eb2MueG1sUEsFBgAAAAAGAAYAWQEAAKYFAAAAAA==&#10;">
                  <v:path/>
                  <v:fill focussize="0,0"/>
                  <v:stroke joinstyle="miter"/>
                  <v:imagedata o:title=""/>
                  <o:lock v:ext="edit"/>
                  <v:textbox>
                    <w:txbxContent>
                      <w:p w14:paraId="7EC94F90">
                        <w:pPr>
                          <w:pStyle w:val="95"/>
                          <w:widowControl/>
                          <w:snapToGrid/>
                          <w:spacing w:line="320" w:lineRule="exact"/>
                          <w:rPr>
                            <w:rFonts w:ascii="Times New Roman"/>
                            <w:kern w:val="0"/>
                            <w:szCs w:val="21"/>
                          </w:rPr>
                        </w:pPr>
                        <w:r>
                          <w:rPr>
                            <w:rFonts w:hint="eastAsia" w:ascii="Times New Roman"/>
                            <w:kern w:val="0"/>
                            <w:szCs w:val="21"/>
                          </w:rPr>
                          <w:t>压滤</w:t>
                        </w:r>
                      </w:p>
                    </w:txbxContent>
                  </v:textbox>
                </v:shape>
              </w:pict>
            </w:r>
          </w:p>
          <w:p w14:paraId="735F62B6">
            <w:pPr>
              <w:pStyle w:val="16"/>
              <w:snapToGrid w:val="0"/>
              <w:spacing w:line="500" w:lineRule="exact"/>
              <w:ind w:firstLine="523"/>
              <w:rPr>
                <w:rFonts w:ascii="Times New Roman" w:hAnsi="Times New Roman"/>
                <w:sz w:val="24"/>
              </w:rPr>
            </w:pPr>
            <w:r>
              <w:rPr>
                <w:rFonts w:ascii="Times New Roman" w:hAnsi="Times New Roman"/>
                <w:sz w:val="24"/>
              </w:rPr>
              <w:pict>
                <v:shape id="_x0000_s2065" o:spid="_x0000_s2065" o:spt="202" type="#_x0000_t202" style="position:absolute;left:0pt;margin-left:117pt;margin-top:18.6pt;height:23.4pt;width:45pt;z-index:251676672;mso-width-relative:page;mso-height-relative:page;" coordsize="21600,21600" o:gfxdata="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4rGT82AAAAAkBAAAPAAAAAAAAAAEA&#10;IAAAACIAAABkcnMvZG93bnJldi54bWxQSwECFAAUAAAACACHTuJAFWF0WQ8CAAA5BAAADgAAAAAA&#10;AAABACAAAAAnAQAAZHJzL2Uyb0RvYy54bWxQSwUGAAAAAAYABgBZAQAAqAUAAAAA&#10;">
                  <v:path/>
                  <v:fill focussize="0,0"/>
                  <v:stroke joinstyle="miter"/>
                  <v:imagedata o:title=""/>
                  <o:lock v:ext="edit"/>
                  <v:textbox>
                    <w:txbxContent>
                      <w:p w14:paraId="4ED3CCE4">
                        <w:pPr>
                          <w:spacing w:line="320" w:lineRule="exact"/>
                          <w:jc w:val="center"/>
                        </w:pPr>
                        <w:r>
                          <w:rPr>
                            <w:rFonts w:hint="eastAsia"/>
                          </w:rPr>
                          <w:t>预热</w:t>
                        </w:r>
                      </w:p>
                    </w:txbxContent>
                  </v:textbox>
                </v:shape>
              </w:pict>
            </w:r>
          </w:p>
          <w:p w14:paraId="19B71CDE">
            <w:pPr>
              <w:pStyle w:val="16"/>
              <w:snapToGrid w:val="0"/>
              <w:spacing w:line="500" w:lineRule="exact"/>
              <w:ind w:firstLine="523"/>
              <w:rPr>
                <w:rFonts w:ascii="Times New Roman" w:hAnsi="Times New Roman"/>
                <w:sz w:val="24"/>
              </w:rPr>
            </w:pPr>
            <w:r>
              <w:rPr>
                <w:rFonts w:ascii="Times New Roman" w:hAnsi="Times New Roman"/>
                <w:sz w:val="20"/>
              </w:rPr>
              <w:pict>
                <v:line id="_x0000_s2066" o:spid="_x0000_s2066" o:spt="20" style="position:absolute;left:0pt;flip:y;margin-left:261pt;margin-top:1.4pt;height:304.2pt;width:0pt;z-index:251757568;mso-width-relative:page;mso-height-relative:page;" stroked="t" coordsize="21600,21600" o:gfxdata="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5bti7VAAAACQEAAA8AAAAAAAAAAQAgAAAAIgAAAGRycy9kb3ducmV2&#10;LnhtbFBLAQIUABQAAAAIAIdO4kAhZ9uG/wEAAPMDAAAOAAAAAAAAAAEAIAAAACQBAABkcnMvZTJv&#10;RG9jLnhtbFBLBQYAAAAABgAGAFkBAACVBQAAAAA=&#10;">
                  <v:path arrowok="t"/>
                  <v:fill focussize="0,0"/>
                  <v:stroke color="#008000" dashstyle="longDash"/>
                  <v:imagedata o:title=""/>
                  <o:lock v:ext="edit"/>
                </v:line>
              </w:pict>
            </w:r>
            <w:r>
              <w:rPr>
                <w:rFonts w:ascii="Times New Roman" w:hAnsi="Times New Roman"/>
                <w:sz w:val="20"/>
              </w:rPr>
              <w:pict>
                <v:line id="_x0000_s2067" o:spid="_x0000_s2067" o:spt="20" style="position:absolute;left:0pt;margin-left:53.85pt;margin-top:9.2pt;height:0pt;width:63pt;z-index:251786240;mso-width-relative:page;mso-height-relative:page;" stroked="t" coordsize="21600,21600" o:gfxdata="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GDwFOtkAAAAJAQAADwAAAAAAAAABACAAAAAiAAAAZHJzL2Rvd25y&#10;ZXYueG1sUEsBAhQAFAAAAAgAh07iQNXEIuD9AQAA6wMAAA4AAAAAAAAAAQAgAAAAKAEAAGRycy9l&#10;Mm9Eb2MueG1sUEsFBgAAAAAGAAYAWQEAAJcFAAAAAA==&#10;">
                  <v:path arrowok="t"/>
                  <v:fill focussize="0,0"/>
                  <v:stroke color="#800000" endarrow="block"/>
                  <v:imagedata o:title=""/>
                  <o:lock v:ext="edit"/>
                </v:line>
              </w:pict>
            </w:r>
            <w:r>
              <w:rPr>
                <w:rFonts w:ascii="Times New Roman" w:hAnsi="Times New Roman"/>
                <w:sz w:val="20"/>
              </w:rPr>
              <w:pict>
                <v:line id="_x0000_s2068" o:spid="_x0000_s2068" o:spt="20" style="position:absolute;left:0pt;flip:y;margin-left:53.85pt;margin-top:9.2pt;height:218.4pt;width:0pt;z-index:251785216;mso-width-relative:page;mso-height-relative:page;" stroked="t" coordsize="21600,21600" o:gfxdata="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T0H8DZAAAACgEAAA8AAAAAAAAAAQAgAAAAIgAAAGRycy9k&#10;b3ducmV2LnhtbFBLAQIUABQAAAAIAIdO4kA2j4vlAQIAAPIDAAAOAAAAAAAAAAEAIAAAACgBAABk&#10;cnMvZTJvRG9jLnhtbFBLBQYAAAAABgAGAFkBAACbBQAAAAA=&#10;">
                  <v:path arrowok="t"/>
                  <v:fill focussize="0,0"/>
                  <v:stroke color="#800000"/>
                  <v:imagedata o:title=""/>
                  <o:lock v:ext="edit"/>
                </v:line>
              </w:pict>
            </w:r>
            <w:r>
              <w:rPr>
                <w:rFonts w:ascii="Times New Roman" w:hAnsi="Times New Roman"/>
                <w:sz w:val="20"/>
              </w:rPr>
              <w:pict>
                <v:line id="_x0000_s2069" o:spid="_x0000_s2069" o:spt="20" style="position:absolute;left:0pt;flip:y;margin-left:36pt;margin-top:1.4pt;height:179.4pt;width:0pt;z-index:251717632;mso-width-relative:page;mso-height-relative:page;" stroked="t" coordsize="21600,21600" o:gfxdata="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MGfEHRAAAABwEAAA8AAAAAAAAAAQAgAAAAIgAAAGRycy9kb3ducmV2LnhtbFBL&#10;AQIUABQAAAAIAIdO4kBgJYNh/QEAAPIDAAAOAAAAAAAAAAEAIAAAACABAABkcnMvZTJvRG9jLnht&#10;bFBLBQYAAAAABgAGAFkBAACPBQAAAAA=&#10;">
                  <v:path arrowok="t"/>
                  <v:fill focussize="0,0"/>
                  <v:stroke color="#008000"/>
                  <v:imagedata o:title=""/>
                  <o:lock v:ext="edit"/>
                </v:line>
              </w:pict>
            </w:r>
            <w:r>
              <w:rPr>
                <w:rFonts w:ascii="Times New Roman" w:hAnsi="Times New Roman"/>
                <w:sz w:val="20"/>
              </w:rPr>
              <w:pict>
                <v:line id="_x0000_s2070" o:spid="_x0000_s2070" o:spt="20" style="position:absolute;left:0pt;margin-left:36pt;margin-top:1.4pt;height:0pt;width:81pt;z-index:251718656;mso-width-relative:page;mso-height-relative:page;" stroked="t" coordsize="21600,21600" o:gfxdata="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jOxV01AAAAAYBAAAPAAAAAAAAAAEAIAAAACIAAABkcnMvZG93bnJldi54&#10;bWxQSwECFAAUAAAACACHTuJACdQJVf4BAADsAwAADgAAAAAAAAABACAAAAAjAQAAZHJzL2Uyb0Rv&#10;Yy54bWxQSwUGAAAAAAYABgBZAQAAkwUAAAAA&#10;">
                  <v:path arrowok="t"/>
                  <v:fill focussize="0,0"/>
                  <v:stroke color="#008000" endarrow="block"/>
                  <v:imagedata o:title=""/>
                  <o:lock v:ext="edit"/>
                </v:line>
              </w:pict>
            </w:r>
            <w:r>
              <w:rPr>
                <w:rFonts w:ascii="Times New Roman" w:hAnsi="Times New Roman"/>
                <w:sz w:val="20"/>
              </w:rPr>
              <w:pict>
                <v:line id="_x0000_s2071" o:spid="_x0000_s2071" o:spt="20" style="position:absolute;left:0pt;margin-left:162pt;margin-top:1.4pt;height:0pt;width:99pt;z-index:251719680;mso-width-relative:page;mso-height-relative:page;" stroked="t" coordsize="21600,21600" o:gfxdata="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9XQZn0wAAAAcBAAAPAAAAAAAAAAEAIAAAACIAAABkcnMvZG93bnJldi54bWxQSwEC&#10;FAAUAAAACACHTuJAe5LQl/kBAADpAwAADgAAAAAAAAABACAAAAAiAQAAZHJzL2Uyb0RvYy54bWxQ&#10;SwUGAAAAAAYABgBZAQAAjQUAAAAA&#10;">
                  <v:path arrowok="t"/>
                  <v:fill focussize="0,0"/>
                  <v:stroke color="#008000" dashstyle="longDash"/>
                  <v:imagedata o:title=""/>
                  <o:lock v:ext="edit"/>
                </v:line>
              </w:pict>
            </w:r>
            <w:r>
              <w:rPr>
                <w:rFonts w:ascii="Times New Roman" w:hAnsi="Times New Roman"/>
                <w:sz w:val="20"/>
              </w:rPr>
              <w:pict>
                <v:line id="_x0000_s2072" o:spid="_x0000_s2072" o:spt="20" style="position:absolute;left:0pt;margin-left:135pt;margin-top:17pt;height:23.4pt;width:0pt;z-index:251701248;mso-width-relative:page;mso-height-relative:page;" coordsize="21600,21600" o:gfxdata="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20GHA2AAAAAkBAAAPAAAAAAAAAAEAIAAAACIAAABkcnMvZG93bnJl&#10;di54bWxQSwECFAAUAAAACACHTuJAHq+EVv0BAADrAwAADgAAAAAAAAABACAAAAAnAQAAZHJzL2Uy&#10;b0RvYy54bWxQSwUGAAAAAAYABgBZAQAAlgUAAAAA&#10;">
                  <v:path arrowok="t"/>
                  <v:fill focussize="0,0"/>
                  <v:stroke endarrow="block"/>
                  <v:imagedata o:title=""/>
                  <o:lock v:ext="edit"/>
                </v:line>
              </w:pict>
            </w:r>
          </w:p>
          <w:p w14:paraId="41D97148">
            <w:pPr>
              <w:pStyle w:val="16"/>
              <w:snapToGrid w:val="0"/>
              <w:spacing w:line="500" w:lineRule="exact"/>
              <w:ind w:firstLine="523"/>
              <w:rPr>
                <w:rFonts w:ascii="Times New Roman" w:hAnsi="Times New Roman"/>
                <w:sz w:val="24"/>
              </w:rPr>
            </w:pPr>
            <w:r>
              <w:rPr>
                <w:rFonts w:ascii="Times New Roman" w:hAnsi="Times New Roman"/>
                <w:sz w:val="24"/>
              </w:rPr>
              <w:pict>
                <v:shape id="_x0000_s2073" o:spid="_x0000_s2073" o:spt="202" type="#_x0000_t202" style="position:absolute;left:0pt;margin-left:207pt;margin-top:15.4pt;height:17.2pt;width:27pt;z-index:251670528;mso-width-relative:page;mso-height-relative:page;" filled="f" stroked="f" coordsize="21600,21600" o:gfxdata="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sGsjbZAAAACQEAAA8AAAAAAAAAAQAgAAAAIgAAAGRycy9kb3ducmV2Lnht&#10;bFBLAQIUABQAAAAIAIdO4kD7VhoRvwEAAH0DAAAOAAAAAAAAAAEAIAAAACgBAABkcnMvZTJvRG9j&#10;LnhtbFBLBQYAAAAABgAGAFkBAABZBQAAAAA=&#10;">
                  <v:path/>
                  <v:fill on="f" focussize="0,0"/>
                  <v:stroke on="f" joinstyle="miter"/>
                  <v:imagedata o:title=""/>
                  <o:lock v:ext="edit"/>
                  <v:textbox inset="0mm,0.3mm,0mm,0.3mm">
                    <w:txbxContent>
                      <w:p w14:paraId="6ED36658">
                        <w:pPr>
                          <w:snapToGrid w:val="0"/>
                          <w:jc w:val="center"/>
                          <w:rPr>
                            <w:vertAlign w:val="subscript"/>
                          </w:rPr>
                        </w:pPr>
                        <w:r>
                          <w:rPr>
                            <w:rFonts w:hint="eastAsia"/>
                          </w:rPr>
                          <w:t>W</w:t>
                        </w:r>
                        <w:r>
                          <w:rPr>
                            <w:rFonts w:hint="eastAsia"/>
                            <w:vertAlign w:val="subscript"/>
                          </w:rPr>
                          <w:t>1</w:t>
                        </w:r>
                      </w:p>
                    </w:txbxContent>
                  </v:textbox>
                </v:shape>
              </w:pict>
            </w:r>
            <w:r>
              <w:rPr>
                <w:rFonts w:ascii="Times New Roman" w:hAnsi="Times New Roman"/>
                <w:sz w:val="20"/>
              </w:rPr>
              <w:pict>
                <v:line id="_x0000_s2074" o:spid="_x0000_s2074" o:spt="20" style="position:absolute;left:0pt;margin-left:63pt;margin-top:23.2pt;height:0pt;width:54pt;z-index:251783168;mso-width-relative:page;mso-height-relative:page;" stroked="t" coordsize="21600,21600" o:gfxdata="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wgg0zZAAAACQEAAA8AAAAAAAAAAQAgAAAAIgAAAGRycy9kb3du&#10;cmV2LnhtbFBLAQIUABQAAAAIAIdO4kDn2RyJ/gEAAOsDAAAOAAAAAAAAAAEAIAAAACgBAABkcnMv&#10;ZTJvRG9jLnhtbFBLBQYAAAAABgAGAFkBAACYBQAAAAA=&#10;">
                  <v:path arrowok="t"/>
                  <v:fill focussize="0,0"/>
                  <v:stroke color="#800000" endarrow="block"/>
                  <v:imagedata o:title=""/>
                  <o:lock v:ext="edit"/>
                </v:line>
              </w:pict>
            </w:r>
            <w:r>
              <w:rPr>
                <w:rFonts w:ascii="Times New Roman" w:hAnsi="Times New Roman"/>
                <w:sz w:val="20"/>
              </w:rPr>
              <w:pict>
                <v:line id="_x0000_s2075" o:spid="_x0000_s2075" o:spt="20" style="position:absolute;left:0pt;flip:y;margin-left:63pt;margin-top:23.2pt;height:78pt;width:0pt;z-index:251782144;mso-width-relative:page;mso-height-relative:page;" stroked="t" coordsize="21600,21600" o:gfxdata="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benMrtgAAAAKAQAADwAAAAAAAAABACAAAAAiAAAAZHJzL2Rvd25y&#10;ZXYueG1sUEsBAhQAFAAAAAgAh07iQBeBN87+AQAA8QMAAA4AAAAAAAAAAQAgAAAAJwEAAGRycy9l&#10;Mm9Eb2MueG1sUEsFBgAAAAAGAAYAWQEAAJcFAAAAAA==&#10;">
                  <v:path arrowok="t"/>
                  <v:fill focussize="0,0"/>
                  <v:stroke color="#800000"/>
                  <v:imagedata o:title=""/>
                  <o:lock v:ext="edit"/>
                </v:line>
              </w:pict>
            </w:r>
            <w:r>
              <w:rPr>
                <w:rFonts w:ascii="Times New Roman" w:hAnsi="Times New Roman"/>
                <w:sz w:val="20"/>
              </w:rPr>
              <w:pict>
                <v:shape id="_x0000_s2076" o:spid="_x0000_s2076" o:spt="202" type="#_x0000_t202" style="position:absolute;left:0pt;margin-left:117pt;margin-top:15.4pt;height:23.4pt;width:45pt;z-index:251700224;mso-width-relative:page;mso-height-relative:page;" coordsize="21600,21600" o:gfxdata="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USBjfYAAAACQEAAA8AAAAAAAAAAQAg&#10;AAAAIgAAAGRycy9kb3ducmV2LnhtbFBLAQIUABQAAAAIAIdO4kCfUVVrDgIAADkEAAAOAAAAAAAA&#10;AAEAIAAAACcBAABkcnMvZTJvRG9jLnhtbFBLBQYAAAAABgAGAFkBAACnBQAAAAA=&#10;">
                  <v:path/>
                  <v:fill focussize="0,0"/>
                  <v:stroke joinstyle="miter"/>
                  <v:imagedata o:title=""/>
                  <o:lock v:ext="edit"/>
                  <v:textbox>
                    <w:txbxContent>
                      <w:p w14:paraId="7ED8FD97">
                        <w:pPr>
                          <w:spacing w:line="320" w:lineRule="exact"/>
                          <w:jc w:val="center"/>
                        </w:pPr>
                        <w:r>
                          <w:rPr>
                            <w:rFonts w:hint="eastAsia"/>
                          </w:rPr>
                          <w:t>预热</w:t>
                        </w:r>
                      </w:p>
                    </w:txbxContent>
                  </v:textbox>
                </v:shape>
              </w:pict>
            </w:r>
          </w:p>
          <w:p w14:paraId="05FC2C0D">
            <w:pPr>
              <w:pStyle w:val="16"/>
              <w:snapToGrid w:val="0"/>
              <w:spacing w:line="500" w:lineRule="exact"/>
              <w:ind w:firstLine="523"/>
              <w:rPr>
                <w:rFonts w:ascii="Times New Roman" w:hAnsi="Times New Roman"/>
                <w:sz w:val="24"/>
              </w:rPr>
            </w:pPr>
            <w:r>
              <w:rPr>
                <w:rFonts w:ascii="Times New Roman" w:hAnsi="Times New Roman"/>
                <w:sz w:val="20"/>
              </w:rPr>
              <w:pict>
                <v:line id="_x0000_s2077" o:spid="_x0000_s2077" o:spt="20" style="position:absolute;left:0pt;margin-left:162pt;margin-top:6pt;height:0pt;width:81pt;z-index:251710464;mso-width-relative:page;mso-height-relative:page;" stroked="t" coordsize="21600,21600" o:gfxdata="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9JMTy9UAAAAJAQAADwAAAAAAAAABACAAAAAiAAAAZHJzL2Rvd25y&#10;ZXYueG1sUEsBAhQAFAAAAAgAh07iQAj6/2EBAgAA7QMAAA4AAAAAAAAAAQAgAAAAJAEAAGRycy9l&#10;Mm9Eb2MueG1sUEsFBgAAAAAGAAYAWQEAAJcFAAAAAA==&#10;">
                  <v:path arrowok="t"/>
                  <v:fill focussize="0,0"/>
                  <v:stroke color="#0000FF" dashstyle="longDash" endarrow="block"/>
                  <v:imagedata o:title=""/>
                  <o:lock v:ext="edit"/>
                </v:line>
              </w:pict>
            </w:r>
            <w:r>
              <w:rPr>
                <w:rFonts w:ascii="Times New Roman" w:hAnsi="Times New Roman"/>
                <w:sz w:val="20"/>
              </w:rPr>
              <w:pict>
                <v:line id="_x0000_s2078" o:spid="_x0000_s2078" o:spt="20" style="position:absolute;left:0pt;flip:y;margin-left:72pt;margin-top:6pt;height:46.8pt;width:0pt;z-index:251708416;mso-width-relative:page;mso-height-relative:page;" stroked="t" coordsize="21600,21600" o:gfxdata="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i4lPTTAAAACgEAAA8AAAAAAAAAAQAgAAAAIgAAAGRycy9kb3ducmV2&#10;LnhtbFBLAQIUABQAAAAIAIdO4kD98yBuAQIAAPEDAAAOAAAAAAAAAAEAIAAAACIBAABkcnMvZTJv&#10;RG9jLnhtbFBLBQYAAAAABgAGAFkBAACVBQAAAAA=&#10;">
                  <v:path arrowok="t"/>
                  <v:fill focussize="0,0"/>
                  <v:stroke color="#0000FF"/>
                  <v:imagedata o:title=""/>
                  <o:lock v:ext="edit"/>
                </v:line>
              </w:pict>
            </w:r>
            <w:r>
              <w:rPr>
                <w:rFonts w:ascii="Times New Roman" w:hAnsi="Times New Roman"/>
                <w:sz w:val="20"/>
              </w:rPr>
              <w:pict>
                <v:line id="_x0000_s2079" o:spid="_x0000_s2079" o:spt="20" style="position:absolute;left:0pt;margin-left:72pt;margin-top:6pt;height:0pt;width:44.95pt;z-index:251709440;mso-width-relative:page;mso-height-relative:page;" stroked="t" coordsize="21600,21600" o:gfxdata="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5vXLMtAAAAAJAQAADwAAAAAAAAABACAAAAAiAAAAZHJzL2Rvd25yZXYueG1s&#10;UEsBAhQAFAAAAAgAh07iQLwM3D4AAgAA6wMAAA4AAAAAAAAAAQAgAAAAHwEAAGRycy9lMm9Eb2Mu&#10;eG1sUEsFBgAAAAAGAAYAWQEAAJEFAAAAAA==&#10;">
                  <v:path arrowok="t"/>
                  <v:fill focussize="0,0"/>
                  <v:stroke color="#0000FF" endarrow="block"/>
                  <v:imagedata o:title=""/>
                  <o:lock v:ext="edit"/>
                </v:line>
              </w:pict>
            </w:r>
            <w:r>
              <w:rPr>
                <w:rFonts w:ascii="Times New Roman" w:hAnsi="Times New Roman"/>
                <w:sz w:val="24"/>
              </w:rPr>
              <w:pict>
                <v:shape id="_x0000_s2080" o:spid="_x0000_s2080" o:spt="202" type="#_x0000_t202" style="position:absolute;left:0pt;margin-left:0pt;margin-top:6pt;height:23.4pt;width:45pt;z-index:251666432;mso-width-relative:page;mso-height-relative:page;" stroked="f" coordsize="21600,21600" o:gfxdata="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xK0yV0wAAAAUBAAAPAAAAAAAAAAEAIAAAACIAAABkcnMvZG93bnJldi54bWxQ&#10;SwECFAAUAAAACACHTuJAd6Wm3sMBAAB6AwAADgAAAAAAAAABACAAAAAiAQAAZHJzL2Uyb0RvYy54&#10;bWxQSwUGAAAAAAYABgBZAQAAVwUAAAAA&#10;">
                  <v:path/>
                  <v:fill focussize="0,0"/>
                  <v:stroke on="f" joinstyle="miter"/>
                  <v:imagedata o:title=""/>
                  <o:lock v:ext="edit"/>
                  <v:textbox>
                    <w:txbxContent>
                      <w:p w14:paraId="015E60CF">
                        <w:pPr>
                          <w:spacing w:line="280" w:lineRule="exact"/>
                          <w:rPr>
                            <w:szCs w:val="18"/>
                          </w:rPr>
                        </w:pPr>
                        <w:r>
                          <w:rPr>
                            <w:rFonts w:hint="eastAsia"/>
                            <w:szCs w:val="18"/>
                          </w:rPr>
                          <w:t>蒸汽</w:t>
                        </w:r>
                      </w:p>
                    </w:txbxContent>
                  </v:textbox>
                </v:shape>
              </w:pict>
            </w:r>
            <w:r>
              <w:rPr>
                <w:rFonts w:ascii="Times New Roman" w:hAnsi="Times New Roman"/>
                <w:sz w:val="20"/>
              </w:rPr>
              <w:pict>
                <v:line id="_x0000_s2081" o:spid="_x0000_s2081" o:spt="20" style="position:absolute;left:0pt;margin-left:135pt;margin-top:13.8pt;height:23.4pt;width:0pt;z-index:251702272;mso-width-relative:page;mso-height-relative:page;" coordsize="21600,21600" o:gfxdata="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iReTzZAAAACQEAAA8AAAAAAAAAAQAgAAAAIgAAAGRycy9kb3du&#10;cmV2LnhtbFBLAQIUABQAAAAIAIdO4kDtoFDB/gEAAOsDAAAOAAAAAAAAAAEAIAAAACgBAABkcnMv&#10;ZTJvRG9jLnhtbFBLBQYAAAAABgAGAFkBAACYBQAAAAA=&#10;">
                  <v:path arrowok="t"/>
                  <v:fill focussize="0,0"/>
                  <v:stroke endarrow="block"/>
                  <v:imagedata o:title=""/>
                  <o:lock v:ext="edit"/>
                </v:line>
              </w:pict>
            </w:r>
          </w:p>
          <w:p w14:paraId="397EF40A">
            <w:pPr>
              <w:pStyle w:val="16"/>
              <w:snapToGrid w:val="0"/>
              <w:spacing w:line="500" w:lineRule="exact"/>
              <w:ind w:firstLine="523"/>
              <w:rPr>
                <w:rFonts w:ascii="Times New Roman" w:hAnsi="Times New Roman"/>
                <w:sz w:val="24"/>
              </w:rPr>
            </w:pPr>
            <w:r>
              <w:rPr>
                <w:rFonts w:ascii="Times New Roman" w:hAnsi="Times New Roman"/>
                <w:sz w:val="20"/>
              </w:rPr>
              <w:pict>
                <v:line id="_x0000_s2082" o:spid="_x0000_s2082" o:spt="20" style="position:absolute;left:0pt;margin-left:234pt;margin-top:20pt;height:148.2pt;width:0pt;z-index:251740160;mso-width-relative:page;mso-height-relative:page;" stroked="t" coordsize="21600,21600" o:gfxdata="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GI+shNYAAAAKAQAADwAAAAAAAAABACAAAAAiAAAAZHJzL2Rvd25y&#10;ZXYueG1sUEsBAhQAFAAAAAgAh07iQNqW2wkAAgAA7AMAAA4AAAAAAAAAAQAgAAAAJQEAAGRycy9l&#10;Mm9Eb2MueG1sUEsFBgAAAAAGAAYAWQEAAJcFAAAAAA==&#10;">
                  <v:path arrowok="t"/>
                  <v:fill focussize="0,0"/>
                  <v:stroke color="#FF0000" endarrow="block"/>
                  <v:imagedata o:title=""/>
                  <o:lock v:ext="edit"/>
                </v:line>
              </w:pict>
            </w:r>
            <w:r>
              <w:rPr>
                <w:rFonts w:ascii="Times New Roman" w:hAnsi="Times New Roman"/>
                <w:sz w:val="20"/>
              </w:rPr>
              <w:pict>
                <v:line id="_x0000_s2083" o:spid="_x0000_s2083" o:spt="20" style="position:absolute;left:0pt;margin-left:171pt;margin-top:20pt;height:0pt;width:63pt;z-index:251737088;mso-width-relative:page;mso-height-relative:page;" stroked="t" coordsize="21600,21600" o:gfxdata="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kSQm3WAAAACQEAAA8AAAAAAAAAAQAgAAAAIgAAAGRycy9kb3ducmV2LnhtbFBL&#10;AQIUABQAAAAIAIdO4kARuGcy+AEAAOcDAAAOAAAAAAAAAAEAIAAAACUBAABkcnMvZTJvRG9jLnht&#10;bFBLBQYAAAAABgAGAFkBAACPBQAAAAA=&#10;">
                  <v:path arrowok="t"/>
                  <v:fill focussize="0,0"/>
                  <v:stroke color="#FF0000"/>
                  <v:imagedata o:title=""/>
                  <o:lock v:ext="edit"/>
                </v:line>
              </w:pict>
            </w:r>
            <w:r>
              <w:rPr>
                <w:rFonts w:ascii="Times New Roman" w:hAnsi="Times New Roman"/>
                <w:sz w:val="20"/>
              </w:rPr>
              <w:pict>
                <v:line id="_x0000_s2084" o:spid="_x0000_s2084" o:spt="20" style="position:absolute;left:0pt;flip:x;margin-left:0pt;margin-top:4.4pt;height:0pt;width:72pt;z-index:251715584;mso-width-relative:page;mso-height-relative:page;" stroked="t" coordsize="21600,21600" o:gfxdata="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62WQd0AAAAAQBAAAPAAAAAAAAAAEAIAAAACIAAABkcnMvZG93bnJldi54bWxQ&#10;SwECFAAUAAAACACHTuJAxWPy5P8BAADxAwAADgAAAAAAAAABACAAAAAfAQAAZHJzL2Uyb0RvYy54&#10;bWxQSwUGAAAAAAYABgBZAQAAkAUAAAAA&#10;">
                  <v:path arrowok="t"/>
                  <v:fill focussize="0,0"/>
                  <v:stroke color="#0000FF"/>
                  <v:imagedata o:title=""/>
                  <o:lock v:ext="edit"/>
                </v:line>
              </w:pict>
            </w:r>
            <w:r>
              <w:rPr>
                <w:rFonts w:ascii="Times New Roman" w:hAnsi="Times New Roman"/>
                <w:sz w:val="24"/>
              </w:rPr>
              <w:pict>
                <v:shape id="_x0000_s2085" o:spid="_x0000_s2085" o:spt="202" type="#_x0000_t202" style="position:absolute;left:0pt;margin-left:117pt;margin-top:12.2pt;height:23.4pt;width:54pt;z-index:251680768;mso-width-relative:page;mso-height-relative:page;" coordsize="21600,21600" o:gfxdata="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Vc&#10;CPzWAAAACQEAAA8AAAAAAAAAAQAgAAAAIgAAAGRycy9kb3ducmV2LnhtbFBLAQIUABQAAAAIAIdO&#10;4kARMWXtJQIAAG0EAAAOAAAAAAAAAAEAIAAAACUBAABkcnMvZTJvRG9jLnhtbFBLBQYAAAAABgAG&#10;AFkBAAC8BQAAAAA=&#10;">
                  <v:path/>
                  <v:fill focussize="0,0"/>
                  <v:stroke joinstyle="miter"/>
                  <v:imagedata o:title=""/>
                  <o:lock v:ext="edit"/>
                  <v:textbox inset="0.5mm,1.27mm,0.5mm,1.27mm">
                    <w:txbxContent>
                      <w:p w14:paraId="1D982A6A">
                        <w:pPr>
                          <w:spacing w:line="320" w:lineRule="exact"/>
                          <w:jc w:val="center"/>
                        </w:pPr>
                        <w:r>
                          <w:rPr>
                            <w:rFonts w:hint="eastAsia" w:ascii="宋体" w:hAnsi="宋体"/>
                          </w:rPr>
                          <w:t>一效闪蒸</w:t>
                        </w:r>
                      </w:p>
                      <w:p w14:paraId="23DC30D5">
                        <w:pPr>
                          <w:spacing w:line="320" w:lineRule="exact"/>
                          <w:jc w:val="center"/>
                        </w:pPr>
                      </w:p>
                      <w:p w14:paraId="061F750A">
                        <w:pPr>
                          <w:spacing w:line="360" w:lineRule="exact"/>
                        </w:pPr>
                        <w:r>
                          <w:rPr>
                            <w:rFonts w:hint="eastAsia"/>
                          </w:rPr>
                          <w:t>滤</w:t>
                        </w:r>
                      </w:p>
                    </w:txbxContent>
                  </v:textbox>
                </v:shape>
              </w:pict>
            </w:r>
          </w:p>
          <w:p w14:paraId="5B041053">
            <w:pPr>
              <w:pStyle w:val="16"/>
              <w:snapToGrid w:val="0"/>
              <w:spacing w:line="500" w:lineRule="exact"/>
              <w:ind w:firstLine="523"/>
              <w:rPr>
                <w:rFonts w:ascii="Times New Roman" w:hAnsi="Times New Roman"/>
                <w:sz w:val="24"/>
              </w:rPr>
            </w:pPr>
            <w:r>
              <w:rPr>
                <w:rFonts w:ascii="Times New Roman" w:hAnsi="Times New Roman"/>
                <w:sz w:val="20"/>
              </w:rPr>
              <w:pict>
                <v:shape id="_x0000_s2086" o:spid="_x0000_s2086" o:spt="202" type="#_x0000_t202" style="position:absolute;left:0pt;margin-left:383.75pt;margin-top:2.8pt;height:17.2pt;width:27pt;z-index:251755520;mso-width-relative:page;mso-height-relative:page;" filled="f" stroked="f" coordsize="21600,21600" o:gfxdata="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HCZEnYAAAACAEAAA8AAAAAAAAAAQAgAAAAIgAAAGRycy9kb3ducmV2Lnht&#10;bFBLAQIUABQAAAAIAIdO4kCRLDAowAEAAH0DAAAOAAAAAAAAAAEAIAAAACcBAABkcnMvZTJvRG9j&#10;LnhtbFBLBQYAAAAABgAGAFkBAABZBQAAAAA=&#10;">
                  <v:path/>
                  <v:fill on="f" focussize="0,0"/>
                  <v:stroke on="f" joinstyle="miter"/>
                  <v:imagedata o:title=""/>
                  <o:lock v:ext="edit"/>
                  <v:textbox inset="0mm,0.3mm,0mm,0.3mm">
                    <w:txbxContent>
                      <w:p w14:paraId="7E4CB8BF">
                        <w:pPr>
                          <w:snapToGrid w:val="0"/>
                          <w:jc w:val="center"/>
                          <w:rPr>
                            <w:vertAlign w:val="subscript"/>
                          </w:rPr>
                        </w:pPr>
                        <w:r>
                          <w:rPr>
                            <w:rFonts w:hint="eastAsia"/>
                          </w:rPr>
                          <w:t>W</w:t>
                        </w:r>
                        <w:r>
                          <w:rPr>
                            <w:rFonts w:hint="eastAsia"/>
                            <w:vertAlign w:val="subscript"/>
                          </w:rPr>
                          <w:t>2</w:t>
                        </w:r>
                      </w:p>
                    </w:txbxContent>
                  </v:textbox>
                </v:shape>
              </w:pict>
            </w:r>
            <w:r>
              <w:rPr>
                <w:rFonts w:ascii="Times New Roman" w:hAnsi="Times New Roman"/>
                <w:sz w:val="20"/>
              </w:rPr>
              <w:pict>
                <v:shape id="_x0000_s2087" o:spid="_x0000_s2087" o:spt="202" type="#_x0000_t202" style="position:absolute;left:0pt;margin-left:153pt;margin-top:18.4pt;height:23.4pt;width:45pt;z-index:251712512;mso-width-relative:page;mso-height-relative:page;" filled="f" stroked="f" coordsize="21600,21600" o:gfxdata="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E/ufR2AAAAAkBAAAPAAAAAAAAAAEAIAAAACIAAABkcnMvZG93bnJl&#10;di54bWxQSwECFAAUAAAACACHTuJAm0waJ8QBAACFAwAADgAAAAAAAAABACAAAAAnAQAAZHJzL2Uy&#10;b0RvYy54bWxQSwUGAAAAAAYABgBZAQAAXQUAAAAA&#10;">
                  <v:path/>
                  <v:fill on="f" focussize="0,0"/>
                  <v:stroke on="f" joinstyle="miter"/>
                  <v:imagedata o:title=""/>
                  <o:lock v:ext="edit"/>
                  <v:textbox inset="0.5mm,1.27mm,0.5mm,1.27mm">
                    <w:txbxContent>
                      <w:p w14:paraId="3D5B9BC3">
                        <w:pPr>
                          <w:pStyle w:val="95"/>
                          <w:widowControl/>
                          <w:snapToGrid/>
                          <w:spacing w:line="280" w:lineRule="exact"/>
                          <w:rPr>
                            <w:rFonts w:ascii="Times New Roman"/>
                            <w:kern w:val="0"/>
                            <w:szCs w:val="18"/>
                          </w:rPr>
                        </w:pPr>
                        <w:r>
                          <w:rPr>
                            <w:rFonts w:hint="eastAsia" w:ascii="Times New Roman"/>
                            <w:kern w:val="0"/>
                            <w:szCs w:val="18"/>
                          </w:rPr>
                          <w:t>二次汽</w:t>
                        </w:r>
                      </w:p>
                    </w:txbxContent>
                  </v:textbox>
                </v:shape>
              </w:pict>
            </w:r>
            <w:r>
              <w:rPr>
                <w:rFonts w:ascii="Times New Roman" w:hAnsi="Times New Roman"/>
                <w:sz w:val="20"/>
              </w:rPr>
              <w:pict>
                <v:line id="_x0000_s2088" o:spid="_x0000_s2088" o:spt="20" style="position:absolute;left:0pt;flip:x;margin-left:153pt;margin-top:10.6pt;height:31.2pt;width:0pt;z-index:251711488;mso-width-relative:page;mso-height-relative:page;" stroked="t" coordsize="21600,21600" o:gfxdata="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VgSvuNcAAAAJAQAADwAAAAAAAAABACAAAAAiAAAA&#10;ZHJzL2Rvd25yZXYueG1sUEsBAhQAFAAAAAgAh07iQAZVu6cIAgAA9QMAAA4AAAAAAAAAAQAgAAAA&#10;JgEAAGRycy9lMm9Eb2MueG1sUEsFBgAAAAAGAAYAWQEAAKAFAAAAAA==&#10;">
                  <v:path arrowok="t"/>
                  <v:fill focussize="0,0"/>
                  <v:stroke color="#800000" endarrow="block"/>
                  <v:imagedata o:title=""/>
                  <o:lock v:ext="edit"/>
                </v:line>
              </w:pict>
            </w:r>
            <w:r>
              <w:rPr>
                <w:rFonts w:ascii="Times New Roman" w:hAnsi="Times New Roman"/>
                <w:sz w:val="20"/>
              </w:rPr>
              <w:pict>
                <v:shape id="_x0000_s2089" o:spid="_x0000_s2089" o:spt="202" type="#_x0000_t202" style="position:absolute;left:0pt;margin-left:297pt;margin-top:-5pt;height:23.4pt;width:54pt;z-index:251759616;mso-width-relative:page;mso-height-relative:page;" filled="f" coordsize="21600,21600" o:gfxdata="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Mikg3XAAAA&#10;CgEAAA8AAAAAAAAAAQAgAAAAIgAAAGRycy9kb3ducmV2LnhtbFBLAQIUABQAAAAIAIdO4kDZlDLq&#10;HgIAAEQEAAAOAAAAAAAAAAEAIAAAACYBAABkcnMvZTJvRG9jLnhtbFBLBQYAAAAABgAGAFkBAAC2&#10;BQAAAAA=&#10;">
                  <v:path/>
                  <v:fill on="f" focussize="0,0"/>
                  <v:stroke joinstyle="miter"/>
                  <v:imagedata o:title=""/>
                  <o:lock v:ext="edit"/>
                  <v:textbox inset="0.5mm,1.27mm,0.5mm,1.27mm">
                    <w:txbxContent>
                      <w:p w14:paraId="23C0877A">
                        <w:pPr>
                          <w:spacing w:line="320" w:lineRule="exact"/>
                          <w:jc w:val="center"/>
                        </w:pPr>
                        <w:r>
                          <w:rPr>
                            <w:rFonts w:hint="eastAsia" w:ascii="宋体" w:hAnsi="宋体"/>
                          </w:rPr>
                          <w:t>冷凝水桶</w:t>
                        </w:r>
                      </w:p>
                      <w:p w14:paraId="37835400">
                        <w:pPr>
                          <w:spacing w:line="320" w:lineRule="exact"/>
                          <w:jc w:val="center"/>
                        </w:pPr>
                      </w:p>
                      <w:p w14:paraId="4C84DD2F">
                        <w:pPr>
                          <w:spacing w:line="360" w:lineRule="exact"/>
                        </w:pPr>
                        <w:r>
                          <w:rPr>
                            <w:rFonts w:hint="eastAsia"/>
                          </w:rPr>
                          <w:t>滤</w:t>
                        </w:r>
                      </w:p>
                    </w:txbxContent>
                  </v:textbox>
                </v:shape>
              </w:pict>
            </w:r>
            <w:r>
              <w:rPr>
                <w:rFonts w:ascii="Times New Roman" w:hAnsi="Times New Roman"/>
                <w:sz w:val="20"/>
              </w:rPr>
              <w:pict>
                <v:line id="_x0000_s2090" o:spid="_x0000_s2090" o:spt="20" style="position:absolute;left:0pt;margin-left:351pt;margin-top:10.6pt;height:0pt;width:36pt;z-index:251760640;mso-width-relative:page;mso-height-relative:page;" stroked="t" coordsize="21600,21600" o:gfxdata="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WCDLkNcAAAAJAQAADwAAAAAAAAABACAAAAAiAAAAZHJzL2Rvd25y&#10;ZXYueG1sUEsBAhQAFAAAAAgAh07iQEH4fzr/AQAA7AMAAA4AAAAAAAAAAQAgAAAAJgEAAGRycy9l&#10;Mm9Eb2MueG1sUEsFBgAAAAAGAAYAWQEAAJcFAAAAAA==&#10;">
                  <v:path arrowok="t"/>
                  <v:fill focussize="0,0"/>
                  <v:stroke color="#008000" dashstyle="longDash" endarrow="block"/>
                  <v:imagedata o:title=""/>
                  <o:lock v:ext="edit"/>
                </v:line>
              </w:pict>
            </w:r>
            <w:r>
              <w:rPr>
                <w:rFonts w:ascii="Times New Roman" w:hAnsi="Times New Roman"/>
                <w:sz w:val="20"/>
              </w:rPr>
              <w:pict>
                <v:line id="_x0000_s2091" o:spid="_x0000_s2091" o:spt="20" style="position:absolute;left:0pt;margin-left:261pt;margin-top:10.6pt;height:0pt;width:36pt;z-index:251758592;mso-width-relative:page;mso-height-relative:page;" stroked="t" coordsize="21600,21600" o:gfxdata="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f0tb61gAAAAkBAAAPAAAAAAAAAAEAIAAAACIAAABkcnMvZG93bnJl&#10;di54bWxQSwECFAAUAAAACACHTuJAn9xxNP8BAADsAwAADgAAAAAAAAABACAAAAAlAQAAZHJzL2Uy&#10;b0RvYy54bWxQSwUGAAAAAAYABgBZAQAAlgUAAAAA&#10;">
                  <v:path arrowok="t"/>
                  <v:fill focussize="0,0"/>
                  <v:stroke color="#008000" dashstyle="longDash" endarrow="block"/>
                  <v:imagedata o:title=""/>
                  <o:lock v:ext="edit"/>
                </v:line>
              </w:pict>
            </w:r>
            <w:r>
              <w:rPr>
                <w:rFonts w:ascii="Times New Roman" w:hAnsi="Times New Roman"/>
                <w:sz w:val="20"/>
              </w:rPr>
              <w:pict>
                <v:line id="_x0000_s2092" o:spid="_x0000_s2092" o:spt="20" style="position:absolute;left:0pt;margin-left:135pt;margin-top:10.6pt;height:31.2pt;width:0pt;z-index:251704320;mso-width-relative:page;mso-height-relative:page;" coordsize="21600,21600" o:gfxdata="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OYDmnZAAAACQEAAA8AAAAAAAAAAQAgAAAAIgAAAGRycy9kb3du&#10;cmV2LnhtbFBLAQIUABQAAAAIAIdO4kBYeeba/gEAAOsDAAAOAAAAAAAAAAEAIAAAACgBAABkcnMv&#10;ZTJvRG9jLnhtbFBLBQYAAAAABgAGAFkBAACYBQAAAAA=&#10;">
                  <v:path arrowok="t"/>
                  <v:fill focussize="0,0"/>
                  <v:stroke endarrow="block"/>
                  <v:imagedata o:title=""/>
                  <o:lock v:ext="edit"/>
                </v:line>
              </w:pict>
            </w:r>
            <w:r>
              <w:rPr>
                <w:rFonts w:ascii="Times New Roman" w:hAnsi="Times New Roman"/>
                <w:sz w:val="20"/>
              </w:rPr>
              <w:pict>
                <v:line id="_x0000_s2093" o:spid="_x0000_s2093" o:spt="20" style="position:absolute;left:0pt;margin-left:72pt;margin-top:2.8pt;height:0pt;width:44.95pt;z-index:251707392;mso-width-relative:page;mso-height-relative:page;" stroked="t" coordsize="21600,21600" o:gfxdata="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VevVLM8AAAAHAQAADwAAAAAAAAABACAAAAAiAAAAZHJzL2Rvd25yZXYueG1sUEsB&#10;AhQAFAAAAAgAh07iQAEvHsD+AQAA6wMAAA4AAAAAAAAAAQAgAAAAHgEAAGRycy9lMm9Eb2MueG1s&#10;UEsFBgAAAAAGAAYAWQEAAI4FAAAAAA==&#10;">
                  <v:path arrowok="t"/>
                  <v:fill focussize="0,0"/>
                  <v:stroke color="#0000FF" endarrow="block"/>
                  <v:imagedata o:title=""/>
                  <o:lock v:ext="edit"/>
                </v:line>
              </w:pict>
            </w:r>
          </w:p>
          <w:p w14:paraId="34B70FC4">
            <w:pPr>
              <w:pStyle w:val="16"/>
              <w:snapToGrid w:val="0"/>
              <w:spacing w:line="500" w:lineRule="exact"/>
              <w:ind w:firstLine="523"/>
              <w:rPr>
                <w:rFonts w:ascii="Times New Roman" w:hAnsi="Times New Roman"/>
                <w:sz w:val="24"/>
              </w:rPr>
            </w:pPr>
            <w:r>
              <w:rPr>
                <w:rFonts w:ascii="Times New Roman" w:hAnsi="Times New Roman"/>
                <w:sz w:val="20"/>
              </w:rPr>
              <w:pict>
                <v:line id="_x0000_s2094" o:spid="_x0000_s2094" o:spt="20" style="position:absolute;left:0pt;flip:x;margin-left:63pt;margin-top:1.2pt;height:0pt;width:90pt;z-index:251781120;mso-width-relative:page;mso-height-relative:page;" stroked="t" coordsize="21600,21600" o:gfxdata="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7rt7ldQAAAAHAQAADwAAAAAAAAABACAAAAAiAAAAZHJzL2Rvd25yZXYu&#10;eG1sUEsBAhQAFAAAAAgAh07iQO39JGT/AQAA8gMAAA4AAAAAAAAAAQAgAAAAIwEAAGRycy9lMm9E&#10;b2MueG1sUEsFBgAAAAAGAAYAWQEAAJQFAAAAAA==&#10;">
                  <v:path arrowok="t"/>
                  <v:fill focussize="0,0"/>
                  <v:stroke color="#800000"/>
                  <v:imagedata o:title=""/>
                  <o:lock v:ext="edit"/>
                </v:line>
              </w:pict>
            </w:r>
            <w:r>
              <w:rPr>
                <w:rFonts w:ascii="Times New Roman" w:hAnsi="Times New Roman"/>
                <w:sz w:val="20"/>
              </w:rPr>
              <w:pict>
                <v:shape id="_x0000_s2095" o:spid="_x0000_s2095" o:spt="202" type="#_x0000_t202" style="position:absolute;left:0pt;margin-left:117pt;margin-top:16.8pt;height:23.4pt;width:54pt;z-index:251703296;mso-width-relative:page;mso-height-relative:page;" coordsize="21600,21600" o:gfxdata="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jY&#10;jADXAAAACQEAAA8AAAAAAAAAAQAgAAAAIgAAAGRycy9kb3ducmV2LnhtbFBLAQIUABQAAAAIAIdO&#10;4kAVn4iCJAIAAG0EAAAOAAAAAAAAAAEAIAAAACYBAABkcnMvZTJvRG9jLnhtbFBLBQYAAAAABgAG&#10;AFkBAAC8BQAAAAA=&#10;">
                  <v:path/>
                  <v:fill focussize="0,0"/>
                  <v:stroke joinstyle="miter"/>
                  <v:imagedata o:title=""/>
                  <o:lock v:ext="edit"/>
                  <v:textbox inset="0.5mm,1.27mm,0.5mm,1.27mm">
                    <w:txbxContent>
                      <w:p w14:paraId="0CED134E">
                        <w:pPr>
                          <w:spacing w:line="320" w:lineRule="exact"/>
                          <w:jc w:val="center"/>
                        </w:pPr>
                        <w:r>
                          <w:rPr>
                            <w:rFonts w:hint="eastAsia" w:ascii="宋体" w:hAnsi="宋体"/>
                          </w:rPr>
                          <w:t>二效闪蒸</w:t>
                        </w:r>
                      </w:p>
                      <w:p w14:paraId="212BC644">
                        <w:pPr>
                          <w:spacing w:line="320" w:lineRule="exact"/>
                          <w:jc w:val="center"/>
                        </w:pPr>
                      </w:p>
                      <w:p w14:paraId="6B2F473E">
                        <w:pPr>
                          <w:spacing w:line="360" w:lineRule="exact"/>
                        </w:pPr>
                        <w:r>
                          <w:rPr>
                            <w:rFonts w:hint="eastAsia"/>
                          </w:rPr>
                          <w:t>滤</w:t>
                        </w:r>
                      </w:p>
                    </w:txbxContent>
                  </v:textbox>
                </v:shape>
              </w:pict>
            </w:r>
          </w:p>
          <w:p w14:paraId="26FAF5AB">
            <w:pPr>
              <w:pStyle w:val="16"/>
              <w:snapToGrid w:val="0"/>
              <w:spacing w:line="500" w:lineRule="exact"/>
              <w:ind w:firstLine="523"/>
              <w:rPr>
                <w:rFonts w:ascii="Times New Roman" w:hAnsi="Times New Roman"/>
                <w:sz w:val="24"/>
              </w:rPr>
            </w:pPr>
            <w:r>
              <w:rPr>
                <w:rFonts w:ascii="Times New Roman" w:hAnsi="Times New Roman"/>
                <w:sz w:val="20"/>
              </w:rPr>
              <w:pict>
                <v:shape id="_x0000_s2096" o:spid="_x0000_s2096" o:spt="202" type="#_x0000_t202" style="position:absolute;left:0pt;margin-left:63pt;margin-top:7.4pt;height:23.4pt;width:45pt;z-index:251713536;mso-width-relative:page;mso-height-relative:page;" filled="f" stroked="f" coordsize="21600,21600" o:gfxdata="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xFbKbdcAAAAJAQAADwAAAAAAAAABACAAAAAiAAAAZHJzL2Rvd25yZXYu&#10;eG1sUEsBAhQAFAAAAAgAh07iQPEYpT/DAQAAhQMAAA4AAAAAAAAAAQAgAAAAJgEAAGRycy9lMm9E&#10;b2MueG1sUEsFBgAAAAAGAAYAWQEAAFsFAAAAAA==&#10;">
                  <v:path/>
                  <v:fill on="f" focussize="0,0"/>
                  <v:stroke on="f" joinstyle="miter"/>
                  <v:imagedata o:title=""/>
                  <o:lock v:ext="edit"/>
                  <v:textbox inset="0.5mm,1.27mm,0.5mm,1.27mm">
                    <w:txbxContent>
                      <w:p w14:paraId="66EB60F4">
                        <w:pPr>
                          <w:pStyle w:val="95"/>
                          <w:widowControl/>
                          <w:rPr>
                            <w:rFonts w:ascii="Times New Roman"/>
                            <w:kern w:val="0"/>
                            <w:szCs w:val="18"/>
                          </w:rPr>
                        </w:pPr>
                        <w:r>
                          <w:rPr>
                            <w:rFonts w:hint="eastAsia" w:ascii="Times New Roman"/>
                            <w:kern w:val="0"/>
                            <w:szCs w:val="18"/>
                          </w:rPr>
                          <w:t>二次汽</w:t>
                        </w:r>
                      </w:p>
                    </w:txbxContent>
                  </v:textbox>
                </v:shape>
              </w:pict>
            </w:r>
            <w:r>
              <w:rPr>
                <w:rFonts w:ascii="Times New Roman" w:hAnsi="Times New Roman"/>
                <w:sz w:val="20"/>
              </w:rPr>
              <w:pict>
                <v:line id="_x0000_s2097" o:spid="_x0000_s2097" o:spt="20" style="position:absolute;left:0pt;margin-left:135pt;margin-top:15.2pt;height:31.2pt;width:0pt;z-index:251714560;mso-width-relative:page;mso-height-relative:page;" stroked="t" coordsize="21600,21600" o:gfxdata="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g6rys1wAAAAkBAAAPAAAAAAAAAAEAIAAAACIAAABkcnMvZG93bnJl&#10;di54bWxQSwECFAAUAAAACACHTuJAAVrKkP4BAADrAwAADgAAAAAAAAABACAAAAAmAQAAZHJzL2Uy&#10;b0RvYy54bWxQSwUGAAAAAAYABgBZAQAAlgUAAAAA&#10;">
                  <v:path arrowok="t"/>
                  <v:fill focussize="0,0"/>
                  <v:stroke color="#008000" endarrow="block"/>
                  <v:imagedata o:title=""/>
                  <o:lock v:ext="edit"/>
                </v:line>
              </w:pict>
            </w:r>
            <w:r>
              <w:rPr>
                <w:rFonts w:ascii="Times New Roman" w:hAnsi="Times New Roman"/>
                <w:sz w:val="20"/>
              </w:rPr>
              <w:pict>
                <v:line id="_x0000_s2098" o:spid="_x0000_s2098" o:spt="20" style="position:absolute;left:0pt;margin-left:153pt;margin-top:15.2pt;height:31.2pt;width:0pt;z-index:251706368;mso-width-relative:page;mso-height-relative:page;" coordsize="21600,21600" o:gfxdata="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D9LrrZAAAACQEAAA8AAAAAAAAAAQAgAAAAIgAAAGRycy9kb3du&#10;cmV2LnhtbFBLAQIUABQAAAAIAIdO4kC9b9Zm/gEAAOsDAAAOAAAAAAAAAAEAIAAAACgBAABkcnMv&#10;ZTJvRG9jLnhtbFBLBQYAAAAABgAGAFkBAACYBQAAAAA=&#10;">
                  <v:path arrowok="t"/>
                  <v:fill focussize="0,0"/>
                  <v:stroke endarrow="block"/>
                  <v:imagedata o:title=""/>
                  <o:lock v:ext="edit"/>
                </v:line>
              </w:pict>
            </w:r>
            <w:r>
              <w:rPr>
                <w:rFonts w:ascii="Times New Roman" w:hAnsi="Times New Roman"/>
                <w:sz w:val="24"/>
              </w:rPr>
              <w:pict>
                <v:shape id="_x0000_s2099" o:spid="_x0000_s2099" o:spt="202" type="#_x0000_t202" style="position:absolute;left:0pt;margin-left:360pt;margin-top:-0.4pt;height:23.4pt;width:45pt;z-index:251665408;mso-width-relative:page;mso-height-relative:page;" stroked="f" coordsize="21600,21600" o:gfxdata="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sobur1AAAAAgBAAAPAAAAAAAAAAEAIAAA&#10;ACIAAABkcnMvZG93bnJldi54bWxQSwECFAAUAAAACACHTuJAbH1uqtcBAACmAwAADgAAAAAAAAAB&#10;ACAAAAAjAQAAZHJzL2Uyb0RvYy54bWxQSwUGAAAAAAYABgBZAQAAbAUAAAAA&#10;">
                  <v:path/>
                  <v:fill focussize="0,0"/>
                  <v:stroke on="f" joinstyle="miter"/>
                  <v:imagedata o:title=""/>
                  <o:lock v:ext="edit"/>
                  <v:textbox inset="0mm,1.27mm,0mm,1.27mm">
                    <w:txbxContent>
                      <w:p w14:paraId="76D60676">
                        <w:pPr>
                          <w:spacing w:line="320" w:lineRule="exact"/>
                          <w:jc w:val="center"/>
                          <w:rPr>
                            <w:vertAlign w:val="subscript"/>
                          </w:rPr>
                        </w:pPr>
                        <w:r>
                          <w:rPr>
                            <w:rFonts w:hint="eastAsia"/>
                          </w:rPr>
                          <w:t>G</w:t>
                        </w:r>
                        <w:r>
                          <w:rPr>
                            <w:rFonts w:hint="eastAsia"/>
                            <w:vertAlign w:val="subscript"/>
                          </w:rPr>
                          <w:t xml:space="preserve">1 </w:t>
                        </w:r>
                        <w:r>
                          <w:rPr>
                            <w:rFonts w:hint="eastAsia"/>
                          </w:rPr>
                          <w:t>盐尘</w:t>
                        </w:r>
                      </w:p>
                    </w:txbxContent>
                  </v:textbox>
                </v:shape>
              </w:pict>
            </w:r>
            <w:r>
              <w:rPr>
                <w:rFonts w:ascii="Times New Roman" w:hAnsi="Times New Roman"/>
                <w:sz w:val="20"/>
              </w:rPr>
              <w:pict>
                <v:line id="_x0000_s2100" o:spid="_x0000_s2100" o:spt="20" style="position:absolute;left:0pt;margin-left:369pt;margin-top:23pt;height:23.7pt;width:0pt;z-index:251748352;mso-width-relative:page;mso-height-relative:page;" stroked="t" coordsize="21600,21600" o:gfxdata="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O44r2wAAAAkBAAAPAAAAAAAAAAEAIAAAACIAAABkcnMv&#10;ZG93bnJldi54bWxQSwECFAAUAAAACACHTuJA/lyWdQACAADrAwAADgAAAAAAAAABACAAAAAqAQAA&#10;ZHJzL2Uyb0RvYy54bWxQSwUGAAAAAAYABgBZAQAAnAUAAAAA&#10;">
                  <v:path arrowok="t"/>
                  <v:fill focussize="0,0"/>
                  <v:stroke color="#FF0000" startarrow="block"/>
                  <v:imagedata o:title=""/>
                  <o:lock v:ext="edit"/>
                </v:line>
              </w:pict>
            </w:r>
            <w:r>
              <w:rPr>
                <w:rFonts w:ascii="Times New Roman" w:hAnsi="Times New Roman"/>
                <w:sz w:val="20"/>
              </w:rPr>
              <w:pict>
                <v:line id="_x0000_s2101" o:spid="_x0000_s2101" o:spt="20" style="position:absolute;left:0pt;margin-left:225pt;margin-top:7.4pt;height:85.8pt;width:0pt;z-index:251739136;mso-width-relative:page;mso-height-relative:page;" stroked="t" coordsize="21600,21600" o:gfxdata="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uTgsXWAAAACgEAAA8AAAAAAAAAAQAgAAAAIgAAAGRycy9kb3du&#10;cmV2LnhtbFBLAQIUABQAAAAIAIdO4kAhZgxwAQIAAOwDAAAOAAAAAAAAAAEAIAAAACUBAABkcnMv&#10;ZTJvRG9jLnhtbFBLBQYAAAAABgAGAFkBAACYBQAAAAA=&#10;">
                  <v:path arrowok="t"/>
                  <v:fill focussize="0,0"/>
                  <v:stroke color="#FF0000" endarrow="block"/>
                  <v:imagedata o:title=""/>
                  <o:lock v:ext="edit"/>
                </v:line>
              </w:pict>
            </w:r>
            <w:r>
              <w:rPr>
                <w:rFonts w:ascii="Times New Roman" w:hAnsi="Times New Roman"/>
                <w:sz w:val="20"/>
              </w:rPr>
              <w:pict>
                <v:line id="_x0000_s2102" o:spid="_x0000_s2102" o:spt="20" style="position:absolute;left:0pt;margin-left:171pt;margin-top:7.4pt;height:0pt;width:54pt;z-index:251736064;mso-width-relative:page;mso-height-relative:page;" stroked="t" coordsize="21600,21600" o:gfxdata="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JwHQcfWAAAACQEAAA8AAAAAAAAAAQAgAAAAIgAAAGRycy9kb3ducmV2LnhtbFBL&#10;AQIUABQAAAAIAIdO4kD9AoYV+AEAAOcDAAAOAAAAAAAAAAEAIAAAACUBAABkcnMvZTJvRG9jLnht&#10;bFBLBQYAAAAABgAGAFkBAACPBQAAAAA=&#10;">
                  <v:path arrowok="t"/>
                  <v:fill focussize="0,0"/>
                  <v:stroke color="#FF0000"/>
                  <v:imagedata o:title=""/>
                  <o:lock v:ext="edit"/>
                </v:line>
              </w:pict>
            </w:r>
          </w:p>
          <w:p w14:paraId="3691954C">
            <w:pPr>
              <w:pStyle w:val="16"/>
              <w:snapToGrid w:val="0"/>
              <w:spacing w:line="500" w:lineRule="exact"/>
              <w:ind w:firstLine="523"/>
              <w:rPr>
                <w:rFonts w:ascii="Times New Roman" w:hAnsi="Times New Roman"/>
                <w:sz w:val="24"/>
              </w:rPr>
            </w:pPr>
            <w:r>
              <w:rPr>
                <w:rFonts w:ascii="Times New Roman" w:hAnsi="Times New Roman"/>
                <w:sz w:val="20"/>
              </w:rPr>
              <w:pict>
                <v:shape id="_x0000_s2103" o:spid="_x0000_s2103" o:spt="202" type="#_x0000_t202" style="position:absolute;left:0pt;margin-left:-4.5pt;margin-top:6.35pt;height:23.4pt;width:45pt;z-index:251770880;mso-width-relative:page;mso-height-relative:page;" stroked="f" coordsize="21600,21600" o:gfxdata="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9CIvXtYAAAAHAQAADwAAAAAAAAABACAA&#10;AAAiAAAAZHJzL2Rvd25yZXYueG1sUEsBAhQAFAAAAAgAh07iQLWBaC3WAQAApgMAAA4AAAAAAAAA&#10;AQAgAAAAJQEAAGRycy9lMm9Eb2MueG1sUEsFBgAAAAAGAAYAWQEAAG0FAAAAAA==&#10;">
                  <v:path/>
                  <v:fill focussize="0,0"/>
                  <v:stroke on="f" joinstyle="miter"/>
                  <v:imagedata o:title=""/>
                  <o:lock v:ext="edit"/>
                  <v:textbox inset="0mm,1.27mm,0mm,1.27mm">
                    <w:txbxContent>
                      <w:p w14:paraId="210FA853">
                        <w:pPr>
                          <w:spacing w:line="320" w:lineRule="exact"/>
                          <w:jc w:val="center"/>
                          <w:rPr>
                            <w:vertAlign w:val="subscript"/>
                          </w:rPr>
                        </w:pPr>
                        <w:r>
                          <w:rPr>
                            <w:rFonts w:hint="eastAsia"/>
                          </w:rPr>
                          <w:t>G</w:t>
                        </w:r>
                        <w:r>
                          <w:rPr>
                            <w:rFonts w:hint="eastAsia"/>
                            <w:vertAlign w:val="subscript"/>
                          </w:rPr>
                          <w:t>3</w:t>
                        </w:r>
                        <w:r>
                          <w:rPr>
                            <w:rFonts w:hint="eastAsia"/>
                          </w:rPr>
                          <w:t>不凝气</w:t>
                        </w:r>
                      </w:p>
                    </w:txbxContent>
                  </v:textbox>
                </v:shape>
              </w:pict>
            </w:r>
            <w:r>
              <w:rPr>
                <w:rFonts w:ascii="Times New Roman" w:hAnsi="Times New Roman"/>
                <w:sz w:val="20"/>
              </w:rPr>
              <w:pict>
                <v:line id="_x0000_s2104" o:spid="_x0000_s2104" o:spt="20" style="position:absolute;left:0pt;flip:x;margin-left:36pt;margin-top:5.8pt;height:0pt;width:99pt;z-index:251716608;mso-width-relative:page;mso-height-relative:page;" stroked="t" coordsize="21600,21600" o:gfxdata="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uJCu/RAAAACAEAAA8AAAAAAAAAAQAgAAAAIgAAAGRycy9kb3ducmV2Lnht&#10;bFBLAQIUABQAAAAIAIdO4kBFCgMxAAIAAPIDAAAOAAAAAAAAAAEAIAAAACABAABkcnMvZTJvRG9j&#10;LnhtbFBLBQYAAAAABgAGAFkBAACSBQAAAAA=&#10;">
                  <v:path arrowok="t"/>
                  <v:fill focussize="0,0"/>
                  <v:stroke color="#008000"/>
                  <v:imagedata o:title=""/>
                  <o:lock v:ext="edit"/>
                </v:line>
              </w:pict>
            </w:r>
            <w:r>
              <w:rPr>
                <w:rFonts w:ascii="Times New Roman" w:hAnsi="Times New Roman"/>
                <w:sz w:val="20"/>
              </w:rPr>
              <w:pict>
                <v:shape id="_x0000_s2105" o:spid="_x0000_s2105" o:spt="202" type="#_x0000_t202" style="position:absolute;left:0pt;margin-left:351pt;margin-top:21.4pt;height:23.4pt;width:45pt;z-index:251747328;mso-width-relative:page;mso-height-relative:page;" coordsize="21600,21600" o:gfxdata="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lSAGxdUAAAAJAQAADwAAAAAAAAABACAA&#10;AAAiAAAAZHJzL2Rvd25yZXYueG1sUEsBAhQAFAAAAAgAh07iQGqndVQQAgAAOgQAAA4AAAAAAAAA&#10;AQAgAAAAJAEAAGRycy9lMm9Eb2MueG1sUEsFBgAAAAAGAAYAWQEAAKYFAAAAAA==&#10;">
                  <v:path/>
                  <v:fill focussize="0,0"/>
                  <v:stroke dashstyle="longDash"/>
                  <v:imagedata o:title=""/>
                  <o:lock v:ext="edit"/>
                  <v:textbox>
                    <w:txbxContent>
                      <w:p w14:paraId="1650BA61">
                        <w:pPr>
                          <w:spacing w:line="320" w:lineRule="exact"/>
                          <w:jc w:val="center"/>
                        </w:pPr>
                        <w:r>
                          <w:rPr>
                            <w:rFonts w:hint="eastAsia" w:ascii="宋体" w:hAnsi="宋体"/>
                          </w:rPr>
                          <w:t>除尘</w:t>
                        </w:r>
                      </w:p>
                      <w:p w14:paraId="1FEC183F">
                        <w:pPr>
                          <w:spacing w:line="320" w:lineRule="exact"/>
                          <w:jc w:val="center"/>
                        </w:pPr>
                      </w:p>
                      <w:p w14:paraId="056725B6">
                        <w:pPr>
                          <w:spacing w:line="360" w:lineRule="exact"/>
                        </w:pPr>
                        <w:r>
                          <w:rPr>
                            <w:rFonts w:hint="eastAsia"/>
                          </w:rPr>
                          <w:t>滤</w:t>
                        </w:r>
                      </w:p>
                    </w:txbxContent>
                  </v:textbox>
                </v:shape>
              </w:pict>
            </w:r>
            <w:r>
              <w:rPr>
                <w:rFonts w:ascii="Times New Roman" w:hAnsi="Times New Roman"/>
                <w:sz w:val="20"/>
              </w:rPr>
              <w:pict>
                <v:shape id="_x0000_s2106" o:spid="_x0000_s2106" o:spt="202" type="#_x0000_t202" style="position:absolute;left:0pt;margin-left:117pt;margin-top:21.4pt;height:23.4pt;width:54pt;z-index:251705344;mso-width-relative:page;mso-height-relative:page;" coordsize="21600,21600" o:gfxdata="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yf&#10;TKPWAAAACQEAAA8AAAAAAAAAAQAgAAAAIgAAAGRycy9kb3ducmV2LnhtbFBLAQIUABQAAAAIAIdO&#10;4kAj1xQxJQIAAG0EAAAOAAAAAAAAAAEAIAAAACUBAABkcnMvZTJvRG9jLnhtbFBLBQYAAAAABgAG&#10;AFkBAAC8BQAAAAA=&#10;">
                  <v:path/>
                  <v:fill focussize="0,0"/>
                  <v:stroke joinstyle="miter"/>
                  <v:imagedata o:title=""/>
                  <o:lock v:ext="edit"/>
                  <v:textbox inset="0.5mm,1.27mm,0.5mm,1.27mm">
                    <w:txbxContent>
                      <w:p w14:paraId="75ABA39E">
                        <w:pPr>
                          <w:spacing w:line="320" w:lineRule="exact"/>
                          <w:jc w:val="center"/>
                        </w:pPr>
                        <w:r>
                          <w:rPr>
                            <w:rFonts w:hint="eastAsia" w:ascii="宋体" w:hAnsi="宋体"/>
                          </w:rPr>
                          <w:t>三效闪蒸</w:t>
                        </w:r>
                      </w:p>
                      <w:p w14:paraId="0B2A7FCA">
                        <w:pPr>
                          <w:spacing w:line="320" w:lineRule="exact"/>
                          <w:jc w:val="center"/>
                        </w:pPr>
                      </w:p>
                      <w:p w14:paraId="38FE28DB">
                        <w:pPr>
                          <w:spacing w:line="360" w:lineRule="exact"/>
                        </w:pPr>
                        <w:r>
                          <w:rPr>
                            <w:rFonts w:hint="eastAsia"/>
                          </w:rPr>
                          <w:t>滤</w:t>
                        </w:r>
                      </w:p>
                    </w:txbxContent>
                  </v:textbox>
                </v:shape>
              </w:pict>
            </w:r>
          </w:p>
          <w:p w14:paraId="3E018E6F">
            <w:pPr>
              <w:pStyle w:val="16"/>
              <w:snapToGrid w:val="0"/>
              <w:spacing w:line="500" w:lineRule="exact"/>
              <w:ind w:firstLine="523"/>
              <w:rPr>
                <w:rFonts w:ascii="Times New Roman" w:hAnsi="Times New Roman"/>
                <w:sz w:val="24"/>
              </w:rPr>
            </w:pPr>
            <w:r>
              <w:rPr>
                <w:rFonts w:ascii="Times New Roman" w:hAnsi="Times New Roman"/>
                <w:sz w:val="20"/>
              </w:rPr>
              <w:pict>
                <v:line id="_x0000_s2107" o:spid="_x0000_s2107" o:spt="20" style="position:absolute;left:0pt;flip:y;margin-left:18pt;margin-top:4.2pt;height:31.2pt;width:0pt;z-index:251765760;mso-width-relative:page;mso-height-relative:page;" stroked="t" coordsize="21600,21600" o:gfxdata="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B0EinSAAAABgEAAA8AAAAAAAAAAQAgAAAAIgAAAGRycy9kb3du&#10;cmV2LnhtbFBLAQIUABQAAAAIAIdO4kD3sgKgBQIAAPUDAAAOAAAAAAAAAAEAIAAAACEBAABkcnMv&#10;ZTJvRG9jLnhtbFBLBQYAAAAABgAGAFkBAACYBQAAAAA=&#10;">
                  <v:path arrowok="t"/>
                  <v:fill focussize="0,0"/>
                  <v:stroke color="#008000" endarrow="block"/>
                  <v:imagedata o:title=""/>
                  <o:lock v:ext="edit"/>
                </v:line>
              </w:pict>
            </w:r>
            <w:r>
              <w:rPr>
                <w:rFonts w:ascii="Times New Roman" w:hAnsi="Times New Roman"/>
                <w:sz w:val="20"/>
              </w:rPr>
              <w:pict>
                <v:shape id="_x0000_s2108" o:spid="_x0000_s2108" o:spt="202" type="#_x0000_t202" style="position:absolute;left:0pt;margin-left:153pt;margin-top:19.8pt;height:23.4pt;width:45pt;z-index:251762688;mso-width-relative:page;mso-height-relative:page;" filled="f" stroked="f" coordsize="21600,21600" o:gfxdata="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NmqLd/XAAAACQEAAA8AAAAAAAAAAQAgAAAAIgAAAGRycy9kb3ducmV2&#10;LnhtbFBLAQIUABQAAAAIAIdO4kBUZYJ2xAEAAIUDAAAOAAAAAAAAAAEAIAAAACYBAABkcnMvZTJv&#10;RG9jLnhtbFBLBQYAAAAABgAGAFkBAABcBQAAAAA=&#10;">
                  <v:path/>
                  <v:fill on="f" focussize="0,0"/>
                  <v:stroke on="f" joinstyle="miter"/>
                  <v:imagedata o:title=""/>
                  <o:lock v:ext="edit"/>
                  <v:textbox inset="0.5mm,1.27mm,0.5mm,1.27mm">
                    <w:txbxContent>
                      <w:p w14:paraId="1F4DB920">
                        <w:pPr>
                          <w:pStyle w:val="95"/>
                          <w:widowControl/>
                          <w:snapToGrid/>
                          <w:spacing w:line="280" w:lineRule="exact"/>
                          <w:rPr>
                            <w:rFonts w:ascii="Times New Roman"/>
                            <w:kern w:val="0"/>
                            <w:szCs w:val="18"/>
                          </w:rPr>
                        </w:pPr>
                        <w:r>
                          <w:rPr>
                            <w:rFonts w:hint="eastAsia" w:ascii="Times New Roman"/>
                            <w:kern w:val="0"/>
                            <w:szCs w:val="18"/>
                          </w:rPr>
                          <w:t>二次汽</w:t>
                        </w:r>
                      </w:p>
                    </w:txbxContent>
                  </v:textbox>
                </v:shape>
              </w:pict>
            </w:r>
            <w:r>
              <w:rPr>
                <w:rFonts w:ascii="Times New Roman" w:hAnsi="Times New Roman"/>
                <w:sz w:val="20"/>
              </w:rPr>
              <w:pict>
                <v:line id="_x0000_s2109" o:spid="_x0000_s2109" o:spt="20" style="position:absolute;left:0pt;margin-left:153pt;margin-top:19.8pt;height:23.4pt;width:0pt;z-index:251761664;mso-width-relative:page;mso-height-relative:page;" stroked="t" coordsize="21600,21600" o:gfxdata="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F6LbD2wAAAAkBAAAPAAAAAAAAAAEAIAAAACIAAABkcnMv&#10;ZG93bnJldi54bWxQSwECFAAUAAAACACHTuJAjcfR2QACAADrAwAADgAAAAAAAAABACAAAAAqAQAA&#10;ZHJzL2Uyb0RvYy54bWxQSwUGAAAAAAYABgBZAQAAnAUAAAAA&#10;">
                  <v:path arrowok="t"/>
                  <v:fill focussize="0,0"/>
                  <v:stroke color="#800000" endarrow="block"/>
                  <v:imagedata o:title=""/>
                  <o:lock v:ext="edit"/>
                </v:line>
              </w:pict>
            </w:r>
            <w:r>
              <w:rPr>
                <w:rFonts w:ascii="Times New Roman" w:hAnsi="Times New Roman"/>
                <w:sz w:val="24"/>
              </w:rPr>
              <w:pict>
                <v:line id="_x0000_s2110" o:spid="_x0000_s2110" o:spt="20" style="position:absolute;left:0pt;margin-left:369pt;margin-top:19.8pt;height:23.7pt;width:0pt;z-index:251692032;mso-width-relative:page;mso-height-relative:page;" stroked="t" coordsize="21600,21600" o:gfxdata="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uQ3STaAAAACQEAAA8AAAAAAAAAAQAgAAAAIgAAAGRycy9k&#10;b3ducmV2LnhtbFBLAQIUABQAAAAIAIdO4kCjF3fzAAIAAOsDAAAOAAAAAAAAAAEAIAAAACkBAABk&#10;cnMvZTJvRG9jLnhtbFBLBQYAAAAABgAGAFkBAACbBQAAAAA=&#10;">
                  <v:path arrowok="t"/>
                  <v:fill focussize="0,0"/>
                  <v:stroke color="#FF0000" startarrow="block"/>
                  <v:imagedata o:title=""/>
                  <o:lock v:ext="edit"/>
                </v:line>
              </w:pict>
            </w:r>
            <w:r>
              <w:rPr>
                <w:rFonts w:ascii="Times New Roman" w:hAnsi="Times New Roman"/>
                <w:sz w:val="20"/>
              </w:rPr>
              <w:pict>
                <v:line id="_x0000_s2111" o:spid="_x0000_s2111" o:spt="20" style="position:absolute;left:0pt;margin-left:216pt;margin-top:12pt;height:31.2pt;width:0pt;z-index:251738112;mso-width-relative:page;mso-height-relative:page;" stroked="t" coordsize="21600,21600" o:gfxdata="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yCuTXAAAACQEAAA8AAAAAAAAAAQAgAAAAIgAAAGRycy9kb3du&#10;cmV2LnhtbFBLAQIUABQAAAAIAIdO4kAXGSiBAAIAAOsDAAAOAAAAAAAAAAEAIAAAACYBAABkcnMv&#10;ZTJvRG9jLnhtbFBLBQYAAAAABgAGAFkBAACYBQAAAAA=&#10;">
                  <v:path arrowok="t"/>
                  <v:fill focussize="0,0"/>
                  <v:stroke color="#FF0000" endarrow="block"/>
                  <v:imagedata o:title=""/>
                  <o:lock v:ext="edit"/>
                </v:line>
              </w:pict>
            </w:r>
            <w:r>
              <w:rPr>
                <w:rFonts w:ascii="Times New Roman" w:hAnsi="Times New Roman"/>
                <w:sz w:val="20"/>
              </w:rPr>
              <w:pict>
                <v:line id="_x0000_s2112" o:spid="_x0000_s2112" o:spt="20" style="position:absolute;left:0pt;margin-left:171pt;margin-top:12pt;height:0pt;width:45pt;z-index:251735040;mso-width-relative:page;mso-height-relative:page;" stroked="t" coordsize="21600,21600" o:gfxdata="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ADvBrWAAAACQEAAA8AAAAAAAAAAQAgAAAAIgAAAGRycy9kb3ducmV2LnhtbFBL&#10;AQIUABQAAAAIAIdO4kC4LrvU+AEAAOcDAAAOAAAAAAAAAAEAIAAAACUBAABkcnMvZTJvRG9jLnht&#10;bFBLBQYAAAAABgAGAFkBAACPBQAAAAA=&#10;">
                  <v:path arrowok="t"/>
                  <v:fill focussize="0,0"/>
                  <v:stroke color="#FF0000"/>
                  <v:imagedata o:title=""/>
                  <o:lock v:ext="edit"/>
                </v:line>
              </w:pict>
            </w:r>
            <w:r>
              <w:rPr>
                <w:rFonts w:ascii="Times New Roman" w:hAnsi="Times New Roman"/>
                <w:sz w:val="24"/>
              </w:rPr>
              <w:pict>
                <v:line id="_x0000_s2113" o:spid="_x0000_s2113" o:spt="20" style="position:absolute;left:0pt;margin-left:135pt;margin-top:19.8pt;height:23.4pt;width:0pt;z-index:251682816;mso-width-relative:page;mso-height-relative:page;" coordsize="21600,21600" o:gfxdata="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ZGTl/ZAAAACQEAAA8AAAAAAAAAAQAgAAAAIgAAAGRycy9kb3du&#10;cmV2LnhtbFBLAQIUABQAAAAIAIdO4kBW13C4/gEAAOsDAAAOAAAAAAAAAAEAIAAAACgBAABkcnMv&#10;ZTJvRG9jLnhtbFBLBQYAAAAABgAGAFkBAACYBQAAAAA=&#10;">
                  <v:path arrowok="t"/>
                  <v:fill focussize="0,0"/>
                  <v:stroke endarrow="block"/>
                  <v:imagedata o:title=""/>
                  <o:lock v:ext="edit"/>
                </v:line>
              </w:pict>
            </w:r>
          </w:p>
          <w:p w14:paraId="7E89F53A">
            <w:pPr>
              <w:pStyle w:val="16"/>
              <w:snapToGrid w:val="0"/>
              <w:spacing w:line="500" w:lineRule="exact"/>
              <w:ind w:firstLine="523"/>
              <w:rPr>
                <w:rFonts w:ascii="Times New Roman" w:hAnsi="Times New Roman"/>
                <w:sz w:val="24"/>
              </w:rPr>
            </w:pPr>
            <w:r>
              <w:rPr>
                <w:sz w:val="20"/>
              </w:rPr>
              <w:pict>
                <v:shape id="_x0000_s2114" o:spid="_x0000_s2114" o:spt="34" type="#_x0000_t34" style="position:absolute;left:0pt;margin-left:327.1pt;margin-top:25pt;height:62.95pt;width:29.8pt;rotation:5898240f;z-index:251756544;mso-width-relative:page;mso-height-relative:page;" filled="f" stroked="t" coordsize="21600,21600" o:gfxdata="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IC+uPrZAAAACgEAAA8A&#10;AAAAAAAAAQAgAAAAIgAAAGRycy9kb3ducmV2LnhtbFBLAQIUABQAAAAIAIdO4kCvByOmTwIAAGgE&#10;AAAOAAAAAAAAAAEAIAAAACgBAABkcnMvZTJvRG9jLnhtbFBLBQYAAAAABgAGAFkBAADpBQAAAAA=&#10;" adj="10782">
                  <v:path arrowok="t"/>
                  <v:fill on="f" focussize="0,0"/>
                  <v:stroke weight="1pt" color="#FF0000" endarrow="open"/>
                  <v:imagedata o:title=""/>
                  <o:lock v:ext="edit"/>
                </v:shape>
              </w:pict>
            </w:r>
            <w:r>
              <w:rPr>
                <w:rFonts w:ascii="Times New Roman" w:hAnsi="Times New Roman"/>
                <w:sz w:val="20"/>
              </w:rPr>
              <w:pict>
                <v:line id="_x0000_s2115" o:spid="_x0000_s2115" o:spt="20" style="position:absolute;left:0pt;flip:x;margin-left:53.85pt;margin-top:2.6pt;height:0pt;width:99pt;z-index:251784192;mso-width-relative:page;mso-height-relative:page;" stroked="t" coordsize="21600,21600" o:gfxdata="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YN3tDUAAAABwEAAA8AAAAAAAAAAQAgAAAAIgAAAGRycy9kb3ducmV2&#10;LnhtbFBLAQIUABQAAAAIAIdO4kBc6OOvAAIAAPIDAAAOAAAAAAAAAAEAIAAAACMBAABkcnMvZTJv&#10;RG9jLnhtbFBLBQYAAAAABgAGAFkBAACVBQAAAAA=&#10;">
                  <v:path arrowok="t"/>
                  <v:fill focussize="0,0"/>
                  <v:stroke color="#800000"/>
                  <v:imagedata o:title=""/>
                  <o:lock v:ext="edit"/>
                </v:line>
              </w:pict>
            </w:r>
            <w:r>
              <w:rPr>
                <w:rFonts w:ascii="Times New Roman" w:hAnsi="Times New Roman"/>
                <w:sz w:val="20"/>
              </w:rPr>
              <w:pict>
                <v:shape id="_x0000_s2116" o:spid="_x0000_s2116" o:spt="202" type="#_x0000_t202" style="position:absolute;left:0pt;margin-left:0pt;margin-top:10.4pt;height:23.4pt;width:45pt;z-index:251764736;mso-width-relative:page;mso-height-relative:page;" filled="f" coordsize="21600,21600" o:gfxdata="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9hfCLRAAAABQEAAA8A&#10;AAAAAAAAAQAgAAAAIgAAAGRycy9kb3ducmV2LnhtbFBLAQIUABQAAAAIAIdO4kAufRVbHgIAAEQE&#10;AAAOAAAAAAAAAAEAIAAAACABAABkcnMvZTJvRG9jLnhtbFBLBQYAAAAABgAGAFkBAACwBQAAAAA=&#10;">
                  <v:path/>
                  <v:fill on="f" focussize="0,0"/>
                  <v:stroke joinstyle="miter"/>
                  <v:imagedata o:title=""/>
                  <o:lock v:ext="edit"/>
                  <v:textbox inset="0.5mm,1.27mm,0.5mm,1.27mm">
                    <w:txbxContent>
                      <w:p w14:paraId="6FEF31C8">
                        <w:pPr>
                          <w:spacing w:line="320" w:lineRule="exact"/>
                          <w:jc w:val="center"/>
                        </w:pPr>
                        <w:r>
                          <w:rPr>
                            <w:rFonts w:hint="eastAsia" w:ascii="宋体" w:hAnsi="宋体"/>
                          </w:rPr>
                          <w:t>喷射器</w:t>
                        </w:r>
                      </w:p>
                      <w:p w14:paraId="146EB44B">
                        <w:pPr>
                          <w:spacing w:line="320" w:lineRule="exact"/>
                          <w:jc w:val="center"/>
                        </w:pPr>
                      </w:p>
                      <w:p w14:paraId="265C9735">
                        <w:pPr>
                          <w:spacing w:line="360" w:lineRule="exact"/>
                        </w:pPr>
                        <w:r>
                          <w:rPr>
                            <w:rFonts w:hint="eastAsia"/>
                          </w:rPr>
                          <w:t>滤</w:t>
                        </w:r>
                      </w:p>
                    </w:txbxContent>
                  </v:textbox>
                </v:shape>
              </w:pict>
            </w:r>
            <w:r>
              <w:rPr>
                <w:rFonts w:ascii="Times New Roman" w:hAnsi="Times New Roman"/>
                <w:sz w:val="20"/>
              </w:rPr>
              <w:pict>
                <v:shape id="_x0000_s2117" o:spid="_x0000_s2117" o:spt="202" type="#_x0000_t202" style="position:absolute;left:0pt;margin-left:171pt;margin-top:10.4pt;height:23.4pt;width:27pt;z-index:251754496;mso-width-relative:page;mso-height-relative:page;" filled="f" stroked="f" coordsize="21600,21600" o:gfxdata="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Fsl73XZAAAACQEAAA8AAAAAAAAAAQAgAAAAIgAAAGRycy9kb3ducmV2&#10;LnhtbFBLAQIUABQAAAAIAIdO4kAH+kKHwgEAAH0DAAAOAAAAAAAAAAEAIAAAACgBAABkcnMvZTJv&#10;RG9jLnhtbFBLBQYAAAAABgAGAFkBAABcBQAAAAA=&#10;">
                  <v:path/>
                  <v:fill on="f" focussize="0,0"/>
                  <v:stroke on="f" joinstyle="miter"/>
                  <v:imagedata o:title=""/>
                  <o:lock v:ext="edit"/>
                  <v:textbox inset="0mm,1.27mm,0mm,1.27mm">
                    <w:txbxContent>
                      <w:p w14:paraId="685BB7AA">
                        <w:pPr>
                          <w:spacing w:line="320" w:lineRule="exact"/>
                          <w:jc w:val="right"/>
                        </w:pPr>
                        <w:r>
                          <w:rPr>
                            <w:rFonts w:hint="eastAsia"/>
                          </w:rPr>
                          <w:t>盐浆</w:t>
                        </w:r>
                      </w:p>
                    </w:txbxContent>
                  </v:textbox>
                </v:shape>
              </w:pict>
            </w:r>
            <w:r>
              <w:rPr>
                <w:rFonts w:ascii="Times New Roman" w:hAnsi="Times New Roman"/>
                <w:sz w:val="24"/>
              </w:rPr>
              <w:pict>
                <v:shape id="_x0000_s2118" o:spid="_x0000_s2118" o:spt="202" type="#_x0000_t202" style="position:absolute;left:0pt;margin-left:351pt;margin-top:18.2pt;height:23.4pt;width:45pt;z-index:251691008;mso-width-relative:page;mso-height-relative:page;" coordsize="21600,21600" o:gfxdata="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Y8+AS9UAAAAJAQAADwAAAAAAAAABACAA&#10;AAAiAAAAZHJzL2Rvd25yZXYueG1sUEsBAhQAFAAAAAgAh07iQKj9T5EQAgAAOgQAAA4AAAAAAAAA&#10;AQAgAAAAJAEAAGRycy9lMm9Eb2MueG1sUEsFBgAAAAAGAAYAWQEAAKYFAAAAAA==&#10;">
                  <v:path/>
                  <v:fill focussize="0,0"/>
                  <v:stroke dashstyle="longDash"/>
                  <v:imagedata o:title=""/>
                  <o:lock v:ext="edit"/>
                  <v:textbox>
                    <w:txbxContent>
                      <w:p w14:paraId="2DF0D98B">
                        <w:pPr>
                          <w:spacing w:line="320" w:lineRule="exact"/>
                          <w:jc w:val="center"/>
                        </w:pPr>
                        <w:r>
                          <w:rPr>
                            <w:rFonts w:hint="eastAsia" w:ascii="宋体" w:hAnsi="宋体"/>
                          </w:rPr>
                          <w:t>干燥</w:t>
                        </w:r>
                      </w:p>
                      <w:p w14:paraId="410FA64F">
                        <w:pPr>
                          <w:spacing w:line="320" w:lineRule="exact"/>
                          <w:jc w:val="center"/>
                        </w:pPr>
                      </w:p>
                      <w:p w14:paraId="0424B148">
                        <w:pPr>
                          <w:spacing w:line="360" w:lineRule="exact"/>
                        </w:pPr>
                        <w:r>
                          <w:rPr>
                            <w:rFonts w:hint="eastAsia"/>
                          </w:rPr>
                          <w:t>滤</w:t>
                        </w:r>
                      </w:p>
                    </w:txbxContent>
                  </v:textbox>
                </v:shape>
              </w:pict>
            </w:r>
            <w:r>
              <w:rPr>
                <w:rFonts w:ascii="Times New Roman" w:hAnsi="Times New Roman"/>
                <w:sz w:val="20"/>
              </w:rPr>
              <w:pict>
                <v:shape id="_x0000_s2119" o:spid="_x0000_s2119" o:spt="202" type="#_x0000_t202" style="position:absolute;left:0pt;margin-left:279pt;margin-top:18.2pt;height:23.4pt;width:45pt;z-index:251732992;mso-width-relative:page;mso-height-relative:page;" filled="f" coordsize="21600,21600" o:gfxdata="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Tt+/tYAAAAJ&#10;AQAADwAAAAAAAAABACAAAAAiAAAAZHJzL2Rvd25yZXYueG1sUEsBAhQAFAAAAAgAh07iQJxpJzMe&#10;AgAARAQAAA4AAAAAAAAAAQAgAAAAJQEAAGRycy9lMm9Eb2MueG1sUEsFBgAAAAAGAAYAWQEAALUF&#10;AAAAAA==&#10;">
                  <v:path/>
                  <v:fill on="f" focussize="0,0"/>
                  <v:stroke joinstyle="miter"/>
                  <v:imagedata o:title=""/>
                  <o:lock v:ext="edit"/>
                  <v:textbox inset="0.5mm,1.27mm,0.5mm,1.27mm">
                    <w:txbxContent>
                      <w:p w14:paraId="0C71E899">
                        <w:pPr>
                          <w:spacing w:line="320" w:lineRule="exact"/>
                          <w:jc w:val="center"/>
                        </w:pPr>
                        <w:r>
                          <w:rPr>
                            <w:rFonts w:hint="eastAsia" w:ascii="宋体" w:hAnsi="宋体"/>
                          </w:rPr>
                          <w:t>离心</w:t>
                        </w:r>
                      </w:p>
                      <w:p w14:paraId="6E4C6CE1">
                        <w:pPr>
                          <w:spacing w:line="320" w:lineRule="exact"/>
                          <w:jc w:val="center"/>
                        </w:pPr>
                      </w:p>
                      <w:p w14:paraId="700DEB7A">
                        <w:pPr>
                          <w:spacing w:line="360" w:lineRule="exact"/>
                        </w:pPr>
                        <w:r>
                          <w:rPr>
                            <w:rFonts w:hint="eastAsia"/>
                          </w:rPr>
                          <w:t>滤</w:t>
                        </w:r>
                      </w:p>
                    </w:txbxContent>
                  </v:textbox>
                </v:shape>
              </w:pict>
            </w:r>
            <w:r>
              <w:rPr>
                <w:rFonts w:ascii="Times New Roman" w:hAnsi="Times New Roman"/>
                <w:sz w:val="24"/>
              </w:rPr>
              <w:pict>
                <v:shape id="_x0000_s2120" o:spid="_x0000_s2120" o:spt="202" type="#_x0000_t202" style="position:absolute;left:0pt;margin-left:207pt;margin-top:18.2pt;height:23.4pt;width:45pt;z-index:251694080;mso-width-relative:page;mso-height-relative:page;" filled="f" coordsize="21600,21600" o:gfxdata="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D5ylTXAAAA&#10;CQEAAA8AAAAAAAAAAQAgAAAAIgAAAGRycy9kb3ducmV2LnhtbFBLAQIUABQAAAAIAIdO4kBAcft8&#10;HgIAAEQEAAAOAAAAAAAAAAEAIAAAACYBAABkcnMvZTJvRG9jLnhtbFBLBQYAAAAABgAGAFkBAAC2&#10;BQAAAAA=&#10;">
                  <v:path/>
                  <v:fill on="f" focussize="0,0"/>
                  <v:stroke joinstyle="miter"/>
                  <v:imagedata o:title=""/>
                  <o:lock v:ext="edit"/>
                  <v:textbox inset="0.5mm,1.27mm,0.5mm,1.27mm">
                    <w:txbxContent>
                      <w:p w14:paraId="0E184550">
                        <w:pPr>
                          <w:spacing w:line="320" w:lineRule="exact"/>
                          <w:jc w:val="center"/>
                        </w:pPr>
                        <w:r>
                          <w:rPr>
                            <w:rFonts w:hint="eastAsia" w:ascii="宋体" w:hAnsi="宋体"/>
                          </w:rPr>
                          <w:t>稠厚器</w:t>
                        </w:r>
                      </w:p>
                      <w:p w14:paraId="00E1EEEA">
                        <w:pPr>
                          <w:spacing w:line="320" w:lineRule="exact"/>
                          <w:jc w:val="center"/>
                        </w:pPr>
                      </w:p>
                      <w:p w14:paraId="7D2B5BB9">
                        <w:pPr>
                          <w:spacing w:line="360" w:lineRule="exact"/>
                        </w:pPr>
                        <w:r>
                          <w:rPr>
                            <w:rFonts w:hint="eastAsia"/>
                          </w:rPr>
                          <w:t>滤</w:t>
                        </w:r>
                      </w:p>
                    </w:txbxContent>
                  </v:textbox>
                </v:shape>
              </w:pict>
            </w:r>
            <w:r>
              <w:rPr>
                <w:rFonts w:ascii="Times New Roman" w:hAnsi="Times New Roman"/>
                <w:sz w:val="24"/>
              </w:rPr>
              <w:pict>
                <v:shape id="_x0000_s2121" o:spid="_x0000_s2121" o:spt="202" type="#_x0000_t202" style="position:absolute;left:0pt;margin-left:117pt;margin-top:18.2pt;height:23.4pt;width:54pt;z-index:251681792;mso-width-relative:page;mso-height-relative:page;" coordsize="21600,21600" o:gfxdata="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4yebTYAAAACQEAAA8AAAAAAAAAAQAg&#10;AAAAIgAAAGRycy9kb3ducmV2LnhtbFBLAQIUABQAAAAIAIdO4kC4qbVmDgIAADkEAAAOAAAAAAAA&#10;AAEAIAAAACcBAABkcnMvZTJvRG9jLnhtbFBLBQYAAAAABgAGAFkBAACnBQAAAAA=&#10;">
                  <v:path/>
                  <v:fill focussize="0,0"/>
                  <v:stroke joinstyle="miter"/>
                  <v:imagedata o:title=""/>
                  <o:lock v:ext="edit"/>
                  <v:textbox>
                    <w:txbxContent>
                      <w:p w14:paraId="67447203">
                        <w:pPr>
                          <w:spacing w:line="320" w:lineRule="exact"/>
                          <w:jc w:val="center"/>
                        </w:pPr>
                        <w:r>
                          <w:rPr>
                            <w:rFonts w:hint="eastAsia" w:ascii="宋体" w:hAnsi="宋体"/>
                          </w:rPr>
                          <w:t>制盐罐</w:t>
                        </w:r>
                      </w:p>
                      <w:p w14:paraId="1BC12CA1">
                        <w:pPr>
                          <w:spacing w:line="320" w:lineRule="exact"/>
                          <w:jc w:val="center"/>
                        </w:pPr>
                      </w:p>
                      <w:p w14:paraId="0DAA6EE2">
                        <w:pPr>
                          <w:spacing w:line="360" w:lineRule="exact"/>
                        </w:pPr>
                        <w:r>
                          <w:rPr>
                            <w:rFonts w:hint="eastAsia"/>
                          </w:rPr>
                          <w:t>滤</w:t>
                        </w:r>
                      </w:p>
                    </w:txbxContent>
                  </v:textbox>
                </v:shape>
              </w:pict>
            </w:r>
          </w:p>
          <w:p w14:paraId="49D39A78">
            <w:pPr>
              <w:pStyle w:val="16"/>
              <w:snapToGrid w:val="0"/>
              <w:spacing w:line="500" w:lineRule="exact"/>
              <w:ind w:firstLine="523"/>
              <w:rPr>
                <w:rFonts w:ascii="Times New Roman" w:hAnsi="Times New Roman"/>
                <w:sz w:val="24"/>
              </w:rPr>
            </w:pPr>
            <w:r>
              <w:rPr>
                <w:rFonts w:ascii="Times New Roman" w:hAnsi="Times New Roman"/>
                <w:sz w:val="20"/>
              </w:rPr>
              <w:pict>
                <v:shape id="_x0000_s2122" o:spid="_x0000_s2122" o:spt="202" type="#_x0000_t202" style="position:absolute;left:0pt;margin-left:72pt;margin-top:24.4pt;height:23.4pt;width:36pt;z-index:251731968;mso-width-relative:page;mso-height-relative:page;" filled="f" stroked="f" coordsize="21600,21600" o:gfxdata="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CnAZkzYAAAACQEAAA8AAAAAAAAAAQAgAAAAIgAAAGRycy9kb3ducmV2&#10;LnhtbFBLAQIUABQAAAAIAIdO4kBd1DBMwwEAAIUDAAAOAAAAAAAAAAEAIAAAACcBAABkcnMvZTJv&#10;RG9jLnhtbFBLBQYAAAAABgAGAFkBAABcBQAAAAA=&#10;">
                  <v:path/>
                  <v:fill on="f" focussize="0,0"/>
                  <v:stroke on="f" joinstyle="miter"/>
                  <v:imagedata o:title=""/>
                  <o:lock v:ext="edit"/>
                  <v:textbox inset="0.5mm,1.27mm,0.5mm,1.27mm">
                    <w:txbxContent>
                      <w:p w14:paraId="15B89047">
                        <w:pPr>
                          <w:pStyle w:val="95"/>
                          <w:widowControl/>
                          <w:rPr>
                            <w:rFonts w:ascii="Times New Roman"/>
                            <w:kern w:val="0"/>
                            <w:szCs w:val="18"/>
                          </w:rPr>
                        </w:pPr>
                        <w:r>
                          <w:rPr>
                            <w:rFonts w:hint="eastAsia" w:ascii="Times New Roman"/>
                            <w:kern w:val="0"/>
                            <w:szCs w:val="18"/>
                          </w:rPr>
                          <w:t>二次汽</w:t>
                        </w:r>
                      </w:p>
                    </w:txbxContent>
                  </v:textbox>
                </v:shape>
              </w:pict>
            </w:r>
            <w:r>
              <w:rPr>
                <w:rFonts w:ascii="Times New Roman" w:hAnsi="Times New Roman"/>
                <w:sz w:val="20"/>
              </w:rPr>
              <w:pict>
                <v:line id="_x0000_s2123" o:spid="_x0000_s2123" o:spt="20" style="position:absolute;left:0pt;margin-left:297pt;margin-top:16.6pt;height:15.6pt;width:0pt;z-index:251771904;mso-width-relative:page;mso-height-relative:page;" coordsize="21600,21600" o:gfxdata="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cqIhONcAAAAJAQAADwAAAAAAAAABACAAAAAiAAAAZHJzL2Rvd25yZXYueG1sUEsB&#10;AhQAFAAAAAgAh07iQLis/WL2AQAA5wMAAA4AAAAAAAAAAQAgAAAAJgEAAGRycy9lMm9Eb2MueG1s&#10;UEsFBgAAAAAGAAYAWQEAAI4FAAAAAA==&#10;">
                  <v:path arrowok="t"/>
                  <v:fill focussize="0,0"/>
                  <v:stroke/>
                  <v:imagedata o:title=""/>
                  <o:lock v:ext="edit"/>
                </v:line>
              </w:pict>
            </w:r>
            <w:r>
              <w:rPr>
                <w:rFonts w:ascii="Times New Roman" w:hAnsi="Times New Roman"/>
                <w:sz w:val="20"/>
              </w:rPr>
              <w:pict>
                <v:line id="_x0000_s2124" o:spid="_x0000_s2124" o:spt="20" style="position:absolute;left:0pt;flip:y;margin-left:153pt;margin-top:16.6pt;height:15.6pt;width:0pt;z-index:251772928;mso-width-relative:page;mso-height-relative:page;" coordsize="21600,21600" o:gfxdata="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&#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gFRkK2AAAAAkBAAAPAAAAAAAAAAEAIAAAACIAAABk&#10;cnMvZG93bnJldi54bWxQSwECFAAUAAAACACHTuJAXf1RFgYCAAD1AwAADgAAAAAAAAABACAAAAAn&#10;AQAAZHJzL2Uyb0RvYy54bWxQSwUGAAAAAAYABgBZAQAAnwUAAAAA&#10;">
                  <v:path arrowok="t"/>
                  <v:fill focussize="0,0"/>
                  <v:stroke endarrow="block"/>
                  <v:imagedata o:title=""/>
                  <o:lock v:ext="edit"/>
                </v:line>
              </w:pict>
            </w:r>
            <w:r>
              <w:rPr>
                <w:rFonts w:ascii="Times New Roman" w:hAnsi="Times New Roman"/>
                <w:sz w:val="20"/>
              </w:rPr>
              <w:pict>
                <v:line id="_x0000_s2125" o:spid="_x0000_s2125" o:spt="20" style="position:absolute;left:0pt;margin-left:18pt;margin-top:8.8pt;height:15.6pt;width:0pt;z-index:251767808;mso-width-relative:page;mso-height-relative:page;" stroked="t" coordsize="21600,21600" o:gfxdata="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ttwcJ1gAAAAcBAAAPAAAAAAAAAAEAIAAAACIAAABkcnMvZG93bnJldi54&#10;bWxQSwECFAAUAAAACACHTuJA6jaGcPwBAADrAwAADgAAAAAAAAABACAAAAAlAQAAZHJzL2Uyb0Rv&#10;Yy54bWxQSwUGAAAAAAYABgBZAQAAkwUAAAAA&#10;">
                  <v:path arrowok="t"/>
                  <v:fill focussize="0,0"/>
                  <v:stroke color="#008000" endarrow="block"/>
                  <v:imagedata o:title=""/>
                  <o:lock v:ext="edit"/>
                </v:line>
              </w:pict>
            </w:r>
            <w:r>
              <w:rPr>
                <w:rFonts w:ascii="Times New Roman" w:hAnsi="Times New Roman"/>
                <w:sz w:val="20"/>
              </w:rPr>
              <w:pict>
                <v:shape id="_x0000_s2126" o:spid="_x0000_s2126" o:spt="202" type="#_x0000_t202" style="position:absolute;left:0pt;margin-left:0pt;margin-top:24.4pt;height:23.4pt;width:45pt;z-index:251766784;mso-width-relative:page;mso-height-relative:page;" filled="f" coordsize="21600,21600" o:gfxdata="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TV8Vg0gAAAAUBAAAP&#10;AAAAAAAAAAEAIAAAACIAAABkcnMvZG93bnJldi54bWxQSwECFAAUAAAACACHTuJAQ4thWh4CAABE&#10;BAAADgAAAAAAAAABACAAAAAhAQAAZHJzL2Uyb0RvYy54bWxQSwUGAAAAAAYABgBZAQAAsQUAAAAA&#10;">
                  <v:path/>
                  <v:fill on="f" focussize="0,0"/>
                  <v:stroke joinstyle="miter"/>
                  <v:imagedata o:title=""/>
                  <o:lock v:ext="edit"/>
                  <v:textbox inset="0.5mm,1.27mm,0.5mm,1.27mm">
                    <w:txbxContent>
                      <w:p w14:paraId="400DFBEC">
                        <w:pPr>
                          <w:spacing w:line="320" w:lineRule="exact"/>
                          <w:jc w:val="center"/>
                        </w:pPr>
                        <w:r>
                          <w:rPr>
                            <w:rFonts w:hint="eastAsia" w:ascii="宋体" w:hAnsi="宋体"/>
                          </w:rPr>
                          <w:t>冷凝器</w:t>
                        </w:r>
                      </w:p>
                      <w:p w14:paraId="1CDD6AFB">
                        <w:pPr>
                          <w:spacing w:line="320" w:lineRule="exact"/>
                          <w:jc w:val="center"/>
                        </w:pPr>
                      </w:p>
                      <w:p w14:paraId="00BBCC9D">
                        <w:pPr>
                          <w:spacing w:line="360" w:lineRule="exact"/>
                        </w:pPr>
                        <w:r>
                          <w:rPr>
                            <w:rFonts w:hint="eastAsia"/>
                          </w:rPr>
                          <w:t>滤</w:t>
                        </w:r>
                      </w:p>
                    </w:txbxContent>
                  </v:textbox>
                </v:shape>
              </w:pict>
            </w:r>
            <w:r>
              <w:rPr>
                <w:rFonts w:ascii="Times New Roman" w:hAnsi="Times New Roman"/>
                <w:sz w:val="20"/>
              </w:rPr>
              <w:pict>
                <v:line id="_x0000_s2127" o:spid="_x0000_s2127" o:spt="20" style="position:absolute;left:0pt;flip:x;margin-left:45pt;margin-top:1pt;height:0pt;width:72pt;z-index:251763712;mso-width-relative:page;mso-height-relative:page;" stroked="t" coordsize="21600,21600" o:gfxdata="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U7wFg0gAAAAYBAAAPAAAAAAAAAAEAIAAAACIAAABkcnMvZG93&#10;bnJldi54bWxQSwECFAAUAAAACACHTuJAVYMMygYCAAD1AwAADgAAAAAAAAABACAAAAAhAQAAZHJz&#10;L2Uyb0RvYy54bWxQSwUGAAAAAAYABgBZAQAAmQUAAAAA&#10;">
                  <v:path arrowok="t"/>
                  <v:fill focussize="0,0"/>
                  <v:stroke color="#008000" endarrow="block"/>
                  <v:imagedata o:title=""/>
                  <o:lock v:ext="edit"/>
                </v:line>
              </w:pict>
            </w:r>
            <w:r>
              <w:rPr>
                <w:rFonts w:ascii="Times New Roman" w:hAnsi="Times New Roman"/>
                <w:sz w:val="20"/>
              </w:rPr>
              <w:pict>
                <v:line id="_x0000_s2128" o:spid="_x0000_s2128" o:spt="20" style="position:absolute;left:0pt;margin-left:324pt;margin-top:8.8pt;height:0pt;width:27pt;z-index:251744256;mso-width-relative:page;mso-height-relative:page;" stroked="t" coordsize="21600,21600" o:gfxdata="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NWVYbWAAAACQEAAA8AAAAAAAAAAQAgAAAAIgAAAGRycy9kb3du&#10;cmV2LnhtbFBLAQIUABQAAAAIAIdO4kBHxvq/AQIAAOsDAAAOAAAAAAAAAAEAIAAAACUBAABkcnMv&#10;ZTJvRG9jLnhtbFBLBQYAAAAABgAGAFkBAACYBQAAAAA=&#10;">
                  <v:path arrowok="t"/>
                  <v:fill focussize="0,0"/>
                  <v:stroke color="#FF0000" endarrow="block"/>
                  <v:imagedata o:title=""/>
                  <o:lock v:ext="edit"/>
                </v:line>
              </w:pict>
            </w:r>
            <w:r>
              <w:rPr>
                <w:rFonts w:ascii="Times New Roman" w:hAnsi="Times New Roman"/>
                <w:sz w:val="24"/>
              </w:rPr>
              <w:pict>
                <v:line id="_x0000_s2129" o:spid="_x0000_s2129" o:spt="20" style="position:absolute;left:0pt;margin-left:252pt;margin-top:8.8pt;height:0pt;width:27pt;z-index:251693056;mso-width-relative:page;mso-height-relative:page;" stroked="t" coordsize="21600,21600" o:gfxdata="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rbIpNYAAAAJAQAADwAAAAAAAAABACAAAAAiAAAAZHJzL2Rvd25y&#10;ZXYueG1sUEsBAhQAFAAAAAgAh07iQJ8eRMgAAgAA6wMAAA4AAAAAAAAAAQAgAAAAJQEAAGRycy9l&#10;Mm9Eb2MueG1sUEsFBgAAAAAGAAYAWQEAAJcFAAAAAA==&#10;">
                  <v:path arrowok="t"/>
                  <v:fill focussize="0,0"/>
                  <v:stroke color="#FF0000" endarrow="block"/>
                  <v:imagedata o:title=""/>
                  <o:lock v:ext="edit"/>
                </v:line>
              </w:pict>
            </w:r>
            <w:r>
              <w:rPr>
                <w:rFonts w:ascii="Times New Roman" w:hAnsi="Times New Roman"/>
                <w:sz w:val="20"/>
              </w:rPr>
              <w:pict>
                <v:line id="_x0000_s2130" o:spid="_x0000_s2130" o:spt="20" style="position:absolute;left:0pt;margin-left:171pt;margin-top:8.8pt;height:0pt;width:36pt;z-index:251734016;mso-width-relative:page;mso-height-relative:page;" stroked="t" coordsize="21600,21600" o:gfxdata="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vgxgz1QAAAAkBAAAPAAAAAAAAAAEAIAAAACIAAABkcnMvZG93bnJl&#10;di54bWxQSwECFAAUAAAACACHTuJA4/Bs5gACAADrAwAADgAAAAAAAAABACAAAAAkAQAAZHJzL2Uy&#10;b0RvYy54bWxQSwUGAAAAAAYABgBZAQAAlgUAAAAA&#10;">
                  <v:path arrowok="t"/>
                  <v:fill focussize="0,0"/>
                  <v:stroke color="#FF0000" endarrow="block"/>
                  <v:imagedata o:title=""/>
                  <o:lock v:ext="edit"/>
                </v:line>
              </w:pict>
            </w:r>
            <w:r>
              <w:rPr>
                <w:rFonts w:ascii="Times New Roman" w:hAnsi="Times New Roman"/>
                <w:sz w:val="20"/>
              </w:rPr>
              <w:pict>
                <v:line id="_x0000_s2131" o:spid="_x0000_s2131" o:spt="20" style="position:absolute;left:0pt;margin-left:63pt;margin-top:8.8pt;height:0pt;width:54pt;z-index:251729920;mso-width-relative:page;mso-height-relative:page;" coordsize="21600,21600" o:gfxdata="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xai5LWAAAACQEAAA8AAAAAAAAAAQAgAAAAIgAAAGRycy9kb3ducmV2&#10;LnhtbFBLAQIUABQAAAAIAIdO4kBGszTs/gEAAOsDAAAOAAAAAAAAAAEAIAAAACUBAABkcnMvZTJv&#10;RG9jLnhtbFBLBQYAAAAABgAGAFkBAACVBQAAAAA=&#10;">
                  <v:path arrowok="t"/>
                  <v:fill focussize="0,0"/>
                  <v:stroke endarrow="block"/>
                  <v:imagedata o:title=""/>
                  <o:lock v:ext="edit"/>
                </v:line>
              </w:pict>
            </w:r>
            <w:r>
              <w:rPr>
                <w:rFonts w:ascii="Times New Roman" w:hAnsi="Times New Roman"/>
                <w:sz w:val="20"/>
              </w:rPr>
              <w:pict>
                <v:line id="_x0000_s2132" o:spid="_x0000_s2132" o:spt="20" style="position:absolute;left:0pt;flip:y;margin-left:63pt;margin-top:8.8pt;height:78pt;width:0pt;z-index:251728896;mso-width-relative:page;mso-height-relative:page;" coordsize="21600,21600" o:gfxdata="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1RYYidMAAAAKAQAADwAAAAAAAAABACAAAAAiAAAAZHJzL2Rvd25yZXYueG1s&#10;UEsBAhQAFAAAAAgAh07iQGyr6CP9AQAA8QMAAA4AAAAAAAAAAQAgAAAAIgEAAGRycy9lMm9Eb2Mu&#10;eG1sUEsFBgAAAAAGAAYAWQEAAJEFAAAAAA==&#10;">
                  <v:path arrowok="t"/>
                  <v:fill focussize="0,0"/>
                  <v:stroke/>
                  <v:imagedata o:title=""/>
                  <o:lock v:ext="edit"/>
                </v:line>
              </w:pict>
            </w:r>
            <w:r>
              <w:rPr>
                <w:rFonts w:ascii="Times New Roman" w:hAnsi="Times New Roman"/>
                <w:sz w:val="20"/>
              </w:rPr>
              <w:pict>
                <v:line id="_x0000_s2133" o:spid="_x0000_s2133" o:spt="20" style="position:absolute;left:0pt;margin-left:135pt;margin-top:16.6pt;height:23.4pt;width:0pt;z-index:251721728;mso-width-relative:page;mso-height-relative:page;" coordsize="21600,21600" o:gfxdata="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HC2IM2AAAAAkBAAAPAAAAAAAAAAEAIAAAACIAAABkcnMvZG93bnJl&#10;di54bWxQSwECFAAUAAAACACHTuJAYaselv0BAADrAwAADgAAAAAAAAABACAAAAAnAQAAZHJzL2Uy&#10;b0RvYy54bWxQSwUGAAAAAAYABgBZAQAAlgUAAAAA&#10;">
                  <v:path arrowok="t"/>
                  <v:fill focussize="0,0"/>
                  <v:stroke endarrow="block"/>
                  <v:imagedata o:title=""/>
                  <o:lock v:ext="edit"/>
                </v:line>
              </w:pict>
            </w:r>
          </w:p>
          <w:p w14:paraId="31843431">
            <w:pPr>
              <w:pStyle w:val="16"/>
              <w:snapToGrid w:val="0"/>
              <w:spacing w:line="500" w:lineRule="exact"/>
              <w:ind w:firstLine="523"/>
              <w:rPr>
                <w:rFonts w:ascii="Times New Roman" w:hAnsi="Times New Roman"/>
                <w:sz w:val="24"/>
              </w:rPr>
            </w:pPr>
            <w:r>
              <w:rPr>
                <w:rFonts w:ascii="Times New Roman" w:hAnsi="Times New Roman"/>
                <w:sz w:val="24"/>
              </w:rPr>
              <w:pict>
                <v:shape id="_x0000_s2134" o:spid="_x0000_s2134" o:spt="202" type="#_x0000_t202" style="position:absolute;left:0pt;margin-left:288.05pt;margin-top:21.4pt;height:23.4pt;width:45pt;z-index:251671552;mso-width-relative:page;mso-height-relative:page;" stroked="f" coordsize="21600,21600" o:gfxdata="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BjNnl9gAAAAJAQAADwAAAAAAAAAB&#10;ACAAAAAiAAAAZHJzL2Rvd25yZXYueG1sUEsBAhQAFAAAAAgAh07iQFaW0cTXAQAApgMAAA4AAAAA&#10;AAAAAQAgAAAAJwEAAGRycy9lMm9Eb2MueG1sUEsFBgAAAAAGAAYAWQEAAHAFAAAAAA==&#10;">
                  <v:path/>
                  <v:fill focussize="0,0"/>
                  <v:stroke on="f" joinstyle="miter"/>
                  <v:imagedata o:title=""/>
                  <o:lock v:ext="edit"/>
                  <v:textbox inset="0mm,1.27mm,0mm,1.27mm">
                    <w:txbxContent>
                      <w:p w14:paraId="603A48F1">
                        <w:pPr>
                          <w:spacing w:line="320" w:lineRule="exact"/>
                          <w:jc w:val="center"/>
                          <w:rPr>
                            <w:vertAlign w:val="subscript"/>
                          </w:rPr>
                        </w:pPr>
                        <w:r>
                          <w:rPr>
                            <w:rFonts w:hint="eastAsia"/>
                          </w:rPr>
                          <w:t>成品盐</w:t>
                        </w:r>
                      </w:p>
                    </w:txbxContent>
                  </v:textbox>
                </v:shape>
              </w:pict>
            </w:r>
            <w:r>
              <w:rPr>
                <w:rFonts w:ascii="Times New Roman" w:hAnsi="Times New Roman"/>
                <w:sz w:val="20"/>
              </w:rPr>
              <w:pict>
                <v:shape id="_x0000_s2135" o:spid="_x0000_s2135" o:spt="202" type="#_x0000_t202" style="position:absolute;left:0pt;margin-left:191.95pt;margin-top:6.1pt;height:23.4pt;width:45pt;z-index:251778048;mso-width-relative:page;mso-height-relative:page;" filled="f" stroked="f" coordsize="21600,21600" o:gfxdata="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WMQY0tkAAAAJAQAADwAAAAAAAAABACAAAAAiAAAAZHJzL2Rvd25yZXYu&#10;eG1sUEsBAhQAFAAAAAgAh07iQMUbRSvBAQAAfQMAAA4AAAAAAAAAAQAgAAAAKAEAAGRycy9lMm9E&#10;b2MueG1sUEsFBgAAAAAGAAYAWQEAAFsFAAAAAA==&#10;">
                  <v:path/>
                  <v:fill on="f" focussize="0,0"/>
                  <v:stroke on="f" joinstyle="miter"/>
                  <v:imagedata o:title=""/>
                  <o:lock v:ext="edit"/>
                  <v:textbox inset="0mm,1.27mm,0mm,1.27mm">
                    <w:txbxContent>
                      <w:p w14:paraId="77682670">
                        <w:pPr>
                          <w:spacing w:line="320" w:lineRule="exact"/>
                          <w:jc w:val="center"/>
                          <w:rPr>
                            <w:vertAlign w:val="subscript"/>
                          </w:rPr>
                        </w:pPr>
                        <w:r>
                          <w:rPr>
                            <w:rFonts w:hint="eastAsia"/>
                          </w:rPr>
                          <w:t>液体回流</w:t>
                        </w:r>
                      </w:p>
                    </w:txbxContent>
                  </v:textbox>
                </v:shape>
              </w:pict>
            </w:r>
            <w:r>
              <w:rPr>
                <w:rFonts w:ascii="Times New Roman" w:hAnsi="Times New Roman"/>
                <w:sz w:val="24"/>
              </w:rPr>
              <w:pict>
                <v:line id="_x0000_s2136" o:spid="_x0000_s2136" o:spt="20" style="position:absolute;left:0pt;margin-left:99pt;margin-top:22.8pt;height:0pt;width:18pt;z-index:251679744;mso-width-relative:page;mso-height-relative:page;" stroked="t" coordsize="21600,21600" o:gfxdata="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2SgR3XAAAACQEAAA8AAAAAAAAAAQAgAAAAIgAAAGRycy9kb3ducmV2&#10;LnhtbFBLAQIUABQAAAAIAIdO4kD8rL8w/QEAAOsDAAAOAAAAAAAAAAEAIAAAACYBAABkcnMvZTJv&#10;RG9jLnhtbFBLBQYAAAAABgAGAFkBAACVBQAAAAA=&#10;">
                  <v:path arrowok="t"/>
                  <v:fill focussize="0,0"/>
                  <v:stroke color="#008000" endarrow="block"/>
                  <v:imagedata o:title=""/>
                  <o:lock v:ext="edit"/>
                </v:line>
              </w:pict>
            </w:r>
            <w:r>
              <w:rPr>
                <w:rFonts w:ascii="Times New Roman" w:hAnsi="Times New Roman"/>
                <w:sz w:val="20"/>
              </w:rPr>
              <w:pict>
                <v:line id="_x0000_s2137" o:spid="_x0000_s2137" o:spt="20" style="position:absolute;left:0pt;margin-left:99pt;margin-top:22.8pt;height:46.8pt;width:0pt;z-index:251787264;mso-width-relative:page;mso-height-relative:page;" stroked="t" coordsize="21600,21600" o:gfxdata="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HfriHaAAAACgEAAA8AAAAAAAAAAQAgAAAAIgAAAGRycy9kb3ducmV2Lnht&#10;bFBLAQIUABQAAAAIAIdO4kCabjsL9wEAAOcDAAAOAAAAAAAAAAEAIAAAACkBAABkcnMvZTJvRG9j&#10;LnhtbFBLBQYAAAAABgAGAFkBAACSBQAAAAA=&#10;">
                  <v:path arrowok="t"/>
                  <v:fill focussize="0,0"/>
                  <v:stroke color="#008000"/>
                  <v:imagedata o:title=""/>
                  <o:lock v:ext="edit"/>
                </v:line>
              </w:pict>
            </w:r>
            <w:r>
              <w:rPr>
                <w:rFonts w:ascii="Times New Roman" w:hAnsi="Times New Roman"/>
                <w:sz w:val="20"/>
              </w:rPr>
              <w:pict>
                <v:line id="_x0000_s2138" o:spid="_x0000_s2138" o:spt="20" style="position:absolute;left:0pt;margin-left:153pt;margin-top:7.2pt;height:0pt;width:144pt;z-index:251773952;mso-width-relative:page;mso-height-relative:page;" coordsize="21600,21600" o:gfxdata="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w2cJa9YAAAAJAQAADwAAAAAAAAABACAAAAAiAAAAZHJzL2Rvd25yZXYueG1sUEsB&#10;AhQAFAAAAAgAh07iQCiT3yT3AQAA6AMAAA4AAAAAAAAAAQAgAAAAJQEAAGRycy9lMm9Eb2MueG1s&#10;UEsFBgAAAAAGAAYAWQEAAI4FAAAAAA==&#10;">
                  <v:path arrowok="t"/>
                  <v:fill focussize="0,0"/>
                  <v:stroke/>
                  <v:imagedata o:title=""/>
                  <o:lock v:ext="edit"/>
                </v:line>
              </w:pict>
            </w:r>
            <w:r>
              <w:rPr>
                <w:rFonts w:ascii="Times New Roman" w:hAnsi="Times New Roman"/>
                <w:sz w:val="20"/>
              </w:rPr>
              <w:pict>
                <v:line id="_x0000_s2139" o:spid="_x0000_s2139" o:spt="20" style="position:absolute;left:0pt;margin-left:18pt;margin-top:22.8pt;height:31.2pt;width:0pt;z-index:251768832;mso-width-relative:page;mso-height-relative:page;" stroked="t" coordsize="21600,21600" o:gfxdata="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vMWWX1gAAAAgBAAAPAAAAAAAAAAEAIAAAACIAAABkcnMvZG93bnJl&#10;di54bWxQSwECFAAUAAAACACHTuJAEw+PMf8BAADsAwAADgAAAAAAAAABACAAAAAlAQAAZHJzL2Uy&#10;b0RvYy54bWxQSwUGAAAAAAYABgBZAQAAlgUAAAAA&#10;">
                  <v:path arrowok="t"/>
                  <v:fill focussize="0,0"/>
                  <v:stroke color="#008000" dashstyle="longDash" endarrow="block"/>
                  <v:imagedata o:title=""/>
                  <o:lock v:ext="edit"/>
                </v:line>
              </w:pict>
            </w:r>
            <w:r>
              <w:rPr>
                <w:rFonts w:ascii="Times New Roman" w:hAnsi="Times New Roman"/>
                <w:sz w:val="20"/>
              </w:rPr>
              <w:pict>
                <v:shape id="_x0000_s2140" o:spid="_x0000_s2140" o:spt="202" type="#_x0000_t202" style="position:absolute;left:0pt;margin-left:117pt;margin-top:15pt;height:23.4pt;width:54pt;z-index:251720704;mso-width-relative:page;mso-height-relative:page;" coordsize="21600,21600" o:gfxdata="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xQYSLZAAAACQEAAA8AAAAAAAAAAQAg&#10;AAAAIgAAAGRycy9kb3ducmV2LnhtbFBLAQIUABQAAAAIAIdO4kAKDmscDQIAADkEAAAOAAAAAAAA&#10;AAEAIAAAACgBAABkcnMvZTJvRG9jLnhtbFBLBQYAAAAABgAGAFkBAACnBQAAAAA=&#10;">
                  <v:path/>
                  <v:fill focussize="0,0"/>
                  <v:stroke joinstyle="miter"/>
                  <v:imagedata o:title=""/>
                  <o:lock v:ext="edit"/>
                  <v:textbox>
                    <w:txbxContent>
                      <w:p w14:paraId="425BE10C">
                        <w:pPr>
                          <w:spacing w:line="320" w:lineRule="exact"/>
                          <w:jc w:val="center"/>
                        </w:pPr>
                        <w:r>
                          <w:rPr>
                            <w:rFonts w:hint="eastAsia" w:ascii="宋体" w:hAnsi="宋体"/>
                          </w:rPr>
                          <w:t>预热</w:t>
                        </w:r>
                      </w:p>
                      <w:p w14:paraId="6A28D681">
                        <w:pPr>
                          <w:spacing w:line="320" w:lineRule="exact"/>
                          <w:jc w:val="center"/>
                        </w:pPr>
                      </w:p>
                      <w:p w14:paraId="697AEB74">
                        <w:pPr>
                          <w:spacing w:line="360" w:lineRule="exact"/>
                        </w:pPr>
                        <w:r>
                          <w:rPr>
                            <w:rFonts w:hint="eastAsia"/>
                          </w:rPr>
                          <w:t>滤</w:t>
                        </w:r>
                      </w:p>
                    </w:txbxContent>
                  </v:textbox>
                </v:shape>
              </w:pict>
            </w:r>
          </w:p>
          <w:p w14:paraId="6F522A31">
            <w:pPr>
              <w:pStyle w:val="16"/>
              <w:snapToGrid w:val="0"/>
              <w:spacing w:line="500" w:lineRule="exact"/>
              <w:ind w:firstLine="523"/>
              <w:rPr>
                <w:rFonts w:ascii="Times New Roman" w:hAnsi="Times New Roman"/>
                <w:sz w:val="24"/>
              </w:rPr>
            </w:pPr>
            <w:r>
              <w:rPr>
                <w:rFonts w:ascii="Times New Roman" w:hAnsi="Times New Roman"/>
                <w:sz w:val="20"/>
              </w:rPr>
              <w:pict>
                <v:shape id="_x0000_s2141" o:spid="_x0000_s2141" o:spt="202" type="#_x0000_t202" style="position:absolute;left:0pt;margin-left:-10.6pt;margin-top:17.4pt;height:23.4pt;width:64.05pt;z-index:251769856;mso-width-relative:page;mso-height-relative:page;" filled="f" stroked="f" coordsize="21600,21600" o:gfxdata="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OSa+xjZAAAACQEAAA8AAAAAAAAAAQAgAAAAIgAAAGRycy9kb3ducmV2&#10;LnhtbFBLAQIUABQAAAAIAIdO4kBnsX54wgEAAH0DAAAOAAAAAAAAAAEAIAAAACgBAABkcnMvZTJv&#10;RG9jLnhtbFBLBQYAAAAABgAGAFkBAABcBQAAAAA=&#10;">
                  <v:path/>
                  <v:fill on="f" focussize="0,0"/>
                  <v:stroke on="f" joinstyle="miter"/>
                  <v:imagedata o:title=""/>
                  <o:lock v:ext="edit"/>
                  <v:textbox inset="0mm,1.27mm,0mm,1.27mm">
                    <w:txbxContent>
                      <w:p w14:paraId="5AC79B1C">
                        <w:pPr>
                          <w:spacing w:line="320" w:lineRule="exact"/>
                          <w:jc w:val="center"/>
                          <w:rPr>
                            <w:sz w:val="18"/>
                            <w:szCs w:val="18"/>
                          </w:rPr>
                        </w:pPr>
                        <w:r>
                          <w:rPr>
                            <w:rFonts w:hint="eastAsia"/>
                            <w:sz w:val="18"/>
                            <w:szCs w:val="18"/>
                          </w:rPr>
                          <w:t>补充冷却W</w:t>
                        </w:r>
                        <w:r>
                          <w:rPr>
                            <w:rFonts w:hint="eastAsia"/>
                            <w:sz w:val="18"/>
                            <w:szCs w:val="18"/>
                            <w:vertAlign w:val="subscript"/>
                          </w:rPr>
                          <w:t>4</w:t>
                        </w:r>
                      </w:p>
                    </w:txbxContent>
                  </v:textbox>
                </v:shape>
              </w:pict>
            </w:r>
            <w:r>
              <w:rPr>
                <w:rFonts w:ascii="Times New Roman" w:hAnsi="Times New Roman"/>
                <w:sz w:val="20"/>
              </w:rPr>
              <w:pict>
                <v:line id="_x0000_s2142" o:spid="_x0000_s2142" o:spt="20" style="position:absolute;left:0pt;margin-left:171pt;margin-top:5.6pt;height:0.15pt;width:90pt;z-index:251743232;mso-width-relative:page;mso-height-relative:page;" stroked="t" coordsize="21600,21600" o:gfxdata="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gaeSdtYAAAAJAQAADwAAAAAAAAABACAAAAAiAAAAZHJzL2Rvd25yZXYueG1s&#10;UEsBAhQAFAAAAAgAh07iQI8QDIL6AQAA7AMAAA4AAAAAAAAAAQAgAAAAJQEAAGRycy9lMm9Eb2Mu&#10;eG1sUEsFBgAAAAAGAAYAWQEAAJEFAAAAAA==&#10;">
                  <v:path arrowok="t"/>
                  <v:fill focussize="0,0"/>
                  <v:stroke color="#008000" dashstyle="longDash"/>
                  <v:imagedata o:title=""/>
                  <o:lock v:ext="edit"/>
                </v:line>
              </w:pict>
            </w:r>
          </w:p>
          <w:p w14:paraId="4CF9D85A">
            <w:pPr>
              <w:pStyle w:val="16"/>
              <w:snapToGrid w:val="0"/>
              <w:spacing w:line="500" w:lineRule="exact"/>
              <w:ind w:firstLine="523"/>
              <w:rPr>
                <w:rFonts w:ascii="Times New Roman" w:hAnsi="Times New Roman"/>
                <w:sz w:val="24"/>
              </w:rPr>
            </w:pPr>
            <w:r>
              <w:rPr>
                <w:rFonts w:ascii="Times New Roman" w:hAnsi="Times New Roman"/>
                <w:sz w:val="20"/>
              </w:rPr>
              <w:pict>
                <v:shape id="_x0000_s2143" o:spid="_x0000_s2143" o:spt="202" type="#_x0000_t202" style="position:absolute;left:0pt;margin-left:117pt;margin-top:11.8pt;height:23.4pt;width:54pt;z-index:251722752;mso-width-relative:page;mso-height-relative:page;" coordsize="21600,21600" o:gfxdata="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OiiWNkAAAAJAQAADwAAAAAAAAABACAA&#10;AAAiAAAAZHJzL2Rvd25yZXYueG1sUEsBAhQAFAAAAAgAh07iQFf/xroMAgAAOQQAAA4AAAAAAAAA&#10;AQAgAAAAKAEAAGRycy9lMm9Eb2MueG1sUEsFBgAAAAAGAAYAWQEAAKYFAAAAAA==&#10;">
                  <v:path/>
                  <v:fill focussize="0,0"/>
                  <v:stroke joinstyle="miter"/>
                  <v:imagedata o:title=""/>
                  <o:lock v:ext="edit"/>
                  <v:textbox>
                    <w:txbxContent>
                      <w:p w14:paraId="7B096ECF">
                        <w:pPr>
                          <w:spacing w:line="320" w:lineRule="exact"/>
                          <w:jc w:val="center"/>
                        </w:pPr>
                        <w:r>
                          <w:rPr>
                            <w:rFonts w:hint="eastAsia" w:ascii="宋体" w:hAnsi="宋体"/>
                          </w:rPr>
                          <w:t>预热</w:t>
                        </w:r>
                      </w:p>
                      <w:p w14:paraId="7487DBDE">
                        <w:pPr>
                          <w:spacing w:line="320" w:lineRule="exact"/>
                          <w:jc w:val="center"/>
                        </w:pPr>
                      </w:p>
                      <w:p w14:paraId="04CA7568">
                        <w:pPr>
                          <w:spacing w:line="360" w:lineRule="exact"/>
                        </w:pPr>
                        <w:r>
                          <w:rPr>
                            <w:rFonts w:hint="eastAsia"/>
                          </w:rPr>
                          <w:t>滤</w:t>
                        </w:r>
                      </w:p>
                    </w:txbxContent>
                  </v:textbox>
                </v:shape>
              </w:pict>
            </w:r>
            <w:r>
              <w:rPr>
                <w:rFonts w:ascii="Times New Roman" w:hAnsi="Times New Roman"/>
                <w:sz w:val="20"/>
              </w:rPr>
              <w:pict>
                <v:line id="_x0000_s2144" o:spid="_x0000_s2144" o:spt="20" style="position:absolute;left:0pt;flip:x;margin-left:81pt;margin-top:19.6pt;height:0pt;width:18pt;z-index:251788288;mso-width-relative:page;mso-height-relative:page;" stroked="t" coordsize="21600,21600" o:gfxdata="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JJFW+NIAAAAJAQAADwAAAAAAAAABACAAAAAiAAAAZHJzL2Rvd25yZXYueG1s&#10;UEsBAhQAFAAAAAgAh07iQJiCKJj+AQAA8QMAAA4AAAAAAAAAAQAgAAAAIQEAAGRycy9lMm9Eb2Mu&#10;eG1sUEsFBgAAAAAGAAYAWQEAAJEFAAAAAA==&#10;">
                  <v:path arrowok="t"/>
                  <v:fill focussize="0,0"/>
                  <v:stroke color="#008000"/>
                  <v:imagedata o:title=""/>
                  <o:lock v:ext="edit"/>
                </v:line>
              </w:pict>
            </w:r>
            <w:r>
              <w:rPr>
                <w:rFonts w:ascii="Times New Roman" w:hAnsi="Times New Roman"/>
                <w:sz w:val="24"/>
              </w:rPr>
              <w:pict>
                <v:shape id="_x0000_s2145" o:spid="_x0000_s2145" o:spt="202" type="#_x0000_t202" style="position:absolute;left:0pt;margin-left:36pt;margin-top:11.8pt;height:23.4pt;width:45pt;z-index:251695104;mso-width-relative:page;mso-height-relative:page;" filled="f" coordsize="21600,21600" o:gfxdata="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O64t9QAAAAIAQAA&#10;DwAAAAAAAAABACAAAAAiAAAAZHJzL2Rvd25yZXYueG1sUEsBAhQAFAAAAAgAh07iQN9YkowdAgAA&#10;RAQAAA4AAAAAAAAAAQAgAAAAIwEAAGRycy9lMm9Eb2MueG1sUEsFBgAAAAAGAAYAWQEAALIFAAAA&#10;AA==&#10;">
                  <v:path/>
                  <v:fill on="f" focussize="0,0"/>
                  <v:stroke joinstyle="miter"/>
                  <v:imagedata o:title=""/>
                  <o:lock v:ext="edit"/>
                  <v:textbox inset="0.5mm,1.27mm,0.5mm,1.27mm">
                    <w:txbxContent>
                      <w:p w14:paraId="2B501FC4">
                        <w:pPr>
                          <w:spacing w:line="320" w:lineRule="exact"/>
                          <w:jc w:val="center"/>
                        </w:pPr>
                        <w:r>
                          <w:rPr>
                            <w:rFonts w:hint="eastAsia" w:ascii="宋体" w:hAnsi="宋体"/>
                          </w:rPr>
                          <w:t>闪发罐</w:t>
                        </w:r>
                      </w:p>
                    </w:txbxContent>
                  </v:textbox>
                </v:shape>
              </w:pict>
            </w:r>
            <w:r>
              <w:rPr>
                <w:rFonts w:ascii="Times New Roman" w:hAnsi="Times New Roman"/>
                <w:sz w:val="20"/>
              </w:rPr>
              <w:pict>
                <v:line id="_x0000_s2146" o:spid="_x0000_s2146" o:spt="20" style="position:absolute;left:0pt;margin-left:135pt;margin-top:-11.6pt;height:23.4pt;width:0pt;z-index:251723776;mso-width-relative:page;mso-height-relative:page;" coordsize="21600,21600" o:gfxdata="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oNj6w2gAAAAoBAAAPAAAAAAAAAAEAIAAAACIAAABkcnMvZG93&#10;bnJldi54bWxQSwECFAAUAAAACACHTuJAmBYq5P4BAADrAwAADgAAAAAAAAABACAAAAApAQAAZHJz&#10;L2Uyb0RvYy54bWxQSwUGAAAAAAYABgBZAQAAmQUAAAAA&#10;">
                  <v:path arrowok="t"/>
                  <v:fill focussize="0,0"/>
                  <v:stroke endarrow="block"/>
                  <v:imagedata o:title=""/>
                  <o:lock v:ext="edit"/>
                </v:line>
              </w:pict>
            </w:r>
          </w:p>
          <w:p w14:paraId="0EBEFFB5">
            <w:pPr>
              <w:pStyle w:val="16"/>
              <w:snapToGrid w:val="0"/>
              <w:spacing w:line="500" w:lineRule="exact"/>
              <w:ind w:firstLine="523"/>
              <w:rPr>
                <w:rFonts w:ascii="Times New Roman" w:hAnsi="Times New Roman"/>
                <w:sz w:val="24"/>
              </w:rPr>
            </w:pPr>
            <w:r>
              <w:rPr>
                <w:rFonts w:ascii="Times New Roman" w:hAnsi="Times New Roman"/>
                <w:sz w:val="24"/>
              </w:rPr>
              <w:pict>
                <v:shape id="_x0000_s2147" o:spid="_x0000_s2147" o:spt="202" type="#_x0000_t202" style="position:absolute;left:0pt;margin-left:207pt;margin-top:2.4pt;height:23.4pt;width:27pt;z-index:251669504;mso-width-relative:page;mso-height-relative:page;" stroked="f" coordsize="21600,21600" o:gfxdata="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PIpnlfXAAAACAEAAA8AAAAAAAAAAQAg&#10;AAAAIgAAAGRycy9kb3ducmV2LnhtbFBLAQIUABQAAAAIAIdO4kB9p5Cv1gEAAKYDAAAOAAAAAAAA&#10;AAEAIAAAACYBAABkcnMvZTJvRG9jLnhtbFBLBQYAAAAABgAGAFkBAABuBQAAAAA=&#10;">
                  <v:path/>
                  <v:fill focussize="0,0"/>
                  <v:stroke on="f" joinstyle="miter"/>
                  <v:imagedata o:title=""/>
                  <o:lock v:ext="edit"/>
                  <v:textbox inset="0mm,1.27mm,0mm,1.27mm">
                    <w:txbxContent>
                      <w:p w14:paraId="55B08D09">
                        <w:pPr>
                          <w:spacing w:line="320" w:lineRule="exact"/>
                          <w:jc w:val="center"/>
                        </w:pPr>
                        <w:r>
                          <w:rPr>
                            <w:rFonts w:hint="eastAsia"/>
                          </w:rPr>
                          <w:t>W</w:t>
                        </w:r>
                        <w:r>
                          <w:rPr>
                            <w:rFonts w:hint="eastAsia"/>
                            <w:vertAlign w:val="subscript"/>
                          </w:rPr>
                          <w:t>3</w:t>
                        </w:r>
                      </w:p>
                    </w:txbxContent>
                  </v:textbox>
                </v:shape>
              </w:pict>
            </w:r>
            <w:r>
              <w:rPr>
                <w:rFonts w:ascii="Times New Roman" w:hAnsi="Times New Roman"/>
                <w:sz w:val="20"/>
              </w:rPr>
              <w:pict>
                <v:line id="_x0000_s2148" o:spid="_x0000_s2148" o:spt="20" style="position:absolute;left:0pt;flip:y;margin-left:153pt;margin-top:10.2pt;height:31.2pt;width:0pt;z-index:251780096;mso-width-relative:page;mso-height-relative:page;" stroked="t" coordsize="21600,21600" o:gfxdata="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8ml6ydUAAAAJAQAADwAAAAAAAAABACAAAAAiAAAAZHJzL2Rv&#10;d25yZXYueG1sUEsBAhQAFAAAAAgAh07iQF43hQ0EAgAA9QMAAA4AAAAAAAAAAQAgAAAAJAEAAGRy&#10;cy9lMm9Eb2MueG1sUEsFBgAAAAAGAAYAWQEAAJoFAAAAAA==&#10;">
                  <v:path arrowok="t"/>
                  <v:fill focussize="0,0"/>
                  <v:stroke color="#008000" endarrow="block"/>
                  <v:imagedata o:title=""/>
                  <o:lock v:ext="edit"/>
                </v:line>
              </w:pict>
            </w:r>
            <w:r>
              <w:rPr>
                <w:rFonts w:ascii="Times New Roman" w:hAnsi="Times New Roman"/>
                <w:sz w:val="24"/>
              </w:rPr>
              <w:pict>
                <v:line id="_x0000_s2149" o:spid="_x0000_s2149" o:spt="20" style="position:absolute;left:0pt;margin-left:63pt;margin-top:10.2pt;height:78pt;width:0pt;z-index:251699200;mso-width-relative:page;mso-height-relative:page;" coordsize="21600,21600" o:gfxdata="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F2LFGtkAAAAKAQAADwAAAAAAAAABACAAAAAiAAAAZHJzL2Rvd25y&#10;ZXYueG1sUEsBAhQAFAAAAAgAh07iQDFZ58v9AQAA6wMAAA4AAAAAAAAAAQAgAAAAKAEAAGRycy9l&#10;Mm9Eb2MueG1sUEsFBgAAAAAGAAYAWQEAAJcFAAAAAA==&#10;">
                  <v:path arrowok="t"/>
                  <v:fill focussize="0,0"/>
                  <v:stroke startarrow="block"/>
                  <v:imagedata o:title=""/>
                  <o:lock v:ext="edit"/>
                </v:line>
              </w:pict>
            </w:r>
            <w:r>
              <w:rPr>
                <w:rFonts w:ascii="Times New Roman" w:hAnsi="Times New Roman"/>
                <w:sz w:val="20"/>
              </w:rPr>
              <w:pict>
                <v:line id="_x0000_s2150" o:spid="_x0000_s2150" o:spt="20" style="position:absolute;left:0pt;margin-left:135pt;margin-top:10.2pt;height:31.2pt;width:0pt;z-index:251725824;mso-width-relative:page;mso-height-relative:page;" coordsize="21600,21600" o:gfxdata="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wVSTR2AAAAAkBAAAPAAAAAAAAAAEAIAAAACIAAABkcnMvZG93bnJl&#10;di54bWxQSwECFAAUAAAACACHTuJAwsMeWP0BAADrAwAADgAAAAAAAAABACAAAAAnAQAAZHJzL2Uy&#10;b0RvYy54bWxQSwUGAAAAAAYABgBZAQAAlgUAAAAA&#10;">
                  <v:path arrowok="t"/>
                  <v:fill focussize="0,0"/>
                  <v:stroke endarrow="block"/>
                  <v:imagedata o:title=""/>
                  <o:lock v:ext="edit"/>
                </v:line>
              </w:pict>
            </w:r>
            <w:r>
              <w:rPr>
                <w:rFonts w:ascii="Times New Roman" w:hAnsi="Times New Roman"/>
                <w:sz w:val="20"/>
              </w:rPr>
              <w:pict>
                <v:shape id="_x0000_s2151" o:spid="_x0000_s2151" o:spt="202" type="#_x0000_t202" style="position:absolute;left:0pt;margin-left:360pt;margin-top:-52.2pt;height:23.4pt;width:45pt;z-index:251749376;mso-width-relative:page;mso-height-relative:page;" stroked="f" coordsize="21600,21600" o:gfxdata="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Agn1mtkAAAAMAQAADwAAAAAAAAAB&#10;ACAAAAAiAAAAZHJzL2Rvd25yZXYueG1sUEsBAhQAFAAAAAgAh07iQP7CxhjWAQAApgMAAA4AAAAA&#10;AAAAAQAgAAAAKAEAAGRycy9lMm9Eb2MueG1sUEsFBgAAAAAGAAYAWQEAAHAFAAAAAA==&#10;">
                  <v:path/>
                  <v:fill focussize="0,0"/>
                  <v:stroke on="f" joinstyle="miter"/>
                  <v:imagedata o:title=""/>
                  <o:lock v:ext="edit"/>
                  <v:textbox inset="0mm,1.27mm,0mm,1.27mm">
                    <w:txbxContent>
                      <w:p w14:paraId="04E11D0C">
                        <w:pPr>
                          <w:spacing w:line="320" w:lineRule="exact"/>
                          <w:jc w:val="center"/>
                          <w:rPr>
                            <w:vertAlign w:val="subscript"/>
                          </w:rPr>
                        </w:pPr>
                        <w:r>
                          <w:rPr>
                            <w:rFonts w:hint="eastAsia"/>
                          </w:rPr>
                          <w:t>G</w:t>
                        </w:r>
                        <w:r>
                          <w:rPr>
                            <w:rFonts w:hint="eastAsia"/>
                            <w:vertAlign w:val="subscript"/>
                          </w:rPr>
                          <w:t>2</w:t>
                        </w:r>
                        <w:r>
                          <w:rPr>
                            <w:rFonts w:hint="eastAsia"/>
                          </w:rPr>
                          <w:t xml:space="preserve"> 硝尘</w:t>
                        </w:r>
                      </w:p>
                    </w:txbxContent>
                  </v:textbox>
                </v:shape>
              </w:pict>
            </w:r>
            <w:r>
              <w:rPr>
                <w:rFonts w:ascii="Times New Roman" w:hAnsi="Times New Roman"/>
                <w:sz w:val="20"/>
              </w:rPr>
              <w:pict>
                <v:line id="_x0000_s2152" o:spid="_x0000_s2152" o:spt="20" style="position:absolute;left:0pt;margin-left:387pt;margin-top:18pt;height:23.4pt;width:0pt;z-index:251753472;mso-width-relative:page;mso-height-relative:page;" stroked="t" coordsize="21600,21600" o:gfxdata="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jXQ7r1wAAAAkBAAAPAAAAAAAAAAEAIAAAACIAAABkcnMvZG93&#10;bnJldi54bWxQSwECFAAUAAAACACHTuJA+Ksg6AECAADrAwAADgAAAAAAAAABACAAAAAmAQAAZHJz&#10;L2Uyb0RvYy54bWxQSwUGAAAAAAYABgBZAQAAmQUAAAAA&#10;">
                  <v:path arrowok="t"/>
                  <v:fill focussize="0,0"/>
                  <v:stroke color="#FF0000" endarrow="block"/>
                  <v:imagedata o:title=""/>
                  <o:lock v:ext="edit"/>
                </v:line>
              </w:pict>
            </w:r>
            <w:r>
              <w:rPr>
                <w:rFonts w:ascii="Times New Roman" w:hAnsi="Times New Roman"/>
                <w:sz w:val="20"/>
              </w:rPr>
              <w:pict>
                <v:line id="_x0000_s2153" o:spid="_x0000_s2153" o:spt="20" style="position:absolute;left:0pt;margin-left:369pt;margin-top:-28.8pt;height:23.7pt;width:0pt;z-index:251752448;mso-width-relative:page;mso-height-relative:page;" stroked="t" coordsize="21600,21600" o:gfxdata="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VEIPzbAAAACwEAAA8AAAAAAAAAAQAgAAAAIgAAAGRycy9k&#10;b3ducmV2LnhtbFBLAQIUABQAAAAIAIdO4kCKNgPd/wEAAOsDAAAOAAAAAAAAAAEAIAAAACoBAABk&#10;cnMvZTJvRG9jLnhtbFBLBQYAAAAABgAGAFkBAACbBQAAAAA=&#10;">
                  <v:path arrowok="t"/>
                  <v:fill focussize="0,0"/>
                  <v:stroke color="#FF0000" startarrow="block"/>
                  <v:imagedata o:title=""/>
                  <o:lock v:ext="edit"/>
                </v:line>
              </w:pict>
            </w:r>
            <w:r>
              <w:rPr>
                <w:rFonts w:ascii="Times New Roman" w:hAnsi="Times New Roman"/>
                <w:sz w:val="20"/>
              </w:rPr>
              <w:pict>
                <v:shape id="_x0000_s2154" o:spid="_x0000_s2154" o:spt="202" type="#_x0000_t202" style="position:absolute;left:0pt;margin-left:351pt;margin-top:-5.4pt;height:23.4pt;width:45pt;z-index:251751424;mso-width-relative:page;mso-height-relative:page;" coordsize="21600,21600" o:gfxdata="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LJ9al2QAAAAoBAAAPAAAAAAAAAAEA&#10;IAAAACIAAABkcnMvZG93bnJldi54bWxQSwECFAAUAAAACACHTuJAH0bWNg4CAAA5BAAADgAAAAAA&#10;AAABACAAAAAoAQAAZHJzL2Uyb0RvYy54bWxQSwUGAAAAAAYABgBZAQAAqAUAAAAA&#10;">
                  <v:path/>
                  <v:fill focussize="0,0"/>
                  <v:stroke joinstyle="miter"/>
                  <v:imagedata o:title=""/>
                  <o:lock v:ext="edit"/>
                  <v:textbox>
                    <w:txbxContent>
                      <w:p w14:paraId="3CC9912E">
                        <w:pPr>
                          <w:spacing w:line="320" w:lineRule="exact"/>
                          <w:jc w:val="center"/>
                        </w:pPr>
                        <w:r>
                          <w:rPr>
                            <w:rFonts w:hint="eastAsia" w:ascii="宋体" w:hAnsi="宋体"/>
                          </w:rPr>
                          <w:t>除尘</w:t>
                        </w:r>
                      </w:p>
                      <w:p w14:paraId="27BC4B02">
                        <w:pPr>
                          <w:spacing w:line="320" w:lineRule="exact"/>
                          <w:jc w:val="center"/>
                        </w:pPr>
                      </w:p>
                      <w:p w14:paraId="7DC8C33F">
                        <w:pPr>
                          <w:spacing w:line="360" w:lineRule="exact"/>
                        </w:pPr>
                        <w:r>
                          <w:rPr>
                            <w:rFonts w:hint="eastAsia"/>
                          </w:rPr>
                          <w:t>滤</w:t>
                        </w:r>
                      </w:p>
                    </w:txbxContent>
                  </v:textbox>
                </v:shape>
              </w:pict>
            </w:r>
            <w:r>
              <w:rPr>
                <w:rFonts w:ascii="Times New Roman" w:hAnsi="Times New Roman"/>
                <w:sz w:val="20"/>
              </w:rPr>
              <w:pict>
                <v:line id="_x0000_s2155" o:spid="_x0000_s2155" o:spt="20" style="position:absolute;left:0pt;margin-left:369pt;margin-top:18pt;height:23.7pt;width:0pt;z-index:251750400;mso-width-relative:page;mso-height-relative:page;" stroked="t" coordsize="21600,21600" o:gfxdata="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UUMotoAAAAJAQAADwAAAAAAAAABACAAAAAiAAAAZHJzL2Rv&#10;d25yZXYueG1sUEsBAhQAFAAAAAgAh07iQKCV1E7/AQAA6wMAAA4AAAAAAAAAAQAgAAAAKQEAAGRy&#10;cy9lMm9Eb2MueG1sUEsFBgAAAAAGAAYAWQEAAJoFAAAAAA==&#10;">
                  <v:path arrowok="t"/>
                  <v:fill focussize="0,0"/>
                  <v:stroke color="#FF0000" startarrow="block"/>
                  <v:imagedata o:title=""/>
                  <o:lock v:ext="edit"/>
                </v:line>
              </w:pict>
            </w:r>
          </w:p>
          <w:p w14:paraId="567220C4">
            <w:pPr>
              <w:pStyle w:val="16"/>
              <w:snapToGrid w:val="0"/>
              <w:spacing w:line="500" w:lineRule="exact"/>
              <w:ind w:firstLine="523"/>
              <w:rPr>
                <w:rFonts w:ascii="Times New Roman" w:hAnsi="Times New Roman"/>
                <w:sz w:val="24"/>
              </w:rPr>
            </w:pPr>
            <w:r>
              <w:rPr>
                <w:rFonts w:ascii="Times New Roman" w:hAnsi="Times New Roman"/>
                <w:sz w:val="20"/>
              </w:rPr>
              <w:pict>
                <v:line id="_x0000_s2156" o:spid="_x0000_s2156" o:spt="20" style="position:absolute;left:0pt;margin-left:162pt;margin-top:0.8pt;height:0pt;width:72pt;z-index:251730944;mso-width-relative:page;mso-height-relative:page;" stroked="t" coordsize="21600,21600" o:gfxdata="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LNytzVAAAABwEAAA8AAAAAAAAAAQAgAAAAIgAAAGRycy9kb3ducmV2&#10;LnhtbFBLAQIUABQAAAAIAIdO4kB1f39//wEAAOwDAAAOAAAAAAAAAAEAIAAAACQBAABkcnMvZTJv&#10;RG9jLnhtbFBLBQYAAAAABgAGAFkBAACVBQAAAAA=&#10;">
                  <v:path arrowok="t"/>
                  <v:fill focussize="0,0"/>
                  <v:stroke color="#0000FF" dashstyle="longDash" endarrow="block"/>
                  <v:imagedata o:title=""/>
                  <o:lock v:ext="edit"/>
                </v:line>
              </w:pict>
            </w:r>
            <w:r>
              <w:rPr>
                <w:rFonts w:ascii="Times New Roman" w:hAnsi="Times New Roman"/>
                <w:sz w:val="20"/>
              </w:rPr>
              <w:pict>
                <v:line id="_x0000_s2157" o:spid="_x0000_s2157" o:spt="20" style="position:absolute;left:0pt;flip:y;margin-left:162pt;margin-top:0.8pt;height:15.6pt;width:0pt;z-index:251792384;mso-width-relative:page;mso-height-relative:page;" stroked="t" coordsize="21600,21600" o:gfxdata="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aubW21gAAAAgBAAAPAAAAAAAAAAEAIAAAACIAAABkcnMvZG93bnJl&#10;di54bWxQSwECFAAUAAAACACHTuJAmKADlv8BAADyAwAADgAAAAAAAAABACAAAAAlAQAAZHJzL2Uy&#10;b0RvYy54bWxQSwUGAAAAAAYABgBZAQAAlgUAAAAA&#10;">
                  <v:path arrowok="t"/>
                  <v:fill focussize="0,0"/>
                  <v:stroke color="#0000FF" dashstyle="longDash"/>
                  <v:imagedata o:title=""/>
                  <o:lock v:ext="edit"/>
                </v:line>
              </w:pict>
            </w:r>
            <w:r>
              <w:rPr>
                <w:rFonts w:ascii="Times New Roman" w:hAnsi="Times New Roman"/>
                <w:sz w:val="20"/>
              </w:rPr>
              <w:pict>
                <v:line id="_x0000_s2158" o:spid="_x0000_s2158" o:spt="20" style="position:absolute;left:0pt;margin-left:99pt;margin-top:0.8pt;height:23.4pt;width:0pt;z-index:251790336;mso-width-relative:page;mso-height-relative:page;" stroked="t" coordsize="21600,21600" o:gfxdata="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B4jD0fXAAAACAEAAA8AAAAAAAAAAQAgAAAAIgAAAGRycy9kb3ducmV2LnhtbFBLAQIU&#10;ABQAAAAIAIdO4kCPlyjI9AEAAOcDAAAOAAAAAAAAAAEAIAAAACYBAABkcnMvZTJvRG9jLnhtbFBL&#10;BQYAAAAABgAGAFkBAACMBQAAAAA=&#10;">
                  <v:path arrowok="t"/>
                  <v:fill focussize="0,0"/>
                  <v:stroke color="#008000"/>
                  <v:imagedata o:title=""/>
                  <o:lock v:ext="edit"/>
                </v:line>
              </w:pict>
            </w:r>
            <w:r>
              <w:rPr>
                <w:rFonts w:ascii="Times New Roman" w:hAnsi="Times New Roman"/>
                <w:sz w:val="20"/>
              </w:rPr>
              <w:pict>
                <v:line id="_x0000_s2159" o:spid="_x0000_s2159" o:spt="20" style="position:absolute;left:0pt;flip:x;margin-left:99pt;margin-top:0.8pt;height:0pt;width:54pt;z-index:251789312;mso-width-relative:page;mso-height-relative:page;" stroked="t" coordsize="21600,21600" o:gfxdata="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3/McDzwAAAAcBAAAPAAAAAAAAAAEAIAAAACIAAABkcnMvZG93bnJldi54bWxQSwEC&#10;FAAUAAAACACHTuJAqfVsq/0BAADxAwAADgAAAAAAAAABACAAAAAeAQAAZHJzL2Uyb0RvYy54bWxQ&#10;SwUGAAAAAAYABgBZAQAAjQUAAAAA&#10;">
                  <v:path arrowok="t"/>
                  <v:fill focussize="0,0"/>
                  <v:stroke color="#008000"/>
                  <v:imagedata o:title=""/>
                  <o:lock v:ext="edit"/>
                </v:line>
              </w:pict>
            </w:r>
          </w:p>
          <w:p w14:paraId="5C12B0EC">
            <w:pPr>
              <w:pStyle w:val="16"/>
              <w:snapToGrid w:val="0"/>
              <w:spacing w:line="500" w:lineRule="exact"/>
              <w:ind w:firstLine="523"/>
              <w:rPr>
                <w:rFonts w:ascii="Times New Roman" w:hAnsi="Times New Roman"/>
                <w:sz w:val="24"/>
              </w:rPr>
            </w:pPr>
            <w:r>
              <w:rPr>
                <w:rFonts w:ascii="Times New Roman" w:hAnsi="Times New Roman"/>
                <w:sz w:val="20"/>
              </w:rPr>
              <w:pict>
                <v:line id="_x0000_s2160" o:spid="_x0000_s2160" o:spt="20" style="position:absolute;left:0pt;margin-left:375.25pt;margin-top:14.55pt;height:23.4pt;width:0pt;z-index:251793408;mso-width-relative:page;mso-height-relative:page;" stroked="t" coordsize="21600,21600" o:gfxdata="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dqFDDWAAAACQEAAA8AAAAAAAAAAQAgAAAAIgAAAGRycy9kb3du&#10;cmV2LnhtbFBLAQIUABQAAAAIAIdO4kD+V5CRAQIAAOsDAAAOAAAAAAAAAAEAIAAAACUBAABkcnMv&#10;ZTJvRG9jLnhtbFBLBQYAAAAABgAGAFkBAACYBQAAAAA=&#10;">
                  <v:path arrowok="t"/>
                  <v:fill focussize="0,0"/>
                  <v:stroke color="#FF0000" endarrow="block"/>
                  <v:imagedata o:title=""/>
                  <o:lock v:ext="edit"/>
                </v:line>
              </w:pict>
            </w:r>
            <w:r>
              <w:rPr>
                <w:rFonts w:ascii="Times New Roman" w:hAnsi="Times New Roman"/>
                <w:sz w:val="24"/>
              </w:rPr>
              <w:pict>
                <v:shape id="_x0000_s2161" o:spid="_x0000_s2161" o:spt="202" type="#_x0000_t202" style="position:absolute;left:0pt;margin-left:36pt;margin-top:7pt;height:23.4pt;width:27pt;z-index:251698176;mso-width-relative:page;mso-height-relative:page;" stroked="f" coordsize="21600,21600" o:gfxdata="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McjhOdYAAAAIAQAADwAAAAAAAAABACAA&#10;AAAiAAAAZHJzL2Rvd25yZXYueG1sUEsBAhQAFAAAAAgAh07iQNT32PrWAQAApgMAAA4AAAAAAAAA&#10;AQAgAAAAJQEAAGRycy9lMm9Eb2MueG1sUEsFBgAAAAAGAAYAWQEAAG0FAAAAAA==&#10;">
                  <v:path/>
                  <v:fill focussize="0,0"/>
                  <v:stroke on="f" joinstyle="miter"/>
                  <v:imagedata o:title=""/>
                  <o:lock v:ext="edit"/>
                  <v:textbox inset="0mm,1.27mm,0mm,1.27mm">
                    <w:txbxContent>
                      <w:p w14:paraId="16EC3A1D">
                        <w:pPr>
                          <w:spacing w:line="320" w:lineRule="exact"/>
                          <w:jc w:val="center"/>
                        </w:pPr>
                        <w:r>
                          <w:rPr>
                            <w:rFonts w:hint="eastAsia"/>
                          </w:rPr>
                          <w:t>母液</w:t>
                        </w:r>
                      </w:p>
                      <w:p w14:paraId="3A32278C"/>
                    </w:txbxContent>
                  </v:textbox>
                </v:shape>
              </w:pict>
            </w:r>
            <w:r>
              <w:rPr>
                <w:rFonts w:ascii="Times New Roman" w:hAnsi="Times New Roman"/>
                <w:sz w:val="20"/>
              </w:rPr>
              <w:pict>
                <v:line id="_x0000_s2162" o:spid="_x0000_s2162" o:spt="20" style="position:absolute;left:0pt;margin-left:99pt;margin-top:-0.8pt;height:0pt;width:18pt;z-index:251791360;mso-width-relative:page;mso-height-relative:page;" stroked="t" coordsize="21600,21600" o:gfxdata="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ZDqEPXAAAACQEAAA8AAAAAAAAAAQAgAAAAIgAAAGRycy9kb3ducmV2&#10;LnhtbFBLAQIUABQAAAAIAIdO4kDG6jzx/QEAAOsDAAAOAAAAAAAAAAEAIAAAACYBAABkcnMvZTJv&#10;RG9jLnhtbFBLBQYAAAAABgAGAFkBAACVBQAAAAA=&#10;">
                  <v:path arrowok="t"/>
                  <v:fill focussize="0,0"/>
                  <v:stroke color="#008000" endarrow="block"/>
                  <v:imagedata o:title=""/>
                  <o:lock v:ext="edit"/>
                </v:line>
              </w:pict>
            </w:r>
            <w:r>
              <w:rPr>
                <w:rFonts w:ascii="Times New Roman" w:hAnsi="Times New Roman"/>
                <w:sz w:val="20"/>
              </w:rPr>
              <w:pict>
                <v:shape id="_x0000_s2163" o:spid="_x0000_s2163" o:spt="202" type="#_x0000_t202" style="position:absolute;left:0pt;margin-left:-9pt;margin-top:-16.4pt;height:23.4pt;width:45pt;z-index:251726848;mso-width-relative:page;mso-height-relative:page;" filled="f" stroked="f" coordsize="21600,21600" o:gfxdata="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b/PaLdYA&#10;AAAJAQAADwAAAAAAAAABACAAAAAiAAAAZHJzL2Rvd25yZXYueG1sUEsBAhQAFAAAAAgAh07iQLSF&#10;PsCvAQAAUQMAAA4AAAAAAAAAAQAgAAAAJQEAAGRycy9lMm9Eb2MueG1sUEsFBgAAAAAGAAYAWQEA&#10;AEYFAAAAAA==&#10;">
                  <v:path/>
                  <v:fill on="f" focussize="0,0"/>
                  <v:stroke on="f" joinstyle="miter"/>
                  <v:imagedata o:title=""/>
                  <o:lock v:ext="edit"/>
                  <v:textbox>
                    <w:txbxContent>
                      <w:p w14:paraId="68AB841F">
                        <w:pPr>
                          <w:spacing w:line="280" w:lineRule="exact"/>
                          <w:rPr>
                            <w:szCs w:val="18"/>
                          </w:rPr>
                        </w:pPr>
                        <w:r>
                          <w:rPr>
                            <w:rFonts w:hint="eastAsia"/>
                            <w:szCs w:val="18"/>
                          </w:rPr>
                          <w:t>蒸汽</w:t>
                        </w:r>
                      </w:p>
                    </w:txbxContent>
                  </v:textbox>
                </v:shape>
              </w:pict>
            </w:r>
            <w:r>
              <w:rPr>
                <w:rFonts w:ascii="Times New Roman" w:hAnsi="Times New Roman"/>
                <w:sz w:val="20"/>
              </w:rPr>
              <w:pict>
                <v:line id="_x0000_s2164" o:spid="_x0000_s2164" o:spt="20" style="position:absolute;left:0pt;margin-left:0pt;margin-top:7pt;height:0pt;width:117pt;z-index:251727872;mso-width-relative:page;mso-height-relative:page;" stroked="t" coordsize="21600,21600" o:gfxdata="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dMzprPAAAABgEAAA8AAAAAAAAAAQAgAAAAIgAAAGRycy9kb3ducmV2LnhtbFBL&#10;AQIUABQAAAAIAIdO4kAkkxko/wEAAOwDAAAOAAAAAAAAAAEAIAAAAB4BAABkcnMvZTJvRG9jLnht&#10;bFBLBQYAAAAABgAGAFkBAACPBQAAAAA=&#10;">
                  <v:path arrowok="t"/>
                  <v:fill focussize="0,0"/>
                  <v:stroke color="#0000FF" endarrow="block"/>
                  <v:imagedata o:title=""/>
                  <o:lock v:ext="edit"/>
                </v:line>
              </w:pict>
            </w:r>
            <w:r>
              <w:rPr>
                <w:rFonts w:ascii="Times New Roman" w:hAnsi="Times New Roman"/>
                <w:sz w:val="24"/>
              </w:rPr>
              <w:pict>
                <v:shape id="_x0000_s2165" o:spid="_x0000_s2165" o:spt="202" type="#_x0000_t202" style="position:absolute;left:0pt;margin-left:171pt;margin-top:-16.4pt;height:23.4pt;width:27pt;z-index:251668480;mso-width-relative:page;mso-height-relative:page;" filled="f" stroked="f" coordsize="21600,21600" o:gfxdata="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QAp1LZAAAACgEAAA8AAAAAAAAAAQAgAAAAIgAAAGRycy9kb3ducmV2&#10;LnhtbFBLAQIUABQAAAAIAIdO4kAmIF27wgEAAH0DAAAOAAAAAAAAAAEAIAAAACgBAABkcnMvZTJv&#10;RG9jLnhtbFBLBQYAAAAABgAGAFkBAABcBQAAAAA=&#10;">
                  <v:path/>
                  <v:fill on="f" focussize="0,0"/>
                  <v:stroke on="f" joinstyle="miter"/>
                  <v:imagedata o:title=""/>
                  <o:lock v:ext="edit"/>
                  <v:textbox inset="0mm,1.27mm,0mm,1.27mm">
                    <w:txbxContent>
                      <w:p w14:paraId="16B05895">
                        <w:pPr>
                          <w:spacing w:line="320" w:lineRule="exact"/>
                          <w:jc w:val="right"/>
                        </w:pPr>
                        <w:r>
                          <w:rPr>
                            <w:rFonts w:hint="eastAsia"/>
                          </w:rPr>
                          <w:t>硝浆</w:t>
                        </w:r>
                      </w:p>
                    </w:txbxContent>
                  </v:textbox>
                </v:shape>
              </w:pict>
            </w:r>
            <w:r>
              <w:rPr>
                <w:rFonts w:ascii="Times New Roman" w:hAnsi="Times New Roman"/>
                <w:sz w:val="20"/>
              </w:rPr>
              <w:pict>
                <v:line id="_x0000_s2166" o:spid="_x0000_s2166" o:spt="20" style="position:absolute;left:0pt;margin-left:324pt;margin-top:7pt;height:0pt;width:27pt;z-index:251746304;mso-width-relative:page;mso-height-relative:page;" stroked="t" coordsize="21600,21600" o:gfxdata="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ltiBJ9QAAAAJAQAADwAAAAAAAAABACAAAAAiAAAAZHJzL2Rvd25yZXYu&#10;eG1sUEsBAhQAFAAAAAgAh07iQKzA1q//AQAA6wMAAA4AAAAAAAAAAQAgAAAAIwEAAGRycy9lMm9E&#10;b2MueG1sUEsFBgAAAAAGAAYAWQEAAJQFAAAAAA==&#10;">
                  <v:path arrowok="t"/>
                  <v:fill focussize="0,0"/>
                  <v:stroke color="#FF0000" endarrow="block"/>
                  <v:imagedata o:title=""/>
                  <o:lock v:ext="edit"/>
                </v:line>
              </w:pict>
            </w:r>
            <w:r>
              <w:rPr>
                <w:rFonts w:ascii="Times New Roman" w:hAnsi="Times New Roman"/>
                <w:sz w:val="20"/>
              </w:rPr>
              <w:pict>
                <v:shape id="_x0000_s2167" o:spid="_x0000_s2167" o:spt="202" type="#_x0000_t202" style="position:absolute;left:0pt;margin-left:351pt;margin-top:-8.6pt;height:23.4pt;width:45pt;z-index:251745280;mso-width-relative:page;mso-height-relative:page;" coordsize="21600,21600" o:gfxdata="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9qE1u2QAAAAoBAAAPAAAAAAAAAAEA&#10;IAAAACIAAABkcnMvZG93bnJldi54bWxQSwECFAAUAAAACACHTuJAZbOWXQ4CAAA5BAAADgAAAAAA&#10;AAABACAAAAAoAQAAZHJzL2Uyb0RvYy54bWxQSwUGAAAAAAYABgBZAQAAqAUAAAAA&#10;">
                  <v:path/>
                  <v:fill focussize="0,0"/>
                  <v:stroke joinstyle="miter"/>
                  <v:imagedata o:title=""/>
                  <o:lock v:ext="edit"/>
                  <v:textbox>
                    <w:txbxContent>
                      <w:p w14:paraId="023D78E5">
                        <w:pPr>
                          <w:spacing w:line="320" w:lineRule="exact"/>
                          <w:jc w:val="center"/>
                        </w:pPr>
                        <w:r>
                          <w:rPr>
                            <w:rFonts w:hint="eastAsia" w:ascii="宋体" w:hAnsi="宋体"/>
                          </w:rPr>
                          <w:t>干燥</w:t>
                        </w:r>
                      </w:p>
                      <w:p w14:paraId="667BF475">
                        <w:pPr>
                          <w:spacing w:line="320" w:lineRule="exact"/>
                          <w:jc w:val="center"/>
                        </w:pPr>
                      </w:p>
                      <w:p w14:paraId="62CF5AA3">
                        <w:pPr>
                          <w:spacing w:line="360" w:lineRule="exact"/>
                        </w:pPr>
                        <w:r>
                          <w:rPr>
                            <w:rFonts w:hint="eastAsia"/>
                          </w:rPr>
                          <w:t>滤</w:t>
                        </w:r>
                      </w:p>
                    </w:txbxContent>
                  </v:textbox>
                </v:shape>
              </w:pict>
            </w:r>
            <w:r>
              <w:rPr>
                <w:rFonts w:ascii="Times New Roman" w:hAnsi="Times New Roman"/>
                <w:sz w:val="20"/>
              </w:rPr>
              <w:pict>
                <v:shape id="_x0000_s2168" o:spid="_x0000_s2168" o:spt="202" type="#_x0000_t202" style="position:absolute;left:0pt;margin-left:207pt;margin-top:-8.6pt;height:23.4pt;width:45pt;z-index:251742208;mso-width-relative:page;mso-height-relative:page;" filled="f" coordsize="21600,21600" o:gfxdata="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2cu4C2AAA&#10;AAoBAAAPAAAAAAAAAAEAIAAAACIAAABkcnMvZG93bnJldi54bWxQSwECFAAUAAAACACHTuJAcnmj&#10;BB4CAABEBAAADgAAAAAAAAABACAAAAAnAQAAZHJzL2Uyb0RvYy54bWxQSwUGAAAAAAYABgBZAQAA&#10;twUAAAAA&#10;">
                  <v:path/>
                  <v:fill on="f" focussize="0,0"/>
                  <v:stroke joinstyle="miter"/>
                  <v:imagedata o:title=""/>
                  <o:lock v:ext="edit"/>
                  <v:textbox inset="0.5mm,1.27mm,0.5mm,1.27mm">
                    <w:txbxContent>
                      <w:p w14:paraId="6B830738">
                        <w:pPr>
                          <w:spacing w:line="320" w:lineRule="exact"/>
                          <w:jc w:val="center"/>
                        </w:pPr>
                        <w:r>
                          <w:rPr>
                            <w:rFonts w:hint="eastAsia" w:ascii="宋体" w:hAnsi="宋体"/>
                          </w:rPr>
                          <w:t>稠厚器</w:t>
                        </w:r>
                      </w:p>
                      <w:p w14:paraId="1D6192F0">
                        <w:pPr>
                          <w:spacing w:line="320" w:lineRule="exact"/>
                          <w:jc w:val="center"/>
                        </w:pPr>
                      </w:p>
                      <w:p w14:paraId="50550128">
                        <w:pPr>
                          <w:spacing w:line="360" w:lineRule="exact"/>
                        </w:pPr>
                        <w:r>
                          <w:rPr>
                            <w:rFonts w:hint="eastAsia"/>
                          </w:rPr>
                          <w:t>滤</w:t>
                        </w:r>
                      </w:p>
                    </w:txbxContent>
                  </v:textbox>
                </v:shape>
              </w:pict>
            </w:r>
            <w:r>
              <w:rPr>
                <w:rFonts w:ascii="Times New Roman" w:hAnsi="Times New Roman"/>
                <w:sz w:val="20"/>
              </w:rPr>
              <w:pict>
                <v:line id="_x0000_s2169" o:spid="_x0000_s2169" o:spt="20" style="position:absolute;left:0pt;margin-left:252pt;margin-top:7pt;height:0pt;width:27pt;z-index:251741184;mso-width-relative:page;mso-height-relative:page;" stroked="t" coordsize="21600,21600" o:gfxdata="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VzgcBdQAAAAJAQAADwAAAAAAAAABACAAAAAiAAAAZHJzL2Rvd25yZXYu&#10;eG1sUEsBAhQAFAAAAAgAh07iQNDuvSz/AQAA6wMAAA4AAAAAAAAAAQAgAAAAIwEAAGRycy9lMm9E&#10;b2MueG1sUEsFBgAAAAAGAAYAWQEAAJQFAAAAAA==&#10;">
                  <v:path arrowok="t"/>
                  <v:fill focussize="0,0"/>
                  <v:stroke color="#FF0000" endarrow="block"/>
                  <v:imagedata o:title=""/>
                  <o:lock v:ext="edit"/>
                </v:line>
              </w:pict>
            </w:r>
            <w:r>
              <w:rPr>
                <w:rFonts w:ascii="Times New Roman" w:hAnsi="Times New Roman"/>
                <w:sz w:val="24"/>
              </w:rPr>
              <w:pict>
                <v:shape id="_x0000_s2170" o:spid="_x0000_s2170" o:spt="202" type="#_x0000_t202" style="position:absolute;left:0pt;margin-left:279pt;margin-top:-8.6pt;height:23.4pt;width:45pt;z-index:251696128;mso-width-relative:page;mso-height-relative:page;" filled="f" coordsize="21600,21600" o:gfxdata="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9VoQ12AAA&#10;AAoBAAAPAAAAAAAAAAEAIAAAACIAAABkcnMvZG93bnJldi54bWxQSwECFAAUAAAACACHTuJAK3O6&#10;MB4CAABEBAAADgAAAAAAAAABACAAAAAnAQAAZHJzL2Uyb0RvYy54bWxQSwUGAAAAAAYABgBZAQAA&#10;twUAAAAA&#10;">
                  <v:path/>
                  <v:fill on="f" focussize="0,0"/>
                  <v:stroke joinstyle="miter"/>
                  <v:imagedata o:title=""/>
                  <o:lock v:ext="edit"/>
                  <v:textbox inset="0.5mm,1.27mm,0.5mm,1.27mm">
                    <w:txbxContent>
                      <w:p w14:paraId="03575959">
                        <w:pPr>
                          <w:spacing w:line="320" w:lineRule="exact"/>
                          <w:jc w:val="center"/>
                        </w:pPr>
                        <w:r>
                          <w:rPr>
                            <w:rFonts w:hint="eastAsia" w:ascii="宋体" w:hAnsi="宋体"/>
                          </w:rPr>
                          <w:t>离心</w:t>
                        </w:r>
                      </w:p>
                      <w:p w14:paraId="5E189730">
                        <w:pPr>
                          <w:spacing w:line="320" w:lineRule="exact"/>
                          <w:jc w:val="center"/>
                        </w:pPr>
                      </w:p>
                      <w:p w14:paraId="1315A969">
                        <w:pPr>
                          <w:spacing w:line="360" w:lineRule="exact"/>
                        </w:pPr>
                        <w:r>
                          <w:rPr>
                            <w:rFonts w:hint="eastAsia"/>
                          </w:rPr>
                          <w:t>滤</w:t>
                        </w:r>
                      </w:p>
                    </w:txbxContent>
                  </v:textbox>
                </v:shape>
              </w:pict>
            </w:r>
            <w:r>
              <w:rPr>
                <w:rFonts w:ascii="Times New Roman" w:hAnsi="Times New Roman"/>
                <w:sz w:val="24"/>
              </w:rPr>
              <w:pict>
                <v:line id="_x0000_s2171" o:spid="_x0000_s2171" o:spt="20" style="position:absolute;left:0pt;margin-left:171pt;margin-top:7pt;height:0pt;width:36pt;z-index:251677696;mso-width-relative:page;mso-height-relative:page;" stroked="t" coordsize="21600,21600" o:gfxdata="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oNzJLRAAAACQEAAA8AAAAAAAAAAQAgAAAAIgAAAGRycy9kb3ducmV2Lnht&#10;bFBLAQIUABQAAAAIAIdO4kB1rJYGAAIAAOsDAAAOAAAAAAAAAAEAIAAAACABAABkcnMvZTJvRG9j&#10;LnhtbFBLBQYAAAAABgAGAFkBAACSBQAAAAA=&#10;">
                  <v:path arrowok="t"/>
                  <v:fill focussize="0,0"/>
                  <v:stroke color="#FF0000" endarrow="block"/>
                  <v:imagedata o:title=""/>
                  <o:lock v:ext="edit"/>
                </v:line>
              </w:pict>
            </w:r>
            <w:r>
              <w:rPr>
                <w:rFonts w:ascii="Times New Roman" w:hAnsi="Times New Roman"/>
                <w:sz w:val="20"/>
              </w:rPr>
              <w:pict>
                <v:shape id="_x0000_s2172" o:spid="_x0000_s2172" o:spt="202" type="#_x0000_t202" style="position:absolute;left:0pt;margin-left:117pt;margin-top:-8.6pt;height:23.4pt;width:54pt;z-index:251724800;mso-width-relative:page;mso-height-relative:page;" coordsize="21600,21600" o:gfxdata="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JHQq7ZAAAACgEAAA8AAAAAAAAAAQAg&#10;AAAAIgAAAGRycy9kb3ducmV2LnhtbFBLAQIUABQAAAAIAIdO4kC7GkYPDQIAADkEAAAOAAAAAAAA&#10;AAEAIAAAACgBAABkcnMvZTJvRG9jLnhtbFBLBQYAAAAABgAGAFkBAACnBQAAAAA=&#10;">
                  <v:path/>
                  <v:fill focussize="0,0"/>
                  <v:stroke joinstyle="miter"/>
                  <v:imagedata o:title=""/>
                  <o:lock v:ext="edit"/>
                  <v:textbox>
                    <w:txbxContent>
                      <w:p w14:paraId="08025591">
                        <w:pPr>
                          <w:spacing w:line="320" w:lineRule="exact"/>
                          <w:jc w:val="center"/>
                          <w:rPr>
                            <w:rFonts w:hAnsi="宋体"/>
                            <w:bCs/>
                          </w:rPr>
                        </w:pPr>
                        <w:r>
                          <w:rPr>
                            <w:rFonts w:hint="eastAsia" w:ascii="宋体" w:hAnsi="宋体"/>
                          </w:rPr>
                          <w:t>制硝罐</w:t>
                        </w:r>
                      </w:p>
                      <w:p w14:paraId="2F8FF140">
                        <w:pPr>
                          <w:spacing w:line="320" w:lineRule="exact"/>
                          <w:jc w:val="center"/>
                        </w:pPr>
                      </w:p>
                      <w:p w14:paraId="388A42B5">
                        <w:pPr>
                          <w:spacing w:line="360" w:lineRule="exact"/>
                        </w:pPr>
                        <w:r>
                          <w:rPr>
                            <w:rFonts w:hint="eastAsia"/>
                          </w:rPr>
                          <w:t>滤</w:t>
                        </w:r>
                      </w:p>
                      <w:p w14:paraId="48859CE0">
                        <w:pPr>
                          <w:spacing w:line="320" w:lineRule="exact"/>
                          <w:jc w:val="center"/>
                        </w:pPr>
                      </w:p>
                      <w:p w14:paraId="7F00E148">
                        <w:pPr>
                          <w:spacing w:line="360" w:lineRule="exact"/>
                        </w:pPr>
                        <w:r>
                          <w:rPr>
                            <w:rFonts w:hint="eastAsia"/>
                          </w:rPr>
                          <w:t>滤</w:t>
                        </w:r>
                      </w:p>
                    </w:txbxContent>
                  </v:textbox>
                </v:shape>
              </w:pict>
            </w:r>
            <w:r>
              <w:rPr>
                <w:rFonts w:ascii="Times New Roman" w:hAnsi="Times New Roman"/>
                <w:sz w:val="20"/>
              </w:rPr>
              <w:pict>
                <v:line id="_x0000_s2173" o:spid="_x0000_s2173" o:spt="20" style="position:absolute;left:0pt;margin-left:153pt;margin-top:30.4pt;height:0pt;width:144pt;z-index:251777024;mso-width-relative:page;mso-height-relative:page;" coordsize="21600,21600" o:gfxdata="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j1gxnNYAAAAJAQAADwAAAAAAAAABACAAAAAiAAAAZHJzL2Rvd25yZXYueG1sUEsB&#10;AhQAFAAAAAgAh07iQHPmSFL3AQAA6AMAAA4AAAAAAAAAAQAgAAAAJQEAAGRycy9lMm9Eb2MueG1s&#10;UEsFBgAAAAAGAAYAWQEAAI4FAAAAAA==&#10;">
                  <v:path arrowok="t"/>
                  <v:fill focussize="0,0"/>
                  <v:stroke/>
                  <v:imagedata o:title=""/>
                  <o:lock v:ext="edit"/>
                </v:line>
              </w:pict>
            </w:r>
            <w:r>
              <w:rPr>
                <w:rFonts w:ascii="Times New Roman" w:hAnsi="Times New Roman"/>
                <w:sz w:val="20"/>
              </w:rPr>
              <w:pict>
                <v:line id="_x0000_s2174" o:spid="_x0000_s2174" o:spt="20" style="position:absolute;left:0pt;flip:y;margin-left:153pt;margin-top:14.8pt;height:15.6pt;width:0pt;z-index:251776000;mso-width-relative:page;mso-height-relative:page;" coordsize="21600,21600" o:gfxdata="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&#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rO0hfYAAAACQEAAA8AAAAAAAAAAQAgAAAAIgAAAGRy&#10;cy9kb3ducmV2LnhtbFBLAQIUABQAAAAIAIdO4kB8QufaBQIAAPUDAAAOAAAAAAAAAAEAIAAAACcB&#10;AABkcnMvZTJvRG9jLnhtbFBLBQYAAAAABgAGAFkBAACeBQAAAAA=&#10;">
                  <v:path arrowok="t"/>
                  <v:fill focussize="0,0"/>
                  <v:stroke endarrow="block"/>
                  <v:imagedata o:title=""/>
                  <o:lock v:ext="edit"/>
                </v:line>
              </w:pict>
            </w:r>
            <w:r>
              <w:rPr>
                <w:rFonts w:ascii="Times New Roman" w:hAnsi="Times New Roman"/>
                <w:sz w:val="20"/>
              </w:rPr>
              <w:pict>
                <v:line id="_x0000_s2175" o:spid="_x0000_s2175" o:spt="20" style="position:absolute;left:0pt;margin-left:297pt;margin-top:14.8pt;height:15.6pt;width:0pt;z-index:251774976;mso-width-relative:page;mso-height-relative:page;" coordsize="21600,21600" o:gfxdata="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OHnqJdcAAAAJAQAADwAAAAAAAAABACAAAAAiAAAAZHJzL2Rvd25yZXYueG1sUEsB&#10;AhQAFAAAAAgAh07iQH2GttP2AQAA5wMAAA4AAAAAAAAAAQAgAAAAJgEAAGRycy9lMm9Eb2MueG1s&#10;UEsFBgAAAAAGAAYAWQEAAI4FAAAAAA==&#10;">
                  <v:path arrowok="t"/>
                  <v:fill focussize="0,0"/>
                  <v:stroke/>
                  <v:imagedata o:title=""/>
                  <o:lock v:ext="edit"/>
                </v:line>
              </w:pict>
            </w:r>
            <w:r>
              <w:rPr>
                <w:rFonts w:ascii="Times New Roman" w:hAnsi="Times New Roman"/>
                <w:sz w:val="20"/>
              </w:rPr>
              <w:pict>
                <v:line id="_x0000_s2176" o:spid="_x0000_s2176" o:spt="20" style="position:absolute;left:0pt;margin-left:135pt;margin-top:14.8pt;height:23.4pt;width:0pt;z-index:251728896;mso-width-relative:page;mso-height-relative:page;" coordsize="21600,21600" o:gfxdata="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bLS3n1gAAAAkBAAAPAAAAAAAAAAEAIAAAACIAAABkcnMvZG93bnJldi54bWxQSwEC&#10;FAAUAAAACACHTuJAVQtZG/YBAADnAwAADgAAAAAAAAABACAAAAAlAQAAZHJzL2Uyb0RvYy54bWxQ&#10;SwUGAAAAAAYABgBZAQAAjQUAAAAA&#10;">
                  <v:path arrowok="t"/>
                  <v:fill focussize="0,0"/>
                  <v:stroke/>
                  <v:imagedata o:title=""/>
                  <o:lock v:ext="edit"/>
                </v:line>
              </w:pict>
            </w:r>
            <w:r>
              <w:rPr>
                <w:rFonts w:ascii="Times New Roman" w:hAnsi="Times New Roman"/>
                <w:sz w:val="20"/>
              </w:rPr>
              <w:pict>
                <v:shape id="_x0000_s2177" o:spid="_x0000_s2177" o:spt="202" type="#_x0000_t202" style="position:absolute;left:0pt;margin-left:252pt;margin-top:22.6pt;height:23.4pt;width:45pt;z-index:251779072;mso-width-relative:page;mso-height-relative:page;" filled="f" stroked="f" coordsize="21600,21600" o:gfxdata="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YDZgBtkAAAAJAQAADwAAAAAAAAABACAAAAAiAAAAZHJzL2Rvd25yZXYu&#10;eG1sUEsBAhQAFAAAAAgAh07iQExqepLBAQAAfQMAAA4AAAAAAAAAAQAgAAAAKAEAAGRycy9lMm9E&#10;b2MueG1sUEsFBgAAAAAGAAYAWQEAAFsFAAAAAA==&#10;">
                  <v:path/>
                  <v:fill on="f" focussize="0,0"/>
                  <v:stroke on="f" joinstyle="miter"/>
                  <v:imagedata o:title=""/>
                  <o:lock v:ext="edit"/>
                  <v:textbox inset="0mm,1.27mm,0mm,1.27mm">
                    <w:txbxContent>
                      <w:p w14:paraId="088FE66E">
                        <w:pPr>
                          <w:spacing w:line="320" w:lineRule="exact"/>
                          <w:jc w:val="center"/>
                          <w:rPr>
                            <w:vertAlign w:val="subscript"/>
                          </w:rPr>
                        </w:pPr>
                        <w:r>
                          <w:rPr>
                            <w:rFonts w:hint="eastAsia"/>
                          </w:rPr>
                          <w:t>液体回流</w:t>
                        </w:r>
                      </w:p>
                    </w:txbxContent>
                  </v:textbox>
                </v:shape>
              </w:pict>
            </w:r>
          </w:p>
          <w:p w14:paraId="035A6568">
            <w:pPr>
              <w:pStyle w:val="16"/>
              <w:snapToGrid w:val="0"/>
              <w:spacing w:line="500" w:lineRule="exact"/>
              <w:ind w:firstLine="523"/>
              <w:rPr>
                <w:rFonts w:ascii="Times New Roman" w:hAnsi="Times New Roman"/>
                <w:sz w:val="24"/>
              </w:rPr>
            </w:pPr>
            <w:r>
              <w:rPr>
                <w:rFonts w:ascii="Times New Roman" w:hAnsi="Times New Roman"/>
                <w:sz w:val="24"/>
              </w:rPr>
              <w:pict>
                <v:shape id="_x0000_s2178" o:spid="_x0000_s2178" o:spt="202" type="#_x0000_t202" style="position:absolute;left:0pt;margin-left:352.8pt;margin-top:13.65pt;height:23.4pt;width:45pt;z-index:251667456;mso-width-relative:page;mso-height-relative:page;" stroked="f" coordsize="21600,21600" o:gfxdata="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D9ETadcAAAAJAQAADwAAAAAAAAABACAA&#10;AAAiAAAAZHJzL2Rvd25yZXYueG1sUEsBAhQAFAAAAAgAh07iQJe3zCzVAQAApgMAAA4AAAAAAAAA&#10;AQAgAAAAJgEAAGRycy9lMm9Eb2MueG1sUEsFBgAAAAAGAAYAWQEAAG0FAAAAAA==&#10;">
                  <v:path/>
                  <v:fill focussize="0,0"/>
                  <v:stroke on="f" joinstyle="miter"/>
                  <v:imagedata o:title=""/>
                  <o:lock v:ext="edit"/>
                  <v:textbox inset="0mm,1.27mm,0mm,1.27mm">
                    <w:txbxContent>
                      <w:p w14:paraId="5D9A6C7B">
                        <w:pPr>
                          <w:spacing w:line="320" w:lineRule="exact"/>
                          <w:jc w:val="center"/>
                        </w:pPr>
                        <w:r>
                          <w:rPr>
                            <w:rFonts w:hint="eastAsia"/>
                          </w:rPr>
                          <w:t>成品硝</w:t>
                        </w:r>
                      </w:p>
                    </w:txbxContent>
                  </v:textbox>
                </v:shape>
              </w:pict>
            </w:r>
            <w:r>
              <w:rPr>
                <w:rFonts w:ascii="Times New Roman" w:hAnsi="Times New Roman"/>
                <w:sz w:val="24"/>
              </w:rPr>
              <w:pict>
                <v:line id="_x0000_s2179" o:spid="_x0000_s2179" o:spt="20" style="position:absolute;left:0pt;margin-left:63pt;margin-top:13.2pt;height:0pt;width:72pt;z-index:251697152;mso-width-relative:page;mso-height-relative:page;" coordsize="21600,21600" o:gfxdata="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SiezVAAAACQEAAA8AAAAAAAAAAQAgAAAAIgAAAGRycy9kb3ducmV2LnhtbFBLAQIU&#10;ABQAAAAIAIdO4kCnLCkN9gEAAOcDAAAOAAAAAAAAAAEAIAAAACQBAABkcnMvZTJvRG9jLnhtbFBL&#10;BQYAAAAABgAGAFkBAACMBQAAAAA=&#10;">
                  <v:path arrowok="t"/>
                  <v:fill focussize="0,0"/>
                  <v:stroke/>
                  <v:imagedata o:title=""/>
                  <o:lock v:ext="edit"/>
                </v:line>
              </w:pict>
            </w:r>
          </w:p>
          <w:p w14:paraId="40FE6DD4">
            <w:pPr>
              <w:pStyle w:val="16"/>
              <w:snapToGrid w:val="0"/>
              <w:spacing w:line="500" w:lineRule="exact"/>
              <w:ind w:firstLine="523"/>
              <w:rPr>
                <w:rFonts w:ascii="Times New Roman" w:hAnsi="Times New Roman"/>
                <w:sz w:val="24"/>
              </w:rPr>
            </w:pPr>
          </w:p>
          <w:p w14:paraId="6DA00168">
            <w:pPr>
              <w:adjustRightInd w:val="0"/>
              <w:snapToGrid w:val="0"/>
              <w:spacing w:line="360" w:lineRule="auto"/>
              <w:jc w:val="center"/>
              <w:rPr>
                <w:rFonts w:hint="eastAsia" w:eastAsia="仿宋_GB2312"/>
                <w:b/>
                <w:color w:val="000000"/>
                <w:kern w:val="0"/>
              </w:rPr>
            </w:pPr>
          </w:p>
          <w:p w14:paraId="374A333A">
            <w:pPr>
              <w:adjustRightInd w:val="0"/>
              <w:snapToGrid w:val="0"/>
              <w:spacing w:line="360" w:lineRule="auto"/>
              <w:jc w:val="center"/>
              <w:rPr>
                <w:rFonts w:hint="eastAsia" w:eastAsia="仿宋_GB2312"/>
                <w:b/>
                <w:color w:val="000000"/>
                <w:kern w:val="0"/>
              </w:rPr>
            </w:pPr>
          </w:p>
          <w:p w14:paraId="397BBC5A">
            <w:pPr>
              <w:adjustRightInd w:val="0"/>
              <w:snapToGrid w:val="0"/>
              <w:spacing w:line="360" w:lineRule="auto"/>
              <w:jc w:val="center"/>
              <w:rPr>
                <w:rFonts w:hint="eastAsia" w:eastAsia="仿宋_GB2312"/>
                <w:b/>
                <w:color w:val="000000"/>
                <w:kern w:val="0"/>
              </w:rPr>
            </w:pPr>
            <w:r>
              <w:pict>
                <v:shape id="_x0000_s2611" o:spid="_x0000_s2611" o:spt="202" type="#_x0000_t202" style="position:absolute;left:0pt;margin-left:309.2pt;margin-top:-46.2pt;height:78pt;width:90pt;z-index:251927552;mso-width-relative:page;mso-height-relative:page;" fillcolor="#FFFFFF" filled="t" stroked="f" coordsize="21600,21600" o:gfxdata="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ob9Fy9MAAAAFAQAADwAAAAAAAAAB&#10;ACAAAAAiAAAAZHJzL2Rvd25yZXYueG1sUEsBAhQAFAAAAAgAh07iQASGWrvcAQAArwMAAA4AAAAA&#10;AAAAAQAgAAAAIgEAAGRycy9lMm9Eb2MueG1sUEsFBgAAAAAGAAYAWQEAAHAFAAAAAA==&#10;">
                  <v:path/>
                  <v:fill on="t" focussize="0,0"/>
                  <v:stroke on="f"/>
                  <v:imagedata o:title=""/>
                  <o:lock v:ext="edit" aspectratio="f"/>
                  <v:textbox inset="0mm,1.27mm,0mm,1.27mm">
                    <w:txbxContent>
                      <w:p w14:paraId="199EB5A9">
                        <w:pPr>
                          <w:snapToGrid w:val="0"/>
                          <w:jc w:val="center"/>
                          <w:rPr>
                            <w:rFonts w:hint="eastAsia" w:eastAsia="黑体"/>
                            <w:sz w:val="21"/>
                            <w:szCs w:val="21"/>
                          </w:rPr>
                        </w:pPr>
                        <w:r>
                          <w:rPr>
                            <w:rFonts w:hint="eastAsia" w:eastAsia="黑体"/>
                            <w:sz w:val="21"/>
                            <w:szCs w:val="21"/>
                          </w:rPr>
                          <w:t>图    例</w:t>
                        </w:r>
                      </w:p>
                      <w:p w14:paraId="3311AF55">
                        <w:pPr>
                          <w:snapToGrid w:val="0"/>
                          <w:ind w:firstLine="987" w:firstLineChars="470"/>
                          <w:jc w:val="both"/>
                          <w:rPr>
                            <w:rFonts w:hint="eastAsia"/>
                            <w:sz w:val="21"/>
                            <w:szCs w:val="21"/>
                          </w:rPr>
                        </w:pPr>
                        <w:r>
                          <w:rPr>
                            <w:rFonts w:hint="eastAsia"/>
                            <w:sz w:val="21"/>
                            <w:szCs w:val="21"/>
                          </w:rPr>
                          <w:t>蒸汽</w:t>
                        </w:r>
                      </w:p>
                      <w:p w14:paraId="0824D51B">
                        <w:pPr>
                          <w:snapToGrid w:val="0"/>
                          <w:ind w:firstLine="987" w:firstLineChars="470"/>
                          <w:jc w:val="both"/>
                          <w:rPr>
                            <w:rFonts w:hint="eastAsia"/>
                            <w:sz w:val="21"/>
                            <w:szCs w:val="21"/>
                          </w:rPr>
                        </w:pPr>
                        <w:r>
                          <w:rPr>
                            <w:rFonts w:hint="eastAsia"/>
                            <w:sz w:val="21"/>
                            <w:szCs w:val="21"/>
                          </w:rPr>
                          <w:t>二次汽</w:t>
                        </w:r>
                      </w:p>
                      <w:p w14:paraId="114E3DEC">
                        <w:pPr>
                          <w:snapToGrid w:val="0"/>
                          <w:ind w:firstLine="987" w:firstLineChars="470"/>
                          <w:jc w:val="both"/>
                          <w:rPr>
                            <w:rFonts w:hint="eastAsia"/>
                            <w:sz w:val="21"/>
                            <w:szCs w:val="21"/>
                          </w:rPr>
                        </w:pPr>
                        <w:r>
                          <w:rPr>
                            <w:rFonts w:hint="eastAsia"/>
                            <w:sz w:val="21"/>
                            <w:szCs w:val="21"/>
                          </w:rPr>
                          <w:t>冷凝水</w:t>
                        </w:r>
                      </w:p>
                      <w:p w14:paraId="6A1DC263">
                        <w:pPr>
                          <w:snapToGrid w:val="0"/>
                          <w:ind w:firstLine="359" w:firstLineChars="171"/>
                          <w:jc w:val="both"/>
                        </w:pPr>
                        <w:r>
                          <w:rPr>
                            <w:rFonts w:hint="eastAsia"/>
                            <w:sz w:val="21"/>
                            <w:szCs w:val="21"/>
                          </w:rPr>
                          <w:t xml:space="preserve">      盐、硝</w:t>
                        </w:r>
                      </w:p>
                    </w:txbxContent>
                  </v:textbox>
                </v:shape>
              </w:pict>
            </w:r>
            <w:r>
              <w:pict>
                <v:line id="_x0000_s2612" o:spid="_x0000_s2612" o:spt="20" style="position:absolute;left:0pt;margin-left:318.2pt;margin-top:-22.8pt;height:0pt;width:36pt;z-index:251927552;mso-width-relative:page;mso-height-relative:page;" filled="f" stroked="t" coordsize="21600,21600" o:gfxdata="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DR6MCc4AAAAHAQAADwAAAAAAAAABACAAAAAiAAAAZHJzL2Rv&#10;d25yZXYueG1sUEsBAhQAFAAAAAgAh07iQLU6x6MLAgAA8wMAAA4AAAAAAAAAAQAgAAAAHQEAAGRy&#10;cy9lMm9Eb2MueG1sUEsFBgAAAAAGAAYAWQEAAJoFAAAAAA==&#10;">
                  <v:path arrowok="t"/>
                  <v:fill on="f" focussize="0,0"/>
                  <v:stroke color="#0000FF" joinstyle="round" endarrow="block"/>
                  <v:imagedata o:title=""/>
                  <o:lock v:ext="edit" aspectratio="f"/>
                </v:line>
              </w:pict>
            </w:r>
            <w:r>
              <w:pict>
                <v:line id="直接连接符 6" o:spid="_x0000_s2613" o:spt="20" style="position:absolute;left:0pt;flip:y;margin-left:336.2pt;margin-top:-9.45pt;height:0pt;width:18pt;z-index:251927552;mso-width-relative:page;mso-height-relative:page;" filled="f" stroked="t" coordsize="21600,21600" o:gfxdata="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AWRkz0gAAAAcBAAAPAAAAAAAAAAEAIAAA&#10;ACIAAABkcnMvZG93bnJldi54bWxQSwECFAAUAAAACACHTuJA3vP6DhICAAD9AwAADgAAAAAAAAAB&#10;ACAAAAAhAQAAZHJzL2Uyb0RvYy54bWxQSwUGAAAAAAYABgBZAQAApQUAAAAA&#10;">
                  <v:path arrowok="t"/>
                  <v:fill on="f" focussize="0,0"/>
                  <v:stroke color="#339966" joinstyle="round" endarrow="block"/>
                  <v:imagedata o:title=""/>
                  <o:lock v:ext="edit" aspectratio="f"/>
                </v:line>
              </w:pict>
            </w:r>
            <w:r>
              <w:pict>
                <v:line id="直接连接符 10" o:spid="_x0000_s2614" o:spt="20" style="position:absolute;left:0pt;margin-left:318.2pt;margin-top:-9.45pt;height:0pt;width:18pt;z-index:251927552;mso-width-relative:page;mso-height-relative:page;" filled="f" stroked="t" coordsize="21600,21600" o:gfxdata="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pIUB41wAAAAcBAAAPAAAAAAAAAAEAIAAAACIA&#10;AABkcnMvZG93bnJldi54bWxQSwECFAAUAAAACACHTuJAur1IGQoCAAD1AwAADgAAAAAAAAABACAA&#10;AAAmAQAAZHJzL2Uyb0RvYy54bWxQSwUGAAAAAAYABgBZAQAAogUAAAAA&#10;">
                  <v:path arrowok="t"/>
                  <v:fill on="f" focussize="0,0"/>
                  <v:stroke color="#800000" joinstyle="round" endarrow="block"/>
                  <v:imagedata o:title=""/>
                  <o:lock v:ext="edit" aspectratio="f"/>
                </v:line>
              </w:pict>
            </w:r>
            <w:r>
              <w:pict>
                <v:line id="直接连接符 11" o:spid="_x0000_s2615" o:spt="20" style="position:absolute;left:0pt;flip:y;margin-left:336.95pt;margin-top:5.4pt;height:0pt;width:18pt;z-index:251927552;mso-width-relative:page;mso-height-relative:page;" filled="f" stroked="t" coordsize="21600,21600" o:gfxdata="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1knOj1QAAAAkBAAAPAAAAAAAA&#10;AAEAIAAAACIAAABkcnMvZG93bnJldi54bWxQSwECFAAUAAAACACHTuJAFR2KyBUCAAAABAAADgAA&#10;AAAAAAABACAAAAAkAQAAZHJzL2Uyb0RvYy54bWxQSwUGAAAAAAYABgBZAQAAqwUAAAAA&#10;">
                  <v:path arrowok="t"/>
                  <v:fill on="f" focussize="0,0"/>
                  <v:stroke color="#339966" joinstyle="round" dashstyle="longDash" endarrow="block"/>
                  <v:imagedata o:title=""/>
                  <o:lock v:ext="edit" aspectratio="f"/>
                </v:line>
              </w:pict>
            </w:r>
            <w:r>
              <w:pict>
                <v:line id="直接连接符 15" o:spid="_x0000_s2616" o:spt="20" style="position:absolute;left:0pt;margin-left:318.95pt;margin-top:5.4pt;height:0pt;width:18pt;z-index:251927552;mso-width-relative:page;mso-height-relative:page;" filled="f" stroked="t" coordsize="21600,21600" o:gfxdata="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MNNEwNgAAAAJAQAADwAAAAAAAAABACAAAAAi&#10;AAAAZHJzL2Rvd25yZXYueG1sUEsBAhQAFAAAAAgAh07iQB3+V2wKAgAA9gMAAA4AAAAAAAAAAQAg&#10;AAAAJwEAAGRycy9lMm9Eb2MueG1sUEsFBgAAAAAGAAYAWQEAAKMFAAAAAA==&#10;">
                  <v:path arrowok="t"/>
                  <v:fill on="f" focussize="0,0"/>
                  <v:stroke color="#800000" joinstyle="round" dashstyle="longDash" endarrow="block"/>
                  <v:imagedata o:title=""/>
                  <o:lock v:ext="edit" aspectratio="f"/>
                </v:line>
              </w:pict>
            </w:r>
            <w:r>
              <w:pict>
                <v:line id="_x0000_s2617" o:spid="_x0000_s2617" o:spt="20" style="position:absolute;left:0pt;margin-left:319.05pt;margin-top:18.6pt;height:0pt;width:36pt;z-index:251928576;mso-width-relative:page;mso-height-relative:page;" filled="f" stroked="t" coordsize="21600,21600" o:gfxdata="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OL9wtAAAAABAQAADwAAAAAAAAABACAAAAAiAAAAZHJz&#10;L2Rvd25yZXYueG1sUEsBAhQAFAAAAAgAh07iQCCRO7QMAgAA8wMAAA4AAAAAAAAAAQAgAAAAHwEA&#10;AGRycy9lMm9Eb2MueG1sUEsFBgAAAAAGAAYAWQEAAJ0FAAAAAA==&#10;">
                  <v:path arrowok="t"/>
                  <v:fill on="f" focussize="0,0"/>
                  <v:stroke color="#FF0000" joinstyle="round" endarrow="block"/>
                  <v:imagedata o:title=""/>
                  <o:lock v:ext="edit" aspectratio="f"/>
                </v:line>
              </w:pict>
            </w:r>
          </w:p>
          <w:p w14:paraId="75E13FA9">
            <w:pPr>
              <w:adjustRightInd w:val="0"/>
              <w:snapToGrid w:val="0"/>
              <w:spacing w:line="360" w:lineRule="auto"/>
              <w:jc w:val="center"/>
              <w:rPr>
                <w:rFonts w:hint="eastAsia" w:eastAsia="仿宋_GB2312"/>
                <w:b/>
                <w:color w:val="000000"/>
                <w:kern w:val="0"/>
              </w:rPr>
            </w:pPr>
          </w:p>
          <w:p w14:paraId="2C643283">
            <w:pPr>
              <w:adjustRightInd w:val="0"/>
              <w:snapToGrid w:val="0"/>
              <w:spacing w:line="360" w:lineRule="auto"/>
              <w:jc w:val="center"/>
              <w:rPr>
                <w:rFonts w:eastAsia="仿宋_GB2312"/>
                <w:b/>
                <w:color w:val="000000"/>
                <w:kern w:val="0"/>
              </w:rPr>
            </w:pPr>
            <w:r>
              <w:rPr>
                <w:rFonts w:hint="eastAsia" w:eastAsia="仿宋_GB2312"/>
                <w:b/>
                <w:color w:val="000000"/>
                <w:kern w:val="0"/>
              </w:rPr>
              <w:t>图2-</w:t>
            </w:r>
            <w:r>
              <w:rPr>
                <w:rFonts w:hint="eastAsia" w:eastAsia="仿宋_GB2312"/>
                <w:b/>
                <w:color w:val="000000"/>
                <w:kern w:val="0"/>
                <w:lang w:val="en-US" w:eastAsia="zh-CN"/>
              </w:rPr>
              <w:t xml:space="preserve">9  </w:t>
            </w:r>
            <w:r>
              <w:rPr>
                <w:rFonts w:hint="eastAsia" w:eastAsia="仿宋_GB2312"/>
                <w:b/>
                <w:color w:val="000000"/>
                <w:kern w:val="0"/>
              </w:rPr>
              <w:t>真空制盐（二期）</w:t>
            </w:r>
            <w:r>
              <w:rPr>
                <w:rFonts w:hint="eastAsia" w:eastAsia="仿宋_GB2312"/>
                <w:b/>
                <w:color w:val="000000"/>
                <w:kern w:val="0"/>
                <w:lang w:val="en-US" w:eastAsia="zh-CN"/>
              </w:rPr>
              <w:t>100万t/a</w:t>
            </w:r>
            <w:r>
              <w:rPr>
                <w:rFonts w:hint="eastAsia" w:eastAsia="仿宋_GB2312"/>
                <w:b/>
                <w:color w:val="000000"/>
                <w:kern w:val="0"/>
              </w:rPr>
              <w:t>生产工艺流程及产污环节示意图</w:t>
            </w:r>
          </w:p>
          <w:p w14:paraId="7CA1B913">
            <w:pPr>
              <w:keepNext/>
              <w:keepLines/>
              <w:adjustRightInd w:val="0"/>
              <w:snapToGrid w:val="0"/>
              <w:spacing w:line="360" w:lineRule="auto"/>
              <w:ind w:firstLine="422" w:firstLineChars="200"/>
              <w:rPr>
                <w:rFonts w:eastAsia="仿宋_GB2312"/>
                <w:b/>
                <w:bCs/>
              </w:rPr>
            </w:pPr>
            <w:r>
              <w:rPr>
                <w:rFonts w:hint="eastAsia" w:eastAsia="仿宋_GB2312"/>
                <w:b/>
                <w:bCs/>
              </w:rPr>
              <w:t>工艺流程简述：</w:t>
            </w:r>
          </w:p>
          <w:p w14:paraId="22D567A6">
            <w:pPr>
              <w:pStyle w:val="16"/>
              <w:snapToGrid w:val="0"/>
              <w:spacing w:line="360" w:lineRule="auto"/>
              <w:ind w:firstLine="420" w:firstLineChars="200"/>
              <w:rPr>
                <w:rFonts w:ascii="Times New Roman" w:hAnsi="Times New Roman" w:eastAsia="仿宋_GB2312"/>
                <w:szCs w:val="21"/>
              </w:rPr>
            </w:pPr>
            <w:r>
              <w:rPr>
                <w:rFonts w:ascii="Times New Roman" w:hAnsi="Times New Roman" w:eastAsia="仿宋_GB2312"/>
                <w:szCs w:val="21"/>
              </w:rPr>
              <w:t>目前真空制盐的生产工艺主要为卤水净化处理、真空制盐和提硝三部分组成，其中真空制盐和提硝位于同一车间。</w:t>
            </w:r>
          </w:p>
          <w:p w14:paraId="22850A6A">
            <w:pPr>
              <w:pStyle w:val="16"/>
              <w:snapToGrid w:val="0"/>
              <w:spacing w:line="360" w:lineRule="auto"/>
              <w:ind w:firstLine="420" w:firstLineChars="200"/>
              <w:rPr>
                <w:rFonts w:ascii="Times New Roman" w:hAnsi="Times New Roman" w:eastAsia="仿宋_GB2312"/>
                <w:szCs w:val="21"/>
              </w:rPr>
            </w:pPr>
            <w:r>
              <w:rPr>
                <w:rFonts w:ascii="Times New Roman" w:hAnsi="Times New Roman" w:eastAsia="仿宋_GB2312"/>
                <w:szCs w:val="21"/>
              </w:rPr>
              <w:t>（1）卤水净化</w:t>
            </w:r>
          </w:p>
          <w:p w14:paraId="16542C4A">
            <w:pPr>
              <w:pStyle w:val="16"/>
              <w:snapToGrid w:val="0"/>
              <w:spacing w:line="360" w:lineRule="auto"/>
              <w:ind w:firstLine="420" w:firstLineChars="200"/>
              <w:rPr>
                <w:rFonts w:ascii="Times New Roman" w:hAnsi="Times New Roman" w:eastAsia="仿宋_GB2312"/>
                <w:szCs w:val="21"/>
              </w:rPr>
            </w:pPr>
            <w:r>
              <w:rPr>
                <w:rFonts w:ascii="Times New Roman" w:hAnsi="Times New Roman" w:eastAsia="仿宋_GB2312"/>
                <w:szCs w:val="21"/>
              </w:rPr>
              <w:t>金坛盐矿属硫酸盐氯化物型矿床，原料卤水中含有CaSO</w:t>
            </w:r>
            <w:r>
              <w:rPr>
                <w:rFonts w:ascii="Times New Roman" w:hAnsi="Times New Roman" w:eastAsia="仿宋_GB2312"/>
                <w:szCs w:val="21"/>
                <w:vertAlign w:val="subscript"/>
              </w:rPr>
              <w:t>4</w:t>
            </w:r>
            <w:r>
              <w:rPr>
                <w:rFonts w:ascii="Times New Roman" w:hAnsi="Times New Roman" w:eastAsia="仿宋_GB2312"/>
                <w:szCs w:val="21"/>
              </w:rPr>
              <w:t>、Mg SO</w:t>
            </w:r>
            <w:r>
              <w:rPr>
                <w:rFonts w:ascii="Times New Roman" w:hAnsi="Times New Roman" w:eastAsia="仿宋_GB2312"/>
                <w:szCs w:val="21"/>
                <w:vertAlign w:val="subscript"/>
              </w:rPr>
              <w:t>4</w:t>
            </w:r>
            <w:r>
              <w:rPr>
                <w:rFonts w:ascii="Times New Roman" w:hAnsi="Times New Roman" w:eastAsia="仿宋_GB2312"/>
                <w:szCs w:val="21"/>
              </w:rPr>
              <w:t>等杂质，若不经处理，在卤水预热过程中，会有CaSO</w:t>
            </w:r>
            <w:r>
              <w:rPr>
                <w:rFonts w:ascii="Times New Roman" w:hAnsi="Times New Roman" w:eastAsia="仿宋_GB2312"/>
                <w:szCs w:val="21"/>
                <w:vertAlign w:val="subscript"/>
              </w:rPr>
              <w:t>4</w:t>
            </w:r>
            <w:r>
              <w:rPr>
                <w:rFonts w:ascii="Times New Roman" w:hAnsi="Times New Roman" w:eastAsia="仿宋_GB2312"/>
                <w:szCs w:val="21"/>
              </w:rPr>
              <w:t>、CaCO</w:t>
            </w:r>
            <w:r>
              <w:rPr>
                <w:rFonts w:ascii="Times New Roman" w:hAnsi="Times New Roman" w:eastAsia="仿宋_GB2312"/>
                <w:szCs w:val="21"/>
                <w:vertAlign w:val="subscript"/>
              </w:rPr>
              <w:t>3</w:t>
            </w:r>
            <w:r>
              <w:rPr>
                <w:rFonts w:ascii="Times New Roman" w:hAnsi="Times New Roman" w:eastAsia="仿宋_GB2312"/>
                <w:szCs w:val="21"/>
              </w:rPr>
              <w:t>和Mg(OH)</w:t>
            </w:r>
            <w:r>
              <w:rPr>
                <w:rFonts w:ascii="Times New Roman" w:hAnsi="Times New Roman" w:eastAsia="仿宋_GB2312"/>
                <w:szCs w:val="21"/>
                <w:vertAlign w:val="subscript"/>
              </w:rPr>
              <w:t>2</w:t>
            </w:r>
            <w:r>
              <w:rPr>
                <w:rFonts w:ascii="Times New Roman" w:hAnsi="Times New Roman" w:eastAsia="仿宋_GB2312"/>
                <w:szCs w:val="21"/>
              </w:rPr>
              <w:t>等难溶性杂质生成，附在管壁上形成结垢，影响传热效果和浪费能源。对含有Ca</w:t>
            </w:r>
            <w:r>
              <w:rPr>
                <w:rFonts w:ascii="Times New Roman" w:hAnsi="Times New Roman" w:eastAsia="仿宋_GB2312"/>
                <w:szCs w:val="21"/>
                <w:vertAlign w:val="superscript"/>
              </w:rPr>
              <w:t>2+</w:t>
            </w:r>
            <w:r>
              <w:rPr>
                <w:rFonts w:ascii="Times New Roman" w:hAnsi="Times New Roman" w:eastAsia="仿宋_GB2312"/>
                <w:szCs w:val="21"/>
              </w:rPr>
              <w:t>、Mg</w:t>
            </w:r>
            <w:r>
              <w:rPr>
                <w:rFonts w:ascii="Times New Roman" w:hAnsi="Times New Roman" w:eastAsia="仿宋_GB2312"/>
                <w:szCs w:val="21"/>
                <w:vertAlign w:val="superscript"/>
              </w:rPr>
              <w:t>2+</w:t>
            </w:r>
            <w:r>
              <w:rPr>
                <w:rFonts w:ascii="Times New Roman" w:hAnsi="Times New Roman" w:eastAsia="仿宋_GB2312"/>
                <w:szCs w:val="21"/>
              </w:rPr>
              <w:t>杂质的原料卤水目前主要有三种净化工艺方法：烧碱－纯碱法、石灰－纯碱法、石灰－芒硝－二氧化碳法。</w:t>
            </w:r>
          </w:p>
          <w:p w14:paraId="121B9D8D">
            <w:pPr>
              <w:pStyle w:val="16"/>
              <w:snapToGrid w:val="0"/>
              <w:spacing w:line="360" w:lineRule="auto"/>
              <w:ind w:firstLine="420" w:firstLineChars="200"/>
              <w:rPr>
                <w:rFonts w:ascii="Times New Roman" w:hAnsi="Times New Roman" w:eastAsia="仿宋_GB2312"/>
                <w:szCs w:val="21"/>
              </w:rPr>
            </w:pPr>
            <w:bookmarkStart w:id="39" w:name="_Toc96865849"/>
            <w:r>
              <w:rPr>
                <w:rFonts w:ascii="Times New Roman" w:hAnsi="Times New Roman" w:eastAsia="仿宋_GB2312"/>
                <w:szCs w:val="21"/>
              </w:rPr>
              <w:t>本项目采用</w:t>
            </w:r>
            <w:r>
              <w:rPr>
                <w:rFonts w:ascii="Times New Roman" w:hAnsi="Times New Roman" w:eastAsia="仿宋_GB2312"/>
                <w:b/>
                <w:bCs/>
                <w:color w:val="000000" w:themeColor="text1"/>
                <w:szCs w:val="21"/>
              </w:rPr>
              <w:t>烧碱－纯碱法</w:t>
            </w:r>
            <w:r>
              <w:rPr>
                <w:rFonts w:ascii="Times New Roman" w:hAnsi="Times New Roman" w:eastAsia="仿宋_GB2312"/>
                <w:szCs w:val="21"/>
              </w:rPr>
              <w:t>处理原料卤水，OH</w:t>
            </w:r>
            <w:r>
              <w:rPr>
                <w:rFonts w:ascii="Times New Roman" w:hAnsi="Times New Roman" w:eastAsia="仿宋_GB2312"/>
                <w:szCs w:val="21"/>
                <w:vertAlign w:val="superscript"/>
              </w:rPr>
              <w:t>-</w:t>
            </w:r>
            <w:r>
              <w:rPr>
                <w:rFonts w:ascii="Times New Roman" w:hAnsi="Times New Roman" w:eastAsia="仿宋_GB2312"/>
                <w:szCs w:val="21"/>
              </w:rPr>
              <w:t>与Mg</w:t>
            </w:r>
            <w:r>
              <w:rPr>
                <w:rFonts w:ascii="Times New Roman" w:hAnsi="Times New Roman" w:eastAsia="仿宋_GB2312"/>
                <w:szCs w:val="21"/>
                <w:vertAlign w:val="superscript"/>
              </w:rPr>
              <w:t>2+</w:t>
            </w:r>
            <w:r>
              <w:rPr>
                <w:rFonts w:ascii="Times New Roman" w:hAnsi="Times New Roman" w:eastAsia="仿宋_GB2312"/>
                <w:szCs w:val="21"/>
              </w:rPr>
              <w:t>反应生成Mg(OH)</w:t>
            </w:r>
            <w:r>
              <w:rPr>
                <w:rFonts w:ascii="Times New Roman" w:hAnsi="Times New Roman" w:eastAsia="仿宋_GB2312"/>
                <w:szCs w:val="21"/>
                <w:vertAlign w:val="subscript"/>
              </w:rPr>
              <w:t>2</w:t>
            </w:r>
            <w:r>
              <w:rPr>
                <w:rFonts w:ascii="Times New Roman" w:hAnsi="Times New Roman" w:eastAsia="仿宋_GB2312"/>
                <w:szCs w:val="21"/>
              </w:rPr>
              <w:t>沉淀，以达到去除Mg</w:t>
            </w:r>
            <w:r>
              <w:rPr>
                <w:rFonts w:ascii="Times New Roman" w:hAnsi="Times New Roman" w:eastAsia="仿宋_GB2312"/>
                <w:szCs w:val="21"/>
                <w:vertAlign w:val="superscript"/>
              </w:rPr>
              <w:t>2+</w:t>
            </w:r>
            <w:r>
              <w:rPr>
                <w:rFonts w:ascii="Times New Roman" w:hAnsi="Times New Roman" w:eastAsia="仿宋_GB2312"/>
                <w:szCs w:val="21"/>
              </w:rPr>
              <w:t>的目的；CO</w:t>
            </w:r>
            <w:r>
              <w:rPr>
                <w:rFonts w:ascii="Times New Roman" w:hAnsi="Times New Roman" w:eastAsia="仿宋_GB2312"/>
                <w:szCs w:val="21"/>
                <w:vertAlign w:val="subscript"/>
              </w:rPr>
              <w:t>3</w:t>
            </w:r>
            <w:r>
              <w:rPr>
                <w:rFonts w:ascii="Times New Roman" w:hAnsi="Times New Roman" w:eastAsia="仿宋_GB2312"/>
                <w:szCs w:val="21"/>
                <w:vertAlign w:val="superscript"/>
              </w:rPr>
              <w:t>2-</w:t>
            </w:r>
            <w:r>
              <w:rPr>
                <w:rFonts w:ascii="Times New Roman" w:hAnsi="Times New Roman" w:eastAsia="仿宋_GB2312"/>
                <w:szCs w:val="21"/>
              </w:rPr>
              <w:t>与Ca</w:t>
            </w:r>
            <w:r>
              <w:rPr>
                <w:rFonts w:ascii="Times New Roman" w:hAnsi="Times New Roman" w:eastAsia="仿宋_GB2312"/>
                <w:szCs w:val="21"/>
                <w:vertAlign w:val="superscript"/>
              </w:rPr>
              <w:t>2+</w:t>
            </w:r>
            <w:r>
              <w:rPr>
                <w:rFonts w:ascii="Times New Roman" w:hAnsi="Times New Roman" w:eastAsia="仿宋_GB2312"/>
                <w:szCs w:val="21"/>
              </w:rPr>
              <w:t>反应生成CaCO</w:t>
            </w:r>
            <w:r>
              <w:rPr>
                <w:rFonts w:ascii="Times New Roman" w:hAnsi="Times New Roman" w:eastAsia="仿宋_GB2312"/>
                <w:szCs w:val="21"/>
                <w:vertAlign w:val="subscript"/>
              </w:rPr>
              <w:t>3</w:t>
            </w:r>
            <w:r>
              <w:rPr>
                <w:rFonts w:ascii="Times New Roman" w:hAnsi="Times New Roman" w:eastAsia="仿宋_GB2312"/>
                <w:szCs w:val="21"/>
              </w:rPr>
              <w:t>沉淀，以达到去除Ca</w:t>
            </w:r>
            <w:r>
              <w:rPr>
                <w:rFonts w:ascii="Times New Roman" w:hAnsi="Times New Roman" w:eastAsia="仿宋_GB2312"/>
                <w:szCs w:val="21"/>
                <w:vertAlign w:val="superscript"/>
              </w:rPr>
              <w:t>2+</w:t>
            </w:r>
            <w:r>
              <w:rPr>
                <w:rFonts w:ascii="Times New Roman" w:hAnsi="Times New Roman" w:eastAsia="仿宋_GB2312"/>
                <w:szCs w:val="21"/>
              </w:rPr>
              <w:t>的目的，反应方程式如下：</w:t>
            </w:r>
          </w:p>
          <w:p w14:paraId="246A8676">
            <w:pPr>
              <w:pStyle w:val="16"/>
              <w:snapToGrid w:val="0"/>
              <w:spacing w:line="360" w:lineRule="auto"/>
              <w:ind w:firstLine="420" w:firstLineChars="200"/>
              <w:jc w:val="center"/>
              <w:rPr>
                <w:rFonts w:ascii="Times New Roman" w:hAnsi="Times New Roman" w:eastAsia="仿宋_GB2312"/>
                <w:position w:val="-12"/>
                <w:szCs w:val="21"/>
              </w:rPr>
            </w:pPr>
            <w:r>
              <w:rPr>
                <w:rFonts w:ascii="Times New Roman" w:hAnsi="Times New Roman" w:eastAsia="仿宋_GB2312"/>
                <w:position w:val="-12"/>
                <w:szCs w:val="21"/>
              </w:rPr>
              <w:object>
                <v:shape id="_x0000_i1029" o:spt="75" type="#_x0000_t75" style="height:18.95pt;width:234.95pt;" o:ole="t" fillcolor="#000011" filled="f" o:preferrelative="t" stroked="f" coordsize="21600,21600">
                  <v:path/>
                  <v:fill on="f" focussize="0,0"/>
                  <v:stroke on="f" joinstyle="miter"/>
                  <v:imagedata r:id="rId36" o:title=""/>
                  <o:lock v:ext="edit" aspectratio="t"/>
                  <w10:wrap type="none"/>
                  <w10:anchorlock/>
                </v:shape>
                <o:OLEObject Type="Embed" ProgID="Equation.3" ShapeID="_x0000_i1029" DrawAspect="Content" ObjectID="_1468075731" r:id="rId35">
                  <o:LockedField>false</o:LockedField>
                </o:OLEObject>
              </w:object>
            </w:r>
          </w:p>
          <w:p w14:paraId="2B91BB62">
            <w:pPr>
              <w:pStyle w:val="16"/>
              <w:snapToGrid w:val="0"/>
              <w:spacing w:line="360" w:lineRule="auto"/>
              <w:ind w:firstLine="420" w:firstLineChars="200"/>
              <w:jc w:val="center"/>
              <w:rPr>
                <w:rFonts w:ascii="Times New Roman" w:hAnsi="Times New Roman" w:eastAsia="仿宋_GB2312"/>
                <w:szCs w:val="21"/>
              </w:rPr>
            </w:pPr>
            <w:r>
              <w:rPr>
                <w:rFonts w:ascii="Times New Roman" w:hAnsi="Times New Roman" w:eastAsia="仿宋_GB2312"/>
                <w:position w:val="-12"/>
                <w:szCs w:val="21"/>
              </w:rPr>
              <w:object>
                <v:shape id="_x0000_i1030" o:spt="75" type="#_x0000_t75" style="height:18.95pt;width:222.95pt;" o:ole="t" fillcolor="#000011" filled="f" o:preferrelative="t" stroked="f" coordsize="21600,21600">
                  <v:path/>
                  <v:fill on="f" focussize="0,0"/>
                  <v:stroke on="f" joinstyle="miter"/>
                  <v:imagedata r:id="rId38" o:title=""/>
                  <o:lock v:ext="edit" aspectratio="t"/>
                  <w10:wrap type="none"/>
                  <w10:anchorlock/>
                </v:shape>
                <o:OLEObject Type="Embed" ProgID="Equation.3" ShapeID="_x0000_i1030" DrawAspect="Content" ObjectID="_1468075732" r:id="rId37">
                  <o:LockedField>false</o:LockedField>
                </o:OLEObject>
              </w:object>
            </w:r>
          </w:p>
          <w:p w14:paraId="14A8AFD7">
            <w:pPr>
              <w:pStyle w:val="16"/>
              <w:snapToGrid w:val="0"/>
              <w:spacing w:line="360" w:lineRule="auto"/>
              <w:ind w:firstLine="420" w:firstLineChars="200"/>
              <w:rPr>
                <w:rFonts w:ascii="Times New Roman" w:hAnsi="Times New Roman" w:eastAsia="仿宋_GB2312"/>
                <w:szCs w:val="21"/>
              </w:rPr>
            </w:pPr>
            <w:r>
              <w:rPr>
                <w:rFonts w:ascii="Times New Roman" w:hAnsi="Times New Roman" w:eastAsia="仿宋_GB2312"/>
                <w:szCs w:val="21"/>
              </w:rPr>
              <w:t>为保证尽量将所有Ca、Mg离子沉淀出来，反应加入NaOH通常为过量，因此在反应沉淀后需要加入盐酸进行中和，中和产生水和NaCl。其反应方程式为：</w:t>
            </w:r>
          </w:p>
          <w:p w14:paraId="7360AA74">
            <w:pPr>
              <w:pStyle w:val="16"/>
              <w:snapToGrid w:val="0"/>
              <w:spacing w:line="360" w:lineRule="auto"/>
              <w:ind w:firstLine="420" w:firstLineChars="200"/>
              <w:jc w:val="center"/>
              <w:rPr>
                <w:rFonts w:ascii="Times New Roman" w:hAnsi="Times New Roman" w:eastAsia="仿宋_GB2312"/>
                <w:szCs w:val="21"/>
              </w:rPr>
            </w:pPr>
            <w:r>
              <w:rPr>
                <w:rFonts w:ascii="Times New Roman" w:hAnsi="Times New Roman" w:eastAsia="仿宋_GB2312"/>
                <w:position w:val="-10"/>
                <w:szCs w:val="21"/>
              </w:rPr>
              <w:object>
                <v:shape id="_x0000_i1031" o:spt="75" type="#_x0000_t75" style="height:18.3pt;width:159.8pt;" o:ole="t" fillcolor="#000011" filled="f" o:preferrelative="t" stroked="f" coordsize="21600,21600">
                  <v:path/>
                  <v:fill on="f" focussize="0,0"/>
                  <v:stroke on="f" joinstyle="miter"/>
                  <v:imagedata r:id="rId40" o:title=""/>
                  <o:lock v:ext="edit" aspectratio="t"/>
                  <w10:wrap type="none"/>
                  <w10:anchorlock/>
                </v:shape>
                <o:OLEObject Type="Embed" ProgID="Equation.3" ShapeID="_x0000_i1031" DrawAspect="Content" ObjectID="_1468075733" r:id="rId39">
                  <o:LockedField>false</o:LockedField>
                </o:OLEObject>
              </w:object>
            </w:r>
          </w:p>
          <w:p w14:paraId="56A3AEF6">
            <w:pPr>
              <w:pStyle w:val="16"/>
              <w:snapToGrid w:val="0"/>
              <w:spacing w:line="360" w:lineRule="auto"/>
              <w:ind w:firstLine="420" w:firstLineChars="200"/>
              <w:rPr>
                <w:rFonts w:ascii="Times New Roman" w:hAnsi="Times New Roman" w:eastAsia="仿宋_GB2312"/>
                <w:szCs w:val="21"/>
              </w:rPr>
            </w:pPr>
            <w:r>
              <w:rPr>
                <w:rFonts w:ascii="Times New Roman" w:hAnsi="Times New Roman" w:eastAsia="仿宋_GB2312"/>
                <w:szCs w:val="21"/>
              </w:rPr>
              <w:t>卤水净化工艺采用间歇操作方式，原卤经输卤管道至厂区卤水处理工序进入原卤罐，然后送反应罐中与30%的烧碱（NaOH）和98%的纯碱（Na</w:t>
            </w:r>
            <w:r>
              <w:rPr>
                <w:rFonts w:ascii="Times New Roman" w:hAnsi="Times New Roman" w:eastAsia="仿宋_GB2312"/>
                <w:szCs w:val="21"/>
                <w:vertAlign w:val="subscript"/>
              </w:rPr>
              <w:t>2</w:t>
            </w:r>
            <w:r>
              <w:rPr>
                <w:rFonts w:ascii="Times New Roman" w:hAnsi="Times New Roman" w:eastAsia="仿宋_GB2312"/>
                <w:szCs w:val="21"/>
              </w:rPr>
              <w:t>CO</w:t>
            </w:r>
            <w:r>
              <w:rPr>
                <w:rFonts w:ascii="Times New Roman" w:hAnsi="Times New Roman" w:eastAsia="仿宋_GB2312"/>
                <w:szCs w:val="21"/>
                <w:vertAlign w:val="subscript"/>
              </w:rPr>
              <w:t>3</w:t>
            </w:r>
            <w:r>
              <w:rPr>
                <w:rFonts w:ascii="Times New Roman" w:hAnsi="Times New Roman" w:eastAsia="仿宋_GB2312"/>
                <w:szCs w:val="21"/>
              </w:rPr>
              <w:t>）反应，以去除原卤中的Ca</w:t>
            </w:r>
            <w:r>
              <w:rPr>
                <w:rFonts w:ascii="Times New Roman" w:hAnsi="Times New Roman" w:eastAsia="仿宋_GB2312"/>
                <w:szCs w:val="21"/>
                <w:vertAlign w:val="superscript"/>
              </w:rPr>
              <w:t>2+</w:t>
            </w:r>
            <w:r>
              <w:rPr>
                <w:rFonts w:ascii="Times New Roman" w:hAnsi="Times New Roman" w:eastAsia="仿宋_GB2312"/>
                <w:szCs w:val="21"/>
              </w:rPr>
              <w:t>和Mg</w:t>
            </w:r>
            <w:r>
              <w:rPr>
                <w:rFonts w:ascii="Times New Roman" w:hAnsi="Times New Roman" w:eastAsia="仿宋_GB2312"/>
                <w:szCs w:val="21"/>
                <w:vertAlign w:val="superscript"/>
              </w:rPr>
              <w:t>2+</w:t>
            </w:r>
            <w:r>
              <w:rPr>
                <w:rFonts w:ascii="Times New Roman" w:hAnsi="Times New Roman" w:eastAsia="仿宋_GB2312"/>
                <w:szCs w:val="21"/>
              </w:rPr>
              <w:t>，上述反应后，加入助沉剂聚丙烯酸钠（或聚丙烯酰胺）进行搅拌、澄清，将上清液泵入净化卤水贮罐储存备用。下层泥浆再进行压滤，压滤液回送至原卤池，滤饼即为固废盐泥（S</w:t>
            </w:r>
            <w:r>
              <w:rPr>
                <w:rFonts w:ascii="Times New Roman" w:hAnsi="Times New Roman" w:eastAsia="仿宋_GB2312"/>
                <w:szCs w:val="21"/>
                <w:vertAlign w:val="subscript"/>
              </w:rPr>
              <w:t>1</w:t>
            </w:r>
            <w:r>
              <w:rPr>
                <w:rFonts w:ascii="Times New Roman" w:hAnsi="Times New Roman" w:eastAsia="仿宋_GB2312"/>
                <w:szCs w:val="21"/>
              </w:rPr>
              <w:t>），其主要成份为Mg(OH)</w:t>
            </w:r>
            <w:r>
              <w:rPr>
                <w:rFonts w:ascii="Times New Roman" w:hAnsi="Times New Roman" w:eastAsia="仿宋_GB2312"/>
                <w:szCs w:val="21"/>
                <w:vertAlign w:val="subscript"/>
              </w:rPr>
              <w:t>2</w:t>
            </w:r>
            <w:r>
              <w:rPr>
                <w:rFonts w:ascii="Times New Roman" w:hAnsi="Times New Roman" w:eastAsia="仿宋_GB2312"/>
                <w:szCs w:val="21"/>
              </w:rPr>
              <w:t>和CaCO</w:t>
            </w:r>
            <w:r>
              <w:rPr>
                <w:rFonts w:ascii="Times New Roman" w:hAnsi="Times New Roman" w:eastAsia="仿宋_GB2312"/>
                <w:szCs w:val="21"/>
                <w:vertAlign w:val="subscript"/>
              </w:rPr>
              <w:t>3</w:t>
            </w:r>
            <w:r>
              <w:rPr>
                <w:rFonts w:ascii="Times New Roman" w:hAnsi="Times New Roman" w:eastAsia="仿宋_GB2312"/>
                <w:szCs w:val="21"/>
              </w:rPr>
              <w:t>。上清液适当加入盐酸中和过量的烧碱，送盐硝车间精卤桶制盐硝。</w:t>
            </w:r>
          </w:p>
          <w:p w14:paraId="456DBAE0">
            <w:pPr>
              <w:pStyle w:val="16"/>
              <w:snapToGrid w:val="0"/>
              <w:spacing w:line="360" w:lineRule="auto"/>
              <w:ind w:firstLine="420" w:firstLineChars="200"/>
              <w:rPr>
                <w:rFonts w:ascii="Times New Roman" w:hAnsi="Times New Roman" w:eastAsia="仿宋_GB2312"/>
                <w:szCs w:val="21"/>
              </w:rPr>
            </w:pPr>
            <w:r>
              <w:rPr>
                <w:rFonts w:ascii="Times New Roman" w:hAnsi="Times New Roman" w:eastAsia="仿宋_GB2312"/>
                <w:szCs w:val="21"/>
              </w:rPr>
              <w:t>该工艺过程中无废水和废气产生，产生固废S1。</w:t>
            </w:r>
          </w:p>
          <w:p w14:paraId="3D112660">
            <w:pPr>
              <w:snapToGrid w:val="0"/>
              <w:spacing w:line="360" w:lineRule="auto"/>
              <w:ind w:firstLine="420" w:firstLineChars="200"/>
              <w:rPr>
                <w:rFonts w:eastAsia="仿宋_GB2312"/>
              </w:rPr>
            </w:pPr>
            <w:r>
              <w:rPr>
                <w:rFonts w:eastAsia="仿宋_GB2312"/>
              </w:rPr>
              <w:t>（2）盐硝制备</w:t>
            </w:r>
            <w:bookmarkEnd w:id="39"/>
          </w:p>
          <w:p w14:paraId="64ED3AAE">
            <w:pPr>
              <w:pStyle w:val="16"/>
              <w:snapToGrid w:val="0"/>
              <w:spacing w:line="360" w:lineRule="auto"/>
              <w:ind w:firstLine="420" w:firstLineChars="200"/>
              <w:rPr>
                <w:rFonts w:ascii="Times New Roman" w:hAnsi="Times New Roman" w:eastAsia="仿宋_GB2312"/>
                <w:szCs w:val="21"/>
              </w:rPr>
            </w:pPr>
            <w:r>
              <w:rPr>
                <w:rFonts w:ascii="Times New Roman" w:hAnsi="Times New Roman" w:eastAsia="仿宋_GB2312"/>
                <w:szCs w:val="21"/>
              </w:rPr>
              <w:t>在NaCl-Na</w:t>
            </w:r>
            <w:r>
              <w:rPr>
                <w:rFonts w:ascii="Times New Roman" w:hAnsi="Times New Roman" w:eastAsia="仿宋_GB2312"/>
                <w:szCs w:val="21"/>
                <w:vertAlign w:val="subscript"/>
              </w:rPr>
              <w:t>2</w:t>
            </w:r>
            <w:r>
              <w:rPr>
                <w:rFonts w:ascii="Times New Roman" w:hAnsi="Times New Roman" w:eastAsia="仿宋_GB2312"/>
                <w:szCs w:val="21"/>
              </w:rPr>
              <w:t>SO</w:t>
            </w:r>
            <w:r>
              <w:rPr>
                <w:rFonts w:ascii="Times New Roman" w:hAnsi="Times New Roman" w:eastAsia="仿宋_GB2312"/>
                <w:szCs w:val="21"/>
                <w:vertAlign w:val="subscript"/>
              </w:rPr>
              <w:t>4</w:t>
            </w:r>
            <w:r>
              <w:rPr>
                <w:rFonts w:ascii="Times New Roman" w:hAnsi="Times New Roman" w:eastAsia="仿宋_GB2312"/>
                <w:szCs w:val="21"/>
              </w:rPr>
              <w:t>-H</w:t>
            </w:r>
            <w:r>
              <w:rPr>
                <w:rFonts w:ascii="Times New Roman" w:hAnsi="Times New Roman" w:eastAsia="仿宋_GB2312"/>
                <w:szCs w:val="21"/>
                <w:vertAlign w:val="subscript"/>
              </w:rPr>
              <w:t>2</w:t>
            </w:r>
            <w:r>
              <w:rPr>
                <w:rFonts w:ascii="Times New Roman" w:hAnsi="Times New Roman" w:eastAsia="仿宋_GB2312"/>
                <w:szCs w:val="21"/>
              </w:rPr>
              <w:t>O三元体系相中，NaCl和Na</w:t>
            </w:r>
            <w:r>
              <w:rPr>
                <w:rFonts w:ascii="Times New Roman" w:hAnsi="Times New Roman" w:eastAsia="仿宋_GB2312"/>
                <w:szCs w:val="21"/>
                <w:vertAlign w:val="subscript"/>
              </w:rPr>
              <w:t>2</w:t>
            </w:r>
            <w:r>
              <w:rPr>
                <w:rFonts w:ascii="Times New Roman" w:hAnsi="Times New Roman" w:eastAsia="仿宋_GB2312"/>
                <w:szCs w:val="21"/>
              </w:rPr>
              <w:t>SO</w:t>
            </w:r>
            <w:r>
              <w:rPr>
                <w:rFonts w:ascii="Times New Roman" w:hAnsi="Times New Roman" w:eastAsia="仿宋_GB2312"/>
                <w:szCs w:val="21"/>
                <w:vertAlign w:val="subscript"/>
              </w:rPr>
              <w:t>4</w:t>
            </w:r>
            <w:r>
              <w:rPr>
                <w:rFonts w:ascii="Times New Roman" w:hAnsi="Times New Roman" w:eastAsia="仿宋_GB2312"/>
                <w:szCs w:val="21"/>
              </w:rPr>
              <w:t>在各变化温度下共饱和溶液组成存在明显差异，其中NaCl饱和溶液浓度随温度变化影响不大，而Na</w:t>
            </w:r>
            <w:r>
              <w:rPr>
                <w:rFonts w:ascii="Times New Roman" w:hAnsi="Times New Roman" w:eastAsia="仿宋_GB2312"/>
                <w:szCs w:val="21"/>
                <w:vertAlign w:val="subscript"/>
              </w:rPr>
              <w:t>2</w:t>
            </w:r>
            <w:r>
              <w:rPr>
                <w:rFonts w:ascii="Times New Roman" w:hAnsi="Times New Roman" w:eastAsia="仿宋_GB2312"/>
                <w:szCs w:val="21"/>
              </w:rPr>
              <w:t>SO</w:t>
            </w:r>
            <w:r>
              <w:rPr>
                <w:rFonts w:ascii="Times New Roman" w:hAnsi="Times New Roman" w:eastAsia="仿宋_GB2312"/>
                <w:szCs w:val="21"/>
                <w:vertAlign w:val="subscript"/>
              </w:rPr>
              <w:t>4</w:t>
            </w:r>
            <w:r>
              <w:rPr>
                <w:rFonts w:ascii="Times New Roman" w:hAnsi="Times New Roman" w:eastAsia="仿宋_GB2312"/>
                <w:szCs w:val="21"/>
              </w:rPr>
              <w:t>则变化较大。在温度低于17.9℃时，NaCl的溶解度随温度降低略有增加，而Na</w:t>
            </w:r>
            <w:r>
              <w:rPr>
                <w:rFonts w:ascii="Times New Roman" w:hAnsi="Times New Roman" w:eastAsia="仿宋_GB2312"/>
                <w:szCs w:val="21"/>
                <w:vertAlign w:val="subscript"/>
              </w:rPr>
              <w:t>2</w:t>
            </w:r>
            <w:r>
              <w:rPr>
                <w:rFonts w:ascii="Times New Roman" w:hAnsi="Times New Roman" w:eastAsia="仿宋_GB2312"/>
                <w:szCs w:val="21"/>
              </w:rPr>
              <w:t>SO</w:t>
            </w:r>
            <w:r>
              <w:rPr>
                <w:rFonts w:ascii="Times New Roman" w:hAnsi="Times New Roman" w:eastAsia="仿宋_GB2312"/>
                <w:szCs w:val="21"/>
                <w:vertAlign w:val="subscript"/>
              </w:rPr>
              <w:t>4</w:t>
            </w:r>
            <w:r>
              <w:rPr>
                <w:rFonts w:ascii="Times New Roman" w:hAnsi="Times New Roman" w:eastAsia="仿宋_GB2312"/>
                <w:szCs w:val="21"/>
              </w:rPr>
              <w:t>却大幅度下降。在温度高于17.9℃时，NaCl的溶解度随温度升高缓慢增加，而Na</w:t>
            </w:r>
            <w:r>
              <w:rPr>
                <w:rFonts w:ascii="Times New Roman" w:hAnsi="Times New Roman" w:eastAsia="仿宋_GB2312"/>
                <w:szCs w:val="21"/>
                <w:vertAlign w:val="subscript"/>
              </w:rPr>
              <w:t>2</w:t>
            </w:r>
            <w:r>
              <w:rPr>
                <w:rFonts w:ascii="Times New Roman" w:hAnsi="Times New Roman" w:eastAsia="仿宋_GB2312"/>
                <w:szCs w:val="21"/>
              </w:rPr>
              <w:t>SO</w:t>
            </w:r>
            <w:r>
              <w:rPr>
                <w:rFonts w:ascii="Times New Roman" w:hAnsi="Times New Roman" w:eastAsia="仿宋_GB2312"/>
                <w:szCs w:val="21"/>
                <w:vertAlign w:val="subscript"/>
              </w:rPr>
              <w:t>4</w:t>
            </w:r>
            <w:r>
              <w:rPr>
                <w:rFonts w:ascii="Times New Roman" w:hAnsi="Times New Roman" w:eastAsia="仿宋_GB2312"/>
                <w:szCs w:val="21"/>
              </w:rPr>
              <w:t>的溶解度反而急剧下降。从硫酸盐氯化钠型矿盐卤水中分离盐硝就是利用这一原理。</w:t>
            </w:r>
          </w:p>
          <w:p w14:paraId="757F55CA">
            <w:pPr>
              <w:pStyle w:val="16"/>
              <w:snapToGrid w:val="0"/>
              <w:spacing w:line="360" w:lineRule="auto"/>
              <w:ind w:firstLine="420" w:firstLineChars="200"/>
              <w:rPr>
                <w:rFonts w:ascii="Times New Roman" w:hAnsi="Times New Roman" w:eastAsia="仿宋_GB2312"/>
                <w:szCs w:val="21"/>
              </w:rPr>
            </w:pPr>
            <w:r>
              <w:rPr>
                <w:rFonts w:ascii="Times New Roman" w:hAnsi="Times New Roman" w:eastAsia="仿宋_GB2312"/>
                <w:szCs w:val="21"/>
              </w:rPr>
              <w:t>真空形成主要是由于二次蒸汽迅速冷凝而成，在标准大气压下，水比容为0.001m</w:t>
            </w:r>
            <w:r>
              <w:rPr>
                <w:rFonts w:ascii="Times New Roman" w:hAnsi="Times New Roman" w:eastAsia="仿宋_GB2312"/>
                <w:szCs w:val="21"/>
                <w:vertAlign w:val="superscript"/>
              </w:rPr>
              <w:t>3</w:t>
            </w:r>
            <w:r>
              <w:rPr>
                <w:rFonts w:ascii="Times New Roman" w:hAnsi="Times New Roman" w:eastAsia="仿宋_GB2312"/>
                <w:szCs w:val="21"/>
              </w:rPr>
              <w:t>/kg，蒸汽比容为1.673m</w:t>
            </w:r>
            <w:r>
              <w:rPr>
                <w:rFonts w:ascii="Times New Roman" w:hAnsi="Times New Roman" w:eastAsia="仿宋_GB2312"/>
                <w:szCs w:val="21"/>
                <w:vertAlign w:val="superscript"/>
              </w:rPr>
              <w:t>3</w:t>
            </w:r>
            <w:r>
              <w:rPr>
                <w:rFonts w:ascii="Times New Roman" w:hAnsi="Times New Roman" w:eastAsia="仿宋_GB2312"/>
                <w:szCs w:val="21"/>
              </w:rPr>
              <w:t>/kg，即比容差是1673倍，所以当蒸汽被迅速冷凝时体积急剧缩小即形成真空。本项目采用的真空喷射泵即采用该原理，蒸汽与循环水接触后冷凝形成真空。</w:t>
            </w:r>
          </w:p>
          <w:p w14:paraId="1541E20E">
            <w:pPr>
              <w:pStyle w:val="16"/>
              <w:snapToGrid w:val="0"/>
              <w:spacing w:line="360" w:lineRule="auto"/>
              <w:ind w:firstLine="420" w:firstLineChars="200"/>
              <w:rPr>
                <w:rFonts w:ascii="Times New Roman" w:hAnsi="Times New Roman" w:eastAsia="仿宋_GB2312"/>
                <w:szCs w:val="21"/>
              </w:rPr>
            </w:pPr>
            <w:r>
              <w:rPr>
                <w:rFonts w:ascii="Times New Roman" w:hAnsi="Times New Roman" w:eastAsia="仿宋_GB2312"/>
                <w:szCs w:val="21"/>
              </w:rPr>
              <w:t>真空制盐系统主要包括一效闪蒸器、二效闪蒸器和三效闪蒸器，制盐罐、制硝罐和闪发罐，以及相应的预加热装置和真空装置，冷凝水回收装置等。</w:t>
            </w:r>
          </w:p>
          <w:p w14:paraId="475B6CE3">
            <w:pPr>
              <w:pStyle w:val="16"/>
              <w:snapToGrid w:val="0"/>
              <w:spacing w:line="360" w:lineRule="auto"/>
              <w:ind w:firstLine="420" w:firstLineChars="200"/>
              <w:rPr>
                <w:rFonts w:ascii="Times New Roman" w:hAnsi="Times New Roman" w:eastAsia="仿宋_GB2312"/>
                <w:szCs w:val="21"/>
              </w:rPr>
            </w:pPr>
            <w:r>
              <w:rPr>
                <w:rFonts w:ascii="Times New Roman" w:hAnsi="Times New Roman" w:eastAsia="仿宋_GB2312"/>
                <w:szCs w:val="21"/>
              </w:rPr>
              <w:t>卤水和盐硝流程：净化后的精制卤水经五级预加热器和换热器加热后依次进入一效闪蒸器、二效闪蒸器、三效闪蒸器、制盐罐，产生部分盐浆，盐浆上层液体称做母液继续制硝。含硝母液再次经两级预加热器和换热器加热后进入制硝罐，经充分结晶后形成硝浆，上层母液回收到闪发罐闪发，再回到制盐罐制盐生成盐浆。</w:t>
            </w:r>
          </w:p>
          <w:p w14:paraId="0E0A5C44">
            <w:pPr>
              <w:pStyle w:val="16"/>
              <w:snapToGrid w:val="0"/>
              <w:spacing w:line="360" w:lineRule="auto"/>
              <w:ind w:firstLine="420" w:firstLineChars="200"/>
              <w:rPr>
                <w:rFonts w:ascii="Times New Roman" w:hAnsi="Times New Roman" w:eastAsia="仿宋_GB2312"/>
                <w:szCs w:val="21"/>
              </w:rPr>
            </w:pPr>
            <w:r>
              <w:rPr>
                <w:rFonts w:ascii="Times New Roman" w:hAnsi="Times New Roman" w:eastAsia="仿宋_GB2312"/>
                <w:szCs w:val="21"/>
              </w:rPr>
              <w:t>一效闪蒸器、二效闪蒸器、三效闪蒸器和制盐罐平流排盐进入盐浆桶，由稠厚器增稠，进离心机脱水，母液回流到制盐罐，湿盐经干燥器干燥后通过皮带输送装置直接输送到码头装船。干燥器产生的干燥盐尘经旋风除尘器分离出大部分盐粉后，盐分回收利用，废气再经水喷淋除尘器除尘排空，产生废气G1，喷淋水循环使用，达到一定浓度后送卤水罐回收，该处理工艺盐尘的去除效率可达99.5%。</w:t>
            </w:r>
          </w:p>
          <w:p w14:paraId="4EC27935">
            <w:pPr>
              <w:pStyle w:val="16"/>
              <w:snapToGrid w:val="0"/>
              <w:spacing w:line="360" w:lineRule="auto"/>
              <w:ind w:firstLine="420" w:firstLineChars="200"/>
              <w:rPr>
                <w:rFonts w:ascii="Times New Roman" w:hAnsi="Times New Roman" w:eastAsia="仿宋_GB2312"/>
                <w:szCs w:val="21"/>
              </w:rPr>
            </w:pPr>
            <w:r>
              <w:rPr>
                <w:rFonts w:ascii="Times New Roman" w:hAnsi="Times New Roman" w:eastAsia="仿宋_GB2312"/>
                <w:szCs w:val="21"/>
              </w:rPr>
              <w:t>制硝罐平流排硝进入硝浆桶，由稠厚器增稠，进离心机脱水，液体回流到制硝罐，硝经干燥器干燥后通过皮带输送装置输送到码头装船。干燥器产生干燥硝尘经旋风除尘器分离出大部分硝粉，硝粉回收利用，废气再经水喷淋除尘器除尘排空，产生废气G2。喷淋水循环使用，达到一定浓度后回送制硝罐提硝，该处理工艺硝尘的去除效率可达99.5%。</w:t>
            </w:r>
          </w:p>
          <w:p w14:paraId="622F82FA">
            <w:pPr>
              <w:pStyle w:val="16"/>
              <w:snapToGrid w:val="0"/>
              <w:spacing w:line="360" w:lineRule="auto"/>
              <w:ind w:firstLine="420" w:firstLineChars="200"/>
              <w:rPr>
                <w:rFonts w:ascii="Times New Roman" w:hAnsi="Times New Roman" w:eastAsia="仿宋_GB2312"/>
                <w:szCs w:val="21"/>
              </w:rPr>
            </w:pPr>
            <w:r>
              <w:rPr>
                <w:rFonts w:ascii="Times New Roman" w:hAnsi="Times New Roman" w:eastAsia="仿宋_GB2312"/>
                <w:szCs w:val="21"/>
              </w:rPr>
              <w:t>蒸汽和冷凝水系统流程：真空制盐系统的关键是控制各闪蒸罐、制盐罐和制硝罐的温度和压力。各设备初始蒸汽均由加怡热电厂供应的低压蒸汽供应，加热方式采用列管式加热。</w:t>
            </w:r>
          </w:p>
          <w:p w14:paraId="1A50E63C">
            <w:pPr>
              <w:pStyle w:val="16"/>
              <w:snapToGrid w:val="0"/>
              <w:spacing w:line="360" w:lineRule="auto"/>
              <w:ind w:firstLine="420" w:firstLineChars="200"/>
              <w:rPr>
                <w:rFonts w:ascii="Times New Roman" w:hAnsi="Times New Roman" w:eastAsia="仿宋_GB2312"/>
                <w:szCs w:val="21"/>
              </w:rPr>
            </w:pPr>
            <w:r>
              <w:rPr>
                <w:rFonts w:ascii="Times New Roman" w:hAnsi="Times New Roman" w:eastAsia="仿宋_GB2312"/>
                <w:szCs w:val="21"/>
              </w:rPr>
              <w:t>低压蒸汽经蒸汽加热器后进入一效闪蒸器，一效闪蒸器产生的二次蒸汽经除沫器除盐后一部分进入二效闪蒸器，一部分蒸汽经喷射泵后回到一效闪蒸器，另一部分蒸汽作为卤水加热的热源；二效闪蒸器产生的二次蒸汽经沫器除盐后一部分进入三效闪蒸器，另一部分蒸汽作为卤水加热的热源；三效闪蒸器产生的二次蒸汽经沫器除盐后一部分进入制盐罐，另一部分蒸汽作为卤水加热的热源；制盐罐产生的末端蒸汽中残余各级蒸闪过程中富积的空气，经喷射泵喷射排空（G3）后冷凝，产生冷凝水W</w:t>
            </w:r>
            <w:r>
              <w:rPr>
                <w:rFonts w:ascii="Times New Roman" w:hAnsi="Times New Roman" w:eastAsia="仿宋_GB2312"/>
                <w:szCs w:val="21"/>
                <w:vertAlign w:val="subscript"/>
              </w:rPr>
              <w:t>4</w:t>
            </w:r>
            <w:r>
              <w:rPr>
                <w:rFonts w:ascii="Times New Roman" w:hAnsi="Times New Roman" w:eastAsia="仿宋_GB2312"/>
                <w:szCs w:val="21"/>
              </w:rPr>
              <w:t>，作为冷却水的补充水进入冷却水循环系统。</w:t>
            </w:r>
          </w:p>
          <w:p w14:paraId="4A71EAB2">
            <w:pPr>
              <w:pStyle w:val="16"/>
              <w:snapToGrid w:val="0"/>
              <w:spacing w:line="360" w:lineRule="auto"/>
              <w:ind w:firstLine="420" w:firstLineChars="200"/>
              <w:rPr>
                <w:rFonts w:ascii="Times New Roman" w:hAnsi="Times New Roman" w:eastAsia="仿宋_GB2312"/>
                <w:szCs w:val="21"/>
              </w:rPr>
            </w:pPr>
            <w:r>
              <w:rPr>
                <w:rFonts w:ascii="Times New Roman" w:hAnsi="Times New Roman" w:eastAsia="仿宋_GB2312"/>
                <w:szCs w:val="21"/>
              </w:rPr>
              <w:t>低压蒸汽经蒸汽加热器后进入制硝罐，制硝罐产生的二次蒸汽经除沫器除盐后一部分作为母液的加热热源，另一部分回用到制硝罐。</w:t>
            </w:r>
          </w:p>
          <w:p w14:paraId="675BB5A8">
            <w:pPr>
              <w:pStyle w:val="16"/>
              <w:snapToGrid w:val="0"/>
              <w:spacing w:line="360" w:lineRule="auto"/>
              <w:ind w:firstLine="420" w:firstLineChars="200"/>
              <w:rPr>
                <w:rFonts w:ascii="Times New Roman" w:hAnsi="Times New Roman" w:eastAsia="仿宋_GB2312"/>
                <w:szCs w:val="21"/>
              </w:rPr>
            </w:pPr>
            <w:r>
              <w:rPr>
                <w:rFonts w:ascii="Times New Roman" w:hAnsi="Times New Roman" w:eastAsia="仿宋_GB2312"/>
                <w:szCs w:val="21"/>
              </w:rPr>
              <w:t>各效闪蒸器分配出部分给卤水加热的二次汽均冷凝下来进入冷凝水桶，因为是二次汽，所以其中含有一定的盐，成为含盐冷凝水（废水W2），最后均排入到泛水池。</w:t>
            </w:r>
          </w:p>
          <w:p w14:paraId="71F09D38">
            <w:pPr>
              <w:keepNext/>
              <w:keepLines/>
              <w:adjustRightInd w:val="0"/>
              <w:snapToGrid w:val="0"/>
              <w:spacing w:line="360" w:lineRule="auto"/>
              <w:ind w:left="420"/>
              <w:rPr>
                <w:rFonts w:hint="eastAsia" w:eastAsia="仿宋_GB2312"/>
                <w:b/>
                <w:bCs/>
              </w:rPr>
            </w:pPr>
            <w:r>
              <w:rPr>
                <w:rFonts w:ascii="Times New Roman" w:hAnsi="Times New Roman" w:eastAsia="仿宋_GB2312"/>
                <w:szCs w:val="21"/>
              </w:rPr>
              <w:t>加怡热电厂的初始蒸气，第一效二次汽包括制硝罐的部分冷凝下来的水因为盐分较少，可以作为清洁水利用，成为W1、W3，作为回电厂使用或出售作热水用。</w:t>
            </w:r>
          </w:p>
          <w:p w14:paraId="74FC4194">
            <w:pPr>
              <w:keepNext/>
              <w:keepLines/>
              <w:adjustRightInd w:val="0"/>
              <w:snapToGrid w:val="0"/>
              <w:spacing w:line="360" w:lineRule="auto"/>
              <w:ind w:left="420"/>
              <w:jc w:val="center"/>
              <w:rPr>
                <w:rFonts w:hint="eastAsia" w:eastAsia="仿宋_GB2312"/>
                <w:b/>
                <w:bCs/>
              </w:rPr>
            </w:pPr>
            <w:r>
              <w:rPr>
                <w:rFonts w:hint="eastAsia" w:eastAsia="仿宋_GB2312"/>
                <w:b/>
                <w:bCs/>
              </w:rPr>
              <w:object>
                <v:shape id="_x0000_i1032" o:spt="75" type="#_x0000_t75" style="height:85.5pt;width:249pt;" o:ole="t" filled="f" o:preferrelative="t" stroked="f" coordsize="21600,21600">
                  <v:path/>
                  <v:fill on="f" focussize="0,0"/>
                  <v:stroke on="f"/>
                  <v:imagedata r:id="rId42" o:title=""/>
                  <o:lock v:ext="edit" aspectratio="f"/>
                  <w10:wrap type="none"/>
                  <w10:anchorlock/>
                </v:shape>
                <o:OLEObject Type="Embed" ProgID="Visio.Drawing.15" ShapeID="_x0000_i1032" DrawAspect="Content" ObjectID="_1468075734" r:id="rId41">
                  <o:LockedField>false</o:LockedField>
                </o:OLEObject>
              </w:object>
            </w:r>
          </w:p>
          <w:p w14:paraId="3306BC30">
            <w:pPr>
              <w:pStyle w:val="16"/>
              <w:snapToGrid w:val="0"/>
              <w:spacing w:line="500" w:lineRule="exact"/>
              <w:ind w:firstLine="523"/>
              <w:jc w:val="center"/>
              <w:rPr>
                <w:rFonts w:hint="default" w:ascii="Times New Roman" w:hAnsi="Times New Roman" w:eastAsia="仿宋_GB2312" w:cs="Times New Roman"/>
                <w:b/>
                <w:color w:val="000000"/>
                <w:kern w:val="0"/>
              </w:rPr>
            </w:pPr>
            <w:r>
              <w:rPr>
                <w:rFonts w:hint="default" w:ascii="Times New Roman" w:hAnsi="Times New Roman" w:eastAsia="仿宋_GB2312" w:cs="Times New Roman"/>
                <w:b/>
                <w:color w:val="000000"/>
                <w:kern w:val="0"/>
              </w:rPr>
              <w:t>图</w:t>
            </w:r>
            <w:r>
              <w:rPr>
                <w:rFonts w:hint="eastAsia" w:ascii="Times New Roman" w:hAnsi="Times New Roman" w:eastAsia="仿宋_GB2312" w:cs="Times New Roman"/>
                <w:b/>
                <w:color w:val="000000"/>
                <w:kern w:val="0"/>
                <w:lang w:val="en-US" w:eastAsia="zh-CN"/>
              </w:rPr>
              <w:t xml:space="preserve">2-10 </w:t>
            </w:r>
            <w:r>
              <w:rPr>
                <w:rFonts w:hint="default" w:ascii="Times New Roman" w:hAnsi="Times New Roman" w:eastAsia="仿宋_GB2312" w:cs="Times New Roman"/>
                <w:b/>
                <w:color w:val="000000"/>
                <w:kern w:val="0"/>
              </w:rPr>
              <w:t xml:space="preserve"> 真空制盐（</w:t>
            </w:r>
            <w:r>
              <w:rPr>
                <w:rFonts w:hint="eastAsia" w:ascii="Times New Roman" w:hAnsi="Times New Roman" w:eastAsia="仿宋_GB2312" w:cs="Times New Roman"/>
                <w:b/>
                <w:color w:val="000000"/>
                <w:kern w:val="0"/>
                <w:lang w:val="en-US" w:eastAsia="zh-CN"/>
              </w:rPr>
              <w:t>二</w:t>
            </w:r>
            <w:r>
              <w:rPr>
                <w:rFonts w:hint="default" w:ascii="Times New Roman" w:hAnsi="Times New Roman" w:eastAsia="仿宋_GB2312" w:cs="Times New Roman"/>
                <w:b/>
                <w:color w:val="000000"/>
                <w:kern w:val="0"/>
              </w:rPr>
              <w:t>期）卤水净化工艺流程</w:t>
            </w:r>
          </w:p>
          <w:p w14:paraId="4909A0FD">
            <w:pPr>
              <w:keepNext/>
              <w:keepLines/>
              <w:pageBreakBefore w:val="0"/>
              <w:widowControl w:val="0"/>
              <w:kinsoku/>
              <w:wordWrap/>
              <w:overflowPunct/>
              <w:topLinePunct w:val="0"/>
              <w:autoSpaceDE/>
              <w:autoSpaceDN/>
              <w:bidi w:val="0"/>
              <w:adjustRightInd w:val="0"/>
              <w:snapToGrid w:val="0"/>
              <w:spacing w:before="313" w:beforeLines="100" w:line="360" w:lineRule="auto"/>
              <w:ind w:left="0" w:firstLine="422" w:firstLineChars="200"/>
              <w:textAlignment w:val="auto"/>
              <w:rPr>
                <w:rFonts w:hint="eastAsia" w:eastAsia="仿宋_GB2312"/>
                <w:b/>
                <w:bCs/>
                <w:lang w:val="en-US" w:eastAsia="zh-CN"/>
              </w:rPr>
            </w:pPr>
            <w:r>
              <w:rPr>
                <w:rFonts w:hint="eastAsia" w:eastAsia="仿宋_GB2312"/>
                <w:b/>
                <w:bCs/>
              </w:rPr>
              <w:t>（</w:t>
            </w:r>
            <w:r>
              <w:rPr>
                <w:rFonts w:hint="eastAsia" w:eastAsia="仿宋_GB2312"/>
                <w:b/>
                <w:bCs/>
                <w:lang w:val="en-US" w:eastAsia="zh-CN"/>
              </w:rPr>
              <w:t>2</w:t>
            </w:r>
            <w:r>
              <w:rPr>
                <w:rFonts w:hint="eastAsia" w:eastAsia="仿宋_GB2312"/>
                <w:b/>
                <w:bCs/>
              </w:rPr>
              <w:t>）</w:t>
            </w:r>
            <w:r>
              <w:rPr>
                <w:rFonts w:hint="eastAsia" w:eastAsia="仿宋_GB2312"/>
                <w:b/>
                <w:color w:val="000000"/>
                <w:kern w:val="0"/>
              </w:rPr>
              <w:t>精制盐包装工艺</w:t>
            </w:r>
            <w:r>
              <w:rPr>
                <w:rFonts w:hint="eastAsia" w:eastAsia="仿宋_GB2312"/>
                <w:b/>
                <w:color w:val="000000"/>
                <w:kern w:val="0"/>
                <w:lang w:eastAsia="zh-CN"/>
              </w:rPr>
              <w:t>（</w:t>
            </w:r>
            <w:r>
              <w:rPr>
                <w:rFonts w:hint="eastAsia" w:eastAsia="仿宋_GB2312"/>
                <w:b/>
                <w:color w:val="000000"/>
                <w:kern w:val="0"/>
                <w:lang w:val="en-US" w:eastAsia="zh-CN"/>
              </w:rPr>
              <w:t>一期、二期全厂100万t/a</w:t>
            </w:r>
            <w:r>
              <w:rPr>
                <w:rFonts w:hint="eastAsia" w:eastAsia="仿宋_GB2312"/>
                <w:b/>
                <w:color w:val="000000"/>
                <w:kern w:val="0"/>
                <w:lang w:eastAsia="zh-CN"/>
              </w:rPr>
              <w:t>）</w:t>
            </w:r>
          </w:p>
          <w:p w14:paraId="42027E3E">
            <w:pPr>
              <w:keepNext/>
              <w:keepLines/>
              <w:adjustRightInd w:val="0"/>
              <w:snapToGrid w:val="0"/>
              <w:jc w:val="center"/>
              <w:rPr>
                <w:rFonts w:eastAsia="仿宋_GB2312"/>
                <w:b/>
                <w:bCs/>
              </w:rPr>
            </w:pPr>
            <w:r>
              <w:rPr>
                <w:rFonts w:hint="eastAsia" w:eastAsia="仿宋_GB2312"/>
                <w:b/>
                <w:bCs/>
              </w:rPr>
              <w:drawing>
                <wp:inline distT="0" distB="0" distL="114300" distR="114300">
                  <wp:extent cx="5003165" cy="4824095"/>
                  <wp:effectExtent l="0" t="0" r="6985" b="14605"/>
                  <wp:docPr id="315" name="图片 315" descr="5db246eeb64e81c5b0b19278ced96d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315" descr="5db246eeb64e81c5b0b19278ced96d26"/>
                          <pic:cNvPicPr>
                            <a:picLocks noChangeAspect="1"/>
                          </pic:cNvPicPr>
                        </pic:nvPicPr>
                        <pic:blipFill>
                          <a:blip r:embed="rId43"/>
                          <a:stretch>
                            <a:fillRect/>
                          </a:stretch>
                        </pic:blipFill>
                        <pic:spPr>
                          <a:xfrm>
                            <a:off x="0" y="0"/>
                            <a:ext cx="5003165" cy="4824095"/>
                          </a:xfrm>
                          <a:prstGeom prst="rect">
                            <a:avLst/>
                          </a:prstGeom>
                        </pic:spPr>
                      </pic:pic>
                    </a:graphicData>
                  </a:graphic>
                </wp:inline>
              </w:drawing>
            </w:r>
          </w:p>
          <w:p w14:paraId="5637F136">
            <w:pPr>
              <w:keepNext/>
              <w:keepLines/>
              <w:adjustRightInd w:val="0"/>
              <w:snapToGrid w:val="0"/>
              <w:spacing w:line="360" w:lineRule="auto"/>
              <w:ind w:firstLine="422" w:firstLineChars="200"/>
              <w:rPr>
                <w:rFonts w:eastAsia="仿宋_GB2312"/>
                <w:b/>
                <w:bCs/>
              </w:rPr>
            </w:pPr>
          </w:p>
          <w:p w14:paraId="27D6FADF">
            <w:pPr>
              <w:adjustRightInd w:val="0"/>
              <w:snapToGrid w:val="0"/>
              <w:spacing w:line="360" w:lineRule="auto"/>
              <w:jc w:val="center"/>
              <w:rPr>
                <w:rFonts w:eastAsia="仿宋_GB2312"/>
                <w:b/>
                <w:color w:val="000000"/>
                <w:kern w:val="0"/>
              </w:rPr>
            </w:pPr>
            <w:r>
              <w:rPr>
                <w:rFonts w:hint="eastAsia" w:eastAsia="仿宋_GB2312"/>
                <w:b/>
                <w:color w:val="000000"/>
                <w:kern w:val="0"/>
              </w:rPr>
              <w:t>图2-</w:t>
            </w:r>
            <w:r>
              <w:rPr>
                <w:rFonts w:hint="eastAsia" w:eastAsia="仿宋_GB2312"/>
                <w:b/>
                <w:color w:val="000000"/>
                <w:kern w:val="0"/>
                <w:lang w:val="en-US" w:eastAsia="zh-CN"/>
              </w:rPr>
              <w:t>11  100万t/a</w:t>
            </w:r>
            <w:r>
              <w:rPr>
                <w:rFonts w:hint="eastAsia" w:eastAsia="仿宋_GB2312"/>
                <w:b/>
                <w:color w:val="000000"/>
                <w:kern w:val="0"/>
              </w:rPr>
              <w:t>精制盐包装（一期、二期）生产工艺流程及产污环节示意图</w:t>
            </w:r>
          </w:p>
          <w:p w14:paraId="1C72181B">
            <w:pPr>
              <w:keepNext/>
              <w:keepLines/>
              <w:adjustRightInd w:val="0"/>
              <w:snapToGrid w:val="0"/>
              <w:spacing w:line="360" w:lineRule="auto"/>
              <w:ind w:firstLine="422" w:firstLineChars="200"/>
              <w:rPr>
                <w:rFonts w:eastAsia="仿宋_GB2312"/>
                <w:b/>
                <w:bCs/>
              </w:rPr>
            </w:pPr>
            <w:r>
              <w:rPr>
                <w:rFonts w:hint="eastAsia" w:eastAsia="仿宋_GB2312"/>
                <w:b/>
                <w:bCs/>
              </w:rPr>
              <w:t>工艺流程简述：</w:t>
            </w:r>
          </w:p>
          <w:p w14:paraId="0C603C49">
            <w:pPr>
              <w:keepNext/>
              <w:keepLines/>
              <w:adjustRightInd w:val="0"/>
              <w:snapToGrid w:val="0"/>
              <w:spacing w:line="360" w:lineRule="auto"/>
              <w:ind w:firstLine="420" w:firstLineChars="200"/>
              <w:rPr>
                <w:rFonts w:eastAsia="仿宋_GB2312"/>
              </w:rPr>
            </w:pPr>
            <w:r>
              <w:rPr>
                <w:rFonts w:hint="eastAsia" w:eastAsia="仿宋_GB2312"/>
              </w:rPr>
              <w:t>（1）输送</w:t>
            </w:r>
          </w:p>
          <w:p w14:paraId="62190CC8">
            <w:pPr>
              <w:keepNext/>
              <w:keepLines/>
              <w:adjustRightInd w:val="0"/>
              <w:snapToGrid w:val="0"/>
              <w:spacing w:line="360" w:lineRule="auto"/>
              <w:ind w:firstLine="420" w:firstLineChars="200"/>
              <w:rPr>
                <w:rFonts w:eastAsia="仿宋_GB2312"/>
              </w:rPr>
            </w:pPr>
            <w:r>
              <w:rPr>
                <w:rFonts w:hint="eastAsia" w:eastAsia="仿宋_GB2312"/>
              </w:rPr>
              <w:t>原料（干盐、亚铁氢钾、碘酸钾）输送至料仓内。此工艺会产生机械噪声。</w:t>
            </w:r>
          </w:p>
          <w:p w14:paraId="45959B33">
            <w:pPr>
              <w:keepNext/>
              <w:keepLines/>
              <w:adjustRightInd w:val="0"/>
              <w:snapToGrid w:val="0"/>
              <w:spacing w:line="360" w:lineRule="auto"/>
              <w:ind w:firstLine="420" w:firstLineChars="200"/>
              <w:rPr>
                <w:rFonts w:eastAsia="仿宋_GB2312"/>
              </w:rPr>
            </w:pPr>
            <w:r>
              <w:rPr>
                <w:rFonts w:hint="eastAsia" w:eastAsia="仿宋_GB2312"/>
              </w:rPr>
              <w:t>（2）筛分</w:t>
            </w:r>
          </w:p>
          <w:p w14:paraId="3A330A64">
            <w:pPr>
              <w:keepNext/>
              <w:keepLines/>
              <w:adjustRightInd w:val="0"/>
              <w:snapToGrid w:val="0"/>
              <w:spacing w:line="360" w:lineRule="auto"/>
              <w:ind w:firstLine="420" w:firstLineChars="200"/>
              <w:rPr>
                <w:rFonts w:eastAsia="仿宋_GB2312"/>
                <w:b/>
                <w:bCs/>
              </w:rPr>
            </w:pPr>
            <w:r>
              <w:rPr>
                <w:rFonts w:hint="eastAsia" w:eastAsia="仿宋_GB2312"/>
              </w:rPr>
              <w:t>原料在料仓中进行筛分，筛分后的半成品再输送至半成品料仓中。此工艺会产生盐尘、盐尘渣及机械噪声。</w:t>
            </w:r>
          </w:p>
          <w:p w14:paraId="011396F2">
            <w:pPr>
              <w:keepNext/>
              <w:keepLines/>
              <w:adjustRightInd w:val="0"/>
              <w:snapToGrid w:val="0"/>
              <w:spacing w:line="360" w:lineRule="auto"/>
              <w:ind w:firstLine="420" w:firstLineChars="200"/>
              <w:rPr>
                <w:rFonts w:eastAsia="仿宋_GB2312"/>
              </w:rPr>
            </w:pPr>
            <w:r>
              <w:rPr>
                <w:rFonts w:hint="eastAsia" w:eastAsia="仿宋_GB2312"/>
              </w:rPr>
              <w:t>（3）包装</w:t>
            </w:r>
          </w:p>
          <w:p w14:paraId="7C530D88">
            <w:pPr>
              <w:keepNext/>
              <w:keepLines/>
              <w:adjustRightInd w:val="0"/>
              <w:snapToGrid w:val="0"/>
              <w:spacing w:line="360" w:lineRule="auto"/>
              <w:ind w:firstLine="420" w:firstLineChars="200"/>
              <w:rPr>
                <w:rFonts w:eastAsia="仿宋_GB2312"/>
              </w:rPr>
            </w:pPr>
            <w:r>
              <w:rPr>
                <w:rFonts w:hint="eastAsia" w:eastAsia="仿宋_GB2312"/>
              </w:rPr>
              <w:t>将成品送入车间（造粒盐车间、净化车间、大包装车间、小包装车间）内进行分类包装。此工艺会产生盐尘、盐尘渣及机械噪声。</w:t>
            </w:r>
          </w:p>
          <w:p w14:paraId="7A99AB37">
            <w:pPr>
              <w:keepNext/>
              <w:keepLines/>
              <w:adjustRightInd w:val="0"/>
              <w:snapToGrid w:val="0"/>
              <w:spacing w:line="360" w:lineRule="auto"/>
              <w:ind w:firstLine="420" w:firstLineChars="200"/>
              <w:rPr>
                <w:rFonts w:eastAsia="仿宋_GB2312"/>
              </w:rPr>
            </w:pPr>
            <w:r>
              <w:rPr>
                <w:rFonts w:hint="eastAsia" w:eastAsia="仿宋_GB2312"/>
              </w:rPr>
              <w:t>（4）码垛、包裹</w:t>
            </w:r>
          </w:p>
          <w:p w14:paraId="2AC4393D">
            <w:pPr>
              <w:keepNext/>
              <w:keepLines/>
              <w:adjustRightInd w:val="0"/>
              <w:snapToGrid w:val="0"/>
              <w:spacing w:line="360" w:lineRule="auto"/>
              <w:ind w:firstLine="420" w:firstLineChars="200"/>
              <w:rPr>
                <w:rFonts w:eastAsia="仿宋_GB2312"/>
              </w:rPr>
            </w:pPr>
            <w:r>
              <w:rPr>
                <w:rFonts w:hint="eastAsia" w:eastAsia="仿宋_GB2312"/>
              </w:rPr>
              <w:t>将包装完的产品进行码垛，打包包裹后即为成品。此工艺会产生机械噪声。</w:t>
            </w:r>
          </w:p>
          <w:p w14:paraId="0DD6256F">
            <w:pPr>
              <w:keepNext/>
              <w:keepLines/>
              <w:adjustRightInd w:val="0"/>
              <w:snapToGrid w:val="0"/>
              <w:spacing w:line="360" w:lineRule="auto"/>
              <w:ind w:left="420"/>
              <w:rPr>
                <w:rFonts w:eastAsia="仿宋_GB2312"/>
                <w:b/>
                <w:bCs/>
              </w:rPr>
            </w:pPr>
            <w:r>
              <w:rPr>
                <w:rFonts w:hint="eastAsia" w:eastAsia="仿宋_GB2312"/>
                <w:b/>
                <w:bCs/>
              </w:rPr>
              <w:t>（</w:t>
            </w:r>
            <w:r>
              <w:rPr>
                <w:rFonts w:hint="eastAsia" w:eastAsia="仿宋_GB2312"/>
                <w:b/>
                <w:bCs/>
                <w:lang w:val="en-US" w:eastAsia="zh-CN"/>
              </w:rPr>
              <w:t>3</w:t>
            </w:r>
            <w:r>
              <w:rPr>
                <w:rFonts w:hint="eastAsia" w:eastAsia="仿宋_GB2312"/>
                <w:b/>
                <w:bCs/>
              </w:rPr>
              <w:t>）</w:t>
            </w:r>
            <w:r>
              <w:rPr>
                <w:rFonts w:hint="eastAsia" w:eastAsia="仿宋_GB2312"/>
                <w:b/>
                <w:color w:val="000000"/>
                <w:kern w:val="0"/>
                <w:lang w:eastAsia="zh-CN"/>
              </w:rPr>
              <w:t>盐泥综合利用</w:t>
            </w:r>
            <w:r>
              <w:rPr>
                <w:rFonts w:hint="eastAsia" w:eastAsia="仿宋_GB2312"/>
                <w:b/>
                <w:color w:val="000000"/>
                <w:kern w:val="0"/>
              </w:rPr>
              <w:t>工艺</w:t>
            </w:r>
          </w:p>
          <w:p w14:paraId="53017353">
            <w:pPr>
              <w:keepNext/>
              <w:keepLines/>
              <w:adjustRightInd w:val="0"/>
              <w:snapToGrid w:val="0"/>
              <w:spacing w:line="360" w:lineRule="auto"/>
              <w:ind w:firstLine="480" w:firstLineChars="200"/>
              <w:rPr>
                <w:rFonts w:eastAsia="仿宋_GB2312"/>
                <w:b/>
                <w:bCs/>
              </w:rPr>
            </w:pPr>
            <w:r>
              <w:rPr>
                <w:rFonts w:hint="eastAsia" w:eastAsia="仿宋_GB2312" w:cs="Times New Roman"/>
                <w:b w:val="0"/>
                <w:bCs w:val="0"/>
                <w:color w:val="auto"/>
                <w:sz w:val="24"/>
                <w:szCs w:val="24"/>
                <w:lang w:eastAsia="zh-CN"/>
              </w:rPr>
              <w:pict>
                <v:shape id="Object 27" o:spid="_x0000_s2619" o:spt="75" type="#_x0000_t75" style="position:absolute;left:0pt;margin-left:39.7pt;margin-top:10.05pt;height:396.85pt;width:340.15pt;mso-wrap-distance-bottom:0pt;mso-wrap-distance-left:9pt;mso-wrap-distance-right:9pt;mso-wrap-distance-top:0pt;z-index:251929600;mso-width-relative:page;mso-height-relative:page;" o:ole="t" filled="f" o:preferrelative="t" stroked="f" coordsize="21600,21600">
                  <v:path/>
                  <v:fill on="f" focussize="0,0"/>
                  <v:stroke on="f"/>
                  <v:imagedata r:id="rId45" o:title=""/>
                  <o:lock v:ext="edit" aspectratio="f"/>
                  <w10:wrap type="square"/>
                </v:shape>
                <o:OLEObject Type="Embed" ProgID="Visio.Drawing.15" ShapeID="Object 27" DrawAspect="Content" ObjectID="_1468075735" r:id="rId44">
                  <o:LockedField>false</o:LockedField>
                </o:OLEObject>
              </w:pict>
            </w:r>
          </w:p>
          <w:p w14:paraId="3E578397">
            <w:pPr>
              <w:keepNext/>
              <w:keepLines/>
              <w:adjustRightInd w:val="0"/>
              <w:snapToGrid w:val="0"/>
              <w:spacing w:line="360" w:lineRule="auto"/>
              <w:ind w:firstLine="422" w:firstLineChars="200"/>
              <w:rPr>
                <w:rFonts w:eastAsia="仿宋_GB2312"/>
                <w:b/>
                <w:bCs/>
              </w:rPr>
            </w:pPr>
          </w:p>
          <w:p w14:paraId="57B36502">
            <w:pPr>
              <w:keepNext/>
              <w:keepLines/>
              <w:adjustRightInd w:val="0"/>
              <w:snapToGrid w:val="0"/>
              <w:spacing w:line="360" w:lineRule="auto"/>
              <w:ind w:firstLine="422" w:firstLineChars="200"/>
              <w:rPr>
                <w:rFonts w:eastAsia="仿宋_GB2312"/>
                <w:b/>
                <w:bCs/>
              </w:rPr>
            </w:pPr>
          </w:p>
          <w:p w14:paraId="4591060B">
            <w:pPr>
              <w:keepNext/>
              <w:keepLines/>
              <w:adjustRightInd w:val="0"/>
              <w:snapToGrid w:val="0"/>
              <w:spacing w:line="360" w:lineRule="auto"/>
              <w:ind w:firstLine="422" w:firstLineChars="200"/>
              <w:rPr>
                <w:rFonts w:eastAsia="仿宋_GB2312"/>
                <w:b/>
                <w:bCs/>
              </w:rPr>
            </w:pPr>
          </w:p>
          <w:p w14:paraId="7D6EED13">
            <w:pPr>
              <w:keepNext/>
              <w:keepLines/>
              <w:adjustRightInd w:val="0"/>
              <w:snapToGrid w:val="0"/>
              <w:spacing w:line="360" w:lineRule="auto"/>
              <w:ind w:firstLine="422" w:firstLineChars="200"/>
              <w:rPr>
                <w:rFonts w:eastAsia="仿宋_GB2312"/>
                <w:b/>
                <w:bCs/>
              </w:rPr>
            </w:pPr>
          </w:p>
          <w:p w14:paraId="428A3824">
            <w:pPr>
              <w:keepNext/>
              <w:keepLines/>
              <w:adjustRightInd w:val="0"/>
              <w:snapToGrid w:val="0"/>
              <w:spacing w:line="360" w:lineRule="auto"/>
              <w:ind w:firstLine="422" w:firstLineChars="200"/>
              <w:rPr>
                <w:rFonts w:eastAsia="仿宋_GB2312"/>
                <w:b/>
                <w:bCs/>
              </w:rPr>
            </w:pPr>
          </w:p>
          <w:p w14:paraId="55E43A42">
            <w:pPr>
              <w:keepNext/>
              <w:keepLines/>
              <w:adjustRightInd w:val="0"/>
              <w:snapToGrid w:val="0"/>
              <w:spacing w:line="360" w:lineRule="auto"/>
              <w:ind w:firstLine="422" w:firstLineChars="200"/>
              <w:rPr>
                <w:rFonts w:eastAsia="仿宋_GB2312"/>
                <w:b/>
                <w:bCs/>
              </w:rPr>
            </w:pPr>
          </w:p>
          <w:p w14:paraId="1C856D02">
            <w:pPr>
              <w:keepNext/>
              <w:keepLines/>
              <w:adjustRightInd w:val="0"/>
              <w:snapToGrid w:val="0"/>
              <w:spacing w:line="360" w:lineRule="auto"/>
              <w:ind w:firstLine="422" w:firstLineChars="200"/>
              <w:rPr>
                <w:rFonts w:eastAsia="仿宋_GB2312"/>
                <w:b/>
                <w:bCs/>
              </w:rPr>
            </w:pPr>
          </w:p>
          <w:p w14:paraId="28B330F3">
            <w:pPr>
              <w:keepNext/>
              <w:keepLines/>
              <w:adjustRightInd w:val="0"/>
              <w:snapToGrid w:val="0"/>
              <w:spacing w:line="360" w:lineRule="auto"/>
              <w:ind w:firstLine="422" w:firstLineChars="200"/>
              <w:rPr>
                <w:rFonts w:eastAsia="仿宋_GB2312"/>
                <w:b/>
                <w:bCs/>
              </w:rPr>
            </w:pPr>
          </w:p>
          <w:p w14:paraId="2CC16B09">
            <w:pPr>
              <w:keepNext/>
              <w:keepLines/>
              <w:adjustRightInd w:val="0"/>
              <w:snapToGrid w:val="0"/>
              <w:spacing w:line="360" w:lineRule="auto"/>
              <w:ind w:firstLine="422" w:firstLineChars="200"/>
              <w:rPr>
                <w:rFonts w:eastAsia="仿宋_GB2312"/>
                <w:b/>
                <w:bCs/>
              </w:rPr>
            </w:pPr>
          </w:p>
          <w:p w14:paraId="19E0CD8A">
            <w:pPr>
              <w:keepNext/>
              <w:keepLines/>
              <w:adjustRightInd w:val="0"/>
              <w:snapToGrid w:val="0"/>
              <w:spacing w:line="360" w:lineRule="auto"/>
              <w:ind w:firstLine="422" w:firstLineChars="200"/>
              <w:rPr>
                <w:rFonts w:eastAsia="仿宋_GB2312"/>
                <w:b/>
                <w:bCs/>
              </w:rPr>
            </w:pPr>
          </w:p>
          <w:p w14:paraId="1856AC92">
            <w:pPr>
              <w:keepNext/>
              <w:keepLines/>
              <w:adjustRightInd w:val="0"/>
              <w:snapToGrid w:val="0"/>
              <w:spacing w:line="360" w:lineRule="auto"/>
              <w:ind w:firstLine="422" w:firstLineChars="200"/>
              <w:rPr>
                <w:rFonts w:eastAsia="仿宋_GB2312"/>
                <w:b/>
                <w:bCs/>
              </w:rPr>
            </w:pPr>
          </w:p>
          <w:p w14:paraId="401FC61F">
            <w:pPr>
              <w:keepNext/>
              <w:keepLines/>
              <w:adjustRightInd w:val="0"/>
              <w:snapToGrid w:val="0"/>
              <w:spacing w:line="360" w:lineRule="auto"/>
              <w:ind w:firstLine="422" w:firstLineChars="200"/>
              <w:rPr>
                <w:rFonts w:eastAsia="仿宋_GB2312"/>
                <w:b/>
                <w:bCs/>
              </w:rPr>
            </w:pPr>
          </w:p>
          <w:p w14:paraId="48CB53B5">
            <w:pPr>
              <w:keepNext/>
              <w:keepLines/>
              <w:adjustRightInd w:val="0"/>
              <w:snapToGrid w:val="0"/>
              <w:spacing w:line="360" w:lineRule="auto"/>
              <w:ind w:firstLine="422" w:firstLineChars="200"/>
              <w:rPr>
                <w:rFonts w:eastAsia="仿宋_GB2312"/>
                <w:b/>
                <w:bCs/>
              </w:rPr>
            </w:pPr>
          </w:p>
          <w:p w14:paraId="3312A5E1">
            <w:pPr>
              <w:keepNext/>
              <w:keepLines/>
              <w:adjustRightInd w:val="0"/>
              <w:snapToGrid w:val="0"/>
              <w:spacing w:line="360" w:lineRule="auto"/>
              <w:ind w:firstLine="422" w:firstLineChars="200"/>
              <w:rPr>
                <w:rFonts w:eastAsia="仿宋_GB2312"/>
                <w:b/>
                <w:bCs/>
              </w:rPr>
            </w:pPr>
          </w:p>
          <w:p w14:paraId="60ED54B4">
            <w:pPr>
              <w:keepNext/>
              <w:keepLines/>
              <w:adjustRightInd w:val="0"/>
              <w:snapToGrid w:val="0"/>
              <w:spacing w:line="360" w:lineRule="auto"/>
              <w:ind w:firstLine="422" w:firstLineChars="200"/>
              <w:rPr>
                <w:rFonts w:eastAsia="仿宋_GB2312"/>
                <w:b/>
                <w:bCs/>
              </w:rPr>
            </w:pPr>
          </w:p>
          <w:p w14:paraId="40205F49">
            <w:pPr>
              <w:keepNext/>
              <w:keepLines/>
              <w:adjustRightInd w:val="0"/>
              <w:snapToGrid w:val="0"/>
              <w:spacing w:line="360" w:lineRule="auto"/>
              <w:ind w:firstLine="422" w:firstLineChars="200"/>
              <w:rPr>
                <w:rFonts w:eastAsia="仿宋_GB2312"/>
                <w:b/>
                <w:bCs/>
              </w:rPr>
            </w:pPr>
          </w:p>
          <w:p w14:paraId="79317CAE">
            <w:pPr>
              <w:keepNext/>
              <w:keepLines/>
              <w:adjustRightInd w:val="0"/>
              <w:snapToGrid w:val="0"/>
              <w:spacing w:line="360" w:lineRule="auto"/>
              <w:ind w:firstLine="422" w:firstLineChars="200"/>
              <w:rPr>
                <w:rFonts w:eastAsia="仿宋_GB2312"/>
                <w:b/>
                <w:bCs/>
              </w:rPr>
            </w:pPr>
          </w:p>
          <w:p w14:paraId="7143DBD9">
            <w:pPr>
              <w:keepNext/>
              <w:keepLines/>
              <w:adjustRightInd w:val="0"/>
              <w:snapToGrid w:val="0"/>
              <w:spacing w:line="360" w:lineRule="auto"/>
              <w:ind w:firstLine="422" w:firstLineChars="200"/>
              <w:rPr>
                <w:rFonts w:eastAsia="仿宋_GB2312"/>
                <w:b/>
                <w:bCs/>
              </w:rPr>
            </w:pPr>
          </w:p>
          <w:p w14:paraId="4FDE90EA">
            <w:pPr>
              <w:keepNext/>
              <w:keepLines/>
              <w:adjustRightInd w:val="0"/>
              <w:snapToGrid w:val="0"/>
              <w:spacing w:line="360" w:lineRule="auto"/>
              <w:ind w:firstLine="422" w:firstLineChars="200"/>
              <w:rPr>
                <w:rFonts w:eastAsia="仿宋_GB2312"/>
                <w:b/>
                <w:bCs/>
              </w:rPr>
            </w:pPr>
          </w:p>
          <w:p w14:paraId="62C5FD9C">
            <w:pPr>
              <w:pStyle w:val="16"/>
              <w:snapToGrid w:val="0"/>
              <w:spacing w:line="360" w:lineRule="auto"/>
              <w:ind w:firstLine="460" w:firstLineChars="218"/>
              <w:jc w:val="center"/>
              <w:rPr>
                <w:rFonts w:hint="eastAsia" w:ascii="Times New Roman" w:hAnsi="Times New Roman" w:eastAsia="仿宋_GB2312"/>
                <w:b/>
                <w:color w:val="000000"/>
                <w:kern w:val="0"/>
                <w:lang w:val="en-US" w:eastAsia="zh-CN"/>
              </w:rPr>
            </w:pPr>
          </w:p>
          <w:p w14:paraId="177E2B66">
            <w:pPr>
              <w:pStyle w:val="16"/>
              <w:snapToGrid w:val="0"/>
              <w:spacing w:line="360" w:lineRule="auto"/>
              <w:ind w:firstLine="460" w:firstLineChars="218"/>
              <w:jc w:val="center"/>
              <w:rPr>
                <w:rFonts w:hint="eastAsia" w:ascii="Times New Roman" w:hAnsi="Times New Roman" w:eastAsia="仿宋_GB2312"/>
                <w:b/>
                <w:color w:val="000000"/>
                <w:kern w:val="0"/>
                <w:lang w:val="en-US" w:eastAsia="zh-CN"/>
              </w:rPr>
            </w:pPr>
          </w:p>
          <w:p w14:paraId="5F53F536">
            <w:pPr>
              <w:pStyle w:val="16"/>
              <w:snapToGrid w:val="0"/>
              <w:spacing w:line="360" w:lineRule="auto"/>
              <w:ind w:firstLine="460" w:firstLineChars="218"/>
              <w:jc w:val="center"/>
              <w:rPr>
                <w:rFonts w:hint="eastAsia" w:ascii="Times New Roman" w:hAnsi="Times New Roman" w:eastAsia="仿宋_GB2312"/>
                <w:b/>
                <w:color w:val="000000"/>
                <w:kern w:val="0"/>
                <w:lang w:val="en-US" w:eastAsia="zh-CN"/>
              </w:rPr>
            </w:pPr>
          </w:p>
          <w:p w14:paraId="28C84FA2">
            <w:pPr>
              <w:pStyle w:val="16"/>
              <w:snapToGrid w:val="0"/>
              <w:spacing w:line="360" w:lineRule="auto"/>
              <w:ind w:firstLine="460" w:firstLineChars="218"/>
              <w:jc w:val="center"/>
              <w:rPr>
                <w:rFonts w:ascii="Times New Roman" w:hAnsi="Times New Roman" w:eastAsia="仿宋_GB2312"/>
                <w:b/>
                <w:color w:val="000000"/>
                <w:kern w:val="0"/>
              </w:rPr>
            </w:pPr>
            <w:r>
              <w:rPr>
                <w:rFonts w:hint="eastAsia" w:ascii="Times New Roman" w:hAnsi="Times New Roman" w:eastAsia="仿宋_GB2312"/>
                <w:b/>
                <w:color w:val="000000"/>
                <w:kern w:val="0"/>
                <w:lang w:val="en-US" w:eastAsia="zh-CN"/>
              </w:rPr>
              <w:t>图</w:t>
            </w:r>
            <w:r>
              <w:rPr>
                <w:rFonts w:hint="eastAsia" w:ascii="Times New Roman" w:hAnsi="Times New Roman" w:eastAsia="仿宋_GB2312"/>
                <w:b/>
                <w:color w:val="000000"/>
                <w:kern w:val="0"/>
              </w:rPr>
              <w:t>2-</w:t>
            </w:r>
            <w:r>
              <w:rPr>
                <w:rFonts w:hint="eastAsia" w:ascii="Times New Roman" w:hAnsi="Times New Roman" w:eastAsia="仿宋_GB2312"/>
                <w:b/>
                <w:color w:val="000000"/>
                <w:kern w:val="0"/>
                <w:lang w:val="en-US" w:eastAsia="zh-CN"/>
              </w:rPr>
              <w:t>12</w:t>
            </w:r>
            <w:r>
              <w:rPr>
                <w:rFonts w:hint="eastAsia" w:ascii="Times New Roman" w:hAnsi="Times New Roman" w:eastAsia="仿宋_GB2312"/>
                <w:b/>
                <w:color w:val="000000"/>
                <w:kern w:val="0"/>
              </w:rPr>
              <w:t xml:space="preserve">  </w:t>
            </w:r>
            <w:r>
              <w:rPr>
                <w:rFonts w:hint="eastAsia" w:ascii="Times New Roman" w:hAnsi="Times New Roman" w:eastAsia="仿宋_GB2312"/>
                <w:b/>
                <w:color w:val="000000"/>
                <w:kern w:val="0"/>
                <w:lang w:val="en-US" w:eastAsia="zh-CN"/>
              </w:rPr>
              <w:t>盐泥综合利用</w:t>
            </w:r>
            <w:r>
              <w:rPr>
                <w:rFonts w:hint="eastAsia" w:ascii="Times New Roman" w:hAnsi="Times New Roman" w:eastAsia="仿宋_GB2312"/>
                <w:b/>
                <w:color w:val="000000"/>
                <w:kern w:val="0"/>
              </w:rPr>
              <w:t>工艺流程及产污环节示意图</w:t>
            </w:r>
          </w:p>
          <w:p w14:paraId="2B1BA9B7">
            <w:pPr>
              <w:keepNext/>
              <w:keepLines/>
              <w:adjustRightInd w:val="0"/>
              <w:snapToGrid w:val="0"/>
              <w:spacing w:line="360" w:lineRule="auto"/>
              <w:ind w:firstLine="422" w:firstLineChars="200"/>
              <w:rPr>
                <w:rFonts w:eastAsia="仿宋_GB2312"/>
                <w:b/>
                <w:bCs/>
              </w:rPr>
            </w:pPr>
            <w:r>
              <w:rPr>
                <w:rFonts w:hint="eastAsia" w:eastAsia="仿宋_GB2312"/>
                <w:b/>
                <w:bCs/>
              </w:rPr>
              <w:t>工艺流程简述：</w:t>
            </w:r>
          </w:p>
          <w:p w14:paraId="1D3A2D6B">
            <w:pPr>
              <w:adjustRightInd w:val="0"/>
              <w:snapToGrid w:val="0"/>
              <w:spacing w:line="360" w:lineRule="auto"/>
              <w:ind w:firstLine="420" w:firstLineChars="200"/>
              <w:rPr>
                <w:rFonts w:hint="default" w:eastAsia="仿宋_GB2312"/>
                <w:lang w:val="en-US" w:eastAsia="zh-CN"/>
              </w:rPr>
            </w:pPr>
            <w:r>
              <w:rPr>
                <w:rFonts w:hint="eastAsia" w:eastAsia="仿宋_GB2312"/>
                <w:lang w:val="en-US" w:eastAsia="zh-CN"/>
              </w:rPr>
              <w:t>企业现有盐泥处置工序主要为盐泥浆经反应澄清后经真空转鼓过滤后外售至建材厂，本次新增盐泥洗涤及压滤工序，减少含盐量及含水量，使产品达到碳酸钙中和剂、碳酸钙脱硫剂的产品质量标准。</w:t>
            </w:r>
          </w:p>
          <w:p w14:paraId="09DFDB5C">
            <w:pPr>
              <w:adjustRightInd w:val="0"/>
              <w:snapToGrid w:val="0"/>
              <w:spacing w:line="360" w:lineRule="auto"/>
              <w:ind w:firstLine="420" w:firstLineChars="200"/>
              <w:rPr>
                <w:rFonts w:hint="eastAsia" w:eastAsia="仿宋_GB2312"/>
                <w:lang w:eastAsia="zh-CN"/>
              </w:rPr>
            </w:pPr>
            <w:r>
              <w:rPr>
                <w:rFonts w:hint="eastAsia" w:eastAsia="仿宋_GB2312"/>
                <w:lang w:eastAsia="zh-CN"/>
              </w:rPr>
              <w:t>洗涤溶解：泥浆经过转鼓机脱水过滤后落入洗涤罐，加冷凝水再次溶解并进行洗涤。该工序会产生W1溶解洗涤废水、N噪声。</w:t>
            </w:r>
          </w:p>
          <w:p w14:paraId="071A9EBF">
            <w:pPr>
              <w:adjustRightInd w:val="0"/>
              <w:snapToGrid w:val="0"/>
              <w:spacing w:line="360" w:lineRule="auto"/>
              <w:ind w:firstLine="420" w:firstLineChars="200"/>
              <w:rPr>
                <w:rFonts w:hint="eastAsia" w:eastAsia="仿宋_GB2312"/>
                <w:lang w:eastAsia="zh-CN"/>
              </w:rPr>
            </w:pPr>
            <w:r>
              <w:rPr>
                <w:rFonts w:hint="eastAsia" w:eastAsia="仿宋_GB2312"/>
                <w:lang w:eastAsia="zh-CN"/>
              </w:rPr>
              <w:t>洗涤压滤：洗涤罐内的泥浆泵入板式压滤机，进行洗涤和压滤。W2洗涤压滤废水、N噪声。</w:t>
            </w:r>
          </w:p>
          <w:p w14:paraId="60DCE8EE">
            <w:pPr>
              <w:keepNext/>
              <w:keepLines/>
              <w:adjustRightInd w:val="0"/>
              <w:snapToGrid w:val="0"/>
              <w:spacing w:line="360" w:lineRule="auto"/>
              <w:ind w:left="420"/>
              <w:rPr>
                <w:rFonts w:hint="eastAsia" w:eastAsia="仿宋_GB2312"/>
                <w:b/>
                <w:bCs/>
                <w:lang w:eastAsia="zh-CN"/>
              </w:rPr>
            </w:pPr>
            <w:r>
              <w:rPr>
                <w:rFonts w:hint="eastAsia" w:eastAsia="仿宋_GB2312"/>
                <w:b/>
                <w:bCs/>
                <w:lang w:eastAsia="zh-CN"/>
              </w:rPr>
              <w:t>（</w:t>
            </w:r>
            <w:r>
              <w:rPr>
                <w:rFonts w:hint="eastAsia" w:eastAsia="仿宋_GB2312"/>
                <w:b/>
                <w:bCs/>
                <w:lang w:val="en-US" w:eastAsia="zh-CN"/>
              </w:rPr>
              <w:t>4</w:t>
            </w:r>
            <w:r>
              <w:rPr>
                <w:rFonts w:hint="eastAsia" w:ascii="Times New Roman" w:hAnsi="Times New Roman" w:eastAsia="仿宋_GB2312" w:cs="Times New Roman"/>
                <w:b/>
                <w:color w:val="000000"/>
                <w:kern w:val="0"/>
                <w:lang w:val="en-US" w:eastAsia="zh-CN"/>
              </w:rPr>
              <w:t>）集装袋盐生产工艺</w:t>
            </w:r>
          </w:p>
          <w:p w14:paraId="7AE483E0">
            <w:pPr>
              <w:keepNext/>
              <w:keepLines/>
              <w:pageBreakBefore w:val="0"/>
              <w:widowControl w:val="0"/>
              <w:kinsoku/>
              <w:wordWrap/>
              <w:overflowPunct/>
              <w:topLinePunct w:val="0"/>
              <w:autoSpaceDE/>
              <w:autoSpaceDN/>
              <w:bidi w:val="0"/>
              <w:adjustRightInd w:val="0"/>
              <w:snapToGrid w:val="0"/>
              <w:spacing w:line="360" w:lineRule="auto"/>
              <w:ind w:left="0"/>
              <w:jc w:val="center"/>
              <w:textAlignment w:val="auto"/>
              <w:rPr>
                <w:rFonts w:hint="eastAsia" w:eastAsia="仿宋_GB2312"/>
                <w:b/>
                <w:bCs/>
                <w:lang w:eastAsia="zh-CN"/>
              </w:rPr>
            </w:pPr>
            <w:r>
              <w:rPr>
                <w:rFonts w:hint="eastAsia" w:eastAsia="仿宋_GB2312"/>
                <w:b/>
                <w:bCs/>
                <w:lang w:eastAsia="zh-CN"/>
              </w:rPr>
              <w:drawing>
                <wp:inline distT="0" distB="0" distL="114300" distR="114300">
                  <wp:extent cx="4751705" cy="688975"/>
                  <wp:effectExtent l="0" t="0" r="10795" b="15875"/>
                  <wp:docPr id="5" name="图片 5" descr="b91a908d3e41a9bacb52c6ec1aba0c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b91a908d3e41a9bacb52c6ec1aba0c89"/>
                          <pic:cNvPicPr>
                            <a:picLocks noChangeAspect="1"/>
                          </pic:cNvPicPr>
                        </pic:nvPicPr>
                        <pic:blipFill>
                          <a:blip r:embed="rId46"/>
                          <a:stretch>
                            <a:fillRect/>
                          </a:stretch>
                        </pic:blipFill>
                        <pic:spPr>
                          <a:xfrm>
                            <a:off x="0" y="0"/>
                            <a:ext cx="4751705" cy="688975"/>
                          </a:xfrm>
                          <a:prstGeom prst="rect">
                            <a:avLst/>
                          </a:prstGeom>
                        </pic:spPr>
                      </pic:pic>
                    </a:graphicData>
                  </a:graphic>
                </wp:inline>
              </w:drawing>
            </w:r>
          </w:p>
          <w:p w14:paraId="7AB77BCE">
            <w:pPr>
              <w:pStyle w:val="16"/>
              <w:snapToGrid w:val="0"/>
              <w:spacing w:line="360" w:lineRule="auto"/>
              <w:ind w:firstLine="460" w:firstLineChars="218"/>
              <w:jc w:val="center"/>
              <w:rPr>
                <w:rFonts w:ascii="Times New Roman" w:hAnsi="Times New Roman" w:eastAsia="仿宋_GB2312"/>
                <w:b/>
                <w:color w:val="000000"/>
                <w:kern w:val="0"/>
              </w:rPr>
            </w:pPr>
            <w:r>
              <w:rPr>
                <w:rFonts w:hint="eastAsia" w:ascii="Times New Roman" w:hAnsi="Times New Roman" w:eastAsia="仿宋_GB2312"/>
                <w:b/>
                <w:color w:val="000000"/>
                <w:kern w:val="0"/>
                <w:lang w:val="en-US" w:eastAsia="zh-CN"/>
              </w:rPr>
              <w:t>图</w:t>
            </w:r>
            <w:r>
              <w:rPr>
                <w:rFonts w:hint="eastAsia" w:ascii="Times New Roman" w:hAnsi="Times New Roman" w:eastAsia="仿宋_GB2312"/>
                <w:b/>
                <w:color w:val="000000"/>
                <w:kern w:val="0"/>
              </w:rPr>
              <w:t>2-</w:t>
            </w:r>
            <w:r>
              <w:rPr>
                <w:rFonts w:hint="eastAsia" w:ascii="Times New Roman" w:hAnsi="Times New Roman" w:eastAsia="仿宋_GB2312"/>
                <w:b/>
                <w:color w:val="000000"/>
                <w:kern w:val="0"/>
                <w:lang w:val="en-US" w:eastAsia="zh-CN"/>
              </w:rPr>
              <w:t>13</w:t>
            </w:r>
            <w:r>
              <w:rPr>
                <w:rFonts w:hint="eastAsia" w:ascii="Times New Roman" w:hAnsi="Times New Roman" w:eastAsia="仿宋_GB2312"/>
                <w:b/>
                <w:color w:val="000000"/>
                <w:kern w:val="0"/>
              </w:rPr>
              <w:t xml:space="preserve">  </w:t>
            </w:r>
            <w:r>
              <w:rPr>
                <w:rFonts w:hint="eastAsia" w:ascii="Times New Roman" w:hAnsi="Times New Roman" w:eastAsia="仿宋_GB2312" w:cs="Times New Roman"/>
                <w:b/>
                <w:color w:val="000000"/>
                <w:kern w:val="0"/>
                <w:lang w:val="en-US" w:eastAsia="zh-CN"/>
              </w:rPr>
              <w:t>集装袋盐</w:t>
            </w:r>
            <w:r>
              <w:rPr>
                <w:rFonts w:hint="eastAsia" w:ascii="Times New Roman" w:hAnsi="Times New Roman" w:eastAsia="仿宋_GB2312"/>
                <w:b/>
                <w:color w:val="000000"/>
                <w:kern w:val="0"/>
              </w:rPr>
              <w:t>工艺流程及产污环节示意图</w:t>
            </w:r>
          </w:p>
          <w:p w14:paraId="066B62C9">
            <w:pPr>
              <w:keepNext/>
              <w:keepLines/>
              <w:adjustRightInd w:val="0"/>
              <w:snapToGrid w:val="0"/>
              <w:spacing w:line="360" w:lineRule="auto"/>
              <w:ind w:left="420"/>
              <w:rPr>
                <w:rFonts w:hint="eastAsia" w:eastAsia="仿宋_GB2312"/>
                <w:b/>
                <w:bCs/>
              </w:rPr>
            </w:pPr>
            <w:r>
              <w:rPr>
                <w:rFonts w:hint="eastAsia" w:eastAsia="仿宋_GB2312"/>
                <w:b/>
                <w:bCs/>
              </w:rPr>
              <w:t>工艺流程简述：</w:t>
            </w:r>
          </w:p>
          <w:p w14:paraId="2BF82BF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仿宋_GB2312" w:cs="Times New Roman"/>
                <w:lang w:eastAsia="zh-CN"/>
              </w:rPr>
            </w:pPr>
            <w:r>
              <w:rPr>
                <w:rFonts w:hint="eastAsia" w:ascii="Times New Roman" w:hAnsi="Times New Roman" w:eastAsia="仿宋_GB2312" w:cs="Times New Roman"/>
                <w:lang w:eastAsia="zh-CN"/>
              </w:rPr>
              <w:t>二期干盐从干燥床D床气力输送至包装车间储罐，经过添加剂系统加碘加松，再通过混料、筛分等工艺设备后，通过伸缩料管装料到套袋的集装袋，集装箱通过吊具搬运到货车，完成包装。</w:t>
            </w:r>
          </w:p>
          <w:p w14:paraId="0DE877C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仿宋_GB2312" w:cs="Times New Roman"/>
                <w:lang w:eastAsia="zh-CN"/>
              </w:rPr>
            </w:pPr>
            <w:r>
              <w:rPr>
                <w:rFonts w:hint="eastAsia" w:ascii="Times New Roman" w:hAnsi="Times New Roman" w:eastAsia="仿宋_GB2312" w:cs="Times New Roman"/>
                <w:lang w:val="en-US" w:eastAsia="zh-CN"/>
              </w:rPr>
              <w:t>集装袋盐</w:t>
            </w:r>
            <w:r>
              <w:rPr>
                <w:rFonts w:hint="eastAsia" w:eastAsia="仿宋_GB2312"/>
                <w:lang w:eastAsia="zh-CN"/>
              </w:rPr>
              <w:t>生产整个过程为密闭生产过程，</w:t>
            </w:r>
            <w:r>
              <w:rPr>
                <w:rFonts w:hint="eastAsia" w:eastAsia="仿宋_GB2312"/>
                <w:lang w:val="en-US" w:eastAsia="zh-CN"/>
              </w:rPr>
              <w:t>干燥床</w:t>
            </w:r>
            <w:r>
              <w:rPr>
                <w:rFonts w:hint="eastAsia" w:eastAsia="仿宋_GB2312"/>
                <w:lang w:eastAsia="zh-CN"/>
              </w:rPr>
              <w:t>、</w:t>
            </w:r>
            <w:r>
              <w:rPr>
                <w:rFonts w:hint="eastAsia" w:eastAsia="仿宋_GB2312"/>
                <w:lang w:val="en-US" w:eastAsia="zh-CN"/>
              </w:rPr>
              <w:t>储罐</w:t>
            </w:r>
            <w:r>
              <w:rPr>
                <w:rFonts w:hint="eastAsia" w:eastAsia="仿宋_GB2312"/>
                <w:lang w:eastAsia="zh-CN"/>
              </w:rPr>
              <w:t>、混合</w:t>
            </w:r>
            <w:r>
              <w:rPr>
                <w:rFonts w:hint="eastAsia" w:eastAsia="仿宋_GB2312"/>
                <w:lang w:val="en-US" w:eastAsia="zh-CN"/>
              </w:rPr>
              <w:t>筛分</w:t>
            </w:r>
            <w:r>
              <w:rPr>
                <w:rFonts w:hint="eastAsia" w:eastAsia="仿宋_GB2312"/>
                <w:lang w:eastAsia="zh-CN"/>
              </w:rPr>
              <w:t>、输送设备等环节均采用管道密闭生产，</w:t>
            </w:r>
            <w:r>
              <w:rPr>
                <w:rFonts w:hint="eastAsia" w:eastAsia="仿宋_GB2312"/>
                <w:lang w:val="en-US" w:eastAsia="zh-CN"/>
              </w:rPr>
              <w:t>无废气产生</w:t>
            </w:r>
            <w:r>
              <w:rPr>
                <w:rFonts w:hint="eastAsia" w:eastAsia="仿宋_GB2312"/>
                <w:lang w:eastAsia="zh-CN"/>
              </w:rPr>
              <w:t>。</w:t>
            </w:r>
          </w:p>
          <w:p w14:paraId="4D97038D">
            <w:pPr>
              <w:keepNext/>
              <w:keepLines/>
              <w:adjustRightInd w:val="0"/>
              <w:snapToGrid w:val="0"/>
              <w:spacing w:line="360" w:lineRule="auto"/>
              <w:ind w:left="420"/>
              <w:rPr>
                <w:rFonts w:eastAsia="仿宋_GB2312"/>
                <w:b/>
                <w:bCs/>
              </w:rPr>
            </w:pPr>
            <w:r>
              <w:rPr>
                <w:rFonts w:hint="eastAsia" w:eastAsia="仿宋_GB2312"/>
                <w:b/>
                <w:bCs/>
              </w:rPr>
              <w:t>（</w:t>
            </w:r>
            <w:r>
              <w:rPr>
                <w:rFonts w:hint="eastAsia" w:eastAsia="仿宋_GB2312"/>
                <w:b/>
                <w:bCs/>
                <w:lang w:val="en-US" w:eastAsia="zh-CN"/>
              </w:rPr>
              <w:t>5</w:t>
            </w:r>
            <w:r>
              <w:rPr>
                <w:rFonts w:hint="eastAsia" w:eastAsia="仿宋_GB2312"/>
                <w:b/>
                <w:bCs/>
              </w:rPr>
              <w:t>）</w:t>
            </w:r>
            <w:r>
              <w:rPr>
                <w:rFonts w:hint="eastAsia" w:eastAsia="仿宋_GB2312"/>
                <w:b/>
                <w:color w:val="000000"/>
                <w:kern w:val="0"/>
              </w:rPr>
              <w:t>畜牧用盐砖</w:t>
            </w:r>
            <w:r>
              <w:rPr>
                <w:rFonts w:hint="eastAsia" w:eastAsia="仿宋_GB2312"/>
                <w:b/>
                <w:color w:val="000000"/>
                <w:kern w:val="0"/>
                <w:lang w:val="en-US" w:eastAsia="zh-CN"/>
              </w:rPr>
              <w:t>生产</w:t>
            </w:r>
            <w:r>
              <w:rPr>
                <w:rFonts w:hint="eastAsia" w:eastAsia="仿宋_GB2312"/>
                <w:b/>
                <w:color w:val="000000"/>
                <w:kern w:val="0"/>
              </w:rPr>
              <w:t>工艺</w:t>
            </w:r>
          </w:p>
          <w:p w14:paraId="29E62870">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eastAsia="仿宋_GB2312"/>
                <w:lang w:eastAsia="zh-CN"/>
              </w:rPr>
            </w:pPr>
            <w:r>
              <w:rPr>
                <w:rFonts w:hint="eastAsia" w:eastAsia="仿宋_GB2312"/>
                <w:lang w:eastAsia="zh-CN"/>
              </w:rPr>
              <w:drawing>
                <wp:inline distT="0" distB="0" distL="114300" distR="114300">
                  <wp:extent cx="4831715" cy="1979930"/>
                  <wp:effectExtent l="0" t="0" r="6985" b="1270"/>
                  <wp:docPr id="3" name="图片 3" descr="微信图片_20251208091404_678_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51208091404_678_53(1)"/>
                          <pic:cNvPicPr>
                            <a:picLocks noChangeAspect="1"/>
                          </pic:cNvPicPr>
                        </pic:nvPicPr>
                        <pic:blipFill>
                          <a:blip r:embed="rId47"/>
                          <a:stretch>
                            <a:fillRect/>
                          </a:stretch>
                        </pic:blipFill>
                        <pic:spPr>
                          <a:xfrm>
                            <a:off x="0" y="0"/>
                            <a:ext cx="4831715" cy="1979930"/>
                          </a:xfrm>
                          <a:prstGeom prst="rect">
                            <a:avLst/>
                          </a:prstGeom>
                        </pic:spPr>
                      </pic:pic>
                    </a:graphicData>
                  </a:graphic>
                </wp:inline>
              </w:drawing>
            </w:r>
          </w:p>
          <w:p w14:paraId="33FA1941">
            <w:pPr>
              <w:pStyle w:val="16"/>
              <w:snapToGrid w:val="0"/>
              <w:spacing w:line="360" w:lineRule="auto"/>
              <w:ind w:firstLine="460" w:firstLineChars="218"/>
              <w:jc w:val="center"/>
              <w:rPr>
                <w:rFonts w:ascii="Times New Roman" w:hAnsi="Times New Roman" w:eastAsia="仿宋_GB2312"/>
                <w:b/>
                <w:color w:val="000000"/>
                <w:kern w:val="0"/>
              </w:rPr>
            </w:pPr>
            <w:r>
              <w:rPr>
                <w:rFonts w:hint="eastAsia" w:ascii="Times New Roman" w:hAnsi="Times New Roman" w:eastAsia="仿宋_GB2312"/>
                <w:b/>
                <w:color w:val="000000"/>
                <w:kern w:val="0"/>
                <w:lang w:val="en-US" w:eastAsia="zh-CN"/>
              </w:rPr>
              <w:t>图</w:t>
            </w:r>
            <w:r>
              <w:rPr>
                <w:rFonts w:hint="eastAsia" w:ascii="Times New Roman" w:hAnsi="Times New Roman" w:eastAsia="仿宋_GB2312"/>
                <w:b/>
                <w:color w:val="000000"/>
                <w:kern w:val="0"/>
              </w:rPr>
              <w:t>2-</w:t>
            </w:r>
            <w:r>
              <w:rPr>
                <w:rFonts w:hint="eastAsia" w:ascii="Times New Roman" w:hAnsi="Times New Roman" w:eastAsia="仿宋_GB2312"/>
                <w:b/>
                <w:color w:val="000000"/>
                <w:kern w:val="0"/>
                <w:lang w:val="en-US" w:eastAsia="zh-CN"/>
              </w:rPr>
              <w:t>14</w:t>
            </w:r>
            <w:r>
              <w:rPr>
                <w:rFonts w:hint="eastAsia" w:ascii="Times New Roman" w:hAnsi="Times New Roman" w:eastAsia="仿宋_GB2312"/>
                <w:b/>
                <w:color w:val="000000"/>
                <w:kern w:val="0"/>
              </w:rPr>
              <w:t xml:space="preserve">  </w:t>
            </w:r>
            <w:r>
              <w:rPr>
                <w:rFonts w:hint="eastAsia" w:eastAsia="仿宋_GB2312"/>
                <w:b/>
                <w:color w:val="000000"/>
                <w:kern w:val="0"/>
              </w:rPr>
              <w:t>畜牧用盐砖</w:t>
            </w:r>
            <w:r>
              <w:rPr>
                <w:rFonts w:hint="eastAsia" w:ascii="Times New Roman" w:hAnsi="Times New Roman" w:eastAsia="仿宋_GB2312"/>
                <w:b/>
                <w:color w:val="000000"/>
                <w:kern w:val="0"/>
              </w:rPr>
              <w:t>工艺流程及产污环节示意图</w:t>
            </w:r>
          </w:p>
          <w:p w14:paraId="4FE377C1">
            <w:pPr>
              <w:adjustRightInd w:val="0"/>
              <w:snapToGrid w:val="0"/>
              <w:spacing w:line="360" w:lineRule="auto"/>
              <w:ind w:firstLine="422" w:firstLineChars="200"/>
              <w:rPr>
                <w:rFonts w:hint="eastAsia" w:eastAsia="仿宋_GB2312"/>
                <w:lang w:eastAsia="zh-CN"/>
              </w:rPr>
            </w:pPr>
            <w:r>
              <w:rPr>
                <w:rFonts w:hint="eastAsia" w:eastAsia="仿宋_GB2312"/>
                <w:b/>
                <w:bCs/>
              </w:rPr>
              <w:t>工艺流程简述：</w:t>
            </w:r>
          </w:p>
          <w:p w14:paraId="7B2CD5A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textAlignment w:val="auto"/>
              <w:rPr>
                <w:rFonts w:hint="eastAsia" w:eastAsia="仿宋_GB2312"/>
                <w:lang w:eastAsia="zh-CN"/>
              </w:rPr>
            </w:pPr>
            <w:r>
              <w:rPr>
                <w:rFonts w:hint="eastAsia" w:eastAsia="仿宋_GB2312"/>
                <w:lang w:val="en-US" w:eastAsia="zh-CN"/>
              </w:rPr>
              <w:t>（1）</w:t>
            </w:r>
            <w:r>
              <w:rPr>
                <w:rFonts w:hint="eastAsia" w:eastAsia="仿宋_GB2312"/>
                <w:b/>
                <w:bCs/>
                <w:lang w:val="en-US" w:eastAsia="zh-CN"/>
              </w:rPr>
              <w:t>配料</w:t>
            </w:r>
            <w:r>
              <w:rPr>
                <w:rFonts w:hint="eastAsia" w:eastAsia="仿宋_GB2312"/>
                <w:lang w:val="en-US" w:eastAsia="zh-CN"/>
              </w:rPr>
              <w:t>：</w:t>
            </w:r>
            <w:r>
              <w:rPr>
                <w:rFonts w:hint="eastAsia" w:eastAsia="仿宋_GB2312"/>
                <w:lang w:eastAsia="zh-CN"/>
              </w:rPr>
              <w:t>畜牧盐舔砖生产采用中盐金坛公司金赛盐厂生产的饲料添加剂氯化钠，采用槽罐车运输至本工程畜牧盐车间，通过气力输送提升到车间顶部的饲料添加剂氯化钠料仓内。</w:t>
            </w:r>
          </w:p>
          <w:p w14:paraId="1680A7F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textAlignment w:val="auto"/>
              <w:rPr>
                <w:rFonts w:hint="eastAsia" w:eastAsia="仿宋_GB2312"/>
                <w:lang w:eastAsia="zh-CN"/>
              </w:rPr>
            </w:pPr>
            <w:r>
              <w:rPr>
                <w:rFonts w:hint="eastAsia" w:eastAsia="仿宋_GB2312"/>
                <w:lang w:val="en-US" w:eastAsia="zh-CN"/>
              </w:rPr>
              <w:t>（2）</w:t>
            </w:r>
            <w:r>
              <w:rPr>
                <w:rFonts w:hint="eastAsia" w:eastAsia="仿宋_GB2312"/>
                <w:b/>
                <w:bCs/>
                <w:lang w:val="en-US" w:eastAsia="zh-CN"/>
              </w:rPr>
              <w:t>混合</w:t>
            </w:r>
            <w:r>
              <w:rPr>
                <w:rFonts w:hint="eastAsia" w:eastAsia="仿宋_GB2312"/>
                <w:lang w:val="en-US" w:eastAsia="zh-CN"/>
              </w:rPr>
              <w:t>：</w:t>
            </w:r>
            <w:r>
              <w:rPr>
                <w:rFonts w:hint="eastAsia" w:eastAsia="仿宋_GB2312"/>
                <w:lang w:eastAsia="zh-CN"/>
              </w:rPr>
              <w:t xml:space="preserve">按照舔砖的配方，加入各类特定的营养性和功能性添加剂，先进行添加剂预混合，再与饲料添加剂氯化钠进行混合。这样，可以保证各种微量元素均匀地与饲料添加剂氯化钠混合。预混和混合过程均采用配料程序实现自动控制。 </w:t>
            </w:r>
          </w:p>
          <w:p w14:paraId="0AE5FD9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textAlignment w:val="auto"/>
              <w:rPr>
                <w:rFonts w:hint="eastAsia" w:eastAsia="仿宋_GB2312"/>
                <w:lang w:eastAsia="zh-CN"/>
              </w:rPr>
            </w:pPr>
            <w:r>
              <w:rPr>
                <w:rFonts w:hint="eastAsia" w:eastAsia="仿宋_GB2312"/>
                <w:lang w:val="en-US" w:eastAsia="zh-CN"/>
              </w:rPr>
              <w:t>（3）</w:t>
            </w:r>
            <w:r>
              <w:rPr>
                <w:rFonts w:hint="eastAsia" w:eastAsia="仿宋_GB2312"/>
                <w:b/>
                <w:bCs/>
                <w:lang w:val="en-US" w:eastAsia="zh-CN"/>
              </w:rPr>
              <w:t>出模</w:t>
            </w:r>
            <w:r>
              <w:rPr>
                <w:rFonts w:hint="eastAsia" w:eastAsia="仿宋_GB2312"/>
                <w:lang w:val="en-US" w:eastAsia="zh-CN"/>
              </w:rPr>
              <w:t>：</w:t>
            </w:r>
            <w:r>
              <w:rPr>
                <w:rFonts w:hint="eastAsia" w:eastAsia="仿宋_GB2312"/>
                <w:lang w:eastAsia="zh-CN"/>
              </w:rPr>
              <w:t xml:space="preserve">均匀混合后的舔砖混合料，需要采用大型液压机压制成舔砖。本工程引进卢森堡 LAEIS 公司的 HPF III 630 型液压机。制成规格 5kg 或 10kg 的舔砖。 </w:t>
            </w:r>
          </w:p>
          <w:p w14:paraId="5035B5B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textAlignment w:val="auto"/>
              <w:rPr>
                <w:rFonts w:hint="eastAsia" w:eastAsia="仿宋_GB2312"/>
                <w:lang w:eastAsia="zh-CN"/>
              </w:rPr>
            </w:pPr>
            <w:r>
              <w:rPr>
                <w:rFonts w:hint="eastAsia" w:eastAsia="仿宋_GB2312"/>
                <w:lang w:val="en-US" w:eastAsia="zh-CN"/>
              </w:rPr>
              <w:t>（4）</w:t>
            </w:r>
            <w:r>
              <w:rPr>
                <w:rFonts w:hint="eastAsia" w:eastAsia="仿宋_GB2312"/>
                <w:b/>
                <w:bCs/>
                <w:lang w:val="en-US" w:eastAsia="zh-CN"/>
              </w:rPr>
              <w:t>贴标</w:t>
            </w:r>
            <w:r>
              <w:rPr>
                <w:rFonts w:hint="eastAsia" w:eastAsia="仿宋_GB2312"/>
                <w:lang w:val="en-US" w:eastAsia="zh-CN"/>
              </w:rPr>
              <w:t>：</w:t>
            </w:r>
            <w:r>
              <w:rPr>
                <w:rFonts w:hint="eastAsia" w:eastAsia="仿宋_GB2312"/>
                <w:lang w:eastAsia="zh-CN"/>
              </w:rPr>
              <w:t>舔砖制成后，通过舔砖传送带送出，经过贴标机贴标、塑封机封装。</w:t>
            </w:r>
          </w:p>
          <w:p w14:paraId="5204A77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textAlignment w:val="auto"/>
              <w:rPr>
                <w:rFonts w:hint="eastAsia" w:eastAsia="仿宋_GB2312"/>
                <w:lang w:eastAsia="zh-CN"/>
              </w:rPr>
            </w:pPr>
            <w:r>
              <w:rPr>
                <w:rFonts w:hint="eastAsia" w:eastAsia="仿宋_GB2312"/>
                <w:lang w:val="en-US" w:eastAsia="zh-CN"/>
              </w:rPr>
              <w:t>（5）</w:t>
            </w:r>
            <w:r>
              <w:rPr>
                <w:rFonts w:hint="eastAsia" w:eastAsia="仿宋_GB2312"/>
                <w:b/>
                <w:bCs/>
                <w:lang w:val="en-US" w:eastAsia="zh-CN"/>
              </w:rPr>
              <w:t>装箱</w:t>
            </w:r>
            <w:r>
              <w:rPr>
                <w:rFonts w:hint="eastAsia" w:eastAsia="仿宋_GB2312"/>
                <w:lang w:val="en-US" w:eastAsia="zh-CN"/>
              </w:rPr>
              <w:t>：</w:t>
            </w:r>
            <w:r>
              <w:rPr>
                <w:rFonts w:hint="eastAsia" w:eastAsia="仿宋_GB2312"/>
                <w:lang w:eastAsia="zh-CN"/>
              </w:rPr>
              <w:t>最后的舔砖产品可通过装箱机装箱后，采用机器人堆码后，送到仓库内。 畜牧盐舔砖生产整个过程为密闭生产过程，饲料添加剂氯化钠入仓、预混、混合、输送设备等环节均采用管道密闭生产，</w:t>
            </w:r>
            <w:r>
              <w:rPr>
                <w:rFonts w:hint="eastAsia" w:eastAsia="仿宋_GB2312"/>
                <w:lang w:val="en-US" w:eastAsia="zh-CN"/>
              </w:rPr>
              <w:t>无废气产生</w:t>
            </w:r>
            <w:r>
              <w:rPr>
                <w:rFonts w:hint="eastAsia" w:eastAsia="仿宋_GB2312"/>
                <w:lang w:eastAsia="zh-CN"/>
              </w:rPr>
              <w:t>。</w:t>
            </w:r>
          </w:p>
          <w:p w14:paraId="408E2BEC">
            <w:pPr>
              <w:keepNext/>
              <w:keepLines/>
              <w:adjustRightInd w:val="0"/>
              <w:snapToGrid w:val="0"/>
              <w:spacing w:line="360" w:lineRule="auto"/>
              <w:ind w:firstLine="422" w:firstLineChars="200"/>
              <w:rPr>
                <w:rFonts w:eastAsia="仿宋_GB2312"/>
                <w:b/>
                <w:bCs/>
              </w:rPr>
            </w:pPr>
            <w:r>
              <w:rPr>
                <w:rFonts w:hint="eastAsia" w:eastAsia="仿宋_GB2312"/>
                <w:b/>
                <w:bCs/>
              </w:rPr>
              <w:t>5</w:t>
            </w:r>
            <w:r>
              <w:rPr>
                <w:rFonts w:eastAsia="仿宋_GB2312"/>
                <w:b/>
                <w:bCs/>
              </w:rPr>
              <w:t>、现有项目污染物排放情况</w:t>
            </w:r>
          </w:p>
          <w:p w14:paraId="0AE694B2">
            <w:pPr>
              <w:adjustRightInd w:val="0"/>
              <w:snapToGrid w:val="0"/>
              <w:spacing w:line="360" w:lineRule="auto"/>
              <w:ind w:firstLine="420" w:firstLineChars="200"/>
              <w:rPr>
                <w:rFonts w:eastAsia="仿宋_GB2312"/>
                <w:b/>
                <w:bCs/>
                <w:kern w:val="0"/>
              </w:rPr>
            </w:pPr>
            <w:r>
              <w:rPr>
                <w:rFonts w:eastAsia="仿宋_GB2312"/>
              </w:rPr>
              <w:t>根据</w:t>
            </w:r>
            <w:r>
              <w:rPr>
                <w:rFonts w:hint="eastAsia" w:eastAsia="仿宋_GB2312"/>
              </w:rPr>
              <w:t>企业</w:t>
            </w:r>
            <w:r>
              <w:rPr>
                <w:rFonts w:eastAsia="仿宋_GB2312"/>
              </w:rPr>
              <w:t>排污许可证，现有项目污染物排放总量如表2-1</w:t>
            </w:r>
            <w:r>
              <w:rPr>
                <w:rFonts w:hint="eastAsia" w:eastAsia="仿宋_GB2312"/>
                <w:lang w:val="en-US" w:eastAsia="zh-CN"/>
              </w:rPr>
              <w:t>4</w:t>
            </w:r>
            <w:r>
              <w:rPr>
                <w:rFonts w:eastAsia="仿宋_GB2312"/>
              </w:rPr>
              <w:t>。</w:t>
            </w:r>
          </w:p>
          <w:p w14:paraId="7AFF9B3D">
            <w:pPr>
              <w:adjustRightInd w:val="0"/>
              <w:snapToGrid w:val="0"/>
              <w:spacing w:line="360" w:lineRule="auto"/>
              <w:jc w:val="center"/>
              <w:rPr>
                <w:rFonts w:eastAsia="仿宋_GB2312"/>
                <w:b/>
                <w:kern w:val="0"/>
              </w:rPr>
            </w:pPr>
            <w:r>
              <w:rPr>
                <w:rFonts w:eastAsia="仿宋_GB2312"/>
                <w:b/>
                <w:bCs/>
                <w:kern w:val="0"/>
              </w:rPr>
              <w:t>表2-1</w:t>
            </w:r>
            <w:r>
              <w:rPr>
                <w:rFonts w:hint="eastAsia" w:eastAsia="仿宋_GB2312"/>
                <w:b/>
                <w:bCs/>
                <w:kern w:val="0"/>
                <w:lang w:val="en-US" w:eastAsia="zh-CN"/>
              </w:rPr>
              <w:t xml:space="preserve">4  </w:t>
            </w:r>
            <w:r>
              <w:rPr>
                <w:rFonts w:eastAsia="仿宋_GB2312"/>
                <w:b/>
                <w:bCs/>
                <w:kern w:val="0"/>
              </w:rPr>
              <w:t>现有项目污染物排放量汇总</w:t>
            </w:r>
            <w:r>
              <w:rPr>
                <w:rFonts w:hint="eastAsia" w:eastAsia="仿宋_GB2312"/>
                <w:b/>
                <w:bCs/>
                <w:kern w:val="0"/>
              </w:rPr>
              <w:t>t/a</w:t>
            </w:r>
          </w:p>
          <w:tbl>
            <w:tblPr>
              <w:tblStyle w:val="31"/>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73"/>
              <w:gridCol w:w="1677"/>
              <w:gridCol w:w="2354"/>
              <w:gridCol w:w="2354"/>
            </w:tblGrid>
            <w:tr w14:paraId="7E8FDB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225" w:type="pct"/>
                  <w:vAlign w:val="center"/>
                </w:tcPr>
                <w:p w14:paraId="52CAE2B3">
                  <w:pPr>
                    <w:widowControl/>
                    <w:jc w:val="center"/>
                    <w:textAlignment w:val="center"/>
                    <w:rPr>
                      <w:rFonts w:eastAsia="仿宋_GB2312"/>
                      <w:b/>
                      <w:bCs/>
                      <w:sz w:val="21"/>
                      <w:szCs w:val="21"/>
                    </w:rPr>
                  </w:pPr>
                  <w:bookmarkStart w:id="40" w:name="_Hlk199857214"/>
                  <w:r>
                    <w:rPr>
                      <w:rFonts w:eastAsia="仿宋_GB2312"/>
                      <w:b/>
                      <w:bCs/>
                      <w:kern w:val="0"/>
                      <w:sz w:val="21"/>
                      <w:szCs w:val="21"/>
                    </w:rPr>
                    <w:t>种类</w:t>
                  </w:r>
                </w:p>
              </w:tc>
              <w:tc>
                <w:tcPr>
                  <w:tcW w:w="991" w:type="pct"/>
                  <w:vAlign w:val="center"/>
                </w:tcPr>
                <w:p w14:paraId="5E0692F0">
                  <w:pPr>
                    <w:widowControl/>
                    <w:jc w:val="center"/>
                    <w:textAlignment w:val="center"/>
                    <w:rPr>
                      <w:rFonts w:eastAsia="仿宋_GB2312"/>
                      <w:b/>
                      <w:bCs/>
                      <w:sz w:val="21"/>
                      <w:szCs w:val="21"/>
                    </w:rPr>
                  </w:pPr>
                  <w:r>
                    <w:rPr>
                      <w:rFonts w:eastAsia="仿宋_GB2312"/>
                      <w:b/>
                      <w:bCs/>
                      <w:kern w:val="0"/>
                      <w:sz w:val="21"/>
                      <w:szCs w:val="21"/>
                    </w:rPr>
                    <w:t>污染物名称</w:t>
                  </w:r>
                </w:p>
              </w:tc>
              <w:tc>
                <w:tcPr>
                  <w:tcW w:w="1391" w:type="pct"/>
                  <w:noWrap/>
                  <w:vAlign w:val="center"/>
                </w:tcPr>
                <w:p w14:paraId="3DA7562D">
                  <w:pPr>
                    <w:widowControl/>
                    <w:jc w:val="center"/>
                    <w:textAlignment w:val="center"/>
                    <w:rPr>
                      <w:rFonts w:eastAsia="仿宋_GB2312"/>
                      <w:b/>
                      <w:bCs/>
                      <w:sz w:val="21"/>
                      <w:szCs w:val="21"/>
                    </w:rPr>
                  </w:pPr>
                  <w:r>
                    <w:rPr>
                      <w:rFonts w:eastAsia="仿宋_GB2312"/>
                      <w:b/>
                      <w:bCs/>
                      <w:kern w:val="0"/>
                      <w:sz w:val="21"/>
                      <w:szCs w:val="21"/>
                    </w:rPr>
                    <w:t>全厂排放量</w:t>
                  </w:r>
                </w:p>
              </w:tc>
              <w:tc>
                <w:tcPr>
                  <w:tcW w:w="1391" w:type="pct"/>
                  <w:noWrap/>
                  <w:vAlign w:val="center"/>
                </w:tcPr>
                <w:p w14:paraId="3A187DCB">
                  <w:pPr>
                    <w:widowControl/>
                    <w:jc w:val="center"/>
                    <w:textAlignment w:val="center"/>
                    <w:rPr>
                      <w:rFonts w:eastAsia="仿宋_GB2312"/>
                      <w:b/>
                      <w:bCs/>
                      <w:kern w:val="0"/>
                      <w:sz w:val="21"/>
                      <w:szCs w:val="21"/>
                    </w:rPr>
                  </w:pPr>
                  <w:r>
                    <w:rPr>
                      <w:rFonts w:hint="eastAsia" w:eastAsia="仿宋_GB2312"/>
                      <w:b/>
                      <w:bCs/>
                      <w:kern w:val="0"/>
                      <w:sz w:val="21"/>
                      <w:szCs w:val="21"/>
                    </w:rPr>
                    <w:t>厂区</w:t>
                  </w:r>
                </w:p>
              </w:tc>
            </w:tr>
            <w:tr w14:paraId="550581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225" w:type="pct"/>
                  <w:vMerge w:val="restart"/>
                  <w:vAlign w:val="center"/>
                </w:tcPr>
                <w:p w14:paraId="53FEC39E">
                  <w:pPr>
                    <w:widowControl/>
                    <w:jc w:val="center"/>
                    <w:textAlignment w:val="center"/>
                    <w:rPr>
                      <w:rFonts w:eastAsia="仿宋_GB2312"/>
                      <w:sz w:val="21"/>
                      <w:szCs w:val="21"/>
                    </w:rPr>
                  </w:pPr>
                  <w:r>
                    <w:rPr>
                      <w:rFonts w:eastAsia="仿宋_GB2312"/>
                      <w:kern w:val="0"/>
                      <w:sz w:val="21"/>
                      <w:szCs w:val="21"/>
                    </w:rPr>
                    <w:t>废水</w:t>
                  </w:r>
                </w:p>
              </w:tc>
              <w:tc>
                <w:tcPr>
                  <w:tcW w:w="991" w:type="pct"/>
                  <w:vAlign w:val="center"/>
                </w:tcPr>
                <w:p w14:paraId="228A00DC">
                  <w:pPr>
                    <w:widowControl/>
                    <w:jc w:val="center"/>
                    <w:textAlignment w:val="center"/>
                    <w:rPr>
                      <w:rFonts w:eastAsia="仿宋_GB2312"/>
                      <w:kern w:val="0"/>
                      <w:sz w:val="21"/>
                      <w:szCs w:val="21"/>
                    </w:rPr>
                  </w:pPr>
                  <w:r>
                    <w:rPr>
                      <w:rFonts w:hint="eastAsia" w:eastAsia="仿宋_GB2312"/>
                      <w:kern w:val="0"/>
                      <w:sz w:val="21"/>
                      <w:szCs w:val="21"/>
                    </w:rPr>
                    <w:t>水量</w:t>
                  </w:r>
                </w:p>
              </w:tc>
              <w:tc>
                <w:tcPr>
                  <w:tcW w:w="1391" w:type="pct"/>
                  <w:noWrap/>
                  <w:vAlign w:val="center"/>
                </w:tcPr>
                <w:p w14:paraId="4ECD75C4">
                  <w:pPr>
                    <w:widowControl/>
                    <w:jc w:val="center"/>
                    <w:textAlignment w:val="center"/>
                    <w:rPr>
                      <w:rFonts w:eastAsia="仿宋_GB2312"/>
                      <w:kern w:val="0"/>
                      <w:sz w:val="21"/>
                      <w:szCs w:val="21"/>
                    </w:rPr>
                  </w:pPr>
                  <w:r>
                    <w:rPr>
                      <w:rFonts w:hint="eastAsia" w:eastAsia="仿宋_GB2312"/>
                      <w:kern w:val="0"/>
                      <w:sz w:val="21"/>
                      <w:szCs w:val="21"/>
                    </w:rPr>
                    <w:t>4600</w:t>
                  </w:r>
                </w:p>
              </w:tc>
              <w:tc>
                <w:tcPr>
                  <w:tcW w:w="1391" w:type="pct"/>
                  <w:vMerge w:val="restart"/>
                  <w:noWrap/>
                  <w:vAlign w:val="center"/>
                </w:tcPr>
                <w:p w14:paraId="0C29C50D">
                  <w:pPr>
                    <w:widowControl/>
                    <w:jc w:val="center"/>
                    <w:textAlignment w:val="center"/>
                    <w:rPr>
                      <w:rFonts w:eastAsia="仿宋_GB2312"/>
                      <w:kern w:val="0"/>
                      <w:sz w:val="21"/>
                      <w:szCs w:val="21"/>
                    </w:rPr>
                  </w:pPr>
                  <w:r>
                    <w:rPr>
                      <w:rFonts w:hint="eastAsia" w:eastAsia="仿宋_GB2312"/>
                      <w:kern w:val="0"/>
                      <w:sz w:val="21"/>
                      <w:szCs w:val="21"/>
                    </w:rPr>
                    <w:t>盐厂路1号</w:t>
                  </w:r>
                </w:p>
              </w:tc>
            </w:tr>
            <w:tr w14:paraId="231B40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225" w:type="pct"/>
                  <w:vMerge w:val="continue"/>
                  <w:vAlign w:val="center"/>
                </w:tcPr>
                <w:p w14:paraId="4F3B095D">
                  <w:pPr>
                    <w:widowControl/>
                    <w:jc w:val="center"/>
                    <w:textAlignment w:val="center"/>
                    <w:rPr>
                      <w:rFonts w:eastAsia="仿宋_GB2312"/>
                      <w:kern w:val="0"/>
                      <w:sz w:val="21"/>
                      <w:szCs w:val="21"/>
                    </w:rPr>
                  </w:pPr>
                </w:p>
              </w:tc>
              <w:tc>
                <w:tcPr>
                  <w:tcW w:w="991" w:type="pct"/>
                  <w:vAlign w:val="center"/>
                </w:tcPr>
                <w:p w14:paraId="5CA819FD">
                  <w:pPr>
                    <w:widowControl/>
                    <w:jc w:val="center"/>
                    <w:textAlignment w:val="center"/>
                    <w:rPr>
                      <w:rFonts w:eastAsia="仿宋_GB2312"/>
                      <w:kern w:val="0"/>
                      <w:sz w:val="21"/>
                      <w:szCs w:val="21"/>
                    </w:rPr>
                  </w:pPr>
                  <w:r>
                    <w:rPr>
                      <w:rFonts w:hint="eastAsia" w:eastAsia="仿宋_GB2312"/>
                      <w:kern w:val="0"/>
                      <w:sz w:val="21"/>
                      <w:szCs w:val="21"/>
                    </w:rPr>
                    <w:t>COD</w:t>
                  </w:r>
                </w:p>
              </w:tc>
              <w:tc>
                <w:tcPr>
                  <w:tcW w:w="1391" w:type="pct"/>
                  <w:noWrap/>
                  <w:vAlign w:val="center"/>
                </w:tcPr>
                <w:p w14:paraId="0888DFC6">
                  <w:pPr>
                    <w:widowControl/>
                    <w:jc w:val="center"/>
                    <w:textAlignment w:val="center"/>
                    <w:rPr>
                      <w:rFonts w:eastAsia="仿宋_GB2312"/>
                      <w:kern w:val="0"/>
                      <w:sz w:val="21"/>
                      <w:szCs w:val="21"/>
                    </w:rPr>
                  </w:pPr>
                  <w:r>
                    <w:rPr>
                      <w:rFonts w:hint="eastAsia" w:eastAsia="仿宋_GB2312"/>
                      <w:kern w:val="0"/>
                      <w:sz w:val="21"/>
                      <w:szCs w:val="21"/>
                    </w:rPr>
                    <w:t>1.78</w:t>
                  </w:r>
                </w:p>
              </w:tc>
              <w:tc>
                <w:tcPr>
                  <w:tcW w:w="1391" w:type="pct"/>
                  <w:vMerge w:val="continue"/>
                  <w:noWrap/>
                  <w:vAlign w:val="center"/>
                </w:tcPr>
                <w:p w14:paraId="4C0965C8">
                  <w:pPr>
                    <w:widowControl/>
                    <w:jc w:val="center"/>
                    <w:textAlignment w:val="center"/>
                    <w:rPr>
                      <w:rFonts w:eastAsia="仿宋_GB2312"/>
                      <w:kern w:val="0"/>
                      <w:sz w:val="21"/>
                      <w:szCs w:val="21"/>
                    </w:rPr>
                  </w:pPr>
                </w:p>
              </w:tc>
            </w:tr>
            <w:tr w14:paraId="69C99C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225" w:type="pct"/>
                  <w:vMerge w:val="continue"/>
                  <w:vAlign w:val="center"/>
                </w:tcPr>
                <w:p w14:paraId="505690B5">
                  <w:pPr>
                    <w:widowControl/>
                    <w:jc w:val="center"/>
                    <w:textAlignment w:val="center"/>
                    <w:rPr>
                      <w:rFonts w:eastAsia="仿宋_GB2312"/>
                      <w:kern w:val="0"/>
                      <w:sz w:val="21"/>
                      <w:szCs w:val="21"/>
                    </w:rPr>
                  </w:pPr>
                </w:p>
              </w:tc>
              <w:tc>
                <w:tcPr>
                  <w:tcW w:w="991" w:type="pct"/>
                  <w:vAlign w:val="center"/>
                </w:tcPr>
                <w:p w14:paraId="6B1ED4CF">
                  <w:pPr>
                    <w:widowControl/>
                    <w:jc w:val="center"/>
                    <w:textAlignment w:val="center"/>
                    <w:rPr>
                      <w:rFonts w:eastAsia="仿宋_GB2312"/>
                      <w:kern w:val="0"/>
                      <w:sz w:val="21"/>
                      <w:szCs w:val="21"/>
                    </w:rPr>
                  </w:pPr>
                  <w:r>
                    <w:rPr>
                      <w:rFonts w:hint="eastAsia" w:eastAsia="仿宋_GB2312"/>
                      <w:kern w:val="0"/>
                      <w:sz w:val="21"/>
                      <w:szCs w:val="21"/>
                    </w:rPr>
                    <w:t>SS</w:t>
                  </w:r>
                </w:p>
              </w:tc>
              <w:tc>
                <w:tcPr>
                  <w:tcW w:w="1391" w:type="pct"/>
                  <w:noWrap/>
                  <w:vAlign w:val="center"/>
                </w:tcPr>
                <w:p w14:paraId="7DB5C0C5">
                  <w:pPr>
                    <w:widowControl/>
                    <w:jc w:val="center"/>
                    <w:textAlignment w:val="center"/>
                    <w:rPr>
                      <w:rFonts w:eastAsia="仿宋_GB2312"/>
                      <w:kern w:val="0"/>
                      <w:sz w:val="21"/>
                      <w:szCs w:val="21"/>
                    </w:rPr>
                  </w:pPr>
                  <w:r>
                    <w:rPr>
                      <w:rFonts w:hint="eastAsia" w:eastAsia="仿宋_GB2312"/>
                      <w:kern w:val="0"/>
                      <w:sz w:val="21"/>
                      <w:szCs w:val="21"/>
                    </w:rPr>
                    <w:t>1.18</w:t>
                  </w:r>
                </w:p>
              </w:tc>
              <w:tc>
                <w:tcPr>
                  <w:tcW w:w="1391" w:type="pct"/>
                  <w:vMerge w:val="continue"/>
                  <w:noWrap/>
                  <w:vAlign w:val="center"/>
                </w:tcPr>
                <w:p w14:paraId="41E7DEF1">
                  <w:pPr>
                    <w:widowControl/>
                    <w:jc w:val="center"/>
                    <w:textAlignment w:val="center"/>
                    <w:rPr>
                      <w:rFonts w:eastAsia="仿宋_GB2312"/>
                      <w:kern w:val="0"/>
                      <w:sz w:val="21"/>
                      <w:szCs w:val="21"/>
                    </w:rPr>
                  </w:pPr>
                </w:p>
              </w:tc>
            </w:tr>
            <w:tr w14:paraId="71F80F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225" w:type="pct"/>
                  <w:vMerge w:val="continue"/>
                  <w:vAlign w:val="center"/>
                </w:tcPr>
                <w:p w14:paraId="25FEC43B">
                  <w:pPr>
                    <w:widowControl/>
                    <w:jc w:val="center"/>
                    <w:textAlignment w:val="center"/>
                    <w:rPr>
                      <w:rFonts w:eastAsia="仿宋_GB2312"/>
                      <w:kern w:val="0"/>
                      <w:sz w:val="21"/>
                      <w:szCs w:val="21"/>
                    </w:rPr>
                  </w:pPr>
                </w:p>
              </w:tc>
              <w:tc>
                <w:tcPr>
                  <w:tcW w:w="991" w:type="pct"/>
                  <w:vAlign w:val="center"/>
                </w:tcPr>
                <w:p w14:paraId="197DF7CC">
                  <w:pPr>
                    <w:widowControl/>
                    <w:jc w:val="center"/>
                    <w:textAlignment w:val="center"/>
                    <w:rPr>
                      <w:rFonts w:eastAsia="仿宋_GB2312"/>
                      <w:kern w:val="0"/>
                      <w:sz w:val="21"/>
                      <w:szCs w:val="21"/>
                    </w:rPr>
                  </w:pPr>
                  <w:r>
                    <w:rPr>
                      <w:rFonts w:hint="eastAsia" w:eastAsia="仿宋_GB2312"/>
                      <w:kern w:val="0"/>
                      <w:sz w:val="21"/>
                      <w:szCs w:val="21"/>
                    </w:rPr>
                    <w:t>氨氮</w:t>
                  </w:r>
                </w:p>
              </w:tc>
              <w:tc>
                <w:tcPr>
                  <w:tcW w:w="1391" w:type="pct"/>
                  <w:noWrap/>
                  <w:vAlign w:val="center"/>
                </w:tcPr>
                <w:p w14:paraId="5E4BC9C2">
                  <w:pPr>
                    <w:widowControl/>
                    <w:jc w:val="center"/>
                    <w:textAlignment w:val="center"/>
                    <w:rPr>
                      <w:rFonts w:eastAsia="仿宋_GB2312"/>
                      <w:kern w:val="0"/>
                      <w:sz w:val="21"/>
                      <w:szCs w:val="21"/>
                    </w:rPr>
                  </w:pPr>
                  <w:r>
                    <w:rPr>
                      <w:rFonts w:hint="eastAsia" w:eastAsia="仿宋_GB2312"/>
                      <w:kern w:val="0"/>
                      <w:sz w:val="21"/>
                      <w:szCs w:val="21"/>
                    </w:rPr>
                    <w:t>0.12</w:t>
                  </w:r>
                </w:p>
              </w:tc>
              <w:tc>
                <w:tcPr>
                  <w:tcW w:w="1391" w:type="pct"/>
                  <w:vMerge w:val="continue"/>
                  <w:noWrap/>
                  <w:vAlign w:val="center"/>
                </w:tcPr>
                <w:p w14:paraId="20558A2B">
                  <w:pPr>
                    <w:widowControl/>
                    <w:jc w:val="center"/>
                    <w:textAlignment w:val="center"/>
                    <w:rPr>
                      <w:rFonts w:eastAsia="仿宋_GB2312"/>
                      <w:kern w:val="0"/>
                      <w:sz w:val="21"/>
                      <w:szCs w:val="21"/>
                    </w:rPr>
                  </w:pPr>
                </w:p>
              </w:tc>
            </w:tr>
            <w:tr w14:paraId="72D45A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225" w:type="pct"/>
                  <w:vMerge w:val="continue"/>
                  <w:vAlign w:val="center"/>
                </w:tcPr>
                <w:p w14:paraId="227381FD">
                  <w:pPr>
                    <w:widowControl/>
                    <w:jc w:val="center"/>
                    <w:textAlignment w:val="center"/>
                    <w:rPr>
                      <w:rFonts w:eastAsia="仿宋_GB2312"/>
                      <w:kern w:val="0"/>
                      <w:sz w:val="21"/>
                      <w:szCs w:val="21"/>
                    </w:rPr>
                  </w:pPr>
                </w:p>
              </w:tc>
              <w:tc>
                <w:tcPr>
                  <w:tcW w:w="991" w:type="pct"/>
                  <w:vAlign w:val="center"/>
                </w:tcPr>
                <w:p w14:paraId="5AE89DE8">
                  <w:pPr>
                    <w:widowControl/>
                    <w:jc w:val="center"/>
                    <w:textAlignment w:val="center"/>
                    <w:rPr>
                      <w:rFonts w:eastAsia="仿宋_GB2312"/>
                      <w:kern w:val="0"/>
                      <w:sz w:val="21"/>
                      <w:szCs w:val="21"/>
                    </w:rPr>
                  </w:pPr>
                  <w:r>
                    <w:rPr>
                      <w:rFonts w:hint="eastAsia" w:eastAsia="仿宋_GB2312"/>
                      <w:kern w:val="0"/>
                      <w:sz w:val="21"/>
                      <w:szCs w:val="21"/>
                    </w:rPr>
                    <w:t>总磷</w:t>
                  </w:r>
                </w:p>
              </w:tc>
              <w:tc>
                <w:tcPr>
                  <w:tcW w:w="1391" w:type="pct"/>
                  <w:noWrap/>
                  <w:vAlign w:val="center"/>
                </w:tcPr>
                <w:p w14:paraId="505544B2">
                  <w:pPr>
                    <w:widowControl/>
                    <w:jc w:val="center"/>
                    <w:textAlignment w:val="center"/>
                    <w:rPr>
                      <w:rFonts w:eastAsia="仿宋_GB2312"/>
                      <w:kern w:val="0"/>
                      <w:sz w:val="21"/>
                      <w:szCs w:val="21"/>
                    </w:rPr>
                  </w:pPr>
                  <w:r>
                    <w:rPr>
                      <w:rFonts w:hint="eastAsia" w:eastAsia="仿宋_GB2312"/>
                      <w:kern w:val="0"/>
                      <w:sz w:val="21"/>
                      <w:szCs w:val="21"/>
                    </w:rPr>
                    <w:t>0.0008</w:t>
                  </w:r>
                </w:p>
              </w:tc>
              <w:tc>
                <w:tcPr>
                  <w:tcW w:w="1391" w:type="pct"/>
                  <w:vMerge w:val="continue"/>
                  <w:noWrap/>
                  <w:vAlign w:val="center"/>
                </w:tcPr>
                <w:p w14:paraId="640150DC">
                  <w:pPr>
                    <w:widowControl/>
                    <w:jc w:val="center"/>
                    <w:textAlignment w:val="center"/>
                    <w:rPr>
                      <w:rFonts w:eastAsia="仿宋_GB2312"/>
                      <w:kern w:val="0"/>
                      <w:sz w:val="21"/>
                      <w:szCs w:val="21"/>
                    </w:rPr>
                  </w:pPr>
                </w:p>
              </w:tc>
            </w:tr>
            <w:tr w14:paraId="4EDE08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225" w:type="pct"/>
                  <w:vMerge w:val="continue"/>
                  <w:vAlign w:val="center"/>
                </w:tcPr>
                <w:p w14:paraId="54C38DE2">
                  <w:pPr>
                    <w:widowControl/>
                    <w:jc w:val="center"/>
                    <w:textAlignment w:val="center"/>
                    <w:rPr>
                      <w:rFonts w:eastAsia="仿宋_GB2312"/>
                      <w:kern w:val="0"/>
                      <w:sz w:val="21"/>
                      <w:szCs w:val="21"/>
                    </w:rPr>
                  </w:pPr>
                </w:p>
              </w:tc>
              <w:tc>
                <w:tcPr>
                  <w:tcW w:w="991" w:type="pct"/>
                  <w:vAlign w:val="center"/>
                </w:tcPr>
                <w:p w14:paraId="16E8C165">
                  <w:pPr>
                    <w:widowControl/>
                    <w:jc w:val="center"/>
                    <w:textAlignment w:val="center"/>
                    <w:rPr>
                      <w:rFonts w:eastAsia="仿宋_GB2312"/>
                      <w:kern w:val="0"/>
                      <w:sz w:val="21"/>
                      <w:szCs w:val="21"/>
                    </w:rPr>
                  </w:pPr>
                  <w:r>
                    <w:rPr>
                      <w:rFonts w:hint="eastAsia" w:eastAsia="仿宋_GB2312"/>
                      <w:kern w:val="0"/>
                      <w:sz w:val="21"/>
                      <w:szCs w:val="21"/>
                    </w:rPr>
                    <w:t>石油类</w:t>
                  </w:r>
                </w:p>
              </w:tc>
              <w:tc>
                <w:tcPr>
                  <w:tcW w:w="1391" w:type="pct"/>
                  <w:noWrap/>
                  <w:vAlign w:val="center"/>
                </w:tcPr>
                <w:p w14:paraId="0FE47856">
                  <w:pPr>
                    <w:widowControl/>
                    <w:jc w:val="center"/>
                    <w:textAlignment w:val="center"/>
                    <w:rPr>
                      <w:rFonts w:eastAsia="仿宋_GB2312"/>
                      <w:kern w:val="0"/>
                      <w:sz w:val="21"/>
                      <w:szCs w:val="21"/>
                    </w:rPr>
                  </w:pPr>
                  <w:r>
                    <w:rPr>
                      <w:rFonts w:hint="eastAsia" w:eastAsia="仿宋_GB2312"/>
                      <w:kern w:val="0"/>
                      <w:sz w:val="21"/>
                      <w:szCs w:val="21"/>
                    </w:rPr>
                    <w:t>0.0063</w:t>
                  </w:r>
                </w:p>
              </w:tc>
              <w:tc>
                <w:tcPr>
                  <w:tcW w:w="1391" w:type="pct"/>
                  <w:vMerge w:val="continue"/>
                  <w:noWrap/>
                  <w:vAlign w:val="center"/>
                </w:tcPr>
                <w:p w14:paraId="5F95CE90">
                  <w:pPr>
                    <w:widowControl/>
                    <w:jc w:val="center"/>
                    <w:textAlignment w:val="center"/>
                    <w:rPr>
                      <w:rFonts w:eastAsia="仿宋_GB2312"/>
                      <w:kern w:val="0"/>
                      <w:sz w:val="21"/>
                      <w:szCs w:val="21"/>
                    </w:rPr>
                  </w:pPr>
                </w:p>
              </w:tc>
            </w:tr>
            <w:tr w14:paraId="06E79B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225" w:type="pct"/>
                  <w:vMerge w:val="continue"/>
                  <w:vAlign w:val="center"/>
                </w:tcPr>
                <w:p w14:paraId="1E47FC65">
                  <w:pPr>
                    <w:widowControl/>
                    <w:jc w:val="center"/>
                    <w:textAlignment w:val="center"/>
                    <w:rPr>
                      <w:rFonts w:eastAsia="仿宋_GB2312"/>
                      <w:kern w:val="0"/>
                      <w:sz w:val="21"/>
                      <w:szCs w:val="21"/>
                    </w:rPr>
                  </w:pPr>
                </w:p>
              </w:tc>
              <w:tc>
                <w:tcPr>
                  <w:tcW w:w="991" w:type="pct"/>
                  <w:vAlign w:val="center"/>
                </w:tcPr>
                <w:p w14:paraId="4927997C">
                  <w:pPr>
                    <w:widowControl/>
                    <w:jc w:val="center"/>
                    <w:textAlignment w:val="center"/>
                    <w:rPr>
                      <w:rFonts w:eastAsia="仿宋_GB2312"/>
                      <w:kern w:val="0"/>
                      <w:sz w:val="21"/>
                      <w:szCs w:val="21"/>
                    </w:rPr>
                  </w:pPr>
                  <w:r>
                    <w:rPr>
                      <w:rFonts w:hint="eastAsia" w:eastAsia="仿宋_GB2312"/>
                      <w:kern w:val="0"/>
                      <w:sz w:val="21"/>
                      <w:szCs w:val="21"/>
                    </w:rPr>
                    <w:t>氯化物</w:t>
                  </w:r>
                </w:p>
              </w:tc>
              <w:tc>
                <w:tcPr>
                  <w:tcW w:w="1391" w:type="pct"/>
                  <w:noWrap/>
                  <w:vAlign w:val="center"/>
                </w:tcPr>
                <w:p w14:paraId="5E6E0938">
                  <w:pPr>
                    <w:widowControl/>
                    <w:jc w:val="center"/>
                    <w:textAlignment w:val="center"/>
                    <w:rPr>
                      <w:rFonts w:eastAsia="仿宋_GB2312"/>
                      <w:kern w:val="0"/>
                      <w:sz w:val="21"/>
                      <w:szCs w:val="21"/>
                    </w:rPr>
                  </w:pPr>
                  <w:r>
                    <w:rPr>
                      <w:rFonts w:hint="eastAsia" w:eastAsia="仿宋_GB2312"/>
                      <w:kern w:val="0"/>
                      <w:sz w:val="21"/>
                      <w:szCs w:val="21"/>
                    </w:rPr>
                    <w:t>0.132</w:t>
                  </w:r>
                </w:p>
              </w:tc>
              <w:tc>
                <w:tcPr>
                  <w:tcW w:w="1391" w:type="pct"/>
                  <w:vMerge w:val="continue"/>
                  <w:noWrap/>
                  <w:vAlign w:val="center"/>
                </w:tcPr>
                <w:p w14:paraId="536FBFE8">
                  <w:pPr>
                    <w:widowControl/>
                    <w:jc w:val="center"/>
                    <w:textAlignment w:val="center"/>
                    <w:rPr>
                      <w:rFonts w:eastAsia="仿宋_GB2312"/>
                      <w:kern w:val="0"/>
                      <w:sz w:val="21"/>
                      <w:szCs w:val="21"/>
                    </w:rPr>
                  </w:pPr>
                </w:p>
              </w:tc>
            </w:tr>
            <w:tr w14:paraId="47A69B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225" w:type="pct"/>
                  <w:vMerge w:val="restart"/>
                  <w:vAlign w:val="center"/>
                </w:tcPr>
                <w:p w14:paraId="025D8D3A">
                  <w:pPr>
                    <w:widowControl/>
                    <w:jc w:val="center"/>
                    <w:textAlignment w:val="center"/>
                    <w:rPr>
                      <w:rFonts w:eastAsia="仿宋_GB2312"/>
                      <w:sz w:val="21"/>
                      <w:szCs w:val="21"/>
                    </w:rPr>
                  </w:pPr>
                  <w:r>
                    <w:rPr>
                      <w:rFonts w:eastAsia="仿宋_GB2312"/>
                      <w:kern w:val="0"/>
                      <w:sz w:val="21"/>
                      <w:szCs w:val="21"/>
                    </w:rPr>
                    <w:t>废气</w:t>
                  </w:r>
                </w:p>
              </w:tc>
              <w:tc>
                <w:tcPr>
                  <w:tcW w:w="991" w:type="pct"/>
                  <w:vAlign w:val="center"/>
                </w:tcPr>
                <w:p w14:paraId="41D36E75">
                  <w:pPr>
                    <w:widowControl/>
                    <w:jc w:val="center"/>
                    <w:textAlignment w:val="center"/>
                    <w:rPr>
                      <w:rFonts w:eastAsia="仿宋_GB2312"/>
                      <w:sz w:val="21"/>
                      <w:szCs w:val="21"/>
                    </w:rPr>
                  </w:pPr>
                  <w:r>
                    <w:rPr>
                      <w:rFonts w:eastAsia="仿宋_GB2312"/>
                      <w:kern w:val="0"/>
                      <w:sz w:val="21"/>
                      <w:szCs w:val="21"/>
                    </w:rPr>
                    <w:t>颗粒物</w:t>
                  </w:r>
                </w:p>
              </w:tc>
              <w:tc>
                <w:tcPr>
                  <w:tcW w:w="1391" w:type="pct"/>
                  <w:noWrap/>
                  <w:vAlign w:val="center"/>
                </w:tcPr>
                <w:p w14:paraId="5D1EF1F9">
                  <w:pPr>
                    <w:widowControl/>
                    <w:jc w:val="center"/>
                    <w:textAlignment w:val="center"/>
                    <w:rPr>
                      <w:rFonts w:eastAsia="仿宋_GB2312"/>
                      <w:kern w:val="0"/>
                      <w:sz w:val="21"/>
                      <w:szCs w:val="21"/>
                    </w:rPr>
                  </w:pPr>
                  <w:r>
                    <w:rPr>
                      <w:rFonts w:hint="eastAsia" w:eastAsia="仿宋_GB2312"/>
                      <w:kern w:val="0"/>
                      <w:sz w:val="21"/>
                      <w:szCs w:val="21"/>
                    </w:rPr>
                    <w:t>23.889</w:t>
                  </w:r>
                </w:p>
              </w:tc>
              <w:tc>
                <w:tcPr>
                  <w:tcW w:w="1391" w:type="pct"/>
                  <w:vMerge w:val="continue"/>
                  <w:noWrap/>
                  <w:vAlign w:val="center"/>
                </w:tcPr>
                <w:p w14:paraId="177811EE">
                  <w:pPr>
                    <w:widowControl/>
                    <w:jc w:val="center"/>
                    <w:textAlignment w:val="center"/>
                    <w:rPr>
                      <w:kern w:val="0"/>
                      <w:sz w:val="21"/>
                      <w:szCs w:val="21"/>
                    </w:rPr>
                  </w:pPr>
                </w:p>
              </w:tc>
            </w:tr>
            <w:tr w14:paraId="767095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225" w:type="pct"/>
                  <w:vMerge w:val="continue"/>
                  <w:vAlign w:val="center"/>
                </w:tcPr>
                <w:p w14:paraId="103C443C">
                  <w:pPr>
                    <w:jc w:val="center"/>
                    <w:rPr>
                      <w:rFonts w:eastAsia="仿宋_GB2312"/>
                      <w:sz w:val="21"/>
                      <w:szCs w:val="21"/>
                    </w:rPr>
                  </w:pPr>
                </w:p>
              </w:tc>
              <w:tc>
                <w:tcPr>
                  <w:tcW w:w="991" w:type="pct"/>
                  <w:vAlign w:val="center"/>
                </w:tcPr>
                <w:p w14:paraId="1FDE3378">
                  <w:pPr>
                    <w:widowControl/>
                    <w:jc w:val="center"/>
                    <w:textAlignment w:val="center"/>
                    <w:rPr>
                      <w:rFonts w:eastAsia="仿宋_GB2312"/>
                      <w:sz w:val="21"/>
                      <w:szCs w:val="21"/>
                    </w:rPr>
                  </w:pPr>
                  <w:r>
                    <w:rPr>
                      <w:rFonts w:eastAsia="仿宋_GB2312"/>
                      <w:kern w:val="0"/>
                      <w:sz w:val="21"/>
                      <w:szCs w:val="21"/>
                    </w:rPr>
                    <w:t>SO</w:t>
                  </w:r>
                  <w:r>
                    <w:rPr>
                      <w:rFonts w:eastAsia="仿宋_GB2312"/>
                      <w:kern w:val="0"/>
                      <w:sz w:val="21"/>
                      <w:szCs w:val="21"/>
                      <w:vertAlign w:val="subscript"/>
                    </w:rPr>
                    <w:t>2</w:t>
                  </w:r>
                </w:p>
              </w:tc>
              <w:tc>
                <w:tcPr>
                  <w:tcW w:w="1391" w:type="pct"/>
                  <w:noWrap/>
                  <w:vAlign w:val="center"/>
                </w:tcPr>
                <w:p w14:paraId="1564F1E5">
                  <w:pPr>
                    <w:widowControl/>
                    <w:jc w:val="center"/>
                    <w:textAlignment w:val="center"/>
                    <w:rPr>
                      <w:rFonts w:eastAsia="仿宋_GB2312"/>
                      <w:kern w:val="0"/>
                      <w:sz w:val="21"/>
                      <w:szCs w:val="21"/>
                    </w:rPr>
                  </w:pPr>
                  <w:r>
                    <w:rPr>
                      <w:rFonts w:hint="eastAsia" w:eastAsia="仿宋_GB2312"/>
                      <w:kern w:val="0"/>
                      <w:sz w:val="21"/>
                      <w:szCs w:val="21"/>
                    </w:rPr>
                    <w:t>5.6</w:t>
                  </w:r>
                </w:p>
              </w:tc>
              <w:tc>
                <w:tcPr>
                  <w:tcW w:w="1391" w:type="pct"/>
                  <w:vMerge w:val="continue"/>
                  <w:noWrap/>
                  <w:vAlign w:val="center"/>
                </w:tcPr>
                <w:p w14:paraId="7A668E9F">
                  <w:pPr>
                    <w:widowControl/>
                    <w:jc w:val="center"/>
                    <w:textAlignment w:val="center"/>
                    <w:rPr>
                      <w:kern w:val="0"/>
                      <w:sz w:val="21"/>
                      <w:szCs w:val="21"/>
                    </w:rPr>
                  </w:pPr>
                </w:p>
              </w:tc>
            </w:tr>
            <w:tr w14:paraId="18E9AA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25" w:type="pct"/>
                  <w:vMerge w:val="continue"/>
                  <w:vAlign w:val="center"/>
                </w:tcPr>
                <w:p w14:paraId="5FFF24C3">
                  <w:pPr>
                    <w:jc w:val="center"/>
                    <w:rPr>
                      <w:rFonts w:eastAsia="仿宋_GB2312"/>
                      <w:sz w:val="21"/>
                      <w:szCs w:val="21"/>
                    </w:rPr>
                  </w:pPr>
                </w:p>
              </w:tc>
              <w:tc>
                <w:tcPr>
                  <w:tcW w:w="991" w:type="pct"/>
                  <w:vAlign w:val="center"/>
                </w:tcPr>
                <w:p w14:paraId="2E288D61">
                  <w:pPr>
                    <w:widowControl/>
                    <w:jc w:val="center"/>
                    <w:textAlignment w:val="center"/>
                    <w:rPr>
                      <w:rFonts w:eastAsia="仿宋_GB2312"/>
                      <w:sz w:val="21"/>
                      <w:szCs w:val="21"/>
                    </w:rPr>
                  </w:pPr>
                  <w:r>
                    <w:rPr>
                      <w:rFonts w:eastAsia="仿宋_GB2312"/>
                      <w:kern w:val="0"/>
                      <w:sz w:val="21"/>
                      <w:szCs w:val="21"/>
                    </w:rPr>
                    <w:t>NO</w:t>
                  </w:r>
                  <w:r>
                    <w:rPr>
                      <w:rFonts w:eastAsia="仿宋_GB2312"/>
                      <w:kern w:val="0"/>
                      <w:sz w:val="21"/>
                      <w:szCs w:val="21"/>
                      <w:vertAlign w:val="subscript"/>
                    </w:rPr>
                    <w:t>X</w:t>
                  </w:r>
                </w:p>
              </w:tc>
              <w:tc>
                <w:tcPr>
                  <w:tcW w:w="1391" w:type="pct"/>
                  <w:noWrap/>
                  <w:vAlign w:val="center"/>
                </w:tcPr>
                <w:p w14:paraId="00AFFD8E">
                  <w:pPr>
                    <w:widowControl/>
                    <w:jc w:val="center"/>
                    <w:textAlignment w:val="center"/>
                    <w:rPr>
                      <w:rFonts w:eastAsia="仿宋_GB2312"/>
                      <w:kern w:val="0"/>
                      <w:sz w:val="21"/>
                      <w:szCs w:val="21"/>
                    </w:rPr>
                  </w:pPr>
                  <w:r>
                    <w:rPr>
                      <w:rFonts w:hint="eastAsia" w:eastAsia="仿宋_GB2312"/>
                      <w:kern w:val="0"/>
                      <w:sz w:val="21"/>
                      <w:szCs w:val="21"/>
                    </w:rPr>
                    <w:t>2.6</w:t>
                  </w:r>
                </w:p>
              </w:tc>
              <w:tc>
                <w:tcPr>
                  <w:tcW w:w="1391" w:type="pct"/>
                  <w:vMerge w:val="continue"/>
                  <w:noWrap/>
                  <w:vAlign w:val="center"/>
                </w:tcPr>
                <w:p w14:paraId="66244D1B">
                  <w:pPr>
                    <w:widowControl/>
                    <w:jc w:val="center"/>
                    <w:textAlignment w:val="center"/>
                    <w:rPr>
                      <w:kern w:val="0"/>
                      <w:sz w:val="21"/>
                      <w:szCs w:val="21"/>
                    </w:rPr>
                  </w:pPr>
                </w:p>
              </w:tc>
            </w:tr>
            <w:tr w14:paraId="42B9FD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225" w:type="pct"/>
                  <w:vMerge w:val="continue"/>
                  <w:vAlign w:val="center"/>
                </w:tcPr>
                <w:p w14:paraId="21D85E87">
                  <w:pPr>
                    <w:jc w:val="center"/>
                    <w:rPr>
                      <w:rFonts w:eastAsia="仿宋_GB2312"/>
                      <w:sz w:val="21"/>
                      <w:szCs w:val="21"/>
                    </w:rPr>
                  </w:pPr>
                </w:p>
              </w:tc>
              <w:tc>
                <w:tcPr>
                  <w:tcW w:w="991" w:type="pct"/>
                  <w:vAlign w:val="center"/>
                </w:tcPr>
                <w:p w14:paraId="04C97EDA">
                  <w:pPr>
                    <w:widowControl/>
                    <w:jc w:val="center"/>
                    <w:textAlignment w:val="center"/>
                    <w:rPr>
                      <w:rFonts w:eastAsia="仿宋_GB2312"/>
                      <w:kern w:val="0"/>
                      <w:sz w:val="21"/>
                      <w:szCs w:val="21"/>
                    </w:rPr>
                  </w:pPr>
                  <w:r>
                    <w:rPr>
                      <w:rFonts w:hint="eastAsia" w:eastAsia="仿宋_GB2312"/>
                      <w:kern w:val="0"/>
                      <w:sz w:val="21"/>
                      <w:szCs w:val="21"/>
                    </w:rPr>
                    <w:t>烟尘</w:t>
                  </w:r>
                </w:p>
              </w:tc>
              <w:tc>
                <w:tcPr>
                  <w:tcW w:w="1391" w:type="pct"/>
                  <w:noWrap/>
                  <w:vAlign w:val="center"/>
                </w:tcPr>
                <w:p w14:paraId="18EA435B">
                  <w:pPr>
                    <w:widowControl/>
                    <w:jc w:val="center"/>
                    <w:textAlignment w:val="center"/>
                    <w:rPr>
                      <w:rFonts w:eastAsia="仿宋_GB2312"/>
                      <w:kern w:val="0"/>
                      <w:sz w:val="21"/>
                      <w:szCs w:val="21"/>
                    </w:rPr>
                  </w:pPr>
                  <w:r>
                    <w:rPr>
                      <w:rFonts w:hint="eastAsia" w:eastAsia="仿宋_GB2312"/>
                      <w:kern w:val="0"/>
                      <w:sz w:val="21"/>
                      <w:szCs w:val="21"/>
                    </w:rPr>
                    <w:t>0.133</w:t>
                  </w:r>
                </w:p>
              </w:tc>
              <w:tc>
                <w:tcPr>
                  <w:tcW w:w="1391" w:type="pct"/>
                  <w:vMerge w:val="continue"/>
                  <w:noWrap/>
                  <w:vAlign w:val="center"/>
                </w:tcPr>
                <w:p w14:paraId="1463C009">
                  <w:pPr>
                    <w:widowControl/>
                    <w:jc w:val="center"/>
                    <w:textAlignment w:val="center"/>
                    <w:rPr>
                      <w:kern w:val="0"/>
                      <w:sz w:val="21"/>
                      <w:szCs w:val="21"/>
                    </w:rPr>
                  </w:pPr>
                </w:p>
              </w:tc>
            </w:tr>
            <w:tr w14:paraId="784E03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225" w:type="pct"/>
                  <w:vMerge w:val="restart"/>
                  <w:vAlign w:val="center"/>
                </w:tcPr>
                <w:p w14:paraId="52ABF177">
                  <w:pPr>
                    <w:widowControl/>
                    <w:jc w:val="center"/>
                    <w:textAlignment w:val="center"/>
                    <w:rPr>
                      <w:rFonts w:eastAsia="仿宋_GB2312"/>
                      <w:sz w:val="21"/>
                      <w:szCs w:val="21"/>
                    </w:rPr>
                  </w:pPr>
                  <w:r>
                    <w:rPr>
                      <w:rFonts w:eastAsia="仿宋_GB2312"/>
                      <w:kern w:val="0"/>
                      <w:sz w:val="21"/>
                      <w:szCs w:val="21"/>
                    </w:rPr>
                    <w:t>固体废物</w:t>
                  </w:r>
                </w:p>
              </w:tc>
              <w:tc>
                <w:tcPr>
                  <w:tcW w:w="991" w:type="pct"/>
                  <w:vAlign w:val="center"/>
                </w:tcPr>
                <w:p w14:paraId="7B27028C">
                  <w:pPr>
                    <w:widowControl/>
                    <w:jc w:val="center"/>
                    <w:textAlignment w:val="center"/>
                    <w:rPr>
                      <w:rFonts w:eastAsia="仿宋_GB2312"/>
                      <w:color w:val="000000"/>
                      <w:sz w:val="21"/>
                      <w:szCs w:val="21"/>
                    </w:rPr>
                  </w:pPr>
                  <w:r>
                    <w:rPr>
                      <w:rFonts w:eastAsia="仿宋_GB2312"/>
                      <w:color w:val="000000"/>
                      <w:kern w:val="0"/>
                      <w:sz w:val="21"/>
                      <w:szCs w:val="21"/>
                    </w:rPr>
                    <w:t>一般固废</w:t>
                  </w:r>
                </w:p>
              </w:tc>
              <w:tc>
                <w:tcPr>
                  <w:tcW w:w="1391" w:type="pct"/>
                  <w:noWrap/>
                  <w:vAlign w:val="center"/>
                </w:tcPr>
                <w:p w14:paraId="49B418B2">
                  <w:pPr>
                    <w:widowControl/>
                    <w:jc w:val="center"/>
                    <w:textAlignment w:val="center"/>
                    <w:rPr>
                      <w:rFonts w:eastAsia="仿宋_GB2312"/>
                      <w:color w:val="000000"/>
                      <w:sz w:val="21"/>
                      <w:szCs w:val="21"/>
                    </w:rPr>
                  </w:pPr>
                  <w:r>
                    <w:rPr>
                      <w:rFonts w:eastAsia="仿宋_GB2312"/>
                      <w:color w:val="000000"/>
                      <w:kern w:val="0"/>
                      <w:sz w:val="21"/>
                      <w:szCs w:val="21"/>
                    </w:rPr>
                    <w:t>0</w:t>
                  </w:r>
                </w:p>
              </w:tc>
              <w:tc>
                <w:tcPr>
                  <w:tcW w:w="1391" w:type="pct"/>
                  <w:vMerge w:val="continue"/>
                  <w:noWrap/>
                  <w:vAlign w:val="center"/>
                </w:tcPr>
                <w:p w14:paraId="4D2B065E">
                  <w:pPr>
                    <w:widowControl/>
                    <w:jc w:val="center"/>
                    <w:textAlignment w:val="center"/>
                    <w:rPr>
                      <w:rFonts w:eastAsia="仿宋_GB2312"/>
                      <w:kern w:val="0"/>
                      <w:sz w:val="21"/>
                      <w:szCs w:val="21"/>
                    </w:rPr>
                  </w:pPr>
                </w:p>
              </w:tc>
            </w:tr>
            <w:tr w14:paraId="38E1F3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225" w:type="pct"/>
                  <w:vMerge w:val="continue"/>
                  <w:vAlign w:val="center"/>
                </w:tcPr>
                <w:p w14:paraId="07A311C9">
                  <w:pPr>
                    <w:jc w:val="center"/>
                    <w:rPr>
                      <w:rFonts w:eastAsia="仿宋_GB2312"/>
                      <w:sz w:val="21"/>
                      <w:szCs w:val="21"/>
                    </w:rPr>
                  </w:pPr>
                </w:p>
              </w:tc>
              <w:tc>
                <w:tcPr>
                  <w:tcW w:w="991" w:type="pct"/>
                  <w:vAlign w:val="center"/>
                </w:tcPr>
                <w:p w14:paraId="230F201F">
                  <w:pPr>
                    <w:widowControl/>
                    <w:jc w:val="center"/>
                    <w:textAlignment w:val="center"/>
                    <w:rPr>
                      <w:rFonts w:eastAsia="仿宋_GB2312"/>
                      <w:color w:val="000000"/>
                      <w:sz w:val="21"/>
                      <w:szCs w:val="21"/>
                    </w:rPr>
                  </w:pPr>
                  <w:r>
                    <w:rPr>
                      <w:rFonts w:eastAsia="仿宋_GB2312"/>
                      <w:color w:val="000000"/>
                      <w:kern w:val="0"/>
                      <w:sz w:val="21"/>
                      <w:szCs w:val="21"/>
                    </w:rPr>
                    <w:t>危险固废</w:t>
                  </w:r>
                </w:p>
              </w:tc>
              <w:tc>
                <w:tcPr>
                  <w:tcW w:w="1391" w:type="pct"/>
                  <w:noWrap/>
                  <w:vAlign w:val="center"/>
                </w:tcPr>
                <w:p w14:paraId="378267A2">
                  <w:pPr>
                    <w:widowControl/>
                    <w:jc w:val="center"/>
                    <w:textAlignment w:val="center"/>
                    <w:rPr>
                      <w:rFonts w:eastAsia="仿宋_GB2312"/>
                      <w:color w:val="000000"/>
                      <w:sz w:val="21"/>
                      <w:szCs w:val="21"/>
                    </w:rPr>
                  </w:pPr>
                  <w:r>
                    <w:rPr>
                      <w:rFonts w:eastAsia="仿宋_GB2312"/>
                      <w:color w:val="000000"/>
                      <w:kern w:val="0"/>
                      <w:sz w:val="21"/>
                      <w:szCs w:val="21"/>
                    </w:rPr>
                    <w:t>0</w:t>
                  </w:r>
                </w:p>
              </w:tc>
              <w:tc>
                <w:tcPr>
                  <w:tcW w:w="1391" w:type="pct"/>
                  <w:vMerge w:val="continue"/>
                  <w:noWrap/>
                  <w:vAlign w:val="center"/>
                </w:tcPr>
                <w:p w14:paraId="38161A46">
                  <w:pPr>
                    <w:widowControl/>
                    <w:jc w:val="center"/>
                    <w:textAlignment w:val="center"/>
                    <w:rPr>
                      <w:rFonts w:eastAsia="仿宋_GB2312"/>
                      <w:kern w:val="0"/>
                      <w:sz w:val="21"/>
                      <w:szCs w:val="21"/>
                    </w:rPr>
                  </w:pPr>
                </w:p>
              </w:tc>
            </w:tr>
            <w:tr w14:paraId="061CFD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225" w:type="pct"/>
                  <w:vMerge w:val="continue"/>
                  <w:vAlign w:val="center"/>
                </w:tcPr>
                <w:p w14:paraId="21324377">
                  <w:pPr>
                    <w:jc w:val="center"/>
                    <w:rPr>
                      <w:rFonts w:eastAsia="仿宋_GB2312"/>
                      <w:sz w:val="21"/>
                      <w:szCs w:val="21"/>
                    </w:rPr>
                  </w:pPr>
                </w:p>
              </w:tc>
              <w:tc>
                <w:tcPr>
                  <w:tcW w:w="991" w:type="pct"/>
                  <w:vAlign w:val="center"/>
                </w:tcPr>
                <w:p w14:paraId="5841BC59">
                  <w:pPr>
                    <w:widowControl/>
                    <w:jc w:val="center"/>
                    <w:textAlignment w:val="center"/>
                    <w:rPr>
                      <w:rFonts w:eastAsia="仿宋_GB2312"/>
                      <w:color w:val="000000"/>
                      <w:sz w:val="21"/>
                      <w:szCs w:val="21"/>
                    </w:rPr>
                  </w:pPr>
                  <w:r>
                    <w:rPr>
                      <w:rFonts w:eastAsia="仿宋_GB2312"/>
                      <w:color w:val="000000"/>
                      <w:kern w:val="0"/>
                      <w:sz w:val="21"/>
                      <w:szCs w:val="21"/>
                    </w:rPr>
                    <w:t>生活垃圾</w:t>
                  </w:r>
                </w:p>
              </w:tc>
              <w:tc>
                <w:tcPr>
                  <w:tcW w:w="1391" w:type="pct"/>
                  <w:noWrap/>
                  <w:vAlign w:val="center"/>
                </w:tcPr>
                <w:p w14:paraId="315F496F">
                  <w:pPr>
                    <w:widowControl/>
                    <w:jc w:val="center"/>
                    <w:textAlignment w:val="center"/>
                    <w:rPr>
                      <w:rFonts w:eastAsia="仿宋_GB2312"/>
                      <w:color w:val="000000"/>
                      <w:sz w:val="21"/>
                      <w:szCs w:val="21"/>
                    </w:rPr>
                  </w:pPr>
                  <w:r>
                    <w:rPr>
                      <w:rFonts w:eastAsia="仿宋_GB2312"/>
                      <w:color w:val="000000"/>
                      <w:kern w:val="0"/>
                      <w:sz w:val="21"/>
                      <w:szCs w:val="21"/>
                    </w:rPr>
                    <w:t>0</w:t>
                  </w:r>
                </w:p>
              </w:tc>
              <w:tc>
                <w:tcPr>
                  <w:tcW w:w="1391" w:type="pct"/>
                  <w:vMerge w:val="continue"/>
                  <w:noWrap/>
                  <w:vAlign w:val="center"/>
                </w:tcPr>
                <w:p w14:paraId="09A84EDB">
                  <w:pPr>
                    <w:widowControl/>
                    <w:jc w:val="center"/>
                    <w:textAlignment w:val="center"/>
                    <w:rPr>
                      <w:rFonts w:eastAsia="仿宋_GB2312"/>
                      <w:kern w:val="0"/>
                      <w:sz w:val="21"/>
                      <w:szCs w:val="21"/>
                    </w:rPr>
                  </w:pPr>
                </w:p>
              </w:tc>
            </w:tr>
            <w:tr w14:paraId="146789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225" w:type="pct"/>
                  <w:vMerge w:val="restart"/>
                  <w:vAlign w:val="center"/>
                </w:tcPr>
                <w:p w14:paraId="1DE1C067">
                  <w:pPr>
                    <w:widowControl/>
                    <w:jc w:val="center"/>
                    <w:textAlignment w:val="center"/>
                    <w:rPr>
                      <w:rFonts w:eastAsia="仿宋_GB2312"/>
                      <w:sz w:val="21"/>
                      <w:szCs w:val="21"/>
                    </w:rPr>
                  </w:pPr>
                  <w:r>
                    <w:rPr>
                      <w:rFonts w:eastAsia="仿宋_GB2312"/>
                      <w:kern w:val="0"/>
                      <w:sz w:val="21"/>
                      <w:szCs w:val="21"/>
                    </w:rPr>
                    <w:t>废水</w:t>
                  </w:r>
                </w:p>
              </w:tc>
              <w:tc>
                <w:tcPr>
                  <w:tcW w:w="991" w:type="pct"/>
                  <w:vAlign w:val="center"/>
                </w:tcPr>
                <w:p w14:paraId="5FC62DC7">
                  <w:pPr>
                    <w:widowControl/>
                    <w:jc w:val="center"/>
                    <w:textAlignment w:val="center"/>
                    <w:rPr>
                      <w:rFonts w:eastAsia="仿宋_GB2312"/>
                      <w:kern w:val="0"/>
                      <w:sz w:val="21"/>
                      <w:szCs w:val="21"/>
                    </w:rPr>
                  </w:pPr>
                  <w:r>
                    <w:rPr>
                      <w:rFonts w:hint="eastAsia" w:eastAsia="仿宋_GB2312"/>
                      <w:kern w:val="0"/>
                      <w:sz w:val="21"/>
                      <w:szCs w:val="21"/>
                    </w:rPr>
                    <w:t>水量</w:t>
                  </w:r>
                </w:p>
              </w:tc>
              <w:tc>
                <w:tcPr>
                  <w:tcW w:w="1391" w:type="pct"/>
                  <w:noWrap/>
                  <w:vAlign w:val="center"/>
                </w:tcPr>
                <w:p w14:paraId="58C86DBD">
                  <w:pPr>
                    <w:widowControl/>
                    <w:jc w:val="center"/>
                    <w:textAlignment w:val="center"/>
                    <w:rPr>
                      <w:rFonts w:eastAsia="仿宋_GB2312"/>
                      <w:kern w:val="0"/>
                      <w:sz w:val="21"/>
                      <w:szCs w:val="21"/>
                    </w:rPr>
                  </w:pPr>
                  <w:r>
                    <w:rPr>
                      <w:rFonts w:hint="eastAsia" w:eastAsia="仿宋_GB2312"/>
                      <w:kern w:val="0"/>
                      <w:sz w:val="21"/>
                      <w:szCs w:val="21"/>
                    </w:rPr>
                    <w:t>1223</w:t>
                  </w:r>
                </w:p>
              </w:tc>
              <w:tc>
                <w:tcPr>
                  <w:tcW w:w="1391" w:type="pct"/>
                  <w:vMerge w:val="restart"/>
                  <w:noWrap/>
                  <w:vAlign w:val="center"/>
                </w:tcPr>
                <w:p w14:paraId="0A2ED46B">
                  <w:pPr>
                    <w:widowControl/>
                    <w:jc w:val="center"/>
                    <w:textAlignment w:val="center"/>
                    <w:rPr>
                      <w:rFonts w:eastAsia="仿宋_GB2312"/>
                      <w:kern w:val="0"/>
                      <w:sz w:val="21"/>
                      <w:szCs w:val="21"/>
                    </w:rPr>
                  </w:pPr>
                  <w:r>
                    <w:rPr>
                      <w:rFonts w:hint="eastAsia" w:eastAsia="仿宋_GB2312"/>
                      <w:kern w:val="0"/>
                      <w:sz w:val="21"/>
                      <w:szCs w:val="21"/>
                    </w:rPr>
                    <w:t>盐矿区</w:t>
                  </w:r>
                </w:p>
              </w:tc>
            </w:tr>
            <w:tr w14:paraId="655398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225" w:type="pct"/>
                  <w:vMerge w:val="continue"/>
                  <w:vAlign w:val="center"/>
                </w:tcPr>
                <w:p w14:paraId="3ABD9F4A">
                  <w:pPr>
                    <w:jc w:val="center"/>
                    <w:rPr>
                      <w:rFonts w:eastAsia="仿宋_GB2312"/>
                      <w:sz w:val="21"/>
                      <w:szCs w:val="21"/>
                    </w:rPr>
                  </w:pPr>
                </w:p>
              </w:tc>
              <w:tc>
                <w:tcPr>
                  <w:tcW w:w="991" w:type="pct"/>
                  <w:vAlign w:val="center"/>
                </w:tcPr>
                <w:p w14:paraId="25AE0CCC">
                  <w:pPr>
                    <w:widowControl/>
                    <w:jc w:val="center"/>
                    <w:textAlignment w:val="center"/>
                    <w:rPr>
                      <w:rFonts w:eastAsia="仿宋_GB2312"/>
                      <w:kern w:val="0"/>
                      <w:sz w:val="21"/>
                      <w:szCs w:val="21"/>
                    </w:rPr>
                  </w:pPr>
                  <w:r>
                    <w:rPr>
                      <w:rFonts w:hint="eastAsia" w:eastAsia="仿宋_GB2312"/>
                      <w:kern w:val="0"/>
                      <w:sz w:val="21"/>
                      <w:szCs w:val="21"/>
                    </w:rPr>
                    <w:t>COD</w:t>
                  </w:r>
                </w:p>
              </w:tc>
              <w:tc>
                <w:tcPr>
                  <w:tcW w:w="1391" w:type="pct"/>
                  <w:noWrap/>
                  <w:vAlign w:val="center"/>
                </w:tcPr>
                <w:p w14:paraId="122B4DB1">
                  <w:pPr>
                    <w:widowControl/>
                    <w:jc w:val="center"/>
                    <w:textAlignment w:val="center"/>
                    <w:rPr>
                      <w:rFonts w:eastAsia="仿宋_GB2312"/>
                      <w:kern w:val="0"/>
                      <w:sz w:val="21"/>
                      <w:szCs w:val="21"/>
                    </w:rPr>
                  </w:pPr>
                  <w:r>
                    <w:rPr>
                      <w:rFonts w:hint="eastAsia" w:eastAsia="仿宋_GB2312"/>
                      <w:kern w:val="0"/>
                      <w:sz w:val="21"/>
                      <w:szCs w:val="21"/>
                    </w:rPr>
                    <w:t>0.122</w:t>
                  </w:r>
                </w:p>
              </w:tc>
              <w:tc>
                <w:tcPr>
                  <w:tcW w:w="1391" w:type="pct"/>
                  <w:vMerge w:val="continue"/>
                  <w:noWrap/>
                  <w:vAlign w:val="center"/>
                </w:tcPr>
                <w:p w14:paraId="2E0CE426">
                  <w:pPr>
                    <w:widowControl/>
                    <w:jc w:val="center"/>
                    <w:textAlignment w:val="center"/>
                    <w:rPr>
                      <w:rFonts w:eastAsia="仿宋_GB2312"/>
                      <w:kern w:val="0"/>
                      <w:sz w:val="21"/>
                      <w:szCs w:val="21"/>
                    </w:rPr>
                  </w:pPr>
                </w:p>
              </w:tc>
            </w:tr>
            <w:tr w14:paraId="7BAFE8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225" w:type="pct"/>
                  <w:vMerge w:val="continue"/>
                  <w:vAlign w:val="center"/>
                </w:tcPr>
                <w:p w14:paraId="7C5F7A7D">
                  <w:pPr>
                    <w:jc w:val="center"/>
                    <w:rPr>
                      <w:rFonts w:eastAsia="仿宋_GB2312"/>
                      <w:sz w:val="21"/>
                      <w:szCs w:val="21"/>
                    </w:rPr>
                  </w:pPr>
                </w:p>
              </w:tc>
              <w:tc>
                <w:tcPr>
                  <w:tcW w:w="991" w:type="pct"/>
                  <w:vAlign w:val="center"/>
                </w:tcPr>
                <w:p w14:paraId="66D62362">
                  <w:pPr>
                    <w:widowControl/>
                    <w:jc w:val="center"/>
                    <w:textAlignment w:val="center"/>
                    <w:rPr>
                      <w:rFonts w:eastAsia="仿宋_GB2312"/>
                      <w:kern w:val="0"/>
                      <w:sz w:val="21"/>
                      <w:szCs w:val="21"/>
                    </w:rPr>
                  </w:pPr>
                  <w:r>
                    <w:rPr>
                      <w:rFonts w:hint="eastAsia" w:eastAsia="仿宋_GB2312"/>
                      <w:kern w:val="0"/>
                      <w:sz w:val="21"/>
                      <w:szCs w:val="21"/>
                    </w:rPr>
                    <w:t>SS</w:t>
                  </w:r>
                </w:p>
              </w:tc>
              <w:tc>
                <w:tcPr>
                  <w:tcW w:w="1391" w:type="pct"/>
                  <w:noWrap/>
                  <w:vAlign w:val="center"/>
                </w:tcPr>
                <w:p w14:paraId="4015A6DE">
                  <w:pPr>
                    <w:widowControl/>
                    <w:jc w:val="center"/>
                    <w:textAlignment w:val="center"/>
                    <w:rPr>
                      <w:rFonts w:eastAsia="仿宋_GB2312"/>
                      <w:kern w:val="0"/>
                      <w:sz w:val="21"/>
                      <w:szCs w:val="21"/>
                    </w:rPr>
                  </w:pPr>
                  <w:r>
                    <w:rPr>
                      <w:rFonts w:hint="eastAsia" w:eastAsia="仿宋_GB2312"/>
                      <w:kern w:val="0"/>
                      <w:sz w:val="21"/>
                      <w:szCs w:val="21"/>
                    </w:rPr>
                    <w:t>0.086</w:t>
                  </w:r>
                </w:p>
              </w:tc>
              <w:tc>
                <w:tcPr>
                  <w:tcW w:w="1391" w:type="pct"/>
                  <w:vMerge w:val="continue"/>
                  <w:noWrap/>
                  <w:vAlign w:val="center"/>
                </w:tcPr>
                <w:p w14:paraId="041FD619">
                  <w:pPr>
                    <w:widowControl/>
                    <w:jc w:val="center"/>
                    <w:textAlignment w:val="center"/>
                    <w:rPr>
                      <w:rFonts w:eastAsia="仿宋_GB2312"/>
                      <w:kern w:val="0"/>
                      <w:sz w:val="21"/>
                      <w:szCs w:val="21"/>
                    </w:rPr>
                  </w:pPr>
                </w:p>
              </w:tc>
            </w:tr>
            <w:tr w14:paraId="38C54A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225" w:type="pct"/>
                  <w:vMerge w:val="continue"/>
                  <w:vAlign w:val="center"/>
                </w:tcPr>
                <w:p w14:paraId="6F46BF47">
                  <w:pPr>
                    <w:jc w:val="center"/>
                    <w:rPr>
                      <w:rFonts w:eastAsia="仿宋_GB2312"/>
                      <w:sz w:val="21"/>
                      <w:szCs w:val="21"/>
                    </w:rPr>
                  </w:pPr>
                </w:p>
              </w:tc>
              <w:tc>
                <w:tcPr>
                  <w:tcW w:w="991" w:type="pct"/>
                  <w:vAlign w:val="center"/>
                </w:tcPr>
                <w:p w14:paraId="7495D898">
                  <w:pPr>
                    <w:widowControl/>
                    <w:jc w:val="center"/>
                    <w:textAlignment w:val="center"/>
                    <w:rPr>
                      <w:rFonts w:eastAsia="仿宋_GB2312"/>
                      <w:kern w:val="0"/>
                      <w:sz w:val="21"/>
                      <w:szCs w:val="21"/>
                    </w:rPr>
                  </w:pPr>
                  <w:r>
                    <w:rPr>
                      <w:rFonts w:hint="eastAsia" w:eastAsia="仿宋_GB2312"/>
                      <w:kern w:val="0"/>
                      <w:sz w:val="21"/>
                      <w:szCs w:val="21"/>
                    </w:rPr>
                    <w:t>氨氮</w:t>
                  </w:r>
                </w:p>
              </w:tc>
              <w:tc>
                <w:tcPr>
                  <w:tcW w:w="1391" w:type="pct"/>
                  <w:noWrap/>
                  <w:vAlign w:val="center"/>
                </w:tcPr>
                <w:p w14:paraId="04E8C7DB">
                  <w:pPr>
                    <w:widowControl/>
                    <w:jc w:val="center"/>
                    <w:textAlignment w:val="center"/>
                    <w:rPr>
                      <w:rFonts w:eastAsia="仿宋_GB2312"/>
                      <w:kern w:val="0"/>
                      <w:sz w:val="21"/>
                      <w:szCs w:val="21"/>
                    </w:rPr>
                  </w:pPr>
                  <w:r>
                    <w:rPr>
                      <w:rFonts w:hint="eastAsia" w:eastAsia="仿宋_GB2312"/>
                      <w:kern w:val="0"/>
                      <w:sz w:val="21"/>
                      <w:szCs w:val="21"/>
                    </w:rPr>
                    <w:t>0.018</w:t>
                  </w:r>
                </w:p>
              </w:tc>
              <w:tc>
                <w:tcPr>
                  <w:tcW w:w="1391" w:type="pct"/>
                  <w:vMerge w:val="continue"/>
                  <w:noWrap/>
                  <w:vAlign w:val="center"/>
                </w:tcPr>
                <w:p w14:paraId="212AD3F1">
                  <w:pPr>
                    <w:widowControl/>
                    <w:jc w:val="center"/>
                    <w:textAlignment w:val="center"/>
                    <w:rPr>
                      <w:rFonts w:eastAsia="仿宋_GB2312"/>
                      <w:kern w:val="0"/>
                      <w:sz w:val="21"/>
                      <w:szCs w:val="21"/>
                    </w:rPr>
                  </w:pPr>
                </w:p>
              </w:tc>
            </w:tr>
            <w:tr w14:paraId="2E6D5D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225" w:type="pct"/>
                  <w:vMerge w:val="continue"/>
                  <w:vAlign w:val="center"/>
                </w:tcPr>
                <w:p w14:paraId="02C3E985">
                  <w:pPr>
                    <w:jc w:val="center"/>
                    <w:rPr>
                      <w:rFonts w:eastAsia="仿宋_GB2312"/>
                      <w:sz w:val="21"/>
                      <w:szCs w:val="21"/>
                    </w:rPr>
                  </w:pPr>
                </w:p>
              </w:tc>
              <w:tc>
                <w:tcPr>
                  <w:tcW w:w="991" w:type="pct"/>
                  <w:vAlign w:val="center"/>
                </w:tcPr>
                <w:p w14:paraId="7F65B02A">
                  <w:pPr>
                    <w:widowControl/>
                    <w:jc w:val="center"/>
                    <w:textAlignment w:val="center"/>
                    <w:rPr>
                      <w:rFonts w:eastAsia="仿宋_GB2312"/>
                      <w:kern w:val="0"/>
                      <w:sz w:val="21"/>
                      <w:szCs w:val="21"/>
                    </w:rPr>
                  </w:pPr>
                  <w:r>
                    <w:rPr>
                      <w:rFonts w:hint="eastAsia" w:eastAsia="仿宋_GB2312"/>
                      <w:kern w:val="0"/>
                      <w:sz w:val="21"/>
                      <w:szCs w:val="21"/>
                    </w:rPr>
                    <w:t>总磷</w:t>
                  </w:r>
                </w:p>
              </w:tc>
              <w:tc>
                <w:tcPr>
                  <w:tcW w:w="1391" w:type="pct"/>
                  <w:noWrap/>
                  <w:vAlign w:val="center"/>
                </w:tcPr>
                <w:p w14:paraId="132AE131">
                  <w:pPr>
                    <w:widowControl/>
                    <w:jc w:val="center"/>
                    <w:textAlignment w:val="center"/>
                    <w:rPr>
                      <w:rFonts w:eastAsia="仿宋_GB2312"/>
                      <w:kern w:val="0"/>
                      <w:sz w:val="21"/>
                      <w:szCs w:val="21"/>
                    </w:rPr>
                  </w:pPr>
                  <w:r>
                    <w:rPr>
                      <w:rFonts w:hint="eastAsia" w:eastAsia="仿宋_GB2312"/>
                      <w:kern w:val="0"/>
                      <w:sz w:val="21"/>
                      <w:szCs w:val="21"/>
                    </w:rPr>
                    <w:t>0.0006</w:t>
                  </w:r>
                </w:p>
              </w:tc>
              <w:tc>
                <w:tcPr>
                  <w:tcW w:w="1391" w:type="pct"/>
                  <w:vMerge w:val="continue"/>
                  <w:noWrap/>
                  <w:vAlign w:val="center"/>
                </w:tcPr>
                <w:p w14:paraId="28022293">
                  <w:pPr>
                    <w:widowControl/>
                    <w:jc w:val="center"/>
                    <w:textAlignment w:val="center"/>
                    <w:rPr>
                      <w:rFonts w:eastAsia="仿宋_GB2312"/>
                      <w:kern w:val="0"/>
                      <w:sz w:val="21"/>
                      <w:szCs w:val="21"/>
                    </w:rPr>
                  </w:pPr>
                </w:p>
              </w:tc>
            </w:tr>
            <w:tr w14:paraId="7C6850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225" w:type="pct"/>
                  <w:vAlign w:val="center"/>
                </w:tcPr>
                <w:p w14:paraId="57A42411">
                  <w:pPr>
                    <w:widowControl/>
                    <w:jc w:val="center"/>
                    <w:textAlignment w:val="center"/>
                    <w:rPr>
                      <w:rFonts w:eastAsia="仿宋_GB2312"/>
                      <w:sz w:val="21"/>
                      <w:szCs w:val="21"/>
                    </w:rPr>
                  </w:pPr>
                  <w:r>
                    <w:rPr>
                      <w:rFonts w:eastAsia="仿宋_GB2312"/>
                      <w:kern w:val="0"/>
                      <w:sz w:val="21"/>
                      <w:szCs w:val="21"/>
                    </w:rPr>
                    <w:t>废气</w:t>
                  </w:r>
                </w:p>
              </w:tc>
              <w:tc>
                <w:tcPr>
                  <w:tcW w:w="991" w:type="pct"/>
                  <w:vAlign w:val="center"/>
                </w:tcPr>
                <w:p w14:paraId="23C32582">
                  <w:pPr>
                    <w:widowControl/>
                    <w:jc w:val="center"/>
                    <w:textAlignment w:val="center"/>
                    <w:rPr>
                      <w:rFonts w:eastAsia="仿宋_GB2312"/>
                      <w:kern w:val="0"/>
                      <w:sz w:val="21"/>
                      <w:szCs w:val="21"/>
                    </w:rPr>
                  </w:pPr>
                  <w:r>
                    <w:rPr>
                      <w:rFonts w:eastAsia="仿宋_GB2312"/>
                      <w:kern w:val="0"/>
                      <w:sz w:val="21"/>
                      <w:szCs w:val="21"/>
                    </w:rPr>
                    <w:t>/</w:t>
                  </w:r>
                </w:p>
              </w:tc>
              <w:tc>
                <w:tcPr>
                  <w:tcW w:w="1391" w:type="pct"/>
                  <w:noWrap/>
                  <w:vAlign w:val="center"/>
                </w:tcPr>
                <w:p w14:paraId="239FBD6D">
                  <w:pPr>
                    <w:widowControl/>
                    <w:jc w:val="center"/>
                    <w:textAlignment w:val="center"/>
                    <w:rPr>
                      <w:rFonts w:eastAsia="仿宋_GB2312"/>
                      <w:kern w:val="0"/>
                      <w:sz w:val="21"/>
                      <w:szCs w:val="21"/>
                    </w:rPr>
                  </w:pPr>
                  <w:r>
                    <w:rPr>
                      <w:rFonts w:hint="eastAsia" w:eastAsia="仿宋_GB2312"/>
                      <w:kern w:val="0"/>
                      <w:sz w:val="21"/>
                      <w:szCs w:val="21"/>
                    </w:rPr>
                    <w:t>0</w:t>
                  </w:r>
                </w:p>
              </w:tc>
              <w:tc>
                <w:tcPr>
                  <w:tcW w:w="1391" w:type="pct"/>
                  <w:vMerge w:val="continue"/>
                  <w:noWrap/>
                  <w:vAlign w:val="center"/>
                </w:tcPr>
                <w:p w14:paraId="2FBCCC0B">
                  <w:pPr>
                    <w:widowControl/>
                    <w:jc w:val="center"/>
                    <w:textAlignment w:val="center"/>
                    <w:rPr>
                      <w:rFonts w:eastAsia="仿宋_GB2312"/>
                      <w:kern w:val="0"/>
                      <w:sz w:val="21"/>
                      <w:szCs w:val="21"/>
                    </w:rPr>
                  </w:pPr>
                </w:p>
              </w:tc>
            </w:tr>
            <w:tr w14:paraId="6443A3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225" w:type="pct"/>
                  <w:vAlign w:val="center"/>
                </w:tcPr>
                <w:p w14:paraId="5EB1B127">
                  <w:pPr>
                    <w:widowControl/>
                    <w:jc w:val="center"/>
                    <w:textAlignment w:val="center"/>
                    <w:rPr>
                      <w:rFonts w:eastAsia="仿宋_GB2312"/>
                      <w:sz w:val="21"/>
                      <w:szCs w:val="21"/>
                    </w:rPr>
                  </w:pPr>
                  <w:r>
                    <w:rPr>
                      <w:rFonts w:eastAsia="仿宋_GB2312"/>
                      <w:kern w:val="0"/>
                      <w:sz w:val="21"/>
                      <w:szCs w:val="21"/>
                    </w:rPr>
                    <w:t>固体废物</w:t>
                  </w:r>
                </w:p>
              </w:tc>
              <w:tc>
                <w:tcPr>
                  <w:tcW w:w="991" w:type="pct"/>
                  <w:vAlign w:val="center"/>
                </w:tcPr>
                <w:p w14:paraId="5EE05310">
                  <w:pPr>
                    <w:widowControl/>
                    <w:jc w:val="center"/>
                    <w:textAlignment w:val="center"/>
                    <w:rPr>
                      <w:rFonts w:eastAsia="仿宋_GB2312"/>
                      <w:kern w:val="0"/>
                      <w:sz w:val="21"/>
                      <w:szCs w:val="21"/>
                    </w:rPr>
                  </w:pPr>
                  <w:r>
                    <w:rPr>
                      <w:rFonts w:eastAsia="仿宋_GB2312"/>
                      <w:kern w:val="0"/>
                      <w:sz w:val="21"/>
                      <w:szCs w:val="21"/>
                    </w:rPr>
                    <w:t>/</w:t>
                  </w:r>
                </w:p>
              </w:tc>
              <w:tc>
                <w:tcPr>
                  <w:tcW w:w="1391" w:type="pct"/>
                  <w:noWrap/>
                  <w:vAlign w:val="center"/>
                </w:tcPr>
                <w:p w14:paraId="7543ECFF">
                  <w:pPr>
                    <w:widowControl/>
                    <w:jc w:val="center"/>
                    <w:textAlignment w:val="center"/>
                    <w:rPr>
                      <w:rFonts w:eastAsia="仿宋_GB2312"/>
                      <w:kern w:val="0"/>
                      <w:sz w:val="21"/>
                      <w:szCs w:val="21"/>
                    </w:rPr>
                  </w:pPr>
                  <w:r>
                    <w:rPr>
                      <w:rFonts w:hint="eastAsia" w:eastAsia="仿宋_GB2312"/>
                      <w:kern w:val="0"/>
                      <w:sz w:val="21"/>
                      <w:szCs w:val="21"/>
                    </w:rPr>
                    <w:t>0</w:t>
                  </w:r>
                </w:p>
              </w:tc>
              <w:tc>
                <w:tcPr>
                  <w:tcW w:w="1391" w:type="pct"/>
                  <w:vMerge w:val="continue"/>
                  <w:noWrap/>
                  <w:vAlign w:val="center"/>
                </w:tcPr>
                <w:p w14:paraId="6AC93E59">
                  <w:pPr>
                    <w:widowControl/>
                    <w:jc w:val="center"/>
                    <w:textAlignment w:val="center"/>
                    <w:rPr>
                      <w:rFonts w:eastAsia="仿宋_GB2312"/>
                      <w:kern w:val="0"/>
                      <w:sz w:val="21"/>
                      <w:szCs w:val="21"/>
                    </w:rPr>
                  </w:pPr>
                </w:p>
              </w:tc>
            </w:tr>
            <w:tr w14:paraId="321233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225" w:type="pct"/>
                  <w:vAlign w:val="center"/>
                </w:tcPr>
                <w:p w14:paraId="2918732E">
                  <w:pPr>
                    <w:widowControl/>
                    <w:jc w:val="center"/>
                    <w:textAlignment w:val="center"/>
                    <w:rPr>
                      <w:rFonts w:eastAsia="仿宋_GB2312"/>
                      <w:sz w:val="21"/>
                      <w:szCs w:val="21"/>
                    </w:rPr>
                  </w:pPr>
                  <w:r>
                    <w:rPr>
                      <w:rFonts w:eastAsia="仿宋_GB2312"/>
                      <w:kern w:val="0"/>
                      <w:sz w:val="21"/>
                      <w:szCs w:val="21"/>
                    </w:rPr>
                    <w:t>废水</w:t>
                  </w:r>
                </w:p>
              </w:tc>
              <w:tc>
                <w:tcPr>
                  <w:tcW w:w="991" w:type="pct"/>
                  <w:vAlign w:val="center"/>
                </w:tcPr>
                <w:p w14:paraId="1EA3502D">
                  <w:pPr>
                    <w:widowControl/>
                    <w:jc w:val="center"/>
                    <w:textAlignment w:val="center"/>
                    <w:rPr>
                      <w:rFonts w:eastAsia="仿宋_GB2312"/>
                      <w:kern w:val="0"/>
                      <w:sz w:val="21"/>
                      <w:szCs w:val="21"/>
                    </w:rPr>
                  </w:pPr>
                  <w:r>
                    <w:rPr>
                      <w:rFonts w:eastAsia="仿宋_GB2312"/>
                      <w:kern w:val="0"/>
                      <w:sz w:val="21"/>
                      <w:szCs w:val="21"/>
                    </w:rPr>
                    <w:t>/</w:t>
                  </w:r>
                </w:p>
              </w:tc>
              <w:tc>
                <w:tcPr>
                  <w:tcW w:w="1391" w:type="pct"/>
                  <w:noWrap/>
                  <w:vAlign w:val="center"/>
                </w:tcPr>
                <w:p w14:paraId="71C8EDDD">
                  <w:pPr>
                    <w:widowControl/>
                    <w:jc w:val="center"/>
                    <w:textAlignment w:val="center"/>
                    <w:rPr>
                      <w:rFonts w:eastAsia="仿宋_GB2312"/>
                      <w:kern w:val="0"/>
                      <w:sz w:val="21"/>
                      <w:szCs w:val="21"/>
                    </w:rPr>
                  </w:pPr>
                  <w:r>
                    <w:rPr>
                      <w:rFonts w:hint="eastAsia" w:eastAsia="仿宋_GB2312"/>
                      <w:kern w:val="0"/>
                      <w:sz w:val="21"/>
                      <w:szCs w:val="21"/>
                    </w:rPr>
                    <w:t>0</w:t>
                  </w:r>
                </w:p>
              </w:tc>
              <w:tc>
                <w:tcPr>
                  <w:tcW w:w="1391" w:type="pct"/>
                  <w:vMerge w:val="restart"/>
                  <w:noWrap/>
                  <w:vAlign w:val="center"/>
                </w:tcPr>
                <w:p w14:paraId="4388B764">
                  <w:pPr>
                    <w:widowControl/>
                    <w:jc w:val="center"/>
                    <w:textAlignment w:val="center"/>
                    <w:rPr>
                      <w:rFonts w:eastAsia="仿宋_GB2312"/>
                      <w:kern w:val="0"/>
                      <w:sz w:val="21"/>
                      <w:szCs w:val="21"/>
                    </w:rPr>
                  </w:pPr>
                  <w:r>
                    <w:rPr>
                      <w:rFonts w:hint="eastAsia" w:eastAsia="仿宋_GB2312"/>
                      <w:kern w:val="0"/>
                      <w:sz w:val="21"/>
                      <w:szCs w:val="21"/>
                    </w:rPr>
                    <w:t>盐矿区至盐厂路1号</w:t>
                  </w:r>
                </w:p>
              </w:tc>
            </w:tr>
            <w:tr w14:paraId="2132B9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225" w:type="pct"/>
                  <w:vAlign w:val="center"/>
                </w:tcPr>
                <w:p w14:paraId="7EB4574D">
                  <w:pPr>
                    <w:widowControl/>
                    <w:jc w:val="center"/>
                    <w:textAlignment w:val="center"/>
                    <w:rPr>
                      <w:rFonts w:eastAsia="仿宋_GB2312"/>
                      <w:sz w:val="21"/>
                      <w:szCs w:val="21"/>
                    </w:rPr>
                  </w:pPr>
                  <w:r>
                    <w:rPr>
                      <w:rFonts w:eastAsia="仿宋_GB2312"/>
                      <w:kern w:val="0"/>
                      <w:sz w:val="21"/>
                      <w:szCs w:val="21"/>
                    </w:rPr>
                    <w:t>废气</w:t>
                  </w:r>
                </w:p>
              </w:tc>
              <w:tc>
                <w:tcPr>
                  <w:tcW w:w="991" w:type="pct"/>
                  <w:vAlign w:val="center"/>
                </w:tcPr>
                <w:p w14:paraId="02B8F38B">
                  <w:pPr>
                    <w:widowControl/>
                    <w:jc w:val="center"/>
                    <w:textAlignment w:val="center"/>
                    <w:rPr>
                      <w:rFonts w:eastAsia="仿宋_GB2312"/>
                      <w:kern w:val="0"/>
                      <w:sz w:val="21"/>
                      <w:szCs w:val="21"/>
                    </w:rPr>
                  </w:pPr>
                  <w:r>
                    <w:rPr>
                      <w:rFonts w:eastAsia="仿宋_GB2312"/>
                      <w:kern w:val="0"/>
                      <w:sz w:val="21"/>
                      <w:szCs w:val="21"/>
                    </w:rPr>
                    <w:t>/</w:t>
                  </w:r>
                </w:p>
              </w:tc>
              <w:tc>
                <w:tcPr>
                  <w:tcW w:w="1391" w:type="pct"/>
                  <w:noWrap/>
                  <w:vAlign w:val="center"/>
                </w:tcPr>
                <w:p w14:paraId="0770B67B">
                  <w:pPr>
                    <w:widowControl/>
                    <w:jc w:val="center"/>
                    <w:textAlignment w:val="center"/>
                    <w:rPr>
                      <w:rFonts w:eastAsia="仿宋_GB2312"/>
                      <w:kern w:val="0"/>
                      <w:sz w:val="21"/>
                      <w:szCs w:val="21"/>
                    </w:rPr>
                  </w:pPr>
                  <w:r>
                    <w:rPr>
                      <w:rFonts w:hint="eastAsia" w:eastAsia="仿宋_GB2312"/>
                      <w:kern w:val="0"/>
                      <w:sz w:val="21"/>
                      <w:szCs w:val="21"/>
                    </w:rPr>
                    <w:t>0</w:t>
                  </w:r>
                </w:p>
              </w:tc>
              <w:tc>
                <w:tcPr>
                  <w:tcW w:w="1391" w:type="pct"/>
                  <w:vMerge w:val="continue"/>
                  <w:noWrap/>
                  <w:vAlign w:val="center"/>
                </w:tcPr>
                <w:p w14:paraId="48974227">
                  <w:pPr>
                    <w:widowControl/>
                    <w:jc w:val="center"/>
                    <w:textAlignment w:val="center"/>
                    <w:rPr>
                      <w:rFonts w:eastAsia="仿宋_GB2312"/>
                      <w:kern w:val="0"/>
                      <w:sz w:val="21"/>
                      <w:szCs w:val="21"/>
                    </w:rPr>
                  </w:pPr>
                </w:p>
              </w:tc>
            </w:tr>
            <w:tr w14:paraId="52192A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225" w:type="pct"/>
                  <w:vAlign w:val="center"/>
                </w:tcPr>
                <w:p w14:paraId="02D1F55E">
                  <w:pPr>
                    <w:widowControl/>
                    <w:jc w:val="center"/>
                    <w:textAlignment w:val="center"/>
                    <w:rPr>
                      <w:rFonts w:eastAsia="仿宋_GB2312"/>
                      <w:sz w:val="21"/>
                      <w:szCs w:val="21"/>
                    </w:rPr>
                  </w:pPr>
                  <w:r>
                    <w:rPr>
                      <w:rFonts w:eastAsia="仿宋_GB2312"/>
                      <w:kern w:val="0"/>
                      <w:sz w:val="21"/>
                      <w:szCs w:val="21"/>
                    </w:rPr>
                    <w:t>固体废物</w:t>
                  </w:r>
                </w:p>
              </w:tc>
              <w:tc>
                <w:tcPr>
                  <w:tcW w:w="991" w:type="pct"/>
                  <w:vAlign w:val="center"/>
                </w:tcPr>
                <w:p w14:paraId="1814B948">
                  <w:pPr>
                    <w:widowControl/>
                    <w:jc w:val="center"/>
                    <w:textAlignment w:val="center"/>
                    <w:rPr>
                      <w:rFonts w:eastAsia="仿宋_GB2312"/>
                      <w:kern w:val="0"/>
                      <w:sz w:val="21"/>
                      <w:szCs w:val="21"/>
                    </w:rPr>
                  </w:pPr>
                  <w:r>
                    <w:rPr>
                      <w:rFonts w:eastAsia="仿宋_GB2312"/>
                      <w:kern w:val="0"/>
                      <w:sz w:val="21"/>
                      <w:szCs w:val="21"/>
                    </w:rPr>
                    <w:t>/</w:t>
                  </w:r>
                </w:p>
              </w:tc>
              <w:tc>
                <w:tcPr>
                  <w:tcW w:w="1391" w:type="pct"/>
                  <w:noWrap/>
                  <w:vAlign w:val="center"/>
                </w:tcPr>
                <w:p w14:paraId="2FD161CA">
                  <w:pPr>
                    <w:widowControl/>
                    <w:jc w:val="center"/>
                    <w:textAlignment w:val="center"/>
                    <w:rPr>
                      <w:rFonts w:eastAsia="仿宋_GB2312"/>
                      <w:kern w:val="0"/>
                      <w:sz w:val="21"/>
                      <w:szCs w:val="21"/>
                    </w:rPr>
                  </w:pPr>
                  <w:r>
                    <w:rPr>
                      <w:rFonts w:hint="eastAsia" w:eastAsia="仿宋_GB2312"/>
                      <w:kern w:val="0"/>
                      <w:sz w:val="21"/>
                      <w:szCs w:val="21"/>
                    </w:rPr>
                    <w:t>0</w:t>
                  </w:r>
                </w:p>
              </w:tc>
              <w:tc>
                <w:tcPr>
                  <w:tcW w:w="1391" w:type="pct"/>
                  <w:vMerge w:val="continue"/>
                  <w:noWrap/>
                  <w:vAlign w:val="center"/>
                </w:tcPr>
                <w:p w14:paraId="0790B8F5">
                  <w:pPr>
                    <w:widowControl/>
                    <w:jc w:val="center"/>
                    <w:textAlignment w:val="center"/>
                    <w:rPr>
                      <w:rFonts w:eastAsia="仿宋_GB2312"/>
                      <w:kern w:val="0"/>
                      <w:sz w:val="21"/>
                      <w:szCs w:val="21"/>
                    </w:rPr>
                  </w:pPr>
                </w:p>
              </w:tc>
            </w:tr>
            <w:bookmarkEnd w:id="40"/>
          </w:tbl>
          <w:p w14:paraId="22FFA66F">
            <w:pPr>
              <w:adjustRightInd w:val="0"/>
              <w:snapToGrid w:val="0"/>
              <w:spacing w:line="360" w:lineRule="auto"/>
              <w:ind w:firstLine="422" w:firstLineChars="200"/>
              <w:rPr>
                <w:rFonts w:eastAsia="仿宋_GB2312"/>
                <w:b/>
                <w:bCs/>
                <w:snapToGrid w:val="0"/>
                <w:szCs w:val="24"/>
              </w:rPr>
            </w:pPr>
            <w:r>
              <w:rPr>
                <w:rFonts w:hint="eastAsia" w:eastAsia="仿宋_GB2312"/>
                <w:b/>
                <w:bCs/>
                <w:snapToGrid w:val="0"/>
                <w:szCs w:val="24"/>
              </w:rPr>
              <w:t>6、达标排放情况</w:t>
            </w:r>
          </w:p>
          <w:p w14:paraId="4E640051">
            <w:pPr>
              <w:pStyle w:val="17"/>
              <w:keepNext w:val="0"/>
              <w:keepLines w:val="0"/>
              <w:pageBreakBefore w:val="0"/>
              <w:widowControl w:val="0"/>
              <w:numPr>
                <w:ilvl w:val="0"/>
                <w:numId w:val="0"/>
              </w:numPr>
              <w:tabs>
                <w:tab w:val="clear" w:pos="2040"/>
              </w:tabs>
              <w:kinsoku/>
              <w:wordWrap/>
              <w:overflowPunct/>
              <w:topLinePunct w:val="0"/>
              <w:autoSpaceDE/>
              <w:autoSpaceDN/>
              <w:bidi w:val="0"/>
              <w:spacing w:line="360" w:lineRule="auto"/>
              <w:ind w:firstLine="420" w:firstLineChars="200"/>
              <w:jc w:val="both"/>
              <w:textAlignment w:val="auto"/>
              <w:rPr>
                <w:rFonts w:hint="eastAsia" w:ascii="Times New Roman" w:hAnsi="Times New Roman" w:eastAsia="仿宋_GB2312" w:cs="Times New Roman"/>
                <w:kern w:val="2"/>
                <w:sz w:val="21"/>
                <w:szCs w:val="21"/>
                <w:lang w:val="en-US" w:eastAsia="zh-CN" w:bidi="ar-SA"/>
              </w:rPr>
            </w:pPr>
            <w:r>
              <w:rPr>
                <w:rFonts w:hint="eastAsia" w:ascii="Times New Roman" w:hAnsi="Times New Roman" w:eastAsia="仿宋_GB2312" w:cs="Times New Roman"/>
                <w:kern w:val="2"/>
                <w:sz w:val="21"/>
                <w:szCs w:val="21"/>
                <w:lang w:val="en-US" w:eastAsia="zh-CN" w:bidi="ar-SA"/>
              </w:rPr>
              <w:t>建设单位于2025年3月、11月分别委托苏州华实环境技术有限公司、常州奕泽检测科技有限公司对现有厂区内各项污染因子进行例行检测（报告编号：HS25182（综）</w:t>
            </w:r>
            <w:r>
              <w:rPr>
                <w:rFonts w:hint="eastAsia" w:eastAsia="仿宋_GB2312" w:cs="Times New Roman"/>
                <w:kern w:val="2"/>
                <w:sz w:val="21"/>
                <w:szCs w:val="21"/>
                <w:lang w:val="en-US" w:eastAsia="zh-CN" w:bidi="ar-SA"/>
              </w:rPr>
              <w:t>、</w:t>
            </w:r>
            <w:r>
              <w:rPr>
                <w:rFonts w:hint="eastAsia" w:ascii="Times New Roman" w:hAnsi="Times New Roman" w:eastAsia="仿宋_GB2312" w:cs="Times New Roman"/>
                <w:kern w:val="2"/>
                <w:sz w:val="21"/>
                <w:szCs w:val="21"/>
                <w:lang w:val="en-US" w:eastAsia="zh-CN" w:bidi="ar-SA"/>
              </w:rPr>
              <w:t>YZ202511W040），根据检测结果现有项目各项污染因子排放情况见下表：</w:t>
            </w:r>
          </w:p>
          <w:p w14:paraId="72195F3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Times New Roman" w:hAnsi="Times New Roman" w:eastAsia="仿宋_GB2312" w:cs="Times New Roman"/>
                <w:kern w:val="2"/>
                <w:sz w:val="21"/>
                <w:szCs w:val="21"/>
                <w:lang w:val="en-US" w:eastAsia="zh-CN" w:bidi="ar-SA"/>
              </w:rPr>
            </w:pPr>
            <w:r>
              <w:rPr>
                <w:rFonts w:hint="eastAsia" w:ascii="Times New Roman" w:hAnsi="Times New Roman" w:eastAsia="仿宋_GB2312" w:cs="Times New Roman"/>
                <w:kern w:val="2"/>
                <w:sz w:val="21"/>
                <w:szCs w:val="21"/>
                <w:lang w:val="en-US" w:eastAsia="zh-CN" w:bidi="ar-SA"/>
              </w:rPr>
              <w:t>（1）废气</w:t>
            </w:r>
          </w:p>
          <w:p w14:paraId="65B0D9DE">
            <w:pPr>
              <w:adjustRightInd w:val="0"/>
              <w:snapToGrid w:val="0"/>
              <w:spacing w:line="360" w:lineRule="auto"/>
              <w:jc w:val="center"/>
              <w:rPr>
                <w:rFonts w:eastAsia="仿宋_GB2312"/>
                <w:b/>
                <w:bCs/>
                <w:snapToGrid w:val="0"/>
                <w:szCs w:val="24"/>
              </w:rPr>
            </w:pPr>
            <w:r>
              <w:rPr>
                <w:rFonts w:eastAsia="仿宋_GB2312"/>
                <w:b/>
                <w:bCs/>
                <w:kern w:val="0"/>
              </w:rPr>
              <w:t>表2</w:t>
            </w:r>
            <w:r>
              <w:rPr>
                <w:rFonts w:hint="eastAsia" w:eastAsia="仿宋_GB2312"/>
                <w:b/>
                <w:bCs/>
                <w:kern w:val="0"/>
              </w:rPr>
              <w:t>-1</w:t>
            </w:r>
            <w:r>
              <w:rPr>
                <w:rFonts w:hint="eastAsia" w:eastAsia="仿宋_GB2312"/>
                <w:b/>
                <w:bCs/>
                <w:kern w:val="0"/>
                <w:lang w:val="en-US" w:eastAsia="zh-CN"/>
              </w:rPr>
              <w:t xml:space="preserve">5  </w:t>
            </w:r>
            <w:r>
              <w:rPr>
                <w:rFonts w:hint="eastAsia" w:eastAsia="仿宋_GB2312"/>
                <w:b/>
                <w:bCs/>
                <w:kern w:val="0"/>
              </w:rPr>
              <w:t>现有项目</w:t>
            </w:r>
            <w:r>
              <w:rPr>
                <w:rFonts w:eastAsia="仿宋_GB2312"/>
                <w:b/>
                <w:bCs/>
                <w:kern w:val="0"/>
              </w:rPr>
              <w:t>废气排放情况（有组织）</w:t>
            </w:r>
          </w:p>
          <w:tbl>
            <w:tblPr>
              <w:tblStyle w:val="32"/>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33"/>
              <w:gridCol w:w="2566"/>
              <w:gridCol w:w="1395"/>
              <w:gridCol w:w="1029"/>
              <w:gridCol w:w="1413"/>
              <w:gridCol w:w="1225"/>
            </w:tblGrid>
            <w:tr w14:paraId="342D6F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1" w:type="pct"/>
                  <w:tcBorders>
                    <w:tl2br w:val="nil"/>
                    <w:tr2bl w:val="nil"/>
                  </w:tcBorders>
                  <w:noWrap/>
                  <w:vAlign w:val="center"/>
                </w:tcPr>
                <w:p w14:paraId="7FAA6DBB">
                  <w:pPr>
                    <w:pStyle w:val="17"/>
                    <w:numPr>
                      <w:ilvl w:val="0"/>
                      <w:numId w:val="0"/>
                    </w:numPr>
                    <w:tabs>
                      <w:tab w:val="clear" w:pos="2040"/>
                    </w:tabs>
                    <w:jc w:val="center"/>
                    <w:rPr>
                      <w:rFonts w:eastAsia="仿宋_GB2312"/>
                      <w:b/>
                      <w:bCs/>
                    </w:rPr>
                  </w:pPr>
                  <w:r>
                    <w:rPr>
                      <w:rFonts w:eastAsia="仿宋_GB2312"/>
                      <w:b/>
                      <w:bCs/>
                    </w:rPr>
                    <w:t>检测</w:t>
                  </w:r>
                </w:p>
                <w:p w14:paraId="5F7327CF">
                  <w:pPr>
                    <w:pStyle w:val="17"/>
                    <w:numPr>
                      <w:ilvl w:val="0"/>
                      <w:numId w:val="0"/>
                    </w:numPr>
                    <w:tabs>
                      <w:tab w:val="clear" w:pos="2040"/>
                    </w:tabs>
                    <w:jc w:val="center"/>
                    <w:rPr>
                      <w:rFonts w:eastAsia="仿宋_GB2312"/>
                      <w:b/>
                      <w:bCs/>
                    </w:rPr>
                  </w:pPr>
                  <w:r>
                    <w:rPr>
                      <w:rFonts w:eastAsia="仿宋_GB2312"/>
                      <w:b/>
                      <w:bCs/>
                    </w:rPr>
                    <w:t>日期</w:t>
                  </w:r>
                </w:p>
              </w:tc>
              <w:tc>
                <w:tcPr>
                  <w:tcW w:w="1006" w:type="pct"/>
                  <w:tcBorders>
                    <w:tl2br w:val="nil"/>
                    <w:tr2bl w:val="nil"/>
                  </w:tcBorders>
                  <w:noWrap/>
                  <w:vAlign w:val="center"/>
                </w:tcPr>
                <w:p w14:paraId="1621B919">
                  <w:pPr>
                    <w:pStyle w:val="17"/>
                    <w:numPr>
                      <w:ilvl w:val="0"/>
                      <w:numId w:val="0"/>
                    </w:numPr>
                    <w:tabs>
                      <w:tab w:val="clear" w:pos="2040"/>
                    </w:tabs>
                    <w:jc w:val="center"/>
                    <w:rPr>
                      <w:rFonts w:eastAsia="仿宋_GB2312"/>
                      <w:b/>
                      <w:bCs/>
                    </w:rPr>
                  </w:pPr>
                  <w:r>
                    <w:rPr>
                      <w:rFonts w:eastAsia="仿宋_GB2312"/>
                      <w:b/>
                      <w:bCs/>
                    </w:rPr>
                    <w:t>检测单位</w:t>
                  </w:r>
                </w:p>
              </w:tc>
              <w:tc>
                <w:tcPr>
                  <w:tcW w:w="482" w:type="pct"/>
                  <w:tcBorders>
                    <w:tl2br w:val="nil"/>
                    <w:tr2bl w:val="nil"/>
                  </w:tcBorders>
                  <w:noWrap/>
                  <w:vAlign w:val="center"/>
                </w:tcPr>
                <w:p w14:paraId="4ECF4AFB">
                  <w:pPr>
                    <w:pStyle w:val="17"/>
                    <w:numPr>
                      <w:ilvl w:val="0"/>
                      <w:numId w:val="0"/>
                    </w:numPr>
                    <w:tabs>
                      <w:tab w:val="clear" w:pos="2040"/>
                    </w:tabs>
                    <w:jc w:val="center"/>
                    <w:rPr>
                      <w:rFonts w:eastAsia="仿宋_GB2312"/>
                      <w:b/>
                      <w:bCs/>
                    </w:rPr>
                  </w:pPr>
                  <w:r>
                    <w:rPr>
                      <w:rFonts w:eastAsia="仿宋_GB2312"/>
                      <w:b/>
                      <w:bCs/>
                    </w:rPr>
                    <w:t>检测</w:t>
                  </w:r>
                </w:p>
                <w:p w14:paraId="04856397">
                  <w:pPr>
                    <w:pStyle w:val="17"/>
                    <w:numPr>
                      <w:ilvl w:val="0"/>
                      <w:numId w:val="0"/>
                    </w:numPr>
                    <w:tabs>
                      <w:tab w:val="clear" w:pos="2040"/>
                    </w:tabs>
                    <w:jc w:val="center"/>
                    <w:rPr>
                      <w:rFonts w:eastAsia="仿宋_GB2312"/>
                      <w:b/>
                      <w:bCs/>
                    </w:rPr>
                  </w:pPr>
                  <w:r>
                    <w:rPr>
                      <w:rFonts w:eastAsia="仿宋_GB2312"/>
                      <w:b/>
                      <w:bCs/>
                    </w:rPr>
                    <w:t>点位</w:t>
                  </w:r>
                </w:p>
              </w:tc>
              <w:tc>
                <w:tcPr>
                  <w:tcW w:w="676" w:type="pct"/>
                  <w:tcBorders>
                    <w:tl2br w:val="nil"/>
                    <w:tr2bl w:val="nil"/>
                  </w:tcBorders>
                  <w:noWrap/>
                  <w:vAlign w:val="center"/>
                </w:tcPr>
                <w:p w14:paraId="2180564A">
                  <w:pPr>
                    <w:pStyle w:val="17"/>
                    <w:numPr>
                      <w:ilvl w:val="0"/>
                      <w:numId w:val="0"/>
                    </w:numPr>
                    <w:tabs>
                      <w:tab w:val="clear" w:pos="2040"/>
                    </w:tabs>
                    <w:jc w:val="center"/>
                    <w:rPr>
                      <w:rFonts w:eastAsia="仿宋_GB2312"/>
                      <w:b/>
                      <w:bCs/>
                    </w:rPr>
                  </w:pPr>
                  <w:r>
                    <w:rPr>
                      <w:rFonts w:eastAsia="仿宋_GB2312"/>
                      <w:b/>
                      <w:bCs/>
                    </w:rPr>
                    <w:t>污染物名称</w:t>
                  </w:r>
                </w:p>
              </w:tc>
              <w:tc>
                <w:tcPr>
                  <w:tcW w:w="1394" w:type="pct"/>
                  <w:tcBorders>
                    <w:tl2br w:val="nil"/>
                    <w:tr2bl w:val="nil"/>
                  </w:tcBorders>
                  <w:noWrap/>
                  <w:vAlign w:val="center"/>
                </w:tcPr>
                <w:p w14:paraId="7818A736">
                  <w:pPr>
                    <w:pStyle w:val="17"/>
                    <w:numPr>
                      <w:ilvl w:val="0"/>
                      <w:numId w:val="0"/>
                    </w:numPr>
                    <w:tabs>
                      <w:tab w:val="clear" w:pos="2040"/>
                    </w:tabs>
                    <w:jc w:val="center"/>
                    <w:rPr>
                      <w:rFonts w:eastAsia="仿宋_GB2312"/>
                      <w:b/>
                      <w:bCs/>
                    </w:rPr>
                  </w:pPr>
                  <w:r>
                    <w:rPr>
                      <w:rFonts w:eastAsia="仿宋_GB2312"/>
                      <w:b/>
                      <w:bCs/>
                    </w:rPr>
                    <w:t>检测值（mg/</w:t>
                  </w:r>
                  <w:r>
                    <w:rPr>
                      <w:rFonts w:hint="eastAsia" w:eastAsia="仿宋_GB2312"/>
                      <w:b/>
                      <w:bCs/>
                      <w:lang w:val="en-US" w:eastAsia="zh-CN"/>
                    </w:rPr>
                    <w:t>L</w:t>
                  </w:r>
                  <w:r>
                    <w:rPr>
                      <w:rFonts w:eastAsia="仿宋_GB2312"/>
                      <w:b/>
                      <w:bCs/>
                    </w:rPr>
                    <w:t>）</w:t>
                  </w:r>
                </w:p>
              </w:tc>
              <w:tc>
                <w:tcPr>
                  <w:tcW w:w="678" w:type="pct"/>
                  <w:tcBorders>
                    <w:tl2br w:val="nil"/>
                    <w:tr2bl w:val="nil"/>
                  </w:tcBorders>
                  <w:noWrap/>
                  <w:vAlign w:val="center"/>
                </w:tcPr>
                <w:p w14:paraId="38AC67B9">
                  <w:pPr>
                    <w:pStyle w:val="17"/>
                    <w:numPr>
                      <w:ilvl w:val="0"/>
                      <w:numId w:val="0"/>
                    </w:numPr>
                    <w:tabs>
                      <w:tab w:val="clear" w:pos="2040"/>
                    </w:tabs>
                    <w:jc w:val="center"/>
                    <w:rPr>
                      <w:rFonts w:eastAsia="仿宋_GB2312"/>
                      <w:b/>
                      <w:bCs/>
                    </w:rPr>
                  </w:pPr>
                  <w:r>
                    <w:rPr>
                      <w:rFonts w:eastAsia="仿宋_GB2312"/>
                      <w:b/>
                      <w:bCs/>
                    </w:rPr>
                    <w:t>标准值（mg/</w:t>
                  </w:r>
                  <w:r>
                    <w:rPr>
                      <w:rFonts w:hint="eastAsia" w:eastAsia="仿宋_GB2312"/>
                      <w:b/>
                      <w:bCs/>
                      <w:lang w:val="en-US" w:eastAsia="zh-CN"/>
                    </w:rPr>
                    <w:t>L</w:t>
                  </w:r>
                  <w:r>
                    <w:rPr>
                      <w:rFonts w:eastAsia="仿宋_GB2312"/>
                      <w:b/>
                      <w:bCs/>
                    </w:rPr>
                    <w:t>）</w:t>
                  </w:r>
                </w:p>
              </w:tc>
            </w:tr>
            <w:tr w14:paraId="18869E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1" w:type="pct"/>
                  <w:vMerge w:val="restart"/>
                  <w:tcBorders>
                    <w:tl2br w:val="nil"/>
                    <w:tr2bl w:val="nil"/>
                  </w:tcBorders>
                  <w:noWrap/>
                  <w:vAlign w:val="center"/>
                </w:tcPr>
                <w:p w14:paraId="295DC30A">
                  <w:pPr>
                    <w:pStyle w:val="17"/>
                    <w:numPr>
                      <w:ilvl w:val="0"/>
                      <w:numId w:val="0"/>
                    </w:numPr>
                    <w:tabs>
                      <w:tab w:val="clear" w:pos="2040"/>
                    </w:tabs>
                    <w:jc w:val="center"/>
                    <w:rPr>
                      <w:rFonts w:eastAsia="仿宋_GB2312"/>
                    </w:rPr>
                  </w:pPr>
                  <w:r>
                    <w:rPr>
                      <w:rFonts w:eastAsia="仿宋_GB2312"/>
                    </w:rPr>
                    <w:t>202</w:t>
                  </w:r>
                  <w:r>
                    <w:rPr>
                      <w:rFonts w:hint="eastAsia" w:eastAsia="仿宋_GB2312"/>
                    </w:rPr>
                    <w:t>5</w:t>
                  </w:r>
                  <w:r>
                    <w:rPr>
                      <w:rFonts w:eastAsia="仿宋_GB2312"/>
                    </w:rPr>
                    <w:t>.</w:t>
                  </w:r>
                  <w:r>
                    <w:rPr>
                      <w:rFonts w:hint="eastAsia" w:eastAsia="仿宋_GB2312"/>
                    </w:rPr>
                    <w:t>3</w:t>
                  </w:r>
                  <w:r>
                    <w:rPr>
                      <w:rFonts w:eastAsia="仿宋_GB2312"/>
                    </w:rPr>
                    <w:t>.</w:t>
                  </w:r>
                  <w:r>
                    <w:rPr>
                      <w:rFonts w:hint="eastAsia" w:eastAsia="仿宋_GB2312"/>
                    </w:rPr>
                    <w:t>26</w:t>
                  </w:r>
                </w:p>
              </w:tc>
              <w:tc>
                <w:tcPr>
                  <w:tcW w:w="1006" w:type="pct"/>
                  <w:vMerge w:val="restart"/>
                  <w:tcBorders>
                    <w:tl2br w:val="nil"/>
                    <w:tr2bl w:val="nil"/>
                  </w:tcBorders>
                  <w:noWrap/>
                  <w:vAlign w:val="center"/>
                </w:tcPr>
                <w:p w14:paraId="66E1D4F5">
                  <w:pPr>
                    <w:pStyle w:val="17"/>
                    <w:numPr>
                      <w:ilvl w:val="0"/>
                      <w:numId w:val="0"/>
                    </w:numPr>
                    <w:tabs>
                      <w:tab w:val="clear" w:pos="2040"/>
                    </w:tabs>
                    <w:jc w:val="center"/>
                    <w:rPr>
                      <w:rFonts w:eastAsia="仿宋_GB2312"/>
                    </w:rPr>
                  </w:pPr>
                  <w:r>
                    <w:rPr>
                      <w:rFonts w:eastAsia="仿宋_GB2312"/>
                    </w:rPr>
                    <w:t>检测单位：</w:t>
                  </w:r>
                  <w:r>
                    <w:rPr>
                      <w:rFonts w:hint="eastAsia" w:eastAsia="仿宋_GB2312"/>
                    </w:rPr>
                    <w:t>苏州华实环境技术有限公司</w:t>
                  </w:r>
                </w:p>
                <w:p w14:paraId="61BFF65C">
                  <w:pPr>
                    <w:pStyle w:val="17"/>
                    <w:numPr>
                      <w:ilvl w:val="0"/>
                      <w:numId w:val="0"/>
                    </w:numPr>
                    <w:tabs>
                      <w:tab w:val="clear" w:pos="2040"/>
                    </w:tabs>
                    <w:jc w:val="center"/>
                    <w:rPr>
                      <w:rFonts w:eastAsia="仿宋_GB2312"/>
                    </w:rPr>
                  </w:pPr>
                  <w:r>
                    <w:rPr>
                      <w:rFonts w:eastAsia="仿宋_GB2312"/>
                    </w:rPr>
                    <w:t>报告编号：</w:t>
                  </w:r>
                  <w:r>
                    <w:rPr>
                      <w:rFonts w:hint="eastAsia" w:eastAsia="仿宋_GB2312"/>
                    </w:rPr>
                    <w:t>HS25182（综）</w:t>
                  </w:r>
                </w:p>
              </w:tc>
              <w:tc>
                <w:tcPr>
                  <w:tcW w:w="482" w:type="pct"/>
                  <w:vMerge w:val="restart"/>
                  <w:tcBorders>
                    <w:tl2br w:val="nil"/>
                    <w:tr2bl w:val="nil"/>
                  </w:tcBorders>
                  <w:noWrap/>
                  <w:vAlign w:val="center"/>
                </w:tcPr>
                <w:p w14:paraId="263600C4">
                  <w:pPr>
                    <w:pStyle w:val="17"/>
                    <w:numPr>
                      <w:ilvl w:val="0"/>
                      <w:numId w:val="0"/>
                    </w:numPr>
                    <w:tabs>
                      <w:tab w:val="clear" w:pos="2040"/>
                    </w:tabs>
                    <w:jc w:val="center"/>
                    <w:rPr>
                      <w:rFonts w:eastAsia="仿宋_GB2312"/>
                    </w:rPr>
                  </w:pPr>
                  <w:r>
                    <w:rPr>
                      <w:rFonts w:hint="eastAsia" w:eastAsia="仿宋_GB2312"/>
                    </w:rPr>
                    <w:t>Q1</w:t>
                  </w:r>
                  <w:r>
                    <w:rPr>
                      <w:rFonts w:eastAsia="仿宋_GB2312"/>
                    </w:rPr>
                    <w:t>排气筒出口</w:t>
                  </w:r>
                </w:p>
              </w:tc>
              <w:tc>
                <w:tcPr>
                  <w:tcW w:w="676" w:type="pct"/>
                  <w:tcBorders>
                    <w:tl2br w:val="nil"/>
                    <w:tr2bl w:val="nil"/>
                  </w:tcBorders>
                  <w:noWrap/>
                  <w:vAlign w:val="center"/>
                </w:tcPr>
                <w:p w14:paraId="2B4BE24F">
                  <w:pPr>
                    <w:pStyle w:val="17"/>
                    <w:numPr>
                      <w:ilvl w:val="0"/>
                      <w:numId w:val="0"/>
                    </w:numPr>
                    <w:tabs>
                      <w:tab w:val="clear" w:pos="2040"/>
                    </w:tabs>
                    <w:jc w:val="center"/>
                    <w:rPr>
                      <w:rFonts w:eastAsia="仿宋_GB2312"/>
                    </w:rPr>
                  </w:pPr>
                  <w:r>
                    <w:rPr>
                      <w:rFonts w:eastAsia="仿宋_GB2312"/>
                    </w:rPr>
                    <w:t>风量（m</w:t>
                  </w:r>
                  <w:r>
                    <w:rPr>
                      <w:rFonts w:eastAsia="仿宋_GB2312"/>
                      <w:vertAlign w:val="superscript"/>
                    </w:rPr>
                    <w:t>3</w:t>
                  </w:r>
                  <w:r>
                    <w:rPr>
                      <w:rFonts w:eastAsia="仿宋_GB2312"/>
                    </w:rPr>
                    <w:t>/h）</w:t>
                  </w:r>
                </w:p>
              </w:tc>
              <w:tc>
                <w:tcPr>
                  <w:tcW w:w="1394" w:type="pct"/>
                  <w:tcBorders>
                    <w:tl2br w:val="nil"/>
                    <w:tr2bl w:val="nil"/>
                  </w:tcBorders>
                  <w:noWrap/>
                  <w:vAlign w:val="center"/>
                </w:tcPr>
                <w:p w14:paraId="5F2A0147">
                  <w:pPr>
                    <w:pStyle w:val="17"/>
                    <w:numPr>
                      <w:ilvl w:val="0"/>
                      <w:numId w:val="0"/>
                    </w:numPr>
                    <w:tabs>
                      <w:tab w:val="clear" w:pos="2040"/>
                    </w:tabs>
                    <w:jc w:val="center"/>
                    <w:rPr>
                      <w:rFonts w:eastAsia="仿宋_GB2312"/>
                    </w:rPr>
                  </w:pPr>
                  <w:r>
                    <w:rPr>
                      <w:rFonts w:hint="eastAsia" w:eastAsia="仿宋_GB2312"/>
                    </w:rPr>
                    <w:t>24133</w:t>
                  </w:r>
                </w:p>
              </w:tc>
              <w:tc>
                <w:tcPr>
                  <w:tcW w:w="678" w:type="pct"/>
                  <w:tcBorders>
                    <w:tl2br w:val="nil"/>
                    <w:tr2bl w:val="nil"/>
                  </w:tcBorders>
                  <w:noWrap/>
                  <w:vAlign w:val="center"/>
                </w:tcPr>
                <w:p w14:paraId="4176C737">
                  <w:pPr>
                    <w:pStyle w:val="17"/>
                    <w:numPr>
                      <w:ilvl w:val="0"/>
                      <w:numId w:val="0"/>
                    </w:numPr>
                    <w:tabs>
                      <w:tab w:val="clear" w:pos="2040"/>
                    </w:tabs>
                    <w:jc w:val="center"/>
                    <w:rPr>
                      <w:rFonts w:eastAsia="仿宋_GB2312"/>
                    </w:rPr>
                  </w:pPr>
                  <w:r>
                    <w:rPr>
                      <w:rFonts w:eastAsia="仿宋_GB2312"/>
                    </w:rPr>
                    <w:t>/</w:t>
                  </w:r>
                </w:p>
              </w:tc>
            </w:tr>
            <w:tr w14:paraId="1D955D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1" w:type="pct"/>
                  <w:vMerge w:val="continue"/>
                  <w:tcBorders>
                    <w:tl2br w:val="nil"/>
                    <w:tr2bl w:val="nil"/>
                  </w:tcBorders>
                  <w:noWrap/>
                  <w:vAlign w:val="center"/>
                </w:tcPr>
                <w:p w14:paraId="75AD24FA">
                  <w:pPr>
                    <w:pStyle w:val="17"/>
                    <w:numPr>
                      <w:ilvl w:val="0"/>
                      <w:numId w:val="0"/>
                    </w:numPr>
                    <w:tabs>
                      <w:tab w:val="clear" w:pos="2040"/>
                    </w:tabs>
                    <w:jc w:val="center"/>
                    <w:rPr>
                      <w:rFonts w:eastAsia="仿宋_GB2312"/>
                    </w:rPr>
                  </w:pPr>
                </w:p>
              </w:tc>
              <w:tc>
                <w:tcPr>
                  <w:tcW w:w="1006" w:type="pct"/>
                  <w:vMerge w:val="continue"/>
                  <w:tcBorders>
                    <w:tl2br w:val="nil"/>
                    <w:tr2bl w:val="nil"/>
                  </w:tcBorders>
                  <w:noWrap/>
                  <w:vAlign w:val="center"/>
                </w:tcPr>
                <w:p w14:paraId="6968D10B">
                  <w:pPr>
                    <w:pStyle w:val="17"/>
                    <w:numPr>
                      <w:ilvl w:val="0"/>
                      <w:numId w:val="0"/>
                    </w:numPr>
                    <w:tabs>
                      <w:tab w:val="clear" w:pos="2040"/>
                    </w:tabs>
                    <w:jc w:val="center"/>
                    <w:rPr>
                      <w:rFonts w:eastAsia="仿宋_GB2312"/>
                    </w:rPr>
                  </w:pPr>
                </w:p>
              </w:tc>
              <w:tc>
                <w:tcPr>
                  <w:tcW w:w="482" w:type="pct"/>
                  <w:vMerge w:val="continue"/>
                  <w:tcBorders>
                    <w:tl2br w:val="nil"/>
                    <w:tr2bl w:val="nil"/>
                  </w:tcBorders>
                  <w:noWrap/>
                  <w:vAlign w:val="center"/>
                </w:tcPr>
                <w:p w14:paraId="0E9E5C1E">
                  <w:pPr>
                    <w:pStyle w:val="17"/>
                    <w:numPr>
                      <w:ilvl w:val="0"/>
                      <w:numId w:val="0"/>
                    </w:numPr>
                    <w:tabs>
                      <w:tab w:val="clear" w:pos="2040"/>
                    </w:tabs>
                    <w:jc w:val="center"/>
                    <w:rPr>
                      <w:rFonts w:eastAsia="仿宋_GB2312"/>
                    </w:rPr>
                  </w:pPr>
                </w:p>
              </w:tc>
              <w:tc>
                <w:tcPr>
                  <w:tcW w:w="676" w:type="pct"/>
                  <w:vMerge w:val="restart"/>
                  <w:tcBorders>
                    <w:tl2br w:val="nil"/>
                    <w:tr2bl w:val="nil"/>
                  </w:tcBorders>
                  <w:noWrap/>
                  <w:vAlign w:val="center"/>
                </w:tcPr>
                <w:p w14:paraId="4B4E3882">
                  <w:pPr>
                    <w:pStyle w:val="17"/>
                    <w:numPr>
                      <w:ilvl w:val="0"/>
                      <w:numId w:val="0"/>
                    </w:numPr>
                    <w:tabs>
                      <w:tab w:val="clear" w:pos="2040"/>
                    </w:tabs>
                    <w:jc w:val="center"/>
                    <w:rPr>
                      <w:rFonts w:eastAsia="仿宋_GB2312"/>
                    </w:rPr>
                  </w:pPr>
                  <w:r>
                    <w:rPr>
                      <w:rFonts w:eastAsia="仿宋_GB2312"/>
                    </w:rPr>
                    <w:t>颗粒物</w:t>
                  </w:r>
                </w:p>
              </w:tc>
              <w:tc>
                <w:tcPr>
                  <w:tcW w:w="1394" w:type="pct"/>
                  <w:tcBorders>
                    <w:tl2br w:val="nil"/>
                    <w:tr2bl w:val="nil"/>
                  </w:tcBorders>
                  <w:noWrap/>
                  <w:vAlign w:val="center"/>
                </w:tcPr>
                <w:p w14:paraId="759FFF8E">
                  <w:pPr>
                    <w:pStyle w:val="17"/>
                    <w:numPr>
                      <w:ilvl w:val="0"/>
                      <w:numId w:val="0"/>
                    </w:numPr>
                    <w:tabs>
                      <w:tab w:val="clear" w:pos="2040"/>
                    </w:tabs>
                    <w:jc w:val="center"/>
                    <w:rPr>
                      <w:rFonts w:eastAsia="仿宋_GB2312"/>
                    </w:rPr>
                  </w:pPr>
                  <w:r>
                    <w:rPr>
                      <w:rFonts w:eastAsia="仿宋_GB2312"/>
                    </w:rPr>
                    <w:t>排放浓度（mg/m</w:t>
                  </w:r>
                  <w:r>
                    <w:rPr>
                      <w:rFonts w:eastAsia="仿宋_GB2312"/>
                      <w:vertAlign w:val="superscript"/>
                    </w:rPr>
                    <w:t>3</w:t>
                  </w:r>
                  <w:r>
                    <w:rPr>
                      <w:rFonts w:eastAsia="仿宋_GB2312"/>
                    </w:rPr>
                    <w:t>）</w:t>
                  </w:r>
                </w:p>
              </w:tc>
              <w:tc>
                <w:tcPr>
                  <w:tcW w:w="678" w:type="pct"/>
                  <w:tcBorders>
                    <w:tl2br w:val="nil"/>
                    <w:tr2bl w:val="nil"/>
                  </w:tcBorders>
                  <w:noWrap/>
                  <w:vAlign w:val="center"/>
                </w:tcPr>
                <w:p w14:paraId="16D04CDB">
                  <w:pPr>
                    <w:pStyle w:val="17"/>
                    <w:numPr>
                      <w:ilvl w:val="0"/>
                      <w:numId w:val="0"/>
                    </w:numPr>
                    <w:tabs>
                      <w:tab w:val="clear" w:pos="2040"/>
                    </w:tabs>
                    <w:jc w:val="center"/>
                    <w:rPr>
                      <w:rFonts w:eastAsia="仿宋_GB2312"/>
                    </w:rPr>
                  </w:pPr>
                  <w:r>
                    <w:rPr>
                      <w:rFonts w:hint="eastAsia" w:eastAsia="仿宋_GB2312"/>
                    </w:rPr>
                    <w:t>2.8</w:t>
                  </w:r>
                </w:p>
              </w:tc>
            </w:tr>
            <w:tr w14:paraId="7D4072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1" w:type="pct"/>
                  <w:vMerge w:val="continue"/>
                  <w:tcBorders>
                    <w:tl2br w:val="nil"/>
                    <w:tr2bl w:val="nil"/>
                  </w:tcBorders>
                  <w:noWrap/>
                  <w:vAlign w:val="center"/>
                </w:tcPr>
                <w:p w14:paraId="50403474">
                  <w:pPr>
                    <w:pStyle w:val="17"/>
                    <w:numPr>
                      <w:ilvl w:val="0"/>
                      <w:numId w:val="0"/>
                    </w:numPr>
                    <w:tabs>
                      <w:tab w:val="clear" w:pos="2040"/>
                    </w:tabs>
                    <w:jc w:val="center"/>
                    <w:rPr>
                      <w:rFonts w:eastAsia="仿宋_GB2312"/>
                    </w:rPr>
                  </w:pPr>
                </w:p>
              </w:tc>
              <w:tc>
                <w:tcPr>
                  <w:tcW w:w="1006" w:type="pct"/>
                  <w:vMerge w:val="continue"/>
                  <w:tcBorders>
                    <w:tl2br w:val="nil"/>
                    <w:tr2bl w:val="nil"/>
                  </w:tcBorders>
                  <w:noWrap/>
                  <w:vAlign w:val="center"/>
                </w:tcPr>
                <w:p w14:paraId="04EF99C2">
                  <w:pPr>
                    <w:pStyle w:val="17"/>
                    <w:numPr>
                      <w:ilvl w:val="0"/>
                      <w:numId w:val="0"/>
                    </w:numPr>
                    <w:tabs>
                      <w:tab w:val="clear" w:pos="2040"/>
                    </w:tabs>
                    <w:jc w:val="center"/>
                    <w:rPr>
                      <w:rFonts w:eastAsia="仿宋_GB2312"/>
                    </w:rPr>
                  </w:pPr>
                </w:p>
              </w:tc>
              <w:tc>
                <w:tcPr>
                  <w:tcW w:w="482" w:type="pct"/>
                  <w:vMerge w:val="continue"/>
                  <w:tcBorders>
                    <w:tl2br w:val="nil"/>
                    <w:tr2bl w:val="nil"/>
                  </w:tcBorders>
                  <w:noWrap/>
                  <w:vAlign w:val="center"/>
                </w:tcPr>
                <w:p w14:paraId="4BEED2B3">
                  <w:pPr>
                    <w:pStyle w:val="17"/>
                    <w:numPr>
                      <w:ilvl w:val="0"/>
                      <w:numId w:val="0"/>
                    </w:numPr>
                    <w:tabs>
                      <w:tab w:val="clear" w:pos="2040"/>
                    </w:tabs>
                    <w:jc w:val="center"/>
                    <w:rPr>
                      <w:rFonts w:eastAsia="仿宋_GB2312"/>
                    </w:rPr>
                  </w:pPr>
                </w:p>
              </w:tc>
              <w:tc>
                <w:tcPr>
                  <w:tcW w:w="676" w:type="pct"/>
                  <w:vMerge w:val="continue"/>
                  <w:tcBorders>
                    <w:tl2br w:val="nil"/>
                    <w:tr2bl w:val="nil"/>
                  </w:tcBorders>
                  <w:noWrap/>
                  <w:vAlign w:val="center"/>
                </w:tcPr>
                <w:p w14:paraId="3C11D817">
                  <w:pPr>
                    <w:pStyle w:val="17"/>
                    <w:numPr>
                      <w:ilvl w:val="0"/>
                      <w:numId w:val="0"/>
                    </w:numPr>
                    <w:tabs>
                      <w:tab w:val="clear" w:pos="2040"/>
                    </w:tabs>
                    <w:jc w:val="center"/>
                    <w:rPr>
                      <w:rFonts w:eastAsia="仿宋_GB2312"/>
                    </w:rPr>
                  </w:pPr>
                </w:p>
              </w:tc>
              <w:tc>
                <w:tcPr>
                  <w:tcW w:w="1394" w:type="pct"/>
                  <w:tcBorders>
                    <w:tl2br w:val="nil"/>
                    <w:tr2bl w:val="nil"/>
                  </w:tcBorders>
                  <w:noWrap/>
                  <w:vAlign w:val="center"/>
                </w:tcPr>
                <w:p w14:paraId="53215F9C">
                  <w:pPr>
                    <w:pStyle w:val="17"/>
                    <w:numPr>
                      <w:ilvl w:val="0"/>
                      <w:numId w:val="0"/>
                    </w:numPr>
                    <w:tabs>
                      <w:tab w:val="clear" w:pos="2040"/>
                    </w:tabs>
                    <w:jc w:val="center"/>
                    <w:rPr>
                      <w:rFonts w:eastAsia="仿宋_GB2312"/>
                    </w:rPr>
                  </w:pPr>
                  <w:r>
                    <w:rPr>
                      <w:rFonts w:eastAsia="仿宋_GB2312"/>
                    </w:rPr>
                    <w:t>排放速率（kg/h）</w:t>
                  </w:r>
                </w:p>
              </w:tc>
              <w:tc>
                <w:tcPr>
                  <w:tcW w:w="678" w:type="pct"/>
                  <w:tcBorders>
                    <w:tl2br w:val="nil"/>
                    <w:tr2bl w:val="nil"/>
                  </w:tcBorders>
                  <w:noWrap/>
                  <w:vAlign w:val="center"/>
                </w:tcPr>
                <w:p w14:paraId="3EC3BEFE">
                  <w:pPr>
                    <w:pStyle w:val="17"/>
                    <w:numPr>
                      <w:ilvl w:val="0"/>
                      <w:numId w:val="0"/>
                    </w:numPr>
                    <w:tabs>
                      <w:tab w:val="clear" w:pos="2040"/>
                    </w:tabs>
                    <w:jc w:val="center"/>
                    <w:rPr>
                      <w:rFonts w:eastAsia="仿宋_GB2312"/>
                    </w:rPr>
                  </w:pPr>
                  <w:r>
                    <w:rPr>
                      <w:rFonts w:eastAsia="仿宋_GB2312"/>
                    </w:rPr>
                    <w:t>6.</w:t>
                  </w:r>
                  <w:r>
                    <w:rPr>
                      <w:rFonts w:hint="eastAsia" w:eastAsia="仿宋_GB2312"/>
                    </w:rPr>
                    <w:t>8</w:t>
                  </w:r>
                  <w:r>
                    <w:rPr>
                      <w:rFonts w:eastAsia="仿宋_GB2312"/>
                    </w:rPr>
                    <w:t>×10</w:t>
                  </w:r>
                  <w:r>
                    <w:rPr>
                      <w:rFonts w:eastAsia="仿宋_GB2312"/>
                      <w:vertAlign w:val="superscript"/>
                    </w:rPr>
                    <w:t>-2</w:t>
                  </w:r>
                </w:p>
              </w:tc>
            </w:tr>
            <w:tr w14:paraId="120EEC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1" w:type="pct"/>
                  <w:vMerge w:val="restart"/>
                  <w:tcBorders>
                    <w:tl2br w:val="nil"/>
                    <w:tr2bl w:val="nil"/>
                  </w:tcBorders>
                  <w:noWrap/>
                  <w:vAlign w:val="center"/>
                </w:tcPr>
                <w:p w14:paraId="20254777">
                  <w:pPr>
                    <w:jc w:val="center"/>
                    <w:rPr>
                      <w:rFonts w:eastAsia="仿宋_GB2312"/>
                    </w:rPr>
                  </w:pPr>
                  <w:r>
                    <w:rPr>
                      <w:rFonts w:eastAsia="仿宋_GB2312"/>
                    </w:rPr>
                    <w:t>202</w:t>
                  </w:r>
                  <w:r>
                    <w:rPr>
                      <w:rFonts w:hint="eastAsia" w:eastAsia="仿宋_GB2312"/>
                    </w:rPr>
                    <w:t>5</w:t>
                  </w:r>
                  <w:r>
                    <w:rPr>
                      <w:rFonts w:eastAsia="仿宋_GB2312"/>
                    </w:rPr>
                    <w:t>.</w:t>
                  </w:r>
                  <w:r>
                    <w:rPr>
                      <w:rFonts w:hint="eastAsia" w:eastAsia="仿宋_GB2312"/>
                    </w:rPr>
                    <w:t>3</w:t>
                  </w:r>
                  <w:r>
                    <w:rPr>
                      <w:rFonts w:eastAsia="仿宋_GB2312"/>
                    </w:rPr>
                    <w:t>.</w:t>
                  </w:r>
                  <w:r>
                    <w:rPr>
                      <w:rFonts w:hint="eastAsia" w:eastAsia="仿宋_GB2312"/>
                    </w:rPr>
                    <w:t>26</w:t>
                  </w:r>
                </w:p>
              </w:tc>
              <w:tc>
                <w:tcPr>
                  <w:tcW w:w="1006" w:type="pct"/>
                  <w:vMerge w:val="restart"/>
                  <w:tcBorders>
                    <w:tl2br w:val="nil"/>
                    <w:tr2bl w:val="nil"/>
                  </w:tcBorders>
                  <w:noWrap/>
                  <w:vAlign w:val="center"/>
                </w:tcPr>
                <w:p w14:paraId="20DC2D03">
                  <w:pPr>
                    <w:pStyle w:val="17"/>
                    <w:numPr>
                      <w:ilvl w:val="0"/>
                      <w:numId w:val="0"/>
                    </w:numPr>
                    <w:tabs>
                      <w:tab w:val="clear" w:pos="2040"/>
                    </w:tabs>
                    <w:jc w:val="center"/>
                    <w:rPr>
                      <w:rFonts w:eastAsia="仿宋_GB2312"/>
                    </w:rPr>
                  </w:pPr>
                  <w:r>
                    <w:rPr>
                      <w:rFonts w:eastAsia="仿宋_GB2312"/>
                    </w:rPr>
                    <w:t>检测单位：</w:t>
                  </w:r>
                  <w:r>
                    <w:rPr>
                      <w:rFonts w:hint="eastAsia" w:eastAsia="仿宋_GB2312"/>
                    </w:rPr>
                    <w:t>苏州华实环境技术有限公司</w:t>
                  </w:r>
                </w:p>
                <w:p w14:paraId="2C169E2F">
                  <w:pPr>
                    <w:pStyle w:val="17"/>
                    <w:numPr>
                      <w:ilvl w:val="0"/>
                      <w:numId w:val="0"/>
                    </w:numPr>
                    <w:tabs>
                      <w:tab w:val="clear" w:pos="2040"/>
                    </w:tabs>
                    <w:jc w:val="center"/>
                    <w:rPr>
                      <w:rFonts w:eastAsia="仿宋_GB2312"/>
                    </w:rPr>
                  </w:pPr>
                  <w:r>
                    <w:rPr>
                      <w:rFonts w:eastAsia="仿宋_GB2312"/>
                    </w:rPr>
                    <w:t>报告编号：</w:t>
                  </w:r>
                  <w:r>
                    <w:rPr>
                      <w:rFonts w:hint="eastAsia" w:eastAsia="仿宋_GB2312"/>
                    </w:rPr>
                    <w:t>HS25182（综）</w:t>
                  </w:r>
                </w:p>
              </w:tc>
              <w:tc>
                <w:tcPr>
                  <w:tcW w:w="482" w:type="pct"/>
                  <w:vMerge w:val="restart"/>
                  <w:tcBorders>
                    <w:tl2br w:val="nil"/>
                    <w:tr2bl w:val="nil"/>
                  </w:tcBorders>
                  <w:noWrap/>
                  <w:vAlign w:val="center"/>
                </w:tcPr>
                <w:p w14:paraId="0A47628F">
                  <w:pPr>
                    <w:pStyle w:val="17"/>
                    <w:numPr>
                      <w:ilvl w:val="0"/>
                      <w:numId w:val="0"/>
                    </w:numPr>
                    <w:tabs>
                      <w:tab w:val="clear" w:pos="2040"/>
                    </w:tabs>
                    <w:jc w:val="center"/>
                    <w:rPr>
                      <w:rFonts w:eastAsia="仿宋_GB2312"/>
                    </w:rPr>
                  </w:pPr>
                  <w:r>
                    <w:rPr>
                      <w:rFonts w:hint="eastAsia" w:eastAsia="仿宋_GB2312"/>
                    </w:rPr>
                    <w:t>Q2</w:t>
                  </w:r>
                  <w:r>
                    <w:rPr>
                      <w:rFonts w:eastAsia="仿宋_GB2312"/>
                    </w:rPr>
                    <w:t>排气筒出口</w:t>
                  </w:r>
                </w:p>
              </w:tc>
              <w:tc>
                <w:tcPr>
                  <w:tcW w:w="676" w:type="pct"/>
                  <w:tcBorders>
                    <w:tl2br w:val="nil"/>
                    <w:tr2bl w:val="nil"/>
                  </w:tcBorders>
                  <w:noWrap/>
                  <w:vAlign w:val="center"/>
                </w:tcPr>
                <w:p w14:paraId="7E7890D7">
                  <w:pPr>
                    <w:pStyle w:val="17"/>
                    <w:numPr>
                      <w:ilvl w:val="0"/>
                      <w:numId w:val="0"/>
                    </w:numPr>
                    <w:tabs>
                      <w:tab w:val="clear" w:pos="2040"/>
                    </w:tabs>
                    <w:jc w:val="center"/>
                    <w:rPr>
                      <w:rFonts w:eastAsia="仿宋_GB2312"/>
                    </w:rPr>
                  </w:pPr>
                  <w:r>
                    <w:rPr>
                      <w:rFonts w:eastAsia="仿宋_GB2312"/>
                    </w:rPr>
                    <w:t>风量（m</w:t>
                  </w:r>
                  <w:r>
                    <w:rPr>
                      <w:rFonts w:eastAsia="仿宋_GB2312"/>
                      <w:vertAlign w:val="superscript"/>
                    </w:rPr>
                    <w:t>3</w:t>
                  </w:r>
                  <w:r>
                    <w:rPr>
                      <w:rFonts w:eastAsia="仿宋_GB2312"/>
                    </w:rPr>
                    <w:t>/h）</w:t>
                  </w:r>
                </w:p>
              </w:tc>
              <w:tc>
                <w:tcPr>
                  <w:tcW w:w="1394" w:type="pct"/>
                  <w:tcBorders>
                    <w:tl2br w:val="nil"/>
                    <w:tr2bl w:val="nil"/>
                  </w:tcBorders>
                  <w:noWrap/>
                  <w:vAlign w:val="center"/>
                </w:tcPr>
                <w:p w14:paraId="70F817A2">
                  <w:pPr>
                    <w:pStyle w:val="17"/>
                    <w:numPr>
                      <w:ilvl w:val="0"/>
                      <w:numId w:val="0"/>
                    </w:numPr>
                    <w:tabs>
                      <w:tab w:val="clear" w:pos="2040"/>
                    </w:tabs>
                    <w:jc w:val="center"/>
                    <w:rPr>
                      <w:rFonts w:eastAsia="仿宋_GB2312"/>
                    </w:rPr>
                  </w:pPr>
                  <w:r>
                    <w:rPr>
                      <w:rFonts w:hint="eastAsia" w:eastAsia="仿宋_GB2312"/>
                    </w:rPr>
                    <w:t>7428</w:t>
                  </w:r>
                </w:p>
              </w:tc>
              <w:tc>
                <w:tcPr>
                  <w:tcW w:w="678" w:type="pct"/>
                  <w:tcBorders>
                    <w:tl2br w:val="nil"/>
                    <w:tr2bl w:val="nil"/>
                  </w:tcBorders>
                  <w:noWrap/>
                  <w:vAlign w:val="center"/>
                </w:tcPr>
                <w:p w14:paraId="1DDD985E">
                  <w:pPr>
                    <w:pStyle w:val="17"/>
                    <w:numPr>
                      <w:ilvl w:val="0"/>
                      <w:numId w:val="0"/>
                    </w:numPr>
                    <w:tabs>
                      <w:tab w:val="clear" w:pos="2040"/>
                    </w:tabs>
                    <w:jc w:val="center"/>
                    <w:rPr>
                      <w:rFonts w:eastAsia="仿宋_GB2312"/>
                    </w:rPr>
                  </w:pPr>
                  <w:r>
                    <w:rPr>
                      <w:rFonts w:eastAsia="仿宋_GB2312"/>
                    </w:rPr>
                    <w:t>/</w:t>
                  </w:r>
                </w:p>
              </w:tc>
            </w:tr>
            <w:tr w14:paraId="227ADA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1" w:type="pct"/>
                  <w:vMerge w:val="continue"/>
                  <w:tcBorders>
                    <w:tl2br w:val="nil"/>
                    <w:tr2bl w:val="nil"/>
                  </w:tcBorders>
                  <w:noWrap/>
                  <w:vAlign w:val="center"/>
                </w:tcPr>
                <w:p w14:paraId="732B35F8">
                  <w:pPr>
                    <w:pStyle w:val="17"/>
                    <w:numPr>
                      <w:ilvl w:val="0"/>
                      <w:numId w:val="0"/>
                    </w:numPr>
                    <w:tabs>
                      <w:tab w:val="clear" w:pos="2040"/>
                    </w:tabs>
                    <w:jc w:val="center"/>
                    <w:rPr>
                      <w:rFonts w:eastAsia="仿宋_GB2312"/>
                    </w:rPr>
                  </w:pPr>
                </w:p>
              </w:tc>
              <w:tc>
                <w:tcPr>
                  <w:tcW w:w="1006" w:type="pct"/>
                  <w:vMerge w:val="continue"/>
                  <w:tcBorders>
                    <w:tl2br w:val="nil"/>
                    <w:tr2bl w:val="nil"/>
                  </w:tcBorders>
                  <w:noWrap/>
                  <w:vAlign w:val="center"/>
                </w:tcPr>
                <w:p w14:paraId="6C6F8A36">
                  <w:pPr>
                    <w:pStyle w:val="17"/>
                    <w:numPr>
                      <w:ilvl w:val="0"/>
                      <w:numId w:val="0"/>
                    </w:numPr>
                    <w:tabs>
                      <w:tab w:val="clear" w:pos="2040"/>
                    </w:tabs>
                    <w:jc w:val="center"/>
                    <w:rPr>
                      <w:rFonts w:eastAsia="仿宋_GB2312"/>
                    </w:rPr>
                  </w:pPr>
                </w:p>
              </w:tc>
              <w:tc>
                <w:tcPr>
                  <w:tcW w:w="482" w:type="pct"/>
                  <w:vMerge w:val="continue"/>
                  <w:tcBorders>
                    <w:tl2br w:val="nil"/>
                    <w:tr2bl w:val="nil"/>
                  </w:tcBorders>
                  <w:noWrap/>
                  <w:vAlign w:val="center"/>
                </w:tcPr>
                <w:p w14:paraId="265078AD">
                  <w:pPr>
                    <w:pStyle w:val="17"/>
                    <w:numPr>
                      <w:ilvl w:val="0"/>
                      <w:numId w:val="0"/>
                    </w:numPr>
                    <w:tabs>
                      <w:tab w:val="clear" w:pos="2040"/>
                    </w:tabs>
                    <w:jc w:val="center"/>
                    <w:rPr>
                      <w:rFonts w:eastAsia="仿宋_GB2312"/>
                    </w:rPr>
                  </w:pPr>
                </w:p>
              </w:tc>
              <w:tc>
                <w:tcPr>
                  <w:tcW w:w="676" w:type="pct"/>
                  <w:vMerge w:val="restart"/>
                  <w:tcBorders>
                    <w:tl2br w:val="nil"/>
                    <w:tr2bl w:val="nil"/>
                  </w:tcBorders>
                  <w:noWrap/>
                  <w:vAlign w:val="center"/>
                </w:tcPr>
                <w:p w14:paraId="7738FEBD">
                  <w:pPr>
                    <w:pStyle w:val="17"/>
                    <w:numPr>
                      <w:ilvl w:val="0"/>
                      <w:numId w:val="0"/>
                    </w:numPr>
                    <w:tabs>
                      <w:tab w:val="clear" w:pos="2040"/>
                    </w:tabs>
                    <w:jc w:val="center"/>
                    <w:rPr>
                      <w:rFonts w:eastAsia="仿宋_GB2312"/>
                    </w:rPr>
                  </w:pPr>
                  <w:r>
                    <w:rPr>
                      <w:rFonts w:eastAsia="仿宋_GB2312"/>
                    </w:rPr>
                    <w:t>颗粒物</w:t>
                  </w:r>
                </w:p>
              </w:tc>
              <w:tc>
                <w:tcPr>
                  <w:tcW w:w="1394" w:type="pct"/>
                  <w:tcBorders>
                    <w:tl2br w:val="nil"/>
                    <w:tr2bl w:val="nil"/>
                  </w:tcBorders>
                  <w:noWrap/>
                  <w:vAlign w:val="center"/>
                </w:tcPr>
                <w:p w14:paraId="16F3E415">
                  <w:pPr>
                    <w:pStyle w:val="17"/>
                    <w:numPr>
                      <w:ilvl w:val="0"/>
                      <w:numId w:val="0"/>
                    </w:numPr>
                    <w:tabs>
                      <w:tab w:val="clear" w:pos="2040"/>
                    </w:tabs>
                    <w:jc w:val="center"/>
                    <w:rPr>
                      <w:rFonts w:eastAsia="仿宋_GB2312"/>
                    </w:rPr>
                  </w:pPr>
                  <w:r>
                    <w:rPr>
                      <w:rFonts w:eastAsia="仿宋_GB2312"/>
                    </w:rPr>
                    <w:t>排放浓度（mg/m</w:t>
                  </w:r>
                  <w:r>
                    <w:rPr>
                      <w:rFonts w:eastAsia="仿宋_GB2312"/>
                      <w:vertAlign w:val="superscript"/>
                    </w:rPr>
                    <w:t>3</w:t>
                  </w:r>
                  <w:r>
                    <w:rPr>
                      <w:rFonts w:eastAsia="仿宋_GB2312"/>
                    </w:rPr>
                    <w:t>）</w:t>
                  </w:r>
                </w:p>
              </w:tc>
              <w:tc>
                <w:tcPr>
                  <w:tcW w:w="678" w:type="pct"/>
                  <w:tcBorders>
                    <w:tl2br w:val="nil"/>
                    <w:tr2bl w:val="nil"/>
                  </w:tcBorders>
                  <w:noWrap/>
                  <w:vAlign w:val="center"/>
                </w:tcPr>
                <w:p w14:paraId="49AEAC24">
                  <w:pPr>
                    <w:pStyle w:val="17"/>
                    <w:numPr>
                      <w:ilvl w:val="0"/>
                      <w:numId w:val="0"/>
                    </w:numPr>
                    <w:tabs>
                      <w:tab w:val="clear" w:pos="2040"/>
                    </w:tabs>
                    <w:jc w:val="center"/>
                    <w:rPr>
                      <w:rFonts w:eastAsia="仿宋_GB2312"/>
                    </w:rPr>
                  </w:pPr>
                  <w:r>
                    <w:rPr>
                      <w:rFonts w:hint="eastAsia" w:eastAsia="仿宋_GB2312"/>
                    </w:rPr>
                    <w:t>2.1</w:t>
                  </w:r>
                </w:p>
              </w:tc>
            </w:tr>
            <w:tr w14:paraId="49D77D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1" w:type="pct"/>
                  <w:vMerge w:val="continue"/>
                  <w:tcBorders>
                    <w:tl2br w:val="nil"/>
                    <w:tr2bl w:val="nil"/>
                  </w:tcBorders>
                  <w:noWrap/>
                  <w:vAlign w:val="center"/>
                </w:tcPr>
                <w:p w14:paraId="4FA937FE">
                  <w:pPr>
                    <w:pStyle w:val="17"/>
                    <w:numPr>
                      <w:ilvl w:val="0"/>
                      <w:numId w:val="0"/>
                    </w:numPr>
                    <w:tabs>
                      <w:tab w:val="clear" w:pos="2040"/>
                    </w:tabs>
                    <w:jc w:val="center"/>
                    <w:rPr>
                      <w:rFonts w:eastAsia="仿宋_GB2312"/>
                    </w:rPr>
                  </w:pPr>
                </w:p>
              </w:tc>
              <w:tc>
                <w:tcPr>
                  <w:tcW w:w="1006" w:type="pct"/>
                  <w:vMerge w:val="continue"/>
                  <w:tcBorders>
                    <w:tl2br w:val="nil"/>
                    <w:tr2bl w:val="nil"/>
                  </w:tcBorders>
                  <w:noWrap/>
                  <w:vAlign w:val="center"/>
                </w:tcPr>
                <w:p w14:paraId="11C3A7B8">
                  <w:pPr>
                    <w:pStyle w:val="17"/>
                    <w:numPr>
                      <w:ilvl w:val="0"/>
                      <w:numId w:val="0"/>
                    </w:numPr>
                    <w:tabs>
                      <w:tab w:val="clear" w:pos="2040"/>
                    </w:tabs>
                    <w:jc w:val="center"/>
                    <w:rPr>
                      <w:rFonts w:eastAsia="仿宋_GB2312"/>
                    </w:rPr>
                  </w:pPr>
                </w:p>
              </w:tc>
              <w:tc>
                <w:tcPr>
                  <w:tcW w:w="482" w:type="pct"/>
                  <w:vMerge w:val="continue"/>
                  <w:tcBorders>
                    <w:tl2br w:val="nil"/>
                    <w:tr2bl w:val="nil"/>
                  </w:tcBorders>
                  <w:noWrap/>
                  <w:vAlign w:val="center"/>
                </w:tcPr>
                <w:p w14:paraId="01F49695">
                  <w:pPr>
                    <w:pStyle w:val="17"/>
                    <w:numPr>
                      <w:ilvl w:val="0"/>
                      <w:numId w:val="0"/>
                    </w:numPr>
                    <w:tabs>
                      <w:tab w:val="clear" w:pos="2040"/>
                    </w:tabs>
                    <w:jc w:val="center"/>
                    <w:rPr>
                      <w:rFonts w:eastAsia="仿宋_GB2312"/>
                    </w:rPr>
                  </w:pPr>
                </w:p>
              </w:tc>
              <w:tc>
                <w:tcPr>
                  <w:tcW w:w="676" w:type="pct"/>
                  <w:vMerge w:val="continue"/>
                  <w:tcBorders>
                    <w:tl2br w:val="nil"/>
                    <w:tr2bl w:val="nil"/>
                  </w:tcBorders>
                  <w:noWrap/>
                  <w:vAlign w:val="center"/>
                </w:tcPr>
                <w:p w14:paraId="1450AEC5">
                  <w:pPr>
                    <w:pStyle w:val="17"/>
                    <w:numPr>
                      <w:ilvl w:val="0"/>
                      <w:numId w:val="0"/>
                    </w:numPr>
                    <w:tabs>
                      <w:tab w:val="clear" w:pos="2040"/>
                    </w:tabs>
                    <w:jc w:val="center"/>
                    <w:rPr>
                      <w:rFonts w:eastAsia="仿宋_GB2312"/>
                    </w:rPr>
                  </w:pPr>
                </w:p>
              </w:tc>
              <w:tc>
                <w:tcPr>
                  <w:tcW w:w="1394" w:type="pct"/>
                  <w:tcBorders>
                    <w:tl2br w:val="nil"/>
                    <w:tr2bl w:val="nil"/>
                  </w:tcBorders>
                  <w:noWrap/>
                  <w:vAlign w:val="center"/>
                </w:tcPr>
                <w:p w14:paraId="1A1FEDD5">
                  <w:pPr>
                    <w:pStyle w:val="17"/>
                    <w:numPr>
                      <w:ilvl w:val="0"/>
                      <w:numId w:val="0"/>
                    </w:numPr>
                    <w:tabs>
                      <w:tab w:val="clear" w:pos="2040"/>
                    </w:tabs>
                    <w:jc w:val="center"/>
                    <w:rPr>
                      <w:rFonts w:eastAsia="仿宋_GB2312"/>
                    </w:rPr>
                  </w:pPr>
                  <w:r>
                    <w:rPr>
                      <w:rFonts w:eastAsia="仿宋_GB2312"/>
                    </w:rPr>
                    <w:t>排放速率（kg/h）</w:t>
                  </w:r>
                </w:p>
              </w:tc>
              <w:tc>
                <w:tcPr>
                  <w:tcW w:w="678" w:type="pct"/>
                  <w:tcBorders>
                    <w:tl2br w:val="nil"/>
                    <w:tr2bl w:val="nil"/>
                  </w:tcBorders>
                  <w:noWrap/>
                  <w:vAlign w:val="center"/>
                </w:tcPr>
                <w:p w14:paraId="07C28E71">
                  <w:pPr>
                    <w:pStyle w:val="17"/>
                    <w:numPr>
                      <w:ilvl w:val="0"/>
                      <w:numId w:val="0"/>
                    </w:numPr>
                    <w:tabs>
                      <w:tab w:val="clear" w:pos="2040"/>
                    </w:tabs>
                    <w:jc w:val="center"/>
                    <w:rPr>
                      <w:rFonts w:eastAsia="仿宋_GB2312"/>
                    </w:rPr>
                  </w:pPr>
                  <w:r>
                    <w:rPr>
                      <w:rFonts w:hint="eastAsia" w:eastAsia="仿宋_GB2312"/>
                    </w:rPr>
                    <w:t>1.6</w:t>
                  </w:r>
                  <w:r>
                    <w:rPr>
                      <w:rFonts w:eastAsia="仿宋_GB2312"/>
                    </w:rPr>
                    <w:t>×10</w:t>
                  </w:r>
                  <w:r>
                    <w:rPr>
                      <w:rFonts w:eastAsia="仿宋_GB2312"/>
                      <w:vertAlign w:val="superscript"/>
                    </w:rPr>
                    <w:t>-2</w:t>
                  </w:r>
                </w:p>
              </w:tc>
            </w:tr>
            <w:tr w14:paraId="4994E3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1" w:type="pct"/>
                  <w:vMerge w:val="restart"/>
                  <w:tcBorders>
                    <w:tl2br w:val="nil"/>
                    <w:tr2bl w:val="nil"/>
                  </w:tcBorders>
                  <w:shd w:val="clear" w:color="auto" w:fill="auto"/>
                  <w:noWrap/>
                  <w:vAlign w:val="center"/>
                </w:tcPr>
                <w:p w14:paraId="4CC30D96">
                  <w:pPr>
                    <w:jc w:val="center"/>
                    <w:rPr>
                      <w:rFonts w:eastAsia="仿宋_GB2312"/>
                    </w:rPr>
                  </w:pPr>
                  <w:r>
                    <w:rPr>
                      <w:rFonts w:eastAsia="仿宋_GB2312"/>
                    </w:rPr>
                    <w:t>202</w:t>
                  </w:r>
                  <w:r>
                    <w:rPr>
                      <w:rFonts w:hint="eastAsia" w:eastAsia="仿宋_GB2312"/>
                    </w:rPr>
                    <w:t>5</w:t>
                  </w:r>
                  <w:r>
                    <w:rPr>
                      <w:rFonts w:eastAsia="仿宋_GB2312"/>
                    </w:rPr>
                    <w:t>.</w:t>
                  </w:r>
                  <w:r>
                    <w:rPr>
                      <w:rFonts w:hint="eastAsia" w:eastAsia="仿宋_GB2312"/>
                    </w:rPr>
                    <w:t>3</w:t>
                  </w:r>
                  <w:r>
                    <w:rPr>
                      <w:rFonts w:eastAsia="仿宋_GB2312"/>
                    </w:rPr>
                    <w:t>.</w:t>
                  </w:r>
                  <w:r>
                    <w:rPr>
                      <w:rFonts w:hint="eastAsia" w:eastAsia="仿宋_GB2312"/>
                    </w:rPr>
                    <w:t>27</w:t>
                  </w:r>
                </w:p>
              </w:tc>
              <w:tc>
                <w:tcPr>
                  <w:tcW w:w="1006" w:type="pct"/>
                  <w:vMerge w:val="restart"/>
                  <w:tcBorders>
                    <w:tl2br w:val="nil"/>
                    <w:tr2bl w:val="nil"/>
                  </w:tcBorders>
                  <w:shd w:val="clear" w:color="auto" w:fill="auto"/>
                  <w:noWrap/>
                  <w:vAlign w:val="center"/>
                </w:tcPr>
                <w:p w14:paraId="1412F1A4">
                  <w:pPr>
                    <w:pStyle w:val="17"/>
                    <w:numPr>
                      <w:ilvl w:val="0"/>
                      <w:numId w:val="0"/>
                    </w:numPr>
                    <w:tabs>
                      <w:tab w:val="clear" w:pos="2040"/>
                    </w:tabs>
                    <w:jc w:val="center"/>
                    <w:rPr>
                      <w:rFonts w:eastAsia="仿宋_GB2312"/>
                    </w:rPr>
                  </w:pPr>
                  <w:r>
                    <w:rPr>
                      <w:rFonts w:eastAsia="仿宋_GB2312"/>
                    </w:rPr>
                    <w:t>检测单位：</w:t>
                  </w:r>
                  <w:r>
                    <w:rPr>
                      <w:rFonts w:hint="eastAsia" w:eastAsia="仿宋_GB2312"/>
                    </w:rPr>
                    <w:t>苏州华实环境技术有限公司</w:t>
                  </w:r>
                </w:p>
                <w:p w14:paraId="6BCE0B73">
                  <w:pPr>
                    <w:pStyle w:val="17"/>
                    <w:numPr>
                      <w:ilvl w:val="0"/>
                      <w:numId w:val="0"/>
                    </w:numPr>
                    <w:tabs>
                      <w:tab w:val="clear" w:pos="2040"/>
                    </w:tabs>
                    <w:jc w:val="center"/>
                    <w:rPr>
                      <w:rFonts w:eastAsia="仿宋_GB2312"/>
                    </w:rPr>
                  </w:pPr>
                  <w:r>
                    <w:rPr>
                      <w:rFonts w:eastAsia="仿宋_GB2312"/>
                    </w:rPr>
                    <w:t>报告编号：</w:t>
                  </w:r>
                  <w:r>
                    <w:rPr>
                      <w:rFonts w:hint="eastAsia" w:eastAsia="仿宋_GB2312"/>
                    </w:rPr>
                    <w:t>HS25182（综）</w:t>
                  </w:r>
                </w:p>
              </w:tc>
              <w:tc>
                <w:tcPr>
                  <w:tcW w:w="482" w:type="pct"/>
                  <w:vMerge w:val="restart"/>
                  <w:tcBorders>
                    <w:tl2br w:val="nil"/>
                    <w:tr2bl w:val="nil"/>
                  </w:tcBorders>
                  <w:shd w:val="clear" w:color="auto" w:fill="auto"/>
                  <w:noWrap/>
                  <w:vAlign w:val="center"/>
                </w:tcPr>
                <w:p w14:paraId="113C94B8">
                  <w:pPr>
                    <w:pStyle w:val="17"/>
                    <w:numPr>
                      <w:ilvl w:val="0"/>
                      <w:numId w:val="0"/>
                    </w:numPr>
                    <w:tabs>
                      <w:tab w:val="clear" w:pos="2040"/>
                    </w:tabs>
                    <w:jc w:val="center"/>
                    <w:rPr>
                      <w:rFonts w:eastAsia="仿宋_GB2312"/>
                    </w:rPr>
                  </w:pPr>
                  <w:r>
                    <w:rPr>
                      <w:rFonts w:hint="eastAsia" w:eastAsia="仿宋_GB2312"/>
                    </w:rPr>
                    <w:t>Q3</w:t>
                  </w:r>
                  <w:r>
                    <w:rPr>
                      <w:rFonts w:eastAsia="仿宋_GB2312"/>
                    </w:rPr>
                    <w:t>排气筒出口</w:t>
                  </w:r>
                </w:p>
              </w:tc>
              <w:tc>
                <w:tcPr>
                  <w:tcW w:w="676" w:type="pct"/>
                  <w:tcBorders>
                    <w:tl2br w:val="nil"/>
                    <w:tr2bl w:val="nil"/>
                  </w:tcBorders>
                  <w:shd w:val="clear" w:color="auto" w:fill="auto"/>
                  <w:noWrap/>
                  <w:vAlign w:val="center"/>
                </w:tcPr>
                <w:p w14:paraId="29491D95">
                  <w:pPr>
                    <w:pStyle w:val="17"/>
                    <w:numPr>
                      <w:ilvl w:val="0"/>
                      <w:numId w:val="0"/>
                    </w:numPr>
                    <w:tabs>
                      <w:tab w:val="clear" w:pos="2040"/>
                    </w:tabs>
                    <w:jc w:val="center"/>
                    <w:rPr>
                      <w:rFonts w:eastAsia="仿宋_GB2312"/>
                    </w:rPr>
                  </w:pPr>
                  <w:r>
                    <w:rPr>
                      <w:rFonts w:eastAsia="仿宋_GB2312"/>
                    </w:rPr>
                    <w:t>风量（m</w:t>
                  </w:r>
                  <w:r>
                    <w:rPr>
                      <w:rFonts w:eastAsia="仿宋_GB2312"/>
                      <w:vertAlign w:val="superscript"/>
                    </w:rPr>
                    <w:t>3</w:t>
                  </w:r>
                  <w:r>
                    <w:rPr>
                      <w:rFonts w:eastAsia="仿宋_GB2312"/>
                    </w:rPr>
                    <w:t>/h）</w:t>
                  </w:r>
                </w:p>
              </w:tc>
              <w:tc>
                <w:tcPr>
                  <w:tcW w:w="1394" w:type="pct"/>
                  <w:tcBorders>
                    <w:tl2br w:val="nil"/>
                    <w:tr2bl w:val="nil"/>
                  </w:tcBorders>
                  <w:shd w:val="clear" w:color="auto" w:fill="auto"/>
                  <w:noWrap/>
                  <w:vAlign w:val="center"/>
                </w:tcPr>
                <w:p w14:paraId="02525742">
                  <w:pPr>
                    <w:pStyle w:val="17"/>
                    <w:numPr>
                      <w:ilvl w:val="0"/>
                      <w:numId w:val="0"/>
                    </w:numPr>
                    <w:tabs>
                      <w:tab w:val="clear" w:pos="2040"/>
                    </w:tabs>
                    <w:jc w:val="center"/>
                    <w:rPr>
                      <w:rFonts w:eastAsia="仿宋_GB2312"/>
                    </w:rPr>
                  </w:pPr>
                  <w:r>
                    <w:rPr>
                      <w:rFonts w:hint="eastAsia" w:eastAsia="仿宋_GB2312"/>
                    </w:rPr>
                    <w:t>29287</w:t>
                  </w:r>
                </w:p>
              </w:tc>
              <w:tc>
                <w:tcPr>
                  <w:tcW w:w="678" w:type="pct"/>
                  <w:tcBorders>
                    <w:tl2br w:val="nil"/>
                    <w:tr2bl w:val="nil"/>
                  </w:tcBorders>
                  <w:shd w:val="clear" w:color="auto" w:fill="auto"/>
                  <w:noWrap/>
                  <w:vAlign w:val="center"/>
                </w:tcPr>
                <w:p w14:paraId="14F9A21B">
                  <w:pPr>
                    <w:pStyle w:val="17"/>
                    <w:numPr>
                      <w:ilvl w:val="0"/>
                      <w:numId w:val="0"/>
                    </w:numPr>
                    <w:tabs>
                      <w:tab w:val="clear" w:pos="2040"/>
                    </w:tabs>
                    <w:jc w:val="center"/>
                    <w:rPr>
                      <w:rFonts w:eastAsia="仿宋_GB2312"/>
                    </w:rPr>
                  </w:pPr>
                  <w:r>
                    <w:rPr>
                      <w:rFonts w:eastAsia="仿宋_GB2312"/>
                    </w:rPr>
                    <w:t>/</w:t>
                  </w:r>
                </w:p>
              </w:tc>
            </w:tr>
            <w:tr w14:paraId="311253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1" w:type="pct"/>
                  <w:vMerge w:val="continue"/>
                  <w:tcBorders>
                    <w:tl2br w:val="nil"/>
                    <w:tr2bl w:val="nil"/>
                  </w:tcBorders>
                  <w:noWrap/>
                  <w:vAlign w:val="center"/>
                </w:tcPr>
                <w:p w14:paraId="3D9EA380">
                  <w:pPr>
                    <w:pStyle w:val="17"/>
                    <w:numPr>
                      <w:ilvl w:val="0"/>
                      <w:numId w:val="0"/>
                    </w:numPr>
                    <w:tabs>
                      <w:tab w:val="clear" w:pos="2040"/>
                    </w:tabs>
                    <w:jc w:val="center"/>
                    <w:rPr>
                      <w:rFonts w:eastAsia="仿宋_GB2312"/>
                    </w:rPr>
                  </w:pPr>
                </w:p>
              </w:tc>
              <w:tc>
                <w:tcPr>
                  <w:tcW w:w="1006" w:type="pct"/>
                  <w:vMerge w:val="continue"/>
                  <w:tcBorders>
                    <w:tl2br w:val="nil"/>
                    <w:tr2bl w:val="nil"/>
                  </w:tcBorders>
                  <w:noWrap/>
                  <w:vAlign w:val="center"/>
                </w:tcPr>
                <w:p w14:paraId="297547C2">
                  <w:pPr>
                    <w:pStyle w:val="17"/>
                    <w:numPr>
                      <w:ilvl w:val="0"/>
                      <w:numId w:val="0"/>
                    </w:numPr>
                    <w:tabs>
                      <w:tab w:val="clear" w:pos="2040"/>
                    </w:tabs>
                    <w:jc w:val="center"/>
                    <w:rPr>
                      <w:rFonts w:eastAsia="仿宋_GB2312"/>
                    </w:rPr>
                  </w:pPr>
                </w:p>
              </w:tc>
              <w:tc>
                <w:tcPr>
                  <w:tcW w:w="482" w:type="pct"/>
                  <w:vMerge w:val="continue"/>
                  <w:tcBorders>
                    <w:tl2br w:val="nil"/>
                    <w:tr2bl w:val="nil"/>
                  </w:tcBorders>
                  <w:noWrap/>
                  <w:vAlign w:val="center"/>
                </w:tcPr>
                <w:p w14:paraId="50E74C86">
                  <w:pPr>
                    <w:pStyle w:val="17"/>
                    <w:numPr>
                      <w:ilvl w:val="0"/>
                      <w:numId w:val="0"/>
                    </w:numPr>
                    <w:tabs>
                      <w:tab w:val="clear" w:pos="2040"/>
                    </w:tabs>
                    <w:jc w:val="center"/>
                    <w:rPr>
                      <w:rFonts w:eastAsia="仿宋_GB2312"/>
                    </w:rPr>
                  </w:pPr>
                </w:p>
              </w:tc>
              <w:tc>
                <w:tcPr>
                  <w:tcW w:w="676" w:type="pct"/>
                  <w:vMerge w:val="restart"/>
                  <w:tcBorders>
                    <w:tl2br w:val="nil"/>
                    <w:tr2bl w:val="nil"/>
                  </w:tcBorders>
                  <w:shd w:val="clear" w:color="auto" w:fill="auto"/>
                  <w:noWrap/>
                  <w:vAlign w:val="center"/>
                </w:tcPr>
                <w:p w14:paraId="22C1CDE0">
                  <w:pPr>
                    <w:pStyle w:val="17"/>
                    <w:numPr>
                      <w:ilvl w:val="0"/>
                      <w:numId w:val="0"/>
                    </w:numPr>
                    <w:tabs>
                      <w:tab w:val="clear" w:pos="2040"/>
                    </w:tabs>
                    <w:jc w:val="center"/>
                    <w:rPr>
                      <w:rFonts w:eastAsia="仿宋_GB2312"/>
                    </w:rPr>
                  </w:pPr>
                  <w:r>
                    <w:rPr>
                      <w:rFonts w:eastAsia="仿宋_GB2312"/>
                    </w:rPr>
                    <w:t>颗粒物</w:t>
                  </w:r>
                </w:p>
              </w:tc>
              <w:tc>
                <w:tcPr>
                  <w:tcW w:w="1394" w:type="pct"/>
                  <w:tcBorders>
                    <w:tl2br w:val="nil"/>
                    <w:tr2bl w:val="nil"/>
                  </w:tcBorders>
                  <w:shd w:val="clear" w:color="auto" w:fill="auto"/>
                  <w:noWrap/>
                  <w:vAlign w:val="center"/>
                </w:tcPr>
                <w:p w14:paraId="13C84CEE">
                  <w:pPr>
                    <w:pStyle w:val="17"/>
                    <w:numPr>
                      <w:ilvl w:val="0"/>
                      <w:numId w:val="0"/>
                    </w:numPr>
                    <w:tabs>
                      <w:tab w:val="clear" w:pos="2040"/>
                    </w:tabs>
                    <w:jc w:val="center"/>
                    <w:rPr>
                      <w:rFonts w:eastAsia="仿宋_GB2312"/>
                    </w:rPr>
                  </w:pPr>
                  <w:r>
                    <w:rPr>
                      <w:rFonts w:eastAsia="仿宋_GB2312"/>
                    </w:rPr>
                    <w:t>排放浓度（mg/m</w:t>
                  </w:r>
                  <w:r>
                    <w:rPr>
                      <w:rFonts w:eastAsia="仿宋_GB2312"/>
                      <w:vertAlign w:val="superscript"/>
                    </w:rPr>
                    <w:t>3</w:t>
                  </w:r>
                  <w:r>
                    <w:rPr>
                      <w:rFonts w:eastAsia="仿宋_GB2312"/>
                    </w:rPr>
                    <w:t>）</w:t>
                  </w:r>
                </w:p>
              </w:tc>
              <w:tc>
                <w:tcPr>
                  <w:tcW w:w="678" w:type="pct"/>
                  <w:tcBorders>
                    <w:tl2br w:val="nil"/>
                    <w:tr2bl w:val="nil"/>
                  </w:tcBorders>
                  <w:shd w:val="clear" w:color="auto" w:fill="auto"/>
                  <w:noWrap/>
                  <w:vAlign w:val="center"/>
                </w:tcPr>
                <w:p w14:paraId="2DBCAA6A">
                  <w:pPr>
                    <w:pStyle w:val="17"/>
                    <w:numPr>
                      <w:ilvl w:val="0"/>
                      <w:numId w:val="0"/>
                    </w:numPr>
                    <w:tabs>
                      <w:tab w:val="clear" w:pos="2040"/>
                    </w:tabs>
                    <w:jc w:val="center"/>
                    <w:rPr>
                      <w:rFonts w:eastAsia="仿宋_GB2312"/>
                    </w:rPr>
                  </w:pPr>
                  <w:r>
                    <w:rPr>
                      <w:rFonts w:hint="eastAsia" w:eastAsia="仿宋_GB2312"/>
                    </w:rPr>
                    <w:t>1.5</w:t>
                  </w:r>
                </w:p>
              </w:tc>
            </w:tr>
            <w:tr w14:paraId="714168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1" w:type="pct"/>
                  <w:vMerge w:val="continue"/>
                  <w:tcBorders>
                    <w:tl2br w:val="nil"/>
                    <w:tr2bl w:val="nil"/>
                  </w:tcBorders>
                  <w:noWrap/>
                  <w:vAlign w:val="center"/>
                </w:tcPr>
                <w:p w14:paraId="4B3BFD0E">
                  <w:pPr>
                    <w:pStyle w:val="17"/>
                    <w:numPr>
                      <w:ilvl w:val="0"/>
                      <w:numId w:val="0"/>
                    </w:numPr>
                    <w:tabs>
                      <w:tab w:val="clear" w:pos="2040"/>
                    </w:tabs>
                    <w:jc w:val="center"/>
                    <w:rPr>
                      <w:rFonts w:eastAsia="仿宋_GB2312"/>
                    </w:rPr>
                  </w:pPr>
                </w:p>
              </w:tc>
              <w:tc>
                <w:tcPr>
                  <w:tcW w:w="1006" w:type="pct"/>
                  <w:vMerge w:val="continue"/>
                  <w:tcBorders>
                    <w:tl2br w:val="nil"/>
                    <w:tr2bl w:val="nil"/>
                  </w:tcBorders>
                  <w:noWrap/>
                  <w:vAlign w:val="center"/>
                </w:tcPr>
                <w:p w14:paraId="6D3A846E">
                  <w:pPr>
                    <w:pStyle w:val="17"/>
                    <w:numPr>
                      <w:ilvl w:val="0"/>
                      <w:numId w:val="0"/>
                    </w:numPr>
                    <w:tabs>
                      <w:tab w:val="clear" w:pos="2040"/>
                    </w:tabs>
                    <w:jc w:val="center"/>
                    <w:rPr>
                      <w:rFonts w:eastAsia="仿宋_GB2312"/>
                    </w:rPr>
                  </w:pPr>
                </w:p>
              </w:tc>
              <w:tc>
                <w:tcPr>
                  <w:tcW w:w="482" w:type="pct"/>
                  <w:vMerge w:val="continue"/>
                  <w:tcBorders>
                    <w:tl2br w:val="nil"/>
                    <w:tr2bl w:val="nil"/>
                  </w:tcBorders>
                  <w:noWrap/>
                  <w:vAlign w:val="center"/>
                </w:tcPr>
                <w:p w14:paraId="54CEA012">
                  <w:pPr>
                    <w:pStyle w:val="17"/>
                    <w:numPr>
                      <w:ilvl w:val="0"/>
                      <w:numId w:val="0"/>
                    </w:numPr>
                    <w:tabs>
                      <w:tab w:val="clear" w:pos="2040"/>
                    </w:tabs>
                    <w:jc w:val="center"/>
                    <w:rPr>
                      <w:rFonts w:eastAsia="仿宋_GB2312"/>
                    </w:rPr>
                  </w:pPr>
                </w:p>
              </w:tc>
              <w:tc>
                <w:tcPr>
                  <w:tcW w:w="676" w:type="pct"/>
                  <w:vMerge w:val="continue"/>
                  <w:tcBorders>
                    <w:tl2br w:val="nil"/>
                    <w:tr2bl w:val="nil"/>
                  </w:tcBorders>
                  <w:noWrap/>
                  <w:vAlign w:val="center"/>
                </w:tcPr>
                <w:p w14:paraId="1F961B59">
                  <w:pPr>
                    <w:pStyle w:val="17"/>
                    <w:numPr>
                      <w:ilvl w:val="0"/>
                      <w:numId w:val="0"/>
                    </w:numPr>
                    <w:tabs>
                      <w:tab w:val="clear" w:pos="2040"/>
                    </w:tabs>
                    <w:jc w:val="center"/>
                    <w:rPr>
                      <w:rFonts w:eastAsia="仿宋_GB2312"/>
                    </w:rPr>
                  </w:pPr>
                </w:p>
              </w:tc>
              <w:tc>
                <w:tcPr>
                  <w:tcW w:w="1394" w:type="pct"/>
                  <w:tcBorders>
                    <w:tl2br w:val="nil"/>
                    <w:tr2bl w:val="nil"/>
                  </w:tcBorders>
                  <w:shd w:val="clear" w:color="auto" w:fill="auto"/>
                  <w:noWrap/>
                  <w:vAlign w:val="center"/>
                </w:tcPr>
                <w:p w14:paraId="6F3C5835">
                  <w:pPr>
                    <w:pStyle w:val="17"/>
                    <w:numPr>
                      <w:ilvl w:val="0"/>
                      <w:numId w:val="0"/>
                    </w:numPr>
                    <w:tabs>
                      <w:tab w:val="clear" w:pos="2040"/>
                    </w:tabs>
                    <w:jc w:val="center"/>
                    <w:rPr>
                      <w:rFonts w:eastAsia="仿宋_GB2312"/>
                    </w:rPr>
                  </w:pPr>
                  <w:r>
                    <w:rPr>
                      <w:rFonts w:eastAsia="仿宋_GB2312"/>
                    </w:rPr>
                    <w:t>排放速率（kg/h）</w:t>
                  </w:r>
                </w:p>
              </w:tc>
              <w:tc>
                <w:tcPr>
                  <w:tcW w:w="678" w:type="pct"/>
                  <w:tcBorders>
                    <w:tl2br w:val="nil"/>
                    <w:tr2bl w:val="nil"/>
                  </w:tcBorders>
                  <w:shd w:val="clear" w:color="auto" w:fill="auto"/>
                  <w:noWrap/>
                  <w:vAlign w:val="center"/>
                </w:tcPr>
                <w:p w14:paraId="4A7B8356">
                  <w:pPr>
                    <w:pStyle w:val="17"/>
                    <w:numPr>
                      <w:ilvl w:val="0"/>
                      <w:numId w:val="0"/>
                    </w:numPr>
                    <w:tabs>
                      <w:tab w:val="clear" w:pos="2040"/>
                    </w:tabs>
                    <w:jc w:val="center"/>
                    <w:rPr>
                      <w:rFonts w:eastAsia="仿宋_GB2312"/>
                    </w:rPr>
                  </w:pPr>
                  <w:r>
                    <w:rPr>
                      <w:rFonts w:hint="eastAsia" w:eastAsia="仿宋_GB2312"/>
                    </w:rPr>
                    <w:t>4.4</w:t>
                  </w:r>
                  <w:r>
                    <w:rPr>
                      <w:rFonts w:eastAsia="仿宋_GB2312"/>
                    </w:rPr>
                    <w:t>×10</w:t>
                  </w:r>
                  <w:r>
                    <w:rPr>
                      <w:rFonts w:eastAsia="仿宋_GB2312"/>
                      <w:vertAlign w:val="superscript"/>
                    </w:rPr>
                    <w:t>-2</w:t>
                  </w:r>
                </w:p>
              </w:tc>
            </w:tr>
            <w:tr w14:paraId="1E58E7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1" w:type="pct"/>
                  <w:vMerge w:val="restart"/>
                  <w:tcBorders>
                    <w:tl2br w:val="nil"/>
                    <w:tr2bl w:val="nil"/>
                  </w:tcBorders>
                  <w:shd w:val="clear" w:color="auto" w:fill="auto"/>
                  <w:noWrap/>
                  <w:vAlign w:val="center"/>
                </w:tcPr>
                <w:p w14:paraId="02DBB121">
                  <w:pPr>
                    <w:jc w:val="center"/>
                    <w:rPr>
                      <w:rFonts w:eastAsia="仿宋_GB2312"/>
                    </w:rPr>
                  </w:pPr>
                  <w:r>
                    <w:rPr>
                      <w:rFonts w:eastAsia="仿宋_GB2312"/>
                    </w:rPr>
                    <w:t>202</w:t>
                  </w:r>
                  <w:r>
                    <w:rPr>
                      <w:rFonts w:hint="eastAsia" w:eastAsia="仿宋_GB2312"/>
                    </w:rPr>
                    <w:t>5</w:t>
                  </w:r>
                  <w:r>
                    <w:rPr>
                      <w:rFonts w:eastAsia="仿宋_GB2312"/>
                    </w:rPr>
                    <w:t>.</w:t>
                  </w:r>
                  <w:r>
                    <w:rPr>
                      <w:rFonts w:hint="eastAsia" w:eastAsia="仿宋_GB2312"/>
                    </w:rPr>
                    <w:t>3</w:t>
                  </w:r>
                  <w:r>
                    <w:rPr>
                      <w:rFonts w:eastAsia="仿宋_GB2312"/>
                    </w:rPr>
                    <w:t>.</w:t>
                  </w:r>
                  <w:r>
                    <w:rPr>
                      <w:rFonts w:hint="eastAsia" w:eastAsia="仿宋_GB2312"/>
                    </w:rPr>
                    <w:t>27</w:t>
                  </w:r>
                </w:p>
              </w:tc>
              <w:tc>
                <w:tcPr>
                  <w:tcW w:w="1006" w:type="pct"/>
                  <w:vMerge w:val="restart"/>
                  <w:tcBorders>
                    <w:tl2br w:val="nil"/>
                    <w:tr2bl w:val="nil"/>
                  </w:tcBorders>
                  <w:shd w:val="clear" w:color="auto" w:fill="auto"/>
                  <w:noWrap/>
                  <w:vAlign w:val="center"/>
                </w:tcPr>
                <w:p w14:paraId="04D42485">
                  <w:pPr>
                    <w:pStyle w:val="17"/>
                    <w:numPr>
                      <w:ilvl w:val="0"/>
                      <w:numId w:val="0"/>
                    </w:numPr>
                    <w:tabs>
                      <w:tab w:val="clear" w:pos="2040"/>
                    </w:tabs>
                    <w:jc w:val="center"/>
                    <w:rPr>
                      <w:rFonts w:eastAsia="仿宋_GB2312"/>
                    </w:rPr>
                  </w:pPr>
                  <w:r>
                    <w:rPr>
                      <w:rFonts w:eastAsia="仿宋_GB2312"/>
                    </w:rPr>
                    <w:t>检测单位：</w:t>
                  </w:r>
                  <w:r>
                    <w:rPr>
                      <w:rFonts w:hint="eastAsia" w:eastAsia="仿宋_GB2312"/>
                    </w:rPr>
                    <w:t>苏州华实环境技术有限公司</w:t>
                  </w:r>
                </w:p>
                <w:p w14:paraId="50CC0B29">
                  <w:pPr>
                    <w:pStyle w:val="17"/>
                    <w:numPr>
                      <w:ilvl w:val="0"/>
                      <w:numId w:val="0"/>
                    </w:numPr>
                    <w:tabs>
                      <w:tab w:val="clear" w:pos="2040"/>
                    </w:tabs>
                    <w:jc w:val="center"/>
                    <w:rPr>
                      <w:rFonts w:eastAsia="仿宋_GB2312"/>
                    </w:rPr>
                  </w:pPr>
                  <w:r>
                    <w:rPr>
                      <w:rFonts w:eastAsia="仿宋_GB2312"/>
                    </w:rPr>
                    <w:t>报告编号：</w:t>
                  </w:r>
                  <w:r>
                    <w:rPr>
                      <w:rFonts w:hint="eastAsia" w:eastAsia="仿宋_GB2312"/>
                    </w:rPr>
                    <w:t>HS25182（综）</w:t>
                  </w:r>
                </w:p>
              </w:tc>
              <w:tc>
                <w:tcPr>
                  <w:tcW w:w="482" w:type="pct"/>
                  <w:vMerge w:val="restart"/>
                  <w:tcBorders>
                    <w:tl2br w:val="nil"/>
                    <w:tr2bl w:val="nil"/>
                  </w:tcBorders>
                  <w:shd w:val="clear" w:color="auto" w:fill="auto"/>
                  <w:noWrap/>
                  <w:vAlign w:val="center"/>
                </w:tcPr>
                <w:p w14:paraId="13DE1C39">
                  <w:pPr>
                    <w:pStyle w:val="17"/>
                    <w:numPr>
                      <w:ilvl w:val="0"/>
                      <w:numId w:val="0"/>
                    </w:numPr>
                    <w:tabs>
                      <w:tab w:val="clear" w:pos="2040"/>
                    </w:tabs>
                    <w:jc w:val="center"/>
                    <w:rPr>
                      <w:rFonts w:eastAsia="仿宋_GB2312"/>
                    </w:rPr>
                  </w:pPr>
                  <w:r>
                    <w:rPr>
                      <w:rFonts w:hint="eastAsia" w:eastAsia="仿宋_GB2312"/>
                    </w:rPr>
                    <w:t>Q4</w:t>
                  </w:r>
                  <w:r>
                    <w:rPr>
                      <w:rFonts w:eastAsia="仿宋_GB2312"/>
                    </w:rPr>
                    <w:t>排气筒出口</w:t>
                  </w:r>
                </w:p>
              </w:tc>
              <w:tc>
                <w:tcPr>
                  <w:tcW w:w="676" w:type="pct"/>
                  <w:tcBorders>
                    <w:tl2br w:val="nil"/>
                    <w:tr2bl w:val="nil"/>
                  </w:tcBorders>
                  <w:shd w:val="clear" w:color="auto" w:fill="auto"/>
                  <w:noWrap/>
                  <w:vAlign w:val="center"/>
                </w:tcPr>
                <w:p w14:paraId="14A7EACA">
                  <w:pPr>
                    <w:pStyle w:val="17"/>
                    <w:numPr>
                      <w:ilvl w:val="0"/>
                      <w:numId w:val="0"/>
                    </w:numPr>
                    <w:tabs>
                      <w:tab w:val="clear" w:pos="2040"/>
                    </w:tabs>
                    <w:jc w:val="center"/>
                    <w:rPr>
                      <w:rFonts w:eastAsia="仿宋_GB2312"/>
                    </w:rPr>
                  </w:pPr>
                  <w:r>
                    <w:rPr>
                      <w:rFonts w:eastAsia="仿宋_GB2312"/>
                    </w:rPr>
                    <w:t>风量（m</w:t>
                  </w:r>
                  <w:r>
                    <w:rPr>
                      <w:rFonts w:eastAsia="仿宋_GB2312"/>
                      <w:vertAlign w:val="superscript"/>
                    </w:rPr>
                    <w:t>3</w:t>
                  </w:r>
                  <w:r>
                    <w:rPr>
                      <w:rFonts w:eastAsia="仿宋_GB2312"/>
                    </w:rPr>
                    <w:t>/h）</w:t>
                  </w:r>
                </w:p>
              </w:tc>
              <w:tc>
                <w:tcPr>
                  <w:tcW w:w="1394" w:type="pct"/>
                  <w:tcBorders>
                    <w:tl2br w:val="nil"/>
                    <w:tr2bl w:val="nil"/>
                  </w:tcBorders>
                  <w:shd w:val="clear" w:color="auto" w:fill="auto"/>
                  <w:noWrap/>
                  <w:vAlign w:val="center"/>
                </w:tcPr>
                <w:p w14:paraId="7BCEC010">
                  <w:pPr>
                    <w:pStyle w:val="17"/>
                    <w:numPr>
                      <w:ilvl w:val="0"/>
                      <w:numId w:val="0"/>
                    </w:numPr>
                    <w:tabs>
                      <w:tab w:val="clear" w:pos="2040"/>
                    </w:tabs>
                    <w:jc w:val="center"/>
                    <w:rPr>
                      <w:rFonts w:eastAsia="仿宋_GB2312"/>
                    </w:rPr>
                  </w:pPr>
                  <w:r>
                    <w:rPr>
                      <w:rFonts w:hint="eastAsia" w:eastAsia="仿宋_GB2312"/>
                    </w:rPr>
                    <w:t>30147</w:t>
                  </w:r>
                </w:p>
              </w:tc>
              <w:tc>
                <w:tcPr>
                  <w:tcW w:w="678" w:type="pct"/>
                  <w:tcBorders>
                    <w:tl2br w:val="nil"/>
                    <w:tr2bl w:val="nil"/>
                  </w:tcBorders>
                  <w:shd w:val="clear" w:color="auto" w:fill="auto"/>
                  <w:noWrap/>
                  <w:vAlign w:val="center"/>
                </w:tcPr>
                <w:p w14:paraId="16A41697">
                  <w:pPr>
                    <w:pStyle w:val="17"/>
                    <w:numPr>
                      <w:ilvl w:val="0"/>
                      <w:numId w:val="0"/>
                    </w:numPr>
                    <w:tabs>
                      <w:tab w:val="clear" w:pos="2040"/>
                    </w:tabs>
                    <w:jc w:val="center"/>
                    <w:rPr>
                      <w:rFonts w:eastAsia="仿宋_GB2312"/>
                    </w:rPr>
                  </w:pPr>
                  <w:r>
                    <w:rPr>
                      <w:rFonts w:eastAsia="仿宋_GB2312"/>
                    </w:rPr>
                    <w:t>/</w:t>
                  </w:r>
                </w:p>
              </w:tc>
            </w:tr>
            <w:tr w14:paraId="173B6E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1" w:type="pct"/>
                  <w:vMerge w:val="continue"/>
                  <w:tcBorders>
                    <w:tl2br w:val="nil"/>
                    <w:tr2bl w:val="nil"/>
                  </w:tcBorders>
                  <w:noWrap/>
                  <w:vAlign w:val="center"/>
                </w:tcPr>
                <w:p w14:paraId="07DF0A43">
                  <w:pPr>
                    <w:pStyle w:val="17"/>
                    <w:numPr>
                      <w:ilvl w:val="0"/>
                      <w:numId w:val="0"/>
                    </w:numPr>
                    <w:tabs>
                      <w:tab w:val="clear" w:pos="2040"/>
                    </w:tabs>
                    <w:jc w:val="center"/>
                    <w:rPr>
                      <w:rFonts w:eastAsia="仿宋_GB2312"/>
                    </w:rPr>
                  </w:pPr>
                </w:p>
              </w:tc>
              <w:tc>
                <w:tcPr>
                  <w:tcW w:w="1006" w:type="pct"/>
                  <w:vMerge w:val="continue"/>
                  <w:tcBorders>
                    <w:tl2br w:val="nil"/>
                    <w:tr2bl w:val="nil"/>
                  </w:tcBorders>
                  <w:noWrap/>
                  <w:vAlign w:val="center"/>
                </w:tcPr>
                <w:p w14:paraId="3AB4B244">
                  <w:pPr>
                    <w:pStyle w:val="17"/>
                    <w:numPr>
                      <w:ilvl w:val="0"/>
                      <w:numId w:val="0"/>
                    </w:numPr>
                    <w:tabs>
                      <w:tab w:val="clear" w:pos="2040"/>
                    </w:tabs>
                    <w:jc w:val="center"/>
                    <w:rPr>
                      <w:rFonts w:eastAsia="仿宋_GB2312"/>
                    </w:rPr>
                  </w:pPr>
                </w:p>
              </w:tc>
              <w:tc>
                <w:tcPr>
                  <w:tcW w:w="482" w:type="pct"/>
                  <w:vMerge w:val="continue"/>
                  <w:tcBorders>
                    <w:tl2br w:val="nil"/>
                    <w:tr2bl w:val="nil"/>
                  </w:tcBorders>
                  <w:noWrap/>
                  <w:vAlign w:val="center"/>
                </w:tcPr>
                <w:p w14:paraId="04D0AC66">
                  <w:pPr>
                    <w:pStyle w:val="17"/>
                    <w:numPr>
                      <w:ilvl w:val="0"/>
                      <w:numId w:val="0"/>
                    </w:numPr>
                    <w:tabs>
                      <w:tab w:val="clear" w:pos="2040"/>
                    </w:tabs>
                    <w:jc w:val="center"/>
                    <w:rPr>
                      <w:rFonts w:eastAsia="仿宋_GB2312"/>
                    </w:rPr>
                  </w:pPr>
                </w:p>
              </w:tc>
              <w:tc>
                <w:tcPr>
                  <w:tcW w:w="676" w:type="pct"/>
                  <w:vMerge w:val="restart"/>
                  <w:tcBorders>
                    <w:tl2br w:val="nil"/>
                    <w:tr2bl w:val="nil"/>
                  </w:tcBorders>
                  <w:shd w:val="clear" w:color="auto" w:fill="auto"/>
                  <w:noWrap/>
                  <w:vAlign w:val="center"/>
                </w:tcPr>
                <w:p w14:paraId="13E98DCA">
                  <w:pPr>
                    <w:pStyle w:val="17"/>
                    <w:numPr>
                      <w:ilvl w:val="0"/>
                      <w:numId w:val="0"/>
                    </w:numPr>
                    <w:tabs>
                      <w:tab w:val="clear" w:pos="2040"/>
                    </w:tabs>
                    <w:jc w:val="center"/>
                    <w:rPr>
                      <w:rFonts w:eastAsia="仿宋_GB2312"/>
                    </w:rPr>
                  </w:pPr>
                  <w:r>
                    <w:rPr>
                      <w:rFonts w:eastAsia="仿宋_GB2312"/>
                    </w:rPr>
                    <w:t>颗粒物</w:t>
                  </w:r>
                </w:p>
              </w:tc>
              <w:tc>
                <w:tcPr>
                  <w:tcW w:w="1394" w:type="pct"/>
                  <w:tcBorders>
                    <w:tl2br w:val="nil"/>
                    <w:tr2bl w:val="nil"/>
                  </w:tcBorders>
                  <w:shd w:val="clear" w:color="auto" w:fill="auto"/>
                  <w:noWrap/>
                  <w:vAlign w:val="center"/>
                </w:tcPr>
                <w:p w14:paraId="13A0A0CD">
                  <w:pPr>
                    <w:pStyle w:val="17"/>
                    <w:numPr>
                      <w:ilvl w:val="0"/>
                      <w:numId w:val="0"/>
                    </w:numPr>
                    <w:tabs>
                      <w:tab w:val="clear" w:pos="2040"/>
                    </w:tabs>
                    <w:jc w:val="center"/>
                    <w:rPr>
                      <w:rFonts w:eastAsia="仿宋_GB2312"/>
                    </w:rPr>
                  </w:pPr>
                  <w:r>
                    <w:rPr>
                      <w:rFonts w:eastAsia="仿宋_GB2312"/>
                    </w:rPr>
                    <w:t>排放浓度（mg/m</w:t>
                  </w:r>
                  <w:r>
                    <w:rPr>
                      <w:rFonts w:eastAsia="仿宋_GB2312"/>
                      <w:vertAlign w:val="superscript"/>
                    </w:rPr>
                    <w:t>3</w:t>
                  </w:r>
                  <w:r>
                    <w:rPr>
                      <w:rFonts w:eastAsia="仿宋_GB2312"/>
                    </w:rPr>
                    <w:t>）</w:t>
                  </w:r>
                </w:p>
              </w:tc>
              <w:tc>
                <w:tcPr>
                  <w:tcW w:w="678" w:type="pct"/>
                  <w:tcBorders>
                    <w:tl2br w:val="nil"/>
                    <w:tr2bl w:val="nil"/>
                  </w:tcBorders>
                  <w:shd w:val="clear" w:color="auto" w:fill="auto"/>
                  <w:noWrap/>
                  <w:vAlign w:val="center"/>
                </w:tcPr>
                <w:p w14:paraId="2972FF06">
                  <w:pPr>
                    <w:pStyle w:val="17"/>
                    <w:numPr>
                      <w:ilvl w:val="0"/>
                      <w:numId w:val="0"/>
                    </w:numPr>
                    <w:tabs>
                      <w:tab w:val="clear" w:pos="2040"/>
                    </w:tabs>
                    <w:jc w:val="center"/>
                    <w:rPr>
                      <w:rFonts w:eastAsia="仿宋_GB2312"/>
                    </w:rPr>
                  </w:pPr>
                  <w:r>
                    <w:rPr>
                      <w:rFonts w:hint="eastAsia" w:eastAsia="仿宋_GB2312"/>
                    </w:rPr>
                    <w:t>1.0</w:t>
                  </w:r>
                </w:p>
              </w:tc>
            </w:tr>
            <w:tr w14:paraId="7BAE20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1" w:type="pct"/>
                  <w:vMerge w:val="continue"/>
                  <w:tcBorders>
                    <w:tl2br w:val="nil"/>
                    <w:tr2bl w:val="nil"/>
                  </w:tcBorders>
                  <w:noWrap/>
                  <w:vAlign w:val="center"/>
                </w:tcPr>
                <w:p w14:paraId="3612E1D3">
                  <w:pPr>
                    <w:pStyle w:val="17"/>
                    <w:numPr>
                      <w:ilvl w:val="0"/>
                      <w:numId w:val="0"/>
                    </w:numPr>
                    <w:tabs>
                      <w:tab w:val="clear" w:pos="2040"/>
                    </w:tabs>
                    <w:jc w:val="center"/>
                    <w:rPr>
                      <w:rFonts w:eastAsia="仿宋_GB2312"/>
                    </w:rPr>
                  </w:pPr>
                </w:p>
              </w:tc>
              <w:tc>
                <w:tcPr>
                  <w:tcW w:w="1006" w:type="pct"/>
                  <w:vMerge w:val="continue"/>
                  <w:tcBorders>
                    <w:tl2br w:val="nil"/>
                    <w:tr2bl w:val="nil"/>
                  </w:tcBorders>
                  <w:noWrap/>
                  <w:vAlign w:val="center"/>
                </w:tcPr>
                <w:p w14:paraId="3F9AF03F">
                  <w:pPr>
                    <w:pStyle w:val="17"/>
                    <w:numPr>
                      <w:ilvl w:val="0"/>
                      <w:numId w:val="0"/>
                    </w:numPr>
                    <w:tabs>
                      <w:tab w:val="clear" w:pos="2040"/>
                    </w:tabs>
                    <w:jc w:val="center"/>
                    <w:rPr>
                      <w:rFonts w:eastAsia="仿宋_GB2312"/>
                    </w:rPr>
                  </w:pPr>
                </w:p>
              </w:tc>
              <w:tc>
                <w:tcPr>
                  <w:tcW w:w="482" w:type="pct"/>
                  <w:vMerge w:val="continue"/>
                  <w:tcBorders>
                    <w:tl2br w:val="nil"/>
                    <w:tr2bl w:val="nil"/>
                  </w:tcBorders>
                  <w:noWrap/>
                  <w:vAlign w:val="center"/>
                </w:tcPr>
                <w:p w14:paraId="50A0631E">
                  <w:pPr>
                    <w:pStyle w:val="17"/>
                    <w:numPr>
                      <w:ilvl w:val="0"/>
                      <w:numId w:val="0"/>
                    </w:numPr>
                    <w:tabs>
                      <w:tab w:val="clear" w:pos="2040"/>
                    </w:tabs>
                    <w:jc w:val="center"/>
                    <w:rPr>
                      <w:rFonts w:eastAsia="仿宋_GB2312"/>
                    </w:rPr>
                  </w:pPr>
                </w:p>
              </w:tc>
              <w:tc>
                <w:tcPr>
                  <w:tcW w:w="676" w:type="pct"/>
                  <w:vMerge w:val="continue"/>
                  <w:tcBorders>
                    <w:tl2br w:val="nil"/>
                    <w:tr2bl w:val="nil"/>
                  </w:tcBorders>
                  <w:noWrap/>
                  <w:vAlign w:val="center"/>
                </w:tcPr>
                <w:p w14:paraId="2F0A64D2">
                  <w:pPr>
                    <w:pStyle w:val="17"/>
                    <w:numPr>
                      <w:ilvl w:val="0"/>
                      <w:numId w:val="0"/>
                    </w:numPr>
                    <w:tabs>
                      <w:tab w:val="clear" w:pos="2040"/>
                    </w:tabs>
                    <w:jc w:val="center"/>
                    <w:rPr>
                      <w:rFonts w:eastAsia="仿宋_GB2312"/>
                    </w:rPr>
                  </w:pPr>
                </w:p>
              </w:tc>
              <w:tc>
                <w:tcPr>
                  <w:tcW w:w="1394" w:type="pct"/>
                  <w:tcBorders>
                    <w:tl2br w:val="nil"/>
                    <w:tr2bl w:val="nil"/>
                  </w:tcBorders>
                  <w:shd w:val="clear" w:color="auto" w:fill="auto"/>
                  <w:noWrap/>
                  <w:vAlign w:val="center"/>
                </w:tcPr>
                <w:p w14:paraId="01B8051E">
                  <w:pPr>
                    <w:pStyle w:val="17"/>
                    <w:numPr>
                      <w:ilvl w:val="0"/>
                      <w:numId w:val="0"/>
                    </w:numPr>
                    <w:tabs>
                      <w:tab w:val="clear" w:pos="2040"/>
                    </w:tabs>
                    <w:jc w:val="center"/>
                    <w:rPr>
                      <w:rFonts w:eastAsia="仿宋_GB2312"/>
                    </w:rPr>
                  </w:pPr>
                  <w:r>
                    <w:rPr>
                      <w:rFonts w:eastAsia="仿宋_GB2312"/>
                    </w:rPr>
                    <w:t>排放速率（kg/h）</w:t>
                  </w:r>
                </w:p>
              </w:tc>
              <w:tc>
                <w:tcPr>
                  <w:tcW w:w="678" w:type="pct"/>
                  <w:tcBorders>
                    <w:tl2br w:val="nil"/>
                    <w:tr2bl w:val="nil"/>
                  </w:tcBorders>
                  <w:shd w:val="clear" w:color="auto" w:fill="auto"/>
                  <w:noWrap/>
                  <w:vAlign w:val="center"/>
                </w:tcPr>
                <w:p w14:paraId="11C1514F">
                  <w:pPr>
                    <w:pStyle w:val="17"/>
                    <w:numPr>
                      <w:ilvl w:val="0"/>
                      <w:numId w:val="0"/>
                    </w:numPr>
                    <w:tabs>
                      <w:tab w:val="clear" w:pos="2040"/>
                    </w:tabs>
                    <w:jc w:val="center"/>
                    <w:rPr>
                      <w:rFonts w:eastAsia="仿宋_GB2312"/>
                    </w:rPr>
                  </w:pPr>
                  <w:r>
                    <w:rPr>
                      <w:rFonts w:hint="eastAsia" w:eastAsia="仿宋_GB2312"/>
                    </w:rPr>
                    <w:t>3.0</w:t>
                  </w:r>
                  <w:r>
                    <w:rPr>
                      <w:rFonts w:eastAsia="仿宋_GB2312"/>
                    </w:rPr>
                    <w:t>×10</w:t>
                  </w:r>
                  <w:r>
                    <w:rPr>
                      <w:rFonts w:eastAsia="仿宋_GB2312"/>
                      <w:vertAlign w:val="superscript"/>
                    </w:rPr>
                    <w:t>-2</w:t>
                  </w:r>
                </w:p>
              </w:tc>
            </w:tr>
            <w:tr w14:paraId="33B6C6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1" w:type="pct"/>
                  <w:vMerge w:val="restart"/>
                  <w:tcBorders>
                    <w:tl2br w:val="nil"/>
                    <w:tr2bl w:val="nil"/>
                  </w:tcBorders>
                  <w:noWrap/>
                  <w:vAlign w:val="center"/>
                </w:tcPr>
                <w:p w14:paraId="29F2BA55">
                  <w:pPr>
                    <w:jc w:val="center"/>
                    <w:rPr>
                      <w:rFonts w:eastAsia="仿宋_GB2312"/>
                    </w:rPr>
                  </w:pPr>
                  <w:r>
                    <w:rPr>
                      <w:rFonts w:eastAsia="仿宋_GB2312"/>
                    </w:rPr>
                    <w:t>202</w:t>
                  </w:r>
                  <w:r>
                    <w:rPr>
                      <w:rFonts w:hint="eastAsia" w:eastAsia="仿宋_GB2312"/>
                    </w:rPr>
                    <w:t>5</w:t>
                  </w:r>
                  <w:r>
                    <w:rPr>
                      <w:rFonts w:eastAsia="仿宋_GB2312"/>
                    </w:rPr>
                    <w:t>.</w:t>
                  </w:r>
                  <w:r>
                    <w:rPr>
                      <w:rFonts w:hint="eastAsia" w:eastAsia="仿宋_GB2312"/>
                    </w:rPr>
                    <w:t>3</w:t>
                  </w:r>
                  <w:r>
                    <w:rPr>
                      <w:rFonts w:eastAsia="仿宋_GB2312"/>
                    </w:rPr>
                    <w:t>.</w:t>
                  </w:r>
                  <w:r>
                    <w:rPr>
                      <w:rFonts w:hint="eastAsia" w:eastAsia="仿宋_GB2312"/>
                    </w:rPr>
                    <w:t>26</w:t>
                  </w:r>
                </w:p>
              </w:tc>
              <w:tc>
                <w:tcPr>
                  <w:tcW w:w="1006" w:type="pct"/>
                  <w:vMerge w:val="restart"/>
                  <w:tcBorders>
                    <w:tl2br w:val="nil"/>
                    <w:tr2bl w:val="nil"/>
                  </w:tcBorders>
                  <w:noWrap/>
                  <w:vAlign w:val="center"/>
                </w:tcPr>
                <w:p w14:paraId="78C9921E">
                  <w:pPr>
                    <w:pStyle w:val="17"/>
                    <w:numPr>
                      <w:ilvl w:val="0"/>
                      <w:numId w:val="0"/>
                    </w:numPr>
                    <w:tabs>
                      <w:tab w:val="clear" w:pos="2040"/>
                    </w:tabs>
                    <w:jc w:val="center"/>
                    <w:rPr>
                      <w:rFonts w:eastAsia="仿宋_GB2312"/>
                    </w:rPr>
                  </w:pPr>
                  <w:r>
                    <w:rPr>
                      <w:rFonts w:eastAsia="仿宋_GB2312"/>
                    </w:rPr>
                    <w:t>检测单位：</w:t>
                  </w:r>
                  <w:r>
                    <w:rPr>
                      <w:rFonts w:hint="eastAsia" w:eastAsia="仿宋_GB2312"/>
                    </w:rPr>
                    <w:t>苏州华实环境技术有限公司</w:t>
                  </w:r>
                </w:p>
                <w:p w14:paraId="04F60F50">
                  <w:pPr>
                    <w:pStyle w:val="17"/>
                    <w:numPr>
                      <w:ilvl w:val="0"/>
                      <w:numId w:val="0"/>
                    </w:numPr>
                    <w:tabs>
                      <w:tab w:val="clear" w:pos="2040"/>
                    </w:tabs>
                    <w:jc w:val="center"/>
                    <w:rPr>
                      <w:rFonts w:eastAsia="仿宋_GB2312"/>
                    </w:rPr>
                  </w:pPr>
                  <w:r>
                    <w:rPr>
                      <w:rFonts w:eastAsia="仿宋_GB2312"/>
                    </w:rPr>
                    <w:t>报告编号：</w:t>
                  </w:r>
                  <w:r>
                    <w:rPr>
                      <w:rFonts w:hint="eastAsia" w:eastAsia="仿宋_GB2312"/>
                    </w:rPr>
                    <w:t>HS25182（综）</w:t>
                  </w:r>
                </w:p>
              </w:tc>
              <w:tc>
                <w:tcPr>
                  <w:tcW w:w="482" w:type="pct"/>
                  <w:vMerge w:val="restart"/>
                  <w:tcBorders>
                    <w:tl2br w:val="nil"/>
                    <w:tr2bl w:val="nil"/>
                  </w:tcBorders>
                  <w:noWrap/>
                  <w:vAlign w:val="center"/>
                </w:tcPr>
                <w:p w14:paraId="7F5D9C57">
                  <w:pPr>
                    <w:pStyle w:val="17"/>
                    <w:numPr>
                      <w:ilvl w:val="0"/>
                      <w:numId w:val="0"/>
                    </w:numPr>
                    <w:tabs>
                      <w:tab w:val="clear" w:pos="2040"/>
                    </w:tabs>
                    <w:jc w:val="center"/>
                    <w:rPr>
                      <w:rFonts w:eastAsia="仿宋_GB2312"/>
                    </w:rPr>
                  </w:pPr>
                  <w:r>
                    <w:rPr>
                      <w:rFonts w:hint="eastAsia" w:eastAsia="仿宋_GB2312"/>
                    </w:rPr>
                    <w:t>Q5</w:t>
                  </w:r>
                  <w:r>
                    <w:rPr>
                      <w:rFonts w:eastAsia="仿宋_GB2312"/>
                    </w:rPr>
                    <w:t>排气筒出口</w:t>
                  </w:r>
                </w:p>
              </w:tc>
              <w:tc>
                <w:tcPr>
                  <w:tcW w:w="676" w:type="pct"/>
                  <w:tcBorders>
                    <w:tl2br w:val="nil"/>
                    <w:tr2bl w:val="nil"/>
                  </w:tcBorders>
                  <w:noWrap/>
                  <w:vAlign w:val="center"/>
                </w:tcPr>
                <w:p w14:paraId="108C3C78">
                  <w:pPr>
                    <w:pStyle w:val="17"/>
                    <w:numPr>
                      <w:ilvl w:val="0"/>
                      <w:numId w:val="0"/>
                    </w:numPr>
                    <w:tabs>
                      <w:tab w:val="clear" w:pos="2040"/>
                    </w:tabs>
                    <w:jc w:val="center"/>
                    <w:rPr>
                      <w:rFonts w:eastAsia="仿宋_GB2312"/>
                    </w:rPr>
                  </w:pPr>
                  <w:r>
                    <w:rPr>
                      <w:rFonts w:eastAsia="仿宋_GB2312"/>
                    </w:rPr>
                    <w:t>风量（m</w:t>
                  </w:r>
                  <w:r>
                    <w:rPr>
                      <w:rFonts w:eastAsia="仿宋_GB2312"/>
                      <w:vertAlign w:val="superscript"/>
                    </w:rPr>
                    <w:t>3</w:t>
                  </w:r>
                  <w:r>
                    <w:rPr>
                      <w:rFonts w:eastAsia="仿宋_GB2312"/>
                    </w:rPr>
                    <w:t>/h）</w:t>
                  </w:r>
                </w:p>
              </w:tc>
              <w:tc>
                <w:tcPr>
                  <w:tcW w:w="1394" w:type="pct"/>
                  <w:tcBorders>
                    <w:tl2br w:val="nil"/>
                    <w:tr2bl w:val="nil"/>
                  </w:tcBorders>
                  <w:noWrap/>
                  <w:vAlign w:val="center"/>
                </w:tcPr>
                <w:p w14:paraId="249926D0">
                  <w:pPr>
                    <w:pStyle w:val="17"/>
                    <w:numPr>
                      <w:ilvl w:val="0"/>
                      <w:numId w:val="0"/>
                    </w:numPr>
                    <w:tabs>
                      <w:tab w:val="clear" w:pos="2040"/>
                    </w:tabs>
                    <w:jc w:val="center"/>
                    <w:rPr>
                      <w:rFonts w:eastAsia="仿宋_GB2312"/>
                    </w:rPr>
                  </w:pPr>
                  <w:r>
                    <w:rPr>
                      <w:rFonts w:hint="eastAsia" w:eastAsia="仿宋_GB2312"/>
                    </w:rPr>
                    <w:t>34842</w:t>
                  </w:r>
                </w:p>
              </w:tc>
              <w:tc>
                <w:tcPr>
                  <w:tcW w:w="678" w:type="pct"/>
                  <w:tcBorders>
                    <w:tl2br w:val="nil"/>
                    <w:tr2bl w:val="nil"/>
                  </w:tcBorders>
                  <w:noWrap/>
                  <w:vAlign w:val="center"/>
                </w:tcPr>
                <w:p w14:paraId="46027E8D">
                  <w:pPr>
                    <w:pStyle w:val="17"/>
                    <w:numPr>
                      <w:ilvl w:val="0"/>
                      <w:numId w:val="0"/>
                    </w:numPr>
                    <w:tabs>
                      <w:tab w:val="clear" w:pos="2040"/>
                    </w:tabs>
                    <w:jc w:val="center"/>
                    <w:rPr>
                      <w:rFonts w:eastAsia="仿宋_GB2312"/>
                    </w:rPr>
                  </w:pPr>
                  <w:r>
                    <w:rPr>
                      <w:rFonts w:eastAsia="仿宋_GB2312"/>
                    </w:rPr>
                    <w:t>/</w:t>
                  </w:r>
                </w:p>
              </w:tc>
            </w:tr>
            <w:tr w14:paraId="32E8D3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1" w:type="pct"/>
                  <w:vMerge w:val="continue"/>
                  <w:tcBorders>
                    <w:tl2br w:val="nil"/>
                    <w:tr2bl w:val="nil"/>
                  </w:tcBorders>
                  <w:noWrap/>
                  <w:vAlign w:val="center"/>
                </w:tcPr>
                <w:p w14:paraId="692B1AFD">
                  <w:pPr>
                    <w:pStyle w:val="17"/>
                    <w:numPr>
                      <w:ilvl w:val="0"/>
                      <w:numId w:val="0"/>
                    </w:numPr>
                    <w:tabs>
                      <w:tab w:val="clear" w:pos="2040"/>
                    </w:tabs>
                    <w:jc w:val="center"/>
                    <w:rPr>
                      <w:rFonts w:eastAsia="仿宋_GB2312"/>
                    </w:rPr>
                  </w:pPr>
                </w:p>
              </w:tc>
              <w:tc>
                <w:tcPr>
                  <w:tcW w:w="1006" w:type="pct"/>
                  <w:vMerge w:val="continue"/>
                  <w:tcBorders>
                    <w:tl2br w:val="nil"/>
                    <w:tr2bl w:val="nil"/>
                  </w:tcBorders>
                  <w:noWrap/>
                  <w:vAlign w:val="center"/>
                </w:tcPr>
                <w:p w14:paraId="542BA270">
                  <w:pPr>
                    <w:pStyle w:val="17"/>
                    <w:numPr>
                      <w:ilvl w:val="0"/>
                      <w:numId w:val="0"/>
                    </w:numPr>
                    <w:tabs>
                      <w:tab w:val="clear" w:pos="2040"/>
                    </w:tabs>
                    <w:jc w:val="center"/>
                    <w:rPr>
                      <w:rFonts w:eastAsia="仿宋_GB2312"/>
                    </w:rPr>
                  </w:pPr>
                </w:p>
              </w:tc>
              <w:tc>
                <w:tcPr>
                  <w:tcW w:w="482" w:type="pct"/>
                  <w:vMerge w:val="continue"/>
                  <w:tcBorders>
                    <w:tl2br w:val="nil"/>
                    <w:tr2bl w:val="nil"/>
                  </w:tcBorders>
                  <w:noWrap/>
                  <w:vAlign w:val="center"/>
                </w:tcPr>
                <w:p w14:paraId="7EEBA46B">
                  <w:pPr>
                    <w:pStyle w:val="17"/>
                    <w:numPr>
                      <w:ilvl w:val="0"/>
                      <w:numId w:val="0"/>
                    </w:numPr>
                    <w:tabs>
                      <w:tab w:val="clear" w:pos="2040"/>
                    </w:tabs>
                    <w:jc w:val="center"/>
                    <w:rPr>
                      <w:rFonts w:eastAsia="仿宋_GB2312"/>
                    </w:rPr>
                  </w:pPr>
                </w:p>
              </w:tc>
              <w:tc>
                <w:tcPr>
                  <w:tcW w:w="676" w:type="pct"/>
                  <w:vMerge w:val="restart"/>
                  <w:tcBorders>
                    <w:tl2br w:val="nil"/>
                    <w:tr2bl w:val="nil"/>
                  </w:tcBorders>
                  <w:noWrap/>
                  <w:vAlign w:val="center"/>
                </w:tcPr>
                <w:p w14:paraId="7CBBECAD">
                  <w:pPr>
                    <w:pStyle w:val="17"/>
                    <w:numPr>
                      <w:ilvl w:val="0"/>
                      <w:numId w:val="0"/>
                    </w:numPr>
                    <w:tabs>
                      <w:tab w:val="clear" w:pos="2040"/>
                    </w:tabs>
                    <w:jc w:val="center"/>
                    <w:rPr>
                      <w:rFonts w:eastAsia="仿宋_GB2312"/>
                    </w:rPr>
                  </w:pPr>
                  <w:r>
                    <w:rPr>
                      <w:rFonts w:eastAsia="仿宋_GB2312"/>
                    </w:rPr>
                    <w:t>颗粒物</w:t>
                  </w:r>
                </w:p>
              </w:tc>
              <w:tc>
                <w:tcPr>
                  <w:tcW w:w="1394" w:type="pct"/>
                  <w:tcBorders>
                    <w:tl2br w:val="nil"/>
                    <w:tr2bl w:val="nil"/>
                  </w:tcBorders>
                  <w:noWrap/>
                  <w:vAlign w:val="center"/>
                </w:tcPr>
                <w:p w14:paraId="12711F25">
                  <w:pPr>
                    <w:pStyle w:val="17"/>
                    <w:numPr>
                      <w:ilvl w:val="0"/>
                      <w:numId w:val="0"/>
                    </w:numPr>
                    <w:tabs>
                      <w:tab w:val="clear" w:pos="2040"/>
                    </w:tabs>
                    <w:jc w:val="center"/>
                    <w:rPr>
                      <w:rFonts w:eastAsia="仿宋_GB2312"/>
                    </w:rPr>
                  </w:pPr>
                  <w:r>
                    <w:rPr>
                      <w:rFonts w:eastAsia="仿宋_GB2312"/>
                    </w:rPr>
                    <w:t>排放浓度（mg/m</w:t>
                  </w:r>
                  <w:r>
                    <w:rPr>
                      <w:rFonts w:eastAsia="仿宋_GB2312"/>
                      <w:vertAlign w:val="superscript"/>
                    </w:rPr>
                    <w:t>3</w:t>
                  </w:r>
                  <w:r>
                    <w:rPr>
                      <w:rFonts w:eastAsia="仿宋_GB2312"/>
                    </w:rPr>
                    <w:t>）</w:t>
                  </w:r>
                </w:p>
              </w:tc>
              <w:tc>
                <w:tcPr>
                  <w:tcW w:w="678" w:type="pct"/>
                  <w:tcBorders>
                    <w:tl2br w:val="nil"/>
                    <w:tr2bl w:val="nil"/>
                  </w:tcBorders>
                  <w:noWrap/>
                  <w:vAlign w:val="center"/>
                </w:tcPr>
                <w:p w14:paraId="279D0003">
                  <w:pPr>
                    <w:pStyle w:val="17"/>
                    <w:numPr>
                      <w:ilvl w:val="0"/>
                      <w:numId w:val="0"/>
                    </w:numPr>
                    <w:tabs>
                      <w:tab w:val="clear" w:pos="2040"/>
                    </w:tabs>
                    <w:jc w:val="center"/>
                    <w:rPr>
                      <w:rFonts w:eastAsia="仿宋_GB2312"/>
                    </w:rPr>
                  </w:pPr>
                  <w:r>
                    <w:rPr>
                      <w:rFonts w:eastAsia="仿宋_GB2312"/>
                    </w:rPr>
                    <w:t>1.</w:t>
                  </w:r>
                  <w:r>
                    <w:rPr>
                      <w:rFonts w:hint="eastAsia" w:eastAsia="仿宋_GB2312"/>
                    </w:rPr>
                    <w:t>7</w:t>
                  </w:r>
                </w:p>
              </w:tc>
            </w:tr>
            <w:tr w14:paraId="150AB0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1" w:type="pct"/>
                  <w:vMerge w:val="continue"/>
                  <w:tcBorders>
                    <w:tl2br w:val="nil"/>
                    <w:tr2bl w:val="nil"/>
                  </w:tcBorders>
                  <w:noWrap/>
                  <w:vAlign w:val="center"/>
                </w:tcPr>
                <w:p w14:paraId="61FC6586">
                  <w:pPr>
                    <w:pStyle w:val="17"/>
                    <w:numPr>
                      <w:ilvl w:val="0"/>
                      <w:numId w:val="0"/>
                    </w:numPr>
                    <w:tabs>
                      <w:tab w:val="clear" w:pos="2040"/>
                    </w:tabs>
                    <w:jc w:val="center"/>
                    <w:rPr>
                      <w:rFonts w:eastAsia="仿宋_GB2312"/>
                    </w:rPr>
                  </w:pPr>
                </w:p>
              </w:tc>
              <w:tc>
                <w:tcPr>
                  <w:tcW w:w="1006" w:type="pct"/>
                  <w:vMerge w:val="continue"/>
                  <w:tcBorders>
                    <w:tl2br w:val="nil"/>
                    <w:tr2bl w:val="nil"/>
                  </w:tcBorders>
                  <w:noWrap/>
                  <w:vAlign w:val="center"/>
                </w:tcPr>
                <w:p w14:paraId="49A7CFEE">
                  <w:pPr>
                    <w:pStyle w:val="17"/>
                    <w:numPr>
                      <w:ilvl w:val="0"/>
                      <w:numId w:val="0"/>
                    </w:numPr>
                    <w:tabs>
                      <w:tab w:val="clear" w:pos="2040"/>
                    </w:tabs>
                    <w:jc w:val="center"/>
                    <w:rPr>
                      <w:rFonts w:eastAsia="仿宋_GB2312"/>
                    </w:rPr>
                  </w:pPr>
                </w:p>
              </w:tc>
              <w:tc>
                <w:tcPr>
                  <w:tcW w:w="482" w:type="pct"/>
                  <w:vMerge w:val="continue"/>
                  <w:tcBorders>
                    <w:tl2br w:val="nil"/>
                    <w:tr2bl w:val="nil"/>
                  </w:tcBorders>
                  <w:noWrap/>
                  <w:vAlign w:val="center"/>
                </w:tcPr>
                <w:p w14:paraId="7A42FB0B">
                  <w:pPr>
                    <w:pStyle w:val="17"/>
                    <w:numPr>
                      <w:ilvl w:val="0"/>
                      <w:numId w:val="0"/>
                    </w:numPr>
                    <w:tabs>
                      <w:tab w:val="clear" w:pos="2040"/>
                    </w:tabs>
                    <w:jc w:val="center"/>
                    <w:rPr>
                      <w:rFonts w:eastAsia="仿宋_GB2312"/>
                    </w:rPr>
                  </w:pPr>
                </w:p>
              </w:tc>
              <w:tc>
                <w:tcPr>
                  <w:tcW w:w="676" w:type="pct"/>
                  <w:vMerge w:val="continue"/>
                  <w:tcBorders>
                    <w:tl2br w:val="nil"/>
                    <w:tr2bl w:val="nil"/>
                  </w:tcBorders>
                  <w:noWrap/>
                  <w:vAlign w:val="center"/>
                </w:tcPr>
                <w:p w14:paraId="113E1480">
                  <w:pPr>
                    <w:pStyle w:val="17"/>
                    <w:numPr>
                      <w:ilvl w:val="0"/>
                      <w:numId w:val="0"/>
                    </w:numPr>
                    <w:tabs>
                      <w:tab w:val="clear" w:pos="2040"/>
                    </w:tabs>
                    <w:jc w:val="center"/>
                    <w:rPr>
                      <w:rFonts w:eastAsia="仿宋_GB2312"/>
                    </w:rPr>
                  </w:pPr>
                </w:p>
              </w:tc>
              <w:tc>
                <w:tcPr>
                  <w:tcW w:w="1394" w:type="pct"/>
                  <w:tcBorders>
                    <w:tl2br w:val="nil"/>
                    <w:tr2bl w:val="nil"/>
                  </w:tcBorders>
                  <w:noWrap/>
                  <w:vAlign w:val="center"/>
                </w:tcPr>
                <w:p w14:paraId="0529F7C5">
                  <w:pPr>
                    <w:pStyle w:val="17"/>
                    <w:numPr>
                      <w:ilvl w:val="0"/>
                      <w:numId w:val="0"/>
                    </w:numPr>
                    <w:tabs>
                      <w:tab w:val="clear" w:pos="2040"/>
                    </w:tabs>
                    <w:jc w:val="center"/>
                    <w:rPr>
                      <w:rFonts w:eastAsia="仿宋_GB2312"/>
                    </w:rPr>
                  </w:pPr>
                  <w:r>
                    <w:rPr>
                      <w:rFonts w:eastAsia="仿宋_GB2312"/>
                    </w:rPr>
                    <w:t>排放速率（kg/h）</w:t>
                  </w:r>
                </w:p>
              </w:tc>
              <w:tc>
                <w:tcPr>
                  <w:tcW w:w="678" w:type="pct"/>
                  <w:tcBorders>
                    <w:tl2br w:val="nil"/>
                    <w:tr2bl w:val="nil"/>
                  </w:tcBorders>
                  <w:noWrap/>
                  <w:vAlign w:val="center"/>
                </w:tcPr>
                <w:p w14:paraId="62074F64">
                  <w:pPr>
                    <w:pStyle w:val="17"/>
                    <w:numPr>
                      <w:ilvl w:val="0"/>
                      <w:numId w:val="0"/>
                    </w:numPr>
                    <w:tabs>
                      <w:tab w:val="clear" w:pos="2040"/>
                    </w:tabs>
                    <w:jc w:val="center"/>
                    <w:rPr>
                      <w:rFonts w:eastAsia="仿宋_GB2312"/>
                    </w:rPr>
                  </w:pPr>
                  <w:r>
                    <w:rPr>
                      <w:rFonts w:hint="eastAsia" w:eastAsia="仿宋_GB2312"/>
                    </w:rPr>
                    <w:t>5.9</w:t>
                  </w:r>
                  <w:r>
                    <w:rPr>
                      <w:rFonts w:eastAsia="仿宋_GB2312"/>
                    </w:rPr>
                    <w:t>×10</w:t>
                  </w:r>
                  <w:r>
                    <w:rPr>
                      <w:rFonts w:eastAsia="仿宋_GB2312"/>
                      <w:vertAlign w:val="superscript"/>
                    </w:rPr>
                    <w:t>-</w:t>
                  </w:r>
                  <w:r>
                    <w:rPr>
                      <w:rFonts w:hint="eastAsia" w:eastAsia="仿宋_GB2312"/>
                      <w:vertAlign w:val="superscript"/>
                    </w:rPr>
                    <w:t>2</w:t>
                  </w:r>
                </w:p>
              </w:tc>
            </w:tr>
            <w:tr w14:paraId="3BA60F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1" w:type="pct"/>
                  <w:vMerge w:val="restart"/>
                  <w:tcBorders>
                    <w:tl2br w:val="nil"/>
                    <w:tr2bl w:val="nil"/>
                  </w:tcBorders>
                  <w:noWrap/>
                  <w:vAlign w:val="center"/>
                </w:tcPr>
                <w:p w14:paraId="115F4DFB">
                  <w:pPr>
                    <w:jc w:val="center"/>
                    <w:rPr>
                      <w:rFonts w:eastAsia="仿宋_GB2312"/>
                    </w:rPr>
                  </w:pPr>
                  <w:r>
                    <w:rPr>
                      <w:rFonts w:eastAsia="仿宋_GB2312"/>
                    </w:rPr>
                    <w:t>202</w:t>
                  </w:r>
                  <w:r>
                    <w:rPr>
                      <w:rFonts w:hint="eastAsia" w:eastAsia="仿宋_GB2312"/>
                    </w:rPr>
                    <w:t>5</w:t>
                  </w:r>
                  <w:r>
                    <w:rPr>
                      <w:rFonts w:eastAsia="仿宋_GB2312"/>
                    </w:rPr>
                    <w:t>.</w:t>
                  </w:r>
                  <w:r>
                    <w:rPr>
                      <w:rFonts w:hint="eastAsia" w:eastAsia="仿宋_GB2312"/>
                    </w:rPr>
                    <w:t>3</w:t>
                  </w:r>
                  <w:r>
                    <w:rPr>
                      <w:rFonts w:eastAsia="仿宋_GB2312"/>
                    </w:rPr>
                    <w:t>.</w:t>
                  </w:r>
                  <w:r>
                    <w:rPr>
                      <w:rFonts w:hint="eastAsia" w:eastAsia="仿宋_GB2312"/>
                    </w:rPr>
                    <w:t>26</w:t>
                  </w:r>
                </w:p>
              </w:tc>
              <w:tc>
                <w:tcPr>
                  <w:tcW w:w="1006" w:type="pct"/>
                  <w:vMerge w:val="restart"/>
                  <w:tcBorders>
                    <w:tl2br w:val="nil"/>
                    <w:tr2bl w:val="nil"/>
                  </w:tcBorders>
                  <w:noWrap/>
                  <w:vAlign w:val="center"/>
                </w:tcPr>
                <w:p w14:paraId="26808C70">
                  <w:pPr>
                    <w:pStyle w:val="17"/>
                    <w:numPr>
                      <w:ilvl w:val="0"/>
                      <w:numId w:val="0"/>
                    </w:numPr>
                    <w:tabs>
                      <w:tab w:val="clear" w:pos="2040"/>
                    </w:tabs>
                    <w:jc w:val="center"/>
                    <w:rPr>
                      <w:rFonts w:eastAsia="仿宋_GB2312"/>
                    </w:rPr>
                  </w:pPr>
                  <w:r>
                    <w:rPr>
                      <w:rFonts w:eastAsia="仿宋_GB2312"/>
                    </w:rPr>
                    <w:t>检测单位：</w:t>
                  </w:r>
                  <w:r>
                    <w:rPr>
                      <w:rFonts w:hint="eastAsia" w:eastAsia="仿宋_GB2312"/>
                    </w:rPr>
                    <w:t>苏州华实环境技术有限公司</w:t>
                  </w:r>
                </w:p>
                <w:p w14:paraId="4F8991E9">
                  <w:pPr>
                    <w:pStyle w:val="17"/>
                    <w:numPr>
                      <w:ilvl w:val="0"/>
                      <w:numId w:val="0"/>
                    </w:numPr>
                    <w:tabs>
                      <w:tab w:val="clear" w:pos="2040"/>
                    </w:tabs>
                    <w:jc w:val="center"/>
                    <w:rPr>
                      <w:rFonts w:eastAsia="仿宋_GB2312"/>
                    </w:rPr>
                  </w:pPr>
                  <w:r>
                    <w:rPr>
                      <w:rFonts w:eastAsia="仿宋_GB2312"/>
                    </w:rPr>
                    <w:t>报告编号：</w:t>
                  </w:r>
                  <w:r>
                    <w:rPr>
                      <w:rFonts w:hint="eastAsia" w:eastAsia="仿宋_GB2312"/>
                    </w:rPr>
                    <w:t>HS25182（综）</w:t>
                  </w:r>
                </w:p>
              </w:tc>
              <w:tc>
                <w:tcPr>
                  <w:tcW w:w="482" w:type="pct"/>
                  <w:vMerge w:val="restart"/>
                  <w:tcBorders>
                    <w:tl2br w:val="nil"/>
                    <w:tr2bl w:val="nil"/>
                  </w:tcBorders>
                  <w:noWrap/>
                  <w:vAlign w:val="center"/>
                </w:tcPr>
                <w:p w14:paraId="11195BD5">
                  <w:pPr>
                    <w:pStyle w:val="17"/>
                    <w:numPr>
                      <w:ilvl w:val="0"/>
                      <w:numId w:val="0"/>
                    </w:numPr>
                    <w:tabs>
                      <w:tab w:val="clear" w:pos="2040"/>
                    </w:tabs>
                    <w:jc w:val="center"/>
                    <w:rPr>
                      <w:rFonts w:eastAsia="仿宋_GB2312"/>
                    </w:rPr>
                  </w:pPr>
                  <w:r>
                    <w:rPr>
                      <w:rFonts w:hint="eastAsia" w:eastAsia="仿宋_GB2312"/>
                    </w:rPr>
                    <w:t>Q6</w:t>
                  </w:r>
                  <w:r>
                    <w:rPr>
                      <w:rFonts w:eastAsia="仿宋_GB2312"/>
                    </w:rPr>
                    <w:t>排气筒出口</w:t>
                  </w:r>
                </w:p>
              </w:tc>
              <w:tc>
                <w:tcPr>
                  <w:tcW w:w="676" w:type="pct"/>
                  <w:tcBorders>
                    <w:tl2br w:val="nil"/>
                    <w:tr2bl w:val="nil"/>
                  </w:tcBorders>
                  <w:noWrap/>
                  <w:vAlign w:val="center"/>
                </w:tcPr>
                <w:p w14:paraId="7B05E972">
                  <w:pPr>
                    <w:pStyle w:val="17"/>
                    <w:numPr>
                      <w:ilvl w:val="0"/>
                      <w:numId w:val="0"/>
                    </w:numPr>
                    <w:tabs>
                      <w:tab w:val="clear" w:pos="2040"/>
                    </w:tabs>
                    <w:jc w:val="center"/>
                    <w:rPr>
                      <w:rFonts w:eastAsia="仿宋_GB2312"/>
                    </w:rPr>
                  </w:pPr>
                  <w:r>
                    <w:rPr>
                      <w:rFonts w:eastAsia="仿宋_GB2312"/>
                    </w:rPr>
                    <w:t>风量（m</w:t>
                  </w:r>
                  <w:r>
                    <w:rPr>
                      <w:rFonts w:eastAsia="仿宋_GB2312"/>
                      <w:vertAlign w:val="superscript"/>
                    </w:rPr>
                    <w:t>3</w:t>
                  </w:r>
                  <w:r>
                    <w:rPr>
                      <w:rFonts w:eastAsia="仿宋_GB2312"/>
                    </w:rPr>
                    <w:t>/h）</w:t>
                  </w:r>
                </w:p>
              </w:tc>
              <w:tc>
                <w:tcPr>
                  <w:tcW w:w="1394" w:type="pct"/>
                  <w:tcBorders>
                    <w:tl2br w:val="nil"/>
                    <w:tr2bl w:val="nil"/>
                  </w:tcBorders>
                  <w:noWrap/>
                  <w:vAlign w:val="center"/>
                </w:tcPr>
                <w:p w14:paraId="692A3405">
                  <w:pPr>
                    <w:pStyle w:val="17"/>
                    <w:numPr>
                      <w:ilvl w:val="0"/>
                      <w:numId w:val="0"/>
                    </w:numPr>
                    <w:tabs>
                      <w:tab w:val="clear" w:pos="2040"/>
                    </w:tabs>
                    <w:jc w:val="center"/>
                    <w:rPr>
                      <w:rFonts w:eastAsia="仿宋_GB2312"/>
                    </w:rPr>
                  </w:pPr>
                  <w:r>
                    <w:rPr>
                      <w:rFonts w:hint="eastAsia" w:eastAsia="仿宋_GB2312"/>
                    </w:rPr>
                    <w:t>17317</w:t>
                  </w:r>
                </w:p>
              </w:tc>
              <w:tc>
                <w:tcPr>
                  <w:tcW w:w="678" w:type="pct"/>
                  <w:tcBorders>
                    <w:tl2br w:val="nil"/>
                    <w:tr2bl w:val="nil"/>
                  </w:tcBorders>
                  <w:noWrap/>
                  <w:vAlign w:val="center"/>
                </w:tcPr>
                <w:p w14:paraId="455AB6CF">
                  <w:pPr>
                    <w:pStyle w:val="17"/>
                    <w:numPr>
                      <w:ilvl w:val="0"/>
                      <w:numId w:val="0"/>
                    </w:numPr>
                    <w:tabs>
                      <w:tab w:val="clear" w:pos="2040"/>
                    </w:tabs>
                    <w:jc w:val="center"/>
                    <w:rPr>
                      <w:rFonts w:eastAsia="仿宋_GB2312"/>
                    </w:rPr>
                  </w:pPr>
                  <w:r>
                    <w:rPr>
                      <w:rFonts w:eastAsia="仿宋_GB2312"/>
                    </w:rPr>
                    <w:t>/</w:t>
                  </w:r>
                </w:p>
              </w:tc>
            </w:tr>
            <w:tr w14:paraId="77839B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1" w:type="pct"/>
                  <w:vMerge w:val="continue"/>
                  <w:tcBorders>
                    <w:tl2br w:val="nil"/>
                    <w:tr2bl w:val="nil"/>
                  </w:tcBorders>
                  <w:noWrap/>
                  <w:vAlign w:val="center"/>
                </w:tcPr>
                <w:p w14:paraId="2EDB9A7A">
                  <w:pPr>
                    <w:pStyle w:val="17"/>
                    <w:numPr>
                      <w:ilvl w:val="0"/>
                      <w:numId w:val="0"/>
                    </w:numPr>
                    <w:tabs>
                      <w:tab w:val="clear" w:pos="2040"/>
                    </w:tabs>
                    <w:jc w:val="center"/>
                    <w:rPr>
                      <w:rFonts w:eastAsia="仿宋_GB2312"/>
                    </w:rPr>
                  </w:pPr>
                </w:p>
              </w:tc>
              <w:tc>
                <w:tcPr>
                  <w:tcW w:w="1006" w:type="pct"/>
                  <w:vMerge w:val="continue"/>
                  <w:tcBorders>
                    <w:tl2br w:val="nil"/>
                    <w:tr2bl w:val="nil"/>
                  </w:tcBorders>
                  <w:noWrap/>
                  <w:vAlign w:val="center"/>
                </w:tcPr>
                <w:p w14:paraId="6FEDC906">
                  <w:pPr>
                    <w:pStyle w:val="17"/>
                    <w:numPr>
                      <w:ilvl w:val="0"/>
                      <w:numId w:val="0"/>
                    </w:numPr>
                    <w:tabs>
                      <w:tab w:val="clear" w:pos="2040"/>
                    </w:tabs>
                    <w:jc w:val="center"/>
                    <w:rPr>
                      <w:rFonts w:eastAsia="仿宋_GB2312"/>
                    </w:rPr>
                  </w:pPr>
                </w:p>
              </w:tc>
              <w:tc>
                <w:tcPr>
                  <w:tcW w:w="482" w:type="pct"/>
                  <w:vMerge w:val="continue"/>
                  <w:tcBorders>
                    <w:tl2br w:val="nil"/>
                    <w:tr2bl w:val="nil"/>
                  </w:tcBorders>
                  <w:noWrap/>
                  <w:vAlign w:val="center"/>
                </w:tcPr>
                <w:p w14:paraId="0A8AE122">
                  <w:pPr>
                    <w:pStyle w:val="17"/>
                    <w:numPr>
                      <w:ilvl w:val="0"/>
                      <w:numId w:val="0"/>
                    </w:numPr>
                    <w:tabs>
                      <w:tab w:val="clear" w:pos="2040"/>
                    </w:tabs>
                    <w:jc w:val="center"/>
                    <w:rPr>
                      <w:rFonts w:eastAsia="仿宋_GB2312"/>
                    </w:rPr>
                  </w:pPr>
                </w:p>
              </w:tc>
              <w:tc>
                <w:tcPr>
                  <w:tcW w:w="676" w:type="pct"/>
                  <w:vMerge w:val="restart"/>
                  <w:tcBorders>
                    <w:tl2br w:val="nil"/>
                    <w:tr2bl w:val="nil"/>
                  </w:tcBorders>
                  <w:noWrap/>
                  <w:vAlign w:val="center"/>
                </w:tcPr>
                <w:p w14:paraId="62FAF175">
                  <w:pPr>
                    <w:pStyle w:val="17"/>
                    <w:numPr>
                      <w:ilvl w:val="0"/>
                      <w:numId w:val="0"/>
                    </w:numPr>
                    <w:tabs>
                      <w:tab w:val="clear" w:pos="2040"/>
                    </w:tabs>
                    <w:jc w:val="center"/>
                    <w:rPr>
                      <w:rFonts w:eastAsia="仿宋_GB2312"/>
                    </w:rPr>
                  </w:pPr>
                  <w:r>
                    <w:rPr>
                      <w:rFonts w:eastAsia="仿宋_GB2312"/>
                    </w:rPr>
                    <w:t>颗粒物</w:t>
                  </w:r>
                </w:p>
              </w:tc>
              <w:tc>
                <w:tcPr>
                  <w:tcW w:w="1394" w:type="pct"/>
                  <w:tcBorders>
                    <w:tl2br w:val="nil"/>
                    <w:tr2bl w:val="nil"/>
                  </w:tcBorders>
                  <w:noWrap/>
                  <w:vAlign w:val="center"/>
                </w:tcPr>
                <w:p w14:paraId="5FF59E9D">
                  <w:pPr>
                    <w:pStyle w:val="17"/>
                    <w:numPr>
                      <w:ilvl w:val="0"/>
                      <w:numId w:val="0"/>
                    </w:numPr>
                    <w:tabs>
                      <w:tab w:val="clear" w:pos="2040"/>
                    </w:tabs>
                    <w:jc w:val="center"/>
                    <w:rPr>
                      <w:rFonts w:eastAsia="仿宋_GB2312"/>
                    </w:rPr>
                  </w:pPr>
                  <w:r>
                    <w:rPr>
                      <w:rFonts w:eastAsia="仿宋_GB2312"/>
                    </w:rPr>
                    <w:t>排放浓度（mg/m</w:t>
                  </w:r>
                  <w:r>
                    <w:rPr>
                      <w:rFonts w:eastAsia="仿宋_GB2312"/>
                      <w:vertAlign w:val="superscript"/>
                    </w:rPr>
                    <w:t>3</w:t>
                  </w:r>
                  <w:r>
                    <w:rPr>
                      <w:rFonts w:eastAsia="仿宋_GB2312"/>
                    </w:rPr>
                    <w:t>）</w:t>
                  </w:r>
                </w:p>
              </w:tc>
              <w:tc>
                <w:tcPr>
                  <w:tcW w:w="678" w:type="pct"/>
                  <w:tcBorders>
                    <w:tl2br w:val="nil"/>
                    <w:tr2bl w:val="nil"/>
                  </w:tcBorders>
                  <w:noWrap/>
                  <w:vAlign w:val="center"/>
                </w:tcPr>
                <w:p w14:paraId="0DA8D4B7">
                  <w:pPr>
                    <w:pStyle w:val="17"/>
                    <w:numPr>
                      <w:ilvl w:val="0"/>
                      <w:numId w:val="0"/>
                    </w:numPr>
                    <w:tabs>
                      <w:tab w:val="clear" w:pos="2040"/>
                    </w:tabs>
                    <w:jc w:val="center"/>
                    <w:rPr>
                      <w:rFonts w:eastAsia="仿宋_GB2312"/>
                    </w:rPr>
                  </w:pPr>
                  <w:r>
                    <w:rPr>
                      <w:rFonts w:eastAsia="仿宋_GB2312"/>
                    </w:rPr>
                    <w:t>1.</w:t>
                  </w:r>
                  <w:r>
                    <w:rPr>
                      <w:rFonts w:hint="eastAsia" w:eastAsia="仿宋_GB2312"/>
                    </w:rPr>
                    <w:t>2</w:t>
                  </w:r>
                </w:p>
              </w:tc>
            </w:tr>
            <w:tr w14:paraId="05EECE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1" w:type="pct"/>
                  <w:vMerge w:val="continue"/>
                  <w:tcBorders>
                    <w:tl2br w:val="nil"/>
                    <w:tr2bl w:val="nil"/>
                  </w:tcBorders>
                  <w:noWrap/>
                  <w:vAlign w:val="center"/>
                </w:tcPr>
                <w:p w14:paraId="13266400">
                  <w:pPr>
                    <w:pStyle w:val="17"/>
                    <w:numPr>
                      <w:ilvl w:val="0"/>
                      <w:numId w:val="0"/>
                    </w:numPr>
                    <w:tabs>
                      <w:tab w:val="clear" w:pos="2040"/>
                    </w:tabs>
                    <w:jc w:val="center"/>
                    <w:rPr>
                      <w:rFonts w:eastAsia="仿宋_GB2312"/>
                    </w:rPr>
                  </w:pPr>
                </w:p>
              </w:tc>
              <w:tc>
                <w:tcPr>
                  <w:tcW w:w="1006" w:type="pct"/>
                  <w:vMerge w:val="continue"/>
                  <w:tcBorders>
                    <w:tl2br w:val="nil"/>
                    <w:tr2bl w:val="nil"/>
                  </w:tcBorders>
                  <w:noWrap/>
                  <w:vAlign w:val="center"/>
                </w:tcPr>
                <w:p w14:paraId="7E8D7005">
                  <w:pPr>
                    <w:pStyle w:val="17"/>
                    <w:numPr>
                      <w:ilvl w:val="0"/>
                      <w:numId w:val="0"/>
                    </w:numPr>
                    <w:tabs>
                      <w:tab w:val="clear" w:pos="2040"/>
                    </w:tabs>
                    <w:jc w:val="center"/>
                    <w:rPr>
                      <w:rFonts w:eastAsia="仿宋_GB2312"/>
                    </w:rPr>
                  </w:pPr>
                </w:p>
              </w:tc>
              <w:tc>
                <w:tcPr>
                  <w:tcW w:w="482" w:type="pct"/>
                  <w:vMerge w:val="continue"/>
                  <w:tcBorders>
                    <w:tl2br w:val="nil"/>
                    <w:tr2bl w:val="nil"/>
                  </w:tcBorders>
                  <w:noWrap/>
                  <w:vAlign w:val="center"/>
                </w:tcPr>
                <w:p w14:paraId="07D79E11">
                  <w:pPr>
                    <w:pStyle w:val="17"/>
                    <w:numPr>
                      <w:ilvl w:val="0"/>
                      <w:numId w:val="0"/>
                    </w:numPr>
                    <w:tabs>
                      <w:tab w:val="clear" w:pos="2040"/>
                    </w:tabs>
                    <w:jc w:val="center"/>
                    <w:rPr>
                      <w:rFonts w:eastAsia="仿宋_GB2312"/>
                    </w:rPr>
                  </w:pPr>
                </w:p>
              </w:tc>
              <w:tc>
                <w:tcPr>
                  <w:tcW w:w="676" w:type="pct"/>
                  <w:vMerge w:val="continue"/>
                  <w:tcBorders>
                    <w:tl2br w:val="nil"/>
                    <w:tr2bl w:val="nil"/>
                  </w:tcBorders>
                  <w:noWrap/>
                  <w:vAlign w:val="center"/>
                </w:tcPr>
                <w:p w14:paraId="0145F059">
                  <w:pPr>
                    <w:pStyle w:val="17"/>
                    <w:numPr>
                      <w:ilvl w:val="0"/>
                      <w:numId w:val="0"/>
                    </w:numPr>
                    <w:tabs>
                      <w:tab w:val="clear" w:pos="2040"/>
                    </w:tabs>
                    <w:jc w:val="center"/>
                    <w:rPr>
                      <w:rFonts w:eastAsia="仿宋_GB2312"/>
                    </w:rPr>
                  </w:pPr>
                </w:p>
              </w:tc>
              <w:tc>
                <w:tcPr>
                  <w:tcW w:w="1394" w:type="pct"/>
                  <w:tcBorders>
                    <w:tl2br w:val="nil"/>
                    <w:tr2bl w:val="nil"/>
                  </w:tcBorders>
                  <w:noWrap/>
                  <w:vAlign w:val="center"/>
                </w:tcPr>
                <w:p w14:paraId="7785FA59">
                  <w:pPr>
                    <w:pStyle w:val="17"/>
                    <w:numPr>
                      <w:ilvl w:val="0"/>
                      <w:numId w:val="0"/>
                    </w:numPr>
                    <w:tabs>
                      <w:tab w:val="clear" w:pos="2040"/>
                    </w:tabs>
                    <w:jc w:val="center"/>
                    <w:rPr>
                      <w:rFonts w:eastAsia="仿宋_GB2312"/>
                    </w:rPr>
                  </w:pPr>
                  <w:r>
                    <w:rPr>
                      <w:rFonts w:eastAsia="仿宋_GB2312"/>
                    </w:rPr>
                    <w:t>排放速率（kg/h）</w:t>
                  </w:r>
                </w:p>
              </w:tc>
              <w:tc>
                <w:tcPr>
                  <w:tcW w:w="678" w:type="pct"/>
                  <w:tcBorders>
                    <w:tl2br w:val="nil"/>
                    <w:tr2bl w:val="nil"/>
                  </w:tcBorders>
                  <w:noWrap/>
                  <w:vAlign w:val="center"/>
                </w:tcPr>
                <w:p w14:paraId="725000B8">
                  <w:pPr>
                    <w:pStyle w:val="17"/>
                    <w:numPr>
                      <w:ilvl w:val="0"/>
                      <w:numId w:val="0"/>
                    </w:numPr>
                    <w:tabs>
                      <w:tab w:val="clear" w:pos="2040"/>
                    </w:tabs>
                    <w:jc w:val="center"/>
                    <w:rPr>
                      <w:rFonts w:eastAsia="仿宋_GB2312"/>
                    </w:rPr>
                  </w:pPr>
                  <w:r>
                    <w:rPr>
                      <w:rFonts w:hint="eastAsia" w:eastAsia="仿宋_GB2312"/>
                    </w:rPr>
                    <w:t>2.1</w:t>
                  </w:r>
                  <w:r>
                    <w:rPr>
                      <w:rFonts w:eastAsia="仿宋_GB2312"/>
                    </w:rPr>
                    <w:t>×10</w:t>
                  </w:r>
                  <w:r>
                    <w:rPr>
                      <w:rFonts w:eastAsia="仿宋_GB2312"/>
                      <w:vertAlign w:val="superscript"/>
                    </w:rPr>
                    <w:t>-2</w:t>
                  </w:r>
                </w:p>
              </w:tc>
            </w:tr>
            <w:tr w14:paraId="6DCA3D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1" w:type="pct"/>
                  <w:vMerge w:val="restart"/>
                  <w:tcBorders>
                    <w:tl2br w:val="nil"/>
                    <w:tr2bl w:val="nil"/>
                  </w:tcBorders>
                  <w:noWrap/>
                  <w:vAlign w:val="center"/>
                </w:tcPr>
                <w:p w14:paraId="3278D14A">
                  <w:pPr>
                    <w:jc w:val="center"/>
                    <w:rPr>
                      <w:rFonts w:eastAsia="仿宋_GB2312"/>
                    </w:rPr>
                  </w:pPr>
                  <w:r>
                    <w:rPr>
                      <w:rFonts w:eastAsia="仿宋_GB2312"/>
                    </w:rPr>
                    <w:t>202</w:t>
                  </w:r>
                  <w:r>
                    <w:rPr>
                      <w:rFonts w:hint="eastAsia" w:eastAsia="仿宋_GB2312"/>
                    </w:rPr>
                    <w:t>5</w:t>
                  </w:r>
                  <w:r>
                    <w:rPr>
                      <w:rFonts w:eastAsia="仿宋_GB2312"/>
                    </w:rPr>
                    <w:t>.</w:t>
                  </w:r>
                  <w:r>
                    <w:rPr>
                      <w:rFonts w:hint="eastAsia" w:eastAsia="仿宋_GB2312"/>
                    </w:rPr>
                    <w:t>3</w:t>
                  </w:r>
                  <w:r>
                    <w:rPr>
                      <w:rFonts w:eastAsia="仿宋_GB2312"/>
                    </w:rPr>
                    <w:t>.</w:t>
                  </w:r>
                  <w:r>
                    <w:rPr>
                      <w:rFonts w:hint="eastAsia" w:eastAsia="仿宋_GB2312"/>
                    </w:rPr>
                    <w:t>26</w:t>
                  </w:r>
                </w:p>
              </w:tc>
              <w:tc>
                <w:tcPr>
                  <w:tcW w:w="1006" w:type="pct"/>
                  <w:vMerge w:val="restart"/>
                  <w:tcBorders>
                    <w:tl2br w:val="nil"/>
                    <w:tr2bl w:val="nil"/>
                  </w:tcBorders>
                  <w:noWrap/>
                  <w:vAlign w:val="center"/>
                </w:tcPr>
                <w:p w14:paraId="01665989">
                  <w:pPr>
                    <w:pStyle w:val="17"/>
                    <w:numPr>
                      <w:ilvl w:val="0"/>
                      <w:numId w:val="0"/>
                    </w:numPr>
                    <w:tabs>
                      <w:tab w:val="clear" w:pos="2040"/>
                    </w:tabs>
                    <w:jc w:val="center"/>
                    <w:rPr>
                      <w:rFonts w:eastAsia="仿宋_GB2312"/>
                    </w:rPr>
                  </w:pPr>
                  <w:r>
                    <w:rPr>
                      <w:rFonts w:eastAsia="仿宋_GB2312"/>
                    </w:rPr>
                    <w:t>检测单位：</w:t>
                  </w:r>
                  <w:r>
                    <w:rPr>
                      <w:rFonts w:hint="eastAsia" w:eastAsia="仿宋_GB2312"/>
                    </w:rPr>
                    <w:t>苏州华实环境技术有限公司</w:t>
                  </w:r>
                </w:p>
                <w:p w14:paraId="16BC3C7D">
                  <w:pPr>
                    <w:pStyle w:val="17"/>
                    <w:numPr>
                      <w:ilvl w:val="0"/>
                      <w:numId w:val="0"/>
                    </w:numPr>
                    <w:tabs>
                      <w:tab w:val="clear" w:pos="2040"/>
                    </w:tabs>
                    <w:jc w:val="center"/>
                    <w:rPr>
                      <w:rFonts w:eastAsia="仿宋_GB2312"/>
                    </w:rPr>
                  </w:pPr>
                  <w:r>
                    <w:rPr>
                      <w:rFonts w:eastAsia="仿宋_GB2312"/>
                    </w:rPr>
                    <w:t>报告编号：</w:t>
                  </w:r>
                  <w:r>
                    <w:rPr>
                      <w:rFonts w:hint="eastAsia" w:eastAsia="仿宋_GB2312"/>
                    </w:rPr>
                    <w:t>HS25182（综）</w:t>
                  </w:r>
                </w:p>
              </w:tc>
              <w:tc>
                <w:tcPr>
                  <w:tcW w:w="482" w:type="pct"/>
                  <w:vMerge w:val="restart"/>
                  <w:tcBorders>
                    <w:tl2br w:val="nil"/>
                    <w:tr2bl w:val="nil"/>
                  </w:tcBorders>
                  <w:noWrap/>
                  <w:vAlign w:val="center"/>
                </w:tcPr>
                <w:p w14:paraId="11EDC7D8">
                  <w:pPr>
                    <w:pStyle w:val="17"/>
                    <w:numPr>
                      <w:ilvl w:val="0"/>
                      <w:numId w:val="0"/>
                    </w:numPr>
                    <w:tabs>
                      <w:tab w:val="clear" w:pos="2040"/>
                    </w:tabs>
                    <w:jc w:val="center"/>
                    <w:rPr>
                      <w:rFonts w:eastAsia="仿宋_GB2312"/>
                    </w:rPr>
                  </w:pPr>
                  <w:r>
                    <w:rPr>
                      <w:rFonts w:hint="eastAsia" w:eastAsia="仿宋_GB2312"/>
                    </w:rPr>
                    <w:t>Q7</w:t>
                  </w:r>
                  <w:r>
                    <w:rPr>
                      <w:rFonts w:eastAsia="仿宋_GB2312"/>
                    </w:rPr>
                    <w:t>排气筒出口</w:t>
                  </w:r>
                </w:p>
              </w:tc>
              <w:tc>
                <w:tcPr>
                  <w:tcW w:w="676" w:type="pct"/>
                  <w:tcBorders>
                    <w:tl2br w:val="nil"/>
                    <w:tr2bl w:val="nil"/>
                  </w:tcBorders>
                  <w:noWrap/>
                  <w:vAlign w:val="center"/>
                </w:tcPr>
                <w:p w14:paraId="28BA4B18">
                  <w:pPr>
                    <w:pStyle w:val="17"/>
                    <w:numPr>
                      <w:ilvl w:val="0"/>
                      <w:numId w:val="0"/>
                    </w:numPr>
                    <w:tabs>
                      <w:tab w:val="clear" w:pos="2040"/>
                    </w:tabs>
                    <w:jc w:val="center"/>
                    <w:rPr>
                      <w:rFonts w:eastAsia="仿宋_GB2312"/>
                    </w:rPr>
                  </w:pPr>
                  <w:r>
                    <w:rPr>
                      <w:rFonts w:eastAsia="仿宋_GB2312"/>
                    </w:rPr>
                    <w:t>风量（m</w:t>
                  </w:r>
                  <w:r>
                    <w:rPr>
                      <w:rFonts w:eastAsia="仿宋_GB2312"/>
                      <w:vertAlign w:val="superscript"/>
                    </w:rPr>
                    <w:t>3</w:t>
                  </w:r>
                  <w:r>
                    <w:rPr>
                      <w:rFonts w:eastAsia="仿宋_GB2312"/>
                    </w:rPr>
                    <w:t>/h）</w:t>
                  </w:r>
                </w:p>
              </w:tc>
              <w:tc>
                <w:tcPr>
                  <w:tcW w:w="1394" w:type="pct"/>
                  <w:tcBorders>
                    <w:tl2br w:val="nil"/>
                    <w:tr2bl w:val="nil"/>
                  </w:tcBorders>
                  <w:noWrap/>
                  <w:vAlign w:val="center"/>
                </w:tcPr>
                <w:p w14:paraId="6C042241">
                  <w:pPr>
                    <w:pStyle w:val="17"/>
                    <w:numPr>
                      <w:ilvl w:val="0"/>
                      <w:numId w:val="0"/>
                    </w:numPr>
                    <w:tabs>
                      <w:tab w:val="clear" w:pos="2040"/>
                    </w:tabs>
                    <w:jc w:val="center"/>
                    <w:rPr>
                      <w:rFonts w:eastAsia="仿宋_GB2312"/>
                    </w:rPr>
                  </w:pPr>
                  <w:r>
                    <w:rPr>
                      <w:rFonts w:hint="eastAsia" w:eastAsia="仿宋_GB2312"/>
                    </w:rPr>
                    <w:t>30303</w:t>
                  </w:r>
                </w:p>
              </w:tc>
              <w:tc>
                <w:tcPr>
                  <w:tcW w:w="678" w:type="pct"/>
                  <w:tcBorders>
                    <w:tl2br w:val="nil"/>
                    <w:tr2bl w:val="nil"/>
                  </w:tcBorders>
                  <w:noWrap/>
                  <w:vAlign w:val="center"/>
                </w:tcPr>
                <w:p w14:paraId="3042A869">
                  <w:pPr>
                    <w:pStyle w:val="17"/>
                    <w:numPr>
                      <w:ilvl w:val="0"/>
                      <w:numId w:val="0"/>
                    </w:numPr>
                    <w:tabs>
                      <w:tab w:val="clear" w:pos="2040"/>
                    </w:tabs>
                    <w:jc w:val="center"/>
                    <w:rPr>
                      <w:rFonts w:eastAsia="仿宋_GB2312"/>
                    </w:rPr>
                  </w:pPr>
                  <w:r>
                    <w:rPr>
                      <w:rFonts w:eastAsia="仿宋_GB2312"/>
                    </w:rPr>
                    <w:t>/</w:t>
                  </w:r>
                </w:p>
              </w:tc>
            </w:tr>
            <w:tr w14:paraId="237244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1" w:type="pct"/>
                  <w:vMerge w:val="continue"/>
                  <w:tcBorders>
                    <w:tl2br w:val="nil"/>
                    <w:tr2bl w:val="nil"/>
                  </w:tcBorders>
                  <w:noWrap/>
                  <w:vAlign w:val="center"/>
                </w:tcPr>
                <w:p w14:paraId="432A705D">
                  <w:pPr>
                    <w:pStyle w:val="17"/>
                    <w:numPr>
                      <w:ilvl w:val="0"/>
                      <w:numId w:val="0"/>
                    </w:numPr>
                    <w:tabs>
                      <w:tab w:val="clear" w:pos="2040"/>
                    </w:tabs>
                    <w:jc w:val="center"/>
                    <w:rPr>
                      <w:rFonts w:eastAsia="仿宋_GB2312"/>
                    </w:rPr>
                  </w:pPr>
                </w:p>
              </w:tc>
              <w:tc>
                <w:tcPr>
                  <w:tcW w:w="1006" w:type="pct"/>
                  <w:vMerge w:val="continue"/>
                  <w:tcBorders>
                    <w:tl2br w:val="nil"/>
                    <w:tr2bl w:val="nil"/>
                  </w:tcBorders>
                  <w:noWrap/>
                  <w:vAlign w:val="center"/>
                </w:tcPr>
                <w:p w14:paraId="498DD26C">
                  <w:pPr>
                    <w:pStyle w:val="17"/>
                    <w:numPr>
                      <w:ilvl w:val="0"/>
                      <w:numId w:val="0"/>
                    </w:numPr>
                    <w:tabs>
                      <w:tab w:val="clear" w:pos="2040"/>
                    </w:tabs>
                    <w:jc w:val="center"/>
                    <w:rPr>
                      <w:rFonts w:eastAsia="仿宋_GB2312"/>
                    </w:rPr>
                  </w:pPr>
                </w:p>
              </w:tc>
              <w:tc>
                <w:tcPr>
                  <w:tcW w:w="482" w:type="pct"/>
                  <w:vMerge w:val="continue"/>
                  <w:tcBorders>
                    <w:tl2br w:val="nil"/>
                    <w:tr2bl w:val="nil"/>
                  </w:tcBorders>
                  <w:noWrap/>
                  <w:vAlign w:val="center"/>
                </w:tcPr>
                <w:p w14:paraId="37CB234E">
                  <w:pPr>
                    <w:pStyle w:val="17"/>
                    <w:numPr>
                      <w:ilvl w:val="0"/>
                      <w:numId w:val="0"/>
                    </w:numPr>
                    <w:tabs>
                      <w:tab w:val="clear" w:pos="2040"/>
                    </w:tabs>
                    <w:jc w:val="center"/>
                    <w:rPr>
                      <w:rFonts w:eastAsia="仿宋_GB2312"/>
                    </w:rPr>
                  </w:pPr>
                </w:p>
              </w:tc>
              <w:tc>
                <w:tcPr>
                  <w:tcW w:w="676" w:type="pct"/>
                  <w:vMerge w:val="restart"/>
                  <w:tcBorders>
                    <w:tl2br w:val="nil"/>
                    <w:tr2bl w:val="nil"/>
                  </w:tcBorders>
                  <w:noWrap/>
                  <w:vAlign w:val="center"/>
                </w:tcPr>
                <w:p w14:paraId="326944CB">
                  <w:pPr>
                    <w:pStyle w:val="17"/>
                    <w:numPr>
                      <w:ilvl w:val="0"/>
                      <w:numId w:val="0"/>
                    </w:numPr>
                    <w:tabs>
                      <w:tab w:val="clear" w:pos="2040"/>
                    </w:tabs>
                    <w:jc w:val="center"/>
                    <w:rPr>
                      <w:rFonts w:eastAsia="仿宋_GB2312"/>
                    </w:rPr>
                  </w:pPr>
                  <w:r>
                    <w:rPr>
                      <w:rFonts w:eastAsia="仿宋_GB2312"/>
                    </w:rPr>
                    <w:t>颗粒物</w:t>
                  </w:r>
                </w:p>
              </w:tc>
              <w:tc>
                <w:tcPr>
                  <w:tcW w:w="1394" w:type="pct"/>
                  <w:tcBorders>
                    <w:tl2br w:val="nil"/>
                    <w:tr2bl w:val="nil"/>
                  </w:tcBorders>
                  <w:noWrap/>
                  <w:vAlign w:val="center"/>
                </w:tcPr>
                <w:p w14:paraId="606A3E8E">
                  <w:pPr>
                    <w:pStyle w:val="17"/>
                    <w:numPr>
                      <w:ilvl w:val="0"/>
                      <w:numId w:val="0"/>
                    </w:numPr>
                    <w:tabs>
                      <w:tab w:val="clear" w:pos="2040"/>
                    </w:tabs>
                    <w:jc w:val="center"/>
                    <w:rPr>
                      <w:rFonts w:eastAsia="仿宋_GB2312"/>
                    </w:rPr>
                  </w:pPr>
                  <w:r>
                    <w:rPr>
                      <w:rFonts w:eastAsia="仿宋_GB2312"/>
                    </w:rPr>
                    <w:t>排放浓度（mg/m</w:t>
                  </w:r>
                  <w:r>
                    <w:rPr>
                      <w:rFonts w:eastAsia="仿宋_GB2312"/>
                      <w:vertAlign w:val="superscript"/>
                    </w:rPr>
                    <w:t>3</w:t>
                  </w:r>
                  <w:r>
                    <w:rPr>
                      <w:rFonts w:eastAsia="仿宋_GB2312"/>
                    </w:rPr>
                    <w:t>）</w:t>
                  </w:r>
                </w:p>
              </w:tc>
              <w:tc>
                <w:tcPr>
                  <w:tcW w:w="678" w:type="pct"/>
                  <w:tcBorders>
                    <w:tl2br w:val="nil"/>
                    <w:tr2bl w:val="nil"/>
                  </w:tcBorders>
                  <w:noWrap/>
                  <w:vAlign w:val="center"/>
                </w:tcPr>
                <w:p w14:paraId="3F04C8EA">
                  <w:pPr>
                    <w:pStyle w:val="17"/>
                    <w:numPr>
                      <w:ilvl w:val="0"/>
                      <w:numId w:val="0"/>
                    </w:numPr>
                    <w:tabs>
                      <w:tab w:val="clear" w:pos="2040"/>
                    </w:tabs>
                    <w:jc w:val="center"/>
                    <w:rPr>
                      <w:rFonts w:eastAsia="仿宋_GB2312"/>
                    </w:rPr>
                  </w:pPr>
                  <w:r>
                    <w:rPr>
                      <w:rFonts w:eastAsia="仿宋_GB2312"/>
                    </w:rPr>
                    <w:t>1.</w:t>
                  </w:r>
                  <w:r>
                    <w:rPr>
                      <w:rFonts w:hint="eastAsia" w:eastAsia="仿宋_GB2312"/>
                    </w:rPr>
                    <w:t>9</w:t>
                  </w:r>
                </w:p>
              </w:tc>
            </w:tr>
            <w:tr w14:paraId="1F4E34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1" w:type="pct"/>
                  <w:vMerge w:val="continue"/>
                  <w:tcBorders>
                    <w:tl2br w:val="nil"/>
                    <w:tr2bl w:val="nil"/>
                  </w:tcBorders>
                  <w:noWrap/>
                  <w:vAlign w:val="center"/>
                </w:tcPr>
                <w:p w14:paraId="668D1675">
                  <w:pPr>
                    <w:pStyle w:val="17"/>
                    <w:numPr>
                      <w:ilvl w:val="0"/>
                      <w:numId w:val="0"/>
                    </w:numPr>
                    <w:tabs>
                      <w:tab w:val="clear" w:pos="2040"/>
                    </w:tabs>
                    <w:jc w:val="center"/>
                    <w:rPr>
                      <w:rFonts w:eastAsia="仿宋_GB2312"/>
                    </w:rPr>
                  </w:pPr>
                </w:p>
              </w:tc>
              <w:tc>
                <w:tcPr>
                  <w:tcW w:w="1006" w:type="pct"/>
                  <w:vMerge w:val="continue"/>
                  <w:tcBorders>
                    <w:tl2br w:val="nil"/>
                    <w:tr2bl w:val="nil"/>
                  </w:tcBorders>
                  <w:noWrap/>
                  <w:vAlign w:val="center"/>
                </w:tcPr>
                <w:p w14:paraId="3997797B">
                  <w:pPr>
                    <w:pStyle w:val="17"/>
                    <w:numPr>
                      <w:ilvl w:val="0"/>
                      <w:numId w:val="0"/>
                    </w:numPr>
                    <w:tabs>
                      <w:tab w:val="clear" w:pos="2040"/>
                    </w:tabs>
                    <w:jc w:val="center"/>
                    <w:rPr>
                      <w:rFonts w:eastAsia="仿宋_GB2312"/>
                    </w:rPr>
                  </w:pPr>
                </w:p>
              </w:tc>
              <w:tc>
                <w:tcPr>
                  <w:tcW w:w="482" w:type="pct"/>
                  <w:vMerge w:val="continue"/>
                  <w:tcBorders>
                    <w:tl2br w:val="nil"/>
                    <w:tr2bl w:val="nil"/>
                  </w:tcBorders>
                  <w:noWrap/>
                  <w:vAlign w:val="center"/>
                </w:tcPr>
                <w:p w14:paraId="22C1BC7D">
                  <w:pPr>
                    <w:pStyle w:val="17"/>
                    <w:numPr>
                      <w:ilvl w:val="0"/>
                      <w:numId w:val="0"/>
                    </w:numPr>
                    <w:tabs>
                      <w:tab w:val="clear" w:pos="2040"/>
                    </w:tabs>
                    <w:jc w:val="center"/>
                    <w:rPr>
                      <w:rFonts w:eastAsia="仿宋_GB2312"/>
                    </w:rPr>
                  </w:pPr>
                </w:p>
              </w:tc>
              <w:tc>
                <w:tcPr>
                  <w:tcW w:w="676" w:type="pct"/>
                  <w:vMerge w:val="continue"/>
                  <w:tcBorders>
                    <w:tl2br w:val="nil"/>
                    <w:tr2bl w:val="nil"/>
                  </w:tcBorders>
                  <w:noWrap/>
                  <w:vAlign w:val="center"/>
                </w:tcPr>
                <w:p w14:paraId="778B2E0F">
                  <w:pPr>
                    <w:pStyle w:val="17"/>
                    <w:numPr>
                      <w:ilvl w:val="0"/>
                      <w:numId w:val="0"/>
                    </w:numPr>
                    <w:tabs>
                      <w:tab w:val="clear" w:pos="2040"/>
                    </w:tabs>
                    <w:jc w:val="center"/>
                    <w:rPr>
                      <w:rFonts w:eastAsia="仿宋_GB2312"/>
                    </w:rPr>
                  </w:pPr>
                </w:p>
              </w:tc>
              <w:tc>
                <w:tcPr>
                  <w:tcW w:w="1394" w:type="pct"/>
                  <w:tcBorders>
                    <w:tl2br w:val="nil"/>
                    <w:tr2bl w:val="nil"/>
                  </w:tcBorders>
                  <w:noWrap/>
                  <w:vAlign w:val="center"/>
                </w:tcPr>
                <w:p w14:paraId="7E72D6B3">
                  <w:pPr>
                    <w:pStyle w:val="17"/>
                    <w:numPr>
                      <w:ilvl w:val="0"/>
                      <w:numId w:val="0"/>
                    </w:numPr>
                    <w:tabs>
                      <w:tab w:val="clear" w:pos="2040"/>
                    </w:tabs>
                    <w:jc w:val="center"/>
                    <w:rPr>
                      <w:rFonts w:eastAsia="仿宋_GB2312"/>
                    </w:rPr>
                  </w:pPr>
                  <w:r>
                    <w:rPr>
                      <w:rFonts w:eastAsia="仿宋_GB2312"/>
                    </w:rPr>
                    <w:t>排放速率（kg/h）</w:t>
                  </w:r>
                </w:p>
              </w:tc>
              <w:tc>
                <w:tcPr>
                  <w:tcW w:w="678" w:type="pct"/>
                  <w:tcBorders>
                    <w:tl2br w:val="nil"/>
                    <w:tr2bl w:val="nil"/>
                  </w:tcBorders>
                  <w:noWrap/>
                  <w:vAlign w:val="center"/>
                </w:tcPr>
                <w:p w14:paraId="75EA7A4A">
                  <w:pPr>
                    <w:pStyle w:val="17"/>
                    <w:numPr>
                      <w:ilvl w:val="0"/>
                      <w:numId w:val="0"/>
                    </w:numPr>
                    <w:tabs>
                      <w:tab w:val="clear" w:pos="2040"/>
                    </w:tabs>
                    <w:jc w:val="center"/>
                    <w:rPr>
                      <w:rFonts w:eastAsia="仿宋_GB2312"/>
                    </w:rPr>
                  </w:pPr>
                  <w:r>
                    <w:rPr>
                      <w:rFonts w:hint="eastAsia" w:eastAsia="仿宋_GB2312"/>
                    </w:rPr>
                    <w:t>5.8</w:t>
                  </w:r>
                  <w:r>
                    <w:rPr>
                      <w:rFonts w:eastAsia="仿宋_GB2312"/>
                    </w:rPr>
                    <w:t>×10</w:t>
                  </w:r>
                  <w:r>
                    <w:rPr>
                      <w:rFonts w:eastAsia="仿宋_GB2312"/>
                      <w:vertAlign w:val="superscript"/>
                    </w:rPr>
                    <w:t>-2</w:t>
                  </w:r>
                </w:p>
              </w:tc>
            </w:tr>
            <w:tr w14:paraId="47ED2D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1" w:type="pct"/>
                  <w:vMerge w:val="restart"/>
                  <w:tcBorders>
                    <w:tl2br w:val="nil"/>
                    <w:tr2bl w:val="nil"/>
                  </w:tcBorders>
                  <w:noWrap/>
                  <w:vAlign w:val="center"/>
                </w:tcPr>
                <w:p w14:paraId="22603E9E">
                  <w:pPr>
                    <w:jc w:val="center"/>
                    <w:rPr>
                      <w:rFonts w:eastAsia="仿宋_GB2312"/>
                    </w:rPr>
                  </w:pPr>
                  <w:r>
                    <w:rPr>
                      <w:rFonts w:eastAsia="仿宋_GB2312"/>
                    </w:rPr>
                    <w:t>202</w:t>
                  </w:r>
                  <w:r>
                    <w:rPr>
                      <w:rFonts w:hint="eastAsia" w:eastAsia="仿宋_GB2312"/>
                    </w:rPr>
                    <w:t>5</w:t>
                  </w:r>
                  <w:r>
                    <w:rPr>
                      <w:rFonts w:eastAsia="仿宋_GB2312"/>
                    </w:rPr>
                    <w:t>.</w:t>
                  </w:r>
                  <w:r>
                    <w:rPr>
                      <w:rFonts w:hint="eastAsia" w:eastAsia="仿宋_GB2312"/>
                    </w:rPr>
                    <w:t>3</w:t>
                  </w:r>
                  <w:r>
                    <w:rPr>
                      <w:rFonts w:eastAsia="仿宋_GB2312"/>
                    </w:rPr>
                    <w:t>.</w:t>
                  </w:r>
                  <w:r>
                    <w:rPr>
                      <w:rFonts w:hint="eastAsia" w:eastAsia="仿宋_GB2312"/>
                    </w:rPr>
                    <w:t>27</w:t>
                  </w:r>
                </w:p>
              </w:tc>
              <w:tc>
                <w:tcPr>
                  <w:tcW w:w="1006" w:type="pct"/>
                  <w:vMerge w:val="restart"/>
                  <w:tcBorders>
                    <w:tl2br w:val="nil"/>
                    <w:tr2bl w:val="nil"/>
                  </w:tcBorders>
                  <w:noWrap/>
                  <w:vAlign w:val="center"/>
                </w:tcPr>
                <w:p w14:paraId="3A1285C6">
                  <w:pPr>
                    <w:pStyle w:val="17"/>
                    <w:numPr>
                      <w:ilvl w:val="0"/>
                      <w:numId w:val="0"/>
                    </w:numPr>
                    <w:tabs>
                      <w:tab w:val="clear" w:pos="2040"/>
                    </w:tabs>
                    <w:jc w:val="center"/>
                    <w:rPr>
                      <w:rFonts w:eastAsia="仿宋_GB2312"/>
                    </w:rPr>
                  </w:pPr>
                  <w:r>
                    <w:rPr>
                      <w:rFonts w:eastAsia="仿宋_GB2312"/>
                    </w:rPr>
                    <w:t>检测单位：</w:t>
                  </w:r>
                  <w:r>
                    <w:rPr>
                      <w:rFonts w:hint="eastAsia" w:eastAsia="仿宋_GB2312"/>
                    </w:rPr>
                    <w:t>苏州华实环境技术有限公司</w:t>
                  </w:r>
                </w:p>
                <w:p w14:paraId="1C50970E">
                  <w:pPr>
                    <w:pStyle w:val="17"/>
                    <w:numPr>
                      <w:ilvl w:val="0"/>
                      <w:numId w:val="0"/>
                    </w:numPr>
                    <w:tabs>
                      <w:tab w:val="clear" w:pos="2040"/>
                    </w:tabs>
                    <w:jc w:val="center"/>
                    <w:rPr>
                      <w:rFonts w:eastAsia="仿宋_GB2312"/>
                    </w:rPr>
                  </w:pPr>
                  <w:r>
                    <w:rPr>
                      <w:rFonts w:eastAsia="仿宋_GB2312"/>
                    </w:rPr>
                    <w:t>报告编号：</w:t>
                  </w:r>
                  <w:r>
                    <w:rPr>
                      <w:rFonts w:hint="eastAsia" w:eastAsia="仿宋_GB2312"/>
                    </w:rPr>
                    <w:t>HS25182（综）</w:t>
                  </w:r>
                </w:p>
              </w:tc>
              <w:tc>
                <w:tcPr>
                  <w:tcW w:w="482" w:type="pct"/>
                  <w:vMerge w:val="restart"/>
                  <w:tcBorders>
                    <w:tl2br w:val="nil"/>
                    <w:tr2bl w:val="nil"/>
                  </w:tcBorders>
                  <w:noWrap/>
                  <w:vAlign w:val="center"/>
                </w:tcPr>
                <w:p w14:paraId="31C2BC30">
                  <w:pPr>
                    <w:pStyle w:val="17"/>
                    <w:numPr>
                      <w:ilvl w:val="0"/>
                      <w:numId w:val="0"/>
                    </w:numPr>
                    <w:tabs>
                      <w:tab w:val="clear" w:pos="2040"/>
                    </w:tabs>
                    <w:jc w:val="center"/>
                    <w:rPr>
                      <w:rFonts w:eastAsia="仿宋_GB2312"/>
                    </w:rPr>
                  </w:pPr>
                  <w:r>
                    <w:rPr>
                      <w:rFonts w:hint="eastAsia" w:eastAsia="仿宋_GB2312"/>
                    </w:rPr>
                    <w:t>Q8</w:t>
                  </w:r>
                  <w:r>
                    <w:rPr>
                      <w:rFonts w:eastAsia="仿宋_GB2312"/>
                    </w:rPr>
                    <w:t>排气筒出口</w:t>
                  </w:r>
                </w:p>
              </w:tc>
              <w:tc>
                <w:tcPr>
                  <w:tcW w:w="676" w:type="pct"/>
                  <w:tcBorders>
                    <w:tl2br w:val="nil"/>
                    <w:tr2bl w:val="nil"/>
                  </w:tcBorders>
                  <w:noWrap/>
                  <w:vAlign w:val="center"/>
                </w:tcPr>
                <w:p w14:paraId="48D88F2F">
                  <w:pPr>
                    <w:pStyle w:val="17"/>
                    <w:numPr>
                      <w:ilvl w:val="0"/>
                      <w:numId w:val="0"/>
                    </w:numPr>
                    <w:tabs>
                      <w:tab w:val="clear" w:pos="2040"/>
                    </w:tabs>
                    <w:jc w:val="center"/>
                    <w:rPr>
                      <w:rFonts w:eastAsia="仿宋_GB2312"/>
                    </w:rPr>
                  </w:pPr>
                  <w:r>
                    <w:rPr>
                      <w:rFonts w:eastAsia="仿宋_GB2312"/>
                    </w:rPr>
                    <w:t>风量（m</w:t>
                  </w:r>
                  <w:r>
                    <w:rPr>
                      <w:rFonts w:eastAsia="仿宋_GB2312"/>
                      <w:vertAlign w:val="superscript"/>
                    </w:rPr>
                    <w:t>3</w:t>
                  </w:r>
                  <w:r>
                    <w:rPr>
                      <w:rFonts w:eastAsia="仿宋_GB2312"/>
                    </w:rPr>
                    <w:t>/h）</w:t>
                  </w:r>
                </w:p>
              </w:tc>
              <w:tc>
                <w:tcPr>
                  <w:tcW w:w="1394" w:type="pct"/>
                  <w:tcBorders>
                    <w:tl2br w:val="nil"/>
                    <w:tr2bl w:val="nil"/>
                  </w:tcBorders>
                  <w:noWrap/>
                  <w:vAlign w:val="center"/>
                </w:tcPr>
                <w:p w14:paraId="564A279F">
                  <w:pPr>
                    <w:pStyle w:val="17"/>
                    <w:numPr>
                      <w:ilvl w:val="0"/>
                      <w:numId w:val="0"/>
                    </w:numPr>
                    <w:tabs>
                      <w:tab w:val="clear" w:pos="2040"/>
                    </w:tabs>
                    <w:jc w:val="center"/>
                    <w:rPr>
                      <w:rFonts w:eastAsia="仿宋_GB2312"/>
                    </w:rPr>
                  </w:pPr>
                  <w:r>
                    <w:rPr>
                      <w:rFonts w:hint="eastAsia" w:eastAsia="仿宋_GB2312"/>
                    </w:rPr>
                    <w:t>14109</w:t>
                  </w:r>
                </w:p>
              </w:tc>
              <w:tc>
                <w:tcPr>
                  <w:tcW w:w="678" w:type="pct"/>
                  <w:tcBorders>
                    <w:tl2br w:val="nil"/>
                    <w:tr2bl w:val="nil"/>
                  </w:tcBorders>
                  <w:noWrap/>
                  <w:vAlign w:val="center"/>
                </w:tcPr>
                <w:p w14:paraId="50109770">
                  <w:pPr>
                    <w:pStyle w:val="17"/>
                    <w:numPr>
                      <w:ilvl w:val="0"/>
                      <w:numId w:val="0"/>
                    </w:numPr>
                    <w:tabs>
                      <w:tab w:val="clear" w:pos="2040"/>
                    </w:tabs>
                    <w:jc w:val="center"/>
                    <w:rPr>
                      <w:rFonts w:eastAsia="仿宋_GB2312"/>
                    </w:rPr>
                  </w:pPr>
                  <w:r>
                    <w:rPr>
                      <w:rFonts w:eastAsia="仿宋_GB2312"/>
                    </w:rPr>
                    <w:t>/</w:t>
                  </w:r>
                </w:p>
              </w:tc>
            </w:tr>
            <w:tr w14:paraId="47B4A0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1" w:type="pct"/>
                  <w:vMerge w:val="continue"/>
                  <w:tcBorders>
                    <w:tl2br w:val="nil"/>
                    <w:tr2bl w:val="nil"/>
                  </w:tcBorders>
                  <w:noWrap/>
                  <w:vAlign w:val="center"/>
                </w:tcPr>
                <w:p w14:paraId="01A77D49">
                  <w:pPr>
                    <w:pStyle w:val="17"/>
                    <w:numPr>
                      <w:ilvl w:val="0"/>
                      <w:numId w:val="0"/>
                    </w:numPr>
                    <w:tabs>
                      <w:tab w:val="clear" w:pos="2040"/>
                    </w:tabs>
                    <w:jc w:val="center"/>
                    <w:rPr>
                      <w:rFonts w:eastAsia="仿宋_GB2312"/>
                    </w:rPr>
                  </w:pPr>
                </w:p>
              </w:tc>
              <w:tc>
                <w:tcPr>
                  <w:tcW w:w="1006" w:type="pct"/>
                  <w:vMerge w:val="continue"/>
                  <w:tcBorders>
                    <w:tl2br w:val="nil"/>
                    <w:tr2bl w:val="nil"/>
                  </w:tcBorders>
                  <w:noWrap/>
                  <w:vAlign w:val="center"/>
                </w:tcPr>
                <w:p w14:paraId="113D045D">
                  <w:pPr>
                    <w:pStyle w:val="17"/>
                    <w:numPr>
                      <w:ilvl w:val="0"/>
                      <w:numId w:val="0"/>
                    </w:numPr>
                    <w:tabs>
                      <w:tab w:val="clear" w:pos="2040"/>
                    </w:tabs>
                    <w:jc w:val="center"/>
                    <w:rPr>
                      <w:rFonts w:eastAsia="仿宋_GB2312"/>
                    </w:rPr>
                  </w:pPr>
                </w:p>
              </w:tc>
              <w:tc>
                <w:tcPr>
                  <w:tcW w:w="482" w:type="pct"/>
                  <w:vMerge w:val="continue"/>
                  <w:tcBorders>
                    <w:tl2br w:val="nil"/>
                    <w:tr2bl w:val="nil"/>
                  </w:tcBorders>
                  <w:noWrap/>
                  <w:vAlign w:val="center"/>
                </w:tcPr>
                <w:p w14:paraId="6C6B75F6">
                  <w:pPr>
                    <w:pStyle w:val="17"/>
                    <w:numPr>
                      <w:ilvl w:val="0"/>
                      <w:numId w:val="0"/>
                    </w:numPr>
                    <w:tabs>
                      <w:tab w:val="clear" w:pos="2040"/>
                    </w:tabs>
                    <w:jc w:val="center"/>
                    <w:rPr>
                      <w:rFonts w:eastAsia="仿宋_GB2312"/>
                    </w:rPr>
                  </w:pPr>
                </w:p>
              </w:tc>
              <w:tc>
                <w:tcPr>
                  <w:tcW w:w="676" w:type="pct"/>
                  <w:vMerge w:val="restart"/>
                  <w:tcBorders>
                    <w:tl2br w:val="nil"/>
                    <w:tr2bl w:val="nil"/>
                  </w:tcBorders>
                  <w:noWrap/>
                  <w:vAlign w:val="center"/>
                </w:tcPr>
                <w:p w14:paraId="417115D9">
                  <w:pPr>
                    <w:pStyle w:val="17"/>
                    <w:numPr>
                      <w:ilvl w:val="0"/>
                      <w:numId w:val="0"/>
                    </w:numPr>
                    <w:tabs>
                      <w:tab w:val="clear" w:pos="2040"/>
                    </w:tabs>
                    <w:jc w:val="center"/>
                    <w:rPr>
                      <w:rFonts w:eastAsia="仿宋_GB2312"/>
                    </w:rPr>
                  </w:pPr>
                  <w:r>
                    <w:rPr>
                      <w:rFonts w:eastAsia="仿宋_GB2312"/>
                    </w:rPr>
                    <w:t>颗粒物</w:t>
                  </w:r>
                </w:p>
              </w:tc>
              <w:tc>
                <w:tcPr>
                  <w:tcW w:w="1394" w:type="pct"/>
                  <w:tcBorders>
                    <w:tl2br w:val="nil"/>
                    <w:tr2bl w:val="nil"/>
                  </w:tcBorders>
                  <w:noWrap/>
                  <w:vAlign w:val="center"/>
                </w:tcPr>
                <w:p w14:paraId="7DAB1C0F">
                  <w:pPr>
                    <w:pStyle w:val="17"/>
                    <w:numPr>
                      <w:ilvl w:val="0"/>
                      <w:numId w:val="0"/>
                    </w:numPr>
                    <w:tabs>
                      <w:tab w:val="clear" w:pos="2040"/>
                    </w:tabs>
                    <w:jc w:val="center"/>
                    <w:rPr>
                      <w:rFonts w:eastAsia="仿宋_GB2312"/>
                    </w:rPr>
                  </w:pPr>
                  <w:r>
                    <w:rPr>
                      <w:rFonts w:eastAsia="仿宋_GB2312"/>
                    </w:rPr>
                    <w:t>排放浓度（mg/m</w:t>
                  </w:r>
                  <w:r>
                    <w:rPr>
                      <w:rFonts w:eastAsia="仿宋_GB2312"/>
                      <w:vertAlign w:val="superscript"/>
                    </w:rPr>
                    <w:t>3</w:t>
                  </w:r>
                  <w:r>
                    <w:rPr>
                      <w:rFonts w:eastAsia="仿宋_GB2312"/>
                    </w:rPr>
                    <w:t>）</w:t>
                  </w:r>
                </w:p>
              </w:tc>
              <w:tc>
                <w:tcPr>
                  <w:tcW w:w="678" w:type="pct"/>
                  <w:tcBorders>
                    <w:tl2br w:val="nil"/>
                    <w:tr2bl w:val="nil"/>
                  </w:tcBorders>
                  <w:noWrap/>
                  <w:vAlign w:val="center"/>
                </w:tcPr>
                <w:p w14:paraId="52200B24">
                  <w:pPr>
                    <w:pStyle w:val="17"/>
                    <w:numPr>
                      <w:ilvl w:val="0"/>
                      <w:numId w:val="0"/>
                    </w:numPr>
                    <w:tabs>
                      <w:tab w:val="clear" w:pos="2040"/>
                    </w:tabs>
                    <w:jc w:val="center"/>
                    <w:rPr>
                      <w:rFonts w:eastAsia="仿宋_GB2312"/>
                    </w:rPr>
                  </w:pPr>
                  <w:r>
                    <w:rPr>
                      <w:rFonts w:hint="eastAsia" w:eastAsia="仿宋_GB2312"/>
                    </w:rPr>
                    <w:t>2.0</w:t>
                  </w:r>
                </w:p>
              </w:tc>
            </w:tr>
            <w:tr w14:paraId="225372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1" w:type="pct"/>
                  <w:vMerge w:val="continue"/>
                  <w:tcBorders>
                    <w:tl2br w:val="nil"/>
                    <w:tr2bl w:val="nil"/>
                  </w:tcBorders>
                  <w:noWrap/>
                  <w:vAlign w:val="center"/>
                </w:tcPr>
                <w:p w14:paraId="58F6190C">
                  <w:pPr>
                    <w:pStyle w:val="17"/>
                    <w:numPr>
                      <w:ilvl w:val="0"/>
                      <w:numId w:val="0"/>
                    </w:numPr>
                    <w:tabs>
                      <w:tab w:val="clear" w:pos="2040"/>
                    </w:tabs>
                    <w:jc w:val="center"/>
                    <w:rPr>
                      <w:rFonts w:eastAsia="仿宋_GB2312"/>
                    </w:rPr>
                  </w:pPr>
                </w:p>
              </w:tc>
              <w:tc>
                <w:tcPr>
                  <w:tcW w:w="1006" w:type="pct"/>
                  <w:vMerge w:val="continue"/>
                  <w:tcBorders>
                    <w:tl2br w:val="nil"/>
                    <w:tr2bl w:val="nil"/>
                  </w:tcBorders>
                  <w:noWrap/>
                  <w:vAlign w:val="center"/>
                </w:tcPr>
                <w:p w14:paraId="2BD68932">
                  <w:pPr>
                    <w:pStyle w:val="17"/>
                    <w:numPr>
                      <w:ilvl w:val="0"/>
                      <w:numId w:val="0"/>
                    </w:numPr>
                    <w:tabs>
                      <w:tab w:val="clear" w:pos="2040"/>
                    </w:tabs>
                    <w:jc w:val="center"/>
                    <w:rPr>
                      <w:rFonts w:eastAsia="仿宋_GB2312"/>
                    </w:rPr>
                  </w:pPr>
                </w:p>
              </w:tc>
              <w:tc>
                <w:tcPr>
                  <w:tcW w:w="482" w:type="pct"/>
                  <w:vMerge w:val="continue"/>
                  <w:tcBorders>
                    <w:tl2br w:val="nil"/>
                    <w:tr2bl w:val="nil"/>
                  </w:tcBorders>
                  <w:noWrap/>
                  <w:vAlign w:val="center"/>
                </w:tcPr>
                <w:p w14:paraId="40F240B6">
                  <w:pPr>
                    <w:pStyle w:val="17"/>
                    <w:numPr>
                      <w:ilvl w:val="0"/>
                      <w:numId w:val="0"/>
                    </w:numPr>
                    <w:tabs>
                      <w:tab w:val="clear" w:pos="2040"/>
                    </w:tabs>
                    <w:jc w:val="center"/>
                    <w:rPr>
                      <w:rFonts w:eastAsia="仿宋_GB2312"/>
                    </w:rPr>
                  </w:pPr>
                </w:p>
              </w:tc>
              <w:tc>
                <w:tcPr>
                  <w:tcW w:w="676" w:type="pct"/>
                  <w:vMerge w:val="continue"/>
                  <w:tcBorders>
                    <w:tl2br w:val="nil"/>
                    <w:tr2bl w:val="nil"/>
                  </w:tcBorders>
                  <w:noWrap/>
                  <w:vAlign w:val="center"/>
                </w:tcPr>
                <w:p w14:paraId="5918FB34">
                  <w:pPr>
                    <w:pStyle w:val="17"/>
                    <w:numPr>
                      <w:ilvl w:val="0"/>
                      <w:numId w:val="0"/>
                    </w:numPr>
                    <w:tabs>
                      <w:tab w:val="clear" w:pos="2040"/>
                    </w:tabs>
                    <w:jc w:val="center"/>
                    <w:rPr>
                      <w:rFonts w:eastAsia="仿宋_GB2312"/>
                    </w:rPr>
                  </w:pPr>
                </w:p>
              </w:tc>
              <w:tc>
                <w:tcPr>
                  <w:tcW w:w="1394" w:type="pct"/>
                  <w:tcBorders>
                    <w:tl2br w:val="nil"/>
                    <w:tr2bl w:val="nil"/>
                  </w:tcBorders>
                  <w:noWrap/>
                  <w:vAlign w:val="center"/>
                </w:tcPr>
                <w:p w14:paraId="46E9B5FD">
                  <w:pPr>
                    <w:pStyle w:val="17"/>
                    <w:numPr>
                      <w:ilvl w:val="0"/>
                      <w:numId w:val="0"/>
                    </w:numPr>
                    <w:tabs>
                      <w:tab w:val="clear" w:pos="2040"/>
                    </w:tabs>
                    <w:jc w:val="center"/>
                    <w:rPr>
                      <w:rFonts w:eastAsia="仿宋_GB2312"/>
                    </w:rPr>
                  </w:pPr>
                  <w:r>
                    <w:rPr>
                      <w:rFonts w:eastAsia="仿宋_GB2312"/>
                    </w:rPr>
                    <w:t>排放速率（kg/h）</w:t>
                  </w:r>
                </w:p>
              </w:tc>
              <w:tc>
                <w:tcPr>
                  <w:tcW w:w="678" w:type="pct"/>
                  <w:tcBorders>
                    <w:tl2br w:val="nil"/>
                    <w:tr2bl w:val="nil"/>
                  </w:tcBorders>
                  <w:noWrap/>
                  <w:vAlign w:val="center"/>
                </w:tcPr>
                <w:p w14:paraId="6CEED7D9">
                  <w:pPr>
                    <w:pStyle w:val="17"/>
                    <w:numPr>
                      <w:ilvl w:val="0"/>
                      <w:numId w:val="0"/>
                    </w:numPr>
                    <w:tabs>
                      <w:tab w:val="clear" w:pos="2040"/>
                    </w:tabs>
                    <w:jc w:val="center"/>
                    <w:rPr>
                      <w:rFonts w:eastAsia="仿宋_GB2312"/>
                    </w:rPr>
                  </w:pPr>
                  <w:r>
                    <w:rPr>
                      <w:rFonts w:hint="eastAsia" w:eastAsia="仿宋_GB2312"/>
                    </w:rPr>
                    <w:t>2.8</w:t>
                  </w:r>
                  <w:r>
                    <w:rPr>
                      <w:rFonts w:eastAsia="仿宋_GB2312"/>
                    </w:rPr>
                    <w:t>×10</w:t>
                  </w:r>
                  <w:r>
                    <w:rPr>
                      <w:rFonts w:eastAsia="仿宋_GB2312"/>
                      <w:vertAlign w:val="superscript"/>
                    </w:rPr>
                    <w:t>-2</w:t>
                  </w:r>
                </w:p>
              </w:tc>
            </w:tr>
            <w:tr w14:paraId="173F15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1" w:type="pct"/>
                  <w:vMerge w:val="restart"/>
                  <w:tcBorders>
                    <w:tl2br w:val="nil"/>
                    <w:tr2bl w:val="nil"/>
                  </w:tcBorders>
                  <w:noWrap/>
                  <w:vAlign w:val="center"/>
                </w:tcPr>
                <w:p w14:paraId="62B841F1">
                  <w:pPr>
                    <w:jc w:val="center"/>
                    <w:rPr>
                      <w:rFonts w:eastAsia="仿宋_GB2312"/>
                    </w:rPr>
                  </w:pPr>
                  <w:r>
                    <w:rPr>
                      <w:rFonts w:eastAsia="仿宋_GB2312"/>
                    </w:rPr>
                    <w:t>202</w:t>
                  </w:r>
                  <w:r>
                    <w:rPr>
                      <w:rFonts w:hint="eastAsia" w:eastAsia="仿宋_GB2312"/>
                    </w:rPr>
                    <w:t>5</w:t>
                  </w:r>
                  <w:r>
                    <w:rPr>
                      <w:rFonts w:eastAsia="仿宋_GB2312"/>
                    </w:rPr>
                    <w:t>.</w:t>
                  </w:r>
                  <w:r>
                    <w:rPr>
                      <w:rFonts w:hint="eastAsia" w:eastAsia="仿宋_GB2312"/>
                    </w:rPr>
                    <w:t>3</w:t>
                  </w:r>
                  <w:r>
                    <w:rPr>
                      <w:rFonts w:eastAsia="仿宋_GB2312"/>
                    </w:rPr>
                    <w:t>.</w:t>
                  </w:r>
                  <w:r>
                    <w:rPr>
                      <w:rFonts w:hint="eastAsia" w:eastAsia="仿宋_GB2312"/>
                    </w:rPr>
                    <w:t>27</w:t>
                  </w:r>
                </w:p>
              </w:tc>
              <w:tc>
                <w:tcPr>
                  <w:tcW w:w="1006" w:type="pct"/>
                  <w:vMerge w:val="restart"/>
                  <w:tcBorders>
                    <w:tl2br w:val="nil"/>
                    <w:tr2bl w:val="nil"/>
                  </w:tcBorders>
                  <w:noWrap/>
                  <w:vAlign w:val="center"/>
                </w:tcPr>
                <w:p w14:paraId="68DC80E8">
                  <w:pPr>
                    <w:pStyle w:val="17"/>
                    <w:numPr>
                      <w:ilvl w:val="0"/>
                      <w:numId w:val="0"/>
                    </w:numPr>
                    <w:tabs>
                      <w:tab w:val="clear" w:pos="2040"/>
                    </w:tabs>
                    <w:jc w:val="center"/>
                    <w:rPr>
                      <w:rFonts w:eastAsia="仿宋_GB2312"/>
                    </w:rPr>
                  </w:pPr>
                  <w:r>
                    <w:rPr>
                      <w:rFonts w:eastAsia="仿宋_GB2312"/>
                    </w:rPr>
                    <w:t>检测单位：</w:t>
                  </w:r>
                  <w:r>
                    <w:rPr>
                      <w:rFonts w:hint="eastAsia" w:eastAsia="仿宋_GB2312"/>
                    </w:rPr>
                    <w:t>苏州华实环境技术有限公司</w:t>
                  </w:r>
                </w:p>
                <w:p w14:paraId="2CF88569">
                  <w:pPr>
                    <w:pStyle w:val="17"/>
                    <w:numPr>
                      <w:ilvl w:val="0"/>
                      <w:numId w:val="0"/>
                    </w:numPr>
                    <w:tabs>
                      <w:tab w:val="clear" w:pos="2040"/>
                    </w:tabs>
                    <w:jc w:val="center"/>
                    <w:rPr>
                      <w:rFonts w:eastAsia="仿宋_GB2312"/>
                    </w:rPr>
                  </w:pPr>
                  <w:r>
                    <w:rPr>
                      <w:rFonts w:eastAsia="仿宋_GB2312"/>
                    </w:rPr>
                    <w:t>报告编号：</w:t>
                  </w:r>
                  <w:r>
                    <w:rPr>
                      <w:rFonts w:hint="eastAsia" w:eastAsia="仿宋_GB2312"/>
                    </w:rPr>
                    <w:t>HS25182（综）</w:t>
                  </w:r>
                </w:p>
              </w:tc>
              <w:tc>
                <w:tcPr>
                  <w:tcW w:w="482" w:type="pct"/>
                  <w:vMerge w:val="restart"/>
                  <w:tcBorders>
                    <w:tl2br w:val="nil"/>
                    <w:tr2bl w:val="nil"/>
                  </w:tcBorders>
                  <w:noWrap/>
                  <w:vAlign w:val="center"/>
                </w:tcPr>
                <w:p w14:paraId="7CA7BD5B">
                  <w:pPr>
                    <w:pStyle w:val="17"/>
                    <w:numPr>
                      <w:ilvl w:val="0"/>
                      <w:numId w:val="0"/>
                    </w:numPr>
                    <w:tabs>
                      <w:tab w:val="clear" w:pos="2040"/>
                    </w:tabs>
                    <w:jc w:val="center"/>
                    <w:rPr>
                      <w:rFonts w:eastAsia="仿宋_GB2312"/>
                    </w:rPr>
                  </w:pPr>
                  <w:r>
                    <w:rPr>
                      <w:rFonts w:hint="eastAsia" w:eastAsia="仿宋_GB2312"/>
                    </w:rPr>
                    <w:t>Q9</w:t>
                  </w:r>
                  <w:r>
                    <w:rPr>
                      <w:rFonts w:eastAsia="仿宋_GB2312"/>
                    </w:rPr>
                    <w:t>排气筒出口</w:t>
                  </w:r>
                </w:p>
              </w:tc>
              <w:tc>
                <w:tcPr>
                  <w:tcW w:w="676" w:type="pct"/>
                  <w:tcBorders>
                    <w:tl2br w:val="nil"/>
                    <w:tr2bl w:val="nil"/>
                  </w:tcBorders>
                  <w:noWrap/>
                  <w:vAlign w:val="center"/>
                </w:tcPr>
                <w:p w14:paraId="3ED38A38">
                  <w:pPr>
                    <w:pStyle w:val="17"/>
                    <w:numPr>
                      <w:ilvl w:val="0"/>
                      <w:numId w:val="0"/>
                    </w:numPr>
                    <w:tabs>
                      <w:tab w:val="clear" w:pos="2040"/>
                    </w:tabs>
                    <w:jc w:val="center"/>
                    <w:rPr>
                      <w:rFonts w:eastAsia="仿宋_GB2312"/>
                    </w:rPr>
                  </w:pPr>
                  <w:r>
                    <w:rPr>
                      <w:rFonts w:eastAsia="仿宋_GB2312"/>
                    </w:rPr>
                    <w:t>风量（m</w:t>
                  </w:r>
                  <w:r>
                    <w:rPr>
                      <w:rFonts w:eastAsia="仿宋_GB2312"/>
                      <w:vertAlign w:val="superscript"/>
                    </w:rPr>
                    <w:t>3</w:t>
                  </w:r>
                  <w:r>
                    <w:rPr>
                      <w:rFonts w:eastAsia="仿宋_GB2312"/>
                    </w:rPr>
                    <w:t>/h）</w:t>
                  </w:r>
                </w:p>
              </w:tc>
              <w:tc>
                <w:tcPr>
                  <w:tcW w:w="1394" w:type="pct"/>
                  <w:tcBorders>
                    <w:tl2br w:val="nil"/>
                    <w:tr2bl w:val="nil"/>
                  </w:tcBorders>
                  <w:noWrap/>
                  <w:vAlign w:val="center"/>
                </w:tcPr>
                <w:p w14:paraId="7392FFB6">
                  <w:pPr>
                    <w:pStyle w:val="17"/>
                    <w:numPr>
                      <w:ilvl w:val="0"/>
                      <w:numId w:val="0"/>
                    </w:numPr>
                    <w:tabs>
                      <w:tab w:val="clear" w:pos="2040"/>
                    </w:tabs>
                    <w:jc w:val="center"/>
                    <w:rPr>
                      <w:rFonts w:eastAsia="仿宋_GB2312"/>
                    </w:rPr>
                  </w:pPr>
                  <w:r>
                    <w:rPr>
                      <w:rFonts w:hint="eastAsia" w:eastAsia="仿宋_GB2312"/>
                    </w:rPr>
                    <w:t>38049</w:t>
                  </w:r>
                </w:p>
              </w:tc>
              <w:tc>
                <w:tcPr>
                  <w:tcW w:w="678" w:type="pct"/>
                  <w:tcBorders>
                    <w:tl2br w:val="nil"/>
                    <w:tr2bl w:val="nil"/>
                  </w:tcBorders>
                  <w:noWrap/>
                  <w:vAlign w:val="center"/>
                </w:tcPr>
                <w:p w14:paraId="3BD07B78">
                  <w:pPr>
                    <w:pStyle w:val="17"/>
                    <w:numPr>
                      <w:ilvl w:val="0"/>
                      <w:numId w:val="0"/>
                    </w:numPr>
                    <w:tabs>
                      <w:tab w:val="clear" w:pos="2040"/>
                    </w:tabs>
                    <w:jc w:val="center"/>
                    <w:rPr>
                      <w:rFonts w:eastAsia="仿宋_GB2312"/>
                    </w:rPr>
                  </w:pPr>
                  <w:r>
                    <w:rPr>
                      <w:rFonts w:eastAsia="仿宋_GB2312"/>
                    </w:rPr>
                    <w:t>/</w:t>
                  </w:r>
                </w:p>
              </w:tc>
            </w:tr>
            <w:tr w14:paraId="74A72E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1" w:type="pct"/>
                  <w:vMerge w:val="continue"/>
                  <w:tcBorders>
                    <w:tl2br w:val="nil"/>
                    <w:tr2bl w:val="nil"/>
                  </w:tcBorders>
                  <w:noWrap/>
                  <w:vAlign w:val="center"/>
                </w:tcPr>
                <w:p w14:paraId="5488092E">
                  <w:pPr>
                    <w:pStyle w:val="17"/>
                    <w:numPr>
                      <w:ilvl w:val="0"/>
                      <w:numId w:val="0"/>
                    </w:numPr>
                    <w:tabs>
                      <w:tab w:val="clear" w:pos="2040"/>
                    </w:tabs>
                    <w:jc w:val="center"/>
                    <w:rPr>
                      <w:rFonts w:eastAsia="仿宋_GB2312"/>
                    </w:rPr>
                  </w:pPr>
                </w:p>
              </w:tc>
              <w:tc>
                <w:tcPr>
                  <w:tcW w:w="1006" w:type="pct"/>
                  <w:vMerge w:val="continue"/>
                  <w:tcBorders>
                    <w:tl2br w:val="nil"/>
                    <w:tr2bl w:val="nil"/>
                  </w:tcBorders>
                  <w:noWrap/>
                  <w:vAlign w:val="center"/>
                </w:tcPr>
                <w:p w14:paraId="306A547A">
                  <w:pPr>
                    <w:pStyle w:val="17"/>
                    <w:numPr>
                      <w:ilvl w:val="0"/>
                      <w:numId w:val="0"/>
                    </w:numPr>
                    <w:tabs>
                      <w:tab w:val="clear" w:pos="2040"/>
                    </w:tabs>
                    <w:jc w:val="center"/>
                    <w:rPr>
                      <w:rFonts w:eastAsia="仿宋_GB2312"/>
                    </w:rPr>
                  </w:pPr>
                </w:p>
              </w:tc>
              <w:tc>
                <w:tcPr>
                  <w:tcW w:w="482" w:type="pct"/>
                  <w:vMerge w:val="continue"/>
                  <w:tcBorders>
                    <w:tl2br w:val="nil"/>
                    <w:tr2bl w:val="nil"/>
                  </w:tcBorders>
                  <w:noWrap/>
                  <w:vAlign w:val="center"/>
                </w:tcPr>
                <w:p w14:paraId="5B8D6C0A">
                  <w:pPr>
                    <w:pStyle w:val="17"/>
                    <w:numPr>
                      <w:ilvl w:val="0"/>
                      <w:numId w:val="0"/>
                    </w:numPr>
                    <w:tabs>
                      <w:tab w:val="clear" w:pos="2040"/>
                    </w:tabs>
                    <w:jc w:val="center"/>
                    <w:rPr>
                      <w:rFonts w:eastAsia="仿宋_GB2312"/>
                    </w:rPr>
                  </w:pPr>
                </w:p>
              </w:tc>
              <w:tc>
                <w:tcPr>
                  <w:tcW w:w="676" w:type="pct"/>
                  <w:vMerge w:val="restart"/>
                  <w:tcBorders>
                    <w:tl2br w:val="nil"/>
                    <w:tr2bl w:val="nil"/>
                  </w:tcBorders>
                  <w:noWrap/>
                  <w:vAlign w:val="center"/>
                </w:tcPr>
                <w:p w14:paraId="2A0F0B95">
                  <w:pPr>
                    <w:pStyle w:val="17"/>
                    <w:numPr>
                      <w:ilvl w:val="0"/>
                      <w:numId w:val="0"/>
                    </w:numPr>
                    <w:tabs>
                      <w:tab w:val="clear" w:pos="2040"/>
                    </w:tabs>
                    <w:jc w:val="center"/>
                    <w:rPr>
                      <w:rFonts w:eastAsia="仿宋_GB2312"/>
                    </w:rPr>
                  </w:pPr>
                  <w:r>
                    <w:rPr>
                      <w:rFonts w:eastAsia="仿宋_GB2312"/>
                    </w:rPr>
                    <w:t>颗粒物</w:t>
                  </w:r>
                </w:p>
              </w:tc>
              <w:tc>
                <w:tcPr>
                  <w:tcW w:w="1394" w:type="pct"/>
                  <w:tcBorders>
                    <w:tl2br w:val="nil"/>
                    <w:tr2bl w:val="nil"/>
                  </w:tcBorders>
                  <w:noWrap/>
                  <w:vAlign w:val="center"/>
                </w:tcPr>
                <w:p w14:paraId="59272647">
                  <w:pPr>
                    <w:pStyle w:val="17"/>
                    <w:numPr>
                      <w:ilvl w:val="0"/>
                      <w:numId w:val="0"/>
                    </w:numPr>
                    <w:tabs>
                      <w:tab w:val="clear" w:pos="2040"/>
                    </w:tabs>
                    <w:jc w:val="center"/>
                    <w:rPr>
                      <w:rFonts w:eastAsia="仿宋_GB2312"/>
                    </w:rPr>
                  </w:pPr>
                  <w:r>
                    <w:rPr>
                      <w:rFonts w:eastAsia="仿宋_GB2312"/>
                    </w:rPr>
                    <w:t>排放浓度（mg/m</w:t>
                  </w:r>
                  <w:r>
                    <w:rPr>
                      <w:rFonts w:eastAsia="仿宋_GB2312"/>
                      <w:vertAlign w:val="superscript"/>
                    </w:rPr>
                    <w:t>3</w:t>
                  </w:r>
                  <w:r>
                    <w:rPr>
                      <w:rFonts w:eastAsia="仿宋_GB2312"/>
                    </w:rPr>
                    <w:t>）</w:t>
                  </w:r>
                </w:p>
              </w:tc>
              <w:tc>
                <w:tcPr>
                  <w:tcW w:w="678" w:type="pct"/>
                  <w:tcBorders>
                    <w:tl2br w:val="nil"/>
                    <w:tr2bl w:val="nil"/>
                  </w:tcBorders>
                  <w:noWrap/>
                  <w:vAlign w:val="center"/>
                </w:tcPr>
                <w:p w14:paraId="3EAC338D">
                  <w:pPr>
                    <w:pStyle w:val="17"/>
                    <w:numPr>
                      <w:ilvl w:val="0"/>
                      <w:numId w:val="0"/>
                    </w:numPr>
                    <w:tabs>
                      <w:tab w:val="clear" w:pos="2040"/>
                    </w:tabs>
                    <w:jc w:val="center"/>
                    <w:rPr>
                      <w:rFonts w:eastAsia="仿宋_GB2312"/>
                    </w:rPr>
                  </w:pPr>
                  <w:r>
                    <w:rPr>
                      <w:rFonts w:hint="eastAsia" w:eastAsia="仿宋_GB2312"/>
                    </w:rPr>
                    <w:t>2.3</w:t>
                  </w:r>
                </w:p>
              </w:tc>
            </w:tr>
            <w:tr w14:paraId="51442D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1" w:type="pct"/>
                  <w:vMerge w:val="continue"/>
                  <w:tcBorders>
                    <w:tl2br w:val="nil"/>
                    <w:tr2bl w:val="nil"/>
                  </w:tcBorders>
                  <w:noWrap/>
                  <w:vAlign w:val="center"/>
                </w:tcPr>
                <w:p w14:paraId="54F04BB0">
                  <w:pPr>
                    <w:pStyle w:val="17"/>
                    <w:numPr>
                      <w:ilvl w:val="0"/>
                      <w:numId w:val="0"/>
                    </w:numPr>
                    <w:tabs>
                      <w:tab w:val="clear" w:pos="2040"/>
                    </w:tabs>
                    <w:jc w:val="center"/>
                    <w:rPr>
                      <w:rFonts w:eastAsia="仿宋_GB2312"/>
                    </w:rPr>
                  </w:pPr>
                </w:p>
              </w:tc>
              <w:tc>
                <w:tcPr>
                  <w:tcW w:w="1006" w:type="pct"/>
                  <w:vMerge w:val="continue"/>
                  <w:tcBorders>
                    <w:tl2br w:val="nil"/>
                    <w:tr2bl w:val="nil"/>
                  </w:tcBorders>
                  <w:noWrap/>
                  <w:vAlign w:val="center"/>
                </w:tcPr>
                <w:p w14:paraId="47B2D424">
                  <w:pPr>
                    <w:pStyle w:val="17"/>
                    <w:numPr>
                      <w:ilvl w:val="0"/>
                      <w:numId w:val="0"/>
                    </w:numPr>
                    <w:tabs>
                      <w:tab w:val="clear" w:pos="2040"/>
                    </w:tabs>
                    <w:jc w:val="center"/>
                    <w:rPr>
                      <w:rFonts w:eastAsia="仿宋_GB2312"/>
                    </w:rPr>
                  </w:pPr>
                </w:p>
              </w:tc>
              <w:tc>
                <w:tcPr>
                  <w:tcW w:w="482" w:type="pct"/>
                  <w:vMerge w:val="continue"/>
                  <w:tcBorders>
                    <w:tl2br w:val="nil"/>
                    <w:tr2bl w:val="nil"/>
                  </w:tcBorders>
                  <w:noWrap/>
                  <w:vAlign w:val="center"/>
                </w:tcPr>
                <w:p w14:paraId="189E49B5">
                  <w:pPr>
                    <w:pStyle w:val="17"/>
                    <w:numPr>
                      <w:ilvl w:val="0"/>
                      <w:numId w:val="0"/>
                    </w:numPr>
                    <w:tabs>
                      <w:tab w:val="clear" w:pos="2040"/>
                    </w:tabs>
                    <w:jc w:val="center"/>
                    <w:rPr>
                      <w:rFonts w:eastAsia="仿宋_GB2312"/>
                    </w:rPr>
                  </w:pPr>
                </w:p>
              </w:tc>
              <w:tc>
                <w:tcPr>
                  <w:tcW w:w="676" w:type="pct"/>
                  <w:vMerge w:val="continue"/>
                  <w:tcBorders>
                    <w:tl2br w:val="nil"/>
                    <w:tr2bl w:val="nil"/>
                  </w:tcBorders>
                  <w:noWrap/>
                  <w:vAlign w:val="center"/>
                </w:tcPr>
                <w:p w14:paraId="61140383">
                  <w:pPr>
                    <w:pStyle w:val="17"/>
                    <w:numPr>
                      <w:ilvl w:val="0"/>
                      <w:numId w:val="0"/>
                    </w:numPr>
                    <w:tabs>
                      <w:tab w:val="clear" w:pos="2040"/>
                    </w:tabs>
                    <w:jc w:val="center"/>
                    <w:rPr>
                      <w:rFonts w:eastAsia="仿宋_GB2312"/>
                    </w:rPr>
                  </w:pPr>
                </w:p>
              </w:tc>
              <w:tc>
                <w:tcPr>
                  <w:tcW w:w="1394" w:type="pct"/>
                  <w:tcBorders>
                    <w:tl2br w:val="nil"/>
                    <w:tr2bl w:val="nil"/>
                  </w:tcBorders>
                  <w:noWrap/>
                  <w:vAlign w:val="center"/>
                </w:tcPr>
                <w:p w14:paraId="4BA91CF8">
                  <w:pPr>
                    <w:pStyle w:val="17"/>
                    <w:numPr>
                      <w:ilvl w:val="0"/>
                      <w:numId w:val="0"/>
                    </w:numPr>
                    <w:tabs>
                      <w:tab w:val="clear" w:pos="2040"/>
                    </w:tabs>
                    <w:jc w:val="center"/>
                    <w:rPr>
                      <w:rFonts w:eastAsia="仿宋_GB2312"/>
                    </w:rPr>
                  </w:pPr>
                  <w:r>
                    <w:rPr>
                      <w:rFonts w:eastAsia="仿宋_GB2312"/>
                    </w:rPr>
                    <w:t>排放速率（kg/h）</w:t>
                  </w:r>
                </w:p>
              </w:tc>
              <w:tc>
                <w:tcPr>
                  <w:tcW w:w="678" w:type="pct"/>
                  <w:tcBorders>
                    <w:tl2br w:val="nil"/>
                    <w:tr2bl w:val="nil"/>
                  </w:tcBorders>
                  <w:noWrap/>
                  <w:vAlign w:val="center"/>
                </w:tcPr>
                <w:p w14:paraId="7D37870C">
                  <w:pPr>
                    <w:pStyle w:val="17"/>
                    <w:numPr>
                      <w:ilvl w:val="0"/>
                      <w:numId w:val="0"/>
                    </w:numPr>
                    <w:tabs>
                      <w:tab w:val="clear" w:pos="2040"/>
                    </w:tabs>
                    <w:jc w:val="center"/>
                    <w:rPr>
                      <w:rFonts w:eastAsia="仿宋_GB2312"/>
                    </w:rPr>
                  </w:pPr>
                  <w:r>
                    <w:rPr>
                      <w:rFonts w:hint="eastAsia" w:eastAsia="仿宋_GB2312"/>
                    </w:rPr>
                    <w:t>8.8</w:t>
                  </w:r>
                  <w:r>
                    <w:rPr>
                      <w:rFonts w:eastAsia="仿宋_GB2312"/>
                    </w:rPr>
                    <w:t>×10</w:t>
                  </w:r>
                  <w:r>
                    <w:rPr>
                      <w:rFonts w:eastAsia="仿宋_GB2312"/>
                      <w:vertAlign w:val="superscript"/>
                    </w:rPr>
                    <w:t>-2</w:t>
                  </w:r>
                </w:p>
              </w:tc>
            </w:tr>
            <w:tr w14:paraId="52A212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1" w:type="pct"/>
                  <w:vMerge w:val="restart"/>
                  <w:tcBorders>
                    <w:tl2br w:val="nil"/>
                    <w:tr2bl w:val="nil"/>
                  </w:tcBorders>
                  <w:noWrap/>
                  <w:vAlign w:val="center"/>
                </w:tcPr>
                <w:p w14:paraId="7C4255C7">
                  <w:pPr>
                    <w:jc w:val="center"/>
                    <w:rPr>
                      <w:rFonts w:eastAsia="仿宋_GB2312"/>
                    </w:rPr>
                  </w:pPr>
                  <w:r>
                    <w:rPr>
                      <w:rFonts w:eastAsia="仿宋_GB2312"/>
                    </w:rPr>
                    <w:t>202</w:t>
                  </w:r>
                  <w:r>
                    <w:rPr>
                      <w:rFonts w:hint="eastAsia" w:eastAsia="仿宋_GB2312"/>
                    </w:rPr>
                    <w:t>5</w:t>
                  </w:r>
                  <w:r>
                    <w:rPr>
                      <w:rFonts w:eastAsia="仿宋_GB2312"/>
                    </w:rPr>
                    <w:t>.</w:t>
                  </w:r>
                  <w:r>
                    <w:rPr>
                      <w:rFonts w:hint="eastAsia" w:eastAsia="仿宋_GB2312"/>
                    </w:rPr>
                    <w:t>3</w:t>
                  </w:r>
                  <w:r>
                    <w:rPr>
                      <w:rFonts w:eastAsia="仿宋_GB2312"/>
                    </w:rPr>
                    <w:t>.</w:t>
                  </w:r>
                  <w:r>
                    <w:rPr>
                      <w:rFonts w:hint="eastAsia" w:eastAsia="仿宋_GB2312"/>
                    </w:rPr>
                    <w:t>27</w:t>
                  </w:r>
                </w:p>
              </w:tc>
              <w:tc>
                <w:tcPr>
                  <w:tcW w:w="1006" w:type="pct"/>
                  <w:vMerge w:val="restart"/>
                  <w:tcBorders>
                    <w:tl2br w:val="nil"/>
                    <w:tr2bl w:val="nil"/>
                  </w:tcBorders>
                  <w:noWrap/>
                  <w:vAlign w:val="center"/>
                </w:tcPr>
                <w:p w14:paraId="651437DF">
                  <w:pPr>
                    <w:pStyle w:val="17"/>
                    <w:numPr>
                      <w:ilvl w:val="0"/>
                      <w:numId w:val="0"/>
                    </w:numPr>
                    <w:tabs>
                      <w:tab w:val="clear" w:pos="2040"/>
                    </w:tabs>
                    <w:jc w:val="center"/>
                    <w:rPr>
                      <w:rFonts w:eastAsia="仿宋_GB2312"/>
                    </w:rPr>
                  </w:pPr>
                  <w:r>
                    <w:rPr>
                      <w:rFonts w:eastAsia="仿宋_GB2312"/>
                    </w:rPr>
                    <w:t>检测单位：</w:t>
                  </w:r>
                  <w:r>
                    <w:rPr>
                      <w:rFonts w:hint="eastAsia" w:eastAsia="仿宋_GB2312"/>
                    </w:rPr>
                    <w:t>苏州华实环境技术有限公司</w:t>
                  </w:r>
                </w:p>
                <w:p w14:paraId="7DC45620">
                  <w:pPr>
                    <w:pStyle w:val="17"/>
                    <w:numPr>
                      <w:ilvl w:val="0"/>
                      <w:numId w:val="0"/>
                    </w:numPr>
                    <w:tabs>
                      <w:tab w:val="clear" w:pos="2040"/>
                    </w:tabs>
                    <w:jc w:val="center"/>
                    <w:rPr>
                      <w:rFonts w:eastAsia="仿宋_GB2312"/>
                    </w:rPr>
                  </w:pPr>
                  <w:r>
                    <w:rPr>
                      <w:rFonts w:eastAsia="仿宋_GB2312"/>
                    </w:rPr>
                    <w:t>报告编号：</w:t>
                  </w:r>
                  <w:r>
                    <w:rPr>
                      <w:rFonts w:hint="eastAsia" w:eastAsia="仿宋_GB2312"/>
                    </w:rPr>
                    <w:t>HS25182（综）</w:t>
                  </w:r>
                </w:p>
              </w:tc>
              <w:tc>
                <w:tcPr>
                  <w:tcW w:w="482" w:type="pct"/>
                  <w:vMerge w:val="restart"/>
                  <w:tcBorders>
                    <w:tl2br w:val="nil"/>
                    <w:tr2bl w:val="nil"/>
                  </w:tcBorders>
                  <w:noWrap/>
                  <w:vAlign w:val="center"/>
                </w:tcPr>
                <w:p w14:paraId="4330A2BD">
                  <w:pPr>
                    <w:pStyle w:val="17"/>
                    <w:numPr>
                      <w:ilvl w:val="0"/>
                      <w:numId w:val="0"/>
                    </w:numPr>
                    <w:tabs>
                      <w:tab w:val="clear" w:pos="2040"/>
                    </w:tabs>
                    <w:jc w:val="center"/>
                    <w:rPr>
                      <w:rFonts w:eastAsia="仿宋_GB2312"/>
                    </w:rPr>
                  </w:pPr>
                  <w:r>
                    <w:rPr>
                      <w:rFonts w:hint="eastAsia" w:eastAsia="仿宋_GB2312"/>
                    </w:rPr>
                    <w:t>Q10</w:t>
                  </w:r>
                  <w:r>
                    <w:rPr>
                      <w:rFonts w:eastAsia="仿宋_GB2312"/>
                    </w:rPr>
                    <w:t>排气筒出口</w:t>
                  </w:r>
                </w:p>
              </w:tc>
              <w:tc>
                <w:tcPr>
                  <w:tcW w:w="676" w:type="pct"/>
                  <w:tcBorders>
                    <w:tl2br w:val="nil"/>
                    <w:tr2bl w:val="nil"/>
                  </w:tcBorders>
                  <w:noWrap/>
                  <w:vAlign w:val="center"/>
                </w:tcPr>
                <w:p w14:paraId="33A12B8A">
                  <w:pPr>
                    <w:pStyle w:val="17"/>
                    <w:numPr>
                      <w:ilvl w:val="0"/>
                      <w:numId w:val="0"/>
                    </w:numPr>
                    <w:tabs>
                      <w:tab w:val="clear" w:pos="2040"/>
                    </w:tabs>
                    <w:jc w:val="center"/>
                    <w:rPr>
                      <w:rFonts w:eastAsia="仿宋_GB2312"/>
                    </w:rPr>
                  </w:pPr>
                  <w:r>
                    <w:rPr>
                      <w:rFonts w:eastAsia="仿宋_GB2312"/>
                    </w:rPr>
                    <w:t>风量（m</w:t>
                  </w:r>
                  <w:r>
                    <w:rPr>
                      <w:rFonts w:eastAsia="仿宋_GB2312"/>
                      <w:vertAlign w:val="superscript"/>
                    </w:rPr>
                    <w:t>3</w:t>
                  </w:r>
                  <w:r>
                    <w:rPr>
                      <w:rFonts w:eastAsia="仿宋_GB2312"/>
                    </w:rPr>
                    <w:t>/h）</w:t>
                  </w:r>
                </w:p>
              </w:tc>
              <w:tc>
                <w:tcPr>
                  <w:tcW w:w="1394" w:type="pct"/>
                  <w:tcBorders>
                    <w:tl2br w:val="nil"/>
                    <w:tr2bl w:val="nil"/>
                  </w:tcBorders>
                  <w:noWrap/>
                  <w:vAlign w:val="center"/>
                </w:tcPr>
                <w:p w14:paraId="45A56633">
                  <w:pPr>
                    <w:pStyle w:val="17"/>
                    <w:numPr>
                      <w:ilvl w:val="0"/>
                      <w:numId w:val="0"/>
                    </w:numPr>
                    <w:tabs>
                      <w:tab w:val="clear" w:pos="2040"/>
                    </w:tabs>
                    <w:jc w:val="center"/>
                    <w:rPr>
                      <w:rFonts w:eastAsia="仿宋_GB2312"/>
                    </w:rPr>
                  </w:pPr>
                  <w:r>
                    <w:rPr>
                      <w:rFonts w:hint="eastAsia" w:eastAsia="仿宋_GB2312"/>
                    </w:rPr>
                    <w:t>36082</w:t>
                  </w:r>
                </w:p>
              </w:tc>
              <w:tc>
                <w:tcPr>
                  <w:tcW w:w="678" w:type="pct"/>
                  <w:tcBorders>
                    <w:tl2br w:val="nil"/>
                    <w:tr2bl w:val="nil"/>
                  </w:tcBorders>
                  <w:noWrap/>
                  <w:vAlign w:val="center"/>
                </w:tcPr>
                <w:p w14:paraId="4098D843">
                  <w:pPr>
                    <w:pStyle w:val="17"/>
                    <w:numPr>
                      <w:ilvl w:val="0"/>
                      <w:numId w:val="0"/>
                    </w:numPr>
                    <w:tabs>
                      <w:tab w:val="clear" w:pos="2040"/>
                    </w:tabs>
                    <w:jc w:val="center"/>
                    <w:rPr>
                      <w:rFonts w:eastAsia="仿宋_GB2312"/>
                    </w:rPr>
                  </w:pPr>
                  <w:r>
                    <w:rPr>
                      <w:rFonts w:eastAsia="仿宋_GB2312"/>
                    </w:rPr>
                    <w:t>/</w:t>
                  </w:r>
                </w:p>
              </w:tc>
            </w:tr>
            <w:tr w14:paraId="6833AE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1" w:type="pct"/>
                  <w:vMerge w:val="continue"/>
                  <w:tcBorders>
                    <w:tl2br w:val="nil"/>
                    <w:tr2bl w:val="nil"/>
                  </w:tcBorders>
                  <w:noWrap/>
                  <w:vAlign w:val="center"/>
                </w:tcPr>
                <w:p w14:paraId="5AAB2335">
                  <w:pPr>
                    <w:pStyle w:val="17"/>
                    <w:numPr>
                      <w:ilvl w:val="0"/>
                      <w:numId w:val="0"/>
                    </w:numPr>
                    <w:tabs>
                      <w:tab w:val="clear" w:pos="2040"/>
                    </w:tabs>
                    <w:jc w:val="center"/>
                    <w:rPr>
                      <w:rFonts w:eastAsia="仿宋_GB2312"/>
                    </w:rPr>
                  </w:pPr>
                </w:p>
              </w:tc>
              <w:tc>
                <w:tcPr>
                  <w:tcW w:w="1006" w:type="pct"/>
                  <w:vMerge w:val="continue"/>
                  <w:tcBorders>
                    <w:tl2br w:val="nil"/>
                    <w:tr2bl w:val="nil"/>
                  </w:tcBorders>
                  <w:noWrap/>
                  <w:vAlign w:val="center"/>
                </w:tcPr>
                <w:p w14:paraId="22CE1C1D">
                  <w:pPr>
                    <w:pStyle w:val="17"/>
                    <w:numPr>
                      <w:ilvl w:val="0"/>
                      <w:numId w:val="0"/>
                    </w:numPr>
                    <w:tabs>
                      <w:tab w:val="clear" w:pos="2040"/>
                    </w:tabs>
                    <w:jc w:val="center"/>
                    <w:rPr>
                      <w:rFonts w:eastAsia="仿宋_GB2312"/>
                    </w:rPr>
                  </w:pPr>
                </w:p>
              </w:tc>
              <w:tc>
                <w:tcPr>
                  <w:tcW w:w="482" w:type="pct"/>
                  <w:vMerge w:val="continue"/>
                  <w:tcBorders>
                    <w:tl2br w:val="nil"/>
                    <w:tr2bl w:val="nil"/>
                  </w:tcBorders>
                  <w:noWrap/>
                  <w:vAlign w:val="center"/>
                </w:tcPr>
                <w:p w14:paraId="57BD1BF1">
                  <w:pPr>
                    <w:pStyle w:val="17"/>
                    <w:numPr>
                      <w:ilvl w:val="0"/>
                      <w:numId w:val="0"/>
                    </w:numPr>
                    <w:tabs>
                      <w:tab w:val="clear" w:pos="2040"/>
                    </w:tabs>
                    <w:jc w:val="center"/>
                    <w:rPr>
                      <w:rFonts w:eastAsia="仿宋_GB2312"/>
                    </w:rPr>
                  </w:pPr>
                </w:p>
              </w:tc>
              <w:tc>
                <w:tcPr>
                  <w:tcW w:w="676" w:type="pct"/>
                  <w:vMerge w:val="restart"/>
                  <w:tcBorders>
                    <w:tl2br w:val="nil"/>
                    <w:tr2bl w:val="nil"/>
                  </w:tcBorders>
                  <w:noWrap/>
                  <w:vAlign w:val="center"/>
                </w:tcPr>
                <w:p w14:paraId="30A681B7">
                  <w:pPr>
                    <w:pStyle w:val="17"/>
                    <w:numPr>
                      <w:ilvl w:val="0"/>
                      <w:numId w:val="0"/>
                    </w:numPr>
                    <w:tabs>
                      <w:tab w:val="clear" w:pos="2040"/>
                    </w:tabs>
                    <w:jc w:val="center"/>
                    <w:rPr>
                      <w:rFonts w:eastAsia="仿宋_GB2312"/>
                    </w:rPr>
                  </w:pPr>
                  <w:r>
                    <w:rPr>
                      <w:rFonts w:eastAsia="仿宋_GB2312"/>
                    </w:rPr>
                    <w:t>颗粒物</w:t>
                  </w:r>
                </w:p>
              </w:tc>
              <w:tc>
                <w:tcPr>
                  <w:tcW w:w="1394" w:type="pct"/>
                  <w:tcBorders>
                    <w:tl2br w:val="nil"/>
                    <w:tr2bl w:val="nil"/>
                  </w:tcBorders>
                  <w:noWrap/>
                  <w:vAlign w:val="center"/>
                </w:tcPr>
                <w:p w14:paraId="13301B7C">
                  <w:pPr>
                    <w:pStyle w:val="17"/>
                    <w:numPr>
                      <w:ilvl w:val="0"/>
                      <w:numId w:val="0"/>
                    </w:numPr>
                    <w:tabs>
                      <w:tab w:val="clear" w:pos="2040"/>
                    </w:tabs>
                    <w:jc w:val="center"/>
                    <w:rPr>
                      <w:rFonts w:eastAsia="仿宋_GB2312"/>
                    </w:rPr>
                  </w:pPr>
                  <w:r>
                    <w:rPr>
                      <w:rFonts w:eastAsia="仿宋_GB2312"/>
                    </w:rPr>
                    <w:t>排放浓度（mg/m</w:t>
                  </w:r>
                  <w:r>
                    <w:rPr>
                      <w:rFonts w:eastAsia="仿宋_GB2312"/>
                      <w:vertAlign w:val="superscript"/>
                    </w:rPr>
                    <w:t>3</w:t>
                  </w:r>
                  <w:r>
                    <w:rPr>
                      <w:rFonts w:eastAsia="仿宋_GB2312"/>
                    </w:rPr>
                    <w:t>）</w:t>
                  </w:r>
                </w:p>
              </w:tc>
              <w:tc>
                <w:tcPr>
                  <w:tcW w:w="678" w:type="pct"/>
                  <w:tcBorders>
                    <w:tl2br w:val="nil"/>
                    <w:tr2bl w:val="nil"/>
                  </w:tcBorders>
                  <w:noWrap/>
                  <w:vAlign w:val="center"/>
                </w:tcPr>
                <w:p w14:paraId="4D419F17">
                  <w:pPr>
                    <w:pStyle w:val="17"/>
                    <w:numPr>
                      <w:ilvl w:val="0"/>
                      <w:numId w:val="0"/>
                    </w:numPr>
                    <w:tabs>
                      <w:tab w:val="clear" w:pos="2040"/>
                    </w:tabs>
                    <w:jc w:val="center"/>
                    <w:rPr>
                      <w:rFonts w:eastAsia="仿宋_GB2312"/>
                    </w:rPr>
                  </w:pPr>
                  <w:r>
                    <w:rPr>
                      <w:rFonts w:hint="eastAsia" w:eastAsia="仿宋_GB2312"/>
                    </w:rPr>
                    <w:t>2.5</w:t>
                  </w:r>
                </w:p>
              </w:tc>
            </w:tr>
            <w:tr w14:paraId="3A1DA9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1" w:type="pct"/>
                  <w:vMerge w:val="continue"/>
                  <w:tcBorders>
                    <w:tl2br w:val="nil"/>
                    <w:tr2bl w:val="nil"/>
                  </w:tcBorders>
                  <w:noWrap/>
                  <w:vAlign w:val="center"/>
                </w:tcPr>
                <w:p w14:paraId="7CBCC04C">
                  <w:pPr>
                    <w:pStyle w:val="17"/>
                    <w:numPr>
                      <w:ilvl w:val="0"/>
                      <w:numId w:val="0"/>
                    </w:numPr>
                    <w:tabs>
                      <w:tab w:val="clear" w:pos="2040"/>
                    </w:tabs>
                    <w:jc w:val="center"/>
                    <w:rPr>
                      <w:rFonts w:eastAsia="仿宋_GB2312"/>
                    </w:rPr>
                  </w:pPr>
                </w:p>
              </w:tc>
              <w:tc>
                <w:tcPr>
                  <w:tcW w:w="1006" w:type="pct"/>
                  <w:vMerge w:val="continue"/>
                  <w:tcBorders>
                    <w:tl2br w:val="nil"/>
                    <w:tr2bl w:val="nil"/>
                  </w:tcBorders>
                  <w:noWrap/>
                  <w:vAlign w:val="center"/>
                </w:tcPr>
                <w:p w14:paraId="3DA44DF1">
                  <w:pPr>
                    <w:pStyle w:val="17"/>
                    <w:numPr>
                      <w:ilvl w:val="0"/>
                      <w:numId w:val="0"/>
                    </w:numPr>
                    <w:tabs>
                      <w:tab w:val="clear" w:pos="2040"/>
                    </w:tabs>
                    <w:jc w:val="center"/>
                    <w:rPr>
                      <w:rFonts w:eastAsia="仿宋_GB2312"/>
                    </w:rPr>
                  </w:pPr>
                </w:p>
              </w:tc>
              <w:tc>
                <w:tcPr>
                  <w:tcW w:w="482" w:type="pct"/>
                  <w:vMerge w:val="continue"/>
                  <w:tcBorders>
                    <w:tl2br w:val="nil"/>
                    <w:tr2bl w:val="nil"/>
                  </w:tcBorders>
                  <w:noWrap/>
                  <w:vAlign w:val="center"/>
                </w:tcPr>
                <w:p w14:paraId="5BD53ABA">
                  <w:pPr>
                    <w:pStyle w:val="17"/>
                    <w:numPr>
                      <w:ilvl w:val="0"/>
                      <w:numId w:val="0"/>
                    </w:numPr>
                    <w:tabs>
                      <w:tab w:val="clear" w:pos="2040"/>
                    </w:tabs>
                    <w:jc w:val="center"/>
                    <w:rPr>
                      <w:rFonts w:eastAsia="仿宋_GB2312"/>
                    </w:rPr>
                  </w:pPr>
                </w:p>
              </w:tc>
              <w:tc>
                <w:tcPr>
                  <w:tcW w:w="676" w:type="pct"/>
                  <w:vMerge w:val="continue"/>
                  <w:tcBorders>
                    <w:tl2br w:val="nil"/>
                    <w:tr2bl w:val="nil"/>
                  </w:tcBorders>
                  <w:noWrap/>
                  <w:vAlign w:val="center"/>
                </w:tcPr>
                <w:p w14:paraId="36031593">
                  <w:pPr>
                    <w:pStyle w:val="17"/>
                    <w:numPr>
                      <w:ilvl w:val="0"/>
                      <w:numId w:val="0"/>
                    </w:numPr>
                    <w:tabs>
                      <w:tab w:val="clear" w:pos="2040"/>
                    </w:tabs>
                    <w:jc w:val="center"/>
                    <w:rPr>
                      <w:rFonts w:eastAsia="仿宋_GB2312"/>
                    </w:rPr>
                  </w:pPr>
                </w:p>
              </w:tc>
              <w:tc>
                <w:tcPr>
                  <w:tcW w:w="1394" w:type="pct"/>
                  <w:tcBorders>
                    <w:tl2br w:val="nil"/>
                    <w:tr2bl w:val="nil"/>
                  </w:tcBorders>
                  <w:noWrap/>
                  <w:vAlign w:val="center"/>
                </w:tcPr>
                <w:p w14:paraId="57815958">
                  <w:pPr>
                    <w:pStyle w:val="17"/>
                    <w:numPr>
                      <w:ilvl w:val="0"/>
                      <w:numId w:val="0"/>
                    </w:numPr>
                    <w:tabs>
                      <w:tab w:val="clear" w:pos="2040"/>
                    </w:tabs>
                    <w:jc w:val="center"/>
                    <w:rPr>
                      <w:rFonts w:eastAsia="仿宋_GB2312"/>
                    </w:rPr>
                  </w:pPr>
                  <w:r>
                    <w:rPr>
                      <w:rFonts w:eastAsia="仿宋_GB2312"/>
                    </w:rPr>
                    <w:t>排放速率（kg/h）</w:t>
                  </w:r>
                </w:p>
              </w:tc>
              <w:tc>
                <w:tcPr>
                  <w:tcW w:w="678" w:type="pct"/>
                  <w:tcBorders>
                    <w:tl2br w:val="nil"/>
                    <w:tr2bl w:val="nil"/>
                  </w:tcBorders>
                  <w:noWrap/>
                  <w:vAlign w:val="center"/>
                </w:tcPr>
                <w:p w14:paraId="79CAE2D3">
                  <w:pPr>
                    <w:pStyle w:val="17"/>
                    <w:numPr>
                      <w:ilvl w:val="0"/>
                      <w:numId w:val="0"/>
                    </w:numPr>
                    <w:tabs>
                      <w:tab w:val="clear" w:pos="2040"/>
                    </w:tabs>
                    <w:jc w:val="center"/>
                    <w:rPr>
                      <w:rFonts w:eastAsia="仿宋_GB2312"/>
                    </w:rPr>
                  </w:pPr>
                  <w:r>
                    <w:rPr>
                      <w:rFonts w:hint="eastAsia" w:eastAsia="仿宋_GB2312"/>
                    </w:rPr>
                    <w:t>9.0</w:t>
                  </w:r>
                  <w:r>
                    <w:rPr>
                      <w:rFonts w:eastAsia="仿宋_GB2312"/>
                    </w:rPr>
                    <w:t>×10</w:t>
                  </w:r>
                  <w:r>
                    <w:rPr>
                      <w:rFonts w:eastAsia="仿宋_GB2312"/>
                      <w:vertAlign w:val="superscript"/>
                    </w:rPr>
                    <w:t>-2</w:t>
                  </w:r>
                </w:p>
              </w:tc>
            </w:tr>
            <w:tr w14:paraId="606BA5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1" w:type="pct"/>
                  <w:vMerge w:val="restart"/>
                  <w:tcBorders>
                    <w:tl2br w:val="nil"/>
                    <w:tr2bl w:val="nil"/>
                  </w:tcBorders>
                  <w:noWrap/>
                  <w:vAlign w:val="center"/>
                </w:tcPr>
                <w:p w14:paraId="3E307B51">
                  <w:pPr>
                    <w:pStyle w:val="17"/>
                    <w:numPr>
                      <w:ilvl w:val="0"/>
                      <w:numId w:val="0"/>
                    </w:numPr>
                    <w:tabs>
                      <w:tab w:val="clear" w:pos="2040"/>
                    </w:tabs>
                    <w:jc w:val="center"/>
                    <w:rPr>
                      <w:rFonts w:hint="eastAsia" w:eastAsia="仿宋_GB2312"/>
                      <w:lang w:eastAsia="zh-CN"/>
                    </w:rPr>
                  </w:pPr>
                  <w:r>
                    <w:rPr>
                      <w:rFonts w:eastAsia="仿宋_GB2312"/>
                    </w:rPr>
                    <w:t>202</w:t>
                  </w:r>
                  <w:r>
                    <w:rPr>
                      <w:rFonts w:hint="eastAsia" w:eastAsia="仿宋_GB2312"/>
                    </w:rPr>
                    <w:t>5</w:t>
                  </w:r>
                  <w:r>
                    <w:rPr>
                      <w:rFonts w:eastAsia="仿宋_GB2312"/>
                    </w:rPr>
                    <w:t>.</w:t>
                  </w:r>
                  <w:r>
                    <w:rPr>
                      <w:rFonts w:hint="eastAsia" w:eastAsia="仿宋_GB2312"/>
                      <w:lang w:val="en-US" w:eastAsia="zh-CN"/>
                    </w:rPr>
                    <w:t>11</w:t>
                  </w:r>
                  <w:r>
                    <w:rPr>
                      <w:rFonts w:eastAsia="仿宋_GB2312"/>
                    </w:rPr>
                    <w:t>.</w:t>
                  </w:r>
                  <w:r>
                    <w:rPr>
                      <w:rFonts w:hint="eastAsia" w:eastAsia="仿宋_GB2312"/>
                    </w:rPr>
                    <w:t>2</w:t>
                  </w:r>
                  <w:r>
                    <w:rPr>
                      <w:rFonts w:hint="eastAsia" w:eastAsia="仿宋_GB2312"/>
                      <w:lang w:val="en-US" w:eastAsia="zh-CN"/>
                    </w:rPr>
                    <w:t>1</w:t>
                  </w:r>
                </w:p>
              </w:tc>
              <w:tc>
                <w:tcPr>
                  <w:tcW w:w="1006" w:type="pct"/>
                  <w:vMerge w:val="restart"/>
                  <w:tcBorders>
                    <w:tl2br w:val="nil"/>
                    <w:tr2bl w:val="nil"/>
                  </w:tcBorders>
                  <w:noWrap/>
                  <w:vAlign w:val="center"/>
                </w:tcPr>
                <w:p w14:paraId="0E15CE16">
                  <w:pPr>
                    <w:pStyle w:val="17"/>
                    <w:numPr>
                      <w:ilvl w:val="0"/>
                      <w:numId w:val="0"/>
                    </w:numPr>
                    <w:tabs>
                      <w:tab w:val="clear" w:pos="2040"/>
                    </w:tabs>
                    <w:jc w:val="center"/>
                    <w:rPr>
                      <w:rFonts w:hint="eastAsia" w:eastAsia="仿宋_GB2312"/>
                      <w:lang w:val="en-US" w:eastAsia="zh-CN"/>
                    </w:rPr>
                  </w:pPr>
                  <w:r>
                    <w:rPr>
                      <w:rFonts w:eastAsia="仿宋_GB2312"/>
                    </w:rPr>
                    <w:t>检测单位：</w:t>
                  </w:r>
                  <w:r>
                    <w:rPr>
                      <w:rFonts w:hint="eastAsia" w:eastAsia="仿宋_GB2312"/>
                      <w:lang w:val="en-US" w:eastAsia="zh-CN"/>
                    </w:rPr>
                    <w:t>常州奕泽检测科技有限公司</w:t>
                  </w:r>
                </w:p>
                <w:p w14:paraId="6654B7C7">
                  <w:pPr>
                    <w:pStyle w:val="17"/>
                    <w:numPr>
                      <w:ilvl w:val="0"/>
                      <w:numId w:val="0"/>
                    </w:numPr>
                    <w:tabs>
                      <w:tab w:val="clear" w:pos="2040"/>
                    </w:tabs>
                    <w:jc w:val="center"/>
                    <w:rPr>
                      <w:rFonts w:hint="default" w:eastAsia="仿宋_GB2312"/>
                      <w:lang w:val="en-US" w:eastAsia="zh-CN"/>
                    </w:rPr>
                  </w:pPr>
                  <w:r>
                    <w:rPr>
                      <w:rFonts w:eastAsia="仿宋_GB2312"/>
                    </w:rPr>
                    <w:t>报告编号：</w:t>
                  </w:r>
                  <w:r>
                    <w:rPr>
                      <w:rFonts w:hint="eastAsia" w:eastAsia="仿宋_GB2312"/>
                      <w:lang w:val="en-US" w:eastAsia="zh-CN"/>
                    </w:rPr>
                    <w:t>YZ202511W040</w:t>
                  </w:r>
                </w:p>
              </w:tc>
              <w:tc>
                <w:tcPr>
                  <w:tcW w:w="482" w:type="pct"/>
                  <w:vMerge w:val="restart"/>
                  <w:tcBorders>
                    <w:tl2br w:val="nil"/>
                    <w:tr2bl w:val="nil"/>
                  </w:tcBorders>
                  <w:noWrap/>
                  <w:vAlign w:val="center"/>
                </w:tcPr>
                <w:p w14:paraId="01C9603D">
                  <w:pPr>
                    <w:pStyle w:val="17"/>
                    <w:numPr>
                      <w:ilvl w:val="0"/>
                      <w:numId w:val="0"/>
                    </w:numPr>
                    <w:tabs>
                      <w:tab w:val="clear" w:pos="2040"/>
                    </w:tabs>
                    <w:jc w:val="center"/>
                    <w:rPr>
                      <w:rFonts w:eastAsia="仿宋_GB2312"/>
                    </w:rPr>
                  </w:pPr>
                  <w:r>
                    <w:rPr>
                      <w:rFonts w:hint="eastAsia" w:eastAsia="仿宋_GB2312"/>
                      <w:lang w:val="en-US" w:eastAsia="zh-CN"/>
                    </w:rPr>
                    <w:t>F</w:t>
                  </w:r>
                  <w:r>
                    <w:rPr>
                      <w:rFonts w:hint="eastAsia" w:eastAsia="仿宋_GB2312"/>
                    </w:rPr>
                    <w:t>Q</w:t>
                  </w:r>
                  <w:r>
                    <w:rPr>
                      <w:rFonts w:hint="eastAsia" w:eastAsia="仿宋_GB2312"/>
                      <w:lang w:val="en-US" w:eastAsia="zh-CN"/>
                    </w:rPr>
                    <w:t>4045</w:t>
                  </w:r>
                  <w:r>
                    <w:rPr>
                      <w:rFonts w:eastAsia="仿宋_GB2312"/>
                    </w:rPr>
                    <w:t>排气筒出口</w:t>
                  </w:r>
                </w:p>
              </w:tc>
              <w:tc>
                <w:tcPr>
                  <w:tcW w:w="676" w:type="pct"/>
                  <w:tcBorders>
                    <w:tl2br w:val="nil"/>
                    <w:tr2bl w:val="nil"/>
                  </w:tcBorders>
                  <w:shd w:val="clear" w:color="auto" w:fill="auto"/>
                  <w:noWrap/>
                  <w:vAlign w:val="center"/>
                </w:tcPr>
                <w:p w14:paraId="2B1A69A8">
                  <w:pPr>
                    <w:pStyle w:val="17"/>
                    <w:numPr>
                      <w:ilvl w:val="0"/>
                      <w:numId w:val="0"/>
                    </w:numPr>
                    <w:tabs>
                      <w:tab w:val="clear" w:pos="2040"/>
                    </w:tabs>
                    <w:ind w:left="0" w:leftChars="0" w:firstLine="0" w:firstLineChars="0"/>
                    <w:jc w:val="center"/>
                    <w:rPr>
                      <w:rFonts w:ascii="Times New Roman" w:hAnsi="Times New Roman" w:eastAsia="仿宋_GB2312" w:cs="Times New Roman"/>
                      <w:kern w:val="2"/>
                      <w:sz w:val="21"/>
                      <w:szCs w:val="21"/>
                      <w:lang w:val="en-US" w:eastAsia="zh-CN" w:bidi="ar-SA"/>
                    </w:rPr>
                  </w:pPr>
                  <w:r>
                    <w:rPr>
                      <w:rFonts w:eastAsia="仿宋_GB2312"/>
                    </w:rPr>
                    <w:t>风量（m</w:t>
                  </w:r>
                  <w:r>
                    <w:rPr>
                      <w:rFonts w:eastAsia="仿宋_GB2312"/>
                      <w:vertAlign w:val="superscript"/>
                    </w:rPr>
                    <w:t>3</w:t>
                  </w:r>
                  <w:r>
                    <w:rPr>
                      <w:rFonts w:eastAsia="仿宋_GB2312"/>
                    </w:rPr>
                    <w:t>/h）</w:t>
                  </w:r>
                </w:p>
              </w:tc>
              <w:tc>
                <w:tcPr>
                  <w:tcW w:w="1394" w:type="pct"/>
                  <w:tcBorders>
                    <w:tl2br w:val="nil"/>
                    <w:tr2bl w:val="nil"/>
                  </w:tcBorders>
                  <w:shd w:val="clear" w:color="auto" w:fill="auto"/>
                  <w:noWrap/>
                  <w:vAlign w:val="center"/>
                </w:tcPr>
                <w:p w14:paraId="135310D4">
                  <w:pPr>
                    <w:pStyle w:val="17"/>
                    <w:numPr>
                      <w:ilvl w:val="0"/>
                      <w:numId w:val="0"/>
                    </w:numPr>
                    <w:tabs>
                      <w:tab w:val="clear" w:pos="2040"/>
                    </w:tabs>
                    <w:ind w:left="0" w:leftChars="0" w:firstLine="0" w:firstLineChars="0"/>
                    <w:jc w:val="center"/>
                    <w:rPr>
                      <w:rFonts w:hint="default" w:ascii="Times New Roman" w:hAnsi="Times New Roman" w:eastAsia="仿宋_GB2312" w:cs="Times New Roman"/>
                      <w:kern w:val="2"/>
                      <w:sz w:val="21"/>
                      <w:szCs w:val="21"/>
                      <w:lang w:val="en-US" w:eastAsia="zh-CN" w:bidi="ar-SA"/>
                    </w:rPr>
                  </w:pPr>
                  <w:r>
                    <w:rPr>
                      <w:rFonts w:hint="eastAsia" w:eastAsia="仿宋_GB2312"/>
                      <w:lang w:val="en-US" w:eastAsia="zh-CN"/>
                    </w:rPr>
                    <w:t>1070</w:t>
                  </w:r>
                </w:p>
              </w:tc>
              <w:tc>
                <w:tcPr>
                  <w:tcW w:w="678" w:type="pct"/>
                  <w:tcBorders>
                    <w:tl2br w:val="nil"/>
                    <w:tr2bl w:val="nil"/>
                  </w:tcBorders>
                  <w:shd w:val="clear" w:color="auto" w:fill="auto"/>
                  <w:noWrap/>
                  <w:vAlign w:val="center"/>
                </w:tcPr>
                <w:p w14:paraId="3A39C83D">
                  <w:pPr>
                    <w:pStyle w:val="17"/>
                    <w:numPr>
                      <w:ilvl w:val="0"/>
                      <w:numId w:val="0"/>
                    </w:numPr>
                    <w:tabs>
                      <w:tab w:val="clear" w:pos="2040"/>
                    </w:tabs>
                    <w:ind w:left="0" w:leftChars="0" w:firstLine="0" w:firstLineChars="0"/>
                    <w:jc w:val="center"/>
                    <w:rPr>
                      <w:rFonts w:hint="eastAsia" w:ascii="Times New Roman" w:hAnsi="Times New Roman" w:eastAsia="仿宋_GB2312" w:cs="Times New Roman"/>
                      <w:kern w:val="2"/>
                      <w:sz w:val="21"/>
                      <w:szCs w:val="21"/>
                      <w:lang w:val="en-US" w:eastAsia="zh-CN" w:bidi="ar-SA"/>
                    </w:rPr>
                  </w:pPr>
                  <w:r>
                    <w:rPr>
                      <w:rFonts w:eastAsia="仿宋_GB2312"/>
                    </w:rPr>
                    <w:t>/</w:t>
                  </w:r>
                </w:p>
              </w:tc>
            </w:tr>
            <w:tr w14:paraId="568228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1" w:type="pct"/>
                  <w:vMerge w:val="continue"/>
                  <w:tcBorders>
                    <w:tl2br w:val="nil"/>
                    <w:tr2bl w:val="nil"/>
                  </w:tcBorders>
                  <w:noWrap/>
                  <w:vAlign w:val="center"/>
                </w:tcPr>
                <w:p w14:paraId="398B15A7">
                  <w:pPr>
                    <w:pStyle w:val="17"/>
                    <w:numPr>
                      <w:ilvl w:val="0"/>
                      <w:numId w:val="0"/>
                    </w:numPr>
                    <w:tabs>
                      <w:tab w:val="clear" w:pos="2040"/>
                    </w:tabs>
                    <w:jc w:val="center"/>
                    <w:rPr>
                      <w:rFonts w:eastAsia="仿宋_GB2312"/>
                    </w:rPr>
                  </w:pPr>
                </w:p>
              </w:tc>
              <w:tc>
                <w:tcPr>
                  <w:tcW w:w="1006" w:type="pct"/>
                  <w:vMerge w:val="continue"/>
                  <w:tcBorders>
                    <w:tl2br w:val="nil"/>
                    <w:tr2bl w:val="nil"/>
                  </w:tcBorders>
                  <w:noWrap/>
                  <w:vAlign w:val="center"/>
                </w:tcPr>
                <w:p w14:paraId="3BFF33C5">
                  <w:pPr>
                    <w:pStyle w:val="17"/>
                    <w:numPr>
                      <w:ilvl w:val="0"/>
                      <w:numId w:val="0"/>
                    </w:numPr>
                    <w:tabs>
                      <w:tab w:val="clear" w:pos="2040"/>
                    </w:tabs>
                    <w:jc w:val="center"/>
                    <w:rPr>
                      <w:rFonts w:eastAsia="仿宋_GB2312"/>
                    </w:rPr>
                  </w:pPr>
                </w:p>
              </w:tc>
              <w:tc>
                <w:tcPr>
                  <w:tcW w:w="482" w:type="pct"/>
                  <w:vMerge w:val="continue"/>
                  <w:tcBorders>
                    <w:tl2br w:val="nil"/>
                    <w:tr2bl w:val="nil"/>
                  </w:tcBorders>
                  <w:noWrap/>
                  <w:vAlign w:val="center"/>
                </w:tcPr>
                <w:p w14:paraId="40FBBACF">
                  <w:pPr>
                    <w:pStyle w:val="17"/>
                    <w:numPr>
                      <w:ilvl w:val="0"/>
                      <w:numId w:val="0"/>
                    </w:numPr>
                    <w:tabs>
                      <w:tab w:val="clear" w:pos="2040"/>
                    </w:tabs>
                    <w:jc w:val="center"/>
                    <w:rPr>
                      <w:rFonts w:eastAsia="仿宋_GB2312"/>
                    </w:rPr>
                  </w:pPr>
                </w:p>
              </w:tc>
              <w:tc>
                <w:tcPr>
                  <w:tcW w:w="676" w:type="pct"/>
                  <w:vMerge w:val="restart"/>
                  <w:tcBorders>
                    <w:tl2br w:val="nil"/>
                    <w:tr2bl w:val="nil"/>
                  </w:tcBorders>
                  <w:shd w:val="clear" w:color="auto" w:fill="auto"/>
                  <w:noWrap/>
                  <w:vAlign w:val="center"/>
                </w:tcPr>
                <w:p w14:paraId="37A5D684">
                  <w:pPr>
                    <w:pStyle w:val="17"/>
                    <w:numPr>
                      <w:ilvl w:val="0"/>
                      <w:numId w:val="0"/>
                    </w:numPr>
                    <w:tabs>
                      <w:tab w:val="clear" w:pos="2040"/>
                    </w:tabs>
                    <w:ind w:left="0" w:leftChars="0" w:firstLine="0" w:firstLineChars="0"/>
                    <w:jc w:val="center"/>
                    <w:rPr>
                      <w:rFonts w:ascii="Times New Roman" w:hAnsi="Times New Roman" w:eastAsia="仿宋_GB2312" w:cs="Times New Roman"/>
                      <w:kern w:val="2"/>
                      <w:sz w:val="21"/>
                      <w:szCs w:val="21"/>
                      <w:lang w:val="en-US" w:eastAsia="zh-CN" w:bidi="ar-SA"/>
                    </w:rPr>
                  </w:pPr>
                  <w:r>
                    <w:rPr>
                      <w:rFonts w:eastAsia="仿宋_GB2312"/>
                    </w:rPr>
                    <w:t>颗粒物</w:t>
                  </w:r>
                </w:p>
              </w:tc>
              <w:tc>
                <w:tcPr>
                  <w:tcW w:w="1394" w:type="pct"/>
                  <w:tcBorders>
                    <w:tl2br w:val="nil"/>
                    <w:tr2bl w:val="nil"/>
                  </w:tcBorders>
                  <w:shd w:val="clear" w:color="auto" w:fill="auto"/>
                  <w:noWrap/>
                  <w:vAlign w:val="center"/>
                </w:tcPr>
                <w:p w14:paraId="50E02953">
                  <w:pPr>
                    <w:pStyle w:val="17"/>
                    <w:numPr>
                      <w:ilvl w:val="0"/>
                      <w:numId w:val="0"/>
                    </w:numPr>
                    <w:tabs>
                      <w:tab w:val="clear" w:pos="2040"/>
                    </w:tabs>
                    <w:ind w:left="0" w:leftChars="0" w:firstLine="0" w:firstLineChars="0"/>
                    <w:jc w:val="center"/>
                    <w:rPr>
                      <w:rFonts w:ascii="Times New Roman" w:hAnsi="Times New Roman" w:eastAsia="仿宋_GB2312" w:cs="Times New Roman"/>
                      <w:kern w:val="2"/>
                      <w:sz w:val="21"/>
                      <w:szCs w:val="21"/>
                      <w:lang w:val="en-US" w:eastAsia="zh-CN" w:bidi="ar-SA"/>
                    </w:rPr>
                  </w:pPr>
                  <w:r>
                    <w:rPr>
                      <w:rFonts w:eastAsia="仿宋_GB2312"/>
                    </w:rPr>
                    <w:t>排放浓度（mg/m</w:t>
                  </w:r>
                  <w:r>
                    <w:rPr>
                      <w:rFonts w:eastAsia="仿宋_GB2312"/>
                      <w:vertAlign w:val="superscript"/>
                    </w:rPr>
                    <w:t>3</w:t>
                  </w:r>
                  <w:r>
                    <w:rPr>
                      <w:rFonts w:eastAsia="仿宋_GB2312"/>
                    </w:rPr>
                    <w:t>）</w:t>
                  </w:r>
                </w:p>
              </w:tc>
              <w:tc>
                <w:tcPr>
                  <w:tcW w:w="678" w:type="pct"/>
                  <w:tcBorders>
                    <w:tl2br w:val="nil"/>
                    <w:tr2bl w:val="nil"/>
                  </w:tcBorders>
                  <w:shd w:val="clear" w:color="auto" w:fill="auto"/>
                  <w:noWrap/>
                  <w:vAlign w:val="center"/>
                </w:tcPr>
                <w:p w14:paraId="222D4A6B">
                  <w:pPr>
                    <w:pStyle w:val="17"/>
                    <w:numPr>
                      <w:ilvl w:val="0"/>
                      <w:numId w:val="0"/>
                    </w:numPr>
                    <w:tabs>
                      <w:tab w:val="clear" w:pos="2040"/>
                    </w:tabs>
                    <w:ind w:left="0" w:leftChars="0" w:firstLine="0" w:firstLineChars="0"/>
                    <w:jc w:val="center"/>
                    <w:rPr>
                      <w:rFonts w:hint="default" w:ascii="Times New Roman" w:hAnsi="Times New Roman" w:eastAsia="仿宋_GB2312" w:cs="Times New Roman"/>
                      <w:kern w:val="2"/>
                      <w:sz w:val="21"/>
                      <w:szCs w:val="21"/>
                      <w:lang w:val="en-US" w:eastAsia="zh-CN" w:bidi="ar-SA"/>
                    </w:rPr>
                  </w:pPr>
                  <w:r>
                    <w:rPr>
                      <w:rFonts w:hint="eastAsia" w:eastAsia="仿宋_GB2312" w:cs="Times New Roman"/>
                      <w:kern w:val="2"/>
                      <w:sz w:val="21"/>
                      <w:szCs w:val="21"/>
                      <w:lang w:val="en-US" w:eastAsia="zh-CN" w:bidi="ar-SA"/>
                    </w:rPr>
                    <w:t>ND</w:t>
                  </w:r>
                </w:p>
              </w:tc>
            </w:tr>
            <w:tr w14:paraId="610952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1" w:type="pct"/>
                  <w:vMerge w:val="continue"/>
                  <w:tcBorders>
                    <w:tl2br w:val="nil"/>
                    <w:tr2bl w:val="nil"/>
                  </w:tcBorders>
                  <w:noWrap/>
                  <w:vAlign w:val="center"/>
                </w:tcPr>
                <w:p w14:paraId="03747E46">
                  <w:pPr>
                    <w:pStyle w:val="17"/>
                    <w:numPr>
                      <w:ilvl w:val="0"/>
                      <w:numId w:val="0"/>
                    </w:numPr>
                    <w:tabs>
                      <w:tab w:val="clear" w:pos="2040"/>
                    </w:tabs>
                    <w:jc w:val="center"/>
                    <w:rPr>
                      <w:rFonts w:eastAsia="仿宋_GB2312"/>
                    </w:rPr>
                  </w:pPr>
                </w:p>
              </w:tc>
              <w:tc>
                <w:tcPr>
                  <w:tcW w:w="1006" w:type="pct"/>
                  <w:vMerge w:val="continue"/>
                  <w:tcBorders>
                    <w:tl2br w:val="nil"/>
                    <w:tr2bl w:val="nil"/>
                  </w:tcBorders>
                  <w:noWrap/>
                  <w:vAlign w:val="center"/>
                </w:tcPr>
                <w:p w14:paraId="03AA6DF8">
                  <w:pPr>
                    <w:pStyle w:val="17"/>
                    <w:numPr>
                      <w:ilvl w:val="0"/>
                      <w:numId w:val="0"/>
                    </w:numPr>
                    <w:tabs>
                      <w:tab w:val="clear" w:pos="2040"/>
                    </w:tabs>
                    <w:jc w:val="center"/>
                    <w:rPr>
                      <w:rFonts w:eastAsia="仿宋_GB2312"/>
                    </w:rPr>
                  </w:pPr>
                </w:p>
              </w:tc>
              <w:tc>
                <w:tcPr>
                  <w:tcW w:w="482" w:type="pct"/>
                  <w:vMerge w:val="continue"/>
                  <w:tcBorders>
                    <w:tl2br w:val="nil"/>
                    <w:tr2bl w:val="nil"/>
                  </w:tcBorders>
                  <w:noWrap/>
                  <w:vAlign w:val="center"/>
                </w:tcPr>
                <w:p w14:paraId="1C78293D">
                  <w:pPr>
                    <w:pStyle w:val="17"/>
                    <w:numPr>
                      <w:ilvl w:val="0"/>
                      <w:numId w:val="0"/>
                    </w:numPr>
                    <w:tabs>
                      <w:tab w:val="clear" w:pos="2040"/>
                    </w:tabs>
                    <w:jc w:val="center"/>
                    <w:rPr>
                      <w:rFonts w:eastAsia="仿宋_GB2312"/>
                    </w:rPr>
                  </w:pPr>
                </w:p>
              </w:tc>
              <w:tc>
                <w:tcPr>
                  <w:tcW w:w="676" w:type="pct"/>
                  <w:vMerge w:val="continue"/>
                  <w:tcBorders>
                    <w:tl2br w:val="nil"/>
                    <w:tr2bl w:val="nil"/>
                  </w:tcBorders>
                  <w:noWrap/>
                  <w:vAlign w:val="center"/>
                </w:tcPr>
                <w:p w14:paraId="797B85E6">
                  <w:pPr>
                    <w:pStyle w:val="17"/>
                    <w:numPr>
                      <w:ilvl w:val="0"/>
                      <w:numId w:val="0"/>
                    </w:numPr>
                    <w:tabs>
                      <w:tab w:val="clear" w:pos="2040"/>
                    </w:tabs>
                    <w:jc w:val="center"/>
                    <w:rPr>
                      <w:rFonts w:eastAsia="仿宋_GB2312"/>
                    </w:rPr>
                  </w:pPr>
                </w:p>
              </w:tc>
              <w:tc>
                <w:tcPr>
                  <w:tcW w:w="1394" w:type="pct"/>
                  <w:tcBorders>
                    <w:tl2br w:val="nil"/>
                    <w:tr2bl w:val="nil"/>
                  </w:tcBorders>
                  <w:shd w:val="clear" w:color="auto" w:fill="auto"/>
                  <w:noWrap/>
                  <w:vAlign w:val="center"/>
                </w:tcPr>
                <w:p w14:paraId="508E5C8C">
                  <w:pPr>
                    <w:pStyle w:val="17"/>
                    <w:numPr>
                      <w:ilvl w:val="0"/>
                      <w:numId w:val="0"/>
                    </w:numPr>
                    <w:tabs>
                      <w:tab w:val="clear" w:pos="2040"/>
                    </w:tabs>
                    <w:ind w:left="0" w:leftChars="0" w:firstLine="0" w:firstLineChars="0"/>
                    <w:jc w:val="center"/>
                    <w:rPr>
                      <w:rFonts w:ascii="Times New Roman" w:hAnsi="Times New Roman" w:eastAsia="仿宋_GB2312" w:cs="Times New Roman"/>
                      <w:kern w:val="2"/>
                      <w:sz w:val="21"/>
                      <w:szCs w:val="21"/>
                      <w:lang w:val="en-US" w:eastAsia="zh-CN" w:bidi="ar-SA"/>
                    </w:rPr>
                  </w:pPr>
                  <w:r>
                    <w:rPr>
                      <w:rFonts w:eastAsia="仿宋_GB2312"/>
                    </w:rPr>
                    <w:t>排放速率（kg/h）</w:t>
                  </w:r>
                </w:p>
              </w:tc>
              <w:tc>
                <w:tcPr>
                  <w:tcW w:w="678" w:type="pct"/>
                  <w:tcBorders>
                    <w:tl2br w:val="nil"/>
                    <w:tr2bl w:val="nil"/>
                  </w:tcBorders>
                  <w:shd w:val="clear" w:color="auto" w:fill="auto"/>
                  <w:noWrap/>
                  <w:vAlign w:val="center"/>
                </w:tcPr>
                <w:p w14:paraId="5549E2F0">
                  <w:pPr>
                    <w:pStyle w:val="17"/>
                    <w:numPr>
                      <w:ilvl w:val="0"/>
                      <w:numId w:val="0"/>
                    </w:numPr>
                    <w:tabs>
                      <w:tab w:val="clear" w:pos="2040"/>
                    </w:tabs>
                    <w:ind w:left="0" w:leftChars="0" w:firstLine="0" w:firstLineChars="0"/>
                    <w:jc w:val="center"/>
                    <w:rPr>
                      <w:rFonts w:hint="eastAsia" w:ascii="Times New Roman" w:hAnsi="Times New Roman" w:eastAsia="仿宋_GB2312" w:cs="Times New Roman"/>
                      <w:kern w:val="2"/>
                      <w:sz w:val="21"/>
                      <w:szCs w:val="21"/>
                      <w:lang w:val="en-US" w:eastAsia="zh-CN" w:bidi="ar-SA"/>
                    </w:rPr>
                  </w:pPr>
                  <w:r>
                    <w:rPr>
                      <w:rFonts w:eastAsia="仿宋_GB2312"/>
                    </w:rPr>
                    <w:t>/</w:t>
                  </w:r>
                </w:p>
              </w:tc>
            </w:tr>
            <w:tr w14:paraId="474B53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1" w:type="pct"/>
                  <w:vMerge w:val="restart"/>
                  <w:tcBorders>
                    <w:tl2br w:val="nil"/>
                    <w:tr2bl w:val="nil"/>
                  </w:tcBorders>
                  <w:noWrap/>
                  <w:vAlign w:val="center"/>
                </w:tcPr>
                <w:p w14:paraId="43B2639B">
                  <w:pPr>
                    <w:pStyle w:val="17"/>
                    <w:numPr>
                      <w:ilvl w:val="0"/>
                      <w:numId w:val="0"/>
                    </w:numPr>
                    <w:tabs>
                      <w:tab w:val="clear" w:pos="2040"/>
                    </w:tabs>
                    <w:jc w:val="center"/>
                    <w:rPr>
                      <w:rFonts w:eastAsia="仿宋_GB2312"/>
                    </w:rPr>
                  </w:pPr>
                  <w:r>
                    <w:rPr>
                      <w:rFonts w:eastAsia="仿宋_GB2312"/>
                    </w:rPr>
                    <w:t>202</w:t>
                  </w:r>
                  <w:r>
                    <w:rPr>
                      <w:rFonts w:hint="eastAsia" w:eastAsia="仿宋_GB2312"/>
                    </w:rPr>
                    <w:t>5</w:t>
                  </w:r>
                  <w:r>
                    <w:rPr>
                      <w:rFonts w:eastAsia="仿宋_GB2312"/>
                    </w:rPr>
                    <w:t>.</w:t>
                  </w:r>
                  <w:r>
                    <w:rPr>
                      <w:rFonts w:hint="eastAsia" w:eastAsia="仿宋_GB2312"/>
                      <w:lang w:val="en-US" w:eastAsia="zh-CN"/>
                    </w:rPr>
                    <w:t>11</w:t>
                  </w:r>
                  <w:r>
                    <w:rPr>
                      <w:rFonts w:eastAsia="仿宋_GB2312"/>
                    </w:rPr>
                    <w:t>.</w:t>
                  </w:r>
                  <w:r>
                    <w:rPr>
                      <w:rFonts w:hint="eastAsia" w:eastAsia="仿宋_GB2312"/>
                    </w:rPr>
                    <w:t>2</w:t>
                  </w:r>
                  <w:r>
                    <w:rPr>
                      <w:rFonts w:hint="eastAsia" w:eastAsia="仿宋_GB2312"/>
                      <w:lang w:val="en-US" w:eastAsia="zh-CN"/>
                    </w:rPr>
                    <w:t>1</w:t>
                  </w:r>
                </w:p>
              </w:tc>
              <w:tc>
                <w:tcPr>
                  <w:tcW w:w="1006" w:type="pct"/>
                  <w:vMerge w:val="restart"/>
                  <w:tcBorders>
                    <w:tl2br w:val="nil"/>
                    <w:tr2bl w:val="nil"/>
                  </w:tcBorders>
                  <w:noWrap/>
                  <w:vAlign w:val="center"/>
                </w:tcPr>
                <w:p w14:paraId="030D51A5">
                  <w:pPr>
                    <w:pStyle w:val="17"/>
                    <w:numPr>
                      <w:ilvl w:val="0"/>
                      <w:numId w:val="0"/>
                    </w:numPr>
                    <w:tabs>
                      <w:tab w:val="clear" w:pos="2040"/>
                    </w:tabs>
                    <w:jc w:val="center"/>
                    <w:rPr>
                      <w:rFonts w:hint="eastAsia" w:eastAsia="仿宋_GB2312"/>
                      <w:lang w:val="en-US" w:eastAsia="zh-CN"/>
                    </w:rPr>
                  </w:pPr>
                  <w:r>
                    <w:rPr>
                      <w:rFonts w:eastAsia="仿宋_GB2312"/>
                    </w:rPr>
                    <w:t>检测单位：</w:t>
                  </w:r>
                  <w:r>
                    <w:rPr>
                      <w:rFonts w:hint="eastAsia" w:eastAsia="仿宋_GB2312"/>
                      <w:lang w:val="en-US" w:eastAsia="zh-CN"/>
                    </w:rPr>
                    <w:t>常州奕泽检测科技有限公司</w:t>
                  </w:r>
                </w:p>
                <w:p w14:paraId="1D4CED0D">
                  <w:pPr>
                    <w:pStyle w:val="17"/>
                    <w:numPr>
                      <w:ilvl w:val="0"/>
                      <w:numId w:val="0"/>
                    </w:numPr>
                    <w:tabs>
                      <w:tab w:val="clear" w:pos="2040"/>
                    </w:tabs>
                    <w:jc w:val="center"/>
                    <w:rPr>
                      <w:rFonts w:eastAsia="仿宋_GB2312"/>
                    </w:rPr>
                  </w:pPr>
                  <w:r>
                    <w:rPr>
                      <w:rFonts w:eastAsia="仿宋_GB2312"/>
                    </w:rPr>
                    <w:t>报告编号：</w:t>
                  </w:r>
                  <w:r>
                    <w:rPr>
                      <w:rFonts w:hint="eastAsia" w:eastAsia="仿宋_GB2312"/>
                      <w:lang w:val="en-US" w:eastAsia="zh-CN"/>
                    </w:rPr>
                    <w:t>YZ202511W040</w:t>
                  </w:r>
                </w:p>
              </w:tc>
              <w:tc>
                <w:tcPr>
                  <w:tcW w:w="482" w:type="pct"/>
                  <w:vMerge w:val="restart"/>
                  <w:tcBorders>
                    <w:tl2br w:val="nil"/>
                    <w:tr2bl w:val="nil"/>
                  </w:tcBorders>
                  <w:noWrap/>
                  <w:vAlign w:val="center"/>
                </w:tcPr>
                <w:p w14:paraId="565AD453">
                  <w:pPr>
                    <w:pStyle w:val="17"/>
                    <w:numPr>
                      <w:ilvl w:val="0"/>
                      <w:numId w:val="0"/>
                    </w:numPr>
                    <w:tabs>
                      <w:tab w:val="clear" w:pos="2040"/>
                    </w:tabs>
                    <w:jc w:val="center"/>
                    <w:rPr>
                      <w:rFonts w:eastAsia="仿宋_GB2312"/>
                    </w:rPr>
                  </w:pPr>
                  <w:r>
                    <w:rPr>
                      <w:rFonts w:hint="eastAsia" w:eastAsia="仿宋_GB2312"/>
                      <w:lang w:val="en-US" w:eastAsia="zh-CN"/>
                    </w:rPr>
                    <w:t>F</w:t>
                  </w:r>
                  <w:r>
                    <w:rPr>
                      <w:rFonts w:hint="eastAsia" w:eastAsia="仿宋_GB2312"/>
                    </w:rPr>
                    <w:t>Q</w:t>
                  </w:r>
                  <w:r>
                    <w:rPr>
                      <w:rFonts w:hint="eastAsia" w:eastAsia="仿宋_GB2312"/>
                      <w:lang w:val="en-US" w:eastAsia="zh-CN"/>
                    </w:rPr>
                    <w:t>4052</w:t>
                  </w:r>
                  <w:r>
                    <w:rPr>
                      <w:rFonts w:eastAsia="仿宋_GB2312"/>
                    </w:rPr>
                    <w:t>排气筒出口</w:t>
                  </w:r>
                </w:p>
              </w:tc>
              <w:tc>
                <w:tcPr>
                  <w:tcW w:w="676" w:type="pct"/>
                  <w:tcBorders>
                    <w:tl2br w:val="nil"/>
                    <w:tr2bl w:val="nil"/>
                  </w:tcBorders>
                  <w:noWrap/>
                  <w:vAlign w:val="center"/>
                </w:tcPr>
                <w:p w14:paraId="3BD67992">
                  <w:pPr>
                    <w:pStyle w:val="17"/>
                    <w:numPr>
                      <w:ilvl w:val="0"/>
                      <w:numId w:val="0"/>
                    </w:numPr>
                    <w:tabs>
                      <w:tab w:val="clear" w:pos="2040"/>
                    </w:tabs>
                    <w:jc w:val="center"/>
                    <w:rPr>
                      <w:rFonts w:eastAsia="仿宋_GB2312"/>
                    </w:rPr>
                  </w:pPr>
                  <w:r>
                    <w:rPr>
                      <w:rFonts w:eastAsia="仿宋_GB2312"/>
                    </w:rPr>
                    <w:t>风量（m</w:t>
                  </w:r>
                  <w:r>
                    <w:rPr>
                      <w:rFonts w:eastAsia="仿宋_GB2312"/>
                      <w:vertAlign w:val="superscript"/>
                    </w:rPr>
                    <w:t>3</w:t>
                  </w:r>
                  <w:r>
                    <w:rPr>
                      <w:rFonts w:eastAsia="仿宋_GB2312"/>
                    </w:rPr>
                    <w:t>/h）</w:t>
                  </w:r>
                </w:p>
              </w:tc>
              <w:tc>
                <w:tcPr>
                  <w:tcW w:w="1394" w:type="pct"/>
                  <w:tcBorders>
                    <w:tl2br w:val="nil"/>
                    <w:tr2bl w:val="nil"/>
                  </w:tcBorders>
                  <w:noWrap/>
                  <w:vAlign w:val="center"/>
                </w:tcPr>
                <w:p w14:paraId="0DAA5CC9">
                  <w:pPr>
                    <w:pStyle w:val="17"/>
                    <w:numPr>
                      <w:ilvl w:val="0"/>
                      <w:numId w:val="0"/>
                    </w:numPr>
                    <w:tabs>
                      <w:tab w:val="clear" w:pos="2040"/>
                    </w:tabs>
                    <w:jc w:val="center"/>
                    <w:rPr>
                      <w:rFonts w:hint="default" w:eastAsia="仿宋_GB2312"/>
                      <w:lang w:val="en-US" w:eastAsia="zh-CN"/>
                    </w:rPr>
                  </w:pPr>
                  <w:r>
                    <w:rPr>
                      <w:rFonts w:hint="eastAsia" w:eastAsia="仿宋_GB2312"/>
                      <w:lang w:val="en-US" w:eastAsia="zh-CN"/>
                    </w:rPr>
                    <w:t>2500</w:t>
                  </w:r>
                </w:p>
              </w:tc>
              <w:tc>
                <w:tcPr>
                  <w:tcW w:w="678" w:type="pct"/>
                  <w:tcBorders>
                    <w:tl2br w:val="nil"/>
                    <w:tr2bl w:val="nil"/>
                  </w:tcBorders>
                  <w:noWrap/>
                  <w:vAlign w:val="center"/>
                </w:tcPr>
                <w:p w14:paraId="7A89B1E0">
                  <w:pPr>
                    <w:pStyle w:val="17"/>
                    <w:numPr>
                      <w:ilvl w:val="0"/>
                      <w:numId w:val="0"/>
                    </w:numPr>
                    <w:tabs>
                      <w:tab w:val="clear" w:pos="2040"/>
                    </w:tabs>
                    <w:jc w:val="center"/>
                    <w:rPr>
                      <w:rFonts w:hint="eastAsia" w:eastAsia="仿宋_GB2312"/>
                    </w:rPr>
                  </w:pPr>
                  <w:r>
                    <w:rPr>
                      <w:rFonts w:eastAsia="仿宋_GB2312"/>
                    </w:rPr>
                    <w:t>/</w:t>
                  </w:r>
                </w:p>
              </w:tc>
            </w:tr>
            <w:tr w14:paraId="010E57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1" w:type="pct"/>
                  <w:vMerge w:val="continue"/>
                  <w:tcBorders>
                    <w:tl2br w:val="nil"/>
                    <w:tr2bl w:val="nil"/>
                  </w:tcBorders>
                  <w:noWrap/>
                  <w:vAlign w:val="center"/>
                </w:tcPr>
                <w:p w14:paraId="08DB552F">
                  <w:pPr>
                    <w:pStyle w:val="17"/>
                    <w:numPr>
                      <w:ilvl w:val="0"/>
                      <w:numId w:val="0"/>
                    </w:numPr>
                    <w:tabs>
                      <w:tab w:val="clear" w:pos="2040"/>
                    </w:tabs>
                    <w:jc w:val="center"/>
                    <w:rPr>
                      <w:rFonts w:eastAsia="仿宋_GB2312"/>
                    </w:rPr>
                  </w:pPr>
                </w:p>
              </w:tc>
              <w:tc>
                <w:tcPr>
                  <w:tcW w:w="1006" w:type="pct"/>
                  <w:vMerge w:val="continue"/>
                  <w:tcBorders>
                    <w:tl2br w:val="nil"/>
                    <w:tr2bl w:val="nil"/>
                  </w:tcBorders>
                  <w:noWrap/>
                  <w:vAlign w:val="center"/>
                </w:tcPr>
                <w:p w14:paraId="425B53FD">
                  <w:pPr>
                    <w:pStyle w:val="17"/>
                    <w:numPr>
                      <w:ilvl w:val="0"/>
                      <w:numId w:val="0"/>
                    </w:numPr>
                    <w:tabs>
                      <w:tab w:val="clear" w:pos="2040"/>
                    </w:tabs>
                    <w:jc w:val="center"/>
                    <w:rPr>
                      <w:rFonts w:eastAsia="仿宋_GB2312"/>
                    </w:rPr>
                  </w:pPr>
                </w:p>
              </w:tc>
              <w:tc>
                <w:tcPr>
                  <w:tcW w:w="482" w:type="pct"/>
                  <w:vMerge w:val="continue"/>
                  <w:tcBorders>
                    <w:tl2br w:val="nil"/>
                    <w:tr2bl w:val="nil"/>
                  </w:tcBorders>
                  <w:noWrap/>
                  <w:vAlign w:val="center"/>
                </w:tcPr>
                <w:p w14:paraId="42A46A4A">
                  <w:pPr>
                    <w:pStyle w:val="17"/>
                    <w:numPr>
                      <w:ilvl w:val="0"/>
                      <w:numId w:val="0"/>
                    </w:numPr>
                    <w:tabs>
                      <w:tab w:val="clear" w:pos="2040"/>
                    </w:tabs>
                    <w:jc w:val="center"/>
                    <w:rPr>
                      <w:rFonts w:eastAsia="仿宋_GB2312"/>
                    </w:rPr>
                  </w:pPr>
                </w:p>
              </w:tc>
              <w:tc>
                <w:tcPr>
                  <w:tcW w:w="676" w:type="pct"/>
                  <w:tcBorders>
                    <w:tl2br w:val="nil"/>
                    <w:tr2bl w:val="nil"/>
                  </w:tcBorders>
                  <w:noWrap/>
                  <w:vAlign w:val="center"/>
                </w:tcPr>
                <w:p w14:paraId="306BAA8E">
                  <w:pPr>
                    <w:pStyle w:val="17"/>
                    <w:numPr>
                      <w:ilvl w:val="0"/>
                      <w:numId w:val="0"/>
                    </w:numPr>
                    <w:tabs>
                      <w:tab w:val="clear" w:pos="2040"/>
                    </w:tabs>
                    <w:jc w:val="center"/>
                    <w:rPr>
                      <w:rFonts w:hint="eastAsia" w:eastAsia="仿宋_GB2312"/>
                      <w:lang w:val="en-US" w:eastAsia="zh-CN"/>
                    </w:rPr>
                  </w:pPr>
                  <w:r>
                    <w:rPr>
                      <w:rFonts w:hint="eastAsia" w:eastAsia="仿宋_GB2312"/>
                      <w:lang w:val="en-US" w:eastAsia="zh-CN"/>
                    </w:rPr>
                    <w:t>氧含量（%）</w:t>
                  </w:r>
                </w:p>
              </w:tc>
              <w:tc>
                <w:tcPr>
                  <w:tcW w:w="1394" w:type="pct"/>
                  <w:tcBorders>
                    <w:tl2br w:val="nil"/>
                    <w:tr2bl w:val="nil"/>
                  </w:tcBorders>
                  <w:noWrap/>
                  <w:vAlign w:val="center"/>
                </w:tcPr>
                <w:p w14:paraId="235AE019">
                  <w:pPr>
                    <w:pStyle w:val="17"/>
                    <w:numPr>
                      <w:ilvl w:val="0"/>
                      <w:numId w:val="0"/>
                    </w:numPr>
                    <w:tabs>
                      <w:tab w:val="clear" w:pos="2040"/>
                    </w:tabs>
                    <w:jc w:val="center"/>
                    <w:rPr>
                      <w:rFonts w:hint="default" w:eastAsia="仿宋_GB2312"/>
                      <w:lang w:val="en-US" w:eastAsia="zh-CN"/>
                    </w:rPr>
                  </w:pPr>
                  <w:r>
                    <w:rPr>
                      <w:rFonts w:hint="eastAsia" w:eastAsia="仿宋_GB2312"/>
                      <w:lang w:val="en-US" w:eastAsia="zh-CN"/>
                    </w:rPr>
                    <w:t>20.5</w:t>
                  </w:r>
                </w:p>
              </w:tc>
              <w:tc>
                <w:tcPr>
                  <w:tcW w:w="678" w:type="pct"/>
                  <w:tcBorders>
                    <w:tl2br w:val="nil"/>
                    <w:tr2bl w:val="nil"/>
                  </w:tcBorders>
                  <w:noWrap/>
                  <w:vAlign w:val="center"/>
                </w:tcPr>
                <w:p w14:paraId="7158BB5F">
                  <w:pPr>
                    <w:pStyle w:val="17"/>
                    <w:numPr>
                      <w:ilvl w:val="0"/>
                      <w:numId w:val="0"/>
                    </w:numPr>
                    <w:tabs>
                      <w:tab w:val="clear" w:pos="2040"/>
                    </w:tabs>
                    <w:jc w:val="center"/>
                    <w:rPr>
                      <w:rFonts w:hint="eastAsia" w:eastAsia="仿宋_GB2312"/>
                    </w:rPr>
                  </w:pPr>
                  <w:r>
                    <w:rPr>
                      <w:rFonts w:eastAsia="仿宋_GB2312"/>
                    </w:rPr>
                    <w:t>/</w:t>
                  </w:r>
                </w:p>
              </w:tc>
            </w:tr>
            <w:tr w14:paraId="4A7631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1" w:type="pct"/>
                  <w:vMerge w:val="continue"/>
                  <w:tcBorders>
                    <w:tl2br w:val="nil"/>
                    <w:tr2bl w:val="nil"/>
                  </w:tcBorders>
                  <w:noWrap/>
                  <w:vAlign w:val="center"/>
                </w:tcPr>
                <w:p w14:paraId="2AA33299">
                  <w:pPr>
                    <w:pStyle w:val="17"/>
                    <w:numPr>
                      <w:ilvl w:val="0"/>
                      <w:numId w:val="0"/>
                    </w:numPr>
                    <w:tabs>
                      <w:tab w:val="clear" w:pos="2040"/>
                    </w:tabs>
                    <w:jc w:val="center"/>
                    <w:rPr>
                      <w:rFonts w:eastAsia="仿宋_GB2312"/>
                    </w:rPr>
                  </w:pPr>
                </w:p>
              </w:tc>
              <w:tc>
                <w:tcPr>
                  <w:tcW w:w="1006" w:type="pct"/>
                  <w:vMerge w:val="continue"/>
                  <w:tcBorders>
                    <w:tl2br w:val="nil"/>
                    <w:tr2bl w:val="nil"/>
                  </w:tcBorders>
                  <w:noWrap/>
                  <w:vAlign w:val="center"/>
                </w:tcPr>
                <w:p w14:paraId="38147790">
                  <w:pPr>
                    <w:pStyle w:val="17"/>
                    <w:numPr>
                      <w:ilvl w:val="0"/>
                      <w:numId w:val="0"/>
                    </w:numPr>
                    <w:tabs>
                      <w:tab w:val="clear" w:pos="2040"/>
                    </w:tabs>
                    <w:jc w:val="center"/>
                    <w:rPr>
                      <w:rFonts w:eastAsia="仿宋_GB2312"/>
                    </w:rPr>
                  </w:pPr>
                </w:p>
              </w:tc>
              <w:tc>
                <w:tcPr>
                  <w:tcW w:w="482" w:type="pct"/>
                  <w:vMerge w:val="continue"/>
                  <w:tcBorders>
                    <w:tl2br w:val="nil"/>
                    <w:tr2bl w:val="nil"/>
                  </w:tcBorders>
                  <w:noWrap/>
                  <w:vAlign w:val="center"/>
                </w:tcPr>
                <w:p w14:paraId="2FE34E9B">
                  <w:pPr>
                    <w:pStyle w:val="17"/>
                    <w:numPr>
                      <w:ilvl w:val="0"/>
                      <w:numId w:val="0"/>
                    </w:numPr>
                    <w:tabs>
                      <w:tab w:val="clear" w:pos="2040"/>
                    </w:tabs>
                    <w:jc w:val="center"/>
                    <w:rPr>
                      <w:rFonts w:eastAsia="仿宋_GB2312"/>
                    </w:rPr>
                  </w:pPr>
                </w:p>
              </w:tc>
              <w:tc>
                <w:tcPr>
                  <w:tcW w:w="676" w:type="pct"/>
                  <w:vMerge w:val="restart"/>
                  <w:tcBorders>
                    <w:tl2br w:val="nil"/>
                    <w:tr2bl w:val="nil"/>
                  </w:tcBorders>
                  <w:noWrap/>
                  <w:vAlign w:val="center"/>
                </w:tcPr>
                <w:p w14:paraId="743B6DF1">
                  <w:pPr>
                    <w:pStyle w:val="17"/>
                    <w:numPr>
                      <w:ilvl w:val="0"/>
                      <w:numId w:val="0"/>
                    </w:numPr>
                    <w:tabs>
                      <w:tab w:val="clear" w:pos="2040"/>
                    </w:tabs>
                    <w:jc w:val="center"/>
                    <w:rPr>
                      <w:rFonts w:hint="default" w:eastAsia="仿宋_GB2312"/>
                      <w:lang w:val="en-US" w:eastAsia="zh-CN"/>
                    </w:rPr>
                  </w:pPr>
                  <w:r>
                    <w:rPr>
                      <w:rFonts w:hint="eastAsia" w:eastAsia="仿宋_GB2312"/>
                      <w:lang w:val="en-US" w:eastAsia="zh-CN"/>
                    </w:rPr>
                    <w:t>二氧化硫</w:t>
                  </w:r>
                </w:p>
              </w:tc>
              <w:tc>
                <w:tcPr>
                  <w:tcW w:w="1394" w:type="pct"/>
                  <w:tcBorders>
                    <w:tl2br w:val="nil"/>
                    <w:tr2bl w:val="nil"/>
                  </w:tcBorders>
                  <w:noWrap/>
                  <w:vAlign w:val="center"/>
                </w:tcPr>
                <w:p w14:paraId="58B1F27D">
                  <w:pPr>
                    <w:pStyle w:val="17"/>
                    <w:numPr>
                      <w:ilvl w:val="0"/>
                      <w:numId w:val="0"/>
                    </w:numPr>
                    <w:tabs>
                      <w:tab w:val="clear" w:pos="2040"/>
                    </w:tabs>
                    <w:ind w:left="0" w:leftChars="0" w:firstLine="0" w:firstLineChars="0"/>
                    <w:jc w:val="center"/>
                    <w:rPr>
                      <w:rFonts w:eastAsia="仿宋_GB2312"/>
                    </w:rPr>
                  </w:pPr>
                  <w:r>
                    <w:rPr>
                      <w:rFonts w:hint="eastAsia" w:eastAsia="仿宋_GB2312"/>
                      <w:lang w:val="en-US" w:eastAsia="zh-CN"/>
                    </w:rPr>
                    <w:t>实测</w:t>
                  </w:r>
                  <w:r>
                    <w:rPr>
                      <w:rFonts w:eastAsia="仿宋_GB2312"/>
                    </w:rPr>
                    <w:t>浓度（mg/m</w:t>
                  </w:r>
                  <w:r>
                    <w:rPr>
                      <w:rFonts w:eastAsia="仿宋_GB2312"/>
                      <w:vertAlign w:val="superscript"/>
                    </w:rPr>
                    <w:t>3</w:t>
                  </w:r>
                  <w:r>
                    <w:rPr>
                      <w:rFonts w:eastAsia="仿宋_GB2312"/>
                    </w:rPr>
                    <w:t>）</w:t>
                  </w:r>
                </w:p>
              </w:tc>
              <w:tc>
                <w:tcPr>
                  <w:tcW w:w="678" w:type="pct"/>
                  <w:tcBorders>
                    <w:tl2br w:val="nil"/>
                    <w:tr2bl w:val="nil"/>
                  </w:tcBorders>
                  <w:noWrap/>
                  <w:vAlign w:val="center"/>
                </w:tcPr>
                <w:p w14:paraId="7326BD15">
                  <w:pPr>
                    <w:pStyle w:val="17"/>
                    <w:numPr>
                      <w:ilvl w:val="0"/>
                      <w:numId w:val="0"/>
                    </w:numPr>
                    <w:tabs>
                      <w:tab w:val="clear" w:pos="2040"/>
                    </w:tabs>
                    <w:ind w:left="0" w:leftChars="0" w:firstLine="0" w:firstLineChars="0"/>
                    <w:jc w:val="center"/>
                    <w:rPr>
                      <w:rFonts w:hint="eastAsia" w:eastAsia="仿宋_GB2312"/>
                    </w:rPr>
                  </w:pPr>
                  <w:r>
                    <w:rPr>
                      <w:rFonts w:hint="eastAsia" w:eastAsia="仿宋_GB2312" w:cs="Times New Roman"/>
                      <w:kern w:val="2"/>
                      <w:sz w:val="21"/>
                      <w:szCs w:val="21"/>
                      <w:lang w:val="en-US" w:eastAsia="zh-CN" w:bidi="ar-SA"/>
                    </w:rPr>
                    <w:t>ND</w:t>
                  </w:r>
                </w:p>
              </w:tc>
            </w:tr>
            <w:tr w14:paraId="48D036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1" w:type="pct"/>
                  <w:vMerge w:val="continue"/>
                  <w:tcBorders>
                    <w:tl2br w:val="nil"/>
                    <w:tr2bl w:val="nil"/>
                  </w:tcBorders>
                  <w:noWrap/>
                  <w:vAlign w:val="center"/>
                </w:tcPr>
                <w:p w14:paraId="0CE107F9">
                  <w:pPr>
                    <w:pStyle w:val="17"/>
                    <w:numPr>
                      <w:ilvl w:val="0"/>
                      <w:numId w:val="0"/>
                    </w:numPr>
                    <w:tabs>
                      <w:tab w:val="clear" w:pos="2040"/>
                    </w:tabs>
                    <w:jc w:val="center"/>
                    <w:rPr>
                      <w:rFonts w:eastAsia="仿宋_GB2312"/>
                    </w:rPr>
                  </w:pPr>
                </w:p>
              </w:tc>
              <w:tc>
                <w:tcPr>
                  <w:tcW w:w="1006" w:type="pct"/>
                  <w:vMerge w:val="continue"/>
                  <w:tcBorders>
                    <w:tl2br w:val="nil"/>
                    <w:tr2bl w:val="nil"/>
                  </w:tcBorders>
                  <w:noWrap/>
                  <w:vAlign w:val="center"/>
                </w:tcPr>
                <w:p w14:paraId="1C3A53F8">
                  <w:pPr>
                    <w:pStyle w:val="17"/>
                    <w:numPr>
                      <w:ilvl w:val="0"/>
                      <w:numId w:val="0"/>
                    </w:numPr>
                    <w:tabs>
                      <w:tab w:val="clear" w:pos="2040"/>
                    </w:tabs>
                    <w:jc w:val="center"/>
                    <w:rPr>
                      <w:rFonts w:eastAsia="仿宋_GB2312"/>
                    </w:rPr>
                  </w:pPr>
                </w:p>
              </w:tc>
              <w:tc>
                <w:tcPr>
                  <w:tcW w:w="482" w:type="pct"/>
                  <w:vMerge w:val="continue"/>
                  <w:tcBorders>
                    <w:tl2br w:val="nil"/>
                    <w:tr2bl w:val="nil"/>
                  </w:tcBorders>
                  <w:noWrap/>
                  <w:vAlign w:val="center"/>
                </w:tcPr>
                <w:p w14:paraId="467B89FB">
                  <w:pPr>
                    <w:pStyle w:val="17"/>
                    <w:numPr>
                      <w:ilvl w:val="0"/>
                      <w:numId w:val="0"/>
                    </w:numPr>
                    <w:tabs>
                      <w:tab w:val="clear" w:pos="2040"/>
                    </w:tabs>
                    <w:jc w:val="center"/>
                    <w:rPr>
                      <w:rFonts w:eastAsia="仿宋_GB2312"/>
                    </w:rPr>
                  </w:pPr>
                </w:p>
              </w:tc>
              <w:tc>
                <w:tcPr>
                  <w:tcW w:w="676" w:type="pct"/>
                  <w:vMerge w:val="continue"/>
                  <w:tcBorders>
                    <w:tl2br w:val="nil"/>
                    <w:tr2bl w:val="nil"/>
                  </w:tcBorders>
                  <w:noWrap/>
                  <w:vAlign w:val="center"/>
                </w:tcPr>
                <w:p w14:paraId="402DCAF0">
                  <w:pPr>
                    <w:pStyle w:val="17"/>
                    <w:numPr>
                      <w:ilvl w:val="0"/>
                      <w:numId w:val="0"/>
                    </w:numPr>
                    <w:tabs>
                      <w:tab w:val="clear" w:pos="2040"/>
                    </w:tabs>
                    <w:jc w:val="center"/>
                    <w:rPr>
                      <w:rFonts w:eastAsia="仿宋_GB2312"/>
                    </w:rPr>
                  </w:pPr>
                </w:p>
              </w:tc>
              <w:tc>
                <w:tcPr>
                  <w:tcW w:w="1394" w:type="pct"/>
                  <w:tcBorders>
                    <w:tl2br w:val="nil"/>
                    <w:tr2bl w:val="nil"/>
                  </w:tcBorders>
                  <w:noWrap/>
                  <w:vAlign w:val="center"/>
                </w:tcPr>
                <w:p w14:paraId="756644D3">
                  <w:pPr>
                    <w:pStyle w:val="17"/>
                    <w:numPr>
                      <w:ilvl w:val="0"/>
                      <w:numId w:val="0"/>
                    </w:numPr>
                    <w:tabs>
                      <w:tab w:val="clear" w:pos="2040"/>
                    </w:tabs>
                    <w:ind w:left="0" w:leftChars="0" w:firstLine="0" w:firstLineChars="0"/>
                    <w:jc w:val="center"/>
                    <w:rPr>
                      <w:rFonts w:eastAsia="仿宋_GB2312"/>
                    </w:rPr>
                  </w:pPr>
                  <w:r>
                    <w:rPr>
                      <w:rFonts w:eastAsia="仿宋_GB2312"/>
                    </w:rPr>
                    <w:t>排放速率（kg/h）</w:t>
                  </w:r>
                </w:p>
              </w:tc>
              <w:tc>
                <w:tcPr>
                  <w:tcW w:w="678" w:type="pct"/>
                  <w:tcBorders>
                    <w:tl2br w:val="nil"/>
                    <w:tr2bl w:val="nil"/>
                  </w:tcBorders>
                  <w:noWrap/>
                  <w:vAlign w:val="center"/>
                </w:tcPr>
                <w:p w14:paraId="017C70A6">
                  <w:pPr>
                    <w:pStyle w:val="17"/>
                    <w:numPr>
                      <w:ilvl w:val="0"/>
                      <w:numId w:val="0"/>
                    </w:numPr>
                    <w:tabs>
                      <w:tab w:val="clear" w:pos="2040"/>
                    </w:tabs>
                    <w:ind w:left="0" w:leftChars="0" w:firstLine="0" w:firstLineChars="0"/>
                    <w:jc w:val="center"/>
                    <w:rPr>
                      <w:rFonts w:hint="eastAsia" w:eastAsia="仿宋_GB2312"/>
                    </w:rPr>
                  </w:pPr>
                  <w:r>
                    <w:rPr>
                      <w:rFonts w:eastAsia="仿宋_GB2312"/>
                    </w:rPr>
                    <w:t>/</w:t>
                  </w:r>
                </w:p>
              </w:tc>
            </w:tr>
            <w:tr w14:paraId="60A761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1" w:type="pct"/>
                  <w:vMerge w:val="continue"/>
                  <w:tcBorders>
                    <w:tl2br w:val="nil"/>
                    <w:tr2bl w:val="nil"/>
                  </w:tcBorders>
                  <w:noWrap/>
                  <w:vAlign w:val="center"/>
                </w:tcPr>
                <w:p w14:paraId="40B82B63">
                  <w:pPr>
                    <w:pStyle w:val="17"/>
                    <w:numPr>
                      <w:ilvl w:val="0"/>
                      <w:numId w:val="0"/>
                    </w:numPr>
                    <w:tabs>
                      <w:tab w:val="clear" w:pos="2040"/>
                    </w:tabs>
                    <w:jc w:val="center"/>
                    <w:rPr>
                      <w:rFonts w:eastAsia="仿宋_GB2312"/>
                    </w:rPr>
                  </w:pPr>
                </w:p>
              </w:tc>
              <w:tc>
                <w:tcPr>
                  <w:tcW w:w="1006" w:type="pct"/>
                  <w:vMerge w:val="continue"/>
                  <w:tcBorders>
                    <w:tl2br w:val="nil"/>
                    <w:tr2bl w:val="nil"/>
                  </w:tcBorders>
                  <w:noWrap/>
                  <w:vAlign w:val="center"/>
                </w:tcPr>
                <w:p w14:paraId="308B65FD">
                  <w:pPr>
                    <w:pStyle w:val="17"/>
                    <w:numPr>
                      <w:ilvl w:val="0"/>
                      <w:numId w:val="0"/>
                    </w:numPr>
                    <w:tabs>
                      <w:tab w:val="clear" w:pos="2040"/>
                    </w:tabs>
                    <w:jc w:val="center"/>
                    <w:rPr>
                      <w:rFonts w:eastAsia="仿宋_GB2312"/>
                    </w:rPr>
                  </w:pPr>
                </w:p>
              </w:tc>
              <w:tc>
                <w:tcPr>
                  <w:tcW w:w="482" w:type="pct"/>
                  <w:vMerge w:val="continue"/>
                  <w:tcBorders>
                    <w:tl2br w:val="nil"/>
                    <w:tr2bl w:val="nil"/>
                  </w:tcBorders>
                  <w:noWrap/>
                  <w:vAlign w:val="center"/>
                </w:tcPr>
                <w:p w14:paraId="53BDC5C5">
                  <w:pPr>
                    <w:pStyle w:val="17"/>
                    <w:numPr>
                      <w:ilvl w:val="0"/>
                      <w:numId w:val="0"/>
                    </w:numPr>
                    <w:tabs>
                      <w:tab w:val="clear" w:pos="2040"/>
                    </w:tabs>
                    <w:jc w:val="center"/>
                    <w:rPr>
                      <w:rFonts w:eastAsia="仿宋_GB2312"/>
                    </w:rPr>
                  </w:pPr>
                </w:p>
              </w:tc>
              <w:tc>
                <w:tcPr>
                  <w:tcW w:w="676" w:type="pct"/>
                  <w:vMerge w:val="restart"/>
                  <w:tcBorders>
                    <w:tl2br w:val="nil"/>
                    <w:tr2bl w:val="nil"/>
                  </w:tcBorders>
                  <w:noWrap/>
                  <w:vAlign w:val="center"/>
                </w:tcPr>
                <w:p w14:paraId="7376E658">
                  <w:pPr>
                    <w:pStyle w:val="17"/>
                    <w:numPr>
                      <w:ilvl w:val="0"/>
                      <w:numId w:val="0"/>
                    </w:numPr>
                    <w:tabs>
                      <w:tab w:val="clear" w:pos="2040"/>
                    </w:tabs>
                    <w:jc w:val="center"/>
                    <w:rPr>
                      <w:rFonts w:hint="eastAsia" w:eastAsia="仿宋_GB2312"/>
                      <w:lang w:val="en-US" w:eastAsia="zh-CN"/>
                    </w:rPr>
                  </w:pPr>
                  <w:r>
                    <w:rPr>
                      <w:rFonts w:hint="eastAsia" w:eastAsia="仿宋_GB2312"/>
                      <w:lang w:val="en-US" w:eastAsia="zh-CN"/>
                    </w:rPr>
                    <w:t>氮氧化物</w:t>
                  </w:r>
                </w:p>
              </w:tc>
              <w:tc>
                <w:tcPr>
                  <w:tcW w:w="1394" w:type="pct"/>
                  <w:tcBorders>
                    <w:tl2br w:val="nil"/>
                    <w:tr2bl w:val="nil"/>
                  </w:tcBorders>
                  <w:shd w:val="clear" w:color="auto" w:fill="auto"/>
                  <w:noWrap/>
                  <w:vAlign w:val="center"/>
                </w:tcPr>
                <w:p w14:paraId="1A6D3511">
                  <w:pPr>
                    <w:pStyle w:val="17"/>
                    <w:numPr>
                      <w:ilvl w:val="0"/>
                      <w:numId w:val="0"/>
                    </w:numPr>
                    <w:tabs>
                      <w:tab w:val="clear" w:pos="2040"/>
                    </w:tabs>
                    <w:ind w:left="0" w:leftChars="0" w:firstLine="0" w:firstLineChars="0"/>
                    <w:jc w:val="center"/>
                    <w:rPr>
                      <w:rFonts w:ascii="Times New Roman" w:hAnsi="Times New Roman" w:eastAsia="仿宋_GB2312" w:cs="Times New Roman"/>
                      <w:kern w:val="2"/>
                      <w:sz w:val="21"/>
                      <w:szCs w:val="21"/>
                      <w:lang w:val="en-US" w:eastAsia="zh-CN" w:bidi="ar-SA"/>
                    </w:rPr>
                  </w:pPr>
                  <w:r>
                    <w:rPr>
                      <w:rFonts w:hint="eastAsia" w:eastAsia="仿宋_GB2312"/>
                      <w:lang w:val="en-US" w:eastAsia="zh-CN"/>
                    </w:rPr>
                    <w:t>实测</w:t>
                  </w:r>
                  <w:r>
                    <w:rPr>
                      <w:rFonts w:eastAsia="仿宋_GB2312"/>
                    </w:rPr>
                    <w:t>浓度（mg/m</w:t>
                  </w:r>
                  <w:r>
                    <w:rPr>
                      <w:rFonts w:eastAsia="仿宋_GB2312"/>
                      <w:vertAlign w:val="superscript"/>
                    </w:rPr>
                    <w:t>3</w:t>
                  </w:r>
                  <w:r>
                    <w:rPr>
                      <w:rFonts w:eastAsia="仿宋_GB2312"/>
                    </w:rPr>
                    <w:t>）</w:t>
                  </w:r>
                </w:p>
              </w:tc>
              <w:tc>
                <w:tcPr>
                  <w:tcW w:w="678" w:type="pct"/>
                  <w:tcBorders>
                    <w:tl2br w:val="nil"/>
                    <w:tr2bl w:val="nil"/>
                  </w:tcBorders>
                  <w:shd w:val="clear" w:color="auto" w:fill="auto"/>
                  <w:noWrap/>
                  <w:vAlign w:val="center"/>
                </w:tcPr>
                <w:p w14:paraId="55420F70">
                  <w:pPr>
                    <w:pStyle w:val="17"/>
                    <w:numPr>
                      <w:ilvl w:val="0"/>
                      <w:numId w:val="0"/>
                    </w:numPr>
                    <w:tabs>
                      <w:tab w:val="clear" w:pos="2040"/>
                    </w:tabs>
                    <w:ind w:left="0" w:leftChars="0" w:firstLine="0" w:firstLineChars="0"/>
                    <w:jc w:val="center"/>
                    <w:rPr>
                      <w:rFonts w:hint="eastAsia" w:ascii="Times New Roman" w:hAnsi="Times New Roman" w:eastAsia="仿宋_GB2312" w:cs="Times New Roman"/>
                      <w:kern w:val="2"/>
                      <w:sz w:val="21"/>
                      <w:szCs w:val="21"/>
                      <w:lang w:val="en-US" w:eastAsia="zh-CN" w:bidi="ar-SA"/>
                    </w:rPr>
                  </w:pPr>
                  <w:r>
                    <w:rPr>
                      <w:rFonts w:hint="eastAsia" w:eastAsia="仿宋_GB2312" w:cs="Times New Roman"/>
                      <w:kern w:val="2"/>
                      <w:sz w:val="21"/>
                      <w:szCs w:val="21"/>
                      <w:lang w:val="en-US" w:eastAsia="zh-CN" w:bidi="ar-SA"/>
                    </w:rPr>
                    <w:t>ND</w:t>
                  </w:r>
                </w:p>
              </w:tc>
            </w:tr>
            <w:tr w14:paraId="46A287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1" w:type="pct"/>
                  <w:vMerge w:val="continue"/>
                  <w:tcBorders>
                    <w:tl2br w:val="nil"/>
                    <w:tr2bl w:val="nil"/>
                  </w:tcBorders>
                  <w:noWrap/>
                  <w:vAlign w:val="center"/>
                </w:tcPr>
                <w:p w14:paraId="75E8B4CE">
                  <w:pPr>
                    <w:pStyle w:val="17"/>
                    <w:numPr>
                      <w:ilvl w:val="0"/>
                      <w:numId w:val="0"/>
                    </w:numPr>
                    <w:tabs>
                      <w:tab w:val="clear" w:pos="2040"/>
                    </w:tabs>
                    <w:jc w:val="center"/>
                    <w:rPr>
                      <w:rFonts w:eastAsia="仿宋_GB2312"/>
                    </w:rPr>
                  </w:pPr>
                </w:p>
              </w:tc>
              <w:tc>
                <w:tcPr>
                  <w:tcW w:w="1006" w:type="pct"/>
                  <w:vMerge w:val="continue"/>
                  <w:tcBorders>
                    <w:tl2br w:val="nil"/>
                    <w:tr2bl w:val="nil"/>
                  </w:tcBorders>
                  <w:noWrap/>
                  <w:vAlign w:val="center"/>
                </w:tcPr>
                <w:p w14:paraId="0786029F">
                  <w:pPr>
                    <w:pStyle w:val="17"/>
                    <w:numPr>
                      <w:ilvl w:val="0"/>
                      <w:numId w:val="0"/>
                    </w:numPr>
                    <w:tabs>
                      <w:tab w:val="clear" w:pos="2040"/>
                    </w:tabs>
                    <w:jc w:val="center"/>
                    <w:rPr>
                      <w:rFonts w:eastAsia="仿宋_GB2312"/>
                    </w:rPr>
                  </w:pPr>
                </w:p>
              </w:tc>
              <w:tc>
                <w:tcPr>
                  <w:tcW w:w="482" w:type="pct"/>
                  <w:vMerge w:val="continue"/>
                  <w:tcBorders>
                    <w:tl2br w:val="nil"/>
                    <w:tr2bl w:val="nil"/>
                  </w:tcBorders>
                  <w:noWrap/>
                  <w:vAlign w:val="center"/>
                </w:tcPr>
                <w:p w14:paraId="76341F59">
                  <w:pPr>
                    <w:pStyle w:val="17"/>
                    <w:numPr>
                      <w:ilvl w:val="0"/>
                      <w:numId w:val="0"/>
                    </w:numPr>
                    <w:tabs>
                      <w:tab w:val="clear" w:pos="2040"/>
                    </w:tabs>
                    <w:jc w:val="center"/>
                    <w:rPr>
                      <w:rFonts w:eastAsia="仿宋_GB2312"/>
                    </w:rPr>
                  </w:pPr>
                </w:p>
              </w:tc>
              <w:tc>
                <w:tcPr>
                  <w:tcW w:w="676" w:type="pct"/>
                  <w:vMerge w:val="continue"/>
                  <w:tcBorders>
                    <w:tl2br w:val="nil"/>
                    <w:tr2bl w:val="nil"/>
                  </w:tcBorders>
                  <w:noWrap/>
                  <w:vAlign w:val="center"/>
                </w:tcPr>
                <w:p w14:paraId="7BD8D744">
                  <w:pPr>
                    <w:pStyle w:val="17"/>
                    <w:numPr>
                      <w:ilvl w:val="0"/>
                      <w:numId w:val="0"/>
                    </w:numPr>
                    <w:tabs>
                      <w:tab w:val="clear" w:pos="2040"/>
                    </w:tabs>
                    <w:jc w:val="center"/>
                    <w:rPr>
                      <w:rFonts w:eastAsia="仿宋_GB2312"/>
                    </w:rPr>
                  </w:pPr>
                </w:p>
              </w:tc>
              <w:tc>
                <w:tcPr>
                  <w:tcW w:w="1394" w:type="pct"/>
                  <w:tcBorders>
                    <w:tl2br w:val="nil"/>
                    <w:tr2bl w:val="nil"/>
                  </w:tcBorders>
                  <w:shd w:val="clear" w:color="auto" w:fill="auto"/>
                  <w:noWrap/>
                  <w:vAlign w:val="center"/>
                </w:tcPr>
                <w:p w14:paraId="72D292EA">
                  <w:pPr>
                    <w:pStyle w:val="17"/>
                    <w:numPr>
                      <w:ilvl w:val="0"/>
                      <w:numId w:val="0"/>
                    </w:numPr>
                    <w:tabs>
                      <w:tab w:val="clear" w:pos="2040"/>
                    </w:tabs>
                    <w:ind w:left="0" w:leftChars="0" w:firstLine="0" w:firstLineChars="0"/>
                    <w:jc w:val="center"/>
                    <w:rPr>
                      <w:rFonts w:ascii="Times New Roman" w:hAnsi="Times New Roman" w:eastAsia="仿宋_GB2312" w:cs="Times New Roman"/>
                      <w:kern w:val="2"/>
                      <w:sz w:val="21"/>
                      <w:szCs w:val="21"/>
                      <w:lang w:val="en-US" w:eastAsia="zh-CN" w:bidi="ar-SA"/>
                    </w:rPr>
                  </w:pPr>
                  <w:r>
                    <w:rPr>
                      <w:rFonts w:eastAsia="仿宋_GB2312"/>
                    </w:rPr>
                    <w:t>排放速率（kg/h）</w:t>
                  </w:r>
                </w:p>
              </w:tc>
              <w:tc>
                <w:tcPr>
                  <w:tcW w:w="678" w:type="pct"/>
                  <w:tcBorders>
                    <w:tl2br w:val="nil"/>
                    <w:tr2bl w:val="nil"/>
                  </w:tcBorders>
                  <w:shd w:val="clear" w:color="auto" w:fill="auto"/>
                  <w:noWrap/>
                  <w:vAlign w:val="center"/>
                </w:tcPr>
                <w:p w14:paraId="6FDE261B">
                  <w:pPr>
                    <w:pStyle w:val="17"/>
                    <w:numPr>
                      <w:ilvl w:val="0"/>
                      <w:numId w:val="0"/>
                    </w:numPr>
                    <w:tabs>
                      <w:tab w:val="clear" w:pos="2040"/>
                    </w:tabs>
                    <w:ind w:left="0" w:leftChars="0" w:firstLine="0" w:firstLineChars="0"/>
                    <w:jc w:val="center"/>
                    <w:rPr>
                      <w:rFonts w:hint="eastAsia" w:ascii="Times New Roman" w:hAnsi="Times New Roman" w:eastAsia="仿宋_GB2312" w:cs="Times New Roman"/>
                      <w:kern w:val="2"/>
                      <w:sz w:val="21"/>
                      <w:szCs w:val="21"/>
                      <w:lang w:val="en-US" w:eastAsia="zh-CN" w:bidi="ar-SA"/>
                    </w:rPr>
                  </w:pPr>
                  <w:r>
                    <w:rPr>
                      <w:rFonts w:eastAsia="仿宋_GB2312"/>
                    </w:rPr>
                    <w:t>/</w:t>
                  </w:r>
                </w:p>
              </w:tc>
            </w:tr>
          </w:tbl>
          <w:p w14:paraId="28381EBD">
            <w:pPr>
              <w:widowControl/>
              <w:spacing w:afterLines="100"/>
              <w:ind w:firstLine="422" w:firstLineChars="200"/>
              <w:jc w:val="left"/>
              <w:rPr>
                <w:rFonts w:eastAsia="仿宋_GB2312"/>
                <w:snapToGrid w:val="0"/>
                <w:kern w:val="0"/>
                <w:sz w:val="24"/>
                <w:szCs w:val="24"/>
              </w:rPr>
            </w:pPr>
            <w:r>
              <w:rPr>
                <w:rFonts w:hint="eastAsia" w:eastAsia="仿宋_GB2312"/>
                <w:b/>
                <w:bCs/>
                <w:snapToGrid w:val="0"/>
                <w:kern w:val="0"/>
              </w:rPr>
              <w:t>注：“ND表示未检出”，二氧化硫、氮氧化物检出限3mg/m</w:t>
            </w:r>
            <w:r>
              <w:rPr>
                <w:rFonts w:hint="eastAsia" w:eastAsia="仿宋_GB2312"/>
                <w:b/>
                <w:bCs/>
                <w:snapToGrid w:val="0"/>
                <w:kern w:val="0"/>
                <w:vertAlign w:val="superscript"/>
              </w:rPr>
              <w:t>3</w:t>
            </w:r>
            <w:r>
              <w:rPr>
                <w:rFonts w:hint="eastAsia" w:eastAsia="仿宋_GB2312"/>
                <w:snapToGrid w:val="0"/>
                <w:kern w:val="0"/>
                <w:sz w:val="24"/>
                <w:szCs w:val="24"/>
              </w:rPr>
              <w:t>。</w:t>
            </w:r>
          </w:p>
          <w:p w14:paraId="187CA0CF">
            <w:pPr>
              <w:adjustRightInd w:val="0"/>
              <w:snapToGrid w:val="0"/>
              <w:spacing w:line="360" w:lineRule="auto"/>
              <w:ind w:firstLine="420" w:firstLineChars="200"/>
              <w:rPr>
                <w:rFonts w:eastAsia="仿宋_GB2312"/>
              </w:rPr>
            </w:pPr>
            <w:r>
              <w:rPr>
                <w:rFonts w:eastAsia="仿宋_GB2312"/>
                <w:snapToGrid w:val="0"/>
                <w:szCs w:val="24"/>
              </w:rPr>
              <w:t>由上表可知</w:t>
            </w:r>
            <w:r>
              <w:rPr>
                <w:rFonts w:hint="eastAsia" w:eastAsia="仿宋_GB2312"/>
                <w:snapToGrid w:val="0"/>
                <w:szCs w:val="24"/>
              </w:rPr>
              <w:t>，现有项目各排气筒排放的颗粒物</w:t>
            </w:r>
            <w:r>
              <w:rPr>
                <w:rFonts w:hint="eastAsia" w:eastAsia="仿宋_GB2312"/>
                <w:snapToGrid w:val="0"/>
                <w:szCs w:val="24"/>
                <w:lang w:eastAsia="zh-CN"/>
              </w:rPr>
              <w:t>、</w:t>
            </w:r>
            <w:r>
              <w:rPr>
                <w:rFonts w:hint="eastAsia" w:eastAsia="仿宋_GB2312"/>
                <w:snapToGrid w:val="0"/>
                <w:szCs w:val="24"/>
                <w:lang w:val="en-US" w:eastAsia="zh-CN"/>
              </w:rPr>
              <w:t>二氧化硫、氮氧化物等因子</w:t>
            </w:r>
            <w:r>
              <w:rPr>
                <w:rFonts w:hint="eastAsia" w:eastAsia="仿宋_GB2312"/>
                <w:snapToGrid w:val="0"/>
                <w:szCs w:val="24"/>
              </w:rPr>
              <w:t>满足《大气污染物综合排放标准》（DB32/4041-2021）中表1标准限值</w:t>
            </w:r>
            <w:r>
              <w:rPr>
                <w:rFonts w:eastAsia="仿宋_GB2312"/>
                <w:snapToGrid w:val="0"/>
                <w:szCs w:val="24"/>
              </w:rPr>
              <w:t>。</w:t>
            </w:r>
          </w:p>
          <w:p w14:paraId="632CBE52">
            <w:pPr>
              <w:adjustRightInd w:val="0"/>
              <w:snapToGrid w:val="0"/>
              <w:spacing w:line="360" w:lineRule="auto"/>
              <w:jc w:val="center"/>
              <w:rPr>
                <w:rFonts w:eastAsia="仿宋_GB2312"/>
                <w:b/>
                <w:bCs/>
                <w:snapToGrid w:val="0"/>
                <w:szCs w:val="24"/>
              </w:rPr>
            </w:pPr>
            <w:r>
              <w:rPr>
                <w:rFonts w:eastAsia="仿宋_GB2312"/>
                <w:b/>
                <w:bCs/>
                <w:kern w:val="0"/>
              </w:rPr>
              <w:t>表2</w:t>
            </w:r>
            <w:r>
              <w:rPr>
                <w:rFonts w:hint="eastAsia" w:eastAsia="仿宋_GB2312"/>
                <w:b/>
                <w:bCs/>
                <w:kern w:val="0"/>
              </w:rPr>
              <w:t>-1</w:t>
            </w:r>
            <w:r>
              <w:rPr>
                <w:rFonts w:hint="eastAsia" w:eastAsia="仿宋_GB2312"/>
                <w:b/>
                <w:bCs/>
                <w:kern w:val="0"/>
                <w:lang w:val="en-US" w:eastAsia="zh-CN"/>
              </w:rPr>
              <w:t xml:space="preserve">6  </w:t>
            </w:r>
            <w:r>
              <w:rPr>
                <w:rFonts w:hint="eastAsia" w:eastAsia="仿宋_GB2312"/>
                <w:b/>
                <w:bCs/>
                <w:kern w:val="0"/>
              </w:rPr>
              <w:t>现有项目</w:t>
            </w:r>
            <w:r>
              <w:rPr>
                <w:rFonts w:eastAsia="仿宋_GB2312"/>
                <w:b/>
                <w:bCs/>
                <w:kern w:val="0"/>
              </w:rPr>
              <w:t>废气排放情况（</w:t>
            </w:r>
            <w:r>
              <w:rPr>
                <w:rFonts w:hint="eastAsia" w:eastAsia="仿宋_GB2312"/>
                <w:b/>
                <w:bCs/>
                <w:kern w:val="0"/>
                <w:lang w:val="en-US" w:eastAsia="zh-CN"/>
              </w:rPr>
              <w:t>无</w:t>
            </w:r>
            <w:r>
              <w:rPr>
                <w:rFonts w:eastAsia="仿宋_GB2312"/>
                <w:b/>
                <w:bCs/>
                <w:kern w:val="0"/>
              </w:rPr>
              <w:t>组织）</w:t>
            </w:r>
          </w:p>
          <w:tbl>
            <w:tblPr>
              <w:tblStyle w:val="32"/>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2885"/>
              <w:gridCol w:w="847"/>
              <w:gridCol w:w="1005"/>
              <w:gridCol w:w="1439"/>
              <w:gridCol w:w="1439"/>
            </w:tblGrid>
            <w:tr w14:paraId="19650E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7" w:type="pct"/>
                  <w:tcBorders>
                    <w:tl2br w:val="nil"/>
                    <w:tr2bl w:val="nil"/>
                  </w:tcBorders>
                  <w:noWrap/>
                  <w:vAlign w:val="center"/>
                </w:tcPr>
                <w:p w14:paraId="3A53C6C2">
                  <w:pPr>
                    <w:pStyle w:val="17"/>
                    <w:numPr>
                      <w:ilvl w:val="0"/>
                      <w:numId w:val="0"/>
                    </w:numPr>
                    <w:tabs>
                      <w:tab w:val="clear" w:pos="2040"/>
                    </w:tabs>
                    <w:jc w:val="center"/>
                    <w:rPr>
                      <w:rFonts w:eastAsia="仿宋_GB2312"/>
                      <w:b/>
                      <w:bCs/>
                    </w:rPr>
                  </w:pPr>
                  <w:r>
                    <w:rPr>
                      <w:rFonts w:eastAsia="仿宋_GB2312"/>
                      <w:b/>
                      <w:bCs/>
                    </w:rPr>
                    <w:t>检测日期</w:t>
                  </w:r>
                </w:p>
              </w:tc>
              <w:tc>
                <w:tcPr>
                  <w:tcW w:w="1352" w:type="pct"/>
                  <w:tcBorders>
                    <w:tl2br w:val="nil"/>
                    <w:tr2bl w:val="nil"/>
                  </w:tcBorders>
                  <w:noWrap/>
                  <w:vAlign w:val="center"/>
                </w:tcPr>
                <w:p w14:paraId="6B6AF4F7">
                  <w:pPr>
                    <w:pStyle w:val="17"/>
                    <w:numPr>
                      <w:ilvl w:val="0"/>
                      <w:numId w:val="0"/>
                    </w:numPr>
                    <w:tabs>
                      <w:tab w:val="clear" w:pos="2040"/>
                    </w:tabs>
                    <w:jc w:val="center"/>
                    <w:rPr>
                      <w:rFonts w:eastAsia="仿宋_GB2312"/>
                      <w:b/>
                      <w:bCs/>
                    </w:rPr>
                  </w:pPr>
                  <w:r>
                    <w:rPr>
                      <w:rFonts w:eastAsia="仿宋_GB2312"/>
                      <w:b/>
                      <w:bCs/>
                    </w:rPr>
                    <w:t>检测单位</w:t>
                  </w:r>
                </w:p>
              </w:tc>
              <w:tc>
                <w:tcPr>
                  <w:tcW w:w="672" w:type="pct"/>
                  <w:tcBorders>
                    <w:tl2br w:val="nil"/>
                    <w:tr2bl w:val="nil"/>
                  </w:tcBorders>
                  <w:noWrap/>
                  <w:vAlign w:val="center"/>
                </w:tcPr>
                <w:p w14:paraId="69F4E747">
                  <w:pPr>
                    <w:pStyle w:val="17"/>
                    <w:numPr>
                      <w:ilvl w:val="0"/>
                      <w:numId w:val="0"/>
                    </w:numPr>
                    <w:tabs>
                      <w:tab w:val="clear" w:pos="2040"/>
                    </w:tabs>
                    <w:jc w:val="center"/>
                    <w:rPr>
                      <w:rFonts w:eastAsia="仿宋_GB2312"/>
                      <w:b/>
                      <w:bCs/>
                    </w:rPr>
                  </w:pPr>
                  <w:r>
                    <w:rPr>
                      <w:rFonts w:eastAsia="仿宋_GB2312"/>
                      <w:b/>
                      <w:bCs/>
                    </w:rPr>
                    <w:t>检测点位</w:t>
                  </w:r>
                </w:p>
              </w:tc>
              <w:tc>
                <w:tcPr>
                  <w:tcW w:w="706" w:type="pct"/>
                  <w:tcBorders>
                    <w:tl2br w:val="nil"/>
                    <w:tr2bl w:val="nil"/>
                  </w:tcBorders>
                  <w:noWrap/>
                  <w:vAlign w:val="center"/>
                </w:tcPr>
                <w:p w14:paraId="3A0811B2">
                  <w:pPr>
                    <w:pStyle w:val="17"/>
                    <w:numPr>
                      <w:ilvl w:val="0"/>
                      <w:numId w:val="0"/>
                    </w:numPr>
                    <w:tabs>
                      <w:tab w:val="clear" w:pos="2040"/>
                    </w:tabs>
                    <w:jc w:val="center"/>
                    <w:rPr>
                      <w:rFonts w:eastAsia="仿宋_GB2312"/>
                      <w:b/>
                      <w:bCs/>
                    </w:rPr>
                  </w:pPr>
                  <w:r>
                    <w:rPr>
                      <w:rFonts w:eastAsia="仿宋_GB2312"/>
                      <w:b/>
                      <w:bCs/>
                    </w:rPr>
                    <w:t>污染物名称</w:t>
                  </w:r>
                </w:p>
              </w:tc>
              <w:tc>
                <w:tcPr>
                  <w:tcW w:w="793" w:type="pct"/>
                  <w:tcBorders>
                    <w:tl2br w:val="nil"/>
                    <w:tr2bl w:val="nil"/>
                  </w:tcBorders>
                  <w:noWrap/>
                  <w:vAlign w:val="center"/>
                </w:tcPr>
                <w:p w14:paraId="05231CE1">
                  <w:pPr>
                    <w:pStyle w:val="17"/>
                    <w:numPr>
                      <w:ilvl w:val="0"/>
                      <w:numId w:val="0"/>
                    </w:numPr>
                    <w:tabs>
                      <w:tab w:val="clear" w:pos="2040"/>
                    </w:tabs>
                    <w:jc w:val="center"/>
                    <w:rPr>
                      <w:rFonts w:eastAsia="仿宋_GB2312"/>
                      <w:b/>
                      <w:bCs/>
                    </w:rPr>
                  </w:pPr>
                  <w:r>
                    <w:rPr>
                      <w:rFonts w:eastAsia="仿宋_GB2312"/>
                      <w:b/>
                      <w:bCs/>
                    </w:rPr>
                    <w:t>检测值（mg/m</w:t>
                  </w:r>
                  <w:r>
                    <w:rPr>
                      <w:rFonts w:eastAsia="仿宋_GB2312"/>
                      <w:b/>
                      <w:bCs/>
                      <w:vertAlign w:val="superscript"/>
                    </w:rPr>
                    <w:t>3</w:t>
                  </w:r>
                  <w:r>
                    <w:rPr>
                      <w:rFonts w:eastAsia="仿宋_GB2312"/>
                      <w:b/>
                      <w:bCs/>
                    </w:rPr>
                    <w:t>）</w:t>
                  </w:r>
                </w:p>
              </w:tc>
              <w:tc>
                <w:tcPr>
                  <w:tcW w:w="706" w:type="pct"/>
                  <w:tcBorders>
                    <w:tl2br w:val="nil"/>
                    <w:tr2bl w:val="nil"/>
                  </w:tcBorders>
                  <w:noWrap/>
                  <w:vAlign w:val="center"/>
                </w:tcPr>
                <w:p w14:paraId="653276EA">
                  <w:pPr>
                    <w:pStyle w:val="17"/>
                    <w:numPr>
                      <w:ilvl w:val="0"/>
                      <w:numId w:val="0"/>
                    </w:numPr>
                    <w:tabs>
                      <w:tab w:val="clear" w:pos="2040"/>
                    </w:tabs>
                    <w:jc w:val="center"/>
                    <w:rPr>
                      <w:rFonts w:eastAsia="仿宋_GB2312"/>
                      <w:b/>
                      <w:bCs/>
                    </w:rPr>
                  </w:pPr>
                  <w:r>
                    <w:rPr>
                      <w:rFonts w:eastAsia="仿宋_GB2312"/>
                      <w:b/>
                      <w:bCs/>
                    </w:rPr>
                    <w:t>标准值（mg/m</w:t>
                  </w:r>
                  <w:r>
                    <w:rPr>
                      <w:rFonts w:eastAsia="仿宋_GB2312"/>
                      <w:b/>
                      <w:bCs/>
                      <w:vertAlign w:val="superscript"/>
                    </w:rPr>
                    <w:t>3</w:t>
                  </w:r>
                  <w:r>
                    <w:rPr>
                      <w:rFonts w:eastAsia="仿宋_GB2312"/>
                      <w:b/>
                      <w:bCs/>
                    </w:rPr>
                    <w:t>）</w:t>
                  </w:r>
                </w:p>
              </w:tc>
            </w:tr>
            <w:tr w14:paraId="63F2BD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90" w:hRule="atLeast"/>
              </w:trPr>
              <w:tc>
                <w:tcPr>
                  <w:tcW w:w="767" w:type="pct"/>
                  <w:tcBorders>
                    <w:tl2br w:val="nil"/>
                    <w:tr2bl w:val="nil"/>
                  </w:tcBorders>
                  <w:noWrap/>
                  <w:vAlign w:val="center"/>
                </w:tcPr>
                <w:p w14:paraId="7FDCF76D">
                  <w:pPr>
                    <w:pStyle w:val="17"/>
                    <w:numPr>
                      <w:ilvl w:val="0"/>
                      <w:numId w:val="0"/>
                    </w:numPr>
                    <w:tabs>
                      <w:tab w:val="clear" w:pos="2040"/>
                    </w:tabs>
                    <w:jc w:val="center"/>
                    <w:rPr>
                      <w:rFonts w:eastAsia="仿宋_GB2312"/>
                    </w:rPr>
                  </w:pPr>
                  <w:r>
                    <w:rPr>
                      <w:rFonts w:eastAsia="仿宋_GB2312"/>
                    </w:rPr>
                    <w:t>202</w:t>
                  </w:r>
                  <w:r>
                    <w:rPr>
                      <w:rFonts w:hint="eastAsia" w:eastAsia="仿宋_GB2312"/>
                    </w:rPr>
                    <w:t>5</w:t>
                  </w:r>
                  <w:r>
                    <w:rPr>
                      <w:rFonts w:eastAsia="仿宋_GB2312"/>
                    </w:rPr>
                    <w:t>.</w:t>
                  </w:r>
                  <w:r>
                    <w:rPr>
                      <w:rFonts w:hint="eastAsia" w:eastAsia="仿宋_GB2312"/>
                    </w:rPr>
                    <w:t>3</w:t>
                  </w:r>
                  <w:r>
                    <w:rPr>
                      <w:rFonts w:eastAsia="仿宋_GB2312"/>
                    </w:rPr>
                    <w:t>.</w:t>
                  </w:r>
                  <w:r>
                    <w:rPr>
                      <w:rFonts w:hint="eastAsia" w:eastAsia="仿宋_GB2312"/>
                    </w:rPr>
                    <w:t>27</w:t>
                  </w:r>
                </w:p>
              </w:tc>
              <w:tc>
                <w:tcPr>
                  <w:tcW w:w="1352" w:type="pct"/>
                  <w:tcBorders>
                    <w:tl2br w:val="nil"/>
                    <w:tr2bl w:val="nil"/>
                  </w:tcBorders>
                  <w:noWrap/>
                  <w:vAlign w:val="center"/>
                </w:tcPr>
                <w:p w14:paraId="1CCF7B16">
                  <w:pPr>
                    <w:pStyle w:val="17"/>
                    <w:numPr>
                      <w:ilvl w:val="0"/>
                      <w:numId w:val="0"/>
                    </w:numPr>
                    <w:tabs>
                      <w:tab w:val="clear" w:pos="2040"/>
                    </w:tabs>
                    <w:jc w:val="center"/>
                    <w:rPr>
                      <w:rFonts w:eastAsia="仿宋_GB2312"/>
                    </w:rPr>
                  </w:pPr>
                  <w:r>
                    <w:rPr>
                      <w:rFonts w:eastAsia="仿宋_GB2312"/>
                    </w:rPr>
                    <w:t>检测单位：</w:t>
                  </w:r>
                  <w:r>
                    <w:rPr>
                      <w:rFonts w:hint="eastAsia" w:eastAsia="仿宋_GB2312"/>
                    </w:rPr>
                    <w:t>苏州华实环境技术有限公司</w:t>
                  </w:r>
                </w:p>
                <w:p w14:paraId="276DC0F5">
                  <w:pPr>
                    <w:pStyle w:val="17"/>
                    <w:numPr>
                      <w:ilvl w:val="0"/>
                      <w:numId w:val="0"/>
                    </w:numPr>
                    <w:tabs>
                      <w:tab w:val="clear" w:pos="2040"/>
                    </w:tabs>
                    <w:jc w:val="center"/>
                    <w:rPr>
                      <w:rFonts w:eastAsia="仿宋_GB2312"/>
                    </w:rPr>
                  </w:pPr>
                  <w:r>
                    <w:rPr>
                      <w:rFonts w:eastAsia="仿宋_GB2312"/>
                    </w:rPr>
                    <w:t>报告编号：</w:t>
                  </w:r>
                  <w:r>
                    <w:rPr>
                      <w:rFonts w:hint="eastAsia" w:eastAsia="仿宋_GB2312"/>
                    </w:rPr>
                    <w:t>HS25182（综）</w:t>
                  </w:r>
                </w:p>
              </w:tc>
              <w:tc>
                <w:tcPr>
                  <w:tcW w:w="672" w:type="pct"/>
                  <w:tcBorders>
                    <w:tl2br w:val="nil"/>
                    <w:tr2bl w:val="nil"/>
                  </w:tcBorders>
                  <w:noWrap/>
                  <w:vAlign w:val="center"/>
                </w:tcPr>
                <w:p w14:paraId="25E7C50D">
                  <w:pPr>
                    <w:pStyle w:val="17"/>
                    <w:numPr>
                      <w:ilvl w:val="0"/>
                      <w:numId w:val="0"/>
                    </w:numPr>
                    <w:tabs>
                      <w:tab w:val="clear" w:pos="2040"/>
                    </w:tabs>
                    <w:jc w:val="center"/>
                    <w:rPr>
                      <w:rFonts w:eastAsia="仿宋_GB2312"/>
                    </w:rPr>
                  </w:pPr>
                  <w:r>
                    <w:rPr>
                      <w:rFonts w:eastAsia="仿宋_GB2312"/>
                    </w:rPr>
                    <w:t>厂界</w:t>
                  </w:r>
                </w:p>
              </w:tc>
              <w:tc>
                <w:tcPr>
                  <w:tcW w:w="706" w:type="pct"/>
                  <w:tcBorders>
                    <w:tl2br w:val="nil"/>
                    <w:tr2bl w:val="nil"/>
                  </w:tcBorders>
                  <w:noWrap/>
                  <w:vAlign w:val="center"/>
                </w:tcPr>
                <w:p w14:paraId="1FFD45BE">
                  <w:pPr>
                    <w:pStyle w:val="17"/>
                    <w:numPr>
                      <w:ilvl w:val="0"/>
                      <w:numId w:val="0"/>
                    </w:numPr>
                    <w:tabs>
                      <w:tab w:val="clear" w:pos="2040"/>
                    </w:tabs>
                    <w:jc w:val="center"/>
                    <w:rPr>
                      <w:rFonts w:eastAsia="仿宋_GB2312"/>
                    </w:rPr>
                  </w:pPr>
                  <w:r>
                    <w:rPr>
                      <w:rFonts w:eastAsia="仿宋_GB2312"/>
                    </w:rPr>
                    <w:t>颗粒物</w:t>
                  </w:r>
                </w:p>
              </w:tc>
              <w:tc>
                <w:tcPr>
                  <w:tcW w:w="793" w:type="pct"/>
                  <w:tcBorders>
                    <w:tl2br w:val="nil"/>
                    <w:tr2bl w:val="nil"/>
                  </w:tcBorders>
                  <w:noWrap/>
                  <w:vAlign w:val="center"/>
                </w:tcPr>
                <w:p w14:paraId="6F0DAE39">
                  <w:pPr>
                    <w:pStyle w:val="17"/>
                    <w:numPr>
                      <w:ilvl w:val="0"/>
                      <w:numId w:val="0"/>
                    </w:numPr>
                    <w:tabs>
                      <w:tab w:val="clear" w:pos="2040"/>
                    </w:tabs>
                    <w:jc w:val="center"/>
                    <w:rPr>
                      <w:rFonts w:eastAsia="仿宋_GB2312"/>
                    </w:rPr>
                  </w:pPr>
                  <w:r>
                    <w:rPr>
                      <w:rFonts w:hint="eastAsia" w:eastAsia="仿宋_GB2312"/>
                    </w:rPr>
                    <w:t>0.24~0.347</w:t>
                  </w:r>
                </w:p>
              </w:tc>
              <w:tc>
                <w:tcPr>
                  <w:tcW w:w="706" w:type="pct"/>
                  <w:tcBorders>
                    <w:tl2br w:val="nil"/>
                    <w:tr2bl w:val="nil"/>
                  </w:tcBorders>
                  <w:noWrap/>
                  <w:vAlign w:val="center"/>
                </w:tcPr>
                <w:p w14:paraId="748859A2">
                  <w:pPr>
                    <w:pStyle w:val="17"/>
                    <w:numPr>
                      <w:ilvl w:val="0"/>
                      <w:numId w:val="0"/>
                    </w:numPr>
                    <w:tabs>
                      <w:tab w:val="clear" w:pos="2040"/>
                    </w:tabs>
                    <w:jc w:val="center"/>
                    <w:rPr>
                      <w:rFonts w:eastAsia="仿宋_GB2312"/>
                    </w:rPr>
                  </w:pPr>
                  <w:r>
                    <w:rPr>
                      <w:rFonts w:eastAsia="仿宋_GB2312"/>
                    </w:rPr>
                    <w:t>0.5</w:t>
                  </w:r>
                </w:p>
              </w:tc>
            </w:tr>
          </w:tbl>
          <w:p w14:paraId="06BEF689">
            <w:pPr>
              <w:adjustRightInd w:val="0"/>
              <w:snapToGrid w:val="0"/>
              <w:spacing w:line="360" w:lineRule="auto"/>
              <w:ind w:firstLine="420" w:firstLineChars="200"/>
              <w:rPr>
                <w:rFonts w:eastAsia="仿宋_GB2312"/>
                <w:snapToGrid w:val="0"/>
                <w:szCs w:val="24"/>
              </w:rPr>
            </w:pPr>
            <w:r>
              <w:rPr>
                <w:rFonts w:eastAsia="仿宋_GB2312"/>
                <w:snapToGrid w:val="0"/>
                <w:szCs w:val="24"/>
              </w:rPr>
              <w:t>由上表可知，厂界废气中颗粒物</w:t>
            </w:r>
            <w:r>
              <w:rPr>
                <w:rFonts w:hint="eastAsia" w:eastAsia="仿宋_GB2312"/>
                <w:snapToGrid w:val="0"/>
                <w:szCs w:val="24"/>
              </w:rPr>
              <w:t>排放浓度符合《大气污染物综合排放标准》（</w:t>
            </w:r>
            <w:r>
              <w:rPr>
                <w:rFonts w:eastAsia="仿宋_GB2312"/>
                <w:snapToGrid w:val="0"/>
                <w:szCs w:val="24"/>
              </w:rPr>
              <w:t>DB32/4041-2021</w:t>
            </w:r>
            <w:r>
              <w:rPr>
                <w:rFonts w:hint="eastAsia" w:eastAsia="仿宋_GB2312"/>
                <w:snapToGrid w:val="0"/>
                <w:szCs w:val="24"/>
              </w:rPr>
              <w:t>）</w:t>
            </w:r>
            <w:r>
              <w:rPr>
                <w:rFonts w:eastAsia="仿宋_GB2312"/>
                <w:snapToGrid w:val="0"/>
                <w:szCs w:val="24"/>
              </w:rPr>
              <w:t>表</w:t>
            </w:r>
            <w:r>
              <w:rPr>
                <w:rFonts w:hint="eastAsia" w:eastAsia="仿宋_GB2312"/>
                <w:snapToGrid w:val="0"/>
                <w:szCs w:val="24"/>
              </w:rPr>
              <w:t>3</w:t>
            </w:r>
            <w:r>
              <w:rPr>
                <w:rFonts w:eastAsia="仿宋_GB2312"/>
                <w:snapToGrid w:val="0"/>
                <w:szCs w:val="24"/>
              </w:rPr>
              <w:t>标准</w:t>
            </w:r>
            <w:r>
              <w:rPr>
                <w:rFonts w:hint="eastAsia" w:eastAsia="仿宋_GB2312"/>
                <w:snapToGrid w:val="0"/>
                <w:szCs w:val="24"/>
              </w:rPr>
              <w:t>。</w:t>
            </w:r>
          </w:p>
          <w:p w14:paraId="5D3F9410">
            <w:pPr>
              <w:adjustRightInd w:val="0"/>
              <w:snapToGrid w:val="0"/>
              <w:spacing w:line="360" w:lineRule="auto"/>
              <w:ind w:firstLine="420" w:firstLineChars="200"/>
              <w:rPr>
                <w:rFonts w:eastAsia="仿宋_GB2312"/>
                <w:snapToGrid w:val="0"/>
                <w:szCs w:val="24"/>
              </w:rPr>
            </w:pPr>
            <w:r>
              <w:rPr>
                <w:rFonts w:hint="eastAsia" w:eastAsia="仿宋_GB2312"/>
                <w:snapToGrid w:val="0"/>
                <w:szCs w:val="24"/>
              </w:rPr>
              <w:t>（2）废水</w:t>
            </w:r>
          </w:p>
          <w:p w14:paraId="6FD80CB4">
            <w:pPr>
              <w:adjustRightInd w:val="0"/>
              <w:snapToGrid w:val="0"/>
              <w:spacing w:line="360" w:lineRule="auto"/>
              <w:ind w:firstLine="420" w:firstLineChars="200"/>
              <w:rPr>
                <w:rFonts w:eastAsia="仿宋_GB2312"/>
                <w:snapToGrid w:val="0"/>
                <w:szCs w:val="24"/>
              </w:rPr>
            </w:pPr>
            <w:r>
              <w:rPr>
                <w:rFonts w:eastAsia="仿宋_GB2312"/>
                <w:snapToGrid w:val="0"/>
                <w:szCs w:val="24"/>
              </w:rPr>
              <w:t>根据例行检测报告，</w:t>
            </w:r>
            <w:r>
              <w:rPr>
                <w:rFonts w:hint="eastAsia" w:eastAsia="仿宋_GB2312"/>
                <w:snapToGrid w:val="0"/>
                <w:szCs w:val="24"/>
              </w:rPr>
              <w:t>原有项目</w:t>
            </w:r>
            <w:r>
              <w:rPr>
                <w:rFonts w:eastAsia="仿宋_GB2312"/>
                <w:snapToGrid w:val="0"/>
                <w:szCs w:val="24"/>
              </w:rPr>
              <w:t>废水排放情况见表2</w:t>
            </w:r>
            <w:r>
              <w:rPr>
                <w:rFonts w:hint="eastAsia" w:eastAsia="仿宋_GB2312"/>
                <w:snapToGrid w:val="0"/>
                <w:szCs w:val="24"/>
              </w:rPr>
              <w:t>-1</w:t>
            </w:r>
            <w:r>
              <w:rPr>
                <w:rFonts w:hint="eastAsia" w:eastAsia="仿宋_GB2312"/>
                <w:snapToGrid w:val="0"/>
                <w:szCs w:val="24"/>
                <w:lang w:val="en-US" w:eastAsia="zh-CN"/>
              </w:rPr>
              <w:t>7</w:t>
            </w:r>
            <w:r>
              <w:rPr>
                <w:rFonts w:eastAsia="仿宋_GB2312"/>
                <w:snapToGrid w:val="0"/>
                <w:szCs w:val="24"/>
              </w:rPr>
              <w:t>。</w:t>
            </w:r>
          </w:p>
          <w:p w14:paraId="3A60E394">
            <w:pPr>
              <w:pStyle w:val="17"/>
              <w:numPr>
                <w:ilvl w:val="0"/>
                <w:numId w:val="0"/>
              </w:numPr>
              <w:tabs>
                <w:tab w:val="clear" w:pos="2040"/>
              </w:tabs>
              <w:spacing w:line="360" w:lineRule="auto"/>
              <w:jc w:val="center"/>
              <w:rPr>
                <w:rFonts w:eastAsia="仿宋_GB2312"/>
                <w:b/>
                <w:bCs/>
                <w:snapToGrid w:val="0"/>
                <w:kern w:val="0"/>
              </w:rPr>
            </w:pPr>
            <w:r>
              <w:rPr>
                <w:rFonts w:eastAsia="仿宋_GB2312"/>
                <w:b/>
                <w:bCs/>
                <w:snapToGrid w:val="0"/>
                <w:kern w:val="0"/>
              </w:rPr>
              <w:t>表2</w:t>
            </w:r>
            <w:r>
              <w:rPr>
                <w:rFonts w:hint="eastAsia" w:eastAsia="仿宋_GB2312"/>
                <w:b/>
                <w:bCs/>
                <w:snapToGrid w:val="0"/>
                <w:kern w:val="0"/>
              </w:rPr>
              <w:t>-1</w:t>
            </w:r>
            <w:r>
              <w:rPr>
                <w:rFonts w:hint="eastAsia" w:eastAsia="仿宋_GB2312"/>
                <w:b/>
                <w:bCs/>
                <w:snapToGrid w:val="0"/>
                <w:kern w:val="0"/>
                <w:lang w:val="en-US" w:eastAsia="zh-CN"/>
              </w:rPr>
              <w:t xml:space="preserve">7  </w:t>
            </w:r>
            <w:r>
              <w:rPr>
                <w:rFonts w:hint="eastAsia" w:eastAsia="仿宋_GB2312"/>
                <w:b/>
                <w:bCs/>
                <w:snapToGrid w:val="0"/>
                <w:kern w:val="0"/>
              </w:rPr>
              <w:t>现有项目</w:t>
            </w:r>
            <w:r>
              <w:rPr>
                <w:rFonts w:eastAsia="仿宋_GB2312"/>
                <w:b/>
                <w:bCs/>
                <w:snapToGrid w:val="0"/>
                <w:kern w:val="0"/>
              </w:rPr>
              <w:t>废水排放情况</w:t>
            </w:r>
          </w:p>
          <w:tbl>
            <w:tblPr>
              <w:tblStyle w:val="32"/>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06"/>
              <w:gridCol w:w="2722"/>
              <w:gridCol w:w="1101"/>
              <w:gridCol w:w="1248"/>
              <w:gridCol w:w="1292"/>
              <w:gridCol w:w="1292"/>
            </w:tblGrid>
            <w:tr w14:paraId="5D7A24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9" w:type="pct"/>
                  <w:tcBorders>
                    <w:tl2br w:val="nil"/>
                    <w:tr2bl w:val="nil"/>
                  </w:tcBorders>
                  <w:noWrap/>
                  <w:vAlign w:val="center"/>
                </w:tcPr>
                <w:p w14:paraId="066479F4">
                  <w:pPr>
                    <w:pStyle w:val="17"/>
                    <w:numPr>
                      <w:ilvl w:val="0"/>
                      <w:numId w:val="0"/>
                    </w:numPr>
                    <w:tabs>
                      <w:tab w:val="clear" w:pos="2040"/>
                    </w:tabs>
                    <w:jc w:val="center"/>
                    <w:rPr>
                      <w:rFonts w:eastAsia="仿宋_GB2312"/>
                      <w:b/>
                      <w:bCs/>
                    </w:rPr>
                  </w:pPr>
                  <w:r>
                    <w:rPr>
                      <w:rFonts w:eastAsia="仿宋_GB2312"/>
                      <w:b/>
                      <w:bCs/>
                    </w:rPr>
                    <w:t>检测</w:t>
                  </w:r>
                </w:p>
                <w:p w14:paraId="34CDE2CE">
                  <w:pPr>
                    <w:pStyle w:val="17"/>
                    <w:numPr>
                      <w:ilvl w:val="0"/>
                      <w:numId w:val="0"/>
                    </w:numPr>
                    <w:tabs>
                      <w:tab w:val="clear" w:pos="2040"/>
                    </w:tabs>
                    <w:jc w:val="center"/>
                    <w:rPr>
                      <w:rFonts w:eastAsia="仿宋_GB2312"/>
                      <w:b/>
                      <w:bCs/>
                    </w:rPr>
                  </w:pPr>
                  <w:r>
                    <w:rPr>
                      <w:rFonts w:eastAsia="仿宋_GB2312"/>
                      <w:b/>
                      <w:bCs/>
                    </w:rPr>
                    <w:t>日期</w:t>
                  </w:r>
                </w:p>
              </w:tc>
              <w:tc>
                <w:tcPr>
                  <w:tcW w:w="1118" w:type="pct"/>
                  <w:tcBorders>
                    <w:tl2br w:val="nil"/>
                    <w:tr2bl w:val="nil"/>
                  </w:tcBorders>
                  <w:noWrap/>
                  <w:vAlign w:val="center"/>
                </w:tcPr>
                <w:p w14:paraId="5901C36F">
                  <w:pPr>
                    <w:pStyle w:val="17"/>
                    <w:numPr>
                      <w:ilvl w:val="0"/>
                      <w:numId w:val="0"/>
                    </w:numPr>
                    <w:tabs>
                      <w:tab w:val="clear" w:pos="2040"/>
                    </w:tabs>
                    <w:jc w:val="center"/>
                    <w:rPr>
                      <w:rFonts w:eastAsia="仿宋_GB2312"/>
                      <w:b/>
                      <w:bCs/>
                    </w:rPr>
                  </w:pPr>
                  <w:r>
                    <w:rPr>
                      <w:rFonts w:eastAsia="仿宋_GB2312"/>
                      <w:b/>
                      <w:bCs/>
                    </w:rPr>
                    <w:t>检测单位</w:t>
                  </w:r>
                </w:p>
              </w:tc>
              <w:tc>
                <w:tcPr>
                  <w:tcW w:w="673" w:type="pct"/>
                  <w:tcBorders>
                    <w:tl2br w:val="nil"/>
                    <w:tr2bl w:val="nil"/>
                  </w:tcBorders>
                  <w:noWrap/>
                  <w:vAlign w:val="center"/>
                </w:tcPr>
                <w:p w14:paraId="3C07D672">
                  <w:pPr>
                    <w:pStyle w:val="17"/>
                    <w:numPr>
                      <w:ilvl w:val="0"/>
                      <w:numId w:val="0"/>
                    </w:numPr>
                    <w:tabs>
                      <w:tab w:val="clear" w:pos="2040"/>
                    </w:tabs>
                    <w:jc w:val="center"/>
                    <w:rPr>
                      <w:rFonts w:eastAsia="仿宋_GB2312"/>
                      <w:b/>
                      <w:bCs/>
                    </w:rPr>
                  </w:pPr>
                  <w:r>
                    <w:rPr>
                      <w:rFonts w:eastAsia="仿宋_GB2312"/>
                      <w:b/>
                      <w:bCs/>
                    </w:rPr>
                    <w:t>检测点位</w:t>
                  </w:r>
                </w:p>
              </w:tc>
              <w:tc>
                <w:tcPr>
                  <w:tcW w:w="1057" w:type="pct"/>
                  <w:tcBorders>
                    <w:tl2br w:val="nil"/>
                    <w:tr2bl w:val="nil"/>
                  </w:tcBorders>
                  <w:noWrap/>
                  <w:vAlign w:val="center"/>
                </w:tcPr>
                <w:p w14:paraId="037D045C">
                  <w:pPr>
                    <w:pStyle w:val="17"/>
                    <w:numPr>
                      <w:ilvl w:val="0"/>
                      <w:numId w:val="0"/>
                    </w:numPr>
                    <w:tabs>
                      <w:tab w:val="clear" w:pos="2040"/>
                    </w:tabs>
                    <w:jc w:val="center"/>
                    <w:rPr>
                      <w:rFonts w:eastAsia="仿宋_GB2312"/>
                      <w:b/>
                      <w:bCs/>
                    </w:rPr>
                  </w:pPr>
                  <w:r>
                    <w:rPr>
                      <w:rFonts w:eastAsia="仿宋_GB2312"/>
                      <w:b/>
                      <w:bCs/>
                    </w:rPr>
                    <w:t>污染物名称</w:t>
                  </w:r>
                </w:p>
              </w:tc>
              <w:tc>
                <w:tcPr>
                  <w:tcW w:w="735" w:type="pct"/>
                  <w:tcBorders>
                    <w:tl2br w:val="nil"/>
                    <w:tr2bl w:val="nil"/>
                  </w:tcBorders>
                  <w:noWrap/>
                  <w:vAlign w:val="center"/>
                </w:tcPr>
                <w:p w14:paraId="108E5A02">
                  <w:pPr>
                    <w:pStyle w:val="17"/>
                    <w:numPr>
                      <w:ilvl w:val="0"/>
                      <w:numId w:val="0"/>
                    </w:numPr>
                    <w:tabs>
                      <w:tab w:val="clear" w:pos="2040"/>
                    </w:tabs>
                    <w:jc w:val="center"/>
                    <w:rPr>
                      <w:rFonts w:eastAsia="仿宋_GB2312"/>
                      <w:b/>
                      <w:bCs/>
                    </w:rPr>
                  </w:pPr>
                  <w:r>
                    <w:rPr>
                      <w:rFonts w:eastAsia="仿宋_GB2312"/>
                      <w:b/>
                      <w:bCs/>
                    </w:rPr>
                    <w:t>检测值（mg/</w:t>
                  </w:r>
                  <w:r>
                    <w:rPr>
                      <w:rFonts w:hint="eastAsia" w:eastAsia="仿宋_GB2312"/>
                      <w:b/>
                      <w:bCs/>
                    </w:rPr>
                    <w:t>L</w:t>
                  </w:r>
                  <w:r>
                    <w:rPr>
                      <w:rFonts w:eastAsia="仿宋_GB2312"/>
                      <w:b/>
                      <w:bCs/>
                    </w:rPr>
                    <w:t>）</w:t>
                  </w:r>
                </w:p>
              </w:tc>
              <w:tc>
                <w:tcPr>
                  <w:tcW w:w="735" w:type="pct"/>
                  <w:tcBorders>
                    <w:tl2br w:val="nil"/>
                    <w:tr2bl w:val="nil"/>
                  </w:tcBorders>
                  <w:noWrap/>
                  <w:vAlign w:val="center"/>
                </w:tcPr>
                <w:p w14:paraId="78DFDA5C">
                  <w:pPr>
                    <w:pStyle w:val="17"/>
                    <w:numPr>
                      <w:ilvl w:val="0"/>
                      <w:numId w:val="0"/>
                    </w:numPr>
                    <w:tabs>
                      <w:tab w:val="clear" w:pos="2040"/>
                    </w:tabs>
                    <w:jc w:val="center"/>
                    <w:rPr>
                      <w:rFonts w:eastAsia="仿宋_GB2312"/>
                      <w:b/>
                      <w:bCs/>
                    </w:rPr>
                  </w:pPr>
                  <w:r>
                    <w:rPr>
                      <w:rFonts w:eastAsia="仿宋_GB2312"/>
                      <w:b/>
                      <w:bCs/>
                    </w:rPr>
                    <w:t>标准值（mg/</w:t>
                  </w:r>
                  <w:r>
                    <w:rPr>
                      <w:rFonts w:hint="eastAsia" w:eastAsia="仿宋_GB2312"/>
                      <w:b/>
                      <w:bCs/>
                    </w:rPr>
                    <w:t>L</w:t>
                  </w:r>
                  <w:r>
                    <w:rPr>
                      <w:rFonts w:eastAsia="仿宋_GB2312"/>
                      <w:b/>
                      <w:bCs/>
                    </w:rPr>
                    <w:t>）</w:t>
                  </w:r>
                </w:p>
              </w:tc>
            </w:tr>
            <w:tr w14:paraId="4E58AD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9" w:type="pct"/>
                  <w:vMerge w:val="restart"/>
                  <w:tcBorders>
                    <w:tl2br w:val="nil"/>
                    <w:tr2bl w:val="nil"/>
                  </w:tcBorders>
                  <w:noWrap/>
                  <w:vAlign w:val="center"/>
                </w:tcPr>
                <w:p w14:paraId="115BAB59">
                  <w:pPr>
                    <w:pStyle w:val="17"/>
                    <w:numPr>
                      <w:ilvl w:val="0"/>
                      <w:numId w:val="0"/>
                    </w:numPr>
                    <w:tabs>
                      <w:tab w:val="clear" w:pos="2040"/>
                    </w:tabs>
                    <w:jc w:val="center"/>
                    <w:rPr>
                      <w:rFonts w:eastAsia="仿宋_GB2312"/>
                    </w:rPr>
                  </w:pPr>
                  <w:r>
                    <w:rPr>
                      <w:rFonts w:eastAsia="仿宋_GB2312"/>
                    </w:rPr>
                    <w:t>202</w:t>
                  </w:r>
                  <w:r>
                    <w:rPr>
                      <w:rFonts w:hint="eastAsia" w:eastAsia="仿宋_GB2312"/>
                    </w:rPr>
                    <w:t>5</w:t>
                  </w:r>
                  <w:r>
                    <w:rPr>
                      <w:rFonts w:eastAsia="仿宋_GB2312"/>
                    </w:rPr>
                    <w:t>.</w:t>
                  </w:r>
                  <w:r>
                    <w:rPr>
                      <w:rFonts w:hint="eastAsia" w:eastAsia="仿宋_GB2312"/>
                    </w:rPr>
                    <w:t>3</w:t>
                  </w:r>
                  <w:r>
                    <w:rPr>
                      <w:rFonts w:eastAsia="仿宋_GB2312"/>
                    </w:rPr>
                    <w:t>.</w:t>
                  </w:r>
                  <w:r>
                    <w:rPr>
                      <w:rFonts w:hint="eastAsia" w:eastAsia="仿宋_GB2312"/>
                    </w:rPr>
                    <w:t>26</w:t>
                  </w:r>
                </w:p>
              </w:tc>
              <w:tc>
                <w:tcPr>
                  <w:tcW w:w="1118" w:type="pct"/>
                  <w:vMerge w:val="restart"/>
                  <w:tcBorders>
                    <w:tl2br w:val="nil"/>
                    <w:tr2bl w:val="nil"/>
                  </w:tcBorders>
                  <w:noWrap/>
                  <w:vAlign w:val="center"/>
                </w:tcPr>
                <w:p w14:paraId="2573888A">
                  <w:pPr>
                    <w:pStyle w:val="17"/>
                    <w:numPr>
                      <w:ilvl w:val="0"/>
                      <w:numId w:val="0"/>
                    </w:numPr>
                    <w:tabs>
                      <w:tab w:val="clear" w:pos="2040"/>
                    </w:tabs>
                    <w:jc w:val="center"/>
                    <w:rPr>
                      <w:rFonts w:eastAsia="仿宋_GB2312"/>
                    </w:rPr>
                  </w:pPr>
                  <w:r>
                    <w:rPr>
                      <w:rFonts w:eastAsia="仿宋_GB2312"/>
                    </w:rPr>
                    <w:t>检测单位：</w:t>
                  </w:r>
                  <w:r>
                    <w:rPr>
                      <w:rFonts w:hint="eastAsia" w:eastAsia="仿宋_GB2312"/>
                    </w:rPr>
                    <w:t>苏州华实环境技术有限公司</w:t>
                  </w:r>
                </w:p>
                <w:p w14:paraId="1812B041">
                  <w:pPr>
                    <w:pStyle w:val="17"/>
                    <w:numPr>
                      <w:ilvl w:val="0"/>
                      <w:numId w:val="0"/>
                    </w:numPr>
                    <w:tabs>
                      <w:tab w:val="clear" w:pos="2040"/>
                    </w:tabs>
                    <w:jc w:val="center"/>
                    <w:rPr>
                      <w:rFonts w:eastAsia="仿宋_GB2312"/>
                    </w:rPr>
                  </w:pPr>
                  <w:r>
                    <w:rPr>
                      <w:rFonts w:eastAsia="仿宋_GB2312"/>
                    </w:rPr>
                    <w:t>报告编号：</w:t>
                  </w:r>
                  <w:r>
                    <w:rPr>
                      <w:rFonts w:hint="eastAsia" w:eastAsia="仿宋_GB2312"/>
                    </w:rPr>
                    <w:t>HS25182（综）</w:t>
                  </w:r>
                </w:p>
              </w:tc>
              <w:tc>
                <w:tcPr>
                  <w:tcW w:w="673" w:type="pct"/>
                  <w:vMerge w:val="restart"/>
                  <w:tcBorders>
                    <w:tl2br w:val="nil"/>
                    <w:tr2bl w:val="nil"/>
                  </w:tcBorders>
                  <w:noWrap/>
                  <w:vAlign w:val="center"/>
                </w:tcPr>
                <w:p w14:paraId="3A7B59B6">
                  <w:pPr>
                    <w:pStyle w:val="17"/>
                    <w:numPr>
                      <w:ilvl w:val="0"/>
                      <w:numId w:val="0"/>
                    </w:numPr>
                    <w:tabs>
                      <w:tab w:val="clear" w:pos="2040"/>
                    </w:tabs>
                    <w:jc w:val="center"/>
                    <w:rPr>
                      <w:rFonts w:eastAsia="仿宋_GB2312"/>
                    </w:rPr>
                  </w:pPr>
                  <w:r>
                    <w:rPr>
                      <w:rFonts w:hint="eastAsia" w:eastAsia="仿宋_GB2312"/>
                    </w:rPr>
                    <w:t>污水总</w:t>
                  </w:r>
                  <w:r>
                    <w:rPr>
                      <w:rFonts w:eastAsia="仿宋_GB2312"/>
                    </w:rPr>
                    <w:t>排放口</w:t>
                  </w:r>
                </w:p>
              </w:tc>
              <w:tc>
                <w:tcPr>
                  <w:tcW w:w="1057" w:type="pct"/>
                  <w:tcBorders>
                    <w:tl2br w:val="nil"/>
                    <w:tr2bl w:val="nil"/>
                  </w:tcBorders>
                  <w:noWrap/>
                  <w:vAlign w:val="center"/>
                </w:tcPr>
                <w:p w14:paraId="6A3C632E">
                  <w:pPr>
                    <w:pStyle w:val="17"/>
                    <w:numPr>
                      <w:ilvl w:val="0"/>
                      <w:numId w:val="0"/>
                    </w:numPr>
                    <w:tabs>
                      <w:tab w:val="clear" w:pos="2040"/>
                    </w:tabs>
                    <w:jc w:val="center"/>
                    <w:rPr>
                      <w:rFonts w:eastAsia="仿宋_GB2312"/>
                    </w:rPr>
                  </w:pPr>
                  <w:r>
                    <w:rPr>
                      <w:rFonts w:eastAsia="仿宋_GB2312"/>
                    </w:rPr>
                    <w:t>COD</w:t>
                  </w:r>
                </w:p>
              </w:tc>
              <w:tc>
                <w:tcPr>
                  <w:tcW w:w="735" w:type="pct"/>
                  <w:tcBorders>
                    <w:tl2br w:val="nil"/>
                    <w:tr2bl w:val="nil"/>
                  </w:tcBorders>
                  <w:noWrap/>
                  <w:vAlign w:val="center"/>
                </w:tcPr>
                <w:p w14:paraId="4D28F7F8">
                  <w:pPr>
                    <w:pStyle w:val="17"/>
                    <w:numPr>
                      <w:ilvl w:val="0"/>
                      <w:numId w:val="0"/>
                    </w:numPr>
                    <w:tabs>
                      <w:tab w:val="clear" w:pos="2040"/>
                    </w:tabs>
                    <w:jc w:val="center"/>
                    <w:rPr>
                      <w:rFonts w:eastAsia="仿宋_GB2312"/>
                    </w:rPr>
                  </w:pPr>
                  <w:r>
                    <w:rPr>
                      <w:rFonts w:hint="eastAsia" w:eastAsia="仿宋_GB2312"/>
                    </w:rPr>
                    <w:t>32</w:t>
                  </w:r>
                </w:p>
              </w:tc>
              <w:tc>
                <w:tcPr>
                  <w:tcW w:w="735" w:type="pct"/>
                  <w:tcBorders>
                    <w:tl2br w:val="nil"/>
                    <w:tr2bl w:val="nil"/>
                  </w:tcBorders>
                  <w:noWrap/>
                  <w:vAlign w:val="center"/>
                </w:tcPr>
                <w:p w14:paraId="5F8B2CD8">
                  <w:pPr>
                    <w:pStyle w:val="17"/>
                    <w:numPr>
                      <w:ilvl w:val="0"/>
                      <w:numId w:val="0"/>
                    </w:numPr>
                    <w:tabs>
                      <w:tab w:val="clear" w:pos="2040"/>
                    </w:tabs>
                    <w:jc w:val="center"/>
                    <w:rPr>
                      <w:rFonts w:eastAsia="仿宋_GB2312"/>
                    </w:rPr>
                  </w:pPr>
                  <w:r>
                    <w:rPr>
                      <w:rFonts w:eastAsia="仿宋_GB2312"/>
                    </w:rPr>
                    <w:t>500</w:t>
                  </w:r>
                </w:p>
              </w:tc>
            </w:tr>
            <w:tr w14:paraId="0FFF2B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9" w:type="pct"/>
                  <w:vMerge w:val="continue"/>
                  <w:tcBorders>
                    <w:tl2br w:val="nil"/>
                    <w:tr2bl w:val="nil"/>
                  </w:tcBorders>
                  <w:noWrap/>
                  <w:vAlign w:val="center"/>
                </w:tcPr>
                <w:p w14:paraId="351F2E1E">
                  <w:pPr>
                    <w:pStyle w:val="17"/>
                    <w:numPr>
                      <w:ilvl w:val="0"/>
                      <w:numId w:val="0"/>
                    </w:numPr>
                    <w:tabs>
                      <w:tab w:val="clear" w:pos="2040"/>
                    </w:tabs>
                    <w:jc w:val="center"/>
                    <w:rPr>
                      <w:rFonts w:eastAsia="仿宋_GB2312"/>
                    </w:rPr>
                  </w:pPr>
                </w:p>
              </w:tc>
              <w:tc>
                <w:tcPr>
                  <w:tcW w:w="1118" w:type="pct"/>
                  <w:vMerge w:val="continue"/>
                  <w:tcBorders>
                    <w:tl2br w:val="nil"/>
                    <w:tr2bl w:val="nil"/>
                  </w:tcBorders>
                  <w:noWrap/>
                  <w:vAlign w:val="center"/>
                </w:tcPr>
                <w:p w14:paraId="5548E1A8">
                  <w:pPr>
                    <w:pStyle w:val="17"/>
                    <w:numPr>
                      <w:ilvl w:val="0"/>
                      <w:numId w:val="0"/>
                    </w:numPr>
                    <w:tabs>
                      <w:tab w:val="clear" w:pos="2040"/>
                    </w:tabs>
                    <w:jc w:val="center"/>
                    <w:rPr>
                      <w:rFonts w:eastAsia="仿宋_GB2312"/>
                    </w:rPr>
                  </w:pPr>
                </w:p>
              </w:tc>
              <w:tc>
                <w:tcPr>
                  <w:tcW w:w="673" w:type="pct"/>
                  <w:vMerge w:val="continue"/>
                  <w:tcBorders>
                    <w:tl2br w:val="nil"/>
                    <w:tr2bl w:val="nil"/>
                  </w:tcBorders>
                  <w:noWrap/>
                  <w:vAlign w:val="center"/>
                </w:tcPr>
                <w:p w14:paraId="668980F7">
                  <w:pPr>
                    <w:pStyle w:val="17"/>
                    <w:numPr>
                      <w:ilvl w:val="0"/>
                      <w:numId w:val="0"/>
                    </w:numPr>
                    <w:tabs>
                      <w:tab w:val="clear" w:pos="2040"/>
                    </w:tabs>
                    <w:jc w:val="center"/>
                    <w:rPr>
                      <w:rFonts w:eastAsia="仿宋_GB2312"/>
                    </w:rPr>
                  </w:pPr>
                </w:p>
              </w:tc>
              <w:tc>
                <w:tcPr>
                  <w:tcW w:w="1057" w:type="pct"/>
                  <w:tcBorders>
                    <w:tl2br w:val="nil"/>
                    <w:tr2bl w:val="nil"/>
                  </w:tcBorders>
                  <w:noWrap/>
                  <w:vAlign w:val="center"/>
                </w:tcPr>
                <w:p w14:paraId="6BA20F69">
                  <w:pPr>
                    <w:pStyle w:val="17"/>
                    <w:numPr>
                      <w:ilvl w:val="0"/>
                      <w:numId w:val="0"/>
                    </w:numPr>
                    <w:tabs>
                      <w:tab w:val="clear" w:pos="2040"/>
                    </w:tabs>
                    <w:jc w:val="center"/>
                    <w:rPr>
                      <w:rFonts w:eastAsia="仿宋_GB2312"/>
                    </w:rPr>
                  </w:pPr>
                  <w:r>
                    <w:rPr>
                      <w:rFonts w:eastAsia="仿宋_GB2312"/>
                    </w:rPr>
                    <w:t>SS</w:t>
                  </w:r>
                </w:p>
              </w:tc>
              <w:tc>
                <w:tcPr>
                  <w:tcW w:w="735" w:type="pct"/>
                  <w:tcBorders>
                    <w:tl2br w:val="nil"/>
                    <w:tr2bl w:val="nil"/>
                  </w:tcBorders>
                  <w:noWrap/>
                  <w:vAlign w:val="center"/>
                </w:tcPr>
                <w:p w14:paraId="4B50A9B5">
                  <w:pPr>
                    <w:pStyle w:val="17"/>
                    <w:numPr>
                      <w:ilvl w:val="0"/>
                      <w:numId w:val="0"/>
                    </w:numPr>
                    <w:tabs>
                      <w:tab w:val="clear" w:pos="2040"/>
                    </w:tabs>
                    <w:jc w:val="center"/>
                    <w:rPr>
                      <w:rFonts w:eastAsia="仿宋_GB2312"/>
                    </w:rPr>
                  </w:pPr>
                  <w:r>
                    <w:rPr>
                      <w:rFonts w:hint="eastAsia" w:eastAsia="仿宋_GB2312"/>
                    </w:rPr>
                    <w:t>18</w:t>
                  </w:r>
                </w:p>
              </w:tc>
              <w:tc>
                <w:tcPr>
                  <w:tcW w:w="735" w:type="pct"/>
                  <w:tcBorders>
                    <w:tl2br w:val="nil"/>
                    <w:tr2bl w:val="nil"/>
                  </w:tcBorders>
                  <w:noWrap/>
                  <w:vAlign w:val="center"/>
                </w:tcPr>
                <w:p w14:paraId="700A9556">
                  <w:pPr>
                    <w:pStyle w:val="17"/>
                    <w:numPr>
                      <w:ilvl w:val="0"/>
                      <w:numId w:val="0"/>
                    </w:numPr>
                    <w:tabs>
                      <w:tab w:val="clear" w:pos="2040"/>
                    </w:tabs>
                    <w:jc w:val="center"/>
                    <w:rPr>
                      <w:rFonts w:eastAsia="仿宋_GB2312"/>
                    </w:rPr>
                  </w:pPr>
                  <w:r>
                    <w:rPr>
                      <w:rFonts w:eastAsia="仿宋_GB2312"/>
                    </w:rPr>
                    <w:t>400</w:t>
                  </w:r>
                </w:p>
              </w:tc>
            </w:tr>
            <w:tr w14:paraId="7B9DA9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9" w:type="pct"/>
                  <w:vMerge w:val="continue"/>
                  <w:tcBorders>
                    <w:tl2br w:val="nil"/>
                    <w:tr2bl w:val="nil"/>
                  </w:tcBorders>
                  <w:noWrap/>
                  <w:vAlign w:val="center"/>
                </w:tcPr>
                <w:p w14:paraId="035F9EEB">
                  <w:pPr>
                    <w:pStyle w:val="17"/>
                    <w:numPr>
                      <w:ilvl w:val="0"/>
                      <w:numId w:val="0"/>
                    </w:numPr>
                    <w:tabs>
                      <w:tab w:val="clear" w:pos="2040"/>
                    </w:tabs>
                    <w:jc w:val="center"/>
                    <w:rPr>
                      <w:rFonts w:eastAsia="仿宋_GB2312"/>
                    </w:rPr>
                  </w:pPr>
                </w:p>
              </w:tc>
              <w:tc>
                <w:tcPr>
                  <w:tcW w:w="1118" w:type="pct"/>
                  <w:vMerge w:val="continue"/>
                  <w:tcBorders>
                    <w:tl2br w:val="nil"/>
                    <w:tr2bl w:val="nil"/>
                  </w:tcBorders>
                  <w:noWrap/>
                  <w:vAlign w:val="center"/>
                </w:tcPr>
                <w:p w14:paraId="38580A75">
                  <w:pPr>
                    <w:pStyle w:val="17"/>
                    <w:numPr>
                      <w:ilvl w:val="0"/>
                      <w:numId w:val="0"/>
                    </w:numPr>
                    <w:tabs>
                      <w:tab w:val="clear" w:pos="2040"/>
                    </w:tabs>
                    <w:jc w:val="center"/>
                    <w:rPr>
                      <w:rFonts w:eastAsia="仿宋_GB2312"/>
                    </w:rPr>
                  </w:pPr>
                </w:p>
              </w:tc>
              <w:tc>
                <w:tcPr>
                  <w:tcW w:w="673" w:type="pct"/>
                  <w:vMerge w:val="continue"/>
                  <w:tcBorders>
                    <w:tl2br w:val="nil"/>
                    <w:tr2bl w:val="nil"/>
                  </w:tcBorders>
                  <w:noWrap/>
                  <w:vAlign w:val="center"/>
                </w:tcPr>
                <w:p w14:paraId="360945FA">
                  <w:pPr>
                    <w:pStyle w:val="17"/>
                    <w:numPr>
                      <w:ilvl w:val="0"/>
                      <w:numId w:val="0"/>
                    </w:numPr>
                    <w:tabs>
                      <w:tab w:val="clear" w:pos="2040"/>
                    </w:tabs>
                    <w:jc w:val="center"/>
                    <w:rPr>
                      <w:rFonts w:eastAsia="仿宋_GB2312"/>
                    </w:rPr>
                  </w:pPr>
                </w:p>
              </w:tc>
              <w:tc>
                <w:tcPr>
                  <w:tcW w:w="1057" w:type="pct"/>
                  <w:tcBorders>
                    <w:tl2br w:val="nil"/>
                    <w:tr2bl w:val="nil"/>
                  </w:tcBorders>
                  <w:noWrap/>
                  <w:vAlign w:val="center"/>
                </w:tcPr>
                <w:p w14:paraId="2033DAEE">
                  <w:pPr>
                    <w:pStyle w:val="17"/>
                    <w:numPr>
                      <w:ilvl w:val="0"/>
                      <w:numId w:val="0"/>
                    </w:numPr>
                    <w:tabs>
                      <w:tab w:val="clear" w:pos="2040"/>
                    </w:tabs>
                    <w:jc w:val="center"/>
                    <w:rPr>
                      <w:rFonts w:eastAsia="仿宋_GB2312"/>
                    </w:rPr>
                  </w:pPr>
                  <w:r>
                    <w:rPr>
                      <w:rFonts w:eastAsia="仿宋_GB2312"/>
                    </w:rPr>
                    <w:t>氨氮</w:t>
                  </w:r>
                </w:p>
              </w:tc>
              <w:tc>
                <w:tcPr>
                  <w:tcW w:w="735" w:type="pct"/>
                  <w:tcBorders>
                    <w:tl2br w:val="nil"/>
                    <w:tr2bl w:val="nil"/>
                  </w:tcBorders>
                  <w:noWrap/>
                  <w:vAlign w:val="center"/>
                </w:tcPr>
                <w:p w14:paraId="37AFD9D6">
                  <w:pPr>
                    <w:pStyle w:val="17"/>
                    <w:numPr>
                      <w:ilvl w:val="0"/>
                      <w:numId w:val="0"/>
                    </w:numPr>
                    <w:tabs>
                      <w:tab w:val="clear" w:pos="2040"/>
                    </w:tabs>
                    <w:jc w:val="center"/>
                    <w:rPr>
                      <w:rFonts w:eastAsia="仿宋_GB2312"/>
                    </w:rPr>
                  </w:pPr>
                  <w:r>
                    <w:rPr>
                      <w:rFonts w:hint="eastAsia" w:eastAsia="仿宋_GB2312"/>
                    </w:rPr>
                    <w:t>3.06</w:t>
                  </w:r>
                </w:p>
              </w:tc>
              <w:tc>
                <w:tcPr>
                  <w:tcW w:w="735" w:type="pct"/>
                  <w:tcBorders>
                    <w:tl2br w:val="nil"/>
                    <w:tr2bl w:val="nil"/>
                  </w:tcBorders>
                  <w:noWrap/>
                  <w:vAlign w:val="center"/>
                </w:tcPr>
                <w:p w14:paraId="300271C1">
                  <w:pPr>
                    <w:pStyle w:val="17"/>
                    <w:numPr>
                      <w:ilvl w:val="0"/>
                      <w:numId w:val="0"/>
                    </w:numPr>
                    <w:tabs>
                      <w:tab w:val="clear" w:pos="2040"/>
                    </w:tabs>
                    <w:jc w:val="center"/>
                    <w:rPr>
                      <w:rFonts w:eastAsia="仿宋_GB2312"/>
                    </w:rPr>
                  </w:pPr>
                  <w:r>
                    <w:rPr>
                      <w:rFonts w:eastAsia="仿宋_GB2312"/>
                    </w:rPr>
                    <w:t>45</w:t>
                  </w:r>
                </w:p>
              </w:tc>
            </w:tr>
            <w:tr w14:paraId="2A2991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9" w:type="pct"/>
                  <w:vMerge w:val="continue"/>
                  <w:tcBorders>
                    <w:tl2br w:val="nil"/>
                    <w:tr2bl w:val="nil"/>
                  </w:tcBorders>
                  <w:noWrap/>
                  <w:vAlign w:val="center"/>
                </w:tcPr>
                <w:p w14:paraId="4ACF2F5A">
                  <w:pPr>
                    <w:pStyle w:val="17"/>
                    <w:numPr>
                      <w:ilvl w:val="0"/>
                      <w:numId w:val="0"/>
                    </w:numPr>
                    <w:tabs>
                      <w:tab w:val="clear" w:pos="2040"/>
                    </w:tabs>
                    <w:jc w:val="center"/>
                    <w:rPr>
                      <w:rFonts w:eastAsia="仿宋_GB2312"/>
                    </w:rPr>
                  </w:pPr>
                </w:p>
              </w:tc>
              <w:tc>
                <w:tcPr>
                  <w:tcW w:w="1118" w:type="pct"/>
                  <w:vMerge w:val="continue"/>
                  <w:tcBorders>
                    <w:tl2br w:val="nil"/>
                    <w:tr2bl w:val="nil"/>
                  </w:tcBorders>
                  <w:noWrap/>
                  <w:vAlign w:val="center"/>
                </w:tcPr>
                <w:p w14:paraId="0AFD4DF9">
                  <w:pPr>
                    <w:pStyle w:val="17"/>
                    <w:numPr>
                      <w:ilvl w:val="0"/>
                      <w:numId w:val="0"/>
                    </w:numPr>
                    <w:tabs>
                      <w:tab w:val="clear" w:pos="2040"/>
                    </w:tabs>
                    <w:jc w:val="center"/>
                    <w:rPr>
                      <w:rFonts w:eastAsia="仿宋_GB2312"/>
                    </w:rPr>
                  </w:pPr>
                </w:p>
              </w:tc>
              <w:tc>
                <w:tcPr>
                  <w:tcW w:w="673" w:type="pct"/>
                  <w:vMerge w:val="continue"/>
                  <w:tcBorders>
                    <w:tl2br w:val="nil"/>
                    <w:tr2bl w:val="nil"/>
                  </w:tcBorders>
                  <w:noWrap/>
                  <w:vAlign w:val="center"/>
                </w:tcPr>
                <w:p w14:paraId="090F5E74">
                  <w:pPr>
                    <w:pStyle w:val="17"/>
                    <w:numPr>
                      <w:ilvl w:val="0"/>
                      <w:numId w:val="0"/>
                    </w:numPr>
                    <w:tabs>
                      <w:tab w:val="clear" w:pos="2040"/>
                    </w:tabs>
                    <w:jc w:val="center"/>
                    <w:rPr>
                      <w:rFonts w:eastAsia="仿宋_GB2312"/>
                    </w:rPr>
                  </w:pPr>
                </w:p>
              </w:tc>
              <w:tc>
                <w:tcPr>
                  <w:tcW w:w="1057" w:type="pct"/>
                  <w:tcBorders>
                    <w:tl2br w:val="nil"/>
                    <w:tr2bl w:val="nil"/>
                  </w:tcBorders>
                  <w:noWrap/>
                  <w:vAlign w:val="center"/>
                </w:tcPr>
                <w:p w14:paraId="5D18151E">
                  <w:pPr>
                    <w:pStyle w:val="17"/>
                    <w:numPr>
                      <w:ilvl w:val="0"/>
                      <w:numId w:val="0"/>
                    </w:numPr>
                    <w:tabs>
                      <w:tab w:val="clear" w:pos="2040"/>
                    </w:tabs>
                    <w:jc w:val="center"/>
                    <w:rPr>
                      <w:rFonts w:eastAsia="仿宋_GB2312"/>
                    </w:rPr>
                  </w:pPr>
                  <w:r>
                    <w:rPr>
                      <w:rFonts w:hint="eastAsia" w:eastAsia="仿宋_GB2312"/>
                    </w:rPr>
                    <w:t>总氮</w:t>
                  </w:r>
                </w:p>
              </w:tc>
              <w:tc>
                <w:tcPr>
                  <w:tcW w:w="735" w:type="pct"/>
                  <w:tcBorders>
                    <w:tl2br w:val="nil"/>
                    <w:tr2bl w:val="nil"/>
                  </w:tcBorders>
                  <w:noWrap/>
                  <w:vAlign w:val="center"/>
                </w:tcPr>
                <w:p w14:paraId="13956B70">
                  <w:pPr>
                    <w:pStyle w:val="17"/>
                    <w:numPr>
                      <w:ilvl w:val="0"/>
                      <w:numId w:val="0"/>
                    </w:numPr>
                    <w:tabs>
                      <w:tab w:val="clear" w:pos="2040"/>
                    </w:tabs>
                    <w:jc w:val="center"/>
                    <w:rPr>
                      <w:rFonts w:eastAsia="仿宋_GB2312"/>
                    </w:rPr>
                  </w:pPr>
                  <w:r>
                    <w:rPr>
                      <w:rFonts w:hint="eastAsia" w:eastAsia="仿宋_GB2312"/>
                    </w:rPr>
                    <w:t>4.30</w:t>
                  </w:r>
                </w:p>
              </w:tc>
              <w:tc>
                <w:tcPr>
                  <w:tcW w:w="735" w:type="pct"/>
                  <w:tcBorders>
                    <w:tl2br w:val="nil"/>
                    <w:tr2bl w:val="nil"/>
                  </w:tcBorders>
                  <w:noWrap/>
                  <w:vAlign w:val="center"/>
                </w:tcPr>
                <w:p w14:paraId="6EE16E58">
                  <w:pPr>
                    <w:pStyle w:val="17"/>
                    <w:numPr>
                      <w:ilvl w:val="0"/>
                      <w:numId w:val="0"/>
                    </w:numPr>
                    <w:tabs>
                      <w:tab w:val="clear" w:pos="2040"/>
                    </w:tabs>
                    <w:jc w:val="center"/>
                    <w:rPr>
                      <w:rFonts w:eastAsia="仿宋_GB2312"/>
                    </w:rPr>
                  </w:pPr>
                  <w:r>
                    <w:rPr>
                      <w:rFonts w:hint="eastAsia" w:eastAsia="仿宋_GB2312"/>
                    </w:rPr>
                    <w:t>70</w:t>
                  </w:r>
                </w:p>
              </w:tc>
            </w:tr>
            <w:tr w14:paraId="75AC9D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9" w:type="pct"/>
                  <w:vMerge w:val="continue"/>
                  <w:tcBorders>
                    <w:tl2br w:val="nil"/>
                    <w:tr2bl w:val="nil"/>
                  </w:tcBorders>
                  <w:noWrap/>
                  <w:vAlign w:val="center"/>
                </w:tcPr>
                <w:p w14:paraId="4A95CB08">
                  <w:pPr>
                    <w:pStyle w:val="17"/>
                    <w:numPr>
                      <w:ilvl w:val="0"/>
                      <w:numId w:val="0"/>
                    </w:numPr>
                    <w:tabs>
                      <w:tab w:val="clear" w:pos="2040"/>
                    </w:tabs>
                    <w:jc w:val="center"/>
                    <w:rPr>
                      <w:rFonts w:eastAsia="仿宋_GB2312"/>
                    </w:rPr>
                  </w:pPr>
                </w:p>
              </w:tc>
              <w:tc>
                <w:tcPr>
                  <w:tcW w:w="1118" w:type="pct"/>
                  <w:vMerge w:val="continue"/>
                  <w:tcBorders>
                    <w:tl2br w:val="nil"/>
                    <w:tr2bl w:val="nil"/>
                  </w:tcBorders>
                  <w:noWrap/>
                  <w:vAlign w:val="center"/>
                </w:tcPr>
                <w:p w14:paraId="0FC1CD91">
                  <w:pPr>
                    <w:pStyle w:val="17"/>
                    <w:numPr>
                      <w:ilvl w:val="0"/>
                      <w:numId w:val="0"/>
                    </w:numPr>
                    <w:tabs>
                      <w:tab w:val="clear" w:pos="2040"/>
                    </w:tabs>
                    <w:jc w:val="center"/>
                    <w:rPr>
                      <w:rFonts w:eastAsia="仿宋_GB2312"/>
                    </w:rPr>
                  </w:pPr>
                </w:p>
              </w:tc>
              <w:tc>
                <w:tcPr>
                  <w:tcW w:w="673" w:type="pct"/>
                  <w:vMerge w:val="continue"/>
                  <w:tcBorders>
                    <w:tl2br w:val="nil"/>
                    <w:tr2bl w:val="nil"/>
                  </w:tcBorders>
                  <w:noWrap/>
                  <w:vAlign w:val="center"/>
                </w:tcPr>
                <w:p w14:paraId="026E97AE">
                  <w:pPr>
                    <w:pStyle w:val="17"/>
                    <w:numPr>
                      <w:ilvl w:val="0"/>
                      <w:numId w:val="0"/>
                    </w:numPr>
                    <w:tabs>
                      <w:tab w:val="clear" w:pos="2040"/>
                    </w:tabs>
                    <w:jc w:val="center"/>
                    <w:rPr>
                      <w:rFonts w:eastAsia="仿宋_GB2312"/>
                    </w:rPr>
                  </w:pPr>
                </w:p>
              </w:tc>
              <w:tc>
                <w:tcPr>
                  <w:tcW w:w="1057" w:type="pct"/>
                  <w:tcBorders>
                    <w:tl2br w:val="nil"/>
                    <w:tr2bl w:val="nil"/>
                  </w:tcBorders>
                  <w:noWrap/>
                  <w:vAlign w:val="center"/>
                </w:tcPr>
                <w:p w14:paraId="31944E7B">
                  <w:pPr>
                    <w:pStyle w:val="17"/>
                    <w:numPr>
                      <w:ilvl w:val="0"/>
                      <w:numId w:val="0"/>
                    </w:numPr>
                    <w:tabs>
                      <w:tab w:val="clear" w:pos="2040"/>
                    </w:tabs>
                    <w:jc w:val="center"/>
                    <w:rPr>
                      <w:rFonts w:eastAsia="仿宋_GB2312"/>
                    </w:rPr>
                  </w:pPr>
                  <w:r>
                    <w:rPr>
                      <w:rFonts w:eastAsia="仿宋_GB2312"/>
                    </w:rPr>
                    <w:t>TP</w:t>
                  </w:r>
                </w:p>
              </w:tc>
              <w:tc>
                <w:tcPr>
                  <w:tcW w:w="735" w:type="pct"/>
                  <w:tcBorders>
                    <w:tl2br w:val="nil"/>
                    <w:tr2bl w:val="nil"/>
                  </w:tcBorders>
                  <w:noWrap/>
                  <w:vAlign w:val="center"/>
                </w:tcPr>
                <w:p w14:paraId="7FFDB3BE">
                  <w:pPr>
                    <w:pStyle w:val="17"/>
                    <w:numPr>
                      <w:ilvl w:val="0"/>
                      <w:numId w:val="0"/>
                    </w:numPr>
                    <w:tabs>
                      <w:tab w:val="clear" w:pos="2040"/>
                    </w:tabs>
                    <w:jc w:val="center"/>
                    <w:rPr>
                      <w:rFonts w:eastAsia="仿宋_GB2312"/>
                    </w:rPr>
                  </w:pPr>
                  <w:r>
                    <w:rPr>
                      <w:rFonts w:hint="eastAsia" w:eastAsia="仿宋_GB2312"/>
                    </w:rPr>
                    <w:t>0.39</w:t>
                  </w:r>
                </w:p>
              </w:tc>
              <w:tc>
                <w:tcPr>
                  <w:tcW w:w="735" w:type="pct"/>
                  <w:tcBorders>
                    <w:tl2br w:val="nil"/>
                    <w:tr2bl w:val="nil"/>
                  </w:tcBorders>
                  <w:noWrap/>
                  <w:vAlign w:val="center"/>
                </w:tcPr>
                <w:p w14:paraId="3E7E1956">
                  <w:pPr>
                    <w:pStyle w:val="17"/>
                    <w:numPr>
                      <w:ilvl w:val="0"/>
                      <w:numId w:val="0"/>
                    </w:numPr>
                    <w:tabs>
                      <w:tab w:val="clear" w:pos="2040"/>
                    </w:tabs>
                    <w:jc w:val="center"/>
                    <w:rPr>
                      <w:rFonts w:eastAsia="仿宋_GB2312"/>
                    </w:rPr>
                  </w:pPr>
                  <w:r>
                    <w:rPr>
                      <w:rFonts w:eastAsia="仿宋_GB2312"/>
                    </w:rPr>
                    <w:t>8</w:t>
                  </w:r>
                </w:p>
              </w:tc>
            </w:tr>
            <w:tr w14:paraId="240F09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9" w:type="pct"/>
                  <w:vMerge w:val="continue"/>
                  <w:tcBorders>
                    <w:tl2br w:val="nil"/>
                    <w:tr2bl w:val="nil"/>
                  </w:tcBorders>
                  <w:noWrap/>
                  <w:vAlign w:val="center"/>
                </w:tcPr>
                <w:p w14:paraId="10F4F6D4">
                  <w:pPr>
                    <w:pStyle w:val="17"/>
                    <w:numPr>
                      <w:ilvl w:val="0"/>
                      <w:numId w:val="0"/>
                    </w:numPr>
                    <w:tabs>
                      <w:tab w:val="clear" w:pos="2040"/>
                    </w:tabs>
                    <w:jc w:val="center"/>
                    <w:rPr>
                      <w:rFonts w:eastAsia="仿宋_GB2312"/>
                    </w:rPr>
                  </w:pPr>
                </w:p>
              </w:tc>
              <w:tc>
                <w:tcPr>
                  <w:tcW w:w="1118" w:type="pct"/>
                  <w:vMerge w:val="continue"/>
                  <w:tcBorders>
                    <w:tl2br w:val="nil"/>
                    <w:tr2bl w:val="nil"/>
                  </w:tcBorders>
                  <w:noWrap/>
                  <w:vAlign w:val="center"/>
                </w:tcPr>
                <w:p w14:paraId="7F4F4197">
                  <w:pPr>
                    <w:pStyle w:val="17"/>
                    <w:numPr>
                      <w:ilvl w:val="0"/>
                      <w:numId w:val="0"/>
                    </w:numPr>
                    <w:tabs>
                      <w:tab w:val="clear" w:pos="2040"/>
                    </w:tabs>
                    <w:jc w:val="center"/>
                    <w:rPr>
                      <w:rFonts w:eastAsia="仿宋_GB2312"/>
                    </w:rPr>
                  </w:pPr>
                </w:p>
              </w:tc>
              <w:tc>
                <w:tcPr>
                  <w:tcW w:w="673" w:type="pct"/>
                  <w:vMerge w:val="continue"/>
                  <w:tcBorders>
                    <w:tl2br w:val="nil"/>
                    <w:tr2bl w:val="nil"/>
                  </w:tcBorders>
                  <w:noWrap/>
                  <w:vAlign w:val="center"/>
                </w:tcPr>
                <w:p w14:paraId="26C66044">
                  <w:pPr>
                    <w:pStyle w:val="17"/>
                    <w:numPr>
                      <w:ilvl w:val="0"/>
                      <w:numId w:val="0"/>
                    </w:numPr>
                    <w:tabs>
                      <w:tab w:val="clear" w:pos="2040"/>
                    </w:tabs>
                    <w:jc w:val="center"/>
                    <w:rPr>
                      <w:rFonts w:eastAsia="仿宋_GB2312"/>
                    </w:rPr>
                  </w:pPr>
                </w:p>
              </w:tc>
              <w:tc>
                <w:tcPr>
                  <w:tcW w:w="1057" w:type="pct"/>
                  <w:tcBorders>
                    <w:tl2br w:val="nil"/>
                    <w:tr2bl w:val="nil"/>
                  </w:tcBorders>
                  <w:noWrap/>
                  <w:vAlign w:val="center"/>
                </w:tcPr>
                <w:p w14:paraId="3CD5B580">
                  <w:pPr>
                    <w:pStyle w:val="17"/>
                    <w:numPr>
                      <w:ilvl w:val="0"/>
                      <w:numId w:val="0"/>
                    </w:numPr>
                    <w:tabs>
                      <w:tab w:val="clear" w:pos="2040"/>
                    </w:tabs>
                    <w:jc w:val="center"/>
                    <w:rPr>
                      <w:rFonts w:eastAsia="仿宋_GB2312"/>
                    </w:rPr>
                  </w:pPr>
                  <w:r>
                    <w:rPr>
                      <w:rFonts w:hint="eastAsia" w:eastAsia="仿宋_GB2312"/>
                    </w:rPr>
                    <w:t>pH（无量纲）</w:t>
                  </w:r>
                </w:p>
              </w:tc>
              <w:tc>
                <w:tcPr>
                  <w:tcW w:w="735" w:type="pct"/>
                  <w:tcBorders>
                    <w:tl2br w:val="nil"/>
                    <w:tr2bl w:val="nil"/>
                  </w:tcBorders>
                  <w:noWrap/>
                  <w:vAlign w:val="center"/>
                </w:tcPr>
                <w:p w14:paraId="3BCB9AA3">
                  <w:pPr>
                    <w:pStyle w:val="17"/>
                    <w:numPr>
                      <w:ilvl w:val="0"/>
                      <w:numId w:val="0"/>
                    </w:numPr>
                    <w:tabs>
                      <w:tab w:val="clear" w:pos="2040"/>
                    </w:tabs>
                    <w:jc w:val="center"/>
                    <w:rPr>
                      <w:rFonts w:eastAsia="仿宋_GB2312"/>
                    </w:rPr>
                  </w:pPr>
                  <w:r>
                    <w:rPr>
                      <w:rFonts w:hint="eastAsia" w:eastAsia="仿宋_GB2312"/>
                    </w:rPr>
                    <w:t>7.4</w:t>
                  </w:r>
                </w:p>
              </w:tc>
              <w:tc>
                <w:tcPr>
                  <w:tcW w:w="735" w:type="pct"/>
                  <w:tcBorders>
                    <w:tl2br w:val="nil"/>
                    <w:tr2bl w:val="nil"/>
                  </w:tcBorders>
                  <w:noWrap/>
                  <w:vAlign w:val="center"/>
                </w:tcPr>
                <w:p w14:paraId="03C6DC64">
                  <w:pPr>
                    <w:pStyle w:val="17"/>
                    <w:numPr>
                      <w:ilvl w:val="0"/>
                      <w:numId w:val="0"/>
                    </w:numPr>
                    <w:tabs>
                      <w:tab w:val="clear" w:pos="2040"/>
                    </w:tabs>
                    <w:jc w:val="center"/>
                    <w:rPr>
                      <w:rFonts w:eastAsia="仿宋_GB2312"/>
                    </w:rPr>
                  </w:pPr>
                  <w:r>
                    <w:rPr>
                      <w:rFonts w:hint="eastAsia" w:eastAsia="仿宋_GB2312"/>
                    </w:rPr>
                    <w:t>6~9</w:t>
                  </w:r>
                </w:p>
              </w:tc>
            </w:tr>
            <w:tr w14:paraId="4A9781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9" w:type="pct"/>
                  <w:vMerge w:val="continue"/>
                  <w:tcBorders>
                    <w:tl2br w:val="nil"/>
                    <w:tr2bl w:val="nil"/>
                  </w:tcBorders>
                  <w:noWrap/>
                  <w:vAlign w:val="center"/>
                </w:tcPr>
                <w:p w14:paraId="04CA6A77">
                  <w:pPr>
                    <w:pStyle w:val="17"/>
                    <w:numPr>
                      <w:ilvl w:val="0"/>
                      <w:numId w:val="0"/>
                    </w:numPr>
                    <w:tabs>
                      <w:tab w:val="clear" w:pos="2040"/>
                    </w:tabs>
                    <w:jc w:val="center"/>
                    <w:rPr>
                      <w:rFonts w:eastAsia="仿宋_GB2312"/>
                    </w:rPr>
                  </w:pPr>
                </w:p>
              </w:tc>
              <w:tc>
                <w:tcPr>
                  <w:tcW w:w="1118" w:type="pct"/>
                  <w:vMerge w:val="continue"/>
                  <w:tcBorders>
                    <w:tl2br w:val="nil"/>
                    <w:tr2bl w:val="nil"/>
                  </w:tcBorders>
                  <w:noWrap/>
                  <w:vAlign w:val="center"/>
                </w:tcPr>
                <w:p w14:paraId="47C79FCA">
                  <w:pPr>
                    <w:pStyle w:val="17"/>
                    <w:numPr>
                      <w:ilvl w:val="0"/>
                      <w:numId w:val="0"/>
                    </w:numPr>
                    <w:tabs>
                      <w:tab w:val="clear" w:pos="2040"/>
                    </w:tabs>
                    <w:jc w:val="center"/>
                    <w:rPr>
                      <w:rFonts w:eastAsia="仿宋_GB2312"/>
                    </w:rPr>
                  </w:pPr>
                </w:p>
              </w:tc>
              <w:tc>
                <w:tcPr>
                  <w:tcW w:w="673" w:type="pct"/>
                  <w:vMerge w:val="continue"/>
                  <w:tcBorders>
                    <w:tl2br w:val="nil"/>
                    <w:tr2bl w:val="nil"/>
                  </w:tcBorders>
                  <w:noWrap/>
                  <w:vAlign w:val="center"/>
                </w:tcPr>
                <w:p w14:paraId="5AFD3C01">
                  <w:pPr>
                    <w:pStyle w:val="17"/>
                    <w:numPr>
                      <w:ilvl w:val="0"/>
                      <w:numId w:val="0"/>
                    </w:numPr>
                    <w:tabs>
                      <w:tab w:val="clear" w:pos="2040"/>
                    </w:tabs>
                    <w:jc w:val="center"/>
                    <w:rPr>
                      <w:rFonts w:eastAsia="仿宋_GB2312"/>
                    </w:rPr>
                  </w:pPr>
                </w:p>
              </w:tc>
              <w:tc>
                <w:tcPr>
                  <w:tcW w:w="1057" w:type="pct"/>
                  <w:tcBorders>
                    <w:tl2br w:val="nil"/>
                    <w:tr2bl w:val="nil"/>
                  </w:tcBorders>
                  <w:noWrap/>
                  <w:vAlign w:val="center"/>
                </w:tcPr>
                <w:p w14:paraId="1CDDD6ED">
                  <w:pPr>
                    <w:pStyle w:val="17"/>
                    <w:numPr>
                      <w:ilvl w:val="0"/>
                      <w:numId w:val="0"/>
                    </w:numPr>
                    <w:tabs>
                      <w:tab w:val="clear" w:pos="2040"/>
                    </w:tabs>
                    <w:jc w:val="center"/>
                    <w:rPr>
                      <w:rFonts w:eastAsia="仿宋_GB2312"/>
                    </w:rPr>
                  </w:pPr>
                  <w:r>
                    <w:rPr>
                      <w:rFonts w:hint="eastAsia" w:eastAsia="仿宋_GB2312"/>
                    </w:rPr>
                    <w:t>五日生化需氧量</w:t>
                  </w:r>
                </w:p>
              </w:tc>
              <w:tc>
                <w:tcPr>
                  <w:tcW w:w="735" w:type="pct"/>
                  <w:tcBorders>
                    <w:tl2br w:val="nil"/>
                    <w:tr2bl w:val="nil"/>
                  </w:tcBorders>
                  <w:noWrap/>
                  <w:vAlign w:val="center"/>
                </w:tcPr>
                <w:p w14:paraId="548B391E">
                  <w:pPr>
                    <w:pStyle w:val="17"/>
                    <w:numPr>
                      <w:ilvl w:val="0"/>
                      <w:numId w:val="0"/>
                    </w:numPr>
                    <w:tabs>
                      <w:tab w:val="clear" w:pos="2040"/>
                    </w:tabs>
                    <w:jc w:val="center"/>
                    <w:rPr>
                      <w:rFonts w:eastAsia="仿宋_GB2312"/>
                    </w:rPr>
                  </w:pPr>
                  <w:r>
                    <w:rPr>
                      <w:rFonts w:hint="eastAsia" w:eastAsia="仿宋_GB2312"/>
                    </w:rPr>
                    <w:t>11.0</w:t>
                  </w:r>
                </w:p>
              </w:tc>
              <w:tc>
                <w:tcPr>
                  <w:tcW w:w="735" w:type="pct"/>
                  <w:tcBorders>
                    <w:tl2br w:val="nil"/>
                    <w:tr2bl w:val="nil"/>
                  </w:tcBorders>
                  <w:noWrap/>
                  <w:vAlign w:val="center"/>
                </w:tcPr>
                <w:p w14:paraId="058D3DEC">
                  <w:pPr>
                    <w:pStyle w:val="17"/>
                    <w:numPr>
                      <w:ilvl w:val="0"/>
                      <w:numId w:val="0"/>
                    </w:numPr>
                    <w:tabs>
                      <w:tab w:val="clear" w:pos="2040"/>
                    </w:tabs>
                    <w:jc w:val="center"/>
                    <w:rPr>
                      <w:rFonts w:eastAsia="仿宋_GB2312"/>
                    </w:rPr>
                  </w:pPr>
                  <w:r>
                    <w:rPr>
                      <w:rFonts w:hint="eastAsia" w:eastAsia="仿宋_GB2312"/>
                    </w:rPr>
                    <w:t>350</w:t>
                  </w:r>
                </w:p>
              </w:tc>
            </w:tr>
            <w:tr w14:paraId="2D2378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9" w:type="pct"/>
                  <w:vMerge w:val="continue"/>
                  <w:tcBorders>
                    <w:tl2br w:val="nil"/>
                    <w:tr2bl w:val="nil"/>
                  </w:tcBorders>
                  <w:noWrap/>
                  <w:vAlign w:val="center"/>
                </w:tcPr>
                <w:p w14:paraId="2D84814B">
                  <w:pPr>
                    <w:pStyle w:val="17"/>
                    <w:numPr>
                      <w:ilvl w:val="0"/>
                      <w:numId w:val="0"/>
                    </w:numPr>
                    <w:tabs>
                      <w:tab w:val="clear" w:pos="2040"/>
                    </w:tabs>
                    <w:jc w:val="center"/>
                    <w:rPr>
                      <w:rFonts w:eastAsia="仿宋_GB2312"/>
                    </w:rPr>
                  </w:pPr>
                </w:p>
              </w:tc>
              <w:tc>
                <w:tcPr>
                  <w:tcW w:w="1118" w:type="pct"/>
                  <w:vMerge w:val="continue"/>
                  <w:tcBorders>
                    <w:tl2br w:val="nil"/>
                    <w:tr2bl w:val="nil"/>
                  </w:tcBorders>
                  <w:noWrap/>
                  <w:vAlign w:val="center"/>
                </w:tcPr>
                <w:p w14:paraId="2D0D0F51">
                  <w:pPr>
                    <w:pStyle w:val="17"/>
                    <w:numPr>
                      <w:ilvl w:val="0"/>
                      <w:numId w:val="0"/>
                    </w:numPr>
                    <w:tabs>
                      <w:tab w:val="clear" w:pos="2040"/>
                    </w:tabs>
                    <w:jc w:val="center"/>
                    <w:rPr>
                      <w:rFonts w:eastAsia="仿宋_GB2312"/>
                    </w:rPr>
                  </w:pPr>
                </w:p>
              </w:tc>
              <w:tc>
                <w:tcPr>
                  <w:tcW w:w="673" w:type="pct"/>
                  <w:vMerge w:val="continue"/>
                  <w:tcBorders>
                    <w:tl2br w:val="nil"/>
                    <w:tr2bl w:val="nil"/>
                  </w:tcBorders>
                  <w:noWrap/>
                  <w:vAlign w:val="center"/>
                </w:tcPr>
                <w:p w14:paraId="65C0B1EC">
                  <w:pPr>
                    <w:pStyle w:val="17"/>
                    <w:numPr>
                      <w:ilvl w:val="0"/>
                      <w:numId w:val="0"/>
                    </w:numPr>
                    <w:tabs>
                      <w:tab w:val="clear" w:pos="2040"/>
                    </w:tabs>
                    <w:jc w:val="center"/>
                    <w:rPr>
                      <w:rFonts w:eastAsia="仿宋_GB2312"/>
                    </w:rPr>
                  </w:pPr>
                </w:p>
              </w:tc>
              <w:tc>
                <w:tcPr>
                  <w:tcW w:w="1057" w:type="pct"/>
                  <w:tcBorders>
                    <w:tl2br w:val="nil"/>
                    <w:tr2bl w:val="nil"/>
                  </w:tcBorders>
                  <w:noWrap/>
                  <w:vAlign w:val="center"/>
                </w:tcPr>
                <w:p w14:paraId="37FA4F31">
                  <w:pPr>
                    <w:pStyle w:val="17"/>
                    <w:numPr>
                      <w:ilvl w:val="0"/>
                      <w:numId w:val="0"/>
                    </w:numPr>
                    <w:tabs>
                      <w:tab w:val="clear" w:pos="2040"/>
                    </w:tabs>
                    <w:jc w:val="center"/>
                    <w:rPr>
                      <w:rFonts w:eastAsia="仿宋_GB2312"/>
                    </w:rPr>
                  </w:pPr>
                  <w:r>
                    <w:rPr>
                      <w:rFonts w:hint="eastAsia" w:eastAsia="仿宋_GB2312"/>
                    </w:rPr>
                    <w:t>氯离子</w:t>
                  </w:r>
                </w:p>
              </w:tc>
              <w:tc>
                <w:tcPr>
                  <w:tcW w:w="735" w:type="pct"/>
                  <w:tcBorders>
                    <w:tl2br w:val="nil"/>
                    <w:tr2bl w:val="nil"/>
                  </w:tcBorders>
                  <w:noWrap/>
                  <w:vAlign w:val="center"/>
                </w:tcPr>
                <w:p w14:paraId="62BA1D04">
                  <w:pPr>
                    <w:pStyle w:val="17"/>
                    <w:numPr>
                      <w:ilvl w:val="0"/>
                      <w:numId w:val="0"/>
                    </w:numPr>
                    <w:tabs>
                      <w:tab w:val="clear" w:pos="2040"/>
                    </w:tabs>
                    <w:jc w:val="center"/>
                    <w:rPr>
                      <w:rFonts w:eastAsia="仿宋_GB2312"/>
                    </w:rPr>
                  </w:pPr>
                  <w:r>
                    <w:rPr>
                      <w:rFonts w:hint="eastAsia" w:eastAsia="仿宋_GB2312"/>
                    </w:rPr>
                    <w:t>161</w:t>
                  </w:r>
                </w:p>
              </w:tc>
              <w:tc>
                <w:tcPr>
                  <w:tcW w:w="735" w:type="pct"/>
                  <w:tcBorders>
                    <w:tl2br w:val="nil"/>
                    <w:tr2bl w:val="nil"/>
                  </w:tcBorders>
                  <w:noWrap/>
                  <w:vAlign w:val="center"/>
                </w:tcPr>
                <w:p w14:paraId="020458A0">
                  <w:pPr>
                    <w:pStyle w:val="17"/>
                    <w:numPr>
                      <w:ilvl w:val="0"/>
                      <w:numId w:val="0"/>
                    </w:numPr>
                    <w:tabs>
                      <w:tab w:val="clear" w:pos="2040"/>
                    </w:tabs>
                    <w:jc w:val="center"/>
                    <w:rPr>
                      <w:rFonts w:eastAsia="仿宋_GB2312"/>
                    </w:rPr>
                  </w:pPr>
                  <w:r>
                    <w:rPr>
                      <w:rFonts w:hint="eastAsia" w:eastAsia="仿宋_GB2312"/>
                    </w:rPr>
                    <w:t>/</w:t>
                  </w:r>
                </w:p>
              </w:tc>
            </w:tr>
          </w:tbl>
          <w:p w14:paraId="55278CFC">
            <w:pPr>
              <w:adjustRightInd w:val="0"/>
              <w:snapToGrid w:val="0"/>
              <w:spacing w:line="360" w:lineRule="auto"/>
              <w:ind w:firstLine="420" w:firstLineChars="200"/>
              <w:rPr>
                <w:rFonts w:eastAsia="仿宋_GB2312"/>
                <w:snapToGrid w:val="0"/>
                <w:szCs w:val="24"/>
              </w:rPr>
            </w:pPr>
            <w:r>
              <w:rPr>
                <w:rFonts w:eastAsia="仿宋_GB2312"/>
                <w:snapToGrid w:val="0"/>
                <w:szCs w:val="24"/>
              </w:rPr>
              <w:t>由上表可知，</w:t>
            </w:r>
            <w:r>
              <w:rPr>
                <w:rFonts w:hint="eastAsia" w:eastAsia="仿宋_GB2312"/>
                <w:snapToGrid w:val="0"/>
                <w:szCs w:val="24"/>
              </w:rPr>
              <w:t>原有项目</w:t>
            </w:r>
            <w:r>
              <w:rPr>
                <w:rFonts w:eastAsia="仿宋_GB2312"/>
                <w:snapToGrid w:val="0"/>
                <w:szCs w:val="24"/>
              </w:rPr>
              <w:t>排放废水水质能达到金坛市</w:t>
            </w:r>
            <w:r>
              <w:rPr>
                <w:rFonts w:hint="eastAsia" w:eastAsia="仿宋_GB2312"/>
                <w:snapToGrid w:val="0"/>
                <w:szCs w:val="24"/>
              </w:rPr>
              <w:t>第二</w:t>
            </w:r>
            <w:r>
              <w:rPr>
                <w:rFonts w:eastAsia="仿宋_GB2312"/>
                <w:snapToGrid w:val="0"/>
                <w:szCs w:val="24"/>
              </w:rPr>
              <w:t>污水处理厂接管标准。</w:t>
            </w:r>
          </w:p>
          <w:p w14:paraId="5BDD05C7">
            <w:pPr>
              <w:adjustRightInd w:val="0"/>
              <w:snapToGrid w:val="0"/>
              <w:spacing w:line="360" w:lineRule="auto"/>
              <w:ind w:firstLine="420" w:firstLineChars="200"/>
              <w:rPr>
                <w:rFonts w:eastAsia="仿宋_GB2312"/>
                <w:snapToGrid w:val="0"/>
                <w:szCs w:val="24"/>
              </w:rPr>
            </w:pPr>
            <w:r>
              <w:rPr>
                <w:rFonts w:hint="eastAsia" w:eastAsia="仿宋_GB2312"/>
                <w:snapToGrid w:val="0"/>
                <w:szCs w:val="24"/>
              </w:rPr>
              <w:t>（3）噪声</w:t>
            </w:r>
          </w:p>
          <w:p w14:paraId="380CE0EE">
            <w:pPr>
              <w:adjustRightInd w:val="0"/>
              <w:snapToGrid w:val="0"/>
              <w:spacing w:line="360" w:lineRule="auto"/>
              <w:ind w:firstLine="420" w:firstLineChars="200"/>
              <w:rPr>
                <w:rFonts w:eastAsia="仿宋_GB2312"/>
                <w:snapToGrid w:val="0"/>
                <w:szCs w:val="24"/>
              </w:rPr>
            </w:pPr>
            <w:r>
              <w:rPr>
                <w:rFonts w:hint="eastAsia" w:eastAsia="仿宋_GB2312"/>
                <w:snapToGrid w:val="0"/>
                <w:szCs w:val="24"/>
              </w:rPr>
              <w:t>原有</w:t>
            </w:r>
            <w:r>
              <w:rPr>
                <w:rFonts w:eastAsia="仿宋_GB2312"/>
                <w:snapToGrid w:val="0"/>
                <w:szCs w:val="24"/>
              </w:rPr>
              <w:t>项目主要噪声源来自各类生产设备及配套设备运行时产生的噪声，主要集中在生产区域</w:t>
            </w:r>
            <w:r>
              <w:rPr>
                <w:rFonts w:hint="eastAsia" w:eastAsia="仿宋_GB2312"/>
                <w:snapToGrid w:val="0"/>
                <w:szCs w:val="24"/>
              </w:rPr>
              <w:t>，</w:t>
            </w:r>
            <w:r>
              <w:rPr>
                <w:rFonts w:eastAsia="仿宋_GB2312"/>
                <w:snapToGrid w:val="0"/>
                <w:szCs w:val="24"/>
              </w:rPr>
              <w:t>采取的噪声防治措施主要为：生产设备采取合理布局、隔声减震、距离衰减等措施达标排放。根据例行检测，厂界噪声排放情况见表2</w:t>
            </w:r>
            <w:r>
              <w:rPr>
                <w:rFonts w:hint="eastAsia" w:eastAsia="仿宋_GB2312"/>
                <w:snapToGrid w:val="0"/>
                <w:szCs w:val="24"/>
              </w:rPr>
              <w:t>-1</w:t>
            </w:r>
            <w:r>
              <w:rPr>
                <w:rFonts w:hint="eastAsia" w:eastAsia="仿宋_GB2312"/>
                <w:snapToGrid w:val="0"/>
                <w:szCs w:val="24"/>
                <w:lang w:val="en-US" w:eastAsia="zh-CN"/>
              </w:rPr>
              <w:t>8</w:t>
            </w:r>
            <w:r>
              <w:rPr>
                <w:rFonts w:eastAsia="仿宋_GB2312"/>
                <w:snapToGrid w:val="0"/>
                <w:szCs w:val="24"/>
              </w:rPr>
              <w:t>。</w:t>
            </w:r>
          </w:p>
          <w:p w14:paraId="5BFA046F">
            <w:pPr>
              <w:pStyle w:val="17"/>
              <w:numPr>
                <w:ilvl w:val="0"/>
                <w:numId w:val="0"/>
              </w:numPr>
              <w:tabs>
                <w:tab w:val="clear" w:pos="2040"/>
              </w:tabs>
              <w:spacing w:line="360" w:lineRule="auto"/>
              <w:jc w:val="center"/>
              <w:rPr>
                <w:rFonts w:eastAsia="仿宋_GB2312"/>
                <w:b/>
                <w:bCs/>
                <w:snapToGrid w:val="0"/>
                <w:kern w:val="0"/>
              </w:rPr>
            </w:pPr>
            <w:r>
              <w:rPr>
                <w:rFonts w:eastAsia="仿宋_GB2312"/>
                <w:b/>
                <w:bCs/>
                <w:snapToGrid w:val="0"/>
                <w:kern w:val="0"/>
              </w:rPr>
              <w:t>表2</w:t>
            </w:r>
            <w:r>
              <w:rPr>
                <w:rFonts w:hint="eastAsia" w:eastAsia="仿宋_GB2312"/>
                <w:b/>
                <w:bCs/>
                <w:snapToGrid w:val="0"/>
                <w:kern w:val="0"/>
              </w:rPr>
              <w:t>-1</w:t>
            </w:r>
            <w:r>
              <w:rPr>
                <w:rFonts w:hint="eastAsia" w:eastAsia="仿宋_GB2312"/>
                <w:b/>
                <w:bCs/>
                <w:snapToGrid w:val="0"/>
                <w:kern w:val="0"/>
                <w:lang w:val="en-US" w:eastAsia="zh-CN"/>
              </w:rPr>
              <w:t>8</w:t>
            </w:r>
            <w:r>
              <w:rPr>
                <w:rFonts w:hint="eastAsia" w:eastAsia="仿宋_GB2312"/>
                <w:b/>
                <w:bCs/>
                <w:snapToGrid w:val="0"/>
                <w:kern w:val="0"/>
              </w:rPr>
              <w:t xml:space="preserve"> </w:t>
            </w:r>
            <w:r>
              <w:rPr>
                <w:rFonts w:hint="eastAsia" w:eastAsia="仿宋_GB2312"/>
                <w:b/>
                <w:bCs/>
                <w:snapToGrid w:val="0"/>
                <w:kern w:val="0"/>
                <w:lang w:val="en-US" w:eastAsia="zh-CN"/>
              </w:rPr>
              <w:t xml:space="preserve"> </w:t>
            </w:r>
            <w:r>
              <w:rPr>
                <w:rFonts w:hint="eastAsia" w:eastAsia="仿宋_GB2312"/>
                <w:b/>
                <w:bCs/>
                <w:snapToGrid w:val="0"/>
                <w:kern w:val="0"/>
              </w:rPr>
              <w:t>现有项目</w:t>
            </w:r>
            <w:r>
              <w:rPr>
                <w:rFonts w:eastAsia="仿宋_GB2312"/>
                <w:b/>
                <w:bCs/>
                <w:snapToGrid w:val="0"/>
                <w:kern w:val="0"/>
              </w:rPr>
              <w:t>厂界噪声排放情况</w:t>
            </w:r>
          </w:p>
          <w:tbl>
            <w:tblPr>
              <w:tblStyle w:val="32"/>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96"/>
              <w:gridCol w:w="3093"/>
              <w:gridCol w:w="896"/>
              <w:gridCol w:w="927"/>
              <w:gridCol w:w="850"/>
              <w:gridCol w:w="1799"/>
            </w:tblGrid>
            <w:tr w14:paraId="73551A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805" w:type="pct"/>
                  <w:vMerge w:val="restart"/>
                  <w:tcBorders>
                    <w:tl2br w:val="nil"/>
                    <w:tr2bl w:val="nil"/>
                  </w:tcBorders>
                  <w:noWrap/>
                  <w:vAlign w:val="center"/>
                </w:tcPr>
                <w:p w14:paraId="72CB65C3">
                  <w:pPr>
                    <w:pStyle w:val="17"/>
                    <w:numPr>
                      <w:ilvl w:val="0"/>
                      <w:numId w:val="0"/>
                    </w:numPr>
                    <w:tabs>
                      <w:tab w:val="clear" w:pos="2040"/>
                    </w:tabs>
                    <w:jc w:val="center"/>
                    <w:rPr>
                      <w:rFonts w:eastAsia="仿宋_GB2312"/>
                      <w:b/>
                      <w:bCs/>
                    </w:rPr>
                  </w:pPr>
                  <w:r>
                    <w:rPr>
                      <w:rFonts w:eastAsia="仿宋_GB2312"/>
                      <w:b/>
                      <w:bCs/>
                    </w:rPr>
                    <w:t>检测日期</w:t>
                  </w:r>
                </w:p>
              </w:tc>
              <w:tc>
                <w:tcPr>
                  <w:tcW w:w="991" w:type="pct"/>
                  <w:vMerge w:val="restart"/>
                  <w:tcBorders>
                    <w:tl2br w:val="nil"/>
                    <w:tr2bl w:val="nil"/>
                  </w:tcBorders>
                  <w:noWrap/>
                  <w:vAlign w:val="center"/>
                </w:tcPr>
                <w:p w14:paraId="39C695D4">
                  <w:pPr>
                    <w:pStyle w:val="17"/>
                    <w:numPr>
                      <w:ilvl w:val="0"/>
                      <w:numId w:val="0"/>
                    </w:numPr>
                    <w:tabs>
                      <w:tab w:val="clear" w:pos="2040"/>
                    </w:tabs>
                    <w:jc w:val="center"/>
                    <w:rPr>
                      <w:rFonts w:eastAsia="仿宋_GB2312"/>
                      <w:b/>
                      <w:bCs/>
                    </w:rPr>
                  </w:pPr>
                  <w:r>
                    <w:rPr>
                      <w:rFonts w:eastAsia="仿宋_GB2312"/>
                      <w:b/>
                      <w:bCs/>
                    </w:rPr>
                    <w:t>检测单位</w:t>
                  </w:r>
                </w:p>
              </w:tc>
              <w:tc>
                <w:tcPr>
                  <w:tcW w:w="778" w:type="pct"/>
                  <w:vMerge w:val="restart"/>
                  <w:tcBorders>
                    <w:tl2br w:val="nil"/>
                    <w:tr2bl w:val="nil"/>
                  </w:tcBorders>
                  <w:noWrap/>
                  <w:vAlign w:val="center"/>
                </w:tcPr>
                <w:p w14:paraId="15DCEF69">
                  <w:pPr>
                    <w:pStyle w:val="17"/>
                    <w:numPr>
                      <w:ilvl w:val="0"/>
                      <w:numId w:val="0"/>
                    </w:numPr>
                    <w:tabs>
                      <w:tab w:val="clear" w:pos="2040"/>
                    </w:tabs>
                    <w:jc w:val="center"/>
                    <w:rPr>
                      <w:rFonts w:eastAsia="仿宋_GB2312"/>
                      <w:b/>
                      <w:bCs/>
                    </w:rPr>
                  </w:pPr>
                  <w:r>
                    <w:rPr>
                      <w:rFonts w:eastAsia="仿宋_GB2312"/>
                      <w:b/>
                      <w:bCs/>
                    </w:rPr>
                    <w:t>检测点位</w:t>
                  </w:r>
                </w:p>
              </w:tc>
              <w:tc>
                <w:tcPr>
                  <w:tcW w:w="1642" w:type="pct"/>
                  <w:gridSpan w:val="2"/>
                  <w:tcBorders>
                    <w:tl2br w:val="nil"/>
                    <w:tr2bl w:val="nil"/>
                  </w:tcBorders>
                  <w:noWrap/>
                  <w:vAlign w:val="center"/>
                </w:tcPr>
                <w:p w14:paraId="0B70143A">
                  <w:pPr>
                    <w:pStyle w:val="17"/>
                    <w:numPr>
                      <w:ilvl w:val="0"/>
                      <w:numId w:val="0"/>
                    </w:numPr>
                    <w:tabs>
                      <w:tab w:val="clear" w:pos="2040"/>
                    </w:tabs>
                    <w:jc w:val="center"/>
                    <w:rPr>
                      <w:rFonts w:eastAsia="仿宋_GB2312"/>
                      <w:b/>
                      <w:bCs/>
                    </w:rPr>
                  </w:pPr>
                  <w:r>
                    <w:rPr>
                      <w:rFonts w:eastAsia="仿宋_GB2312"/>
                      <w:b/>
                      <w:bCs/>
                    </w:rPr>
                    <w:t>检测值（dB（A））</w:t>
                  </w:r>
                </w:p>
              </w:tc>
              <w:tc>
                <w:tcPr>
                  <w:tcW w:w="782" w:type="pct"/>
                  <w:vMerge w:val="restart"/>
                  <w:tcBorders>
                    <w:tl2br w:val="nil"/>
                    <w:tr2bl w:val="nil"/>
                  </w:tcBorders>
                  <w:noWrap/>
                  <w:vAlign w:val="center"/>
                </w:tcPr>
                <w:p w14:paraId="3D22DE37">
                  <w:pPr>
                    <w:pStyle w:val="17"/>
                    <w:numPr>
                      <w:ilvl w:val="0"/>
                      <w:numId w:val="0"/>
                    </w:numPr>
                    <w:tabs>
                      <w:tab w:val="clear" w:pos="2040"/>
                    </w:tabs>
                    <w:jc w:val="center"/>
                    <w:rPr>
                      <w:rFonts w:eastAsia="仿宋_GB2312"/>
                      <w:b/>
                      <w:bCs/>
                    </w:rPr>
                  </w:pPr>
                  <w:r>
                    <w:rPr>
                      <w:rFonts w:eastAsia="仿宋_GB2312"/>
                      <w:b/>
                      <w:bCs/>
                    </w:rPr>
                    <w:t>标准值</w:t>
                  </w:r>
                </w:p>
                <w:p w14:paraId="686E6C9A">
                  <w:pPr>
                    <w:pStyle w:val="17"/>
                    <w:numPr>
                      <w:ilvl w:val="0"/>
                      <w:numId w:val="0"/>
                    </w:numPr>
                    <w:tabs>
                      <w:tab w:val="clear" w:pos="2040"/>
                    </w:tabs>
                    <w:jc w:val="center"/>
                    <w:rPr>
                      <w:rFonts w:eastAsia="仿宋_GB2312"/>
                      <w:b/>
                      <w:bCs/>
                    </w:rPr>
                  </w:pPr>
                  <w:r>
                    <w:rPr>
                      <w:rFonts w:eastAsia="仿宋_GB2312"/>
                      <w:b/>
                      <w:bCs/>
                    </w:rPr>
                    <w:t>（dB（A））</w:t>
                  </w:r>
                </w:p>
              </w:tc>
            </w:tr>
            <w:tr w14:paraId="0EFFAC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805" w:type="pct"/>
                  <w:vMerge w:val="continue"/>
                  <w:tcBorders>
                    <w:tl2br w:val="nil"/>
                    <w:tr2bl w:val="nil"/>
                  </w:tcBorders>
                  <w:noWrap/>
                  <w:vAlign w:val="center"/>
                </w:tcPr>
                <w:p w14:paraId="328CDD80">
                  <w:pPr>
                    <w:pStyle w:val="17"/>
                    <w:numPr>
                      <w:ilvl w:val="0"/>
                      <w:numId w:val="0"/>
                    </w:numPr>
                    <w:tabs>
                      <w:tab w:val="clear" w:pos="2040"/>
                    </w:tabs>
                    <w:jc w:val="center"/>
                    <w:rPr>
                      <w:rFonts w:eastAsia="仿宋_GB2312"/>
                      <w:b/>
                      <w:bCs/>
                    </w:rPr>
                  </w:pPr>
                </w:p>
              </w:tc>
              <w:tc>
                <w:tcPr>
                  <w:tcW w:w="991" w:type="pct"/>
                  <w:vMerge w:val="continue"/>
                  <w:tcBorders>
                    <w:tl2br w:val="nil"/>
                    <w:tr2bl w:val="nil"/>
                  </w:tcBorders>
                  <w:noWrap/>
                  <w:vAlign w:val="center"/>
                </w:tcPr>
                <w:p w14:paraId="54568872">
                  <w:pPr>
                    <w:pStyle w:val="17"/>
                    <w:numPr>
                      <w:ilvl w:val="0"/>
                      <w:numId w:val="0"/>
                    </w:numPr>
                    <w:tabs>
                      <w:tab w:val="clear" w:pos="2040"/>
                    </w:tabs>
                    <w:jc w:val="center"/>
                    <w:rPr>
                      <w:rFonts w:eastAsia="仿宋_GB2312"/>
                      <w:b/>
                      <w:bCs/>
                    </w:rPr>
                  </w:pPr>
                </w:p>
              </w:tc>
              <w:tc>
                <w:tcPr>
                  <w:tcW w:w="778" w:type="pct"/>
                  <w:vMerge w:val="continue"/>
                  <w:tcBorders>
                    <w:tl2br w:val="nil"/>
                    <w:tr2bl w:val="nil"/>
                  </w:tcBorders>
                  <w:noWrap/>
                  <w:vAlign w:val="center"/>
                </w:tcPr>
                <w:p w14:paraId="5D34E4E3">
                  <w:pPr>
                    <w:pStyle w:val="17"/>
                    <w:numPr>
                      <w:ilvl w:val="0"/>
                      <w:numId w:val="0"/>
                    </w:numPr>
                    <w:tabs>
                      <w:tab w:val="clear" w:pos="2040"/>
                    </w:tabs>
                    <w:jc w:val="center"/>
                    <w:rPr>
                      <w:rFonts w:eastAsia="仿宋_GB2312"/>
                      <w:b/>
                      <w:bCs/>
                    </w:rPr>
                  </w:pPr>
                </w:p>
              </w:tc>
              <w:tc>
                <w:tcPr>
                  <w:tcW w:w="858" w:type="pct"/>
                  <w:tcBorders>
                    <w:right w:val="single" w:color="auto" w:sz="4" w:space="0"/>
                    <w:tl2br w:val="nil"/>
                    <w:tr2bl w:val="nil"/>
                  </w:tcBorders>
                  <w:noWrap/>
                  <w:vAlign w:val="center"/>
                </w:tcPr>
                <w:p w14:paraId="6CF5B622">
                  <w:pPr>
                    <w:pStyle w:val="17"/>
                    <w:numPr>
                      <w:ilvl w:val="0"/>
                      <w:numId w:val="0"/>
                    </w:numPr>
                    <w:tabs>
                      <w:tab w:val="clear" w:pos="2040"/>
                    </w:tabs>
                    <w:jc w:val="center"/>
                    <w:rPr>
                      <w:rFonts w:eastAsia="仿宋_GB2312"/>
                      <w:b/>
                      <w:bCs/>
                    </w:rPr>
                  </w:pPr>
                  <w:r>
                    <w:rPr>
                      <w:rFonts w:eastAsia="仿宋_GB2312"/>
                      <w:b/>
                      <w:bCs/>
                    </w:rPr>
                    <w:t>昼间</w:t>
                  </w:r>
                </w:p>
              </w:tc>
              <w:tc>
                <w:tcPr>
                  <w:tcW w:w="784" w:type="pct"/>
                  <w:tcBorders>
                    <w:tl2br w:val="nil"/>
                    <w:tr2bl w:val="nil"/>
                  </w:tcBorders>
                  <w:noWrap/>
                  <w:vAlign w:val="center"/>
                </w:tcPr>
                <w:p w14:paraId="4D3EFBE6">
                  <w:pPr>
                    <w:pStyle w:val="17"/>
                    <w:numPr>
                      <w:ilvl w:val="0"/>
                      <w:numId w:val="0"/>
                    </w:numPr>
                    <w:tabs>
                      <w:tab w:val="clear" w:pos="2040"/>
                    </w:tabs>
                    <w:jc w:val="center"/>
                    <w:rPr>
                      <w:rFonts w:eastAsia="仿宋_GB2312"/>
                      <w:b/>
                      <w:bCs/>
                    </w:rPr>
                  </w:pPr>
                  <w:r>
                    <w:rPr>
                      <w:rFonts w:hint="eastAsia" w:eastAsia="仿宋_GB2312"/>
                      <w:b/>
                      <w:bCs/>
                    </w:rPr>
                    <w:t>夜间</w:t>
                  </w:r>
                </w:p>
              </w:tc>
              <w:tc>
                <w:tcPr>
                  <w:tcW w:w="782" w:type="pct"/>
                  <w:vMerge w:val="continue"/>
                  <w:tcBorders>
                    <w:tl2br w:val="nil"/>
                    <w:tr2bl w:val="nil"/>
                  </w:tcBorders>
                  <w:noWrap/>
                  <w:vAlign w:val="center"/>
                </w:tcPr>
                <w:p w14:paraId="4A3AEA26">
                  <w:pPr>
                    <w:pStyle w:val="17"/>
                    <w:tabs>
                      <w:tab w:val="clear" w:pos="2040"/>
                    </w:tabs>
                    <w:ind w:left="0"/>
                    <w:jc w:val="center"/>
                  </w:pPr>
                </w:p>
              </w:tc>
            </w:tr>
            <w:tr w14:paraId="5EE0CA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5" w:type="pct"/>
                  <w:vMerge w:val="restart"/>
                  <w:tcBorders>
                    <w:tl2br w:val="nil"/>
                    <w:tr2bl w:val="nil"/>
                  </w:tcBorders>
                  <w:noWrap/>
                  <w:vAlign w:val="center"/>
                </w:tcPr>
                <w:p w14:paraId="73C621BB">
                  <w:pPr>
                    <w:jc w:val="center"/>
                  </w:pPr>
                  <w:r>
                    <w:rPr>
                      <w:rFonts w:eastAsia="仿宋_GB2312"/>
                    </w:rPr>
                    <w:t>202</w:t>
                  </w:r>
                  <w:r>
                    <w:rPr>
                      <w:rFonts w:hint="eastAsia" w:eastAsia="仿宋_GB2312"/>
                    </w:rPr>
                    <w:t>5</w:t>
                  </w:r>
                  <w:r>
                    <w:rPr>
                      <w:rFonts w:eastAsia="仿宋_GB2312"/>
                    </w:rPr>
                    <w:t>.</w:t>
                  </w:r>
                  <w:r>
                    <w:rPr>
                      <w:rFonts w:hint="eastAsia" w:eastAsia="仿宋_GB2312"/>
                    </w:rPr>
                    <w:t>3</w:t>
                  </w:r>
                  <w:r>
                    <w:rPr>
                      <w:rFonts w:eastAsia="仿宋_GB2312"/>
                    </w:rPr>
                    <w:t>.</w:t>
                  </w:r>
                  <w:r>
                    <w:rPr>
                      <w:rFonts w:hint="eastAsia" w:eastAsia="仿宋_GB2312"/>
                    </w:rPr>
                    <w:t>26</w:t>
                  </w:r>
                </w:p>
              </w:tc>
              <w:tc>
                <w:tcPr>
                  <w:tcW w:w="991" w:type="pct"/>
                  <w:vMerge w:val="restart"/>
                  <w:tcBorders>
                    <w:tl2br w:val="nil"/>
                    <w:tr2bl w:val="nil"/>
                  </w:tcBorders>
                  <w:noWrap/>
                  <w:vAlign w:val="center"/>
                </w:tcPr>
                <w:p w14:paraId="5B274B74">
                  <w:pPr>
                    <w:pStyle w:val="17"/>
                    <w:numPr>
                      <w:ilvl w:val="0"/>
                      <w:numId w:val="0"/>
                    </w:numPr>
                    <w:tabs>
                      <w:tab w:val="clear" w:pos="2040"/>
                    </w:tabs>
                    <w:jc w:val="center"/>
                    <w:rPr>
                      <w:rFonts w:eastAsia="仿宋_GB2312"/>
                    </w:rPr>
                  </w:pPr>
                  <w:r>
                    <w:rPr>
                      <w:rFonts w:eastAsia="仿宋_GB2312"/>
                    </w:rPr>
                    <w:t>检测单位：</w:t>
                  </w:r>
                  <w:r>
                    <w:rPr>
                      <w:rFonts w:hint="eastAsia" w:eastAsia="仿宋_GB2312"/>
                    </w:rPr>
                    <w:t>苏州华实环境技术有限公司</w:t>
                  </w:r>
                </w:p>
                <w:p w14:paraId="2B3D6BD8">
                  <w:pPr>
                    <w:pStyle w:val="17"/>
                    <w:numPr>
                      <w:ilvl w:val="0"/>
                      <w:numId w:val="0"/>
                    </w:numPr>
                    <w:tabs>
                      <w:tab w:val="clear" w:pos="2040"/>
                    </w:tabs>
                    <w:jc w:val="left"/>
                  </w:pPr>
                  <w:r>
                    <w:rPr>
                      <w:rFonts w:eastAsia="仿宋_GB2312"/>
                    </w:rPr>
                    <w:t>报告编号：</w:t>
                  </w:r>
                  <w:r>
                    <w:rPr>
                      <w:rFonts w:hint="eastAsia" w:eastAsia="仿宋_GB2312"/>
                    </w:rPr>
                    <w:t>HS25182（综）</w:t>
                  </w:r>
                </w:p>
              </w:tc>
              <w:tc>
                <w:tcPr>
                  <w:tcW w:w="778" w:type="pct"/>
                  <w:tcBorders>
                    <w:tl2br w:val="nil"/>
                    <w:tr2bl w:val="nil"/>
                  </w:tcBorders>
                  <w:noWrap/>
                  <w:vAlign w:val="center"/>
                </w:tcPr>
                <w:p w14:paraId="0E93D105">
                  <w:pPr>
                    <w:pStyle w:val="17"/>
                    <w:numPr>
                      <w:ilvl w:val="0"/>
                      <w:numId w:val="0"/>
                    </w:numPr>
                    <w:tabs>
                      <w:tab w:val="clear" w:pos="2040"/>
                    </w:tabs>
                    <w:jc w:val="center"/>
                    <w:rPr>
                      <w:rFonts w:eastAsia="仿宋_GB2312"/>
                    </w:rPr>
                  </w:pPr>
                  <w:r>
                    <w:rPr>
                      <w:rFonts w:eastAsia="仿宋_GB2312"/>
                    </w:rPr>
                    <w:t>东厂界</w:t>
                  </w:r>
                </w:p>
              </w:tc>
              <w:tc>
                <w:tcPr>
                  <w:tcW w:w="858" w:type="pct"/>
                  <w:tcBorders>
                    <w:right w:val="single" w:color="auto" w:sz="4" w:space="0"/>
                    <w:tl2br w:val="nil"/>
                    <w:tr2bl w:val="nil"/>
                  </w:tcBorders>
                  <w:noWrap/>
                  <w:vAlign w:val="center"/>
                </w:tcPr>
                <w:p w14:paraId="6070F425">
                  <w:pPr>
                    <w:pStyle w:val="17"/>
                    <w:numPr>
                      <w:ilvl w:val="0"/>
                      <w:numId w:val="0"/>
                    </w:numPr>
                    <w:tabs>
                      <w:tab w:val="clear" w:pos="2040"/>
                    </w:tabs>
                    <w:jc w:val="center"/>
                    <w:rPr>
                      <w:rFonts w:eastAsia="仿宋_GB2312"/>
                    </w:rPr>
                  </w:pPr>
                  <w:r>
                    <w:rPr>
                      <w:rFonts w:hint="eastAsia" w:eastAsia="仿宋_GB2312"/>
                    </w:rPr>
                    <w:t>63</w:t>
                  </w:r>
                </w:p>
              </w:tc>
              <w:tc>
                <w:tcPr>
                  <w:tcW w:w="784" w:type="pct"/>
                  <w:tcBorders>
                    <w:tl2br w:val="nil"/>
                    <w:tr2bl w:val="nil"/>
                  </w:tcBorders>
                  <w:noWrap/>
                  <w:vAlign w:val="center"/>
                </w:tcPr>
                <w:p w14:paraId="32BC4115">
                  <w:pPr>
                    <w:jc w:val="center"/>
                    <w:rPr>
                      <w:rFonts w:eastAsia="仿宋_GB2312"/>
                    </w:rPr>
                  </w:pPr>
                  <w:r>
                    <w:rPr>
                      <w:rFonts w:hint="eastAsia" w:eastAsia="仿宋_GB2312"/>
                    </w:rPr>
                    <w:t>53</w:t>
                  </w:r>
                </w:p>
              </w:tc>
              <w:tc>
                <w:tcPr>
                  <w:tcW w:w="782" w:type="pct"/>
                  <w:vMerge w:val="restart"/>
                  <w:tcBorders>
                    <w:tl2br w:val="nil"/>
                    <w:tr2bl w:val="nil"/>
                  </w:tcBorders>
                  <w:noWrap/>
                  <w:vAlign w:val="center"/>
                </w:tcPr>
                <w:p w14:paraId="222AAAC8">
                  <w:pPr>
                    <w:pStyle w:val="17"/>
                    <w:numPr>
                      <w:ilvl w:val="0"/>
                      <w:numId w:val="0"/>
                    </w:numPr>
                    <w:tabs>
                      <w:tab w:val="clear" w:pos="2040"/>
                    </w:tabs>
                    <w:jc w:val="center"/>
                    <w:rPr>
                      <w:rFonts w:eastAsia="仿宋_GB2312"/>
                    </w:rPr>
                  </w:pPr>
                  <w:r>
                    <w:rPr>
                      <w:rFonts w:eastAsia="仿宋_GB2312"/>
                    </w:rPr>
                    <w:t>昼间：≤</w:t>
                  </w:r>
                  <w:r>
                    <w:rPr>
                      <w:rFonts w:hint="eastAsia" w:eastAsia="仿宋_GB2312"/>
                    </w:rPr>
                    <w:t>65夜</w:t>
                  </w:r>
                  <w:r>
                    <w:rPr>
                      <w:rFonts w:eastAsia="仿宋_GB2312"/>
                    </w:rPr>
                    <w:t>间：≤</w:t>
                  </w:r>
                  <w:r>
                    <w:rPr>
                      <w:rFonts w:hint="eastAsia" w:eastAsia="仿宋_GB2312"/>
                    </w:rPr>
                    <w:t>55</w:t>
                  </w:r>
                </w:p>
              </w:tc>
            </w:tr>
            <w:tr w14:paraId="2978B8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5" w:type="pct"/>
                  <w:vMerge w:val="continue"/>
                  <w:tcBorders>
                    <w:tl2br w:val="nil"/>
                    <w:tr2bl w:val="nil"/>
                  </w:tcBorders>
                  <w:noWrap/>
                  <w:vAlign w:val="center"/>
                </w:tcPr>
                <w:p w14:paraId="5BC15F65">
                  <w:pPr>
                    <w:pStyle w:val="17"/>
                    <w:numPr>
                      <w:ilvl w:val="0"/>
                      <w:numId w:val="0"/>
                    </w:numPr>
                    <w:tabs>
                      <w:tab w:val="clear" w:pos="2040"/>
                    </w:tabs>
                    <w:jc w:val="center"/>
                  </w:pPr>
                </w:p>
              </w:tc>
              <w:tc>
                <w:tcPr>
                  <w:tcW w:w="991" w:type="pct"/>
                  <w:vMerge w:val="continue"/>
                  <w:tcBorders>
                    <w:tl2br w:val="nil"/>
                    <w:tr2bl w:val="nil"/>
                  </w:tcBorders>
                  <w:noWrap/>
                  <w:vAlign w:val="center"/>
                </w:tcPr>
                <w:p w14:paraId="4CDCA977">
                  <w:pPr>
                    <w:pStyle w:val="17"/>
                    <w:numPr>
                      <w:ilvl w:val="0"/>
                      <w:numId w:val="0"/>
                    </w:numPr>
                    <w:tabs>
                      <w:tab w:val="clear" w:pos="2040"/>
                    </w:tabs>
                    <w:jc w:val="center"/>
                  </w:pPr>
                </w:p>
              </w:tc>
              <w:tc>
                <w:tcPr>
                  <w:tcW w:w="778" w:type="pct"/>
                  <w:tcBorders>
                    <w:tl2br w:val="nil"/>
                    <w:tr2bl w:val="nil"/>
                  </w:tcBorders>
                  <w:noWrap/>
                  <w:vAlign w:val="center"/>
                </w:tcPr>
                <w:p w14:paraId="74E6FEB9">
                  <w:pPr>
                    <w:pStyle w:val="17"/>
                    <w:numPr>
                      <w:ilvl w:val="0"/>
                      <w:numId w:val="0"/>
                    </w:numPr>
                    <w:tabs>
                      <w:tab w:val="clear" w:pos="2040"/>
                    </w:tabs>
                    <w:jc w:val="center"/>
                    <w:rPr>
                      <w:rFonts w:eastAsia="仿宋_GB2312"/>
                    </w:rPr>
                  </w:pPr>
                  <w:r>
                    <w:rPr>
                      <w:rFonts w:eastAsia="仿宋_GB2312"/>
                    </w:rPr>
                    <w:t>南厂界</w:t>
                  </w:r>
                </w:p>
              </w:tc>
              <w:tc>
                <w:tcPr>
                  <w:tcW w:w="858" w:type="pct"/>
                  <w:tcBorders>
                    <w:right w:val="single" w:color="auto" w:sz="4" w:space="0"/>
                    <w:tl2br w:val="nil"/>
                    <w:tr2bl w:val="nil"/>
                  </w:tcBorders>
                  <w:noWrap/>
                  <w:vAlign w:val="center"/>
                </w:tcPr>
                <w:p w14:paraId="54034F9A">
                  <w:pPr>
                    <w:pStyle w:val="17"/>
                    <w:numPr>
                      <w:ilvl w:val="0"/>
                      <w:numId w:val="0"/>
                    </w:numPr>
                    <w:tabs>
                      <w:tab w:val="clear" w:pos="2040"/>
                    </w:tabs>
                    <w:jc w:val="center"/>
                    <w:rPr>
                      <w:rFonts w:eastAsia="仿宋_GB2312"/>
                    </w:rPr>
                  </w:pPr>
                  <w:r>
                    <w:rPr>
                      <w:rFonts w:hint="eastAsia" w:eastAsia="仿宋_GB2312"/>
                    </w:rPr>
                    <w:t>64</w:t>
                  </w:r>
                </w:p>
              </w:tc>
              <w:tc>
                <w:tcPr>
                  <w:tcW w:w="784" w:type="pct"/>
                  <w:tcBorders>
                    <w:tl2br w:val="nil"/>
                    <w:tr2bl w:val="nil"/>
                  </w:tcBorders>
                  <w:noWrap/>
                  <w:vAlign w:val="center"/>
                </w:tcPr>
                <w:p w14:paraId="5A213CC1">
                  <w:pPr>
                    <w:jc w:val="center"/>
                    <w:rPr>
                      <w:rFonts w:eastAsia="仿宋_GB2312"/>
                    </w:rPr>
                  </w:pPr>
                  <w:r>
                    <w:rPr>
                      <w:rFonts w:hint="eastAsia" w:eastAsia="仿宋_GB2312"/>
                    </w:rPr>
                    <w:t>52</w:t>
                  </w:r>
                </w:p>
              </w:tc>
              <w:tc>
                <w:tcPr>
                  <w:tcW w:w="782" w:type="pct"/>
                  <w:vMerge w:val="continue"/>
                  <w:tcBorders>
                    <w:tl2br w:val="nil"/>
                    <w:tr2bl w:val="nil"/>
                  </w:tcBorders>
                  <w:noWrap/>
                  <w:vAlign w:val="center"/>
                </w:tcPr>
                <w:p w14:paraId="31BDEA88">
                  <w:pPr>
                    <w:pStyle w:val="17"/>
                    <w:numPr>
                      <w:ilvl w:val="0"/>
                      <w:numId w:val="0"/>
                    </w:numPr>
                    <w:tabs>
                      <w:tab w:val="clear" w:pos="2040"/>
                    </w:tabs>
                    <w:jc w:val="center"/>
                    <w:rPr>
                      <w:rFonts w:eastAsia="仿宋_GB2312"/>
                    </w:rPr>
                  </w:pPr>
                </w:p>
              </w:tc>
            </w:tr>
            <w:tr w14:paraId="7A6905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5" w:type="pct"/>
                  <w:vMerge w:val="continue"/>
                  <w:tcBorders>
                    <w:tl2br w:val="nil"/>
                    <w:tr2bl w:val="nil"/>
                  </w:tcBorders>
                  <w:noWrap/>
                  <w:vAlign w:val="center"/>
                </w:tcPr>
                <w:p w14:paraId="53383B77">
                  <w:pPr>
                    <w:pStyle w:val="17"/>
                    <w:numPr>
                      <w:ilvl w:val="0"/>
                      <w:numId w:val="0"/>
                    </w:numPr>
                    <w:tabs>
                      <w:tab w:val="clear" w:pos="2040"/>
                    </w:tabs>
                    <w:jc w:val="center"/>
                  </w:pPr>
                </w:p>
              </w:tc>
              <w:tc>
                <w:tcPr>
                  <w:tcW w:w="991" w:type="pct"/>
                  <w:vMerge w:val="continue"/>
                  <w:tcBorders>
                    <w:tl2br w:val="nil"/>
                    <w:tr2bl w:val="nil"/>
                  </w:tcBorders>
                  <w:noWrap/>
                  <w:vAlign w:val="center"/>
                </w:tcPr>
                <w:p w14:paraId="4298D428">
                  <w:pPr>
                    <w:pStyle w:val="17"/>
                    <w:numPr>
                      <w:ilvl w:val="0"/>
                      <w:numId w:val="0"/>
                    </w:numPr>
                    <w:tabs>
                      <w:tab w:val="clear" w:pos="2040"/>
                    </w:tabs>
                    <w:jc w:val="center"/>
                  </w:pPr>
                </w:p>
              </w:tc>
              <w:tc>
                <w:tcPr>
                  <w:tcW w:w="778" w:type="pct"/>
                  <w:tcBorders>
                    <w:tl2br w:val="nil"/>
                    <w:tr2bl w:val="nil"/>
                  </w:tcBorders>
                  <w:shd w:val="clear" w:color="auto" w:fill="auto"/>
                  <w:noWrap/>
                  <w:vAlign w:val="center"/>
                </w:tcPr>
                <w:p w14:paraId="44F0B2DB">
                  <w:pPr>
                    <w:pStyle w:val="17"/>
                    <w:numPr>
                      <w:ilvl w:val="0"/>
                      <w:numId w:val="0"/>
                    </w:numPr>
                    <w:tabs>
                      <w:tab w:val="clear" w:pos="2040"/>
                    </w:tabs>
                    <w:jc w:val="center"/>
                    <w:rPr>
                      <w:rFonts w:eastAsia="仿宋_GB2312"/>
                    </w:rPr>
                  </w:pPr>
                  <w:r>
                    <w:rPr>
                      <w:rFonts w:eastAsia="仿宋_GB2312"/>
                    </w:rPr>
                    <w:t>北厂界</w:t>
                  </w:r>
                </w:p>
              </w:tc>
              <w:tc>
                <w:tcPr>
                  <w:tcW w:w="858" w:type="pct"/>
                  <w:tcBorders>
                    <w:right w:val="single" w:color="auto" w:sz="4" w:space="0"/>
                    <w:tl2br w:val="nil"/>
                    <w:tr2bl w:val="nil"/>
                  </w:tcBorders>
                  <w:shd w:val="clear" w:color="auto" w:fill="auto"/>
                  <w:noWrap/>
                  <w:vAlign w:val="center"/>
                </w:tcPr>
                <w:p w14:paraId="45C5ED0E">
                  <w:pPr>
                    <w:pStyle w:val="17"/>
                    <w:numPr>
                      <w:ilvl w:val="0"/>
                      <w:numId w:val="0"/>
                    </w:numPr>
                    <w:tabs>
                      <w:tab w:val="clear" w:pos="2040"/>
                    </w:tabs>
                    <w:jc w:val="center"/>
                    <w:rPr>
                      <w:rFonts w:eastAsia="仿宋_GB2312"/>
                    </w:rPr>
                  </w:pPr>
                  <w:r>
                    <w:rPr>
                      <w:rFonts w:hint="eastAsia" w:eastAsia="仿宋_GB2312"/>
                    </w:rPr>
                    <w:t>62</w:t>
                  </w:r>
                </w:p>
              </w:tc>
              <w:tc>
                <w:tcPr>
                  <w:tcW w:w="784" w:type="pct"/>
                  <w:tcBorders>
                    <w:tl2br w:val="nil"/>
                    <w:tr2bl w:val="nil"/>
                  </w:tcBorders>
                  <w:shd w:val="clear" w:color="auto" w:fill="auto"/>
                  <w:noWrap/>
                  <w:vAlign w:val="center"/>
                </w:tcPr>
                <w:p w14:paraId="7154F73B">
                  <w:pPr>
                    <w:jc w:val="center"/>
                    <w:rPr>
                      <w:rFonts w:eastAsia="仿宋_GB2312"/>
                    </w:rPr>
                  </w:pPr>
                  <w:r>
                    <w:rPr>
                      <w:rFonts w:hint="eastAsia" w:eastAsia="仿宋_GB2312"/>
                    </w:rPr>
                    <w:t>54</w:t>
                  </w:r>
                </w:p>
              </w:tc>
              <w:tc>
                <w:tcPr>
                  <w:tcW w:w="782" w:type="pct"/>
                  <w:vMerge w:val="continue"/>
                  <w:tcBorders>
                    <w:tl2br w:val="nil"/>
                    <w:tr2bl w:val="nil"/>
                  </w:tcBorders>
                  <w:noWrap/>
                  <w:vAlign w:val="center"/>
                </w:tcPr>
                <w:p w14:paraId="0ECE53C3">
                  <w:pPr>
                    <w:pStyle w:val="17"/>
                    <w:numPr>
                      <w:ilvl w:val="0"/>
                      <w:numId w:val="0"/>
                    </w:numPr>
                    <w:tabs>
                      <w:tab w:val="clear" w:pos="2040"/>
                    </w:tabs>
                    <w:jc w:val="center"/>
                    <w:rPr>
                      <w:rFonts w:eastAsia="仿宋_GB2312"/>
                    </w:rPr>
                  </w:pPr>
                </w:p>
              </w:tc>
            </w:tr>
            <w:tr w14:paraId="1DCBEA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5" w:type="pct"/>
                  <w:vMerge w:val="continue"/>
                  <w:tcBorders>
                    <w:tl2br w:val="nil"/>
                    <w:tr2bl w:val="nil"/>
                  </w:tcBorders>
                  <w:noWrap/>
                  <w:vAlign w:val="center"/>
                </w:tcPr>
                <w:p w14:paraId="26F481A6">
                  <w:pPr>
                    <w:pStyle w:val="17"/>
                    <w:numPr>
                      <w:ilvl w:val="0"/>
                      <w:numId w:val="0"/>
                    </w:numPr>
                    <w:tabs>
                      <w:tab w:val="clear" w:pos="2040"/>
                    </w:tabs>
                    <w:jc w:val="center"/>
                  </w:pPr>
                </w:p>
              </w:tc>
              <w:tc>
                <w:tcPr>
                  <w:tcW w:w="991" w:type="pct"/>
                  <w:vMerge w:val="continue"/>
                  <w:tcBorders>
                    <w:tl2br w:val="nil"/>
                    <w:tr2bl w:val="nil"/>
                  </w:tcBorders>
                  <w:noWrap/>
                  <w:vAlign w:val="center"/>
                </w:tcPr>
                <w:p w14:paraId="755B3B0E">
                  <w:pPr>
                    <w:pStyle w:val="17"/>
                    <w:numPr>
                      <w:ilvl w:val="0"/>
                      <w:numId w:val="0"/>
                    </w:numPr>
                    <w:tabs>
                      <w:tab w:val="clear" w:pos="2040"/>
                    </w:tabs>
                    <w:jc w:val="center"/>
                  </w:pPr>
                </w:p>
              </w:tc>
              <w:tc>
                <w:tcPr>
                  <w:tcW w:w="778" w:type="pct"/>
                  <w:tcBorders>
                    <w:tl2br w:val="nil"/>
                    <w:tr2bl w:val="nil"/>
                  </w:tcBorders>
                  <w:shd w:val="clear" w:color="auto" w:fill="auto"/>
                  <w:noWrap/>
                  <w:vAlign w:val="center"/>
                </w:tcPr>
                <w:p w14:paraId="64907C52">
                  <w:pPr>
                    <w:pStyle w:val="17"/>
                    <w:numPr>
                      <w:ilvl w:val="0"/>
                      <w:numId w:val="0"/>
                    </w:numPr>
                    <w:tabs>
                      <w:tab w:val="clear" w:pos="2040"/>
                    </w:tabs>
                    <w:jc w:val="center"/>
                    <w:rPr>
                      <w:rFonts w:eastAsia="仿宋_GB2312"/>
                    </w:rPr>
                  </w:pPr>
                  <w:r>
                    <w:rPr>
                      <w:rFonts w:eastAsia="仿宋_GB2312"/>
                    </w:rPr>
                    <w:t>西厂界</w:t>
                  </w:r>
                </w:p>
              </w:tc>
              <w:tc>
                <w:tcPr>
                  <w:tcW w:w="858" w:type="pct"/>
                  <w:tcBorders>
                    <w:right w:val="single" w:color="auto" w:sz="4" w:space="0"/>
                    <w:tl2br w:val="nil"/>
                    <w:tr2bl w:val="nil"/>
                  </w:tcBorders>
                  <w:shd w:val="clear" w:color="auto" w:fill="auto"/>
                  <w:noWrap/>
                  <w:vAlign w:val="center"/>
                </w:tcPr>
                <w:p w14:paraId="46E0A6B3">
                  <w:pPr>
                    <w:pStyle w:val="17"/>
                    <w:numPr>
                      <w:ilvl w:val="0"/>
                      <w:numId w:val="0"/>
                    </w:numPr>
                    <w:tabs>
                      <w:tab w:val="clear" w:pos="2040"/>
                    </w:tabs>
                    <w:jc w:val="center"/>
                    <w:rPr>
                      <w:rFonts w:eastAsia="仿宋_GB2312"/>
                    </w:rPr>
                  </w:pPr>
                  <w:r>
                    <w:rPr>
                      <w:rFonts w:hint="eastAsia" w:eastAsia="仿宋_GB2312"/>
                    </w:rPr>
                    <w:t>64</w:t>
                  </w:r>
                </w:p>
              </w:tc>
              <w:tc>
                <w:tcPr>
                  <w:tcW w:w="784" w:type="pct"/>
                  <w:tcBorders>
                    <w:tl2br w:val="nil"/>
                    <w:tr2bl w:val="nil"/>
                  </w:tcBorders>
                  <w:shd w:val="clear" w:color="auto" w:fill="auto"/>
                  <w:noWrap/>
                  <w:vAlign w:val="center"/>
                </w:tcPr>
                <w:p w14:paraId="0112152D">
                  <w:pPr>
                    <w:jc w:val="center"/>
                    <w:rPr>
                      <w:rFonts w:eastAsia="仿宋_GB2312"/>
                    </w:rPr>
                  </w:pPr>
                  <w:r>
                    <w:rPr>
                      <w:rFonts w:hint="eastAsia" w:eastAsia="仿宋_GB2312"/>
                    </w:rPr>
                    <w:t>54</w:t>
                  </w:r>
                </w:p>
              </w:tc>
              <w:tc>
                <w:tcPr>
                  <w:tcW w:w="782" w:type="pct"/>
                  <w:tcBorders>
                    <w:tl2br w:val="nil"/>
                    <w:tr2bl w:val="nil"/>
                  </w:tcBorders>
                  <w:noWrap/>
                  <w:vAlign w:val="center"/>
                </w:tcPr>
                <w:p w14:paraId="3C6CF822">
                  <w:pPr>
                    <w:pStyle w:val="17"/>
                    <w:numPr>
                      <w:ilvl w:val="0"/>
                      <w:numId w:val="0"/>
                    </w:numPr>
                    <w:tabs>
                      <w:tab w:val="clear" w:pos="2040"/>
                    </w:tabs>
                    <w:jc w:val="center"/>
                    <w:rPr>
                      <w:rFonts w:eastAsia="仿宋_GB2312"/>
                    </w:rPr>
                  </w:pPr>
                  <w:r>
                    <w:rPr>
                      <w:rFonts w:eastAsia="仿宋_GB2312"/>
                    </w:rPr>
                    <w:t>昼间：≤</w:t>
                  </w:r>
                  <w:r>
                    <w:rPr>
                      <w:rFonts w:hint="eastAsia" w:eastAsia="仿宋_GB2312"/>
                    </w:rPr>
                    <w:t>70夜</w:t>
                  </w:r>
                  <w:r>
                    <w:rPr>
                      <w:rFonts w:eastAsia="仿宋_GB2312"/>
                    </w:rPr>
                    <w:t>间：≤</w:t>
                  </w:r>
                  <w:r>
                    <w:rPr>
                      <w:rFonts w:hint="eastAsia" w:eastAsia="仿宋_GB2312"/>
                    </w:rPr>
                    <w:t>55</w:t>
                  </w:r>
                </w:p>
              </w:tc>
            </w:tr>
          </w:tbl>
          <w:p w14:paraId="0C3F58E1">
            <w:pPr>
              <w:adjustRightInd w:val="0"/>
              <w:snapToGrid w:val="0"/>
              <w:spacing w:line="360" w:lineRule="auto"/>
              <w:ind w:firstLine="420" w:firstLineChars="200"/>
              <w:rPr>
                <w:rFonts w:eastAsia="仿宋_GB2312"/>
                <w:snapToGrid w:val="0"/>
                <w:szCs w:val="24"/>
              </w:rPr>
            </w:pPr>
            <w:r>
              <w:rPr>
                <w:rFonts w:eastAsia="仿宋_GB2312"/>
                <w:snapToGrid w:val="0"/>
                <w:szCs w:val="24"/>
              </w:rPr>
              <w:t>由上表可知，</w:t>
            </w:r>
            <w:r>
              <w:rPr>
                <w:rFonts w:hint="eastAsia" w:eastAsia="仿宋_GB2312"/>
                <w:snapToGrid w:val="0"/>
                <w:szCs w:val="24"/>
              </w:rPr>
              <w:t>西厂界昼夜</w:t>
            </w:r>
            <w:r>
              <w:rPr>
                <w:rFonts w:eastAsia="仿宋_GB2312"/>
                <w:snapToGrid w:val="0"/>
                <w:szCs w:val="24"/>
              </w:rPr>
              <w:t>噪声值符合《工业企业厂界环境噪声排放标准》（GB12348-2008）中</w:t>
            </w:r>
            <w:r>
              <w:rPr>
                <w:rFonts w:hint="eastAsia" w:eastAsia="仿宋_GB2312"/>
                <w:snapToGrid w:val="0"/>
                <w:szCs w:val="24"/>
              </w:rPr>
              <w:t>4a</w:t>
            </w:r>
            <w:r>
              <w:rPr>
                <w:rFonts w:eastAsia="仿宋_GB2312"/>
                <w:snapToGrid w:val="0"/>
                <w:szCs w:val="24"/>
              </w:rPr>
              <w:t>类标准</w:t>
            </w:r>
            <w:r>
              <w:rPr>
                <w:rFonts w:hint="eastAsia" w:eastAsia="仿宋_GB2312"/>
                <w:snapToGrid w:val="0"/>
                <w:szCs w:val="24"/>
              </w:rPr>
              <w:t>，其余各厂界昼夜</w:t>
            </w:r>
            <w:r>
              <w:rPr>
                <w:rFonts w:eastAsia="仿宋_GB2312"/>
                <w:snapToGrid w:val="0"/>
                <w:szCs w:val="24"/>
              </w:rPr>
              <w:t>噪声值符合《工业企业厂界环境噪声排放标准》（GB12348-2008）中</w:t>
            </w:r>
            <w:r>
              <w:rPr>
                <w:rFonts w:hint="eastAsia" w:eastAsia="仿宋_GB2312"/>
                <w:snapToGrid w:val="0"/>
                <w:szCs w:val="24"/>
              </w:rPr>
              <w:t>3</w:t>
            </w:r>
            <w:r>
              <w:rPr>
                <w:rFonts w:eastAsia="仿宋_GB2312"/>
                <w:snapToGrid w:val="0"/>
                <w:szCs w:val="24"/>
              </w:rPr>
              <w:t>类标准。</w:t>
            </w:r>
          </w:p>
          <w:p w14:paraId="0D891E03">
            <w:pPr>
              <w:adjustRightInd w:val="0"/>
              <w:snapToGrid w:val="0"/>
              <w:spacing w:line="360" w:lineRule="auto"/>
              <w:ind w:firstLine="422" w:firstLineChars="200"/>
              <w:rPr>
                <w:rFonts w:hint="default" w:ascii="Times New Roman" w:hAnsi="Times New Roman" w:eastAsia="仿宋_GB2312" w:cs="Times New Roman"/>
                <w:b/>
                <w:bCs/>
                <w:snapToGrid w:val="0"/>
                <w:szCs w:val="24"/>
                <w:lang w:val="en-US" w:eastAsia="zh-CN"/>
              </w:rPr>
            </w:pPr>
            <w:r>
              <w:rPr>
                <w:rFonts w:hint="eastAsia" w:ascii="Times New Roman" w:hAnsi="Times New Roman" w:eastAsia="仿宋_GB2312" w:cs="Times New Roman"/>
                <w:b/>
                <w:bCs/>
                <w:snapToGrid w:val="0"/>
                <w:szCs w:val="24"/>
                <w:lang w:val="en-US" w:eastAsia="zh-CN"/>
              </w:rPr>
              <w:t>7、现有项目环境风险回顾</w:t>
            </w:r>
          </w:p>
          <w:p w14:paraId="5E363469">
            <w:pPr>
              <w:adjustRightInd w:val="0"/>
              <w:snapToGrid w:val="0"/>
              <w:spacing w:line="360" w:lineRule="auto"/>
              <w:ind w:firstLine="420" w:firstLineChars="200"/>
              <w:rPr>
                <w:rFonts w:hint="eastAsia" w:ascii="Times New Roman" w:hAnsi="Times New Roman" w:eastAsia="仿宋_GB2312" w:cs="Times New Roman"/>
                <w:snapToGrid w:val="0"/>
                <w:szCs w:val="24"/>
                <w:lang w:val="en-US" w:eastAsia="zh-CN"/>
              </w:rPr>
            </w:pPr>
            <w:r>
              <w:rPr>
                <w:rFonts w:hint="eastAsia" w:ascii="Times New Roman" w:hAnsi="Times New Roman" w:eastAsia="仿宋_GB2312" w:cs="Times New Roman"/>
                <w:snapToGrid w:val="0"/>
                <w:szCs w:val="24"/>
                <w:lang w:val="en-US" w:eastAsia="zh-CN"/>
              </w:rPr>
              <w:t>企业已编制突发环境事件应急预案，并向当地环保部门备案。</w:t>
            </w:r>
          </w:p>
          <w:p w14:paraId="4E2989F7">
            <w:pPr>
              <w:pStyle w:val="17"/>
              <w:numPr>
                <w:ilvl w:val="0"/>
                <w:numId w:val="0"/>
              </w:numPr>
              <w:tabs>
                <w:tab w:val="clear" w:pos="2040"/>
              </w:tabs>
              <w:spacing w:line="360" w:lineRule="auto"/>
              <w:jc w:val="center"/>
              <w:rPr>
                <w:rFonts w:hint="eastAsia" w:ascii="Times New Roman" w:hAnsi="Times New Roman" w:eastAsia="仿宋_GB2312" w:cs="Times New Roman"/>
                <w:b/>
                <w:bCs/>
                <w:snapToGrid w:val="0"/>
                <w:kern w:val="0"/>
                <w:lang w:val="en-US" w:eastAsia="zh-CN"/>
              </w:rPr>
            </w:pPr>
            <w:r>
              <w:rPr>
                <w:rFonts w:hint="eastAsia" w:ascii="Times New Roman" w:hAnsi="Times New Roman" w:eastAsia="仿宋_GB2312" w:cs="Times New Roman"/>
                <w:b/>
                <w:bCs/>
                <w:snapToGrid w:val="0"/>
                <w:kern w:val="0"/>
                <w:lang w:val="en-US" w:eastAsia="zh-CN"/>
              </w:rPr>
              <w:t>表2-1</w:t>
            </w:r>
            <w:r>
              <w:rPr>
                <w:rFonts w:hint="eastAsia" w:eastAsia="仿宋_GB2312" w:cs="Times New Roman"/>
                <w:b/>
                <w:bCs/>
                <w:snapToGrid w:val="0"/>
                <w:kern w:val="0"/>
                <w:lang w:val="en-US" w:eastAsia="zh-CN"/>
              </w:rPr>
              <w:t>9</w:t>
            </w:r>
            <w:r>
              <w:rPr>
                <w:rFonts w:hint="eastAsia" w:ascii="Times New Roman" w:hAnsi="Times New Roman" w:eastAsia="仿宋_GB2312" w:cs="Times New Roman"/>
                <w:b/>
                <w:bCs/>
                <w:snapToGrid w:val="0"/>
                <w:kern w:val="0"/>
                <w:lang w:val="en-US" w:eastAsia="zh-CN"/>
              </w:rPr>
              <w:t xml:space="preserve">  现有项目环境风险回顾情况一览表</w:t>
            </w:r>
          </w:p>
          <w:tbl>
            <w:tblPr>
              <w:tblStyle w:val="98"/>
              <w:tblW w:w="4998" w:type="pct"/>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Layout w:type="autofit"/>
              <w:tblCellMar>
                <w:top w:w="0" w:type="dxa"/>
                <w:left w:w="0" w:type="dxa"/>
                <w:bottom w:w="0" w:type="dxa"/>
                <w:right w:w="0" w:type="dxa"/>
              </w:tblCellMar>
            </w:tblPr>
            <w:tblGrid>
              <w:gridCol w:w="650"/>
              <w:gridCol w:w="1071"/>
              <w:gridCol w:w="810"/>
              <w:gridCol w:w="5927"/>
            </w:tblGrid>
            <w:tr w14:paraId="1209C5A5">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62" w:hRule="atLeast"/>
              </w:trPr>
              <w:tc>
                <w:tcPr>
                  <w:tcW w:w="384" w:type="pct"/>
                  <w:tcBorders>
                    <w:tl2br w:val="nil"/>
                    <w:tr2bl w:val="nil"/>
                  </w:tcBorders>
                  <w:vAlign w:val="center"/>
                </w:tcPr>
                <w:p w14:paraId="728B0F01">
                  <w:pPr>
                    <w:pStyle w:val="17"/>
                    <w:numPr>
                      <w:ilvl w:val="0"/>
                      <w:numId w:val="0"/>
                    </w:numPr>
                    <w:tabs>
                      <w:tab w:val="clear" w:pos="2040"/>
                    </w:tabs>
                    <w:jc w:val="center"/>
                    <w:rPr>
                      <w:rFonts w:hint="default" w:ascii="Times New Roman" w:hAnsi="Times New Roman" w:eastAsia="仿宋_GB2312" w:cs="Times New Roman"/>
                      <w:b/>
                      <w:bCs/>
                    </w:rPr>
                  </w:pPr>
                  <w:r>
                    <w:rPr>
                      <w:rFonts w:hint="default" w:ascii="Times New Roman" w:hAnsi="Times New Roman" w:eastAsia="仿宋_GB2312" w:cs="Times New Roman"/>
                      <w:b/>
                      <w:bCs/>
                    </w:rPr>
                    <w:t>序号</w:t>
                  </w:r>
                </w:p>
              </w:tc>
              <w:tc>
                <w:tcPr>
                  <w:tcW w:w="633" w:type="pct"/>
                  <w:tcBorders>
                    <w:tl2br w:val="nil"/>
                    <w:tr2bl w:val="nil"/>
                  </w:tcBorders>
                  <w:vAlign w:val="center"/>
                </w:tcPr>
                <w:p w14:paraId="0A30365A">
                  <w:pPr>
                    <w:pStyle w:val="17"/>
                    <w:numPr>
                      <w:ilvl w:val="0"/>
                      <w:numId w:val="0"/>
                    </w:numPr>
                    <w:tabs>
                      <w:tab w:val="clear" w:pos="2040"/>
                    </w:tabs>
                    <w:jc w:val="center"/>
                    <w:rPr>
                      <w:rFonts w:hint="default" w:ascii="Times New Roman" w:hAnsi="Times New Roman" w:eastAsia="仿宋_GB2312" w:cs="Times New Roman"/>
                      <w:b/>
                      <w:bCs/>
                    </w:rPr>
                  </w:pPr>
                  <w:r>
                    <w:rPr>
                      <w:rFonts w:hint="default" w:ascii="Times New Roman" w:hAnsi="Times New Roman" w:eastAsia="仿宋_GB2312" w:cs="Times New Roman"/>
                      <w:b/>
                      <w:bCs/>
                    </w:rPr>
                    <w:t>相关内容</w:t>
                  </w:r>
                </w:p>
              </w:tc>
              <w:tc>
                <w:tcPr>
                  <w:tcW w:w="479" w:type="pct"/>
                  <w:tcBorders>
                    <w:tl2br w:val="nil"/>
                    <w:tr2bl w:val="nil"/>
                  </w:tcBorders>
                  <w:vAlign w:val="center"/>
                </w:tcPr>
                <w:p w14:paraId="6A2E477A">
                  <w:pPr>
                    <w:pStyle w:val="17"/>
                    <w:numPr>
                      <w:ilvl w:val="0"/>
                      <w:numId w:val="0"/>
                    </w:numPr>
                    <w:tabs>
                      <w:tab w:val="clear" w:pos="2040"/>
                    </w:tabs>
                    <w:jc w:val="center"/>
                    <w:rPr>
                      <w:rFonts w:hint="default" w:ascii="Times New Roman" w:hAnsi="Times New Roman" w:eastAsia="仿宋_GB2312" w:cs="Times New Roman"/>
                      <w:b/>
                      <w:bCs/>
                    </w:rPr>
                  </w:pPr>
                  <w:r>
                    <w:rPr>
                      <w:rFonts w:hint="default" w:ascii="Times New Roman" w:hAnsi="Times New Roman" w:eastAsia="仿宋_GB2312" w:cs="Times New Roman"/>
                      <w:b/>
                      <w:bCs/>
                    </w:rPr>
                    <w:t>现有工程情况</w:t>
                  </w:r>
                </w:p>
              </w:tc>
              <w:tc>
                <w:tcPr>
                  <w:tcW w:w="3503" w:type="pct"/>
                  <w:tcBorders>
                    <w:tl2br w:val="nil"/>
                    <w:tr2bl w:val="nil"/>
                  </w:tcBorders>
                  <w:vAlign w:val="center"/>
                </w:tcPr>
                <w:p w14:paraId="1BE56195">
                  <w:pPr>
                    <w:pStyle w:val="17"/>
                    <w:numPr>
                      <w:ilvl w:val="0"/>
                      <w:numId w:val="0"/>
                    </w:numPr>
                    <w:tabs>
                      <w:tab w:val="clear" w:pos="2040"/>
                    </w:tabs>
                    <w:jc w:val="center"/>
                    <w:rPr>
                      <w:rFonts w:hint="default" w:ascii="Times New Roman" w:hAnsi="Times New Roman" w:eastAsia="仿宋_GB2312" w:cs="Times New Roman"/>
                      <w:b/>
                      <w:bCs/>
                    </w:rPr>
                  </w:pPr>
                  <w:r>
                    <w:rPr>
                      <w:rFonts w:hint="default" w:ascii="Times New Roman" w:hAnsi="Times New Roman" w:eastAsia="仿宋_GB2312" w:cs="Times New Roman"/>
                      <w:b/>
                      <w:bCs/>
                    </w:rPr>
                    <w:t>存在的问题及完善建议</w:t>
                  </w:r>
                </w:p>
              </w:tc>
            </w:tr>
            <w:tr w14:paraId="481D307F">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38" w:hRule="atLeast"/>
              </w:trPr>
              <w:tc>
                <w:tcPr>
                  <w:tcW w:w="384" w:type="pct"/>
                  <w:vMerge w:val="restart"/>
                  <w:tcBorders>
                    <w:tl2br w:val="nil"/>
                    <w:tr2bl w:val="nil"/>
                  </w:tcBorders>
                  <w:vAlign w:val="center"/>
                </w:tcPr>
                <w:p w14:paraId="1AA4535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1</w:t>
                  </w:r>
                </w:p>
              </w:tc>
              <w:tc>
                <w:tcPr>
                  <w:tcW w:w="633" w:type="pct"/>
                  <w:vMerge w:val="restart"/>
                  <w:tcBorders>
                    <w:tl2br w:val="nil"/>
                    <w:tr2bl w:val="nil"/>
                  </w:tcBorders>
                  <w:vAlign w:val="center"/>
                </w:tcPr>
                <w:p w14:paraId="1BD224E0">
                  <w:pPr>
                    <w:pStyle w:val="9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环境风险防范措施</w:t>
                  </w:r>
                </w:p>
              </w:tc>
              <w:tc>
                <w:tcPr>
                  <w:tcW w:w="479" w:type="pct"/>
                  <w:vMerge w:val="restart"/>
                  <w:tcBorders>
                    <w:tl2br w:val="nil"/>
                    <w:tr2bl w:val="nil"/>
                  </w:tcBorders>
                  <w:vAlign w:val="center"/>
                </w:tcPr>
                <w:p w14:paraId="1037B9CA">
                  <w:pPr>
                    <w:pStyle w:val="9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企业</w:t>
                  </w:r>
                  <w:r>
                    <w:rPr>
                      <w:rFonts w:hint="eastAsia" w:ascii="Times New Roman" w:hAnsi="Times New Roman" w:eastAsia="仿宋_GB2312" w:cs="Times New Roman"/>
                      <w:kern w:val="2"/>
                      <w:sz w:val="21"/>
                      <w:szCs w:val="21"/>
                      <w:lang w:val="en-US" w:eastAsia="zh-CN" w:bidi="ar-SA"/>
                    </w:rPr>
                    <w:t>已</w:t>
                  </w:r>
                  <w:r>
                    <w:rPr>
                      <w:rFonts w:hint="default" w:ascii="Times New Roman" w:hAnsi="Times New Roman" w:eastAsia="仿宋_GB2312" w:cs="Times New Roman"/>
                      <w:kern w:val="2"/>
                      <w:sz w:val="21"/>
                      <w:szCs w:val="21"/>
                      <w:lang w:val="en-US" w:eastAsia="zh-CN" w:bidi="ar-SA"/>
                    </w:rPr>
                    <w:t>编制突发环境事件应急预案</w:t>
                  </w:r>
                  <w:r>
                    <w:rPr>
                      <w:rFonts w:hint="eastAsia" w:ascii="Times New Roman" w:hAnsi="Times New Roman" w:eastAsia="仿宋_GB2312" w:cs="Times New Roman"/>
                      <w:kern w:val="2"/>
                      <w:sz w:val="21"/>
                      <w:szCs w:val="21"/>
                      <w:lang w:val="en-US" w:eastAsia="zh-CN" w:bidi="ar-SA"/>
                    </w:rPr>
                    <w:t>并完成备案</w:t>
                  </w:r>
                  <w:r>
                    <w:rPr>
                      <w:rFonts w:hint="default" w:ascii="Times New Roman" w:hAnsi="Times New Roman" w:eastAsia="仿宋_GB2312" w:cs="Times New Roman"/>
                      <w:kern w:val="2"/>
                      <w:sz w:val="21"/>
                      <w:szCs w:val="21"/>
                      <w:lang w:val="en-US" w:eastAsia="zh-CN" w:bidi="ar-SA"/>
                    </w:rPr>
                    <w:t>，厂区内设有灭火器、救生绳、空气呼吸器等应急物资。</w:t>
                  </w:r>
                </w:p>
              </w:tc>
              <w:tc>
                <w:tcPr>
                  <w:tcW w:w="3503" w:type="pct"/>
                  <w:tcBorders>
                    <w:tl2br w:val="nil"/>
                    <w:tr2bl w:val="nil"/>
                  </w:tcBorders>
                  <w:vAlign w:val="center"/>
                </w:tcPr>
                <w:p w14:paraId="3FF3F26B">
                  <w:pPr>
                    <w:pStyle w:val="9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项目应按要求完善应急小组，补充预防废气处理设备事故等环境风险。</w:t>
                  </w:r>
                </w:p>
              </w:tc>
            </w:tr>
            <w:tr w14:paraId="6FA09948">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39" w:hRule="atLeast"/>
              </w:trPr>
              <w:tc>
                <w:tcPr>
                  <w:tcW w:w="384" w:type="pct"/>
                  <w:vMerge w:val="continue"/>
                  <w:tcBorders>
                    <w:tl2br w:val="nil"/>
                    <w:tr2bl w:val="nil"/>
                  </w:tcBorders>
                  <w:vAlign w:val="center"/>
                </w:tcPr>
                <w:p w14:paraId="20AE90A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kern w:val="2"/>
                      <w:sz w:val="21"/>
                      <w:szCs w:val="21"/>
                      <w:lang w:val="en-US" w:eastAsia="zh-CN" w:bidi="ar-SA"/>
                    </w:rPr>
                  </w:pPr>
                </w:p>
              </w:tc>
              <w:tc>
                <w:tcPr>
                  <w:tcW w:w="633" w:type="pct"/>
                  <w:vMerge w:val="continue"/>
                  <w:tcBorders>
                    <w:tl2br w:val="nil"/>
                    <w:tr2bl w:val="nil"/>
                  </w:tcBorders>
                  <w:vAlign w:val="center"/>
                </w:tcPr>
                <w:p w14:paraId="734EDA1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kern w:val="2"/>
                      <w:sz w:val="21"/>
                      <w:szCs w:val="21"/>
                      <w:lang w:val="en-US" w:eastAsia="zh-CN" w:bidi="ar-SA"/>
                    </w:rPr>
                  </w:pPr>
                </w:p>
              </w:tc>
              <w:tc>
                <w:tcPr>
                  <w:tcW w:w="479" w:type="pct"/>
                  <w:vMerge w:val="continue"/>
                  <w:tcBorders>
                    <w:tl2br w:val="nil"/>
                    <w:tr2bl w:val="nil"/>
                  </w:tcBorders>
                  <w:vAlign w:val="center"/>
                </w:tcPr>
                <w:p w14:paraId="4AD60AB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kern w:val="2"/>
                      <w:sz w:val="21"/>
                      <w:szCs w:val="21"/>
                      <w:lang w:val="en-US" w:eastAsia="zh-CN" w:bidi="ar-SA"/>
                    </w:rPr>
                  </w:pPr>
                </w:p>
              </w:tc>
              <w:tc>
                <w:tcPr>
                  <w:tcW w:w="3503" w:type="pct"/>
                  <w:tcBorders>
                    <w:tl2br w:val="nil"/>
                    <w:tr2bl w:val="nil"/>
                  </w:tcBorders>
                  <w:vAlign w:val="center"/>
                </w:tcPr>
                <w:p w14:paraId="33ADAEEA">
                  <w:pPr>
                    <w:pStyle w:val="9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项目应设置围堰、应按要求建设雨排闸阀及其导流设施。</w:t>
                  </w:r>
                </w:p>
              </w:tc>
            </w:tr>
            <w:tr w14:paraId="50EAC10C">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705" w:hRule="atLeast"/>
              </w:trPr>
              <w:tc>
                <w:tcPr>
                  <w:tcW w:w="384" w:type="pct"/>
                  <w:tcBorders>
                    <w:tl2br w:val="nil"/>
                    <w:tr2bl w:val="nil"/>
                  </w:tcBorders>
                  <w:vAlign w:val="center"/>
                </w:tcPr>
                <w:p w14:paraId="3F23A7C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2</w:t>
                  </w:r>
                </w:p>
              </w:tc>
              <w:tc>
                <w:tcPr>
                  <w:tcW w:w="633" w:type="pct"/>
                  <w:tcBorders>
                    <w:tl2br w:val="nil"/>
                    <w:tr2bl w:val="nil"/>
                  </w:tcBorders>
                  <w:vAlign w:val="center"/>
                </w:tcPr>
                <w:p w14:paraId="505C4239">
                  <w:pPr>
                    <w:pStyle w:val="9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环境风险防控体系的衔接</w:t>
                  </w:r>
                </w:p>
              </w:tc>
              <w:tc>
                <w:tcPr>
                  <w:tcW w:w="479" w:type="pct"/>
                  <w:vMerge w:val="continue"/>
                  <w:tcBorders>
                    <w:tl2br w:val="nil"/>
                    <w:tr2bl w:val="nil"/>
                  </w:tcBorders>
                  <w:vAlign w:val="center"/>
                </w:tcPr>
                <w:p w14:paraId="37F9CF8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kern w:val="2"/>
                      <w:sz w:val="21"/>
                      <w:szCs w:val="21"/>
                      <w:lang w:val="en-US" w:eastAsia="zh-CN" w:bidi="ar-SA"/>
                    </w:rPr>
                  </w:pPr>
                </w:p>
              </w:tc>
              <w:tc>
                <w:tcPr>
                  <w:tcW w:w="3503" w:type="pct"/>
                  <w:tcBorders>
                    <w:tl2br w:val="nil"/>
                    <w:tr2bl w:val="nil"/>
                  </w:tcBorders>
                  <w:vAlign w:val="center"/>
                </w:tcPr>
                <w:p w14:paraId="7DAB5E65">
                  <w:pPr>
                    <w:pStyle w:val="9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本单位应健全企业、</w:t>
                  </w:r>
                  <w:r>
                    <w:rPr>
                      <w:rFonts w:hint="eastAsia" w:ascii="Times New Roman" w:hAnsi="Times New Roman" w:eastAsia="仿宋_GB2312" w:cs="Times New Roman"/>
                      <w:kern w:val="2"/>
                      <w:sz w:val="21"/>
                      <w:szCs w:val="21"/>
                      <w:lang w:val="en-US" w:eastAsia="zh-CN" w:bidi="ar-SA"/>
                    </w:rPr>
                    <w:t>金坛</w:t>
                  </w:r>
                  <w:r>
                    <w:rPr>
                      <w:rFonts w:hint="default" w:ascii="Times New Roman" w:hAnsi="Times New Roman" w:eastAsia="仿宋_GB2312" w:cs="Times New Roman"/>
                      <w:kern w:val="2"/>
                      <w:sz w:val="21"/>
                      <w:szCs w:val="21"/>
                      <w:lang w:val="en-US" w:eastAsia="zh-CN" w:bidi="ar-SA"/>
                    </w:rPr>
                    <w:t>经济技术开发区、区环保局和安监局应急中心、区应急指挥办公室的环境风险防控体系的衔接完整。</w:t>
                  </w:r>
                </w:p>
              </w:tc>
            </w:tr>
            <w:tr w14:paraId="497967F2">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72" w:hRule="atLeast"/>
              </w:trPr>
              <w:tc>
                <w:tcPr>
                  <w:tcW w:w="384" w:type="pct"/>
                  <w:tcBorders>
                    <w:tl2br w:val="nil"/>
                    <w:tr2bl w:val="nil"/>
                  </w:tcBorders>
                  <w:vAlign w:val="center"/>
                </w:tcPr>
                <w:p w14:paraId="57C4552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3</w:t>
                  </w:r>
                </w:p>
              </w:tc>
              <w:tc>
                <w:tcPr>
                  <w:tcW w:w="633" w:type="pct"/>
                  <w:tcBorders>
                    <w:tl2br w:val="nil"/>
                    <w:tr2bl w:val="nil"/>
                  </w:tcBorders>
                  <w:vAlign w:val="center"/>
                </w:tcPr>
                <w:p w14:paraId="65CF5C61">
                  <w:pPr>
                    <w:pStyle w:val="9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突发环境事件应急预案</w:t>
                  </w:r>
                </w:p>
              </w:tc>
              <w:tc>
                <w:tcPr>
                  <w:tcW w:w="479" w:type="pct"/>
                  <w:vMerge w:val="continue"/>
                  <w:tcBorders>
                    <w:tl2br w:val="nil"/>
                    <w:tr2bl w:val="nil"/>
                  </w:tcBorders>
                  <w:vAlign w:val="center"/>
                </w:tcPr>
                <w:p w14:paraId="42F29D6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kern w:val="2"/>
                      <w:sz w:val="21"/>
                      <w:szCs w:val="21"/>
                      <w:lang w:val="en-US" w:eastAsia="zh-CN" w:bidi="ar-SA"/>
                    </w:rPr>
                  </w:pPr>
                </w:p>
              </w:tc>
              <w:tc>
                <w:tcPr>
                  <w:tcW w:w="3503" w:type="pct"/>
                  <w:tcBorders>
                    <w:tl2br w:val="nil"/>
                    <w:tr2bl w:val="nil"/>
                  </w:tcBorders>
                  <w:vAlign w:val="center"/>
                </w:tcPr>
                <w:p w14:paraId="7DCB3F57">
                  <w:pPr>
                    <w:pStyle w:val="9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企业应定期组织培训、应急演练，厂区应完善环境应急物资装备、配备完整的应急队伍。</w:t>
                  </w:r>
                </w:p>
              </w:tc>
            </w:tr>
            <w:tr w14:paraId="61DE750C">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72" w:hRule="atLeast"/>
              </w:trPr>
              <w:tc>
                <w:tcPr>
                  <w:tcW w:w="384" w:type="pct"/>
                  <w:tcBorders>
                    <w:tl2br w:val="nil"/>
                    <w:tr2bl w:val="nil"/>
                  </w:tcBorders>
                  <w:vAlign w:val="center"/>
                </w:tcPr>
                <w:p w14:paraId="1100E87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4</w:t>
                  </w:r>
                </w:p>
              </w:tc>
              <w:tc>
                <w:tcPr>
                  <w:tcW w:w="633" w:type="pct"/>
                  <w:tcBorders>
                    <w:tl2br w:val="nil"/>
                    <w:tr2bl w:val="nil"/>
                  </w:tcBorders>
                  <w:vAlign w:val="center"/>
                </w:tcPr>
                <w:p w14:paraId="3099A2D5">
                  <w:pPr>
                    <w:pStyle w:val="9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突发环境事件隐患排查</w:t>
                  </w:r>
                </w:p>
              </w:tc>
              <w:tc>
                <w:tcPr>
                  <w:tcW w:w="479" w:type="pct"/>
                  <w:vMerge w:val="continue"/>
                  <w:tcBorders>
                    <w:tl2br w:val="nil"/>
                    <w:tr2bl w:val="nil"/>
                  </w:tcBorders>
                  <w:vAlign w:val="center"/>
                </w:tcPr>
                <w:p w14:paraId="630EE53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kern w:val="2"/>
                      <w:sz w:val="21"/>
                      <w:szCs w:val="21"/>
                      <w:lang w:val="en-US" w:eastAsia="zh-CN" w:bidi="ar-SA"/>
                    </w:rPr>
                  </w:pPr>
                </w:p>
              </w:tc>
              <w:tc>
                <w:tcPr>
                  <w:tcW w:w="3503" w:type="pct"/>
                  <w:tcBorders>
                    <w:tl2br w:val="nil"/>
                    <w:tr2bl w:val="nil"/>
                  </w:tcBorders>
                  <w:vAlign w:val="center"/>
                </w:tcPr>
                <w:p w14:paraId="22F6847D">
                  <w:pPr>
                    <w:pStyle w:val="9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企业应在日常生产中不断加强隐患排查，及时整改厂区重大隐患。</w:t>
                  </w:r>
                </w:p>
              </w:tc>
            </w:tr>
            <w:tr w14:paraId="7B785FDB">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714" w:hRule="atLeast"/>
              </w:trPr>
              <w:tc>
                <w:tcPr>
                  <w:tcW w:w="384" w:type="pct"/>
                  <w:tcBorders>
                    <w:tl2br w:val="nil"/>
                    <w:tr2bl w:val="nil"/>
                  </w:tcBorders>
                  <w:vAlign w:val="center"/>
                </w:tcPr>
                <w:p w14:paraId="14576C4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5</w:t>
                  </w:r>
                </w:p>
              </w:tc>
              <w:tc>
                <w:tcPr>
                  <w:tcW w:w="633" w:type="pct"/>
                  <w:tcBorders>
                    <w:tl2br w:val="nil"/>
                    <w:tr2bl w:val="nil"/>
                  </w:tcBorders>
                  <w:vAlign w:val="center"/>
                </w:tcPr>
                <w:p w14:paraId="3CB2C16A">
                  <w:pPr>
                    <w:pStyle w:val="9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污染防治设施的安全风险辨识</w:t>
                  </w:r>
                </w:p>
              </w:tc>
              <w:tc>
                <w:tcPr>
                  <w:tcW w:w="479" w:type="pct"/>
                  <w:vMerge w:val="continue"/>
                  <w:tcBorders>
                    <w:tl2br w:val="nil"/>
                    <w:tr2bl w:val="nil"/>
                  </w:tcBorders>
                  <w:vAlign w:val="center"/>
                </w:tcPr>
                <w:p w14:paraId="00539F8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kern w:val="2"/>
                      <w:sz w:val="21"/>
                      <w:szCs w:val="21"/>
                      <w:lang w:val="en-US" w:eastAsia="zh-CN" w:bidi="ar-SA"/>
                    </w:rPr>
                  </w:pPr>
                </w:p>
              </w:tc>
              <w:tc>
                <w:tcPr>
                  <w:tcW w:w="3503" w:type="pct"/>
                  <w:tcBorders>
                    <w:tl2br w:val="nil"/>
                    <w:tr2bl w:val="nil"/>
                  </w:tcBorders>
                  <w:vAlign w:val="center"/>
                </w:tcPr>
                <w:p w14:paraId="3F727C59">
                  <w:pPr>
                    <w:pStyle w:val="9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企业应辨识全面污染防治设施安全风险，并按照相关要求进行安全生产。</w:t>
                  </w:r>
                </w:p>
              </w:tc>
            </w:tr>
          </w:tbl>
          <w:p w14:paraId="664A4470">
            <w:pPr>
              <w:adjustRightInd w:val="0"/>
              <w:snapToGrid w:val="0"/>
              <w:spacing w:line="360" w:lineRule="auto"/>
              <w:ind w:firstLine="420" w:firstLineChars="200"/>
              <w:rPr>
                <w:rFonts w:hint="eastAsia" w:ascii="Times New Roman" w:hAnsi="Times New Roman" w:eastAsia="仿宋_GB2312" w:cs="Times New Roman"/>
                <w:snapToGrid w:val="0"/>
                <w:szCs w:val="24"/>
                <w:lang w:val="en-US" w:eastAsia="zh-CN"/>
              </w:rPr>
            </w:pPr>
          </w:p>
          <w:p w14:paraId="59B63D0D">
            <w:pPr>
              <w:pStyle w:val="17"/>
              <w:numPr>
                <w:ilvl w:val="0"/>
                <w:numId w:val="0"/>
              </w:numPr>
              <w:tabs>
                <w:tab w:val="clear" w:pos="2040"/>
              </w:tabs>
              <w:spacing w:line="360" w:lineRule="auto"/>
              <w:jc w:val="center"/>
              <w:rPr>
                <w:rFonts w:hint="eastAsia" w:ascii="Times New Roman" w:hAnsi="Times New Roman" w:eastAsia="仿宋_GB2312" w:cs="Times New Roman"/>
                <w:b/>
                <w:bCs/>
                <w:snapToGrid w:val="0"/>
                <w:kern w:val="0"/>
                <w:lang w:val="en-US" w:eastAsia="zh-CN"/>
              </w:rPr>
            </w:pPr>
            <w:r>
              <w:rPr>
                <w:rFonts w:hint="eastAsia" w:ascii="Times New Roman" w:hAnsi="Times New Roman" w:eastAsia="仿宋_GB2312" w:cs="Times New Roman"/>
                <w:b/>
                <w:bCs/>
                <w:snapToGrid w:val="0"/>
                <w:kern w:val="0"/>
                <w:lang w:val="en-US" w:eastAsia="zh-CN"/>
              </w:rPr>
              <w:t>表2-</w:t>
            </w:r>
            <w:r>
              <w:rPr>
                <w:rFonts w:hint="eastAsia" w:eastAsia="仿宋_GB2312" w:cs="Times New Roman"/>
                <w:b/>
                <w:bCs/>
                <w:snapToGrid w:val="0"/>
                <w:kern w:val="0"/>
                <w:lang w:val="en-US" w:eastAsia="zh-CN"/>
              </w:rPr>
              <w:t>20</w:t>
            </w:r>
            <w:r>
              <w:rPr>
                <w:rFonts w:hint="eastAsia" w:ascii="Times New Roman" w:hAnsi="Times New Roman" w:eastAsia="仿宋_GB2312" w:cs="Times New Roman"/>
                <w:b/>
                <w:bCs/>
                <w:snapToGrid w:val="0"/>
                <w:kern w:val="0"/>
                <w:lang w:val="en-US" w:eastAsia="zh-CN"/>
              </w:rPr>
              <w:t xml:space="preserve">  项目厂区现有风险预防与应急措施</w:t>
            </w:r>
          </w:p>
          <w:tbl>
            <w:tblPr>
              <w:tblStyle w:val="98"/>
              <w:tblW w:w="8410"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886"/>
              <w:gridCol w:w="6524"/>
            </w:tblGrid>
            <w:tr w14:paraId="590A3F6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886" w:type="dxa"/>
                  <w:tcBorders>
                    <w:tl2br w:val="nil"/>
                    <w:tr2bl w:val="nil"/>
                  </w:tcBorders>
                  <w:vAlign w:val="center"/>
                </w:tcPr>
                <w:p w14:paraId="4C68B52D">
                  <w:pPr>
                    <w:pStyle w:val="17"/>
                    <w:numPr>
                      <w:ilvl w:val="0"/>
                      <w:numId w:val="0"/>
                    </w:numPr>
                    <w:tabs>
                      <w:tab w:val="clear" w:pos="2040"/>
                    </w:tabs>
                    <w:jc w:val="center"/>
                    <w:rPr>
                      <w:rFonts w:hint="default" w:ascii="Times New Roman" w:hAnsi="Times New Roman" w:eastAsia="仿宋_GB2312" w:cs="Times New Roman"/>
                      <w:b/>
                      <w:bCs/>
                    </w:rPr>
                  </w:pPr>
                  <w:r>
                    <w:rPr>
                      <w:rFonts w:hint="default" w:ascii="Times New Roman" w:hAnsi="Times New Roman" w:eastAsia="仿宋_GB2312" w:cs="Times New Roman"/>
                      <w:b/>
                      <w:bCs/>
                    </w:rPr>
                    <w:t>类别</w:t>
                  </w:r>
                </w:p>
              </w:tc>
              <w:tc>
                <w:tcPr>
                  <w:tcW w:w="6524" w:type="dxa"/>
                  <w:tcBorders>
                    <w:tl2br w:val="nil"/>
                    <w:tr2bl w:val="nil"/>
                  </w:tcBorders>
                  <w:vAlign w:val="center"/>
                </w:tcPr>
                <w:p w14:paraId="0F49F2B9">
                  <w:pPr>
                    <w:pStyle w:val="17"/>
                    <w:numPr>
                      <w:ilvl w:val="0"/>
                      <w:numId w:val="0"/>
                    </w:numPr>
                    <w:tabs>
                      <w:tab w:val="clear" w:pos="2040"/>
                    </w:tabs>
                    <w:jc w:val="center"/>
                    <w:rPr>
                      <w:rFonts w:hint="default" w:ascii="Times New Roman" w:hAnsi="Times New Roman" w:eastAsia="仿宋_GB2312" w:cs="Times New Roman"/>
                      <w:b/>
                      <w:bCs/>
                    </w:rPr>
                  </w:pPr>
                  <w:r>
                    <w:rPr>
                      <w:rFonts w:hint="default" w:ascii="Times New Roman" w:hAnsi="Times New Roman" w:eastAsia="仿宋_GB2312" w:cs="Times New Roman"/>
                      <w:b/>
                      <w:bCs/>
                    </w:rPr>
                    <w:t>风险预防与应急措施</w:t>
                  </w:r>
                </w:p>
              </w:tc>
            </w:tr>
            <w:tr w14:paraId="76166E5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886" w:type="dxa"/>
                  <w:tcBorders>
                    <w:tl2br w:val="nil"/>
                    <w:tr2bl w:val="nil"/>
                  </w:tcBorders>
                  <w:vAlign w:val="center"/>
                </w:tcPr>
                <w:p w14:paraId="4D63B322">
                  <w:pPr>
                    <w:pStyle w:val="17"/>
                    <w:numPr>
                      <w:ilvl w:val="0"/>
                      <w:numId w:val="0"/>
                    </w:numPr>
                    <w:tabs>
                      <w:tab w:val="clear" w:pos="2040"/>
                    </w:tabs>
                    <w:jc w:val="center"/>
                    <w:rPr>
                      <w:rFonts w:hint="default" w:ascii="Times New Roman" w:hAnsi="Times New Roman" w:eastAsia="仿宋_GB2312" w:cs="Times New Roman"/>
                      <w:b/>
                      <w:bCs/>
                    </w:rPr>
                  </w:pPr>
                  <w:r>
                    <w:rPr>
                      <w:rFonts w:hint="default" w:ascii="Times New Roman" w:hAnsi="Times New Roman" w:eastAsia="仿宋_GB2312" w:cs="Times New Roman"/>
                      <w:b/>
                      <w:bCs/>
                    </w:rPr>
                    <w:t>机构设置</w:t>
                  </w:r>
                </w:p>
              </w:tc>
              <w:tc>
                <w:tcPr>
                  <w:tcW w:w="6524" w:type="dxa"/>
                  <w:tcBorders>
                    <w:tl2br w:val="nil"/>
                    <w:tr2bl w:val="nil"/>
                  </w:tcBorders>
                  <w:vAlign w:val="center"/>
                </w:tcPr>
                <w:p w14:paraId="39E51110">
                  <w:pPr>
                    <w:pStyle w:val="9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①公司设置了专职的安全环保人员，负责公司的安全管理、消防管理、安保管理、环保管理和职业卫生健康管理。</w:t>
                  </w:r>
                </w:p>
                <w:p w14:paraId="34AD9AF0">
                  <w:pPr>
                    <w:pStyle w:val="9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②公司制定了各项安全生产管理制度、严格的生产操作规程和完善的事故应急计划及相应的应急处理手段和设施，同时加强安全教育，以提高职工的安全意识和安全防范能力。</w:t>
                  </w:r>
                </w:p>
              </w:tc>
            </w:tr>
            <w:tr w14:paraId="65A42CE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886" w:type="dxa"/>
                  <w:tcBorders>
                    <w:tl2br w:val="nil"/>
                    <w:tr2bl w:val="nil"/>
                  </w:tcBorders>
                  <w:vAlign w:val="center"/>
                </w:tcPr>
                <w:p w14:paraId="41248FDE">
                  <w:pPr>
                    <w:pStyle w:val="17"/>
                    <w:numPr>
                      <w:ilvl w:val="0"/>
                      <w:numId w:val="0"/>
                    </w:numPr>
                    <w:tabs>
                      <w:tab w:val="clear" w:pos="2040"/>
                    </w:tabs>
                    <w:jc w:val="center"/>
                    <w:rPr>
                      <w:rFonts w:hint="default" w:ascii="Times New Roman" w:hAnsi="Times New Roman" w:eastAsia="仿宋_GB2312" w:cs="Times New Roman"/>
                      <w:b/>
                      <w:bCs/>
                    </w:rPr>
                  </w:pPr>
                  <w:r>
                    <w:rPr>
                      <w:rFonts w:hint="default" w:ascii="Times New Roman" w:hAnsi="Times New Roman" w:eastAsia="仿宋_GB2312" w:cs="Times New Roman"/>
                      <w:b/>
                      <w:bCs/>
                    </w:rPr>
                    <w:t>总图布置防范</w:t>
                  </w:r>
                </w:p>
              </w:tc>
              <w:tc>
                <w:tcPr>
                  <w:tcW w:w="6524" w:type="dxa"/>
                  <w:tcBorders>
                    <w:tl2br w:val="nil"/>
                    <w:tr2bl w:val="nil"/>
                  </w:tcBorders>
                  <w:vAlign w:val="center"/>
                </w:tcPr>
                <w:p w14:paraId="3EE4232C">
                  <w:pPr>
                    <w:pStyle w:val="9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①在公司总平面布置中配套建设应急救援设施、救援通道等防护设施。</w:t>
                  </w:r>
                </w:p>
                <w:p w14:paraId="1B632FB4">
                  <w:pPr>
                    <w:pStyle w:val="9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②为保护公司内人员和设备的安全，在公司内设置火灾自动报警系统。</w:t>
                  </w:r>
                </w:p>
              </w:tc>
            </w:tr>
            <w:tr w14:paraId="27B374D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886" w:type="dxa"/>
                  <w:tcBorders>
                    <w:tl2br w:val="nil"/>
                    <w:tr2bl w:val="nil"/>
                  </w:tcBorders>
                  <w:vAlign w:val="center"/>
                </w:tcPr>
                <w:p w14:paraId="72283FF1">
                  <w:pPr>
                    <w:pStyle w:val="17"/>
                    <w:numPr>
                      <w:ilvl w:val="0"/>
                      <w:numId w:val="0"/>
                    </w:numPr>
                    <w:tabs>
                      <w:tab w:val="clear" w:pos="2040"/>
                    </w:tabs>
                    <w:jc w:val="center"/>
                    <w:rPr>
                      <w:rFonts w:hint="default" w:ascii="Times New Roman" w:hAnsi="Times New Roman" w:eastAsia="仿宋_GB2312" w:cs="Times New Roman"/>
                      <w:b/>
                      <w:bCs/>
                    </w:rPr>
                  </w:pPr>
                  <w:r>
                    <w:rPr>
                      <w:rFonts w:hint="default" w:ascii="Times New Roman" w:hAnsi="Times New Roman" w:eastAsia="仿宋_GB2312" w:cs="Times New Roman"/>
                      <w:b/>
                      <w:bCs/>
                    </w:rPr>
                    <w:t>贮存过程风险防范措施</w:t>
                  </w:r>
                </w:p>
              </w:tc>
              <w:tc>
                <w:tcPr>
                  <w:tcW w:w="6524" w:type="dxa"/>
                  <w:tcBorders>
                    <w:tl2br w:val="nil"/>
                    <w:tr2bl w:val="nil"/>
                  </w:tcBorders>
                  <w:vAlign w:val="center"/>
                </w:tcPr>
                <w:p w14:paraId="4E13F4B0">
                  <w:pPr>
                    <w:pStyle w:val="9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①各仓库均采取了地面防腐、防渗等措施，并配备了灭火器等应急物资，制定了各仓库管理制度；</w:t>
                  </w:r>
                </w:p>
                <w:p w14:paraId="3E41CE14">
                  <w:pPr>
                    <w:pStyle w:val="9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②每天进行巡检；消防灭火器材定期检查，及时更换；严格规范用电、动火管理，不私拉电线，不私自动火；</w:t>
                  </w:r>
                </w:p>
                <w:p w14:paraId="1A584764">
                  <w:pPr>
                    <w:pStyle w:val="9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③向有资质的单位购买原料，并委托有资质的单位进行运输。原料均储存在专用仓库、专用场地，储存方式、方法与数量符合国家标准，并由专人管理。保管员应掌握危险化学品的安全数据及相关的应急程序，并进行日常检查；公司按化学品的特性设置仓库，禁忌类物料、消防方法不同的物料严格按照有关仓储的安全要求分区、分类、隔离、隔开、分离储存；</w:t>
                  </w:r>
                </w:p>
                <w:p w14:paraId="32B77DD1">
                  <w:pPr>
                    <w:pStyle w:val="9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④出入库前均按收货单据进行查验、登记，查验内容包括：数量、包装、危险标志、安全技术说明书、安全标签、检验合格证；</w:t>
                  </w:r>
                </w:p>
                <w:p w14:paraId="40F49A39">
                  <w:pPr>
                    <w:pStyle w:val="9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⑤使用部门和作业人员均遵守各项安全制度和作业指导书，掌握正确的使用方法和事故应急措施。使用部门已加强设备管理，杜绝化学危险品的跑、冒、滴、漏。</w:t>
                  </w:r>
                </w:p>
              </w:tc>
            </w:tr>
            <w:tr w14:paraId="253AD8C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886" w:type="dxa"/>
                  <w:tcBorders>
                    <w:tl2br w:val="nil"/>
                    <w:tr2bl w:val="nil"/>
                  </w:tcBorders>
                  <w:vAlign w:val="center"/>
                </w:tcPr>
                <w:p w14:paraId="2B504522">
                  <w:pPr>
                    <w:pStyle w:val="17"/>
                    <w:numPr>
                      <w:ilvl w:val="0"/>
                      <w:numId w:val="0"/>
                    </w:numPr>
                    <w:tabs>
                      <w:tab w:val="clear" w:pos="2040"/>
                    </w:tabs>
                    <w:jc w:val="center"/>
                    <w:rPr>
                      <w:rFonts w:hint="default" w:ascii="Times New Roman" w:hAnsi="Times New Roman" w:eastAsia="仿宋_GB2312" w:cs="Times New Roman"/>
                      <w:b/>
                      <w:bCs/>
                    </w:rPr>
                  </w:pPr>
                  <w:r>
                    <w:rPr>
                      <w:rFonts w:hint="default" w:ascii="Times New Roman" w:hAnsi="Times New Roman" w:eastAsia="仿宋_GB2312" w:cs="Times New Roman"/>
                      <w:b/>
                      <w:bCs/>
                    </w:rPr>
                    <w:t>生产车间风险防范措施</w:t>
                  </w:r>
                </w:p>
              </w:tc>
              <w:tc>
                <w:tcPr>
                  <w:tcW w:w="6524" w:type="dxa"/>
                  <w:tcBorders>
                    <w:tl2br w:val="nil"/>
                    <w:tr2bl w:val="nil"/>
                  </w:tcBorders>
                  <w:vAlign w:val="center"/>
                </w:tcPr>
                <w:p w14:paraId="6CC662A0">
                  <w:pPr>
                    <w:pStyle w:val="9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①原料桶不得露天堆放，储存于阴凉通风房间内，远离火种、热源，防止阳光直射，应与易燃或可燃物分开存放。搬运时轻装轻卸，防止原料桶破损或倾倒。</w:t>
                  </w:r>
                </w:p>
                <w:p w14:paraId="1AC4ED67">
                  <w:pPr>
                    <w:pStyle w:val="9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②划定禁火区，在明显地点设有警示标志，输配电线、灯具、火灾事故照明和疏散指示标志均应符合安全要求；严禁未安装灭火装置的车辆出入生产装置区。</w:t>
                  </w:r>
                </w:p>
                <w:p w14:paraId="5737CADF">
                  <w:pPr>
                    <w:pStyle w:val="9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③在液体原料贮存仓库设环形沟，并进行地面防渗；发生大量泄漏：引流入环形沟收容；用泡沫覆盖，抑制蒸发；</w:t>
                  </w:r>
                  <w:r>
                    <w:rPr>
                      <w:rFonts w:hint="eastAsia" w:ascii="Times New Roman" w:hAnsi="Times New Roman" w:eastAsia="仿宋_GB2312" w:cs="Times New Roman"/>
                      <w:kern w:val="2"/>
                      <w:sz w:val="21"/>
                      <w:szCs w:val="21"/>
                      <w:lang w:val="en-US" w:eastAsia="zh-CN" w:bidi="ar-SA"/>
                    </w:rPr>
                    <w:t>少量</w:t>
                  </w:r>
                  <w:r>
                    <w:rPr>
                      <w:rFonts w:hint="default" w:ascii="Times New Roman" w:hAnsi="Times New Roman" w:eastAsia="仿宋_GB2312" w:cs="Times New Roman"/>
                      <w:kern w:val="2"/>
                      <w:sz w:val="21"/>
                      <w:szCs w:val="21"/>
                      <w:lang w:val="en-US" w:eastAsia="zh-CN" w:bidi="ar-SA"/>
                    </w:rPr>
                    <w:t>泄漏时应用活性炭或其他惰性材料吸收。</w:t>
                  </w:r>
                </w:p>
              </w:tc>
            </w:tr>
            <w:tr w14:paraId="61C50EA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886" w:type="dxa"/>
                  <w:tcBorders>
                    <w:tl2br w:val="nil"/>
                    <w:tr2bl w:val="nil"/>
                  </w:tcBorders>
                  <w:vAlign w:val="center"/>
                </w:tcPr>
                <w:p w14:paraId="58402EDE">
                  <w:pPr>
                    <w:pStyle w:val="17"/>
                    <w:numPr>
                      <w:ilvl w:val="0"/>
                      <w:numId w:val="0"/>
                    </w:numPr>
                    <w:tabs>
                      <w:tab w:val="clear" w:pos="2040"/>
                    </w:tabs>
                    <w:jc w:val="center"/>
                    <w:rPr>
                      <w:rFonts w:hint="default" w:ascii="Times New Roman" w:hAnsi="Times New Roman" w:eastAsia="仿宋_GB2312" w:cs="Times New Roman"/>
                      <w:b/>
                      <w:bCs/>
                    </w:rPr>
                  </w:pPr>
                  <w:r>
                    <w:rPr>
                      <w:rFonts w:hint="default" w:ascii="Times New Roman" w:hAnsi="Times New Roman" w:eastAsia="仿宋_GB2312" w:cs="Times New Roman"/>
                      <w:b/>
                      <w:bCs/>
                    </w:rPr>
                    <w:t>运输过程风险防范措施</w:t>
                  </w:r>
                </w:p>
              </w:tc>
              <w:tc>
                <w:tcPr>
                  <w:tcW w:w="6524" w:type="dxa"/>
                  <w:tcBorders>
                    <w:tl2br w:val="nil"/>
                    <w:tr2bl w:val="nil"/>
                  </w:tcBorders>
                  <w:vAlign w:val="center"/>
                </w:tcPr>
                <w:p w14:paraId="6BBC4E8F">
                  <w:pPr>
                    <w:pStyle w:val="9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①在运输途中，由于各种意外原因，产生汽车翻车、物料泄漏等，危险货物有可能散落、抛出至大气、水体或陆域，造成重大环境灾害，对于这类风险事故，立即采取应急措施，包括工程应急措施和社会救援应急预案。</w:t>
                  </w:r>
                </w:p>
                <w:p w14:paraId="0403A802">
                  <w:pPr>
                    <w:pStyle w:val="9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②运输过程严格执行《危险货物运输包装通用技术条件》（GB12463-2009）和《危险货物道路运输规则》（JT/T617），并配备相应</w:t>
                  </w:r>
                  <w:r>
                    <w:rPr>
                      <w:rFonts w:hint="eastAsia" w:ascii="Times New Roman" w:hAnsi="Times New Roman" w:eastAsia="仿宋_GB2312" w:cs="Times New Roman"/>
                      <w:kern w:val="2"/>
                      <w:sz w:val="21"/>
                      <w:szCs w:val="21"/>
                      <w:lang w:val="en-US" w:eastAsia="zh-CN" w:bidi="ar-SA"/>
                    </w:rPr>
                    <w:t>的</w:t>
                  </w:r>
                  <w:r>
                    <w:rPr>
                      <w:rFonts w:hint="default" w:ascii="Times New Roman" w:hAnsi="Times New Roman" w:eastAsia="仿宋_GB2312" w:cs="Times New Roman"/>
                      <w:kern w:val="2"/>
                      <w:sz w:val="21"/>
                      <w:szCs w:val="21"/>
                      <w:lang w:val="en-US" w:eastAsia="zh-CN" w:bidi="ar-SA"/>
                    </w:rPr>
                    <w:t>应急物资和设备；装卸过程按要求防震、防撞、防倾斜；断火源、禁火种；通风和降温。</w:t>
                  </w:r>
                </w:p>
                <w:p w14:paraId="650CA322">
                  <w:pPr>
                    <w:pStyle w:val="9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③危化品运输时严格，按照交警部门规定的时间和线路行驶，同时车速遵循交通法所规定的路况限速要求，避免发生交通事故。</w:t>
                  </w:r>
                </w:p>
              </w:tc>
            </w:tr>
            <w:tr w14:paraId="23A1830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886" w:type="dxa"/>
                  <w:tcBorders>
                    <w:tl2br w:val="nil"/>
                    <w:tr2bl w:val="nil"/>
                  </w:tcBorders>
                  <w:vAlign w:val="center"/>
                </w:tcPr>
                <w:p w14:paraId="0DEE0272">
                  <w:pPr>
                    <w:pStyle w:val="17"/>
                    <w:numPr>
                      <w:ilvl w:val="0"/>
                      <w:numId w:val="0"/>
                    </w:numPr>
                    <w:tabs>
                      <w:tab w:val="clear" w:pos="2040"/>
                    </w:tabs>
                    <w:jc w:val="center"/>
                    <w:rPr>
                      <w:rFonts w:hint="default" w:ascii="Times New Roman" w:hAnsi="Times New Roman" w:eastAsia="仿宋_GB2312" w:cs="Times New Roman"/>
                      <w:b/>
                      <w:bCs/>
                    </w:rPr>
                  </w:pPr>
                  <w:r>
                    <w:rPr>
                      <w:rFonts w:hint="default" w:ascii="Times New Roman" w:hAnsi="Times New Roman" w:eastAsia="仿宋_GB2312" w:cs="Times New Roman"/>
                      <w:b/>
                      <w:bCs/>
                    </w:rPr>
                    <w:t>废水污染事故防范</w:t>
                  </w:r>
                </w:p>
              </w:tc>
              <w:tc>
                <w:tcPr>
                  <w:tcW w:w="6524" w:type="dxa"/>
                  <w:tcBorders>
                    <w:tl2br w:val="nil"/>
                    <w:tr2bl w:val="nil"/>
                  </w:tcBorders>
                  <w:vAlign w:val="center"/>
                </w:tcPr>
                <w:p w14:paraId="53A59E97">
                  <w:pPr>
                    <w:pStyle w:val="9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①对设备加强管理，对管道、阀门、接口处进行定期检查，防止泄漏；</w:t>
                  </w:r>
                </w:p>
                <w:p w14:paraId="3797C9EB">
                  <w:pPr>
                    <w:pStyle w:val="9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②定期排查并消除可能导致事故的诱因，加强安全管理。</w:t>
                  </w:r>
                </w:p>
              </w:tc>
            </w:tr>
            <w:tr w14:paraId="57F41C5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886" w:type="dxa"/>
                  <w:tcBorders>
                    <w:tl2br w:val="nil"/>
                    <w:tr2bl w:val="nil"/>
                  </w:tcBorders>
                  <w:vAlign w:val="center"/>
                </w:tcPr>
                <w:p w14:paraId="02ED21E8">
                  <w:pPr>
                    <w:pStyle w:val="17"/>
                    <w:numPr>
                      <w:ilvl w:val="0"/>
                      <w:numId w:val="0"/>
                    </w:numPr>
                    <w:tabs>
                      <w:tab w:val="clear" w:pos="2040"/>
                    </w:tabs>
                    <w:jc w:val="center"/>
                    <w:rPr>
                      <w:rFonts w:hint="default" w:ascii="Times New Roman" w:hAnsi="Times New Roman" w:eastAsia="仿宋_GB2312" w:cs="Times New Roman"/>
                      <w:b/>
                      <w:bCs/>
                    </w:rPr>
                  </w:pPr>
                  <w:r>
                    <w:rPr>
                      <w:rFonts w:hint="default" w:ascii="Times New Roman" w:hAnsi="Times New Roman" w:eastAsia="仿宋_GB2312" w:cs="Times New Roman"/>
                      <w:b/>
                      <w:bCs/>
                    </w:rPr>
                    <w:t>废气污染事故防范</w:t>
                  </w:r>
                </w:p>
              </w:tc>
              <w:tc>
                <w:tcPr>
                  <w:tcW w:w="6524" w:type="dxa"/>
                  <w:tcBorders>
                    <w:tl2br w:val="nil"/>
                    <w:tr2bl w:val="nil"/>
                  </w:tcBorders>
                  <w:vAlign w:val="center"/>
                </w:tcPr>
                <w:p w14:paraId="2F505C66">
                  <w:pPr>
                    <w:pStyle w:val="9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①平时加强废气处理设施的维护保养，及时发现处理设备的隐患，并及时进行维修，确保废气处理系统正常运行；</w:t>
                  </w:r>
                </w:p>
                <w:p w14:paraId="21DA4B5D">
                  <w:pPr>
                    <w:pStyle w:val="9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②建立健全的环保机构，配置必要的监测仪器，对管理人员和技术人员进行岗位培训，对废气处理实行全过程跟踪控制；</w:t>
                  </w:r>
                </w:p>
                <w:p w14:paraId="5282144A">
                  <w:pPr>
                    <w:pStyle w:val="9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③项目对废气治理措施应定期检查，防止因治理措施故障而造成废气的事故性排放。</w:t>
                  </w:r>
                </w:p>
              </w:tc>
            </w:tr>
            <w:tr w14:paraId="3F8C1ED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886" w:type="dxa"/>
                  <w:tcBorders>
                    <w:tl2br w:val="nil"/>
                    <w:tr2bl w:val="nil"/>
                  </w:tcBorders>
                  <w:vAlign w:val="center"/>
                </w:tcPr>
                <w:p w14:paraId="66D7D843">
                  <w:pPr>
                    <w:pStyle w:val="17"/>
                    <w:numPr>
                      <w:ilvl w:val="0"/>
                      <w:numId w:val="0"/>
                    </w:numPr>
                    <w:tabs>
                      <w:tab w:val="clear" w:pos="2040"/>
                    </w:tabs>
                    <w:jc w:val="center"/>
                    <w:rPr>
                      <w:rFonts w:hint="default" w:ascii="Times New Roman" w:hAnsi="Times New Roman" w:eastAsia="仿宋_GB2312" w:cs="Times New Roman"/>
                      <w:b/>
                      <w:bCs/>
                    </w:rPr>
                  </w:pPr>
                  <w:r>
                    <w:rPr>
                      <w:rFonts w:hint="default" w:ascii="Times New Roman" w:hAnsi="Times New Roman" w:eastAsia="仿宋_GB2312" w:cs="Times New Roman"/>
                      <w:b/>
                      <w:bCs/>
                    </w:rPr>
                    <w:t>危废暂存风险防范</w:t>
                  </w:r>
                </w:p>
              </w:tc>
              <w:tc>
                <w:tcPr>
                  <w:tcW w:w="6524" w:type="dxa"/>
                  <w:tcBorders>
                    <w:tl2br w:val="nil"/>
                    <w:tr2bl w:val="nil"/>
                  </w:tcBorders>
                  <w:vAlign w:val="center"/>
                </w:tcPr>
                <w:p w14:paraId="3A288EE1">
                  <w:pPr>
                    <w:pStyle w:val="9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①危废暂存间设置和危废贮存均满足《危险废物贮存污染控制标准》（GB18597-2023）。</w:t>
                  </w:r>
                </w:p>
                <w:p w14:paraId="2A3F3767">
                  <w:pPr>
                    <w:pStyle w:val="9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②危废库运行管理人员均参加了岗位培训，合格后上岗。</w:t>
                  </w:r>
                </w:p>
                <w:p w14:paraId="0F0BE501">
                  <w:pPr>
                    <w:pStyle w:val="9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③危废库内已配备了一定数量的灭火器、消防沙、消火栓等消防设施，并定期对消防器材检查。</w:t>
                  </w:r>
                </w:p>
              </w:tc>
            </w:tr>
            <w:tr w14:paraId="3F51131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886" w:type="dxa"/>
                  <w:tcBorders>
                    <w:tl2br w:val="nil"/>
                    <w:tr2bl w:val="nil"/>
                  </w:tcBorders>
                  <w:vAlign w:val="center"/>
                </w:tcPr>
                <w:p w14:paraId="6233AC0E">
                  <w:pPr>
                    <w:pStyle w:val="17"/>
                    <w:numPr>
                      <w:ilvl w:val="0"/>
                      <w:numId w:val="0"/>
                    </w:numPr>
                    <w:tabs>
                      <w:tab w:val="clear" w:pos="2040"/>
                    </w:tabs>
                    <w:jc w:val="center"/>
                    <w:rPr>
                      <w:rFonts w:hint="default" w:ascii="Times New Roman" w:hAnsi="Times New Roman" w:eastAsia="仿宋_GB2312" w:cs="Times New Roman"/>
                      <w:b/>
                      <w:bCs/>
                    </w:rPr>
                  </w:pPr>
                  <w:r>
                    <w:rPr>
                      <w:rFonts w:hint="default" w:ascii="Times New Roman" w:hAnsi="Times New Roman" w:eastAsia="仿宋_GB2312" w:cs="Times New Roman"/>
                      <w:b/>
                      <w:bCs/>
                    </w:rPr>
                    <w:t>火灾事故风险防范措施</w:t>
                  </w:r>
                </w:p>
              </w:tc>
              <w:tc>
                <w:tcPr>
                  <w:tcW w:w="6524" w:type="dxa"/>
                  <w:tcBorders>
                    <w:tl2br w:val="nil"/>
                    <w:tr2bl w:val="nil"/>
                  </w:tcBorders>
                  <w:vAlign w:val="center"/>
                </w:tcPr>
                <w:p w14:paraId="3F4E0DA8">
                  <w:pPr>
                    <w:pStyle w:val="9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①各种易燃易爆物料均储存在阴凉、通风处，远离火源。</w:t>
                  </w:r>
                </w:p>
                <w:p w14:paraId="0D3E30A8">
                  <w:pPr>
                    <w:pStyle w:val="9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②根据《建筑设计防火规范》的要求设置了消防栓、灭火器等设施；消防水是独立的稳高压消防水管网，消防水管道在实验区周围布置，在走廊配置消火栓。灭火器采用泡沫灭火系统或干粉灭火系统。</w:t>
                  </w:r>
                </w:p>
                <w:p w14:paraId="182804A5">
                  <w:pPr>
                    <w:pStyle w:val="9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③全厂设有火灾自动报警系统。</w:t>
                  </w:r>
                </w:p>
              </w:tc>
            </w:tr>
            <w:tr w14:paraId="3124F66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886" w:type="dxa"/>
                  <w:tcBorders>
                    <w:tl2br w:val="nil"/>
                    <w:tr2bl w:val="nil"/>
                  </w:tcBorders>
                  <w:vAlign w:val="center"/>
                </w:tcPr>
                <w:p w14:paraId="246EFED5">
                  <w:pPr>
                    <w:pStyle w:val="17"/>
                    <w:numPr>
                      <w:ilvl w:val="0"/>
                      <w:numId w:val="0"/>
                    </w:numPr>
                    <w:tabs>
                      <w:tab w:val="clear" w:pos="2040"/>
                    </w:tabs>
                    <w:jc w:val="center"/>
                    <w:rPr>
                      <w:rFonts w:hint="default" w:ascii="Times New Roman" w:hAnsi="Times New Roman" w:eastAsia="仿宋_GB2312" w:cs="Times New Roman"/>
                      <w:b/>
                      <w:bCs/>
                    </w:rPr>
                  </w:pPr>
                  <w:r>
                    <w:rPr>
                      <w:rFonts w:hint="default" w:ascii="Times New Roman" w:hAnsi="Times New Roman" w:eastAsia="仿宋_GB2312" w:cs="Times New Roman"/>
                      <w:b/>
                      <w:bCs/>
                    </w:rPr>
                    <w:t>次/伴生污染防治措施</w:t>
                  </w:r>
                </w:p>
              </w:tc>
              <w:tc>
                <w:tcPr>
                  <w:tcW w:w="6524" w:type="dxa"/>
                  <w:tcBorders>
                    <w:tl2br w:val="nil"/>
                    <w:tr2bl w:val="nil"/>
                  </w:tcBorders>
                  <w:vAlign w:val="center"/>
                </w:tcPr>
                <w:p w14:paraId="5591A558">
                  <w:pPr>
                    <w:pStyle w:val="9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①发生火灾后，迅速移走火灾区边界易燃、可燃物。首先，要进行灭火，降低着火时间，喷相应的灭火剂等措施减少烟尘、CO 、NOx 等燃烧产物对环境空气造成的影响。</w:t>
                  </w:r>
                </w:p>
                <w:p w14:paraId="722EAA17">
                  <w:pPr>
                    <w:pStyle w:val="9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②废灭火剂、拦截、堵漏材料等在事故排放后统一收集送有资质单位进行处理。</w:t>
                  </w:r>
                </w:p>
              </w:tc>
            </w:tr>
            <w:tr w14:paraId="69A2F72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886" w:type="dxa"/>
                  <w:tcBorders>
                    <w:tl2br w:val="nil"/>
                    <w:tr2bl w:val="nil"/>
                  </w:tcBorders>
                  <w:vAlign w:val="center"/>
                </w:tcPr>
                <w:p w14:paraId="57FB32BE">
                  <w:pPr>
                    <w:pStyle w:val="17"/>
                    <w:numPr>
                      <w:ilvl w:val="0"/>
                      <w:numId w:val="0"/>
                    </w:numPr>
                    <w:tabs>
                      <w:tab w:val="clear" w:pos="2040"/>
                    </w:tabs>
                    <w:jc w:val="center"/>
                    <w:rPr>
                      <w:rFonts w:hint="default" w:ascii="Times New Roman" w:hAnsi="Times New Roman" w:eastAsia="仿宋_GB2312" w:cs="Times New Roman"/>
                      <w:b/>
                      <w:bCs/>
                    </w:rPr>
                  </w:pPr>
                  <w:r>
                    <w:rPr>
                      <w:rFonts w:hint="default" w:ascii="Times New Roman" w:hAnsi="Times New Roman" w:eastAsia="仿宋_GB2312" w:cs="Times New Roman"/>
                      <w:b/>
                      <w:bCs/>
                    </w:rPr>
                    <w:t>建立与周边企业、园区相衔接的管理体系</w:t>
                  </w:r>
                </w:p>
              </w:tc>
              <w:tc>
                <w:tcPr>
                  <w:tcW w:w="6524" w:type="dxa"/>
                  <w:tcBorders>
                    <w:tl2br w:val="nil"/>
                    <w:tr2bl w:val="nil"/>
                  </w:tcBorders>
                  <w:vAlign w:val="center"/>
                </w:tcPr>
                <w:p w14:paraId="486952D5">
                  <w:pPr>
                    <w:pStyle w:val="9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①应急救援物资的衔接：当企业应急救援物资不能满足事故现场需求时，可在应急指挥中心协调下向邻近企业请求援助，以免风险事故的扩大，同时应服从调度，对其他单位援助请求进行帮助。</w:t>
                  </w:r>
                </w:p>
                <w:p w14:paraId="2AE29D40">
                  <w:pPr>
                    <w:pStyle w:val="9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②应急培训计划的衔接：企业在开展应急培训计划的同时，还应积极配合开发区、市区开展的应急培训计划，在发生风险事故时，及时与开发区应急组织取得联系。</w:t>
                  </w:r>
                </w:p>
                <w:p w14:paraId="44182BE9">
                  <w:pPr>
                    <w:pStyle w:val="9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③信息通报系统：建设畅通的信息通道，应急指挥部与周边企业、开发区管委会及周边社区居委会保持 24 小时的电话联系。一旦发生风险事故，可在第一时间通知相关单位组织疏散、撤离。</w:t>
                  </w:r>
                </w:p>
              </w:tc>
            </w:tr>
            <w:tr w14:paraId="5E28A9F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886" w:type="dxa"/>
                  <w:tcBorders>
                    <w:tl2br w:val="nil"/>
                    <w:tr2bl w:val="nil"/>
                  </w:tcBorders>
                  <w:vAlign w:val="center"/>
                </w:tcPr>
                <w:p w14:paraId="18185D53">
                  <w:pPr>
                    <w:pStyle w:val="17"/>
                    <w:numPr>
                      <w:ilvl w:val="0"/>
                      <w:numId w:val="0"/>
                    </w:numPr>
                    <w:tabs>
                      <w:tab w:val="clear" w:pos="2040"/>
                    </w:tabs>
                    <w:jc w:val="center"/>
                    <w:rPr>
                      <w:rFonts w:hint="default" w:ascii="Times New Roman" w:hAnsi="Times New Roman" w:eastAsia="仿宋_GB2312" w:cs="Times New Roman"/>
                      <w:b/>
                      <w:bCs/>
                    </w:rPr>
                  </w:pPr>
                  <w:r>
                    <w:rPr>
                      <w:rFonts w:hint="default" w:ascii="Times New Roman" w:hAnsi="Times New Roman" w:eastAsia="仿宋_GB2312" w:cs="Times New Roman"/>
                      <w:b/>
                      <w:bCs/>
                    </w:rPr>
                    <w:t>其他风险事故防范措施</w:t>
                  </w:r>
                </w:p>
              </w:tc>
              <w:tc>
                <w:tcPr>
                  <w:tcW w:w="6524" w:type="dxa"/>
                  <w:tcBorders>
                    <w:tl2br w:val="nil"/>
                    <w:tr2bl w:val="nil"/>
                  </w:tcBorders>
                  <w:vAlign w:val="center"/>
                </w:tcPr>
                <w:p w14:paraId="40845EC4">
                  <w:pPr>
                    <w:pStyle w:val="9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①安全教育已纳入公司经营管理范畴，公司完善了安全组织结构；成立了事故应急救援指挥领导小组，组织专业救援队伍，明确各自职责，并配备相应的应急设施、设备和材料。</w:t>
                  </w:r>
                </w:p>
                <w:p w14:paraId="2B352877">
                  <w:pPr>
                    <w:pStyle w:val="9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②公司将加强安全卫生培训，掌握处理事故的技能，加强技术防范，杜绝危害职工健康事故的发生。</w:t>
                  </w:r>
                </w:p>
              </w:tc>
            </w:tr>
          </w:tbl>
          <w:p w14:paraId="49AC7FA5">
            <w:pPr>
              <w:adjustRightInd w:val="0"/>
              <w:snapToGrid w:val="0"/>
              <w:spacing w:line="360" w:lineRule="auto"/>
              <w:ind w:firstLine="422" w:firstLineChars="200"/>
              <w:rPr>
                <w:rFonts w:hint="eastAsia" w:eastAsia="仿宋_GB2312"/>
                <w:b/>
                <w:bCs/>
                <w:snapToGrid w:val="0"/>
                <w:szCs w:val="24"/>
              </w:rPr>
            </w:pPr>
            <w:r>
              <w:rPr>
                <w:rFonts w:hint="eastAsia" w:eastAsia="仿宋_GB2312"/>
                <w:b/>
                <w:bCs/>
                <w:snapToGrid w:val="0"/>
                <w:szCs w:val="24"/>
                <w:lang w:val="en-US" w:eastAsia="zh-CN"/>
              </w:rPr>
              <w:t>8</w:t>
            </w:r>
            <w:r>
              <w:rPr>
                <w:rFonts w:hint="eastAsia" w:eastAsia="仿宋_GB2312"/>
                <w:b/>
                <w:bCs/>
                <w:snapToGrid w:val="0"/>
                <w:szCs w:val="24"/>
              </w:rPr>
              <w:t>、现有项目存在问题及“以新带老”</w:t>
            </w:r>
          </w:p>
          <w:p w14:paraId="025FEB5A">
            <w:pPr>
              <w:adjustRightInd w:val="0"/>
              <w:snapToGrid w:val="0"/>
              <w:spacing w:line="360" w:lineRule="auto"/>
              <w:ind w:firstLine="420" w:firstLineChars="200"/>
              <w:rPr>
                <w:rFonts w:hint="eastAsia" w:eastAsia="仿宋_GB2312"/>
                <w:snapToGrid w:val="0"/>
                <w:szCs w:val="24"/>
                <w:lang w:eastAsia="zh-CN"/>
              </w:rPr>
            </w:pPr>
            <w:r>
              <w:rPr>
                <w:rFonts w:hint="eastAsia" w:eastAsia="仿宋_GB2312"/>
                <w:snapToGrid w:val="0"/>
                <w:szCs w:val="24"/>
                <w:lang w:eastAsia="zh-CN"/>
              </w:rPr>
              <w:t>现有项目主要环境问题及以新带老措施见下表：</w:t>
            </w:r>
          </w:p>
          <w:p w14:paraId="39FD1044">
            <w:pPr>
              <w:pStyle w:val="17"/>
              <w:numPr>
                <w:ilvl w:val="0"/>
                <w:numId w:val="0"/>
              </w:numPr>
              <w:tabs>
                <w:tab w:val="clear" w:pos="2040"/>
              </w:tabs>
              <w:spacing w:line="360" w:lineRule="auto"/>
              <w:jc w:val="center"/>
              <w:rPr>
                <w:rFonts w:hint="eastAsia" w:ascii="Times New Roman" w:hAnsi="Times New Roman" w:eastAsia="仿宋_GB2312" w:cs="Times New Roman"/>
                <w:b/>
                <w:bCs/>
                <w:snapToGrid w:val="0"/>
                <w:kern w:val="0"/>
                <w:sz w:val="21"/>
                <w:szCs w:val="21"/>
                <w:lang w:val="en-US" w:eastAsia="zh-CN" w:bidi="ar-SA"/>
              </w:rPr>
            </w:pPr>
            <w:r>
              <w:rPr>
                <w:rFonts w:hint="eastAsia" w:ascii="Times New Roman" w:hAnsi="Times New Roman" w:eastAsia="仿宋_GB2312" w:cs="Times New Roman"/>
                <w:b/>
                <w:bCs/>
                <w:snapToGrid w:val="0"/>
                <w:kern w:val="0"/>
                <w:lang w:val="en-US" w:eastAsia="zh-CN"/>
              </w:rPr>
              <w:t>表2-</w:t>
            </w:r>
            <w:r>
              <w:rPr>
                <w:rFonts w:hint="eastAsia" w:eastAsia="仿宋_GB2312" w:cs="Times New Roman"/>
                <w:b/>
                <w:bCs/>
                <w:snapToGrid w:val="0"/>
                <w:kern w:val="0"/>
                <w:lang w:val="en-US" w:eastAsia="zh-CN"/>
              </w:rPr>
              <w:t>21</w:t>
            </w:r>
            <w:r>
              <w:rPr>
                <w:rFonts w:hint="eastAsia" w:ascii="Times New Roman" w:hAnsi="Times New Roman" w:eastAsia="仿宋_GB2312" w:cs="Times New Roman"/>
                <w:b/>
                <w:bCs/>
                <w:snapToGrid w:val="0"/>
                <w:kern w:val="0"/>
                <w:lang w:val="en-US" w:eastAsia="zh-CN"/>
              </w:rPr>
              <w:t xml:space="preserve">  </w:t>
            </w:r>
            <w:r>
              <w:rPr>
                <w:rFonts w:hint="eastAsia" w:ascii="Times New Roman" w:hAnsi="Times New Roman" w:eastAsia="仿宋_GB2312" w:cs="Times New Roman"/>
                <w:b/>
                <w:bCs/>
                <w:snapToGrid w:val="0"/>
                <w:kern w:val="0"/>
                <w:sz w:val="21"/>
                <w:szCs w:val="21"/>
                <w:lang w:val="en-US" w:eastAsia="zh-CN" w:bidi="ar-SA"/>
              </w:rPr>
              <w:t>现有项目主要环境问题及以新带老措施一览表</w:t>
            </w:r>
          </w:p>
          <w:tbl>
            <w:tblPr>
              <w:tblStyle w:val="32"/>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09"/>
              <w:gridCol w:w="2304"/>
              <w:gridCol w:w="4575"/>
              <w:gridCol w:w="1071"/>
            </w:tblGrid>
            <w:tr w14:paraId="057EC3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9" w:type="dxa"/>
                  <w:tcBorders>
                    <w:tl2br w:val="nil"/>
                    <w:tr2bl w:val="nil"/>
                  </w:tcBorders>
                  <w:vAlign w:val="center"/>
                </w:tcPr>
                <w:p w14:paraId="53888E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仿宋_GB2312"/>
                      <w:b/>
                      <w:bCs/>
                      <w:snapToGrid w:val="0"/>
                      <w:szCs w:val="24"/>
                      <w:vertAlign w:val="baseline"/>
                      <w:lang w:val="en-US" w:eastAsia="zh-CN"/>
                    </w:rPr>
                  </w:pPr>
                  <w:r>
                    <w:rPr>
                      <w:rFonts w:hint="eastAsia" w:eastAsia="仿宋_GB2312"/>
                      <w:b/>
                      <w:bCs/>
                      <w:snapToGrid w:val="0"/>
                      <w:szCs w:val="24"/>
                      <w:vertAlign w:val="baseline"/>
                      <w:lang w:val="en-US" w:eastAsia="zh-CN"/>
                    </w:rPr>
                    <w:t>序号</w:t>
                  </w:r>
                </w:p>
              </w:tc>
              <w:tc>
                <w:tcPr>
                  <w:tcW w:w="2304" w:type="dxa"/>
                  <w:tcBorders>
                    <w:tl2br w:val="nil"/>
                    <w:tr2bl w:val="nil"/>
                  </w:tcBorders>
                  <w:vAlign w:val="center"/>
                </w:tcPr>
                <w:p w14:paraId="048E48A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仿宋_GB2312"/>
                      <w:b/>
                      <w:bCs/>
                      <w:snapToGrid w:val="0"/>
                      <w:szCs w:val="24"/>
                      <w:vertAlign w:val="baseline"/>
                      <w:lang w:val="en-US" w:eastAsia="zh-CN"/>
                    </w:rPr>
                  </w:pPr>
                  <w:r>
                    <w:rPr>
                      <w:rFonts w:hint="eastAsia" w:eastAsia="仿宋_GB2312"/>
                      <w:b/>
                      <w:bCs/>
                      <w:snapToGrid w:val="0"/>
                      <w:szCs w:val="24"/>
                      <w:vertAlign w:val="baseline"/>
                      <w:lang w:val="en-US" w:eastAsia="zh-CN"/>
                    </w:rPr>
                    <w:t>现有项目主要环境问题</w:t>
                  </w:r>
                </w:p>
              </w:tc>
              <w:tc>
                <w:tcPr>
                  <w:tcW w:w="4575" w:type="dxa"/>
                  <w:tcBorders>
                    <w:tl2br w:val="nil"/>
                    <w:tr2bl w:val="nil"/>
                  </w:tcBorders>
                  <w:vAlign w:val="center"/>
                </w:tcPr>
                <w:p w14:paraId="6786813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仿宋_GB2312"/>
                      <w:b/>
                      <w:bCs/>
                      <w:snapToGrid w:val="0"/>
                      <w:szCs w:val="24"/>
                      <w:vertAlign w:val="baseline"/>
                      <w:lang w:val="en-US" w:eastAsia="zh-CN"/>
                    </w:rPr>
                  </w:pPr>
                  <w:r>
                    <w:rPr>
                      <w:rFonts w:hint="eastAsia" w:eastAsia="仿宋_GB2312"/>
                      <w:b/>
                      <w:bCs/>
                      <w:snapToGrid w:val="0"/>
                      <w:szCs w:val="24"/>
                      <w:vertAlign w:val="baseline"/>
                      <w:lang w:val="en-US" w:eastAsia="zh-CN"/>
                    </w:rPr>
                    <w:t>“以新带老”措施</w:t>
                  </w:r>
                </w:p>
              </w:tc>
              <w:tc>
                <w:tcPr>
                  <w:tcW w:w="1071" w:type="dxa"/>
                  <w:tcBorders>
                    <w:tl2br w:val="nil"/>
                    <w:tr2bl w:val="nil"/>
                  </w:tcBorders>
                  <w:vAlign w:val="center"/>
                </w:tcPr>
                <w:p w14:paraId="2635FCD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仿宋_GB2312"/>
                      <w:b/>
                      <w:bCs/>
                      <w:snapToGrid w:val="0"/>
                      <w:szCs w:val="24"/>
                      <w:vertAlign w:val="baseline"/>
                      <w:lang w:val="en-US" w:eastAsia="zh-CN"/>
                    </w:rPr>
                  </w:pPr>
                  <w:r>
                    <w:rPr>
                      <w:rFonts w:hint="eastAsia" w:eastAsia="仿宋_GB2312"/>
                      <w:b/>
                      <w:bCs/>
                      <w:snapToGrid w:val="0"/>
                      <w:szCs w:val="24"/>
                      <w:vertAlign w:val="baseline"/>
                      <w:lang w:val="en-US" w:eastAsia="zh-CN"/>
                    </w:rPr>
                    <w:t>整改时间</w:t>
                  </w:r>
                </w:p>
              </w:tc>
            </w:tr>
            <w:tr w14:paraId="196BFC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9" w:type="dxa"/>
                  <w:tcBorders>
                    <w:tl2br w:val="nil"/>
                    <w:tr2bl w:val="nil"/>
                  </w:tcBorders>
                  <w:vAlign w:val="center"/>
                </w:tcPr>
                <w:p w14:paraId="758EEDD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仿宋_GB2312"/>
                      <w:snapToGrid w:val="0"/>
                      <w:szCs w:val="24"/>
                      <w:lang w:val="en-US" w:eastAsia="zh-CN"/>
                    </w:rPr>
                  </w:pPr>
                  <w:r>
                    <w:rPr>
                      <w:rFonts w:hint="eastAsia" w:eastAsia="仿宋_GB2312"/>
                      <w:snapToGrid w:val="0"/>
                      <w:szCs w:val="24"/>
                      <w:lang w:val="en-US" w:eastAsia="zh-CN"/>
                    </w:rPr>
                    <w:t>1</w:t>
                  </w:r>
                </w:p>
              </w:tc>
              <w:tc>
                <w:tcPr>
                  <w:tcW w:w="2304" w:type="dxa"/>
                  <w:tcBorders>
                    <w:tl2br w:val="nil"/>
                    <w:tr2bl w:val="nil"/>
                  </w:tcBorders>
                  <w:vAlign w:val="center"/>
                </w:tcPr>
                <w:p w14:paraId="318D5B4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仿宋_GB2312"/>
                      <w:snapToGrid w:val="0"/>
                      <w:szCs w:val="24"/>
                      <w:lang w:val="en-US" w:eastAsia="zh-CN"/>
                    </w:rPr>
                  </w:pPr>
                  <w:r>
                    <w:rPr>
                      <w:rFonts w:hint="eastAsia" w:eastAsia="仿宋_GB2312"/>
                      <w:snapToGrid w:val="0"/>
                      <w:szCs w:val="24"/>
                      <w:lang w:val="en-US" w:eastAsia="zh-CN"/>
                    </w:rPr>
                    <w:t>固废仓库未按规定进行设置，未按要求进行分区建设，标志牌未更新完善。</w:t>
                  </w:r>
                </w:p>
              </w:tc>
              <w:tc>
                <w:tcPr>
                  <w:tcW w:w="4575" w:type="dxa"/>
                  <w:tcBorders>
                    <w:tl2br w:val="nil"/>
                    <w:tr2bl w:val="nil"/>
                  </w:tcBorders>
                  <w:vAlign w:val="center"/>
                </w:tcPr>
                <w:p w14:paraId="01C584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仿宋_GB2312"/>
                      <w:snapToGrid w:val="0"/>
                      <w:szCs w:val="24"/>
                      <w:lang w:val="en-US" w:eastAsia="zh-CN"/>
                    </w:rPr>
                  </w:pPr>
                  <w:r>
                    <w:rPr>
                      <w:rFonts w:hint="eastAsia" w:eastAsia="仿宋_GB2312"/>
                      <w:snapToGrid w:val="0"/>
                      <w:szCs w:val="24"/>
                      <w:lang w:val="en-US" w:eastAsia="zh-CN"/>
                    </w:rPr>
                    <w:t>按照规范要求设置危险废物暂存间（符合“三防”要求），按照《环境保护图形标志—固体废物贮存（处置）场》（GB 15562.2-1995修改单）更新环保标志牌。</w:t>
                  </w:r>
                </w:p>
              </w:tc>
              <w:tc>
                <w:tcPr>
                  <w:tcW w:w="1071" w:type="dxa"/>
                  <w:vMerge w:val="restart"/>
                  <w:tcBorders>
                    <w:tl2br w:val="nil"/>
                    <w:tr2bl w:val="nil"/>
                  </w:tcBorders>
                  <w:vAlign w:val="center"/>
                </w:tcPr>
                <w:p w14:paraId="11E9EB7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仿宋_GB2312"/>
                      <w:snapToGrid w:val="0"/>
                      <w:szCs w:val="24"/>
                      <w:lang w:val="en-US" w:eastAsia="zh-CN"/>
                    </w:rPr>
                  </w:pPr>
                  <w:r>
                    <w:rPr>
                      <w:rFonts w:hint="eastAsia" w:eastAsia="仿宋_GB2312"/>
                      <w:snapToGrid w:val="0"/>
                      <w:szCs w:val="24"/>
                      <w:lang w:val="en-US" w:eastAsia="zh-CN"/>
                    </w:rPr>
                    <w:t>本项目竣工验收前</w:t>
                  </w:r>
                </w:p>
              </w:tc>
            </w:tr>
            <w:tr w14:paraId="12CF92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9" w:type="dxa"/>
                  <w:tcBorders>
                    <w:tl2br w:val="nil"/>
                    <w:tr2bl w:val="nil"/>
                  </w:tcBorders>
                  <w:vAlign w:val="center"/>
                </w:tcPr>
                <w:p w14:paraId="246662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仿宋_GB2312"/>
                      <w:snapToGrid w:val="0"/>
                      <w:szCs w:val="24"/>
                      <w:lang w:val="en-US" w:eastAsia="zh-CN"/>
                    </w:rPr>
                  </w:pPr>
                  <w:r>
                    <w:rPr>
                      <w:rFonts w:hint="eastAsia" w:eastAsia="仿宋_GB2312"/>
                      <w:snapToGrid w:val="0"/>
                      <w:szCs w:val="24"/>
                      <w:lang w:val="en-US" w:eastAsia="zh-CN"/>
                    </w:rPr>
                    <w:t>2</w:t>
                  </w:r>
                </w:p>
              </w:tc>
              <w:tc>
                <w:tcPr>
                  <w:tcW w:w="2304" w:type="dxa"/>
                  <w:tcBorders>
                    <w:tl2br w:val="nil"/>
                    <w:tr2bl w:val="nil"/>
                  </w:tcBorders>
                  <w:vAlign w:val="center"/>
                </w:tcPr>
                <w:p w14:paraId="5AC5C1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仿宋_GB2312"/>
                      <w:snapToGrid w:val="0"/>
                      <w:szCs w:val="24"/>
                      <w:lang w:val="en-US" w:eastAsia="zh-CN"/>
                    </w:rPr>
                  </w:pPr>
                  <w:r>
                    <w:rPr>
                      <w:rFonts w:hint="eastAsia" w:eastAsia="仿宋_GB2312"/>
                      <w:snapToGrid w:val="0"/>
                      <w:szCs w:val="24"/>
                      <w:lang w:val="en-US" w:eastAsia="zh-CN"/>
                    </w:rPr>
                    <w:t>废机油实际产生量大于现有环评核算量。</w:t>
                  </w:r>
                </w:p>
              </w:tc>
              <w:tc>
                <w:tcPr>
                  <w:tcW w:w="4575" w:type="dxa"/>
                  <w:tcBorders>
                    <w:tl2br w:val="nil"/>
                    <w:tr2bl w:val="nil"/>
                  </w:tcBorders>
                  <w:vAlign w:val="center"/>
                </w:tcPr>
                <w:p w14:paraId="3E4BEBC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仿宋_GB2312"/>
                      <w:snapToGrid w:val="0"/>
                      <w:szCs w:val="24"/>
                      <w:lang w:val="en-US" w:eastAsia="zh-CN"/>
                    </w:rPr>
                  </w:pPr>
                  <w:r>
                    <w:rPr>
                      <w:rFonts w:hint="eastAsia" w:eastAsia="仿宋_GB2312"/>
                      <w:snapToGrid w:val="0"/>
                      <w:szCs w:val="24"/>
                      <w:lang w:val="en-US" w:eastAsia="zh-CN"/>
                    </w:rPr>
                    <w:t>本项目重新核算废机油产生量。</w:t>
                  </w:r>
                </w:p>
              </w:tc>
              <w:tc>
                <w:tcPr>
                  <w:tcW w:w="1071" w:type="dxa"/>
                  <w:vMerge w:val="continue"/>
                  <w:tcBorders>
                    <w:tl2br w:val="nil"/>
                    <w:tr2bl w:val="nil"/>
                  </w:tcBorders>
                  <w:vAlign w:val="center"/>
                </w:tcPr>
                <w:p w14:paraId="4F973C0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仿宋_GB2312"/>
                      <w:snapToGrid w:val="0"/>
                      <w:szCs w:val="24"/>
                      <w:lang w:val="en-US" w:eastAsia="zh-CN"/>
                    </w:rPr>
                  </w:pPr>
                </w:p>
              </w:tc>
            </w:tr>
            <w:tr w14:paraId="3BF9BD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509" w:type="dxa"/>
                  <w:tcBorders>
                    <w:tl2br w:val="nil"/>
                    <w:tr2bl w:val="nil"/>
                  </w:tcBorders>
                  <w:vAlign w:val="center"/>
                </w:tcPr>
                <w:p w14:paraId="0076E2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仿宋_GB2312"/>
                      <w:snapToGrid w:val="0"/>
                      <w:szCs w:val="24"/>
                      <w:vertAlign w:val="baseline"/>
                      <w:lang w:val="en-US" w:eastAsia="zh-CN"/>
                    </w:rPr>
                  </w:pPr>
                  <w:r>
                    <w:rPr>
                      <w:rFonts w:hint="eastAsia" w:eastAsia="仿宋_GB2312"/>
                      <w:snapToGrid w:val="0"/>
                      <w:szCs w:val="24"/>
                      <w:vertAlign w:val="baseline"/>
                      <w:lang w:val="en-US" w:eastAsia="zh-CN"/>
                    </w:rPr>
                    <w:t>3</w:t>
                  </w:r>
                </w:p>
              </w:tc>
              <w:tc>
                <w:tcPr>
                  <w:tcW w:w="2304" w:type="dxa"/>
                  <w:tcBorders>
                    <w:tl2br w:val="nil"/>
                    <w:tr2bl w:val="nil"/>
                  </w:tcBorders>
                  <w:vAlign w:val="center"/>
                </w:tcPr>
                <w:p w14:paraId="2E15726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仿宋_GB2312"/>
                      <w:snapToGrid w:val="0"/>
                      <w:szCs w:val="24"/>
                      <w:lang w:val="en-US" w:eastAsia="zh-CN"/>
                    </w:rPr>
                  </w:pPr>
                  <w:r>
                    <w:rPr>
                      <w:rFonts w:hint="eastAsia" w:eastAsia="仿宋_GB2312"/>
                      <w:snapToGrid w:val="0"/>
                      <w:szCs w:val="24"/>
                      <w:lang w:val="en-US" w:eastAsia="zh-CN"/>
                    </w:rPr>
                    <w:t>厂内循环水池防腐防渗出现结构性裂缝（混凝土因老化、收缩或荷载过大产生裂缝，破坏池体完整性）。</w:t>
                  </w:r>
                </w:p>
              </w:tc>
              <w:tc>
                <w:tcPr>
                  <w:tcW w:w="4575" w:type="dxa"/>
                  <w:tcBorders>
                    <w:tl2br w:val="nil"/>
                    <w:tr2bl w:val="nil"/>
                  </w:tcBorders>
                  <w:vAlign w:val="center"/>
                </w:tcPr>
                <w:p w14:paraId="71C15ED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仿宋_GB2312"/>
                      <w:snapToGrid w:val="0"/>
                      <w:szCs w:val="24"/>
                      <w:lang w:val="en-US" w:eastAsia="zh-CN"/>
                    </w:rPr>
                  </w:pPr>
                  <w:r>
                    <w:rPr>
                      <w:rFonts w:hint="eastAsia" w:eastAsia="仿宋_GB2312"/>
                      <w:snapToGrid w:val="0"/>
                      <w:szCs w:val="24"/>
                      <w:lang w:val="en-US" w:eastAsia="zh-CN"/>
                    </w:rPr>
                    <w:t>清除破损混凝土部分后，再采用厚度为30cm，抗渗等级为P8（渗透系数≤0.26×10</w:t>
                  </w:r>
                  <w:r>
                    <w:rPr>
                      <w:rFonts w:hint="eastAsia" w:eastAsia="仿宋_GB2312"/>
                      <w:snapToGrid w:val="0"/>
                      <w:szCs w:val="24"/>
                      <w:vertAlign w:val="superscript"/>
                      <w:lang w:val="en-US" w:eastAsia="zh-CN"/>
                    </w:rPr>
                    <w:t>-8</w:t>
                  </w:r>
                  <w:r>
                    <w:rPr>
                      <w:rFonts w:hint="eastAsia" w:eastAsia="仿宋_GB2312"/>
                      <w:snapToGrid w:val="0"/>
                      <w:szCs w:val="24"/>
                      <w:lang w:val="en-US" w:eastAsia="zh-CN"/>
                    </w:rPr>
                    <w:t>cm/s）的混凝土进行防渗处理，并在表面加铺环氧树脂防腐层，使其防渗性能满足Mb≥6.0m、K≤1×10</w:t>
                  </w:r>
                  <w:r>
                    <w:rPr>
                      <w:rFonts w:hint="eastAsia" w:eastAsia="仿宋_GB2312"/>
                      <w:snapToGrid w:val="0"/>
                      <w:szCs w:val="24"/>
                      <w:vertAlign w:val="superscript"/>
                      <w:lang w:val="en-US" w:eastAsia="zh-CN"/>
                    </w:rPr>
                    <w:t>-7</w:t>
                  </w:r>
                  <w:r>
                    <w:rPr>
                      <w:rFonts w:hint="eastAsia" w:eastAsia="仿宋_GB2312"/>
                      <w:snapToGrid w:val="0"/>
                      <w:szCs w:val="24"/>
                      <w:lang w:val="en-US" w:eastAsia="zh-CN"/>
                    </w:rPr>
                    <w:t>cm/s 的防渗技术要求。</w:t>
                  </w:r>
                </w:p>
              </w:tc>
              <w:tc>
                <w:tcPr>
                  <w:tcW w:w="1071" w:type="dxa"/>
                  <w:vMerge w:val="continue"/>
                  <w:tcBorders>
                    <w:tl2br w:val="nil"/>
                    <w:tr2bl w:val="nil"/>
                  </w:tcBorders>
                  <w:vAlign w:val="center"/>
                </w:tcPr>
                <w:p w14:paraId="357ACB4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仿宋_GB2312"/>
                      <w:snapToGrid w:val="0"/>
                      <w:szCs w:val="24"/>
                      <w:lang w:val="en-US" w:eastAsia="zh-CN"/>
                    </w:rPr>
                  </w:pPr>
                </w:p>
              </w:tc>
            </w:tr>
            <w:tr w14:paraId="1B3AD2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509" w:type="dxa"/>
                  <w:tcBorders>
                    <w:tl2br w:val="nil"/>
                    <w:tr2bl w:val="nil"/>
                  </w:tcBorders>
                  <w:vAlign w:val="center"/>
                </w:tcPr>
                <w:p w14:paraId="697ACA7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仿宋_GB2312"/>
                      <w:snapToGrid w:val="0"/>
                      <w:szCs w:val="24"/>
                      <w:vertAlign w:val="baseline"/>
                      <w:lang w:val="en-US" w:eastAsia="zh-CN"/>
                    </w:rPr>
                  </w:pPr>
                  <w:r>
                    <w:rPr>
                      <w:rFonts w:hint="eastAsia" w:eastAsia="仿宋_GB2312"/>
                      <w:snapToGrid w:val="0"/>
                      <w:szCs w:val="24"/>
                      <w:vertAlign w:val="baseline"/>
                      <w:lang w:val="en-US" w:eastAsia="zh-CN"/>
                    </w:rPr>
                    <w:t>4</w:t>
                  </w:r>
                </w:p>
              </w:tc>
              <w:tc>
                <w:tcPr>
                  <w:tcW w:w="2304" w:type="dxa"/>
                  <w:tcBorders>
                    <w:tl2br w:val="nil"/>
                    <w:tr2bl w:val="nil"/>
                  </w:tcBorders>
                  <w:vAlign w:val="center"/>
                </w:tcPr>
                <w:p w14:paraId="02BD83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仿宋_GB2312"/>
                      <w:snapToGrid w:val="0"/>
                      <w:szCs w:val="24"/>
                      <w:lang w:val="en-US" w:eastAsia="zh-CN"/>
                    </w:rPr>
                  </w:pPr>
                  <w:r>
                    <w:rPr>
                      <w:rFonts w:hint="eastAsia" w:eastAsia="仿宋_GB2312"/>
                      <w:snapToGrid w:val="0"/>
                      <w:szCs w:val="24"/>
                      <w:lang w:val="en-US" w:eastAsia="zh-CN"/>
                    </w:rPr>
                    <w:t>部分台账记录缺失。</w:t>
                  </w:r>
                </w:p>
              </w:tc>
              <w:tc>
                <w:tcPr>
                  <w:tcW w:w="4575" w:type="dxa"/>
                  <w:tcBorders>
                    <w:tl2br w:val="nil"/>
                    <w:tr2bl w:val="nil"/>
                  </w:tcBorders>
                  <w:vAlign w:val="center"/>
                </w:tcPr>
                <w:p w14:paraId="2C6C080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仿宋_GB2312"/>
                      <w:snapToGrid w:val="0"/>
                      <w:szCs w:val="24"/>
                      <w:lang w:val="en-US" w:eastAsia="zh-CN"/>
                    </w:rPr>
                  </w:pPr>
                  <w:r>
                    <w:rPr>
                      <w:rFonts w:hint="eastAsia" w:eastAsia="仿宋_GB2312"/>
                      <w:snapToGrid w:val="0"/>
                      <w:szCs w:val="24"/>
                      <w:lang w:val="en-US" w:eastAsia="zh-CN"/>
                    </w:rPr>
                    <w:t>建立并落实台账管理制度。</w:t>
                  </w:r>
                </w:p>
              </w:tc>
              <w:tc>
                <w:tcPr>
                  <w:tcW w:w="1071" w:type="dxa"/>
                  <w:vMerge w:val="continue"/>
                  <w:tcBorders>
                    <w:tl2br w:val="nil"/>
                    <w:tr2bl w:val="nil"/>
                  </w:tcBorders>
                  <w:vAlign w:val="center"/>
                </w:tcPr>
                <w:p w14:paraId="447A2C7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仿宋_GB2312"/>
                      <w:snapToGrid w:val="0"/>
                      <w:szCs w:val="24"/>
                      <w:lang w:val="en-US" w:eastAsia="zh-CN"/>
                    </w:rPr>
                  </w:pPr>
                </w:p>
              </w:tc>
            </w:tr>
            <w:tr w14:paraId="00F6BE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509" w:type="dxa"/>
                  <w:tcBorders>
                    <w:tl2br w:val="nil"/>
                    <w:tr2bl w:val="nil"/>
                  </w:tcBorders>
                  <w:vAlign w:val="center"/>
                </w:tcPr>
                <w:p w14:paraId="3130DC5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仿宋_GB2312"/>
                      <w:snapToGrid w:val="0"/>
                      <w:szCs w:val="24"/>
                      <w:vertAlign w:val="baseline"/>
                      <w:lang w:val="en-US" w:eastAsia="zh-CN"/>
                    </w:rPr>
                  </w:pPr>
                  <w:r>
                    <w:rPr>
                      <w:rFonts w:hint="eastAsia" w:eastAsia="仿宋_GB2312"/>
                      <w:snapToGrid w:val="0"/>
                      <w:szCs w:val="24"/>
                      <w:vertAlign w:val="baseline"/>
                      <w:lang w:val="en-US" w:eastAsia="zh-CN"/>
                    </w:rPr>
                    <w:t>5</w:t>
                  </w:r>
                </w:p>
              </w:tc>
              <w:tc>
                <w:tcPr>
                  <w:tcW w:w="2304" w:type="dxa"/>
                  <w:tcBorders>
                    <w:tl2br w:val="nil"/>
                    <w:tr2bl w:val="nil"/>
                  </w:tcBorders>
                  <w:vAlign w:val="center"/>
                </w:tcPr>
                <w:p w14:paraId="18EE18C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仿宋_GB2312"/>
                      <w:snapToGrid w:val="0"/>
                      <w:szCs w:val="24"/>
                      <w:lang w:val="en-US" w:eastAsia="zh-CN"/>
                    </w:rPr>
                  </w:pPr>
                  <w:r>
                    <w:rPr>
                      <w:rFonts w:hint="eastAsia" w:eastAsia="仿宋_GB2312"/>
                      <w:snapToGrid w:val="0"/>
                      <w:szCs w:val="24"/>
                      <w:lang w:val="en-US" w:eastAsia="zh-CN"/>
                    </w:rPr>
                    <w:t>生产区域部分地面硬化地面破损。</w:t>
                  </w:r>
                </w:p>
              </w:tc>
              <w:tc>
                <w:tcPr>
                  <w:tcW w:w="4575" w:type="dxa"/>
                  <w:tcBorders>
                    <w:tl2br w:val="nil"/>
                    <w:tr2bl w:val="nil"/>
                  </w:tcBorders>
                  <w:vAlign w:val="center"/>
                </w:tcPr>
                <w:p w14:paraId="1B130D1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仿宋_GB2312"/>
                      <w:snapToGrid w:val="0"/>
                      <w:szCs w:val="24"/>
                      <w:lang w:val="en-US" w:eastAsia="zh-CN"/>
                    </w:rPr>
                  </w:pPr>
                  <w:r>
                    <w:rPr>
                      <w:rFonts w:hint="eastAsia" w:eastAsia="仿宋_GB2312"/>
                      <w:snapToGrid w:val="0"/>
                      <w:szCs w:val="24"/>
                      <w:lang w:val="en-US" w:eastAsia="zh-CN"/>
                    </w:rPr>
                    <w:t>对厂区生产区域地面进行硬化，修复破损地面。</w:t>
                  </w:r>
                </w:p>
              </w:tc>
              <w:tc>
                <w:tcPr>
                  <w:tcW w:w="1071" w:type="dxa"/>
                  <w:vMerge w:val="continue"/>
                  <w:tcBorders>
                    <w:tl2br w:val="nil"/>
                    <w:tr2bl w:val="nil"/>
                  </w:tcBorders>
                  <w:vAlign w:val="center"/>
                </w:tcPr>
                <w:p w14:paraId="02691C1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仿宋_GB2312"/>
                      <w:snapToGrid w:val="0"/>
                      <w:szCs w:val="24"/>
                      <w:lang w:val="en-US" w:eastAsia="zh-CN"/>
                    </w:rPr>
                  </w:pPr>
                </w:p>
              </w:tc>
            </w:tr>
            <w:tr w14:paraId="25DCD3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509" w:type="dxa"/>
                  <w:tcBorders>
                    <w:tl2br w:val="nil"/>
                    <w:tr2bl w:val="nil"/>
                  </w:tcBorders>
                  <w:vAlign w:val="center"/>
                </w:tcPr>
                <w:p w14:paraId="124E648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仿宋_GB2312"/>
                      <w:snapToGrid w:val="0"/>
                      <w:szCs w:val="24"/>
                      <w:vertAlign w:val="baseline"/>
                      <w:lang w:val="en-US" w:eastAsia="zh-CN"/>
                    </w:rPr>
                  </w:pPr>
                  <w:r>
                    <w:rPr>
                      <w:rFonts w:hint="eastAsia" w:eastAsia="仿宋_GB2312"/>
                      <w:snapToGrid w:val="0"/>
                      <w:szCs w:val="24"/>
                      <w:vertAlign w:val="baseline"/>
                      <w:lang w:val="en-US" w:eastAsia="zh-CN"/>
                    </w:rPr>
                    <w:t>6</w:t>
                  </w:r>
                </w:p>
              </w:tc>
              <w:tc>
                <w:tcPr>
                  <w:tcW w:w="2304" w:type="dxa"/>
                  <w:tcBorders>
                    <w:tl2br w:val="nil"/>
                    <w:tr2bl w:val="nil"/>
                  </w:tcBorders>
                  <w:vAlign w:val="center"/>
                </w:tcPr>
                <w:p w14:paraId="77E9D5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仿宋_GB2312" w:cs="Times New Roman"/>
                      <w:snapToGrid w:val="0"/>
                      <w:szCs w:val="24"/>
                      <w:lang w:val="en-US" w:eastAsia="zh-CN"/>
                    </w:rPr>
                  </w:pPr>
                  <w:r>
                    <w:rPr>
                      <w:rFonts w:hint="eastAsia" w:ascii="Times New Roman" w:hAnsi="Times New Roman" w:eastAsia="仿宋_GB2312" w:cs="Times New Roman"/>
                      <w:snapToGrid w:val="0"/>
                      <w:szCs w:val="24"/>
                      <w:lang w:val="en-US" w:eastAsia="zh-CN"/>
                    </w:rPr>
                    <w:t>维修车间现场地面存在油污。</w:t>
                  </w:r>
                </w:p>
              </w:tc>
              <w:tc>
                <w:tcPr>
                  <w:tcW w:w="4575" w:type="dxa"/>
                  <w:tcBorders>
                    <w:tl2br w:val="nil"/>
                    <w:tr2bl w:val="nil"/>
                  </w:tcBorders>
                  <w:vAlign w:val="center"/>
                </w:tcPr>
                <w:p w14:paraId="3D40E95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仿宋_GB2312" w:cs="Times New Roman"/>
                      <w:snapToGrid w:val="0"/>
                      <w:szCs w:val="24"/>
                      <w:lang w:val="en-US" w:eastAsia="zh-CN"/>
                    </w:rPr>
                  </w:pPr>
                  <w:r>
                    <w:rPr>
                      <w:rFonts w:hint="eastAsia" w:ascii="Times New Roman" w:hAnsi="Times New Roman" w:eastAsia="仿宋_GB2312" w:cs="Times New Roman"/>
                      <w:snapToGrid w:val="0"/>
                      <w:szCs w:val="24"/>
                      <w:lang w:val="en-US" w:eastAsia="zh-CN"/>
                    </w:rPr>
                    <w:t>尽快清除地面油污，并加强员工培训，加强全厂防渗。</w:t>
                  </w:r>
                </w:p>
              </w:tc>
              <w:tc>
                <w:tcPr>
                  <w:tcW w:w="1071" w:type="dxa"/>
                  <w:vMerge w:val="continue"/>
                  <w:tcBorders>
                    <w:tl2br w:val="nil"/>
                    <w:tr2bl w:val="nil"/>
                  </w:tcBorders>
                  <w:vAlign w:val="center"/>
                </w:tcPr>
                <w:p w14:paraId="3DB93C9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仿宋_GB2312"/>
                      <w:snapToGrid w:val="0"/>
                      <w:szCs w:val="24"/>
                      <w:lang w:val="en-US" w:eastAsia="zh-CN"/>
                    </w:rPr>
                  </w:pPr>
                </w:p>
              </w:tc>
            </w:tr>
            <w:tr w14:paraId="383FE8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9" w:type="dxa"/>
                  <w:tcBorders>
                    <w:tl2br w:val="nil"/>
                    <w:tr2bl w:val="nil"/>
                  </w:tcBorders>
                  <w:vAlign w:val="center"/>
                </w:tcPr>
                <w:p w14:paraId="54E56A8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仿宋_GB2312"/>
                      <w:snapToGrid w:val="0"/>
                      <w:szCs w:val="24"/>
                      <w:vertAlign w:val="baseline"/>
                      <w:lang w:val="en-US" w:eastAsia="zh-CN"/>
                    </w:rPr>
                  </w:pPr>
                  <w:r>
                    <w:rPr>
                      <w:rFonts w:hint="eastAsia" w:eastAsia="仿宋_GB2312"/>
                      <w:snapToGrid w:val="0"/>
                      <w:szCs w:val="24"/>
                      <w:vertAlign w:val="baseline"/>
                      <w:lang w:val="en-US" w:eastAsia="zh-CN"/>
                    </w:rPr>
                    <w:t>7</w:t>
                  </w:r>
                </w:p>
              </w:tc>
              <w:tc>
                <w:tcPr>
                  <w:tcW w:w="2304" w:type="dxa"/>
                  <w:tcBorders>
                    <w:tl2br w:val="nil"/>
                    <w:tr2bl w:val="nil"/>
                  </w:tcBorders>
                  <w:vAlign w:val="center"/>
                </w:tcPr>
                <w:p w14:paraId="6FBA846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仿宋_GB2312"/>
                      <w:snapToGrid w:val="0"/>
                      <w:szCs w:val="24"/>
                      <w:lang w:val="en-US" w:eastAsia="zh-CN"/>
                    </w:rPr>
                  </w:pPr>
                  <w:r>
                    <w:rPr>
                      <w:rFonts w:hint="eastAsia" w:eastAsia="仿宋_GB2312"/>
                      <w:snapToGrid w:val="0"/>
                      <w:szCs w:val="24"/>
                      <w:lang w:val="en-US" w:eastAsia="zh-CN"/>
                    </w:rPr>
                    <w:t>/</w:t>
                  </w:r>
                </w:p>
              </w:tc>
              <w:tc>
                <w:tcPr>
                  <w:tcW w:w="4575" w:type="dxa"/>
                  <w:tcBorders>
                    <w:tl2br w:val="nil"/>
                    <w:tr2bl w:val="nil"/>
                  </w:tcBorders>
                  <w:vAlign w:val="center"/>
                </w:tcPr>
                <w:p w14:paraId="16FCB9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仿宋_GB2312"/>
                      <w:snapToGrid w:val="0"/>
                      <w:szCs w:val="24"/>
                      <w:vertAlign w:val="baseline"/>
                      <w:lang w:val="en-US" w:eastAsia="zh-CN"/>
                    </w:rPr>
                  </w:pPr>
                  <w:r>
                    <w:rPr>
                      <w:rFonts w:hint="eastAsia" w:eastAsia="仿宋_GB2312"/>
                      <w:snapToGrid w:val="0"/>
                      <w:szCs w:val="24"/>
                      <w:lang w:val="en-US" w:eastAsia="zh-CN"/>
                    </w:rPr>
                    <w:t>项目取得环保手续后，应严格按照相关法律法规要求，立即启动后续环保手续办理流程。对《突发环境事件应急预案》进行修编，并向生态环境主管部门申请备案；同时，将根据实际建设情况，向当地生态环境局申请办理或变更《排污许可证》，实现环境管理的规范化与制度化。</w:t>
                  </w:r>
                </w:p>
              </w:tc>
              <w:tc>
                <w:tcPr>
                  <w:tcW w:w="1071" w:type="dxa"/>
                  <w:vMerge w:val="continue"/>
                  <w:tcBorders>
                    <w:tl2br w:val="nil"/>
                    <w:tr2bl w:val="nil"/>
                  </w:tcBorders>
                  <w:vAlign w:val="center"/>
                </w:tcPr>
                <w:p w14:paraId="607CB2E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仿宋_GB2312"/>
                      <w:snapToGrid w:val="0"/>
                      <w:szCs w:val="24"/>
                      <w:lang w:val="en-US" w:eastAsia="zh-CN"/>
                    </w:rPr>
                  </w:pPr>
                </w:p>
              </w:tc>
            </w:tr>
          </w:tbl>
          <w:p w14:paraId="4D9CEC09">
            <w:pPr>
              <w:adjustRightInd w:val="0"/>
              <w:snapToGrid w:val="0"/>
              <w:spacing w:line="360" w:lineRule="auto"/>
              <w:ind w:firstLine="420" w:firstLineChars="200"/>
              <w:rPr>
                <w:rFonts w:hint="eastAsia" w:eastAsia="仿宋_GB2312"/>
                <w:snapToGrid w:val="0"/>
                <w:szCs w:val="24"/>
                <w:lang w:eastAsia="zh-CN"/>
              </w:rPr>
            </w:pPr>
          </w:p>
          <w:p w14:paraId="76F291F4">
            <w:pPr>
              <w:adjustRightInd w:val="0"/>
              <w:snapToGrid w:val="0"/>
              <w:spacing w:line="360" w:lineRule="auto"/>
              <w:ind w:firstLine="420" w:firstLineChars="200"/>
              <w:rPr>
                <w:rFonts w:hint="eastAsia" w:eastAsia="仿宋_GB2312"/>
                <w:snapToGrid w:val="0"/>
                <w:szCs w:val="24"/>
                <w:lang w:eastAsia="zh-CN"/>
              </w:rPr>
            </w:pPr>
          </w:p>
          <w:p w14:paraId="2540D862">
            <w:pPr>
              <w:adjustRightInd w:val="0"/>
              <w:snapToGrid w:val="0"/>
              <w:spacing w:line="360" w:lineRule="auto"/>
              <w:ind w:firstLine="420" w:firstLineChars="200"/>
              <w:rPr>
                <w:rFonts w:hint="default"/>
                <w:lang w:val="en-US" w:eastAsia="zh-CN"/>
              </w:rPr>
            </w:pPr>
          </w:p>
        </w:tc>
      </w:tr>
    </w:tbl>
    <w:p w14:paraId="550219B1">
      <w:pPr>
        <w:pStyle w:val="28"/>
        <w:jc w:val="center"/>
        <w:rPr>
          <w:rFonts w:ascii="Times New Roman" w:hAnsi="Times New Roman" w:eastAsia="仿宋_GB2312"/>
          <w:snapToGrid w:val="0"/>
          <w:sz w:val="36"/>
          <w:szCs w:val="36"/>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23F05278">
      <w:pPr>
        <w:pStyle w:val="28"/>
        <w:adjustRightInd w:val="0"/>
        <w:snapToGrid w:val="0"/>
        <w:spacing w:before="0" w:beforeAutospacing="0" w:after="0" w:afterAutospacing="0" w:line="15" w:lineRule="auto"/>
        <w:jc w:val="center"/>
        <w:rPr>
          <w:rFonts w:ascii="Times New Roman" w:hAnsi="Times New Roman" w:eastAsia="仿宋_GB2312"/>
          <w:snapToGrid w:val="0"/>
          <w:sz w:val="30"/>
          <w:szCs w:val="30"/>
        </w:rPr>
      </w:pPr>
    </w:p>
    <w:p w14:paraId="660E63B0">
      <w:pPr>
        <w:pStyle w:val="28"/>
        <w:jc w:val="center"/>
        <w:outlineLvl w:val="0"/>
        <w:rPr>
          <w:rFonts w:ascii="Times New Roman" w:hAnsi="Times New Roman" w:eastAsia="仿宋_GB2312"/>
          <w:b/>
          <w:bCs/>
          <w:snapToGrid w:val="0"/>
          <w:sz w:val="30"/>
          <w:szCs w:val="30"/>
        </w:rPr>
      </w:pPr>
      <w:bookmarkStart w:id="41" w:name="_Toc5222"/>
      <w:bookmarkStart w:id="42" w:name="_Toc31869"/>
      <w:bookmarkStart w:id="43" w:name="_Toc8743"/>
      <w:r>
        <w:rPr>
          <w:rFonts w:ascii="Times New Roman" w:hAnsi="Times New Roman" w:eastAsia="仿宋_GB2312"/>
          <w:b/>
          <w:bCs/>
          <w:snapToGrid w:val="0"/>
          <w:sz w:val="30"/>
          <w:szCs w:val="30"/>
        </w:rPr>
        <w:t>三、区域环境质量现状、环境保护目标及评价标准</w:t>
      </w:r>
      <w:bookmarkEnd w:id="41"/>
      <w:bookmarkEnd w:id="42"/>
      <w:bookmarkEnd w:id="43"/>
    </w:p>
    <w:tbl>
      <w:tblPr>
        <w:tblStyle w:val="3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8190"/>
      </w:tblGrid>
      <w:tr w14:paraId="4660D6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800" w:type="dxa"/>
            <w:vAlign w:val="center"/>
          </w:tcPr>
          <w:p w14:paraId="404B35AF">
            <w:pPr>
              <w:adjustRightInd w:val="0"/>
              <w:snapToGrid w:val="0"/>
              <w:spacing w:line="360" w:lineRule="auto"/>
              <w:jc w:val="center"/>
              <w:rPr>
                <w:rFonts w:eastAsia="仿宋_GB2312"/>
                <w:kern w:val="0"/>
                <w:sz w:val="24"/>
                <w:szCs w:val="24"/>
              </w:rPr>
            </w:pPr>
            <w:r>
              <w:rPr>
                <w:rFonts w:eastAsia="仿宋_GB2312"/>
                <w:kern w:val="0"/>
                <w:sz w:val="24"/>
                <w:szCs w:val="24"/>
              </w:rPr>
              <w:t>区域</w:t>
            </w:r>
          </w:p>
          <w:p w14:paraId="6164B89E">
            <w:pPr>
              <w:adjustRightInd w:val="0"/>
              <w:snapToGrid w:val="0"/>
              <w:spacing w:line="360" w:lineRule="auto"/>
              <w:jc w:val="center"/>
              <w:rPr>
                <w:rFonts w:eastAsia="仿宋_GB2312"/>
                <w:kern w:val="0"/>
                <w:sz w:val="24"/>
                <w:szCs w:val="24"/>
              </w:rPr>
            </w:pPr>
            <w:r>
              <w:rPr>
                <w:rFonts w:eastAsia="仿宋_GB2312"/>
                <w:kern w:val="0"/>
                <w:sz w:val="24"/>
                <w:szCs w:val="24"/>
              </w:rPr>
              <w:t>环境</w:t>
            </w:r>
          </w:p>
          <w:p w14:paraId="4A1BF679">
            <w:pPr>
              <w:adjustRightInd w:val="0"/>
              <w:snapToGrid w:val="0"/>
              <w:spacing w:line="360" w:lineRule="auto"/>
              <w:jc w:val="center"/>
              <w:rPr>
                <w:rFonts w:eastAsia="仿宋_GB2312"/>
                <w:kern w:val="0"/>
                <w:sz w:val="24"/>
                <w:szCs w:val="24"/>
              </w:rPr>
            </w:pPr>
            <w:r>
              <w:rPr>
                <w:rFonts w:eastAsia="仿宋_GB2312"/>
                <w:kern w:val="0"/>
                <w:sz w:val="24"/>
                <w:szCs w:val="24"/>
              </w:rPr>
              <w:t>质量</w:t>
            </w:r>
          </w:p>
          <w:p w14:paraId="6C1DD485">
            <w:pPr>
              <w:adjustRightInd w:val="0"/>
              <w:snapToGrid w:val="0"/>
              <w:spacing w:line="360" w:lineRule="auto"/>
              <w:jc w:val="center"/>
              <w:rPr>
                <w:rFonts w:eastAsia="仿宋_GB2312"/>
                <w:kern w:val="0"/>
              </w:rPr>
            </w:pPr>
            <w:r>
              <w:rPr>
                <w:rFonts w:eastAsia="仿宋_GB2312"/>
                <w:kern w:val="0"/>
                <w:sz w:val="24"/>
                <w:szCs w:val="24"/>
              </w:rPr>
              <w:t>现状</w:t>
            </w:r>
          </w:p>
        </w:tc>
        <w:tc>
          <w:tcPr>
            <w:tcW w:w="8190" w:type="dxa"/>
            <w:vAlign w:val="center"/>
          </w:tcPr>
          <w:p w14:paraId="6228A103">
            <w:pPr>
              <w:adjustRightInd w:val="0"/>
              <w:snapToGrid w:val="0"/>
              <w:spacing w:line="360" w:lineRule="auto"/>
              <w:ind w:firstLine="420" w:firstLineChars="200"/>
              <w:rPr>
                <w:rFonts w:eastAsia="仿宋_GB2312"/>
              </w:rPr>
            </w:pPr>
            <w:r>
              <w:rPr>
                <w:rFonts w:eastAsia="仿宋_GB2312"/>
              </w:rPr>
              <w:t>1.大气环境</w:t>
            </w:r>
          </w:p>
          <w:p w14:paraId="4C4C59B6">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right="0" w:firstLine="420"/>
              <w:jc w:val="both"/>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（1）环境质量现状</w:t>
            </w:r>
          </w:p>
          <w:p w14:paraId="5BA6D893">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right="0" w:firstLine="420"/>
              <w:jc w:val="both"/>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根据《环境影响评价技术导则 大气环境》（HJ</w:t>
            </w:r>
            <w:r>
              <w:rPr>
                <w:rFonts w:hint="eastAsia" w:ascii="Times New Roman" w:hAnsi="Times New Roman" w:eastAsia="仿宋_GB2312" w:cs="Times New Roman"/>
                <w:kern w:val="2"/>
                <w:sz w:val="21"/>
                <w:szCs w:val="21"/>
                <w:lang w:val="en-US" w:eastAsia="zh-CN" w:bidi="ar-SA"/>
              </w:rPr>
              <w:t xml:space="preserve"> </w:t>
            </w:r>
            <w:r>
              <w:rPr>
                <w:rFonts w:hint="default" w:ascii="Times New Roman" w:hAnsi="Times New Roman" w:eastAsia="仿宋_GB2312" w:cs="Times New Roman"/>
                <w:kern w:val="2"/>
                <w:sz w:val="21"/>
                <w:szCs w:val="21"/>
                <w:lang w:val="en-US" w:eastAsia="zh-CN" w:bidi="ar-SA"/>
              </w:rPr>
              <w:t>2.2-2018）中规定：基本污染物环境质量现状数据，优先采用国家或地方生态环境主管部门公开发布的评价基准年环境质量公告或环境质量报告中的数据或结论。本次评价选取2024年作为评价基准年，根据《2024年常州市生态环境状况公报》，判定项目所在区域环境空气质量的达标情况，具体见下表。</w:t>
            </w:r>
          </w:p>
          <w:p w14:paraId="20A213C9">
            <w:pPr>
              <w:pStyle w:val="17"/>
              <w:numPr>
                <w:ilvl w:val="0"/>
                <w:numId w:val="0"/>
              </w:numPr>
              <w:tabs>
                <w:tab w:val="clear" w:pos="2040"/>
              </w:tabs>
              <w:spacing w:line="360" w:lineRule="auto"/>
              <w:jc w:val="center"/>
              <w:rPr>
                <w:rFonts w:hint="default" w:eastAsia="仿宋_GB2312"/>
                <w:b/>
                <w:bCs/>
                <w:snapToGrid w:val="0"/>
                <w:kern w:val="0"/>
              </w:rPr>
            </w:pPr>
            <w:r>
              <w:rPr>
                <w:rFonts w:hint="default" w:eastAsia="仿宋_GB2312"/>
                <w:b/>
                <w:bCs/>
                <w:snapToGrid w:val="0"/>
                <w:kern w:val="0"/>
              </w:rPr>
              <w:t xml:space="preserve">表3-1 </w:t>
            </w:r>
            <w:r>
              <w:rPr>
                <w:rFonts w:hint="eastAsia" w:eastAsia="仿宋_GB2312"/>
                <w:b/>
                <w:bCs/>
                <w:snapToGrid w:val="0"/>
                <w:kern w:val="0"/>
                <w:lang w:val="en-US" w:eastAsia="zh-CN"/>
              </w:rPr>
              <w:t xml:space="preserve"> </w:t>
            </w:r>
            <w:r>
              <w:rPr>
                <w:rFonts w:hint="default" w:eastAsia="仿宋_GB2312"/>
                <w:b/>
                <w:bCs/>
                <w:snapToGrid w:val="0"/>
                <w:kern w:val="0"/>
              </w:rPr>
              <w:t>大气环境质量现状</w:t>
            </w:r>
          </w:p>
          <w:tbl>
            <w:tblPr>
              <w:tblStyle w:val="3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68"/>
              <w:gridCol w:w="2421"/>
              <w:gridCol w:w="1191"/>
              <w:gridCol w:w="1164"/>
              <w:gridCol w:w="1153"/>
              <w:gridCol w:w="1074"/>
            </w:tblGrid>
            <w:tr w14:paraId="00C80E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607" w:type="pct"/>
                  <w:tcBorders>
                    <w:tl2br w:val="nil"/>
                    <w:tr2bl w:val="nil"/>
                  </w:tcBorders>
                  <w:shd w:val="clear" w:color="auto" w:fill="auto"/>
                  <w:vAlign w:val="center"/>
                </w:tcPr>
                <w:p w14:paraId="4AD77EFA">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rFonts w:hint="default"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b/>
                      <w:bCs/>
                      <w:color w:val="000000"/>
                      <w:sz w:val="21"/>
                      <w:szCs w:val="21"/>
                    </w:rPr>
                    <w:t>污染物</w:t>
                  </w:r>
                </w:p>
              </w:tc>
              <w:tc>
                <w:tcPr>
                  <w:tcW w:w="1518" w:type="pct"/>
                  <w:tcBorders>
                    <w:tl2br w:val="nil"/>
                    <w:tr2bl w:val="nil"/>
                  </w:tcBorders>
                  <w:shd w:val="clear" w:color="auto" w:fill="auto"/>
                  <w:vAlign w:val="center"/>
                </w:tcPr>
                <w:p w14:paraId="275A250B">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rFonts w:hint="default"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b/>
                      <w:bCs/>
                      <w:color w:val="000000"/>
                      <w:sz w:val="21"/>
                      <w:szCs w:val="21"/>
                    </w:rPr>
                    <w:t>年平均指标</w:t>
                  </w:r>
                </w:p>
              </w:tc>
              <w:tc>
                <w:tcPr>
                  <w:tcW w:w="747" w:type="pct"/>
                  <w:tcBorders>
                    <w:tl2br w:val="nil"/>
                    <w:tr2bl w:val="nil"/>
                  </w:tcBorders>
                  <w:shd w:val="clear" w:color="auto" w:fill="auto"/>
                  <w:vAlign w:val="center"/>
                </w:tcPr>
                <w:p w14:paraId="251F9FCF">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rFonts w:hint="default" w:ascii="Times New Roman" w:hAnsi="Times New Roman" w:eastAsia="仿宋_GB2312" w:cs="Times New Roman"/>
                      <w:sz w:val="21"/>
                      <w:szCs w:val="21"/>
                    </w:rPr>
                  </w:pPr>
                  <w:r>
                    <w:rPr>
                      <w:rFonts w:hint="default" w:ascii="Times New Roman" w:hAnsi="Times New Roman" w:eastAsia="仿宋_GB2312" w:cs="Times New Roman"/>
                      <w:b/>
                      <w:bCs/>
                      <w:color w:val="000000"/>
                      <w:sz w:val="21"/>
                      <w:szCs w:val="21"/>
                    </w:rPr>
                    <w:t>现状浓度</w:t>
                  </w:r>
                </w:p>
                <w:p w14:paraId="3A21E4FF">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rFonts w:hint="default"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b/>
                      <w:bCs/>
                      <w:color w:val="000000"/>
                      <w:sz w:val="21"/>
                      <w:szCs w:val="21"/>
                    </w:rPr>
                    <w:t>μg/m</w:t>
                  </w:r>
                  <w:r>
                    <w:rPr>
                      <w:rFonts w:hint="default" w:ascii="Times New Roman" w:hAnsi="Times New Roman" w:eastAsia="仿宋_GB2312" w:cs="Times New Roman"/>
                      <w:b/>
                      <w:bCs/>
                      <w:color w:val="000000"/>
                      <w:sz w:val="21"/>
                      <w:szCs w:val="21"/>
                      <w:vertAlign w:val="superscript"/>
                    </w:rPr>
                    <w:t>3</w:t>
                  </w:r>
                </w:p>
              </w:tc>
              <w:tc>
                <w:tcPr>
                  <w:tcW w:w="730" w:type="pct"/>
                  <w:tcBorders>
                    <w:tl2br w:val="nil"/>
                    <w:tr2bl w:val="nil"/>
                  </w:tcBorders>
                  <w:shd w:val="clear" w:color="auto" w:fill="auto"/>
                  <w:vAlign w:val="center"/>
                </w:tcPr>
                <w:p w14:paraId="6821238F">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rFonts w:hint="default" w:ascii="Times New Roman" w:hAnsi="Times New Roman" w:eastAsia="仿宋_GB2312" w:cs="Times New Roman"/>
                      <w:sz w:val="21"/>
                      <w:szCs w:val="21"/>
                    </w:rPr>
                  </w:pPr>
                  <w:r>
                    <w:rPr>
                      <w:rFonts w:hint="default" w:ascii="Times New Roman" w:hAnsi="Times New Roman" w:eastAsia="仿宋_GB2312" w:cs="Times New Roman"/>
                      <w:b/>
                      <w:bCs/>
                      <w:color w:val="000000"/>
                      <w:sz w:val="21"/>
                      <w:szCs w:val="21"/>
                    </w:rPr>
                    <w:t>标准限值</w:t>
                  </w:r>
                </w:p>
                <w:p w14:paraId="22B01037">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rFonts w:hint="default"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b/>
                      <w:bCs/>
                      <w:color w:val="000000"/>
                      <w:sz w:val="21"/>
                      <w:szCs w:val="21"/>
                    </w:rPr>
                    <w:t>μg/m</w:t>
                  </w:r>
                  <w:r>
                    <w:rPr>
                      <w:rFonts w:hint="default" w:ascii="Times New Roman" w:hAnsi="Times New Roman" w:eastAsia="仿宋_GB2312" w:cs="Times New Roman"/>
                      <w:b/>
                      <w:bCs/>
                      <w:color w:val="000000"/>
                      <w:sz w:val="21"/>
                      <w:szCs w:val="21"/>
                      <w:vertAlign w:val="superscript"/>
                    </w:rPr>
                    <w:t>3</w:t>
                  </w:r>
                </w:p>
              </w:tc>
              <w:tc>
                <w:tcPr>
                  <w:tcW w:w="723" w:type="pct"/>
                  <w:tcBorders>
                    <w:tl2br w:val="nil"/>
                    <w:tr2bl w:val="nil"/>
                  </w:tcBorders>
                  <w:shd w:val="clear" w:color="auto" w:fill="auto"/>
                  <w:vAlign w:val="center"/>
                </w:tcPr>
                <w:p w14:paraId="1E96D17C">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rFonts w:hint="default"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b/>
                      <w:bCs/>
                      <w:color w:val="000000"/>
                      <w:sz w:val="21"/>
                      <w:szCs w:val="21"/>
                    </w:rPr>
                    <w:t>达标率%</w:t>
                  </w:r>
                </w:p>
              </w:tc>
              <w:tc>
                <w:tcPr>
                  <w:tcW w:w="673" w:type="pct"/>
                  <w:tcBorders>
                    <w:tl2br w:val="nil"/>
                    <w:tr2bl w:val="nil"/>
                  </w:tcBorders>
                  <w:shd w:val="clear" w:color="auto" w:fill="auto"/>
                  <w:vAlign w:val="center"/>
                </w:tcPr>
                <w:p w14:paraId="53557346">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rFonts w:hint="default"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b/>
                      <w:bCs/>
                      <w:color w:val="000000"/>
                      <w:sz w:val="21"/>
                      <w:szCs w:val="21"/>
                    </w:rPr>
                    <w:t>达标情况</w:t>
                  </w:r>
                </w:p>
              </w:tc>
            </w:tr>
            <w:tr w14:paraId="664F44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607" w:type="pct"/>
                  <w:vMerge w:val="restart"/>
                  <w:tcBorders>
                    <w:tl2br w:val="nil"/>
                    <w:tr2bl w:val="nil"/>
                  </w:tcBorders>
                  <w:shd w:val="clear" w:color="auto" w:fill="auto"/>
                  <w:vAlign w:val="center"/>
                </w:tcPr>
                <w:p w14:paraId="139F81DA">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rFonts w:hint="default"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color w:val="000000"/>
                      <w:sz w:val="21"/>
                      <w:szCs w:val="21"/>
                    </w:rPr>
                    <w:t>PM</w:t>
                  </w:r>
                  <w:r>
                    <w:rPr>
                      <w:rFonts w:hint="default" w:ascii="Times New Roman" w:hAnsi="Times New Roman" w:eastAsia="仿宋_GB2312" w:cs="Times New Roman"/>
                      <w:color w:val="000000"/>
                      <w:sz w:val="21"/>
                      <w:szCs w:val="21"/>
                      <w:vertAlign w:val="subscript"/>
                    </w:rPr>
                    <w:t>2.5</w:t>
                  </w:r>
                </w:p>
              </w:tc>
              <w:tc>
                <w:tcPr>
                  <w:tcW w:w="1518" w:type="pct"/>
                  <w:tcBorders>
                    <w:tl2br w:val="nil"/>
                    <w:tr2bl w:val="nil"/>
                  </w:tcBorders>
                  <w:shd w:val="clear" w:color="auto" w:fill="auto"/>
                  <w:vAlign w:val="center"/>
                </w:tcPr>
                <w:p w14:paraId="2F2F7615">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rFonts w:hint="default"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color w:val="000000"/>
                      <w:sz w:val="21"/>
                      <w:szCs w:val="21"/>
                    </w:rPr>
                    <w:t>年平均质量浓度</w:t>
                  </w:r>
                </w:p>
              </w:tc>
              <w:tc>
                <w:tcPr>
                  <w:tcW w:w="747" w:type="pct"/>
                  <w:tcBorders>
                    <w:tl2br w:val="nil"/>
                    <w:tr2bl w:val="nil"/>
                  </w:tcBorders>
                  <w:shd w:val="clear" w:color="auto" w:fill="auto"/>
                  <w:vAlign w:val="center"/>
                </w:tcPr>
                <w:p w14:paraId="09CE870A">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rFonts w:hint="default"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color w:val="000000"/>
                      <w:sz w:val="21"/>
                      <w:szCs w:val="21"/>
                    </w:rPr>
                    <w:t>32</w:t>
                  </w:r>
                </w:p>
              </w:tc>
              <w:tc>
                <w:tcPr>
                  <w:tcW w:w="730" w:type="pct"/>
                  <w:tcBorders>
                    <w:tl2br w:val="nil"/>
                    <w:tr2bl w:val="nil"/>
                  </w:tcBorders>
                  <w:shd w:val="clear" w:color="auto" w:fill="auto"/>
                  <w:vAlign w:val="center"/>
                </w:tcPr>
                <w:p w14:paraId="26A6DA93">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rFonts w:hint="default"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color w:val="000000"/>
                      <w:sz w:val="21"/>
                      <w:szCs w:val="21"/>
                    </w:rPr>
                    <w:t>35</w:t>
                  </w:r>
                </w:p>
              </w:tc>
              <w:tc>
                <w:tcPr>
                  <w:tcW w:w="723" w:type="pct"/>
                  <w:tcBorders>
                    <w:tl2br w:val="nil"/>
                    <w:tr2bl w:val="nil"/>
                  </w:tcBorders>
                  <w:shd w:val="clear" w:color="auto" w:fill="auto"/>
                  <w:vAlign w:val="center"/>
                </w:tcPr>
                <w:p w14:paraId="7E02383C">
                  <w:pPr>
                    <w:pStyle w:val="28"/>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rFonts w:hint="default"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color w:val="000000"/>
                      <w:sz w:val="21"/>
                      <w:szCs w:val="21"/>
                    </w:rPr>
                    <w:t>100</w:t>
                  </w:r>
                </w:p>
              </w:tc>
              <w:tc>
                <w:tcPr>
                  <w:tcW w:w="673" w:type="pct"/>
                  <w:tcBorders>
                    <w:tl2br w:val="nil"/>
                    <w:tr2bl w:val="nil"/>
                  </w:tcBorders>
                  <w:shd w:val="clear" w:color="auto" w:fill="auto"/>
                  <w:vAlign w:val="center"/>
                </w:tcPr>
                <w:p w14:paraId="2A6D3C74">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rFonts w:hint="default"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color w:val="000000"/>
                      <w:sz w:val="21"/>
                      <w:szCs w:val="21"/>
                    </w:rPr>
                    <w:t>达标</w:t>
                  </w:r>
                </w:p>
              </w:tc>
            </w:tr>
            <w:tr w14:paraId="57C300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607" w:type="pct"/>
                  <w:vMerge w:val="continue"/>
                  <w:tcBorders>
                    <w:tl2br w:val="nil"/>
                    <w:tr2bl w:val="nil"/>
                  </w:tcBorders>
                  <w:vAlign w:val="center"/>
                </w:tcPr>
                <w:p w14:paraId="6DEF0A1E">
                  <w:pPr>
                    <w:pStyle w:val="17"/>
                    <w:numPr>
                      <w:ilvl w:val="0"/>
                      <w:numId w:val="0"/>
                    </w:numPr>
                    <w:tabs>
                      <w:tab w:val="clear" w:pos="2040"/>
                    </w:tabs>
                    <w:spacing w:line="360" w:lineRule="auto"/>
                    <w:jc w:val="center"/>
                    <w:rPr>
                      <w:rFonts w:hint="default" w:ascii="Times New Roman" w:hAnsi="Times New Roman" w:eastAsia="仿宋_GB2312" w:cs="Times New Roman"/>
                      <w:b/>
                      <w:bCs/>
                      <w:snapToGrid w:val="0"/>
                      <w:kern w:val="0"/>
                      <w:sz w:val="21"/>
                      <w:szCs w:val="21"/>
                      <w:vertAlign w:val="baseline"/>
                    </w:rPr>
                  </w:pPr>
                </w:p>
              </w:tc>
              <w:tc>
                <w:tcPr>
                  <w:tcW w:w="1518" w:type="pct"/>
                  <w:tcBorders>
                    <w:tl2br w:val="nil"/>
                    <w:tr2bl w:val="nil"/>
                  </w:tcBorders>
                  <w:shd w:val="clear" w:color="auto" w:fill="auto"/>
                  <w:vAlign w:val="center"/>
                </w:tcPr>
                <w:p w14:paraId="461CD6B4">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rFonts w:hint="default"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color w:val="000000"/>
                      <w:sz w:val="21"/>
                      <w:szCs w:val="21"/>
                    </w:rPr>
                    <w:t>日平均质量浓度范围</w:t>
                  </w:r>
                </w:p>
              </w:tc>
              <w:tc>
                <w:tcPr>
                  <w:tcW w:w="747" w:type="pct"/>
                  <w:tcBorders>
                    <w:tl2br w:val="nil"/>
                    <w:tr2bl w:val="nil"/>
                  </w:tcBorders>
                  <w:shd w:val="clear" w:color="auto" w:fill="auto"/>
                  <w:vAlign w:val="center"/>
                </w:tcPr>
                <w:p w14:paraId="6DD6B2B9">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rFonts w:hint="default"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color w:val="000000"/>
                      <w:sz w:val="21"/>
                      <w:szCs w:val="21"/>
                    </w:rPr>
                    <w:t>5~158</w:t>
                  </w:r>
                </w:p>
              </w:tc>
              <w:tc>
                <w:tcPr>
                  <w:tcW w:w="730" w:type="pct"/>
                  <w:tcBorders>
                    <w:tl2br w:val="nil"/>
                    <w:tr2bl w:val="nil"/>
                  </w:tcBorders>
                  <w:shd w:val="clear" w:color="auto" w:fill="auto"/>
                  <w:vAlign w:val="center"/>
                </w:tcPr>
                <w:p w14:paraId="23DE0206">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rFonts w:hint="default"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color w:val="000000"/>
                      <w:sz w:val="21"/>
                      <w:szCs w:val="21"/>
                    </w:rPr>
                    <w:t>75</w:t>
                  </w:r>
                </w:p>
              </w:tc>
              <w:tc>
                <w:tcPr>
                  <w:tcW w:w="723" w:type="pct"/>
                  <w:tcBorders>
                    <w:tl2br w:val="nil"/>
                    <w:tr2bl w:val="nil"/>
                  </w:tcBorders>
                  <w:shd w:val="clear" w:color="auto" w:fill="auto"/>
                  <w:vAlign w:val="center"/>
                </w:tcPr>
                <w:p w14:paraId="2A0B7E8A">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rPr>
                    <w:t>93.2</w:t>
                  </w:r>
                </w:p>
              </w:tc>
              <w:tc>
                <w:tcPr>
                  <w:tcW w:w="673" w:type="pct"/>
                  <w:tcBorders>
                    <w:tl2br w:val="nil"/>
                    <w:tr2bl w:val="nil"/>
                  </w:tcBorders>
                  <w:vAlign w:val="center"/>
                </w:tcPr>
                <w:p w14:paraId="2F7383D2">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rFonts w:hint="eastAsia" w:ascii="Times New Roman" w:hAnsi="Times New Roman" w:eastAsia="仿宋_GB2312" w:cs="Times New Roman"/>
                      <w:color w:val="000000"/>
                      <w:sz w:val="21"/>
                      <w:szCs w:val="21"/>
                      <w:lang w:val="en-US" w:eastAsia="zh-CN"/>
                    </w:rPr>
                  </w:pPr>
                  <w:r>
                    <w:rPr>
                      <w:rFonts w:hint="eastAsia" w:ascii="Times New Roman" w:hAnsi="Times New Roman" w:eastAsia="仿宋_GB2312" w:cs="Times New Roman"/>
                      <w:color w:val="000000"/>
                      <w:sz w:val="21"/>
                      <w:szCs w:val="21"/>
                      <w:lang w:val="en-US" w:eastAsia="zh-CN"/>
                    </w:rPr>
                    <w:t>不达标</w:t>
                  </w:r>
                </w:p>
              </w:tc>
            </w:tr>
            <w:tr w14:paraId="3F0F8C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607" w:type="pct"/>
                  <w:vMerge w:val="restart"/>
                  <w:tcBorders>
                    <w:tl2br w:val="nil"/>
                    <w:tr2bl w:val="nil"/>
                  </w:tcBorders>
                  <w:shd w:val="clear" w:color="auto" w:fill="auto"/>
                  <w:vAlign w:val="center"/>
                </w:tcPr>
                <w:p w14:paraId="189C9DB8">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rFonts w:hint="default"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color w:val="000000"/>
                      <w:sz w:val="21"/>
                      <w:szCs w:val="21"/>
                    </w:rPr>
                    <w:t>PM</w:t>
                  </w:r>
                  <w:r>
                    <w:rPr>
                      <w:rFonts w:hint="default" w:ascii="Times New Roman" w:hAnsi="Times New Roman" w:eastAsia="仿宋_GB2312" w:cs="Times New Roman"/>
                      <w:color w:val="000000"/>
                      <w:sz w:val="21"/>
                      <w:szCs w:val="21"/>
                      <w:vertAlign w:val="subscript"/>
                    </w:rPr>
                    <w:t>10</w:t>
                  </w:r>
                </w:p>
              </w:tc>
              <w:tc>
                <w:tcPr>
                  <w:tcW w:w="1518" w:type="pct"/>
                  <w:tcBorders>
                    <w:tl2br w:val="nil"/>
                    <w:tr2bl w:val="nil"/>
                  </w:tcBorders>
                  <w:shd w:val="clear" w:color="auto" w:fill="auto"/>
                  <w:vAlign w:val="center"/>
                </w:tcPr>
                <w:p w14:paraId="4C1DC1CA">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rFonts w:hint="default"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color w:val="000000"/>
                      <w:sz w:val="21"/>
                      <w:szCs w:val="21"/>
                    </w:rPr>
                    <w:t>年平均质量浓度</w:t>
                  </w:r>
                </w:p>
              </w:tc>
              <w:tc>
                <w:tcPr>
                  <w:tcW w:w="747" w:type="pct"/>
                  <w:tcBorders>
                    <w:tl2br w:val="nil"/>
                    <w:tr2bl w:val="nil"/>
                  </w:tcBorders>
                  <w:shd w:val="clear" w:color="auto" w:fill="auto"/>
                  <w:vAlign w:val="center"/>
                </w:tcPr>
                <w:p w14:paraId="5AC5C7E3">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rFonts w:hint="default"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color w:val="000000"/>
                      <w:sz w:val="21"/>
                      <w:szCs w:val="21"/>
                    </w:rPr>
                    <w:t>52</w:t>
                  </w:r>
                </w:p>
              </w:tc>
              <w:tc>
                <w:tcPr>
                  <w:tcW w:w="730" w:type="pct"/>
                  <w:tcBorders>
                    <w:tl2br w:val="nil"/>
                    <w:tr2bl w:val="nil"/>
                  </w:tcBorders>
                  <w:shd w:val="clear" w:color="auto" w:fill="auto"/>
                  <w:vAlign w:val="center"/>
                </w:tcPr>
                <w:p w14:paraId="41C58E9E">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rFonts w:hint="default"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color w:val="000000"/>
                      <w:sz w:val="21"/>
                      <w:szCs w:val="21"/>
                    </w:rPr>
                    <w:t>70</w:t>
                  </w:r>
                </w:p>
              </w:tc>
              <w:tc>
                <w:tcPr>
                  <w:tcW w:w="723" w:type="pct"/>
                  <w:tcBorders>
                    <w:tl2br w:val="nil"/>
                    <w:tr2bl w:val="nil"/>
                  </w:tcBorders>
                  <w:shd w:val="clear" w:color="auto" w:fill="auto"/>
                  <w:vAlign w:val="center"/>
                </w:tcPr>
                <w:p w14:paraId="0C3158AE">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rPr>
                    <w:t>100</w:t>
                  </w:r>
                </w:p>
              </w:tc>
              <w:tc>
                <w:tcPr>
                  <w:tcW w:w="673" w:type="pct"/>
                  <w:vMerge w:val="restart"/>
                  <w:tcBorders>
                    <w:tl2br w:val="nil"/>
                    <w:tr2bl w:val="nil"/>
                  </w:tcBorders>
                  <w:shd w:val="clear" w:color="auto" w:fill="auto"/>
                  <w:vAlign w:val="center"/>
                </w:tcPr>
                <w:p w14:paraId="70E4A30D">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rPr>
                    <w:t>达标</w:t>
                  </w:r>
                </w:p>
              </w:tc>
            </w:tr>
            <w:tr w14:paraId="66FAE9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607" w:type="pct"/>
                  <w:vMerge w:val="continue"/>
                  <w:tcBorders>
                    <w:tl2br w:val="nil"/>
                    <w:tr2bl w:val="nil"/>
                  </w:tcBorders>
                  <w:vAlign w:val="center"/>
                </w:tcPr>
                <w:p w14:paraId="39D69DCD">
                  <w:pPr>
                    <w:pStyle w:val="17"/>
                    <w:numPr>
                      <w:ilvl w:val="0"/>
                      <w:numId w:val="0"/>
                    </w:numPr>
                    <w:tabs>
                      <w:tab w:val="clear" w:pos="2040"/>
                    </w:tabs>
                    <w:spacing w:line="360" w:lineRule="auto"/>
                    <w:jc w:val="center"/>
                    <w:rPr>
                      <w:rFonts w:hint="default" w:ascii="Times New Roman" w:hAnsi="Times New Roman" w:eastAsia="仿宋_GB2312" w:cs="Times New Roman"/>
                      <w:b/>
                      <w:bCs/>
                      <w:snapToGrid w:val="0"/>
                      <w:kern w:val="0"/>
                      <w:sz w:val="21"/>
                      <w:szCs w:val="21"/>
                      <w:vertAlign w:val="baseline"/>
                    </w:rPr>
                  </w:pPr>
                </w:p>
              </w:tc>
              <w:tc>
                <w:tcPr>
                  <w:tcW w:w="1518" w:type="pct"/>
                  <w:tcBorders>
                    <w:tl2br w:val="nil"/>
                    <w:tr2bl w:val="nil"/>
                  </w:tcBorders>
                  <w:shd w:val="clear" w:color="auto" w:fill="auto"/>
                  <w:vAlign w:val="center"/>
                </w:tcPr>
                <w:p w14:paraId="47AD6A01">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rFonts w:hint="default"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color w:val="000000"/>
                      <w:sz w:val="21"/>
                      <w:szCs w:val="21"/>
                    </w:rPr>
                    <w:t>日平均质量浓度范围</w:t>
                  </w:r>
                </w:p>
              </w:tc>
              <w:tc>
                <w:tcPr>
                  <w:tcW w:w="747" w:type="pct"/>
                  <w:tcBorders>
                    <w:tl2br w:val="nil"/>
                    <w:tr2bl w:val="nil"/>
                  </w:tcBorders>
                  <w:shd w:val="clear" w:color="auto" w:fill="auto"/>
                  <w:vAlign w:val="center"/>
                </w:tcPr>
                <w:p w14:paraId="71144FA6">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rFonts w:hint="default"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color w:val="000000"/>
                      <w:sz w:val="21"/>
                      <w:szCs w:val="21"/>
                    </w:rPr>
                    <w:t>9~206</w:t>
                  </w:r>
                </w:p>
              </w:tc>
              <w:tc>
                <w:tcPr>
                  <w:tcW w:w="730" w:type="pct"/>
                  <w:tcBorders>
                    <w:tl2br w:val="nil"/>
                    <w:tr2bl w:val="nil"/>
                  </w:tcBorders>
                  <w:shd w:val="clear" w:color="auto" w:fill="auto"/>
                  <w:vAlign w:val="center"/>
                </w:tcPr>
                <w:p w14:paraId="762C5BF3">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rFonts w:hint="default"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color w:val="000000"/>
                      <w:sz w:val="21"/>
                      <w:szCs w:val="21"/>
                    </w:rPr>
                    <w:t>150</w:t>
                  </w:r>
                </w:p>
              </w:tc>
              <w:tc>
                <w:tcPr>
                  <w:tcW w:w="723" w:type="pct"/>
                  <w:tcBorders>
                    <w:tl2br w:val="nil"/>
                    <w:tr2bl w:val="nil"/>
                  </w:tcBorders>
                  <w:shd w:val="clear" w:color="auto" w:fill="auto"/>
                  <w:vAlign w:val="center"/>
                </w:tcPr>
                <w:p w14:paraId="39DB8488">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rPr>
                    <w:t>98.3</w:t>
                  </w:r>
                </w:p>
              </w:tc>
              <w:tc>
                <w:tcPr>
                  <w:tcW w:w="673" w:type="pct"/>
                  <w:vMerge w:val="continue"/>
                  <w:tcBorders>
                    <w:tl2br w:val="nil"/>
                    <w:tr2bl w:val="nil"/>
                  </w:tcBorders>
                  <w:vAlign w:val="center"/>
                </w:tcPr>
                <w:p w14:paraId="61ADBEA7">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rFonts w:hint="default" w:ascii="Times New Roman" w:hAnsi="Times New Roman" w:eastAsia="仿宋_GB2312" w:cs="Times New Roman"/>
                      <w:color w:val="000000"/>
                      <w:sz w:val="21"/>
                      <w:szCs w:val="21"/>
                    </w:rPr>
                  </w:pPr>
                </w:p>
              </w:tc>
            </w:tr>
            <w:tr w14:paraId="7A85E8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607" w:type="pct"/>
                  <w:vMerge w:val="restart"/>
                  <w:tcBorders>
                    <w:tl2br w:val="nil"/>
                    <w:tr2bl w:val="nil"/>
                  </w:tcBorders>
                  <w:shd w:val="clear" w:color="auto" w:fill="auto"/>
                  <w:vAlign w:val="center"/>
                </w:tcPr>
                <w:p w14:paraId="0367AF85">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rFonts w:hint="default"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color w:val="000000"/>
                      <w:sz w:val="21"/>
                      <w:szCs w:val="21"/>
                    </w:rPr>
                    <w:t>SO</w:t>
                  </w:r>
                  <w:r>
                    <w:rPr>
                      <w:rFonts w:hint="default" w:ascii="Times New Roman" w:hAnsi="Times New Roman" w:eastAsia="仿宋_GB2312" w:cs="Times New Roman"/>
                      <w:color w:val="000000"/>
                      <w:sz w:val="21"/>
                      <w:szCs w:val="21"/>
                      <w:vertAlign w:val="subscript"/>
                    </w:rPr>
                    <w:t>2</w:t>
                  </w:r>
                </w:p>
              </w:tc>
              <w:tc>
                <w:tcPr>
                  <w:tcW w:w="1518" w:type="pct"/>
                  <w:tcBorders>
                    <w:tl2br w:val="nil"/>
                    <w:tr2bl w:val="nil"/>
                  </w:tcBorders>
                  <w:shd w:val="clear" w:color="auto" w:fill="auto"/>
                  <w:vAlign w:val="center"/>
                </w:tcPr>
                <w:p w14:paraId="70C0DC9C">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rFonts w:hint="default"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color w:val="000000"/>
                      <w:sz w:val="21"/>
                      <w:szCs w:val="21"/>
                    </w:rPr>
                    <w:t>年平均质量浓度</w:t>
                  </w:r>
                </w:p>
              </w:tc>
              <w:tc>
                <w:tcPr>
                  <w:tcW w:w="747" w:type="pct"/>
                  <w:tcBorders>
                    <w:tl2br w:val="nil"/>
                    <w:tr2bl w:val="nil"/>
                  </w:tcBorders>
                  <w:shd w:val="clear" w:color="auto" w:fill="auto"/>
                  <w:vAlign w:val="center"/>
                </w:tcPr>
                <w:p w14:paraId="49886A54">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rFonts w:hint="default"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color w:val="000000"/>
                      <w:sz w:val="21"/>
                      <w:szCs w:val="21"/>
                    </w:rPr>
                    <w:t>8</w:t>
                  </w:r>
                </w:p>
              </w:tc>
              <w:tc>
                <w:tcPr>
                  <w:tcW w:w="730" w:type="pct"/>
                  <w:tcBorders>
                    <w:tl2br w:val="nil"/>
                    <w:tr2bl w:val="nil"/>
                  </w:tcBorders>
                  <w:shd w:val="clear" w:color="auto" w:fill="auto"/>
                  <w:vAlign w:val="center"/>
                </w:tcPr>
                <w:p w14:paraId="26E5B6E7">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rFonts w:hint="default"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color w:val="000000"/>
                      <w:sz w:val="21"/>
                      <w:szCs w:val="21"/>
                    </w:rPr>
                    <w:t>60</w:t>
                  </w:r>
                </w:p>
              </w:tc>
              <w:tc>
                <w:tcPr>
                  <w:tcW w:w="723" w:type="pct"/>
                  <w:tcBorders>
                    <w:tl2br w:val="nil"/>
                    <w:tr2bl w:val="nil"/>
                  </w:tcBorders>
                  <w:shd w:val="clear" w:color="auto" w:fill="auto"/>
                  <w:vAlign w:val="center"/>
                </w:tcPr>
                <w:p w14:paraId="3E47674D">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rPr>
                    <w:t>100</w:t>
                  </w:r>
                </w:p>
              </w:tc>
              <w:tc>
                <w:tcPr>
                  <w:tcW w:w="673" w:type="pct"/>
                  <w:vMerge w:val="restart"/>
                  <w:tcBorders>
                    <w:tl2br w:val="nil"/>
                    <w:tr2bl w:val="nil"/>
                  </w:tcBorders>
                  <w:shd w:val="clear" w:color="auto" w:fill="auto"/>
                  <w:vAlign w:val="center"/>
                </w:tcPr>
                <w:p w14:paraId="5F4F1623">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rPr>
                    <w:t>达标</w:t>
                  </w:r>
                </w:p>
              </w:tc>
            </w:tr>
            <w:tr w14:paraId="0F8066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607" w:type="pct"/>
                  <w:vMerge w:val="continue"/>
                  <w:tcBorders>
                    <w:tl2br w:val="nil"/>
                    <w:tr2bl w:val="nil"/>
                  </w:tcBorders>
                  <w:vAlign w:val="center"/>
                </w:tcPr>
                <w:p w14:paraId="5B6DA6EA">
                  <w:pPr>
                    <w:pStyle w:val="17"/>
                    <w:numPr>
                      <w:ilvl w:val="0"/>
                      <w:numId w:val="0"/>
                    </w:numPr>
                    <w:tabs>
                      <w:tab w:val="clear" w:pos="2040"/>
                    </w:tabs>
                    <w:spacing w:line="360" w:lineRule="auto"/>
                    <w:jc w:val="center"/>
                    <w:rPr>
                      <w:rFonts w:hint="default" w:ascii="Times New Roman" w:hAnsi="Times New Roman" w:eastAsia="仿宋_GB2312" w:cs="Times New Roman"/>
                      <w:b/>
                      <w:bCs/>
                      <w:snapToGrid w:val="0"/>
                      <w:kern w:val="0"/>
                      <w:sz w:val="21"/>
                      <w:szCs w:val="21"/>
                      <w:vertAlign w:val="baseline"/>
                    </w:rPr>
                  </w:pPr>
                </w:p>
              </w:tc>
              <w:tc>
                <w:tcPr>
                  <w:tcW w:w="1518" w:type="pct"/>
                  <w:tcBorders>
                    <w:tl2br w:val="nil"/>
                    <w:tr2bl w:val="nil"/>
                  </w:tcBorders>
                  <w:shd w:val="clear" w:color="auto" w:fill="auto"/>
                  <w:vAlign w:val="center"/>
                </w:tcPr>
                <w:p w14:paraId="0F155498">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rFonts w:hint="default"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color w:val="000000"/>
                      <w:sz w:val="21"/>
                      <w:szCs w:val="21"/>
                    </w:rPr>
                    <w:t>日平均质量浓度范围</w:t>
                  </w:r>
                </w:p>
              </w:tc>
              <w:tc>
                <w:tcPr>
                  <w:tcW w:w="747" w:type="pct"/>
                  <w:tcBorders>
                    <w:tl2br w:val="nil"/>
                    <w:tr2bl w:val="nil"/>
                  </w:tcBorders>
                  <w:shd w:val="clear" w:color="auto" w:fill="auto"/>
                  <w:vAlign w:val="center"/>
                </w:tcPr>
                <w:p w14:paraId="5F997BE2">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rFonts w:hint="default"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color w:val="000000"/>
                      <w:sz w:val="21"/>
                      <w:szCs w:val="21"/>
                    </w:rPr>
                    <w:t>5~15</w:t>
                  </w:r>
                </w:p>
              </w:tc>
              <w:tc>
                <w:tcPr>
                  <w:tcW w:w="730" w:type="pct"/>
                  <w:tcBorders>
                    <w:tl2br w:val="nil"/>
                    <w:tr2bl w:val="nil"/>
                  </w:tcBorders>
                  <w:shd w:val="clear" w:color="auto" w:fill="auto"/>
                  <w:vAlign w:val="center"/>
                </w:tcPr>
                <w:p w14:paraId="47620AD6">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rFonts w:hint="default"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color w:val="000000"/>
                      <w:sz w:val="21"/>
                      <w:szCs w:val="21"/>
                    </w:rPr>
                    <w:t>150</w:t>
                  </w:r>
                </w:p>
              </w:tc>
              <w:tc>
                <w:tcPr>
                  <w:tcW w:w="723" w:type="pct"/>
                  <w:tcBorders>
                    <w:tl2br w:val="nil"/>
                    <w:tr2bl w:val="nil"/>
                  </w:tcBorders>
                  <w:shd w:val="clear" w:color="auto" w:fill="auto"/>
                  <w:vAlign w:val="center"/>
                </w:tcPr>
                <w:p w14:paraId="30F71905">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rPr>
                    <w:t>100</w:t>
                  </w:r>
                </w:p>
              </w:tc>
              <w:tc>
                <w:tcPr>
                  <w:tcW w:w="673" w:type="pct"/>
                  <w:vMerge w:val="continue"/>
                  <w:tcBorders>
                    <w:tl2br w:val="nil"/>
                    <w:tr2bl w:val="nil"/>
                  </w:tcBorders>
                  <w:vAlign w:val="center"/>
                </w:tcPr>
                <w:p w14:paraId="660224C2">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rFonts w:hint="default" w:ascii="Times New Roman" w:hAnsi="Times New Roman" w:eastAsia="仿宋_GB2312" w:cs="Times New Roman"/>
                      <w:color w:val="000000"/>
                      <w:sz w:val="21"/>
                      <w:szCs w:val="21"/>
                    </w:rPr>
                  </w:pPr>
                </w:p>
              </w:tc>
            </w:tr>
            <w:tr w14:paraId="31B5A5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607" w:type="pct"/>
                  <w:vMerge w:val="restart"/>
                  <w:tcBorders>
                    <w:tl2br w:val="nil"/>
                    <w:tr2bl w:val="nil"/>
                  </w:tcBorders>
                  <w:shd w:val="clear" w:color="auto" w:fill="auto"/>
                  <w:vAlign w:val="center"/>
                </w:tcPr>
                <w:p w14:paraId="52F63A9F">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rFonts w:hint="default"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color w:val="000000"/>
                      <w:sz w:val="21"/>
                      <w:szCs w:val="21"/>
                    </w:rPr>
                    <w:t>NO</w:t>
                  </w:r>
                  <w:r>
                    <w:rPr>
                      <w:rFonts w:hint="default" w:ascii="Times New Roman" w:hAnsi="Times New Roman" w:eastAsia="仿宋_GB2312" w:cs="Times New Roman"/>
                      <w:color w:val="000000"/>
                      <w:sz w:val="21"/>
                      <w:szCs w:val="21"/>
                      <w:vertAlign w:val="subscript"/>
                    </w:rPr>
                    <w:t>2</w:t>
                  </w:r>
                </w:p>
              </w:tc>
              <w:tc>
                <w:tcPr>
                  <w:tcW w:w="1518" w:type="pct"/>
                  <w:tcBorders>
                    <w:tl2br w:val="nil"/>
                    <w:tr2bl w:val="nil"/>
                  </w:tcBorders>
                  <w:shd w:val="clear" w:color="auto" w:fill="auto"/>
                  <w:vAlign w:val="center"/>
                </w:tcPr>
                <w:p w14:paraId="671051EE">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rFonts w:hint="default"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color w:val="000000"/>
                      <w:sz w:val="21"/>
                      <w:szCs w:val="21"/>
                    </w:rPr>
                    <w:t>年平均质量浓度</w:t>
                  </w:r>
                </w:p>
              </w:tc>
              <w:tc>
                <w:tcPr>
                  <w:tcW w:w="747" w:type="pct"/>
                  <w:tcBorders>
                    <w:tl2br w:val="nil"/>
                    <w:tr2bl w:val="nil"/>
                  </w:tcBorders>
                  <w:shd w:val="clear" w:color="auto" w:fill="auto"/>
                  <w:vAlign w:val="center"/>
                </w:tcPr>
                <w:p w14:paraId="356A96E5">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rFonts w:hint="default"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color w:val="000000"/>
                      <w:sz w:val="21"/>
                      <w:szCs w:val="21"/>
                    </w:rPr>
                    <w:t>26</w:t>
                  </w:r>
                </w:p>
              </w:tc>
              <w:tc>
                <w:tcPr>
                  <w:tcW w:w="730" w:type="pct"/>
                  <w:tcBorders>
                    <w:tl2br w:val="nil"/>
                    <w:tr2bl w:val="nil"/>
                  </w:tcBorders>
                  <w:shd w:val="clear" w:color="auto" w:fill="auto"/>
                  <w:vAlign w:val="center"/>
                </w:tcPr>
                <w:p w14:paraId="063035B3">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rFonts w:hint="default"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color w:val="000000"/>
                      <w:sz w:val="21"/>
                      <w:szCs w:val="21"/>
                    </w:rPr>
                    <w:t>40</w:t>
                  </w:r>
                </w:p>
              </w:tc>
              <w:tc>
                <w:tcPr>
                  <w:tcW w:w="723" w:type="pct"/>
                  <w:tcBorders>
                    <w:tl2br w:val="nil"/>
                    <w:tr2bl w:val="nil"/>
                  </w:tcBorders>
                  <w:shd w:val="clear" w:color="auto" w:fill="auto"/>
                  <w:vAlign w:val="center"/>
                </w:tcPr>
                <w:p w14:paraId="6C221240">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rPr>
                    <w:t>100</w:t>
                  </w:r>
                </w:p>
              </w:tc>
              <w:tc>
                <w:tcPr>
                  <w:tcW w:w="673" w:type="pct"/>
                  <w:vMerge w:val="restart"/>
                  <w:tcBorders>
                    <w:tl2br w:val="nil"/>
                    <w:tr2bl w:val="nil"/>
                  </w:tcBorders>
                  <w:shd w:val="clear" w:color="auto" w:fill="auto"/>
                  <w:vAlign w:val="center"/>
                </w:tcPr>
                <w:p w14:paraId="38421E87">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rPr>
                    <w:t>达标</w:t>
                  </w:r>
                </w:p>
              </w:tc>
            </w:tr>
            <w:tr w14:paraId="781AD5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607" w:type="pct"/>
                  <w:vMerge w:val="continue"/>
                  <w:tcBorders>
                    <w:tl2br w:val="nil"/>
                    <w:tr2bl w:val="nil"/>
                  </w:tcBorders>
                  <w:vAlign w:val="center"/>
                </w:tcPr>
                <w:p w14:paraId="1343B505">
                  <w:pPr>
                    <w:pStyle w:val="17"/>
                    <w:numPr>
                      <w:ilvl w:val="0"/>
                      <w:numId w:val="0"/>
                    </w:numPr>
                    <w:tabs>
                      <w:tab w:val="clear" w:pos="2040"/>
                    </w:tabs>
                    <w:spacing w:line="360" w:lineRule="auto"/>
                    <w:jc w:val="center"/>
                    <w:rPr>
                      <w:rFonts w:hint="default" w:ascii="Times New Roman" w:hAnsi="Times New Roman" w:eastAsia="仿宋_GB2312" w:cs="Times New Roman"/>
                      <w:b/>
                      <w:bCs/>
                      <w:snapToGrid w:val="0"/>
                      <w:kern w:val="0"/>
                      <w:sz w:val="21"/>
                      <w:szCs w:val="21"/>
                      <w:vertAlign w:val="baseline"/>
                    </w:rPr>
                  </w:pPr>
                </w:p>
              </w:tc>
              <w:tc>
                <w:tcPr>
                  <w:tcW w:w="1518" w:type="pct"/>
                  <w:tcBorders>
                    <w:tl2br w:val="nil"/>
                    <w:tr2bl w:val="nil"/>
                  </w:tcBorders>
                  <w:shd w:val="clear" w:color="auto" w:fill="auto"/>
                  <w:vAlign w:val="center"/>
                </w:tcPr>
                <w:p w14:paraId="2C0B4C91">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rFonts w:hint="default"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color w:val="000000"/>
                      <w:sz w:val="21"/>
                      <w:szCs w:val="21"/>
                    </w:rPr>
                    <w:t>日平均质量浓度范围</w:t>
                  </w:r>
                </w:p>
              </w:tc>
              <w:tc>
                <w:tcPr>
                  <w:tcW w:w="747" w:type="pct"/>
                  <w:tcBorders>
                    <w:tl2br w:val="nil"/>
                    <w:tr2bl w:val="nil"/>
                  </w:tcBorders>
                  <w:shd w:val="clear" w:color="auto" w:fill="auto"/>
                  <w:vAlign w:val="center"/>
                </w:tcPr>
                <w:p w14:paraId="2C9912F0">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rFonts w:hint="default"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color w:val="000000"/>
                      <w:sz w:val="21"/>
                      <w:szCs w:val="21"/>
                    </w:rPr>
                    <w:t>5~92</w:t>
                  </w:r>
                </w:p>
              </w:tc>
              <w:tc>
                <w:tcPr>
                  <w:tcW w:w="730" w:type="pct"/>
                  <w:tcBorders>
                    <w:tl2br w:val="nil"/>
                    <w:tr2bl w:val="nil"/>
                  </w:tcBorders>
                  <w:shd w:val="clear" w:color="auto" w:fill="auto"/>
                  <w:vAlign w:val="center"/>
                </w:tcPr>
                <w:p w14:paraId="30F2796D">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rFonts w:hint="default"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color w:val="000000"/>
                      <w:sz w:val="21"/>
                      <w:szCs w:val="21"/>
                    </w:rPr>
                    <w:t>80</w:t>
                  </w:r>
                </w:p>
              </w:tc>
              <w:tc>
                <w:tcPr>
                  <w:tcW w:w="723" w:type="pct"/>
                  <w:tcBorders>
                    <w:tl2br w:val="nil"/>
                    <w:tr2bl w:val="nil"/>
                  </w:tcBorders>
                  <w:shd w:val="clear" w:color="auto" w:fill="auto"/>
                  <w:vAlign w:val="center"/>
                </w:tcPr>
                <w:p w14:paraId="033AA2C6">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rPr>
                    <w:t>99.2</w:t>
                  </w:r>
                </w:p>
              </w:tc>
              <w:tc>
                <w:tcPr>
                  <w:tcW w:w="673" w:type="pct"/>
                  <w:vMerge w:val="continue"/>
                  <w:tcBorders>
                    <w:tl2br w:val="nil"/>
                    <w:tr2bl w:val="nil"/>
                  </w:tcBorders>
                  <w:vAlign w:val="center"/>
                </w:tcPr>
                <w:p w14:paraId="0AC3D7F0">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rFonts w:hint="default" w:ascii="Times New Roman" w:hAnsi="Times New Roman" w:eastAsia="仿宋_GB2312" w:cs="Times New Roman"/>
                      <w:color w:val="000000"/>
                      <w:sz w:val="21"/>
                      <w:szCs w:val="21"/>
                    </w:rPr>
                  </w:pPr>
                </w:p>
              </w:tc>
            </w:tr>
            <w:tr w14:paraId="488B0A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607" w:type="pct"/>
                  <w:tcBorders>
                    <w:tl2br w:val="nil"/>
                    <w:tr2bl w:val="nil"/>
                  </w:tcBorders>
                  <w:shd w:val="clear" w:color="auto" w:fill="auto"/>
                  <w:vAlign w:val="center"/>
                </w:tcPr>
                <w:p w14:paraId="7B00611C">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rFonts w:hint="default"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color w:val="000000"/>
                      <w:sz w:val="21"/>
                      <w:szCs w:val="21"/>
                    </w:rPr>
                    <w:t>CO</w:t>
                  </w:r>
                </w:p>
              </w:tc>
              <w:tc>
                <w:tcPr>
                  <w:tcW w:w="1518" w:type="pct"/>
                  <w:tcBorders>
                    <w:tl2br w:val="nil"/>
                    <w:tr2bl w:val="nil"/>
                  </w:tcBorders>
                  <w:shd w:val="clear" w:color="auto" w:fill="auto"/>
                  <w:vAlign w:val="center"/>
                </w:tcPr>
                <w:p w14:paraId="7E0482D2">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rFonts w:hint="default"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color w:val="000000"/>
                      <w:sz w:val="21"/>
                      <w:szCs w:val="21"/>
                    </w:rPr>
                    <w:t>日均值的第95百分位数</w:t>
                  </w:r>
                </w:p>
              </w:tc>
              <w:tc>
                <w:tcPr>
                  <w:tcW w:w="747" w:type="pct"/>
                  <w:tcBorders>
                    <w:tl2br w:val="nil"/>
                    <w:tr2bl w:val="nil"/>
                  </w:tcBorders>
                  <w:shd w:val="clear" w:color="auto" w:fill="auto"/>
                  <w:vAlign w:val="center"/>
                </w:tcPr>
                <w:p w14:paraId="35EDA84C">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rFonts w:hint="default"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color w:val="000000"/>
                      <w:sz w:val="21"/>
                      <w:szCs w:val="21"/>
                    </w:rPr>
                    <w:t>1100</w:t>
                  </w:r>
                </w:p>
              </w:tc>
              <w:tc>
                <w:tcPr>
                  <w:tcW w:w="730" w:type="pct"/>
                  <w:tcBorders>
                    <w:tl2br w:val="nil"/>
                    <w:tr2bl w:val="nil"/>
                  </w:tcBorders>
                  <w:shd w:val="clear" w:color="auto" w:fill="auto"/>
                  <w:vAlign w:val="center"/>
                </w:tcPr>
                <w:p w14:paraId="2A758A1A">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rFonts w:hint="default"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color w:val="000000"/>
                      <w:sz w:val="21"/>
                      <w:szCs w:val="21"/>
                    </w:rPr>
                    <w:t>4000</w:t>
                  </w:r>
                </w:p>
              </w:tc>
              <w:tc>
                <w:tcPr>
                  <w:tcW w:w="723" w:type="pct"/>
                  <w:tcBorders>
                    <w:tl2br w:val="nil"/>
                    <w:tr2bl w:val="nil"/>
                  </w:tcBorders>
                  <w:shd w:val="clear" w:color="auto" w:fill="auto"/>
                  <w:vAlign w:val="center"/>
                </w:tcPr>
                <w:p w14:paraId="5BB58E04">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rPr>
                    <w:t>100</w:t>
                  </w:r>
                </w:p>
              </w:tc>
              <w:tc>
                <w:tcPr>
                  <w:tcW w:w="673" w:type="pct"/>
                  <w:tcBorders>
                    <w:tl2br w:val="nil"/>
                    <w:tr2bl w:val="nil"/>
                  </w:tcBorders>
                  <w:shd w:val="clear" w:color="auto" w:fill="auto"/>
                  <w:vAlign w:val="center"/>
                </w:tcPr>
                <w:p w14:paraId="4F8DD9A0">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rPr>
                    <w:t>达标</w:t>
                  </w:r>
                </w:p>
              </w:tc>
            </w:tr>
            <w:tr w14:paraId="6B8822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607" w:type="pct"/>
                  <w:tcBorders>
                    <w:tl2br w:val="nil"/>
                    <w:tr2bl w:val="nil"/>
                  </w:tcBorders>
                  <w:shd w:val="clear" w:color="auto" w:fill="auto"/>
                  <w:vAlign w:val="center"/>
                </w:tcPr>
                <w:p w14:paraId="60953069">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rFonts w:hint="default"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color w:val="000000"/>
                      <w:sz w:val="21"/>
                      <w:szCs w:val="21"/>
                    </w:rPr>
                    <w:t>O</w:t>
                  </w:r>
                  <w:r>
                    <w:rPr>
                      <w:rFonts w:hint="default" w:ascii="Times New Roman" w:hAnsi="Times New Roman" w:eastAsia="仿宋_GB2312" w:cs="Times New Roman"/>
                      <w:color w:val="000000"/>
                      <w:sz w:val="21"/>
                      <w:szCs w:val="21"/>
                      <w:vertAlign w:val="subscript"/>
                    </w:rPr>
                    <w:t>3</w:t>
                  </w:r>
                </w:p>
              </w:tc>
              <w:tc>
                <w:tcPr>
                  <w:tcW w:w="1518" w:type="pct"/>
                  <w:tcBorders>
                    <w:tl2br w:val="nil"/>
                    <w:tr2bl w:val="nil"/>
                  </w:tcBorders>
                  <w:shd w:val="clear" w:color="auto" w:fill="auto"/>
                  <w:vAlign w:val="center"/>
                </w:tcPr>
                <w:p w14:paraId="20EA4337">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rFonts w:hint="default"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color w:val="000000"/>
                      <w:sz w:val="21"/>
                      <w:szCs w:val="21"/>
                    </w:rPr>
                    <w:t>日最大8小时滑动平均值的第90百分位数</w:t>
                  </w:r>
                </w:p>
              </w:tc>
              <w:tc>
                <w:tcPr>
                  <w:tcW w:w="747" w:type="pct"/>
                  <w:tcBorders>
                    <w:tl2br w:val="nil"/>
                    <w:tr2bl w:val="nil"/>
                  </w:tcBorders>
                  <w:shd w:val="clear" w:color="auto" w:fill="auto"/>
                  <w:vAlign w:val="center"/>
                </w:tcPr>
                <w:p w14:paraId="2EEFA4A8">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rFonts w:hint="default"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color w:val="000000"/>
                      <w:sz w:val="21"/>
                      <w:szCs w:val="21"/>
                    </w:rPr>
                    <w:t>168</w:t>
                  </w:r>
                </w:p>
              </w:tc>
              <w:tc>
                <w:tcPr>
                  <w:tcW w:w="730" w:type="pct"/>
                  <w:tcBorders>
                    <w:tl2br w:val="nil"/>
                    <w:tr2bl w:val="nil"/>
                  </w:tcBorders>
                  <w:shd w:val="clear" w:color="auto" w:fill="auto"/>
                  <w:vAlign w:val="center"/>
                </w:tcPr>
                <w:p w14:paraId="3930ED31">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rFonts w:hint="default"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color w:val="000000"/>
                      <w:sz w:val="21"/>
                      <w:szCs w:val="21"/>
                    </w:rPr>
                    <w:t>160</w:t>
                  </w:r>
                </w:p>
              </w:tc>
              <w:tc>
                <w:tcPr>
                  <w:tcW w:w="723" w:type="pct"/>
                  <w:tcBorders>
                    <w:tl2br w:val="nil"/>
                    <w:tr2bl w:val="nil"/>
                  </w:tcBorders>
                  <w:shd w:val="clear" w:color="auto" w:fill="auto"/>
                  <w:vAlign w:val="center"/>
                </w:tcPr>
                <w:p w14:paraId="07AAD979">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rPr>
                    <w:t>86.3</w:t>
                  </w:r>
                </w:p>
              </w:tc>
              <w:tc>
                <w:tcPr>
                  <w:tcW w:w="673" w:type="pct"/>
                  <w:tcBorders>
                    <w:tl2br w:val="nil"/>
                    <w:tr2bl w:val="nil"/>
                  </w:tcBorders>
                  <w:shd w:val="clear" w:color="auto" w:fill="auto"/>
                  <w:vAlign w:val="center"/>
                </w:tcPr>
                <w:p w14:paraId="60A8F9B6">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rPr>
                    <w:t>不达标</w:t>
                  </w:r>
                </w:p>
              </w:tc>
            </w:tr>
          </w:tbl>
          <w:p w14:paraId="509341D4">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right="0" w:firstLine="420"/>
              <w:jc w:val="both"/>
              <w:rPr>
                <w:rFonts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由上表可知，2024年常州市环境空气中SO</w:t>
            </w:r>
            <w:r>
              <w:rPr>
                <w:rFonts w:hint="default" w:ascii="Times New Roman" w:hAnsi="Times New Roman" w:eastAsia="仿宋_GB2312" w:cs="Times New Roman"/>
                <w:kern w:val="2"/>
                <w:sz w:val="21"/>
                <w:szCs w:val="21"/>
                <w:vertAlign w:val="subscript"/>
                <w:lang w:val="en-US" w:eastAsia="zh-CN" w:bidi="ar-SA"/>
              </w:rPr>
              <w:t>2</w:t>
            </w:r>
            <w:r>
              <w:rPr>
                <w:rFonts w:hint="default" w:ascii="Times New Roman" w:hAnsi="Times New Roman" w:eastAsia="仿宋_GB2312" w:cs="Times New Roman"/>
                <w:kern w:val="2"/>
                <w:sz w:val="21"/>
                <w:szCs w:val="21"/>
                <w:lang w:val="en-US" w:eastAsia="zh-CN" w:bidi="ar-SA"/>
              </w:rPr>
              <w:t>、NO</w:t>
            </w:r>
            <w:r>
              <w:rPr>
                <w:rFonts w:hint="default" w:ascii="Times New Roman" w:hAnsi="Times New Roman" w:eastAsia="仿宋_GB2312" w:cs="Times New Roman"/>
                <w:kern w:val="2"/>
                <w:sz w:val="21"/>
                <w:szCs w:val="21"/>
                <w:vertAlign w:val="subscript"/>
                <w:lang w:val="en-US" w:eastAsia="zh-CN" w:bidi="ar-SA"/>
              </w:rPr>
              <w:t>2</w:t>
            </w:r>
            <w:r>
              <w:rPr>
                <w:rFonts w:hint="default" w:ascii="Times New Roman" w:hAnsi="Times New Roman" w:eastAsia="仿宋_GB2312" w:cs="Times New Roman"/>
                <w:kern w:val="2"/>
                <w:sz w:val="21"/>
                <w:szCs w:val="21"/>
                <w:lang w:val="en-US" w:eastAsia="zh-CN" w:bidi="ar-SA"/>
              </w:rPr>
              <w:t>、PM</w:t>
            </w:r>
            <w:r>
              <w:rPr>
                <w:rFonts w:hint="default" w:ascii="Times New Roman" w:hAnsi="Times New Roman" w:eastAsia="仿宋_GB2312" w:cs="Times New Roman"/>
                <w:kern w:val="2"/>
                <w:sz w:val="21"/>
                <w:szCs w:val="21"/>
                <w:vertAlign w:val="subscript"/>
                <w:lang w:val="en-US" w:eastAsia="zh-CN" w:bidi="ar-SA"/>
              </w:rPr>
              <w:t>10</w:t>
            </w:r>
            <w:r>
              <w:rPr>
                <w:rFonts w:hint="default" w:ascii="Times New Roman" w:hAnsi="Times New Roman" w:eastAsia="仿宋_GB2312" w:cs="Times New Roman"/>
                <w:kern w:val="2"/>
                <w:sz w:val="21"/>
                <w:szCs w:val="21"/>
                <w:lang w:val="en-US" w:eastAsia="zh-CN" w:bidi="ar-SA"/>
              </w:rPr>
              <w:t>和PM</w:t>
            </w:r>
            <w:r>
              <w:rPr>
                <w:rFonts w:hint="default" w:ascii="Times New Roman" w:hAnsi="Times New Roman" w:eastAsia="仿宋_GB2312" w:cs="Times New Roman"/>
                <w:kern w:val="2"/>
                <w:sz w:val="21"/>
                <w:szCs w:val="21"/>
                <w:vertAlign w:val="subscript"/>
                <w:lang w:val="en-US" w:eastAsia="zh-CN" w:bidi="ar-SA"/>
              </w:rPr>
              <w:t>2.5</w:t>
            </w:r>
            <w:r>
              <w:rPr>
                <w:rFonts w:hint="default" w:ascii="Times New Roman" w:hAnsi="Times New Roman" w:eastAsia="仿宋_GB2312" w:cs="Times New Roman"/>
                <w:kern w:val="2"/>
                <w:sz w:val="21"/>
                <w:szCs w:val="21"/>
                <w:lang w:val="en-US" w:eastAsia="zh-CN" w:bidi="ar-SA"/>
              </w:rPr>
              <w:t>年均值均达到《环境空气质量标准》（GB3095-2012）二级标准；SO</w:t>
            </w:r>
            <w:r>
              <w:rPr>
                <w:rFonts w:hint="default" w:ascii="Times New Roman" w:hAnsi="Times New Roman" w:eastAsia="仿宋_GB2312" w:cs="Times New Roman"/>
                <w:kern w:val="2"/>
                <w:sz w:val="21"/>
                <w:szCs w:val="21"/>
                <w:vertAlign w:val="subscript"/>
                <w:lang w:val="en-US" w:eastAsia="zh-CN" w:bidi="ar-SA"/>
              </w:rPr>
              <w:t>2</w:t>
            </w:r>
            <w:r>
              <w:rPr>
                <w:rFonts w:hint="default" w:ascii="Times New Roman" w:hAnsi="Times New Roman" w:eastAsia="仿宋_GB2312" w:cs="Times New Roman"/>
                <w:kern w:val="2"/>
                <w:sz w:val="21"/>
                <w:szCs w:val="21"/>
                <w:lang w:val="en-US" w:eastAsia="zh-CN" w:bidi="ar-SA"/>
              </w:rPr>
              <w:t>日均值以及一氧化碳日均值的第95百分位数均达到《环境空气质量标准》（GB3095-2012）二级标准；PM</w:t>
            </w:r>
            <w:r>
              <w:rPr>
                <w:rFonts w:hint="default" w:ascii="Times New Roman" w:hAnsi="Times New Roman" w:eastAsia="仿宋_GB2312" w:cs="Times New Roman"/>
                <w:kern w:val="2"/>
                <w:sz w:val="21"/>
                <w:szCs w:val="21"/>
                <w:vertAlign w:val="subscript"/>
                <w:lang w:val="en-US" w:eastAsia="zh-CN" w:bidi="ar-SA"/>
              </w:rPr>
              <w:t>2.5</w:t>
            </w:r>
            <w:r>
              <w:rPr>
                <w:rFonts w:hint="default" w:ascii="Times New Roman" w:hAnsi="Times New Roman" w:eastAsia="仿宋_GB2312" w:cs="Times New Roman"/>
                <w:kern w:val="2"/>
                <w:sz w:val="21"/>
                <w:szCs w:val="21"/>
                <w:lang w:val="en-US" w:eastAsia="zh-CN" w:bidi="ar-SA"/>
              </w:rPr>
              <w:t>日均浓度值、PM</w:t>
            </w:r>
            <w:r>
              <w:rPr>
                <w:rFonts w:hint="default" w:ascii="Times New Roman" w:hAnsi="Times New Roman" w:eastAsia="仿宋_GB2312" w:cs="Times New Roman"/>
                <w:kern w:val="2"/>
                <w:sz w:val="21"/>
                <w:szCs w:val="21"/>
                <w:vertAlign w:val="subscript"/>
                <w:lang w:val="en-US" w:eastAsia="zh-CN" w:bidi="ar-SA"/>
              </w:rPr>
              <w:t>10</w:t>
            </w:r>
            <w:r>
              <w:rPr>
                <w:rFonts w:hint="default" w:ascii="Times New Roman" w:hAnsi="Times New Roman" w:eastAsia="仿宋_GB2312" w:cs="Times New Roman"/>
                <w:kern w:val="2"/>
                <w:sz w:val="21"/>
                <w:szCs w:val="21"/>
                <w:lang w:val="en-US" w:eastAsia="zh-CN" w:bidi="ar-SA"/>
              </w:rPr>
              <w:t>日均浓度值、NO</w:t>
            </w:r>
            <w:r>
              <w:rPr>
                <w:rFonts w:hint="default" w:ascii="Times New Roman" w:hAnsi="Times New Roman" w:eastAsia="仿宋_GB2312" w:cs="Times New Roman"/>
                <w:kern w:val="2"/>
                <w:sz w:val="21"/>
                <w:szCs w:val="21"/>
                <w:vertAlign w:val="subscript"/>
                <w:lang w:val="en-US" w:eastAsia="zh-CN" w:bidi="ar-SA"/>
              </w:rPr>
              <w:t>2</w:t>
            </w:r>
            <w:r>
              <w:rPr>
                <w:rFonts w:hint="default" w:ascii="Times New Roman" w:hAnsi="Times New Roman" w:eastAsia="仿宋_GB2312" w:cs="Times New Roman"/>
                <w:kern w:val="2"/>
                <w:sz w:val="21"/>
                <w:szCs w:val="21"/>
                <w:lang w:val="en-US" w:eastAsia="zh-CN" w:bidi="ar-SA"/>
              </w:rPr>
              <w:t>日均浓度值和臭氧日最大8小时滑动均值均超过《环境空气质量标准》（GB3095-2012）二级标准，因此判定为非达标区。</w:t>
            </w:r>
          </w:p>
          <w:p w14:paraId="602FB74A">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right="0" w:firstLine="413"/>
              <w:jc w:val="both"/>
              <w:rPr>
                <w:rFonts w:ascii="Times New Roman" w:hAnsi="Times New Roman" w:eastAsia="仿宋_GB2312" w:cs="Times New Roman"/>
                <w:kern w:val="2"/>
                <w:sz w:val="21"/>
                <w:szCs w:val="21"/>
                <w:lang w:val="en-US" w:eastAsia="zh-CN" w:bidi="ar-SA"/>
              </w:rPr>
            </w:pPr>
            <w:r>
              <w:rPr>
                <w:rFonts w:hint="eastAsia" w:ascii="Times New Roman" w:hAnsi="Times New Roman" w:eastAsia="仿宋_GB2312" w:cs="Times New Roman"/>
                <w:kern w:val="2"/>
                <w:sz w:val="21"/>
                <w:szCs w:val="21"/>
                <w:lang w:val="en-US" w:eastAsia="zh-CN" w:bidi="ar-SA"/>
              </w:rPr>
              <w:t>（2）</w:t>
            </w:r>
            <w:r>
              <w:rPr>
                <w:rFonts w:hint="default" w:ascii="Times New Roman" w:hAnsi="Times New Roman" w:eastAsia="仿宋_GB2312" w:cs="Times New Roman"/>
                <w:kern w:val="2"/>
                <w:sz w:val="21"/>
                <w:szCs w:val="21"/>
                <w:lang w:val="en-US" w:eastAsia="zh-CN" w:bidi="ar-SA"/>
              </w:rPr>
              <w:t>大气污染防治行动方案</w:t>
            </w:r>
          </w:p>
          <w:p w14:paraId="1999EE79">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firstLine="411"/>
              <w:jc w:val="both"/>
              <w:rPr>
                <w:rFonts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为贯彻落实《国务院关于印发&lt;空气质量持续改善行动计划&gt;的通知》（国发〔2023〕24号）和《省政府关于印发江苏省空气质量持续改善行动计划实施方案的通知》（苏政发〔2024〕53号）要求，持续深入打好蓝天保卫战，切实保障人民群众身体健康，以高水平保护支撑高质量发展，常州市人民政府制定《常州市空气质量持续改善行动计划实施方案》（常政发〔2024〕51号），方案重点任务如下：</w:t>
            </w:r>
          </w:p>
          <w:p w14:paraId="530E1562">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firstLine="411"/>
              <w:jc w:val="both"/>
              <w:rPr>
                <w:rFonts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①调整优化产业结构，推进产业绿色低碳发展：坚决遏制“两高”项目盲目发展；加快退出重点行业落后产能；中小型传统制造企业集中的辖市（区）均要制定涉气产业集群发展规划，严格项目审批，严防污染下乡；严格控制生产和使用高VOCs含量涂料、油墨、胶粘剂、清洗剂等建设项目。</w:t>
            </w:r>
          </w:p>
          <w:p w14:paraId="31C17C0E">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firstLine="411"/>
              <w:jc w:val="both"/>
              <w:rPr>
                <w:rFonts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②推进能源高效利用，加快能源清洁低碳转型：大力发展新能源和清洁能源；严格合理控制煤炭消费总量；推进燃煤锅炉关停整合和工业炉窑清洁能源替代；推进近零碳园区和近零碳工厂试点建设。</w:t>
            </w:r>
          </w:p>
          <w:p w14:paraId="4AF6F20E">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firstLine="411"/>
              <w:jc w:val="both"/>
              <w:rPr>
                <w:rFonts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③加强面源污染治理，提高精细化管理水平：实施扬尘精细化治理，积极实施“清洁城市行动”；推进矿山生态环境综合整治；加强秸秆禁烧和综合利用，禁止露天焚烧秸秆，综合运用卫星遥感、高清视频监控、无人机等手段，提高秸秆焚烧火点监测及巡查精准度。</w:t>
            </w:r>
          </w:p>
          <w:p w14:paraId="529101A4">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firstLine="411"/>
              <w:jc w:val="both"/>
              <w:rPr>
                <w:rFonts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④强化协同减排，切实降低污染物排放强度：强化VOCs全流程、全环节综合治理，鼓励储罐使用低泄漏的呼吸阀、紧急泄压阀，定期开展密封性检测。重点工业园区建立分环节、分物种管控清单，实施高排放关键活性物种“指纹化”监测监控和靶向治理。</w:t>
            </w:r>
          </w:p>
          <w:p w14:paraId="3F60869D">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firstLine="411"/>
              <w:jc w:val="both"/>
              <w:rPr>
                <w:rFonts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实施重点行业超低排放与深度治理，有序推进铸造、垃圾焚烧发电、玻璃、有色、石灰、矿棉等行业深度治理。持续推进煤电机组深度脱硝改造，实施重点行业绩效等级提升行动。</w:t>
            </w:r>
          </w:p>
          <w:p w14:paraId="00BB0E8A">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firstLine="420"/>
              <w:jc w:val="both"/>
              <w:rPr>
                <w:rFonts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推进餐饮油烟、恶臭异味专项整治。加强部门联动，因地制宜解决人民群众反映集中的油烟和恶臭扰民问题。严格居民楼附近餐饮服务单位布局管理。拟开设餐饮服务单位的建筑应设计建设专用烟道。建立重点园区“嗅辨+监测”异味溯源机制。</w:t>
            </w:r>
          </w:p>
          <w:p w14:paraId="57F28274">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firstLine="420"/>
              <w:jc w:val="both"/>
              <w:rPr>
                <w:rFonts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推动大气氨污染防控，加强氮肥、纯碱等行业大气氨排放治理，强化工业源烟气脱硫脱硝氨逃逸防控。</w:t>
            </w:r>
          </w:p>
          <w:p w14:paraId="44E09F26">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firstLine="420"/>
              <w:jc w:val="both"/>
              <w:rPr>
                <w:rFonts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⑤完善工作机制，健全大气环境管理体系：开展区域联防联控和城市空气质量达标管理，积极推进大气污染联防联控机制建设，空气质量未达标的地区编制实施大气环境质量限期达标规划，明确达标路线图及重点任务，并向社会公开。</w:t>
            </w:r>
          </w:p>
          <w:p w14:paraId="55763E0B">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firstLine="420"/>
              <w:jc w:val="both"/>
              <w:rPr>
                <w:rFonts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提升重污染天气应对能力，结合排污许可制度，确保应急减排清单覆盖所有涉气企业。按照区域预警提示信息，依法依规与同一区域内的城市同步采取应急响应措施。</w:t>
            </w:r>
          </w:p>
          <w:p w14:paraId="5E083F42">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firstLine="420"/>
              <w:jc w:val="both"/>
              <w:rPr>
                <w:rFonts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⑥加强能力建设，提升生态环境治理体系和治理能力现代化水平：强化大气监测和执法监管，加强机场、港口、铁路货场、物流园区、工业园区、产业集群、公路等大气环境监测；加强决策科技支撑，持续开展PM2.5和臭氧协同控制科技攻关，推进致臭物质识别、恶臭污染评估和溯源技术方法研究。</w:t>
            </w:r>
          </w:p>
          <w:p w14:paraId="2D11B2C0">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firstLine="420"/>
              <w:jc w:val="both"/>
              <w:rPr>
                <w:rFonts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⑦健全标准规范体系，完善生态环境经济政策：强化标准引领，推动落实大气污染物排放最新标准，重点行业逐步配套技术指南和工程技术规范，研究制定精细化治理方案；完善生态环境资金投入机制，综合运用经济、技术等手段推动老旧车辆退出。</w:t>
            </w:r>
          </w:p>
          <w:p w14:paraId="13D1C9C6">
            <w:pPr>
              <w:pStyle w:val="2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firstLine="420"/>
              <w:jc w:val="both"/>
              <w:rPr>
                <w:rFonts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⑧落实各方责任，构建全民行动格局：加强组织领导，各级政府对本行政区域内空气质量负总责，组织制定本地实施方案；严格监督考核，将空气质量改善目标完成情况作为深入打好污染防治攻坚战成效考核的重要内容；推进全民行动，落实《江苏省生态文明教育促进办法》，加强舆论引导和监督，普及大气环境与健康知识，政府带头开展绿色采购，推进使用新能源车辆，全面使用低（无）VOCs含量产品，强化公民环境意识，推动形成简约适度、绿色低碳、文明健康的生活方式，共同改善空气质量。</w:t>
            </w:r>
          </w:p>
          <w:p w14:paraId="6941DA94">
            <w:pPr>
              <w:pStyle w:val="28"/>
              <w:keepNext/>
              <w:keepLines/>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firstLine="420"/>
              <w:rPr>
                <w:rFonts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通过上述工作的积极推进实施，常州市与金坛区环境空气质量将得到持续改善。</w:t>
            </w:r>
          </w:p>
          <w:p w14:paraId="560DC14C">
            <w:pPr>
              <w:adjustRightInd w:val="0"/>
              <w:snapToGrid w:val="0"/>
              <w:spacing w:line="360" w:lineRule="auto"/>
              <w:ind w:firstLine="420" w:firstLineChars="200"/>
              <w:rPr>
                <w:rFonts w:eastAsia="仿宋_GB2312"/>
              </w:rPr>
            </w:pPr>
            <w:r>
              <w:rPr>
                <w:rFonts w:eastAsia="仿宋_GB2312"/>
              </w:rPr>
              <w:t>2、地表水</w:t>
            </w:r>
          </w:p>
          <w:p w14:paraId="1947A782">
            <w:pPr>
              <w:adjustRightInd w:val="0"/>
              <w:snapToGrid w:val="0"/>
              <w:spacing w:line="360" w:lineRule="auto"/>
              <w:ind w:firstLine="420" w:firstLineChars="200"/>
              <w:rPr>
                <w:rFonts w:ascii="Times New Roman" w:hAnsi="Times New Roman" w:eastAsia="仿宋_GB2312" w:cs="Times New Roman"/>
              </w:rPr>
            </w:pPr>
            <w:r>
              <w:rPr>
                <w:rFonts w:ascii="Times New Roman" w:hAnsi="Times New Roman" w:eastAsia="仿宋_GB2312" w:cs="Times New Roman"/>
              </w:rPr>
              <w:t>国考、省考断面水质达到或好于Ⅲ类比例超额完成省定考核要求，太湖</w:t>
            </w:r>
            <w:r>
              <w:rPr>
                <w:rFonts w:hint="eastAsia" w:ascii="Times New Roman" w:hAnsi="Times New Roman" w:eastAsia="仿宋_GB2312" w:cs="Times New Roman"/>
                <w:lang w:val="en-US" w:eastAsia="zh-CN"/>
              </w:rPr>
              <w:t>水质从2007年蓝藻事件以来首次达</w:t>
            </w:r>
            <w:r>
              <w:rPr>
                <w:rFonts w:ascii="Times New Roman" w:hAnsi="Times New Roman" w:eastAsia="仿宋_GB2312" w:cs="Times New Roman"/>
              </w:rPr>
              <w:t>Ⅲ</w:t>
            </w:r>
            <w:r>
              <w:rPr>
                <w:rFonts w:hint="eastAsia" w:ascii="Times New Roman" w:hAnsi="Times New Roman" w:eastAsia="仿宋_GB2312" w:cs="Times New Roman"/>
                <w:lang w:eastAsia="zh-CN"/>
              </w:rPr>
              <w:t>，</w:t>
            </w:r>
            <w:r>
              <w:rPr>
                <w:rFonts w:hint="eastAsia" w:ascii="Times New Roman" w:hAnsi="Times New Roman" w:eastAsia="仿宋_GB2312" w:cs="Times New Roman"/>
                <w:lang w:val="en-US" w:eastAsia="zh-CN"/>
              </w:rPr>
              <w:t>重回“良好”湖泊，</w:t>
            </w:r>
            <w:r>
              <w:rPr>
                <w:rFonts w:ascii="Times New Roman" w:hAnsi="Times New Roman" w:eastAsia="仿宋_GB2312" w:cs="Times New Roman"/>
              </w:rPr>
              <w:t>连续1</w:t>
            </w:r>
            <w:r>
              <w:rPr>
                <w:rFonts w:hint="eastAsia" w:ascii="Times New Roman" w:hAnsi="Times New Roman" w:eastAsia="仿宋_GB2312" w:cs="Times New Roman"/>
                <w:lang w:val="en-US" w:eastAsia="zh-CN"/>
              </w:rPr>
              <w:t>7</w:t>
            </w:r>
            <w:r>
              <w:rPr>
                <w:rFonts w:ascii="Times New Roman" w:hAnsi="Times New Roman" w:eastAsia="仿宋_GB2312" w:cs="Times New Roman"/>
              </w:rPr>
              <w:t>年实现安全度夏。长江干流（常州段）水质连续</w:t>
            </w:r>
            <w:r>
              <w:rPr>
                <w:rFonts w:hint="eastAsia" w:ascii="Times New Roman" w:hAnsi="Times New Roman" w:eastAsia="仿宋_GB2312" w:cs="Times New Roman"/>
                <w:lang w:val="en-US" w:eastAsia="zh-CN"/>
              </w:rPr>
              <w:t>8</w:t>
            </w:r>
            <w:r>
              <w:rPr>
                <w:rFonts w:ascii="Times New Roman" w:hAnsi="Times New Roman" w:eastAsia="仿宋_GB2312" w:cs="Times New Roman"/>
              </w:rPr>
              <w:t>年稳定Ⅱ类水平，主要入湖河道、集中式饮用水源地水质达到省定考核目标。常州市城市饮用水以集中供水为主，202</w:t>
            </w:r>
            <w:r>
              <w:rPr>
                <w:rFonts w:hint="eastAsia" w:ascii="Times New Roman" w:hAnsi="Times New Roman" w:eastAsia="仿宋_GB2312" w:cs="Times New Roman"/>
                <w:lang w:val="en-US" w:eastAsia="zh-CN"/>
              </w:rPr>
              <w:t>4</w:t>
            </w:r>
            <w:r>
              <w:rPr>
                <w:rFonts w:ascii="Times New Roman" w:hAnsi="Times New Roman" w:eastAsia="仿宋_GB2312" w:cs="Times New Roman"/>
              </w:rPr>
              <w:t>年全市5个县级及以上城市集中式饮用水水源地（含备用），取水总量为5.</w:t>
            </w:r>
            <w:r>
              <w:rPr>
                <w:rFonts w:hint="eastAsia" w:ascii="Times New Roman" w:hAnsi="Times New Roman" w:eastAsia="仿宋_GB2312" w:cs="Times New Roman"/>
                <w:lang w:val="en-US" w:eastAsia="zh-CN"/>
              </w:rPr>
              <w:t>23</w:t>
            </w:r>
            <w:r>
              <w:rPr>
                <w:rFonts w:ascii="Times New Roman" w:hAnsi="Times New Roman" w:eastAsia="仿宋_GB2312" w:cs="Times New Roman"/>
              </w:rPr>
              <w:t>亿吨，全年</w:t>
            </w:r>
            <w:r>
              <w:rPr>
                <w:rFonts w:hint="eastAsia" w:ascii="Times New Roman" w:hAnsi="Times New Roman" w:eastAsia="仿宋_GB2312" w:cs="Times New Roman"/>
                <w:lang w:val="en-US" w:eastAsia="zh-CN"/>
              </w:rPr>
              <w:t>每月</w:t>
            </w:r>
            <w:r>
              <w:rPr>
                <w:rFonts w:ascii="Times New Roman" w:hAnsi="Times New Roman" w:eastAsia="仿宋_GB2312" w:cs="Times New Roman"/>
              </w:rPr>
              <w:t>监测均达标。202</w:t>
            </w:r>
            <w:r>
              <w:rPr>
                <w:rFonts w:hint="eastAsia" w:ascii="Times New Roman" w:hAnsi="Times New Roman" w:eastAsia="仿宋_GB2312" w:cs="Times New Roman"/>
                <w:lang w:val="en-US" w:eastAsia="zh-CN"/>
              </w:rPr>
              <w:t>4</w:t>
            </w:r>
            <w:r>
              <w:rPr>
                <w:rFonts w:ascii="Times New Roman" w:hAnsi="Times New Roman" w:eastAsia="仿宋_GB2312" w:cs="Times New Roman"/>
              </w:rPr>
              <w:t>年，常州市纳入</w:t>
            </w:r>
            <w:r>
              <w:rPr>
                <w:rFonts w:hint="eastAsia" w:ascii="Times New Roman" w:hAnsi="Times New Roman" w:eastAsia="仿宋_GB2312" w:cs="Times New Roman"/>
              </w:rPr>
              <w:t>“</w:t>
            </w:r>
            <w:r>
              <w:rPr>
                <w:rFonts w:ascii="Times New Roman" w:hAnsi="Times New Roman" w:eastAsia="仿宋_GB2312" w:cs="Times New Roman"/>
              </w:rPr>
              <w:t>十四五</w:t>
            </w:r>
            <w:r>
              <w:rPr>
                <w:rFonts w:hint="eastAsia" w:ascii="Times New Roman" w:hAnsi="Times New Roman" w:eastAsia="仿宋_GB2312" w:cs="Times New Roman"/>
              </w:rPr>
              <w:t>”</w:t>
            </w:r>
            <w:r>
              <w:rPr>
                <w:rFonts w:ascii="Times New Roman" w:hAnsi="Times New Roman" w:eastAsia="仿宋_GB2312" w:cs="Times New Roman"/>
              </w:rPr>
              <w:t>国家地表水环境质量考核的20个断面，年均水质达到或好于《地表水环境质量标准》（GB 3838—2002）Ⅲ类标准的断面比例为85%，无劣Ⅴ类断面。纳入江苏省</w:t>
            </w:r>
            <w:r>
              <w:rPr>
                <w:rFonts w:hint="eastAsia" w:ascii="Times New Roman" w:hAnsi="Times New Roman" w:eastAsia="仿宋_GB2312" w:cs="Times New Roman"/>
              </w:rPr>
              <w:t>“</w:t>
            </w:r>
            <w:r>
              <w:rPr>
                <w:rFonts w:ascii="Times New Roman" w:hAnsi="Times New Roman" w:eastAsia="仿宋_GB2312" w:cs="Times New Roman"/>
              </w:rPr>
              <w:t>十四五</w:t>
            </w:r>
            <w:r>
              <w:rPr>
                <w:rFonts w:hint="eastAsia" w:ascii="Times New Roman" w:hAnsi="Times New Roman" w:eastAsia="仿宋_GB2312" w:cs="Times New Roman"/>
              </w:rPr>
              <w:t>”</w:t>
            </w:r>
            <w:r>
              <w:rPr>
                <w:rFonts w:ascii="Times New Roman" w:hAnsi="Times New Roman" w:eastAsia="仿宋_GB2312" w:cs="Times New Roman"/>
              </w:rPr>
              <w:t>水环境质量目标考核的51个断面，年均水质达到或好于Ⅲ类的比例为94.1%，无劣Ⅴ类断面。</w:t>
            </w:r>
          </w:p>
          <w:p w14:paraId="0BA6C2F0">
            <w:pPr>
              <w:adjustRightInd w:val="0"/>
              <w:snapToGrid w:val="0"/>
              <w:spacing w:line="360" w:lineRule="auto"/>
              <w:ind w:firstLine="420" w:firstLineChars="200"/>
              <w:rPr>
                <w:rFonts w:hint="eastAsia" w:ascii="Times New Roman" w:hAnsi="Times New Roman" w:eastAsia="仿宋_GB2312" w:cs="Times New Roman"/>
                <w:lang w:eastAsia="zh-CN"/>
              </w:rPr>
            </w:pPr>
            <w:r>
              <w:rPr>
                <w:rFonts w:ascii="Times New Roman" w:hAnsi="Times New Roman" w:eastAsia="仿宋_GB2312" w:cs="Times New Roman"/>
              </w:rPr>
              <w:t>202</w:t>
            </w:r>
            <w:r>
              <w:rPr>
                <w:rFonts w:hint="eastAsia" w:ascii="Times New Roman" w:hAnsi="Times New Roman" w:eastAsia="仿宋_GB2312" w:cs="Times New Roman"/>
                <w:lang w:val="en-US" w:eastAsia="zh-CN"/>
              </w:rPr>
              <w:t>4</w:t>
            </w:r>
            <w:r>
              <w:rPr>
                <w:rFonts w:ascii="Times New Roman" w:hAnsi="Times New Roman" w:eastAsia="仿宋_GB2312" w:cs="Times New Roman"/>
              </w:rPr>
              <w:t>年，太湖</w:t>
            </w:r>
            <w:r>
              <w:rPr>
                <w:rFonts w:hint="eastAsia" w:ascii="Times New Roman" w:hAnsi="Times New Roman" w:eastAsia="仿宋_GB2312" w:cs="Times New Roman"/>
                <w:lang w:val="en-US" w:eastAsia="zh-CN"/>
              </w:rPr>
              <w:t>水质从2007年蓝藻事件以来首次达</w:t>
            </w:r>
            <w:r>
              <w:rPr>
                <w:rFonts w:ascii="Times New Roman" w:hAnsi="Times New Roman" w:eastAsia="仿宋_GB2312" w:cs="Times New Roman"/>
              </w:rPr>
              <w:t>Ⅲ</w:t>
            </w:r>
            <w:r>
              <w:rPr>
                <w:rFonts w:hint="eastAsia" w:ascii="Times New Roman" w:hAnsi="Times New Roman" w:eastAsia="仿宋_GB2312" w:cs="Times New Roman"/>
                <w:lang w:eastAsia="zh-CN"/>
              </w:rPr>
              <w:t>，</w:t>
            </w:r>
            <w:r>
              <w:rPr>
                <w:rFonts w:hint="eastAsia" w:ascii="Times New Roman" w:hAnsi="Times New Roman" w:eastAsia="仿宋_GB2312" w:cs="Times New Roman"/>
                <w:lang w:val="en-US" w:eastAsia="zh-CN"/>
              </w:rPr>
              <w:t>重回“良好”湖泊，我市椒山点位首次达到</w:t>
            </w:r>
            <w:r>
              <w:rPr>
                <w:rFonts w:ascii="Times New Roman" w:hAnsi="Times New Roman" w:eastAsia="仿宋_GB2312" w:cs="Times New Roman"/>
              </w:rPr>
              <w:t>Ⅲ类</w:t>
            </w:r>
            <w:r>
              <w:rPr>
                <w:rFonts w:hint="eastAsia" w:ascii="Times New Roman" w:hAnsi="Times New Roman" w:eastAsia="仿宋_GB2312" w:cs="Times New Roman"/>
                <w:lang w:eastAsia="zh-CN"/>
              </w:rPr>
              <w:t>，</w:t>
            </w:r>
            <w:r>
              <w:rPr>
                <w:rFonts w:hint="eastAsia" w:ascii="Times New Roman" w:hAnsi="Times New Roman" w:eastAsia="仿宋_GB2312" w:cs="Times New Roman"/>
                <w:lang w:val="en-US" w:eastAsia="zh-CN"/>
              </w:rPr>
              <w:t>太湖常州水域</w:t>
            </w:r>
            <w:r>
              <w:rPr>
                <w:rFonts w:ascii="Times New Roman" w:hAnsi="Times New Roman" w:eastAsia="仿宋_GB2312" w:cs="Times New Roman"/>
              </w:rPr>
              <w:t>总磷同比</w:t>
            </w:r>
            <w:r>
              <w:rPr>
                <w:rFonts w:hint="eastAsia" w:ascii="Times New Roman" w:hAnsi="Times New Roman" w:eastAsia="仿宋_GB2312" w:cs="Times New Roman"/>
                <w:lang w:val="en-US" w:eastAsia="zh-CN"/>
              </w:rPr>
              <w:t>改善</w:t>
            </w:r>
            <w:r>
              <w:rPr>
                <w:rFonts w:ascii="Times New Roman" w:hAnsi="Times New Roman" w:eastAsia="仿宋_GB2312" w:cs="Times New Roman"/>
              </w:rPr>
              <w:t>2</w:t>
            </w:r>
            <w:r>
              <w:rPr>
                <w:rFonts w:hint="eastAsia" w:ascii="Times New Roman" w:hAnsi="Times New Roman" w:eastAsia="仿宋_GB2312" w:cs="Times New Roman"/>
                <w:lang w:val="en-US" w:eastAsia="zh-CN"/>
              </w:rPr>
              <w:t>4</w:t>
            </w:r>
            <w:r>
              <w:rPr>
                <w:rFonts w:ascii="Times New Roman" w:hAnsi="Times New Roman" w:eastAsia="仿宋_GB2312" w:cs="Times New Roman"/>
              </w:rPr>
              <w:t>%，</w:t>
            </w:r>
            <w:r>
              <w:rPr>
                <w:rFonts w:hint="eastAsia" w:ascii="Times New Roman" w:hAnsi="Times New Roman" w:eastAsia="仿宋_GB2312" w:cs="Times New Roman"/>
                <w:lang w:val="en-US" w:eastAsia="zh-CN"/>
              </w:rPr>
              <w:t>对全湖</w:t>
            </w:r>
            <w:r>
              <w:rPr>
                <w:rFonts w:ascii="Times New Roman" w:hAnsi="Times New Roman" w:eastAsia="仿宋_GB2312" w:cs="Times New Roman"/>
              </w:rPr>
              <w:t>总磷</w:t>
            </w:r>
            <w:r>
              <w:rPr>
                <w:rFonts w:hint="eastAsia" w:ascii="Times New Roman" w:hAnsi="Times New Roman" w:eastAsia="仿宋_GB2312" w:cs="Times New Roman"/>
                <w:lang w:val="en-US" w:eastAsia="zh-CN"/>
              </w:rPr>
              <w:t>改善幅度贡献率达182%，位列环湖城市第一，太湖入湖河道通量最大的百渎港总磷同比下降17.6</w:t>
            </w:r>
            <w:r>
              <w:rPr>
                <w:rFonts w:ascii="Times New Roman" w:hAnsi="Times New Roman" w:eastAsia="仿宋_GB2312" w:cs="Times New Roman"/>
              </w:rPr>
              <w:t>%</w:t>
            </w:r>
            <w:r>
              <w:rPr>
                <w:rFonts w:hint="eastAsia" w:ascii="Times New Roman" w:hAnsi="Times New Roman" w:eastAsia="仿宋_GB2312" w:cs="Times New Roman"/>
                <w:lang w:eastAsia="zh-CN"/>
              </w:rPr>
              <w:t>。</w:t>
            </w:r>
          </w:p>
          <w:p w14:paraId="273E7D0F">
            <w:pPr>
              <w:adjustRightInd w:val="0"/>
              <w:snapToGrid w:val="0"/>
              <w:spacing w:line="360" w:lineRule="auto"/>
              <w:ind w:firstLine="420" w:firstLineChars="200"/>
              <w:rPr>
                <w:rFonts w:hint="eastAsia" w:ascii="Times New Roman" w:hAnsi="Times New Roman" w:eastAsia="仿宋_GB2312" w:cs="Times New Roman"/>
                <w:lang w:eastAsia="zh-CN"/>
              </w:rPr>
            </w:pPr>
            <w:r>
              <w:rPr>
                <w:rFonts w:hint="eastAsia" w:ascii="Times New Roman" w:hAnsi="Times New Roman" w:eastAsia="仿宋_GB2312" w:cs="Times New Roman"/>
                <w:lang w:eastAsia="zh-CN"/>
              </w:rPr>
              <w:t>长荡湖水质稳定达到IV类，水生植物覆盖度达38.4%,由“藻型湖”逐步向“草型湖”转变；漏湖常州水域水质首次达到IV类，总磷同比改善27.9%,营养状态从“中度”改善至“轻度”。长荡湖水质稳定达到IV类。</w:t>
            </w:r>
          </w:p>
          <w:p w14:paraId="3FC3300F">
            <w:pPr>
              <w:adjustRightInd w:val="0"/>
              <w:snapToGrid w:val="0"/>
              <w:spacing w:line="360" w:lineRule="auto"/>
              <w:ind w:firstLine="420" w:firstLineChars="200"/>
              <w:rPr>
                <w:rFonts w:hint="eastAsia" w:ascii="Times New Roman" w:hAnsi="Times New Roman" w:eastAsia="仿宋_GB2312" w:cs="Times New Roman"/>
                <w:lang w:val="en-US" w:eastAsia="zh-CN"/>
              </w:rPr>
            </w:pPr>
            <w:r>
              <w:rPr>
                <w:rFonts w:hint="eastAsia" w:ascii="Times New Roman" w:hAnsi="Times New Roman" w:eastAsia="仿宋_GB2312" w:cs="Times New Roman"/>
                <w:lang w:val="en-US" w:eastAsia="zh-CN"/>
              </w:rPr>
              <w:t>2024年，长江干流魏村(右岸)断面水质连续八年达到</w:t>
            </w:r>
            <w:r>
              <w:rPr>
                <w:rFonts w:hint="default" w:ascii="Times New Roman" w:hAnsi="Times New Roman" w:eastAsia="仿宋_GB2312" w:cs="Times New Roman"/>
                <w:lang w:val="en-US" w:eastAsia="zh-CN"/>
              </w:rPr>
              <w:t>Ⅱ</w:t>
            </w:r>
            <w:r>
              <w:rPr>
                <w:rFonts w:hint="eastAsia" w:ascii="Times New Roman" w:hAnsi="Times New Roman" w:eastAsia="仿宋_GB2312" w:cs="Times New Roman"/>
                <w:lang w:val="en-US" w:eastAsia="zh-CN"/>
              </w:rPr>
              <w:t>类；新孟河、德胜河、澡港河等3条主要通江支流上5个国省考断面年均水质均达到或优于</w:t>
            </w:r>
            <w:r>
              <w:rPr>
                <w:rFonts w:ascii="Times New Roman" w:hAnsi="Times New Roman" w:eastAsia="仿宋_GB2312" w:cs="Times New Roman"/>
              </w:rPr>
              <w:t>Ⅲ</w:t>
            </w:r>
            <w:r>
              <w:rPr>
                <w:rFonts w:hint="eastAsia" w:ascii="Times New Roman" w:hAnsi="Times New Roman" w:eastAsia="仿宋_GB2312" w:cs="Times New Roman"/>
                <w:lang w:val="en-US" w:eastAsia="zh-CN"/>
              </w:rPr>
              <w:t>类。</w:t>
            </w:r>
          </w:p>
          <w:p w14:paraId="62CD6866">
            <w:pPr>
              <w:adjustRightInd w:val="0"/>
              <w:snapToGrid w:val="0"/>
              <w:spacing w:line="360" w:lineRule="auto"/>
              <w:ind w:firstLine="420" w:firstLineChars="200"/>
              <w:rPr>
                <w:rFonts w:ascii="Times New Roman" w:hAnsi="Times New Roman" w:eastAsia="仿宋_GB2312" w:cs="Times New Roman"/>
              </w:rPr>
            </w:pPr>
            <w:r>
              <w:rPr>
                <w:rFonts w:hint="eastAsia" w:ascii="Times New Roman" w:hAnsi="Times New Roman" w:eastAsia="仿宋_GB2312" w:cs="Times New Roman"/>
                <w:lang w:val="en-US" w:eastAsia="zh-CN"/>
              </w:rPr>
              <w:t>2024年，京杭大运河(常州段)沿线五牧、连江桥下、戚墅堰等3个国省考断面年均水质均达到或好于</w:t>
            </w:r>
            <w:r>
              <w:rPr>
                <w:rFonts w:ascii="Times New Roman" w:hAnsi="Times New Roman" w:eastAsia="仿宋_GB2312" w:cs="Times New Roman"/>
              </w:rPr>
              <w:t>Ⅲ</w:t>
            </w:r>
            <w:r>
              <w:rPr>
                <w:rFonts w:hint="eastAsia" w:ascii="Times New Roman" w:hAnsi="Times New Roman" w:eastAsia="仿宋_GB2312" w:cs="Times New Roman"/>
                <w:lang w:val="en-US" w:eastAsia="zh-CN"/>
              </w:rPr>
              <w:t>类。</w:t>
            </w:r>
          </w:p>
          <w:p w14:paraId="656C3607">
            <w:pPr>
              <w:adjustRightInd w:val="0"/>
              <w:snapToGrid w:val="0"/>
              <w:spacing w:line="360" w:lineRule="auto"/>
              <w:ind w:firstLine="420" w:firstLineChars="200"/>
              <w:rPr>
                <w:rFonts w:eastAsia="仿宋_GB2312"/>
              </w:rPr>
            </w:pPr>
            <w:r>
              <w:rPr>
                <w:rFonts w:eastAsia="仿宋_GB2312"/>
              </w:rPr>
              <w:t>3、声环境</w:t>
            </w:r>
          </w:p>
          <w:p w14:paraId="50C252ED">
            <w:pPr>
              <w:adjustRightInd w:val="0"/>
              <w:snapToGrid w:val="0"/>
              <w:spacing w:line="360" w:lineRule="auto"/>
              <w:ind w:firstLine="420" w:firstLineChars="200"/>
              <w:rPr>
                <w:rFonts w:eastAsia="仿宋_GB2312"/>
              </w:rPr>
            </w:pPr>
            <w:r>
              <w:rPr>
                <w:rFonts w:ascii="Times New Roman" w:hAnsi="Times New Roman" w:eastAsia="仿宋_GB2312"/>
              </w:rPr>
              <w:t>202</w:t>
            </w:r>
            <w:r>
              <w:rPr>
                <w:rFonts w:hint="eastAsia" w:ascii="Times New Roman" w:hAnsi="Times New Roman" w:eastAsia="仿宋_GB2312"/>
                <w:lang w:val="en-US" w:eastAsia="zh-CN"/>
              </w:rPr>
              <w:t>4</w:t>
            </w:r>
            <w:r>
              <w:rPr>
                <w:rFonts w:ascii="Times New Roman" w:hAnsi="Times New Roman" w:eastAsia="仿宋_GB2312"/>
              </w:rPr>
              <w:t>年，全市区域环境噪声昼间平均值为53.</w:t>
            </w:r>
            <w:r>
              <w:rPr>
                <w:rFonts w:hint="eastAsia" w:ascii="Times New Roman" w:hAnsi="Times New Roman" w:eastAsia="仿宋_GB2312"/>
                <w:lang w:val="en-US" w:eastAsia="zh-CN"/>
              </w:rPr>
              <w:t>6</w:t>
            </w:r>
            <w:r>
              <w:rPr>
                <w:rFonts w:ascii="Times New Roman" w:hAnsi="Times New Roman" w:eastAsia="仿宋_GB2312"/>
              </w:rPr>
              <w:t>dB（A），较上年下降</w:t>
            </w:r>
            <w:r>
              <w:rPr>
                <w:rFonts w:hint="eastAsia" w:ascii="Times New Roman" w:hAnsi="Times New Roman" w:eastAsia="仿宋_GB2312"/>
                <w:lang w:val="en-US" w:eastAsia="zh-CN"/>
              </w:rPr>
              <w:t>0.1</w:t>
            </w:r>
            <w:r>
              <w:rPr>
                <w:rFonts w:ascii="Times New Roman" w:hAnsi="Times New Roman" w:eastAsia="仿宋_GB2312"/>
              </w:rPr>
              <w:t>dB（A）</w:t>
            </w:r>
            <w:r>
              <w:rPr>
                <w:rFonts w:hint="eastAsia" w:ascii="Times New Roman" w:hAnsi="Times New Roman" w:eastAsia="仿宋_GB2312"/>
                <w:lang w:eastAsia="zh-CN"/>
              </w:rPr>
              <w:t>，</w:t>
            </w:r>
            <w:r>
              <w:rPr>
                <w:rFonts w:ascii="Times New Roman" w:hAnsi="Times New Roman" w:eastAsia="仿宋_GB2312"/>
              </w:rPr>
              <w:t>按照《环境噪声监测技术规范 城市声环境常规监测》（HJ 640—2012），城市区域昼间环境噪声总体水平等级均为</w:t>
            </w:r>
            <w:r>
              <w:rPr>
                <w:rFonts w:hint="eastAsia" w:ascii="Times New Roman" w:hAnsi="Times New Roman" w:eastAsia="仿宋_GB2312"/>
              </w:rPr>
              <w:t>“</w:t>
            </w:r>
            <w:r>
              <w:rPr>
                <w:rFonts w:ascii="Times New Roman" w:hAnsi="Times New Roman" w:eastAsia="仿宋_GB2312"/>
              </w:rPr>
              <w:t>二级</w:t>
            </w:r>
            <w:r>
              <w:rPr>
                <w:rFonts w:hint="eastAsia" w:ascii="Times New Roman" w:hAnsi="Times New Roman" w:eastAsia="仿宋_GB2312"/>
              </w:rPr>
              <w:t>”</w:t>
            </w:r>
            <w:r>
              <w:rPr>
                <w:rFonts w:ascii="Times New Roman" w:hAnsi="Times New Roman" w:eastAsia="仿宋_GB2312"/>
              </w:rPr>
              <w:t>，属于</w:t>
            </w:r>
            <w:r>
              <w:rPr>
                <w:rFonts w:hint="eastAsia" w:ascii="Times New Roman" w:hAnsi="Times New Roman" w:eastAsia="仿宋_GB2312"/>
              </w:rPr>
              <w:t>“</w:t>
            </w:r>
            <w:r>
              <w:rPr>
                <w:rFonts w:ascii="Times New Roman" w:hAnsi="Times New Roman" w:eastAsia="仿宋_GB2312"/>
              </w:rPr>
              <w:t>较好</w:t>
            </w:r>
            <w:r>
              <w:rPr>
                <w:rFonts w:hint="eastAsia" w:ascii="Times New Roman" w:hAnsi="Times New Roman" w:eastAsia="仿宋_GB2312"/>
              </w:rPr>
              <w:t>”</w:t>
            </w:r>
            <w:r>
              <w:rPr>
                <w:rFonts w:ascii="Times New Roman" w:hAnsi="Times New Roman" w:eastAsia="仿宋_GB2312"/>
              </w:rPr>
              <w:t>水平。全市道路交通噪声昼间平均值为6</w:t>
            </w:r>
            <w:r>
              <w:rPr>
                <w:rFonts w:hint="eastAsia" w:ascii="Times New Roman" w:hAnsi="Times New Roman" w:eastAsia="仿宋_GB2312"/>
                <w:lang w:val="en-US" w:eastAsia="zh-CN"/>
              </w:rPr>
              <w:t>6.2</w:t>
            </w:r>
            <w:r>
              <w:rPr>
                <w:rFonts w:ascii="Times New Roman" w:hAnsi="Times New Roman" w:eastAsia="仿宋_GB2312"/>
              </w:rPr>
              <w:t>dB（A），较上年上升0.</w:t>
            </w:r>
            <w:r>
              <w:rPr>
                <w:rFonts w:hint="eastAsia" w:ascii="Times New Roman" w:hAnsi="Times New Roman" w:eastAsia="仿宋_GB2312"/>
                <w:lang w:val="en-US" w:eastAsia="zh-CN"/>
              </w:rPr>
              <w:t>3</w:t>
            </w:r>
            <w:r>
              <w:rPr>
                <w:rFonts w:ascii="Times New Roman" w:hAnsi="Times New Roman" w:eastAsia="仿宋_GB2312"/>
              </w:rPr>
              <w:t>dB（A）</w:t>
            </w:r>
            <w:r>
              <w:rPr>
                <w:rFonts w:hint="eastAsia" w:ascii="Times New Roman" w:hAnsi="Times New Roman" w:eastAsia="仿宋_GB2312"/>
                <w:lang w:eastAsia="zh-CN"/>
              </w:rPr>
              <w:t>，</w:t>
            </w:r>
            <w:r>
              <w:rPr>
                <w:rFonts w:ascii="Times New Roman" w:hAnsi="Times New Roman" w:eastAsia="仿宋_GB2312"/>
              </w:rPr>
              <w:t>按照《环境噪声监测技术规范 城市声环境常规监测》（HJ 640—2012），道路交通噪声强度等级（昼间）为</w:t>
            </w:r>
            <w:r>
              <w:rPr>
                <w:rFonts w:hint="eastAsia" w:ascii="Times New Roman" w:hAnsi="Times New Roman" w:eastAsia="仿宋_GB2312"/>
              </w:rPr>
              <w:t>“</w:t>
            </w:r>
            <w:r>
              <w:rPr>
                <w:rFonts w:ascii="Times New Roman" w:hAnsi="Times New Roman" w:eastAsia="仿宋_GB2312"/>
              </w:rPr>
              <w:t>一级</w:t>
            </w:r>
            <w:r>
              <w:rPr>
                <w:rFonts w:hint="eastAsia" w:ascii="Times New Roman" w:hAnsi="Times New Roman" w:eastAsia="仿宋_GB2312"/>
              </w:rPr>
              <w:t>”</w:t>
            </w:r>
            <w:r>
              <w:rPr>
                <w:rFonts w:ascii="Times New Roman" w:hAnsi="Times New Roman" w:eastAsia="仿宋_GB2312"/>
              </w:rPr>
              <w:t>，属于</w:t>
            </w:r>
            <w:r>
              <w:rPr>
                <w:rFonts w:hint="eastAsia" w:ascii="Times New Roman" w:hAnsi="Times New Roman" w:eastAsia="仿宋_GB2312"/>
              </w:rPr>
              <w:t>“</w:t>
            </w:r>
            <w:r>
              <w:rPr>
                <w:rFonts w:ascii="Times New Roman" w:hAnsi="Times New Roman" w:eastAsia="仿宋_GB2312"/>
              </w:rPr>
              <w:t>好</w:t>
            </w:r>
            <w:r>
              <w:rPr>
                <w:rFonts w:hint="eastAsia" w:ascii="Times New Roman" w:hAnsi="Times New Roman" w:eastAsia="仿宋_GB2312"/>
              </w:rPr>
              <w:t>”</w:t>
            </w:r>
            <w:r>
              <w:rPr>
                <w:rFonts w:ascii="Times New Roman" w:hAnsi="Times New Roman" w:eastAsia="仿宋_GB2312"/>
              </w:rPr>
              <w:t>水平。全市功能区噪声昼间达标率100%。与去年相比，昼间达标率持平。</w:t>
            </w:r>
          </w:p>
          <w:p w14:paraId="21FBA8CE">
            <w:pPr>
              <w:adjustRightInd w:val="0"/>
              <w:snapToGrid w:val="0"/>
              <w:spacing w:line="360" w:lineRule="auto"/>
              <w:ind w:firstLine="420" w:firstLineChars="200"/>
              <w:rPr>
                <w:rFonts w:hint="default" w:eastAsia="仿宋_GB2312"/>
                <w:lang w:val="en-US" w:eastAsia="zh-CN"/>
              </w:rPr>
            </w:pPr>
            <w:r>
              <w:rPr>
                <w:rFonts w:hint="eastAsia" w:eastAsia="仿宋_GB2312"/>
                <w:lang w:val="en-US" w:eastAsia="zh-CN"/>
              </w:rPr>
              <w:t>4、生态环境</w:t>
            </w:r>
          </w:p>
          <w:p w14:paraId="3A36FFFC">
            <w:pPr>
              <w:adjustRightInd w:val="0"/>
              <w:snapToGrid w:val="0"/>
              <w:spacing w:line="360" w:lineRule="auto"/>
              <w:ind w:firstLine="420" w:firstLineChars="200"/>
              <w:rPr>
                <w:rFonts w:eastAsia="仿宋_GB2312"/>
              </w:rPr>
            </w:pPr>
            <w:r>
              <w:rPr>
                <w:rFonts w:ascii="Times New Roman" w:hAnsi="Times New Roman" w:eastAsia="仿宋_GB2312"/>
              </w:rPr>
              <w:t>本项目位于</w:t>
            </w:r>
            <w:r>
              <w:rPr>
                <w:rFonts w:hint="eastAsia" w:ascii="Times New Roman" w:hAnsi="Times New Roman" w:eastAsia="仿宋_GB2312"/>
                <w:lang w:eastAsia="zh-CN"/>
              </w:rPr>
              <w:t>常州市金坛</w:t>
            </w:r>
            <w:r>
              <w:rPr>
                <w:rFonts w:hint="eastAsia" w:ascii="Times New Roman" w:hAnsi="Times New Roman" w:eastAsia="仿宋_GB2312" w:cs="Times New Roman"/>
                <w:kern w:val="0"/>
                <w:lang w:val="en-US" w:eastAsia="zh-CN"/>
              </w:rPr>
              <w:t>经济开发区</w:t>
            </w:r>
            <w:r>
              <w:rPr>
                <w:rFonts w:hint="eastAsia" w:ascii="Times New Roman" w:hAnsi="Times New Roman" w:eastAsia="仿宋_GB2312"/>
                <w:lang w:val="en-US" w:eastAsia="zh-CN"/>
              </w:rPr>
              <w:t>盐厂路1</w:t>
            </w:r>
            <w:r>
              <w:rPr>
                <w:rFonts w:hint="eastAsia" w:ascii="Times New Roman" w:hAnsi="Times New Roman" w:eastAsia="仿宋_GB2312"/>
                <w:lang w:eastAsia="zh-CN"/>
              </w:rPr>
              <w:t>号</w:t>
            </w:r>
            <w:r>
              <w:rPr>
                <w:rFonts w:ascii="Times New Roman" w:hAnsi="Times New Roman" w:eastAsia="仿宋_GB2312"/>
              </w:rPr>
              <w:t>，项目所在地为工业用地，用地范围内无生态环境保护目标，无需进行生态现状调查。</w:t>
            </w:r>
          </w:p>
          <w:p w14:paraId="3E151E6D">
            <w:pPr>
              <w:adjustRightInd w:val="0"/>
              <w:snapToGrid w:val="0"/>
              <w:spacing w:line="360" w:lineRule="auto"/>
              <w:ind w:firstLine="420" w:firstLineChars="200"/>
              <w:rPr>
                <w:rFonts w:eastAsia="仿宋_GB2312"/>
              </w:rPr>
            </w:pPr>
            <w:r>
              <w:rPr>
                <w:rFonts w:hint="eastAsia" w:eastAsia="仿宋_GB2312"/>
                <w:lang w:val="en-US" w:eastAsia="zh-CN"/>
              </w:rPr>
              <w:t>5</w:t>
            </w:r>
            <w:r>
              <w:rPr>
                <w:rFonts w:eastAsia="仿宋_GB2312"/>
              </w:rPr>
              <w:t>、土壤</w:t>
            </w:r>
            <w:r>
              <w:rPr>
                <w:rFonts w:hint="eastAsia" w:eastAsia="仿宋_GB2312"/>
              </w:rPr>
              <w:t>、</w:t>
            </w:r>
            <w:r>
              <w:rPr>
                <w:rFonts w:eastAsia="仿宋_GB2312"/>
              </w:rPr>
              <w:t>地下水环境</w:t>
            </w:r>
          </w:p>
          <w:p w14:paraId="7E0E196E">
            <w:pPr>
              <w:adjustRightInd w:val="0"/>
              <w:snapToGrid w:val="0"/>
              <w:spacing w:line="360" w:lineRule="auto"/>
              <w:ind w:firstLine="420" w:firstLineChars="200"/>
              <w:rPr>
                <w:rFonts w:hint="eastAsia" w:eastAsia="仿宋_GB2312"/>
                <w:kern w:val="0"/>
              </w:rPr>
            </w:pPr>
            <w:r>
              <w:rPr>
                <w:rFonts w:hint="eastAsia" w:eastAsia="仿宋_GB2312"/>
                <w:kern w:val="0"/>
              </w:rPr>
              <w:t>根据《建设项目环境影响报告表编制技术指南（污染影响类）（试行）》原则上不开展土壤、地下水环境质量现状调查。本项目使用房屋地面均已进行硬化，因此不存在土壤、地下水环境污染途径，可不开展环境质量现状调查。</w:t>
            </w:r>
          </w:p>
          <w:p w14:paraId="1A6FDD4E">
            <w:pPr>
              <w:adjustRightInd w:val="0"/>
              <w:snapToGrid w:val="0"/>
              <w:spacing w:line="360" w:lineRule="auto"/>
              <w:ind w:firstLine="420" w:firstLineChars="200"/>
              <w:rPr>
                <w:rFonts w:hint="default" w:eastAsia="仿宋_GB2312"/>
                <w:kern w:val="0"/>
                <w:lang w:val="en-US" w:eastAsia="zh-CN"/>
              </w:rPr>
            </w:pPr>
            <w:r>
              <w:rPr>
                <w:rFonts w:hint="eastAsia" w:eastAsia="仿宋_GB2312"/>
                <w:kern w:val="0"/>
                <w:lang w:val="en-US" w:eastAsia="zh-CN"/>
              </w:rPr>
              <w:t>6、电磁辐射</w:t>
            </w:r>
          </w:p>
          <w:p w14:paraId="55B7769A">
            <w:pPr>
              <w:adjustRightInd w:val="0"/>
              <w:snapToGrid w:val="0"/>
              <w:spacing w:line="360" w:lineRule="auto"/>
              <w:ind w:firstLine="420" w:firstLineChars="200"/>
              <w:rPr>
                <w:rFonts w:ascii="Times New Roman" w:hAnsi="Times New Roman" w:eastAsia="仿宋_GB2312"/>
              </w:rPr>
            </w:pPr>
            <w:r>
              <w:rPr>
                <w:rFonts w:hint="eastAsia" w:eastAsia="仿宋_GB2312"/>
                <w:kern w:val="0"/>
                <w:lang w:val="en-US" w:eastAsia="zh-CN"/>
              </w:rPr>
              <w:t>本项目属于食品加工项目，</w:t>
            </w:r>
            <w:r>
              <w:rPr>
                <w:rFonts w:ascii="Times New Roman" w:hAnsi="Times New Roman" w:eastAsia="仿宋_GB2312"/>
              </w:rPr>
              <w:t>不属于电磁辐射类项目，不需对电磁辐射现状开展监测与评价。</w:t>
            </w:r>
          </w:p>
          <w:p w14:paraId="451C749B">
            <w:pPr>
              <w:pStyle w:val="28"/>
              <w:spacing w:before="0" w:beforeAutospacing="0" w:after="0" w:afterAutospacing="0" w:line="360" w:lineRule="auto"/>
              <w:ind w:firstLine="422" w:firstLineChars="200"/>
              <w:rPr>
                <w:rFonts w:ascii="Times New Roman" w:hAnsi="Times New Roman" w:eastAsia="仿宋_GB2312"/>
                <w:b/>
                <w:bCs/>
                <w:sz w:val="21"/>
                <w:szCs w:val="21"/>
              </w:rPr>
            </w:pPr>
            <w:r>
              <w:rPr>
                <w:rFonts w:ascii="Times New Roman" w:hAnsi="Times New Roman" w:eastAsia="仿宋_GB2312"/>
                <w:b/>
                <w:bCs/>
                <w:sz w:val="21"/>
                <w:szCs w:val="21"/>
              </w:rPr>
              <w:t>环境空气质量标准</w:t>
            </w:r>
          </w:p>
          <w:p w14:paraId="258C6191">
            <w:pPr>
              <w:spacing w:line="360" w:lineRule="auto"/>
              <w:ind w:firstLine="422" w:firstLineChars="200"/>
              <w:rPr>
                <w:rFonts w:eastAsia="仿宋_GB2312"/>
                <w:b/>
                <w:bCs/>
                <w:sz w:val="21"/>
                <w:szCs w:val="18"/>
              </w:rPr>
            </w:pPr>
            <w:r>
              <w:rPr>
                <w:rFonts w:eastAsia="仿宋_GB2312"/>
                <w:b/>
                <w:bCs/>
                <w:sz w:val="21"/>
                <w:szCs w:val="18"/>
              </w:rPr>
              <w:t>1、大气环境</w:t>
            </w:r>
          </w:p>
          <w:p w14:paraId="4DCE4582">
            <w:pPr>
              <w:spacing w:line="360" w:lineRule="auto"/>
              <w:ind w:firstLine="420" w:firstLineChars="200"/>
              <w:rPr>
                <w:rFonts w:eastAsia="仿宋_GB2312"/>
                <w:sz w:val="21"/>
                <w:szCs w:val="18"/>
              </w:rPr>
            </w:pPr>
            <w:r>
              <w:rPr>
                <w:rFonts w:eastAsia="仿宋_GB2312"/>
                <w:sz w:val="21"/>
                <w:szCs w:val="18"/>
              </w:rPr>
              <w:t>本项目所在区域环境空气质量功能区划为二类区，环境空气中常规污染物质量执行《环境空气质量标准》（GB</w:t>
            </w:r>
            <w:r>
              <w:rPr>
                <w:rFonts w:hint="eastAsia" w:eastAsia="仿宋_GB2312"/>
                <w:sz w:val="21"/>
                <w:szCs w:val="18"/>
                <w:lang w:val="en-US" w:eastAsia="zh-CN"/>
              </w:rPr>
              <w:t xml:space="preserve"> </w:t>
            </w:r>
            <w:r>
              <w:rPr>
                <w:rFonts w:eastAsia="仿宋_GB2312"/>
                <w:sz w:val="21"/>
                <w:szCs w:val="18"/>
              </w:rPr>
              <w:t>3095-2012）及其修改说明中的二级标准，具体标准值见表3-1。</w:t>
            </w:r>
          </w:p>
          <w:p w14:paraId="3024F33F">
            <w:pPr>
              <w:adjustRightInd w:val="0"/>
              <w:snapToGrid w:val="0"/>
              <w:jc w:val="center"/>
              <w:rPr>
                <w:rFonts w:eastAsia="仿宋_GB2312"/>
                <w:b/>
                <w:color w:val="FF0000"/>
                <w:kern w:val="0"/>
                <w:sz w:val="21"/>
                <w:szCs w:val="18"/>
              </w:rPr>
            </w:pPr>
            <w:r>
              <w:rPr>
                <w:rFonts w:eastAsia="仿宋_GB2312"/>
                <w:b/>
                <w:color w:val="auto"/>
                <w:kern w:val="0"/>
                <w:sz w:val="21"/>
                <w:szCs w:val="18"/>
              </w:rPr>
              <w:t>表3-1</w:t>
            </w:r>
            <w:r>
              <w:rPr>
                <w:rFonts w:hint="eastAsia" w:eastAsia="仿宋_GB2312"/>
                <w:b/>
                <w:color w:val="auto"/>
                <w:kern w:val="0"/>
                <w:sz w:val="21"/>
                <w:szCs w:val="18"/>
                <w:lang w:val="en-US" w:eastAsia="zh-CN"/>
              </w:rPr>
              <w:t xml:space="preserve">  </w:t>
            </w:r>
            <w:r>
              <w:rPr>
                <w:rFonts w:eastAsia="仿宋_GB2312"/>
                <w:b/>
                <w:color w:val="auto"/>
                <w:kern w:val="0"/>
                <w:sz w:val="21"/>
                <w:szCs w:val="18"/>
              </w:rPr>
              <w:t>环境空气质量评价标准一览表</w:t>
            </w:r>
          </w:p>
          <w:tbl>
            <w:tblPr>
              <w:tblStyle w:val="3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34"/>
              <w:gridCol w:w="1954"/>
              <w:gridCol w:w="1183"/>
              <w:gridCol w:w="3503"/>
            </w:tblGrid>
            <w:tr w14:paraId="0E350E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34" w:type="dxa"/>
                  <w:noWrap w:val="0"/>
                  <w:vAlign w:val="center"/>
                </w:tcPr>
                <w:p w14:paraId="03CDCA17">
                  <w:pPr>
                    <w:adjustRightInd w:val="0"/>
                    <w:snapToGrid w:val="0"/>
                    <w:jc w:val="center"/>
                    <w:rPr>
                      <w:rFonts w:eastAsia="仿宋_GB2312"/>
                      <w:b/>
                      <w:bCs/>
                      <w:sz w:val="21"/>
                      <w:szCs w:val="21"/>
                    </w:rPr>
                  </w:pPr>
                  <w:r>
                    <w:rPr>
                      <w:rFonts w:eastAsia="仿宋_GB2312"/>
                      <w:b/>
                      <w:bCs/>
                      <w:sz w:val="21"/>
                      <w:szCs w:val="21"/>
                    </w:rPr>
                    <w:t>评价因子</w:t>
                  </w:r>
                </w:p>
              </w:tc>
              <w:tc>
                <w:tcPr>
                  <w:tcW w:w="1954" w:type="dxa"/>
                  <w:noWrap w:val="0"/>
                  <w:vAlign w:val="center"/>
                </w:tcPr>
                <w:p w14:paraId="49026755">
                  <w:pPr>
                    <w:adjustRightInd w:val="0"/>
                    <w:snapToGrid w:val="0"/>
                    <w:jc w:val="center"/>
                    <w:rPr>
                      <w:rFonts w:eastAsia="仿宋_GB2312"/>
                      <w:b/>
                      <w:bCs/>
                      <w:sz w:val="21"/>
                      <w:szCs w:val="21"/>
                    </w:rPr>
                  </w:pPr>
                  <w:r>
                    <w:rPr>
                      <w:rFonts w:eastAsia="仿宋_GB2312"/>
                      <w:b/>
                      <w:bCs/>
                      <w:sz w:val="21"/>
                      <w:szCs w:val="21"/>
                    </w:rPr>
                    <w:t>平均时段</w:t>
                  </w:r>
                </w:p>
              </w:tc>
              <w:tc>
                <w:tcPr>
                  <w:tcW w:w="1183" w:type="dxa"/>
                  <w:noWrap w:val="0"/>
                  <w:vAlign w:val="center"/>
                </w:tcPr>
                <w:p w14:paraId="153BF4C9">
                  <w:pPr>
                    <w:adjustRightInd w:val="0"/>
                    <w:snapToGrid w:val="0"/>
                    <w:jc w:val="center"/>
                    <w:rPr>
                      <w:rFonts w:eastAsia="仿宋_GB2312"/>
                      <w:b/>
                      <w:bCs/>
                      <w:sz w:val="21"/>
                      <w:szCs w:val="21"/>
                    </w:rPr>
                  </w:pPr>
                  <w:r>
                    <w:rPr>
                      <w:rFonts w:eastAsia="仿宋_GB2312"/>
                      <w:b/>
                      <w:bCs/>
                      <w:sz w:val="21"/>
                      <w:szCs w:val="21"/>
                    </w:rPr>
                    <w:t>标准值</w:t>
                  </w:r>
                </w:p>
              </w:tc>
              <w:tc>
                <w:tcPr>
                  <w:tcW w:w="3503" w:type="dxa"/>
                  <w:noWrap w:val="0"/>
                  <w:vAlign w:val="center"/>
                </w:tcPr>
                <w:p w14:paraId="5B7BE06B">
                  <w:pPr>
                    <w:adjustRightInd w:val="0"/>
                    <w:snapToGrid w:val="0"/>
                    <w:jc w:val="center"/>
                    <w:rPr>
                      <w:rFonts w:eastAsia="仿宋_GB2312"/>
                      <w:b/>
                      <w:bCs/>
                      <w:sz w:val="21"/>
                      <w:szCs w:val="21"/>
                    </w:rPr>
                  </w:pPr>
                  <w:r>
                    <w:rPr>
                      <w:rFonts w:eastAsia="仿宋_GB2312"/>
                      <w:b/>
                      <w:bCs/>
                      <w:sz w:val="21"/>
                      <w:szCs w:val="21"/>
                    </w:rPr>
                    <w:t>标准来源</w:t>
                  </w:r>
                </w:p>
              </w:tc>
            </w:tr>
            <w:tr w14:paraId="7EB80B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34" w:type="dxa"/>
                  <w:vMerge w:val="restart"/>
                  <w:noWrap w:val="0"/>
                  <w:vAlign w:val="center"/>
                </w:tcPr>
                <w:p w14:paraId="6A358E07">
                  <w:pPr>
                    <w:adjustRightInd w:val="0"/>
                    <w:snapToGrid w:val="0"/>
                    <w:jc w:val="center"/>
                    <w:rPr>
                      <w:rFonts w:eastAsia="仿宋_GB2312"/>
                      <w:sz w:val="21"/>
                      <w:szCs w:val="21"/>
                    </w:rPr>
                  </w:pPr>
                  <w:r>
                    <w:rPr>
                      <w:rFonts w:eastAsia="仿宋_GB2312"/>
                      <w:sz w:val="21"/>
                      <w:szCs w:val="21"/>
                    </w:rPr>
                    <w:t>SO</w:t>
                  </w:r>
                  <w:r>
                    <w:rPr>
                      <w:rFonts w:eastAsia="仿宋_GB2312"/>
                      <w:sz w:val="21"/>
                      <w:szCs w:val="21"/>
                      <w:vertAlign w:val="subscript"/>
                    </w:rPr>
                    <w:t>2</w:t>
                  </w:r>
                </w:p>
              </w:tc>
              <w:tc>
                <w:tcPr>
                  <w:tcW w:w="1954" w:type="dxa"/>
                  <w:noWrap w:val="0"/>
                  <w:vAlign w:val="center"/>
                </w:tcPr>
                <w:p w14:paraId="7439D007">
                  <w:pPr>
                    <w:adjustRightInd w:val="0"/>
                    <w:snapToGrid w:val="0"/>
                    <w:jc w:val="center"/>
                    <w:rPr>
                      <w:rFonts w:eastAsia="仿宋_GB2312"/>
                      <w:sz w:val="21"/>
                      <w:szCs w:val="21"/>
                    </w:rPr>
                  </w:pPr>
                  <w:r>
                    <w:rPr>
                      <w:rFonts w:eastAsia="仿宋_GB2312"/>
                      <w:sz w:val="21"/>
                      <w:szCs w:val="21"/>
                    </w:rPr>
                    <w:t>年平均</w:t>
                  </w:r>
                </w:p>
              </w:tc>
              <w:tc>
                <w:tcPr>
                  <w:tcW w:w="1183" w:type="dxa"/>
                  <w:noWrap w:val="0"/>
                  <w:vAlign w:val="center"/>
                </w:tcPr>
                <w:p w14:paraId="1D95D5D5">
                  <w:pPr>
                    <w:adjustRightInd w:val="0"/>
                    <w:snapToGrid w:val="0"/>
                    <w:jc w:val="center"/>
                    <w:rPr>
                      <w:rFonts w:eastAsia="仿宋_GB2312"/>
                      <w:sz w:val="21"/>
                      <w:szCs w:val="21"/>
                    </w:rPr>
                  </w:pPr>
                  <w:r>
                    <w:rPr>
                      <w:rFonts w:eastAsia="仿宋_GB2312"/>
                      <w:sz w:val="21"/>
                      <w:szCs w:val="21"/>
                    </w:rPr>
                    <w:t>60μg/m</w:t>
                  </w:r>
                  <w:r>
                    <w:rPr>
                      <w:rFonts w:eastAsia="仿宋_GB2312"/>
                      <w:sz w:val="21"/>
                      <w:szCs w:val="21"/>
                      <w:vertAlign w:val="superscript"/>
                    </w:rPr>
                    <w:t>3</w:t>
                  </w:r>
                </w:p>
              </w:tc>
              <w:tc>
                <w:tcPr>
                  <w:tcW w:w="3503" w:type="dxa"/>
                  <w:vMerge w:val="restart"/>
                  <w:noWrap w:val="0"/>
                  <w:vAlign w:val="center"/>
                </w:tcPr>
                <w:p w14:paraId="09D2B8BE">
                  <w:pPr>
                    <w:autoSpaceDE w:val="0"/>
                    <w:autoSpaceDN w:val="0"/>
                    <w:adjustRightInd w:val="0"/>
                    <w:snapToGrid w:val="0"/>
                    <w:jc w:val="center"/>
                    <w:rPr>
                      <w:rFonts w:eastAsia="仿宋_GB2312"/>
                      <w:sz w:val="21"/>
                      <w:szCs w:val="21"/>
                    </w:rPr>
                  </w:pPr>
                  <w:r>
                    <w:rPr>
                      <w:rFonts w:eastAsia="仿宋_GB2312"/>
                      <w:sz w:val="21"/>
                      <w:szCs w:val="21"/>
                    </w:rPr>
                    <w:t>《环境空气质量标准》（GB3095-2012）及《环境空气质量标准》（GB3095-2012）</w:t>
                  </w:r>
                  <w:r>
                    <w:rPr>
                      <w:rStyle w:val="36"/>
                      <w:rFonts w:eastAsia="仿宋_GB2312"/>
                      <w:sz w:val="21"/>
                      <w:szCs w:val="21"/>
                    </w:rPr>
                    <w:t>修改单（生态环境部，文号：公告2018年第29号</w:t>
                  </w:r>
                  <w:r>
                    <w:rPr>
                      <w:rFonts w:eastAsia="仿宋_GB2312"/>
                      <w:sz w:val="21"/>
                      <w:szCs w:val="21"/>
                    </w:rPr>
                    <w:t>中二级标准</w:t>
                  </w:r>
                </w:p>
              </w:tc>
            </w:tr>
            <w:tr w14:paraId="60A700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34" w:type="dxa"/>
                  <w:vMerge w:val="continue"/>
                  <w:noWrap w:val="0"/>
                  <w:vAlign w:val="center"/>
                </w:tcPr>
                <w:p w14:paraId="12487FEF">
                  <w:pPr>
                    <w:adjustRightInd w:val="0"/>
                    <w:snapToGrid w:val="0"/>
                    <w:jc w:val="center"/>
                    <w:rPr>
                      <w:rFonts w:eastAsia="仿宋_GB2312"/>
                      <w:sz w:val="21"/>
                      <w:szCs w:val="21"/>
                    </w:rPr>
                  </w:pPr>
                </w:p>
              </w:tc>
              <w:tc>
                <w:tcPr>
                  <w:tcW w:w="1954" w:type="dxa"/>
                  <w:noWrap w:val="0"/>
                  <w:vAlign w:val="center"/>
                </w:tcPr>
                <w:p w14:paraId="1EC478BE">
                  <w:pPr>
                    <w:adjustRightInd w:val="0"/>
                    <w:snapToGrid w:val="0"/>
                    <w:jc w:val="center"/>
                    <w:rPr>
                      <w:rFonts w:eastAsia="仿宋_GB2312"/>
                      <w:sz w:val="21"/>
                      <w:szCs w:val="21"/>
                    </w:rPr>
                  </w:pPr>
                  <w:r>
                    <w:rPr>
                      <w:rFonts w:eastAsia="仿宋_GB2312"/>
                      <w:sz w:val="21"/>
                      <w:szCs w:val="21"/>
                    </w:rPr>
                    <w:t>24小时平均</w:t>
                  </w:r>
                </w:p>
              </w:tc>
              <w:tc>
                <w:tcPr>
                  <w:tcW w:w="1183" w:type="dxa"/>
                  <w:noWrap w:val="0"/>
                  <w:vAlign w:val="center"/>
                </w:tcPr>
                <w:p w14:paraId="43AB1090">
                  <w:pPr>
                    <w:adjustRightInd w:val="0"/>
                    <w:snapToGrid w:val="0"/>
                    <w:jc w:val="center"/>
                    <w:rPr>
                      <w:rFonts w:eastAsia="仿宋_GB2312"/>
                      <w:sz w:val="21"/>
                      <w:szCs w:val="21"/>
                    </w:rPr>
                  </w:pPr>
                  <w:r>
                    <w:rPr>
                      <w:rFonts w:eastAsia="仿宋_GB2312"/>
                      <w:sz w:val="21"/>
                      <w:szCs w:val="21"/>
                    </w:rPr>
                    <w:t>150μg/m</w:t>
                  </w:r>
                  <w:r>
                    <w:rPr>
                      <w:rFonts w:eastAsia="仿宋_GB2312"/>
                      <w:sz w:val="21"/>
                      <w:szCs w:val="21"/>
                      <w:vertAlign w:val="superscript"/>
                    </w:rPr>
                    <w:t>3</w:t>
                  </w:r>
                </w:p>
              </w:tc>
              <w:tc>
                <w:tcPr>
                  <w:tcW w:w="3503" w:type="dxa"/>
                  <w:vMerge w:val="continue"/>
                  <w:noWrap w:val="0"/>
                  <w:vAlign w:val="center"/>
                </w:tcPr>
                <w:p w14:paraId="2009EE2A">
                  <w:pPr>
                    <w:adjustRightInd w:val="0"/>
                    <w:snapToGrid w:val="0"/>
                    <w:jc w:val="center"/>
                    <w:rPr>
                      <w:rFonts w:eastAsia="仿宋_GB2312"/>
                      <w:sz w:val="21"/>
                      <w:szCs w:val="21"/>
                    </w:rPr>
                  </w:pPr>
                </w:p>
              </w:tc>
            </w:tr>
            <w:tr w14:paraId="0CBE89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34" w:type="dxa"/>
                  <w:vMerge w:val="continue"/>
                  <w:noWrap w:val="0"/>
                  <w:vAlign w:val="center"/>
                </w:tcPr>
                <w:p w14:paraId="6B224A5B">
                  <w:pPr>
                    <w:adjustRightInd w:val="0"/>
                    <w:snapToGrid w:val="0"/>
                    <w:jc w:val="center"/>
                    <w:rPr>
                      <w:rFonts w:eastAsia="仿宋_GB2312"/>
                      <w:sz w:val="21"/>
                      <w:szCs w:val="21"/>
                    </w:rPr>
                  </w:pPr>
                </w:p>
              </w:tc>
              <w:tc>
                <w:tcPr>
                  <w:tcW w:w="1954" w:type="dxa"/>
                  <w:noWrap w:val="0"/>
                  <w:vAlign w:val="center"/>
                </w:tcPr>
                <w:p w14:paraId="1D09380A">
                  <w:pPr>
                    <w:adjustRightInd w:val="0"/>
                    <w:snapToGrid w:val="0"/>
                    <w:jc w:val="center"/>
                    <w:rPr>
                      <w:rFonts w:eastAsia="仿宋_GB2312"/>
                      <w:sz w:val="21"/>
                      <w:szCs w:val="21"/>
                    </w:rPr>
                  </w:pPr>
                  <w:r>
                    <w:rPr>
                      <w:rFonts w:eastAsia="仿宋_GB2312"/>
                      <w:sz w:val="21"/>
                      <w:szCs w:val="21"/>
                    </w:rPr>
                    <w:t>1小时平均</w:t>
                  </w:r>
                </w:p>
              </w:tc>
              <w:tc>
                <w:tcPr>
                  <w:tcW w:w="1183" w:type="dxa"/>
                  <w:noWrap w:val="0"/>
                  <w:vAlign w:val="center"/>
                </w:tcPr>
                <w:p w14:paraId="34B9ECBD">
                  <w:pPr>
                    <w:adjustRightInd w:val="0"/>
                    <w:snapToGrid w:val="0"/>
                    <w:jc w:val="center"/>
                    <w:rPr>
                      <w:rFonts w:eastAsia="仿宋_GB2312"/>
                      <w:sz w:val="21"/>
                      <w:szCs w:val="21"/>
                    </w:rPr>
                  </w:pPr>
                  <w:r>
                    <w:rPr>
                      <w:rFonts w:eastAsia="仿宋_GB2312"/>
                      <w:sz w:val="21"/>
                      <w:szCs w:val="21"/>
                    </w:rPr>
                    <w:t>500μg/m</w:t>
                  </w:r>
                  <w:r>
                    <w:rPr>
                      <w:rFonts w:eastAsia="仿宋_GB2312"/>
                      <w:sz w:val="21"/>
                      <w:szCs w:val="21"/>
                      <w:vertAlign w:val="superscript"/>
                    </w:rPr>
                    <w:t>3</w:t>
                  </w:r>
                </w:p>
              </w:tc>
              <w:tc>
                <w:tcPr>
                  <w:tcW w:w="3503" w:type="dxa"/>
                  <w:vMerge w:val="continue"/>
                  <w:noWrap w:val="0"/>
                  <w:vAlign w:val="center"/>
                </w:tcPr>
                <w:p w14:paraId="55954C01">
                  <w:pPr>
                    <w:adjustRightInd w:val="0"/>
                    <w:snapToGrid w:val="0"/>
                    <w:jc w:val="center"/>
                    <w:rPr>
                      <w:rFonts w:eastAsia="仿宋_GB2312"/>
                      <w:sz w:val="21"/>
                      <w:szCs w:val="21"/>
                    </w:rPr>
                  </w:pPr>
                </w:p>
              </w:tc>
            </w:tr>
            <w:tr w14:paraId="7F41A4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34" w:type="dxa"/>
                  <w:vMerge w:val="restart"/>
                  <w:noWrap w:val="0"/>
                  <w:vAlign w:val="center"/>
                </w:tcPr>
                <w:p w14:paraId="41594493">
                  <w:pPr>
                    <w:adjustRightInd w:val="0"/>
                    <w:snapToGrid w:val="0"/>
                    <w:jc w:val="center"/>
                    <w:rPr>
                      <w:rFonts w:eastAsia="仿宋_GB2312"/>
                      <w:sz w:val="21"/>
                      <w:szCs w:val="21"/>
                    </w:rPr>
                  </w:pPr>
                  <w:r>
                    <w:rPr>
                      <w:rFonts w:eastAsia="仿宋_GB2312"/>
                      <w:sz w:val="21"/>
                      <w:szCs w:val="21"/>
                    </w:rPr>
                    <w:t>NO</w:t>
                  </w:r>
                  <w:r>
                    <w:rPr>
                      <w:rFonts w:eastAsia="仿宋_GB2312"/>
                      <w:sz w:val="21"/>
                      <w:szCs w:val="21"/>
                      <w:vertAlign w:val="subscript"/>
                    </w:rPr>
                    <w:t>2</w:t>
                  </w:r>
                </w:p>
              </w:tc>
              <w:tc>
                <w:tcPr>
                  <w:tcW w:w="1954" w:type="dxa"/>
                  <w:noWrap w:val="0"/>
                  <w:vAlign w:val="center"/>
                </w:tcPr>
                <w:p w14:paraId="4BEDF8CE">
                  <w:pPr>
                    <w:adjustRightInd w:val="0"/>
                    <w:snapToGrid w:val="0"/>
                    <w:jc w:val="center"/>
                    <w:rPr>
                      <w:rFonts w:eastAsia="仿宋_GB2312"/>
                      <w:sz w:val="21"/>
                      <w:szCs w:val="21"/>
                    </w:rPr>
                  </w:pPr>
                  <w:r>
                    <w:rPr>
                      <w:rFonts w:eastAsia="仿宋_GB2312"/>
                      <w:sz w:val="21"/>
                      <w:szCs w:val="21"/>
                    </w:rPr>
                    <w:t>年平均</w:t>
                  </w:r>
                </w:p>
              </w:tc>
              <w:tc>
                <w:tcPr>
                  <w:tcW w:w="1183" w:type="dxa"/>
                  <w:noWrap w:val="0"/>
                  <w:vAlign w:val="center"/>
                </w:tcPr>
                <w:p w14:paraId="398C64BA">
                  <w:pPr>
                    <w:adjustRightInd w:val="0"/>
                    <w:snapToGrid w:val="0"/>
                    <w:jc w:val="center"/>
                    <w:rPr>
                      <w:rFonts w:eastAsia="仿宋_GB2312"/>
                      <w:sz w:val="21"/>
                      <w:szCs w:val="21"/>
                    </w:rPr>
                  </w:pPr>
                  <w:r>
                    <w:rPr>
                      <w:rFonts w:eastAsia="仿宋_GB2312"/>
                      <w:sz w:val="21"/>
                      <w:szCs w:val="21"/>
                    </w:rPr>
                    <w:t>40μg/m</w:t>
                  </w:r>
                  <w:r>
                    <w:rPr>
                      <w:rFonts w:eastAsia="仿宋_GB2312"/>
                      <w:sz w:val="21"/>
                      <w:szCs w:val="21"/>
                      <w:vertAlign w:val="superscript"/>
                    </w:rPr>
                    <w:t>3</w:t>
                  </w:r>
                </w:p>
              </w:tc>
              <w:tc>
                <w:tcPr>
                  <w:tcW w:w="3503" w:type="dxa"/>
                  <w:vMerge w:val="continue"/>
                  <w:noWrap w:val="0"/>
                  <w:vAlign w:val="center"/>
                </w:tcPr>
                <w:p w14:paraId="485AD3E3">
                  <w:pPr>
                    <w:adjustRightInd w:val="0"/>
                    <w:snapToGrid w:val="0"/>
                    <w:jc w:val="center"/>
                    <w:rPr>
                      <w:rFonts w:eastAsia="仿宋_GB2312"/>
                      <w:sz w:val="21"/>
                      <w:szCs w:val="21"/>
                    </w:rPr>
                  </w:pPr>
                </w:p>
              </w:tc>
            </w:tr>
            <w:tr w14:paraId="62F3A1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34" w:type="dxa"/>
                  <w:vMerge w:val="continue"/>
                  <w:noWrap w:val="0"/>
                  <w:vAlign w:val="center"/>
                </w:tcPr>
                <w:p w14:paraId="02164562">
                  <w:pPr>
                    <w:adjustRightInd w:val="0"/>
                    <w:snapToGrid w:val="0"/>
                    <w:jc w:val="center"/>
                    <w:rPr>
                      <w:rFonts w:eastAsia="仿宋_GB2312"/>
                      <w:sz w:val="21"/>
                      <w:szCs w:val="21"/>
                    </w:rPr>
                  </w:pPr>
                </w:p>
              </w:tc>
              <w:tc>
                <w:tcPr>
                  <w:tcW w:w="1954" w:type="dxa"/>
                  <w:noWrap w:val="0"/>
                  <w:vAlign w:val="center"/>
                </w:tcPr>
                <w:p w14:paraId="261C4AFE">
                  <w:pPr>
                    <w:adjustRightInd w:val="0"/>
                    <w:snapToGrid w:val="0"/>
                    <w:jc w:val="center"/>
                    <w:rPr>
                      <w:rFonts w:eastAsia="仿宋_GB2312"/>
                      <w:sz w:val="21"/>
                      <w:szCs w:val="21"/>
                    </w:rPr>
                  </w:pPr>
                  <w:r>
                    <w:rPr>
                      <w:rFonts w:eastAsia="仿宋_GB2312"/>
                      <w:sz w:val="21"/>
                      <w:szCs w:val="21"/>
                    </w:rPr>
                    <w:t>24小时平均</w:t>
                  </w:r>
                </w:p>
              </w:tc>
              <w:tc>
                <w:tcPr>
                  <w:tcW w:w="1183" w:type="dxa"/>
                  <w:noWrap w:val="0"/>
                  <w:vAlign w:val="center"/>
                </w:tcPr>
                <w:p w14:paraId="2E1469FD">
                  <w:pPr>
                    <w:adjustRightInd w:val="0"/>
                    <w:snapToGrid w:val="0"/>
                    <w:jc w:val="center"/>
                    <w:rPr>
                      <w:rFonts w:eastAsia="仿宋_GB2312"/>
                      <w:sz w:val="21"/>
                      <w:szCs w:val="21"/>
                    </w:rPr>
                  </w:pPr>
                  <w:r>
                    <w:rPr>
                      <w:rFonts w:eastAsia="仿宋_GB2312"/>
                      <w:sz w:val="21"/>
                      <w:szCs w:val="21"/>
                    </w:rPr>
                    <w:t>80μg/m</w:t>
                  </w:r>
                  <w:r>
                    <w:rPr>
                      <w:rFonts w:eastAsia="仿宋_GB2312"/>
                      <w:sz w:val="21"/>
                      <w:szCs w:val="21"/>
                      <w:vertAlign w:val="superscript"/>
                    </w:rPr>
                    <w:t>3</w:t>
                  </w:r>
                </w:p>
              </w:tc>
              <w:tc>
                <w:tcPr>
                  <w:tcW w:w="3503" w:type="dxa"/>
                  <w:vMerge w:val="continue"/>
                  <w:noWrap w:val="0"/>
                  <w:vAlign w:val="center"/>
                </w:tcPr>
                <w:p w14:paraId="56164CE1">
                  <w:pPr>
                    <w:adjustRightInd w:val="0"/>
                    <w:snapToGrid w:val="0"/>
                    <w:jc w:val="center"/>
                    <w:rPr>
                      <w:rFonts w:eastAsia="仿宋_GB2312"/>
                      <w:sz w:val="21"/>
                      <w:szCs w:val="21"/>
                    </w:rPr>
                  </w:pPr>
                </w:p>
              </w:tc>
            </w:tr>
            <w:tr w14:paraId="63C7F9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34" w:type="dxa"/>
                  <w:vMerge w:val="continue"/>
                  <w:noWrap w:val="0"/>
                  <w:vAlign w:val="center"/>
                </w:tcPr>
                <w:p w14:paraId="7C75E17F">
                  <w:pPr>
                    <w:adjustRightInd w:val="0"/>
                    <w:snapToGrid w:val="0"/>
                    <w:jc w:val="center"/>
                    <w:rPr>
                      <w:rFonts w:eastAsia="仿宋_GB2312"/>
                      <w:sz w:val="21"/>
                      <w:szCs w:val="21"/>
                    </w:rPr>
                  </w:pPr>
                </w:p>
              </w:tc>
              <w:tc>
                <w:tcPr>
                  <w:tcW w:w="1954" w:type="dxa"/>
                  <w:noWrap w:val="0"/>
                  <w:vAlign w:val="center"/>
                </w:tcPr>
                <w:p w14:paraId="496516B2">
                  <w:pPr>
                    <w:adjustRightInd w:val="0"/>
                    <w:snapToGrid w:val="0"/>
                    <w:jc w:val="center"/>
                    <w:rPr>
                      <w:rFonts w:eastAsia="仿宋_GB2312"/>
                      <w:sz w:val="21"/>
                      <w:szCs w:val="21"/>
                    </w:rPr>
                  </w:pPr>
                  <w:r>
                    <w:rPr>
                      <w:rFonts w:eastAsia="仿宋_GB2312"/>
                      <w:sz w:val="21"/>
                      <w:szCs w:val="21"/>
                    </w:rPr>
                    <w:t>1小时平均</w:t>
                  </w:r>
                </w:p>
              </w:tc>
              <w:tc>
                <w:tcPr>
                  <w:tcW w:w="1183" w:type="dxa"/>
                  <w:noWrap w:val="0"/>
                  <w:vAlign w:val="center"/>
                </w:tcPr>
                <w:p w14:paraId="2EBB02B8">
                  <w:pPr>
                    <w:adjustRightInd w:val="0"/>
                    <w:snapToGrid w:val="0"/>
                    <w:jc w:val="center"/>
                    <w:rPr>
                      <w:rFonts w:eastAsia="仿宋_GB2312"/>
                      <w:sz w:val="21"/>
                      <w:szCs w:val="21"/>
                    </w:rPr>
                  </w:pPr>
                  <w:r>
                    <w:rPr>
                      <w:rFonts w:eastAsia="仿宋_GB2312"/>
                      <w:sz w:val="21"/>
                      <w:szCs w:val="21"/>
                    </w:rPr>
                    <w:t>200μg/m</w:t>
                  </w:r>
                  <w:r>
                    <w:rPr>
                      <w:rFonts w:eastAsia="仿宋_GB2312"/>
                      <w:sz w:val="21"/>
                      <w:szCs w:val="21"/>
                      <w:vertAlign w:val="superscript"/>
                    </w:rPr>
                    <w:t>3</w:t>
                  </w:r>
                </w:p>
              </w:tc>
              <w:tc>
                <w:tcPr>
                  <w:tcW w:w="3503" w:type="dxa"/>
                  <w:vMerge w:val="continue"/>
                  <w:noWrap w:val="0"/>
                  <w:vAlign w:val="center"/>
                </w:tcPr>
                <w:p w14:paraId="3B8D4791">
                  <w:pPr>
                    <w:adjustRightInd w:val="0"/>
                    <w:snapToGrid w:val="0"/>
                    <w:jc w:val="center"/>
                    <w:rPr>
                      <w:rFonts w:eastAsia="仿宋_GB2312"/>
                      <w:sz w:val="21"/>
                      <w:szCs w:val="21"/>
                    </w:rPr>
                  </w:pPr>
                </w:p>
              </w:tc>
            </w:tr>
            <w:tr w14:paraId="6CE04D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34" w:type="dxa"/>
                  <w:vMerge w:val="restart"/>
                  <w:noWrap w:val="0"/>
                  <w:vAlign w:val="center"/>
                </w:tcPr>
                <w:p w14:paraId="0FAA0985">
                  <w:pPr>
                    <w:adjustRightInd w:val="0"/>
                    <w:snapToGrid w:val="0"/>
                    <w:jc w:val="center"/>
                    <w:rPr>
                      <w:rFonts w:eastAsia="仿宋_GB2312"/>
                      <w:sz w:val="21"/>
                      <w:szCs w:val="21"/>
                    </w:rPr>
                  </w:pPr>
                  <w:r>
                    <w:rPr>
                      <w:rFonts w:eastAsia="仿宋_GB2312"/>
                      <w:sz w:val="21"/>
                      <w:szCs w:val="21"/>
                    </w:rPr>
                    <w:t>CO</w:t>
                  </w:r>
                </w:p>
              </w:tc>
              <w:tc>
                <w:tcPr>
                  <w:tcW w:w="1954" w:type="dxa"/>
                  <w:noWrap w:val="0"/>
                  <w:vAlign w:val="center"/>
                </w:tcPr>
                <w:p w14:paraId="005AB792">
                  <w:pPr>
                    <w:adjustRightInd w:val="0"/>
                    <w:snapToGrid w:val="0"/>
                    <w:jc w:val="center"/>
                    <w:rPr>
                      <w:rFonts w:eastAsia="仿宋_GB2312"/>
                      <w:sz w:val="21"/>
                      <w:szCs w:val="21"/>
                    </w:rPr>
                  </w:pPr>
                  <w:r>
                    <w:rPr>
                      <w:rFonts w:eastAsia="仿宋_GB2312"/>
                      <w:sz w:val="21"/>
                      <w:szCs w:val="21"/>
                    </w:rPr>
                    <w:t>24小时平均</w:t>
                  </w:r>
                </w:p>
              </w:tc>
              <w:tc>
                <w:tcPr>
                  <w:tcW w:w="1183" w:type="dxa"/>
                  <w:noWrap w:val="0"/>
                  <w:vAlign w:val="center"/>
                </w:tcPr>
                <w:p w14:paraId="74931512">
                  <w:pPr>
                    <w:adjustRightInd w:val="0"/>
                    <w:snapToGrid w:val="0"/>
                    <w:jc w:val="center"/>
                    <w:rPr>
                      <w:rFonts w:eastAsia="仿宋_GB2312"/>
                      <w:sz w:val="21"/>
                      <w:szCs w:val="21"/>
                    </w:rPr>
                  </w:pPr>
                  <w:r>
                    <w:rPr>
                      <w:rFonts w:eastAsia="仿宋_GB2312"/>
                      <w:sz w:val="21"/>
                      <w:szCs w:val="21"/>
                    </w:rPr>
                    <w:t>4mg/m</w:t>
                  </w:r>
                  <w:r>
                    <w:rPr>
                      <w:rFonts w:eastAsia="仿宋_GB2312"/>
                      <w:sz w:val="21"/>
                      <w:szCs w:val="21"/>
                      <w:vertAlign w:val="superscript"/>
                    </w:rPr>
                    <w:t>3</w:t>
                  </w:r>
                </w:p>
              </w:tc>
              <w:tc>
                <w:tcPr>
                  <w:tcW w:w="3503" w:type="dxa"/>
                  <w:vMerge w:val="continue"/>
                  <w:noWrap w:val="0"/>
                  <w:vAlign w:val="center"/>
                </w:tcPr>
                <w:p w14:paraId="0CADBF31">
                  <w:pPr>
                    <w:adjustRightInd w:val="0"/>
                    <w:snapToGrid w:val="0"/>
                    <w:jc w:val="center"/>
                    <w:rPr>
                      <w:rFonts w:eastAsia="仿宋_GB2312"/>
                      <w:sz w:val="21"/>
                      <w:szCs w:val="21"/>
                    </w:rPr>
                  </w:pPr>
                </w:p>
              </w:tc>
            </w:tr>
            <w:tr w14:paraId="59A823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34" w:type="dxa"/>
                  <w:vMerge w:val="continue"/>
                  <w:noWrap w:val="0"/>
                  <w:vAlign w:val="center"/>
                </w:tcPr>
                <w:p w14:paraId="29B0613F">
                  <w:pPr>
                    <w:adjustRightInd w:val="0"/>
                    <w:snapToGrid w:val="0"/>
                    <w:jc w:val="center"/>
                    <w:rPr>
                      <w:rFonts w:eastAsia="仿宋_GB2312"/>
                      <w:sz w:val="21"/>
                      <w:szCs w:val="21"/>
                    </w:rPr>
                  </w:pPr>
                </w:p>
              </w:tc>
              <w:tc>
                <w:tcPr>
                  <w:tcW w:w="1954" w:type="dxa"/>
                  <w:noWrap w:val="0"/>
                  <w:vAlign w:val="center"/>
                </w:tcPr>
                <w:p w14:paraId="47F5F864">
                  <w:pPr>
                    <w:adjustRightInd w:val="0"/>
                    <w:snapToGrid w:val="0"/>
                    <w:jc w:val="center"/>
                    <w:rPr>
                      <w:rFonts w:eastAsia="仿宋_GB2312"/>
                      <w:sz w:val="21"/>
                      <w:szCs w:val="21"/>
                    </w:rPr>
                  </w:pPr>
                  <w:r>
                    <w:rPr>
                      <w:rFonts w:eastAsia="仿宋_GB2312"/>
                      <w:sz w:val="21"/>
                      <w:szCs w:val="21"/>
                    </w:rPr>
                    <w:t>1小时平均</w:t>
                  </w:r>
                </w:p>
              </w:tc>
              <w:tc>
                <w:tcPr>
                  <w:tcW w:w="1183" w:type="dxa"/>
                  <w:noWrap w:val="0"/>
                  <w:vAlign w:val="center"/>
                </w:tcPr>
                <w:p w14:paraId="3EB03BDC">
                  <w:pPr>
                    <w:adjustRightInd w:val="0"/>
                    <w:snapToGrid w:val="0"/>
                    <w:jc w:val="center"/>
                    <w:rPr>
                      <w:rFonts w:eastAsia="仿宋_GB2312"/>
                      <w:sz w:val="21"/>
                      <w:szCs w:val="21"/>
                    </w:rPr>
                  </w:pPr>
                  <w:r>
                    <w:rPr>
                      <w:rFonts w:eastAsia="仿宋_GB2312"/>
                      <w:sz w:val="21"/>
                      <w:szCs w:val="21"/>
                    </w:rPr>
                    <w:t>10mg/m</w:t>
                  </w:r>
                  <w:r>
                    <w:rPr>
                      <w:rFonts w:eastAsia="仿宋_GB2312"/>
                      <w:sz w:val="21"/>
                      <w:szCs w:val="21"/>
                      <w:vertAlign w:val="superscript"/>
                    </w:rPr>
                    <w:t>3</w:t>
                  </w:r>
                </w:p>
              </w:tc>
              <w:tc>
                <w:tcPr>
                  <w:tcW w:w="3503" w:type="dxa"/>
                  <w:vMerge w:val="continue"/>
                  <w:noWrap w:val="0"/>
                  <w:vAlign w:val="center"/>
                </w:tcPr>
                <w:p w14:paraId="5CD97982">
                  <w:pPr>
                    <w:adjustRightInd w:val="0"/>
                    <w:snapToGrid w:val="0"/>
                    <w:jc w:val="center"/>
                    <w:rPr>
                      <w:rFonts w:eastAsia="仿宋_GB2312"/>
                      <w:sz w:val="21"/>
                      <w:szCs w:val="21"/>
                    </w:rPr>
                  </w:pPr>
                </w:p>
              </w:tc>
            </w:tr>
            <w:tr w14:paraId="0A0A71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34" w:type="dxa"/>
                  <w:vMerge w:val="restart"/>
                  <w:noWrap w:val="0"/>
                  <w:vAlign w:val="center"/>
                </w:tcPr>
                <w:p w14:paraId="6E4DD6CE">
                  <w:pPr>
                    <w:adjustRightInd w:val="0"/>
                    <w:snapToGrid w:val="0"/>
                    <w:jc w:val="center"/>
                    <w:rPr>
                      <w:rFonts w:eastAsia="仿宋_GB2312"/>
                      <w:sz w:val="21"/>
                      <w:szCs w:val="21"/>
                    </w:rPr>
                  </w:pPr>
                  <w:r>
                    <w:rPr>
                      <w:rFonts w:eastAsia="仿宋_GB2312"/>
                      <w:sz w:val="21"/>
                      <w:szCs w:val="21"/>
                    </w:rPr>
                    <w:t>O</w:t>
                  </w:r>
                  <w:r>
                    <w:rPr>
                      <w:rFonts w:eastAsia="仿宋_GB2312"/>
                      <w:sz w:val="21"/>
                      <w:szCs w:val="21"/>
                      <w:vertAlign w:val="subscript"/>
                    </w:rPr>
                    <w:t>3</w:t>
                  </w:r>
                </w:p>
              </w:tc>
              <w:tc>
                <w:tcPr>
                  <w:tcW w:w="1954" w:type="dxa"/>
                  <w:noWrap w:val="0"/>
                  <w:vAlign w:val="center"/>
                </w:tcPr>
                <w:p w14:paraId="520ED8AF">
                  <w:pPr>
                    <w:adjustRightInd w:val="0"/>
                    <w:snapToGrid w:val="0"/>
                    <w:jc w:val="center"/>
                    <w:rPr>
                      <w:rFonts w:eastAsia="仿宋_GB2312"/>
                      <w:sz w:val="21"/>
                      <w:szCs w:val="21"/>
                    </w:rPr>
                  </w:pPr>
                  <w:r>
                    <w:rPr>
                      <w:rFonts w:eastAsia="仿宋_GB2312"/>
                      <w:sz w:val="21"/>
                      <w:szCs w:val="21"/>
                    </w:rPr>
                    <w:t>日最大8小时平均</w:t>
                  </w:r>
                </w:p>
              </w:tc>
              <w:tc>
                <w:tcPr>
                  <w:tcW w:w="1183" w:type="dxa"/>
                  <w:noWrap w:val="0"/>
                  <w:vAlign w:val="center"/>
                </w:tcPr>
                <w:p w14:paraId="5511B5E6">
                  <w:pPr>
                    <w:adjustRightInd w:val="0"/>
                    <w:snapToGrid w:val="0"/>
                    <w:jc w:val="center"/>
                    <w:rPr>
                      <w:rFonts w:eastAsia="仿宋_GB2312"/>
                      <w:sz w:val="21"/>
                      <w:szCs w:val="21"/>
                    </w:rPr>
                  </w:pPr>
                  <w:r>
                    <w:rPr>
                      <w:rFonts w:eastAsia="仿宋_GB2312"/>
                      <w:sz w:val="21"/>
                      <w:szCs w:val="21"/>
                    </w:rPr>
                    <w:t>160μg/m</w:t>
                  </w:r>
                  <w:r>
                    <w:rPr>
                      <w:rFonts w:eastAsia="仿宋_GB2312"/>
                      <w:sz w:val="21"/>
                      <w:szCs w:val="21"/>
                      <w:vertAlign w:val="superscript"/>
                    </w:rPr>
                    <w:t>3</w:t>
                  </w:r>
                </w:p>
              </w:tc>
              <w:tc>
                <w:tcPr>
                  <w:tcW w:w="3503" w:type="dxa"/>
                  <w:vMerge w:val="continue"/>
                  <w:noWrap w:val="0"/>
                  <w:vAlign w:val="center"/>
                </w:tcPr>
                <w:p w14:paraId="7DD94B30">
                  <w:pPr>
                    <w:adjustRightInd w:val="0"/>
                    <w:snapToGrid w:val="0"/>
                    <w:jc w:val="center"/>
                    <w:rPr>
                      <w:rFonts w:eastAsia="仿宋_GB2312"/>
                      <w:sz w:val="21"/>
                      <w:szCs w:val="21"/>
                    </w:rPr>
                  </w:pPr>
                </w:p>
              </w:tc>
            </w:tr>
            <w:tr w14:paraId="7130D4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34" w:type="dxa"/>
                  <w:vMerge w:val="continue"/>
                  <w:noWrap w:val="0"/>
                  <w:vAlign w:val="center"/>
                </w:tcPr>
                <w:p w14:paraId="59B27279">
                  <w:pPr>
                    <w:adjustRightInd w:val="0"/>
                    <w:snapToGrid w:val="0"/>
                    <w:jc w:val="center"/>
                    <w:rPr>
                      <w:rFonts w:eastAsia="仿宋_GB2312"/>
                      <w:sz w:val="21"/>
                      <w:szCs w:val="21"/>
                    </w:rPr>
                  </w:pPr>
                </w:p>
              </w:tc>
              <w:tc>
                <w:tcPr>
                  <w:tcW w:w="1954" w:type="dxa"/>
                  <w:noWrap w:val="0"/>
                  <w:vAlign w:val="center"/>
                </w:tcPr>
                <w:p w14:paraId="4FD9FBA0">
                  <w:pPr>
                    <w:adjustRightInd w:val="0"/>
                    <w:snapToGrid w:val="0"/>
                    <w:jc w:val="center"/>
                    <w:rPr>
                      <w:rFonts w:eastAsia="仿宋_GB2312"/>
                      <w:sz w:val="21"/>
                      <w:szCs w:val="21"/>
                    </w:rPr>
                  </w:pPr>
                  <w:r>
                    <w:rPr>
                      <w:rFonts w:eastAsia="仿宋_GB2312"/>
                      <w:sz w:val="21"/>
                      <w:szCs w:val="21"/>
                    </w:rPr>
                    <w:t>1小时平均</w:t>
                  </w:r>
                </w:p>
              </w:tc>
              <w:tc>
                <w:tcPr>
                  <w:tcW w:w="1183" w:type="dxa"/>
                  <w:noWrap w:val="0"/>
                  <w:vAlign w:val="center"/>
                </w:tcPr>
                <w:p w14:paraId="469D971A">
                  <w:pPr>
                    <w:adjustRightInd w:val="0"/>
                    <w:snapToGrid w:val="0"/>
                    <w:jc w:val="center"/>
                    <w:rPr>
                      <w:rFonts w:eastAsia="仿宋_GB2312"/>
                      <w:sz w:val="21"/>
                      <w:szCs w:val="21"/>
                    </w:rPr>
                  </w:pPr>
                  <w:r>
                    <w:rPr>
                      <w:rFonts w:eastAsia="仿宋_GB2312"/>
                      <w:sz w:val="21"/>
                      <w:szCs w:val="21"/>
                    </w:rPr>
                    <w:t>200μg/m</w:t>
                  </w:r>
                  <w:r>
                    <w:rPr>
                      <w:rFonts w:eastAsia="仿宋_GB2312"/>
                      <w:sz w:val="21"/>
                      <w:szCs w:val="21"/>
                      <w:vertAlign w:val="superscript"/>
                    </w:rPr>
                    <w:t>3</w:t>
                  </w:r>
                </w:p>
              </w:tc>
              <w:tc>
                <w:tcPr>
                  <w:tcW w:w="3503" w:type="dxa"/>
                  <w:vMerge w:val="continue"/>
                  <w:noWrap w:val="0"/>
                  <w:vAlign w:val="center"/>
                </w:tcPr>
                <w:p w14:paraId="0FED8449">
                  <w:pPr>
                    <w:adjustRightInd w:val="0"/>
                    <w:snapToGrid w:val="0"/>
                    <w:jc w:val="center"/>
                    <w:rPr>
                      <w:rFonts w:eastAsia="仿宋_GB2312"/>
                      <w:sz w:val="21"/>
                      <w:szCs w:val="21"/>
                    </w:rPr>
                  </w:pPr>
                </w:p>
              </w:tc>
            </w:tr>
            <w:tr w14:paraId="590E8E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34" w:type="dxa"/>
                  <w:vMerge w:val="restart"/>
                  <w:noWrap w:val="0"/>
                  <w:vAlign w:val="center"/>
                </w:tcPr>
                <w:p w14:paraId="7951172D">
                  <w:pPr>
                    <w:adjustRightInd w:val="0"/>
                    <w:snapToGrid w:val="0"/>
                    <w:jc w:val="center"/>
                    <w:rPr>
                      <w:rFonts w:eastAsia="仿宋_GB2312"/>
                      <w:sz w:val="21"/>
                      <w:szCs w:val="21"/>
                    </w:rPr>
                  </w:pPr>
                  <w:r>
                    <w:rPr>
                      <w:rFonts w:eastAsia="仿宋_GB2312"/>
                      <w:sz w:val="21"/>
                      <w:szCs w:val="21"/>
                    </w:rPr>
                    <w:t>PM</w:t>
                  </w:r>
                  <w:r>
                    <w:rPr>
                      <w:rFonts w:eastAsia="仿宋_GB2312"/>
                      <w:sz w:val="21"/>
                      <w:szCs w:val="21"/>
                      <w:vertAlign w:val="subscript"/>
                    </w:rPr>
                    <w:t>10</w:t>
                  </w:r>
                </w:p>
              </w:tc>
              <w:tc>
                <w:tcPr>
                  <w:tcW w:w="1954" w:type="dxa"/>
                  <w:noWrap w:val="0"/>
                  <w:vAlign w:val="center"/>
                </w:tcPr>
                <w:p w14:paraId="28E96DF7">
                  <w:pPr>
                    <w:adjustRightInd w:val="0"/>
                    <w:snapToGrid w:val="0"/>
                    <w:jc w:val="center"/>
                    <w:rPr>
                      <w:rFonts w:eastAsia="仿宋_GB2312"/>
                      <w:sz w:val="21"/>
                      <w:szCs w:val="21"/>
                    </w:rPr>
                  </w:pPr>
                  <w:r>
                    <w:rPr>
                      <w:rFonts w:eastAsia="仿宋_GB2312"/>
                      <w:sz w:val="21"/>
                      <w:szCs w:val="21"/>
                    </w:rPr>
                    <w:t>年平均</w:t>
                  </w:r>
                </w:p>
              </w:tc>
              <w:tc>
                <w:tcPr>
                  <w:tcW w:w="1183" w:type="dxa"/>
                  <w:noWrap w:val="0"/>
                  <w:vAlign w:val="center"/>
                </w:tcPr>
                <w:p w14:paraId="59AE16F7">
                  <w:pPr>
                    <w:adjustRightInd w:val="0"/>
                    <w:snapToGrid w:val="0"/>
                    <w:jc w:val="center"/>
                    <w:rPr>
                      <w:rFonts w:eastAsia="仿宋_GB2312"/>
                      <w:sz w:val="21"/>
                      <w:szCs w:val="21"/>
                    </w:rPr>
                  </w:pPr>
                  <w:r>
                    <w:rPr>
                      <w:rFonts w:eastAsia="仿宋_GB2312"/>
                      <w:sz w:val="21"/>
                      <w:szCs w:val="21"/>
                    </w:rPr>
                    <w:t>70μg/m</w:t>
                  </w:r>
                  <w:r>
                    <w:rPr>
                      <w:rFonts w:eastAsia="仿宋_GB2312"/>
                      <w:sz w:val="21"/>
                      <w:szCs w:val="21"/>
                      <w:vertAlign w:val="superscript"/>
                    </w:rPr>
                    <w:t>3</w:t>
                  </w:r>
                </w:p>
              </w:tc>
              <w:tc>
                <w:tcPr>
                  <w:tcW w:w="3503" w:type="dxa"/>
                  <w:vMerge w:val="continue"/>
                  <w:noWrap w:val="0"/>
                  <w:vAlign w:val="center"/>
                </w:tcPr>
                <w:p w14:paraId="09CD16D8">
                  <w:pPr>
                    <w:adjustRightInd w:val="0"/>
                    <w:snapToGrid w:val="0"/>
                    <w:jc w:val="center"/>
                    <w:rPr>
                      <w:rFonts w:eastAsia="仿宋_GB2312"/>
                      <w:sz w:val="21"/>
                      <w:szCs w:val="21"/>
                    </w:rPr>
                  </w:pPr>
                </w:p>
              </w:tc>
            </w:tr>
            <w:tr w14:paraId="436F8B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34" w:type="dxa"/>
                  <w:vMerge w:val="continue"/>
                  <w:noWrap w:val="0"/>
                  <w:vAlign w:val="center"/>
                </w:tcPr>
                <w:p w14:paraId="08A52545">
                  <w:pPr>
                    <w:adjustRightInd w:val="0"/>
                    <w:snapToGrid w:val="0"/>
                    <w:jc w:val="center"/>
                    <w:rPr>
                      <w:rFonts w:eastAsia="仿宋_GB2312"/>
                      <w:sz w:val="21"/>
                      <w:szCs w:val="21"/>
                    </w:rPr>
                  </w:pPr>
                </w:p>
              </w:tc>
              <w:tc>
                <w:tcPr>
                  <w:tcW w:w="1954" w:type="dxa"/>
                  <w:noWrap w:val="0"/>
                  <w:vAlign w:val="center"/>
                </w:tcPr>
                <w:p w14:paraId="4F608F90">
                  <w:pPr>
                    <w:adjustRightInd w:val="0"/>
                    <w:snapToGrid w:val="0"/>
                    <w:jc w:val="center"/>
                    <w:rPr>
                      <w:rFonts w:eastAsia="仿宋_GB2312"/>
                      <w:sz w:val="21"/>
                      <w:szCs w:val="21"/>
                    </w:rPr>
                  </w:pPr>
                  <w:r>
                    <w:rPr>
                      <w:rFonts w:eastAsia="仿宋_GB2312"/>
                      <w:sz w:val="21"/>
                      <w:szCs w:val="21"/>
                    </w:rPr>
                    <w:t>24小时平均</w:t>
                  </w:r>
                </w:p>
              </w:tc>
              <w:tc>
                <w:tcPr>
                  <w:tcW w:w="1183" w:type="dxa"/>
                  <w:noWrap w:val="0"/>
                  <w:vAlign w:val="center"/>
                </w:tcPr>
                <w:p w14:paraId="3A49EA5E">
                  <w:pPr>
                    <w:adjustRightInd w:val="0"/>
                    <w:snapToGrid w:val="0"/>
                    <w:jc w:val="center"/>
                    <w:rPr>
                      <w:rFonts w:eastAsia="仿宋_GB2312"/>
                      <w:sz w:val="21"/>
                      <w:szCs w:val="21"/>
                    </w:rPr>
                  </w:pPr>
                  <w:r>
                    <w:rPr>
                      <w:rFonts w:eastAsia="仿宋_GB2312"/>
                      <w:sz w:val="21"/>
                      <w:szCs w:val="21"/>
                    </w:rPr>
                    <w:t>150μg/m</w:t>
                  </w:r>
                  <w:r>
                    <w:rPr>
                      <w:rFonts w:eastAsia="仿宋_GB2312"/>
                      <w:sz w:val="21"/>
                      <w:szCs w:val="21"/>
                      <w:vertAlign w:val="superscript"/>
                    </w:rPr>
                    <w:t>3</w:t>
                  </w:r>
                </w:p>
              </w:tc>
              <w:tc>
                <w:tcPr>
                  <w:tcW w:w="3503" w:type="dxa"/>
                  <w:vMerge w:val="continue"/>
                  <w:noWrap w:val="0"/>
                  <w:vAlign w:val="center"/>
                </w:tcPr>
                <w:p w14:paraId="0CEC71C0">
                  <w:pPr>
                    <w:adjustRightInd w:val="0"/>
                    <w:snapToGrid w:val="0"/>
                    <w:jc w:val="center"/>
                    <w:rPr>
                      <w:rFonts w:eastAsia="仿宋_GB2312"/>
                      <w:sz w:val="21"/>
                      <w:szCs w:val="21"/>
                    </w:rPr>
                  </w:pPr>
                </w:p>
              </w:tc>
            </w:tr>
            <w:tr w14:paraId="24E6F2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34" w:type="dxa"/>
                  <w:vMerge w:val="restart"/>
                  <w:noWrap w:val="0"/>
                  <w:vAlign w:val="center"/>
                </w:tcPr>
                <w:p w14:paraId="7C2E7D70">
                  <w:pPr>
                    <w:adjustRightInd w:val="0"/>
                    <w:snapToGrid w:val="0"/>
                    <w:jc w:val="center"/>
                    <w:rPr>
                      <w:rFonts w:eastAsia="仿宋_GB2312"/>
                      <w:sz w:val="21"/>
                      <w:szCs w:val="21"/>
                    </w:rPr>
                  </w:pPr>
                  <w:r>
                    <w:rPr>
                      <w:rFonts w:eastAsia="仿宋_GB2312"/>
                      <w:sz w:val="21"/>
                      <w:szCs w:val="21"/>
                    </w:rPr>
                    <w:t>PM</w:t>
                  </w:r>
                  <w:r>
                    <w:rPr>
                      <w:rFonts w:eastAsia="仿宋_GB2312"/>
                      <w:sz w:val="21"/>
                      <w:szCs w:val="21"/>
                      <w:vertAlign w:val="subscript"/>
                    </w:rPr>
                    <w:t>2.5</w:t>
                  </w:r>
                </w:p>
              </w:tc>
              <w:tc>
                <w:tcPr>
                  <w:tcW w:w="1954" w:type="dxa"/>
                  <w:noWrap w:val="0"/>
                  <w:vAlign w:val="center"/>
                </w:tcPr>
                <w:p w14:paraId="6DE2999E">
                  <w:pPr>
                    <w:adjustRightInd w:val="0"/>
                    <w:snapToGrid w:val="0"/>
                    <w:jc w:val="center"/>
                    <w:rPr>
                      <w:rFonts w:eastAsia="仿宋_GB2312"/>
                      <w:sz w:val="21"/>
                      <w:szCs w:val="21"/>
                    </w:rPr>
                  </w:pPr>
                  <w:r>
                    <w:rPr>
                      <w:rFonts w:eastAsia="仿宋_GB2312"/>
                      <w:sz w:val="21"/>
                      <w:szCs w:val="21"/>
                    </w:rPr>
                    <w:t>年平均</w:t>
                  </w:r>
                </w:p>
              </w:tc>
              <w:tc>
                <w:tcPr>
                  <w:tcW w:w="1183" w:type="dxa"/>
                  <w:noWrap w:val="0"/>
                  <w:vAlign w:val="center"/>
                </w:tcPr>
                <w:p w14:paraId="28AD5FB2">
                  <w:pPr>
                    <w:adjustRightInd w:val="0"/>
                    <w:snapToGrid w:val="0"/>
                    <w:jc w:val="center"/>
                    <w:rPr>
                      <w:rFonts w:eastAsia="仿宋_GB2312"/>
                      <w:sz w:val="21"/>
                      <w:szCs w:val="21"/>
                    </w:rPr>
                  </w:pPr>
                  <w:r>
                    <w:rPr>
                      <w:rFonts w:eastAsia="仿宋_GB2312"/>
                      <w:sz w:val="21"/>
                      <w:szCs w:val="21"/>
                    </w:rPr>
                    <w:t>35μg/m</w:t>
                  </w:r>
                  <w:r>
                    <w:rPr>
                      <w:rFonts w:eastAsia="仿宋_GB2312"/>
                      <w:sz w:val="21"/>
                      <w:szCs w:val="21"/>
                      <w:vertAlign w:val="superscript"/>
                    </w:rPr>
                    <w:t>3</w:t>
                  </w:r>
                </w:p>
              </w:tc>
              <w:tc>
                <w:tcPr>
                  <w:tcW w:w="3503" w:type="dxa"/>
                  <w:vMerge w:val="continue"/>
                  <w:noWrap w:val="0"/>
                  <w:vAlign w:val="center"/>
                </w:tcPr>
                <w:p w14:paraId="478535D1">
                  <w:pPr>
                    <w:adjustRightInd w:val="0"/>
                    <w:snapToGrid w:val="0"/>
                    <w:jc w:val="center"/>
                    <w:rPr>
                      <w:rFonts w:eastAsia="仿宋_GB2312"/>
                      <w:sz w:val="21"/>
                      <w:szCs w:val="21"/>
                    </w:rPr>
                  </w:pPr>
                </w:p>
              </w:tc>
            </w:tr>
            <w:tr w14:paraId="041488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34" w:type="dxa"/>
                  <w:vMerge w:val="continue"/>
                  <w:noWrap w:val="0"/>
                  <w:vAlign w:val="center"/>
                </w:tcPr>
                <w:p w14:paraId="04FA54F0">
                  <w:pPr>
                    <w:adjustRightInd w:val="0"/>
                    <w:snapToGrid w:val="0"/>
                    <w:jc w:val="center"/>
                    <w:rPr>
                      <w:rFonts w:eastAsia="仿宋_GB2312"/>
                      <w:sz w:val="21"/>
                      <w:szCs w:val="21"/>
                    </w:rPr>
                  </w:pPr>
                </w:p>
              </w:tc>
              <w:tc>
                <w:tcPr>
                  <w:tcW w:w="1954" w:type="dxa"/>
                  <w:noWrap w:val="0"/>
                  <w:vAlign w:val="center"/>
                </w:tcPr>
                <w:p w14:paraId="0FA1C8F2">
                  <w:pPr>
                    <w:adjustRightInd w:val="0"/>
                    <w:snapToGrid w:val="0"/>
                    <w:jc w:val="center"/>
                    <w:rPr>
                      <w:rFonts w:eastAsia="仿宋_GB2312"/>
                      <w:sz w:val="21"/>
                      <w:szCs w:val="21"/>
                    </w:rPr>
                  </w:pPr>
                  <w:r>
                    <w:rPr>
                      <w:rFonts w:eastAsia="仿宋_GB2312"/>
                      <w:sz w:val="21"/>
                      <w:szCs w:val="21"/>
                    </w:rPr>
                    <w:t>24小时平均</w:t>
                  </w:r>
                </w:p>
              </w:tc>
              <w:tc>
                <w:tcPr>
                  <w:tcW w:w="1183" w:type="dxa"/>
                  <w:noWrap w:val="0"/>
                  <w:vAlign w:val="center"/>
                </w:tcPr>
                <w:p w14:paraId="0CE8DAD9">
                  <w:pPr>
                    <w:adjustRightInd w:val="0"/>
                    <w:snapToGrid w:val="0"/>
                    <w:jc w:val="center"/>
                    <w:rPr>
                      <w:rFonts w:eastAsia="仿宋_GB2312"/>
                      <w:sz w:val="21"/>
                      <w:szCs w:val="21"/>
                    </w:rPr>
                  </w:pPr>
                  <w:r>
                    <w:rPr>
                      <w:rFonts w:eastAsia="仿宋_GB2312"/>
                      <w:sz w:val="21"/>
                      <w:szCs w:val="21"/>
                    </w:rPr>
                    <w:t>75μg/m</w:t>
                  </w:r>
                  <w:r>
                    <w:rPr>
                      <w:rFonts w:eastAsia="仿宋_GB2312"/>
                      <w:sz w:val="21"/>
                      <w:szCs w:val="21"/>
                      <w:vertAlign w:val="superscript"/>
                    </w:rPr>
                    <w:t>3</w:t>
                  </w:r>
                </w:p>
              </w:tc>
              <w:tc>
                <w:tcPr>
                  <w:tcW w:w="3503" w:type="dxa"/>
                  <w:vMerge w:val="continue"/>
                  <w:noWrap w:val="0"/>
                  <w:vAlign w:val="center"/>
                </w:tcPr>
                <w:p w14:paraId="43942A4E">
                  <w:pPr>
                    <w:adjustRightInd w:val="0"/>
                    <w:snapToGrid w:val="0"/>
                    <w:jc w:val="center"/>
                    <w:rPr>
                      <w:rFonts w:eastAsia="仿宋_GB2312"/>
                      <w:sz w:val="21"/>
                      <w:szCs w:val="21"/>
                    </w:rPr>
                  </w:pPr>
                </w:p>
              </w:tc>
            </w:tr>
            <w:tr w14:paraId="1693E3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34" w:type="dxa"/>
                  <w:vMerge w:val="restart"/>
                  <w:noWrap w:val="0"/>
                  <w:vAlign w:val="center"/>
                </w:tcPr>
                <w:p w14:paraId="7119827B">
                  <w:pPr>
                    <w:adjustRightInd w:val="0"/>
                    <w:snapToGrid w:val="0"/>
                    <w:jc w:val="center"/>
                    <w:rPr>
                      <w:rFonts w:eastAsia="仿宋_GB2312"/>
                      <w:sz w:val="21"/>
                      <w:szCs w:val="21"/>
                    </w:rPr>
                  </w:pPr>
                  <w:r>
                    <w:rPr>
                      <w:rFonts w:eastAsia="仿宋_GB2312"/>
                      <w:sz w:val="21"/>
                      <w:szCs w:val="21"/>
                    </w:rPr>
                    <w:t>NO</w:t>
                  </w:r>
                  <w:r>
                    <w:rPr>
                      <w:rFonts w:eastAsia="仿宋_GB2312"/>
                      <w:sz w:val="21"/>
                      <w:szCs w:val="21"/>
                      <w:vertAlign w:val="subscript"/>
                    </w:rPr>
                    <w:t>x</w:t>
                  </w:r>
                </w:p>
              </w:tc>
              <w:tc>
                <w:tcPr>
                  <w:tcW w:w="1954" w:type="dxa"/>
                  <w:noWrap w:val="0"/>
                  <w:vAlign w:val="center"/>
                </w:tcPr>
                <w:p w14:paraId="39B97EFD">
                  <w:pPr>
                    <w:adjustRightInd w:val="0"/>
                    <w:snapToGrid w:val="0"/>
                    <w:jc w:val="center"/>
                    <w:rPr>
                      <w:rFonts w:eastAsia="仿宋_GB2312"/>
                      <w:sz w:val="21"/>
                      <w:szCs w:val="21"/>
                    </w:rPr>
                  </w:pPr>
                  <w:r>
                    <w:rPr>
                      <w:rFonts w:eastAsia="仿宋_GB2312"/>
                      <w:sz w:val="21"/>
                      <w:szCs w:val="21"/>
                    </w:rPr>
                    <w:t>年平均</w:t>
                  </w:r>
                </w:p>
              </w:tc>
              <w:tc>
                <w:tcPr>
                  <w:tcW w:w="1183" w:type="dxa"/>
                  <w:noWrap w:val="0"/>
                  <w:vAlign w:val="center"/>
                </w:tcPr>
                <w:p w14:paraId="3606535A">
                  <w:pPr>
                    <w:adjustRightInd w:val="0"/>
                    <w:snapToGrid w:val="0"/>
                    <w:jc w:val="center"/>
                    <w:rPr>
                      <w:rFonts w:eastAsia="仿宋_GB2312"/>
                      <w:sz w:val="21"/>
                      <w:szCs w:val="21"/>
                    </w:rPr>
                  </w:pPr>
                  <w:r>
                    <w:rPr>
                      <w:rFonts w:eastAsia="仿宋_GB2312"/>
                      <w:sz w:val="21"/>
                      <w:szCs w:val="21"/>
                    </w:rPr>
                    <w:t>50μg/m</w:t>
                  </w:r>
                  <w:r>
                    <w:rPr>
                      <w:rFonts w:eastAsia="仿宋_GB2312"/>
                      <w:sz w:val="21"/>
                      <w:szCs w:val="21"/>
                      <w:vertAlign w:val="superscript"/>
                    </w:rPr>
                    <w:t>3</w:t>
                  </w:r>
                </w:p>
              </w:tc>
              <w:tc>
                <w:tcPr>
                  <w:tcW w:w="3503" w:type="dxa"/>
                  <w:vMerge w:val="continue"/>
                  <w:noWrap w:val="0"/>
                  <w:vAlign w:val="center"/>
                </w:tcPr>
                <w:p w14:paraId="1841F0DB">
                  <w:pPr>
                    <w:adjustRightInd w:val="0"/>
                    <w:snapToGrid w:val="0"/>
                    <w:jc w:val="center"/>
                    <w:rPr>
                      <w:rFonts w:eastAsia="仿宋_GB2312"/>
                      <w:sz w:val="21"/>
                      <w:szCs w:val="21"/>
                    </w:rPr>
                  </w:pPr>
                </w:p>
              </w:tc>
            </w:tr>
            <w:tr w14:paraId="689F20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34" w:type="dxa"/>
                  <w:vMerge w:val="continue"/>
                  <w:noWrap w:val="0"/>
                  <w:vAlign w:val="center"/>
                </w:tcPr>
                <w:p w14:paraId="1EAE126C">
                  <w:pPr>
                    <w:adjustRightInd w:val="0"/>
                    <w:snapToGrid w:val="0"/>
                    <w:jc w:val="center"/>
                    <w:rPr>
                      <w:rFonts w:eastAsia="仿宋_GB2312"/>
                      <w:sz w:val="21"/>
                      <w:szCs w:val="21"/>
                    </w:rPr>
                  </w:pPr>
                </w:p>
              </w:tc>
              <w:tc>
                <w:tcPr>
                  <w:tcW w:w="1954" w:type="dxa"/>
                  <w:noWrap w:val="0"/>
                  <w:vAlign w:val="center"/>
                </w:tcPr>
                <w:p w14:paraId="04206387">
                  <w:pPr>
                    <w:adjustRightInd w:val="0"/>
                    <w:snapToGrid w:val="0"/>
                    <w:jc w:val="center"/>
                    <w:rPr>
                      <w:rFonts w:eastAsia="仿宋_GB2312"/>
                      <w:sz w:val="21"/>
                      <w:szCs w:val="21"/>
                    </w:rPr>
                  </w:pPr>
                  <w:r>
                    <w:rPr>
                      <w:rFonts w:eastAsia="仿宋_GB2312"/>
                      <w:sz w:val="21"/>
                      <w:szCs w:val="21"/>
                    </w:rPr>
                    <w:t>24小时平均</w:t>
                  </w:r>
                </w:p>
              </w:tc>
              <w:tc>
                <w:tcPr>
                  <w:tcW w:w="1183" w:type="dxa"/>
                  <w:noWrap w:val="0"/>
                  <w:vAlign w:val="center"/>
                </w:tcPr>
                <w:p w14:paraId="2FC40AC2">
                  <w:pPr>
                    <w:adjustRightInd w:val="0"/>
                    <w:snapToGrid w:val="0"/>
                    <w:jc w:val="center"/>
                    <w:rPr>
                      <w:rFonts w:eastAsia="仿宋_GB2312"/>
                      <w:sz w:val="21"/>
                      <w:szCs w:val="21"/>
                    </w:rPr>
                  </w:pPr>
                  <w:r>
                    <w:rPr>
                      <w:rFonts w:eastAsia="仿宋_GB2312"/>
                      <w:sz w:val="21"/>
                      <w:szCs w:val="21"/>
                    </w:rPr>
                    <w:t>100μg/m</w:t>
                  </w:r>
                  <w:r>
                    <w:rPr>
                      <w:rFonts w:eastAsia="仿宋_GB2312"/>
                      <w:sz w:val="21"/>
                      <w:szCs w:val="21"/>
                      <w:vertAlign w:val="superscript"/>
                    </w:rPr>
                    <w:t>3</w:t>
                  </w:r>
                </w:p>
              </w:tc>
              <w:tc>
                <w:tcPr>
                  <w:tcW w:w="3503" w:type="dxa"/>
                  <w:vMerge w:val="continue"/>
                  <w:noWrap w:val="0"/>
                  <w:vAlign w:val="center"/>
                </w:tcPr>
                <w:p w14:paraId="370E2A5D">
                  <w:pPr>
                    <w:adjustRightInd w:val="0"/>
                    <w:snapToGrid w:val="0"/>
                    <w:jc w:val="center"/>
                    <w:rPr>
                      <w:rFonts w:eastAsia="仿宋_GB2312"/>
                      <w:sz w:val="21"/>
                      <w:szCs w:val="21"/>
                    </w:rPr>
                  </w:pPr>
                </w:p>
              </w:tc>
            </w:tr>
            <w:tr w14:paraId="5AEB7D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34" w:type="dxa"/>
                  <w:vMerge w:val="continue"/>
                  <w:noWrap w:val="0"/>
                  <w:vAlign w:val="center"/>
                </w:tcPr>
                <w:p w14:paraId="0ACFD755">
                  <w:pPr>
                    <w:adjustRightInd w:val="0"/>
                    <w:snapToGrid w:val="0"/>
                    <w:jc w:val="center"/>
                    <w:rPr>
                      <w:rFonts w:eastAsia="仿宋_GB2312"/>
                      <w:sz w:val="21"/>
                      <w:szCs w:val="21"/>
                    </w:rPr>
                  </w:pPr>
                </w:p>
              </w:tc>
              <w:tc>
                <w:tcPr>
                  <w:tcW w:w="1954" w:type="dxa"/>
                  <w:noWrap w:val="0"/>
                  <w:vAlign w:val="center"/>
                </w:tcPr>
                <w:p w14:paraId="306BBC78">
                  <w:pPr>
                    <w:adjustRightInd w:val="0"/>
                    <w:snapToGrid w:val="0"/>
                    <w:jc w:val="center"/>
                    <w:rPr>
                      <w:rFonts w:eastAsia="仿宋_GB2312"/>
                      <w:sz w:val="21"/>
                      <w:szCs w:val="21"/>
                    </w:rPr>
                  </w:pPr>
                  <w:r>
                    <w:rPr>
                      <w:rFonts w:eastAsia="仿宋_GB2312"/>
                      <w:sz w:val="21"/>
                      <w:szCs w:val="21"/>
                    </w:rPr>
                    <w:t>1小时平均</w:t>
                  </w:r>
                </w:p>
              </w:tc>
              <w:tc>
                <w:tcPr>
                  <w:tcW w:w="1183" w:type="dxa"/>
                  <w:noWrap w:val="0"/>
                  <w:vAlign w:val="center"/>
                </w:tcPr>
                <w:p w14:paraId="1370B0C3">
                  <w:pPr>
                    <w:adjustRightInd w:val="0"/>
                    <w:snapToGrid w:val="0"/>
                    <w:jc w:val="center"/>
                    <w:rPr>
                      <w:rFonts w:eastAsia="仿宋_GB2312"/>
                      <w:sz w:val="21"/>
                      <w:szCs w:val="21"/>
                    </w:rPr>
                  </w:pPr>
                  <w:r>
                    <w:rPr>
                      <w:rFonts w:eastAsia="仿宋_GB2312"/>
                      <w:sz w:val="21"/>
                      <w:szCs w:val="21"/>
                    </w:rPr>
                    <w:t>250μg/m</w:t>
                  </w:r>
                  <w:r>
                    <w:rPr>
                      <w:rFonts w:eastAsia="仿宋_GB2312"/>
                      <w:sz w:val="21"/>
                      <w:szCs w:val="21"/>
                      <w:vertAlign w:val="superscript"/>
                    </w:rPr>
                    <w:t>3</w:t>
                  </w:r>
                </w:p>
              </w:tc>
              <w:tc>
                <w:tcPr>
                  <w:tcW w:w="3503" w:type="dxa"/>
                  <w:vMerge w:val="continue"/>
                  <w:noWrap w:val="0"/>
                  <w:vAlign w:val="center"/>
                </w:tcPr>
                <w:p w14:paraId="3388F6B4">
                  <w:pPr>
                    <w:adjustRightInd w:val="0"/>
                    <w:snapToGrid w:val="0"/>
                    <w:jc w:val="center"/>
                    <w:rPr>
                      <w:rFonts w:eastAsia="仿宋_GB2312"/>
                      <w:sz w:val="21"/>
                      <w:szCs w:val="21"/>
                    </w:rPr>
                  </w:pPr>
                </w:p>
              </w:tc>
            </w:tr>
          </w:tbl>
          <w:p w14:paraId="6B5B137A">
            <w:pPr>
              <w:spacing w:line="360" w:lineRule="auto"/>
              <w:ind w:firstLine="422" w:firstLineChars="200"/>
              <w:rPr>
                <w:rFonts w:eastAsia="仿宋_GB2312"/>
                <w:b/>
                <w:bCs/>
                <w:sz w:val="21"/>
                <w:szCs w:val="18"/>
              </w:rPr>
            </w:pPr>
            <w:r>
              <w:rPr>
                <w:rFonts w:eastAsia="仿宋_GB2312"/>
                <w:b/>
                <w:bCs/>
                <w:sz w:val="21"/>
                <w:szCs w:val="18"/>
              </w:rPr>
              <w:t>2、地表水环境</w:t>
            </w:r>
          </w:p>
          <w:p w14:paraId="42F6F44E">
            <w:pPr>
              <w:spacing w:line="360" w:lineRule="auto"/>
              <w:ind w:firstLine="420" w:firstLineChars="200"/>
              <w:rPr>
                <w:rFonts w:eastAsia="仿宋_GB2312"/>
                <w:kern w:val="0"/>
                <w:sz w:val="21"/>
                <w:szCs w:val="18"/>
              </w:rPr>
            </w:pPr>
            <w:r>
              <w:rPr>
                <w:rFonts w:eastAsia="仿宋_GB2312"/>
                <w:kern w:val="0"/>
                <w:sz w:val="21"/>
                <w:szCs w:val="18"/>
              </w:rPr>
              <w:t>结合《江苏省地表水（环境）功能区划》</w:t>
            </w:r>
            <w:r>
              <w:rPr>
                <w:rFonts w:hint="eastAsia" w:eastAsia="仿宋_GB2312"/>
                <w:kern w:val="0"/>
                <w:sz w:val="21"/>
                <w:szCs w:val="18"/>
              </w:rPr>
              <w:t>（</w:t>
            </w:r>
            <w:r>
              <w:rPr>
                <w:rFonts w:eastAsia="仿宋_GB2312"/>
                <w:kern w:val="0"/>
                <w:sz w:val="21"/>
                <w:szCs w:val="18"/>
              </w:rPr>
              <w:t>2021-2030年</w:t>
            </w:r>
            <w:r>
              <w:rPr>
                <w:rFonts w:hint="eastAsia" w:eastAsia="仿宋_GB2312"/>
                <w:kern w:val="0"/>
                <w:sz w:val="21"/>
                <w:szCs w:val="18"/>
              </w:rPr>
              <w:t>）</w:t>
            </w:r>
            <w:r>
              <w:rPr>
                <w:rFonts w:eastAsia="仿宋_GB2312"/>
                <w:kern w:val="0"/>
                <w:sz w:val="21"/>
                <w:szCs w:val="18"/>
              </w:rPr>
              <w:t>，本项目纳污河为《地表水环境质量标准》</w:t>
            </w:r>
            <w:r>
              <w:rPr>
                <w:rFonts w:hint="eastAsia" w:eastAsia="仿宋_GB2312"/>
                <w:kern w:val="0"/>
                <w:sz w:val="21"/>
                <w:szCs w:val="18"/>
              </w:rPr>
              <w:t>（</w:t>
            </w:r>
            <w:r>
              <w:rPr>
                <w:rFonts w:eastAsia="仿宋_GB2312"/>
                <w:kern w:val="0"/>
                <w:sz w:val="21"/>
                <w:szCs w:val="18"/>
              </w:rPr>
              <w:t>GB</w:t>
            </w:r>
            <w:r>
              <w:rPr>
                <w:rFonts w:hint="eastAsia" w:eastAsia="仿宋_GB2312"/>
                <w:kern w:val="0"/>
                <w:sz w:val="21"/>
                <w:szCs w:val="18"/>
                <w:lang w:val="en-US" w:eastAsia="zh-CN"/>
              </w:rPr>
              <w:t xml:space="preserve"> </w:t>
            </w:r>
            <w:r>
              <w:rPr>
                <w:rFonts w:eastAsia="仿宋_GB2312"/>
                <w:kern w:val="0"/>
                <w:sz w:val="21"/>
                <w:szCs w:val="18"/>
              </w:rPr>
              <w:t>3838-2002</w:t>
            </w:r>
            <w:r>
              <w:rPr>
                <w:rFonts w:hint="eastAsia" w:eastAsia="仿宋_GB2312"/>
                <w:kern w:val="0"/>
                <w:sz w:val="21"/>
                <w:szCs w:val="18"/>
              </w:rPr>
              <w:t>）</w:t>
            </w:r>
            <w:r>
              <w:rPr>
                <w:rFonts w:eastAsia="仿宋_GB2312"/>
                <w:kern w:val="0"/>
                <w:sz w:val="21"/>
                <w:szCs w:val="18"/>
              </w:rPr>
              <w:t>中</w:t>
            </w:r>
            <w:r>
              <w:rPr>
                <w:rFonts w:hint="eastAsia" w:eastAsia="仿宋_GB2312"/>
                <w:sz w:val="21"/>
                <w:szCs w:val="18"/>
                <w:lang w:val="en-US" w:eastAsia="zh-CN"/>
              </w:rPr>
              <w:t>IV</w:t>
            </w:r>
            <w:r>
              <w:rPr>
                <w:rFonts w:eastAsia="仿宋_GB2312"/>
                <w:kern w:val="0"/>
                <w:sz w:val="21"/>
                <w:szCs w:val="18"/>
              </w:rPr>
              <w:t>类标准，其中pH、COD、SS、NH</w:t>
            </w:r>
            <w:r>
              <w:rPr>
                <w:rFonts w:eastAsia="仿宋_GB2312"/>
                <w:kern w:val="0"/>
                <w:sz w:val="21"/>
                <w:szCs w:val="18"/>
                <w:vertAlign w:val="subscript"/>
              </w:rPr>
              <w:t>3</w:t>
            </w:r>
            <w:r>
              <w:rPr>
                <w:rFonts w:eastAsia="仿宋_GB2312"/>
                <w:kern w:val="0"/>
                <w:sz w:val="21"/>
                <w:szCs w:val="18"/>
              </w:rPr>
              <w:t>-N、TP执行《地表水环境质量标准》</w:t>
            </w:r>
            <w:r>
              <w:rPr>
                <w:rFonts w:hint="eastAsia" w:eastAsia="仿宋_GB2312"/>
                <w:kern w:val="0"/>
                <w:sz w:val="21"/>
                <w:szCs w:val="18"/>
              </w:rPr>
              <w:t>（</w:t>
            </w:r>
            <w:r>
              <w:rPr>
                <w:rFonts w:eastAsia="仿宋_GB2312"/>
                <w:kern w:val="0"/>
                <w:sz w:val="21"/>
                <w:szCs w:val="18"/>
              </w:rPr>
              <w:t>GB</w:t>
            </w:r>
            <w:r>
              <w:rPr>
                <w:rFonts w:hint="eastAsia" w:eastAsia="仿宋_GB2312"/>
                <w:kern w:val="0"/>
                <w:sz w:val="21"/>
                <w:szCs w:val="18"/>
                <w:lang w:val="en-US" w:eastAsia="zh-CN"/>
              </w:rPr>
              <w:t xml:space="preserve"> </w:t>
            </w:r>
            <w:r>
              <w:rPr>
                <w:rFonts w:eastAsia="仿宋_GB2312"/>
                <w:kern w:val="0"/>
                <w:sz w:val="21"/>
                <w:szCs w:val="18"/>
              </w:rPr>
              <w:t>3838-2002</w:t>
            </w:r>
            <w:r>
              <w:rPr>
                <w:rFonts w:hint="eastAsia" w:eastAsia="仿宋_GB2312"/>
                <w:kern w:val="0"/>
                <w:sz w:val="21"/>
                <w:szCs w:val="18"/>
              </w:rPr>
              <w:t>）</w:t>
            </w:r>
            <w:r>
              <w:rPr>
                <w:rFonts w:eastAsia="仿宋_GB2312"/>
                <w:kern w:val="0"/>
                <w:sz w:val="21"/>
                <w:szCs w:val="18"/>
              </w:rPr>
              <w:t>表1中相关标准，具体标准值见表3-</w:t>
            </w:r>
            <w:r>
              <w:rPr>
                <w:rFonts w:hint="eastAsia" w:eastAsia="仿宋_GB2312"/>
                <w:kern w:val="0"/>
                <w:sz w:val="21"/>
                <w:szCs w:val="18"/>
                <w:lang w:val="en-US" w:eastAsia="zh-CN"/>
              </w:rPr>
              <w:t>2</w:t>
            </w:r>
            <w:r>
              <w:rPr>
                <w:rFonts w:eastAsia="仿宋_GB2312"/>
                <w:kern w:val="0"/>
                <w:sz w:val="21"/>
                <w:szCs w:val="18"/>
              </w:rPr>
              <w:t>。</w:t>
            </w:r>
          </w:p>
          <w:p w14:paraId="68242BED">
            <w:pPr>
              <w:keepNext w:val="0"/>
              <w:keepLines w:val="0"/>
              <w:pageBreakBefore w:val="0"/>
              <w:widowControl w:val="0"/>
              <w:kinsoku/>
              <w:wordWrap/>
              <w:overflowPunct/>
              <w:topLinePunct w:val="0"/>
              <w:autoSpaceDE w:val="0"/>
              <w:autoSpaceDN w:val="0"/>
              <w:bidi w:val="0"/>
              <w:adjustRightInd w:val="0"/>
              <w:snapToGrid/>
              <w:spacing w:line="500" w:lineRule="exact"/>
              <w:ind w:left="0" w:right="0"/>
              <w:jc w:val="center"/>
              <w:textAlignment w:val="auto"/>
              <w:rPr>
                <w:rFonts w:ascii="Times New Roman" w:hAnsi="Times New Roman" w:eastAsia="仿宋_GB2312" w:cs="Times New Roman"/>
                <w:b/>
                <w:kern w:val="0"/>
                <w:sz w:val="21"/>
                <w:szCs w:val="18"/>
              </w:rPr>
            </w:pPr>
            <w:r>
              <w:rPr>
                <w:rFonts w:ascii="Times New Roman" w:hAnsi="Times New Roman" w:eastAsia="仿宋_GB2312" w:cs="Times New Roman"/>
                <w:b/>
                <w:kern w:val="0"/>
                <w:sz w:val="21"/>
                <w:szCs w:val="18"/>
              </w:rPr>
              <w:t>表3-</w:t>
            </w:r>
            <w:r>
              <w:rPr>
                <w:rFonts w:hint="eastAsia" w:ascii="Times New Roman" w:hAnsi="Times New Roman" w:eastAsia="仿宋_GB2312" w:cs="Times New Roman"/>
                <w:b/>
                <w:kern w:val="0"/>
                <w:sz w:val="21"/>
                <w:szCs w:val="18"/>
                <w:lang w:val="en-US" w:eastAsia="zh-CN"/>
              </w:rPr>
              <w:t>2</w:t>
            </w:r>
            <w:r>
              <w:rPr>
                <w:rFonts w:ascii="Times New Roman" w:hAnsi="Times New Roman" w:eastAsia="仿宋_GB2312" w:cs="Times New Roman"/>
                <w:b/>
                <w:kern w:val="0"/>
                <w:sz w:val="21"/>
                <w:szCs w:val="18"/>
              </w:rPr>
              <w:t xml:space="preserve"> </w:t>
            </w:r>
            <w:r>
              <w:rPr>
                <w:rFonts w:hint="eastAsia" w:ascii="Times New Roman" w:hAnsi="Times New Roman" w:eastAsia="仿宋_GB2312" w:cs="Times New Roman"/>
                <w:b/>
                <w:kern w:val="0"/>
                <w:sz w:val="21"/>
                <w:szCs w:val="18"/>
                <w:lang w:val="en-US" w:eastAsia="zh-CN"/>
              </w:rPr>
              <w:t xml:space="preserve"> </w:t>
            </w:r>
            <w:r>
              <w:rPr>
                <w:rFonts w:ascii="Times New Roman" w:hAnsi="Times New Roman" w:eastAsia="仿宋_GB2312" w:cs="Times New Roman"/>
                <w:b/>
                <w:kern w:val="0"/>
                <w:sz w:val="21"/>
                <w:szCs w:val="18"/>
              </w:rPr>
              <w:t>地表水环境质量标准一览表</w:t>
            </w:r>
          </w:p>
          <w:tbl>
            <w:tblPr>
              <w:tblStyle w:val="3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72"/>
              <w:gridCol w:w="1566"/>
              <w:gridCol w:w="2546"/>
              <w:gridCol w:w="2990"/>
            </w:tblGrid>
            <w:tr w14:paraId="32F6E4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72" w:type="dxa"/>
                  <w:noWrap w:val="0"/>
                  <w:vAlign w:val="center"/>
                </w:tcPr>
                <w:p w14:paraId="3067F746">
                  <w:pPr>
                    <w:jc w:val="center"/>
                    <w:rPr>
                      <w:rFonts w:eastAsia="仿宋_GB2312"/>
                      <w:b/>
                      <w:color w:val="000000"/>
                      <w:sz w:val="21"/>
                      <w:szCs w:val="21"/>
                    </w:rPr>
                  </w:pPr>
                  <w:r>
                    <w:rPr>
                      <w:rFonts w:eastAsia="仿宋_GB2312"/>
                      <w:b/>
                      <w:color w:val="000000"/>
                      <w:sz w:val="21"/>
                      <w:szCs w:val="21"/>
                    </w:rPr>
                    <w:t>序号</w:t>
                  </w:r>
                </w:p>
              </w:tc>
              <w:tc>
                <w:tcPr>
                  <w:tcW w:w="1566" w:type="dxa"/>
                  <w:noWrap w:val="0"/>
                  <w:vAlign w:val="center"/>
                </w:tcPr>
                <w:p w14:paraId="734301AF">
                  <w:pPr>
                    <w:jc w:val="center"/>
                    <w:rPr>
                      <w:rFonts w:eastAsia="仿宋_GB2312"/>
                      <w:b/>
                      <w:color w:val="000000"/>
                      <w:sz w:val="21"/>
                      <w:szCs w:val="21"/>
                    </w:rPr>
                  </w:pPr>
                  <w:r>
                    <w:rPr>
                      <w:rFonts w:eastAsia="仿宋_GB2312"/>
                      <w:b/>
                      <w:color w:val="000000"/>
                      <w:sz w:val="21"/>
                      <w:szCs w:val="21"/>
                    </w:rPr>
                    <w:t>污染物名称</w:t>
                  </w:r>
                </w:p>
              </w:tc>
              <w:tc>
                <w:tcPr>
                  <w:tcW w:w="2546" w:type="dxa"/>
                  <w:noWrap w:val="0"/>
                  <w:vAlign w:val="center"/>
                </w:tcPr>
                <w:p w14:paraId="2D46FFBA">
                  <w:pPr>
                    <w:jc w:val="center"/>
                    <w:rPr>
                      <w:rFonts w:eastAsia="仿宋_GB2312"/>
                      <w:b/>
                      <w:color w:val="000000"/>
                      <w:sz w:val="21"/>
                      <w:szCs w:val="21"/>
                    </w:rPr>
                  </w:pPr>
                  <w:r>
                    <w:rPr>
                      <w:rFonts w:eastAsia="仿宋_GB2312"/>
                      <w:b/>
                      <w:color w:val="000000"/>
                      <w:sz w:val="21"/>
                      <w:szCs w:val="21"/>
                    </w:rPr>
                    <w:t>Ш类标准</w:t>
                  </w:r>
                </w:p>
              </w:tc>
              <w:tc>
                <w:tcPr>
                  <w:tcW w:w="2990" w:type="dxa"/>
                  <w:noWrap w:val="0"/>
                  <w:vAlign w:val="center"/>
                </w:tcPr>
                <w:p w14:paraId="32C880EC">
                  <w:pPr>
                    <w:jc w:val="center"/>
                    <w:rPr>
                      <w:rFonts w:eastAsia="仿宋_GB2312"/>
                      <w:b/>
                      <w:color w:val="000000"/>
                      <w:sz w:val="21"/>
                      <w:szCs w:val="21"/>
                    </w:rPr>
                  </w:pPr>
                  <w:r>
                    <w:rPr>
                      <w:rFonts w:eastAsia="仿宋_GB2312"/>
                      <w:b/>
                      <w:color w:val="000000"/>
                      <w:sz w:val="21"/>
                      <w:szCs w:val="21"/>
                    </w:rPr>
                    <w:t>依据</w:t>
                  </w:r>
                </w:p>
              </w:tc>
            </w:tr>
            <w:tr w14:paraId="34CCCA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72" w:type="dxa"/>
                  <w:noWrap w:val="0"/>
                  <w:vAlign w:val="center"/>
                </w:tcPr>
                <w:p w14:paraId="1473E473">
                  <w:pPr>
                    <w:adjustRightInd w:val="0"/>
                    <w:snapToGrid w:val="0"/>
                    <w:jc w:val="center"/>
                    <w:rPr>
                      <w:rFonts w:eastAsia="仿宋_GB2312"/>
                      <w:color w:val="000000"/>
                      <w:kern w:val="0"/>
                      <w:sz w:val="21"/>
                      <w:szCs w:val="21"/>
                    </w:rPr>
                  </w:pPr>
                  <w:r>
                    <w:rPr>
                      <w:rFonts w:eastAsia="仿宋_GB2312"/>
                      <w:color w:val="000000"/>
                      <w:kern w:val="0"/>
                      <w:sz w:val="21"/>
                      <w:szCs w:val="21"/>
                    </w:rPr>
                    <w:t>1</w:t>
                  </w:r>
                </w:p>
              </w:tc>
              <w:tc>
                <w:tcPr>
                  <w:tcW w:w="1566" w:type="dxa"/>
                  <w:noWrap w:val="0"/>
                  <w:vAlign w:val="center"/>
                </w:tcPr>
                <w:p w14:paraId="0C5AFF1E">
                  <w:pPr>
                    <w:adjustRightInd w:val="0"/>
                    <w:snapToGrid w:val="0"/>
                    <w:jc w:val="center"/>
                    <w:rPr>
                      <w:rFonts w:eastAsia="仿宋_GB2312"/>
                      <w:color w:val="000000"/>
                      <w:kern w:val="0"/>
                      <w:sz w:val="21"/>
                      <w:szCs w:val="21"/>
                    </w:rPr>
                  </w:pPr>
                  <w:r>
                    <w:rPr>
                      <w:rFonts w:eastAsia="仿宋_GB2312"/>
                      <w:color w:val="000000"/>
                      <w:kern w:val="0"/>
                      <w:sz w:val="21"/>
                      <w:szCs w:val="21"/>
                    </w:rPr>
                    <w:t>pH</w:t>
                  </w:r>
                </w:p>
              </w:tc>
              <w:tc>
                <w:tcPr>
                  <w:tcW w:w="2546" w:type="dxa"/>
                  <w:noWrap w:val="0"/>
                  <w:vAlign w:val="center"/>
                </w:tcPr>
                <w:p w14:paraId="66F7B79D">
                  <w:pPr>
                    <w:adjustRightInd w:val="0"/>
                    <w:snapToGrid w:val="0"/>
                    <w:jc w:val="center"/>
                    <w:rPr>
                      <w:rFonts w:eastAsia="仿宋_GB2312"/>
                      <w:color w:val="000000"/>
                      <w:kern w:val="0"/>
                      <w:sz w:val="21"/>
                      <w:szCs w:val="21"/>
                    </w:rPr>
                  </w:pPr>
                  <w:r>
                    <w:rPr>
                      <w:rFonts w:eastAsia="仿宋_GB2312"/>
                      <w:color w:val="000000"/>
                      <w:kern w:val="0"/>
                      <w:sz w:val="21"/>
                      <w:szCs w:val="21"/>
                    </w:rPr>
                    <w:t>6~9</w:t>
                  </w:r>
                </w:p>
              </w:tc>
              <w:tc>
                <w:tcPr>
                  <w:tcW w:w="2990" w:type="dxa"/>
                  <w:vMerge w:val="restart"/>
                  <w:noWrap w:val="0"/>
                  <w:vAlign w:val="center"/>
                </w:tcPr>
                <w:p w14:paraId="5E432ACE">
                  <w:pPr>
                    <w:adjustRightInd w:val="0"/>
                    <w:snapToGrid w:val="0"/>
                    <w:jc w:val="center"/>
                    <w:rPr>
                      <w:rFonts w:eastAsia="仿宋_GB2312"/>
                      <w:color w:val="000000"/>
                      <w:kern w:val="0"/>
                      <w:sz w:val="21"/>
                      <w:szCs w:val="21"/>
                    </w:rPr>
                  </w:pPr>
                  <w:r>
                    <w:rPr>
                      <w:rFonts w:eastAsia="仿宋_GB2312"/>
                      <w:color w:val="000000"/>
                      <w:kern w:val="0"/>
                      <w:sz w:val="21"/>
                      <w:szCs w:val="21"/>
                    </w:rPr>
                    <w:t>《地表水环境质量标准》</w:t>
                  </w:r>
                </w:p>
                <w:p w14:paraId="2CFA3B36">
                  <w:pPr>
                    <w:adjustRightInd w:val="0"/>
                    <w:snapToGrid w:val="0"/>
                    <w:jc w:val="center"/>
                    <w:rPr>
                      <w:rFonts w:eastAsia="仿宋_GB2312"/>
                      <w:color w:val="000000"/>
                      <w:kern w:val="0"/>
                      <w:sz w:val="21"/>
                      <w:szCs w:val="21"/>
                    </w:rPr>
                  </w:pPr>
                  <w:r>
                    <w:rPr>
                      <w:rFonts w:hint="eastAsia" w:eastAsia="仿宋_GB2312"/>
                      <w:color w:val="000000"/>
                      <w:kern w:val="0"/>
                      <w:sz w:val="21"/>
                      <w:szCs w:val="21"/>
                    </w:rPr>
                    <w:t>（</w:t>
                  </w:r>
                  <w:r>
                    <w:rPr>
                      <w:rFonts w:eastAsia="仿宋_GB2312"/>
                      <w:color w:val="000000"/>
                      <w:kern w:val="0"/>
                      <w:sz w:val="21"/>
                      <w:szCs w:val="21"/>
                    </w:rPr>
                    <w:t>GB</w:t>
                  </w:r>
                  <w:r>
                    <w:rPr>
                      <w:rFonts w:hint="eastAsia" w:eastAsia="仿宋_GB2312"/>
                      <w:color w:val="000000"/>
                      <w:kern w:val="0"/>
                      <w:sz w:val="21"/>
                      <w:szCs w:val="21"/>
                      <w:lang w:val="en-US" w:eastAsia="zh-CN"/>
                    </w:rPr>
                    <w:t xml:space="preserve"> </w:t>
                  </w:r>
                  <w:r>
                    <w:rPr>
                      <w:rFonts w:eastAsia="仿宋_GB2312"/>
                      <w:color w:val="000000"/>
                      <w:kern w:val="0"/>
                      <w:sz w:val="21"/>
                      <w:szCs w:val="21"/>
                    </w:rPr>
                    <w:t>3838-2002</w:t>
                  </w:r>
                  <w:r>
                    <w:rPr>
                      <w:rFonts w:hint="eastAsia" w:eastAsia="仿宋_GB2312"/>
                      <w:color w:val="000000"/>
                      <w:kern w:val="0"/>
                      <w:sz w:val="21"/>
                      <w:szCs w:val="21"/>
                    </w:rPr>
                    <w:t>）</w:t>
                  </w:r>
                  <w:r>
                    <w:rPr>
                      <w:rFonts w:eastAsia="仿宋_GB2312"/>
                      <w:color w:val="000000"/>
                      <w:kern w:val="0"/>
                      <w:sz w:val="21"/>
                      <w:szCs w:val="21"/>
                    </w:rPr>
                    <w:t>表1</w:t>
                  </w:r>
                </w:p>
              </w:tc>
            </w:tr>
            <w:tr w14:paraId="4C4EE8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72" w:type="dxa"/>
                  <w:noWrap w:val="0"/>
                  <w:vAlign w:val="center"/>
                </w:tcPr>
                <w:p w14:paraId="72EE2960">
                  <w:pPr>
                    <w:adjustRightInd w:val="0"/>
                    <w:snapToGrid w:val="0"/>
                    <w:jc w:val="center"/>
                    <w:rPr>
                      <w:rFonts w:eastAsia="仿宋_GB2312"/>
                      <w:color w:val="000000"/>
                      <w:kern w:val="0"/>
                      <w:sz w:val="21"/>
                      <w:szCs w:val="21"/>
                    </w:rPr>
                  </w:pPr>
                  <w:r>
                    <w:rPr>
                      <w:rFonts w:eastAsia="仿宋_GB2312"/>
                      <w:color w:val="000000"/>
                      <w:kern w:val="0"/>
                      <w:sz w:val="21"/>
                      <w:szCs w:val="21"/>
                    </w:rPr>
                    <w:t>2</w:t>
                  </w:r>
                </w:p>
              </w:tc>
              <w:tc>
                <w:tcPr>
                  <w:tcW w:w="1566" w:type="dxa"/>
                  <w:noWrap w:val="0"/>
                  <w:vAlign w:val="center"/>
                </w:tcPr>
                <w:p w14:paraId="5A464FB7">
                  <w:pPr>
                    <w:adjustRightInd w:val="0"/>
                    <w:snapToGrid w:val="0"/>
                    <w:jc w:val="center"/>
                    <w:rPr>
                      <w:rFonts w:eastAsia="仿宋_GB2312"/>
                      <w:color w:val="000000"/>
                      <w:kern w:val="0"/>
                      <w:sz w:val="21"/>
                      <w:szCs w:val="21"/>
                    </w:rPr>
                  </w:pPr>
                  <w:r>
                    <w:rPr>
                      <w:rFonts w:eastAsia="仿宋_GB2312"/>
                      <w:color w:val="000000"/>
                      <w:kern w:val="0"/>
                      <w:sz w:val="21"/>
                      <w:szCs w:val="21"/>
                    </w:rPr>
                    <w:t>COD</w:t>
                  </w:r>
                </w:p>
              </w:tc>
              <w:tc>
                <w:tcPr>
                  <w:tcW w:w="2546" w:type="dxa"/>
                  <w:noWrap w:val="0"/>
                  <w:vAlign w:val="center"/>
                </w:tcPr>
                <w:p w14:paraId="6E8C18C6">
                  <w:pPr>
                    <w:adjustRightInd w:val="0"/>
                    <w:snapToGrid w:val="0"/>
                    <w:jc w:val="center"/>
                    <w:rPr>
                      <w:rFonts w:eastAsia="仿宋_GB2312"/>
                      <w:color w:val="000000"/>
                      <w:kern w:val="0"/>
                      <w:sz w:val="21"/>
                      <w:szCs w:val="21"/>
                    </w:rPr>
                  </w:pPr>
                  <w:r>
                    <w:rPr>
                      <w:rFonts w:eastAsia="仿宋_GB2312"/>
                      <w:color w:val="000000"/>
                      <w:kern w:val="0"/>
                      <w:sz w:val="21"/>
                      <w:szCs w:val="21"/>
                    </w:rPr>
                    <w:t>≤</w:t>
                  </w:r>
                  <w:r>
                    <w:rPr>
                      <w:rFonts w:hint="eastAsia" w:eastAsia="仿宋_GB2312"/>
                      <w:color w:val="000000"/>
                      <w:kern w:val="0"/>
                      <w:sz w:val="21"/>
                      <w:szCs w:val="21"/>
                      <w:lang w:val="en-US" w:eastAsia="zh-CN"/>
                    </w:rPr>
                    <w:t>3</w:t>
                  </w:r>
                  <w:r>
                    <w:rPr>
                      <w:rFonts w:eastAsia="仿宋_GB2312"/>
                      <w:color w:val="000000"/>
                      <w:kern w:val="0"/>
                      <w:sz w:val="21"/>
                      <w:szCs w:val="21"/>
                    </w:rPr>
                    <w:t>0</w:t>
                  </w:r>
                </w:p>
              </w:tc>
              <w:tc>
                <w:tcPr>
                  <w:tcW w:w="2990" w:type="dxa"/>
                  <w:vMerge w:val="continue"/>
                  <w:noWrap w:val="0"/>
                  <w:vAlign w:val="center"/>
                </w:tcPr>
                <w:p w14:paraId="682EF35E">
                  <w:pPr>
                    <w:adjustRightInd w:val="0"/>
                    <w:snapToGrid w:val="0"/>
                    <w:jc w:val="center"/>
                    <w:rPr>
                      <w:rFonts w:eastAsia="仿宋_GB2312"/>
                      <w:color w:val="000000"/>
                      <w:kern w:val="0"/>
                      <w:sz w:val="21"/>
                      <w:szCs w:val="21"/>
                    </w:rPr>
                  </w:pPr>
                </w:p>
              </w:tc>
            </w:tr>
            <w:tr w14:paraId="03CB1D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72" w:type="dxa"/>
                  <w:noWrap w:val="0"/>
                  <w:vAlign w:val="center"/>
                </w:tcPr>
                <w:p w14:paraId="5F603B91">
                  <w:pPr>
                    <w:adjustRightInd w:val="0"/>
                    <w:snapToGrid w:val="0"/>
                    <w:jc w:val="center"/>
                    <w:rPr>
                      <w:rFonts w:eastAsia="仿宋_GB2312"/>
                      <w:color w:val="000000"/>
                      <w:kern w:val="0"/>
                      <w:sz w:val="21"/>
                      <w:szCs w:val="21"/>
                    </w:rPr>
                  </w:pPr>
                  <w:r>
                    <w:rPr>
                      <w:rFonts w:eastAsia="仿宋_GB2312"/>
                      <w:color w:val="000000"/>
                      <w:kern w:val="0"/>
                      <w:sz w:val="21"/>
                      <w:szCs w:val="21"/>
                    </w:rPr>
                    <w:t>3</w:t>
                  </w:r>
                </w:p>
              </w:tc>
              <w:tc>
                <w:tcPr>
                  <w:tcW w:w="1566" w:type="dxa"/>
                  <w:noWrap w:val="0"/>
                  <w:vAlign w:val="center"/>
                </w:tcPr>
                <w:p w14:paraId="124A8AC8">
                  <w:pPr>
                    <w:adjustRightInd w:val="0"/>
                    <w:snapToGrid w:val="0"/>
                    <w:jc w:val="center"/>
                    <w:rPr>
                      <w:rFonts w:eastAsia="仿宋_GB2312"/>
                      <w:color w:val="000000"/>
                      <w:kern w:val="0"/>
                      <w:sz w:val="21"/>
                      <w:szCs w:val="21"/>
                    </w:rPr>
                  </w:pPr>
                  <w:r>
                    <w:rPr>
                      <w:rFonts w:eastAsia="仿宋_GB2312"/>
                      <w:color w:val="000000"/>
                      <w:kern w:val="0"/>
                      <w:sz w:val="21"/>
                      <w:szCs w:val="21"/>
                    </w:rPr>
                    <w:t>NH</w:t>
                  </w:r>
                  <w:r>
                    <w:rPr>
                      <w:rFonts w:eastAsia="仿宋_GB2312"/>
                      <w:color w:val="000000"/>
                      <w:kern w:val="0"/>
                      <w:sz w:val="21"/>
                      <w:szCs w:val="21"/>
                      <w:vertAlign w:val="subscript"/>
                    </w:rPr>
                    <w:t>3</w:t>
                  </w:r>
                  <w:r>
                    <w:rPr>
                      <w:rFonts w:eastAsia="仿宋_GB2312"/>
                      <w:color w:val="000000"/>
                      <w:kern w:val="0"/>
                      <w:sz w:val="21"/>
                      <w:szCs w:val="21"/>
                    </w:rPr>
                    <w:t>-N</w:t>
                  </w:r>
                </w:p>
              </w:tc>
              <w:tc>
                <w:tcPr>
                  <w:tcW w:w="2546" w:type="dxa"/>
                  <w:noWrap w:val="0"/>
                  <w:vAlign w:val="center"/>
                </w:tcPr>
                <w:p w14:paraId="0A9B5161">
                  <w:pPr>
                    <w:adjustRightInd w:val="0"/>
                    <w:snapToGrid w:val="0"/>
                    <w:jc w:val="center"/>
                    <w:rPr>
                      <w:rFonts w:hint="eastAsia" w:eastAsia="仿宋_GB2312"/>
                      <w:color w:val="000000"/>
                      <w:kern w:val="0"/>
                      <w:sz w:val="21"/>
                      <w:szCs w:val="21"/>
                      <w:lang w:eastAsia="zh-CN"/>
                    </w:rPr>
                  </w:pPr>
                  <w:r>
                    <w:rPr>
                      <w:rFonts w:eastAsia="仿宋_GB2312"/>
                      <w:color w:val="000000"/>
                      <w:kern w:val="0"/>
                      <w:sz w:val="21"/>
                      <w:szCs w:val="21"/>
                    </w:rPr>
                    <w:t>≤1.</w:t>
                  </w:r>
                  <w:r>
                    <w:rPr>
                      <w:rFonts w:hint="eastAsia" w:eastAsia="仿宋_GB2312"/>
                      <w:color w:val="000000"/>
                      <w:kern w:val="0"/>
                      <w:sz w:val="21"/>
                      <w:szCs w:val="21"/>
                      <w:lang w:val="en-US" w:eastAsia="zh-CN"/>
                    </w:rPr>
                    <w:t>5</w:t>
                  </w:r>
                </w:p>
              </w:tc>
              <w:tc>
                <w:tcPr>
                  <w:tcW w:w="2990" w:type="dxa"/>
                  <w:vMerge w:val="continue"/>
                  <w:noWrap w:val="0"/>
                  <w:vAlign w:val="center"/>
                </w:tcPr>
                <w:p w14:paraId="3DA70BA5">
                  <w:pPr>
                    <w:adjustRightInd w:val="0"/>
                    <w:snapToGrid w:val="0"/>
                    <w:jc w:val="center"/>
                    <w:rPr>
                      <w:rFonts w:eastAsia="仿宋_GB2312"/>
                      <w:color w:val="000000"/>
                      <w:kern w:val="0"/>
                      <w:sz w:val="21"/>
                      <w:szCs w:val="21"/>
                    </w:rPr>
                  </w:pPr>
                </w:p>
              </w:tc>
            </w:tr>
            <w:tr w14:paraId="57C4F8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72" w:type="dxa"/>
                  <w:shd w:val="clear" w:color="auto" w:fill="auto"/>
                  <w:noWrap w:val="0"/>
                  <w:vAlign w:val="center"/>
                </w:tcPr>
                <w:p w14:paraId="1B744192">
                  <w:pPr>
                    <w:adjustRightInd w:val="0"/>
                    <w:snapToGrid w:val="0"/>
                    <w:jc w:val="center"/>
                    <w:rPr>
                      <w:rFonts w:hint="eastAsia" w:ascii="Times New Roman" w:hAnsi="Times New Roman" w:eastAsia="仿宋_GB2312" w:cs="Times New Roman"/>
                      <w:color w:val="000000"/>
                      <w:kern w:val="0"/>
                      <w:sz w:val="21"/>
                      <w:szCs w:val="21"/>
                      <w:lang w:val="en-US" w:eastAsia="zh-CN" w:bidi="ar-SA"/>
                    </w:rPr>
                  </w:pPr>
                  <w:r>
                    <w:rPr>
                      <w:rFonts w:hint="eastAsia" w:eastAsia="仿宋_GB2312"/>
                      <w:color w:val="000000"/>
                      <w:kern w:val="0"/>
                      <w:sz w:val="21"/>
                      <w:szCs w:val="21"/>
                      <w:lang w:val="en-US" w:eastAsia="zh-CN"/>
                    </w:rPr>
                    <w:t>4</w:t>
                  </w:r>
                </w:p>
              </w:tc>
              <w:tc>
                <w:tcPr>
                  <w:tcW w:w="1566" w:type="dxa"/>
                  <w:shd w:val="clear" w:color="auto" w:fill="auto"/>
                  <w:noWrap w:val="0"/>
                  <w:vAlign w:val="center"/>
                </w:tcPr>
                <w:p w14:paraId="07C293FF">
                  <w:pPr>
                    <w:adjustRightInd w:val="0"/>
                    <w:snapToGrid w:val="0"/>
                    <w:jc w:val="center"/>
                    <w:rPr>
                      <w:rFonts w:ascii="Times New Roman" w:hAnsi="Times New Roman" w:eastAsia="仿宋_GB2312" w:cs="Times New Roman"/>
                      <w:color w:val="000000"/>
                      <w:kern w:val="0"/>
                      <w:sz w:val="21"/>
                      <w:szCs w:val="21"/>
                      <w:lang w:val="en-US" w:eastAsia="zh-CN" w:bidi="ar-SA"/>
                    </w:rPr>
                  </w:pPr>
                  <w:r>
                    <w:rPr>
                      <w:rFonts w:eastAsia="仿宋_GB2312"/>
                      <w:color w:val="000000"/>
                      <w:kern w:val="0"/>
                      <w:sz w:val="21"/>
                      <w:szCs w:val="21"/>
                    </w:rPr>
                    <w:t>TP</w:t>
                  </w:r>
                </w:p>
              </w:tc>
              <w:tc>
                <w:tcPr>
                  <w:tcW w:w="2546" w:type="dxa"/>
                  <w:shd w:val="clear" w:color="auto" w:fill="auto"/>
                  <w:noWrap w:val="0"/>
                  <w:vAlign w:val="center"/>
                </w:tcPr>
                <w:p w14:paraId="5E178F1E">
                  <w:pPr>
                    <w:adjustRightInd w:val="0"/>
                    <w:snapToGrid w:val="0"/>
                    <w:jc w:val="center"/>
                    <w:rPr>
                      <w:rFonts w:hint="eastAsia" w:ascii="Times New Roman" w:hAnsi="Times New Roman" w:eastAsia="仿宋_GB2312" w:cs="Times New Roman"/>
                      <w:color w:val="000000"/>
                      <w:kern w:val="0"/>
                      <w:sz w:val="21"/>
                      <w:szCs w:val="21"/>
                      <w:lang w:val="en-US" w:eastAsia="zh-CN" w:bidi="ar-SA"/>
                    </w:rPr>
                  </w:pPr>
                  <w:r>
                    <w:rPr>
                      <w:rFonts w:eastAsia="仿宋_GB2312"/>
                      <w:color w:val="000000"/>
                      <w:kern w:val="0"/>
                      <w:sz w:val="21"/>
                      <w:szCs w:val="21"/>
                    </w:rPr>
                    <w:t>≤0.</w:t>
                  </w:r>
                  <w:r>
                    <w:rPr>
                      <w:rFonts w:hint="eastAsia" w:eastAsia="仿宋_GB2312"/>
                      <w:color w:val="000000"/>
                      <w:kern w:val="0"/>
                      <w:sz w:val="21"/>
                      <w:szCs w:val="21"/>
                      <w:lang w:val="en-US" w:eastAsia="zh-CN"/>
                    </w:rPr>
                    <w:t>3</w:t>
                  </w:r>
                </w:p>
              </w:tc>
              <w:tc>
                <w:tcPr>
                  <w:tcW w:w="2990" w:type="dxa"/>
                  <w:vMerge w:val="continue"/>
                  <w:noWrap w:val="0"/>
                  <w:vAlign w:val="center"/>
                </w:tcPr>
                <w:p w14:paraId="37E38680">
                  <w:pPr>
                    <w:adjustRightInd w:val="0"/>
                    <w:snapToGrid w:val="0"/>
                    <w:jc w:val="center"/>
                    <w:rPr>
                      <w:rFonts w:eastAsia="仿宋_GB2312"/>
                      <w:color w:val="000000"/>
                      <w:kern w:val="0"/>
                      <w:sz w:val="21"/>
                      <w:szCs w:val="21"/>
                    </w:rPr>
                  </w:pPr>
                </w:p>
              </w:tc>
            </w:tr>
          </w:tbl>
          <w:p w14:paraId="3DBD67E1">
            <w:pPr>
              <w:spacing w:line="360" w:lineRule="auto"/>
              <w:ind w:firstLine="422" w:firstLineChars="200"/>
              <w:rPr>
                <w:rFonts w:eastAsia="仿宋_GB2312"/>
                <w:b/>
                <w:bCs/>
                <w:sz w:val="21"/>
                <w:szCs w:val="18"/>
              </w:rPr>
            </w:pPr>
            <w:r>
              <w:rPr>
                <w:rFonts w:eastAsia="仿宋_GB2312"/>
                <w:b/>
                <w:bCs/>
                <w:sz w:val="21"/>
                <w:szCs w:val="18"/>
              </w:rPr>
              <w:t>3、声环境</w:t>
            </w:r>
          </w:p>
          <w:p w14:paraId="58F204C0">
            <w:pPr>
              <w:adjustRightInd w:val="0"/>
              <w:snapToGrid w:val="0"/>
              <w:spacing w:line="360" w:lineRule="auto"/>
              <w:ind w:firstLine="420" w:firstLineChars="200"/>
              <w:jc w:val="left"/>
            </w:pPr>
            <w:r>
              <w:rPr>
                <w:rFonts w:eastAsia="仿宋_GB2312"/>
                <w:sz w:val="21"/>
                <w:szCs w:val="18"/>
              </w:rPr>
              <w:t>本项目建设地点位于</w:t>
            </w:r>
            <w:r>
              <w:rPr>
                <w:rFonts w:hint="eastAsia" w:eastAsia="仿宋_GB2312"/>
                <w:sz w:val="21"/>
                <w:szCs w:val="18"/>
                <w:lang w:eastAsia="zh-CN"/>
              </w:rPr>
              <w:t>常州市金坛</w:t>
            </w:r>
            <w:r>
              <w:rPr>
                <w:rFonts w:hint="eastAsia" w:ascii="Times New Roman" w:hAnsi="Times New Roman" w:eastAsia="仿宋_GB2312" w:cs="Times New Roman"/>
                <w:kern w:val="0"/>
                <w:lang w:val="en-US" w:eastAsia="zh-CN"/>
              </w:rPr>
              <w:t>经济开发区</w:t>
            </w:r>
            <w:r>
              <w:rPr>
                <w:rFonts w:hint="eastAsia" w:eastAsia="仿宋_GB2312"/>
                <w:sz w:val="21"/>
                <w:szCs w:val="18"/>
                <w:lang w:val="en-US" w:eastAsia="zh-CN"/>
              </w:rPr>
              <w:t>盐厂路</w:t>
            </w:r>
            <w:r>
              <w:rPr>
                <w:rFonts w:hint="eastAsia" w:ascii="Times New Roman" w:hAnsi="Times New Roman" w:eastAsia="仿宋_GB2312" w:cs="Times New Roman"/>
                <w:sz w:val="21"/>
                <w:szCs w:val="18"/>
                <w:lang w:val="en-US" w:eastAsia="zh-CN"/>
              </w:rPr>
              <w:t>1</w:t>
            </w:r>
            <w:r>
              <w:rPr>
                <w:rFonts w:hint="eastAsia" w:ascii="Times New Roman" w:hAnsi="Times New Roman" w:eastAsia="仿宋_GB2312" w:cs="Times New Roman"/>
                <w:sz w:val="21"/>
                <w:szCs w:val="18"/>
                <w:lang w:eastAsia="zh-CN"/>
              </w:rPr>
              <w:t>号，</w:t>
            </w:r>
            <w:r>
              <w:rPr>
                <w:rFonts w:hint="eastAsia" w:ascii="Times New Roman" w:hAnsi="Times New Roman" w:eastAsia="仿宋_GB2312" w:cs="Times New Roman"/>
                <w:sz w:val="21"/>
                <w:szCs w:val="18"/>
                <w:lang w:val="en-US" w:eastAsia="zh-CN"/>
              </w:rPr>
              <w:t>项目所在地</w:t>
            </w:r>
            <w:r>
              <w:rPr>
                <w:rFonts w:hint="default" w:ascii="Times New Roman" w:hAnsi="Times New Roman" w:eastAsia="仿宋_GB2312" w:cs="Times New Roman"/>
                <w:sz w:val="21"/>
                <w:szCs w:val="18"/>
                <w:lang w:eastAsia="zh-CN"/>
              </w:rPr>
              <w:t>东、南</w:t>
            </w:r>
            <w:r>
              <w:rPr>
                <w:rFonts w:hint="eastAsia" w:ascii="Times New Roman" w:hAnsi="Times New Roman" w:eastAsia="仿宋_GB2312" w:cs="Times New Roman"/>
                <w:sz w:val="21"/>
                <w:szCs w:val="18"/>
                <w:lang w:eastAsia="zh-CN"/>
              </w:rPr>
              <w:t>、</w:t>
            </w:r>
            <w:r>
              <w:rPr>
                <w:rFonts w:hint="eastAsia" w:ascii="Times New Roman" w:hAnsi="Times New Roman" w:eastAsia="仿宋_GB2312" w:cs="Times New Roman"/>
                <w:sz w:val="21"/>
                <w:szCs w:val="18"/>
                <w:lang w:val="en-US" w:eastAsia="zh-CN"/>
              </w:rPr>
              <w:t>北</w:t>
            </w:r>
            <w:r>
              <w:rPr>
                <w:rFonts w:hint="eastAsia" w:ascii="Times New Roman" w:hAnsi="Times New Roman" w:eastAsia="仿宋_GB2312" w:cs="Times New Roman"/>
                <w:sz w:val="21"/>
                <w:szCs w:val="18"/>
                <w:lang w:eastAsia="zh-CN"/>
              </w:rPr>
              <w:t>厂界噪声执行《声环境质量标准》（GB</w:t>
            </w:r>
            <w:r>
              <w:rPr>
                <w:rFonts w:hint="eastAsia" w:ascii="Times New Roman" w:hAnsi="Times New Roman" w:eastAsia="仿宋_GB2312" w:cs="Times New Roman"/>
                <w:sz w:val="21"/>
                <w:szCs w:val="18"/>
                <w:lang w:val="en-US" w:eastAsia="zh-CN"/>
              </w:rPr>
              <w:t xml:space="preserve"> </w:t>
            </w:r>
            <w:r>
              <w:rPr>
                <w:rFonts w:hint="eastAsia" w:ascii="Times New Roman" w:hAnsi="Times New Roman" w:eastAsia="仿宋_GB2312" w:cs="Times New Roman"/>
                <w:sz w:val="21"/>
                <w:szCs w:val="18"/>
                <w:lang w:eastAsia="zh-CN"/>
              </w:rPr>
              <w:t>3096-2008）中的3类标准，西厂界</w:t>
            </w:r>
            <w:r>
              <w:rPr>
                <w:rFonts w:hint="default" w:ascii="Times New Roman" w:hAnsi="Times New Roman" w:eastAsia="仿宋_GB2312" w:cs="Times New Roman"/>
                <w:sz w:val="21"/>
                <w:szCs w:val="18"/>
                <w:lang w:eastAsia="zh-CN"/>
              </w:rPr>
              <w:t>满足《声环境质量标准》（GB3096-2008）</w:t>
            </w:r>
            <w:r>
              <w:rPr>
                <w:rFonts w:hint="eastAsia" w:ascii="Times New Roman" w:hAnsi="Times New Roman" w:eastAsia="仿宋_GB2312" w:cs="Times New Roman"/>
                <w:sz w:val="21"/>
                <w:szCs w:val="18"/>
                <w:lang w:val="en-US" w:eastAsia="zh-CN"/>
              </w:rPr>
              <w:t>4a</w:t>
            </w:r>
            <w:r>
              <w:rPr>
                <w:rFonts w:hint="default" w:ascii="Times New Roman" w:hAnsi="Times New Roman" w:eastAsia="仿宋_GB2312" w:cs="Times New Roman"/>
                <w:sz w:val="21"/>
                <w:szCs w:val="18"/>
                <w:lang w:eastAsia="zh-CN"/>
              </w:rPr>
              <w:t>类标准</w:t>
            </w:r>
            <w:r>
              <w:rPr>
                <w:rFonts w:hint="eastAsia" w:ascii="Times New Roman" w:hAnsi="Times New Roman" w:eastAsia="仿宋_GB2312" w:cs="Times New Roman"/>
                <w:sz w:val="21"/>
                <w:szCs w:val="18"/>
                <w:lang w:eastAsia="zh-CN"/>
              </w:rPr>
              <w:t>具体标准值见表3-</w:t>
            </w:r>
            <w:r>
              <w:rPr>
                <w:rFonts w:hint="eastAsia" w:ascii="Times New Roman" w:hAnsi="Times New Roman" w:eastAsia="仿宋_GB2312" w:cs="Times New Roman"/>
                <w:sz w:val="21"/>
                <w:szCs w:val="18"/>
                <w:lang w:val="en-US" w:eastAsia="zh-CN"/>
              </w:rPr>
              <w:t>3</w:t>
            </w:r>
            <w:r>
              <w:rPr>
                <w:rFonts w:hint="eastAsia" w:ascii="Times New Roman" w:hAnsi="Times New Roman" w:eastAsia="仿宋_GB2312" w:cs="Times New Roman"/>
                <w:sz w:val="21"/>
                <w:szCs w:val="18"/>
                <w:lang w:eastAsia="zh-CN"/>
              </w:rPr>
              <w:t>。</w:t>
            </w:r>
          </w:p>
          <w:p w14:paraId="5345571F">
            <w:pPr>
              <w:keepNext w:val="0"/>
              <w:keepLines w:val="0"/>
              <w:pageBreakBefore w:val="0"/>
              <w:widowControl w:val="0"/>
              <w:kinsoku/>
              <w:wordWrap/>
              <w:overflowPunct/>
              <w:topLinePunct w:val="0"/>
              <w:autoSpaceDE w:val="0"/>
              <w:autoSpaceDN w:val="0"/>
              <w:bidi w:val="0"/>
              <w:adjustRightInd w:val="0"/>
              <w:snapToGrid/>
              <w:spacing w:line="400" w:lineRule="exact"/>
              <w:ind w:left="0" w:right="0"/>
              <w:jc w:val="center"/>
              <w:textAlignment w:val="auto"/>
              <w:rPr>
                <w:rFonts w:hint="eastAsia" w:ascii="Times New Roman" w:hAnsi="Times New Roman" w:eastAsia="仿宋_GB2312" w:cs="Times New Roman"/>
                <w:b/>
                <w:kern w:val="0"/>
                <w:sz w:val="24"/>
              </w:rPr>
            </w:pPr>
            <w:r>
              <w:rPr>
                <w:rFonts w:ascii="Times New Roman" w:hAnsi="Times New Roman" w:eastAsia="仿宋_GB2312" w:cs="Times New Roman"/>
                <w:b/>
                <w:kern w:val="0"/>
                <w:sz w:val="21"/>
                <w:szCs w:val="18"/>
              </w:rPr>
              <w:t>表3-</w:t>
            </w:r>
            <w:r>
              <w:rPr>
                <w:rFonts w:hint="eastAsia" w:ascii="Times New Roman" w:hAnsi="Times New Roman" w:eastAsia="仿宋_GB2312" w:cs="Times New Roman"/>
                <w:b/>
                <w:kern w:val="0"/>
                <w:sz w:val="21"/>
                <w:szCs w:val="18"/>
                <w:lang w:val="en-US" w:eastAsia="zh-CN"/>
              </w:rPr>
              <w:t xml:space="preserve">3 </w:t>
            </w:r>
            <w:r>
              <w:rPr>
                <w:rFonts w:ascii="Times New Roman" w:hAnsi="Times New Roman" w:eastAsia="仿宋_GB2312" w:cs="Times New Roman"/>
                <w:b/>
                <w:kern w:val="0"/>
                <w:sz w:val="21"/>
                <w:szCs w:val="18"/>
              </w:rPr>
              <w:t xml:space="preserve"> 声环境质量标准一览表  单位：dB</w:t>
            </w:r>
            <w:r>
              <w:rPr>
                <w:rFonts w:hint="eastAsia" w:ascii="Times New Roman" w:hAnsi="Times New Roman" w:eastAsia="仿宋_GB2312" w:cs="Times New Roman"/>
                <w:b/>
                <w:kern w:val="0"/>
                <w:sz w:val="21"/>
                <w:szCs w:val="18"/>
              </w:rPr>
              <w:t>（</w:t>
            </w:r>
            <w:r>
              <w:rPr>
                <w:rFonts w:ascii="Times New Roman" w:hAnsi="Times New Roman" w:eastAsia="仿宋_GB2312" w:cs="Times New Roman"/>
                <w:b/>
                <w:kern w:val="0"/>
                <w:sz w:val="21"/>
                <w:szCs w:val="18"/>
              </w:rPr>
              <w:t>A</w:t>
            </w:r>
            <w:r>
              <w:rPr>
                <w:rFonts w:hint="eastAsia" w:ascii="Times New Roman" w:hAnsi="Times New Roman" w:eastAsia="仿宋_GB2312" w:cs="Times New Roman"/>
                <w:b/>
                <w:kern w:val="0"/>
                <w:sz w:val="21"/>
                <w:szCs w:val="18"/>
              </w:rPr>
              <w:t>）</w:t>
            </w:r>
          </w:p>
          <w:tbl>
            <w:tblPr>
              <w:tblStyle w:val="3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197"/>
              <w:gridCol w:w="1546"/>
              <w:gridCol w:w="1554"/>
              <w:gridCol w:w="1677"/>
            </w:tblGrid>
            <w:tr w14:paraId="616165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743" w:type="dxa"/>
                  <w:gridSpan w:val="2"/>
                  <w:vMerge w:val="restart"/>
                  <w:noWrap w:val="0"/>
                  <w:vAlign w:val="center"/>
                </w:tcPr>
                <w:p w14:paraId="1C7AF855">
                  <w:pPr>
                    <w:widowControl/>
                    <w:adjustRightInd w:val="0"/>
                    <w:snapToGrid w:val="0"/>
                    <w:jc w:val="center"/>
                    <w:rPr>
                      <w:rFonts w:eastAsia="仿宋_GB2312"/>
                      <w:b/>
                      <w:color w:val="000000"/>
                      <w:kern w:val="0"/>
                      <w:sz w:val="21"/>
                      <w:szCs w:val="21"/>
                    </w:rPr>
                  </w:pPr>
                  <w:r>
                    <w:rPr>
                      <w:rFonts w:eastAsia="仿宋_GB2312"/>
                      <w:b/>
                      <w:color w:val="000000"/>
                      <w:kern w:val="0"/>
                      <w:sz w:val="21"/>
                      <w:szCs w:val="21"/>
                    </w:rPr>
                    <w:t>执行标准</w:t>
                  </w:r>
                </w:p>
              </w:tc>
              <w:tc>
                <w:tcPr>
                  <w:tcW w:w="3231" w:type="dxa"/>
                  <w:gridSpan w:val="2"/>
                  <w:noWrap w:val="0"/>
                  <w:vAlign w:val="center"/>
                </w:tcPr>
                <w:p w14:paraId="1CEAE391">
                  <w:pPr>
                    <w:widowControl/>
                    <w:adjustRightInd w:val="0"/>
                    <w:snapToGrid w:val="0"/>
                    <w:jc w:val="center"/>
                    <w:rPr>
                      <w:rFonts w:eastAsia="仿宋_GB2312"/>
                      <w:b/>
                      <w:color w:val="000000"/>
                      <w:kern w:val="0"/>
                      <w:sz w:val="21"/>
                      <w:szCs w:val="21"/>
                    </w:rPr>
                  </w:pPr>
                  <w:r>
                    <w:rPr>
                      <w:rFonts w:eastAsia="仿宋_GB2312"/>
                      <w:b/>
                      <w:color w:val="000000"/>
                      <w:kern w:val="0"/>
                      <w:sz w:val="21"/>
                      <w:szCs w:val="21"/>
                    </w:rPr>
                    <w:t>标准值</w:t>
                  </w:r>
                </w:p>
              </w:tc>
            </w:tr>
            <w:tr w14:paraId="763224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43" w:type="dxa"/>
                  <w:gridSpan w:val="2"/>
                  <w:vMerge w:val="continue"/>
                  <w:noWrap w:val="0"/>
                  <w:vAlign w:val="center"/>
                </w:tcPr>
                <w:p w14:paraId="71865636">
                  <w:pPr>
                    <w:widowControl/>
                    <w:adjustRightInd w:val="0"/>
                    <w:snapToGrid w:val="0"/>
                    <w:jc w:val="center"/>
                    <w:rPr>
                      <w:rFonts w:eastAsia="仿宋_GB2312"/>
                      <w:bCs/>
                      <w:color w:val="000000"/>
                      <w:kern w:val="0"/>
                      <w:sz w:val="21"/>
                      <w:szCs w:val="21"/>
                    </w:rPr>
                  </w:pPr>
                </w:p>
              </w:tc>
              <w:tc>
                <w:tcPr>
                  <w:tcW w:w="1554" w:type="dxa"/>
                  <w:noWrap w:val="0"/>
                  <w:vAlign w:val="center"/>
                </w:tcPr>
                <w:p w14:paraId="07539164">
                  <w:pPr>
                    <w:widowControl/>
                    <w:adjustRightInd w:val="0"/>
                    <w:snapToGrid w:val="0"/>
                    <w:jc w:val="center"/>
                    <w:rPr>
                      <w:rFonts w:eastAsia="仿宋_GB2312"/>
                      <w:b/>
                      <w:bCs w:val="0"/>
                      <w:color w:val="000000"/>
                      <w:kern w:val="0"/>
                      <w:sz w:val="21"/>
                      <w:szCs w:val="21"/>
                    </w:rPr>
                  </w:pPr>
                  <w:r>
                    <w:rPr>
                      <w:rFonts w:eastAsia="仿宋_GB2312"/>
                      <w:b/>
                      <w:bCs w:val="0"/>
                      <w:color w:val="000000"/>
                      <w:kern w:val="0"/>
                      <w:sz w:val="21"/>
                      <w:szCs w:val="21"/>
                    </w:rPr>
                    <w:t>昼间</w:t>
                  </w:r>
                </w:p>
              </w:tc>
              <w:tc>
                <w:tcPr>
                  <w:tcW w:w="1677" w:type="dxa"/>
                  <w:noWrap w:val="0"/>
                  <w:vAlign w:val="center"/>
                </w:tcPr>
                <w:p w14:paraId="35290B58">
                  <w:pPr>
                    <w:widowControl/>
                    <w:adjustRightInd w:val="0"/>
                    <w:snapToGrid w:val="0"/>
                    <w:jc w:val="center"/>
                    <w:rPr>
                      <w:rFonts w:eastAsia="仿宋_GB2312"/>
                      <w:b/>
                      <w:bCs w:val="0"/>
                      <w:color w:val="000000"/>
                      <w:kern w:val="0"/>
                      <w:sz w:val="21"/>
                      <w:szCs w:val="21"/>
                    </w:rPr>
                  </w:pPr>
                  <w:r>
                    <w:rPr>
                      <w:rFonts w:eastAsia="仿宋_GB2312"/>
                      <w:b/>
                      <w:bCs w:val="0"/>
                      <w:color w:val="000000"/>
                      <w:kern w:val="0"/>
                      <w:sz w:val="21"/>
                      <w:szCs w:val="21"/>
                    </w:rPr>
                    <w:t>夜间</w:t>
                  </w:r>
                </w:p>
              </w:tc>
            </w:tr>
            <w:tr w14:paraId="54DF21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24" w:hRule="atLeast"/>
                <w:jc w:val="center"/>
              </w:trPr>
              <w:tc>
                <w:tcPr>
                  <w:tcW w:w="3197" w:type="dxa"/>
                  <w:vMerge w:val="restart"/>
                  <w:noWrap w:val="0"/>
                  <w:vAlign w:val="center"/>
                </w:tcPr>
                <w:p w14:paraId="5A2B38CD">
                  <w:pPr>
                    <w:adjustRightInd w:val="0"/>
                    <w:snapToGrid w:val="0"/>
                    <w:jc w:val="center"/>
                    <w:rPr>
                      <w:rFonts w:eastAsia="仿宋_GB2312"/>
                      <w:color w:val="000000"/>
                      <w:sz w:val="21"/>
                      <w:szCs w:val="21"/>
                    </w:rPr>
                  </w:pPr>
                  <w:r>
                    <w:rPr>
                      <w:rFonts w:eastAsia="仿宋_GB2312"/>
                      <w:color w:val="000000"/>
                      <w:sz w:val="21"/>
                      <w:szCs w:val="21"/>
                    </w:rPr>
                    <w:t>《声环境质量标准》</w:t>
                  </w:r>
                  <w:r>
                    <w:rPr>
                      <w:rFonts w:hint="eastAsia" w:eastAsia="仿宋_GB2312"/>
                      <w:color w:val="000000"/>
                      <w:sz w:val="21"/>
                      <w:szCs w:val="21"/>
                    </w:rPr>
                    <w:t>（</w:t>
                  </w:r>
                  <w:r>
                    <w:rPr>
                      <w:rFonts w:eastAsia="仿宋_GB2312"/>
                      <w:color w:val="000000"/>
                      <w:sz w:val="21"/>
                      <w:szCs w:val="21"/>
                    </w:rPr>
                    <w:t>GB</w:t>
                  </w:r>
                  <w:r>
                    <w:rPr>
                      <w:rFonts w:hint="eastAsia" w:eastAsia="仿宋_GB2312"/>
                      <w:color w:val="000000"/>
                      <w:sz w:val="21"/>
                      <w:szCs w:val="21"/>
                      <w:lang w:val="en-US" w:eastAsia="zh-CN"/>
                    </w:rPr>
                    <w:t xml:space="preserve"> </w:t>
                  </w:r>
                  <w:r>
                    <w:rPr>
                      <w:rFonts w:eastAsia="仿宋_GB2312"/>
                      <w:color w:val="000000"/>
                      <w:sz w:val="21"/>
                      <w:szCs w:val="21"/>
                    </w:rPr>
                    <w:t>3096-2008</w:t>
                  </w:r>
                  <w:r>
                    <w:rPr>
                      <w:rFonts w:hint="eastAsia" w:eastAsia="仿宋_GB2312"/>
                      <w:color w:val="000000"/>
                      <w:sz w:val="21"/>
                      <w:szCs w:val="21"/>
                    </w:rPr>
                    <w:t>）</w:t>
                  </w:r>
                </w:p>
              </w:tc>
              <w:tc>
                <w:tcPr>
                  <w:tcW w:w="1546" w:type="dxa"/>
                  <w:noWrap w:val="0"/>
                  <w:vAlign w:val="center"/>
                </w:tcPr>
                <w:p w14:paraId="393651A1">
                  <w:pPr>
                    <w:adjustRightInd w:val="0"/>
                    <w:snapToGrid w:val="0"/>
                    <w:jc w:val="center"/>
                    <w:rPr>
                      <w:rFonts w:hint="eastAsia" w:ascii="Times New Roman" w:hAnsi="Times New Roman" w:eastAsia="仿宋_GB2312" w:cs="Times New Roman"/>
                      <w:color w:val="000000"/>
                      <w:sz w:val="21"/>
                      <w:szCs w:val="21"/>
                      <w:lang w:val="en-US" w:eastAsia="zh-CN"/>
                    </w:rPr>
                  </w:pPr>
                  <w:r>
                    <w:rPr>
                      <w:rFonts w:hint="eastAsia" w:ascii="Times New Roman" w:hAnsi="Times New Roman" w:eastAsia="仿宋_GB2312" w:cs="Times New Roman"/>
                      <w:color w:val="000000"/>
                      <w:sz w:val="21"/>
                      <w:szCs w:val="21"/>
                      <w:lang w:val="en-US" w:eastAsia="zh-CN"/>
                    </w:rPr>
                    <w:t>3类</w:t>
                  </w:r>
                </w:p>
              </w:tc>
              <w:tc>
                <w:tcPr>
                  <w:tcW w:w="1554" w:type="dxa"/>
                  <w:noWrap w:val="0"/>
                  <w:vAlign w:val="center"/>
                </w:tcPr>
                <w:p w14:paraId="6DD9D471">
                  <w:pPr>
                    <w:adjustRightInd w:val="0"/>
                    <w:snapToGrid w:val="0"/>
                    <w:jc w:val="center"/>
                    <w:rPr>
                      <w:rFonts w:ascii="Times New Roman" w:hAnsi="Times New Roman" w:cs="Times New Roman"/>
                      <w:kern w:val="2"/>
                      <w:sz w:val="21"/>
                      <w:szCs w:val="21"/>
                      <w:lang w:val="zh-CN" w:eastAsia="zh-CN" w:bidi="ar-SA"/>
                    </w:rPr>
                  </w:pPr>
                  <w:r>
                    <w:rPr>
                      <w:rFonts w:ascii="Times New Roman" w:hAnsi="Times New Roman" w:cs="Times New Roman"/>
                      <w:sz w:val="21"/>
                      <w:szCs w:val="21"/>
                      <w:lang w:val="zh-CN"/>
                    </w:rPr>
                    <w:t>6</w:t>
                  </w:r>
                  <w:r>
                    <w:rPr>
                      <w:rFonts w:ascii="Times New Roman" w:hAnsi="Times New Roman" w:cs="Times New Roman"/>
                      <w:sz w:val="21"/>
                      <w:szCs w:val="21"/>
                      <w:lang w:eastAsia="zh-CN"/>
                    </w:rPr>
                    <w:t>5</w:t>
                  </w:r>
                </w:p>
              </w:tc>
              <w:tc>
                <w:tcPr>
                  <w:tcW w:w="1677" w:type="dxa"/>
                  <w:noWrap w:val="0"/>
                  <w:vAlign w:val="center"/>
                </w:tcPr>
                <w:p w14:paraId="49FAC84C">
                  <w:pPr>
                    <w:adjustRightInd w:val="0"/>
                    <w:snapToGrid w:val="0"/>
                    <w:jc w:val="center"/>
                    <w:rPr>
                      <w:rFonts w:ascii="Times New Roman" w:hAnsi="Times New Roman" w:cs="Times New Roman"/>
                      <w:kern w:val="2"/>
                      <w:sz w:val="21"/>
                      <w:szCs w:val="21"/>
                      <w:lang w:val="zh-CN" w:eastAsia="zh-CN" w:bidi="ar-SA"/>
                    </w:rPr>
                  </w:pPr>
                  <w:r>
                    <w:rPr>
                      <w:rFonts w:ascii="Times New Roman" w:hAnsi="Times New Roman" w:cs="Times New Roman"/>
                      <w:sz w:val="21"/>
                      <w:szCs w:val="21"/>
                      <w:lang w:val="zh-CN"/>
                    </w:rPr>
                    <w:t>5</w:t>
                  </w:r>
                  <w:r>
                    <w:rPr>
                      <w:rFonts w:ascii="Times New Roman" w:hAnsi="Times New Roman" w:cs="Times New Roman"/>
                      <w:sz w:val="21"/>
                      <w:szCs w:val="21"/>
                      <w:lang w:eastAsia="zh-CN"/>
                    </w:rPr>
                    <w:t>5</w:t>
                  </w:r>
                </w:p>
              </w:tc>
            </w:tr>
            <w:tr w14:paraId="0C90D5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3197" w:type="dxa"/>
                  <w:vMerge w:val="continue"/>
                  <w:noWrap w:val="0"/>
                  <w:vAlign w:val="center"/>
                </w:tcPr>
                <w:p w14:paraId="23E9CB4B">
                  <w:pPr>
                    <w:adjustRightInd w:val="0"/>
                    <w:snapToGrid w:val="0"/>
                    <w:jc w:val="center"/>
                    <w:rPr>
                      <w:rFonts w:eastAsia="仿宋_GB2312"/>
                      <w:color w:val="000000"/>
                      <w:sz w:val="21"/>
                      <w:szCs w:val="21"/>
                    </w:rPr>
                  </w:pPr>
                </w:p>
              </w:tc>
              <w:tc>
                <w:tcPr>
                  <w:tcW w:w="1546" w:type="dxa"/>
                  <w:noWrap w:val="0"/>
                  <w:vAlign w:val="center"/>
                </w:tcPr>
                <w:p w14:paraId="6ABA65A5">
                  <w:pPr>
                    <w:adjustRightInd w:val="0"/>
                    <w:snapToGrid w:val="0"/>
                    <w:jc w:val="center"/>
                    <w:rPr>
                      <w:rFonts w:hint="default" w:ascii="Times New Roman" w:hAnsi="Times New Roman" w:eastAsia="仿宋_GB2312" w:cs="Times New Roman"/>
                      <w:color w:val="000000"/>
                      <w:sz w:val="21"/>
                      <w:szCs w:val="21"/>
                      <w:lang w:val="en-US" w:eastAsia="zh-CN"/>
                    </w:rPr>
                  </w:pPr>
                  <w:r>
                    <w:rPr>
                      <w:rFonts w:hint="eastAsia" w:eastAsia="仿宋_GB2312" w:cs="Times New Roman"/>
                      <w:color w:val="000000"/>
                      <w:sz w:val="21"/>
                      <w:szCs w:val="21"/>
                      <w:lang w:val="en-US" w:eastAsia="zh-CN"/>
                    </w:rPr>
                    <w:t>4a类</w:t>
                  </w:r>
                </w:p>
              </w:tc>
              <w:tc>
                <w:tcPr>
                  <w:tcW w:w="1554" w:type="dxa"/>
                  <w:noWrap w:val="0"/>
                  <w:vAlign w:val="center"/>
                </w:tcPr>
                <w:p w14:paraId="0EFB317B">
                  <w:pPr>
                    <w:adjustRightInd w:val="0"/>
                    <w:snapToGrid w:val="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70</w:t>
                  </w:r>
                </w:p>
              </w:tc>
              <w:tc>
                <w:tcPr>
                  <w:tcW w:w="1677" w:type="dxa"/>
                  <w:noWrap w:val="0"/>
                  <w:vAlign w:val="center"/>
                </w:tcPr>
                <w:p w14:paraId="7C930E11">
                  <w:pPr>
                    <w:adjustRightInd w:val="0"/>
                    <w:snapToGrid w:val="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55</w:t>
                  </w:r>
                </w:p>
              </w:tc>
            </w:tr>
          </w:tbl>
          <w:p w14:paraId="334331AA">
            <w:pPr>
              <w:adjustRightInd w:val="0"/>
              <w:snapToGrid w:val="0"/>
              <w:spacing w:line="360" w:lineRule="auto"/>
              <w:ind w:firstLine="420" w:firstLineChars="200"/>
              <w:rPr>
                <w:rFonts w:hint="eastAsia" w:ascii="Times New Roman" w:hAnsi="Times New Roman" w:eastAsia="仿宋_GB2312"/>
              </w:rPr>
            </w:pPr>
          </w:p>
        </w:tc>
      </w:tr>
      <w:tr w14:paraId="3AE7E9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00" w:type="dxa"/>
            <w:vAlign w:val="center"/>
          </w:tcPr>
          <w:p w14:paraId="7FD75852">
            <w:pPr>
              <w:adjustRightInd w:val="0"/>
              <w:snapToGrid w:val="0"/>
              <w:spacing w:line="500" w:lineRule="exact"/>
              <w:jc w:val="center"/>
              <w:rPr>
                <w:rFonts w:eastAsia="仿宋_GB2312"/>
                <w:kern w:val="0"/>
                <w:sz w:val="24"/>
                <w:szCs w:val="24"/>
              </w:rPr>
            </w:pPr>
            <w:r>
              <w:rPr>
                <w:rFonts w:eastAsia="仿宋_GB2312"/>
                <w:kern w:val="0"/>
                <w:sz w:val="24"/>
                <w:szCs w:val="24"/>
              </w:rPr>
              <w:t>环境</w:t>
            </w:r>
          </w:p>
          <w:p w14:paraId="76994E6A">
            <w:pPr>
              <w:adjustRightInd w:val="0"/>
              <w:snapToGrid w:val="0"/>
              <w:spacing w:line="500" w:lineRule="exact"/>
              <w:jc w:val="center"/>
              <w:rPr>
                <w:rFonts w:eastAsia="仿宋_GB2312"/>
                <w:kern w:val="0"/>
                <w:sz w:val="24"/>
                <w:szCs w:val="24"/>
              </w:rPr>
            </w:pPr>
            <w:r>
              <w:rPr>
                <w:rFonts w:eastAsia="仿宋_GB2312"/>
                <w:kern w:val="0"/>
                <w:sz w:val="24"/>
                <w:szCs w:val="24"/>
              </w:rPr>
              <w:t>保护</w:t>
            </w:r>
          </w:p>
          <w:p w14:paraId="760EF2A8">
            <w:pPr>
              <w:adjustRightInd w:val="0"/>
              <w:snapToGrid w:val="0"/>
              <w:spacing w:line="500" w:lineRule="exact"/>
              <w:jc w:val="center"/>
              <w:rPr>
                <w:rFonts w:eastAsia="仿宋_GB2312"/>
                <w:kern w:val="0"/>
              </w:rPr>
            </w:pPr>
            <w:r>
              <w:rPr>
                <w:rFonts w:eastAsia="仿宋_GB2312"/>
                <w:kern w:val="0"/>
                <w:sz w:val="24"/>
                <w:szCs w:val="24"/>
              </w:rPr>
              <w:t>目标</w:t>
            </w:r>
          </w:p>
        </w:tc>
        <w:tc>
          <w:tcPr>
            <w:tcW w:w="8190" w:type="dxa"/>
            <w:vAlign w:val="center"/>
          </w:tcPr>
          <w:p w14:paraId="72986969">
            <w:pPr>
              <w:adjustRightInd w:val="0"/>
              <w:snapToGrid w:val="0"/>
              <w:spacing w:line="360" w:lineRule="auto"/>
              <w:ind w:firstLine="420" w:firstLineChars="200"/>
              <w:rPr>
                <w:rFonts w:eastAsia="仿宋_GB2312"/>
                <w:sz w:val="21"/>
                <w:szCs w:val="21"/>
              </w:rPr>
            </w:pPr>
            <w:r>
              <w:rPr>
                <w:rFonts w:eastAsia="仿宋_GB2312"/>
                <w:kern w:val="0"/>
              </w:rPr>
              <w:t>项目所在地区的大气环境功能区划为二类区，</w:t>
            </w:r>
            <w:r>
              <w:rPr>
                <w:rFonts w:hint="default" w:ascii="Times New Roman" w:hAnsi="Times New Roman" w:eastAsia="仿宋_GB2312" w:cs="Times New Roman"/>
                <w:kern w:val="0"/>
                <w:lang w:val="en-US" w:eastAsia="zh-CN"/>
              </w:rPr>
              <w:t>根据</w:t>
            </w:r>
            <w:r>
              <w:rPr>
                <w:rFonts w:ascii="Times New Roman" w:hAnsi="Times New Roman" w:eastAsia="仿宋_GB2312" w:cs="Times New Roman"/>
                <w:kern w:val="0"/>
              </w:rPr>
              <w:t>《建设项目环境影响报告表编制技术指南（污染影响类）（试行）》，声环评评价厂界外50米范围的环境环保目标，评价范围内无生态环境保护目标和地下水环境保护目标</w:t>
            </w:r>
            <w:r>
              <w:rPr>
                <w:rFonts w:eastAsia="仿宋_GB2312"/>
                <w:kern w:val="0"/>
              </w:rPr>
              <w:t>。</w:t>
            </w:r>
          </w:p>
          <w:p w14:paraId="27F7884B">
            <w:pPr>
              <w:adjustRightInd w:val="0"/>
              <w:snapToGrid w:val="0"/>
              <w:spacing w:line="360" w:lineRule="auto"/>
              <w:ind w:firstLine="420" w:firstLineChars="200"/>
              <w:rPr>
                <w:rFonts w:hint="default" w:ascii="Times New Roman" w:hAnsi="Times New Roman" w:eastAsia="仿宋_GB2312" w:cs="Times New Roman"/>
                <w:kern w:val="0"/>
                <w:lang w:val="en-US" w:eastAsia="zh-CN"/>
              </w:rPr>
            </w:pPr>
            <w:r>
              <w:rPr>
                <w:rFonts w:hint="eastAsia" w:ascii="Times New Roman" w:hAnsi="Times New Roman" w:eastAsia="仿宋_GB2312" w:cs="Times New Roman"/>
                <w:kern w:val="0"/>
                <w:lang w:val="en-US" w:eastAsia="zh-CN"/>
              </w:rPr>
              <w:t>本项目位于金坛经济开发区盐厂路1号，周边500m范围内大环境保护目标见表 3-4，周边500米范围内无自然保护区、风景名胜区和文化区。</w:t>
            </w:r>
          </w:p>
          <w:p w14:paraId="4A023577">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eastAsia="仿宋_GB2312"/>
                <w:b/>
                <w:kern w:val="0"/>
              </w:rPr>
            </w:pPr>
            <w:r>
              <w:rPr>
                <w:rFonts w:eastAsia="仿宋_GB2312"/>
                <w:b/>
                <w:kern w:val="0"/>
              </w:rPr>
              <w:t>表3-</w:t>
            </w:r>
            <w:r>
              <w:rPr>
                <w:rFonts w:hint="eastAsia" w:eastAsia="仿宋_GB2312"/>
                <w:b/>
                <w:kern w:val="0"/>
                <w:lang w:val="en-US" w:eastAsia="zh-CN"/>
              </w:rPr>
              <w:t xml:space="preserve">4  </w:t>
            </w:r>
            <w:r>
              <w:rPr>
                <w:rFonts w:hint="eastAsia" w:eastAsia="仿宋_GB2312"/>
                <w:b/>
                <w:kern w:val="0"/>
              </w:rPr>
              <w:t>大气环境保护目标一览表</w:t>
            </w:r>
          </w:p>
          <w:tbl>
            <w:tblPr>
              <w:tblStyle w:val="3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38"/>
              <w:gridCol w:w="899"/>
              <w:gridCol w:w="805"/>
              <w:gridCol w:w="795"/>
              <w:gridCol w:w="1013"/>
              <w:gridCol w:w="2106"/>
              <w:gridCol w:w="817"/>
              <w:gridCol w:w="901"/>
            </w:tblGrid>
            <w:tr w14:paraId="19E44C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8" w:type="dxa"/>
                  <w:vMerge w:val="restart"/>
                  <w:vAlign w:val="center"/>
                </w:tcPr>
                <w:p w14:paraId="23E6EE36">
                  <w:pPr>
                    <w:pStyle w:val="72"/>
                    <w:adjustRightInd w:val="0"/>
                    <w:snapToGrid w:val="0"/>
                    <w:spacing w:before="0" w:line="240" w:lineRule="auto"/>
                    <w:ind w:firstLine="0" w:firstLineChars="0"/>
                    <w:jc w:val="center"/>
                    <w:rPr>
                      <w:rFonts w:eastAsia="仿宋_GB2312"/>
                      <w:b/>
                      <w:kern w:val="24"/>
                      <w:sz w:val="21"/>
                      <w:szCs w:val="21"/>
                    </w:rPr>
                  </w:pPr>
                  <w:r>
                    <w:rPr>
                      <w:rFonts w:eastAsia="仿宋_GB2312"/>
                      <w:b/>
                      <w:kern w:val="24"/>
                      <w:sz w:val="21"/>
                      <w:szCs w:val="21"/>
                    </w:rPr>
                    <w:t>名称</w:t>
                  </w:r>
                </w:p>
              </w:tc>
              <w:tc>
                <w:tcPr>
                  <w:tcW w:w="1704" w:type="dxa"/>
                  <w:gridSpan w:val="2"/>
                  <w:vAlign w:val="center"/>
                </w:tcPr>
                <w:p w14:paraId="325301C6">
                  <w:pPr>
                    <w:pStyle w:val="72"/>
                    <w:adjustRightInd w:val="0"/>
                    <w:snapToGrid w:val="0"/>
                    <w:spacing w:before="0" w:line="240" w:lineRule="auto"/>
                    <w:ind w:firstLine="0" w:firstLineChars="0"/>
                    <w:jc w:val="center"/>
                    <w:rPr>
                      <w:rFonts w:eastAsia="仿宋_GB2312"/>
                      <w:b/>
                      <w:kern w:val="24"/>
                      <w:sz w:val="21"/>
                      <w:szCs w:val="21"/>
                    </w:rPr>
                  </w:pPr>
                  <w:r>
                    <w:rPr>
                      <w:rFonts w:eastAsia="仿宋_GB2312"/>
                      <w:b/>
                      <w:kern w:val="24"/>
                      <w:sz w:val="21"/>
                      <w:szCs w:val="21"/>
                    </w:rPr>
                    <w:t>坐标/m</w:t>
                  </w:r>
                </w:p>
              </w:tc>
              <w:tc>
                <w:tcPr>
                  <w:tcW w:w="795" w:type="dxa"/>
                  <w:vMerge w:val="restart"/>
                  <w:vAlign w:val="center"/>
                </w:tcPr>
                <w:p w14:paraId="0900D8F6">
                  <w:pPr>
                    <w:pStyle w:val="72"/>
                    <w:adjustRightInd w:val="0"/>
                    <w:snapToGrid w:val="0"/>
                    <w:spacing w:before="0" w:line="240" w:lineRule="auto"/>
                    <w:ind w:firstLine="0" w:firstLineChars="0"/>
                    <w:jc w:val="center"/>
                    <w:rPr>
                      <w:rFonts w:eastAsia="仿宋_GB2312"/>
                      <w:b/>
                      <w:kern w:val="24"/>
                      <w:sz w:val="21"/>
                      <w:szCs w:val="21"/>
                    </w:rPr>
                  </w:pPr>
                  <w:r>
                    <w:rPr>
                      <w:rFonts w:eastAsia="仿宋_GB2312"/>
                      <w:b/>
                      <w:kern w:val="24"/>
                      <w:sz w:val="21"/>
                      <w:szCs w:val="21"/>
                    </w:rPr>
                    <w:t>保护对象</w:t>
                  </w:r>
                </w:p>
              </w:tc>
              <w:tc>
                <w:tcPr>
                  <w:tcW w:w="1013" w:type="dxa"/>
                  <w:vMerge w:val="restart"/>
                  <w:vAlign w:val="center"/>
                </w:tcPr>
                <w:p w14:paraId="1C9E545E">
                  <w:pPr>
                    <w:pStyle w:val="72"/>
                    <w:adjustRightInd w:val="0"/>
                    <w:snapToGrid w:val="0"/>
                    <w:spacing w:before="0" w:line="240" w:lineRule="auto"/>
                    <w:ind w:firstLine="0" w:firstLineChars="0"/>
                    <w:jc w:val="center"/>
                    <w:rPr>
                      <w:rFonts w:eastAsia="仿宋_GB2312"/>
                      <w:b/>
                      <w:kern w:val="24"/>
                      <w:sz w:val="21"/>
                      <w:szCs w:val="21"/>
                    </w:rPr>
                  </w:pPr>
                  <w:r>
                    <w:rPr>
                      <w:rFonts w:eastAsia="仿宋_GB2312"/>
                      <w:b/>
                      <w:kern w:val="24"/>
                      <w:sz w:val="21"/>
                      <w:szCs w:val="21"/>
                    </w:rPr>
                    <w:t>保护</w:t>
                  </w:r>
                </w:p>
                <w:p w14:paraId="10920C7D">
                  <w:pPr>
                    <w:pStyle w:val="72"/>
                    <w:adjustRightInd w:val="0"/>
                    <w:snapToGrid w:val="0"/>
                    <w:spacing w:before="0" w:line="240" w:lineRule="auto"/>
                    <w:ind w:firstLine="0" w:firstLineChars="0"/>
                    <w:jc w:val="center"/>
                    <w:rPr>
                      <w:rFonts w:eastAsia="仿宋_GB2312"/>
                      <w:b/>
                      <w:kern w:val="24"/>
                      <w:sz w:val="21"/>
                      <w:szCs w:val="21"/>
                    </w:rPr>
                  </w:pPr>
                  <w:r>
                    <w:rPr>
                      <w:rFonts w:eastAsia="仿宋_GB2312"/>
                      <w:b/>
                      <w:kern w:val="24"/>
                      <w:sz w:val="21"/>
                      <w:szCs w:val="21"/>
                    </w:rPr>
                    <w:t>内容</w:t>
                  </w:r>
                </w:p>
              </w:tc>
              <w:tc>
                <w:tcPr>
                  <w:tcW w:w="2106" w:type="dxa"/>
                  <w:vMerge w:val="restart"/>
                  <w:vAlign w:val="center"/>
                </w:tcPr>
                <w:p w14:paraId="638996BA">
                  <w:pPr>
                    <w:pStyle w:val="72"/>
                    <w:adjustRightInd w:val="0"/>
                    <w:snapToGrid w:val="0"/>
                    <w:spacing w:before="0" w:line="240" w:lineRule="auto"/>
                    <w:ind w:firstLine="0" w:firstLineChars="0"/>
                    <w:jc w:val="center"/>
                    <w:rPr>
                      <w:rFonts w:eastAsia="仿宋_GB2312"/>
                      <w:b/>
                      <w:kern w:val="24"/>
                      <w:sz w:val="21"/>
                      <w:szCs w:val="21"/>
                    </w:rPr>
                  </w:pPr>
                  <w:r>
                    <w:rPr>
                      <w:rFonts w:eastAsia="仿宋_GB2312"/>
                      <w:b/>
                      <w:kern w:val="24"/>
                      <w:sz w:val="21"/>
                      <w:szCs w:val="21"/>
                    </w:rPr>
                    <w:t>环境功能区</w:t>
                  </w:r>
                </w:p>
              </w:tc>
              <w:tc>
                <w:tcPr>
                  <w:tcW w:w="817" w:type="dxa"/>
                  <w:vMerge w:val="restart"/>
                  <w:vAlign w:val="center"/>
                </w:tcPr>
                <w:p w14:paraId="025A2F9A">
                  <w:pPr>
                    <w:pStyle w:val="72"/>
                    <w:adjustRightInd w:val="0"/>
                    <w:snapToGrid w:val="0"/>
                    <w:spacing w:before="0" w:line="240" w:lineRule="auto"/>
                    <w:ind w:firstLine="0" w:firstLineChars="0"/>
                    <w:jc w:val="center"/>
                    <w:rPr>
                      <w:rFonts w:eastAsia="仿宋_GB2312"/>
                      <w:b/>
                      <w:kern w:val="24"/>
                      <w:sz w:val="21"/>
                      <w:szCs w:val="21"/>
                    </w:rPr>
                  </w:pPr>
                  <w:r>
                    <w:rPr>
                      <w:rFonts w:eastAsia="仿宋_GB2312"/>
                      <w:b/>
                      <w:kern w:val="24"/>
                      <w:sz w:val="21"/>
                      <w:szCs w:val="21"/>
                    </w:rPr>
                    <w:t>相对厂址方位</w:t>
                  </w:r>
                </w:p>
              </w:tc>
              <w:tc>
                <w:tcPr>
                  <w:tcW w:w="901" w:type="dxa"/>
                  <w:vMerge w:val="restart"/>
                  <w:vAlign w:val="center"/>
                </w:tcPr>
                <w:p w14:paraId="612E55E0">
                  <w:pPr>
                    <w:pStyle w:val="72"/>
                    <w:adjustRightInd w:val="0"/>
                    <w:snapToGrid w:val="0"/>
                    <w:spacing w:before="0" w:line="240" w:lineRule="auto"/>
                    <w:ind w:firstLine="0" w:firstLineChars="0"/>
                    <w:jc w:val="center"/>
                    <w:rPr>
                      <w:rFonts w:eastAsia="仿宋_GB2312"/>
                      <w:b/>
                      <w:kern w:val="24"/>
                      <w:sz w:val="21"/>
                      <w:szCs w:val="21"/>
                    </w:rPr>
                  </w:pPr>
                  <w:r>
                    <w:rPr>
                      <w:rFonts w:eastAsia="仿宋_GB2312"/>
                      <w:b/>
                      <w:kern w:val="24"/>
                      <w:sz w:val="21"/>
                      <w:szCs w:val="21"/>
                    </w:rPr>
                    <w:t>相对厂界距离/m</w:t>
                  </w:r>
                </w:p>
              </w:tc>
            </w:tr>
            <w:tr w14:paraId="7303DB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8" w:type="dxa"/>
                  <w:vMerge w:val="continue"/>
                  <w:vAlign w:val="center"/>
                </w:tcPr>
                <w:p w14:paraId="1B750422">
                  <w:pPr>
                    <w:pStyle w:val="72"/>
                    <w:adjustRightInd w:val="0"/>
                    <w:snapToGrid w:val="0"/>
                    <w:spacing w:before="0" w:line="240" w:lineRule="auto"/>
                    <w:ind w:firstLine="0" w:firstLineChars="0"/>
                    <w:jc w:val="center"/>
                    <w:rPr>
                      <w:rFonts w:eastAsia="仿宋_GB2312"/>
                      <w:kern w:val="24"/>
                      <w:sz w:val="21"/>
                      <w:szCs w:val="21"/>
                    </w:rPr>
                  </w:pPr>
                </w:p>
              </w:tc>
              <w:tc>
                <w:tcPr>
                  <w:tcW w:w="899" w:type="dxa"/>
                  <w:vAlign w:val="center"/>
                </w:tcPr>
                <w:p w14:paraId="405CDE25">
                  <w:pPr>
                    <w:pStyle w:val="72"/>
                    <w:adjustRightInd w:val="0"/>
                    <w:snapToGrid w:val="0"/>
                    <w:spacing w:before="0" w:line="240" w:lineRule="auto"/>
                    <w:ind w:firstLine="0" w:firstLineChars="0"/>
                    <w:jc w:val="center"/>
                    <w:rPr>
                      <w:rFonts w:eastAsia="仿宋_GB2312"/>
                      <w:b/>
                      <w:kern w:val="24"/>
                      <w:sz w:val="21"/>
                      <w:szCs w:val="21"/>
                    </w:rPr>
                  </w:pPr>
                  <w:r>
                    <w:rPr>
                      <w:rFonts w:eastAsia="仿宋_GB2312"/>
                      <w:b/>
                      <w:kern w:val="24"/>
                      <w:sz w:val="21"/>
                      <w:szCs w:val="21"/>
                    </w:rPr>
                    <w:t>X</w:t>
                  </w:r>
                </w:p>
              </w:tc>
              <w:tc>
                <w:tcPr>
                  <w:tcW w:w="805" w:type="dxa"/>
                  <w:vAlign w:val="center"/>
                </w:tcPr>
                <w:p w14:paraId="6D8992BB">
                  <w:pPr>
                    <w:pStyle w:val="72"/>
                    <w:adjustRightInd w:val="0"/>
                    <w:snapToGrid w:val="0"/>
                    <w:spacing w:before="0" w:line="240" w:lineRule="auto"/>
                    <w:ind w:firstLine="0" w:firstLineChars="0"/>
                    <w:jc w:val="center"/>
                    <w:rPr>
                      <w:rFonts w:eastAsia="仿宋_GB2312"/>
                      <w:b/>
                      <w:kern w:val="24"/>
                      <w:sz w:val="21"/>
                      <w:szCs w:val="21"/>
                    </w:rPr>
                  </w:pPr>
                  <w:r>
                    <w:rPr>
                      <w:rFonts w:eastAsia="仿宋_GB2312"/>
                      <w:b/>
                      <w:kern w:val="24"/>
                      <w:sz w:val="21"/>
                      <w:szCs w:val="21"/>
                    </w:rPr>
                    <w:t>Y</w:t>
                  </w:r>
                </w:p>
              </w:tc>
              <w:tc>
                <w:tcPr>
                  <w:tcW w:w="795" w:type="dxa"/>
                  <w:vMerge w:val="continue"/>
                  <w:vAlign w:val="center"/>
                </w:tcPr>
                <w:p w14:paraId="47582CBB">
                  <w:pPr>
                    <w:pStyle w:val="72"/>
                    <w:adjustRightInd w:val="0"/>
                    <w:snapToGrid w:val="0"/>
                    <w:spacing w:before="0" w:line="240" w:lineRule="auto"/>
                    <w:ind w:firstLine="0" w:firstLineChars="0"/>
                    <w:rPr>
                      <w:rFonts w:eastAsia="仿宋_GB2312"/>
                      <w:kern w:val="24"/>
                      <w:sz w:val="21"/>
                      <w:szCs w:val="21"/>
                    </w:rPr>
                  </w:pPr>
                </w:p>
              </w:tc>
              <w:tc>
                <w:tcPr>
                  <w:tcW w:w="1013" w:type="dxa"/>
                  <w:vMerge w:val="continue"/>
                  <w:vAlign w:val="center"/>
                </w:tcPr>
                <w:p w14:paraId="1EE3D9AF">
                  <w:pPr>
                    <w:pStyle w:val="72"/>
                    <w:adjustRightInd w:val="0"/>
                    <w:snapToGrid w:val="0"/>
                    <w:spacing w:before="0" w:line="240" w:lineRule="auto"/>
                    <w:ind w:firstLine="0" w:firstLineChars="0"/>
                    <w:rPr>
                      <w:rFonts w:eastAsia="仿宋_GB2312"/>
                      <w:kern w:val="24"/>
                      <w:sz w:val="21"/>
                      <w:szCs w:val="21"/>
                    </w:rPr>
                  </w:pPr>
                </w:p>
              </w:tc>
              <w:tc>
                <w:tcPr>
                  <w:tcW w:w="2106" w:type="dxa"/>
                  <w:vMerge w:val="continue"/>
                  <w:vAlign w:val="center"/>
                </w:tcPr>
                <w:p w14:paraId="7560FA99">
                  <w:pPr>
                    <w:pStyle w:val="72"/>
                    <w:adjustRightInd w:val="0"/>
                    <w:snapToGrid w:val="0"/>
                    <w:spacing w:before="0" w:line="240" w:lineRule="auto"/>
                    <w:ind w:firstLine="0" w:firstLineChars="0"/>
                    <w:rPr>
                      <w:rFonts w:eastAsia="仿宋_GB2312"/>
                      <w:kern w:val="24"/>
                      <w:sz w:val="21"/>
                      <w:szCs w:val="21"/>
                    </w:rPr>
                  </w:pPr>
                </w:p>
              </w:tc>
              <w:tc>
                <w:tcPr>
                  <w:tcW w:w="817" w:type="dxa"/>
                  <w:vMerge w:val="continue"/>
                  <w:vAlign w:val="center"/>
                </w:tcPr>
                <w:p w14:paraId="2942C0E2">
                  <w:pPr>
                    <w:pStyle w:val="72"/>
                    <w:adjustRightInd w:val="0"/>
                    <w:snapToGrid w:val="0"/>
                    <w:spacing w:before="0" w:line="240" w:lineRule="auto"/>
                    <w:ind w:firstLine="0" w:firstLineChars="0"/>
                    <w:rPr>
                      <w:rFonts w:eastAsia="仿宋_GB2312"/>
                      <w:kern w:val="24"/>
                      <w:sz w:val="21"/>
                      <w:szCs w:val="21"/>
                    </w:rPr>
                  </w:pPr>
                </w:p>
              </w:tc>
              <w:tc>
                <w:tcPr>
                  <w:tcW w:w="901" w:type="dxa"/>
                  <w:vMerge w:val="continue"/>
                  <w:vAlign w:val="center"/>
                </w:tcPr>
                <w:p w14:paraId="69A98F18">
                  <w:pPr>
                    <w:pStyle w:val="72"/>
                    <w:adjustRightInd w:val="0"/>
                    <w:snapToGrid w:val="0"/>
                    <w:spacing w:before="0" w:line="240" w:lineRule="auto"/>
                    <w:ind w:firstLine="0" w:firstLineChars="0"/>
                    <w:rPr>
                      <w:rFonts w:eastAsia="仿宋_GB2312"/>
                      <w:kern w:val="24"/>
                      <w:sz w:val="21"/>
                      <w:szCs w:val="21"/>
                    </w:rPr>
                  </w:pPr>
                </w:p>
              </w:tc>
            </w:tr>
            <w:tr w14:paraId="216C0E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1" w:hRule="atLeast"/>
                <w:jc w:val="center"/>
              </w:trPr>
              <w:tc>
                <w:tcPr>
                  <w:tcW w:w="638" w:type="dxa"/>
                  <w:vAlign w:val="center"/>
                </w:tcPr>
                <w:p w14:paraId="43CE4212">
                  <w:pPr>
                    <w:adjustRightInd w:val="0"/>
                    <w:snapToGrid w:val="0"/>
                    <w:jc w:val="center"/>
                    <w:rPr>
                      <w:rFonts w:eastAsia="仿宋_GB2312"/>
                      <w:sz w:val="21"/>
                      <w:szCs w:val="21"/>
                    </w:rPr>
                  </w:pPr>
                  <w:r>
                    <w:rPr>
                      <w:rFonts w:hint="eastAsia" w:eastAsia="仿宋_GB2312"/>
                      <w:sz w:val="21"/>
                      <w:szCs w:val="21"/>
                    </w:rPr>
                    <w:t>庵上</w:t>
                  </w:r>
                </w:p>
              </w:tc>
              <w:tc>
                <w:tcPr>
                  <w:tcW w:w="899" w:type="dxa"/>
                  <w:vAlign w:val="center"/>
                </w:tcPr>
                <w:p w14:paraId="48B96901">
                  <w:pPr>
                    <w:adjustRightInd w:val="0"/>
                    <w:snapToGrid w:val="0"/>
                    <w:jc w:val="center"/>
                    <w:rPr>
                      <w:rFonts w:eastAsia="仿宋_GB2312"/>
                      <w:kern w:val="24"/>
                      <w:sz w:val="21"/>
                      <w:szCs w:val="21"/>
                    </w:rPr>
                  </w:pPr>
                  <w:r>
                    <w:rPr>
                      <w:rFonts w:eastAsia="仿宋_GB2312"/>
                      <w:kern w:val="24"/>
                      <w:sz w:val="21"/>
                      <w:szCs w:val="21"/>
                    </w:rPr>
                    <w:t>119.593</w:t>
                  </w:r>
                </w:p>
              </w:tc>
              <w:tc>
                <w:tcPr>
                  <w:tcW w:w="805" w:type="dxa"/>
                  <w:vAlign w:val="center"/>
                </w:tcPr>
                <w:p w14:paraId="775E6B7D">
                  <w:pPr>
                    <w:adjustRightInd w:val="0"/>
                    <w:snapToGrid w:val="0"/>
                    <w:jc w:val="center"/>
                    <w:rPr>
                      <w:rFonts w:eastAsia="仿宋_GB2312"/>
                      <w:kern w:val="24"/>
                      <w:sz w:val="21"/>
                      <w:szCs w:val="21"/>
                    </w:rPr>
                  </w:pPr>
                  <w:r>
                    <w:rPr>
                      <w:rFonts w:eastAsia="仿宋_GB2312"/>
                      <w:kern w:val="24"/>
                      <w:sz w:val="21"/>
                      <w:szCs w:val="21"/>
                    </w:rPr>
                    <w:t>31.769</w:t>
                  </w:r>
                </w:p>
              </w:tc>
              <w:tc>
                <w:tcPr>
                  <w:tcW w:w="795" w:type="dxa"/>
                  <w:vAlign w:val="center"/>
                </w:tcPr>
                <w:p w14:paraId="1CF1B311">
                  <w:pPr>
                    <w:adjustRightInd w:val="0"/>
                    <w:snapToGrid w:val="0"/>
                    <w:jc w:val="center"/>
                    <w:rPr>
                      <w:rFonts w:eastAsia="仿宋_GB2312"/>
                      <w:sz w:val="21"/>
                      <w:szCs w:val="21"/>
                    </w:rPr>
                  </w:pPr>
                  <w:r>
                    <w:rPr>
                      <w:rFonts w:hint="eastAsia" w:eastAsia="仿宋_GB2312"/>
                      <w:kern w:val="0"/>
                      <w:sz w:val="21"/>
                      <w:szCs w:val="21"/>
                    </w:rPr>
                    <w:t>居民</w:t>
                  </w:r>
                </w:p>
              </w:tc>
              <w:tc>
                <w:tcPr>
                  <w:tcW w:w="1013" w:type="dxa"/>
                  <w:vAlign w:val="center"/>
                </w:tcPr>
                <w:p w14:paraId="501B18FC">
                  <w:pPr>
                    <w:adjustRightInd w:val="0"/>
                    <w:snapToGrid w:val="0"/>
                    <w:jc w:val="center"/>
                    <w:rPr>
                      <w:rFonts w:eastAsia="仿宋_GB2312"/>
                      <w:kern w:val="24"/>
                      <w:sz w:val="21"/>
                      <w:szCs w:val="21"/>
                    </w:rPr>
                  </w:pPr>
                  <w:r>
                    <w:rPr>
                      <w:rFonts w:hint="eastAsia" w:eastAsia="仿宋_GB2312"/>
                      <w:sz w:val="21"/>
                      <w:szCs w:val="21"/>
                    </w:rPr>
                    <w:t>约200</w:t>
                  </w:r>
                  <w:r>
                    <w:rPr>
                      <w:rFonts w:eastAsia="仿宋_GB2312"/>
                      <w:sz w:val="21"/>
                      <w:szCs w:val="21"/>
                    </w:rPr>
                    <w:t>户/</w:t>
                  </w:r>
                  <w:r>
                    <w:rPr>
                      <w:rFonts w:hint="eastAsia" w:eastAsia="仿宋_GB2312"/>
                      <w:sz w:val="21"/>
                      <w:szCs w:val="21"/>
                    </w:rPr>
                    <w:t>700</w:t>
                  </w:r>
                  <w:r>
                    <w:rPr>
                      <w:rFonts w:eastAsia="仿宋_GB2312"/>
                      <w:sz w:val="21"/>
                      <w:szCs w:val="21"/>
                    </w:rPr>
                    <w:t>人</w:t>
                  </w:r>
                </w:p>
              </w:tc>
              <w:tc>
                <w:tcPr>
                  <w:tcW w:w="2106" w:type="dxa"/>
                  <w:vMerge w:val="restart"/>
                  <w:vAlign w:val="center"/>
                </w:tcPr>
                <w:p w14:paraId="58EBE591">
                  <w:pPr>
                    <w:pStyle w:val="72"/>
                    <w:adjustRightInd w:val="0"/>
                    <w:snapToGrid w:val="0"/>
                    <w:spacing w:before="0" w:line="240" w:lineRule="auto"/>
                    <w:ind w:firstLine="0" w:firstLineChars="0"/>
                    <w:jc w:val="center"/>
                    <w:rPr>
                      <w:rFonts w:eastAsia="仿宋_GB2312"/>
                      <w:kern w:val="24"/>
                      <w:sz w:val="21"/>
                      <w:szCs w:val="21"/>
                    </w:rPr>
                  </w:pPr>
                  <w:r>
                    <w:rPr>
                      <w:rFonts w:eastAsia="仿宋_GB2312"/>
                      <w:kern w:val="0"/>
                      <w:sz w:val="21"/>
                      <w:szCs w:val="21"/>
                    </w:rPr>
                    <w:t>《环境空气质量标准》（GB3095-2012）中二类标准</w:t>
                  </w:r>
                </w:p>
              </w:tc>
              <w:tc>
                <w:tcPr>
                  <w:tcW w:w="817" w:type="dxa"/>
                  <w:vAlign w:val="center"/>
                </w:tcPr>
                <w:p w14:paraId="39E3C0A9">
                  <w:pPr>
                    <w:adjustRightInd w:val="0"/>
                    <w:snapToGrid w:val="0"/>
                    <w:jc w:val="center"/>
                    <w:rPr>
                      <w:rFonts w:eastAsia="仿宋_GB2312"/>
                      <w:sz w:val="21"/>
                      <w:szCs w:val="21"/>
                    </w:rPr>
                  </w:pPr>
                  <w:r>
                    <w:rPr>
                      <w:rFonts w:hint="eastAsia" w:eastAsia="仿宋_GB2312"/>
                      <w:kern w:val="0"/>
                      <w:sz w:val="21"/>
                      <w:szCs w:val="21"/>
                    </w:rPr>
                    <w:t>E</w:t>
                  </w:r>
                </w:p>
              </w:tc>
              <w:tc>
                <w:tcPr>
                  <w:tcW w:w="901" w:type="dxa"/>
                  <w:vAlign w:val="center"/>
                </w:tcPr>
                <w:p w14:paraId="5CEFCD88">
                  <w:pPr>
                    <w:adjustRightInd w:val="0"/>
                    <w:snapToGrid w:val="0"/>
                    <w:jc w:val="center"/>
                    <w:rPr>
                      <w:rFonts w:eastAsia="仿宋_GB2312"/>
                      <w:sz w:val="21"/>
                      <w:szCs w:val="21"/>
                    </w:rPr>
                  </w:pPr>
                  <w:r>
                    <w:rPr>
                      <w:rFonts w:hint="eastAsia" w:eastAsia="仿宋_GB2312"/>
                      <w:kern w:val="0"/>
                      <w:sz w:val="21"/>
                      <w:szCs w:val="21"/>
                    </w:rPr>
                    <w:t>139</w:t>
                  </w:r>
                </w:p>
              </w:tc>
            </w:tr>
            <w:tr w14:paraId="7BD3E5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1" w:hRule="atLeast"/>
                <w:jc w:val="center"/>
              </w:trPr>
              <w:tc>
                <w:tcPr>
                  <w:tcW w:w="638" w:type="dxa"/>
                  <w:vAlign w:val="center"/>
                </w:tcPr>
                <w:p w14:paraId="7CC00737">
                  <w:pPr>
                    <w:adjustRightInd w:val="0"/>
                    <w:snapToGrid w:val="0"/>
                    <w:jc w:val="center"/>
                    <w:rPr>
                      <w:rFonts w:hint="eastAsia" w:eastAsia="仿宋_GB2312"/>
                      <w:sz w:val="21"/>
                      <w:szCs w:val="21"/>
                      <w:lang w:val="en-US" w:eastAsia="zh-CN"/>
                    </w:rPr>
                  </w:pPr>
                  <w:r>
                    <w:rPr>
                      <w:rFonts w:hint="eastAsia" w:eastAsia="仿宋_GB2312"/>
                      <w:sz w:val="21"/>
                      <w:szCs w:val="21"/>
                      <w:lang w:val="en-US" w:eastAsia="zh-CN"/>
                    </w:rPr>
                    <w:t>东村</w:t>
                  </w:r>
                </w:p>
              </w:tc>
              <w:tc>
                <w:tcPr>
                  <w:tcW w:w="899" w:type="dxa"/>
                  <w:vAlign w:val="center"/>
                </w:tcPr>
                <w:p w14:paraId="21721044">
                  <w:pPr>
                    <w:adjustRightInd w:val="0"/>
                    <w:snapToGrid w:val="0"/>
                    <w:spacing w:before="0" w:line="240" w:lineRule="auto"/>
                    <w:ind w:firstLine="0" w:firstLineChars="0"/>
                    <w:jc w:val="center"/>
                    <w:rPr>
                      <w:rFonts w:eastAsia="仿宋_GB2312"/>
                      <w:kern w:val="24"/>
                      <w:sz w:val="21"/>
                      <w:szCs w:val="21"/>
                    </w:rPr>
                  </w:pPr>
                  <w:r>
                    <w:rPr>
                      <w:rFonts w:hint="default" w:ascii="Times New Roman" w:hAnsi="Times New Roman" w:eastAsia="仿宋_GB2312" w:cs="Times New Roman"/>
                      <w:color w:val="auto"/>
                      <w:kern w:val="24"/>
                      <w:sz w:val="21"/>
                      <w:szCs w:val="21"/>
                      <w:highlight w:val="none"/>
                      <w:lang w:val="en-US" w:eastAsia="zh-CN"/>
                    </w:rPr>
                    <w:t>119.593</w:t>
                  </w:r>
                </w:p>
              </w:tc>
              <w:tc>
                <w:tcPr>
                  <w:tcW w:w="805" w:type="dxa"/>
                  <w:vAlign w:val="center"/>
                </w:tcPr>
                <w:p w14:paraId="02493D35">
                  <w:pPr>
                    <w:adjustRightInd w:val="0"/>
                    <w:snapToGrid w:val="0"/>
                    <w:spacing w:before="0" w:line="240" w:lineRule="auto"/>
                    <w:ind w:firstLine="0" w:firstLineChars="0"/>
                    <w:jc w:val="center"/>
                    <w:rPr>
                      <w:rFonts w:hint="default" w:eastAsia="仿宋_GB2312"/>
                      <w:kern w:val="24"/>
                      <w:sz w:val="21"/>
                      <w:szCs w:val="21"/>
                      <w:lang w:val="en-US"/>
                    </w:rPr>
                  </w:pPr>
                  <w:r>
                    <w:rPr>
                      <w:rFonts w:hint="default" w:ascii="Times New Roman" w:hAnsi="Times New Roman" w:eastAsia="仿宋_GB2312" w:cs="Times New Roman"/>
                      <w:color w:val="auto"/>
                      <w:kern w:val="24"/>
                      <w:sz w:val="21"/>
                      <w:szCs w:val="21"/>
                      <w:highlight w:val="none"/>
                      <w:lang w:val="en-US" w:eastAsia="zh-CN"/>
                    </w:rPr>
                    <w:t>31.7</w:t>
                  </w:r>
                  <w:r>
                    <w:rPr>
                      <w:rFonts w:hint="eastAsia" w:ascii="Times New Roman" w:hAnsi="Times New Roman" w:eastAsia="仿宋_GB2312" w:cs="Times New Roman"/>
                      <w:color w:val="auto"/>
                      <w:kern w:val="24"/>
                      <w:sz w:val="21"/>
                      <w:szCs w:val="21"/>
                      <w:highlight w:val="none"/>
                      <w:lang w:val="en-US" w:eastAsia="zh-CN"/>
                    </w:rPr>
                    <w:t>70</w:t>
                  </w:r>
                </w:p>
              </w:tc>
              <w:tc>
                <w:tcPr>
                  <w:tcW w:w="795" w:type="dxa"/>
                  <w:vAlign w:val="center"/>
                </w:tcPr>
                <w:p w14:paraId="0370CF74">
                  <w:pPr>
                    <w:adjustRightInd w:val="0"/>
                    <w:snapToGrid w:val="0"/>
                    <w:jc w:val="center"/>
                    <w:rPr>
                      <w:rFonts w:hint="eastAsia" w:eastAsia="仿宋_GB2312"/>
                      <w:kern w:val="0"/>
                      <w:sz w:val="21"/>
                      <w:szCs w:val="21"/>
                    </w:rPr>
                  </w:pPr>
                  <w:r>
                    <w:rPr>
                      <w:rFonts w:hint="eastAsia" w:eastAsia="仿宋_GB2312"/>
                      <w:kern w:val="0"/>
                      <w:sz w:val="21"/>
                      <w:szCs w:val="21"/>
                    </w:rPr>
                    <w:t>居民</w:t>
                  </w:r>
                </w:p>
              </w:tc>
              <w:tc>
                <w:tcPr>
                  <w:tcW w:w="1013" w:type="dxa"/>
                  <w:vAlign w:val="center"/>
                </w:tcPr>
                <w:p w14:paraId="6339844B">
                  <w:pPr>
                    <w:adjustRightInd w:val="0"/>
                    <w:snapToGrid w:val="0"/>
                    <w:jc w:val="center"/>
                    <w:rPr>
                      <w:rFonts w:hint="eastAsia" w:eastAsia="仿宋_GB2312"/>
                      <w:sz w:val="21"/>
                      <w:szCs w:val="21"/>
                    </w:rPr>
                  </w:pPr>
                  <w:r>
                    <w:rPr>
                      <w:rFonts w:hint="eastAsia" w:eastAsia="仿宋_GB2312"/>
                      <w:sz w:val="21"/>
                      <w:szCs w:val="21"/>
                    </w:rPr>
                    <w:t>约</w:t>
                  </w:r>
                  <w:r>
                    <w:rPr>
                      <w:rFonts w:hint="eastAsia" w:eastAsia="仿宋_GB2312"/>
                      <w:sz w:val="21"/>
                      <w:szCs w:val="21"/>
                      <w:lang w:val="en-US" w:eastAsia="zh-CN"/>
                    </w:rPr>
                    <w:t>250</w:t>
                  </w:r>
                  <w:r>
                    <w:rPr>
                      <w:rFonts w:hint="eastAsia" w:eastAsia="仿宋_GB2312"/>
                      <w:sz w:val="21"/>
                      <w:szCs w:val="21"/>
                    </w:rPr>
                    <w:t>户/</w:t>
                  </w:r>
                  <w:r>
                    <w:rPr>
                      <w:rFonts w:hint="eastAsia" w:eastAsia="仿宋_GB2312"/>
                      <w:sz w:val="21"/>
                      <w:szCs w:val="21"/>
                      <w:lang w:val="en-US" w:eastAsia="zh-CN"/>
                    </w:rPr>
                    <w:t>65</w:t>
                  </w:r>
                  <w:r>
                    <w:rPr>
                      <w:rFonts w:hint="eastAsia" w:eastAsia="仿宋_GB2312"/>
                      <w:sz w:val="21"/>
                      <w:szCs w:val="21"/>
                    </w:rPr>
                    <w:t>0人</w:t>
                  </w:r>
                </w:p>
              </w:tc>
              <w:tc>
                <w:tcPr>
                  <w:tcW w:w="2106" w:type="dxa"/>
                  <w:vMerge w:val="continue"/>
                  <w:vAlign w:val="center"/>
                </w:tcPr>
                <w:p w14:paraId="77186D03">
                  <w:pPr>
                    <w:pStyle w:val="72"/>
                    <w:adjustRightInd w:val="0"/>
                    <w:snapToGrid w:val="0"/>
                    <w:spacing w:before="0" w:line="240" w:lineRule="auto"/>
                    <w:ind w:firstLine="0" w:firstLineChars="0"/>
                    <w:jc w:val="center"/>
                    <w:rPr>
                      <w:rFonts w:eastAsia="仿宋_GB2312"/>
                      <w:kern w:val="0"/>
                      <w:sz w:val="21"/>
                      <w:szCs w:val="21"/>
                    </w:rPr>
                  </w:pPr>
                </w:p>
              </w:tc>
              <w:tc>
                <w:tcPr>
                  <w:tcW w:w="817" w:type="dxa"/>
                  <w:vAlign w:val="center"/>
                </w:tcPr>
                <w:p w14:paraId="52EDE786">
                  <w:pPr>
                    <w:adjustRightInd w:val="0"/>
                    <w:snapToGrid w:val="0"/>
                    <w:jc w:val="center"/>
                    <w:rPr>
                      <w:rFonts w:hint="eastAsia" w:eastAsia="仿宋_GB2312"/>
                      <w:kern w:val="0"/>
                      <w:sz w:val="21"/>
                      <w:szCs w:val="21"/>
                    </w:rPr>
                  </w:pPr>
                  <w:r>
                    <w:rPr>
                      <w:rFonts w:hint="eastAsia" w:eastAsia="仿宋_GB2312"/>
                      <w:kern w:val="0"/>
                      <w:sz w:val="21"/>
                      <w:szCs w:val="21"/>
                    </w:rPr>
                    <w:t>E</w:t>
                  </w:r>
                </w:p>
              </w:tc>
              <w:tc>
                <w:tcPr>
                  <w:tcW w:w="901" w:type="dxa"/>
                  <w:vAlign w:val="center"/>
                </w:tcPr>
                <w:p w14:paraId="40CEA188">
                  <w:pPr>
                    <w:adjustRightInd w:val="0"/>
                    <w:snapToGrid w:val="0"/>
                    <w:jc w:val="center"/>
                    <w:rPr>
                      <w:rFonts w:hint="default" w:eastAsia="仿宋_GB2312"/>
                      <w:kern w:val="0"/>
                      <w:sz w:val="21"/>
                      <w:szCs w:val="21"/>
                      <w:lang w:val="en-US" w:eastAsia="zh-CN"/>
                    </w:rPr>
                  </w:pPr>
                  <w:r>
                    <w:rPr>
                      <w:rFonts w:hint="eastAsia" w:eastAsia="仿宋_GB2312"/>
                      <w:kern w:val="0"/>
                      <w:sz w:val="21"/>
                      <w:szCs w:val="21"/>
                      <w:lang w:val="en-US" w:eastAsia="zh-CN"/>
                    </w:rPr>
                    <w:t>457</w:t>
                  </w:r>
                </w:p>
              </w:tc>
            </w:tr>
            <w:tr w14:paraId="2F9305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638" w:type="dxa"/>
                  <w:vAlign w:val="center"/>
                </w:tcPr>
                <w:p w14:paraId="3A5EA700">
                  <w:pPr>
                    <w:adjustRightInd w:val="0"/>
                    <w:snapToGrid w:val="0"/>
                    <w:jc w:val="center"/>
                    <w:rPr>
                      <w:rFonts w:eastAsia="仿宋_GB2312"/>
                      <w:sz w:val="21"/>
                      <w:szCs w:val="21"/>
                    </w:rPr>
                  </w:pPr>
                  <w:r>
                    <w:rPr>
                      <w:rFonts w:hint="eastAsia" w:eastAsia="仿宋_GB2312"/>
                      <w:sz w:val="21"/>
                      <w:szCs w:val="21"/>
                    </w:rPr>
                    <w:t>南圩</w:t>
                  </w:r>
                </w:p>
              </w:tc>
              <w:tc>
                <w:tcPr>
                  <w:tcW w:w="899" w:type="dxa"/>
                  <w:vAlign w:val="center"/>
                </w:tcPr>
                <w:p w14:paraId="32EA4CE4">
                  <w:pPr>
                    <w:adjustRightInd w:val="0"/>
                    <w:snapToGrid w:val="0"/>
                    <w:jc w:val="center"/>
                    <w:rPr>
                      <w:rFonts w:eastAsia="仿宋_GB2312"/>
                      <w:kern w:val="24"/>
                      <w:sz w:val="21"/>
                      <w:szCs w:val="21"/>
                    </w:rPr>
                  </w:pPr>
                  <w:r>
                    <w:rPr>
                      <w:rFonts w:hint="eastAsia" w:eastAsia="仿宋_GB2312"/>
                      <w:kern w:val="24"/>
                      <w:sz w:val="21"/>
                      <w:szCs w:val="21"/>
                    </w:rPr>
                    <w:t>119.587</w:t>
                  </w:r>
                </w:p>
              </w:tc>
              <w:tc>
                <w:tcPr>
                  <w:tcW w:w="805" w:type="dxa"/>
                  <w:vAlign w:val="center"/>
                </w:tcPr>
                <w:p w14:paraId="27804DB3">
                  <w:pPr>
                    <w:adjustRightInd w:val="0"/>
                    <w:snapToGrid w:val="0"/>
                    <w:jc w:val="center"/>
                    <w:rPr>
                      <w:rFonts w:eastAsia="仿宋_GB2312"/>
                      <w:kern w:val="24"/>
                      <w:sz w:val="21"/>
                      <w:szCs w:val="21"/>
                    </w:rPr>
                  </w:pPr>
                  <w:r>
                    <w:rPr>
                      <w:rFonts w:hint="eastAsia" w:eastAsia="仿宋_GB2312"/>
                      <w:kern w:val="24"/>
                      <w:sz w:val="21"/>
                      <w:szCs w:val="21"/>
                    </w:rPr>
                    <w:t>31.767</w:t>
                  </w:r>
                </w:p>
              </w:tc>
              <w:tc>
                <w:tcPr>
                  <w:tcW w:w="795" w:type="dxa"/>
                  <w:vAlign w:val="center"/>
                </w:tcPr>
                <w:p w14:paraId="2FAE9B54">
                  <w:pPr>
                    <w:adjustRightInd w:val="0"/>
                    <w:snapToGrid w:val="0"/>
                    <w:jc w:val="center"/>
                    <w:rPr>
                      <w:rFonts w:eastAsia="仿宋_GB2312"/>
                      <w:kern w:val="0"/>
                      <w:sz w:val="21"/>
                      <w:szCs w:val="21"/>
                    </w:rPr>
                  </w:pPr>
                  <w:r>
                    <w:rPr>
                      <w:rFonts w:hint="eastAsia" w:eastAsia="仿宋_GB2312"/>
                      <w:kern w:val="0"/>
                      <w:sz w:val="21"/>
                      <w:szCs w:val="21"/>
                    </w:rPr>
                    <w:t>居民</w:t>
                  </w:r>
                </w:p>
              </w:tc>
              <w:tc>
                <w:tcPr>
                  <w:tcW w:w="1013" w:type="dxa"/>
                  <w:vAlign w:val="center"/>
                </w:tcPr>
                <w:p w14:paraId="0D094746">
                  <w:pPr>
                    <w:adjustRightInd w:val="0"/>
                    <w:snapToGrid w:val="0"/>
                    <w:jc w:val="center"/>
                    <w:rPr>
                      <w:rFonts w:eastAsia="仿宋_GB2312"/>
                      <w:sz w:val="21"/>
                      <w:szCs w:val="21"/>
                    </w:rPr>
                  </w:pPr>
                  <w:r>
                    <w:rPr>
                      <w:rFonts w:hint="eastAsia" w:eastAsia="仿宋_GB2312"/>
                      <w:sz w:val="21"/>
                      <w:szCs w:val="21"/>
                    </w:rPr>
                    <w:t>约70户/100人</w:t>
                  </w:r>
                </w:p>
              </w:tc>
              <w:tc>
                <w:tcPr>
                  <w:tcW w:w="2106" w:type="dxa"/>
                  <w:vMerge w:val="continue"/>
                  <w:vAlign w:val="center"/>
                </w:tcPr>
                <w:p w14:paraId="059BCF9D">
                  <w:pPr>
                    <w:pStyle w:val="72"/>
                    <w:adjustRightInd w:val="0"/>
                    <w:snapToGrid w:val="0"/>
                    <w:spacing w:before="0" w:line="240" w:lineRule="auto"/>
                    <w:ind w:firstLine="0" w:firstLineChars="0"/>
                    <w:jc w:val="center"/>
                    <w:rPr>
                      <w:rFonts w:eastAsia="仿宋_GB2312"/>
                      <w:kern w:val="0"/>
                      <w:sz w:val="21"/>
                      <w:szCs w:val="21"/>
                    </w:rPr>
                  </w:pPr>
                </w:p>
              </w:tc>
              <w:tc>
                <w:tcPr>
                  <w:tcW w:w="817" w:type="dxa"/>
                  <w:vAlign w:val="center"/>
                </w:tcPr>
                <w:p w14:paraId="64D6D494">
                  <w:pPr>
                    <w:adjustRightInd w:val="0"/>
                    <w:snapToGrid w:val="0"/>
                    <w:jc w:val="center"/>
                    <w:rPr>
                      <w:rFonts w:eastAsia="仿宋_GB2312"/>
                      <w:kern w:val="0"/>
                      <w:sz w:val="21"/>
                      <w:szCs w:val="21"/>
                    </w:rPr>
                  </w:pPr>
                  <w:r>
                    <w:rPr>
                      <w:rFonts w:hint="eastAsia" w:eastAsia="仿宋_GB2312"/>
                      <w:kern w:val="0"/>
                      <w:sz w:val="21"/>
                      <w:szCs w:val="21"/>
                    </w:rPr>
                    <w:t>W</w:t>
                  </w:r>
                </w:p>
              </w:tc>
              <w:tc>
                <w:tcPr>
                  <w:tcW w:w="901" w:type="dxa"/>
                  <w:vAlign w:val="center"/>
                </w:tcPr>
                <w:p w14:paraId="590643CD">
                  <w:pPr>
                    <w:adjustRightInd w:val="0"/>
                    <w:snapToGrid w:val="0"/>
                    <w:jc w:val="center"/>
                    <w:rPr>
                      <w:rFonts w:eastAsia="仿宋_GB2312"/>
                      <w:kern w:val="0"/>
                      <w:sz w:val="21"/>
                      <w:szCs w:val="21"/>
                    </w:rPr>
                  </w:pPr>
                  <w:r>
                    <w:rPr>
                      <w:rFonts w:hint="eastAsia" w:eastAsia="仿宋_GB2312"/>
                      <w:kern w:val="0"/>
                      <w:sz w:val="21"/>
                      <w:szCs w:val="21"/>
                    </w:rPr>
                    <w:t>133</w:t>
                  </w:r>
                </w:p>
              </w:tc>
            </w:tr>
          </w:tbl>
          <w:p w14:paraId="003A7A85">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center"/>
              <w:textAlignment w:val="auto"/>
              <w:rPr>
                <w:rFonts w:eastAsia="仿宋_GB2312"/>
                <w:b/>
                <w:kern w:val="0"/>
              </w:rPr>
            </w:pPr>
            <w:r>
              <w:rPr>
                <w:rFonts w:eastAsia="仿宋_GB2312"/>
                <w:b/>
                <w:kern w:val="0"/>
              </w:rPr>
              <w:t>表3-</w:t>
            </w:r>
            <w:r>
              <w:rPr>
                <w:rFonts w:hint="eastAsia" w:eastAsia="仿宋_GB2312"/>
                <w:b/>
                <w:kern w:val="0"/>
                <w:lang w:val="en-US" w:eastAsia="zh-CN"/>
              </w:rPr>
              <w:t>5  其他环境</w:t>
            </w:r>
            <w:r>
              <w:rPr>
                <w:rFonts w:hint="eastAsia" w:eastAsia="仿宋_GB2312"/>
                <w:b/>
                <w:kern w:val="0"/>
              </w:rPr>
              <w:t>保护目标一览表</w:t>
            </w:r>
          </w:p>
          <w:tbl>
            <w:tblPr>
              <w:tblStyle w:val="3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71"/>
              <w:gridCol w:w="1673"/>
              <w:gridCol w:w="852"/>
              <w:gridCol w:w="874"/>
              <w:gridCol w:w="972"/>
              <w:gridCol w:w="1823"/>
              <w:gridCol w:w="1009"/>
            </w:tblGrid>
            <w:tr w14:paraId="2DE307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blHeader/>
                <w:jc w:val="center"/>
              </w:trPr>
              <w:tc>
                <w:tcPr>
                  <w:tcW w:w="771" w:type="dxa"/>
                  <w:vAlign w:val="center"/>
                </w:tcPr>
                <w:p w14:paraId="458B9E49">
                  <w:pPr>
                    <w:adjustRightInd w:val="0"/>
                    <w:snapToGrid w:val="0"/>
                    <w:spacing w:line="240" w:lineRule="atLeast"/>
                    <w:jc w:val="center"/>
                    <w:rPr>
                      <w:rFonts w:eastAsia="仿宋_GB2312"/>
                      <w:b/>
                      <w:kern w:val="0"/>
                      <w:sz w:val="21"/>
                      <w:szCs w:val="21"/>
                    </w:rPr>
                  </w:pPr>
                  <w:r>
                    <w:rPr>
                      <w:rFonts w:eastAsia="仿宋_GB2312"/>
                      <w:b/>
                      <w:kern w:val="0"/>
                      <w:sz w:val="21"/>
                      <w:szCs w:val="21"/>
                    </w:rPr>
                    <w:t>环境要素</w:t>
                  </w:r>
                </w:p>
              </w:tc>
              <w:tc>
                <w:tcPr>
                  <w:tcW w:w="1673" w:type="dxa"/>
                  <w:vAlign w:val="center"/>
                </w:tcPr>
                <w:p w14:paraId="2AD87678">
                  <w:pPr>
                    <w:adjustRightInd w:val="0"/>
                    <w:snapToGrid w:val="0"/>
                    <w:spacing w:line="240" w:lineRule="atLeast"/>
                    <w:jc w:val="center"/>
                    <w:rPr>
                      <w:rFonts w:eastAsia="仿宋_GB2312"/>
                      <w:b/>
                      <w:kern w:val="0"/>
                      <w:sz w:val="21"/>
                      <w:szCs w:val="21"/>
                    </w:rPr>
                  </w:pPr>
                  <w:r>
                    <w:rPr>
                      <w:rFonts w:eastAsia="仿宋_GB2312"/>
                      <w:b/>
                      <w:kern w:val="0"/>
                      <w:sz w:val="21"/>
                      <w:szCs w:val="21"/>
                    </w:rPr>
                    <w:t>敏感目标名称</w:t>
                  </w:r>
                </w:p>
              </w:tc>
              <w:tc>
                <w:tcPr>
                  <w:tcW w:w="852" w:type="dxa"/>
                  <w:vAlign w:val="center"/>
                </w:tcPr>
                <w:p w14:paraId="2352AA97">
                  <w:pPr>
                    <w:adjustRightInd w:val="0"/>
                    <w:snapToGrid w:val="0"/>
                    <w:spacing w:line="240" w:lineRule="atLeast"/>
                    <w:jc w:val="center"/>
                    <w:rPr>
                      <w:rFonts w:eastAsia="仿宋_GB2312"/>
                      <w:b/>
                      <w:kern w:val="0"/>
                      <w:sz w:val="21"/>
                      <w:szCs w:val="21"/>
                    </w:rPr>
                  </w:pPr>
                  <w:r>
                    <w:rPr>
                      <w:rFonts w:eastAsia="仿宋_GB2312"/>
                      <w:b/>
                      <w:kern w:val="0"/>
                      <w:sz w:val="21"/>
                      <w:szCs w:val="21"/>
                    </w:rPr>
                    <w:t>方位</w:t>
                  </w:r>
                </w:p>
              </w:tc>
              <w:tc>
                <w:tcPr>
                  <w:tcW w:w="874" w:type="dxa"/>
                  <w:vAlign w:val="center"/>
                </w:tcPr>
                <w:p w14:paraId="2272CDBB">
                  <w:pPr>
                    <w:adjustRightInd w:val="0"/>
                    <w:snapToGrid w:val="0"/>
                    <w:spacing w:line="240" w:lineRule="atLeast"/>
                    <w:jc w:val="center"/>
                    <w:rPr>
                      <w:rFonts w:eastAsia="仿宋_GB2312"/>
                      <w:b/>
                      <w:kern w:val="0"/>
                      <w:sz w:val="21"/>
                      <w:szCs w:val="21"/>
                    </w:rPr>
                  </w:pPr>
                  <w:r>
                    <w:rPr>
                      <w:rFonts w:eastAsia="仿宋_GB2312"/>
                      <w:b/>
                      <w:kern w:val="0"/>
                      <w:sz w:val="21"/>
                      <w:szCs w:val="21"/>
                    </w:rPr>
                    <w:t>距离</w:t>
                  </w:r>
                </w:p>
                <w:p w14:paraId="678DB457">
                  <w:pPr>
                    <w:adjustRightInd w:val="0"/>
                    <w:snapToGrid w:val="0"/>
                    <w:spacing w:line="240" w:lineRule="atLeast"/>
                    <w:jc w:val="center"/>
                    <w:rPr>
                      <w:rFonts w:eastAsia="仿宋_GB2312"/>
                      <w:b/>
                      <w:kern w:val="0"/>
                      <w:sz w:val="21"/>
                      <w:szCs w:val="21"/>
                    </w:rPr>
                  </w:pPr>
                  <w:r>
                    <w:rPr>
                      <w:rFonts w:eastAsia="仿宋_GB2312"/>
                      <w:b/>
                      <w:kern w:val="0"/>
                      <w:sz w:val="21"/>
                      <w:szCs w:val="21"/>
                    </w:rPr>
                    <w:t>（m）</w:t>
                  </w:r>
                </w:p>
              </w:tc>
              <w:tc>
                <w:tcPr>
                  <w:tcW w:w="972" w:type="dxa"/>
                  <w:vAlign w:val="center"/>
                </w:tcPr>
                <w:p w14:paraId="7E2F5277">
                  <w:pPr>
                    <w:adjustRightInd w:val="0"/>
                    <w:snapToGrid w:val="0"/>
                    <w:spacing w:line="240" w:lineRule="atLeast"/>
                    <w:jc w:val="center"/>
                    <w:rPr>
                      <w:rFonts w:eastAsia="仿宋_GB2312"/>
                      <w:b/>
                      <w:kern w:val="0"/>
                      <w:sz w:val="21"/>
                      <w:szCs w:val="21"/>
                    </w:rPr>
                  </w:pPr>
                  <w:r>
                    <w:rPr>
                      <w:rFonts w:eastAsia="仿宋_GB2312"/>
                      <w:b/>
                      <w:kern w:val="0"/>
                      <w:sz w:val="21"/>
                      <w:szCs w:val="21"/>
                    </w:rPr>
                    <w:t>规模</w:t>
                  </w:r>
                </w:p>
              </w:tc>
              <w:tc>
                <w:tcPr>
                  <w:tcW w:w="1823" w:type="dxa"/>
                  <w:vAlign w:val="center"/>
                </w:tcPr>
                <w:p w14:paraId="44C4E43E">
                  <w:pPr>
                    <w:adjustRightInd w:val="0"/>
                    <w:snapToGrid w:val="0"/>
                    <w:spacing w:line="240" w:lineRule="atLeast"/>
                    <w:jc w:val="center"/>
                    <w:rPr>
                      <w:rFonts w:eastAsia="仿宋_GB2312"/>
                      <w:b/>
                      <w:kern w:val="0"/>
                      <w:sz w:val="21"/>
                      <w:szCs w:val="21"/>
                    </w:rPr>
                  </w:pPr>
                  <w:r>
                    <w:rPr>
                      <w:rFonts w:eastAsia="仿宋_GB2312"/>
                      <w:b/>
                      <w:kern w:val="0"/>
                      <w:sz w:val="21"/>
                      <w:szCs w:val="21"/>
                    </w:rPr>
                    <w:t>环境功能</w:t>
                  </w:r>
                </w:p>
              </w:tc>
              <w:tc>
                <w:tcPr>
                  <w:tcW w:w="1009" w:type="dxa"/>
                  <w:vAlign w:val="center"/>
                </w:tcPr>
                <w:p w14:paraId="47BF7607">
                  <w:pPr>
                    <w:adjustRightInd w:val="0"/>
                    <w:snapToGrid w:val="0"/>
                    <w:spacing w:line="240" w:lineRule="atLeast"/>
                    <w:jc w:val="center"/>
                    <w:rPr>
                      <w:rFonts w:eastAsia="仿宋_GB2312"/>
                      <w:b/>
                      <w:kern w:val="0"/>
                      <w:sz w:val="21"/>
                      <w:szCs w:val="21"/>
                    </w:rPr>
                  </w:pPr>
                  <w:r>
                    <w:rPr>
                      <w:rFonts w:eastAsia="仿宋_GB2312"/>
                      <w:b/>
                      <w:kern w:val="0"/>
                      <w:sz w:val="21"/>
                      <w:szCs w:val="21"/>
                    </w:rPr>
                    <w:t>备注</w:t>
                  </w:r>
                </w:p>
              </w:tc>
            </w:tr>
            <w:tr w14:paraId="6B62DC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71" w:type="dxa"/>
                  <w:shd w:val="clear" w:color="auto" w:fill="auto"/>
                  <w:vAlign w:val="center"/>
                </w:tcPr>
                <w:p w14:paraId="439E74B8">
                  <w:pPr>
                    <w:adjustRightInd w:val="0"/>
                    <w:snapToGrid w:val="0"/>
                    <w:jc w:val="center"/>
                    <w:rPr>
                      <w:rFonts w:hint="eastAsia"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rPr>
                    <w:t>声环境</w:t>
                  </w:r>
                </w:p>
              </w:tc>
              <w:tc>
                <w:tcPr>
                  <w:tcW w:w="1673" w:type="dxa"/>
                  <w:shd w:val="clear" w:color="auto" w:fill="auto"/>
                  <w:vAlign w:val="center"/>
                </w:tcPr>
                <w:p w14:paraId="16750ACF">
                  <w:pPr>
                    <w:adjustRightInd w:val="0"/>
                    <w:snapToGrid w:val="0"/>
                    <w:jc w:val="center"/>
                    <w:rPr>
                      <w:rFonts w:hint="eastAsia"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rPr>
                    <w:t>厂界外</w:t>
                  </w:r>
                </w:p>
              </w:tc>
              <w:tc>
                <w:tcPr>
                  <w:tcW w:w="852" w:type="dxa"/>
                  <w:shd w:val="clear" w:color="auto" w:fill="auto"/>
                  <w:vAlign w:val="center"/>
                </w:tcPr>
                <w:p w14:paraId="5B77AF43">
                  <w:pPr>
                    <w:adjustRightInd w:val="0"/>
                    <w:snapToGrid w:val="0"/>
                    <w:jc w:val="center"/>
                    <w:rPr>
                      <w:rFonts w:hint="eastAsia"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rPr>
                    <w:t>四周</w:t>
                  </w:r>
                </w:p>
              </w:tc>
              <w:tc>
                <w:tcPr>
                  <w:tcW w:w="874" w:type="dxa"/>
                  <w:shd w:val="clear" w:color="auto" w:fill="auto"/>
                  <w:vAlign w:val="center"/>
                </w:tcPr>
                <w:p w14:paraId="7AD21223">
                  <w:pPr>
                    <w:adjustRightInd w:val="0"/>
                    <w:snapToGrid w:val="0"/>
                    <w:jc w:val="center"/>
                    <w:rPr>
                      <w:rFonts w:hint="eastAsia"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50</w:t>
                  </w:r>
                </w:p>
              </w:tc>
              <w:tc>
                <w:tcPr>
                  <w:tcW w:w="972" w:type="dxa"/>
                  <w:shd w:val="clear" w:color="auto" w:fill="auto"/>
                  <w:vAlign w:val="center"/>
                </w:tcPr>
                <w:p w14:paraId="6CA1FCBA">
                  <w:pPr>
                    <w:adjustRightInd w:val="0"/>
                    <w:snapToGrid w:val="0"/>
                    <w:jc w:val="center"/>
                    <w:rPr>
                      <w:rFonts w:hint="eastAsia"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w:t>
                  </w:r>
                </w:p>
              </w:tc>
              <w:tc>
                <w:tcPr>
                  <w:tcW w:w="1823" w:type="dxa"/>
                  <w:shd w:val="clear" w:color="auto" w:fill="auto"/>
                  <w:vAlign w:val="center"/>
                </w:tcPr>
                <w:p w14:paraId="2CFA7953">
                  <w:pPr>
                    <w:adjustRightInd w:val="0"/>
                    <w:snapToGrid w:val="0"/>
                    <w:jc w:val="center"/>
                    <w:rPr>
                      <w:rFonts w:hint="eastAsia"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rPr>
                    <w:t>北、东、南侧厂界声环境执行《声环境质量标准》GB 3096-2008中3类标准，西侧厂界声环境执行《声环境质量标准》GB 3096-2008中4a类标准</w:t>
                  </w:r>
                </w:p>
              </w:tc>
              <w:tc>
                <w:tcPr>
                  <w:tcW w:w="1009" w:type="dxa"/>
                  <w:shd w:val="clear" w:color="auto" w:fill="auto"/>
                  <w:vAlign w:val="center"/>
                </w:tcPr>
                <w:p w14:paraId="31736AE1">
                  <w:pPr>
                    <w:adjustRightInd w:val="0"/>
                    <w:snapToGrid w:val="0"/>
                    <w:jc w:val="center"/>
                    <w:rPr>
                      <w:rFonts w:hint="eastAsia"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rPr>
                    <w:t>本项目厂界外50米范围内无声环境保护目标</w:t>
                  </w:r>
                </w:p>
              </w:tc>
            </w:tr>
            <w:tr w14:paraId="213E0D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71" w:type="dxa"/>
                  <w:shd w:val="clear" w:color="auto" w:fill="auto"/>
                  <w:vAlign w:val="center"/>
                </w:tcPr>
                <w:p w14:paraId="01BBEC56">
                  <w:pPr>
                    <w:adjustRightInd w:val="0"/>
                    <w:snapToGrid w:val="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eastAsia="zh-CN"/>
                    </w:rPr>
                    <w:t>地下水环境</w:t>
                  </w:r>
                </w:p>
              </w:tc>
              <w:tc>
                <w:tcPr>
                  <w:tcW w:w="1673" w:type="dxa"/>
                  <w:shd w:val="clear" w:color="auto" w:fill="auto"/>
                  <w:vAlign w:val="center"/>
                </w:tcPr>
                <w:p w14:paraId="46511E54">
                  <w:pPr>
                    <w:adjustRightInd w:val="0"/>
                    <w:snapToGrid w:val="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w:t>
                  </w:r>
                </w:p>
              </w:tc>
              <w:tc>
                <w:tcPr>
                  <w:tcW w:w="852" w:type="dxa"/>
                  <w:shd w:val="clear" w:color="auto" w:fill="auto"/>
                  <w:vAlign w:val="center"/>
                </w:tcPr>
                <w:p w14:paraId="4B0039A2">
                  <w:pPr>
                    <w:adjustRightInd w:val="0"/>
                    <w:snapToGrid w:val="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w:t>
                  </w:r>
                </w:p>
              </w:tc>
              <w:tc>
                <w:tcPr>
                  <w:tcW w:w="874" w:type="dxa"/>
                  <w:shd w:val="clear" w:color="auto" w:fill="auto"/>
                  <w:vAlign w:val="center"/>
                </w:tcPr>
                <w:p w14:paraId="443EA3C0">
                  <w:pPr>
                    <w:adjustRightInd w:val="0"/>
                    <w:snapToGrid w:val="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w:t>
                  </w:r>
                </w:p>
              </w:tc>
              <w:tc>
                <w:tcPr>
                  <w:tcW w:w="972" w:type="dxa"/>
                  <w:shd w:val="clear" w:color="auto" w:fill="auto"/>
                  <w:vAlign w:val="center"/>
                </w:tcPr>
                <w:p w14:paraId="08902D48">
                  <w:pPr>
                    <w:adjustRightInd w:val="0"/>
                    <w:snapToGrid w:val="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w:t>
                  </w:r>
                </w:p>
              </w:tc>
              <w:tc>
                <w:tcPr>
                  <w:tcW w:w="1823" w:type="dxa"/>
                  <w:shd w:val="clear" w:color="auto" w:fill="auto"/>
                  <w:vAlign w:val="center"/>
                </w:tcPr>
                <w:p w14:paraId="25D1CEE9">
                  <w:pPr>
                    <w:adjustRightInd w:val="0"/>
                    <w:snapToGrid w:val="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w:t>
                  </w:r>
                </w:p>
              </w:tc>
              <w:tc>
                <w:tcPr>
                  <w:tcW w:w="1009" w:type="dxa"/>
                  <w:shd w:val="clear" w:color="auto" w:fill="auto"/>
                  <w:vAlign w:val="center"/>
                </w:tcPr>
                <w:p w14:paraId="0230BBF5">
                  <w:pPr>
                    <w:adjustRightInd w:val="0"/>
                    <w:snapToGrid w:val="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rPr>
                    <w:t>本项目厂界外500米范围内无地下水集中饮用水水源和热水、矿泉水、温泉等特殊地下水资源</w:t>
                  </w:r>
                </w:p>
              </w:tc>
            </w:tr>
            <w:tr w14:paraId="3EB091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71" w:type="dxa"/>
                  <w:shd w:val="clear" w:color="auto" w:fill="auto"/>
                  <w:vAlign w:val="center"/>
                </w:tcPr>
                <w:p w14:paraId="2C9FC2D8">
                  <w:pPr>
                    <w:adjustRightInd w:val="0"/>
                    <w:snapToGrid w:val="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土壤</w:t>
                  </w:r>
                </w:p>
              </w:tc>
              <w:tc>
                <w:tcPr>
                  <w:tcW w:w="1673" w:type="dxa"/>
                  <w:shd w:val="clear" w:color="auto" w:fill="auto"/>
                  <w:vAlign w:val="center"/>
                </w:tcPr>
                <w:p w14:paraId="7A888C4F">
                  <w:pPr>
                    <w:adjustRightInd w:val="0"/>
                    <w:snapToGrid w:val="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耕地、园地、牧草地、饮用水水源地、居民区、学校、医院、疗养院、养老院</w:t>
                  </w:r>
                </w:p>
              </w:tc>
              <w:tc>
                <w:tcPr>
                  <w:tcW w:w="852" w:type="dxa"/>
                  <w:shd w:val="clear" w:color="auto" w:fill="auto"/>
                  <w:vAlign w:val="center"/>
                </w:tcPr>
                <w:p w14:paraId="5E1079E1">
                  <w:pPr>
                    <w:adjustRightInd w:val="0"/>
                    <w:snapToGrid w:val="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w:t>
                  </w:r>
                </w:p>
              </w:tc>
              <w:tc>
                <w:tcPr>
                  <w:tcW w:w="874" w:type="dxa"/>
                  <w:shd w:val="clear" w:color="auto" w:fill="auto"/>
                  <w:vAlign w:val="center"/>
                </w:tcPr>
                <w:p w14:paraId="6EB0B2B8">
                  <w:pPr>
                    <w:adjustRightInd w:val="0"/>
                    <w:snapToGrid w:val="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w:t>
                  </w:r>
                </w:p>
              </w:tc>
              <w:tc>
                <w:tcPr>
                  <w:tcW w:w="972" w:type="dxa"/>
                  <w:shd w:val="clear" w:color="auto" w:fill="auto"/>
                  <w:vAlign w:val="center"/>
                </w:tcPr>
                <w:p w14:paraId="55442DE3">
                  <w:pPr>
                    <w:adjustRightInd w:val="0"/>
                    <w:snapToGrid w:val="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w:t>
                  </w:r>
                </w:p>
              </w:tc>
              <w:tc>
                <w:tcPr>
                  <w:tcW w:w="1823" w:type="dxa"/>
                  <w:shd w:val="clear" w:color="auto" w:fill="auto"/>
                  <w:vAlign w:val="center"/>
                </w:tcPr>
                <w:p w14:paraId="310907EC">
                  <w:pPr>
                    <w:adjustRightInd w:val="0"/>
                    <w:snapToGrid w:val="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w:t>
                  </w:r>
                </w:p>
              </w:tc>
              <w:tc>
                <w:tcPr>
                  <w:tcW w:w="1009" w:type="dxa"/>
                  <w:shd w:val="clear" w:color="auto" w:fill="auto"/>
                  <w:vAlign w:val="center"/>
                </w:tcPr>
                <w:p w14:paraId="5C02A546">
                  <w:pPr>
                    <w:adjustRightInd w:val="0"/>
                    <w:snapToGrid w:val="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rPr>
                    <w:t>本项目周边无土壤环境敏感目标</w:t>
                  </w:r>
                </w:p>
              </w:tc>
            </w:tr>
            <w:tr w14:paraId="041967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71" w:type="dxa"/>
                  <w:shd w:val="clear" w:color="auto" w:fill="auto"/>
                  <w:vAlign w:val="center"/>
                </w:tcPr>
                <w:p w14:paraId="14A0FFD0">
                  <w:pPr>
                    <w:adjustRightInd w:val="0"/>
                    <w:snapToGrid w:val="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eastAsia="zh-CN"/>
                    </w:rPr>
                    <w:t>生态环境</w:t>
                  </w:r>
                </w:p>
              </w:tc>
              <w:tc>
                <w:tcPr>
                  <w:tcW w:w="1673" w:type="dxa"/>
                  <w:shd w:val="clear" w:color="auto" w:fill="auto"/>
                  <w:vAlign w:val="center"/>
                </w:tcPr>
                <w:p w14:paraId="3DE61ACD">
                  <w:pPr>
                    <w:adjustRightInd w:val="0"/>
                    <w:snapToGrid w:val="0"/>
                    <w:jc w:val="center"/>
                    <w:rPr>
                      <w:rFonts w:hint="eastAsia"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eastAsia="zh-CN"/>
                    </w:rPr>
                    <w:t>丹金溧漕河（金坛区）洪水调蓄区</w:t>
                  </w:r>
                </w:p>
              </w:tc>
              <w:tc>
                <w:tcPr>
                  <w:tcW w:w="852" w:type="dxa"/>
                  <w:shd w:val="clear" w:color="auto" w:fill="auto"/>
                  <w:vAlign w:val="center"/>
                </w:tcPr>
                <w:p w14:paraId="2F9F0EEB">
                  <w:pPr>
                    <w:adjustRightInd w:val="0"/>
                    <w:snapToGrid w:val="0"/>
                    <w:jc w:val="center"/>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WE</w:t>
                  </w:r>
                </w:p>
              </w:tc>
              <w:tc>
                <w:tcPr>
                  <w:tcW w:w="874" w:type="dxa"/>
                  <w:shd w:val="clear" w:color="auto" w:fill="auto"/>
                  <w:vAlign w:val="center"/>
                </w:tcPr>
                <w:p w14:paraId="3733F608">
                  <w:pPr>
                    <w:adjustRightInd w:val="0"/>
                    <w:snapToGrid w:val="0"/>
                    <w:jc w:val="center"/>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1</w:t>
                  </w:r>
                  <w:r>
                    <w:rPr>
                      <w:rFonts w:hint="eastAsia" w:eastAsia="仿宋_GB2312" w:cs="Times New Roman"/>
                      <w:sz w:val="21"/>
                      <w:szCs w:val="21"/>
                      <w:lang w:val="en-US" w:eastAsia="zh-CN"/>
                    </w:rPr>
                    <w:t>98</w:t>
                  </w:r>
                  <w:r>
                    <w:rPr>
                      <w:rFonts w:hint="eastAsia" w:ascii="Times New Roman" w:hAnsi="Times New Roman" w:eastAsia="仿宋_GB2312" w:cs="Times New Roman"/>
                      <w:sz w:val="21"/>
                      <w:szCs w:val="21"/>
                      <w:lang w:val="en-US" w:eastAsia="zh-CN"/>
                    </w:rPr>
                    <w:t>0</w:t>
                  </w:r>
                </w:p>
              </w:tc>
              <w:tc>
                <w:tcPr>
                  <w:tcW w:w="972" w:type="dxa"/>
                  <w:shd w:val="clear" w:color="auto" w:fill="auto"/>
                  <w:vAlign w:val="center"/>
                </w:tcPr>
                <w:p w14:paraId="6B38AC61">
                  <w:pPr>
                    <w:adjustRightInd w:val="0"/>
                    <w:snapToGrid w:val="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rPr>
                    <w:t>新、老丹金溧漕河（除老丹金溧漕河市区段）两岸河堤之间的范围</w:t>
                  </w:r>
                  <w:r>
                    <w:rPr>
                      <w:rFonts w:hint="default" w:ascii="Times New Roman" w:hAnsi="Times New Roman" w:eastAsia="仿宋_GB2312" w:cs="Times New Roman"/>
                      <w:sz w:val="21"/>
                      <w:szCs w:val="21"/>
                      <w:lang w:eastAsia="zh-CN"/>
                    </w:rPr>
                    <w:t>，生态空间管控区域范围，面积</w:t>
                  </w:r>
                  <w:r>
                    <w:rPr>
                      <w:rFonts w:hint="default" w:ascii="Times New Roman" w:hAnsi="Times New Roman" w:eastAsia="仿宋_GB2312" w:cs="Times New Roman"/>
                      <w:sz w:val="21"/>
                      <w:szCs w:val="21"/>
                      <w:lang w:val="en-US" w:eastAsia="zh-CN"/>
                    </w:rPr>
                    <w:t>2.50平方公里</w:t>
                  </w:r>
                </w:p>
              </w:tc>
              <w:tc>
                <w:tcPr>
                  <w:tcW w:w="1823" w:type="dxa"/>
                  <w:shd w:val="clear" w:color="auto" w:fill="auto"/>
                  <w:vAlign w:val="center"/>
                </w:tcPr>
                <w:p w14:paraId="0CB7423C">
                  <w:pPr>
                    <w:adjustRightInd w:val="0"/>
                    <w:snapToGrid w:val="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rPr>
                    <w:t>洪水调蓄</w:t>
                  </w:r>
                </w:p>
              </w:tc>
              <w:tc>
                <w:tcPr>
                  <w:tcW w:w="1009" w:type="dxa"/>
                  <w:shd w:val="clear" w:color="auto" w:fill="auto"/>
                  <w:vAlign w:val="center"/>
                </w:tcPr>
                <w:p w14:paraId="379533D5">
                  <w:pPr>
                    <w:adjustRightInd w:val="0"/>
                    <w:snapToGrid w:val="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eastAsia="zh-CN"/>
                    </w:rPr>
                    <w:t>本项目不在</w:t>
                  </w:r>
                  <w:r>
                    <w:rPr>
                      <w:rFonts w:hint="default" w:ascii="Times New Roman" w:hAnsi="Times New Roman" w:eastAsia="仿宋_GB2312" w:cs="Times New Roman"/>
                      <w:sz w:val="21"/>
                      <w:szCs w:val="21"/>
                    </w:rPr>
                    <w:t>生态空间管控区域范围</w:t>
                  </w:r>
                  <w:r>
                    <w:rPr>
                      <w:rFonts w:hint="default" w:ascii="Times New Roman" w:hAnsi="Times New Roman" w:eastAsia="仿宋_GB2312" w:cs="Times New Roman"/>
                      <w:sz w:val="21"/>
                      <w:szCs w:val="21"/>
                      <w:lang w:eastAsia="zh-CN"/>
                    </w:rPr>
                    <w:t>内</w:t>
                  </w:r>
                </w:p>
              </w:tc>
            </w:tr>
          </w:tbl>
          <w:p w14:paraId="018D7D61">
            <w:pPr>
              <w:pStyle w:val="12"/>
              <w:spacing w:before="0" w:after="0" w:line="360" w:lineRule="auto"/>
              <w:ind w:firstLine="480" w:firstLineChars="200"/>
              <w:rPr>
                <w:rFonts w:eastAsia="仿宋_GB2312"/>
                <w:sz w:val="24"/>
                <w:szCs w:val="24"/>
              </w:rPr>
            </w:pPr>
          </w:p>
        </w:tc>
      </w:tr>
      <w:tr w14:paraId="306E8E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94" w:hRule="atLeast"/>
          <w:jc w:val="center"/>
        </w:trPr>
        <w:tc>
          <w:tcPr>
            <w:tcW w:w="800" w:type="dxa"/>
            <w:tcMar>
              <w:left w:w="28" w:type="dxa"/>
              <w:right w:w="28" w:type="dxa"/>
            </w:tcMar>
            <w:vAlign w:val="center"/>
          </w:tcPr>
          <w:p w14:paraId="425C3424">
            <w:pPr>
              <w:adjustRightInd w:val="0"/>
              <w:snapToGrid w:val="0"/>
              <w:spacing w:line="360" w:lineRule="auto"/>
              <w:jc w:val="center"/>
              <w:rPr>
                <w:rFonts w:eastAsia="仿宋_GB2312"/>
                <w:kern w:val="0"/>
                <w:sz w:val="24"/>
                <w:szCs w:val="24"/>
              </w:rPr>
            </w:pPr>
            <w:r>
              <w:rPr>
                <w:rFonts w:eastAsia="仿宋_GB2312"/>
                <w:kern w:val="0"/>
                <w:sz w:val="24"/>
                <w:szCs w:val="24"/>
              </w:rPr>
              <w:t>污染</w:t>
            </w:r>
          </w:p>
          <w:p w14:paraId="0B2DCDDE">
            <w:pPr>
              <w:adjustRightInd w:val="0"/>
              <w:snapToGrid w:val="0"/>
              <w:spacing w:line="360" w:lineRule="auto"/>
              <w:jc w:val="center"/>
              <w:rPr>
                <w:rFonts w:eastAsia="仿宋_GB2312"/>
                <w:kern w:val="0"/>
                <w:sz w:val="24"/>
                <w:szCs w:val="24"/>
              </w:rPr>
            </w:pPr>
            <w:r>
              <w:rPr>
                <w:rFonts w:eastAsia="仿宋_GB2312"/>
                <w:kern w:val="0"/>
                <w:sz w:val="24"/>
                <w:szCs w:val="24"/>
              </w:rPr>
              <w:t>物排</w:t>
            </w:r>
          </w:p>
          <w:p w14:paraId="22656C1D">
            <w:pPr>
              <w:adjustRightInd w:val="0"/>
              <w:snapToGrid w:val="0"/>
              <w:spacing w:line="360" w:lineRule="auto"/>
              <w:jc w:val="center"/>
              <w:rPr>
                <w:rFonts w:eastAsia="仿宋_GB2312"/>
                <w:kern w:val="0"/>
                <w:sz w:val="24"/>
                <w:szCs w:val="24"/>
              </w:rPr>
            </w:pPr>
            <w:r>
              <w:rPr>
                <w:rFonts w:eastAsia="仿宋_GB2312"/>
                <w:kern w:val="0"/>
                <w:sz w:val="24"/>
                <w:szCs w:val="24"/>
              </w:rPr>
              <w:t>放控</w:t>
            </w:r>
          </w:p>
          <w:p w14:paraId="54869552">
            <w:pPr>
              <w:adjustRightInd w:val="0"/>
              <w:snapToGrid w:val="0"/>
              <w:spacing w:line="360" w:lineRule="auto"/>
              <w:jc w:val="center"/>
              <w:rPr>
                <w:rFonts w:eastAsia="仿宋_GB2312"/>
                <w:kern w:val="0"/>
                <w:sz w:val="24"/>
                <w:szCs w:val="24"/>
              </w:rPr>
            </w:pPr>
            <w:r>
              <w:rPr>
                <w:rFonts w:eastAsia="仿宋_GB2312"/>
                <w:kern w:val="0"/>
                <w:sz w:val="24"/>
                <w:szCs w:val="24"/>
              </w:rPr>
              <w:t>制标</w:t>
            </w:r>
          </w:p>
          <w:p w14:paraId="197C5059">
            <w:pPr>
              <w:adjustRightInd w:val="0"/>
              <w:snapToGrid w:val="0"/>
              <w:spacing w:line="360" w:lineRule="auto"/>
              <w:jc w:val="center"/>
              <w:rPr>
                <w:rFonts w:eastAsia="仿宋_GB2312"/>
                <w:kern w:val="0"/>
              </w:rPr>
            </w:pPr>
            <w:r>
              <w:rPr>
                <w:rFonts w:eastAsia="仿宋_GB2312"/>
                <w:kern w:val="0"/>
                <w:sz w:val="24"/>
                <w:szCs w:val="24"/>
              </w:rPr>
              <w:t>准</w:t>
            </w:r>
          </w:p>
        </w:tc>
        <w:tc>
          <w:tcPr>
            <w:tcW w:w="8190" w:type="dxa"/>
            <w:vAlign w:val="center"/>
          </w:tcPr>
          <w:p w14:paraId="6B402206">
            <w:pPr>
              <w:adjustRightInd w:val="0"/>
              <w:snapToGrid w:val="0"/>
              <w:spacing w:line="360" w:lineRule="auto"/>
              <w:ind w:firstLine="422" w:firstLineChars="200"/>
              <w:rPr>
                <w:rFonts w:eastAsia="仿宋_GB2312"/>
                <w:kern w:val="0"/>
              </w:rPr>
            </w:pPr>
            <w:r>
              <w:rPr>
                <w:rFonts w:eastAsia="仿宋_GB2312"/>
                <w:b/>
                <w:kern w:val="0"/>
              </w:rPr>
              <w:t>1、</w:t>
            </w:r>
            <w:r>
              <w:rPr>
                <w:rFonts w:hint="eastAsia" w:eastAsia="仿宋_GB2312"/>
                <w:b/>
                <w:kern w:val="0"/>
              </w:rPr>
              <w:t>废气</w:t>
            </w:r>
            <w:r>
              <w:rPr>
                <w:rFonts w:eastAsia="仿宋_GB2312"/>
                <w:b/>
                <w:kern w:val="0"/>
              </w:rPr>
              <w:t>：</w:t>
            </w:r>
          </w:p>
          <w:p w14:paraId="3BDA470E">
            <w:pPr>
              <w:adjustRightInd w:val="0"/>
              <w:snapToGrid w:val="0"/>
              <w:spacing w:line="360" w:lineRule="auto"/>
              <w:ind w:firstLine="420" w:firstLineChars="200"/>
              <w:rPr>
                <w:rFonts w:eastAsia="仿宋_GB2312"/>
                <w:snapToGrid w:val="0"/>
                <w:kern w:val="0"/>
              </w:rPr>
            </w:pPr>
            <w:r>
              <w:rPr>
                <w:rFonts w:hint="eastAsia" w:eastAsia="仿宋_GB2312"/>
                <w:snapToGrid w:val="0"/>
                <w:kern w:val="0"/>
              </w:rPr>
              <w:t>（1）施工期</w:t>
            </w:r>
          </w:p>
          <w:p w14:paraId="274F41AD">
            <w:pPr>
              <w:pStyle w:val="12"/>
              <w:spacing w:before="0" w:after="0" w:line="360" w:lineRule="auto"/>
              <w:ind w:firstLine="420" w:firstLineChars="200"/>
              <w:rPr>
                <w:rFonts w:eastAsia="仿宋_GB2312"/>
                <w:sz w:val="21"/>
                <w:szCs w:val="21"/>
              </w:rPr>
            </w:pPr>
            <w:r>
              <w:rPr>
                <w:rFonts w:eastAsia="仿宋_GB2312"/>
                <w:sz w:val="21"/>
                <w:szCs w:val="21"/>
              </w:rPr>
              <w:t>本项目施工期扬尘执行江苏省《施工场地扬尘排放标准》</w:t>
            </w:r>
            <w:r>
              <w:rPr>
                <w:rFonts w:hint="eastAsia" w:eastAsia="仿宋_GB2312"/>
                <w:sz w:val="21"/>
                <w:szCs w:val="21"/>
                <w:lang w:eastAsia="zh-CN"/>
              </w:rPr>
              <w:t>（</w:t>
            </w:r>
            <w:r>
              <w:rPr>
                <w:rFonts w:eastAsia="仿宋_GB2312"/>
                <w:sz w:val="21"/>
                <w:szCs w:val="21"/>
              </w:rPr>
              <w:t>DB32/4437-2022</w:t>
            </w:r>
            <w:r>
              <w:rPr>
                <w:rFonts w:hint="eastAsia" w:eastAsia="仿宋_GB2312"/>
                <w:sz w:val="21"/>
                <w:szCs w:val="21"/>
                <w:lang w:eastAsia="zh-CN"/>
              </w:rPr>
              <w:t>）</w:t>
            </w:r>
            <w:r>
              <w:rPr>
                <w:rFonts w:eastAsia="仿宋_GB2312"/>
                <w:sz w:val="21"/>
                <w:szCs w:val="21"/>
              </w:rPr>
              <w:t>中大气排放限值，详情见下表。</w:t>
            </w:r>
          </w:p>
          <w:p w14:paraId="11B1FE59">
            <w:pPr>
              <w:pStyle w:val="12"/>
              <w:spacing w:before="0" w:after="0" w:line="240" w:lineRule="auto"/>
              <w:jc w:val="center"/>
              <w:rPr>
                <w:rFonts w:eastAsia="仿宋_GB2312"/>
                <w:b/>
                <w:bCs/>
                <w:sz w:val="21"/>
                <w:szCs w:val="21"/>
              </w:rPr>
            </w:pPr>
            <w:r>
              <w:rPr>
                <w:rFonts w:eastAsia="仿宋_GB2312"/>
                <w:b/>
                <w:bCs/>
                <w:sz w:val="21"/>
                <w:szCs w:val="21"/>
              </w:rPr>
              <w:t>表3-6</w:t>
            </w:r>
            <w:r>
              <w:rPr>
                <w:rFonts w:hint="eastAsia" w:eastAsia="仿宋_GB2312"/>
                <w:b/>
                <w:bCs/>
                <w:sz w:val="21"/>
                <w:szCs w:val="21"/>
                <w:lang w:val="en-US" w:eastAsia="zh-CN"/>
              </w:rPr>
              <w:t xml:space="preserve">  </w:t>
            </w:r>
            <w:r>
              <w:rPr>
                <w:rFonts w:eastAsia="仿宋_GB2312"/>
                <w:b/>
                <w:bCs/>
                <w:sz w:val="21"/>
                <w:szCs w:val="21"/>
              </w:rPr>
              <w:t>施工场地扬尘排放浓度限值</w:t>
            </w:r>
          </w:p>
          <w:tbl>
            <w:tblPr>
              <w:tblStyle w:val="31"/>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3979"/>
              <w:gridCol w:w="3980"/>
            </w:tblGrid>
            <w:tr w14:paraId="0F73958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979" w:type="dxa"/>
                  <w:vAlign w:val="center"/>
                </w:tcPr>
                <w:p w14:paraId="6D36E64D">
                  <w:pPr>
                    <w:pStyle w:val="17"/>
                    <w:numPr>
                      <w:ilvl w:val="0"/>
                      <w:numId w:val="0"/>
                    </w:numPr>
                    <w:spacing w:line="240" w:lineRule="atLeast"/>
                    <w:jc w:val="center"/>
                    <w:rPr>
                      <w:rFonts w:eastAsia="仿宋_GB2312"/>
                      <w:sz w:val="21"/>
                      <w:szCs w:val="21"/>
                    </w:rPr>
                  </w:pPr>
                  <w:r>
                    <w:rPr>
                      <w:rFonts w:hint="eastAsia" w:eastAsia="仿宋_GB2312"/>
                      <w:sz w:val="21"/>
                      <w:szCs w:val="21"/>
                    </w:rPr>
                    <w:t>监测项目</w:t>
                  </w:r>
                </w:p>
              </w:tc>
              <w:tc>
                <w:tcPr>
                  <w:tcW w:w="3980" w:type="dxa"/>
                  <w:vAlign w:val="center"/>
                </w:tcPr>
                <w:p w14:paraId="5A7A28FF">
                  <w:pPr>
                    <w:pStyle w:val="17"/>
                    <w:numPr>
                      <w:ilvl w:val="0"/>
                      <w:numId w:val="0"/>
                    </w:numPr>
                    <w:spacing w:line="240" w:lineRule="atLeast"/>
                    <w:jc w:val="center"/>
                    <w:rPr>
                      <w:rFonts w:eastAsia="仿宋_GB2312"/>
                      <w:sz w:val="21"/>
                      <w:szCs w:val="21"/>
                    </w:rPr>
                  </w:pPr>
                  <w:r>
                    <w:rPr>
                      <w:rFonts w:hint="eastAsia" w:eastAsia="仿宋_GB2312"/>
                      <w:sz w:val="21"/>
                      <w:szCs w:val="21"/>
                    </w:rPr>
                    <w:t>浓度限值/（</w:t>
                  </w:r>
                  <w:r>
                    <w:rPr>
                      <w:rFonts w:eastAsia="仿宋_GB2312"/>
                      <w:snapToGrid w:val="0"/>
                      <w:kern w:val="0"/>
                      <w:sz w:val="21"/>
                      <w:szCs w:val="21"/>
                    </w:rPr>
                    <w:t>μg/m</w:t>
                  </w:r>
                  <w:r>
                    <w:rPr>
                      <w:rFonts w:eastAsia="仿宋_GB2312"/>
                      <w:snapToGrid w:val="0"/>
                      <w:kern w:val="0"/>
                      <w:sz w:val="21"/>
                      <w:szCs w:val="21"/>
                      <w:vertAlign w:val="superscript"/>
                    </w:rPr>
                    <w:t>3</w:t>
                  </w:r>
                  <w:r>
                    <w:rPr>
                      <w:rFonts w:hint="eastAsia" w:eastAsia="仿宋_GB2312"/>
                      <w:sz w:val="21"/>
                      <w:szCs w:val="21"/>
                    </w:rPr>
                    <w:t>）</w:t>
                  </w:r>
                </w:p>
              </w:tc>
            </w:tr>
            <w:tr w14:paraId="4EB6720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979" w:type="dxa"/>
                  <w:vAlign w:val="center"/>
                </w:tcPr>
                <w:p w14:paraId="0D265536">
                  <w:pPr>
                    <w:pStyle w:val="17"/>
                    <w:numPr>
                      <w:ilvl w:val="0"/>
                      <w:numId w:val="0"/>
                    </w:numPr>
                    <w:spacing w:line="240" w:lineRule="atLeast"/>
                    <w:jc w:val="center"/>
                    <w:rPr>
                      <w:rFonts w:eastAsia="仿宋_GB2312"/>
                      <w:sz w:val="21"/>
                      <w:szCs w:val="21"/>
                    </w:rPr>
                  </w:pPr>
                  <w:r>
                    <w:rPr>
                      <w:rFonts w:hint="eastAsia" w:eastAsia="仿宋_GB2312"/>
                      <w:sz w:val="21"/>
                      <w:szCs w:val="21"/>
                    </w:rPr>
                    <w:t>TSP</w:t>
                  </w:r>
                  <w:r>
                    <w:rPr>
                      <w:rFonts w:hint="eastAsia" w:eastAsia="仿宋_GB2312"/>
                      <w:sz w:val="21"/>
                      <w:szCs w:val="21"/>
                      <w:vertAlign w:val="superscript"/>
                    </w:rPr>
                    <w:t>a</w:t>
                  </w:r>
                </w:p>
              </w:tc>
              <w:tc>
                <w:tcPr>
                  <w:tcW w:w="3980" w:type="dxa"/>
                  <w:vAlign w:val="center"/>
                </w:tcPr>
                <w:p w14:paraId="3121E5AF">
                  <w:pPr>
                    <w:pStyle w:val="17"/>
                    <w:numPr>
                      <w:ilvl w:val="0"/>
                      <w:numId w:val="0"/>
                    </w:numPr>
                    <w:spacing w:line="240" w:lineRule="atLeast"/>
                    <w:jc w:val="center"/>
                    <w:rPr>
                      <w:rFonts w:eastAsia="仿宋_GB2312"/>
                      <w:sz w:val="21"/>
                      <w:szCs w:val="21"/>
                    </w:rPr>
                  </w:pPr>
                  <w:r>
                    <w:rPr>
                      <w:rFonts w:hint="eastAsia" w:eastAsia="仿宋_GB2312"/>
                      <w:sz w:val="21"/>
                      <w:szCs w:val="21"/>
                    </w:rPr>
                    <w:t>500</w:t>
                  </w:r>
                </w:p>
              </w:tc>
            </w:tr>
            <w:tr w14:paraId="2844652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979" w:type="dxa"/>
                  <w:vAlign w:val="center"/>
                </w:tcPr>
                <w:p w14:paraId="5C3231A0">
                  <w:pPr>
                    <w:pStyle w:val="17"/>
                    <w:numPr>
                      <w:ilvl w:val="0"/>
                      <w:numId w:val="0"/>
                    </w:numPr>
                    <w:spacing w:line="240" w:lineRule="atLeast"/>
                    <w:jc w:val="center"/>
                    <w:rPr>
                      <w:rFonts w:eastAsia="仿宋_GB2312"/>
                      <w:sz w:val="21"/>
                      <w:szCs w:val="21"/>
                    </w:rPr>
                  </w:pPr>
                  <w:r>
                    <w:rPr>
                      <w:rFonts w:hint="eastAsia" w:eastAsia="仿宋_GB2312"/>
                      <w:sz w:val="21"/>
                      <w:szCs w:val="21"/>
                    </w:rPr>
                    <w:t>PM</w:t>
                  </w:r>
                  <w:r>
                    <w:rPr>
                      <w:rFonts w:hint="eastAsia" w:eastAsia="仿宋_GB2312"/>
                      <w:sz w:val="21"/>
                      <w:szCs w:val="21"/>
                      <w:vertAlign w:val="subscript"/>
                    </w:rPr>
                    <w:t>10</w:t>
                  </w:r>
                  <w:r>
                    <w:rPr>
                      <w:rFonts w:hint="eastAsia" w:eastAsia="仿宋_GB2312"/>
                      <w:sz w:val="21"/>
                      <w:szCs w:val="21"/>
                      <w:vertAlign w:val="superscript"/>
                    </w:rPr>
                    <w:t>b</w:t>
                  </w:r>
                </w:p>
              </w:tc>
              <w:tc>
                <w:tcPr>
                  <w:tcW w:w="3980" w:type="dxa"/>
                  <w:vAlign w:val="center"/>
                </w:tcPr>
                <w:p w14:paraId="3359ADD3">
                  <w:pPr>
                    <w:pStyle w:val="17"/>
                    <w:numPr>
                      <w:ilvl w:val="0"/>
                      <w:numId w:val="0"/>
                    </w:numPr>
                    <w:spacing w:line="240" w:lineRule="atLeast"/>
                    <w:jc w:val="center"/>
                    <w:rPr>
                      <w:rFonts w:eastAsia="仿宋_GB2312"/>
                      <w:sz w:val="21"/>
                      <w:szCs w:val="21"/>
                    </w:rPr>
                  </w:pPr>
                  <w:r>
                    <w:rPr>
                      <w:rFonts w:hint="eastAsia" w:eastAsia="仿宋_GB2312"/>
                      <w:sz w:val="21"/>
                      <w:szCs w:val="21"/>
                    </w:rPr>
                    <w:t>80</w:t>
                  </w:r>
                </w:p>
              </w:tc>
            </w:tr>
          </w:tbl>
          <w:p w14:paraId="3805308D">
            <w:pPr>
              <w:pStyle w:val="17"/>
              <w:numPr>
                <w:ilvl w:val="0"/>
                <w:numId w:val="0"/>
              </w:numPr>
              <w:spacing w:line="360" w:lineRule="auto"/>
              <w:ind w:firstLine="420" w:firstLineChars="200"/>
              <w:rPr>
                <w:rFonts w:eastAsia="仿宋_GB2312"/>
              </w:rPr>
            </w:pPr>
            <w:r>
              <w:rPr>
                <w:rFonts w:eastAsia="仿宋_GB2312"/>
              </w:rPr>
              <w:t>a</w:t>
            </w:r>
            <w:r>
              <w:rPr>
                <w:rFonts w:hint="eastAsia" w:eastAsia="仿宋_GB2312"/>
              </w:rPr>
              <w:t>任一监控点</w:t>
            </w:r>
            <w:r>
              <w:rPr>
                <w:rFonts w:eastAsia="仿宋_GB2312"/>
              </w:rPr>
              <w:t>(TSP</w:t>
            </w:r>
            <w:r>
              <w:rPr>
                <w:rFonts w:hint="eastAsia" w:eastAsia="仿宋_GB2312"/>
              </w:rPr>
              <w:t>自动监测</w:t>
            </w:r>
            <w:r>
              <w:rPr>
                <w:rFonts w:eastAsia="仿宋_GB2312"/>
              </w:rPr>
              <w:t>)</w:t>
            </w:r>
            <w:r>
              <w:rPr>
                <w:rFonts w:hint="eastAsia" w:eastAsia="仿宋_GB2312"/>
              </w:rPr>
              <w:t>自整时起依次顺延</w:t>
            </w:r>
            <w:r>
              <w:rPr>
                <w:rFonts w:eastAsia="仿宋_GB2312"/>
              </w:rPr>
              <w:t>15min</w:t>
            </w:r>
            <w:r>
              <w:rPr>
                <w:rFonts w:hint="eastAsia" w:eastAsia="仿宋_GB2312"/>
              </w:rPr>
              <w:t>的总悬浮颗粒物浓度平均值不应超过的限值。根据</w:t>
            </w:r>
            <w:r>
              <w:rPr>
                <w:rFonts w:eastAsia="仿宋_GB2312"/>
              </w:rPr>
              <w:t>HJ633</w:t>
            </w:r>
            <w:r>
              <w:rPr>
                <w:rFonts w:hint="eastAsia" w:eastAsia="仿宋_GB2312"/>
              </w:rPr>
              <w:t>判定设区市</w:t>
            </w:r>
            <w:r>
              <w:rPr>
                <w:rFonts w:eastAsia="仿宋_GB2312"/>
              </w:rPr>
              <w:t>AQI</w:t>
            </w:r>
            <w:r>
              <w:rPr>
                <w:rFonts w:hint="eastAsia" w:eastAsia="仿宋_GB2312"/>
              </w:rPr>
              <w:t>在</w:t>
            </w:r>
            <w:r>
              <w:rPr>
                <w:rFonts w:eastAsia="仿宋_GB2312"/>
              </w:rPr>
              <w:t>200~300</w:t>
            </w:r>
            <w:r>
              <w:rPr>
                <w:rFonts w:hint="eastAsia" w:eastAsia="仿宋_GB2312"/>
              </w:rPr>
              <w:t>之间且首要污染物为</w:t>
            </w:r>
            <w:r>
              <w:rPr>
                <w:rFonts w:eastAsia="仿宋_GB2312"/>
              </w:rPr>
              <w:t>PM</w:t>
            </w:r>
            <w:r>
              <w:rPr>
                <w:rFonts w:hint="eastAsia" w:eastAsia="仿宋_GB2312"/>
                <w:vertAlign w:val="subscript"/>
              </w:rPr>
              <w:t>10</w:t>
            </w:r>
            <w:r>
              <w:rPr>
                <w:rFonts w:hint="eastAsia" w:eastAsia="仿宋_GB2312"/>
              </w:rPr>
              <w:t>或</w:t>
            </w:r>
            <w:r>
              <w:rPr>
                <w:rFonts w:eastAsia="仿宋_GB2312"/>
              </w:rPr>
              <w:t>PM</w:t>
            </w:r>
            <w:r>
              <w:rPr>
                <w:rFonts w:hint="eastAsia" w:eastAsia="仿宋_GB2312"/>
                <w:vertAlign w:val="subscript"/>
              </w:rPr>
              <w:t>2.5</w:t>
            </w:r>
            <w:r>
              <w:rPr>
                <w:rFonts w:hint="eastAsia" w:eastAsia="仿宋_GB2312"/>
              </w:rPr>
              <w:t>时，</w:t>
            </w:r>
            <w:r>
              <w:rPr>
                <w:rFonts w:eastAsia="仿宋_GB2312"/>
              </w:rPr>
              <w:t>TSP</w:t>
            </w:r>
            <w:r>
              <w:rPr>
                <w:rFonts w:hint="eastAsia" w:eastAsia="仿宋_GB2312"/>
              </w:rPr>
              <w:t>实测值扣除</w:t>
            </w:r>
            <w:r>
              <w:rPr>
                <w:rFonts w:eastAsia="仿宋_GB2312"/>
              </w:rPr>
              <w:t>200μg/m³</w:t>
            </w:r>
            <w:r>
              <w:rPr>
                <w:rFonts w:hint="eastAsia" w:eastAsia="仿宋_GB2312"/>
              </w:rPr>
              <w:t>后再进行评价。</w:t>
            </w:r>
          </w:p>
          <w:p w14:paraId="4C78160D">
            <w:pPr>
              <w:pStyle w:val="17"/>
              <w:numPr>
                <w:ilvl w:val="0"/>
                <w:numId w:val="0"/>
              </w:numPr>
              <w:spacing w:line="360" w:lineRule="auto"/>
              <w:ind w:firstLine="420" w:firstLineChars="200"/>
              <w:rPr>
                <w:rFonts w:eastAsia="仿宋_GB2312"/>
              </w:rPr>
            </w:pPr>
            <w:r>
              <w:rPr>
                <w:rFonts w:eastAsia="仿宋_GB2312"/>
              </w:rPr>
              <w:t>b</w:t>
            </w:r>
            <w:r>
              <w:rPr>
                <w:rFonts w:hint="eastAsia" w:eastAsia="仿宋_GB2312"/>
              </w:rPr>
              <w:t>任一监控点</w:t>
            </w:r>
            <w:r>
              <w:rPr>
                <w:rFonts w:eastAsia="仿宋_GB2312"/>
              </w:rPr>
              <w:t>(PM</w:t>
            </w:r>
            <w:r>
              <w:rPr>
                <w:rFonts w:hint="eastAsia" w:eastAsia="仿宋_GB2312"/>
                <w:vertAlign w:val="subscript"/>
              </w:rPr>
              <w:t>10</w:t>
            </w:r>
            <w:r>
              <w:rPr>
                <w:rFonts w:hint="eastAsia" w:eastAsia="仿宋_GB2312"/>
              </w:rPr>
              <w:t>自动监测</w:t>
            </w:r>
            <w:r>
              <w:rPr>
                <w:rFonts w:eastAsia="仿宋_GB2312"/>
              </w:rPr>
              <w:t>)</w:t>
            </w:r>
            <w:r>
              <w:rPr>
                <w:rFonts w:hint="eastAsia" w:eastAsia="仿宋_GB2312"/>
              </w:rPr>
              <w:t>自整时起依次顺延</w:t>
            </w:r>
            <w:r>
              <w:rPr>
                <w:rFonts w:eastAsia="仿宋_GB2312"/>
              </w:rPr>
              <w:t>1h</w:t>
            </w:r>
            <w:r>
              <w:rPr>
                <w:rFonts w:hint="eastAsia" w:eastAsia="仿宋_GB2312"/>
              </w:rPr>
              <w:t>的</w:t>
            </w:r>
            <w:r>
              <w:rPr>
                <w:rFonts w:eastAsia="仿宋_GB2312"/>
              </w:rPr>
              <w:t>PM</w:t>
            </w:r>
            <w:r>
              <w:rPr>
                <w:rFonts w:hint="eastAsia" w:eastAsia="仿宋_GB2312"/>
                <w:vertAlign w:val="subscript"/>
              </w:rPr>
              <w:t>10</w:t>
            </w:r>
            <w:r>
              <w:rPr>
                <w:rFonts w:hint="eastAsia" w:eastAsia="仿宋_GB2312"/>
              </w:rPr>
              <w:t>浓度平均值与同时段所属设区市</w:t>
            </w:r>
            <w:r>
              <w:rPr>
                <w:rFonts w:eastAsia="仿宋_GB2312"/>
              </w:rPr>
              <w:t>PM</w:t>
            </w:r>
            <w:r>
              <w:rPr>
                <w:rFonts w:hint="eastAsia" w:eastAsia="仿宋_GB2312"/>
                <w:vertAlign w:val="subscript"/>
              </w:rPr>
              <w:t>10</w:t>
            </w:r>
            <w:r>
              <w:rPr>
                <w:rFonts w:hint="eastAsia" w:eastAsia="仿宋_GB2312"/>
              </w:rPr>
              <w:t>小时平均浓度的差值不应超过的限值。</w:t>
            </w:r>
          </w:p>
          <w:p w14:paraId="15035256">
            <w:pPr>
              <w:pStyle w:val="17"/>
              <w:numPr>
                <w:ilvl w:val="0"/>
                <w:numId w:val="0"/>
              </w:numPr>
              <w:spacing w:line="360" w:lineRule="auto"/>
              <w:ind w:firstLine="420" w:firstLineChars="200"/>
              <w:rPr>
                <w:rFonts w:eastAsia="仿宋_GB2312"/>
              </w:rPr>
            </w:pPr>
            <w:r>
              <w:rPr>
                <w:rFonts w:hint="eastAsia" w:eastAsia="仿宋_GB2312"/>
              </w:rPr>
              <w:t>（2）运营期</w:t>
            </w:r>
          </w:p>
          <w:p w14:paraId="734DC1AF">
            <w:pPr>
              <w:pStyle w:val="17"/>
              <w:numPr>
                <w:ilvl w:val="0"/>
                <w:numId w:val="0"/>
              </w:numPr>
              <w:spacing w:line="360" w:lineRule="auto"/>
              <w:ind w:firstLine="420" w:firstLineChars="200"/>
              <w:rPr>
                <w:rFonts w:eastAsia="仿宋_GB2312"/>
              </w:rPr>
            </w:pPr>
            <w:r>
              <w:rPr>
                <w:rFonts w:hint="eastAsia" w:eastAsia="仿宋_GB2312"/>
              </w:rPr>
              <w:t>建设项目平板膜过滤产生盐雾（以颗粒物计）、盐酸储罐产生的酸雾（以氯化氢计）及厂内非甲烷总烃无组织排放及厂界无组织排放执行《大气污染物综合排放标准》（DB32/4041-2021）表2、表3标准中标准。</w:t>
            </w:r>
          </w:p>
          <w:p w14:paraId="2C22C9D0">
            <w:pPr>
              <w:pStyle w:val="69"/>
              <w:tabs>
                <w:tab w:val="left" w:pos="4351"/>
              </w:tabs>
              <w:spacing w:line="301" w:lineRule="exact"/>
              <w:jc w:val="center"/>
              <w:rPr>
                <w:rFonts w:eastAsia="仿宋_GB2312"/>
                <w:b/>
                <w:bCs/>
              </w:rPr>
            </w:pPr>
            <w:r>
              <w:rPr>
                <w:rFonts w:ascii="Times New Roman" w:hAnsi="Times New Roman" w:eastAsia="仿宋_GB2312" w:cs="Times New Roman"/>
                <w:b/>
                <w:snapToGrid w:val="0"/>
                <w:kern w:val="0"/>
              </w:rPr>
              <w:t>表</w:t>
            </w:r>
            <w:r>
              <w:rPr>
                <w:rFonts w:hint="eastAsia" w:ascii="Times New Roman" w:hAnsi="Times New Roman" w:eastAsia="仿宋_GB2312" w:cs="Times New Roman"/>
                <w:b/>
                <w:snapToGrid w:val="0"/>
                <w:kern w:val="0"/>
              </w:rPr>
              <w:t>3-7</w:t>
            </w:r>
            <w:r>
              <w:rPr>
                <w:rFonts w:hint="eastAsia" w:ascii="Times New Roman" w:hAnsi="Times New Roman" w:eastAsia="仿宋_GB2312" w:cs="Times New Roman"/>
                <w:b/>
                <w:snapToGrid w:val="0"/>
                <w:kern w:val="0"/>
                <w:lang w:val="en-US" w:eastAsia="zh-CN"/>
              </w:rPr>
              <w:t xml:space="preserve">  </w:t>
            </w:r>
            <w:r>
              <w:rPr>
                <w:rFonts w:hint="eastAsia" w:ascii="Times New Roman" w:hAnsi="Times New Roman" w:eastAsia="仿宋_GB2312" w:cs="Times New Roman"/>
                <w:b/>
                <w:snapToGrid w:val="0"/>
                <w:kern w:val="0"/>
              </w:rPr>
              <w:t>本项目无组织排放标准</w:t>
            </w:r>
          </w:p>
          <w:tbl>
            <w:tblPr>
              <w:tblStyle w:val="31"/>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2118"/>
              <w:gridCol w:w="1330"/>
              <w:gridCol w:w="1027"/>
              <w:gridCol w:w="2057"/>
              <w:gridCol w:w="1440"/>
            </w:tblGrid>
            <w:tr w14:paraId="50B710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1329" w:type="pct"/>
                  <w:vMerge w:val="restart"/>
                  <w:vAlign w:val="center"/>
                </w:tcPr>
                <w:p w14:paraId="5E11299B">
                  <w:pPr>
                    <w:pStyle w:val="56"/>
                    <w:spacing w:before="24" w:after="24" w:line="240" w:lineRule="auto"/>
                    <w:rPr>
                      <w:rFonts w:ascii="Times New Roman" w:eastAsia="仿宋_GB2312"/>
                      <w:b/>
                      <w:sz w:val="21"/>
                      <w:szCs w:val="21"/>
                    </w:rPr>
                  </w:pPr>
                  <w:r>
                    <w:rPr>
                      <w:rFonts w:ascii="Times New Roman" w:eastAsia="仿宋_GB2312"/>
                      <w:b/>
                      <w:sz w:val="21"/>
                      <w:szCs w:val="21"/>
                    </w:rPr>
                    <w:t>执行标准</w:t>
                  </w:r>
                </w:p>
              </w:tc>
              <w:tc>
                <w:tcPr>
                  <w:tcW w:w="834" w:type="pct"/>
                  <w:vMerge w:val="restart"/>
                  <w:vAlign w:val="center"/>
                </w:tcPr>
                <w:p w14:paraId="07DB4FE9">
                  <w:pPr>
                    <w:pStyle w:val="56"/>
                    <w:spacing w:before="24" w:after="24" w:line="240" w:lineRule="auto"/>
                    <w:rPr>
                      <w:rFonts w:ascii="Times New Roman" w:eastAsia="仿宋_GB2312"/>
                      <w:b/>
                      <w:sz w:val="21"/>
                      <w:szCs w:val="21"/>
                    </w:rPr>
                  </w:pPr>
                  <w:r>
                    <w:rPr>
                      <w:rFonts w:ascii="Times New Roman" w:eastAsia="仿宋_GB2312"/>
                      <w:b/>
                      <w:sz w:val="21"/>
                      <w:szCs w:val="21"/>
                    </w:rPr>
                    <w:t>污染物</w:t>
                  </w:r>
                </w:p>
                <w:p w14:paraId="0C7959AB">
                  <w:pPr>
                    <w:pStyle w:val="56"/>
                    <w:spacing w:before="24" w:after="24" w:line="240" w:lineRule="auto"/>
                    <w:rPr>
                      <w:rFonts w:ascii="Times New Roman" w:eastAsia="仿宋_GB2312"/>
                      <w:b/>
                      <w:sz w:val="21"/>
                      <w:szCs w:val="21"/>
                    </w:rPr>
                  </w:pPr>
                  <w:r>
                    <w:rPr>
                      <w:rFonts w:ascii="Times New Roman" w:eastAsia="仿宋_GB2312"/>
                      <w:b/>
                      <w:sz w:val="21"/>
                      <w:szCs w:val="21"/>
                    </w:rPr>
                    <w:t>指标</w:t>
                  </w:r>
                </w:p>
              </w:tc>
              <w:tc>
                <w:tcPr>
                  <w:tcW w:w="2837" w:type="pct"/>
                  <w:gridSpan w:val="3"/>
                  <w:vAlign w:val="center"/>
                </w:tcPr>
                <w:p w14:paraId="78251783">
                  <w:pPr>
                    <w:pStyle w:val="56"/>
                    <w:spacing w:before="24" w:after="24" w:line="240" w:lineRule="auto"/>
                    <w:rPr>
                      <w:rFonts w:ascii="Times New Roman" w:eastAsia="仿宋_GB2312"/>
                      <w:b/>
                      <w:sz w:val="21"/>
                      <w:szCs w:val="21"/>
                    </w:rPr>
                  </w:pPr>
                  <w:r>
                    <w:rPr>
                      <w:rFonts w:ascii="Times New Roman" w:eastAsia="仿宋_GB2312"/>
                      <w:b/>
                      <w:sz w:val="21"/>
                      <w:szCs w:val="21"/>
                    </w:rPr>
                    <w:t>无组织排放监控浓度限值mg/m</w:t>
                  </w:r>
                  <w:r>
                    <w:rPr>
                      <w:rFonts w:ascii="Times New Roman" w:eastAsia="仿宋_GB2312"/>
                      <w:b/>
                      <w:sz w:val="21"/>
                      <w:szCs w:val="21"/>
                      <w:vertAlign w:val="superscript"/>
                    </w:rPr>
                    <w:t>3</w:t>
                  </w:r>
                </w:p>
              </w:tc>
            </w:tr>
            <w:tr w14:paraId="62CC1F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329" w:type="pct"/>
                  <w:vMerge w:val="continue"/>
                  <w:vAlign w:val="center"/>
                </w:tcPr>
                <w:p w14:paraId="46BD1B30">
                  <w:pPr>
                    <w:pStyle w:val="56"/>
                    <w:spacing w:before="24" w:after="24" w:line="240" w:lineRule="auto"/>
                    <w:rPr>
                      <w:rFonts w:ascii="Times New Roman" w:eastAsia="仿宋_GB2312"/>
                      <w:b/>
                      <w:sz w:val="21"/>
                      <w:szCs w:val="21"/>
                    </w:rPr>
                  </w:pPr>
                </w:p>
              </w:tc>
              <w:tc>
                <w:tcPr>
                  <w:tcW w:w="834" w:type="pct"/>
                  <w:vMerge w:val="continue"/>
                  <w:vAlign w:val="center"/>
                </w:tcPr>
                <w:p w14:paraId="73EDD74F">
                  <w:pPr>
                    <w:pStyle w:val="56"/>
                    <w:spacing w:before="24" w:after="24" w:line="240" w:lineRule="auto"/>
                    <w:rPr>
                      <w:rFonts w:ascii="Times New Roman" w:eastAsia="仿宋_GB2312"/>
                      <w:b/>
                      <w:sz w:val="21"/>
                      <w:szCs w:val="21"/>
                    </w:rPr>
                  </w:pPr>
                </w:p>
              </w:tc>
              <w:tc>
                <w:tcPr>
                  <w:tcW w:w="1934" w:type="pct"/>
                  <w:gridSpan w:val="2"/>
                  <w:vAlign w:val="center"/>
                </w:tcPr>
                <w:p w14:paraId="74A487BA">
                  <w:pPr>
                    <w:pStyle w:val="56"/>
                    <w:spacing w:before="24" w:after="24" w:line="240" w:lineRule="auto"/>
                    <w:rPr>
                      <w:rFonts w:ascii="Times New Roman" w:eastAsia="仿宋_GB2312"/>
                      <w:b/>
                      <w:sz w:val="21"/>
                      <w:szCs w:val="21"/>
                    </w:rPr>
                  </w:pPr>
                  <w:r>
                    <w:rPr>
                      <w:rFonts w:ascii="Times New Roman" w:eastAsia="仿宋_GB2312"/>
                      <w:b/>
                      <w:sz w:val="21"/>
                      <w:szCs w:val="21"/>
                    </w:rPr>
                    <w:t>监控点</w:t>
                  </w:r>
                </w:p>
              </w:tc>
              <w:tc>
                <w:tcPr>
                  <w:tcW w:w="903" w:type="pct"/>
                  <w:vAlign w:val="center"/>
                </w:tcPr>
                <w:p w14:paraId="364DFE5C">
                  <w:pPr>
                    <w:pStyle w:val="56"/>
                    <w:spacing w:before="24" w:after="24" w:line="240" w:lineRule="auto"/>
                    <w:rPr>
                      <w:rFonts w:ascii="Times New Roman" w:eastAsia="仿宋_GB2312"/>
                      <w:b/>
                      <w:sz w:val="21"/>
                      <w:szCs w:val="21"/>
                    </w:rPr>
                  </w:pPr>
                  <w:r>
                    <w:rPr>
                      <w:rFonts w:ascii="Times New Roman" w:eastAsia="仿宋_GB2312"/>
                      <w:b/>
                      <w:sz w:val="21"/>
                      <w:szCs w:val="21"/>
                    </w:rPr>
                    <w:t>限值</w:t>
                  </w:r>
                </w:p>
              </w:tc>
            </w:tr>
            <w:tr w14:paraId="48A85E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8" w:hRule="atLeast"/>
                <w:jc w:val="center"/>
              </w:trPr>
              <w:tc>
                <w:tcPr>
                  <w:tcW w:w="1329" w:type="pct"/>
                  <w:vMerge w:val="restart"/>
                  <w:vAlign w:val="center"/>
                </w:tcPr>
                <w:p w14:paraId="6F89522C">
                  <w:pPr>
                    <w:pStyle w:val="56"/>
                    <w:spacing w:before="24" w:after="24" w:line="240" w:lineRule="auto"/>
                    <w:rPr>
                      <w:rFonts w:ascii="Times New Roman" w:eastAsia="仿宋_GB2312"/>
                      <w:sz w:val="21"/>
                      <w:szCs w:val="21"/>
                    </w:rPr>
                  </w:pPr>
                  <w:r>
                    <w:rPr>
                      <w:rFonts w:ascii="Times New Roman" w:eastAsia="仿宋_GB2312"/>
                      <w:sz w:val="21"/>
                      <w:szCs w:val="21"/>
                    </w:rPr>
                    <w:t>《大气污染物综合排放标准》（DB32/4041-2021）表2、表3中标准</w:t>
                  </w:r>
                </w:p>
              </w:tc>
              <w:tc>
                <w:tcPr>
                  <w:tcW w:w="834" w:type="pct"/>
                  <w:vAlign w:val="center"/>
                </w:tcPr>
                <w:p w14:paraId="0771F279">
                  <w:pPr>
                    <w:pStyle w:val="56"/>
                    <w:spacing w:before="24" w:after="24" w:line="240" w:lineRule="auto"/>
                    <w:rPr>
                      <w:rFonts w:ascii="Times New Roman" w:eastAsia="仿宋_GB2312"/>
                      <w:snapToGrid w:val="0"/>
                      <w:sz w:val="21"/>
                      <w:szCs w:val="21"/>
                    </w:rPr>
                  </w:pPr>
                  <w:r>
                    <w:rPr>
                      <w:rFonts w:ascii="Times New Roman" w:eastAsia="仿宋_GB2312"/>
                      <w:sz w:val="21"/>
                      <w:szCs w:val="21"/>
                    </w:rPr>
                    <w:t>颗粒物</w:t>
                  </w:r>
                </w:p>
              </w:tc>
              <w:tc>
                <w:tcPr>
                  <w:tcW w:w="1934" w:type="pct"/>
                  <w:gridSpan w:val="2"/>
                  <w:vAlign w:val="center"/>
                </w:tcPr>
                <w:p w14:paraId="279E11F7">
                  <w:pPr>
                    <w:pStyle w:val="56"/>
                    <w:spacing w:beforeLines="0" w:afterLines="0" w:line="240" w:lineRule="auto"/>
                    <w:rPr>
                      <w:rFonts w:ascii="Times New Roman" w:eastAsia="仿宋_GB2312"/>
                      <w:sz w:val="21"/>
                      <w:szCs w:val="21"/>
                    </w:rPr>
                  </w:pPr>
                  <w:r>
                    <w:rPr>
                      <w:rFonts w:ascii="Times New Roman" w:eastAsia="仿宋_GB2312"/>
                      <w:sz w:val="21"/>
                      <w:szCs w:val="21"/>
                    </w:rPr>
                    <w:t>周界外浓度最高点</w:t>
                  </w:r>
                </w:p>
              </w:tc>
              <w:tc>
                <w:tcPr>
                  <w:tcW w:w="903" w:type="pct"/>
                  <w:vAlign w:val="center"/>
                </w:tcPr>
                <w:p w14:paraId="28E4C376">
                  <w:pPr>
                    <w:pStyle w:val="56"/>
                    <w:spacing w:beforeLines="0" w:afterLines="0" w:line="240" w:lineRule="auto"/>
                    <w:rPr>
                      <w:rFonts w:ascii="Times New Roman" w:eastAsia="仿宋_GB2312"/>
                      <w:sz w:val="21"/>
                      <w:szCs w:val="21"/>
                    </w:rPr>
                  </w:pPr>
                  <w:r>
                    <w:rPr>
                      <w:rFonts w:hint="eastAsia" w:ascii="Times New Roman" w:eastAsia="仿宋_GB2312"/>
                      <w:sz w:val="21"/>
                      <w:szCs w:val="21"/>
                    </w:rPr>
                    <w:t>0.5</w:t>
                  </w:r>
                </w:p>
              </w:tc>
            </w:tr>
            <w:tr w14:paraId="1A8DA8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8" w:hRule="atLeast"/>
                <w:jc w:val="center"/>
              </w:trPr>
              <w:tc>
                <w:tcPr>
                  <w:tcW w:w="1329" w:type="pct"/>
                  <w:vMerge w:val="continue"/>
                  <w:vAlign w:val="center"/>
                </w:tcPr>
                <w:p w14:paraId="630C40E2">
                  <w:pPr>
                    <w:pStyle w:val="56"/>
                    <w:spacing w:before="24" w:after="24" w:line="240" w:lineRule="auto"/>
                    <w:rPr>
                      <w:rFonts w:ascii="Times New Roman" w:eastAsia="仿宋_GB2312"/>
                      <w:sz w:val="21"/>
                      <w:szCs w:val="21"/>
                    </w:rPr>
                  </w:pPr>
                </w:p>
              </w:tc>
              <w:tc>
                <w:tcPr>
                  <w:tcW w:w="834" w:type="pct"/>
                  <w:vAlign w:val="center"/>
                </w:tcPr>
                <w:p w14:paraId="6394CA3F">
                  <w:pPr>
                    <w:pStyle w:val="56"/>
                    <w:spacing w:before="24" w:after="24" w:line="240" w:lineRule="auto"/>
                    <w:rPr>
                      <w:rFonts w:ascii="Times New Roman" w:eastAsia="仿宋_GB2312"/>
                      <w:snapToGrid w:val="0"/>
                      <w:sz w:val="21"/>
                      <w:szCs w:val="21"/>
                    </w:rPr>
                  </w:pPr>
                  <w:r>
                    <w:rPr>
                      <w:rFonts w:ascii="Times New Roman" w:eastAsia="仿宋_GB2312"/>
                      <w:sz w:val="21"/>
                      <w:szCs w:val="21"/>
                    </w:rPr>
                    <w:t>氯化氢</w:t>
                  </w:r>
                </w:p>
              </w:tc>
              <w:tc>
                <w:tcPr>
                  <w:tcW w:w="1934" w:type="pct"/>
                  <w:gridSpan w:val="2"/>
                  <w:vAlign w:val="center"/>
                </w:tcPr>
                <w:p w14:paraId="1DCDBFDC">
                  <w:pPr>
                    <w:pStyle w:val="56"/>
                    <w:spacing w:beforeLines="0" w:afterLines="0" w:line="240" w:lineRule="auto"/>
                    <w:rPr>
                      <w:rFonts w:ascii="Times New Roman" w:eastAsia="仿宋_GB2312"/>
                      <w:sz w:val="21"/>
                      <w:szCs w:val="21"/>
                    </w:rPr>
                  </w:pPr>
                  <w:r>
                    <w:rPr>
                      <w:rFonts w:ascii="Times New Roman" w:eastAsia="仿宋_GB2312"/>
                      <w:sz w:val="21"/>
                      <w:szCs w:val="21"/>
                    </w:rPr>
                    <w:t>周界外浓度最高点</w:t>
                  </w:r>
                </w:p>
              </w:tc>
              <w:tc>
                <w:tcPr>
                  <w:tcW w:w="903" w:type="pct"/>
                  <w:vAlign w:val="center"/>
                </w:tcPr>
                <w:p w14:paraId="753E0FB5">
                  <w:pPr>
                    <w:pStyle w:val="56"/>
                    <w:spacing w:beforeLines="0" w:afterLines="0" w:line="240" w:lineRule="auto"/>
                    <w:rPr>
                      <w:rFonts w:ascii="Times New Roman" w:eastAsia="仿宋_GB2312"/>
                      <w:sz w:val="21"/>
                      <w:szCs w:val="21"/>
                    </w:rPr>
                  </w:pPr>
                  <w:r>
                    <w:rPr>
                      <w:rFonts w:ascii="Times New Roman" w:eastAsia="仿宋_GB2312"/>
                      <w:sz w:val="21"/>
                      <w:szCs w:val="21"/>
                    </w:rPr>
                    <w:t>0.</w:t>
                  </w:r>
                  <w:r>
                    <w:rPr>
                      <w:rFonts w:hint="eastAsia" w:ascii="Times New Roman" w:eastAsia="仿宋_GB2312"/>
                      <w:sz w:val="21"/>
                      <w:szCs w:val="21"/>
                    </w:rPr>
                    <w:t>05</w:t>
                  </w:r>
                </w:p>
              </w:tc>
            </w:tr>
            <w:tr w14:paraId="0A1AA2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8" w:hRule="atLeast"/>
                <w:jc w:val="center"/>
              </w:trPr>
              <w:tc>
                <w:tcPr>
                  <w:tcW w:w="1329" w:type="pct"/>
                  <w:vMerge w:val="continue"/>
                  <w:vAlign w:val="center"/>
                </w:tcPr>
                <w:p w14:paraId="40AEDE84">
                  <w:pPr>
                    <w:pStyle w:val="56"/>
                    <w:spacing w:before="24" w:after="24" w:line="240" w:lineRule="auto"/>
                    <w:rPr>
                      <w:rFonts w:ascii="Times New Roman" w:eastAsia="仿宋_GB2312"/>
                      <w:sz w:val="21"/>
                      <w:szCs w:val="21"/>
                    </w:rPr>
                  </w:pPr>
                </w:p>
              </w:tc>
              <w:tc>
                <w:tcPr>
                  <w:tcW w:w="834" w:type="pct"/>
                  <w:vMerge w:val="restart"/>
                  <w:vAlign w:val="center"/>
                </w:tcPr>
                <w:p w14:paraId="6E025D71">
                  <w:pPr>
                    <w:pStyle w:val="56"/>
                    <w:spacing w:before="24" w:after="24" w:line="240" w:lineRule="auto"/>
                    <w:rPr>
                      <w:rFonts w:ascii="Times New Roman" w:eastAsia="仿宋_GB2312"/>
                      <w:snapToGrid w:val="0"/>
                      <w:sz w:val="21"/>
                      <w:szCs w:val="21"/>
                    </w:rPr>
                  </w:pPr>
                  <w:r>
                    <w:rPr>
                      <w:rFonts w:ascii="Times New Roman" w:eastAsia="仿宋_GB2312"/>
                      <w:snapToGrid w:val="0"/>
                      <w:sz w:val="21"/>
                      <w:szCs w:val="21"/>
                    </w:rPr>
                    <w:t>非甲烷总烃</w:t>
                  </w:r>
                </w:p>
              </w:tc>
              <w:tc>
                <w:tcPr>
                  <w:tcW w:w="1934" w:type="pct"/>
                  <w:gridSpan w:val="2"/>
                  <w:vAlign w:val="center"/>
                </w:tcPr>
                <w:p w14:paraId="36B4832E">
                  <w:pPr>
                    <w:pStyle w:val="56"/>
                    <w:spacing w:beforeLines="0" w:afterLines="0" w:line="240" w:lineRule="auto"/>
                    <w:rPr>
                      <w:rFonts w:ascii="Times New Roman" w:eastAsia="仿宋_GB2312"/>
                      <w:snapToGrid w:val="0"/>
                      <w:sz w:val="21"/>
                      <w:szCs w:val="21"/>
                    </w:rPr>
                  </w:pPr>
                  <w:r>
                    <w:rPr>
                      <w:rFonts w:ascii="Times New Roman" w:eastAsia="仿宋_GB2312"/>
                      <w:sz w:val="21"/>
                      <w:szCs w:val="21"/>
                    </w:rPr>
                    <w:t>周界外浓度最高点</w:t>
                  </w:r>
                </w:p>
              </w:tc>
              <w:tc>
                <w:tcPr>
                  <w:tcW w:w="903" w:type="pct"/>
                  <w:vAlign w:val="center"/>
                </w:tcPr>
                <w:p w14:paraId="68A4E9CD">
                  <w:pPr>
                    <w:pStyle w:val="56"/>
                    <w:spacing w:beforeLines="0" w:afterLines="0" w:line="240" w:lineRule="auto"/>
                    <w:rPr>
                      <w:rFonts w:ascii="Times New Roman" w:eastAsia="仿宋_GB2312"/>
                      <w:sz w:val="21"/>
                      <w:szCs w:val="21"/>
                    </w:rPr>
                  </w:pPr>
                  <w:r>
                    <w:rPr>
                      <w:rFonts w:ascii="Times New Roman" w:eastAsia="仿宋_GB2312"/>
                      <w:sz w:val="21"/>
                      <w:szCs w:val="21"/>
                    </w:rPr>
                    <w:t>4.0</w:t>
                  </w:r>
                </w:p>
              </w:tc>
            </w:tr>
            <w:tr w14:paraId="61D209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8" w:hRule="atLeast"/>
                <w:jc w:val="center"/>
              </w:trPr>
              <w:tc>
                <w:tcPr>
                  <w:tcW w:w="1329" w:type="pct"/>
                  <w:vMerge w:val="continue"/>
                  <w:vAlign w:val="center"/>
                </w:tcPr>
                <w:p w14:paraId="55B216E3">
                  <w:pPr>
                    <w:pStyle w:val="56"/>
                    <w:spacing w:before="24" w:after="24" w:line="240" w:lineRule="auto"/>
                    <w:rPr>
                      <w:rFonts w:ascii="Times New Roman"/>
                      <w:sz w:val="21"/>
                      <w:szCs w:val="21"/>
                    </w:rPr>
                  </w:pPr>
                </w:p>
              </w:tc>
              <w:tc>
                <w:tcPr>
                  <w:tcW w:w="834" w:type="pct"/>
                  <w:vMerge w:val="continue"/>
                  <w:vAlign w:val="center"/>
                </w:tcPr>
                <w:p w14:paraId="2615E17A">
                  <w:pPr>
                    <w:pStyle w:val="56"/>
                    <w:spacing w:before="24" w:after="24" w:line="240" w:lineRule="auto"/>
                    <w:rPr>
                      <w:rFonts w:ascii="Times New Roman"/>
                      <w:sz w:val="21"/>
                      <w:szCs w:val="21"/>
                    </w:rPr>
                  </w:pPr>
                </w:p>
              </w:tc>
              <w:tc>
                <w:tcPr>
                  <w:tcW w:w="644" w:type="pct"/>
                  <w:vMerge w:val="restart"/>
                  <w:vAlign w:val="center"/>
                </w:tcPr>
                <w:p w14:paraId="340A418F">
                  <w:pPr>
                    <w:pStyle w:val="56"/>
                    <w:spacing w:beforeLines="0" w:afterLines="0" w:line="240" w:lineRule="auto"/>
                    <w:rPr>
                      <w:rFonts w:ascii="Times New Roman" w:eastAsia="仿宋_GB2312"/>
                      <w:sz w:val="21"/>
                      <w:szCs w:val="21"/>
                    </w:rPr>
                  </w:pPr>
                  <w:r>
                    <w:rPr>
                      <w:rFonts w:ascii="Times New Roman" w:eastAsia="仿宋_GB2312"/>
                      <w:sz w:val="21"/>
                      <w:szCs w:val="21"/>
                    </w:rPr>
                    <w:t>在厂房外设置监控点</w:t>
                  </w:r>
                </w:p>
              </w:tc>
              <w:tc>
                <w:tcPr>
                  <w:tcW w:w="1290" w:type="pct"/>
                  <w:vAlign w:val="center"/>
                </w:tcPr>
                <w:p w14:paraId="7E976A7D">
                  <w:pPr>
                    <w:pStyle w:val="56"/>
                    <w:spacing w:beforeLines="0" w:afterLines="0" w:line="240" w:lineRule="auto"/>
                    <w:rPr>
                      <w:rFonts w:ascii="Times New Roman" w:eastAsia="仿宋_GB2312"/>
                      <w:sz w:val="21"/>
                      <w:szCs w:val="21"/>
                    </w:rPr>
                  </w:pPr>
                  <w:r>
                    <w:rPr>
                      <w:rFonts w:ascii="Times New Roman" w:eastAsia="仿宋_GB2312"/>
                      <w:sz w:val="21"/>
                      <w:szCs w:val="21"/>
                    </w:rPr>
                    <w:t>监控点处1h平均浓度值</w:t>
                  </w:r>
                </w:p>
              </w:tc>
              <w:tc>
                <w:tcPr>
                  <w:tcW w:w="903" w:type="pct"/>
                  <w:vAlign w:val="center"/>
                </w:tcPr>
                <w:p w14:paraId="6D3553AF">
                  <w:pPr>
                    <w:pStyle w:val="56"/>
                    <w:spacing w:beforeLines="0" w:afterLines="0" w:line="240" w:lineRule="auto"/>
                    <w:rPr>
                      <w:rFonts w:ascii="Times New Roman" w:eastAsia="仿宋_GB2312"/>
                      <w:sz w:val="21"/>
                      <w:szCs w:val="21"/>
                    </w:rPr>
                  </w:pPr>
                  <w:r>
                    <w:rPr>
                      <w:rFonts w:ascii="Times New Roman" w:eastAsia="仿宋_GB2312"/>
                      <w:sz w:val="21"/>
                      <w:szCs w:val="21"/>
                    </w:rPr>
                    <w:t>6</w:t>
                  </w:r>
                </w:p>
              </w:tc>
            </w:tr>
            <w:tr w14:paraId="74D948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8" w:hRule="atLeast"/>
                <w:jc w:val="center"/>
              </w:trPr>
              <w:tc>
                <w:tcPr>
                  <w:tcW w:w="1329" w:type="pct"/>
                  <w:vMerge w:val="continue"/>
                  <w:vAlign w:val="center"/>
                </w:tcPr>
                <w:p w14:paraId="07834F22">
                  <w:pPr>
                    <w:pStyle w:val="56"/>
                    <w:spacing w:before="24" w:after="24" w:line="240" w:lineRule="auto"/>
                    <w:rPr>
                      <w:rFonts w:ascii="Times New Roman" w:eastAsia="仿宋_GB2312"/>
                      <w:sz w:val="21"/>
                      <w:szCs w:val="21"/>
                    </w:rPr>
                  </w:pPr>
                </w:p>
              </w:tc>
              <w:tc>
                <w:tcPr>
                  <w:tcW w:w="834" w:type="pct"/>
                  <w:vMerge w:val="continue"/>
                  <w:vAlign w:val="center"/>
                </w:tcPr>
                <w:p w14:paraId="0112789C">
                  <w:pPr>
                    <w:pStyle w:val="56"/>
                    <w:spacing w:before="24" w:after="24" w:line="240" w:lineRule="auto"/>
                    <w:rPr>
                      <w:rFonts w:ascii="Times New Roman" w:eastAsia="仿宋_GB2312"/>
                      <w:sz w:val="21"/>
                      <w:szCs w:val="21"/>
                    </w:rPr>
                  </w:pPr>
                </w:p>
              </w:tc>
              <w:tc>
                <w:tcPr>
                  <w:tcW w:w="644" w:type="pct"/>
                  <w:vMerge w:val="continue"/>
                  <w:vAlign w:val="center"/>
                </w:tcPr>
                <w:p w14:paraId="25EC29CF">
                  <w:pPr>
                    <w:pStyle w:val="56"/>
                    <w:spacing w:beforeLines="0" w:afterLines="0" w:line="240" w:lineRule="auto"/>
                    <w:rPr>
                      <w:rFonts w:ascii="Times New Roman" w:eastAsia="仿宋_GB2312"/>
                      <w:sz w:val="21"/>
                      <w:szCs w:val="21"/>
                    </w:rPr>
                  </w:pPr>
                </w:p>
              </w:tc>
              <w:tc>
                <w:tcPr>
                  <w:tcW w:w="1290" w:type="pct"/>
                  <w:vAlign w:val="center"/>
                </w:tcPr>
                <w:p w14:paraId="6DEC5E59">
                  <w:pPr>
                    <w:pStyle w:val="56"/>
                    <w:spacing w:beforeLines="0" w:afterLines="0" w:line="240" w:lineRule="auto"/>
                    <w:rPr>
                      <w:rFonts w:ascii="Times New Roman" w:eastAsia="仿宋_GB2312"/>
                      <w:sz w:val="21"/>
                      <w:szCs w:val="21"/>
                    </w:rPr>
                  </w:pPr>
                  <w:r>
                    <w:rPr>
                      <w:rFonts w:ascii="Times New Roman" w:eastAsia="仿宋_GB2312"/>
                      <w:sz w:val="21"/>
                      <w:szCs w:val="21"/>
                    </w:rPr>
                    <w:t>监控点处任意一次浓度值</w:t>
                  </w:r>
                </w:p>
              </w:tc>
              <w:tc>
                <w:tcPr>
                  <w:tcW w:w="903" w:type="pct"/>
                  <w:vAlign w:val="center"/>
                </w:tcPr>
                <w:p w14:paraId="5015B5B3">
                  <w:pPr>
                    <w:pStyle w:val="56"/>
                    <w:spacing w:beforeLines="0" w:afterLines="0" w:line="240" w:lineRule="auto"/>
                    <w:rPr>
                      <w:rFonts w:ascii="Times New Roman" w:eastAsia="仿宋_GB2312"/>
                      <w:sz w:val="21"/>
                      <w:szCs w:val="21"/>
                    </w:rPr>
                  </w:pPr>
                  <w:r>
                    <w:rPr>
                      <w:rFonts w:ascii="Times New Roman" w:eastAsia="仿宋_GB2312"/>
                      <w:sz w:val="21"/>
                      <w:szCs w:val="21"/>
                    </w:rPr>
                    <w:t>20</w:t>
                  </w:r>
                </w:p>
              </w:tc>
            </w:tr>
          </w:tbl>
          <w:p w14:paraId="7EB6E80B">
            <w:pPr>
              <w:pStyle w:val="17"/>
              <w:numPr>
                <w:ilvl w:val="0"/>
                <w:numId w:val="0"/>
              </w:numPr>
              <w:spacing w:line="360" w:lineRule="auto"/>
              <w:ind w:firstLine="422" w:firstLineChars="200"/>
              <w:rPr>
                <w:rFonts w:eastAsia="仿宋_GB2312"/>
                <w:b/>
                <w:bCs/>
              </w:rPr>
            </w:pPr>
            <w:r>
              <w:rPr>
                <w:rFonts w:hint="eastAsia" w:eastAsia="仿宋_GB2312"/>
                <w:b/>
                <w:bCs/>
              </w:rPr>
              <w:t>2、废水：</w:t>
            </w:r>
          </w:p>
          <w:p w14:paraId="20782406">
            <w:pPr>
              <w:pStyle w:val="17"/>
              <w:numPr>
                <w:ilvl w:val="0"/>
                <w:numId w:val="0"/>
              </w:numPr>
              <w:spacing w:line="360" w:lineRule="auto"/>
              <w:ind w:firstLine="420" w:firstLineChars="200"/>
              <w:rPr>
                <w:rFonts w:eastAsia="仿宋_GB2312"/>
              </w:rPr>
            </w:pPr>
            <w:r>
              <w:rPr>
                <w:rFonts w:hint="eastAsia" w:eastAsia="仿宋_GB2312"/>
              </w:rPr>
              <w:t>（1）施工期</w:t>
            </w:r>
          </w:p>
          <w:p w14:paraId="64923AB7">
            <w:pPr>
              <w:pStyle w:val="17"/>
              <w:numPr>
                <w:ilvl w:val="0"/>
                <w:numId w:val="0"/>
              </w:numPr>
              <w:spacing w:line="360" w:lineRule="auto"/>
              <w:ind w:firstLine="420" w:firstLineChars="200"/>
              <w:rPr>
                <w:rFonts w:hint="eastAsia" w:eastAsia="仿宋_GB2312"/>
              </w:rPr>
            </w:pPr>
            <w:r>
              <w:rPr>
                <w:rFonts w:hint="eastAsia" w:eastAsia="仿宋_GB2312"/>
              </w:rPr>
              <w:t>施工期生活污水通过污水管网接管至常州市金坛第二污水处理厂处理，接管标准执行金坛第二污水处理厂接管标准，尾水排放执行《太湖地区城镇污水处理厂及重点工业行业水污染物排放限值》（DB 32/1072-2018）表2和《城镇污水处理厂污染物排放标准》（GB 18918-2002）表1一级A标准，2026年3月28日起污水处理厂排放口执行《城镇污水处理厂污染物排放标准》（DB32/4440-2022）表1C标准。具体标准值见表3-8；施工废水经沉淀从严执行《城市污水再生利用城市杂用水水质》(GB/T18920-2020)中“冲厕、车辆冲洗”标准后回用至施工现场，具体标准值见表3-9。</w:t>
            </w:r>
          </w:p>
          <w:p w14:paraId="5835531E">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eastAsia="仿宋_GB2312"/>
                <w:b/>
                <w:bCs/>
              </w:rPr>
            </w:pPr>
            <w:r>
              <w:rPr>
                <w:rFonts w:hint="eastAsia" w:eastAsia="仿宋_GB2312"/>
                <w:b/>
                <w:bCs/>
              </w:rPr>
              <w:t>表3-8</w:t>
            </w:r>
            <w:r>
              <w:rPr>
                <w:rFonts w:hint="eastAsia" w:eastAsia="仿宋_GB2312"/>
                <w:b/>
                <w:bCs/>
                <w:lang w:val="en-US" w:eastAsia="zh-CN"/>
              </w:rPr>
              <w:t xml:space="preserve">  </w:t>
            </w:r>
            <w:r>
              <w:rPr>
                <w:rFonts w:hint="eastAsia" w:eastAsia="仿宋_GB2312"/>
                <w:b/>
                <w:bCs/>
              </w:rPr>
              <w:t>水污染物排放标准（单位：mg/L）</w:t>
            </w:r>
          </w:p>
          <w:tbl>
            <w:tblPr>
              <w:tblStyle w:val="31"/>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187"/>
              <w:gridCol w:w="2110"/>
              <w:gridCol w:w="1687"/>
              <w:gridCol w:w="1126"/>
              <w:gridCol w:w="842"/>
              <w:gridCol w:w="1016"/>
            </w:tblGrid>
            <w:tr w14:paraId="67F7255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jc w:val="center"/>
              </w:trPr>
              <w:tc>
                <w:tcPr>
                  <w:tcW w:w="1187" w:type="dxa"/>
                  <w:vAlign w:val="center"/>
                </w:tcPr>
                <w:p w14:paraId="148B5CED">
                  <w:pPr>
                    <w:pStyle w:val="69"/>
                    <w:adjustRightInd w:val="0"/>
                    <w:snapToGrid w:val="0"/>
                    <w:jc w:val="center"/>
                    <w:rPr>
                      <w:rFonts w:ascii="Times New Roman" w:hAnsi="Times New Roman" w:eastAsia="仿宋_GB2312" w:cs="Times New Roman"/>
                      <w:b/>
                      <w:snapToGrid w:val="0"/>
                      <w:kern w:val="0"/>
                      <w:sz w:val="21"/>
                      <w:szCs w:val="21"/>
                    </w:rPr>
                  </w:pPr>
                  <w:r>
                    <w:rPr>
                      <w:rFonts w:ascii="Times New Roman" w:hAnsi="Times New Roman" w:eastAsia="仿宋_GB2312" w:cs="Times New Roman"/>
                      <w:b/>
                      <w:snapToGrid w:val="0"/>
                      <w:kern w:val="0"/>
                      <w:sz w:val="21"/>
                      <w:szCs w:val="21"/>
                    </w:rPr>
                    <w:t>排放口名称</w:t>
                  </w:r>
                </w:p>
              </w:tc>
              <w:tc>
                <w:tcPr>
                  <w:tcW w:w="2110" w:type="dxa"/>
                  <w:vAlign w:val="center"/>
                </w:tcPr>
                <w:p w14:paraId="59E39C18">
                  <w:pPr>
                    <w:pStyle w:val="69"/>
                    <w:adjustRightInd w:val="0"/>
                    <w:snapToGrid w:val="0"/>
                    <w:jc w:val="center"/>
                    <w:rPr>
                      <w:rFonts w:ascii="Times New Roman" w:hAnsi="Times New Roman" w:eastAsia="仿宋_GB2312" w:cs="Times New Roman"/>
                      <w:b/>
                      <w:snapToGrid w:val="0"/>
                      <w:kern w:val="0"/>
                      <w:sz w:val="21"/>
                      <w:szCs w:val="21"/>
                    </w:rPr>
                  </w:pPr>
                  <w:r>
                    <w:rPr>
                      <w:rFonts w:ascii="Times New Roman" w:hAnsi="Times New Roman" w:eastAsia="仿宋_GB2312" w:cs="Times New Roman"/>
                      <w:b/>
                      <w:snapToGrid w:val="0"/>
                      <w:kern w:val="0"/>
                      <w:sz w:val="21"/>
                      <w:szCs w:val="21"/>
                    </w:rPr>
                    <w:t>执行标准</w:t>
                  </w:r>
                </w:p>
              </w:tc>
              <w:tc>
                <w:tcPr>
                  <w:tcW w:w="1687" w:type="dxa"/>
                  <w:vAlign w:val="center"/>
                </w:tcPr>
                <w:p w14:paraId="5A15DEBB">
                  <w:pPr>
                    <w:pStyle w:val="69"/>
                    <w:adjustRightInd w:val="0"/>
                    <w:snapToGrid w:val="0"/>
                    <w:jc w:val="center"/>
                    <w:rPr>
                      <w:rFonts w:ascii="Times New Roman" w:hAnsi="Times New Roman" w:eastAsia="仿宋_GB2312" w:cs="Times New Roman"/>
                      <w:b/>
                      <w:snapToGrid w:val="0"/>
                      <w:kern w:val="0"/>
                      <w:sz w:val="21"/>
                      <w:szCs w:val="21"/>
                    </w:rPr>
                  </w:pPr>
                  <w:r>
                    <w:rPr>
                      <w:rFonts w:ascii="Times New Roman" w:hAnsi="Times New Roman" w:eastAsia="仿宋_GB2312" w:cs="Times New Roman"/>
                      <w:b/>
                      <w:snapToGrid w:val="0"/>
                      <w:kern w:val="0"/>
                      <w:sz w:val="21"/>
                      <w:szCs w:val="21"/>
                    </w:rPr>
                    <w:t>取值表号及级别</w:t>
                  </w:r>
                </w:p>
              </w:tc>
              <w:tc>
                <w:tcPr>
                  <w:tcW w:w="1126" w:type="dxa"/>
                  <w:vAlign w:val="center"/>
                </w:tcPr>
                <w:p w14:paraId="5DE4A7D4">
                  <w:pPr>
                    <w:pStyle w:val="69"/>
                    <w:adjustRightInd w:val="0"/>
                    <w:snapToGrid w:val="0"/>
                    <w:jc w:val="center"/>
                    <w:rPr>
                      <w:rFonts w:ascii="Times New Roman" w:hAnsi="Times New Roman" w:eastAsia="仿宋_GB2312" w:cs="Times New Roman"/>
                      <w:b/>
                      <w:snapToGrid w:val="0"/>
                      <w:kern w:val="0"/>
                      <w:sz w:val="21"/>
                      <w:szCs w:val="21"/>
                    </w:rPr>
                  </w:pPr>
                  <w:r>
                    <w:rPr>
                      <w:rFonts w:ascii="Times New Roman" w:hAnsi="Times New Roman" w:eastAsia="仿宋_GB2312" w:cs="Times New Roman"/>
                      <w:b/>
                      <w:snapToGrid w:val="0"/>
                      <w:kern w:val="0"/>
                      <w:sz w:val="21"/>
                      <w:szCs w:val="21"/>
                    </w:rPr>
                    <w:t>污染物指标</w:t>
                  </w:r>
                </w:p>
              </w:tc>
              <w:tc>
                <w:tcPr>
                  <w:tcW w:w="842" w:type="dxa"/>
                  <w:vAlign w:val="center"/>
                </w:tcPr>
                <w:p w14:paraId="415CFA8F">
                  <w:pPr>
                    <w:pStyle w:val="69"/>
                    <w:adjustRightInd w:val="0"/>
                    <w:snapToGrid w:val="0"/>
                    <w:jc w:val="center"/>
                    <w:rPr>
                      <w:rFonts w:ascii="Times New Roman" w:hAnsi="Times New Roman" w:eastAsia="仿宋_GB2312" w:cs="Times New Roman"/>
                      <w:b/>
                      <w:snapToGrid w:val="0"/>
                      <w:kern w:val="0"/>
                      <w:sz w:val="21"/>
                      <w:szCs w:val="21"/>
                    </w:rPr>
                  </w:pPr>
                  <w:r>
                    <w:rPr>
                      <w:rFonts w:ascii="Times New Roman" w:hAnsi="Times New Roman" w:eastAsia="仿宋_GB2312" w:cs="Times New Roman"/>
                      <w:b/>
                      <w:snapToGrid w:val="0"/>
                      <w:kern w:val="0"/>
                      <w:sz w:val="21"/>
                      <w:szCs w:val="21"/>
                    </w:rPr>
                    <w:t>单位</w:t>
                  </w:r>
                </w:p>
              </w:tc>
              <w:tc>
                <w:tcPr>
                  <w:tcW w:w="1016" w:type="dxa"/>
                  <w:vAlign w:val="center"/>
                </w:tcPr>
                <w:p w14:paraId="337F3464">
                  <w:pPr>
                    <w:pStyle w:val="69"/>
                    <w:adjustRightInd w:val="0"/>
                    <w:snapToGrid w:val="0"/>
                    <w:jc w:val="center"/>
                    <w:rPr>
                      <w:rFonts w:ascii="Times New Roman" w:hAnsi="Times New Roman" w:eastAsia="仿宋_GB2312" w:cs="Times New Roman"/>
                      <w:b/>
                      <w:snapToGrid w:val="0"/>
                      <w:kern w:val="0"/>
                      <w:sz w:val="21"/>
                      <w:szCs w:val="21"/>
                    </w:rPr>
                  </w:pPr>
                  <w:r>
                    <w:rPr>
                      <w:rFonts w:ascii="Times New Roman" w:hAnsi="Times New Roman" w:eastAsia="仿宋_GB2312" w:cs="Times New Roman"/>
                      <w:b/>
                      <w:snapToGrid w:val="0"/>
                      <w:kern w:val="0"/>
                      <w:sz w:val="21"/>
                      <w:szCs w:val="21"/>
                    </w:rPr>
                    <w:t>标准限值</w:t>
                  </w:r>
                </w:p>
              </w:tc>
            </w:tr>
            <w:tr w14:paraId="49A2744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187" w:type="dxa"/>
                  <w:vMerge w:val="restart"/>
                  <w:vAlign w:val="center"/>
                </w:tcPr>
                <w:p w14:paraId="0535F291">
                  <w:pPr>
                    <w:pStyle w:val="69"/>
                    <w:adjustRightInd w:val="0"/>
                    <w:snapToGrid w:val="0"/>
                    <w:jc w:val="center"/>
                    <w:rPr>
                      <w:rFonts w:ascii="Times New Roman" w:hAnsi="Times New Roman" w:eastAsia="仿宋_GB2312" w:cs="Times New Roman"/>
                      <w:snapToGrid w:val="0"/>
                      <w:kern w:val="0"/>
                      <w:sz w:val="21"/>
                      <w:szCs w:val="21"/>
                    </w:rPr>
                  </w:pPr>
                  <w:r>
                    <w:rPr>
                      <w:rFonts w:ascii="Times New Roman" w:hAnsi="Times New Roman" w:eastAsia="仿宋_GB2312" w:cs="Times New Roman"/>
                      <w:snapToGrid w:val="0"/>
                      <w:kern w:val="0"/>
                      <w:sz w:val="21"/>
                      <w:szCs w:val="21"/>
                    </w:rPr>
                    <w:t>金坛第二污水处理厂接管口</w:t>
                  </w:r>
                </w:p>
              </w:tc>
              <w:tc>
                <w:tcPr>
                  <w:tcW w:w="2110" w:type="dxa"/>
                  <w:vMerge w:val="restart"/>
                  <w:vAlign w:val="center"/>
                </w:tcPr>
                <w:p w14:paraId="13BC5D26">
                  <w:pPr>
                    <w:pStyle w:val="69"/>
                    <w:adjustRightInd w:val="0"/>
                    <w:snapToGrid w:val="0"/>
                    <w:jc w:val="center"/>
                    <w:rPr>
                      <w:rFonts w:ascii="Times New Roman" w:hAnsi="Times New Roman" w:eastAsia="仿宋_GB2312" w:cs="Times New Roman"/>
                      <w:snapToGrid w:val="0"/>
                      <w:kern w:val="0"/>
                      <w:sz w:val="21"/>
                      <w:szCs w:val="21"/>
                    </w:rPr>
                  </w:pPr>
                  <w:r>
                    <w:rPr>
                      <w:rFonts w:ascii="Times New Roman" w:hAnsi="Times New Roman" w:eastAsia="仿宋_GB2312" w:cs="Times New Roman"/>
                      <w:snapToGrid w:val="0"/>
                      <w:kern w:val="0"/>
                      <w:sz w:val="21"/>
                      <w:szCs w:val="21"/>
                    </w:rPr>
                    <w:t>金坛第二污水处理厂接管标准</w:t>
                  </w:r>
                </w:p>
              </w:tc>
              <w:tc>
                <w:tcPr>
                  <w:tcW w:w="1687" w:type="dxa"/>
                  <w:vMerge w:val="restart"/>
                  <w:vAlign w:val="center"/>
                </w:tcPr>
                <w:p w14:paraId="1E42C3EC">
                  <w:pPr>
                    <w:pStyle w:val="69"/>
                    <w:adjustRightInd w:val="0"/>
                    <w:snapToGrid w:val="0"/>
                    <w:jc w:val="center"/>
                    <w:rPr>
                      <w:rFonts w:ascii="Times New Roman" w:hAnsi="Times New Roman" w:eastAsia="仿宋_GB2312" w:cs="Times New Roman"/>
                      <w:snapToGrid w:val="0"/>
                      <w:kern w:val="0"/>
                      <w:sz w:val="21"/>
                      <w:szCs w:val="21"/>
                    </w:rPr>
                  </w:pPr>
                  <w:r>
                    <w:rPr>
                      <w:rFonts w:ascii="Times New Roman" w:hAnsi="Times New Roman" w:eastAsia="仿宋_GB2312" w:cs="Times New Roman"/>
                      <w:snapToGrid w:val="0"/>
                      <w:kern w:val="0"/>
                      <w:sz w:val="21"/>
                      <w:szCs w:val="21"/>
                    </w:rPr>
                    <w:t>/</w:t>
                  </w:r>
                </w:p>
              </w:tc>
              <w:tc>
                <w:tcPr>
                  <w:tcW w:w="1126" w:type="dxa"/>
                  <w:vAlign w:val="center"/>
                </w:tcPr>
                <w:p w14:paraId="26C6DB45">
                  <w:pPr>
                    <w:pStyle w:val="69"/>
                    <w:adjustRightInd w:val="0"/>
                    <w:snapToGrid w:val="0"/>
                    <w:jc w:val="center"/>
                    <w:rPr>
                      <w:rFonts w:ascii="Times New Roman" w:hAnsi="Times New Roman" w:eastAsia="仿宋_GB2312" w:cs="Times New Roman"/>
                      <w:snapToGrid w:val="0"/>
                      <w:kern w:val="0"/>
                      <w:sz w:val="21"/>
                      <w:szCs w:val="21"/>
                    </w:rPr>
                  </w:pPr>
                  <w:r>
                    <w:rPr>
                      <w:rFonts w:ascii="Times New Roman" w:hAnsi="Times New Roman" w:eastAsia="仿宋_GB2312" w:cs="Times New Roman"/>
                      <w:snapToGrid w:val="0"/>
                      <w:kern w:val="0"/>
                      <w:sz w:val="21"/>
                      <w:szCs w:val="21"/>
                    </w:rPr>
                    <w:t>pH</w:t>
                  </w:r>
                </w:p>
              </w:tc>
              <w:tc>
                <w:tcPr>
                  <w:tcW w:w="842" w:type="dxa"/>
                  <w:vAlign w:val="center"/>
                </w:tcPr>
                <w:p w14:paraId="6D8C79E4">
                  <w:pPr>
                    <w:pStyle w:val="69"/>
                    <w:adjustRightInd w:val="0"/>
                    <w:snapToGrid w:val="0"/>
                    <w:jc w:val="center"/>
                    <w:rPr>
                      <w:rFonts w:ascii="Times New Roman" w:hAnsi="Times New Roman" w:eastAsia="仿宋_GB2312" w:cs="Times New Roman"/>
                      <w:snapToGrid w:val="0"/>
                      <w:kern w:val="0"/>
                      <w:sz w:val="21"/>
                      <w:szCs w:val="21"/>
                    </w:rPr>
                  </w:pPr>
                  <w:r>
                    <w:rPr>
                      <w:rFonts w:ascii="Times New Roman" w:hAnsi="Times New Roman" w:eastAsia="仿宋_GB2312" w:cs="Times New Roman"/>
                      <w:snapToGrid w:val="0"/>
                      <w:kern w:val="0"/>
                      <w:sz w:val="21"/>
                      <w:szCs w:val="21"/>
                    </w:rPr>
                    <w:t>－</w:t>
                  </w:r>
                </w:p>
              </w:tc>
              <w:tc>
                <w:tcPr>
                  <w:tcW w:w="1016" w:type="dxa"/>
                  <w:vAlign w:val="center"/>
                </w:tcPr>
                <w:p w14:paraId="3C7879BC">
                  <w:pPr>
                    <w:pStyle w:val="69"/>
                    <w:adjustRightInd w:val="0"/>
                    <w:snapToGrid w:val="0"/>
                    <w:jc w:val="center"/>
                    <w:rPr>
                      <w:rFonts w:ascii="Times New Roman" w:hAnsi="Times New Roman" w:eastAsia="仿宋_GB2312" w:cs="Times New Roman"/>
                      <w:snapToGrid w:val="0"/>
                      <w:kern w:val="0"/>
                      <w:sz w:val="21"/>
                      <w:szCs w:val="21"/>
                    </w:rPr>
                  </w:pPr>
                  <w:r>
                    <w:rPr>
                      <w:rFonts w:ascii="Times New Roman" w:hAnsi="Times New Roman" w:eastAsia="仿宋_GB2312" w:cs="Times New Roman"/>
                      <w:snapToGrid w:val="0"/>
                      <w:kern w:val="0"/>
                      <w:sz w:val="21"/>
                      <w:szCs w:val="21"/>
                    </w:rPr>
                    <w:t>6～9</w:t>
                  </w:r>
                </w:p>
              </w:tc>
            </w:tr>
            <w:tr w14:paraId="463C242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187" w:type="dxa"/>
                  <w:vMerge w:val="continue"/>
                  <w:vAlign w:val="center"/>
                </w:tcPr>
                <w:p w14:paraId="4A6E0132">
                  <w:pPr>
                    <w:pStyle w:val="69"/>
                    <w:adjustRightInd w:val="0"/>
                    <w:snapToGrid w:val="0"/>
                    <w:jc w:val="center"/>
                    <w:rPr>
                      <w:rFonts w:ascii="Times New Roman" w:hAnsi="Times New Roman" w:eastAsia="仿宋_GB2312" w:cs="Times New Roman"/>
                      <w:snapToGrid w:val="0"/>
                      <w:kern w:val="0"/>
                      <w:sz w:val="21"/>
                      <w:szCs w:val="21"/>
                    </w:rPr>
                  </w:pPr>
                </w:p>
              </w:tc>
              <w:tc>
                <w:tcPr>
                  <w:tcW w:w="2110" w:type="dxa"/>
                  <w:vMerge w:val="continue"/>
                  <w:vAlign w:val="center"/>
                </w:tcPr>
                <w:p w14:paraId="448A0250">
                  <w:pPr>
                    <w:pStyle w:val="69"/>
                    <w:adjustRightInd w:val="0"/>
                    <w:snapToGrid w:val="0"/>
                    <w:jc w:val="center"/>
                    <w:rPr>
                      <w:rFonts w:ascii="Times New Roman" w:hAnsi="Times New Roman" w:eastAsia="仿宋_GB2312" w:cs="Times New Roman"/>
                      <w:snapToGrid w:val="0"/>
                      <w:kern w:val="0"/>
                      <w:sz w:val="21"/>
                      <w:szCs w:val="21"/>
                    </w:rPr>
                  </w:pPr>
                </w:p>
              </w:tc>
              <w:tc>
                <w:tcPr>
                  <w:tcW w:w="1687" w:type="dxa"/>
                  <w:vMerge w:val="continue"/>
                  <w:vAlign w:val="center"/>
                </w:tcPr>
                <w:p w14:paraId="37614BA3">
                  <w:pPr>
                    <w:pStyle w:val="69"/>
                    <w:adjustRightInd w:val="0"/>
                    <w:snapToGrid w:val="0"/>
                    <w:jc w:val="center"/>
                    <w:rPr>
                      <w:rFonts w:ascii="Times New Roman" w:hAnsi="Times New Roman" w:eastAsia="仿宋_GB2312" w:cs="Times New Roman"/>
                      <w:snapToGrid w:val="0"/>
                      <w:kern w:val="0"/>
                      <w:sz w:val="21"/>
                      <w:szCs w:val="21"/>
                    </w:rPr>
                  </w:pPr>
                </w:p>
              </w:tc>
              <w:tc>
                <w:tcPr>
                  <w:tcW w:w="1126" w:type="dxa"/>
                  <w:vAlign w:val="center"/>
                </w:tcPr>
                <w:p w14:paraId="176221F7">
                  <w:pPr>
                    <w:pStyle w:val="69"/>
                    <w:adjustRightInd w:val="0"/>
                    <w:snapToGrid w:val="0"/>
                    <w:jc w:val="center"/>
                    <w:rPr>
                      <w:rFonts w:ascii="Times New Roman" w:hAnsi="Times New Roman" w:eastAsia="仿宋_GB2312" w:cs="Times New Roman"/>
                      <w:snapToGrid w:val="0"/>
                      <w:kern w:val="0"/>
                      <w:sz w:val="21"/>
                      <w:szCs w:val="21"/>
                    </w:rPr>
                  </w:pPr>
                  <w:r>
                    <w:rPr>
                      <w:rFonts w:ascii="Times New Roman" w:hAnsi="Times New Roman" w:eastAsia="仿宋_GB2312" w:cs="Times New Roman"/>
                      <w:snapToGrid w:val="0"/>
                      <w:kern w:val="0"/>
                      <w:sz w:val="21"/>
                      <w:szCs w:val="21"/>
                    </w:rPr>
                    <w:t>COD</w:t>
                  </w:r>
                </w:p>
              </w:tc>
              <w:tc>
                <w:tcPr>
                  <w:tcW w:w="842" w:type="dxa"/>
                  <w:vAlign w:val="center"/>
                </w:tcPr>
                <w:p w14:paraId="2DAE9CB8">
                  <w:pPr>
                    <w:pStyle w:val="69"/>
                    <w:adjustRightInd w:val="0"/>
                    <w:snapToGrid w:val="0"/>
                    <w:jc w:val="center"/>
                    <w:rPr>
                      <w:rFonts w:ascii="Times New Roman" w:hAnsi="Times New Roman" w:eastAsia="仿宋_GB2312" w:cs="Times New Roman"/>
                      <w:snapToGrid w:val="0"/>
                      <w:kern w:val="0"/>
                      <w:sz w:val="21"/>
                      <w:szCs w:val="21"/>
                    </w:rPr>
                  </w:pPr>
                  <w:r>
                    <w:rPr>
                      <w:rFonts w:ascii="Times New Roman" w:hAnsi="Times New Roman" w:eastAsia="仿宋_GB2312" w:cs="Times New Roman"/>
                      <w:snapToGrid w:val="0"/>
                      <w:kern w:val="0"/>
                      <w:sz w:val="21"/>
                      <w:szCs w:val="21"/>
                    </w:rPr>
                    <w:t>mg/L</w:t>
                  </w:r>
                </w:p>
              </w:tc>
              <w:tc>
                <w:tcPr>
                  <w:tcW w:w="1016" w:type="dxa"/>
                  <w:vAlign w:val="center"/>
                </w:tcPr>
                <w:p w14:paraId="0A70BD30">
                  <w:pPr>
                    <w:adjustRightInd w:val="0"/>
                    <w:snapToGrid w:val="0"/>
                    <w:jc w:val="center"/>
                    <w:rPr>
                      <w:rFonts w:eastAsia="仿宋_GB2312"/>
                      <w:kern w:val="24"/>
                      <w:sz w:val="21"/>
                      <w:szCs w:val="21"/>
                    </w:rPr>
                  </w:pPr>
                  <w:r>
                    <w:rPr>
                      <w:rFonts w:eastAsia="仿宋_GB2312"/>
                      <w:kern w:val="24"/>
                      <w:sz w:val="21"/>
                      <w:szCs w:val="21"/>
                    </w:rPr>
                    <w:t>500</w:t>
                  </w:r>
                </w:p>
              </w:tc>
            </w:tr>
            <w:tr w14:paraId="27398A9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187" w:type="dxa"/>
                  <w:vMerge w:val="continue"/>
                  <w:vAlign w:val="center"/>
                </w:tcPr>
                <w:p w14:paraId="7745B6E1">
                  <w:pPr>
                    <w:pStyle w:val="69"/>
                    <w:adjustRightInd w:val="0"/>
                    <w:snapToGrid w:val="0"/>
                    <w:jc w:val="center"/>
                    <w:rPr>
                      <w:rFonts w:ascii="Times New Roman" w:hAnsi="Times New Roman" w:eastAsia="仿宋_GB2312" w:cs="Times New Roman"/>
                      <w:snapToGrid w:val="0"/>
                      <w:kern w:val="0"/>
                      <w:sz w:val="21"/>
                      <w:szCs w:val="21"/>
                    </w:rPr>
                  </w:pPr>
                </w:p>
              </w:tc>
              <w:tc>
                <w:tcPr>
                  <w:tcW w:w="2110" w:type="dxa"/>
                  <w:vMerge w:val="continue"/>
                  <w:vAlign w:val="center"/>
                </w:tcPr>
                <w:p w14:paraId="518E485C">
                  <w:pPr>
                    <w:adjustRightInd w:val="0"/>
                    <w:snapToGrid w:val="0"/>
                    <w:jc w:val="center"/>
                    <w:rPr>
                      <w:rFonts w:eastAsia="仿宋_GB2312"/>
                      <w:snapToGrid w:val="0"/>
                      <w:kern w:val="0"/>
                      <w:sz w:val="21"/>
                      <w:szCs w:val="21"/>
                    </w:rPr>
                  </w:pPr>
                </w:p>
              </w:tc>
              <w:tc>
                <w:tcPr>
                  <w:tcW w:w="1687" w:type="dxa"/>
                  <w:vMerge w:val="continue"/>
                  <w:vAlign w:val="center"/>
                </w:tcPr>
                <w:p w14:paraId="6D8BC572">
                  <w:pPr>
                    <w:adjustRightInd w:val="0"/>
                    <w:snapToGrid w:val="0"/>
                    <w:jc w:val="center"/>
                    <w:rPr>
                      <w:rFonts w:eastAsia="仿宋_GB2312"/>
                      <w:snapToGrid w:val="0"/>
                      <w:kern w:val="0"/>
                      <w:sz w:val="21"/>
                      <w:szCs w:val="21"/>
                    </w:rPr>
                  </w:pPr>
                </w:p>
              </w:tc>
              <w:tc>
                <w:tcPr>
                  <w:tcW w:w="1126" w:type="dxa"/>
                  <w:vAlign w:val="center"/>
                </w:tcPr>
                <w:p w14:paraId="786C12D5">
                  <w:pPr>
                    <w:pStyle w:val="69"/>
                    <w:adjustRightInd w:val="0"/>
                    <w:snapToGrid w:val="0"/>
                    <w:jc w:val="center"/>
                    <w:rPr>
                      <w:rFonts w:ascii="Times New Roman" w:hAnsi="Times New Roman" w:eastAsia="仿宋_GB2312" w:cs="Times New Roman"/>
                      <w:snapToGrid w:val="0"/>
                      <w:kern w:val="0"/>
                      <w:sz w:val="21"/>
                      <w:szCs w:val="21"/>
                    </w:rPr>
                  </w:pPr>
                  <w:r>
                    <w:rPr>
                      <w:rFonts w:ascii="Times New Roman" w:hAnsi="Times New Roman" w:eastAsia="仿宋_GB2312" w:cs="Times New Roman"/>
                      <w:snapToGrid w:val="0"/>
                      <w:kern w:val="0"/>
                      <w:sz w:val="21"/>
                      <w:szCs w:val="21"/>
                    </w:rPr>
                    <w:t>SS</w:t>
                  </w:r>
                </w:p>
              </w:tc>
              <w:tc>
                <w:tcPr>
                  <w:tcW w:w="842" w:type="dxa"/>
                  <w:vAlign w:val="center"/>
                </w:tcPr>
                <w:p w14:paraId="36224BB4">
                  <w:pPr>
                    <w:pStyle w:val="69"/>
                    <w:adjustRightInd w:val="0"/>
                    <w:snapToGrid w:val="0"/>
                    <w:jc w:val="center"/>
                    <w:rPr>
                      <w:rFonts w:ascii="Times New Roman" w:hAnsi="Times New Roman" w:eastAsia="仿宋_GB2312" w:cs="Times New Roman"/>
                      <w:snapToGrid w:val="0"/>
                      <w:kern w:val="0"/>
                      <w:sz w:val="21"/>
                      <w:szCs w:val="21"/>
                    </w:rPr>
                  </w:pPr>
                  <w:r>
                    <w:rPr>
                      <w:rFonts w:ascii="Times New Roman" w:hAnsi="Times New Roman" w:eastAsia="仿宋_GB2312" w:cs="Times New Roman"/>
                      <w:snapToGrid w:val="0"/>
                      <w:kern w:val="0"/>
                      <w:sz w:val="21"/>
                      <w:szCs w:val="21"/>
                    </w:rPr>
                    <w:t>mg/L</w:t>
                  </w:r>
                </w:p>
              </w:tc>
              <w:tc>
                <w:tcPr>
                  <w:tcW w:w="1016" w:type="dxa"/>
                  <w:vAlign w:val="center"/>
                </w:tcPr>
                <w:p w14:paraId="08074FC9">
                  <w:pPr>
                    <w:adjustRightInd w:val="0"/>
                    <w:snapToGrid w:val="0"/>
                    <w:jc w:val="center"/>
                    <w:rPr>
                      <w:rFonts w:eastAsia="仿宋_GB2312"/>
                      <w:kern w:val="24"/>
                      <w:sz w:val="21"/>
                      <w:szCs w:val="21"/>
                    </w:rPr>
                  </w:pPr>
                  <w:r>
                    <w:rPr>
                      <w:rFonts w:eastAsia="仿宋_GB2312"/>
                      <w:kern w:val="24"/>
                      <w:sz w:val="21"/>
                      <w:szCs w:val="21"/>
                    </w:rPr>
                    <w:t>250</w:t>
                  </w:r>
                </w:p>
              </w:tc>
            </w:tr>
            <w:tr w14:paraId="0CA6306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187" w:type="dxa"/>
                  <w:vMerge w:val="continue"/>
                  <w:vAlign w:val="center"/>
                </w:tcPr>
                <w:p w14:paraId="1BBDF020">
                  <w:pPr>
                    <w:adjustRightInd w:val="0"/>
                    <w:snapToGrid w:val="0"/>
                    <w:jc w:val="center"/>
                    <w:rPr>
                      <w:rFonts w:eastAsia="仿宋_GB2312"/>
                      <w:snapToGrid w:val="0"/>
                      <w:kern w:val="0"/>
                      <w:sz w:val="21"/>
                      <w:szCs w:val="21"/>
                    </w:rPr>
                  </w:pPr>
                </w:p>
              </w:tc>
              <w:tc>
                <w:tcPr>
                  <w:tcW w:w="2110" w:type="dxa"/>
                  <w:vMerge w:val="continue"/>
                  <w:vAlign w:val="center"/>
                </w:tcPr>
                <w:p w14:paraId="0F511CA2">
                  <w:pPr>
                    <w:pStyle w:val="69"/>
                    <w:adjustRightInd w:val="0"/>
                    <w:snapToGrid w:val="0"/>
                    <w:jc w:val="center"/>
                    <w:rPr>
                      <w:rFonts w:ascii="Times New Roman" w:hAnsi="Times New Roman" w:eastAsia="仿宋_GB2312" w:cs="Times New Roman"/>
                      <w:snapToGrid w:val="0"/>
                      <w:kern w:val="0"/>
                      <w:sz w:val="21"/>
                      <w:szCs w:val="21"/>
                    </w:rPr>
                  </w:pPr>
                </w:p>
              </w:tc>
              <w:tc>
                <w:tcPr>
                  <w:tcW w:w="1687" w:type="dxa"/>
                  <w:vMerge w:val="continue"/>
                  <w:vAlign w:val="center"/>
                </w:tcPr>
                <w:p w14:paraId="1D6F0A60">
                  <w:pPr>
                    <w:pStyle w:val="69"/>
                    <w:adjustRightInd w:val="0"/>
                    <w:snapToGrid w:val="0"/>
                    <w:jc w:val="center"/>
                    <w:rPr>
                      <w:rFonts w:ascii="Times New Roman" w:hAnsi="Times New Roman" w:eastAsia="仿宋_GB2312" w:cs="Times New Roman"/>
                      <w:snapToGrid w:val="0"/>
                      <w:kern w:val="0"/>
                      <w:sz w:val="21"/>
                      <w:szCs w:val="21"/>
                    </w:rPr>
                  </w:pPr>
                </w:p>
              </w:tc>
              <w:tc>
                <w:tcPr>
                  <w:tcW w:w="1126" w:type="dxa"/>
                  <w:vAlign w:val="center"/>
                </w:tcPr>
                <w:p w14:paraId="23361D13">
                  <w:pPr>
                    <w:pStyle w:val="69"/>
                    <w:adjustRightInd w:val="0"/>
                    <w:snapToGrid w:val="0"/>
                    <w:jc w:val="center"/>
                    <w:rPr>
                      <w:rFonts w:ascii="Times New Roman" w:hAnsi="Times New Roman" w:eastAsia="仿宋_GB2312" w:cs="Times New Roman"/>
                      <w:snapToGrid w:val="0"/>
                      <w:kern w:val="0"/>
                      <w:sz w:val="21"/>
                      <w:szCs w:val="21"/>
                    </w:rPr>
                  </w:pPr>
                  <w:r>
                    <w:rPr>
                      <w:rFonts w:ascii="Times New Roman" w:hAnsi="Times New Roman" w:eastAsia="仿宋_GB2312" w:cs="Times New Roman"/>
                      <w:snapToGrid w:val="0"/>
                      <w:kern w:val="0"/>
                      <w:sz w:val="21"/>
                      <w:szCs w:val="21"/>
                    </w:rPr>
                    <w:t>氨氮</w:t>
                  </w:r>
                </w:p>
              </w:tc>
              <w:tc>
                <w:tcPr>
                  <w:tcW w:w="842" w:type="dxa"/>
                  <w:vAlign w:val="center"/>
                </w:tcPr>
                <w:p w14:paraId="33253B2E">
                  <w:pPr>
                    <w:pStyle w:val="69"/>
                    <w:adjustRightInd w:val="0"/>
                    <w:snapToGrid w:val="0"/>
                    <w:jc w:val="center"/>
                    <w:rPr>
                      <w:rFonts w:ascii="Times New Roman" w:hAnsi="Times New Roman" w:eastAsia="仿宋_GB2312" w:cs="Times New Roman"/>
                      <w:snapToGrid w:val="0"/>
                      <w:kern w:val="0"/>
                      <w:sz w:val="21"/>
                      <w:szCs w:val="21"/>
                    </w:rPr>
                  </w:pPr>
                  <w:r>
                    <w:rPr>
                      <w:rFonts w:ascii="Times New Roman" w:hAnsi="Times New Roman" w:eastAsia="仿宋_GB2312" w:cs="Times New Roman"/>
                      <w:snapToGrid w:val="0"/>
                      <w:kern w:val="0"/>
                      <w:sz w:val="21"/>
                      <w:szCs w:val="21"/>
                    </w:rPr>
                    <w:t>mg/L</w:t>
                  </w:r>
                </w:p>
              </w:tc>
              <w:tc>
                <w:tcPr>
                  <w:tcW w:w="1016" w:type="dxa"/>
                  <w:vAlign w:val="center"/>
                </w:tcPr>
                <w:p w14:paraId="5D1F781E">
                  <w:pPr>
                    <w:adjustRightInd w:val="0"/>
                    <w:snapToGrid w:val="0"/>
                    <w:jc w:val="center"/>
                    <w:rPr>
                      <w:rFonts w:eastAsia="仿宋_GB2312"/>
                      <w:kern w:val="24"/>
                      <w:sz w:val="21"/>
                      <w:szCs w:val="21"/>
                    </w:rPr>
                  </w:pPr>
                  <w:r>
                    <w:rPr>
                      <w:rFonts w:eastAsia="仿宋_GB2312"/>
                      <w:kern w:val="24"/>
                      <w:sz w:val="21"/>
                      <w:szCs w:val="21"/>
                    </w:rPr>
                    <w:t>35</w:t>
                  </w:r>
                </w:p>
              </w:tc>
            </w:tr>
            <w:tr w14:paraId="31AD5ED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187" w:type="dxa"/>
                  <w:vMerge w:val="continue"/>
                  <w:vAlign w:val="center"/>
                </w:tcPr>
                <w:p w14:paraId="6F3F3208">
                  <w:pPr>
                    <w:adjustRightInd w:val="0"/>
                    <w:snapToGrid w:val="0"/>
                    <w:jc w:val="center"/>
                    <w:rPr>
                      <w:rFonts w:eastAsia="仿宋_GB2312"/>
                      <w:snapToGrid w:val="0"/>
                      <w:kern w:val="0"/>
                      <w:sz w:val="21"/>
                      <w:szCs w:val="21"/>
                    </w:rPr>
                  </w:pPr>
                </w:p>
              </w:tc>
              <w:tc>
                <w:tcPr>
                  <w:tcW w:w="2110" w:type="dxa"/>
                  <w:vMerge w:val="continue"/>
                  <w:vAlign w:val="center"/>
                </w:tcPr>
                <w:p w14:paraId="78FD603E">
                  <w:pPr>
                    <w:pStyle w:val="69"/>
                    <w:adjustRightInd w:val="0"/>
                    <w:snapToGrid w:val="0"/>
                    <w:jc w:val="center"/>
                    <w:rPr>
                      <w:rFonts w:ascii="Times New Roman" w:hAnsi="Times New Roman" w:eastAsia="仿宋_GB2312" w:cs="Times New Roman"/>
                      <w:snapToGrid w:val="0"/>
                      <w:kern w:val="0"/>
                      <w:sz w:val="21"/>
                      <w:szCs w:val="21"/>
                    </w:rPr>
                  </w:pPr>
                </w:p>
              </w:tc>
              <w:tc>
                <w:tcPr>
                  <w:tcW w:w="1687" w:type="dxa"/>
                  <w:vMerge w:val="continue"/>
                  <w:vAlign w:val="center"/>
                </w:tcPr>
                <w:p w14:paraId="672A623A">
                  <w:pPr>
                    <w:pStyle w:val="69"/>
                    <w:adjustRightInd w:val="0"/>
                    <w:snapToGrid w:val="0"/>
                    <w:jc w:val="center"/>
                    <w:rPr>
                      <w:rFonts w:ascii="Times New Roman" w:hAnsi="Times New Roman" w:eastAsia="仿宋_GB2312" w:cs="Times New Roman"/>
                      <w:snapToGrid w:val="0"/>
                      <w:kern w:val="0"/>
                      <w:sz w:val="21"/>
                      <w:szCs w:val="21"/>
                    </w:rPr>
                  </w:pPr>
                </w:p>
              </w:tc>
              <w:tc>
                <w:tcPr>
                  <w:tcW w:w="1126" w:type="dxa"/>
                  <w:vAlign w:val="center"/>
                </w:tcPr>
                <w:p w14:paraId="3E641201">
                  <w:pPr>
                    <w:pStyle w:val="69"/>
                    <w:adjustRightInd w:val="0"/>
                    <w:snapToGrid w:val="0"/>
                    <w:jc w:val="center"/>
                    <w:rPr>
                      <w:rFonts w:ascii="Times New Roman" w:hAnsi="Times New Roman" w:eastAsia="仿宋_GB2312" w:cs="Times New Roman"/>
                      <w:snapToGrid w:val="0"/>
                      <w:kern w:val="0"/>
                      <w:sz w:val="21"/>
                      <w:szCs w:val="21"/>
                    </w:rPr>
                  </w:pPr>
                  <w:r>
                    <w:rPr>
                      <w:rFonts w:ascii="Times New Roman" w:hAnsi="Times New Roman" w:eastAsia="仿宋_GB2312" w:cs="Times New Roman"/>
                      <w:snapToGrid w:val="0"/>
                      <w:kern w:val="0"/>
                      <w:sz w:val="21"/>
                      <w:szCs w:val="21"/>
                    </w:rPr>
                    <w:t>TN</w:t>
                  </w:r>
                </w:p>
              </w:tc>
              <w:tc>
                <w:tcPr>
                  <w:tcW w:w="842" w:type="dxa"/>
                  <w:vAlign w:val="center"/>
                </w:tcPr>
                <w:p w14:paraId="46DEECE6">
                  <w:pPr>
                    <w:pStyle w:val="69"/>
                    <w:adjustRightInd w:val="0"/>
                    <w:snapToGrid w:val="0"/>
                    <w:jc w:val="center"/>
                    <w:rPr>
                      <w:rFonts w:ascii="Times New Roman" w:hAnsi="Times New Roman" w:eastAsia="仿宋_GB2312" w:cs="Times New Roman"/>
                      <w:snapToGrid w:val="0"/>
                      <w:kern w:val="0"/>
                      <w:sz w:val="21"/>
                      <w:szCs w:val="21"/>
                    </w:rPr>
                  </w:pPr>
                  <w:r>
                    <w:rPr>
                      <w:rFonts w:ascii="Times New Roman" w:hAnsi="Times New Roman" w:eastAsia="仿宋_GB2312" w:cs="Times New Roman"/>
                      <w:snapToGrid w:val="0"/>
                      <w:kern w:val="0"/>
                      <w:sz w:val="21"/>
                      <w:szCs w:val="21"/>
                    </w:rPr>
                    <w:t>mg/L</w:t>
                  </w:r>
                </w:p>
              </w:tc>
              <w:tc>
                <w:tcPr>
                  <w:tcW w:w="1016" w:type="dxa"/>
                  <w:vAlign w:val="center"/>
                </w:tcPr>
                <w:p w14:paraId="477151E0">
                  <w:pPr>
                    <w:adjustRightInd w:val="0"/>
                    <w:snapToGrid w:val="0"/>
                    <w:jc w:val="center"/>
                    <w:rPr>
                      <w:rFonts w:eastAsia="仿宋_GB2312"/>
                      <w:kern w:val="24"/>
                      <w:sz w:val="21"/>
                      <w:szCs w:val="21"/>
                    </w:rPr>
                  </w:pPr>
                  <w:r>
                    <w:rPr>
                      <w:rFonts w:eastAsia="仿宋_GB2312"/>
                      <w:kern w:val="24"/>
                      <w:sz w:val="21"/>
                      <w:szCs w:val="21"/>
                    </w:rPr>
                    <w:t>50</w:t>
                  </w:r>
                </w:p>
              </w:tc>
            </w:tr>
            <w:tr w14:paraId="04162A3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187" w:type="dxa"/>
                  <w:vMerge w:val="continue"/>
                  <w:vAlign w:val="center"/>
                </w:tcPr>
                <w:p w14:paraId="241B94A8">
                  <w:pPr>
                    <w:adjustRightInd w:val="0"/>
                    <w:snapToGrid w:val="0"/>
                    <w:jc w:val="center"/>
                    <w:rPr>
                      <w:rFonts w:eastAsia="仿宋_GB2312"/>
                      <w:snapToGrid w:val="0"/>
                      <w:kern w:val="0"/>
                      <w:sz w:val="21"/>
                      <w:szCs w:val="21"/>
                    </w:rPr>
                  </w:pPr>
                </w:p>
              </w:tc>
              <w:tc>
                <w:tcPr>
                  <w:tcW w:w="2110" w:type="dxa"/>
                  <w:vMerge w:val="continue"/>
                  <w:vAlign w:val="center"/>
                </w:tcPr>
                <w:p w14:paraId="468943DC">
                  <w:pPr>
                    <w:pStyle w:val="69"/>
                    <w:adjustRightInd w:val="0"/>
                    <w:snapToGrid w:val="0"/>
                    <w:jc w:val="center"/>
                    <w:rPr>
                      <w:rFonts w:ascii="Times New Roman" w:hAnsi="Times New Roman" w:eastAsia="仿宋_GB2312" w:cs="Times New Roman"/>
                      <w:snapToGrid w:val="0"/>
                      <w:kern w:val="0"/>
                      <w:sz w:val="21"/>
                      <w:szCs w:val="21"/>
                    </w:rPr>
                  </w:pPr>
                </w:p>
              </w:tc>
              <w:tc>
                <w:tcPr>
                  <w:tcW w:w="1687" w:type="dxa"/>
                  <w:vMerge w:val="continue"/>
                  <w:vAlign w:val="center"/>
                </w:tcPr>
                <w:p w14:paraId="5F1AE05C">
                  <w:pPr>
                    <w:pStyle w:val="69"/>
                    <w:adjustRightInd w:val="0"/>
                    <w:snapToGrid w:val="0"/>
                    <w:jc w:val="center"/>
                    <w:rPr>
                      <w:rFonts w:ascii="Times New Roman" w:hAnsi="Times New Roman" w:eastAsia="仿宋_GB2312" w:cs="Times New Roman"/>
                      <w:snapToGrid w:val="0"/>
                      <w:kern w:val="0"/>
                      <w:sz w:val="21"/>
                      <w:szCs w:val="21"/>
                    </w:rPr>
                  </w:pPr>
                </w:p>
              </w:tc>
              <w:tc>
                <w:tcPr>
                  <w:tcW w:w="1126" w:type="dxa"/>
                  <w:vAlign w:val="center"/>
                </w:tcPr>
                <w:p w14:paraId="12DC4CB8">
                  <w:pPr>
                    <w:pStyle w:val="69"/>
                    <w:adjustRightInd w:val="0"/>
                    <w:snapToGrid w:val="0"/>
                    <w:jc w:val="center"/>
                    <w:rPr>
                      <w:rFonts w:ascii="Times New Roman" w:hAnsi="Times New Roman" w:eastAsia="仿宋_GB2312" w:cs="Times New Roman"/>
                      <w:snapToGrid w:val="0"/>
                      <w:kern w:val="0"/>
                      <w:sz w:val="21"/>
                      <w:szCs w:val="21"/>
                    </w:rPr>
                  </w:pPr>
                  <w:r>
                    <w:rPr>
                      <w:rFonts w:ascii="Times New Roman" w:hAnsi="Times New Roman" w:eastAsia="仿宋_GB2312" w:cs="Times New Roman"/>
                      <w:snapToGrid w:val="0"/>
                      <w:kern w:val="0"/>
                      <w:sz w:val="21"/>
                      <w:szCs w:val="21"/>
                    </w:rPr>
                    <w:t>TP</w:t>
                  </w:r>
                </w:p>
              </w:tc>
              <w:tc>
                <w:tcPr>
                  <w:tcW w:w="842" w:type="dxa"/>
                  <w:vAlign w:val="center"/>
                </w:tcPr>
                <w:p w14:paraId="5DB23234">
                  <w:pPr>
                    <w:pStyle w:val="69"/>
                    <w:adjustRightInd w:val="0"/>
                    <w:snapToGrid w:val="0"/>
                    <w:jc w:val="center"/>
                    <w:rPr>
                      <w:rFonts w:ascii="Times New Roman" w:hAnsi="Times New Roman" w:eastAsia="仿宋_GB2312" w:cs="Times New Roman"/>
                      <w:snapToGrid w:val="0"/>
                      <w:kern w:val="0"/>
                      <w:sz w:val="21"/>
                      <w:szCs w:val="21"/>
                    </w:rPr>
                  </w:pPr>
                  <w:r>
                    <w:rPr>
                      <w:rFonts w:ascii="Times New Roman" w:hAnsi="Times New Roman" w:eastAsia="仿宋_GB2312" w:cs="Times New Roman"/>
                      <w:snapToGrid w:val="0"/>
                      <w:kern w:val="0"/>
                      <w:sz w:val="21"/>
                      <w:szCs w:val="21"/>
                    </w:rPr>
                    <w:t>mg/L</w:t>
                  </w:r>
                </w:p>
              </w:tc>
              <w:tc>
                <w:tcPr>
                  <w:tcW w:w="1016" w:type="dxa"/>
                  <w:vAlign w:val="center"/>
                </w:tcPr>
                <w:p w14:paraId="3944202C">
                  <w:pPr>
                    <w:adjustRightInd w:val="0"/>
                    <w:snapToGrid w:val="0"/>
                    <w:jc w:val="center"/>
                    <w:rPr>
                      <w:rFonts w:eastAsia="仿宋_GB2312"/>
                      <w:kern w:val="24"/>
                      <w:sz w:val="21"/>
                      <w:szCs w:val="21"/>
                    </w:rPr>
                  </w:pPr>
                  <w:r>
                    <w:rPr>
                      <w:rFonts w:eastAsia="仿宋_GB2312"/>
                      <w:kern w:val="24"/>
                      <w:sz w:val="21"/>
                      <w:szCs w:val="21"/>
                    </w:rPr>
                    <w:t>3</w:t>
                  </w:r>
                </w:p>
              </w:tc>
            </w:tr>
            <w:tr w14:paraId="68710A1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187" w:type="dxa"/>
                  <w:vMerge w:val="continue"/>
                  <w:vAlign w:val="center"/>
                </w:tcPr>
                <w:p w14:paraId="40906F39">
                  <w:pPr>
                    <w:adjustRightInd w:val="0"/>
                    <w:snapToGrid w:val="0"/>
                    <w:jc w:val="center"/>
                    <w:rPr>
                      <w:rFonts w:eastAsia="仿宋_GB2312"/>
                      <w:snapToGrid w:val="0"/>
                      <w:kern w:val="0"/>
                      <w:sz w:val="21"/>
                      <w:szCs w:val="21"/>
                    </w:rPr>
                  </w:pPr>
                </w:p>
              </w:tc>
              <w:tc>
                <w:tcPr>
                  <w:tcW w:w="2110" w:type="dxa"/>
                  <w:vMerge w:val="continue"/>
                  <w:vAlign w:val="center"/>
                </w:tcPr>
                <w:p w14:paraId="0C87C052">
                  <w:pPr>
                    <w:pStyle w:val="69"/>
                    <w:adjustRightInd w:val="0"/>
                    <w:snapToGrid w:val="0"/>
                    <w:jc w:val="center"/>
                    <w:rPr>
                      <w:rFonts w:ascii="Times New Roman" w:hAnsi="Times New Roman" w:eastAsia="仿宋_GB2312" w:cs="Times New Roman"/>
                      <w:snapToGrid w:val="0"/>
                      <w:kern w:val="0"/>
                      <w:sz w:val="21"/>
                      <w:szCs w:val="21"/>
                    </w:rPr>
                  </w:pPr>
                </w:p>
              </w:tc>
              <w:tc>
                <w:tcPr>
                  <w:tcW w:w="1687" w:type="dxa"/>
                  <w:vMerge w:val="continue"/>
                  <w:vAlign w:val="center"/>
                </w:tcPr>
                <w:p w14:paraId="02BB8269">
                  <w:pPr>
                    <w:pStyle w:val="69"/>
                    <w:adjustRightInd w:val="0"/>
                    <w:snapToGrid w:val="0"/>
                    <w:jc w:val="center"/>
                    <w:rPr>
                      <w:rFonts w:ascii="Times New Roman" w:hAnsi="Times New Roman" w:eastAsia="仿宋_GB2312" w:cs="Times New Roman"/>
                      <w:snapToGrid w:val="0"/>
                      <w:kern w:val="0"/>
                      <w:sz w:val="21"/>
                      <w:szCs w:val="21"/>
                    </w:rPr>
                  </w:pPr>
                </w:p>
              </w:tc>
              <w:tc>
                <w:tcPr>
                  <w:tcW w:w="1126" w:type="dxa"/>
                  <w:vAlign w:val="center"/>
                </w:tcPr>
                <w:p w14:paraId="368C0DE5">
                  <w:pPr>
                    <w:pStyle w:val="69"/>
                    <w:adjustRightInd w:val="0"/>
                    <w:snapToGrid w:val="0"/>
                    <w:jc w:val="center"/>
                    <w:rPr>
                      <w:rFonts w:ascii="Times New Roman" w:hAnsi="Times New Roman" w:eastAsia="仿宋_GB2312" w:cs="Times New Roman"/>
                      <w:snapToGrid w:val="0"/>
                      <w:kern w:val="0"/>
                      <w:sz w:val="21"/>
                      <w:szCs w:val="21"/>
                    </w:rPr>
                  </w:pPr>
                  <w:r>
                    <w:rPr>
                      <w:rFonts w:ascii="Times New Roman" w:hAnsi="Times New Roman" w:eastAsia="仿宋_GB2312" w:cs="Times New Roman"/>
                      <w:snapToGrid w:val="0"/>
                      <w:kern w:val="0"/>
                      <w:sz w:val="21"/>
                      <w:szCs w:val="21"/>
                    </w:rPr>
                    <w:t>动植物油</w:t>
                  </w:r>
                </w:p>
              </w:tc>
              <w:tc>
                <w:tcPr>
                  <w:tcW w:w="842" w:type="dxa"/>
                  <w:vAlign w:val="center"/>
                </w:tcPr>
                <w:p w14:paraId="0F1B59D7">
                  <w:pPr>
                    <w:pStyle w:val="69"/>
                    <w:adjustRightInd w:val="0"/>
                    <w:snapToGrid w:val="0"/>
                    <w:jc w:val="center"/>
                    <w:rPr>
                      <w:rFonts w:ascii="Times New Roman" w:hAnsi="Times New Roman" w:eastAsia="仿宋_GB2312" w:cs="Times New Roman"/>
                      <w:snapToGrid w:val="0"/>
                      <w:kern w:val="0"/>
                      <w:sz w:val="21"/>
                      <w:szCs w:val="21"/>
                    </w:rPr>
                  </w:pPr>
                  <w:r>
                    <w:rPr>
                      <w:rFonts w:ascii="Times New Roman" w:hAnsi="Times New Roman" w:eastAsia="仿宋_GB2312" w:cs="Times New Roman"/>
                      <w:snapToGrid w:val="0"/>
                      <w:kern w:val="0"/>
                      <w:sz w:val="21"/>
                      <w:szCs w:val="21"/>
                    </w:rPr>
                    <w:t>mg/L</w:t>
                  </w:r>
                </w:p>
              </w:tc>
              <w:tc>
                <w:tcPr>
                  <w:tcW w:w="1016" w:type="dxa"/>
                  <w:vAlign w:val="center"/>
                </w:tcPr>
                <w:p w14:paraId="3D1D0419">
                  <w:pPr>
                    <w:adjustRightInd w:val="0"/>
                    <w:snapToGrid w:val="0"/>
                    <w:jc w:val="center"/>
                    <w:rPr>
                      <w:rFonts w:eastAsia="仿宋_GB2312"/>
                      <w:kern w:val="24"/>
                      <w:sz w:val="21"/>
                      <w:szCs w:val="21"/>
                    </w:rPr>
                  </w:pPr>
                  <w:r>
                    <w:rPr>
                      <w:rFonts w:eastAsia="仿宋_GB2312"/>
                      <w:kern w:val="24"/>
                      <w:sz w:val="21"/>
                      <w:szCs w:val="21"/>
                    </w:rPr>
                    <w:t>100</w:t>
                  </w:r>
                </w:p>
              </w:tc>
            </w:tr>
            <w:tr w14:paraId="491AF74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187" w:type="dxa"/>
                  <w:vMerge w:val="continue"/>
                  <w:vAlign w:val="center"/>
                </w:tcPr>
                <w:p w14:paraId="4C92BA36">
                  <w:pPr>
                    <w:adjustRightInd w:val="0"/>
                    <w:snapToGrid w:val="0"/>
                    <w:jc w:val="center"/>
                    <w:rPr>
                      <w:rFonts w:eastAsia="仿宋_GB2312"/>
                      <w:snapToGrid w:val="0"/>
                      <w:kern w:val="0"/>
                      <w:sz w:val="21"/>
                      <w:szCs w:val="21"/>
                    </w:rPr>
                  </w:pPr>
                </w:p>
              </w:tc>
              <w:tc>
                <w:tcPr>
                  <w:tcW w:w="2110" w:type="dxa"/>
                  <w:vMerge w:val="continue"/>
                  <w:vAlign w:val="center"/>
                </w:tcPr>
                <w:p w14:paraId="63301788">
                  <w:pPr>
                    <w:pStyle w:val="69"/>
                    <w:adjustRightInd w:val="0"/>
                    <w:snapToGrid w:val="0"/>
                    <w:jc w:val="center"/>
                    <w:rPr>
                      <w:rFonts w:ascii="Times New Roman" w:hAnsi="Times New Roman" w:eastAsia="仿宋_GB2312" w:cs="Times New Roman"/>
                      <w:snapToGrid w:val="0"/>
                      <w:kern w:val="0"/>
                      <w:sz w:val="21"/>
                      <w:szCs w:val="21"/>
                    </w:rPr>
                  </w:pPr>
                </w:p>
              </w:tc>
              <w:tc>
                <w:tcPr>
                  <w:tcW w:w="1687" w:type="dxa"/>
                  <w:vMerge w:val="continue"/>
                  <w:vAlign w:val="center"/>
                </w:tcPr>
                <w:p w14:paraId="42C8BBCB">
                  <w:pPr>
                    <w:pStyle w:val="69"/>
                    <w:adjustRightInd w:val="0"/>
                    <w:snapToGrid w:val="0"/>
                    <w:jc w:val="center"/>
                    <w:rPr>
                      <w:rFonts w:ascii="Times New Roman" w:hAnsi="Times New Roman" w:eastAsia="仿宋_GB2312" w:cs="Times New Roman"/>
                      <w:snapToGrid w:val="0"/>
                      <w:kern w:val="0"/>
                      <w:sz w:val="21"/>
                      <w:szCs w:val="21"/>
                    </w:rPr>
                  </w:pPr>
                </w:p>
              </w:tc>
              <w:tc>
                <w:tcPr>
                  <w:tcW w:w="1126" w:type="dxa"/>
                  <w:vAlign w:val="center"/>
                </w:tcPr>
                <w:p w14:paraId="2DBD7EA7">
                  <w:pPr>
                    <w:pStyle w:val="69"/>
                    <w:adjustRightInd w:val="0"/>
                    <w:snapToGrid w:val="0"/>
                    <w:jc w:val="center"/>
                    <w:rPr>
                      <w:rFonts w:ascii="Times New Roman" w:hAnsi="Times New Roman" w:eastAsia="仿宋_GB2312" w:cs="Times New Roman"/>
                      <w:snapToGrid w:val="0"/>
                      <w:kern w:val="0"/>
                      <w:sz w:val="21"/>
                      <w:szCs w:val="21"/>
                    </w:rPr>
                  </w:pPr>
                  <w:r>
                    <w:rPr>
                      <w:rFonts w:ascii="Times New Roman" w:hAnsi="Times New Roman" w:eastAsia="仿宋_GB2312" w:cs="Times New Roman"/>
                      <w:snapToGrid w:val="0"/>
                      <w:kern w:val="0"/>
                      <w:sz w:val="21"/>
                      <w:szCs w:val="21"/>
                    </w:rPr>
                    <w:t>石油类</w:t>
                  </w:r>
                </w:p>
              </w:tc>
              <w:tc>
                <w:tcPr>
                  <w:tcW w:w="842" w:type="dxa"/>
                  <w:vAlign w:val="center"/>
                </w:tcPr>
                <w:p w14:paraId="7421AE59">
                  <w:pPr>
                    <w:pStyle w:val="69"/>
                    <w:adjustRightInd w:val="0"/>
                    <w:snapToGrid w:val="0"/>
                    <w:jc w:val="center"/>
                    <w:rPr>
                      <w:rFonts w:ascii="Times New Roman" w:hAnsi="Times New Roman" w:eastAsia="仿宋_GB2312" w:cs="Times New Roman"/>
                      <w:snapToGrid w:val="0"/>
                      <w:kern w:val="0"/>
                      <w:sz w:val="21"/>
                      <w:szCs w:val="21"/>
                    </w:rPr>
                  </w:pPr>
                  <w:r>
                    <w:rPr>
                      <w:rFonts w:ascii="Times New Roman" w:hAnsi="Times New Roman" w:eastAsia="仿宋_GB2312" w:cs="Times New Roman"/>
                      <w:snapToGrid w:val="0"/>
                      <w:kern w:val="0"/>
                      <w:sz w:val="21"/>
                      <w:szCs w:val="21"/>
                    </w:rPr>
                    <w:t>mg/L</w:t>
                  </w:r>
                </w:p>
              </w:tc>
              <w:tc>
                <w:tcPr>
                  <w:tcW w:w="1016" w:type="dxa"/>
                  <w:vAlign w:val="center"/>
                </w:tcPr>
                <w:p w14:paraId="58BFCE01">
                  <w:pPr>
                    <w:adjustRightInd w:val="0"/>
                    <w:snapToGrid w:val="0"/>
                    <w:jc w:val="center"/>
                    <w:rPr>
                      <w:rFonts w:eastAsia="仿宋_GB2312"/>
                      <w:kern w:val="24"/>
                      <w:sz w:val="21"/>
                      <w:szCs w:val="21"/>
                    </w:rPr>
                  </w:pPr>
                  <w:r>
                    <w:rPr>
                      <w:rFonts w:eastAsia="仿宋_GB2312"/>
                      <w:kern w:val="24"/>
                      <w:sz w:val="21"/>
                      <w:szCs w:val="21"/>
                    </w:rPr>
                    <w:t>100</w:t>
                  </w:r>
                </w:p>
              </w:tc>
            </w:tr>
            <w:tr w14:paraId="2A22D79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187" w:type="dxa"/>
                  <w:vMerge w:val="restart"/>
                  <w:vAlign w:val="center"/>
                </w:tcPr>
                <w:p w14:paraId="5DA94625">
                  <w:pPr>
                    <w:pStyle w:val="69"/>
                    <w:adjustRightInd w:val="0"/>
                    <w:snapToGrid w:val="0"/>
                    <w:jc w:val="center"/>
                    <w:rPr>
                      <w:rFonts w:ascii="Times New Roman" w:hAnsi="Times New Roman" w:eastAsia="仿宋_GB2312" w:cs="Times New Roman"/>
                      <w:snapToGrid w:val="0"/>
                      <w:kern w:val="0"/>
                      <w:sz w:val="21"/>
                      <w:szCs w:val="21"/>
                    </w:rPr>
                  </w:pPr>
                  <w:r>
                    <w:rPr>
                      <w:rFonts w:ascii="Times New Roman" w:hAnsi="Times New Roman" w:eastAsia="仿宋_GB2312" w:cs="Times New Roman"/>
                      <w:snapToGrid w:val="0"/>
                      <w:kern w:val="0"/>
                      <w:sz w:val="21"/>
                      <w:szCs w:val="21"/>
                    </w:rPr>
                    <w:t>金坛第二污水处理厂排口</w:t>
                  </w:r>
                </w:p>
              </w:tc>
              <w:tc>
                <w:tcPr>
                  <w:tcW w:w="2110" w:type="dxa"/>
                  <w:vMerge w:val="restart"/>
                  <w:shd w:val="clear" w:color="auto" w:fill="auto"/>
                  <w:vAlign w:val="center"/>
                </w:tcPr>
                <w:p w14:paraId="4BE341A6">
                  <w:pPr>
                    <w:pStyle w:val="69"/>
                    <w:adjustRightInd w:val="0"/>
                    <w:snapToGrid w:val="0"/>
                    <w:jc w:val="center"/>
                    <w:rPr>
                      <w:rFonts w:ascii="Times New Roman" w:hAnsi="Times New Roman" w:eastAsia="仿宋_GB2312" w:cs="Times New Roman"/>
                      <w:snapToGrid w:val="0"/>
                      <w:kern w:val="0"/>
                      <w:sz w:val="21"/>
                      <w:szCs w:val="21"/>
                    </w:rPr>
                  </w:pPr>
                  <w:r>
                    <w:rPr>
                      <w:rFonts w:ascii="Times New Roman" w:hAnsi="Times New Roman" w:eastAsia="仿宋_GB2312" w:cs="Times New Roman"/>
                      <w:snapToGrid w:val="0"/>
                      <w:kern w:val="0"/>
                      <w:sz w:val="21"/>
                      <w:szCs w:val="21"/>
                    </w:rPr>
                    <w:t>《太湖地区城镇污水处理厂及重点工业行业水污染物排放限值》</w:t>
                  </w:r>
                  <w:r>
                    <w:rPr>
                      <w:rFonts w:hint="eastAsia" w:ascii="Times New Roman" w:hAnsi="Times New Roman" w:eastAsia="仿宋_GB2312" w:cs="Times New Roman"/>
                      <w:snapToGrid w:val="0"/>
                      <w:kern w:val="0"/>
                      <w:sz w:val="21"/>
                      <w:szCs w:val="21"/>
                    </w:rPr>
                    <w:t>（</w:t>
                  </w:r>
                  <w:r>
                    <w:rPr>
                      <w:rFonts w:ascii="Times New Roman" w:hAnsi="Times New Roman" w:eastAsia="仿宋_GB2312" w:cs="Times New Roman"/>
                      <w:snapToGrid w:val="0"/>
                      <w:kern w:val="0"/>
                      <w:sz w:val="21"/>
                      <w:szCs w:val="21"/>
                    </w:rPr>
                    <w:t>DB32/1072-2018</w:t>
                  </w:r>
                  <w:r>
                    <w:rPr>
                      <w:rFonts w:hint="eastAsia" w:ascii="Times New Roman" w:hAnsi="Times New Roman" w:eastAsia="仿宋_GB2312" w:cs="Times New Roman"/>
                      <w:snapToGrid w:val="0"/>
                      <w:kern w:val="0"/>
                      <w:sz w:val="21"/>
                      <w:szCs w:val="21"/>
                    </w:rPr>
                    <w:t>）</w:t>
                  </w:r>
                </w:p>
              </w:tc>
              <w:tc>
                <w:tcPr>
                  <w:tcW w:w="1687" w:type="dxa"/>
                  <w:vMerge w:val="restart"/>
                  <w:vAlign w:val="center"/>
                </w:tcPr>
                <w:p w14:paraId="033842CC">
                  <w:pPr>
                    <w:pStyle w:val="69"/>
                    <w:adjustRightInd w:val="0"/>
                    <w:snapToGrid w:val="0"/>
                    <w:jc w:val="center"/>
                    <w:rPr>
                      <w:rFonts w:hint="default" w:ascii="Times New Roman" w:hAnsi="Times New Roman" w:eastAsia="仿宋_GB2312" w:cs="Times New Roman"/>
                      <w:snapToGrid w:val="0"/>
                      <w:kern w:val="0"/>
                      <w:sz w:val="21"/>
                      <w:szCs w:val="21"/>
                      <w:lang w:val="en-US" w:eastAsia="zh-CN"/>
                    </w:rPr>
                  </w:pPr>
                  <w:r>
                    <w:rPr>
                      <w:rFonts w:ascii="Times New Roman" w:hAnsi="Times New Roman" w:eastAsia="仿宋_GB2312" w:cs="Times New Roman"/>
                      <w:snapToGrid w:val="0"/>
                      <w:kern w:val="0"/>
                      <w:sz w:val="21"/>
                      <w:szCs w:val="21"/>
                    </w:rPr>
                    <w:t>表2太湖地区其他区域内污水处理厂主要水污染物排放限值</w:t>
                  </w:r>
                </w:p>
              </w:tc>
              <w:tc>
                <w:tcPr>
                  <w:tcW w:w="1126" w:type="dxa"/>
                  <w:vAlign w:val="center"/>
                </w:tcPr>
                <w:p w14:paraId="48BB3CB1">
                  <w:pPr>
                    <w:pStyle w:val="69"/>
                    <w:adjustRightInd w:val="0"/>
                    <w:snapToGrid w:val="0"/>
                    <w:jc w:val="center"/>
                    <w:rPr>
                      <w:rFonts w:ascii="Times New Roman" w:hAnsi="Times New Roman" w:eastAsia="仿宋_GB2312" w:cs="Times New Roman"/>
                      <w:snapToGrid w:val="0"/>
                      <w:kern w:val="0"/>
                      <w:sz w:val="21"/>
                      <w:szCs w:val="21"/>
                    </w:rPr>
                  </w:pPr>
                  <w:r>
                    <w:rPr>
                      <w:rFonts w:ascii="Times New Roman" w:hAnsi="Times New Roman" w:eastAsia="仿宋_GB2312" w:cs="Times New Roman"/>
                      <w:snapToGrid w:val="0"/>
                      <w:kern w:val="0"/>
                      <w:sz w:val="21"/>
                      <w:szCs w:val="21"/>
                    </w:rPr>
                    <w:t>pH</w:t>
                  </w:r>
                </w:p>
              </w:tc>
              <w:tc>
                <w:tcPr>
                  <w:tcW w:w="842" w:type="dxa"/>
                  <w:vAlign w:val="center"/>
                </w:tcPr>
                <w:p w14:paraId="5C9EF570">
                  <w:pPr>
                    <w:pStyle w:val="69"/>
                    <w:adjustRightInd w:val="0"/>
                    <w:snapToGrid w:val="0"/>
                    <w:jc w:val="center"/>
                    <w:rPr>
                      <w:rFonts w:ascii="Times New Roman" w:hAnsi="Times New Roman" w:eastAsia="仿宋_GB2312" w:cs="Times New Roman"/>
                      <w:snapToGrid w:val="0"/>
                      <w:kern w:val="0"/>
                      <w:sz w:val="21"/>
                      <w:szCs w:val="21"/>
                    </w:rPr>
                  </w:pPr>
                  <w:r>
                    <w:rPr>
                      <w:rFonts w:ascii="Times New Roman" w:hAnsi="Times New Roman" w:eastAsia="仿宋_GB2312" w:cs="Times New Roman"/>
                      <w:snapToGrid w:val="0"/>
                      <w:kern w:val="0"/>
                      <w:sz w:val="21"/>
                      <w:szCs w:val="21"/>
                    </w:rPr>
                    <w:t>－</w:t>
                  </w:r>
                </w:p>
              </w:tc>
              <w:tc>
                <w:tcPr>
                  <w:tcW w:w="1016" w:type="dxa"/>
                  <w:vAlign w:val="center"/>
                </w:tcPr>
                <w:p w14:paraId="022FEAE3">
                  <w:pPr>
                    <w:pStyle w:val="69"/>
                    <w:adjustRightInd w:val="0"/>
                    <w:snapToGrid w:val="0"/>
                    <w:jc w:val="center"/>
                    <w:rPr>
                      <w:rFonts w:ascii="Times New Roman" w:hAnsi="Times New Roman" w:eastAsia="仿宋_GB2312" w:cs="Times New Roman"/>
                      <w:snapToGrid w:val="0"/>
                      <w:kern w:val="0"/>
                      <w:sz w:val="21"/>
                      <w:szCs w:val="21"/>
                    </w:rPr>
                  </w:pPr>
                  <w:r>
                    <w:rPr>
                      <w:rFonts w:ascii="Times New Roman" w:hAnsi="Times New Roman" w:eastAsia="仿宋_GB2312" w:cs="Times New Roman"/>
                      <w:snapToGrid w:val="0"/>
                      <w:kern w:val="0"/>
                      <w:sz w:val="21"/>
                      <w:szCs w:val="21"/>
                    </w:rPr>
                    <w:t>6～9</w:t>
                  </w:r>
                </w:p>
              </w:tc>
            </w:tr>
            <w:tr w14:paraId="5CCDC64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187" w:type="dxa"/>
                  <w:vMerge w:val="continue"/>
                  <w:vAlign w:val="center"/>
                </w:tcPr>
                <w:p w14:paraId="6134D416">
                  <w:pPr>
                    <w:adjustRightInd w:val="0"/>
                    <w:snapToGrid w:val="0"/>
                    <w:jc w:val="center"/>
                    <w:rPr>
                      <w:rFonts w:eastAsia="仿宋_GB2312"/>
                      <w:snapToGrid w:val="0"/>
                      <w:kern w:val="0"/>
                      <w:sz w:val="21"/>
                      <w:szCs w:val="21"/>
                    </w:rPr>
                  </w:pPr>
                </w:p>
              </w:tc>
              <w:tc>
                <w:tcPr>
                  <w:tcW w:w="2110" w:type="dxa"/>
                  <w:vMerge w:val="continue"/>
                  <w:vAlign w:val="center"/>
                </w:tcPr>
                <w:p w14:paraId="19AA8ACF">
                  <w:pPr>
                    <w:pStyle w:val="69"/>
                    <w:adjustRightInd w:val="0"/>
                    <w:snapToGrid w:val="0"/>
                    <w:jc w:val="center"/>
                    <w:rPr>
                      <w:rFonts w:ascii="Times New Roman" w:hAnsi="Times New Roman" w:eastAsia="仿宋_GB2312" w:cs="Times New Roman"/>
                      <w:snapToGrid w:val="0"/>
                      <w:kern w:val="0"/>
                      <w:sz w:val="21"/>
                      <w:szCs w:val="21"/>
                    </w:rPr>
                  </w:pPr>
                </w:p>
              </w:tc>
              <w:tc>
                <w:tcPr>
                  <w:tcW w:w="1687" w:type="dxa"/>
                  <w:vMerge w:val="continue"/>
                  <w:vAlign w:val="center"/>
                </w:tcPr>
                <w:p w14:paraId="19083349">
                  <w:pPr>
                    <w:pStyle w:val="69"/>
                    <w:adjustRightInd w:val="0"/>
                    <w:snapToGrid w:val="0"/>
                    <w:jc w:val="center"/>
                    <w:rPr>
                      <w:rFonts w:ascii="Times New Roman" w:hAnsi="Times New Roman" w:eastAsia="仿宋_GB2312" w:cs="Times New Roman"/>
                      <w:snapToGrid w:val="0"/>
                      <w:kern w:val="0"/>
                      <w:sz w:val="21"/>
                      <w:szCs w:val="21"/>
                    </w:rPr>
                  </w:pPr>
                </w:p>
              </w:tc>
              <w:tc>
                <w:tcPr>
                  <w:tcW w:w="1126" w:type="dxa"/>
                  <w:vAlign w:val="center"/>
                </w:tcPr>
                <w:p w14:paraId="70C79DEB">
                  <w:pPr>
                    <w:pStyle w:val="69"/>
                    <w:adjustRightInd w:val="0"/>
                    <w:snapToGrid w:val="0"/>
                    <w:jc w:val="center"/>
                    <w:rPr>
                      <w:rFonts w:ascii="Times New Roman" w:hAnsi="Times New Roman" w:eastAsia="仿宋_GB2312" w:cs="Times New Roman"/>
                      <w:snapToGrid w:val="0"/>
                      <w:kern w:val="0"/>
                      <w:sz w:val="21"/>
                      <w:szCs w:val="21"/>
                    </w:rPr>
                  </w:pPr>
                  <w:r>
                    <w:rPr>
                      <w:rFonts w:ascii="Times New Roman" w:hAnsi="Times New Roman" w:eastAsia="仿宋_GB2312" w:cs="Times New Roman"/>
                      <w:snapToGrid w:val="0"/>
                      <w:kern w:val="0"/>
                      <w:sz w:val="21"/>
                      <w:szCs w:val="21"/>
                    </w:rPr>
                    <w:t>COD</w:t>
                  </w:r>
                </w:p>
              </w:tc>
              <w:tc>
                <w:tcPr>
                  <w:tcW w:w="842" w:type="dxa"/>
                  <w:vAlign w:val="center"/>
                </w:tcPr>
                <w:p w14:paraId="4A25737A">
                  <w:pPr>
                    <w:pStyle w:val="69"/>
                    <w:adjustRightInd w:val="0"/>
                    <w:snapToGrid w:val="0"/>
                    <w:jc w:val="center"/>
                    <w:rPr>
                      <w:rFonts w:ascii="Times New Roman" w:hAnsi="Times New Roman" w:eastAsia="仿宋_GB2312" w:cs="Times New Roman"/>
                      <w:snapToGrid w:val="0"/>
                      <w:kern w:val="0"/>
                      <w:sz w:val="21"/>
                      <w:szCs w:val="21"/>
                    </w:rPr>
                  </w:pPr>
                  <w:r>
                    <w:rPr>
                      <w:rFonts w:ascii="Times New Roman" w:hAnsi="Times New Roman" w:eastAsia="仿宋_GB2312" w:cs="Times New Roman"/>
                      <w:snapToGrid w:val="0"/>
                      <w:kern w:val="0"/>
                      <w:sz w:val="21"/>
                      <w:szCs w:val="21"/>
                    </w:rPr>
                    <w:t>mg/L</w:t>
                  </w:r>
                </w:p>
              </w:tc>
              <w:tc>
                <w:tcPr>
                  <w:tcW w:w="1016" w:type="dxa"/>
                  <w:vAlign w:val="center"/>
                </w:tcPr>
                <w:p w14:paraId="36931329">
                  <w:pPr>
                    <w:adjustRightInd w:val="0"/>
                    <w:snapToGrid w:val="0"/>
                    <w:jc w:val="center"/>
                    <w:rPr>
                      <w:rFonts w:eastAsia="仿宋_GB2312"/>
                      <w:snapToGrid w:val="0"/>
                      <w:kern w:val="0"/>
                      <w:sz w:val="21"/>
                      <w:szCs w:val="21"/>
                    </w:rPr>
                  </w:pPr>
                  <w:r>
                    <w:rPr>
                      <w:rFonts w:eastAsia="仿宋_GB2312"/>
                      <w:kern w:val="24"/>
                      <w:sz w:val="21"/>
                      <w:szCs w:val="21"/>
                    </w:rPr>
                    <w:t>50</w:t>
                  </w:r>
                </w:p>
              </w:tc>
            </w:tr>
            <w:tr w14:paraId="35FDF88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187" w:type="dxa"/>
                  <w:vMerge w:val="continue"/>
                  <w:vAlign w:val="center"/>
                </w:tcPr>
                <w:p w14:paraId="1FD3B657">
                  <w:pPr>
                    <w:pStyle w:val="69"/>
                    <w:adjustRightInd w:val="0"/>
                    <w:snapToGrid w:val="0"/>
                    <w:jc w:val="center"/>
                    <w:rPr>
                      <w:rFonts w:ascii="Times New Roman" w:hAnsi="Times New Roman" w:eastAsia="仿宋_GB2312" w:cs="Times New Roman"/>
                      <w:snapToGrid w:val="0"/>
                      <w:kern w:val="0"/>
                      <w:sz w:val="21"/>
                      <w:szCs w:val="21"/>
                    </w:rPr>
                  </w:pPr>
                </w:p>
              </w:tc>
              <w:tc>
                <w:tcPr>
                  <w:tcW w:w="2110" w:type="dxa"/>
                  <w:vMerge w:val="continue"/>
                  <w:vAlign w:val="center"/>
                </w:tcPr>
                <w:p w14:paraId="36940E8A">
                  <w:pPr>
                    <w:pStyle w:val="69"/>
                    <w:adjustRightInd w:val="0"/>
                    <w:snapToGrid w:val="0"/>
                    <w:jc w:val="center"/>
                    <w:rPr>
                      <w:rFonts w:ascii="Times New Roman" w:hAnsi="Times New Roman" w:eastAsia="仿宋_GB2312" w:cs="Times New Roman"/>
                      <w:snapToGrid w:val="0"/>
                      <w:kern w:val="0"/>
                      <w:sz w:val="21"/>
                      <w:szCs w:val="21"/>
                    </w:rPr>
                  </w:pPr>
                </w:p>
              </w:tc>
              <w:tc>
                <w:tcPr>
                  <w:tcW w:w="1687" w:type="dxa"/>
                  <w:vMerge w:val="continue"/>
                  <w:vAlign w:val="center"/>
                </w:tcPr>
                <w:p w14:paraId="57D46213">
                  <w:pPr>
                    <w:pStyle w:val="69"/>
                    <w:adjustRightInd w:val="0"/>
                    <w:snapToGrid w:val="0"/>
                    <w:jc w:val="center"/>
                    <w:rPr>
                      <w:rFonts w:ascii="Times New Roman" w:hAnsi="Times New Roman" w:eastAsia="仿宋_GB2312" w:cs="Times New Roman"/>
                      <w:snapToGrid w:val="0"/>
                      <w:kern w:val="0"/>
                      <w:sz w:val="21"/>
                      <w:szCs w:val="21"/>
                    </w:rPr>
                  </w:pPr>
                </w:p>
              </w:tc>
              <w:tc>
                <w:tcPr>
                  <w:tcW w:w="1126" w:type="dxa"/>
                  <w:vAlign w:val="center"/>
                </w:tcPr>
                <w:p w14:paraId="651CA97F">
                  <w:pPr>
                    <w:pStyle w:val="69"/>
                    <w:adjustRightInd w:val="0"/>
                    <w:snapToGrid w:val="0"/>
                    <w:jc w:val="center"/>
                    <w:rPr>
                      <w:rFonts w:ascii="Times New Roman" w:hAnsi="Times New Roman" w:eastAsia="仿宋_GB2312" w:cs="Times New Roman"/>
                      <w:snapToGrid w:val="0"/>
                      <w:kern w:val="0"/>
                      <w:sz w:val="21"/>
                      <w:szCs w:val="21"/>
                    </w:rPr>
                  </w:pPr>
                  <w:r>
                    <w:rPr>
                      <w:rFonts w:ascii="Times New Roman" w:hAnsi="Times New Roman" w:eastAsia="仿宋_GB2312" w:cs="Times New Roman"/>
                      <w:snapToGrid w:val="0"/>
                      <w:kern w:val="0"/>
                      <w:sz w:val="21"/>
                      <w:szCs w:val="21"/>
                    </w:rPr>
                    <w:t>氨氮*</w:t>
                  </w:r>
                </w:p>
              </w:tc>
              <w:tc>
                <w:tcPr>
                  <w:tcW w:w="842" w:type="dxa"/>
                  <w:vAlign w:val="center"/>
                </w:tcPr>
                <w:p w14:paraId="73325503">
                  <w:pPr>
                    <w:pStyle w:val="69"/>
                    <w:adjustRightInd w:val="0"/>
                    <w:snapToGrid w:val="0"/>
                    <w:jc w:val="center"/>
                    <w:rPr>
                      <w:rFonts w:ascii="Times New Roman" w:hAnsi="Times New Roman" w:eastAsia="仿宋_GB2312" w:cs="Times New Roman"/>
                      <w:snapToGrid w:val="0"/>
                      <w:kern w:val="0"/>
                      <w:sz w:val="21"/>
                      <w:szCs w:val="21"/>
                    </w:rPr>
                  </w:pPr>
                  <w:r>
                    <w:rPr>
                      <w:rFonts w:ascii="Times New Roman" w:hAnsi="Times New Roman" w:eastAsia="仿宋_GB2312" w:cs="Times New Roman"/>
                      <w:snapToGrid w:val="0"/>
                      <w:kern w:val="0"/>
                      <w:sz w:val="21"/>
                      <w:szCs w:val="21"/>
                    </w:rPr>
                    <w:t>mg/L</w:t>
                  </w:r>
                </w:p>
              </w:tc>
              <w:tc>
                <w:tcPr>
                  <w:tcW w:w="1016" w:type="dxa"/>
                  <w:vAlign w:val="center"/>
                </w:tcPr>
                <w:p w14:paraId="6E65CC26">
                  <w:pPr>
                    <w:pStyle w:val="25"/>
                    <w:adjustRightInd w:val="0"/>
                    <w:snapToGrid w:val="0"/>
                    <w:ind w:left="0" w:firstLine="0" w:firstLineChars="0"/>
                    <w:jc w:val="center"/>
                    <w:rPr>
                      <w:rFonts w:eastAsia="仿宋_GB2312"/>
                      <w:snapToGrid w:val="0"/>
                      <w:kern w:val="0"/>
                      <w:sz w:val="21"/>
                      <w:szCs w:val="21"/>
                    </w:rPr>
                  </w:pPr>
                  <w:r>
                    <w:rPr>
                      <w:rFonts w:hint="eastAsia" w:eastAsia="仿宋_GB2312"/>
                      <w:kern w:val="0"/>
                      <w:sz w:val="21"/>
                      <w:szCs w:val="21"/>
                      <w:lang w:val="en-US" w:eastAsia="zh-CN"/>
                    </w:rPr>
                    <w:t>4</w:t>
                  </w:r>
                  <w:r>
                    <w:rPr>
                      <w:rFonts w:eastAsia="仿宋_GB2312"/>
                      <w:kern w:val="0"/>
                      <w:sz w:val="21"/>
                      <w:szCs w:val="21"/>
                    </w:rPr>
                    <w:t>（</w:t>
                  </w:r>
                  <w:r>
                    <w:rPr>
                      <w:rFonts w:hint="eastAsia" w:eastAsia="仿宋_GB2312"/>
                      <w:kern w:val="0"/>
                      <w:sz w:val="21"/>
                      <w:szCs w:val="21"/>
                      <w:lang w:val="en-US" w:eastAsia="zh-CN"/>
                    </w:rPr>
                    <w:t>6</w:t>
                  </w:r>
                  <w:r>
                    <w:rPr>
                      <w:rFonts w:eastAsia="仿宋_GB2312"/>
                      <w:kern w:val="0"/>
                      <w:sz w:val="21"/>
                      <w:szCs w:val="21"/>
                    </w:rPr>
                    <w:t>）</w:t>
                  </w:r>
                </w:p>
              </w:tc>
            </w:tr>
            <w:tr w14:paraId="10A6819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187" w:type="dxa"/>
                  <w:vMerge w:val="continue"/>
                  <w:vAlign w:val="center"/>
                </w:tcPr>
                <w:p w14:paraId="31CC9D13">
                  <w:pPr>
                    <w:pStyle w:val="69"/>
                    <w:adjustRightInd w:val="0"/>
                    <w:snapToGrid w:val="0"/>
                    <w:jc w:val="center"/>
                    <w:rPr>
                      <w:rFonts w:ascii="Times New Roman" w:hAnsi="Times New Roman" w:eastAsia="仿宋_GB2312" w:cs="Times New Roman"/>
                      <w:snapToGrid w:val="0"/>
                      <w:kern w:val="0"/>
                      <w:sz w:val="21"/>
                      <w:szCs w:val="21"/>
                    </w:rPr>
                  </w:pPr>
                </w:p>
              </w:tc>
              <w:tc>
                <w:tcPr>
                  <w:tcW w:w="2110" w:type="dxa"/>
                  <w:vMerge w:val="continue"/>
                  <w:vAlign w:val="center"/>
                </w:tcPr>
                <w:p w14:paraId="166FCCBC">
                  <w:pPr>
                    <w:pStyle w:val="69"/>
                    <w:adjustRightInd w:val="0"/>
                    <w:snapToGrid w:val="0"/>
                    <w:jc w:val="center"/>
                    <w:rPr>
                      <w:rFonts w:ascii="Times New Roman" w:hAnsi="Times New Roman" w:eastAsia="仿宋_GB2312" w:cs="Times New Roman"/>
                      <w:snapToGrid w:val="0"/>
                      <w:kern w:val="0"/>
                      <w:sz w:val="21"/>
                      <w:szCs w:val="21"/>
                    </w:rPr>
                  </w:pPr>
                </w:p>
              </w:tc>
              <w:tc>
                <w:tcPr>
                  <w:tcW w:w="1687" w:type="dxa"/>
                  <w:vMerge w:val="continue"/>
                  <w:vAlign w:val="center"/>
                </w:tcPr>
                <w:p w14:paraId="3F864A7F">
                  <w:pPr>
                    <w:pStyle w:val="69"/>
                    <w:adjustRightInd w:val="0"/>
                    <w:snapToGrid w:val="0"/>
                    <w:jc w:val="center"/>
                    <w:rPr>
                      <w:rFonts w:ascii="Times New Roman" w:hAnsi="Times New Roman" w:eastAsia="仿宋_GB2312" w:cs="Times New Roman"/>
                      <w:snapToGrid w:val="0"/>
                      <w:kern w:val="0"/>
                      <w:sz w:val="21"/>
                      <w:szCs w:val="21"/>
                    </w:rPr>
                  </w:pPr>
                </w:p>
              </w:tc>
              <w:tc>
                <w:tcPr>
                  <w:tcW w:w="1126" w:type="dxa"/>
                  <w:vAlign w:val="center"/>
                </w:tcPr>
                <w:p w14:paraId="733462DB">
                  <w:pPr>
                    <w:pStyle w:val="69"/>
                    <w:adjustRightInd w:val="0"/>
                    <w:snapToGrid w:val="0"/>
                    <w:jc w:val="center"/>
                    <w:rPr>
                      <w:rFonts w:ascii="Times New Roman" w:hAnsi="Times New Roman" w:eastAsia="仿宋_GB2312" w:cs="Times New Roman"/>
                      <w:snapToGrid w:val="0"/>
                      <w:kern w:val="0"/>
                      <w:sz w:val="21"/>
                      <w:szCs w:val="21"/>
                    </w:rPr>
                  </w:pPr>
                  <w:r>
                    <w:rPr>
                      <w:rFonts w:ascii="Times New Roman" w:hAnsi="Times New Roman" w:eastAsia="仿宋_GB2312" w:cs="Times New Roman"/>
                      <w:snapToGrid w:val="0"/>
                      <w:kern w:val="0"/>
                      <w:sz w:val="21"/>
                      <w:szCs w:val="21"/>
                    </w:rPr>
                    <w:t>TN</w:t>
                  </w:r>
                </w:p>
              </w:tc>
              <w:tc>
                <w:tcPr>
                  <w:tcW w:w="842" w:type="dxa"/>
                  <w:vAlign w:val="center"/>
                </w:tcPr>
                <w:p w14:paraId="5DC6F838">
                  <w:pPr>
                    <w:pStyle w:val="69"/>
                    <w:adjustRightInd w:val="0"/>
                    <w:snapToGrid w:val="0"/>
                    <w:jc w:val="center"/>
                    <w:rPr>
                      <w:rFonts w:ascii="Times New Roman" w:hAnsi="Times New Roman" w:eastAsia="仿宋_GB2312" w:cs="Times New Roman"/>
                      <w:snapToGrid w:val="0"/>
                      <w:kern w:val="0"/>
                      <w:sz w:val="21"/>
                      <w:szCs w:val="21"/>
                    </w:rPr>
                  </w:pPr>
                  <w:r>
                    <w:rPr>
                      <w:rFonts w:ascii="Times New Roman" w:hAnsi="Times New Roman" w:eastAsia="仿宋_GB2312" w:cs="Times New Roman"/>
                      <w:snapToGrid w:val="0"/>
                      <w:kern w:val="0"/>
                      <w:sz w:val="21"/>
                      <w:szCs w:val="21"/>
                    </w:rPr>
                    <w:t>mg/L</w:t>
                  </w:r>
                </w:p>
              </w:tc>
              <w:tc>
                <w:tcPr>
                  <w:tcW w:w="1016" w:type="dxa"/>
                  <w:vAlign w:val="center"/>
                </w:tcPr>
                <w:p w14:paraId="183C665C">
                  <w:pPr>
                    <w:pStyle w:val="25"/>
                    <w:adjustRightInd w:val="0"/>
                    <w:snapToGrid w:val="0"/>
                    <w:ind w:left="0" w:firstLine="0" w:firstLineChars="0"/>
                    <w:jc w:val="center"/>
                    <w:rPr>
                      <w:rFonts w:eastAsia="仿宋_GB2312"/>
                      <w:snapToGrid w:val="0"/>
                      <w:kern w:val="0"/>
                      <w:sz w:val="21"/>
                      <w:szCs w:val="21"/>
                    </w:rPr>
                  </w:pPr>
                  <w:r>
                    <w:rPr>
                      <w:rFonts w:eastAsia="仿宋_GB2312"/>
                      <w:kern w:val="0"/>
                      <w:sz w:val="21"/>
                      <w:szCs w:val="21"/>
                    </w:rPr>
                    <w:t>12（15）</w:t>
                  </w:r>
                </w:p>
              </w:tc>
            </w:tr>
            <w:tr w14:paraId="323F8A9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187" w:type="dxa"/>
                  <w:vMerge w:val="continue"/>
                  <w:vAlign w:val="center"/>
                </w:tcPr>
                <w:p w14:paraId="46EF6F4F">
                  <w:pPr>
                    <w:pStyle w:val="69"/>
                    <w:adjustRightInd w:val="0"/>
                    <w:snapToGrid w:val="0"/>
                    <w:jc w:val="center"/>
                    <w:rPr>
                      <w:rFonts w:ascii="Times New Roman" w:hAnsi="Times New Roman" w:eastAsia="仿宋_GB2312" w:cs="Times New Roman"/>
                      <w:snapToGrid w:val="0"/>
                      <w:kern w:val="0"/>
                      <w:sz w:val="21"/>
                      <w:szCs w:val="21"/>
                    </w:rPr>
                  </w:pPr>
                </w:p>
              </w:tc>
              <w:tc>
                <w:tcPr>
                  <w:tcW w:w="2110" w:type="dxa"/>
                  <w:vMerge w:val="continue"/>
                  <w:vAlign w:val="center"/>
                </w:tcPr>
                <w:p w14:paraId="377F3204">
                  <w:pPr>
                    <w:adjustRightInd w:val="0"/>
                    <w:snapToGrid w:val="0"/>
                    <w:jc w:val="center"/>
                    <w:rPr>
                      <w:rFonts w:eastAsia="仿宋_GB2312"/>
                      <w:snapToGrid w:val="0"/>
                      <w:kern w:val="0"/>
                      <w:sz w:val="21"/>
                      <w:szCs w:val="21"/>
                    </w:rPr>
                  </w:pPr>
                </w:p>
              </w:tc>
              <w:tc>
                <w:tcPr>
                  <w:tcW w:w="1687" w:type="dxa"/>
                  <w:vMerge w:val="continue"/>
                  <w:vAlign w:val="center"/>
                </w:tcPr>
                <w:p w14:paraId="2C740F15">
                  <w:pPr>
                    <w:adjustRightInd w:val="0"/>
                    <w:snapToGrid w:val="0"/>
                    <w:jc w:val="center"/>
                    <w:rPr>
                      <w:rFonts w:eastAsia="仿宋_GB2312"/>
                      <w:snapToGrid w:val="0"/>
                      <w:kern w:val="0"/>
                      <w:sz w:val="21"/>
                      <w:szCs w:val="21"/>
                    </w:rPr>
                  </w:pPr>
                </w:p>
              </w:tc>
              <w:tc>
                <w:tcPr>
                  <w:tcW w:w="1126" w:type="dxa"/>
                  <w:vAlign w:val="center"/>
                </w:tcPr>
                <w:p w14:paraId="313AFA17">
                  <w:pPr>
                    <w:pStyle w:val="69"/>
                    <w:adjustRightInd w:val="0"/>
                    <w:snapToGrid w:val="0"/>
                    <w:jc w:val="center"/>
                    <w:rPr>
                      <w:rFonts w:ascii="Times New Roman" w:hAnsi="Times New Roman" w:eastAsia="仿宋_GB2312" w:cs="Times New Roman"/>
                      <w:snapToGrid w:val="0"/>
                      <w:kern w:val="0"/>
                      <w:sz w:val="21"/>
                      <w:szCs w:val="21"/>
                    </w:rPr>
                  </w:pPr>
                  <w:r>
                    <w:rPr>
                      <w:rFonts w:ascii="Times New Roman" w:hAnsi="Times New Roman" w:eastAsia="仿宋_GB2312" w:cs="Times New Roman"/>
                      <w:snapToGrid w:val="0"/>
                      <w:kern w:val="0"/>
                      <w:sz w:val="21"/>
                      <w:szCs w:val="21"/>
                    </w:rPr>
                    <w:t>TP</w:t>
                  </w:r>
                </w:p>
              </w:tc>
              <w:tc>
                <w:tcPr>
                  <w:tcW w:w="842" w:type="dxa"/>
                  <w:vAlign w:val="center"/>
                </w:tcPr>
                <w:p w14:paraId="3643A8D3">
                  <w:pPr>
                    <w:pStyle w:val="69"/>
                    <w:adjustRightInd w:val="0"/>
                    <w:snapToGrid w:val="0"/>
                    <w:jc w:val="center"/>
                    <w:rPr>
                      <w:rFonts w:ascii="Times New Roman" w:hAnsi="Times New Roman" w:eastAsia="仿宋_GB2312" w:cs="Times New Roman"/>
                      <w:snapToGrid w:val="0"/>
                      <w:kern w:val="0"/>
                      <w:sz w:val="21"/>
                      <w:szCs w:val="21"/>
                    </w:rPr>
                  </w:pPr>
                  <w:r>
                    <w:rPr>
                      <w:rFonts w:ascii="Times New Roman" w:hAnsi="Times New Roman" w:eastAsia="仿宋_GB2312" w:cs="Times New Roman"/>
                      <w:snapToGrid w:val="0"/>
                      <w:kern w:val="0"/>
                      <w:sz w:val="21"/>
                      <w:szCs w:val="21"/>
                    </w:rPr>
                    <w:t>mg/L</w:t>
                  </w:r>
                </w:p>
              </w:tc>
              <w:tc>
                <w:tcPr>
                  <w:tcW w:w="1016" w:type="dxa"/>
                  <w:vAlign w:val="center"/>
                </w:tcPr>
                <w:p w14:paraId="3F9DE082">
                  <w:pPr>
                    <w:adjustRightInd w:val="0"/>
                    <w:snapToGrid w:val="0"/>
                    <w:jc w:val="center"/>
                    <w:rPr>
                      <w:rFonts w:eastAsia="仿宋_GB2312"/>
                      <w:snapToGrid w:val="0"/>
                      <w:kern w:val="0"/>
                      <w:sz w:val="21"/>
                      <w:szCs w:val="21"/>
                    </w:rPr>
                  </w:pPr>
                  <w:r>
                    <w:rPr>
                      <w:rFonts w:eastAsia="仿宋_GB2312"/>
                      <w:kern w:val="24"/>
                      <w:sz w:val="21"/>
                      <w:szCs w:val="21"/>
                    </w:rPr>
                    <w:t>0.5</w:t>
                  </w:r>
                </w:p>
              </w:tc>
            </w:tr>
            <w:tr w14:paraId="562FB7E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187" w:type="dxa"/>
                  <w:vMerge w:val="continue"/>
                  <w:vAlign w:val="center"/>
                </w:tcPr>
                <w:p w14:paraId="5C7867C4">
                  <w:pPr>
                    <w:adjustRightInd w:val="0"/>
                    <w:snapToGrid w:val="0"/>
                    <w:jc w:val="center"/>
                    <w:rPr>
                      <w:rFonts w:eastAsia="仿宋_GB2312"/>
                      <w:snapToGrid w:val="0"/>
                      <w:kern w:val="0"/>
                      <w:sz w:val="21"/>
                      <w:szCs w:val="21"/>
                    </w:rPr>
                  </w:pPr>
                </w:p>
              </w:tc>
              <w:tc>
                <w:tcPr>
                  <w:tcW w:w="2110" w:type="dxa"/>
                  <w:vMerge w:val="restart"/>
                  <w:shd w:val="clear" w:color="auto" w:fill="auto"/>
                  <w:vAlign w:val="center"/>
                </w:tcPr>
                <w:p w14:paraId="79C9A763">
                  <w:pPr>
                    <w:pStyle w:val="69"/>
                    <w:adjustRightInd w:val="0"/>
                    <w:snapToGrid w:val="0"/>
                    <w:jc w:val="center"/>
                    <w:rPr>
                      <w:rFonts w:ascii="Times New Roman" w:hAnsi="Times New Roman" w:eastAsia="仿宋_GB2312" w:cs="Times New Roman"/>
                      <w:snapToGrid w:val="0"/>
                      <w:kern w:val="0"/>
                      <w:sz w:val="21"/>
                      <w:szCs w:val="21"/>
                      <w:lang w:val="en-US" w:eastAsia="zh-CN" w:bidi="ar-SA"/>
                    </w:rPr>
                  </w:pPr>
                  <w:r>
                    <w:rPr>
                      <w:rFonts w:ascii="Times New Roman" w:hAnsi="Times New Roman" w:eastAsia="仿宋_GB2312" w:cs="Times New Roman"/>
                      <w:snapToGrid w:val="0"/>
                      <w:kern w:val="0"/>
                      <w:sz w:val="21"/>
                      <w:szCs w:val="21"/>
                    </w:rPr>
                    <w:t>《城镇污水处理厂污染物排放标准》</w:t>
                  </w:r>
                  <w:r>
                    <w:rPr>
                      <w:rFonts w:hint="eastAsia" w:ascii="Times New Roman" w:hAnsi="Times New Roman" w:eastAsia="仿宋_GB2312" w:cs="Times New Roman"/>
                      <w:snapToGrid w:val="0"/>
                      <w:kern w:val="0"/>
                      <w:sz w:val="21"/>
                      <w:szCs w:val="21"/>
                    </w:rPr>
                    <w:t>（</w:t>
                  </w:r>
                  <w:r>
                    <w:rPr>
                      <w:rFonts w:ascii="Times New Roman" w:hAnsi="Times New Roman" w:eastAsia="仿宋_GB2312" w:cs="Times New Roman"/>
                      <w:snapToGrid w:val="0"/>
                      <w:kern w:val="0"/>
                      <w:sz w:val="21"/>
                      <w:szCs w:val="21"/>
                    </w:rPr>
                    <w:t>GB18918-2002</w:t>
                  </w:r>
                  <w:r>
                    <w:rPr>
                      <w:rFonts w:hint="eastAsia" w:ascii="Times New Roman" w:hAnsi="Times New Roman" w:eastAsia="仿宋_GB2312" w:cs="Times New Roman"/>
                      <w:snapToGrid w:val="0"/>
                      <w:kern w:val="0"/>
                      <w:sz w:val="21"/>
                      <w:szCs w:val="21"/>
                    </w:rPr>
                    <w:t>）含2025年修改单</w:t>
                  </w:r>
                </w:p>
              </w:tc>
              <w:tc>
                <w:tcPr>
                  <w:tcW w:w="1687" w:type="dxa"/>
                  <w:vMerge w:val="restart"/>
                  <w:vAlign w:val="center"/>
                </w:tcPr>
                <w:p w14:paraId="306AED60">
                  <w:pPr>
                    <w:pStyle w:val="69"/>
                    <w:adjustRightInd w:val="0"/>
                    <w:snapToGrid w:val="0"/>
                    <w:jc w:val="center"/>
                    <w:rPr>
                      <w:rFonts w:hint="default" w:ascii="Times New Roman" w:hAnsi="Times New Roman" w:eastAsia="仿宋_GB2312" w:cs="Times New Roman"/>
                      <w:snapToGrid w:val="0"/>
                      <w:kern w:val="0"/>
                      <w:sz w:val="21"/>
                      <w:szCs w:val="21"/>
                      <w:lang w:val="en-US" w:eastAsia="zh-CN"/>
                    </w:rPr>
                  </w:pPr>
                  <w:r>
                    <w:rPr>
                      <w:rFonts w:ascii="Times New Roman" w:hAnsi="Times New Roman" w:eastAsia="仿宋_GB2312" w:cs="Times New Roman"/>
                      <w:snapToGrid w:val="0"/>
                      <w:kern w:val="0"/>
                      <w:sz w:val="21"/>
                      <w:szCs w:val="21"/>
                    </w:rPr>
                    <w:t>一级A</w:t>
                  </w:r>
                </w:p>
              </w:tc>
              <w:tc>
                <w:tcPr>
                  <w:tcW w:w="1126" w:type="dxa"/>
                  <w:vAlign w:val="center"/>
                </w:tcPr>
                <w:p w14:paraId="5A630501">
                  <w:pPr>
                    <w:pStyle w:val="69"/>
                    <w:adjustRightInd w:val="0"/>
                    <w:snapToGrid w:val="0"/>
                    <w:jc w:val="center"/>
                    <w:rPr>
                      <w:rFonts w:ascii="Times New Roman" w:hAnsi="Times New Roman" w:eastAsia="仿宋_GB2312" w:cs="Times New Roman"/>
                      <w:snapToGrid w:val="0"/>
                      <w:kern w:val="0"/>
                      <w:sz w:val="21"/>
                      <w:szCs w:val="21"/>
                    </w:rPr>
                  </w:pPr>
                  <w:r>
                    <w:rPr>
                      <w:rFonts w:ascii="Times New Roman" w:hAnsi="Times New Roman" w:eastAsia="仿宋_GB2312" w:cs="Times New Roman"/>
                      <w:snapToGrid w:val="0"/>
                      <w:kern w:val="0"/>
                      <w:sz w:val="21"/>
                      <w:szCs w:val="21"/>
                    </w:rPr>
                    <w:t>SS</w:t>
                  </w:r>
                </w:p>
              </w:tc>
              <w:tc>
                <w:tcPr>
                  <w:tcW w:w="842" w:type="dxa"/>
                  <w:vAlign w:val="center"/>
                </w:tcPr>
                <w:p w14:paraId="41CFEBEF">
                  <w:pPr>
                    <w:pStyle w:val="69"/>
                    <w:adjustRightInd w:val="0"/>
                    <w:snapToGrid w:val="0"/>
                    <w:jc w:val="center"/>
                    <w:rPr>
                      <w:rFonts w:ascii="Times New Roman" w:hAnsi="Times New Roman" w:eastAsia="仿宋_GB2312" w:cs="Times New Roman"/>
                      <w:snapToGrid w:val="0"/>
                      <w:kern w:val="0"/>
                      <w:sz w:val="21"/>
                      <w:szCs w:val="21"/>
                    </w:rPr>
                  </w:pPr>
                  <w:r>
                    <w:rPr>
                      <w:rFonts w:ascii="Times New Roman" w:hAnsi="Times New Roman" w:eastAsia="仿宋_GB2312" w:cs="Times New Roman"/>
                      <w:snapToGrid w:val="0"/>
                      <w:kern w:val="0"/>
                      <w:sz w:val="21"/>
                      <w:szCs w:val="21"/>
                    </w:rPr>
                    <w:t>mg/L</w:t>
                  </w:r>
                </w:p>
              </w:tc>
              <w:tc>
                <w:tcPr>
                  <w:tcW w:w="1016" w:type="dxa"/>
                  <w:vAlign w:val="center"/>
                </w:tcPr>
                <w:p w14:paraId="3FA5AFD8">
                  <w:pPr>
                    <w:adjustRightInd w:val="0"/>
                    <w:snapToGrid w:val="0"/>
                    <w:jc w:val="center"/>
                    <w:rPr>
                      <w:rFonts w:eastAsia="仿宋_GB2312"/>
                      <w:snapToGrid w:val="0"/>
                      <w:kern w:val="0"/>
                      <w:sz w:val="21"/>
                      <w:szCs w:val="21"/>
                    </w:rPr>
                  </w:pPr>
                  <w:r>
                    <w:rPr>
                      <w:rFonts w:eastAsia="仿宋_GB2312"/>
                      <w:kern w:val="24"/>
                      <w:sz w:val="21"/>
                      <w:szCs w:val="21"/>
                    </w:rPr>
                    <w:t>10</w:t>
                  </w:r>
                </w:p>
              </w:tc>
            </w:tr>
            <w:tr w14:paraId="1F829B3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26" w:hRule="atLeast"/>
                <w:jc w:val="center"/>
              </w:trPr>
              <w:tc>
                <w:tcPr>
                  <w:tcW w:w="1187" w:type="dxa"/>
                  <w:vMerge w:val="continue"/>
                  <w:vAlign w:val="center"/>
                </w:tcPr>
                <w:p w14:paraId="7A4B12A6">
                  <w:pPr>
                    <w:adjustRightInd w:val="0"/>
                    <w:snapToGrid w:val="0"/>
                    <w:jc w:val="center"/>
                    <w:rPr>
                      <w:rFonts w:eastAsia="仿宋_GB2312"/>
                      <w:snapToGrid w:val="0"/>
                      <w:kern w:val="0"/>
                      <w:sz w:val="21"/>
                      <w:szCs w:val="21"/>
                    </w:rPr>
                  </w:pPr>
                </w:p>
              </w:tc>
              <w:tc>
                <w:tcPr>
                  <w:tcW w:w="2110" w:type="dxa"/>
                  <w:vMerge w:val="continue"/>
                  <w:vAlign w:val="center"/>
                </w:tcPr>
                <w:p w14:paraId="370E9DCE">
                  <w:pPr>
                    <w:pStyle w:val="69"/>
                    <w:adjustRightInd w:val="0"/>
                    <w:snapToGrid w:val="0"/>
                    <w:jc w:val="center"/>
                    <w:rPr>
                      <w:rFonts w:ascii="Times New Roman" w:hAnsi="Times New Roman" w:eastAsia="仿宋_GB2312" w:cs="Times New Roman"/>
                      <w:snapToGrid w:val="0"/>
                      <w:kern w:val="0"/>
                      <w:sz w:val="21"/>
                      <w:szCs w:val="21"/>
                    </w:rPr>
                  </w:pPr>
                </w:p>
              </w:tc>
              <w:tc>
                <w:tcPr>
                  <w:tcW w:w="1687" w:type="dxa"/>
                  <w:vMerge w:val="continue"/>
                  <w:vAlign w:val="center"/>
                </w:tcPr>
                <w:p w14:paraId="5AF5B08A">
                  <w:pPr>
                    <w:pStyle w:val="69"/>
                    <w:adjustRightInd w:val="0"/>
                    <w:snapToGrid w:val="0"/>
                    <w:jc w:val="center"/>
                    <w:rPr>
                      <w:rFonts w:ascii="Times New Roman" w:hAnsi="Times New Roman" w:eastAsia="仿宋_GB2312" w:cs="Times New Roman"/>
                      <w:snapToGrid w:val="0"/>
                      <w:kern w:val="0"/>
                      <w:sz w:val="21"/>
                      <w:szCs w:val="21"/>
                    </w:rPr>
                  </w:pPr>
                </w:p>
              </w:tc>
              <w:tc>
                <w:tcPr>
                  <w:tcW w:w="1126" w:type="dxa"/>
                  <w:vAlign w:val="center"/>
                </w:tcPr>
                <w:p w14:paraId="3BF57099">
                  <w:pPr>
                    <w:pStyle w:val="69"/>
                    <w:adjustRightInd w:val="0"/>
                    <w:snapToGrid w:val="0"/>
                    <w:jc w:val="center"/>
                    <w:rPr>
                      <w:rFonts w:ascii="Times New Roman" w:hAnsi="Times New Roman" w:eastAsia="仿宋_GB2312" w:cs="Times New Roman"/>
                      <w:snapToGrid w:val="0"/>
                      <w:kern w:val="0"/>
                      <w:sz w:val="21"/>
                      <w:szCs w:val="21"/>
                    </w:rPr>
                  </w:pPr>
                  <w:r>
                    <w:rPr>
                      <w:rFonts w:ascii="Times New Roman" w:hAnsi="Times New Roman" w:eastAsia="仿宋_GB2312" w:cs="Times New Roman"/>
                      <w:snapToGrid w:val="0"/>
                      <w:kern w:val="0"/>
                      <w:sz w:val="21"/>
                      <w:szCs w:val="21"/>
                    </w:rPr>
                    <w:t>动植物油</w:t>
                  </w:r>
                </w:p>
              </w:tc>
              <w:tc>
                <w:tcPr>
                  <w:tcW w:w="842" w:type="dxa"/>
                  <w:vAlign w:val="center"/>
                </w:tcPr>
                <w:p w14:paraId="6D09CBF5">
                  <w:pPr>
                    <w:pStyle w:val="69"/>
                    <w:adjustRightInd w:val="0"/>
                    <w:snapToGrid w:val="0"/>
                    <w:jc w:val="center"/>
                    <w:rPr>
                      <w:rFonts w:ascii="Times New Roman" w:hAnsi="Times New Roman" w:eastAsia="仿宋_GB2312" w:cs="Times New Roman"/>
                      <w:snapToGrid w:val="0"/>
                      <w:kern w:val="0"/>
                      <w:sz w:val="21"/>
                      <w:szCs w:val="21"/>
                    </w:rPr>
                  </w:pPr>
                  <w:r>
                    <w:rPr>
                      <w:rFonts w:ascii="Times New Roman" w:hAnsi="Times New Roman" w:eastAsia="仿宋_GB2312" w:cs="Times New Roman"/>
                      <w:snapToGrid w:val="0"/>
                      <w:kern w:val="0"/>
                      <w:sz w:val="21"/>
                      <w:szCs w:val="21"/>
                    </w:rPr>
                    <w:t>mg/L</w:t>
                  </w:r>
                </w:p>
              </w:tc>
              <w:tc>
                <w:tcPr>
                  <w:tcW w:w="1016" w:type="dxa"/>
                  <w:vAlign w:val="center"/>
                </w:tcPr>
                <w:p w14:paraId="523D9C83">
                  <w:pPr>
                    <w:adjustRightInd w:val="0"/>
                    <w:snapToGrid w:val="0"/>
                    <w:jc w:val="center"/>
                    <w:rPr>
                      <w:rFonts w:eastAsia="仿宋_GB2312"/>
                      <w:kern w:val="24"/>
                      <w:sz w:val="21"/>
                      <w:szCs w:val="21"/>
                    </w:rPr>
                  </w:pPr>
                  <w:r>
                    <w:rPr>
                      <w:rFonts w:eastAsia="仿宋_GB2312"/>
                      <w:kern w:val="24"/>
                      <w:sz w:val="21"/>
                      <w:szCs w:val="21"/>
                    </w:rPr>
                    <w:t>1</w:t>
                  </w:r>
                </w:p>
              </w:tc>
            </w:tr>
            <w:tr w14:paraId="4FA3712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187" w:type="dxa"/>
                  <w:vMerge w:val="continue"/>
                  <w:vAlign w:val="center"/>
                </w:tcPr>
                <w:p w14:paraId="4A639095">
                  <w:pPr>
                    <w:adjustRightInd w:val="0"/>
                    <w:snapToGrid w:val="0"/>
                    <w:jc w:val="center"/>
                    <w:rPr>
                      <w:rFonts w:eastAsia="仿宋_GB2312"/>
                      <w:snapToGrid w:val="0"/>
                      <w:kern w:val="0"/>
                      <w:sz w:val="21"/>
                      <w:szCs w:val="21"/>
                    </w:rPr>
                  </w:pPr>
                </w:p>
              </w:tc>
              <w:tc>
                <w:tcPr>
                  <w:tcW w:w="2110" w:type="dxa"/>
                  <w:vMerge w:val="continue"/>
                  <w:vAlign w:val="center"/>
                </w:tcPr>
                <w:p w14:paraId="34500D1E">
                  <w:pPr>
                    <w:pStyle w:val="69"/>
                    <w:adjustRightInd w:val="0"/>
                    <w:snapToGrid w:val="0"/>
                    <w:jc w:val="center"/>
                    <w:rPr>
                      <w:rFonts w:ascii="Times New Roman" w:hAnsi="Times New Roman" w:eastAsia="仿宋_GB2312" w:cs="Times New Roman"/>
                      <w:snapToGrid w:val="0"/>
                      <w:kern w:val="0"/>
                      <w:sz w:val="21"/>
                      <w:szCs w:val="21"/>
                    </w:rPr>
                  </w:pPr>
                </w:p>
              </w:tc>
              <w:tc>
                <w:tcPr>
                  <w:tcW w:w="1687" w:type="dxa"/>
                  <w:vMerge w:val="continue"/>
                  <w:vAlign w:val="center"/>
                </w:tcPr>
                <w:p w14:paraId="648A52CE">
                  <w:pPr>
                    <w:pStyle w:val="69"/>
                    <w:adjustRightInd w:val="0"/>
                    <w:snapToGrid w:val="0"/>
                    <w:jc w:val="center"/>
                    <w:rPr>
                      <w:rFonts w:ascii="Times New Roman" w:hAnsi="Times New Roman" w:eastAsia="仿宋_GB2312" w:cs="Times New Roman"/>
                      <w:snapToGrid w:val="0"/>
                      <w:kern w:val="0"/>
                      <w:sz w:val="21"/>
                      <w:szCs w:val="21"/>
                    </w:rPr>
                  </w:pPr>
                </w:p>
              </w:tc>
              <w:tc>
                <w:tcPr>
                  <w:tcW w:w="1126" w:type="dxa"/>
                  <w:vAlign w:val="center"/>
                </w:tcPr>
                <w:p w14:paraId="210B1F4A">
                  <w:pPr>
                    <w:pStyle w:val="69"/>
                    <w:adjustRightInd w:val="0"/>
                    <w:snapToGrid w:val="0"/>
                    <w:jc w:val="center"/>
                    <w:rPr>
                      <w:rFonts w:ascii="Times New Roman" w:hAnsi="Times New Roman" w:eastAsia="仿宋_GB2312" w:cs="Times New Roman"/>
                      <w:snapToGrid w:val="0"/>
                      <w:kern w:val="0"/>
                      <w:sz w:val="21"/>
                      <w:szCs w:val="21"/>
                    </w:rPr>
                  </w:pPr>
                  <w:r>
                    <w:rPr>
                      <w:rFonts w:ascii="Times New Roman" w:hAnsi="Times New Roman" w:eastAsia="仿宋_GB2312" w:cs="Times New Roman"/>
                      <w:snapToGrid w:val="0"/>
                      <w:kern w:val="0"/>
                      <w:sz w:val="21"/>
                      <w:szCs w:val="21"/>
                    </w:rPr>
                    <w:t>石油类</w:t>
                  </w:r>
                </w:p>
              </w:tc>
              <w:tc>
                <w:tcPr>
                  <w:tcW w:w="842" w:type="dxa"/>
                  <w:vAlign w:val="center"/>
                </w:tcPr>
                <w:p w14:paraId="0AE6AD03">
                  <w:pPr>
                    <w:pStyle w:val="69"/>
                    <w:adjustRightInd w:val="0"/>
                    <w:snapToGrid w:val="0"/>
                    <w:jc w:val="center"/>
                    <w:rPr>
                      <w:rFonts w:ascii="Times New Roman" w:hAnsi="Times New Roman" w:eastAsia="仿宋_GB2312" w:cs="Times New Roman"/>
                      <w:snapToGrid w:val="0"/>
                      <w:kern w:val="0"/>
                      <w:sz w:val="21"/>
                      <w:szCs w:val="21"/>
                    </w:rPr>
                  </w:pPr>
                  <w:r>
                    <w:rPr>
                      <w:rFonts w:ascii="Times New Roman" w:hAnsi="Times New Roman" w:eastAsia="仿宋_GB2312" w:cs="Times New Roman"/>
                      <w:snapToGrid w:val="0"/>
                      <w:kern w:val="0"/>
                      <w:sz w:val="21"/>
                      <w:szCs w:val="21"/>
                    </w:rPr>
                    <w:t>mg/L</w:t>
                  </w:r>
                </w:p>
              </w:tc>
              <w:tc>
                <w:tcPr>
                  <w:tcW w:w="1016" w:type="dxa"/>
                  <w:vAlign w:val="center"/>
                </w:tcPr>
                <w:p w14:paraId="60AEF975">
                  <w:pPr>
                    <w:adjustRightInd w:val="0"/>
                    <w:snapToGrid w:val="0"/>
                    <w:jc w:val="center"/>
                    <w:rPr>
                      <w:rFonts w:eastAsia="仿宋_GB2312"/>
                      <w:kern w:val="24"/>
                      <w:sz w:val="21"/>
                      <w:szCs w:val="21"/>
                    </w:rPr>
                  </w:pPr>
                  <w:r>
                    <w:rPr>
                      <w:rFonts w:eastAsia="仿宋_GB2312"/>
                      <w:kern w:val="24"/>
                      <w:sz w:val="21"/>
                      <w:szCs w:val="21"/>
                    </w:rPr>
                    <w:t>1</w:t>
                  </w:r>
                </w:p>
              </w:tc>
            </w:tr>
            <w:tr w14:paraId="0C3E96B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187" w:type="dxa"/>
                  <w:vMerge w:val="continue"/>
                  <w:vAlign w:val="center"/>
                </w:tcPr>
                <w:p w14:paraId="0E75959F">
                  <w:pPr>
                    <w:adjustRightInd w:val="0"/>
                    <w:snapToGrid w:val="0"/>
                    <w:jc w:val="center"/>
                    <w:rPr>
                      <w:rFonts w:eastAsia="仿宋_GB2312"/>
                      <w:snapToGrid w:val="0"/>
                      <w:kern w:val="0"/>
                      <w:sz w:val="21"/>
                      <w:szCs w:val="21"/>
                    </w:rPr>
                  </w:pPr>
                </w:p>
              </w:tc>
              <w:tc>
                <w:tcPr>
                  <w:tcW w:w="2110" w:type="dxa"/>
                  <w:vMerge w:val="restart"/>
                  <w:vAlign w:val="center"/>
                </w:tcPr>
                <w:p w14:paraId="2A92D1F6">
                  <w:pPr>
                    <w:pStyle w:val="69"/>
                    <w:adjustRightInd w:val="0"/>
                    <w:snapToGrid w:val="0"/>
                    <w:jc w:val="center"/>
                    <w:rPr>
                      <w:rFonts w:hint="eastAsia" w:ascii="Times New Roman" w:hAnsi="Times New Roman" w:eastAsia="仿宋_GB2312" w:cs="Times New Roman"/>
                      <w:snapToGrid w:val="0"/>
                      <w:kern w:val="0"/>
                      <w:sz w:val="21"/>
                      <w:szCs w:val="21"/>
                    </w:rPr>
                  </w:pPr>
                  <w:r>
                    <w:rPr>
                      <w:rFonts w:hint="eastAsia" w:ascii="Times New Roman" w:hAnsi="Times New Roman" w:eastAsia="仿宋_GB2312" w:cs="Times New Roman"/>
                      <w:snapToGrid w:val="0"/>
                      <w:kern w:val="0"/>
                      <w:sz w:val="21"/>
                      <w:szCs w:val="21"/>
                    </w:rPr>
                    <w:t>《城镇污水处理厂污染物排放标准》（DB32/4440-2022）</w:t>
                  </w:r>
                </w:p>
                <w:p w14:paraId="4956E2B8">
                  <w:pPr>
                    <w:pStyle w:val="69"/>
                    <w:adjustRightInd w:val="0"/>
                    <w:snapToGrid w:val="0"/>
                    <w:jc w:val="center"/>
                    <w:rPr>
                      <w:rFonts w:hint="eastAsia" w:ascii="Times New Roman" w:hAnsi="Times New Roman" w:eastAsia="仿宋_GB2312" w:cs="Times New Roman"/>
                      <w:snapToGrid w:val="0"/>
                      <w:kern w:val="0"/>
                      <w:sz w:val="21"/>
                      <w:szCs w:val="21"/>
                      <w:lang w:val="en-US" w:eastAsia="zh-CN"/>
                    </w:rPr>
                  </w:pPr>
                  <w:r>
                    <w:rPr>
                      <w:rFonts w:hint="eastAsia" w:ascii="Times New Roman" w:hAnsi="Times New Roman" w:eastAsia="仿宋_GB2312" w:cs="Times New Roman"/>
                      <w:snapToGrid w:val="0"/>
                      <w:kern w:val="0"/>
                      <w:sz w:val="21"/>
                      <w:szCs w:val="21"/>
                    </w:rPr>
                    <w:t>2026年3月28日起</w:t>
                  </w:r>
                  <w:r>
                    <w:rPr>
                      <w:rFonts w:hint="eastAsia" w:ascii="Times New Roman" w:hAnsi="Times New Roman" w:eastAsia="仿宋_GB2312" w:cs="Times New Roman"/>
                      <w:snapToGrid w:val="0"/>
                      <w:kern w:val="0"/>
                      <w:sz w:val="21"/>
                      <w:szCs w:val="21"/>
                      <w:lang w:val="en-US" w:eastAsia="zh-CN"/>
                    </w:rPr>
                    <w:t>施行</w:t>
                  </w:r>
                </w:p>
              </w:tc>
              <w:tc>
                <w:tcPr>
                  <w:tcW w:w="1687" w:type="dxa"/>
                  <w:vMerge w:val="restart"/>
                  <w:vAlign w:val="center"/>
                </w:tcPr>
                <w:p w14:paraId="7CB48C6E">
                  <w:pPr>
                    <w:pStyle w:val="69"/>
                    <w:adjustRightInd w:val="0"/>
                    <w:snapToGrid w:val="0"/>
                    <w:jc w:val="center"/>
                    <w:rPr>
                      <w:rFonts w:hint="eastAsia" w:ascii="Times New Roman" w:hAnsi="Times New Roman" w:eastAsia="仿宋_GB2312" w:cs="Times New Roman"/>
                      <w:snapToGrid w:val="0"/>
                      <w:kern w:val="0"/>
                      <w:sz w:val="21"/>
                      <w:szCs w:val="21"/>
                    </w:rPr>
                  </w:pPr>
                  <w:r>
                    <w:rPr>
                      <w:rFonts w:hint="eastAsia" w:ascii="Times New Roman" w:hAnsi="Times New Roman" w:eastAsia="仿宋_GB2312" w:cs="Times New Roman"/>
                      <w:snapToGrid w:val="0"/>
                      <w:kern w:val="0"/>
                      <w:sz w:val="21"/>
                      <w:szCs w:val="21"/>
                    </w:rPr>
                    <w:t>表1C标准</w:t>
                  </w:r>
                </w:p>
              </w:tc>
              <w:tc>
                <w:tcPr>
                  <w:tcW w:w="1126" w:type="dxa"/>
                  <w:shd w:val="clear" w:color="auto" w:fill="auto"/>
                  <w:vAlign w:val="center"/>
                </w:tcPr>
                <w:p w14:paraId="44778091">
                  <w:pPr>
                    <w:pStyle w:val="69"/>
                    <w:pageBreakBefore w:val="0"/>
                    <w:kinsoku/>
                    <w:wordWrap/>
                    <w:bidi w:val="0"/>
                    <w:adjustRightInd w:val="0"/>
                    <w:snapToGrid w:val="0"/>
                    <w:spacing w:beforeAutospacing="0" w:afterAutospacing="0" w:line="240" w:lineRule="atLeast"/>
                    <w:ind w:left="0" w:leftChars="0" w:right="0" w:rightChars="0"/>
                    <w:jc w:val="center"/>
                    <w:rPr>
                      <w:rFonts w:hint="default" w:ascii="Times New Roman" w:hAnsi="Times New Roman" w:eastAsia="仿宋_GB2312" w:cs="Times New Roman"/>
                      <w:snapToGrid w:val="0"/>
                      <w:color w:val="auto"/>
                      <w:kern w:val="0"/>
                      <w:sz w:val="21"/>
                      <w:szCs w:val="21"/>
                      <w:lang w:val="en-US" w:eastAsia="zh-CN" w:bidi="ar-SA"/>
                    </w:rPr>
                  </w:pPr>
                  <w:r>
                    <w:rPr>
                      <w:rFonts w:hint="eastAsia" w:ascii="Times New Roman" w:hAnsi="Times New Roman" w:eastAsia="仿宋_GB2312" w:cs="Times New Roman"/>
                      <w:snapToGrid w:val="0"/>
                      <w:color w:val="auto"/>
                      <w:kern w:val="0"/>
                      <w:sz w:val="21"/>
                      <w:szCs w:val="21"/>
                    </w:rPr>
                    <w:t>pH</w:t>
                  </w:r>
                </w:p>
              </w:tc>
              <w:tc>
                <w:tcPr>
                  <w:tcW w:w="842" w:type="dxa"/>
                  <w:shd w:val="clear" w:color="auto" w:fill="auto"/>
                  <w:vAlign w:val="center"/>
                </w:tcPr>
                <w:p w14:paraId="26233706">
                  <w:pPr>
                    <w:kinsoku/>
                    <w:jc w:val="center"/>
                    <w:rPr>
                      <w:rFonts w:hint="default" w:ascii="Times New Roman" w:hAnsi="Times New Roman" w:eastAsia="仿宋_GB2312" w:cs="Times New Roman"/>
                      <w:snapToGrid w:val="0"/>
                      <w:color w:val="auto"/>
                      <w:kern w:val="0"/>
                      <w:sz w:val="21"/>
                      <w:szCs w:val="21"/>
                      <w:lang w:val="en-US" w:eastAsia="zh-CN" w:bidi="ar-SA"/>
                    </w:rPr>
                  </w:pPr>
                  <w:r>
                    <w:rPr>
                      <w:rFonts w:hint="default" w:ascii="Times New Roman" w:hAnsi="Times New Roman" w:eastAsia="仿宋_GB2312" w:cs="Times New Roman"/>
                      <w:snapToGrid w:val="0"/>
                      <w:color w:val="auto"/>
                      <w:kern w:val="0"/>
                      <w:sz w:val="21"/>
                      <w:szCs w:val="21"/>
                      <w:lang w:val="en-US" w:eastAsia="zh-CN" w:bidi="ar-SA"/>
                    </w:rPr>
                    <w:t>－</w:t>
                  </w:r>
                </w:p>
              </w:tc>
              <w:tc>
                <w:tcPr>
                  <w:tcW w:w="1016" w:type="dxa"/>
                  <w:shd w:val="clear" w:color="auto" w:fill="auto"/>
                  <w:vAlign w:val="center"/>
                </w:tcPr>
                <w:p w14:paraId="550FE823">
                  <w:pPr>
                    <w:pStyle w:val="112"/>
                    <w:spacing w:line="260" w:lineRule="exact"/>
                    <w:jc w:val="center"/>
                    <w:rPr>
                      <w:rFonts w:hint="default" w:ascii="Times New Roman" w:hAnsi="Times New Roman" w:eastAsia="宋体" w:cs="Times New Roman"/>
                      <w:snapToGrid/>
                      <w:color w:val="auto"/>
                      <w:kern w:val="2"/>
                      <w:sz w:val="18"/>
                      <w:szCs w:val="18"/>
                      <w:lang w:val="en-US" w:eastAsia="zh-CN" w:bidi="ar-SA"/>
                    </w:rPr>
                  </w:pPr>
                  <w:r>
                    <w:rPr>
                      <w:rFonts w:cs="Times New Roman"/>
                      <w:sz w:val="18"/>
                      <w:szCs w:val="18"/>
                    </w:rPr>
                    <w:t>6～9</w:t>
                  </w:r>
                </w:p>
              </w:tc>
            </w:tr>
            <w:tr w14:paraId="1F101BC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187" w:type="dxa"/>
                  <w:vMerge w:val="continue"/>
                  <w:vAlign w:val="center"/>
                </w:tcPr>
                <w:p w14:paraId="74613006">
                  <w:pPr>
                    <w:adjustRightInd w:val="0"/>
                    <w:snapToGrid w:val="0"/>
                    <w:jc w:val="center"/>
                    <w:rPr>
                      <w:rFonts w:eastAsia="仿宋_GB2312"/>
                      <w:snapToGrid w:val="0"/>
                      <w:kern w:val="0"/>
                      <w:sz w:val="21"/>
                      <w:szCs w:val="21"/>
                    </w:rPr>
                  </w:pPr>
                </w:p>
              </w:tc>
              <w:tc>
                <w:tcPr>
                  <w:tcW w:w="2110" w:type="dxa"/>
                  <w:vMerge w:val="continue"/>
                  <w:vAlign w:val="center"/>
                </w:tcPr>
                <w:p w14:paraId="7CF9CFDB">
                  <w:pPr>
                    <w:pStyle w:val="69"/>
                    <w:adjustRightInd w:val="0"/>
                    <w:snapToGrid w:val="0"/>
                    <w:jc w:val="center"/>
                    <w:rPr>
                      <w:rFonts w:ascii="Times New Roman" w:hAnsi="Times New Roman" w:eastAsia="仿宋_GB2312" w:cs="Times New Roman"/>
                      <w:snapToGrid w:val="0"/>
                      <w:kern w:val="0"/>
                      <w:sz w:val="21"/>
                      <w:szCs w:val="21"/>
                    </w:rPr>
                  </w:pPr>
                </w:p>
              </w:tc>
              <w:tc>
                <w:tcPr>
                  <w:tcW w:w="1687" w:type="dxa"/>
                  <w:vMerge w:val="continue"/>
                  <w:vAlign w:val="center"/>
                </w:tcPr>
                <w:p w14:paraId="165C59D6">
                  <w:pPr>
                    <w:pStyle w:val="69"/>
                    <w:adjustRightInd w:val="0"/>
                    <w:snapToGrid w:val="0"/>
                    <w:jc w:val="center"/>
                    <w:rPr>
                      <w:rFonts w:ascii="Times New Roman" w:hAnsi="Times New Roman" w:eastAsia="仿宋_GB2312" w:cs="Times New Roman"/>
                      <w:snapToGrid w:val="0"/>
                      <w:kern w:val="0"/>
                      <w:sz w:val="21"/>
                      <w:szCs w:val="21"/>
                    </w:rPr>
                  </w:pPr>
                </w:p>
              </w:tc>
              <w:tc>
                <w:tcPr>
                  <w:tcW w:w="1126" w:type="dxa"/>
                  <w:shd w:val="clear" w:color="auto" w:fill="auto"/>
                  <w:vAlign w:val="center"/>
                </w:tcPr>
                <w:p w14:paraId="2CF27812">
                  <w:pPr>
                    <w:pStyle w:val="69"/>
                    <w:pageBreakBefore w:val="0"/>
                    <w:kinsoku/>
                    <w:wordWrap/>
                    <w:bidi w:val="0"/>
                    <w:adjustRightInd w:val="0"/>
                    <w:snapToGrid w:val="0"/>
                    <w:spacing w:beforeAutospacing="0" w:afterAutospacing="0" w:line="240" w:lineRule="atLeast"/>
                    <w:ind w:left="0" w:leftChars="0" w:right="0" w:rightChars="0"/>
                    <w:jc w:val="center"/>
                    <w:rPr>
                      <w:rFonts w:hint="default" w:ascii="Times New Roman" w:hAnsi="Times New Roman" w:eastAsia="仿宋_GB2312" w:cs="Times New Roman"/>
                      <w:snapToGrid w:val="0"/>
                      <w:color w:val="auto"/>
                      <w:kern w:val="0"/>
                      <w:sz w:val="21"/>
                      <w:szCs w:val="21"/>
                      <w:lang w:val="en-US" w:eastAsia="zh-CN" w:bidi="ar-SA"/>
                    </w:rPr>
                  </w:pPr>
                  <w:r>
                    <w:rPr>
                      <w:rFonts w:hint="eastAsia" w:ascii="Times New Roman" w:hAnsi="Times New Roman" w:eastAsia="仿宋_GB2312" w:cs="Times New Roman"/>
                      <w:snapToGrid w:val="0"/>
                      <w:color w:val="auto"/>
                      <w:kern w:val="0"/>
                      <w:sz w:val="21"/>
                      <w:szCs w:val="21"/>
                    </w:rPr>
                    <w:t>COD</w:t>
                  </w:r>
                </w:p>
              </w:tc>
              <w:tc>
                <w:tcPr>
                  <w:tcW w:w="842" w:type="dxa"/>
                  <w:shd w:val="clear" w:color="auto" w:fill="auto"/>
                  <w:vAlign w:val="center"/>
                </w:tcPr>
                <w:p w14:paraId="16675599">
                  <w:pPr>
                    <w:pStyle w:val="69"/>
                    <w:pageBreakBefore w:val="0"/>
                    <w:kinsoku/>
                    <w:wordWrap/>
                    <w:bidi w:val="0"/>
                    <w:adjustRightInd w:val="0"/>
                    <w:snapToGrid w:val="0"/>
                    <w:spacing w:beforeAutospacing="0" w:afterAutospacing="0" w:line="240" w:lineRule="atLeast"/>
                    <w:ind w:left="0" w:leftChars="0" w:right="0" w:rightChars="0"/>
                    <w:jc w:val="center"/>
                    <w:rPr>
                      <w:rFonts w:hint="default" w:ascii="Times New Roman" w:hAnsi="Times New Roman" w:eastAsia="仿宋_GB2312" w:cs="Times New Roman"/>
                      <w:snapToGrid w:val="0"/>
                      <w:color w:val="auto"/>
                      <w:kern w:val="0"/>
                      <w:sz w:val="21"/>
                      <w:szCs w:val="21"/>
                      <w:lang w:val="en-US" w:eastAsia="zh-CN" w:bidi="ar-SA"/>
                    </w:rPr>
                  </w:pPr>
                  <w:r>
                    <w:rPr>
                      <w:rFonts w:hint="default" w:ascii="Times New Roman" w:hAnsi="Times New Roman" w:eastAsia="仿宋_GB2312" w:cs="Times New Roman"/>
                      <w:snapToGrid w:val="0"/>
                      <w:color w:val="auto"/>
                      <w:kern w:val="0"/>
                      <w:sz w:val="21"/>
                      <w:szCs w:val="21"/>
                    </w:rPr>
                    <w:t>mg/L</w:t>
                  </w:r>
                </w:p>
              </w:tc>
              <w:tc>
                <w:tcPr>
                  <w:tcW w:w="1016" w:type="dxa"/>
                  <w:shd w:val="clear" w:color="auto" w:fill="auto"/>
                  <w:vAlign w:val="center"/>
                </w:tcPr>
                <w:p w14:paraId="5157FC17">
                  <w:pPr>
                    <w:pStyle w:val="112"/>
                    <w:spacing w:line="260" w:lineRule="exact"/>
                    <w:jc w:val="center"/>
                    <w:rPr>
                      <w:rFonts w:hint="default" w:ascii="Times New Roman" w:hAnsi="Times New Roman" w:eastAsia="宋体" w:cs="Times New Roman"/>
                      <w:snapToGrid/>
                      <w:color w:val="auto"/>
                      <w:kern w:val="2"/>
                      <w:sz w:val="18"/>
                      <w:szCs w:val="18"/>
                      <w:lang w:val="en-US" w:eastAsia="zh-CN" w:bidi="ar-SA"/>
                    </w:rPr>
                  </w:pPr>
                  <w:r>
                    <w:rPr>
                      <w:rFonts w:hint="eastAsia" w:cs="Times New Roman"/>
                      <w:sz w:val="18"/>
                      <w:szCs w:val="18"/>
                    </w:rPr>
                    <w:t>50</w:t>
                  </w:r>
                </w:p>
              </w:tc>
            </w:tr>
            <w:tr w14:paraId="551770E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187" w:type="dxa"/>
                  <w:vMerge w:val="continue"/>
                  <w:vAlign w:val="center"/>
                </w:tcPr>
                <w:p w14:paraId="36F3F562">
                  <w:pPr>
                    <w:adjustRightInd w:val="0"/>
                    <w:snapToGrid w:val="0"/>
                    <w:jc w:val="center"/>
                    <w:rPr>
                      <w:rFonts w:eastAsia="仿宋_GB2312"/>
                      <w:snapToGrid w:val="0"/>
                      <w:kern w:val="0"/>
                      <w:sz w:val="21"/>
                      <w:szCs w:val="21"/>
                    </w:rPr>
                  </w:pPr>
                </w:p>
              </w:tc>
              <w:tc>
                <w:tcPr>
                  <w:tcW w:w="2110" w:type="dxa"/>
                  <w:vMerge w:val="continue"/>
                  <w:vAlign w:val="center"/>
                </w:tcPr>
                <w:p w14:paraId="37F3FAA6">
                  <w:pPr>
                    <w:pStyle w:val="69"/>
                    <w:adjustRightInd w:val="0"/>
                    <w:snapToGrid w:val="0"/>
                    <w:jc w:val="center"/>
                    <w:rPr>
                      <w:rFonts w:ascii="Times New Roman" w:hAnsi="Times New Roman" w:eastAsia="仿宋_GB2312" w:cs="Times New Roman"/>
                      <w:snapToGrid w:val="0"/>
                      <w:kern w:val="0"/>
                      <w:sz w:val="21"/>
                      <w:szCs w:val="21"/>
                    </w:rPr>
                  </w:pPr>
                </w:p>
              </w:tc>
              <w:tc>
                <w:tcPr>
                  <w:tcW w:w="1687" w:type="dxa"/>
                  <w:vMerge w:val="continue"/>
                  <w:vAlign w:val="center"/>
                </w:tcPr>
                <w:p w14:paraId="44F3036B">
                  <w:pPr>
                    <w:pStyle w:val="69"/>
                    <w:adjustRightInd w:val="0"/>
                    <w:snapToGrid w:val="0"/>
                    <w:jc w:val="center"/>
                    <w:rPr>
                      <w:rFonts w:ascii="Times New Roman" w:hAnsi="Times New Roman" w:eastAsia="仿宋_GB2312" w:cs="Times New Roman"/>
                      <w:snapToGrid w:val="0"/>
                      <w:kern w:val="0"/>
                      <w:sz w:val="21"/>
                      <w:szCs w:val="21"/>
                    </w:rPr>
                  </w:pPr>
                </w:p>
              </w:tc>
              <w:tc>
                <w:tcPr>
                  <w:tcW w:w="1126" w:type="dxa"/>
                  <w:shd w:val="clear" w:color="auto" w:fill="auto"/>
                  <w:vAlign w:val="center"/>
                </w:tcPr>
                <w:p w14:paraId="5CB1C651">
                  <w:pPr>
                    <w:pStyle w:val="69"/>
                    <w:pageBreakBefore w:val="0"/>
                    <w:kinsoku/>
                    <w:wordWrap/>
                    <w:bidi w:val="0"/>
                    <w:adjustRightInd w:val="0"/>
                    <w:snapToGrid w:val="0"/>
                    <w:spacing w:beforeAutospacing="0" w:afterAutospacing="0" w:line="240" w:lineRule="atLeast"/>
                    <w:ind w:left="0" w:leftChars="0" w:right="0" w:rightChars="0"/>
                    <w:jc w:val="center"/>
                    <w:rPr>
                      <w:rFonts w:hint="default" w:ascii="Times New Roman" w:hAnsi="Times New Roman" w:eastAsia="仿宋_GB2312" w:cs="Times New Roman"/>
                      <w:snapToGrid w:val="0"/>
                      <w:color w:val="auto"/>
                      <w:kern w:val="0"/>
                      <w:sz w:val="21"/>
                      <w:szCs w:val="21"/>
                      <w:lang w:val="en-US" w:eastAsia="zh-CN" w:bidi="ar-SA"/>
                    </w:rPr>
                  </w:pPr>
                  <w:r>
                    <w:rPr>
                      <w:rFonts w:hint="eastAsia" w:ascii="Times New Roman" w:hAnsi="Times New Roman" w:eastAsia="仿宋_GB2312" w:cs="Times New Roman"/>
                      <w:snapToGrid w:val="0"/>
                      <w:color w:val="auto"/>
                      <w:kern w:val="0"/>
                      <w:sz w:val="21"/>
                      <w:szCs w:val="21"/>
                    </w:rPr>
                    <w:t>SS</w:t>
                  </w:r>
                </w:p>
              </w:tc>
              <w:tc>
                <w:tcPr>
                  <w:tcW w:w="842" w:type="dxa"/>
                  <w:shd w:val="clear" w:color="auto" w:fill="auto"/>
                  <w:vAlign w:val="center"/>
                </w:tcPr>
                <w:p w14:paraId="14B15076">
                  <w:pPr>
                    <w:kinsoku/>
                    <w:jc w:val="center"/>
                    <w:rPr>
                      <w:rFonts w:hint="default" w:ascii="Times New Roman" w:hAnsi="Times New Roman" w:eastAsia="仿宋_GB2312" w:cs="Times New Roman"/>
                      <w:snapToGrid w:val="0"/>
                      <w:color w:val="auto"/>
                      <w:kern w:val="0"/>
                      <w:sz w:val="21"/>
                      <w:szCs w:val="21"/>
                      <w:lang w:val="en-US" w:eastAsia="zh-CN" w:bidi="ar-SA"/>
                    </w:rPr>
                  </w:pPr>
                  <w:r>
                    <w:rPr>
                      <w:rFonts w:hint="default" w:ascii="Times New Roman" w:hAnsi="Times New Roman" w:eastAsia="仿宋_GB2312" w:cs="Times New Roman"/>
                      <w:snapToGrid w:val="0"/>
                      <w:color w:val="auto"/>
                      <w:kern w:val="0"/>
                      <w:sz w:val="21"/>
                      <w:szCs w:val="21"/>
                      <w:lang w:val="en-US" w:eastAsia="zh-CN" w:bidi="ar-SA"/>
                    </w:rPr>
                    <w:t>mg/L</w:t>
                  </w:r>
                </w:p>
              </w:tc>
              <w:tc>
                <w:tcPr>
                  <w:tcW w:w="1016" w:type="dxa"/>
                  <w:shd w:val="clear" w:color="auto" w:fill="auto"/>
                  <w:vAlign w:val="center"/>
                </w:tcPr>
                <w:p w14:paraId="40749FE1">
                  <w:pPr>
                    <w:pStyle w:val="112"/>
                    <w:spacing w:line="260" w:lineRule="exact"/>
                    <w:jc w:val="center"/>
                    <w:rPr>
                      <w:rFonts w:hint="default" w:ascii="Times New Roman" w:hAnsi="Times New Roman" w:eastAsia="宋体" w:cs="Times New Roman"/>
                      <w:snapToGrid/>
                      <w:color w:val="auto"/>
                      <w:kern w:val="2"/>
                      <w:sz w:val="18"/>
                      <w:szCs w:val="18"/>
                      <w:lang w:val="en-US" w:eastAsia="zh-CN" w:bidi="ar-SA"/>
                    </w:rPr>
                  </w:pPr>
                  <w:r>
                    <w:rPr>
                      <w:rFonts w:hint="eastAsia" w:cs="Times New Roman"/>
                      <w:sz w:val="18"/>
                      <w:szCs w:val="18"/>
                    </w:rPr>
                    <w:t>10</w:t>
                  </w:r>
                </w:p>
              </w:tc>
            </w:tr>
            <w:tr w14:paraId="030A74D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187" w:type="dxa"/>
                  <w:vMerge w:val="continue"/>
                  <w:vAlign w:val="center"/>
                </w:tcPr>
                <w:p w14:paraId="501660B2">
                  <w:pPr>
                    <w:adjustRightInd w:val="0"/>
                    <w:snapToGrid w:val="0"/>
                    <w:jc w:val="center"/>
                    <w:rPr>
                      <w:rFonts w:eastAsia="仿宋_GB2312"/>
                      <w:snapToGrid w:val="0"/>
                      <w:kern w:val="0"/>
                      <w:sz w:val="21"/>
                      <w:szCs w:val="21"/>
                    </w:rPr>
                  </w:pPr>
                </w:p>
              </w:tc>
              <w:tc>
                <w:tcPr>
                  <w:tcW w:w="2110" w:type="dxa"/>
                  <w:vMerge w:val="continue"/>
                  <w:vAlign w:val="center"/>
                </w:tcPr>
                <w:p w14:paraId="4AA2978D">
                  <w:pPr>
                    <w:pStyle w:val="69"/>
                    <w:adjustRightInd w:val="0"/>
                    <w:snapToGrid w:val="0"/>
                    <w:jc w:val="center"/>
                    <w:rPr>
                      <w:rFonts w:ascii="Times New Roman" w:hAnsi="Times New Roman" w:eastAsia="仿宋_GB2312" w:cs="Times New Roman"/>
                      <w:snapToGrid w:val="0"/>
                      <w:kern w:val="0"/>
                      <w:sz w:val="21"/>
                      <w:szCs w:val="21"/>
                    </w:rPr>
                  </w:pPr>
                </w:p>
              </w:tc>
              <w:tc>
                <w:tcPr>
                  <w:tcW w:w="1687" w:type="dxa"/>
                  <w:vMerge w:val="continue"/>
                  <w:vAlign w:val="center"/>
                </w:tcPr>
                <w:p w14:paraId="3253B6CB">
                  <w:pPr>
                    <w:pStyle w:val="69"/>
                    <w:adjustRightInd w:val="0"/>
                    <w:snapToGrid w:val="0"/>
                    <w:jc w:val="center"/>
                    <w:rPr>
                      <w:rFonts w:ascii="Times New Roman" w:hAnsi="Times New Roman" w:eastAsia="仿宋_GB2312" w:cs="Times New Roman"/>
                      <w:snapToGrid w:val="0"/>
                      <w:kern w:val="0"/>
                      <w:sz w:val="21"/>
                      <w:szCs w:val="21"/>
                    </w:rPr>
                  </w:pPr>
                </w:p>
              </w:tc>
              <w:tc>
                <w:tcPr>
                  <w:tcW w:w="1126" w:type="dxa"/>
                  <w:shd w:val="clear" w:color="auto" w:fill="auto"/>
                  <w:vAlign w:val="center"/>
                </w:tcPr>
                <w:p w14:paraId="27A18CF8">
                  <w:pPr>
                    <w:pStyle w:val="69"/>
                    <w:pageBreakBefore w:val="0"/>
                    <w:kinsoku/>
                    <w:wordWrap/>
                    <w:bidi w:val="0"/>
                    <w:adjustRightInd w:val="0"/>
                    <w:snapToGrid w:val="0"/>
                    <w:spacing w:beforeAutospacing="0" w:afterAutospacing="0" w:line="240" w:lineRule="atLeast"/>
                    <w:ind w:left="0" w:leftChars="0" w:right="0" w:rightChars="0"/>
                    <w:jc w:val="center"/>
                    <w:rPr>
                      <w:rFonts w:hint="default" w:ascii="Times New Roman" w:hAnsi="Times New Roman" w:eastAsia="仿宋_GB2312" w:cs="Times New Roman"/>
                      <w:snapToGrid w:val="0"/>
                      <w:color w:val="auto"/>
                      <w:kern w:val="0"/>
                      <w:sz w:val="21"/>
                      <w:szCs w:val="21"/>
                      <w:lang w:val="en-US" w:eastAsia="zh-CN" w:bidi="ar-SA"/>
                    </w:rPr>
                  </w:pPr>
                  <w:r>
                    <w:rPr>
                      <w:rFonts w:hint="default" w:ascii="Times New Roman" w:hAnsi="Times New Roman" w:eastAsia="仿宋_GB2312" w:cs="Times New Roman"/>
                      <w:snapToGrid w:val="0"/>
                      <w:color w:val="auto"/>
                      <w:kern w:val="0"/>
                      <w:sz w:val="21"/>
                      <w:szCs w:val="21"/>
                    </w:rPr>
                    <w:t>氨氮</w:t>
                  </w:r>
                </w:p>
              </w:tc>
              <w:tc>
                <w:tcPr>
                  <w:tcW w:w="842" w:type="dxa"/>
                  <w:shd w:val="clear" w:color="auto" w:fill="auto"/>
                  <w:vAlign w:val="center"/>
                </w:tcPr>
                <w:p w14:paraId="7B4BA176">
                  <w:pPr>
                    <w:kinsoku/>
                    <w:jc w:val="center"/>
                    <w:rPr>
                      <w:rFonts w:hint="default" w:ascii="Times New Roman" w:hAnsi="Times New Roman" w:eastAsia="仿宋_GB2312" w:cs="Times New Roman"/>
                      <w:snapToGrid w:val="0"/>
                      <w:color w:val="auto"/>
                      <w:kern w:val="0"/>
                      <w:sz w:val="21"/>
                      <w:szCs w:val="21"/>
                      <w:lang w:val="en-US" w:eastAsia="zh-CN" w:bidi="ar-SA"/>
                    </w:rPr>
                  </w:pPr>
                  <w:r>
                    <w:rPr>
                      <w:rFonts w:hint="default" w:ascii="Times New Roman" w:hAnsi="Times New Roman" w:eastAsia="仿宋_GB2312" w:cs="Times New Roman"/>
                      <w:snapToGrid w:val="0"/>
                      <w:color w:val="auto"/>
                      <w:kern w:val="0"/>
                      <w:sz w:val="21"/>
                      <w:szCs w:val="21"/>
                      <w:lang w:val="en-US" w:eastAsia="zh-CN" w:bidi="ar-SA"/>
                    </w:rPr>
                    <w:t>mg/L</w:t>
                  </w:r>
                </w:p>
              </w:tc>
              <w:tc>
                <w:tcPr>
                  <w:tcW w:w="1016" w:type="dxa"/>
                  <w:shd w:val="clear" w:color="auto" w:fill="auto"/>
                  <w:vAlign w:val="center"/>
                </w:tcPr>
                <w:p w14:paraId="37DA6709">
                  <w:pPr>
                    <w:pStyle w:val="112"/>
                    <w:spacing w:line="260" w:lineRule="exact"/>
                    <w:jc w:val="center"/>
                    <w:rPr>
                      <w:rFonts w:hint="default" w:ascii="Times New Roman" w:hAnsi="Times New Roman" w:eastAsia="宋体" w:cs="Times New Roman"/>
                      <w:snapToGrid/>
                      <w:color w:val="auto"/>
                      <w:kern w:val="2"/>
                      <w:sz w:val="18"/>
                      <w:szCs w:val="18"/>
                      <w:lang w:val="en-US" w:eastAsia="zh-CN" w:bidi="ar-SA"/>
                    </w:rPr>
                  </w:pPr>
                  <w:r>
                    <w:rPr>
                      <w:rFonts w:hint="eastAsia" w:cs="Times New Roman"/>
                      <w:sz w:val="18"/>
                      <w:szCs w:val="18"/>
                    </w:rPr>
                    <w:t>4</w:t>
                  </w:r>
                  <w:r>
                    <w:rPr>
                      <w:rFonts w:cs="Times New Roman"/>
                      <w:sz w:val="18"/>
                      <w:szCs w:val="18"/>
                    </w:rPr>
                    <w:t>(</w:t>
                  </w:r>
                  <w:r>
                    <w:rPr>
                      <w:rFonts w:hint="eastAsia" w:cs="Times New Roman"/>
                      <w:sz w:val="18"/>
                      <w:szCs w:val="18"/>
                    </w:rPr>
                    <w:t>6</w:t>
                  </w:r>
                  <w:r>
                    <w:rPr>
                      <w:rFonts w:cs="Times New Roman"/>
                      <w:sz w:val="18"/>
                      <w:szCs w:val="18"/>
                    </w:rPr>
                    <w:t>)</w:t>
                  </w:r>
                  <w:r>
                    <w:rPr>
                      <w:rFonts w:cs="Times New Roman"/>
                      <w:sz w:val="18"/>
                      <w:szCs w:val="18"/>
                      <w:vertAlign w:val="superscript"/>
                    </w:rPr>
                    <w:t xml:space="preserve"> *</w:t>
                  </w:r>
                  <w:r>
                    <w:rPr>
                      <w:rFonts w:hint="eastAsia" w:cs="Times New Roman"/>
                      <w:sz w:val="18"/>
                      <w:szCs w:val="18"/>
                      <w:vertAlign w:val="superscript"/>
                    </w:rPr>
                    <w:t>*</w:t>
                  </w:r>
                </w:p>
              </w:tc>
            </w:tr>
            <w:tr w14:paraId="57C7C0C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187" w:type="dxa"/>
                  <w:vMerge w:val="continue"/>
                  <w:vAlign w:val="center"/>
                </w:tcPr>
                <w:p w14:paraId="2D09BE6B">
                  <w:pPr>
                    <w:adjustRightInd w:val="0"/>
                    <w:snapToGrid w:val="0"/>
                    <w:jc w:val="center"/>
                    <w:rPr>
                      <w:rFonts w:eastAsia="仿宋_GB2312"/>
                      <w:snapToGrid w:val="0"/>
                      <w:kern w:val="0"/>
                      <w:sz w:val="21"/>
                      <w:szCs w:val="21"/>
                    </w:rPr>
                  </w:pPr>
                </w:p>
              </w:tc>
              <w:tc>
                <w:tcPr>
                  <w:tcW w:w="2110" w:type="dxa"/>
                  <w:vMerge w:val="continue"/>
                  <w:vAlign w:val="center"/>
                </w:tcPr>
                <w:p w14:paraId="2E89E1F3">
                  <w:pPr>
                    <w:pStyle w:val="69"/>
                    <w:adjustRightInd w:val="0"/>
                    <w:snapToGrid w:val="0"/>
                    <w:jc w:val="center"/>
                    <w:rPr>
                      <w:rFonts w:ascii="Times New Roman" w:hAnsi="Times New Roman" w:eastAsia="仿宋_GB2312" w:cs="Times New Roman"/>
                      <w:snapToGrid w:val="0"/>
                      <w:kern w:val="0"/>
                      <w:sz w:val="21"/>
                      <w:szCs w:val="21"/>
                    </w:rPr>
                  </w:pPr>
                </w:p>
              </w:tc>
              <w:tc>
                <w:tcPr>
                  <w:tcW w:w="1687" w:type="dxa"/>
                  <w:vMerge w:val="continue"/>
                  <w:vAlign w:val="center"/>
                </w:tcPr>
                <w:p w14:paraId="458F7280">
                  <w:pPr>
                    <w:pStyle w:val="69"/>
                    <w:adjustRightInd w:val="0"/>
                    <w:snapToGrid w:val="0"/>
                    <w:jc w:val="center"/>
                    <w:rPr>
                      <w:rFonts w:ascii="Times New Roman" w:hAnsi="Times New Roman" w:eastAsia="仿宋_GB2312" w:cs="Times New Roman"/>
                      <w:snapToGrid w:val="0"/>
                      <w:kern w:val="0"/>
                      <w:sz w:val="21"/>
                      <w:szCs w:val="21"/>
                    </w:rPr>
                  </w:pPr>
                </w:p>
              </w:tc>
              <w:tc>
                <w:tcPr>
                  <w:tcW w:w="1126" w:type="dxa"/>
                  <w:shd w:val="clear" w:color="auto" w:fill="auto"/>
                  <w:vAlign w:val="center"/>
                </w:tcPr>
                <w:p w14:paraId="28F2A709">
                  <w:pPr>
                    <w:pStyle w:val="69"/>
                    <w:pageBreakBefore w:val="0"/>
                    <w:kinsoku/>
                    <w:wordWrap/>
                    <w:bidi w:val="0"/>
                    <w:adjustRightInd w:val="0"/>
                    <w:snapToGrid w:val="0"/>
                    <w:spacing w:beforeAutospacing="0" w:afterAutospacing="0" w:line="240" w:lineRule="atLeast"/>
                    <w:ind w:left="0" w:leftChars="0" w:right="0" w:rightChars="0"/>
                    <w:jc w:val="center"/>
                    <w:rPr>
                      <w:rFonts w:hint="default" w:ascii="Times New Roman" w:hAnsi="Times New Roman" w:eastAsia="仿宋_GB2312" w:cs="Times New Roman"/>
                      <w:snapToGrid w:val="0"/>
                      <w:color w:val="auto"/>
                      <w:kern w:val="0"/>
                      <w:sz w:val="21"/>
                      <w:szCs w:val="21"/>
                      <w:lang w:val="en-US" w:eastAsia="zh-CN" w:bidi="ar-SA"/>
                    </w:rPr>
                  </w:pPr>
                  <w:r>
                    <w:rPr>
                      <w:rFonts w:hint="default" w:ascii="Times New Roman" w:hAnsi="Times New Roman" w:eastAsia="仿宋_GB2312" w:cs="Times New Roman"/>
                      <w:snapToGrid w:val="0"/>
                      <w:color w:val="auto"/>
                      <w:kern w:val="0"/>
                      <w:sz w:val="21"/>
                      <w:szCs w:val="21"/>
                    </w:rPr>
                    <w:t>TP</w:t>
                  </w:r>
                </w:p>
              </w:tc>
              <w:tc>
                <w:tcPr>
                  <w:tcW w:w="842" w:type="dxa"/>
                  <w:shd w:val="clear" w:color="auto" w:fill="auto"/>
                  <w:vAlign w:val="center"/>
                </w:tcPr>
                <w:p w14:paraId="43FB6967">
                  <w:pPr>
                    <w:kinsoku/>
                    <w:jc w:val="center"/>
                    <w:rPr>
                      <w:rFonts w:hint="default" w:ascii="Times New Roman" w:hAnsi="Times New Roman" w:eastAsia="仿宋_GB2312" w:cs="Times New Roman"/>
                      <w:snapToGrid w:val="0"/>
                      <w:color w:val="auto"/>
                      <w:kern w:val="0"/>
                      <w:sz w:val="21"/>
                      <w:szCs w:val="21"/>
                      <w:lang w:val="en-US" w:eastAsia="zh-CN" w:bidi="ar-SA"/>
                    </w:rPr>
                  </w:pPr>
                  <w:r>
                    <w:rPr>
                      <w:rFonts w:hint="default" w:ascii="Times New Roman" w:hAnsi="Times New Roman" w:eastAsia="仿宋_GB2312" w:cs="Times New Roman"/>
                      <w:snapToGrid w:val="0"/>
                      <w:color w:val="auto"/>
                      <w:kern w:val="0"/>
                      <w:sz w:val="21"/>
                      <w:szCs w:val="21"/>
                      <w:lang w:val="en-US" w:eastAsia="zh-CN" w:bidi="ar-SA"/>
                    </w:rPr>
                    <w:t>mg/L</w:t>
                  </w:r>
                </w:p>
              </w:tc>
              <w:tc>
                <w:tcPr>
                  <w:tcW w:w="1016" w:type="dxa"/>
                  <w:shd w:val="clear" w:color="auto" w:fill="auto"/>
                  <w:vAlign w:val="center"/>
                </w:tcPr>
                <w:p w14:paraId="641651CC">
                  <w:pPr>
                    <w:pStyle w:val="112"/>
                    <w:spacing w:line="260" w:lineRule="exact"/>
                    <w:jc w:val="center"/>
                    <w:rPr>
                      <w:rFonts w:hint="default" w:ascii="Times New Roman" w:hAnsi="Times New Roman" w:eastAsia="宋体" w:cs="Times New Roman"/>
                      <w:snapToGrid/>
                      <w:color w:val="auto"/>
                      <w:kern w:val="2"/>
                      <w:sz w:val="18"/>
                      <w:szCs w:val="18"/>
                      <w:lang w:val="en-US" w:eastAsia="zh-CN" w:bidi="ar-SA"/>
                    </w:rPr>
                  </w:pPr>
                  <w:r>
                    <w:rPr>
                      <w:rFonts w:hint="eastAsia" w:cs="Times New Roman"/>
                      <w:sz w:val="18"/>
                      <w:szCs w:val="18"/>
                    </w:rPr>
                    <w:t>0.5</w:t>
                  </w:r>
                </w:p>
              </w:tc>
            </w:tr>
            <w:tr w14:paraId="20E838D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187" w:type="dxa"/>
                  <w:vMerge w:val="continue"/>
                  <w:vAlign w:val="center"/>
                </w:tcPr>
                <w:p w14:paraId="43A0E21A">
                  <w:pPr>
                    <w:adjustRightInd w:val="0"/>
                    <w:snapToGrid w:val="0"/>
                    <w:jc w:val="center"/>
                    <w:rPr>
                      <w:rFonts w:eastAsia="仿宋_GB2312"/>
                      <w:snapToGrid w:val="0"/>
                      <w:kern w:val="0"/>
                      <w:sz w:val="21"/>
                      <w:szCs w:val="21"/>
                    </w:rPr>
                  </w:pPr>
                </w:p>
              </w:tc>
              <w:tc>
                <w:tcPr>
                  <w:tcW w:w="2110" w:type="dxa"/>
                  <w:vMerge w:val="continue"/>
                  <w:vAlign w:val="center"/>
                </w:tcPr>
                <w:p w14:paraId="1574831C">
                  <w:pPr>
                    <w:pStyle w:val="69"/>
                    <w:adjustRightInd w:val="0"/>
                    <w:snapToGrid w:val="0"/>
                    <w:jc w:val="center"/>
                    <w:rPr>
                      <w:rFonts w:ascii="Times New Roman" w:hAnsi="Times New Roman" w:eastAsia="仿宋_GB2312" w:cs="Times New Roman"/>
                      <w:snapToGrid w:val="0"/>
                      <w:kern w:val="0"/>
                      <w:sz w:val="21"/>
                      <w:szCs w:val="21"/>
                    </w:rPr>
                  </w:pPr>
                </w:p>
              </w:tc>
              <w:tc>
                <w:tcPr>
                  <w:tcW w:w="1687" w:type="dxa"/>
                  <w:vMerge w:val="continue"/>
                  <w:vAlign w:val="center"/>
                </w:tcPr>
                <w:p w14:paraId="4FE60E20">
                  <w:pPr>
                    <w:pStyle w:val="69"/>
                    <w:adjustRightInd w:val="0"/>
                    <w:snapToGrid w:val="0"/>
                    <w:jc w:val="center"/>
                    <w:rPr>
                      <w:rFonts w:ascii="Times New Roman" w:hAnsi="Times New Roman" w:eastAsia="仿宋_GB2312" w:cs="Times New Roman"/>
                      <w:snapToGrid w:val="0"/>
                      <w:kern w:val="0"/>
                      <w:sz w:val="21"/>
                      <w:szCs w:val="21"/>
                    </w:rPr>
                  </w:pPr>
                </w:p>
              </w:tc>
              <w:tc>
                <w:tcPr>
                  <w:tcW w:w="1126" w:type="dxa"/>
                  <w:shd w:val="clear" w:color="auto" w:fill="auto"/>
                  <w:vAlign w:val="center"/>
                </w:tcPr>
                <w:p w14:paraId="6DD99C59">
                  <w:pPr>
                    <w:pStyle w:val="69"/>
                    <w:pageBreakBefore w:val="0"/>
                    <w:kinsoku/>
                    <w:wordWrap/>
                    <w:bidi w:val="0"/>
                    <w:adjustRightInd w:val="0"/>
                    <w:snapToGrid w:val="0"/>
                    <w:spacing w:beforeAutospacing="0" w:afterAutospacing="0" w:line="240" w:lineRule="atLeast"/>
                    <w:ind w:left="0" w:leftChars="0" w:right="0" w:rightChars="0"/>
                    <w:jc w:val="center"/>
                    <w:rPr>
                      <w:rFonts w:hint="default" w:ascii="Times New Roman" w:hAnsi="Times New Roman" w:eastAsia="仿宋_GB2312" w:cs="Times New Roman"/>
                      <w:snapToGrid w:val="0"/>
                      <w:color w:val="auto"/>
                      <w:kern w:val="0"/>
                      <w:sz w:val="21"/>
                      <w:szCs w:val="21"/>
                      <w:lang w:val="en-US" w:eastAsia="zh-CN" w:bidi="ar-SA"/>
                    </w:rPr>
                  </w:pPr>
                  <w:r>
                    <w:rPr>
                      <w:rFonts w:hint="eastAsia" w:ascii="Times New Roman" w:hAnsi="Times New Roman" w:eastAsia="仿宋_GB2312" w:cs="Times New Roman"/>
                      <w:snapToGrid w:val="0"/>
                      <w:color w:val="auto"/>
                      <w:kern w:val="0"/>
                      <w:sz w:val="21"/>
                      <w:szCs w:val="21"/>
                    </w:rPr>
                    <w:t>TN</w:t>
                  </w:r>
                </w:p>
              </w:tc>
              <w:tc>
                <w:tcPr>
                  <w:tcW w:w="842" w:type="dxa"/>
                  <w:shd w:val="clear" w:color="auto" w:fill="auto"/>
                  <w:vAlign w:val="center"/>
                </w:tcPr>
                <w:p w14:paraId="5100FA60">
                  <w:pPr>
                    <w:kinsoku/>
                    <w:jc w:val="center"/>
                    <w:rPr>
                      <w:rFonts w:hint="default" w:ascii="Times New Roman" w:hAnsi="Times New Roman" w:eastAsia="仿宋_GB2312" w:cs="Times New Roman"/>
                      <w:snapToGrid w:val="0"/>
                      <w:color w:val="auto"/>
                      <w:kern w:val="0"/>
                      <w:sz w:val="21"/>
                      <w:szCs w:val="21"/>
                      <w:lang w:val="en-US" w:eastAsia="zh-CN" w:bidi="ar-SA"/>
                    </w:rPr>
                  </w:pPr>
                  <w:r>
                    <w:rPr>
                      <w:rFonts w:hint="default" w:ascii="Times New Roman" w:hAnsi="Times New Roman" w:eastAsia="仿宋_GB2312" w:cs="Times New Roman"/>
                      <w:snapToGrid w:val="0"/>
                      <w:color w:val="auto"/>
                      <w:kern w:val="0"/>
                      <w:sz w:val="21"/>
                      <w:szCs w:val="21"/>
                      <w:lang w:val="en-US" w:eastAsia="zh-CN" w:bidi="ar-SA"/>
                    </w:rPr>
                    <w:t>mg/L</w:t>
                  </w:r>
                </w:p>
              </w:tc>
              <w:tc>
                <w:tcPr>
                  <w:tcW w:w="1016" w:type="dxa"/>
                  <w:shd w:val="clear" w:color="auto" w:fill="auto"/>
                  <w:vAlign w:val="center"/>
                </w:tcPr>
                <w:p w14:paraId="174375D4">
                  <w:pPr>
                    <w:pStyle w:val="112"/>
                    <w:spacing w:line="260" w:lineRule="exact"/>
                    <w:jc w:val="center"/>
                    <w:rPr>
                      <w:rFonts w:hint="default" w:ascii="Times New Roman" w:hAnsi="Times New Roman" w:eastAsia="宋体" w:cs="Times New Roman"/>
                      <w:snapToGrid/>
                      <w:color w:val="auto"/>
                      <w:kern w:val="2"/>
                      <w:sz w:val="18"/>
                      <w:szCs w:val="18"/>
                      <w:lang w:val="en-US" w:eastAsia="zh-CN" w:bidi="ar-SA"/>
                    </w:rPr>
                  </w:pPr>
                  <w:r>
                    <w:rPr>
                      <w:rFonts w:hint="eastAsia" w:cs="Times New Roman"/>
                      <w:sz w:val="18"/>
                      <w:szCs w:val="18"/>
                    </w:rPr>
                    <w:t>12</w:t>
                  </w:r>
                  <w:r>
                    <w:rPr>
                      <w:rFonts w:cs="Times New Roman"/>
                      <w:sz w:val="18"/>
                      <w:szCs w:val="18"/>
                    </w:rPr>
                    <w:t>(</w:t>
                  </w:r>
                  <w:r>
                    <w:rPr>
                      <w:rFonts w:hint="eastAsia" w:cs="Times New Roman"/>
                      <w:sz w:val="18"/>
                      <w:szCs w:val="18"/>
                    </w:rPr>
                    <w:t>15</w:t>
                  </w:r>
                  <w:r>
                    <w:rPr>
                      <w:rFonts w:cs="Times New Roman"/>
                      <w:sz w:val="18"/>
                      <w:szCs w:val="18"/>
                    </w:rPr>
                    <w:t>)</w:t>
                  </w:r>
                  <w:r>
                    <w:rPr>
                      <w:rFonts w:cs="Times New Roman"/>
                      <w:sz w:val="18"/>
                      <w:szCs w:val="18"/>
                      <w:vertAlign w:val="superscript"/>
                    </w:rPr>
                    <w:t xml:space="preserve"> *</w:t>
                  </w:r>
                  <w:r>
                    <w:rPr>
                      <w:rFonts w:hint="eastAsia" w:cs="Times New Roman"/>
                      <w:sz w:val="18"/>
                      <w:szCs w:val="18"/>
                      <w:vertAlign w:val="superscript"/>
                    </w:rPr>
                    <w:t>*</w:t>
                  </w:r>
                </w:p>
              </w:tc>
            </w:tr>
            <w:tr w14:paraId="11FB51B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187" w:type="dxa"/>
                  <w:vMerge w:val="continue"/>
                  <w:vAlign w:val="center"/>
                </w:tcPr>
                <w:p w14:paraId="1C43A099">
                  <w:pPr>
                    <w:adjustRightInd w:val="0"/>
                    <w:snapToGrid w:val="0"/>
                    <w:jc w:val="center"/>
                    <w:rPr>
                      <w:rFonts w:eastAsia="仿宋_GB2312"/>
                      <w:snapToGrid w:val="0"/>
                      <w:kern w:val="0"/>
                      <w:sz w:val="21"/>
                      <w:szCs w:val="21"/>
                    </w:rPr>
                  </w:pPr>
                </w:p>
              </w:tc>
              <w:tc>
                <w:tcPr>
                  <w:tcW w:w="2110" w:type="dxa"/>
                  <w:vMerge w:val="continue"/>
                  <w:vAlign w:val="center"/>
                </w:tcPr>
                <w:p w14:paraId="1CC09AA7">
                  <w:pPr>
                    <w:pStyle w:val="69"/>
                    <w:adjustRightInd w:val="0"/>
                    <w:snapToGrid w:val="0"/>
                    <w:jc w:val="center"/>
                    <w:rPr>
                      <w:rFonts w:ascii="Times New Roman" w:hAnsi="Times New Roman" w:eastAsia="仿宋_GB2312" w:cs="Times New Roman"/>
                      <w:snapToGrid w:val="0"/>
                      <w:kern w:val="0"/>
                      <w:sz w:val="21"/>
                      <w:szCs w:val="21"/>
                    </w:rPr>
                  </w:pPr>
                </w:p>
              </w:tc>
              <w:tc>
                <w:tcPr>
                  <w:tcW w:w="1687" w:type="dxa"/>
                  <w:vMerge w:val="continue"/>
                  <w:vAlign w:val="center"/>
                </w:tcPr>
                <w:p w14:paraId="74B2470D">
                  <w:pPr>
                    <w:pStyle w:val="69"/>
                    <w:adjustRightInd w:val="0"/>
                    <w:snapToGrid w:val="0"/>
                    <w:jc w:val="center"/>
                    <w:rPr>
                      <w:rFonts w:ascii="Times New Roman" w:hAnsi="Times New Roman" w:eastAsia="仿宋_GB2312" w:cs="Times New Roman"/>
                      <w:snapToGrid w:val="0"/>
                      <w:kern w:val="0"/>
                      <w:sz w:val="21"/>
                      <w:szCs w:val="21"/>
                    </w:rPr>
                  </w:pPr>
                </w:p>
              </w:tc>
              <w:tc>
                <w:tcPr>
                  <w:tcW w:w="1126" w:type="dxa"/>
                  <w:shd w:val="clear" w:color="auto" w:fill="auto"/>
                  <w:vAlign w:val="center"/>
                </w:tcPr>
                <w:p w14:paraId="000E676B">
                  <w:pPr>
                    <w:pStyle w:val="69"/>
                    <w:adjustRightInd w:val="0"/>
                    <w:snapToGrid w:val="0"/>
                    <w:jc w:val="center"/>
                    <w:rPr>
                      <w:rFonts w:ascii="Times New Roman" w:hAnsi="Times New Roman" w:eastAsia="仿宋_GB2312" w:cs="Times New Roman"/>
                      <w:snapToGrid w:val="0"/>
                      <w:kern w:val="0"/>
                      <w:sz w:val="21"/>
                      <w:szCs w:val="21"/>
                      <w:lang w:val="en-US" w:eastAsia="zh-CN" w:bidi="ar-SA"/>
                    </w:rPr>
                  </w:pPr>
                  <w:r>
                    <w:rPr>
                      <w:rFonts w:ascii="Times New Roman" w:hAnsi="Times New Roman" w:eastAsia="仿宋_GB2312" w:cs="Times New Roman"/>
                      <w:snapToGrid w:val="0"/>
                      <w:kern w:val="0"/>
                      <w:sz w:val="21"/>
                      <w:szCs w:val="21"/>
                    </w:rPr>
                    <w:t>动植物油</w:t>
                  </w:r>
                </w:p>
              </w:tc>
              <w:tc>
                <w:tcPr>
                  <w:tcW w:w="842" w:type="dxa"/>
                  <w:shd w:val="clear" w:color="auto" w:fill="auto"/>
                  <w:vAlign w:val="center"/>
                </w:tcPr>
                <w:p w14:paraId="5D91E5B2">
                  <w:pPr>
                    <w:pStyle w:val="69"/>
                    <w:adjustRightInd w:val="0"/>
                    <w:snapToGrid w:val="0"/>
                    <w:jc w:val="center"/>
                    <w:rPr>
                      <w:rFonts w:ascii="Times New Roman" w:hAnsi="Times New Roman" w:eastAsia="仿宋_GB2312" w:cs="Times New Roman"/>
                      <w:snapToGrid w:val="0"/>
                      <w:kern w:val="0"/>
                      <w:sz w:val="21"/>
                      <w:szCs w:val="21"/>
                      <w:lang w:val="en-US" w:eastAsia="zh-CN" w:bidi="ar-SA"/>
                    </w:rPr>
                  </w:pPr>
                  <w:r>
                    <w:rPr>
                      <w:rFonts w:ascii="Times New Roman" w:hAnsi="Times New Roman" w:eastAsia="仿宋_GB2312" w:cs="Times New Roman"/>
                      <w:snapToGrid w:val="0"/>
                      <w:kern w:val="0"/>
                      <w:sz w:val="21"/>
                      <w:szCs w:val="21"/>
                    </w:rPr>
                    <w:t>mg/L</w:t>
                  </w:r>
                </w:p>
              </w:tc>
              <w:tc>
                <w:tcPr>
                  <w:tcW w:w="1016" w:type="dxa"/>
                  <w:shd w:val="clear" w:color="auto" w:fill="auto"/>
                  <w:vAlign w:val="center"/>
                </w:tcPr>
                <w:p w14:paraId="149F8A18">
                  <w:pPr>
                    <w:adjustRightInd w:val="0"/>
                    <w:snapToGrid w:val="0"/>
                    <w:jc w:val="center"/>
                    <w:rPr>
                      <w:rFonts w:ascii="Times New Roman" w:hAnsi="Times New Roman" w:eastAsia="仿宋_GB2312" w:cs="Times New Roman"/>
                      <w:kern w:val="24"/>
                      <w:sz w:val="21"/>
                      <w:szCs w:val="21"/>
                      <w:lang w:val="en-US" w:eastAsia="zh-CN" w:bidi="ar-SA"/>
                    </w:rPr>
                  </w:pPr>
                  <w:r>
                    <w:rPr>
                      <w:rFonts w:eastAsia="仿宋_GB2312"/>
                      <w:kern w:val="24"/>
                      <w:sz w:val="21"/>
                      <w:szCs w:val="21"/>
                    </w:rPr>
                    <w:t>1</w:t>
                  </w:r>
                </w:p>
              </w:tc>
            </w:tr>
            <w:tr w14:paraId="009D8DD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187" w:type="dxa"/>
                  <w:vMerge w:val="continue"/>
                  <w:vAlign w:val="center"/>
                </w:tcPr>
                <w:p w14:paraId="697D72CA">
                  <w:pPr>
                    <w:adjustRightInd w:val="0"/>
                    <w:snapToGrid w:val="0"/>
                    <w:jc w:val="center"/>
                    <w:rPr>
                      <w:rFonts w:eastAsia="仿宋_GB2312"/>
                      <w:snapToGrid w:val="0"/>
                      <w:kern w:val="0"/>
                      <w:sz w:val="21"/>
                      <w:szCs w:val="21"/>
                    </w:rPr>
                  </w:pPr>
                </w:p>
              </w:tc>
              <w:tc>
                <w:tcPr>
                  <w:tcW w:w="2110" w:type="dxa"/>
                  <w:vMerge w:val="continue"/>
                  <w:vAlign w:val="center"/>
                </w:tcPr>
                <w:p w14:paraId="445F5992">
                  <w:pPr>
                    <w:pStyle w:val="69"/>
                    <w:adjustRightInd w:val="0"/>
                    <w:snapToGrid w:val="0"/>
                    <w:jc w:val="center"/>
                    <w:rPr>
                      <w:rFonts w:ascii="Times New Roman" w:hAnsi="Times New Roman" w:eastAsia="仿宋_GB2312" w:cs="Times New Roman"/>
                      <w:snapToGrid w:val="0"/>
                      <w:kern w:val="0"/>
                      <w:sz w:val="21"/>
                      <w:szCs w:val="21"/>
                    </w:rPr>
                  </w:pPr>
                </w:p>
              </w:tc>
              <w:tc>
                <w:tcPr>
                  <w:tcW w:w="1687" w:type="dxa"/>
                  <w:vMerge w:val="continue"/>
                  <w:vAlign w:val="center"/>
                </w:tcPr>
                <w:p w14:paraId="778E4BA8">
                  <w:pPr>
                    <w:pStyle w:val="69"/>
                    <w:adjustRightInd w:val="0"/>
                    <w:snapToGrid w:val="0"/>
                    <w:jc w:val="center"/>
                    <w:rPr>
                      <w:rFonts w:ascii="Times New Roman" w:hAnsi="Times New Roman" w:eastAsia="仿宋_GB2312" w:cs="Times New Roman"/>
                      <w:snapToGrid w:val="0"/>
                      <w:kern w:val="0"/>
                      <w:sz w:val="21"/>
                      <w:szCs w:val="21"/>
                    </w:rPr>
                  </w:pPr>
                </w:p>
              </w:tc>
              <w:tc>
                <w:tcPr>
                  <w:tcW w:w="1126" w:type="dxa"/>
                  <w:shd w:val="clear" w:color="auto" w:fill="auto"/>
                  <w:vAlign w:val="center"/>
                </w:tcPr>
                <w:p w14:paraId="03E2A53F">
                  <w:pPr>
                    <w:pStyle w:val="69"/>
                    <w:adjustRightInd w:val="0"/>
                    <w:snapToGrid w:val="0"/>
                    <w:jc w:val="center"/>
                    <w:rPr>
                      <w:rFonts w:ascii="Times New Roman" w:hAnsi="Times New Roman" w:eastAsia="仿宋_GB2312" w:cs="Times New Roman"/>
                      <w:snapToGrid w:val="0"/>
                      <w:kern w:val="0"/>
                      <w:sz w:val="21"/>
                      <w:szCs w:val="21"/>
                      <w:lang w:val="en-US" w:eastAsia="zh-CN" w:bidi="ar-SA"/>
                    </w:rPr>
                  </w:pPr>
                  <w:r>
                    <w:rPr>
                      <w:rFonts w:ascii="Times New Roman" w:hAnsi="Times New Roman" w:eastAsia="仿宋_GB2312" w:cs="Times New Roman"/>
                      <w:snapToGrid w:val="0"/>
                      <w:kern w:val="0"/>
                      <w:sz w:val="21"/>
                      <w:szCs w:val="21"/>
                    </w:rPr>
                    <w:t>石油类</w:t>
                  </w:r>
                </w:p>
              </w:tc>
              <w:tc>
                <w:tcPr>
                  <w:tcW w:w="842" w:type="dxa"/>
                  <w:shd w:val="clear" w:color="auto" w:fill="auto"/>
                  <w:vAlign w:val="center"/>
                </w:tcPr>
                <w:p w14:paraId="259FD2EA">
                  <w:pPr>
                    <w:pStyle w:val="69"/>
                    <w:adjustRightInd w:val="0"/>
                    <w:snapToGrid w:val="0"/>
                    <w:jc w:val="center"/>
                    <w:rPr>
                      <w:rFonts w:ascii="Times New Roman" w:hAnsi="Times New Roman" w:eastAsia="仿宋_GB2312" w:cs="Times New Roman"/>
                      <w:snapToGrid w:val="0"/>
                      <w:kern w:val="0"/>
                      <w:sz w:val="21"/>
                      <w:szCs w:val="21"/>
                      <w:lang w:val="en-US" w:eastAsia="zh-CN" w:bidi="ar-SA"/>
                    </w:rPr>
                  </w:pPr>
                  <w:r>
                    <w:rPr>
                      <w:rFonts w:ascii="Times New Roman" w:hAnsi="Times New Roman" w:eastAsia="仿宋_GB2312" w:cs="Times New Roman"/>
                      <w:snapToGrid w:val="0"/>
                      <w:kern w:val="0"/>
                      <w:sz w:val="21"/>
                      <w:szCs w:val="21"/>
                    </w:rPr>
                    <w:t>mg/L</w:t>
                  </w:r>
                </w:p>
              </w:tc>
              <w:tc>
                <w:tcPr>
                  <w:tcW w:w="1016" w:type="dxa"/>
                  <w:shd w:val="clear" w:color="auto" w:fill="auto"/>
                  <w:vAlign w:val="center"/>
                </w:tcPr>
                <w:p w14:paraId="71718C85">
                  <w:pPr>
                    <w:adjustRightInd w:val="0"/>
                    <w:snapToGrid w:val="0"/>
                    <w:jc w:val="center"/>
                    <w:rPr>
                      <w:rFonts w:ascii="Times New Roman" w:hAnsi="Times New Roman" w:eastAsia="仿宋_GB2312" w:cs="Times New Roman"/>
                      <w:kern w:val="24"/>
                      <w:sz w:val="21"/>
                      <w:szCs w:val="21"/>
                      <w:lang w:val="en-US" w:eastAsia="zh-CN" w:bidi="ar-SA"/>
                    </w:rPr>
                  </w:pPr>
                  <w:r>
                    <w:rPr>
                      <w:rFonts w:eastAsia="仿宋_GB2312"/>
                      <w:kern w:val="24"/>
                      <w:sz w:val="21"/>
                      <w:szCs w:val="21"/>
                    </w:rPr>
                    <w:t>1</w:t>
                  </w:r>
                </w:p>
              </w:tc>
            </w:tr>
          </w:tbl>
          <w:p w14:paraId="21D9C3BA">
            <w:pPr>
              <w:pStyle w:val="17"/>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2" w:firstLineChars="200"/>
              <w:jc w:val="both"/>
              <w:textAlignment w:val="auto"/>
              <w:rPr>
                <w:rFonts w:hint="default" w:eastAsia="仿宋_GB2312"/>
                <w:b/>
                <w:bCs/>
                <w:lang w:val="en-US" w:eastAsia="zh-CN"/>
              </w:rPr>
            </w:pPr>
            <w:r>
              <w:rPr>
                <w:rFonts w:hint="eastAsia" w:eastAsia="仿宋_GB2312"/>
                <w:b/>
                <w:bCs/>
                <w:lang w:val="en-US" w:eastAsia="zh-CN"/>
              </w:rPr>
              <w:t>注：括号外数值为水温＞12℃时的控制指标，括号内数值为水温＜12℃时的控制指标。</w:t>
            </w:r>
          </w:p>
          <w:p w14:paraId="1F980565">
            <w:pPr>
              <w:pStyle w:val="17"/>
              <w:keepNext w:val="0"/>
              <w:keepLines w:val="0"/>
              <w:pageBreakBefore w:val="0"/>
              <w:widowControl w:val="0"/>
              <w:numPr>
                <w:ilvl w:val="0"/>
                <w:numId w:val="0"/>
              </w:numPr>
              <w:kinsoku/>
              <w:wordWrap/>
              <w:overflowPunct/>
              <w:topLinePunct w:val="0"/>
              <w:autoSpaceDE/>
              <w:autoSpaceDN/>
              <w:bidi w:val="0"/>
              <w:adjustRightInd/>
              <w:snapToGrid/>
              <w:spacing w:before="157" w:beforeLines="50" w:line="360" w:lineRule="auto"/>
              <w:ind w:firstLine="0" w:firstLineChars="0"/>
              <w:jc w:val="center"/>
              <w:textAlignment w:val="auto"/>
              <w:rPr>
                <w:rFonts w:eastAsia="仿宋_GB2312"/>
                <w:b/>
                <w:bCs/>
              </w:rPr>
            </w:pPr>
            <w:r>
              <w:rPr>
                <w:rFonts w:hint="eastAsia" w:eastAsia="仿宋_GB2312"/>
                <w:b/>
                <w:bCs/>
              </w:rPr>
              <w:t>表3-9《城市污水再生利用城市杂用水水质》(GB/T18920-2020)</w:t>
            </w:r>
          </w:p>
          <w:tbl>
            <w:tblPr>
              <w:tblStyle w:val="3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54"/>
              <w:gridCol w:w="3827"/>
              <w:gridCol w:w="2978"/>
            </w:tblGrid>
            <w:tr w14:paraId="3A6785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vAlign w:val="center"/>
                </w:tcPr>
                <w:p w14:paraId="689EB96C">
                  <w:pPr>
                    <w:pStyle w:val="17"/>
                    <w:numPr>
                      <w:ilvl w:val="0"/>
                      <w:numId w:val="0"/>
                    </w:numPr>
                    <w:jc w:val="center"/>
                    <w:rPr>
                      <w:rFonts w:eastAsia="仿宋_GB2312"/>
                      <w:b/>
                      <w:bCs/>
                      <w:sz w:val="21"/>
                      <w:szCs w:val="21"/>
                    </w:rPr>
                  </w:pPr>
                  <w:r>
                    <w:rPr>
                      <w:rFonts w:hint="eastAsia" w:eastAsia="仿宋_GB2312"/>
                      <w:b/>
                      <w:bCs/>
                      <w:sz w:val="21"/>
                      <w:szCs w:val="21"/>
                    </w:rPr>
                    <w:t>序号</w:t>
                  </w:r>
                </w:p>
              </w:tc>
              <w:tc>
                <w:tcPr>
                  <w:tcW w:w="3827" w:type="dxa"/>
                  <w:vAlign w:val="center"/>
                </w:tcPr>
                <w:p w14:paraId="36DC4950">
                  <w:pPr>
                    <w:pStyle w:val="17"/>
                    <w:numPr>
                      <w:ilvl w:val="0"/>
                      <w:numId w:val="0"/>
                    </w:numPr>
                    <w:jc w:val="center"/>
                    <w:rPr>
                      <w:rFonts w:eastAsia="仿宋_GB2312"/>
                      <w:b/>
                      <w:bCs/>
                      <w:sz w:val="21"/>
                      <w:szCs w:val="21"/>
                    </w:rPr>
                  </w:pPr>
                  <w:r>
                    <w:rPr>
                      <w:rFonts w:hint="eastAsia" w:eastAsia="仿宋_GB2312"/>
                      <w:b/>
                      <w:bCs/>
                      <w:sz w:val="21"/>
                      <w:szCs w:val="21"/>
                    </w:rPr>
                    <w:t>项目</w:t>
                  </w:r>
                </w:p>
              </w:tc>
              <w:tc>
                <w:tcPr>
                  <w:tcW w:w="2978" w:type="dxa"/>
                  <w:vAlign w:val="center"/>
                </w:tcPr>
                <w:p w14:paraId="41CB2643">
                  <w:pPr>
                    <w:pStyle w:val="17"/>
                    <w:numPr>
                      <w:ilvl w:val="0"/>
                      <w:numId w:val="0"/>
                    </w:numPr>
                    <w:jc w:val="center"/>
                    <w:rPr>
                      <w:rFonts w:eastAsia="仿宋_GB2312"/>
                      <w:b/>
                      <w:bCs/>
                      <w:sz w:val="21"/>
                      <w:szCs w:val="21"/>
                    </w:rPr>
                  </w:pPr>
                  <w:r>
                    <w:rPr>
                      <w:rFonts w:hint="eastAsia" w:eastAsia="仿宋_GB2312"/>
                      <w:b/>
                      <w:bCs/>
                      <w:sz w:val="21"/>
                      <w:szCs w:val="21"/>
                    </w:rPr>
                    <w:t>冲厕、车辆冲洗</w:t>
                  </w:r>
                </w:p>
              </w:tc>
            </w:tr>
            <w:tr w14:paraId="79BBBA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vAlign w:val="center"/>
                </w:tcPr>
                <w:p w14:paraId="4EF71170">
                  <w:pPr>
                    <w:pStyle w:val="17"/>
                    <w:numPr>
                      <w:ilvl w:val="0"/>
                      <w:numId w:val="0"/>
                    </w:numPr>
                    <w:jc w:val="center"/>
                    <w:rPr>
                      <w:rFonts w:eastAsia="仿宋_GB2312"/>
                      <w:sz w:val="21"/>
                      <w:szCs w:val="21"/>
                    </w:rPr>
                  </w:pPr>
                  <w:r>
                    <w:rPr>
                      <w:rFonts w:hint="eastAsia" w:eastAsia="仿宋_GB2312"/>
                      <w:sz w:val="21"/>
                      <w:szCs w:val="21"/>
                    </w:rPr>
                    <w:t>1</w:t>
                  </w:r>
                </w:p>
              </w:tc>
              <w:tc>
                <w:tcPr>
                  <w:tcW w:w="3827" w:type="dxa"/>
                  <w:vAlign w:val="center"/>
                </w:tcPr>
                <w:p w14:paraId="2FB14EA9">
                  <w:pPr>
                    <w:pStyle w:val="17"/>
                    <w:numPr>
                      <w:ilvl w:val="0"/>
                      <w:numId w:val="0"/>
                    </w:numPr>
                    <w:jc w:val="center"/>
                    <w:rPr>
                      <w:rFonts w:eastAsia="仿宋_GB2312"/>
                      <w:sz w:val="21"/>
                      <w:szCs w:val="21"/>
                    </w:rPr>
                  </w:pPr>
                  <w:r>
                    <w:rPr>
                      <w:rFonts w:eastAsia="仿宋_GB2312"/>
                      <w:sz w:val="21"/>
                      <w:szCs w:val="21"/>
                    </w:rPr>
                    <w:t>pH</w:t>
                  </w:r>
                </w:p>
              </w:tc>
              <w:tc>
                <w:tcPr>
                  <w:tcW w:w="2978" w:type="dxa"/>
                  <w:vAlign w:val="center"/>
                </w:tcPr>
                <w:p w14:paraId="6F0A7154">
                  <w:pPr>
                    <w:pStyle w:val="17"/>
                    <w:numPr>
                      <w:ilvl w:val="0"/>
                      <w:numId w:val="0"/>
                    </w:numPr>
                    <w:jc w:val="center"/>
                    <w:rPr>
                      <w:rFonts w:eastAsia="仿宋_GB2312"/>
                      <w:sz w:val="21"/>
                      <w:szCs w:val="21"/>
                    </w:rPr>
                  </w:pPr>
                  <w:r>
                    <w:rPr>
                      <w:rFonts w:eastAsia="仿宋_GB2312"/>
                      <w:sz w:val="21"/>
                      <w:szCs w:val="21"/>
                    </w:rPr>
                    <w:t>6.0~9.0</w:t>
                  </w:r>
                </w:p>
              </w:tc>
            </w:tr>
            <w:tr w14:paraId="5F55EC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vAlign w:val="center"/>
                </w:tcPr>
                <w:p w14:paraId="4F78AA2D">
                  <w:pPr>
                    <w:pStyle w:val="17"/>
                    <w:numPr>
                      <w:ilvl w:val="0"/>
                      <w:numId w:val="0"/>
                    </w:numPr>
                    <w:jc w:val="center"/>
                    <w:rPr>
                      <w:rFonts w:eastAsia="仿宋_GB2312"/>
                      <w:sz w:val="21"/>
                      <w:szCs w:val="21"/>
                    </w:rPr>
                  </w:pPr>
                  <w:r>
                    <w:rPr>
                      <w:rFonts w:hint="eastAsia" w:eastAsia="仿宋_GB2312"/>
                      <w:sz w:val="21"/>
                      <w:szCs w:val="21"/>
                    </w:rPr>
                    <w:t>2</w:t>
                  </w:r>
                </w:p>
              </w:tc>
              <w:tc>
                <w:tcPr>
                  <w:tcW w:w="3827" w:type="dxa"/>
                  <w:vAlign w:val="center"/>
                </w:tcPr>
                <w:p w14:paraId="52EC2FC4">
                  <w:pPr>
                    <w:pStyle w:val="17"/>
                    <w:numPr>
                      <w:ilvl w:val="0"/>
                      <w:numId w:val="0"/>
                    </w:numPr>
                    <w:jc w:val="center"/>
                    <w:rPr>
                      <w:rFonts w:eastAsia="仿宋_GB2312"/>
                      <w:sz w:val="21"/>
                      <w:szCs w:val="21"/>
                    </w:rPr>
                  </w:pPr>
                  <w:r>
                    <w:rPr>
                      <w:rFonts w:hint="eastAsia" w:eastAsia="仿宋_GB2312"/>
                      <w:sz w:val="21"/>
                      <w:szCs w:val="21"/>
                    </w:rPr>
                    <w:t>色度，铂钴色度单位≤</w:t>
                  </w:r>
                </w:p>
              </w:tc>
              <w:tc>
                <w:tcPr>
                  <w:tcW w:w="2978" w:type="dxa"/>
                  <w:vAlign w:val="center"/>
                </w:tcPr>
                <w:p w14:paraId="77439354">
                  <w:pPr>
                    <w:pStyle w:val="17"/>
                    <w:numPr>
                      <w:ilvl w:val="0"/>
                      <w:numId w:val="0"/>
                    </w:numPr>
                    <w:jc w:val="center"/>
                    <w:rPr>
                      <w:rFonts w:eastAsia="仿宋_GB2312"/>
                      <w:sz w:val="21"/>
                      <w:szCs w:val="21"/>
                    </w:rPr>
                  </w:pPr>
                  <w:r>
                    <w:rPr>
                      <w:rFonts w:hint="eastAsia" w:eastAsia="仿宋_GB2312"/>
                      <w:sz w:val="21"/>
                      <w:szCs w:val="21"/>
                    </w:rPr>
                    <w:t>15</w:t>
                  </w:r>
                </w:p>
              </w:tc>
            </w:tr>
            <w:tr w14:paraId="56957A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vAlign w:val="center"/>
                </w:tcPr>
                <w:p w14:paraId="1AA1F8DB">
                  <w:pPr>
                    <w:pStyle w:val="17"/>
                    <w:numPr>
                      <w:ilvl w:val="0"/>
                      <w:numId w:val="0"/>
                    </w:numPr>
                    <w:jc w:val="center"/>
                    <w:rPr>
                      <w:rFonts w:eastAsia="仿宋_GB2312"/>
                      <w:sz w:val="21"/>
                      <w:szCs w:val="21"/>
                    </w:rPr>
                  </w:pPr>
                  <w:r>
                    <w:rPr>
                      <w:rFonts w:hint="eastAsia" w:eastAsia="仿宋_GB2312"/>
                      <w:sz w:val="21"/>
                      <w:szCs w:val="21"/>
                    </w:rPr>
                    <w:t>3</w:t>
                  </w:r>
                </w:p>
              </w:tc>
              <w:tc>
                <w:tcPr>
                  <w:tcW w:w="3827" w:type="dxa"/>
                  <w:vAlign w:val="center"/>
                </w:tcPr>
                <w:p w14:paraId="51429AB3">
                  <w:pPr>
                    <w:pStyle w:val="17"/>
                    <w:numPr>
                      <w:ilvl w:val="0"/>
                      <w:numId w:val="0"/>
                    </w:numPr>
                    <w:jc w:val="center"/>
                    <w:rPr>
                      <w:rFonts w:eastAsia="仿宋_GB2312"/>
                      <w:sz w:val="21"/>
                      <w:szCs w:val="21"/>
                    </w:rPr>
                  </w:pPr>
                  <w:r>
                    <w:rPr>
                      <w:rFonts w:hint="eastAsia" w:eastAsia="仿宋_GB2312"/>
                      <w:sz w:val="21"/>
                      <w:szCs w:val="21"/>
                    </w:rPr>
                    <w:t>嗅</w:t>
                  </w:r>
                </w:p>
              </w:tc>
              <w:tc>
                <w:tcPr>
                  <w:tcW w:w="2978" w:type="dxa"/>
                  <w:vAlign w:val="center"/>
                </w:tcPr>
                <w:p w14:paraId="3DFA7A14">
                  <w:pPr>
                    <w:pStyle w:val="17"/>
                    <w:numPr>
                      <w:ilvl w:val="0"/>
                      <w:numId w:val="0"/>
                    </w:numPr>
                    <w:jc w:val="center"/>
                    <w:rPr>
                      <w:rFonts w:eastAsia="仿宋_GB2312"/>
                      <w:sz w:val="21"/>
                      <w:szCs w:val="21"/>
                    </w:rPr>
                  </w:pPr>
                  <w:r>
                    <w:rPr>
                      <w:rFonts w:hint="eastAsia" w:eastAsia="仿宋_GB2312"/>
                      <w:sz w:val="21"/>
                      <w:szCs w:val="21"/>
                    </w:rPr>
                    <w:t>无不快感</w:t>
                  </w:r>
                </w:p>
              </w:tc>
            </w:tr>
            <w:tr w14:paraId="7D3173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vAlign w:val="center"/>
                </w:tcPr>
                <w:p w14:paraId="16DA7188">
                  <w:pPr>
                    <w:pStyle w:val="17"/>
                    <w:numPr>
                      <w:ilvl w:val="0"/>
                      <w:numId w:val="0"/>
                    </w:numPr>
                    <w:jc w:val="center"/>
                    <w:rPr>
                      <w:rFonts w:eastAsia="仿宋_GB2312"/>
                      <w:sz w:val="21"/>
                      <w:szCs w:val="21"/>
                    </w:rPr>
                  </w:pPr>
                  <w:r>
                    <w:rPr>
                      <w:rFonts w:hint="eastAsia" w:eastAsia="仿宋_GB2312"/>
                      <w:sz w:val="21"/>
                      <w:szCs w:val="21"/>
                    </w:rPr>
                    <w:t>4</w:t>
                  </w:r>
                </w:p>
              </w:tc>
              <w:tc>
                <w:tcPr>
                  <w:tcW w:w="3827" w:type="dxa"/>
                  <w:vAlign w:val="center"/>
                </w:tcPr>
                <w:p w14:paraId="5E679962">
                  <w:pPr>
                    <w:pStyle w:val="17"/>
                    <w:numPr>
                      <w:ilvl w:val="0"/>
                      <w:numId w:val="0"/>
                    </w:numPr>
                    <w:jc w:val="center"/>
                    <w:rPr>
                      <w:rFonts w:eastAsia="仿宋_GB2312"/>
                      <w:sz w:val="21"/>
                      <w:szCs w:val="21"/>
                    </w:rPr>
                  </w:pPr>
                  <w:r>
                    <w:rPr>
                      <w:rFonts w:hint="eastAsia" w:eastAsia="仿宋_GB2312"/>
                      <w:sz w:val="21"/>
                      <w:szCs w:val="21"/>
                    </w:rPr>
                    <w:t>浊度/NTU≤</w:t>
                  </w:r>
                </w:p>
              </w:tc>
              <w:tc>
                <w:tcPr>
                  <w:tcW w:w="2978" w:type="dxa"/>
                  <w:vAlign w:val="center"/>
                </w:tcPr>
                <w:p w14:paraId="02BF5281">
                  <w:pPr>
                    <w:pStyle w:val="17"/>
                    <w:numPr>
                      <w:ilvl w:val="0"/>
                      <w:numId w:val="0"/>
                    </w:numPr>
                    <w:jc w:val="center"/>
                    <w:rPr>
                      <w:rFonts w:eastAsia="仿宋_GB2312"/>
                      <w:sz w:val="21"/>
                      <w:szCs w:val="21"/>
                    </w:rPr>
                  </w:pPr>
                  <w:r>
                    <w:rPr>
                      <w:rFonts w:hint="eastAsia" w:eastAsia="仿宋_GB2312"/>
                      <w:sz w:val="21"/>
                      <w:szCs w:val="21"/>
                    </w:rPr>
                    <w:t>5</w:t>
                  </w:r>
                </w:p>
              </w:tc>
            </w:tr>
            <w:tr w14:paraId="2D5C88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vAlign w:val="center"/>
                </w:tcPr>
                <w:p w14:paraId="35CCFA79">
                  <w:pPr>
                    <w:pStyle w:val="17"/>
                    <w:numPr>
                      <w:ilvl w:val="0"/>
                      <w:numId w:val="0"/>
                    </w:numPr>
                    <w:jc w:val="center"/>
                    <w:rPr>
                      <w:rFonts w:eastAsia="仿宋_GB2312"/>
                      <w:sz w:val="21"/>
                      <w:szCs w:val="21"/>
                    </w:rPr>
                  </w:pPr>
                  <w:r>
                    <w:rPr>
                      <w:rFonts w:hint="eastAsia" w:eastAsia="仿宋_GB2312"/>
                      <w:sz w:val="21"/>
                      <w:szCs w:val="21"/>
                    </w:rPr>
                    <w:t>5</w:t>
                  </w:r>
                </w:p>
              </w:tc>
              <w:tc>
                <w:tcPr>
                  <w:tcW w:w="3827" w:type="dxa"/>
                  <w:vAlign w:val="center"/>
                </w:tcPr>
                <w:p w14:paraId="65574E3F">
                  <w:pPr>
                    <w:pStyle w:val="17"/>
                    <w:numPr>
                      <w:ilvl w:val="0"/>
                      <w:numId w:val="0"/>
                    </w:numPr>
                    <w:jc w:val="center"/>
                    <w:rPr>
                      <w:rFonts w:eastAsia="仿宋_GB2312"/>
                      <w:sz w:val="21"/>
                      <w:szCs w:val="21"/>
                    </w:rPr>
                  </w:pPr>
                  <w:r>
                    <w:rPr>
                      <w:rFonts w:hint="eastAsia" w:eastAsia="仿宋_GB2312"/>
                      <w:sz w:val="21"/>
                      <w:szCs w:val="21"/>
                    </w:rPr>
                    <w:t>五日生化需氧量</w:t>
                  </w:r>
                  <w:r>
                    <w:rPr>
                      <w:rFonts w:eastAsia="仿宋_GB2312"/>
                      <w:sz w:val="21"/>
                      <w:szCs w:val="21"/>
                    </w:rPr>
                    <w:t>(BOD₅)/(mg/L)</w:t>
                  </w:r>
                  <w:r>
                    <w:rPr>
                      <w:rFonts w:hint="eastAsia" w:eastAsia="仿宋_GB2312"/>
                      <w:sz w:val="21"/>
                      <w:szCs w:val="21"/>
                    </w:rPr>
                    <w:t>≤</w:t>
                  </w:r>
                </w:p>
              </w:tc>
              <w:tc>
                <w:tcPr>
                  <w:tcW w:w="2978" w:type="dxa"/>
                  <w:vAlign w:val="center"/>
                </w:tcPr>
                <w:p w14:paraId="0F7B7F0E">
                  <w:pPr>
                    <w:pStyle w:val="17"/>
                    <w:numPr>
                      <w:ilvl w:val="0"/>
                      <w:numId w:val="0"/>
                    </w:numPr>
                    <w:jc w:val="center"/>
                    <w:rPr>
                      <w:rFonts w:eastAsia="仿宋_GB2312"/>
                      <w:sz w:val="21"/>
                      <w:szCs w:val="21"/>
                    </w:rPr>
                  </w:pPr>
                  <w:r>
                    <w:rPr>
                      <w:rFonts w:hint="eastAsia" w:eastAsia="仿宋_GB2312"/>
                      <w:sz w:val="21"/>
                      <w:szCs w:val="21"/>
                    </w:rPr>
                    <w:t>10</w:t>
                  </w:r>
                </w:p>
              </w:tc>
            </w:tr>
            <w:tr w14:paraId="65D5C8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vAlign w:val="center"/>
                </w:tcPr>
                <w:p w14:paraId="0D985D3B">
                  <w:pPr>
                    <w:pStyle w:val="17"/>
                    <w:numPr>
                      <w:ilvl w:val="0"/>
                      <w:numId w:val="0"/>
                    </w:numPr>
                    <w:jc w:val="center"/>
                    <w:rPr>
                      <w:rFonts w:eastAsia="仿宋_GB2312"/>
                      <w:sz w:val="21"/>
                      <w:szCs w:val="21"/>
                    </w:rPr>
                  </w:pPr>
                  <w:r>
                    <w:rPr>
                      <w:rFonts w:hint="eastAsia" w:eastAsia="仿宋_GB2312"/>
                      <w:sz w:val="21"/>
                      <w:szCs w:val="21"/>
                    </w:rPr>
                    <w:t>6</w:t>
                  </w:r>
                </w:p>
              </w:tc>
              <w:tc>
                <w:tcPr>
                  <w:tcW w:w="3827" w:type="dxa"/>
                  <w:vAlign w:val="center"/>
                </w:tcPr>
                <w:p w14:paraId="6E61FFFC">
                  <w:pPr>
                    <w:pStyle w:val="17"/>
                    <w:numPr>
                      <w:ilvl w:val="0"/>
                      <w:numId w:val="0"/>
                    </w:numPr>
                    <w:jc w:val="center"/>
                    <w:rPr>
                      <w:rFonts w:eastAsia="仿宋_GB2312"/>
                      <w:sz w:val="21"/>
                      <w:szCs w:val="21"/>
                    </w:rPr>
                  </w:pPr>
                  <w:r>
                    <w:rPr>
                      <w:rFonts w:hint="eastAsia" w:eastAsia="仿宋_GB2312"/>
                      <w:sz w:val="21"/>
                      <w:szCs w:val="21"/>
                    </w:rPr>
                    <w:t>氨氮(mg/L)≤</w:t>
                  </w:r>
                </w:p>
              </w:tc>
              <w:tc>
                <w:tcPr>
                  <w:tcW w:w="2978" w:type="dxa"/>
                  <w:vAlign w:val="center"/>
                </w:tcPr>
                <w:p w14:paraId="6F4F2F14">
                  <w:pPr>
                    <w:pStyle w:val="17"/>
                    <w:numPr>
                      <w:ilvl w:val="0"/>
                      <w:numId w:val="0"/>
                    </w:numPr>
                    <w:jc w:val="center"/>
                    <w:rPr>
                      <w:rFonts w:eastAsia="仿宋_GB2312"/>
                      <w:sz w:val="21"/>
                      <w:szCs w:val="21"/>
                    </w:rPr>
                  </w:pPr>
                  <w:r>
                    <w:rPr>
                      <w:rFonts w:hint="eastAsia" w:eastAsia="仿宋_GB2312"/>
                      <w:sz w:val="21"/>
                      <w:szCs w:val="21"/>
                    </w:rPr>
                    <w:t>5</w:t>
                  </w:r>
                </w:p>
              </w:tc>
            </w:tr>
            <w:tr w14:paraId="119F0F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vAlign w:val="center"/>
                </w:tcPr>
                <w:p w14:paraId="1BA681F5">
                  <w:pPr>
                    <w:pStyle w:val="17"/>
                    <w:numPr>
                      <w:ilvl w:val="0"/>
                      <w:numId w:val="0"/>
                    </w:numPr>
                    <w:jc w:val="center"/>
                    <w:rPr>
                      <w:rFonts w:eastAsia="仿宋_GB2312"/>
                      <w:sz w:val="21"/>
                      <w:szCs w:val="21"/>
                    </w:rPr>
                  </w:pPr>
                  <w:r>
                    <w:rPr>
                      <w:rFonts w:hint="eastAsia" w:eastAsia="仿宋_GB2312"/>
                      <w:sz w:val="21"/>
                      <w:szCs w:val="21"/>
                    </w:rPr>
                    <w:t>7</w:t>
                  </w:r>
                </w:p>
              </w:tc>
              <w:tc>
                <w:tcPr>
                  <w:tcW w:w="3827" w:type="dxa"/>
                  <w:vAlign w:val="center"/>
                </w:tcPr>
                <w:p w14:paraId="7FA770CF">
                  <w:pPr>
                    <w:pStyle w:val="17"/>
                    <w:numPr>
                      <w:ilvl w:val="0"/>
                      <w:numId w:val="0"/>
                    </w:numPr>
                    <w:jc w:val="center"/>
                    <w:rPr>
                      <w:rFonts w:eastAsia="仿宋_GB2312"/>
                      <w:sz w:val="21"/>
                      <w:szCs w:val="21"/>
                    </w:rPr>
                  </w:pPr>
                  <w:r>
                    <w:rPr>
                      <w:rFonts w:hint="eastAsia" w:eastAsia="仿宋_GB2312"/>
                      <w:sz w:val="21"/>
                      <w:szCs w:val="21"/>
                    </w:rPr>
                    <w:t>阴离子表面活性剂(mg/L)≤</w:t>
                  </w:r>
                </w:p>
              </w:tc>
              <w:tc>
                <w:tcPr>
                  <w:tcW w:w="2978" w:type="dxa"/>
                  <w:vAlign w:val="center"/>
                </w:tcPr>
                <w:p w14:paraId="5524CE3E">
                  <w:pPr>
                    <w:pStyle w:val="17"/>
                    <w:numPr>
                      <w:ilvl w:val="0"/>
                      <w:numId w:val="0"/>
                    </w:numPr>
                    <w:jc w:val="center"/>
                    <w:rPr>
                      <w:rFonts w:eastAsia="仿宋_GB2312"/>
                      <w:sz w:val="21"/>
                      <w:szCs w:val="21"/>
                    </w:rPr>
                  </w:pPr>
                  <w:r>
                    <w:rPr>
                      <w:rFonts w:hint="eastAsia" w:eastAsia="仿宋_GB2312"/>
                      <w:sz w:val="21"/>
                      <w:szCs w:val="21"/>
                    </w:rPr>
                    <w:t>0.5</w:t>
                  </w:r>
                </w:p>
              </w:tc>
            </w:tr>
            <w:tr w14:paraId="7E66A0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vAlign w:val="center"/>
                </w:tcPr>
                <w:p w14:paraId="59F50779">
                  <w:pPr>
                    <w:pStyle w:val="17"/>
                    <w:numPr>
                      <w:ilvl w:val="0"/>
                      <w:numId w:val="0"/>
                    </w:numPr>
                    <w:jc w:val="center"/>
                    <w:rPr>
                      <w:rFonts w:eastAsia="仿宋_GB2312"/>
                      <w:sz w:val="21"/>
                      <w:szCs w:val="21"/>
                    </w:rPr>
                  </w:pPr>
                  <w:r>
                    <w:rPr>
                      <w:rFonts w:hint="eastAsia" w:eastAsia="仿宋_GB2312"/>
                      <w:sz w:val="21"/>
                      <w:szCs w:val="21"/>
                    </w:rPr>
                    <w:t>8</w:t>
                  </w:r>
                </w:p>
              </w:tc>
              <w:tc>
                <w:tcPr>
                  <w:tcW w:w="3827" w:type="dxa"/>
                  <w:vAlign w:val="center"/>
                </w:tcPr>
                <w:p w14:paraId="3A4658F2">
                  <w:pPr>
                    <w:pStyle w:val="17"/>
                    <w:numPr>
                      <w:ilvl w:val="0"/>
                      <w:numId w:val="0"/>
                    </w:numPr>
                    <w:jc w:val="center"/>
                    <w:rPr>
                      <w:rFonts w:eastAsia="仿宋_GB2312"/>
                      <w:sz w:val="21"/>
                      <w:szCs w:val="21"/>
                    </w:rPr>
                  </w:pPr>
                  <w:r>
                    <w:rPr>
                      <w:rFonts w:hint="eastAsia" w:eastAsia="仿宋_GB2312"/>
                      <w:sz w:val="21"/>
                      <w:szCs w:val="21"/>
                    </w:rPr>
                    <w:t>铁/(mg/L)≤</w:t>
                  </w:r>
                </w:p>
              </w:tc>
              <w:tc>
                <w:tcPr>
                  <w:tcW w:w="2978" w:type="dxa"/>
                  <w:vAlign w:val="center"/>
                </w:tcPr>
                <w:p w14:paraId="4B22DAB4">
                  <w:pPr>
                    <w:pStyle w:val="17"/>
                    <w:numPr>
                      <w:ilvl w:val="0"/>
                      <w:numId w:val="0"/>
                    </w:numPr>
                    <w:jc w:val="center"/>
                    <w:rPr>
                      <w:rFonts w:eastAsia="仿宋_GB2312"/>
                      <w:sz w:val="21"/>
                      <w:szCs w:val="21"/>
                    </w:rPr>
                  </w:pPr>
                  <w:r>
                    <w:rPr>
                      <w:rFonts w:hint="eastAsia" w:eastAsia="仿宋_GB2312"/>
                      <w:sz w:val="21"/>
                      <w:szCs w:val="21"/>
                    </w:rPr>
                    <w:t>0.3</w:t>
                  </w:r>
                </w:p>
              </w:tc>
            </w:tr>
            <w:tr w14:paraId="4E095C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vAlign w:val="center"/>
                </w:tcPr>
                <w:p w14:paraId="767F8BAA">
                  <w:pPr>
                    <w:pStyle w:val="17"/>
                    <w:numPr>
                      <w:ilvl w:val="0"/>
                      <w:numId w:val="0"/>
                    </w:numPr>
                    <w:jc w:val="center"/>
                    <w:rPr>
                      <w:rFonts w:eastAsia="仿宋_GB2312"/>
                      <w:sz w:val="21"/>
                      <w:szCs w:val="21"/>
                    </w:rPr>
                  </w:pPr>
                  <w:r>
                    <w:rPr>
                      <w:rFonts w:hint="eastAsia" w:eastAsia="仿宋_GB2312"/>
                      <w:sz w:val="21"/>
                      <w:szCs w:val="21"/>
                    </w:rPr>
                    <w:t>9</w:t>
                  </w:r>
                </w:p>
              </w:tc>
              <w:tc>
                <w:tcPr>
                  <w:tcW w:w="3827" w:type="dxa"/>
                  <w:vAlign w:val="center"/>
                </w:tcPr>
                <w:p w14:paraId="175EAFE4">
                  <w:pPr>
                    <w:pStyle w:val="17"/>
                    <w:numPr>
                      <w:ilvl w:val="0"/>
                      <w:numId w:val="0"/>
                    </w:numPr>
                    <w:jc w:val="center"/>
                    <w:rPr>
                      <w:rFonts w:eastAsia="仿宋_GB2312"/>
                      <w:sz w:val="21"/>
                      <w:szCs w:val="21"/>
                    </w:rPr>
                  </w:pPr>
                  <w:r>
                    <w:rPr>
                      <w:rFonts w:hint="eastAsia" w:eastAsia="仿宋_GB2312"/>
                      <w:sz w:val="21"/>
                      <w:szCs w:val="21"/>
                    </w:rPr>
                    <w:t>锰/(mg/L)≤</w:t>
                  </w:r>
                </w:p>
              </w:tc>
              <w:tc>
                <w:tcPr>
                  <w:tcW w:w="2978" w:type="dxa"/>
                  <w:vAlign w:val="center"/>
                </w:tcPr>
                <w:p w14:paraId="341B6F84">
                  <w:pPr>
                    <w:pStyle w:val="17"/>
                    <w:numPr>
                      <w:ilvl w:val="0"/>
                      <w:numId w:val="0"/>
                    </w:numPr>
                    <w:jc w:val="center"/>
                    <w:rPr>
                      <w:rFonts w:eastAsia="仿宋_GB2312"/>
                      <w:sz w:val="21"/>
                      <w:szCs w:val="21"/>
                    </w:rPr>
                  </w:pPr>
                  <w:r>
                    <w:rPr>
                      <w:rFonts w:hint="eastAsia" w:eastAsia="仿宋_GB2312"/>
                      <w:sz w:val="21"/>
                      <w:szCs w:val="21"/>
                    </w:rPr>
                    <w:t>0.1</w:t>
                  </w:r>
                </w:p>
              </w:tc>
            </w:tr>
            <w:tr w14:paraId="102B06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vAlign w:val="center"/>
                </w:tcPr>
                <w:p w14:paraId="4F617449">
                  <w:pPr>
                    <w:pStyle w:val="17"/>
                    <w:numPr>
                      <w:ilvl w:val="0"/>
                      <w:numId w:val="0"/>
                    </w:numPr>
                    <w:jc w:val="center"/>
                    <w:rPr>
                      <w:rFonts w:eastAsia="仿宋_GB2312"/>
                      <w:sz w:val="21"/>
                      <w:szCs w:val="21"/>
                    </w:rPr>
                  </w:pPr>
                  <w:r>
                    <w:rPr>
                      <w:rFonts w:hint="eastAsia" w:eastAsia="仿宋_GB2312"/>
                      <w:sz w:val="21"/>
                      <w:szCs w:val="21"/>
                    </w:rPr>
                    <w:t>10</w:t>
                  </w:r>
                </w:p>
              </w:tc>
              <w:tc>
                <w:tcPr>
                  <w:tcW w:w="3827" w:type="dxa"/>
                  <w:vAlign w:val="center"/>
                </w:tcPr>
                <w:p w14:paraId="2E27D40D">
                  <w:pPr>
                    <w:pStyle w:val="17"/>
                    <w:numPr>
                      <w:ilvl w:val="0"/>
                      <w:numId w:val="0"/>
                    </w:numPr>
                    <w:jc w:val="center"/>
                    <w:rPr>
                      <w:rFonts w:eastAsia="仿宋_GB2312"/>
                      <w:sz w:val="21"/>
                      <w:szCs w:val="21"/>
                    </w:rPr>
                  </w:pPr>
                  <w:r>
                    <w:rPr>
                      <w:rFonts w:hint="eastAsia" w:eastAsia="仿宋_GB2312"/>
                      <w:sz w:val="21"/>
                      <w:szCs w:val="21"/>
                    </w:rPr>
                    <w:t>溶解性总固体/(mg/L)≤</w:t>
                  </w:r>
                </w:p>
              </w:tc>
              <w:tc>
                <w:tcPr>
                  <w:tcW w:w="2978" w:type="dxa"/>
                  <w:vAlign w:val="center"/>
                </w:tcPr>
                <w:p w14:paraId="0167AD79">
                  <w:pPr>
                    <w:pStyle w:val="17"/>
                    <w:numPr>
                      <w:ilvl w:val="0"/>
                      <w:numId w:val="0"/>
                    </w:numPr>
                    <w:jc w:val="center"/>
                    <w:rPr>
                      <w:rFonts w:eastAsia="仿宋_GB2312"/>
                      <w:sz w:val="21"/>
                      <w:szCs w:val="21"/>
                    </w:rPr>
                  </w:pPr>
                  <w:r>
                    <w:rPr>
                      <w:rFonts w:eastAsia="仿宋_GB2312"/>
                      <w:sz w:val="21"/>
                      <w:szCs w:val="21"/>
                    </w:rPr>
                    <w:t>1000</w:t>
                  </w:r>
                  <w:r>
                    <w:rPr>
                      <w:rFonts w:hint="eastAsia" w:eastAsia="仿宋_GB2312"/>
                      <w:sz w:val="21"/>
                      <w:szCs w:val="21"/>
                    </w:rPr>
                    <w:t>（2000）</w:t>
                  </w:r>
                  <w:r>
                    <w:rPr>
                      <w:rFonts w:eastAsia="仿宋_GB2312"/>
                      <w:sz w:val="21"/>
                      <w:szCs w:val="21"/>
                      <w:vertAlign w:val="superscript"/>
                    </w:rPr>
                    <w:t>a</w:t>
                  </w:r>
                </w:p>
              </w:tc>
            </w:tr>
            <w:tr w14:paraId="3D2E39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vAlign w:val="center"/>
                </w:tcPr>
                <w:p w14:paraId="494051E0">
                  <w:pPr>
                    <w:pStyle w:val="17"/>
                    <w:numPr>
                      <w:ilvl w:val="0"/>
                      <w:numId w:val="0"/>
                    </w:numPr>
                    <w:jc w:val="center"/>
                    <w:rPr>
                      <w:rFonts w:eastAsia="仿宋_GB2312"/>
                      <w:sz w:val="21"/>
                      <w:szCs w:val="21"/>
                    </w:rPr>
                  </w:pPr>
                  <w:r>
                    <w:rPr>
                      <w:rFonts w:hint="eastAsia" w:eastAsia="仿宋_GB2312"/>
                      <w:sz w:val="21"/>
                      <w:szCs w:val="21"/>
                    </w:rPr>
                    <w:t>11</w:t>
                  </w:r>
                </w:p>
              </w:tc>
              <w:tc>
                <w:tcPr>
                  <w:tcW w:w="3827" w:type="dxa"/>
                  <w:vAlign w:val="center"/>
                </w:tcPr>
                <w:p w14:paraId="22EC0322">
                  <w:pPr>
                    <w:pStyle w:val="17"/>
                    <w:numPr>
                      <w:ilvl w:val="0"/>
                      <w:numId w:val="0"/>
                    </w:numPr>
                    <w:jc w:val="center"/>
                    <w:rPr>
                      <w:rFonts w:eastAsia="仿宋_GB2312"/>
                      <w:sz w:val="21"/>
                      <w:szCs w:val="21"/>
                    </w:rPr>
                  </w:pPr>
                  <w:r>
                    <w:rPr>
                      <w:rFonts w:hint="eastAsia" w:eastAsia="仿宋_GB2312"/>
                      <w:sz w:val="21"/>
                      <w:szCs w:val="21"/>
                    </w:rPr>
                    <w:t>溶解氧(mg/L)≥</w:t>
                  </w:r>
                </w:p>
              </w:tc>
              <w:tc>
                <w:tcPr>
                  <w:tcW w:w="2978" w:type="dxa"/>
                  <w:vAlign w:val="center"/>
                </w:tcPr>
                <w:p w14:paraId="6E02368A">
                  <w:pPr>
                    <w:pStyle w:val="17"/>
                    <w:numPr>
                      <w:ilvl w:val="0"/>
                      <w:numId w:val="0"/>
                    </w:numPr>
                    <w:jc w:val="center"/>
                    <w:rPr>
                      <w:rFonts w:eastAsia="仿宋_GB2312"/>
                      <w:sz w:val="21"/>
                      <w:szCs w:val="21"/>
                    </w:rPr>
                  </w:pPr>
                  <w:r>
                    <w:rPr>
                      <w:rFonts w:hint="eastAsia" w:eastAsia="仿宋_GB2312"/>
                      <w:sz w:val="21"/>
                      <w:szCs w:val="21"/>
                    </w:rPr>
                    <w:t>2.0</w:t>
                  </w:r>
                </w:p>
              </w:tc>
            </w:tr>
            <w:tr w14:paraId="28F7A7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vAlign w:val="center"/>
                </w:tcPr>
                <w:p w14:paraId="3BFDDED4">
                  <w:pPr>
                    <w:pStyle w:val="17"/>
                    <w:numPr>
                      <w:ilvl w:val="0"/>
                      <w:numId w:val="0"/>
                    </w:numPr>
                    <w:jc w:val="center"/>
                    <w:rPr>
                      <w:rFonts w:eastAsia="仿宋_GB2312"/>
                      <w:sz w:val="21"/>
                      <w:szCs w:val="21"/>
                    </w:rPr>
                  </w:pPr>
                  <w:r>
                    <w:rPr>
                      <w:rFonts w:hint="eastAsia" w:eastAsia="仿宋_GB2312"/>
                      <w:sz w:val="21"/>
                      <w:szCs w:val="21"/>
                    </w:rPr>
                    <w:t>12</w:t>
                  </w:r>
                </w:p>
              </w:tc>
              <w:tc>
                <w:tcPr>
                  <w:tcW w:w="3827" w:type="dxa"/>
                  <w:vAlign w:val="center"/>
                </w:tcPr>
                <w:p w14:paraId="7898C4F8">
                  <w:pPr>
                    <w:pStyle w:val="17"/>
                    <w:numPr>
                      <w:ilvl w:val="0"/>
                      <w:numId w:val="0"/>
                    </w:numPr>
                    <w:jc w:val="center"/>
                    <w:rPr>
                      <w:rFonts w:eastAsia="仿宋_GB2312"/>
                      <w:sz w:val="21"/>
                      <w:szCs w:val="21"/>
                    </w:rPr>
                  </w:pPr>
                  <w:r>
                    <w:rPr>
                      <w:rFonts w:hint="eastAsia" w:eastAsia="仿宋_GB2312"/>
                      <w:sz w:val="21"/>
                      <w:szCs w:val="21"/>
                    </w:rPr>
                    <w:t>总氮(mg/L)≥</w:t>
                  </w:r>
                </w:p>
              </w:tc>
              <w:tc>
                <w:tcPr>
                  <w:tcW w:w="2978" w:type="dxa"/>
                  <w:vAlign w:val="center"/>
                </w:tcPr>
                <w:p w14:paraId="6CE90FF8">
                  <w:pPr>
                    <w:pStyle w:val="17"/>
                    <w:numPr>
                      <w:ilvl w:val="0"/>
                      <w:numId w:val="0"/>
                    </w:numPr>
                    <w:jc w:val="center"/>
                    <w:rPr>
                      <w:rFonts w:eastAsia="仿宋_GB2312"/>
                      <w:sz w:val="21"/>
                      <w:szCs w:val="21"/>
                    </w:rPr>
                  </w:pPr>
                  <w:r>
                    <w:rPr>
                      <w:rFonts w:hint="eastAsia" w:eastAsia="仿宋_GB2312"/>
                      <w:sz w:val="21"/>
                      <w:szCs w:val="21"/>
                    </w:rPr>
                    <w:t>1.0（出厂），0.2（管网末端）</w:t>
                  </w:r>
                </w:p>
              </w:tc>
            </w:tr>
            <w:tr w14:paraId="464348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vAlign w:val="center"/>
                </w:tcPr>
                <w:p w14:paraId="44BF4CD0">
                  <w:pPr>
                    <w:pStyle w:val="17"/>
                    <w:numPr>
                      <w:ilvl w:val="0"/>
                      <w:numId w:val="0"/>
                    </w:numPr>
                    <w:jc w:val="center"/>
                    <w:rPr>
                      <w:rFonts w:eastAsia="仿宋_GB2312"/>
                      <w:sz w:val="21"/>
                      <w:szCs w:val="21"/>
                    </w:rPr>
                  </w:pPr>
                  <w:r>
                    <w:rPr>
                      <w:rFonts w:hint="eastAsia" w:eastAsia="仿宋_GB2312"/>
                      <w:sz w:val="21"/>
                      <w:szCs w:val="21"/>
                    </w:rPr>
                    <w:t>13</w:t>
                  </w:r>
                </w:p>
              </w:tc>
              <w:tc>
                <w:tcPr>
                  <w:tcW w:w="3827" w:type="dxa"/>
                  <w:vAlign w:val="center"/>
                </w:tcPr>
                <w:p w14:paraId="6DA6D81D">
                  <w:pPr>
                    <w:pStyle w:val="17"/>
                    <w:numPr>
                      <w:ilvl w:val="0"/>
                      <w:numId w:val="0"/>
                    </w:numPr>
                    <w:jc w:val="center"/>
                    <w:rPr>
                      <w:rFonts w:eastAsia="仿宋_GB2312"/>
                      <w:sz w:val="21"/>
                      <w:szCs w:val="21"/>
                    </w:rPr>
                  </w:pPr>
                  <w:r>
                    <w:rPr>
                      <w:rFonts w:hint="eastAsia" w:eastAsia="仿宋_GB2312"/>
                      <w:sz w:val="21"/>
                      <w:szCs w:val="21"/>
                    </w:rPr>
                    <w:t>大肠埃希氏菌/(MPN/100mL，或CFU/100mL)</w:t>
                  </w:r>
                </w:p>
              </w:tc>
              <w:tc>
                <w:tcPr>
                  <w:tcW w:w="2978" w:type="dxa"/>
                  <w:vAlign w:val="center"/>
                </w:tcPr>
                <w:p w14:paraId="088EE441">
                  <w:pPr>
                    <w:pStyle w:val="17"/>
                    <w:numPr>
                      <w:ilvl w:val="0"/>
                      <w:numId w:val="0"/>
                    </w:numPr>
                    <w:jc w:val="center"/>
                    <w:rPr>
                      <w:rFonts w:eastAsia="仿宋_GB2312"/>
                      <w:sz w:val="21"/>
                      <w:szCs w:val="21"/>
                    </w:rPr>
                  </w:pPr>
                  <w:r>
                    <w:rPr>
                      <w:rFonts w:hint="eastAsia" w:eastAsia="仿宋_GB2312"/>
                      <w:sz w:val="21"/>
                      <w:szCs w:val="21"/>
                    </w:rPr>
                    <w:t>无</w:t>
                  </w:r>
                </w:p>
              </w:tc>
            </w:tr>
            <w:tr w14:paraId="2365AF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vAlign w:val="center"/>
                </w:tcPr>
                <w:p w14:paraId="5EE33489">
                  <w:pPr>
                    <w:pStyle w:val="17"/>
                    <w:numPr>
                      <w:ilvl w:val="0"/>
                      <w:numId w:val="0"/>
                    </w:numPr>
                    <w:jc w:val="center"/>
                    <w:rPr>
                      <w:rFonts w:eastAsia="仿宋_GB2312"/>
                      <w:sz w:val="21"/>
                      <w:szCs w:val="21"/>
                    </w:rPr>
                  </w:pPr>
                  <w:r>
                    <w:rPr>
                      <w:rFonts w:hint="eastAsia" w:eastAsia="仿宋_GB2312"/>
                      <w:sz w:val="21"/>
                      <w:szCs w:val="21"/>
                    </w:rPr>
                    <w:t>14</w:t>
                  </w:r>
                </w:p>
              </w:tc>
              <w:tc>
                <w:tcPr>
                  <w:tcW w:w="3827" w:type="dxa"/>
                  <w:vAlign w:val="center"/>
                </w:tcPr>
                <w:p w14:paraId="5E3C0003">
                  <w:pPr>
                    <w:pStyle w:val="17"/>
                    <w:numPr>
                      <w:ilvl w:val="0"/>
                      <w:numId w:val="0"/>
                    </w:numPr>
                    <w:jc w:val="center"/>
                    <w:rPr>
                      <w:rFonts w:eastAsia="仿宋_GB2312"/>
                      <w:sz w:val="21"/>
                      <w:szCs w:val="21"/>
                    </w:rPr>
                  </w:pPr>
                  <w:r>
                    <w:rPr>
                      <w:rFonts w:hint="eastAsia" w:eastAsia="仿宋_GB2312"/>
                      <w:sz w:val="21"/>
                      <w:szCs w:val="21"/>
                    </w:rPr>
                    <w:t>氯化物(Cl</w:t>
                  </w:r>
                  <w:r>
                    <w:rPr>
                      <w:rFonts w:hint="eastAsia" w:eastAsia="仿宋_GB2312"/>
                      <w:sz w:val="21"/>
                      <w:szCs w:val="21"/>
                      <w:vertAlign w:val="superscript"/>
                    </w:rPr>
                    <w:t>-</w:t>
                  </w:r>
                  <w:r>
                    <w:rPr>
                      <w:rFonts w:hint="eastAsia" w:eastAsia="仿宋_GB2312"/>
                      <w:sz w:val="21"/>
                      <w:szCs w:val="21"/>
                    </w:rPr>
                    <w:t>)≤</w:t>
                  </w:r>
                </w:p>
              </w:tc>
              <w:tc>
                <w:tcPr>
                  <w:tcW w:w="2978" w:type="dxa"/>
                  <w:vAlign w:val="center"/>
                </w:tcPr>
                <w:p w14:paraId="2771E4FB">
                  <w:pPr>
                    <w:pStyle w:val="17"/>
                    <w:numPr>
                      <w:ilvl w:val="0"/>
                      <w:numId w:val="0"/>
                    </w:numPr>
                    <w:jc w:val="center"/>
                    <w:rPr>
                      <w:rFonts w:eastAsia="仿宋_GB2312"/>
                      <w:sz w:val="21"/>
                      <w:szCs w:val="21"/>
                    </w:rPr>
                  </w:pPr>
                  <w:r>
                    <w:rPr>
                      <w:rFonts w:hint="eastAsia" w:eastAsia="仿宋_GB2312"/>
                      <w:sz w:val="21"/>
                      <w:szCs w:val="21"/>
                    </w:rPr>
                    <w:t>350</w:t>
                  </w:r>
                </w:p>
              </w:tc>
            </w:tr>
            <w:tr w14:paraId="0BC7BA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vAlign w:val="center"/>
                </w:tcPr>
                <w:p w14:paraId="5138224C">
                  <w:pPr>
                    <w:pStyle w:val="17"/>
                    <w:numPr>
                      <w:ilvl w:val="0"/>
                      <w:numId w:val="0"/>
                    </w:numPr>
                    <w:jc w:val="center"/>
                    <w:rPr>
                      <w:rFonts w:eastAsia="仿宋_GB2312"/>
                      <w:sz w:val="21"/>
                      <w:szCs w:val="21"/>
                    </w:rPr>
                  </w:pPr>
                  <w:r>
                    <w:rPr>
                      <w:rFonts w:hint="eastAsia" w:eastAsia="仿宋_GB2312"/>
                      <w:sz w:val="21"/>
                      <w:szCs w:val="21"/>
                    </w:rPr>
                    <w:t>15</w:t>
                  </w:r>
                </w:p>
              </w:tc>
              <w:tc>
                <w:tcPr>
                  <w:tcW w:w="3827" w:type="dxa"/>
                  <w:vAlign w:val="center"/>
                </w:tcPr>
                <w:p w14:paraId="521FB57F">
                  <w:pPr>
                    <w:pStyle w:val="17"/>
                    <w:numPr>
                      <w:ilvl w:val="0"/>
                      <w:numId w:val="0"/>
                    </w:numPr>
                    <w:jc w:val="center"/>
                    <w:rPr>
                      <w:rFonts w:eastAsia="仿宋_GB2312"/>
                      <w:sz w:val="21"/>
                      <w:szCs w:val="21"/>
                    </w:rPr>
                  </w:pPr>
                  <w:r>
                    <w:rPr>
                      <w:rFonts w:hint="eastAsia" w:eastAsia="仿宋_GB2312"/>
                      <w:sz w:val="21"/>
                      <w:szCs w:val="21"/>
                    </w:rPr>
                    <w:t>硫酸盐</w:t>
                  </w:r>
                  <w:r>
                    <w:rPr>
                      <w:rFonts w:eastAsia="仿宋_GB2312"/>
                      <w:sz w:val="21"/>
                      <w:szCs w:val="21"/>
                    </w:rPr>
                    <w:t>(SO₄²-)</w:t>
                  </w:r>
                  <w:r>
                    <w:rPr>
                      <w:rFonts w:hint="eastAsia" w:eastAsia="仿宋_GB2312"/>
                      <w:sz w:val="21"/>
                      <w:szCs w:val="21"/>
                    </w:rPr>
                    <w:t>≤</w:t>
                  </w:r>
                </w:p>
              </w:tc>
              <w:tc>
                <w:tcPr>
                  <w:tcW w:w="2978" w:type="dxa"/>
                  <w:vAlign w:val="center"/>
                </w:tcPr>
                <w:p w14:paraId="32674F61">
                  <w:pPr>
                    <w:pStyle w:val="17"/>
                    <w:numPr>
                      <w:ilvl w:val="0"/>
                      <w:numId w:val="0"/>
                    </w:numPr>
                    <w:jc w:val="center"/>
                    <w:rPr>
                      <w:rFonts w:eastAsia="仿宋_GB2312"/>
                      <w:sz w:val="21"/>
                      <w:szCs w:val="21"/>
                    </w:rPr>
                  </w:pPr>
                  <w:r>
                    <w:rPr>
                      <w:rFonts w:hint="eastAsia" w:eastAsia="仿宋_GB2312"/>
                      <w:sz w:val="21"/>
                      <w:szCs w:val="21"/>
                    </w:rPr>
                    <w:t>500</w:t>
                  </w:r>
                </w:p>
              </w:tc>
            </w:tr>
          </w:tbl>
          <w:p w14:paraId="05FC7ED9">
            <w:pPr>
              <w:pStyle w:val="17"/>
              <w:numPr>
                <w:ilvl w:val="0"/>
                <w:numId w:val="0"/>
              </w:numPr>
              <w:spacing w:line="360" w:lineRule="auto"/>
              <w:ind w:firstLine="422" w:firstLineChars="200"/>
              <w:rPr>
                <w:rFonts w:eastAsia="仿宋_GB2312"/>
                <w:b/>
                <w:bCs/>
              </w:rPr>
            </w:pPr>
            <w:r>
              <w:rPr>
                <w:rFonts w:hint="eastAsia" w:eastAsia="仿宋_GB2312"/>
                <w:b/>
                <w:bCs/>
              </w:rPr>
              <w:t>注：a:括号内指标值为沿海及本地水源中溶解性固体含量较高的区域的指标。</w:t>
            </w:r>
          </w:p>
          <w:p w14:paraId="5A5E7BA2">
            <w:pPr>
              <w:pStyle w:val="17"/>
              <w:numPr>
                <w:ilvl w:val="0"/>
                <w:numId w:val="0"/>
              </w:numPr>
              <w:spacing w:line="360" w:lineRule="auto"/>
              <w:ind w:firstLine="420" w:firstLineChars="200"/>
              <w:rPr>
                <w:rFonts w:eastAsia="仿宋_GB2312"/>
              </w:rPr>
            </w:pPr>
            <w:r>
              <w:rPr>
                <w:rFonts w:hint="eastAsia" w:eastAsia="仿宋_GB2312"/>
              </w:rPr>
              <w:t>（2）运营期</w:t>
            </w:r>
          </w:p>
          <w:p w14:paraId="69E17ACE">
            <w:pPr>
              <w:pStyle w:val="17"/>
              <w:numPr>
                <w:ilvl w:val="0"/>
                <w:numId w:val="0"/>
              </w:numPr>
              <w:spacing w:line="360" w:lineRule="auto"/>
              <w:ind w:firstLine="420" w:firstLineChars="200"/>
              <w:rPr>
                <w:rFonts w:eastAsia="仿宋_GB2312"/>
              </w:rPr>
            </w:pPr>
            <w:r>
              <w:rPr>
                <w:rFonts w:hint="eastAsia" w:eastAsia="仿宋_GB2312"/>
              </w:rPr>
              <w:t>本项目运营期废水主要为反冲洗水、密封水和地面清洁废水。反冲洗水、密封水和地面清洁废水经含盐废水专用管网打入中水池后，通过回用管道回用至矿区采卤，不外排。</w:t>
            </w:r>
          </w:p>
          <w:p w14:paraId="776ED4B6">
            <w:pPr>
              <w:pStyle w:val="17"/>
              <w:numPr>
                <w:ilvl w:val="0"/>
                <w:numId w:val="0"/>
              </w:numPr>
              <w:spacing w:line="360" w:lineRule="auto"/>
              <w:ind w:firstLine="422" w:firstLineChars="200"/>
              <w:rPr>
                <w:rFonts w:eastAsia="仿宋_GB2312"/>
                <w:b/>
                <w:bCs/>
              </w:rPr>
            </w:pPr>
            <w:r>
              <w:rPr>
                <w:rFonts w:hint="eastAsia" w:eastAsia="仿宋_GB2312"/>
                <w:b/>
                <w:bCs/>
              </w:rPr>
              <w:t>3、噪声：</w:t>
            </w:r>
          </w:p>
          <w:p w14:paraId="7697778C">
            <w:pPr>
              <w:pStyle w:val="17"/>
              <w:numPr>
                <w:ilvl w:val="0"/>
                <w:numId w:val="0"/>
              </w:numPr>
              <w:spacing w:line="360" w:lineRule="auto"/>
              <w:ind w:firstLine="420" w:firstLineChars="200"/>
              <w:rPr>
                <w:rFonts w:eastAsia="仿宋_GB2312"/>
              </w:rPr>
            </w:pPr>
            <w:r>
              <w:rPr>
                <w:rFonts w:hint="eastAsia" w:eastAsia="仿宋_GB2312"/>
              </w:rPr>
              <w:t>（1）施工期</w:t>
            </w:r>
          </w:p>
          <w:p w14:paraId="4EF55A75">
            <w:pPr>
              <w:pStyle w:val="17"/>
              <w:numPr>
                <w:ilvl w:val="0"/>
                <w:numId w:val="0"/>
              </w:numPr>
              <w:spacing w:line="360" w:lineRule="auto"/>
              <w:ind w:firstLine="420" w:firstLineChars="200"/>
              <w:rPr>
                <w:rFonts w:eastAsia="仿宋_GB2312"/>
              </w:rPr>
            </w:pPr>
            <w:r>
              <w:rPr>
                <w:rFonts w:hint="eastAsia" w:eastAsia="仿宋_GB2312"/>
              </w:rPr>
              <w:t>项目施工期噪声执行</w:t>
            </w:r>
            <w:r>
              <w:rPr>
                <w:rFonts w:hint="eastAsia" w:ascii="Times New Roman" w:hAnsi="Times New Roman" w:eastAsia="仿宋_GB2312" w:cs="Times New Roman"/>
              </w:rPr>
              <w:t>《建筑施工噪声排放标准》（GB 12523-2025）</w:t>
            </w:r>
            <w:r>
              <w:rPr>
                <w:rFonts w:hint="eastAsia" w:ascii="Times New Roman" w:hAnsi="Times New Roman" w:eastAsia="仿宋_GB2312" w:cs="Times New Roman"/>
                <w:lang w:eastAsia="zh-CN"/>
              </w:rPr>
              <w:t>，</w:t>
            </w:r>
            <w:r>
              <w:rPr>
                <w:rFonts w:hint="eastAsia" w:ascii="Times New Roman" w:hAnsi="Times New Roman" w:eastAsia="仿宋_GB2312" w:cs="Times New Roman"/>
              </w:rPr>
              <w:t>具</w:t>
            </w:r>
            <w:r>
              <w:rPr>
                <w:rFonts w:hint="eastAsia" w:eastAsia="仿宋_GB2312"/>
              </w:rPr>
              <w:t>体标准值见下表。</w:t>
            </w:r>
          </w:p>
          <w:p w14:paraId="468F2AD6">
            <w:pPr>
              <w:pStyle w:val="17"/>
              <w:numPr>
                <w:ilvl w:val="0"/>
                <w:numId w:val="0"/>
              </w:numPr>
              <w:ind w:firstLine="422" w:firstLineChars="200"/>
              <w:jc w:val="center"/>
              <w:rPr>
                <w:rFonts w:eastAsia="仿宋_GB2312"/>
                <w:b/>
                <w:bCs/>
              </w:rPr>
            </w:pPr>
            <w:r>
              <w:rPr>
                <w:rFonts w:hint="eastAsia" w:eastAsia="仿宋_GB2312"/>
                <w:b/>
                <w:bCs/>
              </w:rPr>
              <w:t>表3-10</w:t>
            </w:r>
            <w:r>
              <w:rPr>
                <w:rFonts w:hint="eastAsia" w:eastAsia="仿宋_GB2312"/>
                <w:b/>
                <w:bCs/>
                <w:lang w:val="en-US" w:eastAsia="zh-CN"/>
              </w:rPr>
              <w:t xml:space="preserve">  </w:t>
            </w:r>
            <w:r>
              <w:rPr>
                <w:rFonts w:hint="eastAsia" w:eastAsia="仿宋_GB2312"/>
                <w:b/>
                <w:bCs/>
              </w:rPr>
              <w:t>建筑施工场界环境噪声排放限值 单位：dB(A)</w:t>
            </w:r>
          </w:p>
          <w:tbl>
            <w:tblPr>
              <w:tblStyle w:val="3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979"/>
              <w:gridCol w:w="3980"/>
            </w:tblGrid>
            <w:tr w14:paraId="03A774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79" w:type="dxa"/>
                  <w:vAlign w:val="center"/>
                </w:tcPr>
                <w:p w14:paraId="4C280692">
                  <w:pPr>
                    <w:pStyle w:val="17"/>
                    <w:numPr>
                      <w:ilvl w:val="0"/>
                      <w:numId w:val="0"/>
                    </w:numPr>
                    <w:spacing w:line="240" w:lineRule="atLeast"/>
                    <w:jc w:val="center"/>
                    <w:rPr>
                      <w:rFonts w:eastAsia="仿宋_GB2312"/>
                      <w:b/>
                      <w:bCs/>
                      <w:sz w:val="21"/>
                      <w:szCs w:val="21"/>
                    </w:rPr>
                  </w:pPr>
                  <w:r>
                    <w:rPr>
                      <w:rFonts w:hint="eastAsia" w:eastAsia="仿宋_GB2312"/>
                      <w:b/>
                      <w:bCs/>
                      <w:sz w:val="21"/>
                      <w:szCs w:val="21"/>
                    </w:rPr>
                    <w:t>昼间</w:t>
                  </w:r>
                </w:p>
              </w:tc>
              <w:tc>
                <w:tcPr>
                  <w:tcW w:w="3980" w:type="dxa"/>
                  <w:vAlign w:val="center"/>
                </w:tcPr>
                <w:p w14:paraId="01D57CC1">
                  <w:pPr>
                    <w:pStyle w:val="17"/>
                    <w:numPr>
                      <w:ilvl w:val="0"/>
                      <w:numId w:val="0"/>
                    </w:numPr>
                    <w:spacing w:line="240" w:lineRule="atLeast"/>
                    <w:jc w:val="center"/>
                    <w:rPr>
                      <w:rFonts w:eastAsia="仿宋_GB2312"/>
                      <w:b/>
                      <w:bCs/>
                      <w:sz w:val="21"/>
                      <w:szCs w:val="21"/>
                    </w:rPr>
                  </w:pPr>
                  <w:r>
                    <w:rPr>
                      <w:rFonts w:hint="eastAsia" w:eastAsia="仿宋_GB2312"/>
                      <w:b/>
                      <w:bCs/>
                      <w:sz w:val="21"/>
                      <w:szCs w:val="21"/>
                    </w:rPr>
                    <w:t>夜间</w:t>
                  </w:r>
                </w:p>
              </w:tc>
            </w:tr>
            <w:tr w14:paraId="366CD9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79" w:type="dxa"/>
                  <w:vAlign w:val="center"/>
                </w:tcPr>
                <w:p w14:paraId="427261BC">
                  <w:pPr>
                    <w:pStyle w:val="17"/>
                    <w:numPr>
                      <w:ilvl w:val="0"/>
                      <w:numId w:val="0"/>
                    </w:numPr>
                    <w:spacing w:line="240" w:lineRule="atLeast"/>
                    <w:jc w:val="center"/>
                    <w:rPr>
                      <w:rFonts w:eastAsia="仿宋_GB2312"/>
                      <w:sz w:val="21"/>
                      <w:szCs w:val="21"/>
                    </w:rPr>
                  </w:pPr>
                  <w:r>
                    <w:rPr>
                      <w:rFonts w:hint="eastAsia" w:eastAsia="仿宋_GB2312"/>
                      <w:sz w:val="21"/>
                      <w:szCs w:val="21"/>
                    </w:rPr>
                    <w:t>70</w:t>
                  </w:r>
                </w:p>
              </w:tc>
              <w:tc>
                <w:tcPr>
                  <w:tcW w:w="3980" w:type="dxa"/>
                  <w:vAlign w:val="center"/>
                </w:tcPr>
                <w:p w14:paraId="32635C77">
                  <w:pPr>
                    <w:pStyle w:val="17"/>
                    <w:numPr>
                      <w:ilvl w:val="0"/>
                      <w:numId w:val="0"/>
                    </w:numPr>
                    <w:spacing w:line="240" w:lineRule="atLeast"/>
                    <w:jc w:val="center"/>
                    <w:rPr>
                      <w:rFonts w:eastAsia="仿宋_GB2312"/>
                      <w:sz w:val="21"/>
                      <w:szCs w:val="21"/>
                    </w:rPr>
                  </w:pPr>
                  <w:r>
                    <w:rPr>
                      <w:rFonts w:hint="eastAsia" w:eastAsia="仿宋_GB2312"/>
                      <w:sz w:val="21"/>
                      <w:szCs w:val="21"/>
                    </w:rPr>
                    <w:t>55</w:t>
                  </w:r>
                </w:p>
              </w:tc>
            </w:tr>
          </w:tbl>
          <w:p w14:paraId="332AE13C">
            <w:pPr>
              <w:pStyle w:val="17"/>
              <w:numPr>
                <w:ilvl w:val="0"/>
                <w:numId w:val="0"/>
              </w:numPr>
              <w:spacing w:line="360" w:lineRule="auto"/>
              <w:ind w:firstLine="420" w:firstLineChars="200"/>
              <w:rPr>
                <w:rFonts w:eastAsia="仿宋_GB2312"/>
              </w:rPr>
            </w:pPr>
            <w:r>
              <w:rPr>
                <w:rFonts w:hint="eastAsia" w:eastAsia="仿宋_GB2312"/>
              </w:rPr>
              <w:t>（2）运营期</w:t>
            </w:r>
          </w:p>
          <w:p w14:paraId="5FF8144F">
            <w:pPr>
              <w:autoSpaceDE w:val="0"/>
              <w:autoSpaceDN w:val="0"/>
              <w:adjustRightInd w:val="0"/>
              <w:snapToGrid w:val="0"/>
              <w:spacing w:line="360" w:lineRule="auto"/>
              <w:ind w:firstLine="482"/>
              <w:rPr>
                <w:rFonts w:eastAsia="仿宋_GB2312"/>
                <w:kern w:val="0"/>
              </w:rPr>
            </w:pPr>
            <w:r>
              <w:rPr>
                <w:rFonts w:eastAsia="仿宋_GB2312"/>
                <w:kern w:val="0"/>
              </w:rPr>
              <w:t>项目所在</w:t>
            </w:r>
            <w:r>
              <w:rPr>
                <w:rFonts w:hint="eastAsia" w:eastAsia="仿宋_GB2312"/>
                <w:kern w:val="0"/>
              </w:rPr>
              <w:t>地北、东、南</w:t>
            </w:r>
            <w:r>
              <w:rPr>
                <w:rFonts w:eastAsia="仿宋_GB2312"/>
                <w:kern w:val="0"/>
              </w:rPr>
              <w:t>厂界执行《工业企业厂界环境噪声排放标准》（GB12348-2008）中3类标准，</w:t>
            </w:r>
            <w:r>
              <w:rPr>
                <w:rFonts w:hint="eastAsia" w:eastAsia="仿宋_GB2312"/>
                <w:kern w:val="0"/>
              </w:rPr>
              <w:t>西厂</w:t>
            </w:r>
            <w:r>
              <w:rPr>
                <w:rFonts w:eastAsia="仿宋_GB2312"/>
                <w:kern w:val="0"/>
              </w:rPr>
              <w:t>界执行《工业企业厂界环境噪声排放标准》（GB12348-2008）中</w:t>
            </w:r>
            <w:r>
              <w:rPr>
                <w:rFonts w:hint="eastAsia" w:eastAsia="仿宋_GB2312"/>
                <w:kern w:val="0"/>
              </w:rPr>
              <w:t>4a</w:t>
            </w:r>
            <w:r>
              <w:rPr>
                <w:rFonts w:eastAsia="仿宋_GB2312"/>
                <w:kern w:val="0"/>
              </w:rPr>
              <w:t>类标准</w:t>
            </w:r>
            <w:r>
              <w:rPr>
                <w:rFonts w:hint="eastAsia" w:eastAsia="仿宋_GB2312"/>
                <w:kern w:val="0"/>
              </w:rPr>
              <w:t>，</w:t>
            </w:r>
            <w:r>
              <w:rPr>
                <w:rFonts w:eastAsia="仿宋_GB2312"/>
                <w:kern w:val="0"/>
              </w:rPr>
              <w:t>具体标准值见表3-1</w:t>
            </w:r>
            <w:r>
              <w:rPr>
                <w:rFonts w:hint="eastAsia" w:eastAsia="仿宋_GB2312"/>
                <w:kern w:val="0"/>
              </w:rPr>
              <w:t>1</w:t>
            </w:r>
            <w:r>
              <w:rPr>
                <w:rFonts w:eastAsia="仿宋_GB2312"/>
                <w:kern w:val="0"/>
              </w:rPr>
              <w:t>。</w:t>
            </w:r>
          </w:p>
          <w:p w14:paraId="566F842A">
            <w:pPr>
              <w:adjustRightInd w:val="0"/>
              <w:snapToGrid w:val="0"/>
              <w:jc w:val="center"/>
              <w:rPr>
                <w:rFonts w:eastAsia="仿宋_GB2312"/>
                <w:b/>
                <w:kern w:val="0"/>
              </w:rPr>
            </w:pPr>
            <w:r>
              <w:rPr>
                <w:rFonts w:eastAsia="仿宋_GB2312"/>
                <w:b/>
                <w:kern w:val="0"/>
              </w:rPr>
              <w:t>表3-1</w:t>
            </w:r>
            <w:r>
              <w:rPr>
                <w:rFonts w:hint="eastAsia" w:eastAsia="仿宋_GB2312"/>
                <w:b/>
                <w:kern w:val="0"/>
              </w:rPr>
              <w:t>1</w:t>
            </w:r>
            <w:r>
              <w:rPr>
                <w:rFonts w:hint="eastAsia" w:eastAsia="仿宋_GB2312"/>
                <w:b/>
                <w:kern w:val="0"/>
                <w:lang w:val="en-US" w:eastAsia="zh-CN"/>
              </w:rPr>
              <w:t xml:space="preserve">  </w:t>
            </w:r>
            <w:r>
              <w:rPr>
                <w:rFonts w:eastAsia="仿宋_GB2312"/>
                <w:b/>
                <w:kern w:val="0"/>
              </w:rPr>
              <w:t>工业企业厂界环境噪声排放限值（单位：dB(A)）</w:t>
            </w:r>
          </w:p>
          <w:tbl>
            <w:tblPr>
              <w:tblStyle w:val="3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617"/>
              <w:gridCol w:w="2391"/>
              <w:gridCol w:w="1963"/>
            </w:tblGrid>
            <w:tr w14:paraId="577FC6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3617" w:type="dxa"/>
                  <w:vAlign w:val="center"/>
                </w:tcPr>
                <w:p w14:paraId="244D93AF">
                  <w:pPr>
                    <w:adjustRightInd w:val="0"/>
                    <w:snapToGrid w:val="0"/>
                    <w:jc w:val="center"/>
                    <w:rPr>
                      <w:rFonts w:eastAsia="仿宋_GB2312"/>
                      <w:b/>
                      <w:kern w:val="0"/>
                      <w:sz w:val="21"/>
                      <w:szCs w:val="21"/>
                    </w:rPr>
                  </w:pPr>
                  <w:r>
                    <w:rPr>
                      <w:rFonts w:eastAsia="仿宋_GB2312"/>
                      <w:b/>
                      <w:kern w:val="0"/>
                      <w:sz w:val="21"/>
                      <w:szCs w:val="21"/>
                    </w:rPr>
                    <w:t>声环境功能区类别</w:t>
                  </w:r>
                </w:p>
              </w:tc>
              <w:tc>
                <w:tcPr>
                  <w:tcW w:w="2391" w:type="dxa"/>
                  <w:vAlign w:val="center"/>
                </w:tcPr>
                <w:p w14:paraId="67C8550E">
                  <w:pPr>
                    <w:adjustRightInd w:val="0"/>
                    <w:snapToGrid w:val="0"/>
                    <w:jc w:val="center"/>
                    <w:rPr>
                      <w:rFonts w:eastAsia="仿宋_GB2312"/>
                      <w:b/>
                      <w:kern w:val="0"/>
                      <w:sz w:val="21"/>
                      <w:szCs w:val="21"/>
                    </w:rPr>
                  </w:pPr>
                  <w:r>
                    <w:rPr>
                      <w:rFonts w:eastAsia="仿宋_GB2312"/>
                      <w:b/>
                      <w:kern w:val="0"/>
                      <w:sz w:val="21"/>
                      <w:szCs w:val="21"/>
                    </w:rPr>
                    <w:t>昼间</w:t>
                  </w:r>
                </w:p>
              </w:tc>
              <w:tc>
                <w:tcPr>
                  <w:tcW w:w="1963" w:type="dxa"/>
                  <w:vAlign w:val="center"/>
                </w:tcPr>
                <w:p w14:paraId="03FCD2E2">
                  <w:pPr>
                    <w:adjustRightInd w:val="0"/>
                    <w:snapToGrid w:val="0"/>
                    <w:jc w:val="center"/>
                    <w:rPr>
                      <w:rFonts w:eastAsia="仿宋_GB2312"/>
                      <w:b/>
                      <w:kern w:val="0"/>
                      <w:sz w:val="21"/>
                      <w:szCs w:val="21"/>
                    </w:rPr>
                  </w:pPr>
                  <w:r>
                    <w:rPr>
                      <w:rFonts w:eastAsia="仿宋_GB2312"/>
                      <w:b/>
                      <w:kern w:val="0"/>
                      <w:sz w:val="21"/>
                      <w:szCs w:val="21"/>
                    </w:rPr>
                    <w:t>夜间</w:t>
                  </w:r>
                </w:p>
              </w:tc>
            </w:tr>
            <w:tr w14:paraId="433DC3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17" w:type="dxa"/>
                  <w:vAlign w:val="center"/>
                </w:tcPr>
                <w:p w14:paraId="093EF38B">
                  <w:pPr>
                    <w:adjustRightInd w:val="0"/>
                    <w:snapToGrid w:val="0"/>
                    <w:jc w:val="center"/>
                    <w:rPr>
                      <w:rFonts w:eastAsia="仿宋_GB2312"/>
                      <w:sz w:val="21"/>
                      <w:szCs w:val="21"/>
                    </w:rPr>
                  </w:pPr>
                  <w:r>
                    <w:rPr>
                      <w:rFonts w:eastAsia="仿宋_GB2312"/>
                      <w:sz w:val="21"/>
                      <w:szCs w:val="21"/>
                    </w:rPr>
                    <w:t>3类</w:t>
                  </w:r>
                </w:p>
              </w:tc>
              <w:tc>
                <w:tcPr>
                  <w:tcW w:w="2391" w:type="dxa"/>
                  <w:vAlign w:val="center"/>
                </w:tcPr>
                <w:p w14:paraId="2E3FE268">
                  <w:pPr>
                    <w:adjustRightInd w:val="0"/>
                    <w:snapToGrid w:val="0"/>
                    <w:jc w:val="center"/>
                    <w:rPr>
                      <w:rFonts w:eastAsia="仿宋_GB2312"/>
                      <w:sz w:val="21"/>
                      <w:szCs w:val="21"/>
                    </w:rPr>
                  </w:pPr>
                  <w:r>
                    <w:rPr>
                      <w:rFonts w:eastAsia="仿宋_GB2312"/>
                      <w:sz w:val="21"/>
                      <w:szCs w:val="21"/>
                    </w:rPr>
                    <w:t>65</w:t>
                  </w:r>
                </w:p>
              </w:tc>
              <w:tc>
                <w:tcPr>
                  <w:tcW w:w="1963" w:type="dxa"/>
                  <w:vAlign w:val="center"/>
                </w:tcPr>
                <w:p w14:paraId="19455FB7">
                  <w:pPr>
                    <w:adjustRightInd w:val="0"/>
                    <w:snapToGrid w:val="0"/>
                    <w:jc w:val="center"/>
                    <w:rPr>
                      <w:rFonts w:eastAsia="仿宋_GB2312"/>
                      <w:sz w:val="21"/>
                      <w:szCs w:val="21"/>
                    </w:rPr>
                  </w:pPr>
                  <w:r>
                    <w:rPr>
                      <w:rFonts w:eastAsia="仿宋_GB2312"/>
                      <w:sz w:val="21"/>
                      <w:szCs w:val="21"/>
                    </w:rPr>
                    <w:t>55</w:t>
                  </w:r>
                </w:p>
              </w:tc>
            </w:tr>
            <w:tr w14:paraId="5BCEB7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17" w:type="dxa"/>
                  <w:vAlign w:val="center"/>
                </w:tcPr>
                <w:p w14:paraId="28F58D49">
                  <w:pPr>
                    <w:adjustRightInd w:val="0"/>
                    <w:snapToGrid w:val="0"/>
                    <w:jc w:val="center"/>
                    <w:rPr>
                      <w:rFonts w:eastAsia="仿宋_GB2312"/>
                      <w:sz w:val="21"/>
                      <w:szCs w:val="21"/>
                    </w:rPr>
                  </w:pPr>
                  <w:r>
                    <w:rPr>
                      <w:rFonts w:hint="eastAsia" w:eastAsia="仿宋_GB2312"/>
                      <w:sz w:val="21"/>
                      <w:szCs w:val="21"/>
                    </w:rPr>
                    <w:t>4a类</w:t>
                  </w:r>
                </w:p>
              </w:tc>
              <w:tc>
                <w:tcPr>
                  <w:tcW w:w="2391" w:type="dxa"/>
                  <w:vAlign w:val="center"/>
                </w:tcPr>
                <w:p w14:paraId="413F1EF2">
                  <w:pPr>
                    <w:adjustRightInd w:val="0"/>
                    <w:snapToGrid w:val="0"/>
                    <w:jc w:val="center"/>
                    <w:rPr>
                      <w:rFonts w:eastAsia="仿宋_GB2312"/>
                      <w:sz w:val="21"/>
                      <w:szCs w:val="21"/>
                    </w:rPr>
                  </w:pPr>
                  <w:r>
                    <w:rPr>
                      <w:rFonts w:hint="eastAsia" w:eastAsia="仿宋_GB2312"/>
                      <w:sz w:val="21"/>
                      <w:szCs w:val="21"/>
                    </w:rPr>
                    <w:t>70</w:t>
                  </w:r>
                </w:p>
              </w:tc>
              <w:tc>
                <w:tcPr>
                  <w:tcW w:w="1963" w:type="dxa"/>
                  <w:vAlign w:val="center"/>
                </w:tcPr>
                <w:p w14:paraId="49DF78FE">
                  <w:pPr>
                    <w:adjustRightInd w:val="0"/>
                    <w:snapToGrid w:val="0"/>
                    <w:jc w:val="center"/>
                    <w:rPr>
                      <w:rFonts w:eastAsia="仿宋_GB2312"/>
                      <w:sz w:val="21"/>
                      <w:szCs w:val="21"/>
                    </w:rPr>
                  </w:pPr>
                  <w:r>
                    <w:rPr>
                      <w:rFonts w:hint="eastAsia" w:eastAsia="仿宋_GB2312"/>
                      <w:sz w:val="21"/>
                      <w:szCs w:val="21"/>
                    </w:rPr>
                    <w:t>55</w:t>
                  </w:r>
                </w:p>
              </w:tc>
            </w:tr>
          </w:tbl>
          <w:p w14:paraId="0CC04379">
            <w:pPr>
              <w:pStyle w:val="17"/>
              <w:numPr>
                <w:ilvl w:val="0"/>
                <w:numId w:val="0"/>
              </w:numPr>
              <w:spacing w:line="360" w:lineRule="auto"/>
              <w:ind w:firstLine="422" w:firstLineChars="200"/>
              <w:rPr>
                <w:rFonts w:eastAsia="仿宋_GB2312"/>
                <w:b/>
                <w:bCs/>
              </w:rPr>
            </w:pPr>
            <w:r>
              <w:rPr>
                <w:rFonts w:hint="eastAsia" w:eastAsia="仿宋_GB2312"/>
                <w:b/>
                <w:bCs/>
              </w:rPr>
              <w:t>4、固体废物：</w:t>
            </w:r>
          </w:p>
          <w:p w14:paraId="2EC25655">
            <w:pPr>
              <w:adjustRightInd w:val="0"/>
              <w:snapToGrid w:val="0"/>
              <w:spacing w:line="360" w:lineRule="auto"/>
              <w:ind w:firstLine="420" w:firstLineChars="200"/>
              <w:rPr>
                <w:rFonts w:eastAsia="仿宋_GB2312"/>
              </w:rPr>
            </w:pPr>
            <w:r>
              <w:rPr>
                <w:rFonts w:hint="eastAsia" w:eastAsia="仿宋_GB2312"/>
                <w:kern w:val="0"/>
              </w:rPr>
              <w:t>（1）</w:t>
            </w:r>
            <w:r>
              <w:rPr>
                <w:rFonts w:eastAsia="仿宋_GB2312"/>
                <w:kern w:val="0"/>
              </w:rPr>
              <w:t>一般固废的暂存场所执行</w:t>
            </w:r>
            <w:r>
              <w:rPr>
                <w:rFonts w:eastAsia="仿宋_GB2312"/>
              </w:rPr>
              <w:t>《一般工业固体废物贮存和填埋污染控制标准》（GB 18599-2020）</w:t>
            </w:r>
            <w:r>
              <w:rPr>
                <w:rFonts w:eastAsia="仿宋_GB2312"/>
                <w:kern w:val="0"/>
              </w:rPr>
              <w:t>。</w:t>
            </w:r>
          </w:p>
          <w:p w14:paraId="5706F54E">
            <w:pPr>
              <w:adjustRightInd w:val="0"/>
              <w:snapToGrid w:val="0"/>
              <w:spacing w:line="360" w:lineRule="auto"/>
              <w:ind w:firstLine="420" w:firstLineChars="200"/>
              <w:rPr>
                <w:rFonts w:eastAsia="仿宋_GB2312"/>
              </w:rPr>
            </w:pPr>
            <w:r>
              <w:rPr>
                <w:rFonts w:hint="eastAsia" w:eastAsia="仿宋_GB2312"/>
              </w:rPr>
              <w:t>（2）</w:t>
            </w:r>
            <w:r>
              <w:rPr>
                <w:rFonts w:eastAsia="仿宋_GB2312"/>
              </w:rPr>
              <w:t>危险废物贮存按照（GB18597-2023）、《危险废物收集储存运输技术规范》（HJ2025-2012）要求及《危险废物识别标志设置技术规范》（HJ1276-2022）要求进行危险废物的包装、贮存设施的选址、设计、运行、安全防护、监测和关闭，同时应按照《关于印发江苏省危险废物贮存规范化管理专项整治行动方案的通知》（苏环办【2019】149号）要求进行危废的暂存和处理</w:t>
            </w:r>
            <w:r>
              <w:rPr>
                <w:rFonts w:hint="eastAsia" w:eastAsia="仿宋_GB2312"/>
                <w:lang w:eastAsia="zh-CN"/>
              </w:rPr>
              <w:t>，</w:t>
            </w:r>
            <w:r>
              <w:rPr>
                <w:rFonts w:hint="eastAsia" w:eastAsia="仿宋_GB2312"/>
                <w:lang w:val="en-US" w:eastAsia="zh-CN"/>
              </w:rPr>
              <w:t>落实</w:t>
            </w:r>
            <w:r>
              <w:rPr>
                <w:rFonts w:hint="eastAsia" w:eastAsia="仿宋_GB2312"/>
                <w:lang w:eastAsia="zh-CN"/>
              </w:rPr>
              <w:t>《江苏省固体废物全过程环境监管工作意见》（苏环办〔2024〕16号）</w:t>
            </w:r>
            <w:r>
              <w:rPr>
                <w:rFonts w:hint="eastAsia" w:eastAsia="仿宋_GB2312"/>
                <w:lang w:val="en-US" w:eastAsia="zh-CN"/>
              </w:rPr>
              <w:t>的工作要求</w:t>
            </w:r>
            <w:r>
              <w:rPr>
                <w:rFonts w:eastAsia="仿宋_GB2312"/>
              </w:rPr>
              <w:t>。</w:t>
            </w:r>
          </w:p>
          <w:p w14:paraId="520292AE">
            <w:pPr>
              <w:adjustRightInd w:val="0"/>
              <w:snapToGrid w:val="0"/>
              <w:spacing w:line="360" w:lineRule="auto"/>
              <w:ind w:firstLine="420" w:firstLineChars="200"/>
              <w:rPr>
                <w:rFonts w:eastAsia="仿宋_GB2312"/>
                <w:kern w:val="0"/>
              </w:rPr>
            </w:pPr>
            <w:r>
              <w:rPr>
                <w:rFonts w:hint="eastAsia" w:eastAsia="仿宋_GB2312"/>
              </w:rPr>
              <w:t>（3）</w:t>
            </w:r>
            <w:r>
              <w:rPr>
                <w:rFonts w:eastAsia="仿宋_GB2312"/>
              </w:rPr>
              <w:t>生活垃圾处理执行《城市生活垃圾处理及污染防治技术政策》（建城[2000]120号）和《生活垃圾处理技术指南》（建城[2010]61号）以及国家、省市关于固体废物污染环境防治的法律法规。</w:t>
            </w:r>
          </w:p>
        </w:tc>
      </w:tr>
      <w:tr w14:paraId="36A24A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00" w:type="dxa"/>
            <w:vAlign w:val="center"/>
          </w:tcPr>
          <w:p w14:paraId="17E0F68B">
            <w:pPr>
              <w:adjustRightInd w:val="0"/>
              <w:snapToGrid w:val="0"/>
              <w:spacing w:line="360" w:lineRule="auto"/>
              <w:jc w:val="center"/>
              <w:rPr>
                <w:rFonts w:eastAsia="仿宋_GB2312"/>
                <w:kern w:val="0"/>
                <w:sz w:val="24"/>
                <w:szCs w:val="24"/>
              </w:rPr>
            </w:pPr>
            <w:r>
              <w:rPr>
                <w:rFonts w:eastAsia="仿宋_GB2312"/>
                <w:kern w:val="0"/>
                <w:sz w:val="24"/>
                <w:szCs w:val="24"/>
              </w:rPr>
              <w:t>总量</w:t>
            </w:r>
          </w:p>
          <w:p w14:paraId="73A90733">
            <w:pPr>
              <w:adjustRightInd w:val="0"/>
              <w:snapToGrid w:val="0"/>
              <w:spacing w:line="360" w:lineRule="auto"/>
              <w:jc w:val="center"/>
              <w:rPr>
                <w:rFonts w:eastAsia="仿宋_GB2312"/>
                <w:kern w:val="0"/>
                <w:sz w:val="24"/>
                <w:szCs w:val="24"/>
              </w:rPr>
            </w:pPr>
            <w:r>
              <w:rPr>
                <w:rFonts w:eastAsia="仿宋_GB2312"/>
                <w:kern w:val="0"/>
                <w:sz w:val="24"/>
                <w:szCs w:val="24"/>
              </w:rPr>
              <w:t>控制</w:t>
            </w:r>
          </w:p>
          <w:p w14:paraId="773354E5">
            <w:pPr>
              <w:adjustRightInd w:val="0"/>
              <w:snapToGrid w:val="0"/>
              <w:spacing w:line="360" w:lineRule="auto"/>
              <w:jc w:val="center"/>
              <w:rPr>
                <w:rFonts w:eastAsia="仿宋_GB2312"/>
                <w:kern w:val="0"/>
              </w:rPr>
            </w:pPr>
            <w:r>
              <w:rPr>
                <w:rFonts w:eastAsia="仿宋_GB2312"/>
                <w:kern w:val="0"/>
                <w:sz w:val="24"/>
                <w:szCs w:val="24"/>
              </w:rPr>
              <w:t>指标</w:t>
            </w:r>
          </w:p>
        </w:tc>
        <w:tc>
          <w:tcPr>
            <w:tcW w:w="8190" w:type="dxa"/>
            <w:vAlign w:val="center"/>
          </w:tcPr>
          <w:p w14:paraId="07A43EEA">
            <w:pPr>
              <w:adjustRightInd w:val="0"/>
              <w:snapToGrid w:val="0"/>
              <w:spacing w:line="360" w:lineRule="auto"/>
              <w:ind w:firstLine="422" w:firstLineChars="200"/>
              <w:rPr>
                <w:rFonts w:eastAsia="仿宋_GB2312"/>
                <w:b/>
                <w:kern w:val="0"/>
              </w:rPr>
            </w:pPr>
            <w:r>
              <w:rPr>
                <w:rFonts w:eastAsia="仿宋_GB2312"/>
                <w:b/>
                <w:kern w:val="0"/>
              </w:rPr>
              <w:t>1、总量控制因子:</w:t>
            </w:r>
          </w:p>
          <w:p w14:paraId="0137629A">
            <w:pPr>
              <w:adjustRightInd w:val="0"/>
              <w:snapToGrid w:val="0"/>
              <w:spacing w:line="360" w:lineRule="auto"/>
              <w:ind w:firstLine="420" w:firstLineChars="200"/>
              <w:rPr>
                <w:rFonts w:eastAsia="仿宋_GB2312"/>
              </w:rPr>
            </w:pPr>
            <w:r>
              <w:rPr>
                <w:rFonts w:eastAsia="仿宋_GB2312"/>
              </w:rPr>
              <w:t>（1）大气污染物总量控制因子：非甲烷总烃</w:t>
            </w:r>
            <w:r>
              <w:rPr>
                <w:rFonts w:hint="eastAsia" w:eastAsia="仿宋_GB2312"/>
                <w:lang w:eastAsia="zh-CN"/>
              </w:rPr>
              <w:t>、</w:t>
            </w:r>
            <w:r>
              <w:rPr>
                <w:rFonts w:hint="eastAsia" w:eastAsia="仿宋_GB2312"/>
                <w:kern w:val="0"/>
              </w:rPr>
              <w:t>HCl</w:t>
            </w:r>
            <w:r>
              <w:rPr>
                <w:rFonts w:hint="eastAsia" w:eastAsia="仿宋_GB2312"/>
                <w:lang w:val="en-US" w:eastAsia="zh-CN"/>
              </w:rPr>
              <w:t>、颗粒物</w:t>
            </w:r>
            <w:r>
              <w:rPr>
                <w:rFonts w:eastAsia="仿宋_GB2312"/>
              </w:rPr>
              <w:t>；</w:t>
            </w:r>
          </w:p>
          <w:p w14:paraId="229D2913">
            <w:pPr>
              <w:adjustRightInd w:val="0"/>
              <w:snapToGrid w:val="0"/>
              <w:spacing w:line="360" w:lineRule="auto"/>
              <w:ind w:firstLine="420" w:firstLineChars="200"/>
              <w:rPr>
                <w:rFonts w:eastAsia="仿宋_GB2312"/>
                <w:kern w:val="0"/>
              </w:rPr>
            </w:pPr>
            <w:r>
              <w:rPr>
                <w:rFonts w:eastAsia="仿宋_GB2312"/>
                <w:kern w:val="0"/>
              </w:rPr>
              <w:t>（2）水污染物总量控制因子：COD、TN、NH</w:t>
            </w:r>
            <w:r>
              <w:rPr>
                <w:rFonts w:eastAsia="仿宋_GB2312"/>
                <w:kern w:val="0"/>
                <w:vertAlign w:val="subscript"/>
              </w:rPr>
              <w:t>3</w:t>
            </w:r>
            <w:r>
              <w:rPr>
                <w:rFonts w:eastAsia="仿宋_GB2312"/>
                <w:kern w:val="0"/>
              </w:rPr>
              <w:t>-N、TP；水污染物总量考核因子：SS；</w:t>
            </w:r>
          </w:p>
          <w:p w14:paraId="647BC4BD">
            <w:pPr>
              <w:adjustRightInd w:val="0"/>
              <w:snapToGrid w:val="0"/>
              <w:spacing w:line="360" w:lineRule="auto"/>
              <w:ind w:firstLine="420" w:firstLineChars="200"/>
              <w:rPr>
                <w:rFonts w:eastAsia="仿宋_GB2312"/>
                <w:kern w:val="0"/>
              </w:rPr>
            </w:pPr>
            <w:r>
              <w:rPr>
                <w:rFonts w:eastAsia="仿宋_GB2312"/>
                <w:kern w:val="0"/>
              </w:rPr>
              <w:t>（3）固体废物总量控制因子：无。</w:t>
            </w:r>
          </w:p>
          <w:p w14:paraId="1ABB98C3">
            <w:pPr>
              <w:adjustRightInd w:val="0"/>
              <w:snapToGrid w:val="0"/>
              <w:spacing w:line="360" w:lineRule="auto"/>
              <w:ind w:firstLine="422" w:firstLineChars="200"/>
              <w:rPr>
                <w:rFonts w:eastAsia="仿宋_GB2312"/>
                <w:b/>
                <w:kern w:val="0"/>
              </w:rPr>
            </w:pPr>
            <w:r>
              <w:rPr>
                <w:rFonts w:eastAsia="仿宋_GB2312"/>
                <w:b/>
                <w:kern w:val="0"/>
              </w:rPr>
              <w:t>2、总量控制指标</w:t>
            </w:r>
          </w:p>
          <w:p w14:paraId="2AC768E1">
            <w:pPr>
              <w:keepNext w:val="0"/>
              <w:keepLines w:val="0"/>
              <w:pageBreakBefore w:val="0"/>
              <w:widowControl/>
              <w:kinsoku/>
              <w:wordWrap w:val="0"/>
              <w:overflowPunct/>
              <w:topLinePunct/>
              <w:autoSpaceDE/>
              <w:autoSpaceDN/>
              <w:bidi w:val="0"/>
              <w:adjustRightInd w:val="0"/>
              <w:snapToGrid w:val="0"/>
              <w:spacing w:line="360" w:lineRule="auto"/>
              <w:ind w:firstLine="420" w:firstLineChars="200"/>
              <w:jc w:val="left"/>
              <w:textAlignment w:val="auto"/>
              <w:rPr>
                <w:rFonts w:eastAsia="仿宋_GB2312"/>
                <w:kern w:val="0"/>
              </w:rPr>
            </w:pPr>
            <w:r>
              <w:rPr>
                <w:rFonts w:eastAsia="仿宋_GB2312"/>
                <w:kern w:val="0"/>
              </w:rPr>
              <w:t>本项目建成后新增大气污染物排放总量为：</w:t>
            </w:r>
            <w:r>
              <w:rPr>
                <w:rFonts w:hint="eastAsia" w:eastAsia="仿宋_GB2312"/>
                <w:kern w:val="0"/>
              </w:rPr>
              <w:t>无组织非甲烷总烃0.01t/a、颗粒物</w:t>
            </w:r>
            <w:r>
              <w:rPr>
                <w:rFonts w:hint="eastAsia" w:eastAsia="仿宋_GB2312"/>
                <w:sz w:val="21"/>
                <w:szCs w:val="21"/>
              </w:rPr>
              <w:t>0.0</w:t>
            </w:r>
            <w:r>
              <w:rPr>
                <w:rFonts w:hint="eastAsia" w:eastAsia="仿宋_GB2312"/>
                <w:sz w:val="21"/>
                <w:szCs w:val="21"/>
                <w:lang w:val="en-US" w:eastAsia="zh-CN"/>
              </w:rPr>
              <w:t>719</w:t>
            </w:r>
            <w:r>
              <w:rPr>
                <w:rFonts w:hint="eastAsia" w:eastAsia="仿宋_GB2312"/>
                <w:kern w:val="0"/>
              </w:rPr>
              <w:t>t/a和HCl 0.01t/a，</w:t>
            </w:r>
            <w:r>
              <w:rPr>
                <w:rFonts w:eastAsia="仿宋_GB2312"/>
                <w:kern w:val="0"/>
              </w:rPr>
              <w:t>需由企业向常州市金坛生态环境局申请核定总量，在金坛区内平衡。</w:t>
            </w:r>
          </w:p>
          <w:p w14:paraId="266C7FEF">
            <w:pPr>
              <w:adjustRightInd w:val="0"/>
              <w:snapToGrid w:val="0"/>
              <w:spacing w:line="360" w:lineRule="auto"/>
              <w:ind w:firstLine="420" w:firstLineChars="200"/>
              <w:rPr>
                <w:rFonts w:eastAsia="仿宋_GB2312"/>
              </w:rPr>
            </w:pPr>
            <w:r>
              <w:rPr>
                <w:rFonts w:eastAsia="仿宋_GB2312"/>
                <w:kern w:val="0"/>
              </w:rPr>
              <w:t>本项目废水主要为</w:t>
            </w:r>
            <w:r>
              <w:rPr>
                <w:rFonts w:eastAsia="仿宋_GB2312"/>
              </w:rPr>
              <w:t>废水主要为</w:t>
            </w:r>
            <w:r>
              <w:rPr>
                <w:rFonts w:hint="eastAsia" w:eastAsia="仿宋_GB2312"/>
              </w:rPr>
              <w:t>平板膜反冲洗废卤、平板膜化学清洗排卤、超滤膜反冲洗废卤、超滤膜化学清洗排卤、化学清洗液定期排放废液、尾气吸收塔废水和密封水，其中平板膜反冲洗废卤和超滤膜反冲洗废卤回流入平板膜过滤器进行再处理，平板膜化学清洗排卤、超滤膜化学清洗排卤、化学清洗液定期排放废液、尾气吸收塔废水和密封水共3128.3t/a，经含盐废水专用管网打入中水池后，通过回用管道回用至矿区采卤，无外排。</w:t>
            </w:r>
          </w:p>
          <w:p w14:paraId="772A4AD5">
            <w:pPr>
              <w:adjustRightInd w:val="0"/>
              <w:snapToGrid w:val="0"/>
              <w:spacing w:line="360" w:lineRule="auto"/>
              <w:ind w:firstLine="420" w:firstLineChars="200"/>
              <w:rPr>
                <w:rFonts w:eastAsia="仿宋_GB2312"/>
                <w:snapToGrid w:val="0"/>
                <w:kern w:val="0"/>
              </w:rPr>
            </w:pPr>
            <w:r>
              <w:rPr>
                <w:rFonts w:eastAsia="仿宋_GB2312"/>
                <w:snapToGrid w:val="0"/>
                <w:kern w:val="0"/>
              </w:rPr>
              <w:t>本项目固体废物均得到合理处置，其总量控制指标为零。</w:t>
            </w:r>
          </w:p>
          <w:p w14:paraId="11C06699">
            <w:pPr>
              <w:adjustRightInd w:val="0"/>
              <w:snapToGrid w:val="0"/>
              <w:spacing w:line="360" w:lineRule="auto"/>
              <w:ind w:firstLine="420" w:firstLineChars="200"/>
              <w:rPr>
                <w:rFonts w:eastAsia="仿宋_GB2312"/>
                <w:kern w:val="0"/>
              </w:rPr>
            </w:pPr>
            <w:r>
              <w:rPr>
                <w:rFonts w:eastAsia="仿宋_GB2312"/>
                <w:kern w:val="0"/>
              </w:rPr>
              <w:t>建议将以下指标设为总量控制指标：</w:t>
            </w:r>
          </w:p>
          <w:p w14:paraId="5269E216">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eastAsia="仿宋_GB2312"/>
                <w:b/>
                <w:bCs/>
              </w:rPr>
            </w:pPr>
            <w:r>
              <w:rPr>
                <w:rFonts w:eastAsia="仿宋_GB2312"/>
                <w:b/>
                <w:bCs/>
              </w:rPr>
              <w:t>表</w:t>
            </w:r>
            <w:r>
              <w:rPr>
                <w:rFonts w:hint="eastAsia" w:eastAsia="仿宋_GB2312"/>
                <w:b/>
                <w:bCs/>
              </w:rPr>
              <w:t>3-12</w:t>
            </w:r>
            <w:r>
              <w:rPr>
                <w:rFonts w:hint="eastAsia" w:eastAsia="仿宋_GB2312"/>
                <w:b/>
                <w:bCs/>
                <w:lang w:val="en-US" w:eastAsia="zh-CN"/>
              </w:rPr>
              <w:t xml:space="preserve">  </w:t>
            </w:r>
            <w:r>
              <w:rPr>
                <w:rFonts w:eastAsia="仿宋_GB2312"/>
                <w:b/>
                <w:bCs/>
              </w:rPr>
              <w:t>建设项目总量申请一览表（t/a）</w:t>
            </w:r>
          </w:p>
          <w:tbl>
            <w:tblPr>
              <w:tblStyle w:val="31"/>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2"/>
              <w:gridCol w:w="456"/>
              <w:gridCol w:w="429"/>
              <w:gridCol w:w="1123"/>
              <w:gridCol w:w="1103"/>
              <w:gridCol w:w="897"/>
              <w:gridCol w:w="961"/>
              <w:gridCol w:w="1103"/>
              <w:gridCol w:w="1214"/>
            </w:tblGrid>
            <w:tr w14:paraId="1F220E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428" w:type="pct"/>
                  <w:vAlign w:val="center"/>
                </w:tcPr>
                <w:p w14:paraId="6B46FCCE">
                  <w:pPr>
                    <w:pStyle w:val="56"/>
                    <w:spacing w:beforeLines="0" w:afterLines="0" w:line="240" w:lineRule="auto"/>
                    <w:rPr>
                      <w:rFonts w:ascii="Times New Roman" w:eastAsia="仿宋_GB2312"/>
                      <w:b/>
                      <w:bCs/>
                      <w:sz w:val="21"/>
                      <w:szCs w:val="21"/>
                    </w:rPr>
                  </w:pPr>
                  <w:r>
                    <w:rPr>
                      <w:rFonts w:ascii="Times New Roman" w:eastAsia="仿宋_GB2312"/>
                      <w:b/>
                      <w:bCs/>
                      <w:sz w:val="21"/>
                      <w:szCs w:val="21"/>
                    </w:rPr>
                    <w:t>厂区</w:t>
                  </w:r>
                </w:p>
              </w:tc>
              <w:tc>
                <w:tcPr>
                  <w:tcW w:w="555" w:type="pct"/>
                  <w:gridSpan w:val="2"/>
                  <w:vAlign w:val="center"/>
                </w:tcPr>
                <w:p w14:paraId="717B1417">
                  <w:pPr>
                    <w:pStyle w:val="56"/>
                    <w:spacing w:beforeLines="0" w:afterLines="0" w:line="240" w:lineRule="auto"/>
                    <w:rPr>
                      <w:rFonts w:ascii="Times New Roman" w:eastAsia="仿宋_GB2312"/>
                      <w:b/>
                      <w:bCs/>
                      <w:sz w:val="21"/>
                      <w:szCs w:val="21"/>
                    </w:rPr>
                  </w:pPr>
                  <w:r>
                    <w:rPr>
                      <w:rFonts w:ascii="Times New Roman" w:eastAsia="仿宋_GB2312"/>
                      <w:b/>
                      <w:bCs/>
                      <w:sz w:val="21"/>
                      <w:szCs w:val="21"/>
                    </w:rPr>
                    <w:t>种类</w:t>
                  </w:r>
                </w:p>
              </w:tc>
              <w:tc>
                <w:tcPr>
                  <w:tcW w:w="705" w:type="pct"/>
                  <w:vAlign w:val="center"/>
                </w:tcPr>
                <w:p w14:paraId="1551E0E7">
                  <w:pPr>
                    <w:pStyle w:val="56"/>
                    <w:spacing w:beforeLines="0" w:afterLines="0" w:line="240" w:lineRule="auto"/>
                    <w:rPr>
                      <w:rFonts w:ascii="Times New Roman" w:eastAsia="仿宋_GB2312"/>
                      <w:b/>
                      <w:bCs/>
                      <w:sz w:val="21"/>
                      <w:szCs w:val="21"/>
                    </w:rPr>
                  </w:pPr>
                  <w:r>
                    <w:rPr>
                      <w:rFonts w:ascii="Times New Roman" w:eastAsia="仿宋_GB2312"/>
                      <w:b/>
                      <w:bCs/>
                      <w:sz w:val="21"/>
                      <w:szCs w:val="21"/>
                    </w:rPr>
                    <w:t>污染物</w:t>
                  </w:r>
                </w:p>
                <w:p w14:paraId="643A7D89">
                  <w:pPr>
                    <w:pStyle w:val="56"/>
                    <w:spacing w:beforeLines="0" w:afterLines="0" w:line="240" w:lineRule="auto"/>
                    <w:rPr>
                      <w:rFonts w:ascii="Times New Roman" w:eastAsia="仿宋_GB2312"/>
                      <w:b/>
                      <w:bCs/>
                      <w:sz w:val="21"/>
                      <w:szCs w:val="21"/>
                    </w:rPr>
                  </w:pPr>
                  <w:r>
                    <w:rPr>
                      <w:rFonts w:ascii="Times New Roman" w:eastAsia="仿宋_GB2312"/>
                      <w:b/>
                      <w:bCs/>
                      <w:sz w:val="21"/>
                      <w:szCs w:val="21"/>
                    </w:rPr>
                    <w:t>名称</w:t>
                  </w:r>
                </w:p>
              </w:tc>
              <w:tc>
                <w:tcPr>
                  <w:tcW w:w="692" w:type="pct"/>
                  <w:vAlign w:val="center"/>
                </w:tcPr>
                <w:p w14:paraId="139490E6">
                  <w:pPr>
                    <w:pStyle w:val="56"/>
                    <w:spacing w:beforeLines="0" w:afterLines="0" w:line="240" w:lineRule="auto"/>
                    <w:rPr>
                      <w:rFonts w:ascii="Times New Roman" w:eastAsia="仿宋_GB2312"/>
                      <w:sz w:val="21"/>
                      <w:szCs w:val="21"/>
                    </w:rPr>
                  </w:pPr>
                  <w:r>
                    <w:rPr>
                      <w:rFonts w:ascii="Times New Roman" w:eastAsia="仿宋_GB2312"/>
                      <w:b/>
                      <w:bCs/>
                      <w:sz w:val="21"/>
                      <w:szCs w:val="21"/>
                    </w:rPr>
                    <w:t>现有项目排放量</w:t>
                  </w:r>
                </w:p>
              </w:tc>
              <w:tc>
                <w:tcPr>
                  <w:tcW w:w="563" w:type="pct"/>
                  <w:vAlign w:val="center"/>
                </w:tcPr>
                <w:p w14:paraId="520730B2">
                  <w:pPr>
                    <w:pStyle w:val="56"/>
                    <w:spacing w:beforeLines="0" w:afterLines="0" w:line="240" w:lineRule="auto"/>
                    <w:rPr>
                      <w:rFonts w:ascii="Times New Roman" w:eastAsia="仿宋_GB2312"/>
                      <w:sz w:val="21"/>
                      <w:szCs w:val="21"/>
                    </w:rPr>
                  </w:pPr>
                  <w:r>
                    <w:rPr>
                      <w:rFonts w:ascii="Times New Roman" w:eastAsia="仿宋_GB2312"/>
                      <w:b/>
                      <w:bCs/>
                      <w:sz w:val="21"/>
                      <w:szCs w:val="21"/>
                    </w:rPr>
                    <w:t>“以新带老”削减量</w:t>
                  </w:r>
                </w:p>
              </w:tc>
              <w:tc>
                <w:tcPr>
                  <w:tcW w:w="603" w:type="pct"/>
                  <w:vAlign w:val="center"/>
                </w:tcPr>
                <w:p w14:paraId="681DDB7D">
                  <w:pPr>
                    <w:pStyle w:val="56"/>
                    <w:spacing w:beforeLines="0" w:afterLines="0" w:line="240" w:lineRule="auto"/>
                    <w:rPr>
                      <w:rFonts w:ascii="Times New Roman" w:eastAsia="仿宋_GB2312"/>
                      <w:b/>
                      <w:bCs/>
                      <w:sz w:val="21"/>
                      <w:szCs w:val="21"/>
                    </w:rPr>
                  </w:pPr>
                  <w:r>
                    <w:rPr>
                      <w:rFonts w:ascii="Times New Roman" w:eastAsia="仿宋_GB2312"/>
                      <w:b/>
                      <w:bCs/>
                      <w:sz w:val="21"/>
                      <w:szCs w:val="21"/>
                    </w:rPr>
                    <w:t>本项目排放量</w:t>
                  </w:r>
                </w:p>
              </w:tc>
              <w:tc>
                <w:tcPr>
                  <w:tcW w:w="692" w:type="pct"/>
                  <w:vAlign w:val="center"/>
                </w:tcPr>
                <w:p w14:paraId="0BF3064E">
                  <w:pPr>
                    <w:pStyle w:val="56"/>
                    <w:spacing w:beforeLines="0" w:afterLines="0" w:line="240" w:lineRule="auto"/>
                    <w:rPr>
                      <w:rFonts w:ascii="Times New Roman" w:eastAsia="仿宋_GB2312"/>
                      <w:b/>
                      <w:bCs/>
                      <w:sz w:val="21"/>
                      <w:szCs w:val="21"/>
                    </w:rPr>
                  </w:pPr>
                  <w:r>
                    <w:rPr>
                      <w:rFonts w:ascii="Times New Roman" w:eastAsia="仿宋_GB2312"/>
                      <w:b/>
                      <w:bCs/>
                      <w:sz w:val="21"/>
                      <w:szCs w:val="21"/>
                    </w:rPr>
                    <w:t>全厂所需总量</w:t>
                  </w:r>
                </w:p>
              </w:tc>
              <w:tc>
                <w:tcPr>
                  <w:tcW w:w="762" w:type="pct"/>
                  <w:vAlign w:val="center"/>
                </w:tcPr>
                <w:p w14:paraId="3002433C">
                  <w:pPr>
                    <w:pStyle w:val="56"/>
                    <w:spacing w:beforeLines="0" w:afterLines="0" w:line="240" w:lineRule="auto"/>
                    <w:rPr>
                      <w:rFonts w:ascii="Times New Roman" w:eastAsia="仿宋_GB2312"/>
                      <w:b/>
                      <w:bCs/>
                      <w:sz w:val="21"/>
                      <w:szCs w:val="21"/>
                    </w:rPr>
                  </w:pPr>
                  <w:r>
                    <w:rPr>
                      <w:rFonts w:ascii="Times New Roman" w:eastAsia="仿宋_GB2312"/>
                      <w:b/>
                      <w:bCs/>
                      <w:sz w:val="21"/>
                      <w:szCs w:val="21"/>
                    </w:rPr>
                    <w:t>总量增减量</w:t>
                  </w:r>
                </w:p>
              </w:tc>
            </w:tr>
            <w:tr w14:paraId="40676A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8" w:type="pct"/>
                  <w:vMerge w:val="restart"/>
                  <w:vAlign w:val="center"/>
                </w:tcPr>
                <w:p w14:paraId="5EC0C36E">
                  <w:pPr>
                    <w:pStyle w:val="56"/>
                    <w:spacing w:beforeLines="0" w:afterLines="0" w:line="240" w:lineRule="auto"/>
                    <w:rPr>
                      <w:rFonts w:ascii="Times New Roman" w:eastAsia="仿宋_GB2312"/>
                      <w:sz w:val="21"/>
                      <w:szCs w:val="21"/>
                    </w:rPr>
                  </w:pPr>
                  <w:r>
                    <w:rPr>
                      <w:rFonts w:ascii="Times New Roman" w:eastAsia="仿宋_GB2312"/>
                      <w:sz w:val="21"/>
                      <w:szCs w:val="21"/>
                    </w:rPr>
                    <w:t>盐厂路1号</w:t>
                  </w:r>
                </w:p>
              </w:tc>
              <w:tc>
                <w:tcPr>
                  <w:tcW w:w="555" w:type="pct"/>
                  <w:gridSpan w:val="2"/>
                  <w:vMerge w:val="restart"/>
                  <w:vAlign w:val="center"/>
                </w:tcPr>
                <w:p w14:paraId="11080802">
                  <w:pPr>
                    <w:pStyle w:val="56"/>
                    <w:spacing w:beforeLines="0" w:afterLines="0" w:line="240" w:lineRule="auto"/>
                    <w:rPr>
                      <w:rFonts w:ascii="Times New Roman" w:eastAsia="仿宋_GB2312"/>
                      <w:sz w:val="21"/>
                      <w:szCs w:val="21"/>
                    </w:rPr>
                  </w:pPr>
                  <w:r>
                    <w:rPr>
                      <w:rFonts w:ascii="Times New Roman" w:eastAsia="仿宋_GB2312"/>
                      <w:sz w:val="21"/>
                      <w:szCs w:val="21"/>
                    </w:rPr>
                    <w:t>废水</w:t>
                  </w:r>
                </w:p>
              </w:tc>
              <w:tc>
                <w:tcPr>
                  <w:tcW w:w="705" w:type="pct"/>
                  <w:vAlign w:val="center"/>
                </w:tcPr>
                <w:p w14:paraId="782630FA">
                  <w:pPr>
                    <w:widowControl/>
                    <w:jc w:val="center"/>
                    <w:textAlignment w:val="center"/>
                    <w:rPr>
                      <w:rFonts w:eastAsia="仿宋_GB2312"/>
                      <w:kern w:val="0"/>
                      <w:sz w:val="21"/>
                      <w:szCs w:val="21"/>
                    </w:rPr>
                  </w:pPr>
                  <w:r>
                    <w:rPr>
                      <w:rFonts w:eastAsia="仿宋_GB2312"/>
                      <w:kern w:val="0"/>
                      <w:sz w:val="21"/>
                      <w:szCs w:val="21"/>
                    </w:rPr>
                    <w:t>水量</w:t>
                  </w:r>
                </w:p>
              </w:tc>
              <w:tc>
                <w:tcPr>
                  <w:tcW w:w="692" w:type="pct"/>
                  <w:vAlign w:val="center"/>
                </w:tcPr>
                <w:p w14:paraId="437BE700">
                  <w:pPr>
                    <w:widowControl/>
                    <w:jc w:val="center"/>
                    <w:textAlignment w:val="center"/>
                    <w:rPr>
                      <w:rFonts w:eastAsia="仿宋_GB2312"/>
                      <w:kern w:val="0"/>
                      <w:sz w:val="21"/>
                      <w:szCs w:val="21"/>
                    </w:rPr>
                  </w:pPr>
                  <w:r>
                    <w:rPr>
                      <w:kern w:val="0"/>
                      <w:sz w:val="21"/>
                      <w:szCs w:val="21"/>
                    </w:rPr>
                    <w:t>4860</w:t>
                  </w:r>
                </w:p>
              </w:tc>
              <w:tc>
                <w:tcPr>
                  <w:tcW w:w="563" w:type="pct"/>
                  <w:vAlign w:val="center"/>
                </w:tcPr>
                <w:p w14:paraId="38BB732D">
                  <w:pPr>
                    <w:pStyle w:val="56"/>
                    <w:spacing w:beforeLines="0" w:afterLines="0" w:line="240" w:lineRule="auto"/>
                    <w:rPr>
                      <w:rFonts w:ascii="Times New Roman" w:eastAsia="仿宋_GB2312"/>
                      <w:sz w:val="21"/>
                      <w:szCs w:val="21"/>
                    </w:rPr>
                  </w:pPr>
                  <w:r>
                    <w:rPr>
                      <w:rFonts w:ascii="Times New Roman" w:eastAsia="仿宋_GB2312"/>
                      <w:sz w:val="21"/>
                      <w:szCs w:val="21"/>
                    </w:rPr>
                    <w:t>0</w:t>
                  </w:r>
                </w:p>
              </w:tc>
              <w:tc>
                <w:tcPr>
                  <w:tcW w:w="603" w:type="pct"/>
                  <w:vAlign w:val="center"/>
                </w:tcPr>
                <w:p w14:paraId="746CA2AC">
                  <w:pPr>
                    <w:pStyle w:val="56"/>
                    <w:spacing w:beforeLines="0" w:afterLines="0" w:line="240" w:lineRule="auto"/>
                    <w:rPr>
                      <w:rFonts w:ascii="Times New Roman" w:eastAsia="仿宋_GB2312"/>
                      <w:sz w:val="21"/>
                      <w:szCs w:val="21"/>
                    </w:rPr>
                  </w:pPr>
                  <w:r>
                    <w:rPr>
                      <w:rFonts w:hint="eastAsia" w:ascii="Times New Roman" w:eastAsia="仿宋_GB2312"/>
                      <w:sz w:val="21"/>
                      <w:szCs w:val="21"/>
                    </w:rPr>
                    <w:t>0</w:t>
                  </w:r>
                </w:p>
              </w:tc>
              <w:tc>
                <w:tcPr>
                  <w:tcW w:w="692" w:type="pct"/>
                  <w:vAlign w:val="center"/>
                </w:tcPr>
                <w:p w14:paraId="22A185E9">
                  <w:pPr>
                    <w:widowControl/>
                    <w:jc w:val="center"/>
                    <w:textAlignment w:val="center"/>
                    <w:rPr>
                      <w:rFonts w:eastAsia="仿宋_GB2312"/>
                      <w:sz w:val="21"/>
                      <w:szCs w:val="21"/>
                    </w:rPr>
                  </w:pPr>
                  <w:r>
                    <w:rPr>
                      <w:kern w:val="0"/>
                      <w:sz w:val="21"/>
                      <w:szCs w:val="21"/>
                    </w:rPr>
                    <w:t>4860</w:t>
                  </w:r>
                </w:p>
              </w:tc>
              <w:tc>
                <w:tcPr>
                  <w:tcW w:w="762" w:type="pct"/>
                  <w:vAlign w:val="center"/>
                </w:tcPr>
                <w:p w14:paraId="07EE0CB1">
                  <w:pPr>
                    <w:pStyle w:val="56"/>
                    <w:spacing w:beforeLines="0" w:afterLines="0" w:line="240" w:lineRule="auto"/>
                    <w:rPr>
                      <w:rFonts w:ascii="Times New Roman" w:eastAsia="仿宋_GB2312"/>
                      <w:sz w:val="21"/>
                      <w:szCs w:val="21"/>
                    </w:rPr>
                  </w:pPr>
                  <w:r>
                    <w:rPr>
                      <w:rFonts w:hint="eastAsia" w:ascii="Times New Roman" w:eastAsia="仿宋_GB2312"/>
                      <w:sz w:val="21"/>
                      <w:szCs w:val="21"/>
                    </w:rPr>
                    <w:t>0</w:t>
                  </w:r>
                </w:p>
              </w:tc>
            </w:tr>
            <w:tr w14:paraId="491F4B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8" w:type="pct"/>
                  <w:vMerge w:val="continue"/>
                  <w:vAlign w:val="center"/>
                </w:tcPr>
                <w:p w14:paraId="259EEEBF">
                  <w:pPr>
                    <w:pStyle w:val="56"/>
                    <w:spacing w:beforeLines="0" w:afterLines="0" w:line="240" w:lineRule="auto"/>
                    <w:rPr>
                      <w:rFonts w:ascii="Times New Roman" w:eastAsia="仿宋_GB2312"/>
                      <w:sz w:val="21"/>
                      <w:szCs w:val="21"/>
                    </w:rPr>
                  </w:pPr>
                </w:p>
              </w:tc>
              <w:tc>
                <w:tcPr>
                  <w:tcW w:w="555" w:type="pct"/>
                  <w:gridSpan w:val="2"/>
                  <w:vMerge w:val="continue"/>
                  <w:vAlign w:val="center"/>
                </w:tcPr>
                <w:p w14:paraId="5CD486CE">
                  <w:pPr>
                    <w:pStyle w:val="56"/>
                    <w:spacing w:beforeLines="0" w:afterLines="0" w:line="240" w:lineRule="auto"/>
                    <w:rPr>
                      <w:rFonts w:ascii="Times New Roman" w:eastAsia="仿宋_GB2312"/>
                      <w:sz w:val="21"/>
                      <w:szCs w:val="21"/>
                    </w:rPr>
                  </w:pPr>
                </w:p>
              </w:tc>
              <w:tc>
                <w:tcPr>
                  <w:tcW w:w="705" w:type="pct"/>
                  <w:vAlign w:val="center"/>
                </w:tcPr>
                <w:p w14:paraId="0FC13EA4">
                  <w:pPr>
                    <w:widowControl/>
                    <w:jc w:val="center"/>
                    <w:textAlignment w:val="center"/>
                    <w:rPr>
                      <w:rFonts w:eastAsia="仿宋_GB2312"/>
                      <w:kern w:val="0"/>
                      <w:sz w:val="21"/>
                      <w:szCs w:val="21"/>
                    </w:rPr>
                  </w:pPr>
                  <w:r>
                    <w:rPr>
                      <w:rFonts w:eastAsia="仿宋_GB2312"/>
                      <w:kern w:val="0"/>
                      <w:sz w:val="21"/>
                      <w:szCs w:val="21"/>
                    </w:rPr>
                    <w:t>COD</w:t>
                  </w:r>
                </w:p>
              </w:tc>
              <w:tc>
                <w:tcPr>
                  <w:tcW w:w="692" w:type="pct"/>
                  <w:vAlign w:val="center"/>
                </w:tcPr>
                <w:p w14:paraId="34440F72">
                  <w:pPr>
                    <w:widowControl/>
                    <w:jc w:val="center"/>
                    <w:textAlignment w:val="center"/>
                    <w:rPr>
                      <w:rFonts w:eastAsia="仿宋_GB2312"/>
                      <w:kern w:val="0"/>
                      <w:sz w:val="21"/>
                      <w:szCs w:val="21"/>
                    </w:rPr>
                  </w:pPr>
                  <w:r>
                    <w:rPr>
                      <w:kern w:val="0"/>
                      <w:sz w:val="21"/>
                      <w:szCs w:val="21"/>
                    </w:rPr>
                    <w:t>2.612</w:t>
                  </w:r>
                </w:p>
              </w:tc>
              <w:tc>
                <w:tcPr>
                  <w:tcW w:w="563" w:type="pct"/>
                  <w:vAlign w:val="center"/>
                </w:tcPr>
                <w:p w14:paraId="692B1B5E">
                  <w:pPr>
                    <w:adjustRightInd w:val="0"/>
                    <w:snapToGrid w:val="0"/>
                    <w:jc w:val="center"/>
                    <w:rPr>
                      <w:rFonts w:eastAsia="仿宋_GB2312"/>
                      <w:sz w:val="21"/>
                      <w:szCs w:val="21"/>
                    </w:rPr>
                  </w:pPr>
                  <w:r>
                    <w:rPr>
                      <w:rFonts w:eastAsia="仿宋_GB2312"/>
                      <w:sz w:val="21"/>
                      <w:szCs w:val="21"/>
                    </w:rPr>
                    <w:t>0</w:t>
                  </w:r>
                </w:p>
              </w:tc>
              <w:tc>
                <w:tcPr>
                  <w:tcW w:w="603" w:type="pct"/>
                  <w:vAlign w:val="center"/>
                </w:tcPr>
                <w:p w14:paraId="4F67C503">
                  <w:pPr>
                    <w:widowControl/>
                    <w:jc w:val="center"/>
                    <w:textAlignment w:val="center"/>
                    <w:rPr>
                      <w:rFonts w:eastAsia="仿宋_GB2312"/>
                      <w:snapToGrid w:val="0"/>
                      <w:kern w:val="0"/>
                      <w:sz w:val="21"/>
                      <w:szCs w:val="21"/>
                    </w:rPr>
                  </w:pPr>
                  <w:r>
                    <w:rPr>
                      <w:rFonts w:hint="eastAsia"/>
                      <w:kern w:val="0"/>
                      <w:sz w:val="21"/>
                      <w:szCs w:val="21"/>
                    </w:rPr>
                    <w:t>0</w:t>
                  </w:r>
                </w:p>
              </w:tc>
              <w:tc>
                <w:tcPr>
                  <w:tcW w:w="692" w:type="pct"/>
                  <w:vAlign w:val="center"/>
                </w:tcPr>
                <w:p w14:paraId="1C616D27">
                  <w:pPr>
                    <w:widowControl/>
                    <w:jc w:val="center"/>
                    <w:textAlignment w:val="center"/>
                    <w:rPr>
                      <w:rFonts w:eastAsia="仿宋_GB2312"/>
                      <w:sz w:val="21"/>
                      <w:szCs w:val="21"/>
                    </w:rPr>
                  </w:pPr>
                  <w:r>
                    <w:rPr>
                      <w:kern w:val="0"/>
                      <w:sz w:val="21"/>
                      <w:szCs w:val="21"/>
                    </w:rPr>
                    <w:t>2.612</w:t>
                  </w:r>
                </w:p>
              </w:tc>
              <w:tc>
                <w:tcPr>
                  <w:tcW w:w="762" w:type="pct"/>
                  <w:vAlign w:val="center"/>
                </w:tcPr>
                <w:p w14:paraId="7EE19CCF">
                  <w:pPr>
                    <w:widowControl/>
                    <w:jc w:val="center"/>
                    <w:textAlignment w:val="center"/>
                    <w:rPr>
                      <w:rFonts w:eastAsia="仿宋_GB2312"/>
                      <w:snapToGrid w:val="0"/>
                      <w:kern w:val="0"/>
                      <w:sz w:val="21"/>
                      <w:szCs w:val="21"/>
                    </w:rPr>
                  </w:pPr>
                  <w:r>
                    <w:rPr>
                      <w:rFonts w:hint="eastAsia"/>
                      <w:kern w:val="0"/>
                      <w:sz w:val="21"/>
                      <w:szCs w:val="21"/>
                    </w:rPr>
                    <w:t>0</w:t>
                  </w:r>
                </w:p>
              </w:tc>
            </w:tr>
            <w:tr w14:paraId="24FEFA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8" w:type="pct"/>
                  <w:vMerge w:val="continue"/>
                  <w:vAlign w:val="center"/>
                </w:tcPr>
                <w:p w14:paraId="1B97E786">
                  <w:pPr>
                    <w:pStyle w:val="56"/>
                    <w:spacing w:beforeLines="0" w:afterLines="0" w:line="240" w:lineRule="auto"/>
                    <w:rPr>
                      <w:rFonts w:ascii="Times New Roman" w:eastAsia="仿宋_GB2312"/>
                      <w:sz w:val="21"/>
                      <w:szCs w:val="21"/>
                    </w:rPr>
                  </w:pPr>
                </w:p>
              </w:tc>
              <w:tc>
                <w:tcPr>
                  <w:tcW w:w="555" w:type="pct"/>
                  <w:gridSpan w:val="2"/>
                  <w:vMerge w:val="continue"/>
                  <w:vAlign w:val="center"/>
                </w:tcPr>
                <w:p w14:paraId="0C0EA084">
                  <w:pPr>
                    <w:pStyle w:val="56"/>
                    <w:spacing w:beforeLines="0" w:afterLines="0" w:line="240" w:lineRule="auto"/>
                    <w:rPr>
                      <w:rFonts w:ascii="Times New Roman" w:eastAsia="仿宋_GB2312"/>
                      <w:sz w:val="21"/>
                      <w:szCs w:val="21"/>
                    </w:rPr>
                  </w:pPr>
                </w:p>
              </w:tc>
              <w:tc>
                <w:tcPr>
                  <w:tcW w:w="705" w:type="pct"/>
                  <w:vAlign w:val="center"/>
                </w:tcPr>
                <w:p w14:paraId="0D5F62D3">
                  <w:pPr>
                    <w:widowControl/>
                    <w:jc w:val="center"/>
                    <w:textAlignment w:val="center"/>
                    <w:rPr>
                      <w:rFonts w:eastAsia="仿宋_GB2312"/>
                      <w:kern w:val="0"/>
                      <w:sz w:val="21"/>
                      <w:szCs w:val="21"/>
                    </w:rPr>
                  </w:pPr>
                  <w:r>
                    <w:rPr>
                      <w:rFonts w:eastAsia="仿宋_GB2312"/>
                      <w:kern w:val="0"/>
                      <w:sz w:val="21"/>
                      <w:szCs w:val="21"/>
                    </w:rPr>
                    <w:t>SS</w:t>
                  </w:r>
                </w:p>
              </w:tc>
              <w:tc>
                <w:tcPr>
                  <w:tcW w:w="692" w:type="pct"/>
                  <w:vAlign w:val="center"/>
                </w:tcPr>
                <w:p w14:paraId="52245867">
                  <w:pPr>
                    <w:widowControl/>
                    <w:jc w:val="center"/>
                    <w:textAlignment w:val="center"/>
                    <w:rPr>
                      <w:rFonts w:eastAsia="仿宋_GB2312"/>
                      <w:kern w:val="0"/>
                      <w:sz w:val="21"/>
                      <w:szCs w:val="21"/>
                    </w:rPr>
                  </w:pPr>
                  <w:r>
                    <w:rPr>
                      <w:kern w:val="0"/>
                      <w:sz w:val="21"/>
                      <w:szCs w:val="21"/>
                    </w:rPr>
                    <w:t>1.726</w:t>
                  </w:r>
                </w:p>
              </w:tc>
              <w:tc>
                <w:tcPr>
                  <w:tcW w:w="563" w:type="pct"/>
                  <w:vAlign w:val="center"/>
                </w:tcPr>
                <w:p w14:paraId="6C6CA203">
                  <w:pPr>
                    <w:adjustRightInd w:val="0"/>
                    <w:snapToGrid w:val="0"/>
                    <w:jc w:val="center"/>
                    <w:rPr>
                      <w:rFonts w:eastAsia="仿宋_GB2312"/>
                      <w:sz w:val="21"/>
                      <w:szCs w:val="21"/>
                    </w:rPr>
                  </w:pPr>
                  <w:r>
                    <w:rPr>
                      <w:rFonts w:eastAsia="仿宋_GB2312"/>
                      <w:sz w:val="21"/>
                      <w:szCs w:val="21"/>
                    </w:rPr>
                    <w:t>0</w:t>
                  </w:r>
                </w:p>
              </w:tc>
              <w:tc>
                <w:tcPr>
                  <w:tcW w:w="603" w:type="pct"/>
                  <w:vAlign w:val="center"/>
                </w:tcPr>
                <w:p w14:paraId="11F17241">
                  <w:pPr>
                    <w:widowControl/>
                    <w:jc w:val="center"/>
                    <w:textAlignment w:val="center"/>
                    <w:rPr>
                      <w:rFonts w:eastAsia="仿宋_GB2312"/>
                      <w:snapToGrid w:val="0"/>
                      <w:kern w:val="0"/>
                      <w:sz w:val="21"/>
                      <w:szCs w:val="21"/>
                    </w:rPr>
                  </w:pPr>
                  <w:r>
                    <w:rPr>
                      <w:rFonts w:hint="eastAsia"/>
                      <w:kern w:val="0"/>
                      <w:sz w:val="21"/>
                      <w:szCs w:val="21"/>
                    </w:rPr>
                    <w:t>0</w:t>
                  </w:r>
                </w:p>
              </w:tc>
              <w:tc>
                <w:tcPr>
                  <w:tcW w:w="692" w:type="pct"/>
                  <w:vAlign w:val="center"/>
                </w:tcPr>
                <w:p w14:paraId="20FB68BD">
                  <w:pPr>
                    <w:widowControl/>
                    <w:jc w:val="center"/>
                    <w:textAlignment w:val="center"/>
                    <w:rPr>
                      <w:rFonts w:eastAsia="仿宋_GB2312"/>
                      <w:sz w:val="21"/>
                      <w:szCs w:val="21"/>
                    </w:rPr>
                  </w:pPr>
                  <w:r>
                    <w:rPr>
                      <w:kern w:val="0"/>
                      <w:sz w:val="21"/>
                      <w:szCs w:val="21"/>
                    </w:rPr>
                    <w:t>1.726</w:t>
                  </w:r>
                </w:p>
              </w:tc>
              <w:tc>
                <w:tcPr>
                  <w:tcW w:w="762" w:type="pct"/>
                  <w:vAlign w:val="center"/>
                </w:tcPr>
                <w:p w14:paraId="3E3C918F">
                  <w:pPr>
                    <w:widowControl/>
                    <w:jc w:val="center"/>
                    <w:textAlignment w:val="center"/>
                    <w:rPr>
                      <w:rFonts w:eastAsia="仿宋_GB2312"/>
                      <w:snapToGrid w:val="0"/>
                      <w:kern w:val="0"/>
                      <w:sz w:val="21"/>
                      <w:szCs w:val="21"/>
                    </w:rPr>
                  </w:pPr>
                  <w:r>
                    <w:rPr>
                      <w:rFonts w:hint="eastAsia"/>
                      <w:kern w:val="0"/>
                      <w:sz w:val="21"/>
                      <w:szCs w:val="21"/>
                    </w:rPr>
                    <w:t>0</w:t>
                  </w:r>
                </w:p>
              </w:tc>
            </w:tr>
            <w:tr w14:paraId="257A08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8" w:type="pct"/>
                  <w:vMerge w:val="continue"/>
                  <w:vAlign w:val="center"/>
                </w:tcPr>
                <w:p w14:paraId="465324A4">
                  <w:pPr>
                    <w:pStyle w:val="56"/>
                    <w:spacing w:beforeLines="0" w:afterLines="0" w:line="240" w:lineRule="auto"/>
                    <w:rPr>
                      <w:rFonts w:ascii="Times New Roman" w:eastAsia="仿宋_GB2312"/>
                      <w:sz w:val="21"/>
                      <w:szCs w:val="21"/>
                    </w:rPr>
                  </w:pPr>
                </w:p>
              </w:tc>
              <w:tc>
                <w:tcPr>
                  <w:tcW w:w="555" w:type="pct"/>
                  <w:gridSpan w:val="2"/>
                  <w:vMerge w:val="continue"/>
                  <w:vAlign w:val="center"/>
                </w:tcPr>
                <w:p w14:paraId="47546D86">
                  <w:pPr>
                    <w:pStyle w:val="56"/>
                    <w:spacing w:beforeLines="0" w:afterLines="0" w:line="240" w:lineRule="auto"/>
                    <w:rPr>
                      <w:rFonts w:ascii="Times New Roman" w:eastAsia="仿宋_GB2312"/>
                      <w:sz w:val="21"/>
                      <w:szCs w:val="21"/>
                    </w:rPr>
                  </w:pPr>
                </w:p>
              </w:tc>
              <w:tc>
                <w:tcPr>
                  <w:tcW w:w="705" w:type="pct"/>
                  <w:vAlign w:val="center"/>
                </w:tcPr>
                <w:p w14:paraId="2E29EBC0">
                  <w:pPr>
                    <w:widowControl/>
                    <w:jc w:val="center"/>
                    <w:textAlignment w:val="center"/>
                    <w:rPr>
                      <w:rFonts w:eastAsia="仿宋_GB2312"/>
                      <w:kern w:val="0"/>
                      <w:sz w:val="21"/>
                      <w:szCs w:val="21"/>
                    </w:rPr>
                  </w:pPr>
                  <w:r>
                    <w:rPr>
                      <w:rFonts w:eastAsia="仿宋_GB2312"/>
                      <w:kern w:val="0"/>
                      <w:sz w:val="21"/>
                      <w:szCs w:val="21"/>
                    </w:rPr>
                    <w:t>氨氮</w:t>
                  </w:r>
                </w:p>
              </w:tc>
              <w:tc>
                <w:tcPr>
                  <w:tcW w:w="692" w:type="pct"/>
                  <w:vAlign w:val="center"/>
                </w:tcPr>
                <w:p w14:paraId="23E84EFB">
                  <w:pPr>
                    <w:widowControl/>
                    <w:jc w:val="center"/>
                    <w:textAlignment w:val="center"/>
                    <w:rPr>
                      <w:rFonts w:eastAsia="仿宋_GB2312"/>
                      <w:kern w:val="0"/>
                      <w:sz w:val="21"/>
                      <w:szCs w:val="21"/>
                    </w:rPr>
                  </w:pPr>
                  <w:r>
                    <w:rPr>
                      <w:kern w:val="0"/>
                      <w:sz w:val="21"/>
                      <w:szCs w:val="21"/>
                    </w:rPr>
                    <w:t>0.185</w:t>
                  </w:r>
                </w:p>
              </w:tc>
              <w:tc>
                <w:tcPr>
                  <w:tcW w:w="563" w:type="pct"/>
                  <w:vAlign w:val="center"/>
                </w:tcPr>
                <w:p w14:paraId="02BAB72B">
                  <w:pPr>
                    <w:adjustRightInd w:val="0"/>
                    <w:snapToGrid w:val="0"/>
                    <w:jc w:val="center"/>
                    <w:rPr>
                      <w:rFonts w:eastAsia="仿宋_GB2312"/>
                      <w:sz w:val="21"/>
                      <w:szCs w:val="21"/>
                    </w:rPr>
                  </w:pPr>
                  <w:r>
                    <w:rPr>
                      <w:rFonts w:eastAsia="仿宋_GB2312"/>
                      <w:sz w:val="21"/>
                      <w:szCs w:val="21"/>
                    </w:rPr>
                    <w:t>0</w:t>
                  </w:r>
                </w:p>
              </w:tc>
              <w:tc>
                <w:tcPr>
                  <w:tcW w:w="603" w:type="pct"/>
                  <w:vAlign w:val="center"/>
                </w:tcPr>
                <w:p w14:paraId="5DF44A9D">
                  <w:pPr>
                    <w:widowControl/>
                    <w:jc w:val="center"/>
                    <w:textAlignment w:val="center"/>
                    <w:rPr>
                      <w:rFonts w:eastAsia="仿宋_GB2312"/>
                      <w:snapToGrid w:val="0"/>
                      <w:kern w:val="0"/>
                      <w:sz w:val="21"/>
                      <w:szCs w:val="21"/>
                    </w:rPr>
                  </w:pPr>
                  <w:r>
                    <w:rPr>
                      <w:rFonts w:hint="eastAsia"/>
                      <w:kern w:val="0"/>
                      <w:sz w:val="21"/>
                      <w:szCs w:val="21"/>
                    </w:rPr>
                    <w:t>0</w:t>
                  </w:r>
                </w:p>
              </w:tc>
              <w:tc>
                <w:tcPr>
                  <w:tcW w:w="692" w:type="pct"/>
                  <w:vAlign w:val="center"/>
                </w:tcPr>
                <w:p w14:paraId="33E02929">
                  <w:pPr>
                    <w:widowControl/>
                    <w:jc w:val="center"/>
                    <w:textAlignment w:val="center"/>
                    <w:rPr>
                      <w:rFonts w:eastAsia="仿宋_GB2312"/>
                      <w:sz w:val="21"/>
                      <w:szCs w:val="21"/>
                    </w:rPr>
                  </w:pPr>
                  <w:r>
                    <w:rPr>
                      <w:kern w:val="0"/>
                      <w:sz w:val="21"/>
                      <w:szCs w:val="21"/>
                    </w:rPr>
                    <w:t>0.185</w:t>
                  </w:r>
                </w:p>
              </w:tc>
              <w:tc>
                <w:tcPr>
                  <w:tcW w:w="762" w:type="pct"/>
                  <w:vAlign w:val="center"/>
                </w:tcPr>
                <w:p w14:paraId="4E9F0920">
                  <w:pPr>
                    <w:widowControl/>
                    <w:jc w:val="center"/>
                    <w:textAlignment w:val="center"/>
                    <w:rPr>
                      <w:rFonts w:eastAsia="仿宋_GB2312"/>
                      <w:snapToGrid w:val="0"/>
                      <w:kern w:val="0"/>
                      <w:sz w:val="21"/>
                      <w:szCs w:val="21"/>
                    </w:rPr>
                  </w:pPr>
                  <w:r>
                    <w:rPr>
                      <w:rFonts w:hint="eastAsia"/>
                      <w:kern w:val="0"/>
                      <w:sz w:val="21"/>
                      <w:szCs w:val="21"/>
                    </w:rPr>
                    <w:t>0</w:t>
                  </w:r>
                </w:p>
              </w:tc>
            </w:tr>
            <w:tr w14:paraId="56849B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8" w:type="pct"/>
                  <w:vMerge w:val="continue"/>
                  <w:vAlign w:val="center"/>
                </w:tcPr>
                <w:p w14:paraId="6E98F3D6">
                  <w:pPr>
                    <w:pStyle w:val="56"/>
                    <w:spacing w:beforeLines="0" w:afterLines="0" w:line="240" w:lineRule="auto"/>
                    <w:rPr>
                      <w:rFonts w:ascii="Times New Roman" w:eastAsia="仿宋_GB2312"/>
                      <w:sz w:val="21"/>
                      <w:szCs w:val="21"/>
                    </w:rPr>
                  </w:pPr>
                </w:p>
              </w:tc>
              <w:tc>
                <w:tcPr>
                  <w:tcW w:w="555" w:type="pct"/>
                  <w:gridSpan w:val="2"/>
                  <w:vMerge w:val="continue"/>
                  <w:vAlign w:val="center"/>
                </w:tcPr>
                <w:p w14:paraId="78D8F535">
                  <w:pPr>
                    <w:pStyle w:val="56"/>
                    <w:spacing w:beforeLines="0" w:afterLines="0" w:line="240" w:lineRule="auto"/>
                    <w:rPr>
                      <w:rFonts w:ascii="Times New Roman" w:eastAsia="仿宋_GB2312"/>
                      <w:sz w:val="21"/>
                      <w:szCs w:val="21"/>
                    </w:rPr>
                  </w:pPr>
                </w:p>
              </w:tc>
              <w:tc>
                <w:tcPr>
                  <w:tcW w:w="705" w:type="pct"/>
                  <w:vAlign w:val="center"/>
                </w:tcPr>
                <w:p w14:paraId="7DE23219">
                  <w:pPr>
                    <w:widowControl/>
                    <w:jc w:val="center"/>
                    <w:textAlignment w:val="center"/>
                    <w:rPr>
                      <w:rFonts w:eastAsia="仿宋_GB2312"/>
                      <w:kern w:val="0"/>
                      <w:sz w:val="21"/>
                      <w:szCs w:val="21"/>
                    </w:rPr>
                  </w:pPr>
                  <w:r>
                    <w:rPr>
                      <w:rFonts w:eastAsia="仿宋_GB2312"/>
                      <w:kern w:val="0"/>
                      <w:sz w:val="21"/>
                      <w:szCs w:val="21"/>
                    </w:rPr>
                    <w:t>总氮</w:t>
                  </w:r>
                </w:p>
              </w:tc>
              <w:tc>
                <w:tcPr>
                  <w:tcW w:w="692" w:type="pct"/>
                  <w:vAlign w:val="center"/>
                </w:tcPr>
                <w:p w14:paraId="43D33E00">
                  <w:pPr>
                    <w:widowControl/>
                    <w:jc w:val="center"/>
                    <w:textAlignment w:val="center"/>
                    <w:rPr>
                      <w:rFonts w:eastAsia="仿宋_GB2312"/>
                      <w:kern w:val="0"/>
                      <w:sz w:val="21"/>
                      <w:szCs w:val="21"/>
                    </w:rPr>
                  </w:pPr>
                  <w:r>
                    <w:rPr>
                      <w:kern w:val="0"/>
                      <w:sz w:val="21"/>
                      <w:szCs w:val="21"/>
                    </w:rPr>
                    <w:t>0.078</w:t>
                  </w:r>
                </w:p>
              </w:tc>
              <w:tc>
                <w:tcPr>
                  <w:tcW w:w="563" w:type="pct"/>
                  <w:vAlign w:val="center"/>
                </w:tcPr>
                <w:p w14:paraId="1CF02CEA">
                  <w:pPr>
                    <w:adjustRightInd w:val="0"/>
                    <w:snapToGrid w:val="0"/>
                    <w:jc w:val="center"/>
                    <w:rPr>
                      <w:rFonts w:eastAsia="仿宋_GB2312"/>
                      <w:sz w:val="21"/>
                      <w:szCs w:val="21"/>
                    </w:rPr>
                  </w:pPr>
                  <w:r>
                    <w:rPr>
                      <w:rFonts w:eastAsia="仿宋_GB2312"/>
                      <w:sz w:val="21"/>
                      <w:szCs w:val="21"/>
                    </w:rPr>
                    <w:t>0</w:t>
                  </w:r>
                </w:p>
              </w:tc>
              <w:tc>
                <w:tcPr>
                  <w:tcW w:w="603" w:type="pct"/>
                  <w:vAlign w:val="center"/>
                </w:tcPr>
                <w:p w14:paraId="0E779117">
                  <w:pPr>
                    <w:widowControl/>
                    <w:jc w:val="center"/>
                    <w:textAlignment w:val="center"/>
                    <w:rPr>
                      <w:rFonts w:eastAsia="仿宋_GB2312"/>
                      <w:snapToGrid w:val="0"/>
                      <w:kern w:val="0"/>
                      <w:sz w:val="21"/>
                      <w:szCs w:val="21"/>
                    </w:rPr>
                  </w:pPr>
                  <w:r>
                    <w:rPr>
                      <w:rFonts w:hint="eastAsia"/>
                      <w:kern w:val="0"/>
                      <w:sz w:val="21"/>
                      <w:szCs w:val="21"/>
                    </w:rPr>
                    <w:t>0</w:t>
                  </w:r>
                </w:p>
              </w:tc>
              <w:tc>
                <w:tcPr>
                  <w:tcW w:w="692" w:type="pct"/>
                  <w:vAlign w:val="center"/>
                </w:tcPr>
                <w:p w14:paraId="52DFBDF6">
                  <w:pPr>
                    <w:widowControl/>
                    <w:jc w:val="center"/>
                    <w:textAlignment w:val="center"/>
                    <w:rPr>
                      <w:rFonts w:eastAsia="仿宋_GB2312"/>
                      <w:sz w:val="21"/>
                      <w:szCs w:val="21"/>
                    </w:rPr>
                  </w:pPr>
                  <w:r>
                    <w:rPr>
                      <w:kern w:val="0"/>
                      <w:sz w:val="21"/>
                      <w:szCs w:val="21"/>
                    </w:rPr>
                    <w:t>0.078</w:t>
                  </w:r>
                </w:p>
              </w:tc>
              <w:tc>
                <w:tcPr>
                  <w:tcW w:w="762" w:type="pct"/>
                  <w:vAlign w:val="center"/>
                </w:tcPr>
                <w:p w14:paraId="76802978">
                  <w:pPr>
                    <w:widowControl/>
                    <w:jc w:val="center"/>
                    <w:textAlignment w:val="center"/>
                    <w:rPr>
                      <w:rFonts w:eastAsia="仿宋_GB2312"/>
                      <w:snapToGrid w:val="0"/>
                      <w:kern w:val="0"/>
                      <w:sz w:val="21"/>
                      <w:szCs w:val="21"/>
                    </w:rPr>
                  </w:pPr>
                  <w:r>
                    <w:rPr>
                      <w:rFonts w:hint="eastAsia"/>
                      <w:kern w:val="0"/>
                      <w:sz w:val="21"/>
                      <w:szCs w:val="21"/>
                    </w:rPr>
                    <w:t>0</w:t>
                  </w:r>
                </w:p>
              </w:tc>
            </w:tr>
            <w:tr w14:paraId="3149ED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8" w:type="pct"/>
                  <w:vMerge w:val="continue"/>
                  <w:vAlign w:val="center"/>
                </w:tcPr>
                <w:p w14:paraId="76A6FD88">
                  <w:pPr>
                    <w:pStyle w:val="56"/>
                    <w:spacing w:beforeLines="0" w:afterLines="0" w:line="240" w:lineRule="auto"/>
                    <w:rPr>
                      <w:rFonts w:ascii="Times New Roman" w:eastAsia="仿宋_GB2312"/>
                      <w:sz w:val="21"/>
                      <w:szCs w:val="21"/>
                    </w:rPr>
                  </w:pPr>
                </w:p>
              </w:tc>
              <w:tc>
                <w:tcPr>
                  <w:tcW w:w="555" w:type="pct"/>
                  <w:gridSpan w:val="2"/>
                  <w:vMerge w:val="continue"/>
                  <w:vAlign w:val="center"/>
                </w:tcPr>
                <w:p w14:paraId="01800D9C">
                  <w:pPr>
                    <w:pStyle w:val="56"/>
                    <w:spacing w:beforeLines="0" w:afterLines="0" w:line="240" w:lineRule="auto"/>
                    <w:rPr>
                      <w:rFonts w:ascii="Times New Roman" w:eastAsia="仿宋_GB2312"/>
                      <w:sz w:val="21"/>
                      <w:szCs w:val="21"/>
                    </w:rPr>
                  </w:pPr>
                </w:p>
              </w:tc>
              <w:tc>
                <w:tcPr>
                  <w:tcW w:w="705" w:type="pct"/>
                  <w:vAlign w:val="center"/>
                </w:tcPr>
                <w:p w14:paraId="206CB622">
                  <w:pPr>
                    <w:widowControl/>
                    <w:jc w:val="center"/>
                    <w:textAlignment w:val="center"/>
                    <w:rPr>
                      <w:rFonts w:eastAsia="仿宋_GB2312"/>
                      <w:kern w:val="0"/>
                      <w:sz w:val="21"/>
                      <w:szCs w:val="21"/>
                    </w:rPr>
                  </w:pPr>
                  <w:r>
                    <w:rPr>
                      <w:rFonts w:eastAsia="仿宋_GB2312"/>
                      <w:kern w:val="0"/>
                      <w:sz w:val="21"/>
                      <w:szCs w:val="21"/>
                    </w:rPr>
                    <w:t>总磷</w:t>
                  </w:r>
                </w:p>
              </w:tc>
              <w:tc>
                <w:tcPr>
                  <w:tcW w:w="692" w:type="pct"/>
                  <w:vAlign w:val="center"/>
                </w:tcPr>
                <w:p w14:paraId="5DC11807">
                  <w:pPr>
                    <w:widowControl/>
                    <w:jc w:val="center"/>
                    <w:textAlignment w:val="center"/>
                    <w:rPr>
                      <w:rFonts w:eastAsia="仿宋_GB2312"/>
                      <w:kern w:val="0"/>
                      <w:sz w:val="21"/>
                      <w:szCs w:val="21"/>
                    </w:rPr>
                  </w:pPr>
                  <w:r>
                    <w:rPr>
                      <w:kern w:val="0"/>
                      <w:sz w:val="21"/>
                      <w:szCs w:val="21"/>
                    </w:rPr>
                    <w:t>0.0086</w:t>
                  </w:r>
                </w:p>
              </w:tc>
              <w:tc>
                <w:tcPr>
                  <w:tcW w:w="563" w:type="pct"/>
                  <w:vAlign w:val="center"/>
                </w:tcPr>
                <w:p w14:paraId="4991514A">
                  <w:pPr>
                    <w:adjustRightInd w:val="0"/>
                    <w:snapToGrid w:val="0"/>
                    <w:jc w:val="center"/>
                    <w:rPr>
                      <w:rFonts w:eastAsia="仿宋_GB2312"/>
                      <w:sz w:val="21"/>
                      <w:szCs w:val="21"/>
                    </w:rPr>
                  </w:pPr>
                  <w:r>
                    <w:rPr>
                      <w:rFonts w:eastAsia="仿宋_GB2312"/>
                      <w:sz w:val="21"/>
                      <w:szCs w:val="21"/>
                    </w:rPr>
                    <w:t>0</w:t>
                  </w:r>
                </w:p>
              </w:tc>
              <w:tc>
                <w:tcPr>
                  <w:tcW w:w="603" w:type="pct"/>
                  <w:vAlign w:val="center"/>
                </w:tcPr>
                <w:p w14:paraId="0E337C0E">
                  <w:pPr>
                    <w:widowControl/>
                    <w:jc w:val="center"/>
                    <w:textAlignment w:val="center"/>
                    <w:rPr>
                      <w:rFonts w:eastAsia="仿宋_GB2312"/>
                      <w:snapToGrid w:val="0"/>
                      <w:kern w:val="0"/>
                      <w:sz w:val="21"/>
                      <w:szCs w:val="21"/>
                    </w:rPr>
                  </w:pPr>
                  <w:r>
                    <w:rPr>
                      <w:rFonts w:hint="eastAsia"/>
                      <w:kern w:val="0"/>
                      <w:sz w:val="21"/>
                      <w:szCs w:val="21"/>
                    </w:rPr>
                    <w:t>0</w:t>
                  </w:r>
                </w:p>
              </w:tc>
              <w:tc>
                <w:tcPr>
                  <w:tcW w:w="692" w:type="pct"/>
                  <w:vAlign w:val="center"/>
                </w:tcPr>
                <w:p w14:paraId="11AD1FBE">
                  <w:pPr>
                    <w:widowControl/>
                    <w:jc w:val="center"/>
                    <w:textAlignment w:val="center"/>
                    <w:rPr>
                      <w:rFonts w:eastAsia="仿宋_GB2312"/>
                      <w:sz w:val="21"/>
                      <w:szCs w:val="21"/>
                    </w:rPr>
                  </w:pPr>
                  <w:r>
                    <w:rPr>
                      <w:kern w:val="0"/>
                      <w:sz w:val="21"/>
                      <w:szCs w:val="21"/>
                    </w:rPr>
                    <w:t>0.0086</w:t>
                  </w:r>
                </w:p>
              </w:tc>
              <w:tc>
                <w:tcPr>
                  <w:tcW w:w="762" w:type="pct"/>
                  <w:vAlign w:val="center"/>
                </w:tcPr>
                <w:p w14:paraId="5ACD107B">
                  <w:pPr>
                    <w:widowControl/>
                    <w:jc w:val="center"/>
                    <w:textAlignment w:val="center"/>
                    <w:rPr>
                      <w:rFonts w:eastAsia="仿宋_GB2312"/>
                      <w:snapToGrid w:val="0"/>
                      <w:kern w:val="0"/>
                      <w:sz w:val="21"/>
                      <w:szCs w:val="21"/>
                    </w:rPr>
                  </w:pPr>
                  <w:r>
                    <w:rPr>
                      <w:rFonts w:hint="eastAsia"/>
                      <w:kern w:val="0"/>
                      <w:sz w:val="21"/>
                      <w:szCs w:val="21"/>
                    </w:rPr>
                    <w:t>0</w:t>
                  </w:r>
                </w:p>
              </w:tc>
            </w:tr>
            <w:tr w14:paraId="70BA3B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8" w:type="pct"/>
                  <w:vMerge w:val="continue"/>
                  <w:vAlign w:val="center"/>
                </w:tcPr>
                <w:p w14:paraId="367A0BCC">
                  <w:pPr>
                    <w:pStyle w:val="56"/>
                    <w:spacing w:beforeLines="0" w:afterLines="0" w:line="240" w:lineRule="auto"/>
                    <w:rPr>
                      <w:rFonts w:ascii="Times New Roman" w:eastAsia="仿宋_GB2312"/>
                      <w:sz w:val="21"/>
                      <w:szCs w:val="21"/>
                    </w:rPr>
                  </w:pPr>
                </w:p>
              </w:tc>
              <w:tc>
                <w:tcPr>
                  <w:tcW w:w="555" w:type="pct"/>
                  <w:gridSpan w:val="2"/>
                  <w:vMerge w:val="continue"/>
                  <w:vAlign w:val="center"/>
                </w:tcPr>
                <w:p w14:paraId="0807F6CA">
                  <w:pPr>
                    <w:pStyle w:val="56"/>
                    <w:spacing w:beforeLines="0" w:afterLines="0" w:line="240" w:lineRule="auto"/>
                    <w:rPr>
                      <w:rFonts w:ascii="Times New Roman" w:eastAsia="仿宋_GB2312"/>
                      <w:sz w:val="21"/>
                      <w:szCs w:val="21"/>
                    </w:rPr>
                  </w:pPr>
                </w:p>
              </w:tc>
              <w:tc>
                <w:tcPr>
                  <w:tcW w:w="705" w:type="pct"/>
                  <w:vAlign w:val="center"/>
                </w:tcPr>
                <w:p w14:paraId="56A35413">
                  <w:pPr>
                    <w:widowControl/>
                    <w:jc w:val="center"/>
                    <w:textAlignment w:val="center"/>
                    <w:rPr>
                      <w:rFonts w:eastAsia="仿宋_GB2312"/>
                      <w:kern w:val="0"/>
                      <w:sz w:val="21"/>
                      <w:szCs w:val="21"/>
                    </w:rPr>
                  </w:pPr>
                  <w:r>
                    <w:rPr>
                      <w:rFonts w:eastAsia="仿宋_GB2312"/>
                      <w:kern w:val="0"/>
                      <w:sz w:val="21"/>
                      <w:szCs w:val="21"/>
                    </w:rPr>
                    <w:t>石油类</w:t>
                  </w:r>
                </w:p>
              </w:tc>
              <w:tc>
                <w:tcPr>
                  <w:tcW w:w="692" w:type="pct"/>
                  <w:vAlign w:val="center"/>
                </w:tcPr>
                <w:p w14:paraId="6F8DB11F">
                  <w:pPr>
                    <w:widowControl/>
                    <w:jc w:val="center"/>
                    <w:textAlignment w:val="center"/>
                    <w:rPr>
                      <w:rFonts w:eastAsia="仿宋_GB2312"/>
                      <w:kern w:val="0"/>
                      <w:sz w:val="21"/>
                      <w:szCs w:val="21"/>
                    </w:rPr>
                  </w:pPr>
                  <w:r>
                    <w:rPr>
                      <w:kern w:val="0"/>
                      <w:sz w:val="21"/>
                      <w:szCs w:val="21"/>
                    </w:rPr>
                    <w:t>0.0063</w:t>
                  </w:r>
                </w:p>
              </w:tc>
              <w:tc>
                <w:tcPr>
                  <w:tcW w:w="563" w:type="pct"/>
                  <w:vAlign w:val="center"/>
                </w:tcPr>
                <w:p w14:paraId="0BBC5E5E">
                  <w:pPr>
                    <w:adjustRightInd w:val="0"/>
                    <w:snapToGrid w:val="0"/>
                    <w:jc w:val="center"/>
                    <w:rPr>
                      <w:rFonts w:eastAsia="仿宋_GB2312"/>
                      <w:sz w:val="21"/>
                      <w:szCs w:val="21"/>
                    </w:rPr>
                  </w:pPr>
                  <w:r>
                    <w:rPr>
                      <w:rFonts w:eastAsia="仿宋_GB2312"/>
                      <w:sz w:val="21"/>
                      <w:szCs w:val="21"/>
                    </w:rPr>
                    <w:t>0</w:t>
                  </w:r>
                </w:p>
              </w:tc>
              <w:tc>
                <w:tcPr>
                  <w:tcW w:w="603" w:type="pct"/>
                  <w:vAlign w:val="center"/>
                </w:tcPr>
                <w:p w14:paraId="5C31AABE">
                  <w:pPr>
                    <w:pStyle w:val="56"/>
                    <w:spacing w:beforeLines="0" w:afterLines="0" w:line="240" w:lineRule="auto"/>
                    <w:rPr>
                      <w:rFonts w:ascii="Times New Roman" w:eastAsia="仿宋_GB2312"/>
                      <w:sz w:val="21"/>
                      <w:szCs w:val="21"/>
                    </w:rPr>
                  </w:pPr>
                  <w:r>
                    <w:rPr>
                      <w:rFonts w:ascii="Times New Roman" w:eastAsia="仿宋_GB2312"/>
                      <w:sz w:val="21"/>
                      <w:szCs w:val="21"/>
                    </w:rPr>
                    <w:t>0</w:t>
                  </w:r>
                </w:p>
              </w:tc>
              <w:tc>
                <w:tcPr>
                  <w:tcW w:w="692" w:type="pct"/>
                  <w:vAlign w:val="center"/>
                </w:tcPr>
                <w:p w14:paraId="0E7B3CDC">
                  <w:pPr>
                    <w:widowControl/>
                    <w:jc w:val="center"/>
                    <w:textAlignment w:val="center"/>
                    <w:rPr>
                      <w:rFonts w:eastAsia="仿宋_GB2312"/>
                      <w:sz w:val="21"/>
                      <w:szCs w:val="21"/>
                    </w:rPr>
                  </w:pPr>
                  <w:r>
                    <w:rPr>
                      <w:kern w:val="0"/>
                      <w:sz w:val="21"/>
                      <w:szCs w:val="21"/>
                    </w:rPr>
                    <w:t>0.0063</w:t>
                  </w:r>
                </w:p>
              </w:tc>
              <w:tc>
                <w:tcPr>
                  <w:tcW w:w="762" w:type="pct"/>
                  <w:vAlign w:val="center"/>
                </w:tcPr>
                <w:p w14:paraId="3BE3E34A">
                  <w:pPr>
                    <w:pStyle w:val="56"/>
                    <w:spacing w:beforeLines="0" w:afterLines="0" w:line="240" w:lineRule="auto"/>
                    <w:rPr>
                      <w:rFonts w:ascii="Times New Roman" w:eastAsia="仿宋_GB2312"/>
                      <w:sz w:val="21"/>
                      <w:szCs w:val="21"/>
                    </w:rPr>
                  </w:pPr>
                  <w:r>
                    <w:rPr>
                      <w:rFonts w:ascii="Times New Roman" w:eastAsia="仿宋_GB2312"/>
                      <w:sz w:val="21"/>
                      <w:szCs w:val="21"/>
                    </w:rPr>
                    <w:t>0</w:t>
                  </w:r>
                </w:p>
              </w:tc>
            </w:tr>
            <w:tr w14:paraId="51C17D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8" w:type="pct"/>
                  <w:vMerge w:val="continue"/>
                  <w:vAlign w:val="center"/>
                </w:tcPr>
                <w:p w14:paraId="17C5B35C">
                  <w:pPr>
                    <w:pStyle w:val="56"/>
                    <w:spacing w:beforeLines="0" w:afterLines="0" w:line="240" w:lineRule="auto"/>
                    <w:rPr>
                      <w:rFonts w:ascii="Times New Roman" w:eastAsia="仿宋_GB2312"/>
                      <w:sz w:val="21"/>
                      <w:szCs w:val="21"/>
                    </w:rPr>
                  </w:pPr>
                </w:p>
              </w:tc>
              <w:tc>
                <w:tcPr>
                  <w:tcW w:w="555" w:type="pct"/>
                  <w:gridSpan w:val="2"/>
                  <w:vMerge w:val="continue"/>
                  <w:vAlign w:val="center"/>
                </w:tcPr>
                <w:p w14:paraId="16FE859B">
                  <w:pPr>
                    <w:pStyle w:val="56"/>
                    <w:spacing w:beforeLines="0" w:afterLines="0" w:line="240" w:lineRule="auto"/>
                    <w:rPr>
                      <w:rFonts w:ascii="Times New Roman" w:eastAsia="仿宋_GB2312"/>
                      <w:sz w:val="21"/>
                      <w:szCs w:val="21"/>
                    </w:rPr>
                  </w:pPr>
                </w:p>
              </w:tc>
              <w:tc>
                <w:tcPr>
                  <w:tcW w:w="705" w:type="pct"/>
                  <w:vAlign w:val="center"/>
                </w:tcPr>
                <w:p w14:paraId="096D6B27">
                  <w:pPr>
                    <w:widowControl/>
                    <w:jc w:val="center"/>
                    <w:textAlignment w:val="center"/>
                    <w:rPr>
                      <w:rFonts w:eastAsia="仿宋_GB2312"/>
                      <w:kern w:val="0"/>
                      <w:sz w:val="21"/>
                      <w:szCs w:val="21"/>
                    </w:rPr>
                  </w:pPr>
                  <w:r>
                    <w:rPr>
                      <w:rFonts w:eastAsia="仿宋_GB2312"/>
                      <w:kern w:val="0"/>
                      <w:sz w:val="21"/>
                      <w:szCs w:val="21"/>
                    </w:rPr>
                    <w:t>氯化物</w:t>
                  </w:r>
                </w:p>
              </w:tc>
              <w:tc>
                <w:tcPr>
                  <w:tcW w:w="692" w:type="pct"/>
                  <w:vAlign w:val="center"/>
                </w:tcPr>
                <w:p w14:paraId="049C7DD5">
                  <w:pPr>
                    <w:widowControl/>
                    <w:jc w:val="center"/>
                    <w:textAlignment w:val="center"/>
                    <w:rPr>
                      <w:rFonts w:eastAsia="仿宋_GB2312"/>
                      <w:kern w:val="0"/>
                      <w:sz w:val="21"/>
                      <w:szCs w:val="21"/>
                    </w:rPr>
                  </w:pPr>
                  <w:r>
                    <w:rPr>
                      <w:kern w:val="0"/>
                      <w:sz w:val="21"/>
                      <w:szCs w:val="21"/>
                    </w:rPr>
                    <w:t>0.132</w:t>
                  </w:r>
                </w:p>
              </w:tc>
              <w:tc>
                <w:tcPr>
                  <w:tcW w:w="563" w:type="pct"/>
                  <w:vAlign w:val="center"/>
                </w:tcPr>
                <w:p w14:paraId="7D1CD9C0">
                  <w:pPr>
                    <w:adjustRightInd w:val="0"/>
                    <w:snapToGrid w:val="0"/>
                    <w:jc w:val="center"/>
                    <w:rPr>
                      <w:rFonts w:eastAsia="仿宋_GB2312"/>
                      <w:sz w:val="21"/>
                      <w:szCs w:val="21"/>
                    </w:rPr>
                  </w:pPr>
                  <w:r>
                    <w:rPr>
                      <w:rFonts w:eastAsia="仿宋_GB2312"/>
                      <w:sz w:val="21"/>
                      <w:szCs w:val="21"/>
                    </w:rPr>
                    <w:t>0</w:t>
                  </w:r>
                </w:p>
              </w:tc>
              <w:tc>
                <w:tcPr>
                  <w:tcW w:w="603" w:type="pct"/>
                  <w:vAlign w:val="center"/>
                </w:tcPr>
                <w:p w14:paraId="0AF3304C">
                  <w:pPr>
                    <w:pStyle w:val="56"/>
                    <w:spacing w:beforeLines="0" w:afterLines="0" w:line="240" w:lineRule="auto"/>
                    <w:rPr>
                      <w:rFonts w:ascii="Times New Roman" w:eastAsia="仿宋_GB2312"/>
                      <w:sz w:val="21"/>
                      <w:szCs w:val="21"/>
                    </w:rPr>
                  </w:pPr>
                  <w:r>
                    <w:rPr>
                      <w:rFonts w:ascii="Times New Roman" w:eastAsia="仿宋_GB2312"/>
                      <w:sz w:val="21"/>
                      <w:szCs w:val="21"/>
                    </w:rPr>
                    <w:t>0</w:t>
                  </w:r>
                </w:p>
              </w:tc>
              <w:tc>
                <w:tcPr>
                  <w:tcW w:w="692" w:type="pct"/>
                  <w:vAlign w:val="center"/>
                </w:tcPr>
                <w:p w14:paraId="3984BAE1">
                  <w:pPr>
                    <w:widowControl/>
                    <w:jc w:val="center"/>
                    <w:textAlignment w:val="center"/>
                    <w:rPr>
                      <w:rFonts w:eastAsia="仿宋_GB2312"/>
                      <w:sz w:val="21"/>
                      <w:szCs w:val="21"/>
                    </w:rPr>
                  </w:pPr>
                  <w:r>
                    <w:rPr>
                      <w:kern w:val="0"/>
                      <w:sz w:val="21"/>
                      <w:szCs w:val="21"/>
                    </w:rPr>
                    <w:t>0.132</w:t>
                  </w:r>
                </w:p>
              </w:tc>
              <w:tc>
                <w:tcPr>
                  <w:tcW w:w="762" w:type="pct"/>
                  <w:vAlign w:val="center"/>
                </w:tcPr>
                <w:p w14:paraId="7D09CFC7">
                  <w:pPr>
                    <w:pStyle w:val="56"/>
                    <w:spacing w:beforeLines="0" w:afterLines="0" w:line="240" w:lineRule="auto"/>
                    <w:rPr>
                      <w:rFonts w:ascii="Times New Roman" w:eastAsia="仿宋_GB2312"/>
                      <w:sz w:val="21"/>
                      <w:szCs w:val="21"/>
                    </w:rPr>
                  </w:pPr>
                  <w:r>
                    <w:rPr>
                      <w:rFonts w:ascii="Times New Roman" w:eastAsia="仿宋_GB2312"/>
                      <w:sz w:val="21"/>
                      <w:szCs w:val="21"/>
                    </w:rPr>
                    <w:t>0</w:t>
                  </w:r>
                </w:p>
              </w:tc>
            </w:tr>
            <w:tr w14:paraId="61D466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8" w:type="pct"/>
                  <w:vMerge w:val="continue"/>
                  <w:vAlign w:val="center"/>
                </w:tcPr>
                <w:p w14:paraId="192519AE">
                  <w:pPr>
                    <w:pStyle w:val="56"/>
                    <w:spacing w:beforeLines="0" w:afterLines="0" w:line="240" w:lineRule="auto"/>
                    <w:rPr>
                      <w:rFonts w:ascii="Times New Roman" w:eastAsia="仿宋_GB2312"/>
                      <w:sz w:val="21"/>
                      <w:szCs w:val="21"/>
                    </w:rPr>
                  </w:pPr>
                </w:p>
              </w:tc>
              <w:tc>
                <w:tcPr>
                  <w:tcW w:w="286" w:type="pct"/>
                  <w:vMerge w:val="restart"/>
                  <w:vAlign w:val="center"/>
                </w:tcPr>
                <w:p w14:paraId="52961AF5">
                  <w:pPr>
                    <w:pStyle w:val="56"/>
                    <w:spacing w:beforeLines="0" w:afterLines="0" w:line="240" w:lineRule="auto"/>
                    <w:rPr>
                      <w:rFonts w:ascii="Times New Roman" w:eastAsia="仿宋_GB2312"/>
                      <w:sz w:val="21"/>
                      <w:szCs w:val="21"/>
                    </w:rPr>
                  </w:pPr>
                  <w:r>
                    <w:rPr>
                      <w:rFonts w:ascii="Times New Roman" w:eastAsia="仿宋_GB2312"/>
                      <w:sz w:val="21"/>
                      <w:szCs w:val="21"/>
                    </w:rPr>
                    <w:t>废气</w:t>
                  </w:r>
                </w:p>
              </w:tc>
              <w:tc>
                <w:tcPr>
                  <w:tcW w:w="269" w:type="pct"/>
                  <w:vMerge w:val="restart"/>
                  <w:vAlign w:val="center"/>
                </w:tcPr>
                <w:p w14:paraId="51AE1E5C">
                  <w:pPr>
                    <w:pStyle w:val="56"/>
                    <w:spacing w:beforeLines="0" w:afterLines="0" w:line="240" w:lineRule="auto"/>
                    <w:rPr>
                      <w:rFonts w:ascii="Times New Roman" w:eastAsia="仿宋_GB2312"/>
                      <w:sz w:val="21"/>
                      <w:szCs w:val="21"/>
                    </w:rPr>
                  </w:pPr>
                  <w:r>
                    <w:rPr>
                      <w:rFonts w:ascii="Times New Roman" w:eastAsia="仿宋_GB2312"/>
                      <w:sz w:val="21"/>
                      <w:szCs w:val="21"/>
                    </w:rPr>
                    <w:t>有组织</w:t>
                  </w:r>
                </w:p>
              </w:tc>
              <w:tc>
                <w:tcPr>
                  <w:tcW w:w="705" w:type="pct"/>
                  <w:vAlign w:val="center"/>
                </w:tcPr>
                <w:p w14:paraId="1AC32741">
                  <w:pPr>
                    <w:widowControl/>
                    <w:jc w:val="center"/>
                    <w:textAlignment w:val="center"/>
                    <w:rPr>
                      <w:rFonts w:eastAsia="仿宋_GB2312"/>
                      <w:sz w:val="21"/>
                      <w:szCs w:val="21"/>
                    </w:rPr>
                  </w:pPr>
                  <w:r>
                    <w:rPr>
                      <w:rFonts w:eastAsia="仿宋_GB2312"/>
                      <w:kern w:val="0"/>
                      <w:sz w:val="21"/>
                      <w:szCs w:val="21"/>
                    </w:rPr>
                    <w:t>颗粒物</w:t>
                  </w:r>
                </w:p>
              </w:tc>
              <w:tc>
                <w:tcPr>
                  <w:tcW w:w="692" w:type="pct"/>
                  <w:vAlign w:val="center"/>
                </w:tcPr>
                <w:p w14:paraId="5A690464">
                  <w:pPr>
                    <w:widowControl/>
                    <w:jc w:val="center"/>
                    <w:textAlignment w:val="center"/>
                    <w:rPr>
                      <w:rFonts w:eastAsia="仿宋_GB2312"/>
                      <w:kern w:val="0"/>
                      <w:sz w:val="21"/>
                      <w:szCs w:val="21"/>
                    </w:rPr>
                  </w:pPr>
                  <w:r>
                    <w:rPr>
                      <w:rFonts w:eastAsia="仿宋_GB2312"/>
                      <w:kern w:val="0"/>
                      <w:sz w:val="21"/>
                      <w:szCs w:val="21"/>
                    </w:rPr>
                    <w:t>23.889</w:t>
                  </w:r>
                </w:p>
              </w:tc>
              <w:tc>
                <w:tcPr>
                  <w:tcW w:w="563" w:type="pct"/>
                  <w:vAlign w:val="center"/>
                </w:tcPr>
                <w:p w14:paraId="232E11A0">
                  <w:pPr>
                    <w:widowControl/>
                    <w:adjustRightInd w:val="0"/>
                    <w:snapToGrid w:val="0"/>
                    <w:jc w:val="center"/>
                    <w:textAlignment w:val="center"/>
                    <w:rPr>
                      <w:rFonts w:eastAsia="仿宋_GB2312"/>
                      <w:sz w:val="21"/>
                      <w:szCs w:val="21"/>
                    </w:rPr>
                  </w:pPr>
                  <w:r>
                    <w:rPr>
                      <w:rFonts w:eastAsia="仿宋_GB2312"/>
                      <w:sz w:val="21"/>
                      <w:szCs w:val="21"/>
                    </w:rPr>
                    <w:t>0</w:t>
                  </w:r>
                </w:p>
              </w:tc>
              <w:tc>
                <w:tcPr>
                  <w:tcW w:w="603" w:type="pct"/>
                  <w:vAlign w:val="center"/>
                </w:tcPr>
                <w:p w14:paraId="1E38ADF6">
                  <w:pPr>
                    <w:widowControl/>
                    <w:adjustRightInd w:val="0"/>
                    <w:snapToGrid w:val="0"/>
                    <w:jc w:val="center"/>
                    <w:textAlignment w:val="center"/>
                    <w:rPr>
                      <w:rFonts w:eastAsia="仿宋_GB2312"/>
                      <w:sz w:val="21"/>
                      <w:szCs w:val="21"/>
                    </w:rPr>
                  </w:pPr>
                  <w:r>
                    <w:rPr>
                      <w:rFonts w:eastAsia="仿宋_GB2312"/>
                      <w:sz w:val="21"/>
                      <w:szCs w:val="21"/>
                    </w:rPr>
                    <w:t>0</w:t>
                  </w:r>
                </w:p>
              </w:tc>
              <w:tc>
                <w:tcPr>
                  <w:tcW w:w="692" w:type="pct"/>
                  <w:vAlign w:val="center"/>
                </w:tcPr>
                <w:p w14:paraId="644991F9">
                  <w:pPr>
                    <w:widowControl/>
                    <w:jc w:val="center"/>
                    <w:textAlignment w:val="center"/>
                    <w:rPr>
                      <w:rFonts w:eastAsia="仿宋_GB2312"/>
                      <w:kern w:val="0"/>
                      <w:sz w:val="21"/>
                      <w:szCs w:val="21"/>
                    </w:rPr>
                  </w:pPr>
                  <w:r>
                    <w:rPr>
                      <w:rFonts w:eastAsia="仿宋_GB2312"/>
                      <w:kern w:val="0"/>
                      <w:sz w:val="21"/>
                      <w:szCs w:val="21"/>
                    </w:rPr>
                    <w:t>23.889</w:t>
                  </w:r>
                </w:p>
              </w:tc>
              <w:tc>
                <w:tcPr>
                  <w:tcW w:w="762" w:type="pct"/>
                  <w:vAlign w:val="center"/>
                </w:tcPr>
                <w:p w14:paraId="5E930346">
                  <w:pPr>
                    <w:widowControl/>
                    <w:adjustRightInd w:val="0"/>
                    <w:snapToGrid w:val="0"/>
                    <w:jc w:val="center"/>
                    <w:textAlignment w:val="center"/>
                    <w:rPr>
                      <w:rFonts w:eastAsia="仿宋_GB2312"/>
                      <w:sz w:val="21"/>
                      <w:szCs w:val="21"/>
                    </w:rPr>
                  </w:pPr>
                  <w:r>
                    <w:rPr>
                      <w:rFonts w:eastAsia="仿宋_GB2312"/>
                      <w:sz w:val="21"/>
                      <w:szCs w:val="21"/>
                    </w:rPr>
                    <w:t>0</w:t>
                  </w:r>
                </w:p>
              </w:tc>
            </w:tr>
            <w:tr w14:paraId="4CFCE8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8" w:type="pct"/>
                  <w:vMerge w:val="continue"/>
                  <w:vAlign w:val="center"/>
                </w:tcPr>
                <w:p w14:paraId="3352FF20">
                  <w:pPr>
                    <w:pStyle w:val="56"/>
                    <w:spacing w:beforeLines="0" w:afterLines="0" w:line="240" w:lineRule="auto"/>
                    <w:rPr>
                      <w:rFonts w:ascii="Times New Roman" w:eastAsia="仿宋_GB2312"/>
                      <w:sz w:val="21"/>
                      <w:szCs w:val="21"/>
                    </w:rPr>
                  </w:pPr>
                </w:p>
              </w:tc>
              <w:tc>
                <w:tcPr>
                  <w:tcW w:w="286" w:type="pct"/>
                  <w:vMerge w:val="continue"/>
                  <w:vAlign w:val="center"/>
                </w:tcPr>
                <w:p w14:paraId="05B12BA6">
                  <w:pPr>
                    <w:adjustRightInd w:val="0"/>
                    <w:snapToGrid w:val="0"/>
                    <w:jc w:val="center"/>
                    <w:rPr>
                      <w:rFonts w:eastAsia="仿宋_GB2312"/>
                      <w:kern w:val="0"/>
                      <w:sz w:val="21"/>
                      <w:szCs w:val="21"/>
                    </w:rPr>
                  </w:pPr>
                </w:p>
              </w:tc>
              <w:tc>
                <w:tcPr>
                  <w:tcW w:w="269" w:type="pct"/>
                  <w:vMerge w:val="continue"/>
                  <w:vAlign w:val="center"/>
                </w:tcPr>
                <w:p w14:paraId="290D571F">
                  <w:pPr>
                    <w:adjustRightInd w:val="0"/>
                    <w:snapToGrid w:val="0"/>
                    <w:jc w:val="center"/>
                    <w:rPr>
                      <w:rFonts w:eastAsia="仿宋_GB2312"/>
                      <w:kern w:val="0"/>
                      <w:sz w:val="21"/>
                      <w:szCs w:val="21"/>
                    </w:rPr>
                  </w:pPr>
                </w:p>
              </w:tc>
              <w:tc>
                <w:tcPr>
                  <w:tcW w:w="705" w:type="pct"/>
                  <w:vAlign w:val="center"/>
                </w:tcPr>
                <w:p w14:paraId="1186A6AA">
                  <w:pPr>
                    <w:widowControl/>
                    <w:jc w:val="center"/>
                    <w:textAlignment w:val="center"/>
                    <w:rPr>
                      <w:rFonts w:eastAsia="仿宋_GB2312"/>
                      <w:sz w:val="21"/>
                      <w:szCs w:val="21"/>
                    </w:rPr>
                  </w:pPr>
                  <w:r>
                    <w:rPr>
                      <w:rFonts w:eastAsia="仿宋_GB2312"/>
                      <w:kern w:val="0"/>
                      <w:sz w:val="21"/>
                      <w:szCs w:val="21"/>
                    </w:rPr>
                    <w:t>SO</w:t>
                  </w:r>
                  <w:r>
                    <w:rPr>
                      <w:rFonts w:eastAsia="仿宋_GB2312"/>
                      <w:kern w:val="0"/>
                      <w:sz w:val="21"/>
                      <w:szCs w:val="21"/>
                      <w:vertAlign w:val="subscript"/>
                    </w:rPr>
                    <w:t>2</w:t>
                  </w:r>
                </w:p>
              </w:tc>
              <w:tc>
                <w:tcPr>
                  <w:tcW w:w="692" w:type="pct"/>
                  <w:vAlign w:val="center"/>
                </w:tcPr>
                <w:p w14:paraId="158805A0">
                  <w:pPr>
                    <w:widowControl/>
                    <w:jc w:val="center"/>
                    <w:textAlignment w:val="center"/>
                    <w:rPr>
                      <w:rFonts w:eastAsia="仿宋_GB2312"/>
                      <w:kern w:val="0"/>
                      <w:sz w:val="21"/>
                      <w:szCs w:val="21"/>
                    </w:rPr>
                  </w:pPr>
                  <w:r>
                    <w:rPr>
                      <w:rFonts w:eastAsia="仿宋_GB2312"/>
                      <w:kern w:val="0"/>
                      <w:sz w:val="21"/>
                      <w:szCs w:val="21"/>
                    </w:rPr>
                    <w:t>5.6</w:t>
                  </w:r>
                </w:p>
              </w:tc>
              <w:tc>
                <w:tcPr>
                  <w:tcW w:w="563" w:type="pct"/>
                  <w:vAlign w:val="center"/>
                </w:tcPr>
                <w:p w14:paraId="55C1C95B">
                  <w:pPr>
                    <w:widowControl/>
                    <w:adjustRightInd w:val="0"/>
                    <w:snapToGrid w:val="0"/>
                    <w:jc w:val="center"/>
                    <w:textAlignment w:val="center"/>
                    <w:rPr>
                      <w:rFonts w:eastAsia="仿宋_GB2312"/>
                      <w:sz w:val="21"/>
                      <w:szCs w:val="21"/>
                    </w:rPr>
                  </w:pPr>
                  <w:r>
                    <w:rPr>
                      <w:rFonts w:eastAsia="仿宋_GB2312"/>
                      <w:sz w:val="21"/>
                      <w:szCs w:val="21"/>
                    </w:rPr>
                    <w:t>0</w:t>
                  </w:r>
                </w:p>
              </w:tc>
              <w:tc>
                <w:tcPr>
                  <w:tcW w:w="603" w:type="pct"/>
                  <w:vAlign w:val="center"/>
                </w:tcPr>
                <w:p w14:paraId="42D12D1C">
                  <w:pPr>
                    <w:widowControl/>
                    <w:adjustRightInd w:val="0"/>
                    <w:snapToGrid w:val="0"/>
                    <w:jc w:val="center"/>
                    <w:textAlignment w:val="center"/>
                    <w:rPr>
                      <w:rFonts w:eastAsia="仿宋_GB2312"/>
                      <w:sz w:val="21"/>
                      <w:szCs w:val="21"/>
                    </w:rPr>
                  </w:pPr>
                  <w:r>
                    <w:rPr>
                      <w:rFonts w:eastAsia="仿宋_GB2312"/>
                      <w:sz w:val="21"/>
                      <w:szCs w:val="21"/>
                    </w:rPr>
                    <w:t>0</w:t>
                  </w:r>
                </w:p>
              </w:tc>
              <w:tc>
                <w:tcPr>
                  <w:tcW w:w="692" w:type="pct"/>
                  <w:vAlign w:val="center"/>
                </w:tcPr>
                <w:p w14:paraId="78E81390">
                  <w:pPr>
                    <w:widowControl/>
                    <w:jc w:val="center"/>
                    <w:textAlignment w:val="center"/>
                    <w:rPr>
                      <w:rFonts w:eastAsia="仿宋_GB2312"/>
                      <w:kern w:val="0"/>
                      <w:sz w:val="21"/>
                      <w:szCs w:val="21"/>
                    </w:rPr>
                  </w:pPr>
                  <w:r>
                    <w:rPr>
                      <w:rFonts w:eastAsia="仿宋_GB2312"/>
                      <w:kern w:val="0"/>
                      <w:sz w:val="21"/>
                      <w:szCs w:val="21"/>
                    </w:rPr>
                    <w:t>5.6</w:t>
                  </w:r>
                </w:p>
              </w:tc>
              <w:tc>
                <w:tcPr>
                  <w:tcW w:w="762" w:type="pct"/>
                  <w:vAlign w:val="center"/>
                </w:tcPr>
                <w:p w14:paraId="3635A6F4">
                  <w:pPr>
                    <w:widowControl/>
                    <w:adjustRightInd w:val="0"/>
                    <w:snapToGrid w:val="0"/>
                    <w:jc w:val="center"/>
                    <w:textAlignment w:val="center"/>
                    <w:rPr>
                      <w:rFonts w:eastAsia="仿宋_GB2312"/>
                      <w:sz w:val="21"/>
                      <w:szCs w:val="21"/>
                    </w:rPr>
                  </w:pPr>
                  <w:r>
                    <w:rPr>
                      <w:rFonts w:eastAsia="仿宋_GB2312"/>
                      <w:sz w:val="21"/>
                      <w:szCs w:val="21"/>
                    </w:rPr>
                    <w:t>0</w:t>
                  </w:r>
                </w:p>
              </w:tc>
            </w:tr>
            <w:tr w14:paraId="37A8E2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8" w:type="pct"/>
                  <w:vMerge w:val="continue"/>
                  <w:vAlign w:val="center"/>
                </w:tcPr>
                <w:p w14:paraId="44F4F744">
                  <w:pPr>
                    <w:pStyle w:val="56"/>
                    <w:spacing w:beforeLines="0" w:afterLines="0" w:line="240" w:lineRule="auto"/>
                    <w:rPr>
                      <w:rFonts w:ascii="Times New Roman" w:eastAsia="仿宋_GB2312"/>
                      <w:sz w:val="21"/>
                      <w:szCs w:val="21"/>
                    </w:rPr>
                  </w:pPr>
                </w:p>
              </w:tc>
              <w:tc>
                <w:tcPr>
                  <w:tcW w:w="286" w:type="pct"/>
                  <w:vMerge w:val="continue"/>
                  <w:vAlign w:val="center"/>
                </w:tcPr>
                <w:p w14:paraId="786D06E2">
                  <w:pPr>
                    <w:adjustRightInd w:val="0"/>
                    <w:snapToGrid w:val="0"/>
                    <w:jc w:val="center"/>
                    <w:rPr>
                      <w:rFonts w:eastAsia="仿宋_GB2312"/>
                      <w:kern w:val="0"/>
                      <w:sz w:val="21"/>
                      <w:szCs w:val="21"/>
                    </w:rPr>
                  </w:pPr>
                </w:p>
              </w:tc>
              <w:tc>
                <w:tcPr>
                  <w:tcW w:w="269" w:type="pct"/>
                  <w:vMerge w:val="continue"/>
                  <w:vAlign w:val="center"/>
                </w:tcPr>
                <w:p w14:paraId="19377E22">
                  <w:pPr>
                    <w:adjustRightInd w:val="0"/>
                    <w:snapToGrid w:val="0"/>
                    <w:jc w:val="center"/>
                    <w:rPr>
                      <w:rFonts w:eastAsia="仿宋_GB2312"/>
                      <w:kern w:val="0"/>
                      <w:sz w:val="21"/>
                      <w:szCs w:val="21"/>
                    </w:rPr>
                  </w:pPr>
                </w:p>
              </w:tc>
              <w:tc>
                <w:tcPr>
                  <w:tcW w:w="705" w:type="pct"/>
                  <w:vAlign w:val="center"/>
                </w:tcPr>
                <w:p w14:paraId="08CC5E94">
                  <w:pPr>
                    <w:widowControl/>
                    <w:jc w:val="center"/>
                    <w:textAlignment w:val="center"/>
                    <w:rPr>
                      <w:rFonts w:eastAsia="仿宋_GB2312"/>
                      <w:sz w:val="21"/>
                      <w:szCs w:val="21"/>
                    </w:rPr>
                  </w:pPr>
                  <w:r>
                    <w:rPr>
                      <w:rFonts w:eastAsia="仿宋_GB2312"/>
                      <w:kern w:val="0"/>
                      <w:sz w:val="21"/>
                      <w:szCs w:val="21"/>
                    </w:rPr>
                    <w:t>NO</w:t>
                  </w:r>
                  <w:r>
                    <w:rPr>
                      <w:rFonts w:eastAsia="仿宋_GB2312"/>
                      <w:kern w:val="0"/>
                      <w:sz w:val="21"/>
                      <w:szCs w:val="21"/>
                      <w:vertAlign w:val="subscript"/>
                    </w:rPr>
                    <w:t>X</w:t>
                  </w:r>
                </w:p>
              </w:tc>
              <w:tc>
                <w:tcPr>
                  <w:tcW w:w="692" w:type="pct"/>
                  <w:vAlign w:val="center"/>
                </w:tcPr>
                <w:p w14:paraId="15EED6EE">
                  <w:pPr>
                    <w:widowControl/>
                    <w:jc w:val="center"/>
                    <w:textAlignment w:val="center"/>
                    <w:rPr>
                      <w:rFonts w:eastAsia="仿宋_GB2312"/>
                      <w:kern w:val="0"/>
                      <w:sz w:val="21"/>
                      <w:szCs w:val="21"/>
                    </w:rPr>
                  </w:pPr>
                  <w:r>
                    <w:rPr>
                      <w:rFonts w:eastAsia="仿宋_GB2312"/>
                      <w:kern w:val="0"/>
                      <w:sz w:val="21"/>
                      <w:szCs w:val="21"/>
                    </w:rPr>
                    <w:t>2.6</w:t>
                  </w:r>
                </w:p>
              </w:tc>
              <w:tc>
                <w:tcPr>
                  <w:tcW w:w="563" w:type="pct"/>
                  <w:vAlign w:val="center"/>
                </w:tcPr>
                <w:p w14:paraId="34EE814F">
                  <w:pPr>
                    <w:widowControl/>
                    <w:adjustRightInd w:val="0"/>
                    <w:snapToGrid w:val="0"/>
                    <w:jc w:val="center"/>
                    <w:textAlignment w:val="center"/>
                    <w:rPr>
                      <w:rFonts w:eastAsia="仿宋_GB2312"/>
                      <w:sz w:val="21"/>
                      <w:szCs w:val="21"/>
                    </w:rPr>
                  </w:pPr>
                  <w:r>
                    <w:rPr>
                      <w:rFonts w:eastAsia="仿宋_GB2312"/>
                      <w:sz w:val="21"/>
                      <w:szCs w:val="21"/>
                    </w:rPr>
                    <w:t>0</w:t>
                  </w:r>
                </w:p>
              </w:tc>
              <w:tc>
                <w:tcPr>
                  <w:tcW w:w="603" w:type="pct"/>
                  <w:vAlign w:val="center"/>
                </w:tcPr>
                <w:p w14:paraId="4BA34B15">
                  <w:pPr>
                    <w:widowControl/>
                    <w:adjustRightInd w:val="0"/>
                    <w:snapToGrid w:val="0"/>
                    <w:jc w:val="center"/>
                    <w:textAlignment w:val="center"/>
                    <w:rPr>
                      <w:rFonts w:eastAsia="仿宋_GB2312"/>
                      <w:sz w:val="21"/>
                      <w:szCs w:val="21"/>
                    </w:rPr>
                  </w:pPr>
                  <w:r>
                    <w:rPr>
                      <w:rFonts w:eastAsia="仿宋_GB2312"/>
                      <w:sz w:val="21"/>
                      <w:szCs w:val="21"/>
                    </w:rPr>
                    <w:t>0</w:t>
                  </w:r>
                </w:p>
              </w:tc>
              <w:tc>
                <w:tcPr>
                  <w:tcW w:w="692" w:type="pct"/>
                  <w:vAlign w:val="center"/>
                </w:tcPr>
                <w:p w14:paraId="1F739686">
                  <w:pPr>
                    <w:widowControl/>
                    <w:jc w:val="center"/>
                    <w:textAlignment w:val="center"/>
                    <w:rPr>
                      <w:rFonts w:eastAsia="仿宋_GB2312"/>
                      <w:kern w:val="0"/>
                      <w:sz w:val="21"/>
                      <w:szCs w:val="21"/>
                    </w:rPr>
                  </w:pPr>
                  <w:r>
                    <w:rPr>
                      <w:rFonts w:eastAsia="仿宋_GB2312"/>
                      <w:kern w:val="0"/>
                      <w:sz w:val="21"/>
                      <w:szCs w:val="21"/>
                    </w:rPr>
                    <w:t>2.6</w:t>
                  </w:r>
                </w:p>
              </w:tc>
              <w:tc>
                <w:tcPr>
                  <w:tcW w:w="762" w:type="pct"/>
                  <w:vAlign w:val="center"/>
                </w:tcPr>
                <w:p w14:paraId="1B9E5BED">
                  <w:pPr>
                    <w:widowControl/>
                    <w:adjustRightInd w:val="0"/>
                    <w:snapToGrid w:val="0"/>
                    <w:jc w:val="center"/>
                    <w:textAlignment w:val="center"/>
                    <w:rPr>
                      <w:rFonts w:eastAsia="仿宋_GB2312"/>
                      <w:sz w:val="21"/>
                      <w:szCs w:val="21"/>
                    </w:rPr>
                  </w:pPr>
                  <w:r>
                    <w:rPr>
                      <w:rFonts w:eastAsia="仿宋_GB2312"/>
                      <w:sz w:val="21"/>
                      <w:szCs w:val="21"/>
                    </w:rPr>
                    <w:t>0</w:t>
                  </w:r>
                </w:p>
              </w:tc>
            </w:tr>
            <w:tr w14:paraId="596B61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8" w:type="pct"/>
                  <w:vMerge w:val="continue"/>
                  <w:vAlign w:val="center"/>
                </w:tcPr>
                <w:p w14:paraId="7DF7A2FA">
                  <w:pPr>
                    <w:pStyle w:val="56"/>
                    <w:spacing w:beforeLines="0" w:afterLines="0" w:line="240" w:lineRule="auto"/>
                    <w:rPr>
                      <w:rFonts w:ascii="Times New Roman" w:eastAsia="仿宋_GB2312"/>
                      <w:sz w:val="21"/>
                      <w:szCs w:val="21"/>
                    </w:rPr>
                  </w:pPr>
                </w:p>
              </w:tc>
              <w:tc>
                <w:tcPr>
                  <w:tcW w:w="286" w:type="pct"/>
                  <w:vMerge w:val="continue"/>
                  <w:vAlign w:val="center"/>
                </w:tcPr>
                <w:p w14:paraId="4DE5E530">
                  <w:pPr>
                    <w:adjustRightInd w:val="0"/>
                    <w:snapToGrid w:val="0"/>
                    <w:jc w:val="center"/>
                    <w:rPr>
                      <w:rFonts w:eastAsia="仿宋_GB2312"/>
                      <w:kern w:val="0"/>
                      <w:sz w:val="21"/>
                      <w:szCs w:val="21"/>
                    </w:rPr>
                  </w:pPr>
                </w:p>
              </w:tc>
              <w:tc>
                <w:tcPr>
                  <w:tcW w:w="269" w:type="pct"/>
                  <w:vMerge w:val="continue"/>
                  <w:vAlign w:val="center"/>
                </w:tcPr>
                <w:p w14:paraId="234A9F14">
                  <w:pPr>
                    <w:adjustRightInd w:val="0"/>
                    <w:snapToGrid w:val="0"/>
                    <w:jc w:val="center"/>
                    <w:rPr>
                      <w:rFonts w:eastAsia="仿宋_GB2312"/>
                      <w:kern w:val="0"/>
                      <w:sz w:val="21"/>
                      <w:szCs w:val="21"/>
                    </w:rPr>
                  </w:pPr>
                </w:p>
              </w:tc>
              <w:tc>
                <w:tcPr>
                  <w:tcW w:w="705" w:type="pct"/>
                  <w:vAlign w:val="center"/>
                </w:tcPr>
                <w:p w14:paraId="1A5F9A34">
                  <w:pPr>
                    <w:widowControl/>
                    <w:jc w:val="center"/>
                    <w:textAlignment w:val="center"/>
                    <w:rPr>
                      <w:rFonts w:eastAsia="仿宋_GB2312"/>
                      <w:kern w:val="0"/>
                      <w:sz w:val="21"/>
                      <w:szCs w:val="21"/>
                    </w:rPr>
                  </w:pPr>
                  <w:r>
                    <w:rPr>
                      <w:rFonts w:eastAsia="仿宋_GB2312"/>
                      <w:kern w:val="0"/>
                      <w:sz w:val="21"/>
                      <w:szCs w:val="21"/>
                    </w:rPr>
                    <w:t>烟尘</w:t>
                  </w:r>
                </w:p>
              </w:tc>
              <w:tc>
                <w:tcPr>
                  <w:tcW w:w="692" w:type="pct"/>
                  <w:vAlign w:val="center"/>
                </w:tcPr>
                <w:p w14:paraId="6EC85063">
                  <w:pPr>
                    <w:widowControl/>
                    <w:jc w:val="center"/>
                    <w:textAlignment w:val="center"/>
                    <w:rPr>
                      <w:rFonts w:eastAsia="仿宋_GB2312"/>
                      <w:kern w:val="0"/>
                      <w:sz w:val="21"/>
                      <w:szCs w:val="21"/>
                    </w:rPr>
                  </w:pPr>
                  <w:r>
                    <w:rPr>
                      <w:rFonts w:eastAsia="仿宋_GB2312"/>
                      <w:kern w:val="0"/>
                      <w:sz w:val="21"/>
                      <w:szCs w:val="21"/>
                    </w:rPr>
                    <w:t>0.133</w:t>
                  </w:r>
                </w:p>
              </w:tc>
              <w:tc>
                <w:tcPr>
                  <w:tcW w:w="563" w:type="pct"/>
                  <w:vAlign w:val="center"/>
                </w:tcPr>
                <w:p w14:paraId="0554CACD">
                  <w:pPr>
                    <w:widowControl/>
                    <w:adjustRightInd w:val="0"/>
                    <w:snapToGrid w:val="0"/>
                    <w:jc w:val="center"/>
                    <w:textAlignment w:val="center"/>
                    <w:rPr>
                      <w:rFonts w:eastAsia="仿宋_GB2312"/>
                      <w:sz w:val="21"/>
                      <w:szCs w:val="21"/>
                    </w:rPr>
                  </w:pPr>
                  <w:r>
                    <w:rPr>
                      <w:rFonts w:eastAsia="仿宋_GB2312"/>
                      <w:sz w:val="21"/>
                      <w:szCs w:val="21"/>
                    </w:rPr>
                    <w:t>0</w:t>
                  </w:r>
                </w:p>
              </w:tc>
              <w:tc>
                <w:tcPr>
                  <w:tcW w:w="603" w:type="pct"/>
                  <w:vAlign w:val="center"/>
                </w:tcPr>
                <w:p w14:paraId="24D26ED1">
                  <w:pPr>
                    <w:widowControl/>
                    <w:adjustRightInd w:val="0"/>
                    <w:snapToGrid w:val="0"/>
                    <w:jc w:val="center"/>
                    <w:textAlignment w:val="center"/>
                    <w:rPr>
                      <w:rFonts w:eastAsia="仿宋_GB2312"/>
                      <w:sz w:val="21"/>
                      <w:szCs w:val="21"/>
                    </w:rPr>
                  </w:pPr>
                  <w:r>
                    <w:rPr>
                      <w:rFonts w:eastAsia="仿宋_GB2312"/>
                      <w:sz w:val="21"/>
                      <w:szCs w:val="21"/>
                    </w:rPr>
                    <w:t>0</w:t>
                  </w:r>
                </w:p>
              </w:tc>
              <w:tc>
                <w:tcPr>
                  <w:tcW w:w="692" w:type="pct"/>
                  <w:vAlign w:val="center"/>
                </w:tcPr>
                <w:p w14:paraId="750E2956">
                  <w:pPr>
                    <w:widowControl/>
                    <w:jc w:val="center"/>
                    <w:textAlignment w:val="center"/>
                    <w:rPr>
                      <w:rFonts w:eastAsia="仿宋_GB2312"/>
                      <w:kern w:val="0"/>
                      <w:sz w:val="21"/>
                      <w:szCs w:val="21"/>
                    </w:rPr>
                  </w:pPr>
                  <w:r>
                    <w:rPr>
                      <w:rFonts w:eastAsia="仿宋_GB2312"/>
                      <w:kern w:val="0"/>
                      <w:sz w:val="21"/>
                      <w:szCs w:val="21"/>
                    </w:rPr>
                    <w:t>0.133</w:t>
                  </w:r>
                </w:p>
              </w:tc>
              <w:tc>
                <w:tcPr>
                  <w:tcW w:w="762" w:type="pct"/>
                  <w:vAlign w:val="center"/>
                </w:tcPr>
                <w:p w14:paraId="4B875200">
                  <w:pPr>
                    <w:widowControl/>
                    <w:adjustRightInd w:val="0"/>
                    <w:snapToGrid w:val="0"/>
                    <w:jc w:val="center"/>
                    <w:textAlignment w:val="center"/>
                    <w:rPr>
                      <w:rFonts w:eastAsia="仿宋_GB2312"/>
                      <w:sz w:val="21"/>
                      <w:szCs w:val="21"/>
                    </w:rPr>
                  </w:pPr>
                  <w:r>
                    <w:rPr>
                      <w:rFonts w:eastAsia="仿宋_GB2312"/>
                      <w:sz w:val="21"/>
                      <w:szCs w:val="21"/>
                    </w:rPr>
                    <w:t>0</w:t>
                  </w:r>
                </w:p>
              </w:tc>
            </w:tr>
            <w:tr w14:paraId="71E466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8" w:type="pct"/>
                  <w:vMerge w:val="continue"/>
                  <w:vAlign w:val="center"/>
                </w:tcPr>
                <w:p w14:paraId="3622D431">
                  <w:pPr>
                    <w:pStyle w:val="56"/>
                    <w:spacing w:beforeLines="0" w:afterLines="0" w:line="240" w:lineRule="auto"/>
                    <w:rPr>
                      <w:rFonts w:ascii="Times New Roman" w:eastAsia="仿宋_GB2312"/>
                      <w:sz w:val="21"/>
                      <w:szCs w:val="21"/>
                    </w:rPr>
                  </w:pPr>
                </w:p>
              </w:tc>
              <w:tc>
                <w:tcPr>
                  <w:tcW w:w="286" w:type="pct"/>
                  <w:vMerge w:val="continue"/>
                  <w:vAlign w:val="center"/>
                </w:tcPr>
                <w:p w14:paraId="2FC4B2CD">
                  <w:pPr>
                    <w:adjustRightInd w:val="0"/>
                    <w:snapToGrid w:val="0"/>
                    <w:jc w:val="center"/>
                    <w:rPr>
                      <w:rFonts w:eastAsia="仿宋_GB2312"/>
                      <w:kern w:val="0"/>
                      <w:sz w:val="21"/>
                      <w:szCs w:val="21"/>
                    </w:rPr>
                  </w:pPr>
                </w:p>
              </w:tc>
              <w:tc>
                <w:tcPr>
                  <w:tcW w:w="269" w:type="pct"/>
                  <w:vMerge w:val="restart"/>
                  <w:vAlign w:val="center"/>
                </w:tcPr>
                <w:p w14:paraId="5C2100C9">
                  <w:pPr>
                    <w:adjustRightInd w:val="0"/>
                    <w:snapToGrid w:val="0"/>
                    <w:jc w:val="center"/>
                    <w:rPr>
                      <w:rFonts w:eastAsia="仿宋_GB2312"/>
                      <w:kern w:val="0"/>
                      <w:sz w:val="21"/>
                      <w:szCs w:val="21"/>
                    </w:rPr>
                  </w:pPr>
                  <w:r>
                    <w:rPr>
                      <w:rFonts w:hint="eastAsia" w:eastAsia="仿宋_GB2312"/>
                      <w:kern w:val="0"/>
                      <w:sz w:val="21"/>
                      <w:szCs w:val="21"/>
                    </w:rPr>
                    <w:t>无组织</w:t>
                  </w:r>
                </w:p>
              </w:tc>
              <w:tc>
                <w:tcPr>
                  <w:tcW w:w="705" w:type="pct"/>
                  <w:vAlign w:val="center"/>
                </w:tcPr>
                <w:p w14:paraId="26EE0880">
                  <w:pPr>
                    <w:widowControl/>
                    <w:jc w:val="center"/>
                    <w:textAlignment w:val="center"/>
                    <w:rPr>
                      <w:rFonts w:eastAsia="仿宋_GB2312"/>
                      <w:kern w:val="0"/>
                      <w:sz w:val="21"/>
                      <w:szCs w:val="21"/>
                    </w:rPr>
                  </w:pPr>
                  <w:r>
                    <w:rPr>
                      <w:rFonts w:hint="eastAsia" w:eastAsia="仿宋_GB2312"/>
                      <w:kern w:val="0"/>
                      <w:sz w:val="21"/>
                      <w:szCs w:val="21"/>
                    </w:rPr>
                    <w:t>非甲烷总烃</w:t>
                  </w:r>
                </w:p>
              </w:tc>
              <w:tc>
                <w:tcPr>
                  <w:tcW w:w="692" w:type="pct"/>
                  <w:vAlign w:val="center"/>
                </w:tcPr>
                <w:p w14:paraId="138028DF">
                  <w:pPr>
                    <w:widowControl/>
                    <w:jc w:val="center"/>
                    <w:textAlignment w:val="center"/>
                    <w:rPr>
                      <w:rFonts w:eastAsia="仿宋_GB2312"/>
                      <w:kern w:val="0"/>
                      <w:sz w:val="21"/>
                      <w:szCs w:val="21"/>
                    </w:rPr>
                  </w:pPr>
                  <w:r>
                    <w:rPr>
                      <w:rFonts w:hint="eastAsia" w:eastAsia="仿宋_GB2312"/>
                      <w:kern w:val="0"/>
                      <w:sz w:val="21"/>
                      <w:szCs w:val="21"/>
                    </w:rPr>
                    <w:t>0.76</w:t>
                  </w:r>
                </w:p>
              </w:tc>
              <w:tc>
                <w:tcPr>
                  <w:tcW w:w="563" w:type="pct"/>
                  <w:vAlign w:val="center"/>
                </w:tcPr>
                <w:p w14:paraId="4AE1ABAA">
                  <w:pPr>
                    <w:widowControl/>
                    <w:adjustRightInd w:val="0"/>
                    <w:snapToGrid w:val="0"/>
                    <w:jc w:val="center"/>
                    <w:textAlignment w:val="center"/>
                    <w:rPr>
                      <w:rFonts w:eastAsia="仿宋_GB2312"/>
                      <w:sz w:val="21"/>
                      <w:szCs w:val="21"/>
                    </w:rPr>
                  </w:pPr>
                  <w:r>
                    <w:rPr>
                      <w:rFonts w:hint="eastAsia" w:eastAsia="仿宋_GB2312"/>
                      <w:sz w:val="21"/>
                      <w:szCs w:val="21"/>
                    </w:rPr>
                    <w:t>0</w:t>
                  </w:r>
                </w:p>
              </w:tc>
              <w:tc>
                <w:tcPr>
                  <w:tcW w:w="603" w:type="pct"/>
                  <w:vAlign w:val="center"/>
                </w:tcPr>
                <w:p w14:paraId="2CC2C67D">
                  <w:pPr>
                    <w:widowControl/>
                    <w:adjustRightInd w:val="0"/>
                    <w:snapToGrid w:val="0"/>
                    <w:jc w:val="center"/>
                    <w:textAlignment w:val="center"/>
                    <w:rPr>
                      <w:rFonts w:eastAsia="仿宋_GB2312"/>
                      <w:sz w:val="21"/>
                      <w:szCs w:val="21"/>
                    </w:rPr>
                  </w:pPr>
                  <w:r>
                    <w:rPr>
                      <w:rFonts w:hint="eastAsia" w:eastAsia="仿宋_GB2312"/>
                      <w:sz w:val="21"/>
                      <w:szCs w:val="21"/>
                    </w:rPr>
                    <w:t>0.01</w:t>
                  </w:r>
                </w:p>
              </w:tc>
              <w:tc>
                <w:tcPr>
                  <w:tcW w:w="692" w:type="pct"/>
                  <w:vAlign w:val="center"/>
                </w:tcPr>
                <w:p w14:paraId="6B263BC0">
                  <w:pPr>
                    <w:widowControl/>
                    <w:jc w:val="center"/>
                    <w:textAlignment w:val="center"/>
                    <w:rPr>
                      <w:rFonts w:eastAsia="仿宋_GB2312"/>
                      <w:kern w:val="0"/>
                      <w:sz w:val="21"/>
                      <w:szCs w:val="21"/>
                    </w:rPr>
                  </w:pPr>
                  <w:r>
                    <w:rPr>
                      <w:rFonts w:hint="eastAsia" w:eastAsia="仿宋_GB2312"/>
                      <w:kern w:val="0"/>
                      <w:sz w:val="21"/>
                      <w:szCs w:val="21"/>
                    </w:rPr>
                    <w:t>0.77</w:t>
                  </w:r>
                </w:p>
              </w:tc>
              <w:tc>
                <w:tcPr>
                  <w:tcW w:w="762" w:type="pct"/>
                  <w:vAlign w:val="center"/>
                </w:tcPr>
                <w:p w14:paraId="2050387A">
                  <w:pPr>
                    <w:widowControl/>
                    <w:adjustRightInd w:val="0"/>
                    <w:snapToGrid w:val="0"/>
                    <w:jc w:val="center"/>
                    <w:textAlignment w:val="center"/>
                    <w:rPr>
                      <w:rFonts w:eastAsia="仿宋_GB2312"/>
                      <w:sz w:val="21"/>
                      <w:szCs w:val="21"/>
                    </w:rPr>
                  </w:pPr>
                  <w:r>
                    <w:rPr>
                      <w:rFonts w:hint="eastAsia" w:eastAsia="仿宋_GB2312"/>
                      <w:sz w:val="21"/>
                      <w:szCs w:val="21"/>
                      <w:lang w:val="en-US" w:eastAsia="zh-CN"/>
                    </w:rPr>
                    <w:t>+</w:t>
                  </w:r>
                  <w:r>
                    <w:rPr>
                      <w:rFonts w:hint="eastAsia" w:eastAsia="仿宋_GB2312"/>
                      <w:sz w:val="21"/>
                      <w:szCs w:val="21"/>
                    </w:rPr>
                    <w:t>0.01</w:t>
                  </w:r>
                </w:p>
              </w:tc>
            </w:tr>
            <w:tr w14:paraId="71D6E9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8" w:type="pct"/>
                  <w:vMerge w:val="continue"/>
                  <w:vAlign w:val="center"/>
                </w:tcPr>
                <w:p w14:paraId="18E0850E">
                  <w:pPr>
                    <w:pStyle w:val="56"/>
                    <w:spacing w:beforeLines="0" w:afterLines="0" w:line="240" w:lineRule="auto"/>
                    <w:rPr>
                      <w:rFonts w:ascii="Times New Roman" w:eastAsia="仿宋_GB2312"/>
                      <w:sz w:val="21"/>
                      <w:szCs w:val="21"/>
                    </w:rPr>
                  </w:pPr>
                </w:p>
              </w:tc>
              <w:tc>
                <w:tcPr>
                  <w:tcW w:w="286" w:type="pct"/>
                  <w:vMerge w:val="continue"/>
                  <w:vAlign w:val="center"/>
                </w:tcPr>
                <w:p w14:paraId="6F8EAA57">
                  <w:pPr>
                    <w:adjustRightInd w:val="0"/>
                    <w:snapToGrid w:val="0"/>
                    <w:jc w:val="center"/>
                    <w:rPr>
                      <w:rFonts w:eastAsia="仿宋_GB2312"/>
                      <w:kern w:val="0"/>
                      <w:sz w:val="21"/>
                      <w:szCs w:val="21"/>
                    </w:rPr>
                  </w:pPr>
                </w:p>
              </w:tc>
              <w:tc>
                <w:tcPr>
                  <w:tcW w:w="269" w:type="pct"/>
                  <w:vMerge w:val="continue"/>
                  <w:vAlign w:val="center"/>
                </w:tcPr>
                <w:p w14:paraId="7BF563AF">
                  <w:pPr>
                    <w:adjustRightInd w:val="0"/>
                    <w:snapToGrid w:val="0"/>
                    <w:jc w:val="center"/>
                    <w:rPr>
                      <w:rFonts w:eastAsia="仿宋_GB2312"/>
                      <w:kern w:val="0"/>
                      <w:sz w:val="21"/>
                      <w:szCs w:val="21"/>
                    </w:rPr>
                  </w:pPr>
                </w:p>
              </w:tc>
              <w:tc>
                <w:tcPr>
                  <w:tcW w:w="705" w:type="pct"/>
                  <w:vAlign w:val="center"/>
                </w:tcPr>
                <w:p w14:paraId="44B1BBC1">
                  <w:pPr>
                    <w:widowControl/>
                    <w:jc w:val="center"/>
                    <w:textAlignment w:val="center"/>
                    <w:rPr>
                      <w:rFonts w:eastAsia="仿宋_GB2312"/>
                      <w:kern w:val="0"/>
                      <w:sz w:val="21"/>
                      <w:szCs w:val="21"/>
                    </w:rPr>
                  </w:pPr>
                  <w:r>
                    <w:rPr>
                      <w:rFonts w:hint="eastAsia" w:eastAsia="仿宋_GB2312"/>
                      <w:kern w:val="0"/>
                      <w:sz w:val="21"/>
                      <w:szCs w:val="21"/>
                    </w:rPr>
                    <w:t>颗粒物</w:t>
                  </w:r>
                </w:p>
              </w:tc>
              <w:tc>
                <w:tcPr>
                  <w:tcW w:w="692" w:type="pct"/>
                  <w:vAlign w:val="center"/>
                </w:tcPr>
                <w:p w14:paraId="036C928C">
                  <w:pPr>
                    <w:widowControl/>
                    <w:jc w:val="center"/>
                    <w:textAlignment w:val="center"/>
                    <w:rPr>
                      <w:rFonts w:eastAsia="仿宋_GB2312"/>
                      <w:kern w:val="0"/>
                      <w:sz w:val="21"/>
                      <w:szCs w:val="21"/>
                    </w:rPr>
                  </w:pPr>
                  <w:r>
                    <w:rPr>
                      <w:rFonts w:hint="eastAsia" w:eastAsia="仿宋_GB2312"/>
                      <w:kern w:val="0"/>
                      <w:sz w:val="21"/>
                      <w:szCs w:val="21"/>
                    </w:rPr>
                    <w:t>0</w:t>
                  </w:r>
                </w:p>
              </w:tc>
              <w:tc>
                <w:tcPr>
                  <w:tcW w:w="563" w:type="pct"/>
                  <w:vAlign w:val="center"/>
                </w:tcPr>
                <w:p w14:paraId="1659246B">
                  <w:pPr>
                    <w:widowControl/>
                    <w:adjustRightInd w:val="0"/>
                    <w:snapToGrid w:val="0"/>
                    <w:jc w:val="center"/>
                    <w:textAlignment w:val="center"/>
                    <w:rPr>
                      <w:rFonts w:eastAsia="仿宋_GB2312"/>
                      <w:sz w:val="21"/>
                      <w:szCs w:val="21"/>
                    </w:rPr>
                  </w:pPr>
                  <w:r>
                    <w:rPr>
                      <w:rFonts w:hint="eastAsia" w:eastAsia="仿宋_GB2312"/>
                      <w:sz w:val="21"/>
                      <w:szCs w:val="21"/>
                    </w:rPr>
                    <w:t>0</w:t>
                  </w:r>
                </w:p>
              </w:tc>
              <w:tc>
                <w:tcPr>
                  <w:tcW w:w="603" w:type="pct"/>
                  <w:vAlign w:val="center"/>
                </w:tcPr>
                <w:p w14:paraId="22126572">
                  <w:pPr>
                    <w:widowControl/>
                    <w:adjustRightInd w:val="0"/>
                    <w:snapToGrid w:val="0"/>
                    <w:jc w:val="center"/>
                    <w:textAlignment w:val="center"/>
                    <w:rPr>
                      <w:rFonts w:hint="default" w:eastAsia="仿宋_GB2312"/>
                      <w:sz w:val="21"/>
                      <w:szCs w:val="21"/>
                      <w:lang w:val="en-US" w:eastAsia="zh-CN"/>
                    </w:rPr>
                  </w:pPr>
                  <w:r>
                    <w:rPr>
                      <w:rFonts w:hint="eastAsia" w:eastAsia="仿宋_GB2312"/>
                      <w:sz w:val="21"/>
                      <w:szCs w:val="21"/>
                    </w:rPr>
                    <w:t>0.0</w:t>
                  </w:r>
                  <w:r>
                    <w:rPr>
                      <w:rFonts w:hint="eastAsia" w:eastAsia="仿宋_GB2312"/>
                      <w:sz w:val="21"/>
                      <w:szCs w:val="21"/>
                      <w:lang w:val="en-US" w:eastAsia="zh-CN"/>
                    </w:rPr>
                    <w:t>719</w:t>
                  </w:r>
                </w:p>
              </w:tc>
              <w:tc>
                <w:tcPr>
                  <w:tcW w:w="692" w:type="pct"/>
                  <w:vAlign w:val="center"/>
                </w:tcPr>
                <w:p w14:paraId="215C057E">
                  <w:pPr>
                    <w:widowControl/>
                    <w:jc w:val="center"/>
                    <w:textAlignment w:val="center"/>
                    <w:rPr>
                      <w:rFonts w:eastAsia="仿宋_GB2312"/>
                      <w:kern w:val="0"/>
                      <w:sz w:val="21"/>
                      <w:szCs w:val="21"/>
                    </w:rPr>
                  </w:pPr>
                  <w:r>
                    <w:rPr>
                      <w:rFonts w:hint="eastAsia" w:eastAsia="仿宋_GB2312"/>
                      <w:sz w:val="21"/>
                      <w:szCs w:val="21"/>
                    </w:rPr>
                    <w:t>0.0</w:t>
                  </w:r>
                  <w:r>
                    <w:rPr>
                      <w:rFonts w:hint="eastAsia" w:eastAsia="仿宋_GB2312"/>
                      <w:sz w:val="21"/>
                      <w:szCs w:val="21"/>
                      <w:lang w:val="en-US" w:eastAsia="zh-CN"/>
                    </w:rPr>
                    <w:t>719</w:t>
                  </w:r>
                </w:p>
              </w:tc>
              <w:tc>
                <w:tcPr>
                  <w:tcW w:w="762" w:type="pct"/>
                  <w:vAlign w:val="center"/>
                </w:tcPr>
                <w:p w14:paraId="60F39869">
                  <w:pPr>
                    <w:widowControl/>
                    <w:adjustRightInd w:val="0"/>
                    <w:snapToGrid w:val="0"/>
                    <w:jc w:val="center"/>
                    <w:textAlignment w:val="center"/>
                    <w:rPr>
                      <w:rFonts w:eastAsia="仿宋_GB2312"/>
                      <w:sz w:val="21"/>
                      <w:szCs w:val="21"/>
                    </w:rPr>
                  </w:pPr>
                  <w:r>
                    <w:rPr>
                      <w:rFonts w:hint="eastAsia" w:eastAsia="仿宋_GB2312"/>
                      <w:sz w:val="21"/>
                      <w:szCs w:val="21"/>
                      <w:lang w:val="en-US" w:eastAsia="zh-CN"/>
                    </w:rPr>
                    <w:t>+</w:t>
                  </w:r>
                  <w:r>
                    <w:rPr>
                      <w:rFonts w:hint="eastAsia" w:eastAsia="仿宋_GB2312"/>
                      <w:sz w:val="21"/>
                      <w:szCs w:val="21"/>
                    </w:rPr>
                    <w:t>0.0</w:t>
                  </w:r>
                  <w:r>
                    <w:rPr>
                      <w:rFonts w:hint="eastAsia" w:eastAsia="仿宋_GB2312"/>
                      <w:sz w:val="21"/>
                      <w:szCs w:val="21"/>
                      <w:lang w:val="en-US" w:eastAsia="zh-CN"/>
                    </w:rPr>
                    <w:t>719</w:t>
                  </w:r>
                </w:p>
              </w:tc>
            </w:tr>
            <w:tr w14:paraId="1EF527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8" w:type="pct"/>
                  <w:vMerge w:val="continue"/>
                  <w:vAlign w:val="center"/>
                </w:tcPr>
                <w:p w14:paraId="388A41B7">
                  <w:pPr>
                    <w:pStyle w:val="56"/>
                    <w:spacing w:beforeLines="0" w:afterLines="0" w:line="240" w:lineRule="auto"/>
                    <w:rPr>
                      <w:rFonts w:ascii="Times New Roman" w:eastAsia="仿宋_GB2312"/>
                      <w:sz w:val="21"/>
                      <w:szCs w:val="21"/>
                    </w:rPr>
                  </w:pPr>
                </w:p>
              </w:tc>
              <w:tc>
                <w:tcPr>
                  <w:tcW w:w="286" w:type="pct"/>
                  <w:vMerge w:val="continue"/>
                  <w:vAlign w:val="center"/>
                </w:tcPr>
                <w:p w14:paraId="163E95BE">
                  <w:pPr>
                    <w:adjustRightInd w:val="0"/>
                    <w:snapToGrid w:val="0"/>
                    <w:jc w:val="center"/>
                    <w:rPr>
                      <w:rFonts w:eastAsia="仿宋_GB2312"/>
                      <w:kern w:val="0"/>
                      <w:sz w:val="21"/>
                      <w:szCs w:val="21"/>
                    </w:rPr>
                  </w:pPr>
                </w:p>
              </w:tc>
              <w:tc>
                <w:tcPr>
                  <w:tcW w:w="269" w:type="pct"/>
                  <w:vMerge w:val="continue"/>
                  <w:vAlign w:val="center"/>
                </w:tcPr>
                <w:p w14:paraId="368E13B2">
                  <w:pPr>
                    <w:adjustRightInd w:val="0"/>
                    <w:snapToGrid w:val="0"/>
                    <w:jc w:val="center"/>
                    <w:rPr>
                      <w:rFonts w:eastAsia="仿宋_GB2312"/>
                      <w:kern w:val="0"/>
                      <w:sz w:val="21"/>
                      <w:szCs w:val="21"/>
                    </w:rPr>
                  </w:pPr>
                </w:p>
              </w:tc>
              <w:tc>
                <w:tcPr>
                  <w:tcW w:w="705" w:type="pct"/>
                  <w:vAlign w:val="center"/>
                </w:tcPr>
                <w:p w14:paraId="4AEE028B">
                  <w:pPr>
                    <w:widowControl/>
                    <w:jc w:val="center"/>
                    <w:textAlignment w:val="center"/>
                    <w:rPr>
                      <w:rFonts w:eastAsia="仿宋_GB2312"/>
                      <w:kern w:val="0"/>
                      <w:sz w:val="21"/>
                      <w:szCs w:val="21"/>
                    </w:rPr>
                  </w:pPr>
                  <w:r>
                    <w:rPr>
                      <w:rFonts w:hint="eastAsia" w:eastAsia="仿宋_GB2312"/>
                      <w:kern w:val="0"/>
                      <w:sz w:val="21"/>
                      <w:szCs w:val="21"/>
                    </w:rPr>
                    <w:t>HCl</w:t>
                  </w:r>
                </w:p>
              </w:tc>
              <w:tc>
                <w:tcPr>
                  <w:tcW w:w="692" w:type="pct"/>
                  <w:vAlign w:val="center"/>
                </w:tcPr>
                <w:p w14:paraId="46D6B44B">
                  <w:pPr>
                    <w:widowControl/>
                    <w:jc w:val="center"/>
                    <w:textAlignment w:val="center"/>
                    <w:rPr>
                      <w:rFonts w:eastAsia="仿宋_GB2312"/>
                      <w:kern w:val="0"/>
                      <w:sz w:val="21"/>
                      <w:szCs w:val="21"/>
                    </w:rPr>
                  </w:pPr>
                  <w:r>
                    <w:rPr>
                      <w:rFonts w:hint="eastAsia" w:eastAsia="仿宋_GB2312"/>
                      <w:kern w:val="0"/>
                      <w:sz w:val="21"/>
                      <w:szCs w:val="21"/>
                    </w:rPr>
                    <w:t>0</w:t>
                  </w:r>
                </w:p>
              </w:tc>
              <w:tc>
                <w:tcPr>
                  <w:tcW w:w="563" w:type="pct"/>
                  <w:vAlign w:val="center"/>
                </w:tcPr>
                <w:p w14:paraId="04011BBF">
                  <w:pPr>
                    <w:widowControl/>
                    <w:adjustRightInd w:val="0"/>
                    <w:snapToGrid w:val="0"/>
                    <w:jc w:val="center"/>
                    <w:textAlignment w:val="center"/>
                    <w:rPr>
                      <w:rFonts w:eastAsia="仿宋_GB2312"/>
                      <w:sz w:val="21"/>
                      <w:szCs w:val="21"/>
                    </w:rPr>
                  </w:pPr>
                  <w:r>
                    <w:rPr>
                      <w:rFonts w:hint="eastAsia" w:eastAsia="仿宋_GB2312"/>
                      <w:sz w:val="21"/>
                      <w:szCs w:val="21"/>
                    </w:rPr>
                    <w:t>0</w:t>
                  </w:r>
                </w:p>
              </w:tc>
              <w:tc>
                <w:tcPr>
                  <w:tcW w:w="603" w:type="pct"/>
                  <w:vAlign w:val="center"/>
                </w:tcPr>
                <w:p w14:paraId="0F300CA7">
                  <w:pPr>
                    <w:widowControl/>
                    <w:adjustRightInd w:val="0"/>
                    <w:snapToGrid w:val="0"/>
                    <w:jc w:val="center"/>
                    <w:textAlignment w:val="center"/>
                    <w:rPr>
                      <w:rFonts w:eastAsia="仿宋_GB2312"/>
                      <w:sz w:val="21"/>
                      <w:szCs w:val="21"/>
                    </w:rPr>
                  </w:pPr>
                  <w:r>
                    <w:rPr>
                      <w:rFonts w:hint="eastAsia" w:eastAsia="仿宋_GB2312"/>
                      <w:sz w:val="21"/>
                      <w:szCs w:val="21"/>
                    </w:rPr>
                    <w:t>0.01</w:t>
                  </w:r>
                </w:p>
              </w:tc>
              <w:tc>
                <w:tcPr>
                  <w:tcW w:w="692" w:type="pct"/>
                  <w:vAlign w:val="center"/>
                </w:tcPr>
                <w:p w14:paraId="3AB243A4">
                  <w:pPr>
                    <w:widowControl/>
                    <w:jc w:val="center"/>
                    <w:textAlignment w:val="center"/>
                    <w:rPr>
                      <w:rFonts w:eastAsia="仿宋_GB2312"/>
                      <w:kern w:val="0"/>
                      <w:sz w:val="21"/>
                      <w:szCs w:val="21"/>
                    </w:rPr>
                  </w:pPr>
                  <w:r>
                    <w:rPr>
                      <w:rFonts w:hint="eastAsia" w:eastAsia="仿宋_GB2312"/>
                      <w:kern w:val="0"/>
                      <w:sz w:val="21"/>
                      <w:szCs w:val="21"/>
                    </w:rPr>
                    <w:t>0.01</w:t>
                  </w:r>
                </w:p>
              </w:tc>
              <w:tc>
                <w:tcPr>
                  <w:tcW w:w="762" w:type="pct"/>
                  <w:vAlign w:val="center"/>
                </w:tcPr>
                <w:p w14:paraId="3135BC85">
                  <w:pPr>
                    <w:widowControl/>
                    <w:adjustRightInd w:val="0"/>
                    <w:snapToGrid w:val="0"/>
                    <w:jc w:val="center"/>
                    <w:textAlignment w:val="center"/>
                    <w:rPr>
                      <w:rFonts w:eastAsia="仿宋_GB2312"/>
                      <w:sz w:val="21"/>
                      <w:szCs w:val="21"/>
                    </w:rPr>
                  </w:pPr>
                  <w:r>
                    <w:rPr>
                      <w:rFonts w:hint="eastAsia" w:eastAsia="仿宋_GB2312"/>
                      <w:sz w:val="21"/>
                      <w:szCs w:val="21"/>
                      <w:lang w:val="en-US" w:eastAsia="zh-CN"/>
                    </w:rPr>
                    <w:t>+</w:t>
                  </w:r>
                  <w:r>
                    <w:rPr>
                      <w:rFonts w:hint="eastAsia" w:eastAsia="仿宋_GB2312"/>
                      <w:sz w:val="21"/>
                      <w:szCs w:val="21"/>
                    </w:rPr>
                    <w:t>0.01</w:t>
                  </w:r>
                </w:p>
              </w:tc>
            </w:tr>
            <w:tr w14:paraId="3BA4CD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8" w:type="pct"/>
                  <w:vMerge w:val="continue"/>
                  <w:vAlign w:val="center"/>
                </w:tcPr>
                <w:p w14:paraId="3610F187">
                  <w:pPr>
                    <w:pStyle w:val="56"/>
                    <w:spacing w:beforeLines="0" w:afterLines="0" w:line="240" w:lineRule="auto"/>
                    <w:rPr>
                      <w:rFonts w:ascii="Times New Roman" w:eastAsia="仿宋_GB2312"/>
                      <w:sz w:val="21"/>
                      <w:szCs w:val="21"/>
                    </w:rPr>
                  </w:pPr>
                </w:p>
              </w:tc>
              <w:tc>
                <w:tcPr>
                  <w:tcW w:w="555" w:type="pct"/>
                  <w:gridSpan w:val="2"/>
                  <w:vMerge w:val="restart"/>
                  <w:vAlign w:val="center"/>
                </w:tcPr>
                <w:p w14:paraId="41EE57B4">
                  <w:pPr>
                    <w:pStyle w:val="56"/>
                    <w:spacing w:beforeLines="0" w:afterLines="0" w:line="240" w:lineRule="auto"/>
                    <w:rPr>
                      <w:rFonts w:ascii="Times New Roman" w:eastAsia="仿宋_GB2312"/>
                      <w:sz w:val="21"/>
                      <w:szCs w:val="21"/>
                    </w:rPr>
                  </w:pPr>
                  <w:r>
                    <w:rPr>
                      <w:rFonts w:ascii="Times New Roman" w:eastAsia="仿宋_GB2312"/>
                      <w:sz w:val="21"/>
                      <w:szCs w:val="21"/>
                    </w:rPr>
                    <w:t>固体废物</w:t>
                  </w:r>
                </w:p>
              </w:tc>
              <w:tc>
                <w:tcPr>
                  <w:tcW w:w="705" w:type="pct"/>
                  <w:vAlign w:val="center"/>
                </w:tcPr>
                <w:p w14:paraId="683970E5">
                  <w:pPr>
                    <w:pStyle w:val="56"/>
                    <w:spacing w:beforeLines="0" w:afterLines="0" w:line="240" w:lineRule="auto"/>
                    <w:rPr>
                      <w:rFonts w:ascii="Times New Roman" w:eastAsia="仿宋_GB2312"/>
                      <w:sz w:val="21"/>
                      <w:szCs w:val="21"/>
                    </w:rPr>
                  </w:pPr>
                  <w:r>
                    <w:rPr>
                      <w:rFonts w:ascii="Times New Roman" w:eastAsia="仿宋_GB2312"/>
                      <w:sz w:val="21"/>
                      <w:szCs w:val="21"/>
                    </w:rPr>
                    <w:t>一般固废</w:t>
                  </w:r>
                </w:p>
              </w:tc>
              <w:tc>
                <w:tcPr>
                  <w:tcW w:w="692" w:type="pct"/>
                  <w:vAlign w:val="center"/>
                </w:tcPr>
                <w:p w14:paraId="2E399710">
                  <w:pPr>
                    <w:pStyle w:val="70"/>
                    <w:snapToGrid w:val="0"/>
                    <w:spacing w:line="240" w:lineRule="auto"/>
                    <w:rPr>
                      <w:rFonts w:eastAsia="仿宋_GB2312"/>
                      <w:sz w:val="21"/>
                      <w:szCs w:val="21"/>
                    </w:rPr>
                  </w:pPr>
                  <w:r>
                    <w:rPr>
                      <w:rFonts w:eastAsia="仿宋_GB2312"/>
                      <w:sz w:val="21"/>
                      <w:szCs w:val="21"/>
                    </w:rPr>
                    <w:t>0</w:t>
                  </w:r>
                </w:p>
              </w:tc>
              <w:tc>
                <w:tcPr>
                  <w:tcW w:w="563" w:type="pct"/>
                  <w:vAlign w:val="center"/>
                </w:tcPr>
                <w:p w14:paraId="392CFCDD">
                  <w:pPr>
                    <w:pStyle w:val="56"/>
                    <w:spacing w:beforeLines="0" w:afterLines="0" w:line="240" w:lineRule="auto"/>
                    <w:rPr>
                      <w:rFonts w:ascii="Times New Roman" w:eastAsia="仿宋_GB2312"/>
                      <w:sz w:val="21"/>
                      <w:szCs w:val="21"/>
                    </w:rPr>
                  </w:pPr>
                  <w:r>
                    <w:rPr>
                      <w:rFonts w:ascii="Times New Roman" w:eastAsia="仿宋_GB2312"/>
                      <w:sz w:val="21"/>
                      <w:szCs w:val="21"/>
                    </w:rPr>
                    <w:t>0</w:t>
                  </w:r>
                </w:p>
              </w:tc>
              <w:tc>
                <w:tcPr>
                  <w:tcW w:w="603" w:type="pct"/>
                  <w:vAlign w:val="center"/>
                </w:tcPr>
                <w:p w14:paraId="278FCD53">
                  <w:pPr>
                    <w:pStyle w:val="56"/>
                    <w:spacing w:beforeLines="0" w:afterLines="0" w:line="240" w:lineRule="auto"/>
                    <w:rPr>
                      <w:rFonts w:ascii="Times New Roman" w:eastAsia="仿宋_GB2312"/>
                      <w:sz w:val="21"/>
                      <w:szCs w:val="21"/>
                    </w:rPr>
                  </w:pPr>
                  <w:r>
                    <w:rPr>
                      <w:rFonts w:hint="eastAsia" w:ascii="Times New Roman" w:eastAsia="仿宋_GB2312"/>
                      <w:sz w:val="21"/>
                      <w:szCs w:val="21"/>
                    </w:rPr>
                    <w:t>0</w:t>
                  </w:r>
                </w:p>
              </w:tc>
              <w:tc>
                <w:tcPr>
                  <w:tcW w:w="692" w:type="pct"/>
                  <w:vAlign w:val="center"/>
                </w:tcPr>
                <w:p w14:paraId="342E5ED5">
                  <w:pPr>
                    <w:pStyle w:val="56"/>
                    <w:spacing w:beforeLines="0" w:afterLines="0" w:line="240" w:lineRule="auto"/>
                    <w:rPr>
                      <w:rFonts w:ascii="Times New Roman" w:eastAsia="仿宋_GB2312"/>
                      <w:sz w:val="21"/>
                      <w:szCs w:val="21"/>
                    </w:rPr>
                  </w:pPr>
                  <w:r>
                    <w:rPr>
                      <w:rFonts w:hint="eastAsia" w:ascii="Times New Roman" w:eastAsia="仿宋_GB2312"/>
                      <w:sz w:val="21"/>
                      <w:szCs w:val="21"/>
                    </w:rPr>
                    <w:t>0</w:t>
                  </w:r>
                </w:p>
              </w:tc>
              <w:tc>
                <w:tcPr>
                  <w:tcW w:w="762" w:type="pct"/>
                  <w:vAlign w:val="center"/>
                </w:tcPr>
                <w:p w14:paraId="24725AF5">
                  <w:pPr>
                    <w:pStyle w:val="56"/>
                    <w:spacing w:beforeLines="0" w:afterLines="0" w:line="240" w:lineRule="auto"/>
                    <w:rPr>
                      <w:rFonts w:ascii="Times New Roman" w:eastAsia="仿宋_GB2312"/>
                      <w:sz w:val="21"/>
                      <w:szCs w:val="21"/>
                    </w:rPr>
                  </w:pPr>
                  <w:r>
                    <w:rPr>
                      <w:rFonts w:hint="eastAsia" w:ascii="Times New Roman" w:eastAsia="仿宋_GB2312"/>
                      <w:sz w:val="21"/>
                      <w:szCs w:val="21"/>
                    </w:rPr>
                    <w:t>0</w:t>
                  </w:r>
                </w:p>
              </w:tc>
            </w:tr>
            <w:tr w14:paraId="038440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8" w:type="pct"/>
                  <w:vMerge w:val="continue"/>
                  <w:vAlign w:val="center"/>
                </w:tcPr>
                <w:p w14:paraId="6AEEF1C2">
                  <w:pPr>
                    <w:pStyle w:val="56"/>
                    <w:spacing w:beforeLines="0" w:afterLines="0" w:line="240" w:lineRule="auto"/>
                    <w:rPr>
                      <w:rFonts w:ascii="Times New Roman" w:eastAsia="仿宋_GB2312"/>
                      <w:sz w:val="21"/>
                      <w:szCs w:val="21"/>
                    </w:rPr>
                  </w:pPr>
                </w:p>
              </w:tc>
              <w:tc>
                <w:tcPr>
                  <w:tcW w:w="555" w:type="pct"/>
                  <w:gridSpan w:val="2"/>
                  <w:vMerge w:val="continue"/>
                  <w:vAlign w:val="center"/>
                </w:tcPr>
                <w:p w14:paraId="04B18478">
                  <w:pPr>
                    <w:pStyle w:val="56"/>
                    <w:spacing w:beforeLines="0" w:afterLines="0" w:line="240" w:lineRule="auto"/>
                    <w:rPr>
                      <w:rFonts w:ascii="Times New Roman" w:eastAsia="仿宋_GB2312"/>
                      <w:sz w:val="21"/>
                      <w:szCs w:val="21"/>
                    </w:rPr>
                  </w:pPr>
                </w:p>
              </w:tc>
              <w:tc>
                <w:tcPr>
                  <w:tcW w:w="705" w:type="pct"/>
                  <w:vAlign w:val="center"/>
                </w:tcPr>
                <w:p w14:paraId="01CBD429">
                  <w:pPr>
                    <w:pStyle w:val="56"/>
                    <w:spacing w:beforeLines="0" w:afterLines="0" w:line="240" w:lineRule="auto"/>
                    <w:rPr>
                      <w:rFonts w:ascii="Times New Roman" w:eastAsia="仿宋_GB2312"/>
                      <w:sz w:val="21"/>
                      <w:szCs w:val="21"/>
                    </w:rPr>
                  </w:pPr>
                  <w:r>
                    <w:rPr>
                      <w:rFonts w:ascii="Times New Roman" w:eastAsia="仿宋_GB2312"/>
                      <w:sz w:val="21"/>
                      <w:szCs w:val="21"/>
                    </w:rPr>
                    <w:t>危险固废</w:t>
                  </w:r>
                </w:p>
              </w:tc>
              <w:tc>
                <w:tcPr>
                  <w:tcW w:w="692" w:type="pct"/>
                  <w:vAlign w:val="center"/>
                </w:tcPr>
                <w:p w14:paraId="23D48AA1">
                  <w:pPr>
                    <w:pStyle w:val="70"/>
                    <w:snapToGrid w:val="0"/>
                    <w:spacing w:line="240" w:lineRule="auto"/>
                    <w:rPr>
                      <w:rFonts w:eastAsia="仿宋_GB2312"/>
                      <w:sz w:val="21"/>
                      <w:szCs w:val="21"/>
                    </w:rPr>
                  </w:pPr>
                  <w:r>
                    <w:rPr>
                      <w:rFonts w:eastAsia="仿宋_GB2312"/>
                      <w:sz w:val="21"/>
                      <w:szCs w:val="21"/>
                    </w:rPr>
                    <w:t>0</w:t>
                  </w:r>
                </w:p>
              </w:tc>
              <w:tc>
                <w:tcPr>
                  <w:tcW w:w="563" w:type="pct"/>
                  <w:vAlign w:val="center"/>
                </w:tcPr>
                <w:p w14:paraId="1BBD83D3">
                  <w:pPr>
                    <w:pStyle w:val="56"/>
                    <w:spacing w:beforeLines="0" w:afterLines="0" w:line="240" w:lineRule="auto"/>
                    <w:rPr>
                      <w:rFonts w:ascii="Times New Roman" w:eastAsia="仿宋_GB2312"/>
                      <w:sz w:val="21"/>
                      <w:szCs w:val="21"/>
                    </w:rPr>
                  </w:pPr>
                  <w:r>
                    <w:rPr>
                      <w:rFonts w:ascii="Times New Roman" w:eastAsia="仿宋_GB2312"/>
                      <w:sz w:val="21"/>
                      <w:szCs w:val="21"/>
                    </w:rPr>
                    <w:t>0</w:t>
                  </w:r>
                </w:p>
              </w:tc>
              <w:tc>
                <w:tcPr>
                  <w:tcW w:w="603" w:type="pct"/>
                  <w:vAlign w:val="center"/>
                </w:tcPr>
                <w:p w14:paraId="1CB67551">
                  <w:pPr>
                    <w:pStyle w:val="56"/>
                    <w:spacing w:beforeLines="0" w:afterLines="0" w:line="240" w:lineRule="auto"/>
                    <w:rPr>
                      <w:rFonts w:ascii="Times New Roman" w:eastAsia="仿宋_GB2312"/>
                      <w:sz w:val="21"/>
                      <w:szCs w:val="21"/>
                    </w:rPr>
                  </w:pPr>
                  <w:r>
                    <w:rPr>
                      <w:rFonts w:hint="eastAsia" w:ascii="Times New Roman" w:eastAsia="仿宋_GB2312"/>
                      <w:sz w:val="21"/>
                      <w:szCs w:val="21"/>
                    </w:rPr>
                    <w:t>0</w:t>
                  </w:r>
                </w:p>
              </w:tc>
              <w:tc>
                <w:tcPr>
                  <w:tcW w:w="692" w:type="pct"/>
                  <w:vAlign w:val="center"/>
                </w:tcPr>
                <w:p w14:paraId="55EFA9EE">
                  <w:pPr>
                    <w:pStyle w:val="56"/>
                    <w:spacing w:beforeLines="0" w:afterLines="0" w:line="240" w:lineRule="auto"/>
                    <w:rPr>
                      <w:rFonts w:ascii="Times New Roman" w:eastAsia="仿宋_GB2312"/>
                      <w:sz w:val="21"/>
                      <w:szCs w:val="21"/>
                    </w:rPr>
                  </w:pPr>
                  <w:r>
                    <w:rPr>
                      <w:rFonts w:hint="eastAsia" w:ascii="Times New Roman" w:eastAsia="仿宋_GB2312"/>
                      <w:sz w:val="21"/>
                      <w:szCs w:val="21"/>
                    </w:rPr>
                    <w:t>0</w:t>
                  </w:r>
                </w:p>
              </w:tc>
              <w:tc>
                <w:tcPr>
                  <w:tcW w:w="762" w:type="pct"/>
                  <w:vAlign w:val="center"/>
                </w:tcPr>
                <w:p w14:paraId="4B8B29F5">
                  <w:pPr>
                    <w:pStyle w:val="56"/>
                    <w:spacing w:beforeLines="0" w:afterLines="0" w:line="240" w:lineRule="auto"/>
                    <w:rPr>
                      <w:rFonts w:ascii="Times New Roman" w:eastAsia="仿宋_GB2312"/>
                      <w:sz w:val="21"/>
                      <w:szCs w:val="21"/>
                    </w:rPr>
                  </w:pPr>
                  <w:r>
                    <w:rPr>
                      <w:rFonts w:hint="eastAsia" w:ascii="Times New Roman" w:eastAsia="仿宋_GB2312"/>
                      <w:sz w:val="21"/>
                      <w:szCs w:val="21"/>
                    </w:rPr>
                    <w:t>0</w:t>
                  </w:r>
                </w:p>
              </w:tc>
            </w:tr>
            <w:tr w14:paraId="7A9CA7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8" w:type="pct"/>
                  <w:vMerge w:val="continue"/>
                  <w:vAlign w:val="center"/>
                </w:tcPr>
                <w:p w14:paraId="3BFAF814">
                  <w:pPr>
                    <w:pStyle w:val="56"/>
                    <w:spacing w:beforeLines="0" w:afterLines="0" w:line="240" w:lineRule="auto"/>
                    <w:rPr>
                      <w:rFonts w:ascii="Times New Roman" w:eastAsia="仿宋_GB2312"/>
                      <w:sz w:val="21"/>
                      <w:szCs w:val="21"/>
                    </w:rPr>
                  </w:pPr>
                </w:p>
              </w:tc>
              <w:tc>
                <w:tcPr>
                  <w:tcW w:w="555" w:type="pct"/>
                  <w:gridSpan w:val="2"/>
                  <w:vMerge w:val="continue"/>
                  <w:vAlign w:val="center"/>
                </w:tcPr>
                <w:p w14:paraId="6D866703">
                  <w:pPr>
                    <w:pStyle w:val="56"/>
                    <w:spacing w:beforeLines="0" w:afterLines="0" w:line="240" w:lineRule="auto"/>
                    <w:rPr>
                      <w:rFonts w:ascii="Times New Roman" w:eastAsia="仿宋_GB2312"/>
                      <w:sz w:val="21"/>
                      <w:szCs w:val="21"/>
                    </w:rPr>
                  </w:pPr>
                </w:p>
              </w:tc>
              <w:tc>
                <w:tcPr>
                  <w:tcW w:w="705" w:type="pct"/>
                  <w:vAlign w:val="center"/>
                </w:tcPr>
                <w:p w14:paraId="35A532EF">
                  <w:pPr>
                    <w:pStyle w:val="56"/>
                    <w:spacing w:beforeLines="0" w:afterLines="0" w:line="240" w:lineRule="auto"/>
                    <w:rPr>
                      <w:rFonts w:ascii="Times New Roman" w:eastAsia="仿宋_GB2312"/>
                      <w:sz w:val="21"/>
                      <w:szCs w:val="21"/>
                    </w:rPr>
                  </w:pPr>
                  <w:r>
                    <w:rPr>
                      <w:rFonts w:ascii="Times New Roman" w:eastAsia="仿宋_GB2312"/>
                      <w:sz w:val="21"/>
                      <w:szCs w:val="21"/>
                    </w:rPr>
                    <w:t>生活垃圾</w:t>
                  </w:r>
                </w:p>
              </w:tc>
              <w:tc>
                <w:tcPr>
                  <w:tcW w:w="692" w:type="pct"/>
                  <w:vAlign w:val="center"/>
                </w:tcPr>
                <w:p w14:paraId="4995C268">
                  <w:pPr>
                    <w:pStyle w:val="56"/>
                    <w:spacing w:beforeLines="0" w:afterLines="0" w:line="240" w:lineRule="auto"/>
                    <w:rPr>
                      <w:rFonts w:ascii="Times New Roman" w:eastAsia="仿宋_GB2312"/>
                      <w:sz w:val="21"/>
                      <w:szCs w:val="21"/>
                    </w:rPr>
                  </w:pPr>
                  <w:r>
                    <w:rPr>
                      <w:rFonts w:ascii="Times New Roman" w:eastAsia="仿宋_GB2312"/>
                      <w:sz w:val="21"/>
                      <w:szCs w:val="21"/>
                    </w:rPr>
                    <w:t>0</w:t>
                  </w:r>
                </w:p>
              </w:tc>
              <w:tc>
                <w:tcPr>
                  <w:tcW w:w="563" w:type="pct"/>
                  <w:vAlign w:val="center"/>
                </w:tcPr>
                <w:p w14:paraId="029FE54B">
                  <w:pPr>
                    <w:pStyle w:val="56"/>
                    <w:spacing w:beforeLines="0" w:afterLines="0" w:line="240" w:lineRule="auto"/>
                    <w:rPr>
                      <w:rFonts w:ascii="Times New Roman" w:eastAsia="仿宋_GB2312"/>
                      <w:sz w:val="21"/>
                      <w:szCs w:val="21"/>
                    </w:rPr>
                  </w:pPr>
                  <w:r>
                    <w:rPr>
                      <w:rFonts w:ascii="Times New Roman" w:eastAsia="仿宋_GB2312"/>
                      <w:sz w:val="21"/>
                      <w:szCs w:val="21"/>
                    </w:rPr>
                    <w:t>0</w:t>
                  </w:r>
                </w:p>
              </w:tc>
              <w:tc>
                <w:tcPr>
                  <w:tcW w:w="603" w:type="pct"/>
                  <w:vAlign w:val="center"/>
                </w:tcPr>
                <w:p w14:paraId="60435C9E">
                  <w:pPr>
                    <w:pStyle w:val="56"/>
                    <w:spacing w:beforeLines="0" w:afterLines="0" w:line="240" w:lineRule="auto"/>
                    <w:rPr>
                      <w:rFonts w:ascii="Times New Roman" w:eastAsia="仿宋_GB2312"/>
                      <w:sz w:val="21"/>
                      <w:szCs w:val="21"/>
                    </w:rPr>
                  </w:pPr>
                  <w:r>
                    <w:rPr>
                      <w:rFonts w:hint="eastAsia" w:ascii="Times New Roman" w:eastAsia="仿宋_GB2312"/>
                      <w:sz w:val="21"/>
                      <w:szCs w:val="21"/>
                    </w:rPr>
                    <w:t>0</w:t>
                  </w:r>
                </w:p>
              </w:tc>
              <w:tc>
                <w:tcPr>
                  <w:tcW w:w="692" w:type="pct"/>
                  <w:vAlign w:val="center"/>
                </w:tcPr>
                <w:p w14:paraId="37F97F03">
                  <w:pPr>
                    <w:pStyle w:val="56"/>
                    <w:spacing w:beforeLines="0" w:afterLines="0" w:line="240" w:lineRule="auto"/>
                    <w:rPr>
                      <w:rFonts w:ascii="Times New Roman" w:eastAsia="仿宋_GB2312"/>
                      <w:sz w:val="21"/>
                      <w:szCs w:val="21"/>
                    </w:rPr>
                  </w:pPr>
                  <w:r>
                    <w:rPr>
                      <w:rFonts w:hint="eastAsia" w:ascii="Times New Roman" w:eastAsia="仿宋_GB2312"/>
                      <w:sz w:val="21"/>
                      <w:szCs w:val="21"/>
                    </w:rPr>
                    <w:t>0</w:t>
                  </w:r>
                </w:p>
              </w:tc>
              <w:tc>
                <w:tcPr>
                  <w:tcW w:w="762" w:type="pct"/>
                  <w:vAlign w:val="center"/>
                </w:tcPr>
                <w:p w14:paraId="5AEA3A84">
                  <w:pPr>
                    <w:pStyle w:val="56"/>
                    <w:spacing w:beforeLines="0" w:afterLines="0" w:line="240" w:lineRule="auto"/>
                    <w:rPr>
                      <w:rFonts w:ascii="Times New Roman" w:eastAsia="仿宋_GB2312"/>
                      <w:sz w:val="21"/>
                      <w:szCs w:val="21"/>
                    </w:rPr>
                  </w:pPr>
                  <w:r>
                    <w:rPr>
                      <w:rFonts w:hint="eastAsia" w:ascii="Times New Roman" w:eastAsia="仿宋_GB2312"/>
                      <w:sz w:val="21"/>
                      <w:szCs w:val="21"/>
                    </w:rPr>
                    <w:t>0</w:t>
                  </w:r>
                </w:p>
              </w:tc>
            </w:tr>
            <w:tr w14:paraId="5C9606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8" w:type="pct"/>
                  <w:vMerge w:val="restart"/>
                  <w:vAlign w:val="center"/>
                </w:tcPr>
                <w:p w14:paraId="176681F0">
                  <w:pPr>
                    <w:widowControl/>
                    <w:jc w:val="center"/>
                    <w:textAlignment w:val="center"/>
                    <w:rPr>
                      <w:rFonts w:eastAsia="仿宋_GB2312"/>
                      <w:kern w:val="0"/>
                      <w:sz w:val="21"/>
                      <w:szCs w:val="21"/>
                    </w:rPr>
                  </w:pPr>
                  <w:r>
                    <w:rPr>
                      <w:rFonts w:eastAsia="仿宋_GB2312"/>
                      <w:kern w:val="0"/>
                      <w:sz w:val="21"/>
                      <w:szCs w:val="21"/>
                    </w:rPr>
                    <w:t>盐矿区</w:t>
                  </w:r>
                </w:p>
              </w:tc>
              <w:tc>
                <w:tcPr>
                  <w:tcW w:w="555" w:type="pct"/>
                  <w:gridSpan w:val="2"/>
                  <w:vMerge w:val="restart"/>
                  <w:vAlign w:val="center"/>
                </w:tcPr>
                <w:p w14:paraId="48FA0A59">
                  <w:pPr>
                    <w:widowControl/>
                    <w:jc w:val="center"/>
                    <w:textAlignment w:val="center"/>
                    <w:rPr>
                      <w:rFonts w:eastAsia="仿宋_GB2312"/>
                      <w:sz w:val="21"/>
                      <w:szCs w:val="21"/>
                    </w:rPr>
                  </w:pPr>
                  <w:r>
                    <w:rPr>
                      <w:rFonts w:eastAsia="仿宋_GB2312"/>
                      <w:kern w:val="0"/>
                      <w:sz w:val="21"/>
                      <w:szCs w:val="21"/>
                    </w:rPr>
                    <w:t>废水</w:t>
                  </w:r>
                </w:p>
              </w:tc>
              <w:tc>
                <w:tcPr>
                  <w:tcW w:w="705" w:type="pct"/>
                  <w:vAlign w:val="center"/>
                </w:tcPr>
                <w:p w14:paraId="7C3B90A0">
                  <w:pPr>
                    <w:widowControl/>
                    <w:jc w:val="center"/>
                    <w:textAlignment w:val="center"/>
                    <w:rPr>
                      <w:rFonts w:eastAsia="仿宋_GB2312"/>
                      <w:kern w:val="0"/>
                      <w:sz w:val="21"/>
                      <w:szCs w:val="21"/>
                    </w:rPr>
                  </w:pPr>
                  <w:r>
                    <w:rPr>
                      <w:rFonts w:eastAsia="仿宋_GB2312"/>
                      <w:kern w:val="0"/>
                      <w:sz w:val="21"/>
                      <w:szCs w:val="21"/>
                    </w:rPr>
                    <w:t>水量</w:t>
                  </w:r>
                </w:p>
              </w:tc>
              <w:tc>
                <w:tcPr>
                  <w:tcW w:w="692" w:type="pct"/>
                  <w:vAlign w:val="center"/>
                </w:tcPr>
                <w:p w14:paraId="13F27505">
                  <w:pPr>
                    <w:widowControl/>
                    <w:jc w:val="center"/>
                    <w:textAlignment w:val="center"/>
                    <w:rPr>
                      <w:rFonts w:eastAsia="仿宋_GB2312"/>
                      <w:kern w:val="0"/>
                      <w:sz w:val="21"/>
                      <w:szCs w:val="21"/>
                    </w:rPr>
                  </w:pPr>
                  <w:r>
                    <w:rPr>
                      <w:rFonts w:eastAsia="仿宋_GB2312"/>
                      <w:kern w:val="0"/>
                      <w:sz w:val="21"/>
                      <w:szCs w:val="21"/>
                    </w:rPr>
                    <w:t>1223</w:t>
                  </w:r>
                </w:p>
              </w:tc>
              <w:tc>
                <w:tcPr>
                  <w:tcW w:w="563" w:type="pct"/>
                  <w:vAlign w:val="center"/>
                </w:tcPr>
                <w:p w14:paraId="7E945C49">
                  <w:pPr>
                    <w:adjustRightInd w:val="0"/>
                    <w:snapToGrid w:val="0"/>
                    <w:jc w:val="center"/>
                    <w:rPr>
                      <w:rFonts w:eastAsia="仿宋_GB2312"/>
                      <w:sz w:val="21"/>
                      <w:szCs w:val="21"/>
                    </w:rPr>
                  </w:pPr>
                  <w:r>
                    <w:rPr>
                      <w:rFonts w:eastAsia="仿宋_GB2312"/>
                      <w:sz w:val="21"/>
                      <w:szCs w:val="21"/>
                    </w:rPr>
                    <w:t>0</w:t>
                  </w:r>
                </w:p>
              </w:tc>
              <w:tc>
                <w:tcPr>
                  <w:tcW w:w="603" w:type="pct"/>
                  <w:vAlign w:val="center"/>
                </w:tcPr>
                <w:p w14:paraId="731C965B">
                  <w:pPr>
                    <w:adjustRightInd w:val="0"/>
                    <w:snapToGrid w:val="0"/>
                    <w:jc w:val="center"/>
                    <w:rPr>
                      <w:rFonts w:eastAsia="仿宋_GB2312"/>
                      <w:sz w:val="21"/>
                      <w:szCs w:val="21"/>
                    </w:rPr>
                  </w:pPr>
                  <w:r>
                    <w:rPr>
                      <w:rFonts w:eastAsia="仿宋_GB2312"/>
                      <w:sz w:val="21"/>
                      <w:szCs w:val="21"/>
                    </w:rPr>
                    <w:t>0</w:t>
                  </w:r>
                </w:p>
              </w:tc>
              <w:tc>
                <w:tcPr>
                  <w:tcW w:w="692" w:type="pct"/>
                  <w:vAlign w:val="center"/>
                </w:tcPr>
                <w:p w14:paraId="15C9EFCF">
                  <w:pPr>
                    <w:widowControl/>
                    <w:jc w:val="center"/>
                    <w:textAlignment w:val="center"/>
                    <w:rPr>
                      <w:rFonts w:eastAsia="仿宋_GB2312"/>
                      <w:kern w:val="0"/>
                      <w:sz w:val="21"/>
                      <w:szCs w:val="21"/>
                    </w:rPr>
                  </w:pPr>
                  <w:r>
                    <w:rPr>
                      <w:rFonts w:eastAsia="仿宋_GB2312"/>
                      <w:kern w:val="0"/>
                      <w:sz w:val="21"/>
                      <w:szCs w:val="21"/>
                    </w:rPr>
                    <w:t>1223</w:t>
                  </w:r>
                </w:p>
              </w:tc>
              <w:tc>
                <w:tcPr>
                  <w:tcW w:w="762" w:type="pct"/>
                  <w:vAlign w:val="center"/>
                </w:tcPr>
                <w:p w14:paraId="68A50CD7">
                  <w:pPr>
                    <w:adjustRightInd w:val="0"/>
                    <w:snapToGrid w:val="0"/>
                    <w:jc w:val="center"/>
                    <w:rPr>
                      <w:rFonts w:eastAsia="仿宋_GB2312"/>
                      <w:sz w:val="21"/>
                      <w:szCs w:val="21"/>
                    </w:rPr>
                  </w:pPr>
                  <w:r>
                    <w:rPr>
                      <w:rFonts w:eastAsia="仿宋_GB2312"/>
                      <w:sz w:val="21"/>
                      <w:szCs w:val="21"/>
                    </w:rPr>
                    <w:t>0</w:t>
                  </w:r>
                </w:p>
              </w:tc>
            </w:tr>
            <w:tr w14:paraId="2DF18C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8" w:type="pct"/>
                  <w:vMerge w:val="continue"/>
                  <w:vAlign w:val="center"/>
                </w:tcPr>
                <w:p w14:paraId="28C2BF1A">
                  <w:pPr>
                    <w:pStyle w:val="56"/>
                    <w:spacing w:beforeLines="0" w:afterLines="0" w:line="240" w:lineRule="auto"/>
                    <w:rPr>
                      <w:rFonts w:ascii="Times New Roman" w:eastAsia="仿宋_GB2312"/>
                      <w:sz w:val="21"/>
                      <w:szCs w:val="21"/>
                    </w:rPr>
                  </w:pPr>
                </w:p>
              </w:tc>
              <w:tc>
                <w:tcPr>
                  <w:tcW w:w="555" w:type="pct"/>
                  <w:gridSpan w:val="2"/>
                  <w:vMerge w:val="continue"/>
                  <w:vAlign w:val="center"/>
                </w:tcPr>
                <w:p w14:paraId="3CFA11B2">
                  <w:pPr>
                    <w:pStyle w:val="56"/>
                    <w:spacing w:beforeLines="0" w:afterLines="0" w:line="240" w:lineRule="auto"/>
                    <w:rPr>
                      <w:rFonts w:ascii="Times New Roman" w:eastAsia="仿宋_GB2312"/>
                      <w:sz w:val="21"/>
                      <w:szCs w:val="21"/>
                    </w:rPr>
                  </w:pPr>
                </w:p>
              </w:tc>
              <w:tc>
                <w:tcPr>
                  <w:tcW w:w="705" w:type="pct"/>
                  <w:vAlign w:val="center"/>
                </w:tcPr>
                <w:p w14:paraId="3DCEF38F">
                  <w:pPr>
                    <w:widowControl/>
                    <w:jc w:val="center"/>
                    <w:textAlignment w:val="center"/>
                    <w:rPr>
                      <w:rFonts w:eastAsia="仿宋_GB2312"/>
                      <w:kern w:val="0"/>
                      <w:sz w:val="21"/>
                      <w:szCs w:val="21"/>
                    </w:rPr>
                  </w:pPr>
                  <w:r>
                    <w:rPr>
                      <w:rFonts w:eastAsia="仿宋_GB2312"/>
                      <w:kern w:val="0"/>
                      <w:sz w:val="21"/>
                      <w:szCs w:val="21"/>
                    </w:rPr>
                    <w:t>COD</w:t>
                  </w:r>
                </w:p>
              </w:tc>
              <w:tc>
                <w:tcPr>
                  <w:tcW w:w="692" w:type="pct"/>
                  <w:vAlign w:val="center"/>
                </w:tcPr>
                <w:p w14:paraId="3910ABEA">
                  <w:pPr>
                    <w:widowControl/>
                    <w:jc w:val="center"/>
                    <w:textAlignment w:val="center"/>
                    <w:rPr>
                      <w:rFonts w:eastAsia="仿宋_GB2312"/>
                      <w:kern w:val="0"/>
                      <w:sz w:val="21"/>
                      <w:szCs w:val="21"/>
                    </w:rPr>
                  </w:pPr>
                  <w:r>
                    <w:rPr>
                      <w:rFonts w:eastAsia="仿宋_GB2312"/>
                      <w:kern w:val="0"/>
                      <w:sz w:val="21"/>
                      <w:szCs w:val="21"/>
                    </w:rPr>
                    <w:t>0.122</w:t>
                  </w:r>
                </w:p>
              </w:tc>
              <w:tc>
                <w:tcPr>
                  <w:tcW w:w="563" w:type="pct"/>
                  <w:vAlign w:val="center"/>
                </w:tcPr>
                <w:p w14:paraId="548ACB91">
                  <w:pPr>
                    <w:adjustRightInd w:val="0"/>
                    <w:snapToGrid w:val="0"/>
                    <w:jc w:val="center"/>
                    <w:rPr>
                      <w:rFonts w:eastAsia="仿宋_GB2312"/>
                      <w:sz w:val="21"/>
                      <w:szCs w:val="21"/>
                    </w:rPr>
                  </w:pPr>
                  <w:r>
                    <w:rPr>
                      <w:rFonts w:eastAsia="仿宋_GB2312"/>
                      <w:sz w:val="21"/>
                      <w:szCs w:val="21"/>
                    </w:rPr>
                    <w:t>0</w:t>
                  </w:r>
                </w:p>
              </w:tc>
              <w:tc>
                <w:tcPr>
                  <w:tcW w:w="603" w:type="pct"/>
                  <w:vAlign w:val="center"/>
                </w:tcPr>
                <w:p w14:paraId="278F6A71">
                  <w:pPr>
                    <w:adjustRightInd w:val="0"/>
                    <w:snapToGrid w:val="0"/>
                    <w:jc w:val="center"/>
                    <w:rPr>
                      <w:rFonts w:eastAsia="仿宋_GB2312"/>
                      <w:sz w:val="21"/>
                      <w:szCs w:val="21"/>
                    </w:rPr>
                  </w:pPr>
                  <w:r>
                    <w:rPr>
                      <w:rFonts w:eastAsia="仿宋_GB2312"/>
                      <w:sz w:val="21"/>
                      <w:szCs w:val="21"/>
                    </w:rPr>
                    <w:t>0</w:t>
                  </w:r>
                </w:p>
              </w:tc>
              <w:tc>
                <w:tcPr>
                  <w:tcW w:w="692" w:type="pct"/>
                  <w:vAlign w:val="center"/>
                </w:tcPr>
                <w:p w14:paraId="546B0E83">
                  <w:pPr>
                    <w:widowControl/>
                    <w:jc w:val="center"/>
                    <w:textAlignment w:val="center"/>
                    <w:rPr>
                      <w:rFonts w:eastAsia="仿宋_GB2312"/>
                      <w:kern w:val="0"/>
                      <w:sz w:val="21"/>
                      <w:szCs w:val="21"/>
                    </w:rPr>
                  </w:pPr>
                  <w:r>
                    <w:rPr>
                      <w:rFonts w:eastAsia="仿宋_GB2312"/>
                      <w:kern w:val="0"/>
                      <w:sz w:val="21"/>
                      <w:szCs w:val="21"/>
                    </w:rPr>
                    <w:t>0.122</w:t>
                  </w:r>
                </w:p>
              </w:tc>
              <w:tc>
                <w:tcPr>
                  <w:tcW w:w="762" w:type="pct"/>
                  <w:vAlign w:val="center"/>
                </w:tcPr>
                <w:p w14:paraId="3E46451F">
                  <w:pPr>
                    <w:adjustRightInd w:val="0"/>
                    <w:snapToGrid w:val="0"/>
                    <w:jc w:val="center"/>
                    <w:rPr>
                      <w:rFonts w:eastAsia="仿宋_GB2312"/>
                      <w:sz w:val="21"/>
                      <w:szCs w:val="21"/>
                    </w:rPr>
                  </w:pPr>
                  <w:r>
                    <w:rPr>
                      <w:rFonts w:eastAsia="仿宋_GB2312"/>
                      <w:sz w:val="21"/>
                      <w:szCs w:val="21"/>
                    </w:rPr>
                    <w:t>0</w:t>
                  </w:r>
                </w:p>
              </w:tc>
            </w:tr>
            <w:tr w14:paraId="265A95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8" w:type="pct"/>
                  <w:vMerge w:val="continue"/>
                  <w:vAlign w:val="center"/>
                </w:tcPr>
                <w:p w14:paraId="0050C69A">
                  <w:pPr>
                    <w:pStyle w:val="56"/>
                    <w:spacing w:beforeLines="0" w:afterLines="0" w:line="240" w:lineRule="auto"/>
                    <w:rPr>
                      <w:rFonts w:ascii="Times New Roman" w:eastAsia="仿宋_GB2312"/>
                      <w:sz w:val="21"/>
                      <w:szCs w:val="21"/>
                    </w:rPr>
                  </w:pPr>
                </w:p>
              </w:tc>
              <w:tc>
                <w:tcPr>
                  <w:tcW w:w="555" w:type="pct"/>
                  <w:gridSpan w:val="2"/>
                  <w:vMerge w:val="continue"/>
                  <w:vAlign w:val="center"/>
                </w:tcPr>
                <w:p w14:paraId="6ADD9964">
                  <w:pPr>
                    <w:pStyle w:val="56"/>
                    <w:spacing w:beforeLines="0" w:afterLines="0" w:line="240" w:lineRule="auto"/>
                    <w:rPr>
                      <w:rFonts w:ascii="Times New Roman" w:eastAsia="仿宋_GB2312"/>
                      <w:sz w:val="21"/>
                      <w:szCs w:val="21"/>
                    </w:rPr>
                  </w:pPr>
                </w:p>
              </w:tc>
              <w:tc>
                <w:tcPr>
                  <w:tcW w:w="705" w:type="pct"/>
                  <w:vAlign w:val="center"/>
                </w:tcPr>
                <w:p w14:paraId="65F21810">
                  <w:pPr>
                    <w:widowControl/>
                    <w:jc w:val="center"/>
                    <w:textAlignment w:val="center"/>
                    <w:rPr>
                      <w:rFonts w:eastAsia="仿宋_GB2312"/>
                      <w:kern w:val="0"/>
                      <w:sz w:val="21"/>
                      <w:szCs w:val="21"/>
                    </w:rPr>
                  </w:pPr>
                  <w:r>
                    <w:rPr>
                      <w:rFonts w:eastAsia="仿宋_GB2312"/>
                      <w:kern w:val="0"/>
                      <w:sz w:val="21"/>
                      <w:szCs w:val="21"/>
                    </w:rPr>
                    <w:t>SS</w:t>
                  </w:r>
                </w:p>
              </w:tc>
              <w:tc>
                <w:tcPr>
                  <w:tcW w:w="692" w:type="pct"/>
                  <w:vAlign w:val="center"/>
                </w:tcPr>
                <w:p w14:paraId="4190B95D">
                  <w:pPr>
                    <w:widowControl/>
                    <w:jc w:val="center"/>
                    <w:textAlignment w:val="center"/>
                    <w:rPr>
                      <w:rFonts w:eastAsia="仿宋_GB2312"/>
                      <w:kern w:val="0"/>
                      <w:sz w:val="21"/>
                      <w:szCs w:val="21"/>
                    </w:rPr>
                  </w:pPr>
                  <w:r>
                    <w:rPr>
                      <w:rFonts w:eastAsia="仿宋_GB2312"/>
                      <w:kern w:val="0"/>
                      <w:sz w:val="21"/>
                      <w:szCs w:val="21"/>
                    </w:rPr>
                    <w:t>0.086</w:t>
                  </w:r>
                </w:p>
              </w:tc>
              <w:tc>
                <w:tcPr>
                  <w:tcW w:w="563" w:type="pct"/>
                  <w:vAlign w:val="center"/>
                </w:tcPr>
                <w:p w14:paraId="319F81B2">
                  <w:pPr>
                    <w:adjustRightInd w:val="0"/>
                    <w:snapToGrid w:val="0"/>
                    <w:jc w:val="center"/>
                    <w:rPr>
                      <w:rFonts w:eastAsia="仿宋_GB2312"/>
                      <w:sz w:val="21"/>
                      <w:szCs w:val="21"/>
                    </w:rPr>
                  </w:pPr>
                  <w:r>
                    <w:rPr>
                      <w:rFonts w:eastAsia="仿宋_GB2312"/>
                      <w:sz w:val="21"/>
                      <w:szCs w:val="21"/>
                    </w:rPr>
                    <w:t>0</w:t>
                  </w:r>
                </w:p>
              </w:tc>
              <w:tc>
                <w:tcPr>
                  <w:tcW w:w="603" w:type="pct"/>
                  <w:vAlign w:val="center"/>
                </w:tcPr>
                <w:p w14:paraId="076B20B2">
                  <w:pPr>
                    <w:adjustRightInd w:val="0"/>
                    <w:snapToGrid w:val="0"/>
                    <w:jc w:val="center"/>
                    <w:rPr>
                      <w:rFonts w:eastAsia="仿宋_GB2312"/>
                      <w:sz w:val="21"/>
                      <w:szCs w:val="21"/>
                    </w:rPr>
                  </w:pPr>
                  <w:r>
                    <w:rPr>
                      <w:rFonts w:eastAsia="仿宋_GB2312"/>
                      <w:sz w:val="21"/>
                      <w:szCs w:val="21"/>
                    </w:rPr>
                    <w:t>0</w:t>
                  </w:r>
                </w:p>
              </w:tc>
              <w:tc>
                <w:tcPr>
                  <w:tcW w:w="692" w:type="pct"/>
                  <w:vAlign w:val="center"/>
                </w:tcPr>
                <w:p w14:paraId="116B1C49">
                  <w:pPr>
                    <w:widowControl/>
                    <w:jc w:val="center"/>
                    <w:textAlignment w:val="center"/>
                    <w:rPr>
                      <w:rFonts w:eastAsia="仿宋_GB2312"/>
                      <w:kern w:val="0"/>
                      <w:sz w:val="21"/>
                      <w:szCs w:val="21"/>
                    </w:rPr>
                  </w:pPr>
                  <w:r>
                    <w:rPr>
                      <w:rFonts w:eastAsia="仿宋_GB2312"/>
                      <w:kern w:val="0"/>
                      <w:sz w:val="21"/>
                      <w:szCs w:val="21"/>
                    </w:rPr>
                    <w:t>0.086</w:t>
                  </w:r>
                </w:p>
              </w:tc>
              <w:tc>
                <w:tcPr>
                  <w:tcW w:w="762" w:type="pct"/>
                  <w:vAlign w:val="center"/>
                </w:tcPr>
                <w:p w14:paraId="04708DDA">
                  <w:pPr>
                    <w:adjustRightInd w:val="0"/>
                    <w:snapToGrid w:val="0"/>
                    <w:jc w:val="center"/>
                    <w:rPr>
                      <w:rFonts w:eastAsia="仿宋_GB2312"/>
                      <w:sz w:val="21"/>
                      <w:szCs w:val="21"/>
                    </w:rPr>
                  </w:pPr>
                  <w:r>
                    <w:rPr>
                      <w:rFonts w:eastAsia="仿宋_GB2312"/>
                      <w:sz w:val="21"/>
                      <w:szCs w:val="21"/>
                    </w:rPr>
                    <w:t>0</w:t>
                  </w:r>
                </w:p>
              </w:tc>
            </w:tr>
            <w:tr w14:paraId="563BCE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8" w:type="pct"/>
                  <w:vMerge w:val="continue"/>
                  <w:vAlign w:val="center"/>
                </w:tcPr>
                <w:p w14:paraId="2EE5810B">
                  <w:pPr>
                    <w:pStyle w:val="56"/>
                    <w:spacing w:beforeLines="0" w:afterLines="0" w:line="240" w:lineRule="auto"/>
                    <w:rPr>
                      <w:rFonts w:ascii="Times New Roman" w:eastAsia="仿宋_GB2312"/>
                      <w:sz w:val="21"/>
                      <w:szCs w:val="21"/>
                    </w:rPr>
                  </w:pPr>
                </w:p>
              </w:tc>
              <w:tc>
                <w:tcPr>
                  <w:tcW w:w="555" w:type="pct"/>
                  <w:gridSpan w:val="2"/>
                  <w:vMerge w:val="continue"/>
                  <w:vAlign w:val="center"/>
                </w:tcPr>
                <w:p w14:paraId="725480A1">
                  <w:pPr>
                    <w:pStyle w:val="56"/>
                    <w:spacing w:beforeLines="0" w:afterLines="0" w:line="240" w:lineRule="auto"/>
                    <w:rPr>
                      <w:rFonts w:ascii="Times New Roman" w:eastAsia="仿宋_GB2312"/>
                      <w:sz w:val="21"/>
                      <w:szCs w:val="21"/>
                    </w:rPr>
                  </w:pPr>
                </w:p>
              </w:tc>
              <w:tc>
                <w:tcPr>
                  <w:tcW w:w="705" w:type="pct"/>
                  <w:vAlign w:val="center"/>
                </w:tcPr>
                <w:p w14:paraId="229EDB7B">
                  <w:pPr>
                    <w:widowControl/>
                    <w:jc w:val="center"/>
                    <w:textAlignment w:val="center"/>
                    <w:rPr>
                      <w:rFonts w:eastAsia="仿宋_GB2312"/>
                      <w:kern w:val="0"/>
                      <w:sz w:val="21"/>
                      <w:szCs w:val="21"/>
                    </w:rPr>
                  </w:pPr>
                  <w:r>
                    <w:rPr>
                      <w:rFonts w:eastAsia="仿宋_GB2312"/>
                      <w:kern w:val="0"/>
                      <w:sz w:val="21"/>
                      <w:szCs w:val="21"/>
                    </w:rPr>
                    <w:t>氨氮</w:t>
                  </w:r>
                </w:p>
              </w:tc>
              <w:tc>
                <w:tcPr>
                  <w:tcW w:w="692" w:type="pct"/>
                  <w:vAlign w:val="center"/>
                </w:tcPr>
                <w:p w14:paraId="09123DDD">
                  <w:pPr>
                    <w:widowControl/>
                    <w:jc w:val="center"/>
                    <w:textAlignment w:val="center"/>
                    <w:rPr>
                      <w:rFonts w:eastAsia="仿宋_GB2312"/>
                      <w:kern w:val="0"/>
                      <w:sz w:val="21"/>
                      <w:szCs w:val="21"/>
                    </w:rPr>
                  </w:pPr>
                  <w:r>
                    <w:rPr>
                      <w:rFonts w:eastAsia="仿宋_GB2312"/>
                      <w:kern w:val="0"/>
                      <w:sz w:val="21"/>
                      <w:szCs w:val="21"/>
                    </w:rPr>
                    <w:t>0.018</w:t>
                  </w:r>
                </w:p>
              </w:tc>
              <w:tc>
                <w:tcPr>
                  <w:tcW w:w="563" w:type="pct"/>
                  <w:vAlign w:val="center"/>
                </w:tcPr>
                <w:p w14:paraId="725194AD">
                  <w:pPr>
                    <w:adjustRightInd w:val="0"/>
                    <w:snapToGrid w:val="0"/>
                    <w:jc w:val="center"/>
                    <w:rPr>
                      <w:rFonts w:eastAsia="仿宋_GB2312"/>
                      <w:sz w:val="21"/>
                      <w:szCs w:val="21"/>
                    </w:rPr>
                  </w:pPr>
                  <w:r>
                    <w:rPr>
                      <w:rFonts w:eastAsia="仿宋_GB2312"/>
                      <w:sz w:val="21"/>
                      <w:szCs w:val="21"/>
                    </w:rPr>
                    <w:t>0</w:t>
                  </w:r>
                </w:p>
              </w:tc>
              <w:tc>
                <w:tcPr>
                  <w:tcW w:w="603" w:type="pct"/>
                  <w:vAlign w:val="center"/>
                </w:tcPr>
                <w:p w14:paraId="2E5DB252">
                  <w:pPr>
                    <w:adjustRightInd w:val="0"/>
                    <w:snapToGrid w:val="0"/>
                    <w:jc w:val="center"/>
                    <w:rPr>
                      <w:rFonts w:eastAsia="仿宋_GB2312"/>
                      <w:sz w:val="21"/>
                      <w:szCs w:val="21"/>
                    </w:rPr>
                  </w:pPr>
                  <w:r>
                    <w:rPr>
                      <w:rFonts w:eastAsia="仿宋_GB2312"/>
                      <w:sz w:val="21"/>
                      <w:szCs w:val="21"/>
                    </w:rPr>
                    <w:t>0</w:t>
                  </w:r>
                </w:p>
              </w:tc>
              <w:tc>
                <w:tcPr>
                  <w:tcW w:w="692" w:type="pct"/>
                  <w:vAlign w:val="center"/>
                </w:tcPr>
                <w:p w14:paraId="0F810171">
                  <w:pPr>
                    <w:widowControl/>
                    <w:jc w:val="center"/>
                    <w:textAlignment w:val="center"/>
                    <w:rPr>
                      <w:rFonts w:eastAsia="仿宋_GB2312"/>
                      <w:kern w:val="0"/>
                      <w:sz w:val="21"/>
                      <w:szCs w:val="21"/>
                    </w:rPr>
                  </w:pPr>
                  <w:r>
                    <w:rPr>
                      <w:rFonts w:eastAsia="仿宋_GB2312"/>
                      <w:kern w:val="0"/>
                      <w:sz w:val="21"/>
                      <w:szCs w:val="21"/>
                    </w:rPr>
                    <w:t>0.018</w:t>
                  </w:r>
                </w:p>
              </w:tc>
              <w:tc>
                <w:tcPr>
                  <w:tcW w:w="762" w:type="pct"/>
                  <w:vAlign w:val="center"/>
                </w:tcPr>
                <w:p w14:paraId="7CEBFAF2">
                  <w:pPr>
                    <w:adjustRightInd w:val="0"/>
                    <w:snapToGrid w:val="0"/>
                    <w:jc w:val="center"/>
                    <w:rPr>
                      <w:rFonts w:eastAsia="仿宋_GB2312"/>
                      <w:sz w:val="21"/>
                      <w:szCs w:val="21"/>
                    </w:rPr>
                  </w:pPr>
                  <w:r>
                    <w:rPr>
                      <w:rFonts w:eastAsia="仿宋_GB2312"/>
                      <w:sz w:val="21"/>
                      <w:szCs w:val="21"/>
                    </w:rPr>
                    <w:t>0</w:t>
                  </w:r>
                </w:p>
              </w:tc>
            </w:tr>
            <w:tr w14:paraId="1CACBD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8" w:type="pct"/>
                  <w:vMerge w:val="continue"/>
                  <w:vAlign w:val="center"/>
                </w:tcPr>
                <w:p w14:paraId="505E11A4">
                  <w:pPr>
                    <w:pStyle w:val="56"/>
                    <w:spacing w:beforeLines="0" w:afterLines="0" w:line="240" w:lineRule="auto"/>
                    <w:rPr>
                      <w:rFonts w:ascii="Times New Roman" w:eastAsia="仿宋_GB2312"/>
                      <w:sz w:val="21"/>
                      <w:szCs w:val="21"/>
                    </w:rPr>
                  </w:pPr>
                </w:p>
              </w:tc>
              <w:tc>
                <w:tcPr>
                  <w:tcW w:w="555" w:type="pct"/>
                  <w:gridSpan w:val="2"/>
                  <w:vMerge w:val="continue"/>
                  <w:vAlign w:val="center"/>
                </w:tcPr>
                <w:p w14:paraId="4B2590C2">
                  <w:pPr>
                    <w:pStyle w:val="56"/>
                    <w:spacing w:beforeLines="0" w:afterLines="0" w:line="240" w:lineRule="auto"/>
                    <w:rPr>
                      <w:rFonts w:ascii="Times New Roman" w:eastAsia="仿宋_GB2312"/>
                      <w:sz w:val="21"/>
                      <w:szCs w:val="21"/>
                    </w:rPr>
                  </w:pPr>
                </w:p>
              </w:tc>
              <w:tc>
                <w:tcPr>
                  <w:tcW w:w="705" w:type="pct"/>
                  <w:vAlign w:val="center"/>
                </w:tcPr>
                <w:p w14:paraId="29368B7A">
                  <w:pPr>
                    <w:widowControl/>
                    <w:jc w:val="center"/>
                    <w:textAlignment w:val="center"/>
                    <w:rPr>
                      <w:rFonts w:eastAsia="仿宋_GB2312"/>
                      <w:kern w:val="0"/>
                      <w:sz w:val="21"/>
                      <w:szCs w:val="21"/>
                    </w:rPr>
                  </w:pPr>
                  <w:r>
                    <w:rPr>
                      <w:rFonts w:eastAsia="仿宋_GB2312"/>
                      <w:kern w:val="0"/>
                      <w:sz w:val="21"/>
                      <w:szCs w:val="21"/>
                    </w:rPr>
                    <w:t>总磷</w:t>
                  </w:r>
                </w:p>
              </w:tc>
              <w:tc>
                <w:tcPr>
                  <w:tcW w:w="692" w:type="pct"/>
                  <w:vAlign w:val="center"/>
                </w:tcPr>
                <w:p w14:paraId="4ADF3DA7">
                  <w:pPr>
                    <w:widowControl/>
                    <w:jc w:val="center"/>
                    <w:textAlignment w:val="center"/>
                    <w:rPr>
                      <w:rFonts w:eastAsia="仿宋_GB2312"/>
                      <w:kern w:val="0"/>
                      <w:sz w:val="21"/>
                      <w:szCs w:val="21"/>
                    </w:rPr>
                  </w:pPr>
                  <w:r>
                    <w:rPr>
                      <w:rFonts w:eastAsia="仿宋_GB2312"/>
                      <w:kern w:val="0"/>
                      <w:sz w:val="21"/>
                      <w:szCs w:val="21"/>
                    </w:rPr>
                    <w:t>0.0006</w:t>
                  </w:r>
                </w:p>
              </w:tc>
              <w:tc>
                <w:tcPr>
                  <w:tcW w:w="563" w:type="pct"/>
                  <w:vAlign w:val="center"/>
                </w:tcPr>
                <w:p w14:paraId="4B01CF88">
                  <w:pPr>
                    <w:adjustRightInd w:val="0"/>
                    <w:snapToGrid w:val="0"/>
                    <w:jc w:val="center"/>
                    <w:rPr>
                      <w:rFonts w:eastAsia="仿宋_GB2312"/>
                      <w:sz w:val="21"/>
                      <w:szCs w:val="21"/>
                    </w:rPr>
                  </w:pPr>
                  <w:r>
                    <w:rPr>
                      <w:rFonts w:eastAsia="仿宋_GB2312"/>
                      <w:sz w:val="21"/>
                      <w:szCs w:val="21"/>
                    </w:rPr>
                    <w:t>0</w:t>
                  </w:r>
                </w:p>
              </w:tc>
              <w:tc>
                <w:tcPr>
                  <w:tcW w:w="603" w:type="pct"/>
                  <w:vAlign w:val="center"/>
                </w:tcPr>
                <w:p w14:paraId="573BA8FC">
                  <w:pPr>
                    <w:adjustRightInd w:val="0"/>
                    <w:snapToGrid w:val="0"/>
                    <w:jc w:val="center"/>
                    <w:rPr>
                      <w:rFonts w:eastAsia="仿宋_GB2312"/>
                      <w:sz w:val="21"/>
                      <w:szCs w:val="21"/>
                    </w:rPr>
                  </w:pPr>
                  <w:r>
                    <w:rPr>
                      <w:rFonts w:eastAsia="仿宋_GB2312"/>
                      <w:sz w:val="21"/>
                      <w:szCs w:val="21"/>
                    </w:rPr>
                    <w:t>0</w:t>
                  </w:r>
                </w:p>
              </w:tc>
              <w:tc>
                <w:tcPr>
                  <w:tcW w:w="692" w:type="pct"/>
                  <w:vAlign w:val="center"/>
                </w:tcPr>
                <w:p w14:paraId="51928B27">
                  <w:pPr>
                    <w:widowControl/>
                    <w:jc w:val="center"/>
                    <w:textAlignment w:val="center"/>
                    <w:rPr>
                      <w:rFonts w:eastAsia="仿宋_GB2312"/>
                      <w:kern w:val="0"/>
                      <w:sz w:val="21"/>
                      <w:szCs w:val="21"/>
                    </w:rPr>
                  </w:pPr>
                  <w:r>
                    <w:rPr>
                      <w:rFonts w:eastAsia="仿宋_GB2312"/>
                      <w:kern w:val="0"/>
                      <w:sz w:val="21"/>
                      <w:szCs w:val="21"/>
                    </w:rPr>
                    <w:t>0.0006</w:t>
                  </w:r>
                </w:p>
              </w:tc>
              <w:tc>
                <w:tcPr>
                  <w:tcW w:w="762" w:type="pct"/>
                  <w:vAlign w:val="center"/>
                </w:tcPr>
                <w:p w14:paraId="6908C7BB">
                  <w:pPr>
                    <w:adjustRightInd w:val="0"/>
                    <w:snapToGrid w:val="0"/>
                    <w:jc w:val="center"/>
                    <w:rPr>
                      <w:rFonts w:eastAsia="仿宋_GB2312"/>
                      <w:sz w:val="21"/>
                      <w:szCs w:val="21"/>
                    </w:rPr>
                  </w:pPr>
                  <w:r>
                    <w:rPr>
                      <w:rFonts w:eastAsia="仿宋_GB2312"/>
                      <w:sz w:val="21"/>
                      <w:szCs w:val="21"/>
                    </w:rPr>
                    <w:t>0</w:t>
                  </w:r>
                </w:p>
              </w:tc>
            </w:tr>
            <w:tr w14:paraId="478093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8" w:type="pct"/>
                  <w:vMerge w:val="continue"/>
                  <w:vAlign w:val="center"/>
                </w:tcPr>
                <w:p w14:paraId="48957E4A">
                  <w:pPr>
                    <w:pStyle w:val="56"/>
                    <w:spacing w:beforeLines="0" w:afterLines="0" w:line="240" w:lineRule="auto"/>
                    <w:rPr>
                      <w:rFonts w:ascii="Times New Roman" w:eastAsia="仿宋_GB2312"/>
                      <w:sz w:val="21"/>
                      <w:szCs w:val="21"/>
                    </w:rPr>
                  </w:pPr>
                </w:p>
              </w:tc>
              <w:tc>
                <w:tcPr>
                  <w:tcW w:w="555" w:type="pct"/>
                  <w:gridSpan w:val="2"/>
                  <w:vAlign w:val="center"/>
                </w:tcPr>
                <w:p w14:paraId="74354CE6">
                  <w:pPr>
                    <w:widowControl/>
                    <w:jc w:val="center"/>
                    <w:textAlignment w:val="center"/>
                    <w:rPr>
                      <w:rFonts w:eastAsia="仿宋_GB2312"/>
                      <w:sz w:val="21"/>
                      <w:szCs w:val="21"/>
                    </w:rPr>
                  </w:pPr>
                  <w:r>
                    <w:rPr>
                      <w:rFonts w:eastAsia="仿宋_GB2312"/>
                      <w:kern w:val="0"/>
                      <w:sz w:val="21"/>
                      <w:szCs w:val="21"/>
                    </w:rPr>
                    <w:t>废气</w:t>
                  </w:r>
                </w:p>
              </w:tc>
              <w:tc>
                <w:tcPr>
                  <w:tcW w:w="705" w:type="pct"/>
                  <w:vAlign w:val="center"/>
                </w:tcPr>
                <w:p w14:paraId="49DB3F43">
                  <w:pPr>
                    <w:adjustRightInd w:val="0"/>
                    <w:snapToGrid w:val="0"/>
                    <w:jc w:val="center"/>
                    <w:rPr>
                      <w:rFonts w:eastAsia="仿宋_GB2312"/>
                      <w:sz w:val="21"/>
                      <w:szCs w:val="21"/>
                    </w:rPr>
                  </w:pPr>
                  <w:r>
                    <w:rPr>
                      <w:rFonts w:eastAsia="仿宋_GB2312"/>
                      <w:sz w:val="21"/>
                      <w:szCs w:val="21"/>
                    </w:rPr>
                    <w:t>/</w:t>
                  </w:r>
                </w:p>
              </w:tc>
              <w:tc>
                <w:tcPr>
                  <w:tcW w:w="692" w:type="pct"/>
                  <w:vAlign w:val="center"/>
                </w:tcPr>
                <w:p w14:paraId="0242E157">
                  <w:pPr>
                    <w:adjustRightInd w:val="0"/>
                    <w:snapToGrid w:val="0"/>
                    <w:jc w:val="center"/>
                    <w:rPr>
                      <w:rFonts w:eastAsia="仿宋_GB2312"/>
                      <w:sz w:val="21"/>
                      <w:szCs w:val="21"/>
                    </w:rPr>
                  </w:pPr>
                  <w:r>
                    <w:rPr>
                      <w:rFonts w:eastAsia="仿宋_GB2312"/>
                      <w:sz w:val="21"/>
                      <w:szCs w:val="21"/>
                    </w:rPr>
                    <w:t>/</w:t>
                  </w:r>
                </w:p>
              </w:tc>
              <w:tc>
                <w:tcPr>
                  <w:tcW w:w="563" w:type="pct"/>
                  <w:vAlign w:val="center"/>
                </w:tcPr>
                <w:p w14:paraId="4983C573">
                  <w:pPr>
                    <w:adjustRightInd w:val="0"/>
                    <w:snapToGrid w:val="0"/>
                    <w:jc w:val="center"/>
                    <w:rPr>
                      <w:rFonts w:eastAsia="仿宋_GB2312"/>
                      <w:sz w:val="21"/>
                      <w:szCs w:val="21"/>
                    </w:rPr>
                  </w:pPr>
                  <w:r>
                    <w:rPr>
                      <w:rFonts w:eastAsia="仿宋_GB2312"/>
                      <w:sz w:val="21"/>
                      <w:szCs w:val="21"/>
                    </w:rPr>
                    <w:t>/</w:t>
                  </w:r>
                </w:p>
              </w:tc>
              <w:tc>
                <w:tcPr>
                  <w:tcW w:w="603" w:type="pct"/>
                  <w:vAlign w:val="center"/>
                </w:tcPr>
                <w:p w14:paraId="32F7EA13">
                  <w:pPr>
                    <w:adjustRightInd w:val="0"/>
                    <w:snapToGrid w:val="0"/>
                    <w:jc w:val="center"/>
                    <w:rPr>
                      <w:rFonts w:eastAsia="仿宋_GB2312"/>
                      <w:sz w:val="21"/>
                      <w:szCs w:val="21"/>
                    </w:rPr>
                  </w:pPr>
                  <w:r>
                    <w:rPr>
                      <w:rFonts w:eastAsia="仿宋_GB2312"/>
                      <w:sz w:val="21"/>
                      <w:szCs w:val="21"/>
                    </w:rPr>
                    <w:t>/</w:t>
                  </w:r>
                </w:p>
              </w:tc>
              <w:tc>
                <w:tcPr>
                  <w:tcW w:w="692" w:type="pct"/>
                  <w:vAlign w:val="center"/>
                </w:tcPr>
                <w:p w14:paraId="1C4D61E8">
                  <w:pPr>
                    <w:adjustRightInd w:val="0"/>
                    <w:snapToGrid w:val="0"/>
                    <w:jc w:val="center"/>
                    <w:rPr>
                      <w:rFonts w:eastAsia="仿宋_GB2312"/>
                      <w:sz w:val="21"/>
                      <w:szCs w:val="21"/>
                    </w:rPr>
                  </w:pPr>
                  <w:r>
                    <w:rPr>
                      <w:rFonts w:eastAsia="仿宋_GB2312"/>
                      <w:sz w:val="21"/>
                      <w:szCs w:val="21"/>
                    </w:rPr>
                    <w:t>/</w:t>
                  </w:r>
                </w:p>
              </w:tc>
              <w:tc>
                <w:tcPr>
                  <w:tcW w:w="762" w:type="pct"/>
                  <w:vAlign w:val="center"/>
                </w:tcPr>
                <w:p w14:paraId="1B8CAEC8">
                  <w:pPr>
                    <w:adjustRightInd w:val="0"/>
                    <w:snapToGrid w:val="0"/>
                    <w:jc w:val="center"/>
                    <w:rPr>
                      <w:rFonts w:eastAsia="仿宋_GB2312"/>
                      <w:sz w:val="21"/>
                      <w:szCs w:val="21"/>
                    </w:rPr>
                  </w:pPr>
                  <w:r>
                    <w:rPr>
                      <w:rFonts w:eastAsia="仿宋_GB2312"/>
                      <w:sz w:val="21"/>
                      <w:szCs w:val="21"/>
                    </w:rPr>
                    <w:t>/</w:t>
                  </w:r>
                </w:p>
              </w:tc>
            </w:tr>
            <w:tr w14:paraId="3E47DB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8" w:type="pct"/>
                  <w:vMerge w:val="continue"/>
                  <w:vAlign w:val="center"/>
                </w:tcPr>
                <w:p w14:paraId="3F759AA9">
                  <w:pPr>
                    <w:widowControl/>
                    <w:jc w:val="center"/>
                    <w:textAlignment w:val="center"/>
                    <w:rPr>
                      <w:rFonts w:eastAsia="仿宋_GB2312"/>
                      <w:kern w:val="0"/>
                      <w:sz w:val="21"/>
                      <w:szCs w:val="21"/>
                    </w:rPr>
                  </w:pPr>
                </w:p>
              </w:tc>
              <w:tc>
                <w:tcPr>
                  <w:tcW w:w="555" w:type="pct"/>
                  <w:gridSpan w:val="2"/>
                  <w:vAlign w:val="center"/>
                </w:tcPr>
                <w:p w14:paraId="074E6CF5">
                  <w:pPr>
                    <w:widowControl/>
                    <w:jc w:val="center"/>
                    <w:textAlignment w:val="center"/>
                    <w:rPr>
                      <w:rFonts w:eastAsia="仿宋_GB2312"/>
                      <w:sz w:val="21"/>
                      <w:szCs w:val="21"/>
                    </w:rPr>
                  </w:pPr>
                  <w:r>
                    <w:rPr>
                      <w:rFonts w:eastAsia="仿宋_GB2312"/>
                      <w:kern w:val="0"/>
                      <w:sz w:val="21"/>
                      <w:szCs w:val="21"/>
                    </w:rPr>
                    <w:t>固体废物</w:t>
                  </w:r>
                </w:p>
              </w:tc>
              <w:tc>
                <w:tcPr>
                  <w:tcW w:w="705" w:type="pct"/>
                  <w:vAlign w:val="center"/>
                </w:tcPr>
                <w:p w14:paraId="38EBA651">
                  <w:pPr>
                    <w:adjustRightInd w:val="0"/>
                    <w:snapToGrid w:val="0"/>
                    <w:jc w:val="center"/>
                    <w:rPr>
                      <w:rFonts w:eastAsia="仿宋_GB2312"/>
                      <w:sz w:val="21"/>
                      <w:szCs w:val="21"/>
                    </w:rPr>
                  </w:pPr>
                  <w:r>
                    <w:rPr>
                      <w:rFonts w:eastAsia="仿宋_GB2312"/>
                      <w:sz w:val="21"/>
                      <w:szCs w:val="21"/>
                    </w:rPr>
                    <w:t>/</w:t>
                  </w:r>
                </w:p>
              </w:tc>
              <w:tc>
                <w:tcPr>
                  <w:tcW w:w="692" w:type="pct"/>
                  <w:vAlign w:val="center"/>
                </w:tcPr>
                <w:p w14:paraId="210F28EF">
                  <w:pPr>
                    <w:adjustRightInd w:val="0"/>
                    <w:snapToGrid w:val="0"/>
                    <w:jc w:val="center"/>
                    <w:rPr>
                      <w:rFonts w:eastAsia="仿宋_GB2312"/>
                      <w:sz w:val="21"/>
                      <w:szCs w:val="21"/>
                    </w:rPr>
                  </w:pPr>
                  <w:r>
                    <w:rPr>
                      <w:rFonts w:eastAsia="仿宋_GB2312"/>
                      <w:sz w:val="21"/>
                      <w:szCs w:val="21"/>
                    </w:rPr>
                    <w:t>/</w:t>
                  </w:r>
                </w:p>
              </w:tc>
              <w:tc>
                <w:tcPr>
                  <w:tcW w:w="563" w:type="pct"/>
                  <w:vAlign w:val="center"/>
                </w:tcPr>
                <w:p w14:paraId="2CA8E19E">
                  <w:pPr>
                    <w:adjustRightInd w:val="0"/>
                    <w:snapToGrid w:val="0"/>
                    <w:jc w:val="center"/>
                    <w:rPr>
                      <w:rFonts w:eastAsia="仿宋_GB2312"/>
                      <w:sz w:val="21"/>
                      <w:szCs w:val="21"/>
                    </w:rPr>
                  </w:pPr>
                  <w:r>
                    <w:rPr>
                      <w:rFonts w:eastAsia="仿宋_GB2312"/>
                      <w:sz w:val="21"/>
                      <w:szCs w:val="21"/>
                    </w:rPr>
                    <w:t>/</w:t>
                  </w:r>
                </w:p>
              </w:tc>
              <w:tc>
                <w:tcPr>
                  <w:tcW w:w="603" w:type="pct"/>
                  <w:vAlign w:val="center"/>
                </w:tcPr>
                <w:p w14:paraId="2DBEF1E5">
                  <w:pPr>
                    <w:adjustRightInd w:val="0"/>
                    <w:snapToGrid w:val="0"/>
                    <w:jc w:val="center"/>
                    <w:rPr>
                      <w:rFonts w:eastAsia="仿宋_GB2312"/>
                      <w:sz w:val="21"/>
                      <w:szCs w:val="21"/>
                    </w:rPr>
                  </w:pPr>
                  <w:r>
                    <w:rPr>
                      <w:rFonts w:eastAsia="仿宋_GB2312"/>
                      <w:sz w:val="21"/>
                      <w:szCs w:val="21"/>
                    </w:rPr>
                    <w:t>/</w:t>
                  </w:r>
                </w:p>
              </w:tc>
              <w:tc>
                <w:tcPr>
                  <w:tcW w:w="692" w:type="pct"/>
                  <w:vAlign w:val="center"/>
                </w:tcPr>
                <w:p w14:paraId="245244AB">
                  <w:pPr>
                    <w:adjustRightInd w:val="0"/>
                    <w:snapToGrid w:val="0"/>
                    <w:jc w:val="center"/>
                    <w:rPr>
                      <w:rFonts w:eastAsia="仿宋_GB2312"/>
                      <w:sz w:val="21"/>
                      <w:szCs w:val="21"/>
                    </w:rPr>
                  </w:pPr>
                  <w:r>
                    <w:rPr>
                      <w:rFonts w:eastAsia="仿宋_GB2312"/>
                      <w:sz w:val="21"/>
                      <w:szCs w:val="21"/>
                    </w:rPr>
                    <w:t>/</w:t>
                  </w:r>
                </w:p>
              </w:tc>
              <w:tc>
                <w:tcPr>
                  <w:tcW w:w="762" w:type="pct"/>
                  <w:vAlign w:val="center"/>
                </w:tcPr>
                <w:p w14:paraId="6131A3D8">
                  <w:pPr>
                    <w:adjustRightInd w:val="0"/>
                    <w:snapToGrid w:val="0"/>
                    <w:jc w:val="center"/>
                    <w:rPr>
                      <w:rFonts w:eastAsia="仿宋_GB2312"/>
                      <w:sz w:val="21"/>
                      <w:szCs w:val="21"/>
                    </w:rPr>
                  </w:pPr>
                  <w:r>
                    <w:rPr>
                      <w:rFonts w:eastAsia="仿宋_GB2312"/>
                      <w:sz w:val="21"/>
                      <w:szCs w:val="21"/>
                    </w:rPr>
                    <w:t>/</w:t>
                  </w:r>
                </w:p>
              </w:tc>
            </w:tr>
          </w:tbl>
          <w:p w14:paraId="145CAEFB">
            <w:pPr>
              <w:adjustRightInd w:val="0"/>
              <w:snapToGrid w:val="0"/>
              <w:spacing w:line="360" w:lineRule="auto"/>
              <w:ind w:firstLine="422" w:firstLineChars="200"/>
              <w:rPr>
                <w:rFonts w:eastAsia="仿宋_GB2312"/>
                <w:b/>
                <w:kern w:val="0"/>
              </w:rPr>
            </w:pPr>
            <w:r>
              <w:rPr>
                <w:rFonts w:eastAsia="仿宋_GB2312"/>
                <w:b/>
                <w:kern w:val="0"/>
              </w:rPr>
              <w:t>3、总量指标来源</w:t>
            </w:r>
          </w:p>
          <w:p w14:paraId="2C1A8EEA">
            <w:pPr>
              <w:adjustRightInd w:val="0"/>
              <w:snapToGrid w:val="0"/>
              <w:spacing w:line="360" w:lineRule="auto"/>
              <w:ind w:firstLine="420" w:firstLineChars="200"/>
              <w:jc w:val="left"/>
              <w:rPr>
                <w:rFonts w:eastAsia="仿宋_GB2312"/>
                <w:kern w:val="0"/>
              </w:rPr>
            </w:pPr>
            <w:r>
              <w:rPr>
                <w:rFonts w:eastAsia="仿宋_GB2312"/>
                <w:kern w:val="0"/>
              </w:rPr>
              <w:t>本项目废气</w:t>
            </w:r>
            <w:r>
              <w:rPr>
                <w:rFonts w:hint="eastAsia" w:eastAsia="仿宋_GB2312"/>
                <w:kern w:val="0"/>
                <w:lang w:eastAsia="zh-CN"/>
              </w:rPr>
              <w:t>（</w:t>
            </w:r>
            <w:r>
              <w:rPr>
                <w:rFonts w:hint="eastAsia" w:eastAsia="仿宋_GB2312"/>
                <w:kern w:val="0"/>
                <w:lang w:val="en-US" w:eastAsia="zh-CN"/>
              </w:rPr>
              <w:t>非甲烷总烃、颗粒物、氯化氢</w:t>
            </w:r>
            <w:r>
              <w:rPr>
                <w:rFonts w:hint="eastAsia" w:eastAsia="仿宋_GB2312"/>
                <w:kern w:val="0"/>
                <w:lang w:eastAsia="zh-CN"/>
              </w:rPr>
              <w:t>）</w:t>
            </w:r>
            <w:r>
              <w:rPr>
                <w:rFonts w:eastAsia="仿宋_GB2312"/>
                <w:kern w:val="0"/>
              </w:rPr>
              <w:t>排放量向金坛区环保局申请，最终排放量在金坛区平衡</w:t>
            </w:r>
            <w:r>
              <w:rPr>
                <w:rFonts w:hint="eastAsia" w:eastAsia="仿宋_GB2312"/>
                <w:kern w:val="0"/>
                <w:lang w:eastAsia="zh-CN"/>
              </w:rPr>
              <w:t>；</w:t>
            </w:r>
            <w:r>
              <w:rPr>
                <w:rFonts w:hint="eastAsia" w:eastAsia="仿宋_GB2312"/>
                <w:kern w:val="0"/>
                <w:lang w:val="en-US" w:eastAsia="zh-CN"/>
              </w:rPr>
              <w:t>生产废水</w:t>
            </w:r>
            <w:r>
              <w:rPr>
                <w:rFonts w:hint="eastAsia" w:eastAsia="仿宋_GB2312"/>
                <w:snapToGrid w:val="0"/>
                <w:kern w:val="0"/>
              </w:rPr>
              <w:t>经含盐废水专用管网打入反冲洗池后，通过回用管道回用至矿区采卤</w:t>
            </w:r>
            <w:r>
              <w:rPr>
                <w:rFonts w:hint="eastAsia" w:eastAsia="仿宋_GB2312"/>
                <w:snapToGrid w:val="0"/>
                <w:kern w:val="0"/>
                <w:lang w:eastAsia="zh-CN"/>
              </w:rPr>
              <w:t>，</w:t>
            </w:r>
            <w:r>
              <w:rPr>
                <w:rFonts w:hint="eastAsia" w:eastAsia="仿宋_GB2312"/>
                <w:snapToGrid w:val="0"/>
                <w:kern w:val="0"/>
                <w:lang w:val="en-US" w:eastAsia="zh-CN"/>
              </w:rPr>
              <w:t>回用不外排；固废零排放</w:t>
            </w:r>
            <w:r>
              <w:rPr>
                <w:rFonts w:hint="eastAsia" w:eastAsia="仿宋_GB2312"/>
                <w:kern w:val="0"/>
              </w:rPr>
              <w:t>。</w:t>
            </w:r>
            <w:r>
              <w:rPr>
                <w:rFonts w:eastAsia="仿宋_GB2312"/>
                <w:kern w:val="0"/>
              </w:rPr>
              <w:t>根据《关于加强建设项目烟粉尘、挥发性有机物准入审核的通知》（苏环办[2014]148号）、《常州市建设项目主要污染物排放总量指标审核及管理实施细则》等文件，本项目</w:t>
            </w:r>
            <w:r>
              <w:rPr>
                <w:rFonts w:hint="eastAsia" w:eastAsia="仿宋_GB2312"/>
                <w:kern w:val="0"/>
              </w:rPr>
              <w:t>VOCs</w:t>
            </w:r>
            <w:r>
              <w:rPr>
                <w:rFonts w:eastAsia="仿宋_GB2312"/>
                <w:kern w:val="0"/>
              </w:rPr>
              <w:t>排放总量指标按工程减排类项目2</w:t>
            </w:r>
            <w:r>
              <w:rPr>
                <w:rFonts w:hint="eastAsia" w:eastAsia="仿宋_GB2312"/>
                <w:kern w:val="0"/>
              </w:rPr>
              <w:t>倍</w:t>
            </w:r>
            <w:r>
              <w:rPr>
                <w:rFonts w:eastAsia="仿宋_GB2312"/>
                <w:kern w:val="0"/>
              </w:rPr>
              <w:t>削减量替代或关闭类项目1.5倍削减量替代。</w:t>
            </w:r>
          </w:p>
        </w:tc>
      </w:tr>
    </w:tbl>
    <w:p w14:paraId="2FE99DC3">
      <w:pPr>
        <w:pStyle w:val="28"/>
        <w:jc w:val="center"/>
        <w:outlineLvl w:val="0"/>
        <w:rPr>
          <w:rFonts w:ascii="Times New Roman" w:hAnsi="Times New Roman" w:eastAsia="仿宋_GB2312"/>
          <w:snapToGrid w:val="0"/>
          <w:sz w:val="30"/>
          <w:szCs w:val="30"/>
        </w:rPr>
      </w:pPr>
      <w:r>
        <w:rPr>
          <w:rFonts w:ascii="Times New Roman" w:hAnsi="Times New Roman" w:eastAsia="仿宋_GB2312"/>
          <w:snapToGrid w:val="0"/>
          <w:sz w:val="36"/>
          <w:szCs w:val="36"/>
        </w:rPr>
        <w:br w:type="page"/>
      </w:r>
      <w:bookmarkStart w:id="44" w:name="_Toc22095"/>
      <w:bookmarkStart w:id="45" w:name="_Toc29366"/>
      <w:bookmarkStart w:id="46" w:name="_Toc26965"/>
      <w:r>
        <w:rPr>
          <w:rFonts w:ascii="Times New Roman" w:hAnsi="Times New Roman" w:eastAsia="仿宋_GB2312"/>
          <w:b/>
          <w:bCs/>
          <w:snapToGrid w:val="0"/>
          <w:sz w:val="30"/>
          <w:szCs w:val="30"/>
        </w:rPr>
        <w:t>四、主要环境影响和保护措施</w:t>
      </w:r>
      <w:bookmarkEnd w:id="44"/>
      <w:bookmarkEnd w:id="45"/>
      <w:bookmarkEnd w:id="46"/>
    </w:p>
    <w:tbl>
      <w:tblPr>
        <w:tblStyle w:val="31"/>
        <w:tblW w:w="508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9"/>
        <w:gridCol w:w="8712"/>
      </w:tblGrid>
      <w:tr w14:paraId="5542F8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234" w:type="pct"/>
            <w:tcMar>
              <w:left w:w="28" w:type="dxa"/>
              <w:right w:w="28" w:type="dxa"/>
            </w:tcMar>
            <w:vAlign w:val="center"/>
          </w:tcPr>
          <w:p w14:paraId="26C47CFC">
            <w:pPr>
              <w:pStyle w:val="28"/>
              <w:adjustRightInd w:val="0"/>
              <w:snapToGrid w:val="0"/>
              <w:spacing w:before="0" w:beforeAutospacing="0" w:after="0" w:afterAutospacing="0" w:line="360" w:lineRule="auto"/>
              <w:jc w:val="center"/>
              <w:rPr>
                <w:rFonts w:ascii="Times New Roman" w:hAnsi="Times New Roman" w:eastAsia="仿宋_GB2312"/>
                <w:kern w:val="2"/>
                <w:szCs w:val="24"/>
              </w:rPr>
            </w:pPr>
            <w:r>
              <w:rPr>
                <w:rFonts w:ascii="Times New Roman" w:hAnsi="Times New Roman" w:eastAsia="仿宋_GB2312"/>
                <w:kern w:val="2"/>
                <w:szCs w:val="24"/>
              </w:rPr>
              <w:t>施工</w:t>
            </w:r>
          </w:p>
          <w:p w14:paraId="680DE43D">
            <w:pPr>
              <w:pStyle w:val="28"/>
              <w:adjustRightInd w:val="0"/>
              <w:snapToGrid w:val="0"/>
              <w:spacing w:before="0" w:beforeAutospacing="0" w:after="0" w:afterAutospacing="0" w:line="360" w:lineRule="auto"/>
              <w:jc w:val="center"/>
              <w:rPr>
                <w:rFonts w:ascii="Times New Roman" w:hAnsi="Times New Roman" w:eastAsia="仿宋_GB2312"/>
                <w:kern w:val="2"/>
                <w:szCs w:val="24"/>
              </w:rPr>
            </w:pPr>
            <w:r>
              <w:rPr>
                <w:rFonts w:ascii="Times New Roman" w:hAnsi="Times New Roman" w:eastAsia="仿宋_GB2312"/>
                <w:kern w:val="2"/>
                <w:szCs w:val="24"/>
              </w:rPr>
              <w:t>期环</w:t>
            </w:r>
          </w:p>
          <w:p w14:paraId="1739BB61">
            <w:pPr>
              <w:pStyle w:val="28"/>
              <w:adjustRightInd w:val="0"/>
              <w:snapToGrid w:val="0"/>
              <w:spacing w:before="0" w:beforeAutospacing="0" w:after="0" w:afterAutospacing="0" w:line="360" w:lineRule="auto"/>
              <w:jc w:val="center"/>
              <w:rPr>
                <w:rFonts w:ascii="Times New Roman" w:hAnsi="Times New Roman" w:eastAsia="仿宋_GB2312"/>
                <w:kern w:val="2"/>
                <w:szCs w:val="24"/>
              </w:rPr>
            </w:pPr>
            <w:r>
              <w:rPr>
                <w:rFonts w:ascii="Times New Roman" w:hAnsi="Times New Roman" w:eastAsia="仿宋_GB2312"/>
                <w:kern w:val="2"/>
                <w:szCs w:val="24"/>
              </w:rPr>
              <w:t>境保</w:t>
            </w:r>
          </w:p>
          <w:p w14:paraId="4ACACE4D">
            <w:pPr>
              <w:pStyle w:val="28"/>
              <w:adjustRightInd w:val="0"/>
              <w:snapToGrid w:val="0"/>
              <w:spacing w:before="0" w:beforeAutospacing="0" w:after="0" w:afterAutospacing="0" w:line="360" w:lineRule="auto"/>
              <w:jc w:val="center"/>
              <w:rPr>
                <w:rFonts w:ascii="Times New Roman" w:hAnsi="Times New Roman" w:eastAsia="仿宋_GB2312"/>
                <w:kern w:val="2"/>
                <w:szCs w:val="24"/>
              </w:rPr>
            </w:pPr>
            <w:r>
              <w:rPr>
                <w:rFonts w:ascii="Times New Roman" w:hAnsi="Times New Roman" w:eastAsia="仿宋_GB2312"/>
                <w:kern w:val="2"/>
                <w:szCs w:val="24"/>
              </w:rPr>
              <w:t>护措</w:t>
            </w:r>
          </w:p>
          <w:p w14:paraId="751A148E">
            <w:pPr>
              <w:pStyle w:val="28"/>
              <w:adjustRightInd w:val="0"/>
              <w:snapToGrid w:val="0"/>
              <w:spacing w:before="0" w:beforeAutospacing="0" w:after="0" w:afterAutospacing="0" w:line="360" w:lineRule="auto"/>
              <w:jc w:val="center"/>
              <w:rPr>
                <w:rFonts w:ascii="Times New Roman" w:hAnsi="Times New Roman" w:eastAsia="仿宋_GB2312"/>
                <w:bCs/>
                <w:kern w:val="2"/>
                <w:szCs w:val="24"/>
              </w:rPr>
            </w:pPr>
            <w:r>
              <w:rPr>
                <w:rFonts w:ascii="Times New Roman" w:hAnsi="Times New Roman" w:eastAsia="仿宋_GB2312"/>
                <w:kern w:val="2"/>
                <w:szCs w:val="24"/>
              </w:rPr>
              <w:t>施</w:t>
            </w:r>
          </w:p>
        </w:tc>
        <w:tc>
          <w:tcPr>
            <w:tcW w:w="4765" w:type="pct"/>
            <w:vAlign w:val="center"/>
          </w:tcPr>
          <w:p w14:paraId="59AEE98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仿宋_GB2312" w:cs="Times New Roman"/>
                <w:snapToGrid w:val="0"/>
                <w:color w:val="auto"/>
                <w:kern w:val="0"/>
                <w:sz w:val="21"/>
                <w:szCs w:val="21"/>
              </w:rPr>
            </w:pPr>
            <w:r>
              <w:rPr>
                <w:rFonts w:hint="default" w:ascii="Times New Roman" w:hAnsi="Times New Roman" w:eastAsia="仿宋_GB2312" w:cs="Times New Roman"/>
              </w:rPr>
              <w:t>拟建工程在施工期建设过程中，对环境的影响，一是由于</w:t>
            </w:r>
            <w:r>
              <w:rPr>
                <w:rFonts w:hint="eastAsia" w:ascii="Times New Roman" w:hAnsi="Times New Roman" w:eastAsia="仿宋_GB2312" w:cs="Times New Roman"/>
                <w:lang w:val="en-US" w:eastAsia="zh-CN"/>
              </w:rPr>
              <w:t>输卤管线、</w:t>
            </w:r>
            <w:r>
              <w:rPr>
                <w:rFonts w:hint="default" w:ascii="Times New Roman" w:hAnsi="Times New Roman" w:eastAsia="仿宋_GB2312" w:cs="Times New Roman"/>
              </w:rPr>
              <w:t>厂区地基的开挖、建筑材料的装卸运输、挖掘泥土堆放的裸露对大气的影响，主要污染物为TSP；二是施工中所使用的挖掘机、推土机、混凝土搅拌机、振捣机等设备的安装及运输车辆发动机的轰鸣对声环境的影响；三是在施工中，排放的施工设备清洗水、水泥养护水及施工人员的生活污水及生活垃圾。虽然施工期对环境的影响是暂时的，如措施不到位，会对周围居民生活造成较大的影响。</w:t>
            </w:r>
          </w:p>
          <w:p w14:paraId="29995937">
            <w:pPr>
              <w:keepNext/>
              <w:keepLines/>
              <w:tabs>
                <w:tab w:val="left" w:pos="567"/>
                <w:tab w:val="left" w:pos="783"/>
              </w:tabs>
              <w:overflowPunct w:val="0"/>
              <w:topLinePunct/>
              <w:autoSpaceDE w:val="0"/>
              <w:autoSpaceDN w:val="0"/>
              <w:adjustRightInd w:val="0"/>
              <w:snapToGrid w:val="0"/>
              <w:spacing w:line="360" w:lineRule="auto"/>
              <w:ind w:firstLine="422" w:firstLineChars="200"/>
              <w:jc w:val="left"/>
              <w:textAlignment w:val="baseline"/>
              <w:outlineLvl w:val="3"/>
              <w:rPr>
                <w:rFonts w:hint="default" w:ascii="Times New Roman" w:hAnsi="Times New Roman" w:eastAsia="仿宋_GB2312" w:cs="Times New Roman"/>
                <w:b/>
                <w:bCs/>
                <w:kern w:val="0"/>
              </w:rPr>
            </w:pPr>
            <w:r>
              <w:rPr>
                <w:rFonts w:hint="default" w:ascii="Times New Roman" w:hAnsi="Times New Roman" w:eastAsia="仿宋_GB2312" w:cs="Times New Roman"/>
                <w:b/>
                <w:bCs/>
                <w:kern w:val="0"/>
              </w:rPr>
              <w:t>1、施工期大气环境影响分析</w:t>
            </w:r>
          </w:p>
          <w:p w14:paraId="7B0055AA">
            <w:pPr>
              <w:adjustRightInd w:val="0"/>
              <w:snapToGrid w:val="0"/>
              <w:spacing w:line="360" w:lineRule="auto"/>
              <w:ind w:firstLine="411" w:firstLineChars="196"/>
              <w:rPr>
                <w:rFonts w:hint="default" w:ascii="Times New Roman" w:hAnsi="Times New Roman" w:eastAsia="仿宋_GB2312" w:cs="Times New Roman"/>
                <w:snapToGrid w:val="0"/>
                <w:kern w:val="0"/>
              </w:rPr>
            </w:pPr>
            <w:r>
              <w:rPr>
                <w:rFonts w:hint="default" w:ascii="Times New Roman" w:hAnsi="Times New Roman" w:eastAsia="仿宋_GB2312" w:cs="Times New Roman"/>
                <w:snapToGrid w:val="0"/>
                <w:kern w:val="0"/>
              </w:rPr>
              <w:t>1）施工期扬尘治理措施</w:t>
            </w:r>
          </w:p>
          <w:p w14:paraId="5EF73065">
            <w:pPr>
              <w:adjustRightInd w:val="0"/>
              <w:snapToGrid w:val="0"/>
              <w:spacing w:line="360" w:lineRule="auto"/>
              <w:ind w:firstLine="411" w:firstLineChars="196"/>
              <w:rPr>
                <w:rFonts w:hint="default" w:ascii="Times New Roman" w:hAnsi="Times New Roman" w:eastAsia="仿宋_GB2312" w:cs="Times New Roman"/>
                <w:snapToGrid w:val="0"/>
                <w:kern w:val="0"/>
              </w:rPr>
            </w:pPr>
            <w:r>
              <w:rPr>
                <w:rFonts w:hint="default" w:ascii="Times New Roman" w:hAnsi="Times New Roman" w:eastAsia="仿宋_GB2312" w:cs="Times New Roman"/>
                <w:snapToGrid w:val="0"/>
                <w:kern w:val="0"/>
              </w:rPr>
              <w:t>①在施工中产生的废气污染物主要是施工机械排放的少量废气、地基处理、材料堆存及运输过程产生的颗粒物，均属无组织排放，在时间和空间上较零散，难以定量计算。</w:t>
            </w:r>
          </w:p>
          <w:p w14:paraId="4C087260">
            <w:pPr>
              <w:spacing w:line="360" w:lineRule="auto"/>
              <w:ind w:firstLine="420" w:firstLineChars="200"/>
              <w:rPr>
                <w:rFonts w:hint="eastAsia" w:ascii="Times New Roman" w:hAnsi="Times New Roman" w:eastAsia="仿宋_GB2312" w:cs="Times New Roman"/>
                <w:lang w:val="en-US" w:eastAsia="zh-CN"/>
              </w:rPr>
            </w:pPr>
            <w:r>
              <w:rPr>
                <w:rFonts w:hint="default" w:ascii="Times New Roman" w:hAnsi="Times New Roman" w:eastAsia="仿宋_GB2312" w:cs="Times New Roman"/>
                <w:snapToGrid w:val="0"/>
                <w:kern w:val="0"/>
              </w:rPr>
              <w:t>在施工中作业场地应设有硬质围挡以减少扬尘扩散，该措施可以将施工扬尘影响距离缩短40%；施工中定期洒水，可根据天气</w:t>
            </w:r>
            <w:r>
              <w:rPr>
                <w:rFonts w:hint="default" w:ascii="Times New Roman" w:hAnsi="Times New Roman" w:eastAsia="仿宋_GB2312" w:cs="Times New Roman"/>
              </w:rPr>
              <w:t>状况，安排洒水次数；施工场地设车轮冲洗点，防止施工车辆带泥上路。洒水时对抑制扬尘具有显著作用，可将扬尘量降低28%-75%；同时施工期间按要求在施工区域围栏安全范围内设置监测点，可直接监控施工场地主要施工活动。</w:t>
            </w:r>
          </w:p>
          <w:p w14:paraId="7B18A4FD">
            <w:pPr>
              <w:spacing w:line="360" w:lineRule="auto"/>
              <w:ind w:firstLine="420" w:firstLineChars="200"/>
              <w:rPr>
                <w:rFonts w:hint="default" w:ascii="Times New Roman" w:hAnsi="Times New Roman" w:eastAsia="仿宋_GB2312" w:cs="Times New Roman"/>
              </w:rPr>
            </w:pPr>
            <w:r>
              <w:rPr>
                <w:rFonts w:hint="default" w:ascii="Times New Roman" w:hAnsi="Times New Roman" w:eastAsia="仿宋_GB2312" w:cs="Times New Roman"/>
              </w:rPr>
              <w:t>建筑垃圾和管道开挖过程所产生的废土及时处理、清运、减少占地、防止扬尘污染、清运车辆保持清洁。</w:t>
            </w:r>
          </w:p>
          <w:p w14:paraId="7B7E6F20">
            <w:pPr>
              <w:adjustRightInd w:val="0"/>
              <w:snapToGrid w:val="0"/>
              <w:spacing w:line="360" w:lineRule="auto"/>
              <w:ind w:firstLine="420" w:firstLineChars="200"/>
              <w:jc w:val="left"/>
              <w:rPr>
                <w:rFonts w:hint="default" w:ascii="Times New Roman" w:hAnsi="Times New Roman" w:eastAsia="仿宋_GB2312" w:cs="Times New Roman"/>
                <w:snapToGrid w:val="0"/>
                <w:kern w:val="0"/>
              </w:rPr>
            </w:pPr>
            <w:r>
              <w:rPr>
                <w:rFonts w:hint="default" w:ascii="Times New Roman" w:hAnsi="Times New Roman" w:eastAsia="仿宋_GB2312" w:cs="Times New Roman"/>
              </w:rPr>
              <w:t>采取以上措施后，施工场地扬尘能够满足江苏省地方标准《施工场地扬尘排放标准》（DB32/4437-2022）中TSP 500ug/m</w:t>
            </w:r>
            <w:r>
              <w:rPr>
                <w:rFonts w:hint="default" w:ascii="Times New Roman" w:hAnsi="Times New Roman" w:eastAsia="仿宋_GB2312" w:cs="Times New Roman"/>
                <w:vertAlign w:val="superscript"/>
              </w:rPr>
              <w:t>3</w:t>
            </w:r>
            <w:r>
              <w:rPr>
                <w:rFonts w:hint="default" w:ascii="Times New Roman" w:hAnsi="Times New Roman" w:eastAsia="仿宋_GB2312" w:cs="Times New Roman"/>
              </w:rPr>
              <w:t>，PM</w:t>
            </w:r>
            <w:r>
              <w:rPr>
                <w:rFonts w:hint="default" w:ascii="Times New Roman" w:hAnsi="Times New Roman" w:eastAsia="仿宋_GB2312" w:cs="Times New Roman"/>
                <w:vertAlign w:val="subscript"/>
              </w:rPr>
              <w:t>10</w:t>
            </w:r>
            <w:r>
              <w:rPr>
                <w:rFonts w:hint="default" w:ascii="Times New Roman" w:hAnsi="Times New Roman" w:eastAsia="仿宋_GB2312" w:cs="Times New Roman"/>
              </w:rPr>
              <w:t xml:space="preserve"> 80ug/m</w:t>
            </w:r>
            <w:r>
              <w:rPr>
                <w:rFonts w:hint="default" w:ascii="Times New Roman" w:hAnsi="Times New Roman" w:eastAsia="仿宋_GB2312" w:cs="Times New Roman"/>
                <w:vertAlign w:val="superscript"/>
              </w:rPr>
              <w:t>3</w:t>
            </w:r>
            <w:r>
              <w:rPr>
                <w:rFonts w:hint="default" w:ascii="Times New Roman" w:hAnsi="Times New Roman" w:eastAsia="仿宋_GB2312" w:cs="Times New Roman"/>
              </w:rPr>
              <w:t>的限值要求</w:t>
            </w:r>
            <w:r>
              <w:rPr>
                <w:rFonts w:hint="default" w:ascii="Times New Roman" w:hAnsi="Times New Roman" w:eastAsia="仿宋_GB2312" w:cs="Times New Roman"/>
                <w:snapToGrid w:val="0"/>
                <w:kern w:val="0"/>
              </w:rPr>
              <w:t>。</w:t>
            </w:r>
          </w:p>
          <w:p w14:paraId="30E42075">
            <w:pPr>
              <w:adjustRightInd w:val="0"/>
              <w:snapToGrid w:val="0"/>
              <w:spacing w:line="360" w:lineRule="auto"/>
              <w:ind w:firstLine="420" w:firstLineChars="200"/>
              <w:jc w:val="left"/>
              <w:rPr>
                <w:rFonts w:hint="default" w:ascii="Times New Roman" w:hAnsi="Times New Roman" w:eastAsia="仿宋_GB2312" w:cs="Times New Roman"/>
                <w:snapToGrid w:val="0"/>
                <w:kern w:val="0"/>
              </w:rPr>
            </w:pPr>
            <w:r>
              <w:rPr>
                <w:rFonts w:hint="default" w:ascii="Times New Roman" w:hAnsi="Times New Roman" w:eastAsia="仿宋_GB2312" w:cs="Times New Roman"/>
              </w:rPr>
              <w:t>②施工场地扬尘监测布点方案《施工场地扬尘排放标准》（DB32/4437-2022）5.2.2中要求：面积≤5000m</w:t>
            </w:r>
            <w:r>
              <w:rPr>
                <w:rFonts w:hint="default" w:ascii="Times New Roman" w:hAnsi="Times New Roman" w:eastAsia="仿宋_GB2312" w:cs="Times New Roman"/>
                <w:vertAlign w:val="superscript"/>
              </w:rPr>
              <w:t>2</w:t>
            </w:r>
            <w:r>
              <w:rPr>
                <w:rFonts w:hint="default" w:ascii="Times New Roman" w:hAnsi="Times New Roman" w:eastAsia="仿宋_GB2312" w:cs="Times New Roman"/>
              </w:rPr>
              <w:t>，监测点数≥1个，本项目占地3240m</w:t>
            </w:r>
            <w:r>
              <w:rPr>
                <w:rFonts w:hint="default" w:ascii="Times New Roman" w:hAnsi="Times New Roman" w:eastAsia="仿宋_GB2312" w:cs="Times New Roman"/>
                <w:vertAlign w:val="superscript"/>
              </w:rPr>
              <w:t>2</w:t>
            </w:r>
            <w:r>
              <w:rPr>
                <w:rFonts w:hint="default" w:ascii="Times New Roman" w:hAnsi="Times New Roman" w:eastAsia="仿宋_GB2312" w:cs="Times New Roman"/>
              </w:rPr>
              <w:t>，因此，本项目设置1个监测点位，根据《施工场地扬尘排放标准》（DB</w:t>
            </w:r>
            <w:r>
              <w:rPr>
                <w:rFonts w:hint="eastAsia" w:eastAsia="仿宋_GB2312" w:cs="Times New Roman"/>
                <w:lang w:val="en-US" w:eastAsia="zh-CN"/>
              </w:rPr>
              <w:t xml:space="preserve"> </w:t>
            </w:r>
            <w:r>
              <w:rPr>
                <w:rFonts w:hint="default" w:ascii="Times New Roman" w:hAnsi="Times New Roman" w:eastAsia="仿宋_GB2312" w:cs="Times New Roman"/>
              </w:rPr>
              <w:t>32/4437-2022）5.5.4中要求，监</w:t>
            </w:r>
            <w:r>
              <w:rPr>
                <w:rFonts w:hint="default" w:ascii="Times New Roman" w:hAnsi="Times New Roman" w:eastAsia="仿宋_GB2312" w:cs="Times New Roman"/>
                <w:snapToGrid w:val="0"/>
                <w:kern w:val="0"/>
              </w:rPr>
              <w:t>测点位应设置在易产生扬尘场所（如施工车辆进出口），因此，本项目在厂区门口设置一个监测点位。</w:t>
            </w:r>
          </w:p>
          <w:p w14:paraId="3ABDFB60">
            <w:pPr>
              <w:snapToGrid w:val="0"/>
              <w:spacing w:line="360" w:lineRule="auto"/>
              <w:jc w:val="center"/>
              <w:rPr>
                <w:rFonts w:hint="default" w:ascii="Times New Roman" w:hAnsi="Times New Roman" w:eastAsia="仿宋_GB2312" w:cs="Times New Roman"/>
                <w:b/>
              </w:rPr>
            </w:pPr>
            <w:r>
              <w:rPr>
                <w:rFonts w:hint="default" w:ascii="Times New Roman" w:hAnsi="Times New Roman" w:eastAsia="仿宋_GB2312" w:cs="Times New Roman"/>
                <w:b/>
              </w:rPr>
              <w:t>表4-1</w:t>
            </w:r>
            <w:r>
              <w:rPr>
                <w:rFonts w:hint="eastAsia" w:ascii="Times New Roman" w:hAnsi="Times New Roman" w:eastAsia="仿宋_GB2312" w:cs="Times New Roman"/>
                <w:b/>
                <w:lang w:val="en-US" w:eastAsia="zh-CN"/>
              </w:rPr>
              <w:t xml:space="preserve">  </w:t>
            </w:r>
            <w:r>
              <w:rPr>
                <w:rFonts w:hint="default" w:ascii="Times New Roman" w:hAnsi="Times New Roman" w:eastAsia="仿宋_GB2312" w:cs="Times New Roman"/>
                <w:b/>
              </w:rPr>
              <w:t>施工期扬尘监测点位信息表</w:t>
            </w:r>
          </w:p>
          <w:tbl>
            <w:tblPr>
              <w:tblStyle w:val="3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01"/>
              <w:gridCol w:w="1378"/>
              <w:gridCol w:w="918"/>
              <w:gridCol w:w="1378"/>
              <w:gridCol w:w="2449"/>
              <w:gridCol w:w="1772"/>
            </w:tblGrid>
            <w:tr w14:paraId="505D02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3" w:hRule="atLeast"/>
                <w:jc w:val="center"/>
              </w:trPr>
              <w:tc>
                <w:tcPr>
                  <w:tcW w:w="558" w:type="dxa"/>
                  <w:tcBorders>
                    <w:tl2br w:val="nil"/>
                    <w:tr2bl w:val="nil"/>
                  </w:tcBorders>
                  <w:vAlign w:val="center"/>
                </w:tcPr>
                <w:p w14:paraId="256167AB">
                  <w:pPr>
                    <w:adjustRightInd w:val="0"/>
                    <w:snapToGrid w:val="0"/>
                    <w:jc w:val="center"/>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rPr>
                    <w:t>编号</w:t>
                  </w:r>
                </w:p>
              </w:tc>
              <w:tc>
                <w:tcPr>
                  <w:tcW w:w="1276" w:type="dxa"/>
                  <w:tcBorders>
                    <w:tl2br w:val="nil"/>
                    <w:tr2bl w:val="nil"/>
                  </w:tcBorders>
                  <w:vAlign w:val="center"/>
                </w:tcPr>
                <w:p w14:paraId="24D2E423">
                  <w:pPr>
                    <w:adjustRightInd w:val="0"/>
                    <w:snapToGrid w:val="0"/>
                    <w:jc w:val="center"/>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rPr>
                    <w:t>监测内容</w:t>
                  </w:r>
                </w:p>
              </w:tc>
              <w:tc>
                <w:tcPr>
                  <w:tcW w:w="850" w:type="dxa"/>
                  <w:tcBorders>
                    <w:tl2br w:val="nil"/>
                    <w:tr2bl w:val="nil"/>
                  </w:tcBorders>
                  <w:vAlign w:val="center"/>
                </w:tcPr>
                <w:p w14:paraId="4986E476">
                  <w:pPr>
                    <w:adjustRightInd w:val="0"/>
                    <w:snapToGrid w:val="0"/>
                    <w:jc w:val="center"/>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rPr>
                    <w:t>污染物</w:t>
                  </w:r>
                </w:p>
              </w:tc>
              <w:tc>
                <w:tcPr>
                  <w:tcW w:w="1276" w:type="dxa"/>
                  <w:tcBorders>
                    <w:tl2br w:val="nil"/>
                    <w:tr2bl w:val="nil"/>
                  </w:tcBorders>
                  <w:vAlign w:val="center"/>
                </w:tcPr>
                <w:p w14:paraId="56F76339">
                  <w:pPr>
                    <w:adjustRightInd w:val="0"/>
                    <w:snapToGrid w:val="0"/>
                    <w:jc w:val="center"/>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rPr>
                    <w:t>位置</w:t>
                  </w:r>
                </w:p>
              </w:tc>
              <w:tc>
                <w:tcPr>
                  <w:tcW w:w="2268" w:type="dxa"/>
                  <w:tcBorders>
                    <w:tl2br w:val="nil"/>
                    <w:tr2bl w:val="nil"/>
                  </w:tcBorders>
                  <w:vAlign w:val="center"/>
                </w:tcPr>
                <w:p w14:paraId="6BA6722C">
                  <w:pPr>
                    <w:adjustRightInd w:val="0"/>
                    <w:snapToGrid w:val="0"/>
                    <w:jc w:val="center"/>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rPr>
                    <w:t>类型</w:t>
                  </w:r>
                </w:p>
              </w:tc>
              <w:tc>
                <w:tcPr>
                  <w:tcW w:w="1641" w:type="dxa"/>
                  <w:tcBorders>
                    <w:tl2br w:val="nil"/>
                    <w:tr2bl w:val="nil"/>
                  </w:tcBorders>
                  <w:vAlign w:val="center"/>
                </w:tcPr>
                <w:p w14:paraId="4D8DB4C7">
                  <w:pPr>
                    <w:adjustRightInd w:val="0"/>
                    <w:snapToGrid w:val="0"/>
                    <w:jc w:val="center"/>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rPr>
                    <w:t>点位高度（m）</w:t>
                  </w:r>
                </w:p>
              </w:tc>
            </w:tr>
            <w:tr w14:paraId="658768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58" w:type="dxa"/>
                  <w:tcBorders>
                    <w:tl2br w:val="nil"/>
                    <w:tr2bl w:val="nil"/>
                  </w:tcBorders>
                  <w:vAlign w:val="center"/>
                </w:tcPr>
                <w:p w14:paraId="1B3B514E">
                  <w:pPr>
                    <w:adjustRightInd w:val="0"/>
                    <w:snapToGrid w:val="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1#</w:t>
                  </w:r>
                </w:p>
              </w:tc>
              <w:tc>
                <w:tcPr>
                  <w:tcW w:w="1276" w:type="dxa"/>
                  <w:vMerge w:val="restart"/>
                  <w:tcBorders>
                    <w:tl2br w:val="nil"/>
                    <w:tr2bl w:val="nil"/>
                  </w:tcBorders>
                  <w:vAlign w:val="center"/>
                </w:tcPr>
                <w:p w14:paraId="4DAADD40">
                  <w:pPr>
                    <w:adjustRightInd w:val="0"/>
                    <w:snapToGrid w:val="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施工扬尘</w:t>
                  </w:r>
                </w:p>
              </w:tc>
              <w:tc>
                <w:tcPr>
                  <w:tcW w:w="850" w:type="dxa"/>
                  <w:tcBorders>
                    <w:tl2br w:val="nil"/>
                    <w:tr2bl w:val="nil"/>
                  </w:tcBorders>
                  <w:vAlign w:val="center"/>
                </w:tcPr>
                <w:p w14:paraId="2EF6B7C5">
                  <w:pPr>
                    <w:adjustRightInd w:val="0"/>
                    <w:snapToGrid w:val="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PM</w:t>
                  </w:r>
                  <w:r>
                    <w:rPr>
                      <w:rFonts w:hint="default" w:ascii="Times New Roman" w:hAnsi="Times New Roman" w:eastAsia="仿宋_GB2312" w:cs="Times New Roman"/>
                      <w:kern w:val="0"/>
                      <w:sz w:val="21"/>
                      <w:szCs w:val="21"/>
                      <w:vertAlign w:val="subscript"/>
                    </w:rPr>
                    <w:t>10</w:t>
                  </w:r>
                </w:p>
              </w:tc>
              <w:tc>
                <w:tcPr>
                  <w:tcW w:w="1276" w:type="dxa"/>
                  <w:vMerge w:val="restart"/>
                  <w:tcBorders>
                    <w:tl2br w:val="nil"/>
                    <w:tr2bl w:val="nil"/>
                  </w:tcBorders>
                  <w:vAlign w:val="center"/>
                </w:tcPr>
                <w:p w14:paraId="49F4BA09">
                  <w:pPr>
                    <w:adjustRightInd w:val="0"/>
                    <w:snapToGrid w:val="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厂区门口</w:t>
                  </w:r>
                </w:p>
              </w:tc>
              <w:tc>
                <w:tcPr>
                  <w:tcW w:w="2268" w:type="dxa"/>
                  <w:vMerge w:val="restart"/>
                  <w:tcBorders>
                    <w:tl2br w:val="nil"/>
                    <w:tr2bl w:val="nil"/>
                  </w:tcBorders>
                  <w:vAlign w:val="center"/>
                </w:tcPr>
                <w:p w14:paraId="4C91D152">
                  <w:pPr>
                    <w:adjustRightInd w:val="0"/>
                    <w:snapToGrid w:val="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施工场地扬尘监测点</w:t>
                  </w:r>
                </w:p>
              </w:tc>
              <w:tc>
                <w:tcPr>
                  <w:tcW w:w="1641" w:type="dxa"/>
                  <w:vMerge w:val="restart"/>
                  <w:tcBorders>
                    <w:tl2br w:val="nil"/>
                    <w:tr2bl w:val="nil"/>
                  </w:tcBorders>
                  <w:vAlign w:val="center"/>
                </w:tcPr>
                <w:p w14:paraId="11181FC4">
                  <w:pPr>
                    <w:adjustRightInd w:val="0"/>
                    <w:snapToGrid w:val="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3-4</w:t>
                  </w:r>
                </w:p>
              </w:tc>
            </w:tr>
            <w:tr w14:paraId="5005D6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58" w:type="dxa"/>
                  <w:tcBorders>
                    <w:tl2br w:val="nil"/>
                    <w:tr2bl w:val="nil"/>
                  </w:tcBorders>
                  <w:vAlign w:val="center"/>
                </w:tcPr>
                <w:p w14:paraId="78552E14">
                  <w:pPr>
                    <w:adjustRightInd w:val="0"/>
                    <w:snapToGrid w:val="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2#</w:t>
                  </w:r>
                </w:p>
              </w:tc>
              <w:tc>
                <w:tcPr>
                  <w:tcW w:w="1276" w:type="dxa"/>
                  <w:vMerge w:val="continue"/>
                  <w:tcBorders>
                    <w:tl2br w:val="nil"/>
                    <w:tr2bl w:val="nil"/>
                  </w:tcBorders>
                  <w:vAlign w:val="center"/>
                </w:tcPr>
                <w:p w14:paraId="76D5BEE8">
                  <w:pPr>
                    <w:adjustRightInd w:val="0"/>
                    <w:snapToGrid w:val="0"/>
                    <w:jc w:val="center"/>
                    <w:rPr>
                      <w:rFonts w:hint="default" w:ascii="Times New Roman" w:hAnsi="Times New Roman" w:eastAsia="仿宋_GB2312" w:cs="Times New Roman"/>
                      <w:kern w:val="0"/>
                      <w:sz w:val="21"/>
                      <w:szCs w:val="21"/>
                    </w:rPr>
                  </w:pPr>
                </w:p>
              </w:tc>
              <w:tc>
                <w:tcPr>
                  <w:tcW w:w="850" w:type="dxa"/>
                  <w:tcBorders>
                    <w:tl2br w:val="nil"/>
                    <w:tr2bl w:val="nil"/>
                  </w:tcBorders>
                  <w:vAlign w:val="center"/>
                </w:tcPr>
                <w:p w14:paraId="0109BE0D">
                  <w:pPr>
                    <w:adjustRightInd w:val="0"/>
                    <w:snapToGrid w:val="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TSP</w:t>
                  </w:r>
                </w:p>
              </w:tc>
              <w:tc>
                <w:tcPr>
                  <w:tcW w:w="1276" w:type="dxa"/>
                  <w:vMerge w:val="continue"/>
                  <w:tcBorders>
                    <w:tl2br w:val="nil"/>
                    <w:tr2bl w:val="nil"/>
                  </w:tcBorders>
                  <w:vAlign w:val="center"/>
                </w:tcPr>
                <w:p w14:paraId="6DCC9E42">
                  <w:pPr>
                    <w:adjustRightInd w:val="0"/>
                    <w:snapToGrid w:val="0"/>
                    <w:jc w:val="center"/>
                    <w:rPr>
                      <w:rFonts w:hint="default" w:ascii="Times New Roman" w:hAnsi="Times New Roman" w:eastAsia="仿宋_GB2312" w:cs="Times New Roman"/>
                      <w:kern w:val="0"/>
                      <w:sz w:val="21"/>
                      <w:szCs w:val="21"/>
                    </w:rPr>
                  </w:pPr>
                </w:p>
              </w:tc>
              <w:tc>
                <w:tcPr>
                  <w:tcW w:w="2268" w:type="dxa"/>
                  <w:vMerge w:val="continue"/>
                  <w:tcBorders>
                    <w:tl2br w:val="nil"/>
                    <w:tr2bl w:val="nil"/>
                  </w:tcBorders>
                  <w:vAlign w:val="center"/>
                </w:tcPr>
                <w:p w14:paraId="5DE04A41">
                  <w:pPr>
                    <w:adjustRightInd w:val="0"/>
                    <w:snapToGrid w:val="0"/>
                    <w:jc w:val="center"/>
                    <w:rPr>
                      <w:rFonts w:hint="default" w:ascii="Times New Roman" w:hAnsi="Times New Roman" w:eastAsia="仿宋_GB2312" w:cs="Times New Roman"/>
                      <w:kern w:val="0"/>
                      <w:sz w:val="21"/>
                      <w:szCs w:val="21"/>
                    </w:rPr>
                  </w:pPr>
                </w:p>
              </w:tc>
              <w:tc>
                <w:tcPr>
                  <w:tcW w:w="1641" w:type="dxa"/>
                  <w:vMerge w:val="continue"/>
                  <w:tcBorders>
                    <w:tl2br w:val="nil"/>
                    <w:tr2bl w:val="nil"/>
                  </w:tcBorders>
                  <w:vAlign w:val="center"/>
                </w:tcPr>
                <w:p w14:paraId="008D83CC">
                  <w:pPr>
                    <w:adjustRightInd w:val="0"/>
                    <w:snapToGrid w:val="0"/>
                    <w:jc w:val="center"/>
                    <w:rPr>
                      <w:rFonts w:hint="default" w:ascii="Times New Roman" w:hAnsi="Times New Roman" w:eastAsia="仿宋_GB2312" w:cs="Times New Roman"/>
                      <w:kern w:val="0"/>
                      <w:sz w:val="21"/>
                      <w:szCs w:val="21"/>
                    </w:rPr>
                  </w:pPr>
                </w:p>
              </w:tc>
            </w:tr>
          </w:tbl>
          <w:p w14:paraId="7D078894">
            <w:pPr>
              <w:pStyle w:val="69"/>
              <w:spacing w:line="360" w:lineRule="auto"/>
              <w:ind w:firstLine="420" w:firstLineChars="200"/>
              <w:rPr>
                <w:rFonts w:hint="default" w:ascii="Times New Roman" w:hAnsi="Times New Roman" w:eastAsia="仿宋_GB2312" w:cs="Times New Roman"/>
              </w:rPr>
            </w:pPr>
            <w:r>
              <w:rPr>
                <w:rFonts w:hint="default" w:ascii="Times New Roman" w:hAnsi="Times New Roman" w:eastAsia="仿宋_GB2312" w:cs="Times New Roman"/>
              </w:rPr>
              <w:t>2）燃油废气和汽车尾气</w:t>
            </w:r>
          </w:p>
          <w:p w14:paraId="63FE858F">
            <w:pPr>
              <w:pStyle w:val="69"/>
              <w:spacing w:line="360" w:lineRule="auto"/>
              <w:ind w:firstLine="420" w:firstLineChars="200"/>
              <w:rPr>
                <w:rFonts w:hint="default" w:ascii="Times New Roman" w:hAnsi="Times New Roman" w:eastAsia="仿宋_GB2312" w:cs="Times New Roman"/>
              </w:rPr>
            </w:pPr>
            <w:r>
              <w:rPr>
                <w:rFonts w:hint="default" w:ascii="Times New Roman" w:hAnsi="Times New Roman" w:eastAsia="仿宋_GB2312" w:cs="Times New Roman"/>
              </w:rPr>
              <w:t>施工机械燃油废气和汽车尾气中的污染物主要包括SO</w:t>
            </w:r>
            <w:r>
              <w:rPr>
                <w:rFonts w:hint="default" w:ascii="Times New Roman" w:hAnsi="Times New Roman" w:eastAsia="仿宋_GB2312" w:cs="Times New Roman"/>
                <w:vertAlign w:val="subscript"/>
              </w:rPr>
              <w:t>2</w:t>
            </w:r>
            <w:r>
              <w:rPr>
                <w:rFonts w:hint="default" w:ascii="Times New Roman" w:hAnsi="Times New Roman" w:eastAsia="仿宋_GB2312" w:cs="Times New Roman"/>
              </w:rPr>
              <w:t>、CO、NOx等，燃油废气排放具有流动、分散的特点。根据《工业交通环保概论》（王肇润编著），每耗1L油料，排放空气污染物NOx 9g、SO</w:t>
            </w:r>
            <w:r>
              <w:rPr>
                <w:rFonts w:hint="default" w:ascii="Times New Roman" w:hAnsi="Times New Roman" w:eastAsia="仿宋_GB2312" w:cs="Times New Roman"/>
                <w:vertAlign w:val="subscript"/>
              </w:rPr>
              <w:t>2</w:t>
            </w:r>
            <w:r>
              <w:rPr>
                <w:rFonts w:hint="default" w:ascii="Times New Roman" w:hAnsi="Times New Roman" w:eastAsia="仿宋_GB2312" w:cs="Times New Roman"/>
              </w:rPr>
              <w:t xml:space="preserve"> 3.24g、CO 27g。施工车辆运输排出的NOx、CO等废气相对较小，不会对周围环境产生较大的影响。</w:t>
            </w:r>
          </w:p>
          <w:p w14:paraId="3D88C406">
            <w:pPr>
              <w:pStyle w:val="77"/>
              <w:spacing w:line="360" w:lineRule="auto"/>
              <w:ind w:firstLine="422"/>
              <w:jc w:val="both"/>
              <w:rPr>
                <w:rFonts w:hint="default" w:ascii="Times New Roman" w:hAnsi="Times New Roman" w:eastAsia="仿宋_GB2312" w:cs="Times New Roman"/>
                <w:bCs/>
                <w:snapToGrid w:val="0"/>
                <w:kern w:val="0"/>
                <w:lang w:val="en-US"/>
              </w:rPr>
            </w:pPr>
            <w:r>
              <w:rPr>
                <w:rFonts w:hint="default" w:ascii="Times New Roman" w:hAnsi="Times New Roman" w:eastAsia="仿宋_GB2312" w:cs="Times New Roman"/>
                <w:bCs/>
                <w:snapToGrid w:val="0"/>
                <w:kern w:val="0"/>
                <w:lang w:val="en-US"/>
              </w:rPr>
              <w:t>2、施工期水环境影响分析</w:t>
            </w:r>
          </w:p>
          <w:p w14:paraId="7BF61444">
            <w:pPr>
              <w:pStyle w:val="77"/>
              <w:spacing w:line="360" w:lineRule="auto"/>
              <w:ind w:firstLine="420"/>
              <w:jc w:val="left"/>
              <w:rPr>
                <w:rFonts w:hint="default" w:ascii="Times New Roman" w:hAnsi="Times New Roman" w:eastAsia="仿宋_GB2312" w:cs="Times New Roman"/>
                <w:b w:val="0"/>
                <w:kern w:val="2"/>
                <w:lang w:val="en-US"/>
              </w:rPr>
            </w:pPr>
            <w:r>
              <w:rPr>
                <w:rFonts w:hint="default" w:ascii="Times New Roman" w:hAnsi="Times New Roman" w:eastAsia="仿宋_GB2312" w:cs="Times New Roman"/>
                <w:b w:val="0"/>
                <w:kern w:val="2"/>
                <w:lang w:val="en-US"/>
              </w:rPr>
              <w:t>1）施工期生产废水</w:t>
            </w:r>
          </w:p>
          <w:p w14:paraId="2A7463D3">
            <w:pPr>
              <w:pStyle w:val="77"/>
              <w:spacing w:line="360" w:lineRule="auto"/>
              <w:ind w:firstLine="420"/>
              <w:jc w:val="left"/>
              <w:rPr>
                <w:rFonts w:hint="default" w:ascii="Times New Roman" w:hAnsi="Times New Roman" w:eastAsia="仿宋_GB2312" w:cs="Times New Roman"/>
                <w:b w:val="0"/>
                <w:kern w:val="2"/>
                <w:lang w:val="en-US"/>
              </w:rPr>
            </w:pPr>
            <w:r>
              <w:rPr>
                <w:rFonts w:hint="default" w:ascii="Times New Roman" w:hAnsi="Times New Roman" w:eastAsia="仿宋_GB2312" w:cs="Times New Roman"/>
                <w:b w:val="0"/>
                <w:kern w:val="2"/>
                <w:lang w:val="en-US"/>
              </w:rPr>
              <w:t>施工时的生产废水主要来自开挖、钻孔产生的泥浆水</w:t>
            </w:r>
            <w:r>
              <w:rPr>
                <w:rFonts w:hint="eastAsia" w:ascii="Times New Roman" w:hAnsi="Times New Roman" w:eastAsia="仿宋_GB2312" w:cs="Times New Roman"/>
                <w:b w:val="0"/>
                <w:kern w:val="2"/>
                <w:lang w:val="en-US" w:eastAsia="zh-CN"/>
              </w:rPr>
              <w:t>、</w:t>
            </w:r>
            <w:r>
              <w:rPr>
                <w:rFonts w:hint="default" w:ascii="Times New Roman" w:hAnsi="Times New Roman" w:eastAsia="仿宋_GB2312" w:cs="Times New Roman"/>
                <w:b w:val="0"/>
                <w:kern w:val="2"/>
                <w:lang w:val="en-US"/>
              </w:rPr>
              <w:t>车辆、机械设备的冲洗</w:t>
            </w:r>
            <w:r>
              <w:rPr>
                <w:rFonts w:hint="eastAsia" w:ascii="Times New Roman" w:hAnsi="Times New Roman" w:eastAsia="仿宋_GB2312" w:cs="Times New Roman"/>
                <w:b w:val="0"/>
                <w:kern w:val="2"/>
                <w:lang w:val="en-US" w:eastAsia="zh-CN"/>
              </w:rPr>
              <w:t>废水</w:t>
            </w:r>
            <w:r>
              <w:rPr>
                <w:rFonts w:hint="default" w:ascii="Times New Roman" w:hAnsi="Times New Roman" w:eastAsia="仿宋_GB2312" w:cs="Times New Roman"/>
                <w:b w:val="0"/>
                <w:kern w:val="2"/>
                <w:lang w:val="en-US"/>
              </w:rPr>
              <w:t>，另外，在设备拆除、安装过程中，因调试、清洗设备，也会产生一定量的含油废水。废水中主要污染物为SS和石油类；施工时需要的物料如果管理不严，遮盖不密，则可能在雨季或暴雨期受雨水冲刷进入水体；粉状物料的堆场若没有严格的遮挡、掩盖等措施将会起尘从而污染水体；废弃的建材堆场的残留物质随地表径流进入水体也会造成水污染；建设施工不当或施工管理不强，产生的施工泥渣、机械冲洗产生的含油废水、泥浆、施工物料等受雨水冲刷入河等情况将影响水质。</w:t>
            </w:r>
          </w:p>
          <w:p w14:paraId="4E265784">
            <w:pPr>
              <w:pStyle w:val="77"/>
              <w:spacing w:line="360" w:lineRule="auto"/>
              <w:ind w:firstLine="420"/>
              <w:jc w:val="left"/>
              <w:rPr>
                <w:rFonts w:hint="default" w:ascii="Times New Roman" w:hAnsi="Times New Roman" w:eastAsia="仿宋_GB2312" w:cs="Times New Roman"/>
                <w:b w:val="0"/>
                <w:kern w:val="2"/>
                <w:lang w:val="en-US"/>
              </w:rPr>
            </w:pPr>
            <w:r>
              <w:rPr>
                <w:rFonts w:hint="default" w:ascii="Times New Roman" w:hAnsi="Times New Roman" w:eastAsia="仿宋_GB2312" w:cs="Times New Roman"/>
                <w:b w:val="0"/>
                <w:kern w:val="2"/>
                <w:lang w:val="en-US"/>
              </w:rPr>
              <w:t>根据企业提供资料，项目用地面积3240m²，根据《江苏省城市生活与公共用水定额》，房屋和土木工程建筑业用水量按1.5t/m²计，项目施工工程用水量为4860t，排污系数以0.85计，施工期预计产生施工废水量约4131t。各种施工机械运转的冷却和洗涤水、施工现场清洗水、混凝土养护产生的废水，经类比分析，此类废水中主要污染物浓度分别为：化学需氧量约100mg/L、SS约200mg/L、石油类约100mg/L，产生量分别为COD为0.4131t、SS为0.8262t、石油类为0.4131t。</w:t>
            </w:r>
          </w:p>
          <w:p w14:paraId="442D2F38">
            <w:pPr>
              <w:pStyle w:val="77"/>
              <w:spacing w:line="360" w:lineRule="auto"/>
              <w:ind w:firstLine="420"/>
              <w:jc w:val="left"/>
              <w:rPr>
                <w:rFonts w:hint="default" w:ascii="Times New Roman" w:hAnsi="Times New Roman" w:eastAsia="仿宋_GB2312" w:cs="Times New Roman"/>
                <w:b w:val="0"/>
                <w:kern w:val="2"/>
                <w:lang w:val="en-US"/>
              </w:rPr>
            </w:pPr>
            <w:r>
              <w:rPr>
                <w:rFonts w:hint="default" w:ascii="Times New Roman" w:hAnsi="Times New Roman" w:eastAsia="仿宋_GB2312" w:cs="Times New Roman"/>
                <w:b w:val="0"/>
                <w:kern w:val="2"/>
                <w:lang w:val="en-US"/>
              </w:rPr>
              <w:t>因此，结合项目实际，针对施工期生产废水防治提出以下措施：</w:t>
            </w:r>
          </w:p>
          <w:p w14:paraId="0C801F1C">
            <w:pPr>
              <w:pStyle w:val="77"/>
              <w:spacing w:line="360" w:lineRule="auto"/>
              <w:ind w:firstLine="420"/>
              <w:jc w:val="left"/>
              <w:rPr>
                <w:rFonts w:hint="default" w:ascii="Times New Roman" w:hAnsi="Times New Roman" w:eastAsia="仿宋_GB2312" w:cs="Times New Roman"/>
                <w:b w:val="0"/>
                <w:kern w:val="2"/>
                <w:lang w:val="en-US"/>
              </w:rPr>
            </w:pPr>
            <w:r>
              <w:rPr>
                <w:rFonts w:hint="default" w:ascii="Times New Roman" w:hAnsi="Times New Roman" w:eastAsia="仿宋_GB2312" w:cs="Times New Roman"/>
                <w:b w:val="0"/>
                <w:kern w:val="2"/>
                <w:lang w:val="en-US"/>
              </w:rPr>
              <w:t>（1）施工现场出入口设置车辆冲洗设备及沉淀池，收集各类施工废水，经沉淀后循环使用或用于抑尘喷洒，不外排。</w:t>
            </w:r>
          </w:p>
          <w:p w14:paraId="0B0C505F">
            <w:pPr>
              <w:pStyle w:val="77"/>
              <w:spacing w:line="360" w:lineRule="auto"/>
              <w:ind w:firstLine="420"/>
              <w:jc w:val="left"/>
              <w:rPr>
                <w:rFonts w:hint="default" w:ascii="Times New Roman" w:hAnsi="Times New Roman" w:eastAsia="仿宋_GB2312" w:cs="Times New Roman"/>
                <w:b w:val="0"/>
                <w:kern w:val="2"/>
                <w:lang w:val="en-US"/>
              </w:rPr>
            </w:pPr>
            <w:r>
              <w:rPr>
                <w:rFonts w:hint="default" w:ascii="Times New Roman" w:hAnsi="Times New Roman" w:eastAsia="仿宋_GB2312" w:cs="Times New Roman"/>
                <w:b w:val="0"/>
                <w:kern w:val="2"/>
                <w:lang w:val="en-US"/>
              </w:rPr>
              <w:t>（2）建设工程的工地应设置连续、通畅的排水设施和其他应急设施，防止泥浆、污水、废水外流或者堵塞下水道和排水河道。</w:t>
            </w:r>
          </w:p>
          <w:p w14:paraId="501B6498">
            <w:pPr>
              <w:pStyle w:val="77"/>
              <w:spacing w:line="360" w:lineRule="auto"/>
              <w:ind w:firstLine="420"/>
              <w:jc w:val="left"/>
              <w:rPr>
                <w:rFonts w:hint="default" w:ascii="Times New Roman" w:hAnsi="Times New Roman" w:eastAsia="仿宋_GB2312" w:cs="Times New Roman"/>
                <w:b w:val="0"/>
                <w:kern w:val="2"/>
                <w:lang w:val="en-US"/>
              </w:rPr>
            </w:pPr>
            <w:r>
              <w:rPr>
                <w:rFonts w:hint="default" w:ascii="Times New Roman" w:hAnsi="Times New Roman" w:eastAsia="仿宋_GB2312" w:cs="Times New Roman"/>
                <w:b w:val="0"/>
                <w:kern w:val="2"/>
                <w:lang w:val="en-US"/>
              </w:rPr>
              <w:t>（3）施工产生的泥浆或其他浑浊废弃物，不得擅自排放。</w:t>
            </w:r>
          </w:p>
          <w:p w14:paraId="1B250711">
            <w:pPr>
              <w:pStyle w:val="77"/>
              <w:spacing w:line="360" w:lineRule="auto"/>
              <w:ind w:firstLine="420"/>
              <w:jc w:val="left"/>
              <w:rPr>
                <w:rFonts w:hint="default" w:ascii="Times New Roman" w:hAnsi="Times New Roman" w:eastAsia="仿宋_GB2312" w:cs="Times New Roman"/>
                <w:b w:val="0"/>
                <w:kern w:val="2"/>
                <w:lang w:val="en-US"/>
              </w:rPr>
            </w:pPr>
            <w:r>
              <w:rPr>
                <w:rFonts w:hint="default" w:ascii="Times New Roman" w:hAnsi="Times New Roman" w:eastAsia="仿宋_GB2312" w:cs="Times New Roman"/>
                <w:b w:val="0"/>
                <w:kern w:val="2"/>
                <w:lang w:val="en-US"/>
              </w:rPr>
              <w:t>（4）施工场地内积水时，在不妨碍施工车辆或道路交通的前提下，尽量用软管引入沉淀池，避免使施工区或行车道路泥泞路滑，造成环境污染。</w:t>
            </w:r>
          </w:p>
          <w:p w14:paraId="2A4E2A5B">
            <w:pPr>
              <w:pStyle w:val="77"/>
              <w:spacing w:line="360" w:lineRule="auto"/>
              <w:ind w:firstLine="420"/>
              <w:jc w:val="left"/>
              <w:rPr>
                <w:rFonts w:hint="default" w:ascii="Times New Roman" w:hAnsi="Times New Roman" w:eastAsia="仿宋_GB2312" w:cs="Times New Roman"/>
                <w:b w:val="0"/>
                <w:kern w:val="2"/>
                <w:lang w:val="en-US"/>
              </w:rPr>
            </w:pPr>
            <w:r>
              <w:rPr>
                <w:rFonts w:hint="default" w:ascii="Times New Roman" w:hAnsi="Times New Roman" w:eastAsia="仿宋_GB2312" w:cs="Times New Roman"/>
                <w:b w:val="0"/>
                <w:kern w:val="2"/>
                <w:lang w:val="en-US"/>
              </w:rPr>
              <w:t>（</w:t>
            </w:r>
            <w:r>
              <w:rPr>
                <w:rFonts w:hint="eastAsia" w:cs="Times New Roman"/>
                <w:b w:val="0"/>
                <w:kern w:val="2"/>
                <w:lang w:val="en-US" w:eastAsia="zh-CN"/>
              </w:rPr>
              <w:t>5</w:t>
            </w:r>
            <w:r>
              <w:rPr>
                <w:rFonts w:hint="default" w:ascii="Times New Roman" w:hAnsi="Times New Roman" w:eastAsia="仿宋_GB2312" w:cs="Times New Roman"/>
                <w:b w:val="0"/>
                <w:kern w:val="2"/>
                <w:lang w:val="en-US"/>
              </w:rPr>
              <w:t>）散料堆场四周用石块或水泥砌块围出不低于 50cm 高防冲墙，防止散料被雨水冲刷流失并堵塞厂内排水系统等。</w:t>
            </w:r>
          </w:p>
          <w:p w14:paraId="05E1C494">
            <w:pPr>
              <w:pStyle w:val="77"/>
              <w:spacing w:line="360" w:lineRule="auto"/>
              <w:ind w:firstLine="420"/>
              <w:jc w:val="left"/>
              <w:rPr>
                <w:rFonts w:hint="default" w:ascii="Times New Roman" w:hAnsi="Times New Roman" w:eastAsia="仿宋_GB2312" w:cs="Times New Roman"/>
                <w:b w:val="0"/>
                <w:kern w:val="2"/>
                <w:lang w:val="en-US"/>
              </w:rPr>
            </w:pPr>
            <w:r>
              <w:rPr>
                <w:rFonts w:hint="default" w:ascii="Times New Roman" w:hAnsi="Times New Roman" w:eastAsia="仿宋_GB2312" w:cs="Times New Roman"/>
                <w:b w:val="0"/>
                <w:kern w:val="2"/>
                <w:lang w:val="en-US"/>
              </w:rPr>
              <w:t>（</w:t>
            </w:r>
            <w:r>
              <w:rPr>
                <w:rFonts w:hint="eastAsia" w:cs="Times New Roman"/>
                <w:b w:val="0"/>
                <w:kern w:val="2"/>
                <w:lang w:val="en-US" w:eastAsia="zh-CN"/>
              </w:rPr>
              <w:t>6</w:t>
            </w:r>
            <w:r>
              <w:rPr>
                <w:rFonts w:hint="default" w:ascii="Times New Roman" w:hAnsi="Times New Roman" w:eastAsia="仿宋_GB2312" w:cs="Times New Roman"/>
                <w:b w:val="0"/>
                <w:kern w:val="2"/>
                <w:lang w:val="en-US"/>
              </w:rPr>
              <w:t>）材料堆放地要硬化、坚实、平坦，并有导水措施。</w:t>
            </w:r>
          </w:p>
          <w:p w14:paraId="336388CB">
            <w:pPr>
              <w:pStyle w:val="77"/>
              <w:spacing w:line="360" w:lineRule="auto"/>
              <w:ind w:firstLine="420"/>
              <w:jc w:val="left"/>
              <w:rPr>
                <w:rFonts w:hint="default" w:ascii="Times New Roman" w:hAnsi="Times New Roman" w:eastAsia="仿宋_GB2312" w:cs="Times New Roman"/>
                <w:b w:val="0"/>
                <w:kern w:val="2"/>
                <w:lang w:val="en-US"/>
              </w:rPr>
            </w:pPr>
            <w:r>
              <w:rPr>
                <w:rFonts w:hint="default" w:ascii="Times New Roman" w:hAnsi="Times New Roman" w:eastAsia="仿宋_GB2312" w:cs="Times New Roman"/>
                <w:b w:val="0"/>
                <w:kern w:val="2"/>
                <w:lang w:val="en-US"/>
              </w:rPr>
              <w:t>采取以上措施后，施工期生产废水执行《城市污水再生利用城市杂用水水质》(GB/T</w:t>
            </w:r>
            <w:r>
              <w:rPr>
                <w:rFonts w:hint="eastAsia" w:cs="Times New Roman"/>
                <w:b w:val="0"/>
                <w:kern w:val="2"/>
                <w:lang w:val="en-US" w:eastAsia="zh-CN"/>
              </w:rPr>
              <w:t xml:space="preserve"> </w:t>
            </w:r>
            <w:r>
              <w:rPr>
                <w:rFonts w:hint="default" w:ascii="Times New Roman" w:hAnsi="Times New Roman" w:eastAsia="仿宋_GB2312" w:cs="Times New Roman"/>
                <w:b w:val="0"/>
                <w:kern w:val="2"/>
                <w:lang w:val="en-US"/>
              </w:rPr>
              <w:t>18920-2020)中“冲厕、车辆冲洗”标准后回用至施工现场，严禁排入周边水体。</w:t>
            </w:r>
          </w:p>
          <w:p w14:paraId="5F4FBFCA">
            <w:pPr>
              <w:pStyle w:val="77"/>
              <w:spacing w:line="360" w:lineRule="auto"/>
              <w:ind w:firstLine="420"/>
              <w:jc w:val="left"/>
              <w:rPr>
                <w:rFonts w:hint="default" w:ascii="Times New Roman" w:hAnsi="Times New Roman" w:eastAsia="仿宋_GB2312" w:cs="Times New Roman"/>
                <w:b w:val="0"/>
                <w:kern w:val="2"/>
                <w:lang w:val="en-US"/>
              </w:rPr>
            </w:pPr>
            <w:r>
              <w:rPr>
                <w:rFonts w:hint="default" w:ascii="Times New Roman" w:hAnsi="Times New Roman" w:eastAsia="仿宋_GB2312" w:cs="Times New Roman"/>
                <w:b w:val="0"/>
                <w:kern w:val="2"/>
                <w:lang w:val="en-US"/>
              </w:rPr>
              <w:t>2）施工期生活污水</w:t>
            </w:r>
          </w:p>
          <w:p w14:paraId="117D982E">
            <w:pPr>
              <w:pStyle w:val="77"/>
              <w:spacing w:line="360" w:lineRule="auto"/>
              <w:ind w:firstLine="420"/>
              <w:jc w:val="both"/>
              <w:rPr>
                <w:rFonts w:hint="default" w:ascii="Times New Roman" w:hAnsi="Times New Roman" w:eastAsia="仿宋_GB2312" w:cs="Times New Roman"/>
                <w:b w:val="0"/>
                <w:lang w:val="en-US"/>
              </w:rPr>
            </w:pPr>
            <w:r>
              <w:rPr>
                <w:rFonts w:hint="default" w:ascii="Times New Roman" w:hAnsi="Times New Roman" w:eastAsia="仿宋_GB2312" w:cs="Times New Roman"/>
                <w:b w:val="0"/>
                <w:kern w:val="2"/>
                <w:lang w:val="en-US"/>
              </w:rPr>
              <w:t>施工人员产生的生活污水主要污染物为COD、SS、氨氮、总氮、总磷，COD平均浓度约350mg/L、SS平均浓度约220mg/L、氨氮约30mg/L、总氮平均浓度约45mg/L、总磷平均浓度约3mg/L。本工程施工期施工人数30人，分散在各工段。施工人员用水量以50L/d•人计，生活污水排放量以用水量80%计，则每天生活用水量为1.5t/d，生活污水产生量为1.2t/d，施工期为150天，则施工期生活污水产生量为180t。施工人员生活污水经化粪池处理后接管金坛第二污水处理厂深度处理后接管排放。本项目施工期污水产生与排放情况见表4-2。</w:t>
            </w:r>
          </w:p>
          <w:p w14:paraId="1A43D07D">
            <w:pPr>
              <w:adjustRightInd w:val="0"/>
              <w:snapToGrid w:val="0"/>
              <w:spacing w:line="500" w:lineRule="exact"/>
              <w:jc w:val="center"/>
              <w:rPr>
                <w:rFonts w:hint="default" w:ascii="Times New Roman" w:hAnsi="Times New Roman" w:eastAsia="仿宋_GB2312" w:cs="Times New Roman"/>
                <w:b/>
              </w:rPr>
            </w:pPr>
            <w:r>
              <w:rPr>
                <w:rFonts w:hint="default" w:ascii="Times New Roman" w:hAnsi="Times New Roman" w:eastAsia="仿宋_GB2312" w:cs="Times New Roman"/>
                <w:b/>
              </w:rPr>
              <w:t>表4-2</w:t>
            </w:r>
            <w:r>
              <w:rPr>
                <w:rFonts w:hint="eastAsia" w:ascii="Times New Roman" w:hAnsi="Times New Roman" w:eastAsia="仿宋_GB2312" w:cs="Times New Roman"/>
                <w:b/>
                <w:lang w:val="en-US" w:eastAsia="zh-CN"/>
              </w:rPr>
              <w:t xml:space="preserve">  </w:t>
            </w:r>
            <w:r>
              <w:rPr>
                <w:rFonts w:hint="default" w:ascii="Times New Roman" w:hAnsi="Times New Roman" w:eastAsia="仿宋_GB2312" w:cs="Times New Roman"/>
                <w:b/>
              </w:rPr>
              <w:t>项目施工期生活污水排放情况</w:t>
            </w:r>
          </w:p>
          <w:tbl>
            <w:tblPr>
              <w:tblStyle w:val="31"/>
              <w:tblpPr w:leftFromText="180" w:rightFromText="180" w:vertAnchor="text" w:tblpXSpec="center" w:tblpY="1"/>
              <w:tblOverlap w:val="never"/>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733"/>
              <w:gridCol w:w="877"/>
              <w:gridCol w:w="1013"/>
              <w:gridCol w:w="1095"/>
              <w:gridCol w:w="956"/>
              <w:gridCol w:w="733"/>
              <w:gridCol w:w="1110"/>
              <w:gridCol w:w="930"/>
              <w:gridCol w:w="1046"/>
            </w:tblGrid>
            <w:tr w14:paraId="178CBD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830" w:hRule="atLeast"/>
                <w:jc w:val="center"/>
              </w:trPr>
              <w:tc>
                <w:tcPr>
                  <w:tcW w:w="431" w:type="pct"/>
                  <w:vAlign w:val="center"/>
                </w:tcPr>
                <w:p w14:paraId="36A21298">
                  <w:pPr>
                    <w:pStyle w:val="56"/>
                    <w:spacing w:before="24" w:after="24" w:line="240" w:lineRule="auto"/>
                    <w:rPr>
                      <w:rFonts w:hint="default" w:ascii="Times New Roman" w:hAnsi="Times New Roman" w:eastAsia="仿宋_GB2312" w:cs="Times New Roman"/>
                      <w:b/>
                      <w:sz w:val="21"/>
                      <w:szCs w:val="21"/>
                    </w:rPr>
                  </w:pPr>
                  <w:r>
                    <w:rPr>
                      <w:rFonts w:hint="default" w:ascii="Times New Roman" w:hAnsi="Times New Roman" w:eastAsia="仿宋_GB2312" w:cs="Times New Roman"/>
                      <w:b/>
                      <w:sz w:val="21"/>
                      <w:szCs w:val="21"/>
                    </w:rPr>
                    <w:t>项目</w:t>
                  </w:r>
                </w:p>
              </w:tc>
              <w:tc>
                <w:tcPr>
                  <w:tcW w:w="516" w:type="pct"/>
                  <w:vAlign w:val="center"/>
                </w:tcPr>
                <w:p w14:paraId="02B01A21">
                  <w:pPr>
                    <w:pStyle w:val="56"/>
                    <w:spacing w:before="24" w:after="24" w:line="240" w:lineRule="auto"/>
                    <w:rPr>
                      <w:rFonts w:hint="default" w:ascii="Times New Roman" w:hAnsi="Times New Roman" w:eastAsia="仿宋_GB2312" w:cs="Times New Roman"/>
                      <w:b/>
                      <w:sz w:val="21"/>
                      <w:szCs w:val="21"/>
                    </w:rPr>
                  </w:pPr>
                  <w:r>
                    <w:rPr>
                      <w:rFonts w:hint="default" w:ascii="Times New Roman" w:hAnsi="Times New Roman" w:eastAsia="仿宋_GB2312" w:cs="Times New Roman"/>
                      <w:b/>
                      <w:sz w:val="21"/>
                      <w:szCs w:val="21"/>
                    </w:rPr>
                    <w:t>污染物</w:t>
                  </w:r>
                </w:p>
                <w:p w14:paraId="38E70D59">
                  <w:pPr>
                    <w:pStyle w:val="56"/>
                    <w:spacing w:before="24" w:after="24" w:line="240" w:lineRule="auto"/>
                    <w:rPr>
                      <w:rFonts w:hint="default" w:ascii="Times New Roman" w:hAnsi="Times New Roman" w:eastAsia="仿宋_GB2312" w:cs="Times New Roman"/>
                      <w:b/>
                      <w:sz w:val="21"/>
                      <w:szCs w:val="21"/>
                    </w:rPr>
                  </w:pPr>
                  <w:r>
                    <w:rPr>
                      <w:rFonts w:hint="default" w:ascii="Times New Roman" w:hAnsi="Times New Roman" w:eastAsia="仿宋_GB2312" w:cs="Times New Roman"/>
                      <w:b/>
                      <w:sz w:val="21"/>
                      <w:szCs w:val="21"/>
                    </w:rPr>
                    <w:t>名称</w:t>
                  </w:r>
                </w:p>
              </w:tc>
              <w:tc>
                <w:tcPr>
                  <w:tcW w:w="596" w:type="pct"/>
                  <w:vAlign w:val="center"/>
                </w:tcPr>
                <w:p w14:paraId="12F7F35E">
                  <w:pPr>
                    <w:pStyle w:val="56"/>
                    <w:spacing w:before="24" w:after="24" w:line="240" w:lineRule="auto"/>
                    <w:rPr>
                      <w:rFonts w:hint="default" w:ascii="Times New Roman" w:hAnsi="Times New Roman" w:eastAsia="仿宋_GB2312" w:cs="Times New Roman"/>
                      <w:b/>
                      <w:sz w:val="21"/>
                      <w:szCs w:val="21"/>
                    </w:rPr>
                  </w:pPr>
                  <w:r>
                    <w:rPr>
                      <w:rFonts w:hint="default" w:ascii="Times New Roman" w:hAnsi="Times New Roman" w:eastAsia="仿宋_GB2312" w:cs="Times New Roman"/>
                      <w:b/>
                      <w:sz w:val="21"/>
                      <w:szCs w:val="21"/>
                    </w:rPr>
                    <w:t>废水量</w:t>
                  </w:r>
                </w:p>
                <w:p w14:paraId="4D401412">
                  <w:pPr>
                    <w:pStyle w:val="56"/>
                    <w:spacing w:before="24" w:after="24" w:line="240" w:lineRule="auto"/>
                    <w:rPr>
                      <w:rFonts w:hint="default" w:ascii="Times New Roman" w:hAnsi="Times New Roman" w:eastAsia="仿宋_GB2312" w:cs="Times New Roman"/>
                      <w:b/>
                      <w:sz w:val="21"/>
                      <w:szCs w:val="21"/>
                    </w:rPr>
                  </w:pPr>
                  <w:r>
                    <w:rPr>
                      <w:rFonts w:hint="default" w:ascii="Times New Roman" w:hAnsi="Times New Roman" w:eastAsia="仿宋_GB2312" w:cs="Times New Roman"/>
                      <w:b/>
                      <w:sz w:val="21"/>
                      <w:szCs w:val="21"/>
                    </w:rPr>
                    <w:t>（m</w:t>
                  </w:r>
                  <w:r>
                    <w:rPr>
                      <w:rFonts w:hint="default" w:ascii="Times New Roman" w:hAnsi="Times New Roman" w:eastAsia="仿宋_GB2312" w:cs="Times New Roman"/>
                      <w:b/>
                      <w:sz w:val="21"/>
                      <w:szCs w:val="21"/>
                      <w:vertAlign w:val="superscript"/>
                    </w:rPr>
                    <w:t>3</w:t>
                  </w:r>
                  <w:r>
                    <w:rPr>
                      <w:rFonts w:hint="default" w:ascii="Times New Roman" w:hAnsi="Times New Roman" w:eastAsia="仿宋_GB2312" w:cs="Times New Roman"/>
                      <w:b/>
                      <w:sz w:val="21"/>
                      <w:szCs w:val="21"/>
                    </w:rPr>
                    <w:t>/d）</w:t>
                  </w:r>
                </w:p>
              </w:tc>
              <w:tc>
                <w:tcPr>
                  <w:tcW w:w="644" w:type="pct"/>
                  <w:vAlign w:val="center"/>
                </w:tcPr>
                <w:p w14:paraId="2E4ED5D9">
                  <w:pPr>
                    <w:pStyle w:val="56"/>
                    <w:spacing w:before="24" w:after="24" w:line="240" w:lineRule="auto"/>
                    <w:rPr>
                      <w:rFonts w:hint="default" w:ascii="Times New Roman" w:hAnsi="Times New Roman" w:eastAsia="仿宋_GB2312" w:cs="Times New Roman"/>
                      <w:b/>
                      <w:sz w:val="21"/>
                      <w:szCs w:val="21"/>
                    </w:rPr>
                  </w:pPr>
                  <w:r>
                    <w:rPr>
                      <w:rFonts w:hint="default" w:ascii="Times New Roman" w:hAnsi="Times New Roman" w:eastAsia="仿宋_GB2312" w:cs="Times New Roman"/>
                      <w:b/>
                      <w:sz w:val="21"/>
                      <w:szCs w:val="21"/>
                    </w:rPr>
                    <w:t>产生浓度</w:t>
                  </w:r>
                </w:p>
                <w:p w14:paraId="216EC179">
                  <w:pPr>
                    <w:pStyle w:val="56"/>
                    <w:spacing w:before="24" w:after="24" w:line="240" w:lineRule="auto"/>
                    <w:rPr>
                      <w:rFonts w:hint="default" w:ascii="Times New Roman" w:hAnsi="Times New Roman" w:eastAsia="仿宋_GB2312" w:cs="Times New Roman"/>
                      <w:b/>
                      <w:sz w:val="21"/>
                      <w:szCs w:val="21"/>
                    </w:rPr>
                  </w:pPr>
                  <w:r>
                    <w:rPr>
                      <w:rFonts w:hint="default" w:ascii="Times New Roman" w:hAnsi="Times New Roman" w:eastAsia="仿宋_GB2312" w:cs="Times New Roman"/>
                      <w:b/>
                      <w:sz w:val="21"/>
                      <w:szCs w:val="21"/>
                    </w:rPr>
                    <w:t>（mg/L）</w:t>
                  </w:r>
                </w:p>
              </w:tc>
              <w:tc>
                <w:tcPr>
                  <w:tcW w:w="562" w:type="pct"/>
                  <w:vAlign w:val="center"/>
                </w:tcPr>
                <w:p w14:paraId="3100F80E">
                  <w:pPr>
                    <w:pStyle w:val="56"/>
                    <w:spacing w:before="24" w:after="24" w:line="240" w:lineRule="auto"/>
                    <w:rPr>
                      <w:rFonts w:hint="default" w:ascii="Times New Roman" w:hAnsi="Times New Roman" w:eastAsia="仿宋_GB2312" w:cs="Times New Roman"/>
                      <w:b/>
                      <w:sz w:val="21"/>
                      <w:szCs w:val="21"/>
                    </w:rPr>
                  </w:pPr>
                  <w:r>
                    <w:rPr>
                      <w:rFonts w:hint="default" w:ascii="Times New Roman" w:hAnsi="Times New Roman" w:eastAsia="仿宋_GB2312" w:cs="Times New Roman"/>
                      <w:b/>
                      <w:sz w:val="21"/>
                      <w:szCs w:val="21"/>
                    </w:rPr>
                    <w:t>产生量</w:t>
                  </w:r>
                </w:p>
                <w:p w14:paraId="0D38F44D">
                  <w:pPr>
                    <w:pStyle w:val="56"/>
                    <w:spacing w:before="24" w:after="24" w:line="240" w:lineRule="auto"/>
                    <w:rPr>
                      <w:rFonts w:hint="default" w:ascii="Times New Roman" w:hAnsi="Times New Roman" w:eastAsia="仿宋_GB2312" w:cs="Times New Roman"/>
                      <w:b/>
                      <w:sz w:val="21"/>
                      <w:szCs w:val="21"/>
                    </w:rPr>
                  </w:pPr>
                  <w:r>
                    <w:rPr>
                      <w:rFonts w:hint="default" w:ascii="Times New Roman" w:hAnsi="Times New Roman" w:eastAsia="仿宋_GB2312" w:cs="Times New Roman"/>
                      <w:b/>
                      <w:sz w:val="21"/>
                      <w:szCs w:val="21"/>
                    </w:rPr>
                    <w:t>（t/d）</w:t>
                  </w:r>
                </w:p>
              </w:tc>
              <w:tc>
                <w:tcPr>
                  <w:tcW w:w="431" w:type="pct"/>
                  <w:vAlign w:val="center"/>
                </w:tcPr>
                <w:p w14:paraId="5D00DED3">
                  <w:pPr>
                    <w:pStyle w:val="56"/>
                    <w:spacing w:before="24" w:after="24" w:line="240" w:lineRule="auto"/>
                    <w:rPr>
                      <w:rFonts w:hint="default" w:ascii="Times New Roman" w:hAnsi="Times New Roman" w:eastAsia="仿宋_GB2312" w:cs="Times New Roman"/>
                      <w:b/>
                      <w:sz w:val="21"/>
                      <w:szCs w:val="21"/>
                    </w:rPr>
                  </w:pPr>
                  <w:r>
                    <w:rPr>
                      <w:rFonts w:hint="default" w:ascii="Times New Roman" w:hAnsi="Times New Roman" w:eastAsia="仿宋_GB2312" w:cs="Times New Roman"/>
                      <w:b/>
                      <w:sz w:val="21"/>
                      <w:szCs w:val="21"/>
                    </w:rPr>
                    <w:t>治理</w:t>
                  </w:r>
                </w:p>
                <w:p w14:paraId="05712EFB">
                  <w:pPr>
                    <w:pStyle w:val="56"/>
                    <w:spacing w:before="24" w:after="24" w:line="240" w:lineRule="auto"/>
                    <w:rPr>
                      <w:rFonts w:hint="default" w:ascii="Times New Roman" w:hAnsi="Times New Roman" w:eastAsia="仿宋_GB2312" w:cs="Times New Roman"/>
                      <w:b/>
                      <w:sz w:val="21"/>
                      <w:szCs w:val="21"/>
                    </w:rPr>
                  </w:pPr>
                  <w:r>
                    <w:rPr>
                      <w:rFonts w:hint="default" w:ascii="Times New Roman" w:hAnsi="Times New Roman" w:eastAsia="仿宋_GB2312" w:cs="Times New Roman"/>
                      <w:b/>
                      <w:sz w:val="21"/>
                      <w:szCs w:val="21"/>
                    </w:rPr>
                    <w:t>措施</w:t>
                  </w:r>
                </w:p>
              </w:tc>
              <w:tc>
                <w:tcPr>
                  <w:tcW w:w="653" w:type="pct"/>
                  <w:vAlign w:val="center"/>
                </w:tcPr>
                <w:p w14:paraId="6223FCFE">
                  <w:pPr>
                    <w:pStyle w:val="56"/>
                    <w:spacing w:before="24" w:after="24" w:line="240" w:lineRule="auto"/>
                    <w:rPr>
                      <w:rFonts w:hint="default" w:ascii="Times New Roman" w:hAnsi="Times New Roman" w:eastAsia="仿宋_GB2312" w:cs="Times New Roman"/>
                      <w:b/>
                      <w:sz w:val="21"/>
                      <w:szCs w:val="21"/>
                    </w:rPr>
                  </w:pPr>
                  <w:r>
                    <w:rPr>
                      <w:rFonts w:hint="default" w:ascii="Times New Roman" w:hAnsi="Times New Roman" w:eastAsia="仿宋_GB2312" w:cs="Times New Roman"/>
                      <w:b/>
                      <w:sz w:val="21"/>
                      <w:szCs w:val="21"/>
                    </w:rPr>
                    <w:t>排放</w:t>
                  </w:r>
                </w:p>
                <w:p w14:paraId="19AD83C1">
                  <w:pPr>
                    <w:pStyle w:val="56"/>
                    <w:spacing w:before="24" w:after="24" w:line="240" w:lineRule="auto"/>
                    <w:rPr>
                      <w:rFonts w:hint="default" w:ascii="Times New Roman" w:hAnsi="Times New Roman" w:eastAsia="仿宋_GB2312" w:cs="Times New Roman"/>
                      <w:b/>
                      <w:sz w:val="21"/>
                      <w:szCs w:val="21"/>
                    </w:rPr>
                  </w:pPr>
                  <w:r>
                    <w:rPr>
                      <w:rFonts w:hint="default" w:ascii="Times New Roman" w:hAnsi="Times New Roman" w:eastAsia="仿宋_GB2312" w:cs="Times New Roman"/>
                      <w:b/>
                      <w:sz w:val="21"/>
                      <w:szCs w:val="21"/>
                    </w:rPr>
                    <w:t>浓度</w:t>
                  </w:r>
                </w:p>
                <w:p w14:paraId="30A430AC">
                  <w:pPr>
                    <w:pStyle w:val="56"/>
                    <w:spacing w:before="24" w:after="24" w:line="240" w:lineRule="auto"/>
                    <w:rPr>
                      <w:rFonts w:hint="default" w:ascii="Times New Roman" w:hAnsi="Times New Roman" w:eastAsia="仿宋_GB2312" w:cs="Times New Roman"/>
                      <w:b/>
                      <w:sz w:val="21"/>
                      <w:szCs w:val="21"/>
                    </w:rPr>
                  </w:pPr>
                  <w:r>
                    <w:rPr>
                      <w:rFonts w:hint="default" w:ascii="Times New Roman" w:hAnsi="Times New Roman" w:eastAsia="仿宋_GB2312" w:cs="Times New Roman"/>
                      <w:b/>
                      <w:sz w:val="21"/>
                      <w:szCs w:val="21"/>
                    </w:rPr>
                    <w:t>（mg/L）</w:t>
                  </w:r>
                </w:p>
              </w:tc>
              <w:tc>
                <w:tcPr>
                  <w:tcW w:w="547" w:type="pct"/>
                  <w:vAlign w:val="center"/>
                </w:tcPr>
                <w:p w14:paraId="25EBFABF">
                  <w:pPr>
                    <w:pStyle w:val="56"/>
                    <w:spacing w:before="24" w:after="24" w:line="240" w:lineRule="auto"/>
                    <w:rPr>
                      <w:rFonts w:hint="default" w:ascii="Times New Roman" w:hAnsi="Times New Roman" w:eastAsia="仿宋_GB2312" w:cs="Times New Roman"/>
                      <w:b/>
                      <w:sz w:val="21"/>
                      <w:szCs w:val="21"/>
                    </w:rPr>
                  </w:pPr>
                  <w:r>
                    <w:rPr>
                      <w:rFonts w:hint="default" w:ascii="Times New Roman" w:hAnsi="Times New Roman" w:eastAsia="仿宋_GB2312" w:cs="Times New Roman"/>
                      <w:b/>
                      <w:sz w:val="21"/>
                      <w:szCs w:val="21"/>
                    </w:rPr>
                    <w:t>排放量</w:t>
                  </w:r>
                </w:p>
                <w:p w14:paraId="68FF3711">
                  <w:pPr>
                    <w:pStyle w:val="56"/>
                    <w:spacing w:before="24" w:after="24" w:line="240" w:lineRule="auto"/>
                    <w:rPr>
                      <w:rFonts w:hint="default" w:ascii="Times New Roman" w:hAnsi="Times New Roman" w:eastAsia="仿宋_GB2312" w:cs="Times New Roman"/>
                      <w:b/>
                      <w:sz w:val="21"/>
                      <w:szCs w:val="21"/>
                    </w:rPr>
                  </w:pPr>
                  <w:r>
                    <w:rPr>
                      <w:rFonts w:hint="default" w:ascii="Times New Roman" w:hAnsi="Times New Roman" w:eastAsia="仿宋_GB2312" w:cs="Times New Roman"/>
                      <w:b/>
                      <w:sz w:val="21"/>
                      <w:szCs w:val="21"/>
                    </w:rPr>
                    <w:t>（t/d）</w:t>
                  </w:r>
                </w:p>
              </w:tc>
              <w:tc>
                <w:tcPr>
                  <w:tcW w:w="615" w:type="pct"/>
                  <w:vAlign w:val="center"/>
                </w:tcPr>
                <w:p w14:paraId="21F08488">
                  <w:pPr>
                    <w:pStyle w:val="56"/>
                    <w:spacing w:before="24" w:after="24" w:line="240" w:lineRule="auto"/>
                    <w:rPr>
                      <w:rFonts w:hint="default" w:ascii="Times New Roman" w:hAnsi="Times New Roman" w:eastAsia="仿宋_GB2312" w:cs="Times New Roman"/>
                      <w:b/>
                      <w:sz w:val="21"/>
                      <w:szCs w:val="21"/>
                    </w:rPr>
                  </w:pPr>
                  <w:r>
                    <w:rPr>
                      <w:rFonts w:hint="default" w:ascii="Times New Roman" w:hAnsi="Times New Roman" w:eastAsia="仿宋_GB2312" w:cs="Times New Roman"/>
                      <w:b/>
                      <w:sz w:val="21"/>
                      <w:szCs w:val="21"/>
                    </w:rPr>
                    <w:t>排放</w:t>
                  </w:r>
                </w:p>
                <w:p w14:paraId="23192AD4">
                  <w:pPr>
                    <w:pStyle w:val="56"/>
                    <w:spacing w:before="24" w:after="24" w:line="240" w:lineRule="auto"/>
                    <w:rPr>
                      <w:rFonts w:hint="default" w:ascii="Times New Roman" w:hAnsi="Times New Roman" w:eastAsia="仿宋_GB2312" w:cs="Times New Roman"/>
                      <w:b/>
                      <w:sz w:val="21"/>
                      <w:szCs w:val="21"/>
                    </w:rPr>
                  </w:pPr>
                  <w:r>
                    <w:rPr>
                      <w:rFonts w:hint="default" w:ascii="Times New Roman" w:hAnsi="Times New Roman" w:eastAsia="仿宋_GB2312" w:cs="Times New Roman"/>
                      <w:b/>
                      <w:sz w:val="21"/>
                      <w:szCs w:val="21"/>
                    </w:rPr>
                    <w:t>去向</w:t>
                  </w:r>
                </w:p>
              </w:tc>
            </w:tr>
            <w:tr w14:paraId="026968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33" w:hRule="atLeast"/>
                <w:jc w:val="center"/>
              </w:trPr>
              <w:tc>
                <w:tcPr>
                  <w:tcW w:w="431" w:type="pct"/>
                  <w:vMerge w:val="restart"/>
                  <w:vAlign w:val="center"/>
                </w:tcPr>
                <w:p w14:paraId="0D42C0CB">
                  <w:pPr>
                    <w:pStyle w:val="56"/>
                    <w:spacing w:before="24" w:after="24" w:line="240" w:lineRule="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生活</w:t>
                  </w:r>
                </w:p>
                <w:p w14:paraId="54EAE3DE">
                  <w:pPr>
                    <w:pStyle w:val="56"/>
                    <w:spacing w:before="24" w:after="24" w:line="240" w:lineRule="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污水</w:t>
                  </w:r>
                </w:p>
              </w:tc>
              <w:tc>
                <w:tcPr>
                  <w:tcW w:w="516" w:type="pct"/>
                  <w:vAlign w:val="center"/>
                </w:tcPr>
                <w:p w14:paraId="5234975C">
                  <w:pPr>
                    <w:pStyle w:val="56"/>
                    <w:spacing w:before="24" w:after="24" w:line="240" w:lineRule="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COD</w:t>
                  </w:r>
                </w:p>
              </w:tc>
              <w:tc>
                <w:tcPr>
                  <w:tcW w:w="596" w:type="pct"/>
                  <w:vMerge w:val="restart"/>
                  <w:vAlign w:val="center"/>
                </w:tcPr>
                <w:p w14:paraId="469F8AD9">
                  <w:pPr>
                    <w:pStyle w:val="56"/>
                    <w:spacing w:before="24" w:after="24" w:line="240" w:lineRule="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1.2</w:t>
                  </w:r>
                </w:p>
              </w:tc>
              <w:tc>
                <w:tcPr>
                  <w:tcW w:w="644" w:type="pct"/>
                  <w:vAlign w:val="center"/>
                </w:tcPr>
                <w:p w14:paraId="719E8C48">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350</w:t>
                  </w:r>
                </w:p>
              </w:tc>
              <w:tc>
                <w:tcPr>
                  <w:tcW w:w="562" w:type="pct"/>
                  <w:vAlign w:val="center"/>
                </w:tcPr>
                <w:p w14:paraId="6A78A41C">
                  <w:pPr>
                    <w:widowControl/>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sz w:val="21"/>
                      <w:szCs w:val="21"/>
                      <w:lang w:bidi="ar"/>
                    </w:rPr>
                    <w:t>0.00042</w:t>
                  </w:r>
                </w:p>
              </w:tc>
              <w:tc>
                <w:tcPr>
                  <w:tcW w:w="431" w:type="pct"/>
                  <w:vMerge w:val="restart"/>
                  <w:vAlign w:val="center"/>
                </w:tcPr>
                <w:p w14:paraId="313CAD0D">
                  <w:pPr>
                    <w:pStyle w:val="56"/>
                    <w:spacing w:before="24" w:after="24" w:line="240" w:lineRule="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经化粪池处理后接管金坛第二污水处理厂深度处理</w:t>
                  </w:r>
                </w:p>
              </w:tc>
              <w:tc>
                <w:tcPr>
                  <w:tcW w:w="653" w:type="pct"/>
                  <w:vAlign w:val="center"/>
                </w:tcPr>
                <w:p w14:paraId="7FC78E41">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350</w:t>
                  </w:r>
                </w:p>
              </w:tc>
              <w:tc>
                <w:tcPr>
                  <w:tcW w:w="547" w:type="pct"/>
                  <w:vAlign w:val="center"/>
                </w:tcPr>
                <w:p w14:paraId="25A95F35">
                  <w:pPr>
                    <w:widowControl/>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sz w:val="21"/>
                      <w:szCs w:val="21"/>
                      <w:lang w:bidi="ar"/>
                    </w:rPr>
                    <w:t>0.00042</w:t>
                  </w:r>
                </w:p>
              </w:tc>
              <w:tc>
                <w:tcPr>
                  <w:tcW w:w="615" w:type="pct"/>
                  <w:vMerge w:val="restart"/>
                  <w:vAlign w:val="center"/>
                </w:tcPr>
                <w:p w14:paraId="6DB63703">
                  <w:pPr>
                    <w:pStyle w:val="56"/>
                    <w:spacing w:before="24" w:after="24" w:line="240" w:lineRule="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经金坛第二污水处理厂深度处理，达标后排入尧塘河</w:t>
                  </w:r>
                </w:p>
              </w:tc>
            </w:tr>
            <w:tr w14:paraId="3DB2F1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431" w:type="pct"/>
                  <w:vMerge w:val="continue"/>
                  <w:vAlign w:val="center"/>
                </w:tcPr>
                <w:p w14:paraId="20D02F8C">
                  <w:pPr>
                    <w:pStyle w:val="56"/>
                    <w:spacing w:before="24" w:after="24" w:line="240" w:lineRule="auto"/>
                    <w:rPr>
                      <w:rFonts w:hint="default" w:ascii="Times New Roman" w:hAnsi="Times New Roman" w:eastAsia="仿宋_GB2312" w:cs="Times New Roman"/>
                      <w:sz w:val="21"/>
                      <w:szCs w:val="21"/>
                    </w:rPr>
                  </w:pPr>
                </w:p>
              </w:tc>
              <w:tc>
                <w:tcPr>
                  <w:tcW w:w="516" w:type="pct"/>
                  <w:vAlign w:val="center"/>
                </w:tcPr>
                <w:p w14:paraId="6DBCC35C">
                  <w:pPr>
                    <w:pStyle w:val="56"/>
                    <w:spacing w:before="24" w:after="24" w:line="240" w:lineRule="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SS</w:t>
                  </w:r>
                </w:p>
              </w:tc>
              <w:tc>
                <w:tcPr>
                  <w:tcW w:w="596" w:type="pct"/>
                  <w:vMerge w:val="continue"/>
                  <w:vAlign w:val="center"/>
                </w:tcPr>
                <w:p w14:paraId="7D9F856C">
                  <w:pPr>
                    <w:pStyle w:val="56"/>
                    <w:spacing w:before="24" w:after="24" w:line="240" w:lineRule="auto"/>
                    <w:rPr>
                      <w:rFonts w:hint="default" w:ascii="Times New Roman" w:hAnsi="Times New Roman" w:eastAsia="仿宋_GB2312" w:cs="Times New Roman"/>
                      <w:sz w:val="21"/>
                      <w:szCs w:val="21"/>
                    </w:rPr>
                  </w:pPr>
                </w:p>
              </w:tc>
              <w:tc>
                <w:tcPr>
                  <w:tcW w:w="644" w:type="pct"/>
                  <w:vAlign w:val="center"/>
                </w:tcPr>
                <w:p w14:paraId="6BCE7ABD">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220</w:t>
                  </w:r>
                </w:p>
              </w:tc>
              <w:tc>
                <w:tcPr>
                  <w:tcW w:w="562" w:type="pct"/>
                  <w:vAlign w:val="center"/>
                </w:tcPr>
                <w:p w14:paraId="6B47A443">
                  <w:pPr>
                    <w:widowControl/>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sz w:val="21"/>
                      <w:szCs w:val="21"/>
                      <w:lang w:bidi="ar"/>
                    </w:rPr>
                    <w:t>0.000264</w:t>
                  </w:r>
                </w:p>
              </w:tc>
              <w:tc>
                <w:tcPr>
                  <w:tcW w:w="431" w:type="pct"/>
                  <w:vMerge w:val="continue"/>
                  <w:vAlign w:val="center"/>
                </w:tcPr>
                <w:p w14:paraId="36758511">
                  <w:pPr>
                    <w:pStyle w:val="56"/>
                    <w:spacing w:before="24" w:after="24" w:line="240" w:lineRule="auto"/>
                    <w:rPr>
                      <w:rFonts w:hint="default" w:ascii="Times New Roman" w:hAnsi="Times New Roman" w:eastAsia="仿宋_GB2312" w:cs="Times New Roman"/>
                      <w:sz w:val="21"/>
                      <w:szCs w:val="21"/>
                    </w:rPr>
                  </w:pPr>
                </w:p>
              </w:tc>
              <w:tc>
                <w:tcPr>
                  <w:tcW w:w="653" w:type="pct"/>
                  <w:vAlign w:val="center"/>
                </w:tcPr>
                <w:p w14:paraId="557EB836">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220</w:t>
                  </w:r>
                </w:p>
              </w:tc>
              <w:tc>
                <w:tcPr>
                  <w:tcW w:w="547" w:type="pct"/>
                  <w:vAlign w:val="center"/>
                </w:tcPr>
                <w:p w14:paraId="796DE40D">
                  <w:pPr>
                    <w:widowControl/>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sz w:val="21"/>
                      <w:szCs w:val="21"/>
                      <w:lang w:bidi="ar"/>
                    </w:rPr>
                    <w:t>0.000264</w:t>
                  </w:r>
                </w:p>
              </w:tc>
              <w:tc>
                <w:tcPr>
                  <w:tcW w:w="615" w:type="pct"/>
                  <w:vMerge w:val="continue"/>
                  <w:vAlign w:val="center"/>
                </w:tcPr>
                <w:p w14:paraId="07D2D145">
                  <w:pPr>
                    <w:pStyle w:val="56"/>
                    <w:spacing w:before="24" w:after="24" w:line="240" w:lineRule="auto"/>
                    <w:rPr>
                      <w:rFonts w:hint="default" w:ascii="Times New Roman" w:hAnsi="Times New Roman" w:eastAsia="仿宋_GB2312" w:cs="Times New Roman"/>
                      <w:sz w:val="21"/>
                      <w:szCs w:val="21"/>
                    </w:rPr>
                  </w:pPr>
                </w:p>
              </w:tc>
            </w:tr>
            <w:tr w14:paraId="4D43CC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77" w:hRule="atLeast"/>
                <w:jc w:val="center"/>
              </w:trPr>
              <w:tc>
                <w:tcPr>
                  <w:tcW w:w="431" w:type="pct"/>
                  <w:vMerge w:val="continue"/>
                  <w:vAlign w:val="center"/>
                </w:tcPr>
                <w:p w14:paraId="14FAAABE">
                  <w:pPr>
                    <w:pStyle w:val="56"/>
                    <w:spacing w:before="24" w:after="24" w:line="240" w:lineRule="auto"/>
                    <w:rPr>
                      <w:rFonts w:hint="default" w:ascii="Times New Roman" w:hAnsi="Times New Roman" w:eastAsia="仿宋_GB2312" w:cs="Times New Roman"/>
                      <w:sz w:val="21"/>
                      <w:szCs w:val="21"/>
                    </w:rPr>
                  </w:pPr>
                </w:p>
              </w:tc>
              <w:tc>
                <w:tcPr>
                  <w:tcW w:w="516" w:type="pct"/>
                  <w:vAlign w:val="center"/>
                </w:tcPr>
                <w:p w14:paraId="6F74EC19">
                  <w:pPr>
                    <w:pStyle w:val="56"/>
                    <w:spacing w:before="24" w:after="24" w:line="240" w:lineRule="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氨氮</w:t>
                  </w:r>
                </w:p>
              </w:tc>
              <w:tc>
                <w:tcPr>
                  <w:tcW w:w="596" w:type="pct"/>
                  <w:vMerge w:val="continue"/>
                  <w:vAlign w:val="center"/>
                </w:tcPr>
                <w:p w14:paraId="73927A4F">
                  <w:pPr>
                    <w:pStyle w:val="56"/>
                    <w:spacing w:before="24" w:after="24" w:line="240" w:lineRule="auto"/>
                    <w:rPr>
                      <w:rFonts w:hint="default" w:ascii="Times New Roman" w:hAnsi="Times New Roman" w:eastAsia="仿宋_GB2312" w:cs="Times New Roman"/>
                      <w:sz w:val="21"/>
                      <w:szCs w:val="21"/>
                    </w:rPr>
                  </w:pPr>
                </w:p>
              </w:tc>
              <w:tc>
                <w:tcPr>
                  <w:tcW w:w="644" w:type="pct"/>
                  <w:vAlign w:val="center"/>
                </w:tcPr>
                <w:p w14:paraId="556B1306">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30</w:t>
                  </w:r>
                </w:p>
              </w:tc>
              <w:tc>
                <w:tcPr>
                  <w:tcW w:w="562" w:type="pct"/>
                  <w:vAlign w:val="center"/>
                </w:tcPr>
                <w:p w14:paraId="07C59D6F">
                  <w:pPr>
                    <w:widowControl/>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sz w:val="21"/>
                      <w:szCs w:val="21"/>
                      <w:lang w:bidi="ar"/>
                    </w:rPr>
                    <w:t>0.000036</w:t>
                  </w:r>
                </w:p>
              </w:tc>
              <w:tc>
                <w:tcPr>
                  <w:tcW w:w="431" w:type="pct"/>
                  <w:vMerge w:val="continue"/>
                  <w:vAlign w:val="center"/>
                </w:tcPr>
                <w:p w14:paraId="43354D0B">
                  <w:pPr>
                    <w:pStyle w:val="56"/>
                    <w:spacing w:before="24" w:after="24" w:line="240" w:lineRule="auto"/>
                    <w:rPr>
                      <w:rFonts w:hint="default" w:ascii="Times New Roman" w:hAnsi="Times New Roman" w:eastAsia="仿宋_GB2312" w:cs="Times New Roman"/>
                      <w:sz w:val="21"/>
                      <w:szCs w:val="21"/>
                    </w:rPr>
                  </w:pPr>
                </w:p>
              </w:tc>
              <w:tc>
                <w:tcPr>
                  <w:tcW w:w="653" w:type="pct"/>
                  <w:vAlign w:val="center"/>
                </w:tcPr>
                <w:p w14:paraId="6ED96ECB">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30</w:t>
                  </w:r>
                </w:p>
              </w:tc>
              <w:tc>
                <w:tcPr>
                  <w:tcW w:w="547" w:type="pct"/>
                  <w:vAlign w:val="center"/>
                </w:tcPr>
                <w:p w14:paraId="267C4CBF">
                  <w:pPr>
                    <w:widowControl/>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sz w:val="21"/>
                      <w:szCs w:val="21"/>
                      <w:lang w:bidi="ar"/>
                    </w:rPr>
                    <w:t>0.000036</w:t>
                  </w:r>
                </w:p>
              </w:tc>
              <w:tc>
                <w:tcPr>
                  <w:tcW w:w="615" w:type="pct"/>
                  <w:vMerge w:val="continue"/>
                  <w:vAlign w:val="center"/>
                </w:tcPr>
                <w:p w14:paraId="0998FD8D">
                  <w:pPr>
                    <w:pStyle w:val="56"/>
                    <w:spacing w:before="24" w:after="24" w:line="240" w:lineRule="auto"/>
                    <w:rPr>
                      <w:rFonts w:hint="default" w:ascii="Times New Roman" w:hAnsi="Times New Roman" w:eastAsia="仿宋_GB2312" w:cs="Times New Roman"/>
                      <w:sz w:val="21"/>
                      <w:szCs w:val="21"/>
                    </w:rPr>
                  </w:pPr>
                </w:p>
              </w:tc>
            </w:tr>
            <w:tr w14:paraId="7152E9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77" w:hRule="atLeast"/>
                <w:jc w:val="center"/>
              </w:trPr>
              <w:tc>
                <w:tcPr>
                  <w:tcW w:w="431" w:type="pct"/>
                  <w:vMerge w:val="continue"/>
                  <w:vAlign w:val="center"/>
                </w:tcPr>
                <w:p w14:paraId="3D0D53F7">
                  <w:pPr>
                    <w:pStyle w:val="56"/>
                    <w:spacing w:before="24" w:after="24" w:line="240" w:lineRule="auto"/>
                    <w:rPr>
                      <w:rFonts w:hint="default" w:ascii="Times New Roman" w:hAnsi="Times New Roman" w:eastAsia="仿宋_GB2312" w:cs="Times New Roman"/>
                      <w:sz w:val="21"/>
                      <w:szCs w:val="21"/>
                    </w:rPr>
                  </w:pPr>
                </w:p>
              </w:tc>
              <w:tc>
                <w:tcPr>
                  <w:tcW w:w="516" w:type="pct"/>
                  <w:vAlign w:val="center"/>
                </w:tcPr>
                <w:p w14:paraId="435AF5A9">
                  <w:pPr>
                    <w:pStyle w:val="56"/>
                    <w:spacing w:before="24" w:after="24" w:line="240" w:lineRule="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总氮</w:t>
                  </w:r>
                </w:p>
              </w:tc>
              <w:tc>
                <w:tcPr>
                  <w:tcW w:w="596" w:type="pct"/>
                  <w:vMerge w:val="continue"/>
                  <w:vAlign w:val="center"/>
                </w:tcPr>
                <w:p w14:paraId="138F2073">
                  <w:pPr>
                    <w:pStyle w:val="56"/>
                    <w:spacing w:before="24" w:after="24" w:line="240" w:lineRule="auto"/>
                    <w:rPr>
                      <w:rFonts w:hint="default" w:ascii="Times New Roman" w:hAnsi="Times New Roman" w:eastAsia="仿宋_GB2312" w:cs="Times New Roman"/>
                      <w:sz w:val="21"/>
                      <w:szCs w:val="21"/>
                    </w:rPr>
                  </w:pPr>
                </w:p>
              </w:tc>
              <w:tc>
                <w:tcPr>
                  <w:tcW w:w="644" w:type="pct"/>
                  <w:vAlign w:val="center"/>
                </w:tcPr>
                <w:p w14:paraId="74DC9D43">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45</w:t>
                  </w:r>
                </w:p>
              </w:tc>
              <w:tc>
                <w:tcPr>
                  <w:tcW w:w="562" w:type="pct"/>
                  <w:vAlign w:val="center"/>
                </w:tcPr>
                <w:p w14:paraId="4E8A0A1A">
                  <w:pPr>
                    <w:widowControl/>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sz w:val="21"/>
                      <w:szCs w:val="21"/>
                      <w:lang w:bidi="ar"/>
                    </w:rPr>
                    <w:t>0.000054</w:t>
                  </w:r>
                </w:p>
              </w:tc>
              <w:tc>
                <w:tcPr>
                  <w:tcW w:w="431" w:type="pct"/>
                  <w:vMerge w:val="continue"/>
                  <w:vAlign w:val="center"/>
                </w:tcPr>
                <w:p w14:paraId="20B25D8A">
                  <w:pPr>
                    <w:pStyle w:val="56"/>
                    <w:spacing w:before="24" w:after="24" w:line="240" w:lineRule="auto"/>
                    <w:rPr>
                      <w:rFonts w:hint="default" w:ascii="Times New Roman" w:hAnsi="Times New Roman" w:eastAsia="仿宋_GB2312" w:cs="Times New Roman"/>
                      <w:sz w:val="21"/>
                      <w:szCs w:val="21"/>
                    </w:rPr>
                  </w:pPr>
                </w:p>
              </w:tc>
              <w:tc>
                <w:tcPr>
                  <w:tcW w:w="653" w:type="pct"/>
                  <w:vAlign w:val="center"/>
                </w:tcPr>
                <w:p w14:paraId="75BB45A8">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45</w:t>
                  </w:r>
                </w:p>
              </w:tc>
              <w:tc>
                <w:tcPr>
                  <w:tcW w:w="547" w:type="pct"/>
                  <w:vAlign w:val="center"/>
                </w:tcPr>
                <w:p w14:paraId="2C6C25A9">
                  <w:pPr>
                    <w:widowControl/>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sz w:val="21"/>
                      <w:szCs w:val="21"/>
                      <w:lang w:bidi="ar"/>
                    </w:rPr>
                    <w:t>0.000054</w:t>
                  </w:r>
                </w:p>
              </w:tc>
              <w:tc>
                <w:tcPr>
                  <w:tcW w:w="615" w:type="pct"/>
                  <w:vMerge w:val="continue"/>
                  <w:vAlign w:val="center"/>
                </w:tcPr>
                <w:p w14:paraId="4BED7FF6">
                  <w:pPr>
                    <w:pStyle w:val="56"/>
                    <w:spacing w:before="24" w:after="24" w:line="240" w:lineRule="auto"/>
                    <w:rPr>
                      <w:rFonts w:hint="default" w:ascii="Times New Roman" w:hAnsi="Times New Roman" w:eastAsia="仿宋_GB2312" w:cs="Times New Roman"/>
                      <w:sz w:val="21"/>
                      <w:szCs w:val="21"/>
                    </w:rPr>
                  </w:pPr>
                </w:p>
              </w:tc>
            </w:tr>
            <w:tr w14:paraId="3D6547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6" w:hRule="atLeast"/>
                <w:jc w:val="center"/>
              </w:trPr>
              <w:tc>
                <w:tcPr>
                  <w:tcW w:w="431" w:type="pct"/>
                  <w:vMerge w:val="continue"/>
                  <w:vAlign w:val="center"/>
                </w:tcPr>
                <w:p w14:paraId="14DCFA29">
                  <w:pPr>
                    <w:pStyle w:val="56"/>
                    <w:spacing w:before="24" w:after="24" w:line="240" w:lineRule="auto"/>
                    <w:rPr>
                      <w:rFonts w:hint="default" w:ascii="Times New Roman" w:hAnsi="Times New Roman" w:eastAsia="仿宋_GB2312" w:cs="Times New Roman"/>
                      <w:sz w:val="21"/>
                      <w:szCs w:val="21"/>
                    </w:rPr>
                  </w:pPr>
                </w:p>
              </w:tc>
              <w:tc>
                <w:tcPr>
                  <w:tcW w:w="516" w:type="pct"/>
                  <w:vAlign w:val="center"/>
                </w:tcPr>
                <w:p w14:paraId="7C75A0ED">
                  <w:pPr>
                    <w:pStyle w:val="56"/>
                    <w:spacing w:before="24" w:after="24" w:line="240" w:lineRule="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总磷</w:t>
                  </w:r>
                </w:p>
              </w:tc>
              <w:tc>
                <w:tcPr>
                  <w:tcW w:w="596" w:type="pct"/>
                  <w:vMerge w:val="continue"/>
                  <w:vAlign w:val="center"/>
                </w:tcPr>
                <w:p w14:paraId="47ABA07A">
                  <w:pPr>
                    <w:pStyle w:val="56"/>
                    <w:spacing w:before="24" w:after="24" w:line="240" w:lineRule="auto"/>
                    <w:rPr>
                      <w:rFonts w:hint="default" w:ascii="Times New Roman" w:hAnsi="Times New Roman" w:eastAsia="仿宋_GB2312" w:cs="Times New Roman"/>
                      <w:sz w:val="21"/>
                      <w:szCs w:val="21"/>
                    </w:rPr>
                  </w:pPr>
                </w:p>
              </w:tc>
              <w:tc>
                <w:tcPr>
                  <w:tcW w:w="644" w:type="pct"/>
                  <w:vAlign w:val="center"/>
                </w:tcPr>
                <w:p w14:paraId="1E38563E">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3</w:t>
                  </w:r>
                </w:p>
              </w:tc>
              <w:tc>
                <w:tcPr>
                  <w:tcW w:w="562" w:type="pct"/>
                  <w:vAlign w:val="center"/>
                </w:tcPr>
                <w:p w14:paraId="72514DE7">
                  <w:pPr>
                    <w:widowControl/>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sz w:val="21"/>
                      <w:szCs w:val="21"/>
                      <w:lang w:bidi="ar"/>
                    </w:rPr>
                    <w:t>0.000004</w:t>
                  </w:r>
                </w:p>
              </w:tc>
              <w:tc>
                <w:tcPr>
                  <w:tcW w:w="431" w:type="pct"/>
                  <w:vMerge w:val="continue"/>
                  <w:vAlign w:val="center"/>
                </w:tcPr>
                <w:p w14:paraId="34269EC4">
                  <w:pPr>
                    <w:pStyle w:val="56"/>
                    <w:spacing w:before="24" w:after="24" w:line="240" w:lineRule="auto"/>
                    <w:rPr>
                      <w:rFonts w:hint="default" w:ascii="Times New Roman" w:hAnsi="Times New Roman" w:eastAsia="仿宋_GB2312" w:cs="Times New Roman"/>
                      <w:sz w:val="21"/>
                      <w:szCs w:val="21"/>
                    </w:rPr>
                  </w:pPr>
                </w:p>
              </w:tc>
              <w:tc>
                <w:tcPr>
                  <w:tcW w:w="653" w:type="pct"/>
                  <w:vAlign w:val="center"/>
                </w:tcPr>
                <w:p w14:paraId="48A584D1">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3</w:t>
                  </w:r>
                </w:p>
              </w:tc>
              <w:tc>
                <w:tcPr>
                  <w:tcW w:w="547" w:type="pct"/>
                  <w:vAlign w:val="center"/>
                </w:tcPr>
                <w:p w14:paraId="10E527EF">
                  <w:pPr>
                    <w:widowControl/>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sz w:val="21"/>
                      <w:szCs w:val="21"/>
                      <w:lang w:bidi="ar"/>
                    </w:rPr>
                    <w:t>0.000004</w:t>
                  </w:r>
                </w:p>
              </w:tc>
              <w:tc>
                <w:tcPr>
                  <w:tcW w:w="615" w:type="pct"/>
                  <w:vMerge w:val="continue"/>
                  <w:vAlign w:val="center"/>
                </w:tcPr>
                <w:p w14:paraId="4239C5C7">
                  <w:pPr>
                    <w:pStyle w:val="56"/>
                    <w:spacing w:before="24" w:after="24" w:line="240" w:lineRule="auto"/>
                    <w:rPr>
                      <w:rFonts w:hint="default" w:ascii="Times New Roman" w:hAnsi="Times New Roman" w:eastAsia="仿宋_GB2312" w:cs="Times New Roman"/>
                      <w:sz w:val="21"/>
                      <w:szCs w:val="21"/>
                    </w:rPr>
                  </w:pPr>
                </w:p>
              </w:tc>
            </w:tr>
          </w:tbl>
          <w:p w14:paraId="71822087">
            <w:pPr>
              <w:pStyle w:val="69"/>
              <w:spacing w:line="360" w:lineRule="auto"/>
              <w:ind w:firstLine="422" w:firstLineChars="200"/>
              <w:rPr>
                <w:rFonts w:hint="default" w:ascii="Times New Roman" w:hAnsi="Times New Roman" w:eastAsia="仿宋_GB2312" w:cs="Times New Roman"/>
                <w:b/>
                <w:bCs/>
                <w:snapToGrid w:val="0"/>
              </w:rPr>
            </w:pPr>
            <w:r>
              <w:rPr>
                <w:rFonts w:hint="default" w:ascii="Times New Roman" w:hAnsi="Times New Roman" w:eastAsia="仿宋_GB2312" w:cs="Times New Roman"/>
                <w:b/>
                <w:bCs/>
                <w:snapToGrid w:val="0"/>
              </w:rPr>
              <w:t>3、施工期声环境影响分析</w:t>
            </w:r>
          </w:p>
          <w:p w14:paraId="7390CA42">
            <w:pPr>
              <w:adjustRightInd w:val="0"/>
              <w:snapToGrid w:val="0"/>
              <w:spacing w:line="360" w:lineRule="auto"/>
              <w:ind w:firstLine="420" w:firstLineChars="200"/>
              <w:rPr>
                <w:rFonts w:hint="default" w:ascii="Times New Roman" w:hAnsi="Times New Roman" w:eastAsia="仿宋_GB2312" w:cs="Times New Roman"/>
              </w:rPr>
            </w:pPr>
            <w:r>
              <w:rPr>
                <w:rFonts w:hint="default" w:ascii="Times New Roman" w:hAnsi="Times New Roman" w:eastAsia="仿宋_GB2312" w:cs="Times New Roman"/>
              </w:rPr>
              <w:t>1）机械的作业声级</w:t>
            </w:r>
          </w:p>
          <w:p w14:paraId="14AC333A">
            <w:pPr>
              <w:pStyle w:val="69"/>
              <w:spacing w:line="360" w:lineRule="auto"/>
              <w:ind w:firstLine="420" w:firstLineChars="200"/>
              <w:rPr>
                <w:rFonts w:hint="default" w:ascii="Times New Roman" w:hAnsi="Times New Roman" w:eastAsia="仿宋_GB2312" w:cs="Times New Roman"/>
                <w:snapToGrid w:val="0"/>
              </w:rPr>
            </w:pPr>
            <w:r>
              <w:rPr>
                <w:rFonts w:hint="default" w:ascii="Times New Roman" w:hAnsi="Times New Roman" w:eastAsia="仿宋_GB2312" w:cs="Times New Roman"/>
                <w:snapToGrid w:val="0"/>
              </w:rPr>
              <w:t>施工期噪声源主要由两部分组成，一是各类施工交通运输车辆；二是施工区各类生产机械设备、器具等。交通运输噪声呈带状间歇影响；施工机械噪声较为集中和连续。</w:t>
            </w:r>
          </w:p>
          <w:p w14:paraId="2D35E541">
            <w:pPr>
              <w:pStyle w:val="69"/>
              <w:spacing w:line="360" w:lineRule="auto"/>
              <w:ind w:firstLine="420" w:firstLineChars="200"/>
              <w:rPr>
                <w:rFonts w:hint="default" w:ascii="Times New Roman" w:hAnsi="Times New Roman" w:eastAsia="仿宋_GB2312" w:cs="Times New Roman"/>
                <w:snapToGrid w:val="0"/>
              </w:rPr>
            </w:pPr>
            <w:r>
              <w:rPr>
                <w:rFonts w:hint="default" w:ascii="Times New Roman" w:hAnsi="Times New Roman" w:eastAsia="仿宋_GB2312" w:cs="Times New Roman"/>
                <w:snapToGrid w:val="0"/>
              </w:rPr>
              <w:t>①交通运输车辆噪声</w:t>
            </w:r>
          </w:p>
          <w:p w14:paraId="07A8B666">
            <w:pPr>
              <w:pStyle w:val="69"/>
              <w:spacing w:line="360" w:lineRule="auto"/>
              <w:ind w:firstLine="420" w:firstLineChars="200"/>
              <w:rPr>
                <w:rFonts w:hint="default" w:ascii="Times New Roman" w:hAnsi="Times New Roman" w:eastAsia="仿宋_GB2312" w:cs="Times New Roman"/>
                <w:snapToGrid w:val="0"/>
              </w:rPr>
            </w:pPr>
            <w:r>
              <w:rPr>
                <w:rFonts w:hint="default" w:ascii="Times New Roman" w:hAnsi="Times New Roman" w:eastAsia="仿宋_GB2312" w:cs="Times New Roman"/>
                <w:snapToGrid w:val="0"/>
              </w:rPr>
              <w:t>工程施工时各类设备、材料和弃土等需要用汽车运输，这些运输车辆在行驶过程中会产生公路交通噪声，特别是重型汽车运行中产生的噪声源强较高。因各类运输车辆频繁行驶在施工便道和既有公路上，会对周围环境产生交通噪声影响。</w:t>
            </w:r>
          </w:p>
          <w:p w14:paraId="6E6A1AFA">
            <w:pPr>
              <w:pStyle w:val="69"/>
              <w:spacing w:line="360" w:lineRule="auto"/>
              <w:ind w:firstLine="482"/>
              <w:rPr>
                <w:rFonts w:hint="default" w:ascii="Times New Roman" w:hAnsi="Times New Roman" w:eastAsia="仿宋_GB2312" w:cs="Times New Roman"/>
                <w:snapToGrid w:val="0"/>
              </w:rPr>
            </w:pPr>
            <w:r>
              <w:rPr>
                <w:rFonts w:hint="default" w:ascii="Times New Roman" w:hAnsi="Times New Roman" w:eastAsia="仿宋_GB2312" w:cs="Times New Roman"/>
                <w:snapToGrid w:val="0"/>
              </w:rPr>
              <w:t>②施工机械噪声</w:t>
            </w:r>
          </w:p>
          <w:p w14:paraId="7799E44D">
            <w:pPr>
              <w:pStyle w:val="69"/>
              <w:spacing w:line="360" w:lineRule="auto"/>
              <w:ind w:firstLine="482"/>
              <w:rPr>
                <w:rFonts w:hint="default" w:ascii="Times New Roman" w:hAnsi="Times New Roman" w:eastAsia="仿宋_GB2312" w:cs="Times New Roman"/>
                <w:snapToGrid w:val="0"/>
              </w:rPr>
            </w:pPr>
            <w:r>
              <w:rPr>
                <w:rFonts w:hint="default" w:ascii="Times New Roman" w:hAnsi="Times New Roman" w:eastAsia="仿宋_GB2312" w:cs="Times New Roman"/>
                <w:snapToGrid w:val="0"/>
              </w:rPr>
              <w:t>主要指施工现场使用各类机械设备产生的施工噪声。管道工程、清淤等建设时使用的机械设备会产生噪声。这些施工机械包括装载机、挖掘机、推土机等，在施工中这类机械是最主要的施工噪声源。</w:t>
            </w:r>
          </w:p>
          <w:p w14:paraId="65D844FF">
            <w:pPr>
              <w:pStyle w:val="69"/>
              <w:spacing w:line="360" w:lineRule="auto"/>
              <w:ind w:firstLine="482"/>
              <w:rPr>
                <w:rFonts w:hint="default" w:ascii="Times New Roman" w:hAnsi="Times New Roman" w:eastAsia="仿宋_GB2312" w:cs="Times New Roman"/>
                <w:snapToGrid w:val="0"/>
              </w:rPr>
            </w:pPr>
            <w:r>
              <w:rPr>
                <w:rFonts w:hint="default" w:ascii="Times New Roman" w:hAnsi="Times New Roman" w:eastAsia="仿宋_GB2312" w:cs="Times New Roman"/>
                <w:snapToGrid w:val="0"/>
              </w:rPr>
              <w:t>常用施工设备和运输车辆在作业期间所产生的噪声值见表4-</w:t>
            </w:r>
            <w:r>
              <w:rPr>
                <w:rFonts w:hint="eastAsia" w:ascii="Times New Roman" w:hAnsi="Times New Roman" w:eastAsia="仿宋_GB2312" w:cs="Times New Roman"/>
                <w:snapToGrid w:val="0"/>
                <w:lang w:val="en-US" w:eastAsia="zh-CN"/>
              </w:rPr>
              <w:t>3</w:t>
            </w:r>
            <w:r>
              <w:rPr>
                <w:rFonts w:hint="default" w:ascii="Times New Roman" w:hAnsi="Times New Roman" w:eastAsia="仿宋_GB2312" w:cs="Times New Roman"/>
                <w:snapToGrid w:val="0"/>
              </w:rPr>
              <w:t>。</w:t>
            </w:r>
          </w:p>
          <w:p w14:paraId="34DBE18D">
            <w:pPr>
              <w:pStyle w:val="75"/>
              <w:spacing w:line="360" w:lineRule="auto"/>
              <w:rPr>
                <w:rFonts w:hint="default" w:ascii="Times New Roman" w:hAnsi="Times New Roman" w:eastAsia="仿宋_GB2312" w:cs="Times New Roman"/>
                <w:b w:val="0"/>
              </w:rPr>
            </w:pPr>
            <w:r>
              <w:rPr>
                <w:rFonts w:hint="default" w:ascii="Times New Roman" w:hAnsi="Times New Roman" w:eastAsia="仿宋_GB2312" w:cs="Times New Roman"/>
              </w:rPr>
              <w:t>表4-</w:t>
            </w:r>
            <w:r>
              <w:rPr>
                <w:rFonts w:hint="eastAsia" w:ascii="Times New Roman" w:hAnsi="Times New Roman" w:eastAsia="仿宋_GB2312" w:cs="Times New Roman"/>
                <w:lang w:val="en-US" w:eastAsia="zh-CN"/>
              </w:rPr>
              <w:t xml:space="preserve">3  </w:t>
            </w:r>
            <w:r>
              <w:rPr>
                <w:rFonts w:hint="default" w:ascii="Times New Roman" w:hAnsi="Times New Roman" w:eastAsia="仿宋_GB2312" w:cs="Times New Roman"/>
              </w:rPr>
              <w:t>主要施工机械设备的噪声声级</w:t>
            </w:r>
          </w:p>
          <w:tbl>
            <w:tblPr>
              <w:tblStyle w:val="3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19"/>
              <w:gridCol w:w="3322"/>
              <w:gridCol w:w="3652"/>
            </w:tblGrid>
            <w:tr w14:paraId="7BD617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894" w:type="pct"/>
                  <w:vAlign w:val="center"/>
                </w:tcPr>
                <w:p w14:paraId="72689BD0">
                  <w:pPr>
                    <w:pStyle w:val="93"/>
                    <w:adjustRightInd w:val="0"/>
                    <w:snapToGrid w:val="0"/>
                    <w:rPr>
                      <w:rFonts w:hint="default" w:ascii="Times New Roman" w:hAnsi="Times New Roman" w:eastAsia="仿宋_GB2312" w:cs="Times New Roman"/>
                      <w:b/>
                      <w:sz w:val="21"/>
                      <w:szCs w:val="21"/>
                    </w:rPr>
                  </w:pPr>
                  <w:r>
                    <w:rPr>
                      <w:rFonts w:hint="default" w:ascii="Times New Roman" w:hAnsi="Times New Roman" w:eastAsia="仿宋_GB2312" w:cs="Times New Roman"/>
                      <w:b/>
                      <w:sz w:val="21"/>
                      <w:szCs w:val="21"/>
                    </w:rPr>
                    <w:t>序号</w:t>
                  </w:r>
                </w:p>
              </w:tc>
              <w:tc>
                <w:tcPr>
                  <w:tcW w:w="1955" w:type="pct"/>
                  <w:vAlign w:val="center"/>
                </w:tcPr>
                <w:p w14:paraId="322E603E">
                  <w:pPr>
                    <w:pStyle w:val="93"/>
                    <w:adjustRightInd w:val="0"/>
                    <w:snapToGrid w:val="0"/>
                    <w:rPr>
                      <w:rFonts w:hint="default" w:ascii="Times New Roman" w:hAnsi="Times New Roman" w:eastAsia="仿宋_GB2312" w:cs="Times New Roman"/>
                      <w:b/>
                      <w:sz w:val="21"/>
                      <w:szCs w:val="21"/>
                    </w:rPr>
                  </w:pPr>
                  <w:r>
                    <w:rPr>
                      <w:rFonts w:hint="default" w:ascii="Times New Roman" w:hAnsi="Times New Roman" w:eastAsia="仿宋_GB2312" w:cs="Times New Roman"/>
                      <w:b/>
                      <w:sz w:val="21"/>
                      <w:szCs w:val="21"/>
                    </w:rPr>
                    <w:t>施工机械</w:t>
                  </w:r>
                </w:p>
              </w:tc>
              <w:tc>
                <w:tcPr>
                  <w:tcW w:w="2149" w:type="pct"/>
                  <w:vAlign w:val="center"/>
                </w:tcPr>
                <w:p w14:paraId="382EF0BB">
                  <w:pPr>
                    <w:pStyle w:val="93"/>
                    <w:adjustRightInd w:val="0"/>
                    <w:snapToGrid w:val="0"/>
                    <w:rPr>
                      <w:rFonts w:hint="default" w:ascii="Times New Roman" w:hAnsi="Times New Roman" w:eastAsia="仿宋_GB2312" w:cs="Times New Roman"/>
                      <w:b/>
                      <w:sz w:val="21"/>
                      <w:szCs w:val="21"/>
                    </w:rPr>
                  </w:pPr>
                  <w:r>
                    <w:rPr>
                      <w:rFonts w:hint="default" w:ascii="Times New Roman" w:hAnsi="Times New Roman" w:eastAsia="仿宋_GB2312" w:cs="Times New Roman"/>
                      <w:b/>
                      <w:sz w:val="21"/>
                      <w:szCs w:val="21"/>
                    </w:rPr>
                    <w:t>距离设备5m处噪声值[dB(A)]</w:t>
                  </w:r>
                </w:p>
              </w:tc>
            </w:tr>
            <w:tr w14:paraId="51EB3B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894" w:type="pct"/>
                  <w:vAlign w:val="center"/>
                </w:tcPr>
                <w:p w14:paraId="5F4A438A">
                  <w:pPr>
                    <w:pStyle w:val="93"/>
                    <w:adjustRightInd w:val="0"/>
                    <w:snapToGrid w:val="0"/>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1</w:t>
                  </w:r>
                </w:p>
              </w:tc>
              <w:tc>
                <w:tcPr>
                  <w:tcW w:w="1955" w:type="pct"/>
                  <w:vAlign w:val="center"/>
                </w:tcPr>
                <w:p w14:paraId="3F0DE45E">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泥浆泵</w:t>
                  </w:r>
                </w:p>
              </w:tc>
              <w:tc>
                <w:tcPr>
                  <w:tcW w:w="2149" w:type="pct"/>
                  <w:vAlign w:val="center"/>
                </w:tcPr>
                <w:p w14:paraId="12FEBED2">
                  <w:pPr>
                    <w:pStyle w:val="93"/>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80</w:t>
                  </w:r>
                </w:p>
              </w:tc>
            </w:tr>
            <w:tr w14:paraId="7A8B29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894" w:type="pct"/>
                  <w:vAlign w:val="center"/>
                </w:tcPr>
                <w:p w14:paraId="4856AD10">
                  <w:pPr>
                    <w:pStyle w:val="93"/>
                    <w:adjustRightInd w:val="0"/>
                    <w:snapToGrid w:val="0"/>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2</w:t>
                  </w:r>
                </w:p>
              </w:tc>
              <w:tc>
                <w:tcPr>
                  <w:tcW w:w="1955" w:type="pct"/>
                  <w:vAlign w:val="center"/>
                </w:tcPr>
                <w:p w14:paraId="403A198D">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清水高压泵</w:t>
                  </w:r>
                </w:p>
              </w:tc>
              <w:tc>
                <w:tcPr>
                  <w:tcW w:w="2149" w:type="pct"/>
                  <w:vAlign w:val="center"/>
                </w:tcPr>
                <w:p w14:paraId="0FF30ECB">
                  <w:pPr>
                    <w:pStyle w:val="93"/>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80</w:t>
                  </w:r>
                </w:p>
              </w:tc>
            </w:tr>
            <w:tr w14:paraId="4D4322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894" w:type="pct"/>
                  <w:vAlign w:val="center"/>
                </w:tcPr>
                <w:p w14:paraId="47CAF14B">
                  <w:pPr>
                    <w:pStyle w:val="93"/>
                    <w:adjustRightInd w:val="0"/>
                    <w:snapToGrid w:val="0"/>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3</w:t>
                  </w:r>
                </w:p>
              </w:tc>
              <w:tc>
                <w:tcPr>
                  <w:tcW w:w="1955" w:type="pct"/>
                  <w:vAlign w:val="center"/>
                </w:tcPr>
                <w:p w14:paraId="4F97B877">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潜水泵</w:t>
                  </w:r>
                </w:p>
              </w:tc>
              <w:tc>
                <w:tcPr>
                  <w:tcW w:w="2149" w:type="pct"/>
                  <w:vAlign w:val="center"/>
                </w:tcPr>
                <w:p w14:paraId="0A8C8E7E">
                  <w:pPr>
                    <w:pStyle w:val="93"/>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80</w:t>
                  </w:r>
                </w:p>
              </w:tc>
            </w:tr>
            <w:tr w14:paraId="346E18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894" w:type="pct"/>
                  <w:vAlign w:val="center"/>
                </w:tcPr>
                <w:p w14:paraId="238BD72F">
                  <w:pPr>
                    <w:pStyle w:val="93"/>
                    <w:adjustRightInd w:val="0"/>
                    <w:snapToGrid w:val="0"/>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4</w:t>
                  </w:r>
                </w:p>
              </w:tc>
              <w:tc>
                <w:tcPr>
                  <w:tcW w:w="1955" w:type="pct"/>
                  <w:vAlign w:val="center"/>
                </w:tcPr>
                <w:p w14:paraId="46CAF307">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8寸排水泵</w:t>
                  </w:r>
                </w:p>
              </w:tc>
              <w:tc>
                <w:tcPr>
                  <w:tcW w:w="2149" w:type="pct"/>
                  <w:vAlign w:val="center"/>
                </w:tcPr>
                <w:p w14:paraId="72DA1BEC">
                  <w:pPr>
                    <w:pStyle w:val="93"/>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80</w:t>
                  </w:r>
                </w:p>
              </w:tc>
            </w:tr>
            <w:tr w14:paraId="43815B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894" w:type="pct"/>
                  <w:vAlign w:val="center"/>
                </w:tcPr>
                <w:p w14:paraId="7EAB285E">
                  <w:pPr>
                    <w:pStyle w:val="93"/>
                    <w:adjustRightInd w:val="0"/>
                    <w:snapToGrid w:val="0"/>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5</w:t>
                  </w:r>
                </w:p>
              </w:tc>
              <w:tc>
                <w:tcPr>
                  <w:tcW w:w="1955" w:type="pct"/>
                  <w:vAlign w:val="center"/>
                </w:tcPr>
                <w:p w14:paraId="07388F25">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汽车吊</w:t>
                  </w:r>
                </w:p>
              </w:tc>
              <w:tc>
                <w:tcPr>
                  <w:tcW w:w="2149" w:type="pct"/>
                  <w:vAlign w:val="center"/>
                </w:tcPr>
                <w:p w14:paraId="1FD82E9F">
                  <w:pPr>
                    <w:pStyle w:val="93"/>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80</w:t>
                  </w:r>
                </w:p>
              </w:tc>
            </w:tr>
            <w:tr w14:paraId="44513F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894" w:type="pct"/>
                  <w:vAlign w:val="center"/>
                </w:tcPr>
                <w:p w14:paraId="54A90A32">
                  <w:pPr>
                    <w:pStyle w:val="93"/>
                    <w:adjustRightInd w:val="0"/>
                    <w:snapToGrid w:val="0"/>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6</w:t>
                  </w:r>
                </w:p>
              </w:tc>
              <w:tc>
                <w:tcPr>
                  <w:tcW w:w="1955" w:type="pct"/>
                </w:tcPr>
                <w:p w14:paraId="73F90444">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挖掘机</w:t>
                  </w:r>
                </w:p>
              </w:tc>
              <w:tc>
                <w:tcPr>
                  <w:tcW w:w="2149" w:type="pct"/>
                </w:tcPr>
                <w:p w14:paraId="33259852">
                  <w:pPr>
                    <w:pStyle w:val="93"/>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84</w:t>
                  </w:r>
                </w:p>
              </w:tc>
            </w:tr>
            <w:tr w14:paraId="5D87CE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894" w:type="pct"/>
                  <w:vAlign w:val="center"/>
                </w:tcPr>
                <w:p w14:paraId="7C07B144">
                  <w:pPr>
                    <w:pStyle w:val="93"/>
                    <w:adjustRightInd w:val="0"/>
                    <w:snapToGrid w:val="0"/>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7</w:t>
                  </w:r>
                </w:p>
              </w:tc>
              <w:tc>
                <w:tcPr>
                  <w:tcW w:w="1955" w:type="pct"/>
                </w:tcPr>
                <w:p w14:paraId="4E287BF5">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推土机</w:t>
                  </w:r>
                </w:p>
              </w:tc>
              <w:tc>
                <w:tcPr>
                  <w:tcW w:w="2149" w:type="pct"/>
                </w:tcPr>
                <w:p w14:paraId="02284265">
                  <w:pPr>
                    <w:pStyle w:val="93"/>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82</w:t>
                  </w:r>
                </w:p>
              </w:tc>
            </w:tr>
            <w:tr w14:paraId="04578F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894" w:type="pct"/>
                  <w:vAlign w:val="center"/>
                </w:tcPr>
                <w:p w14:paraId="3E1335C1">
                  <w:pPr>
                    <w:pStyle w:val="93"/>
                    <w:adjustRightInd w:val="0"/>
                    <w:snapToGrid w:val="0"/>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8</w:t>
                  </w:r>
                </w:p>
              </w:tc>
              <w:tc>
                <w:tcPr>
                  <w:tcW w:w="1955" w:type="pct"/>
                </w:tcPr>
                <w:p w14:paraId="0201F8B8">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混凝土搅拌机</w:t>
                  </w:r>
                </w:p>
              </w:tc>
              <w:tc>
                <w:tcPr>
                  <w:tcW w:w="2149" w:type="pct"/>
                </w:tcPr>
                <w:p w14:paraId="20AF68E3">
                  <w:pPr>
                    <w:pStyle w:val="93"/>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85</w:t>
                  </w:r>
                </w:p>
              </w:tc>
            </w:tr>
            <w:tr w14:paraId="2B8D86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894" w:type="pct"/>
                  <w:vAlign w:val="center"/>
                </w:tcPr>
                <w:p w14:paraId="2E1E8ED8">
                  <w:pPr>
                    <w:pStyle w:val="93"/>
                    <w:adjustRightInd w:val="0"/>
                    <w:snapToGrid w:val="0"/>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9</w:t>
                  </w:r>
                </w:p>
              </w:tc>
              <w:tc>
                <w:tcPr>
                  <w:tcW w:w="1955" w:type="pct"/>
                </w:tcPr>
                <w:p w14:paraId="655AC816">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电锯</w:t>
                  </w:r>
                </w:p>
              </w:tc>
              <w:tc>
                <w:tcPr>
                  <w:tcW w:w="2149" w:type="pct"/>
                </w:tcPr>
                <w:p w14:paraId="66BAE91A">
                  <w:pPr>
                    <w:pStyle w:val="93"/>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90</w:t>
                  </w:r>
                </w:p>
              </w:tc>
            </w:tr>
            <w:tr w14:paraId="14A211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894" w:type="pct"/>
                  <w:vAlign w:val="center"/>
                </w:tcPr>
                <w:p w14:paraId="6F7FFA50">
                  <w:pPr>
                    <w:pStyle w:val="93"/>
                    <w:adjustRightInd w:val="0"/>
                    <w:snapToGrid w:val="0"/>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10</w:t>
                  </w:r>
                </w:p>
              </w:tc>
              <w:tc>
                <w:tcPr>
                  <w:tcW w:w="1955" w:type="pct"/>
                </w:tcPr>
                <w:p w14:paraId="1BB2B292">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压路机</w:t>
                  </w:r>
                </w:p>
              </w:tc>
              <w:tc>
                <w:tcPr>
                  <w:tcW w:w="2149" w:type="pct"/>
                </w:tcPr>
                <w:p w14:paraId="317946E8">
                  <w:pPr>
                    <w:pStyle w:val="93"/>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85</w:t>
                  </w:r>
                </w:p>
              </w:tc>
            </w:tr>
            <w:tr w14:paraId="62F90A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894" w:type="pct"/>
                  <w:vAlign w:val="center"/>
                </w:tcPr>
                <w:p w14:paraId="28786A45">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11</w:t>
                  </w:r>
                </w:p>
              </w:tc>
              <w:tc>
                <w:tcPr>
                  <w:tcW w:w="1955" w:type="pct"/>
                </w:tcPr>
                <w:p w14:paraId="2E91AAE4">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翻斗车装载车</w:t>
                  </w:r>
                </w:p>
              </w:tc>
              <w:tc>
                <w:tcPr>
                  <w:tcW w:w="2149" w:type="pct"/>
                </w:tcPr>
                <w:p w14:paraId="2555ADCB">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90</w:t>
                  </w:r>
                </w:p>
              </w:tc>
            </w:tr>
            <w:tr w14:paraId="7A45B0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894" w:type="pct"/>
                  <w:vAlign w:val="center"/>
                </w:tcPr>
                <w:p w14:paraId="071D7470">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12</w:t>
                  </w:r>
                </w:p>
              </w:tc>
              <w:tc>
                <w:tcPr>
                  <w:tcW w:w="1955" w:type="pct"/>
                </w:tcPr>
                <w:p w14:paraId="1008B1A0">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槽罐车</w:t>
                  </w:r>
                </w:p>
              </w:tc>
              <w:tc>
                <w:tcPr>
                  <w:tcW w:w="2149" w:type="pct"/>
                </w:tcPr>
                <w:p w14:paraId="3892FECC">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88</w:t>
                  </w:r>
                </w:p>
              </w:tc>
            </w:tr>
            <w:tr w14:paraId="60C81A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894" w:type="pct"/>
                  <w:vAlign w:val="center"/>
                </w:tcPr>
                <w:p w14:paraId="5E8C2BAA">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13</w:t>
                  </w:r>
                </w:p>
              </w:tc>
              <w:tc>
                <w:tcPr>
                  <w:tcW w:w="1955" w:type="pct"/>
                </w:tcPr>
                <w:p w14:paraId="4273FC0A">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路面破碎机</w:t>
                  </w:r>
                </w:p>
              </w:tc>
              <w:tc>
                <w:tcPr>
                  <w:tcW w:w="2149" w:type="pct"/>
                </w:tcPr>
                <w:p w14:paraId="7698D8F5">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90</w:t>
                  </w:r>
                </w:p>
              </w:tc>
            </w:tr>
            <w:tr w14:paraId="115747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894" w:type="pct"/>
                  <w:vAlign w:val="center"/>
                </w:tcPr>
                <w:p w14:paraId="664F564A">
                  <w:pPr>
                    <w:adjustRightInd w:val="0"/>
                    <w:snapToGrid w:val="0"/>
                    <w:jc w:val="center"/>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14</w:t>
                  </w:r>
                </w:p>
              </w:tc>
              <w:tc>
                <w:tcPr>
                  <w:tcW w:w="1955" w:type="pct"/>
                </w:tcPr>
                <w:p w14:paraId="1228392A">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定向钻机</w:t>
                  </w:r>
                </w:p>
              </w:tc>
              <w:tc>
                <w:tcPr>
                  <w:tcW w:w="2149" w:type="pct"/>
                </w:tcPr>
                <w:p w14:paraId="012A9C09">
                  <w:pPr>
                    <w:adjustRightInd w:val="0"/>
                    <w:snapToGrid w:val="0"/>
                    <w:jc w:val="center"/>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90</w:t>
                  </w:r>
                </w:p>
              </w:tc>
            </w:tr>
            <w:tr w14:paraId="1E06B1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894" w:type="pct"/>
                  <w:vAlign w:val="center"/>
                </w:tcPr>
                <w:p w14:paraId="0108887F">
                  <w:pPr>
                    <w:adjustRightInd w:val="0"/>
                    <w:snapToGrid w:val="0"/>
                    <w:jc w:val="center"/>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15</w:t>
                  </w:r>
                </w:p>
              </w:tc>
              <w:tc>
                <w:tcPr>
                  <w:tcW w:w="1955" w:type="pct"/>
                </w:tcPr>
                <w:p w14:paraId="69E6CD7A">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管道拖车</w:t>
                  </w:r>
                </w:p>
              </w:tc>
              <w:tc>
                <w:tcPr>
                  <w:tcW w:w="2149" w:type="pct"/>
                </w:tcPr>
                <w:p w14:paraId="14DA8C95">
                  <w:pPr>
                    <w:adjustRightInd w:val="0"/>
                    <w:snapToGrid w:val="0"/>
                    <w:jc w:val="center"/>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80</w:t>
                  </w:r>
                </w:p>
              </w:tc>
            </w:tr>
          </w:tbl>
          <w:p w14:paraId="77A2FA35">
            <w:pPr>
              <w:adjustRightInd w:val="0"/>
              <w:snapToGrid w:val="0"/>
              <w:spacing w:line="360" w:lineRule="auto"/>
              <w:ind w:firstLine="420" w:firstLineChars="200"/>
              <w:rPr>
                <w:rFonts w:hint="default" w:ascii="Times New Roman" w:hAnsi="Times New Roman" w:eastAsia="仿宋_GB2312" w:cs="Times New Roman"/>
              </w:rPr>
            </w:pPr>
            <w:r>
              <w:rPr>
                <w:rFonts w:hint="default" w:ascii="Times New Roman" w:hAnsi="Times New Roman" w:eastAsia="仿宋_GB2312" w:cs="Times New Roman"/>
              </w:rPr>
              <w:t>2）施工作业对敏感点的影响分析</w:t>
            </w:r>
          </w:p>
          <w:p w14:paraId="4265CCF9">
            <w:pPr>
              <w:adjustRightInd w:val="0"/>
              <w:snapToGrid w:val="0"/>
              <w:spacing w:line="360" w:lineRule="auto"/>
              <w:ind w:firstLine="420" w:firstLineChars="200"/>
              <w:rPr>
                <w:rFonts w:hint="default" w:ascii="Times New Roman" w:hAnsi="Times New Roman" w:eastAsia="仿宋_GB2312" w:cs="Times New Roman"/>
              </w:rPr>
            </w:pPr>
            <w:r>
              <w:rPr>
                <w:rFonts w:hint="default" w:ascii="Times New Roman" w:hAnsi="Times New Roman" w:eastAsia="仿宋_GB2312" w:cs="Times New Roman"/>
              </w:rPr>
              <w:t>项目在各住宅附近施工时，应设置临时隔声围护，避免对居民正常生活造成不利影响。由于施工期的噪声影响是暂时的，只要措施得当，并注意调整施工时间等事项，是可以将施工噪声影响减至最低。</w:t>
            </w:r>
          </w:p>
          <w:p w14:paraId="567540E6">
            <w:pPr>
              <w:adjustRightInd w:val="0"/>
              <w:snapToGrid w:val="0"/>
              <w:spacing w:line="360" w:lineRule="auto"/>
              <w:ind w:firstLine="420" w:firstLineChars="200"/>
              <w:rPr>
                <w:rFonts w:hint="default" w:ascii="Times New Roman" w:hAnsi="Times New Roman" w:eastAsia="仿宋_GB2312" w:cs="Times New Roman"/>
              </w:rPr>
            </w:pPr>
            <w:r>
              <w:rPr>
                <w:rFonts w:hint="default" w:ascii="Times New Roman" w:hAnsi="Times New Roman" w:eastAsia="仿宋_GB2312" w:cs="Times New Roman"/>
              </w:rPr>
              <w:t>3）施工期噪声控制措施</w:t>
            </w:r>
          </w:p>
          <w:p w14:paraId="6B47AC97">
            <w:pPr>
              <w:adjustRightInd w:val="0"/>
              <w:snapToGrid w:val="0"/>
              <w:spacing w:line="360" w:lineRule="auto"/>
              <w:ind w:firstLine="420" w:firstLineChars="200"/>
              <w:rPr>
                <w:rFonts w:hint="default" w:ascii="Times New Roman" w:hAnsi="Times New Roman" w:eastAsia="仿宋_GB2312" w:cs="Times New Roman"/>
              </w:rPr>
            </w:pPr>
            <w:r>
              <w:rPr>
                <w:rFonts w:hint="default" w:ascii="Times New Roman" w:hAnsi="Times New Roman" w:eastAsia="仿宋_GB2312" w:cs="Times New Roman"/>
              </w:rPr>
              <w:t>①选用低噪声的施工机械和施工方式，加强对作业机械及运输车辆的维修保养，降低其辐射声级。</w:t>
            </w:r>
          </w:p>
          <w:p w14:paraId="37B5126B">
            <w:pPr>
              <w:adjustRightInd w:val="0"/>
              <w:snapToGrid w:val="0"/>
              <w:spacing w:line="360" w:lineRule="auto"/>
              <w:ind w:firstLine="420" w:firstLineChars="200"/>
              <w:rPr>
                <w:rFonts w:hint="default" w:ascii="Times New Roman" w:hAnsi="Times New Roman" w:eastAsia="仿宋_GB2312" w:cs="Times New Roman"/>
              </w:rPr>
            </w:pPr>
            <w:r>
              <w:rPr>
                <w:rFonts w:hint="default" w:ascii="Times New Roman" w:hAnsi="Times New Roman" w:eastAsia="仿宋_GB2312" w:cs="Times New Roman"/>
              </w:rPr>
              <w:t>②在敏感点附近施工时，应设置临时隔声围护。在施工边界，除了出入口以外，用围墙加以封隔。除了控制噪声外，也有利于观瞻。</w:t>
            </w:r>
          </w:p>
          <w:p w14:paraId="38906C90">
            <w:pPr>
              <w:adjustRightInd w:val="0"/>
              <w:snapToGrid w:val="0"/>
              <w:spacing w:line="360" w:lineRule="auto"/>
              <w:ind w:firstLine="420" w:firstLineChars="200"/>
              <w:rPr>
                <w:rFonts w:hint="default" w:ascii="Times New Roman" w:hAnsi="Times New Roman" w:eastAsia="仿宋_GB2312" w:cs="Times New Roman"/>
              </w:rPr>
            </w:pPr>
            <w:r>
              <w:rPr>
                <w:rFonts w:hint="default" w:ascii="Times New Roman" w:hAnsi="Times New Roman" w:eastAsia="仿宋_GB2312" w:cs="Times New Roman"/>
              </w:rPr>
              <w:t>③夜间不施工，如因需连续作业必须在夜间施工的，应报环保部门审批，并公告居民，以取得谅解。</w:t>
            </w:r>
          </w:p>
          <w:p w14:paraId="17A1940D">
            <w:pPr>
              <w:adjustRightInd w:val="0"/>
              <w:snapToGrid w:val="0"/>
              <w:spacing w:line="360" w:lineRule="auto"/>
              <w:ind w:firstLine="420" w:firstLineChars="200"/>
              <w:rPr>
                <w:rFonts w:hint="default" w:ascii="Times New Roman" w:hAnsi="Times New Roman" w:eastAsia="仿宋_GB2312" w:cs="Times New Roman"/>
              </w:rPr>
            </w:pPr>
            <w:r>
              <w:rPr>
                <w:rFonts w:hint="default" w:ascii="Times New Roman" w:hAnsi="Times New Roman" w:eastAsia="仿宋_GB2312" w:cs="Times New Roman"/>
              </w:rPr>
              <w:t>4）噪声预测</w:t>
            </w:r>
          </w:p>
          <w:p w14:paraId="2CB971FE">
            <w:pPr>
              <w:adjustRightInd w:val="0"/>
              <w:snapToGrid w:val="0"/>
              <w:spacing w:line="360" w:lineRule="auto"/>
              <w:ind w:firstLine="420" w:firstLineChars="200"/>
              <w:rPr>
                <w:rFonts w:hint="default" w:ascii="Times New Roman" w:hAnsi="Times New Roman" w:eastAsia="仿宋_GB2312" w:cs="Times New Roman"/>
              </w:rPr>
            </w:pPr>
            <w:r>
              <w:rPr>
                <w:rFonts w:hint="default" w:ascii="Times New Roman" w:hAnsi="Times New Roman" w:eastAsia="仿宋_GB2312" w:cs="Times New Roman"/>
              </w:rPr>
              <w:t>根据声环境评价导则的规定，选取预测模式，应用过程中将根据具体情况作必要简化。</w:t>
            </w:r>
          </w:p>
          <w:p w14:paraId="6156EABF">
            <w:pPr>
              <w:spacing w:line="360" w:lineRule="auto"/>
              <w:ind w:firstLine="420" w:firstLineChars="200"/>
              <w:rPr>
                <w:rFonts w:hint="default" w:ascii="Times New Roman" w:hAnsi="Times New Roman" w:eastAsia="仿宋_GB2312" w:cs="Times New Roman"/>
              </w:rPr>
            </w:pPr>
            <w:r>
              <w:rPr>
                <w:rFonts w:hint="default" w:ascii="Times New Roman" w:hAnsi="Times New Roman" w:eastAsia="仿宋_GB2312" w:cs="Times New Roman"/>
              </w:rPr>
              <w:t>在施工过程中，这些施工机械往往是同时作业，噪声源辐射的相互叠加，声级值将更高，辐射范围也更大。</w:t>
            </w:r>
            <w:r>
              <w:rPr>
                <w:rFonts w:hint="default" w:ascii="Times New Roman" w:hAnsi="Times New Roman" w:eastAsia="仿宋_GB2312" w:cs="Times New Roman"/>
                <w:bCs/>
              </w:rPr>
              <w:t>施工过程使用的施工机械产生的噪声主要属于中低频率噪声，在预测其影响时只考虑其扩散衰减，预测模型为：</w:t>
            </w:r>
          </w:p>
          <w:p w14:paraId="5E789A8B">
            <w:pPr>
              <w:adjustRightInd w:val="0"/>
              <w:snapToGrid w:val="0"/>
              <w:spacing w:line="360" w:lineRule="auto"/>
              <w:ind w:firstLine="420" w:firstLineChars="200"/>
              <w:rPr>
                <w:rFonts w:hint="default" w:ascii="Times New Roman" w:hAnsi="Times New Roman" w:eastAsia="仿宋_GB2312" w:cs="Times New Roman"/>
                <w:bCs/>
              </w:rPr>
            </w:pPr>
            <w:r>
              <w:rPr>
                <w:rFonts w:hint="default" w:ascii="Times New Roman" w:hAnsi="Times New Roman" w:eastAsia="仿宋_GB2312" w:cs="Times New Roman"/>
                <w:bCs/>
              </w:rPr>
              <w:t>根据点声源距离衰减公式：△L=20lg(r/r</w:t>
            </w:r>
            <w:r>
              <w:rPr>
                <w:rFonts w:hint="default" w:ascii="Times New Roman" w:hAnsi="Times New Roman" w:eastAsia="仿宋_GB2312" w:cs="Times New Roman"/>
                <w:bCs/>
                <w:vertAlign w:val="subscript"/>
              </w:rPr>
              <w:t>0</w:t>
            </w:r>
            <w:r>
              <w:rPr>
                <w:rFonts w:hint="default" w:ascii="Times New Roman" w:hAnsi="Times New Roman" w:eastAsia="仿宋_GB2312" w:cs="Times New Roman"/>
                <w:bCs/>
              </w:rPr>
              <w:t>)</w:t>
            </w:r>
          </w:p>
          <w:p w14:paraId="53CDBBAF">
            <w:pPr>
              <w:adjustRightInd w:val="0"/>
              <w:snapToGrid w:val="0"/>
              <w:spacing w:line="360" w:lineRule="auto"/>
              <w:ind w:firstLine="420" w:firstLineChars="200"/>
              <w:rPr>
                <w:rFonts w:hint="default" w:ascii="Times New Roman" w:hAnsi="Times New Roman" w:eastAsia="仿宋_GB2312" w:cs="Times New Roman"/>
                <w:bCs/>
              </w:rPr>
            </w:pPr>
            <w:r>
              <w:rPr>
                <w:rFonts w:hint="default" w:ascii="Times New Roman" w:hAnsi="Times New Roman" w:eastAsia="仿宋_GB2312" w:cs="Times New Roman"/>
                <w:bCs/>
              </w:rPr>
              <w:t>式中：ΔL—距离增加产生的衰减值</w:t>
            </w:r>
          </w:p>
          <w:p w14:paraId="16A605B7">
            <w:pPr>
              <w:adjustRightInd w:val="0"/>
              <w:snapToGrid w:val="0"/>
              <w:spacing w:line="360" w:lineRule="auto"/>
              <w:ind w:firstLine="420" w:firstLineChars="200"/>
              <w:rPr>
                <w:rFonts w:hint="default" w:ascii="Times New Roman" w:hAnsi="Times New Roman" w:eastAsia="仿宋_GB2312" w:cs="Times New Roman"/>
                <w:bCs/>
              </w:rPr>
            </w:pPr>
            <w:r>
              <w:rPr>
                <w:rFonts w:hint="default" w:ascii="Times New Roman" w:hAnsi="Times New Roman" w:eastAsia="仿宋_GB2312" w:cs="Times New Roman"/>
                <w:bCs/>
              </w:rPr>
              <w:t xml:space="preserve">      r——监测点距声源的距离</w:t>
            </w:r>
          </w:p>
          <w:p w14:paraId="7A35E87C">
            <w:pPr>
              <w:adjustRightInd w:val="0"/>
              <w:snapToGrid w:val="0"/>
              <w:spacing w:line="360" w:lineRule="auto"/>
              <w:ind w:firstLine="420" w:firstLineChars="200"/>
              <w:rPr>
                <w:rFonts w:hint="default" w:ascii="Times New Roman" w:hAnsi="Times New Roman" w:eastAsia="仿宋_GB2312" w:cs="Times New Roman"/>
                <w:bCs/>
              </w:rPr>
            </w:pPr>
            <w:r>
              <w:rPr>
                <w:rFonts w:hint="default" w:ascii="Times New Roman" w:hAnsi="Times New Roman" w:eastAsia="仿宋_GB2312" w:cs="Times New Roman"/>
                <w:bCs/>
              </w:rPr>
              <w:t xml:space="preserve">      r</w:t>
            </w:r>
            <w:r>
              <w:rPr>
                <w:rFonts w:hint="default" w:ascii="Times New Roman" w:hAnsi="Times New Roman" w:eastAsia="仿宋_GB2312" w:cs="Times New Roman"/>
                <w:bCs/>
                <w:vertAlign w:val="subscript"/>
              </w:rPr>
              <w:t>0</w:t>
            </w:r>
            <w:r>
              <w:rPr>
                <w:rFonts w:hint="default" w:ascii="Times New Roman" w:hAnsi="Times New Roman" w:eastAsia="仿宋_GB2312" w:cs="Times New Roman"/>
                <w:bCs/>
              </w:rPr>
              <w:t>——参考位置距离及噪声随距离的衰减关系。</w:t>
            </w:r>
          </w:p>
          <w:p w14:paraId="0124E74B">
            <w:pPr>
              <w:adjustRightInd w:val="0"/>
              <w:snapToGrid w:val="0"/>
              <w:spacing w:line="360" w:lineRule="auto"/>
              <w:ind w:firstLine="420" w:firstLineChars="200"/>
              <w:rPr>
                <w:rFonts w:hint="default" w:ascii="Times New Roman" w:hAnsi="Times New Roman" w:eastAsia="仿宋_GB2312" w:cs="Times New Roman"/>
                <w:bCs/>
              </w:rPr>
            </w:pPr>
            <w:r>
              <w:rPr>
                <w:rFonts w:hint="default" w:ascii="Times New Roman" w:hAnsi="Times New Roman" w:eastAsia="仿宋_GB2312" w:cs="Times New Roman"/>
                <w:bCs/>
              </w:rPr>
              <w:t>得出噪声衰减的结果见下表。</w:t>
            </w:r>
          </w:p>
          <w:p w14:paraId="7FC9E0AA">
            <w:pPr>
              <w:spacing w:line="360" w:lineRule="auto"/>
              <w:jc w:val="center"/>
              <w:rPr>
                <w:rFonts w:hint="default" w:ascii="Times New Roman" w:hAnsi="Times New Roman" w:eastAsia="仿宋_GB2312" w:cs="Times New Roman"/>
                <w:b/>
              </w:rPr>
            </w:pPr>
            <w:r>
              <w:rPr>
                <w:rFonts w:hint="default" w:ascii="Times New Roman" w:hAnsi="Times New Roman" w:eastAsia="仿宋_GB2312" w:cs="Times New Roman"/>
                <w:b/>
              </w:rPr>
              <w:t>表4-</w:t>
            </w:r>
            <w:r>
              <w:rPr>
                <w:rFonts w:hint="eastAsia" w:ascii="Times New Roman" w:hAnsi="Times New Roman" w:eastAsia="仿宋_GB2312" w:cs="Times New Roman"/>
                <w:b/>
                <w:lang w:val="en-US" w:eastAsia="zh-CN"/>
              </w:rPr>
              <w:t xml:space="preserve">4  </w:t>
            </w:r>
            <w:r>
              <w:rPr>
                <w:rFonts w:hint="default" w:ascii="Times New Roman" w:hAnsi="Times New Roman" w:eastAsia="仿宋_GB2312" w:cs="Times New Roman"/>
                <w:b/>
              </w:rPr>
              <w:t>施工噪声值随距离衰减的关系</w:t>
            </w:r>
          </w:p>
          <w:tbl>
            <w:tblPr>
              <w:tblStyle w:val="31"/>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43"/>
              <w:gridCol w:w="697"/>
              <w:gridCol w:w="758"/>
              <w:gridCol w:w="738"/>
              <w:gridCol w:w="762"/>
              <w:gridCol w:w="794"/>
              <w:gridCol w:w="792"/>
              <w:gridCol w:w="792"/>
              <w:gridCol w:w="823"/>
              <w:gridCol w:w="790"/>
            </w:tblGrid>
            <w:tr w14:paraId="70DE85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908" w:type="pct"/>
                  <w:vAlign w:val="center"/>
                </w:tcPr>
                <w:p w14:paraId="7EBCD157">
                  <w:pPr>
                    <w:jc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sz w:val="21"/>
                      <w:szCs w:val="21"/>
                    </w:rPr>
                    <w:t>距离（m）</w:t>
                  </w:r>
                </w:p>
              </w:tc>
              <w:tc>
                <w:tcPr>
                  <w:tcW w:w="410" w:type="pct"/>
                  <w:vAlign w:val="center"/>
                </w:tcPr>
                <w:p w14:paraId="2CB7FE74">
                  <w:pPr>
                    <w:jc w:val="center"/>
                    <w:rPr>
                      <w:rFonts w:hint="default" w:ascii="Times New Roman" w:hAnsi="Times New Roman" w:eastAsia="仿宋_GB2312" w:cs="Times New Roman"/>
                      <w:bCs/>
                      <w:sz w:val="21"/>
                      <w:szCs w:val="21"/>
                    </w:rPr>
                  </w:pPr>
                  <w:r>
                    <w:rPr>
                      <w:rFonts w:hint="default" w:ascii="Times New Roman" w:hAnsi="Times New Roman" w:eastAsia="仿宋_GB2312" w:cs="Times New Roman"/>
                      <w:bCs/>
                      <w:sz w:val="21"/>
                      <w:szCs w:val="21"/>
                    </w:rPr>
                    <w:t>1</w:t>
                  </w:r>
                </w:p>
              </w:tc>
              <w:tc>
                <w:tcPr>
                  <w:tcW w:w="446" w:type="pct"/>
                  <w:vAlign w:val="center"/>
                </w:tcPr>
                <w:p w14:paraId="29A967C2">
                  <w:pPr>
                    <w:jc w:val="center"/>
                    <w:rPr>
                      <w:rFonts w:hint="default" w:ascii="Times New Roman" w:hAnsi="Times New Roman" w:eastAsia="仿宋_GB2312" w:cs="Times New Roman"/>
                      <w:bCs/>
                      <w:sz w:val="21"/>
                      <w:szCs w:val="21"/>
                    </w:rPr>
                  </w:pPr>
                  <w:r>
                    <w:rPr>
                      <w:rFonts w:hint="default" w:ascii="Times New Roman" w:hAnsi="Times New Roman" w:eastAsia="仿宋_GB2312" w:cs="Times New Roman"/>
                      <w:bCs/>
                      <w:sz w:val="21"/>
                      <w:szCs w:val="21"/>
                    </w:rPr>
                    <w:t>10</w:t>
                  </w:r>
                </w:p>
              </w:tc>
              <w:tc>
                <w:tcPr>
                  <w:tcW w:w="434" w:type="pct"/>
                  <w:vAlign w:val="center"/>
                </w:tcPr>
                <w:p w14:paraId="62FE391E">
                  <w:pPr>
                    <w:jc w:val="center"/>
                    <w:rPr>
                      <w:rFonts w:hint="default" w:ascii="Times New Roman" w:hAnsi="Times New Roman" w:eastAsia="仿宋_GB2312" w:cs="Times New Roman"/>
                      <w:bCs/>
                      <w:sz w:val="21"/>
                      <w:szCs w:val="21"/>
                    </w:rPr>
                  </w:pPr>
                  <w:r>
                    <w:rPr>
                      <w:rFonts w:hint="default" w:ascii="Times New Roman" w:hAnsi="Times New Roman" w:eastAsia="仿宋_GB2312" w:cs="Times New Roman"/>
                      <w:bCs/>
                      <w:sz w:val="21"/>
                      <w:szCs w:val="21"/>
                    </w:rPr>
                    <w:t>50</w:t>
                  </w:r>
                </w:p>
              </w:tc>
              <w:tc>
                <w:tcPr>
                  <w:tcW w:w="448" w:type="pct"/>
                  <w:vAlign w:val="center"/>
                </w:tcPr>
                <w:p w14:paraId="4DE22437">
                  <w:pPr>
                    <w:jc w:val="center"/>
                    <w:rPr>
                      <w:rFonts w:hint="default" w:ascii="Times New Roman" w:hAnsi="Times New Roman" w:eastAsia="仿宋_GB2312" w:cs="Times New Roman"/>
                      <w:bCs/>
                      <w:sz w:val="21"/>
                      <w:szCs w:val="21"/>
                    </w:rPr>
                  </w:pPr>
                  <w:r>
                    <w:rPr>
                      <w:rFonts w:hint="default" w:ascii="Times New Roman" w:hAnsi="Times New Roman" w:eastAsia="仿宋_GB2312" w:cs="Times New Roman"/>
                      <w:bCs/>
                      <w:sz w:val="21"/>
                      <w:szCs w:val="21"/>
                    </w:rPr>
                    <w:t>60</w:t>
                  </w:r>
                </w:p>
              </w:tc>
              <w:tc>
                <w:tcPr>
                  <w:tcW w:w="467" w:type="pct"/>
                  <w:vAlign w:val="center"/>
                </w:tcPr>
                <w:p w14:paraId="77943688">
                  <w:pPr>
                    <w:jc w:val="center"/>
                    <w:rPr>
                      <w:rFonts w:hint="default" w:ascii="Times New Roman" w:hAnsi="Times New Roman" w:eastAsia="仿宋_GB2312" w:cs="Times New Roman"/>
                      <w:bCs/>
                      <w:sz w:val="21"/>
                      <w:szCs w:val="21"/>
                    </w:rPr>
                  </w:pPr>
                  <w:r>
                    <w:rPr>
                      <w:rFonts w:hint="default" w:ascii="Times New Roman" w:hAnsi="Times New Roman" w:eastAsia="仿宋_GB2312" w:cs="Times New Roman"/>
                      <w:bCs/>
                      <w:sz w:val="21"/>
                      <w:szCs w:val="21"/>
                    </w:rPr>
                    <w:t>100</w:t>
                  </w:r>
                </w:p>
              </w:tc>
              <w:tc>
                <w:tcPr>
                  <w:tcW w:w="466" w:type="pct"/>
                  <w:vAlign w:val="center"/>
                </w:tcPr>
                <w:p w14:paraId="0BFCF679">
                  <w:pPr>
                    <w:jc w:val="center"/>
                    <w:rPr>
                      <w:rFonts w:hint="default" w:ascii="Times New Roman" w:hAnsi="Times New Roman" w:eastAsia="仿宋_GB2312" w:cs="Times New Roman"/>
                      <w:bCs/>
                      <w:sz w:val="21"/>
                      <w:szCs w:val="21"/>
                    </w:rPr>
                  </w:pPr>
                  <w:r>
                    <w:rPr>
                      <w:rFonts w:hint="default" w:ascii="Times New Roman" w:hAnsi="Times New Roman" w:eastAsia="仿宋_GB2312" w:cs="Times New Roman"/>
                      <w:bCs/>
                      <w:sz w:val="21"/>
                      <w:szCs w:val="21"/>
                    </w:rPr>
                    <w:t>150</w:t>
                  </w:r>
                </w:p>
              </w:tc>
              <w:tc>
                <w:tcPr>
                  <w:tcW w:w="466" w:type="pct"/>
                  <w:vAlign w:val="center"/>
                </w:tcPr>
                <w:p w14:paraId="02882533">
                  <w:pPr>
                    <w:jc w:val="center"/>
                    <w:rPr>
                      <w:rFonts w:hint="default" w:ascii="Times New Roman" w:hAnsi="Times New Roman" w:eastAsia="仿宋_GB2312" w:cs="Times New Roman"/>
                      <w:bCs/>
                      <w:sz w:val="21"/>
                      <w:szCs w:val="21"/>
                    </w:rPr>
                  </w:pPr>
                  <w:r>
                    <w:rPr>
                      <w:rFonts w:hint="default" w:ascii="Times New Roman" w:hAnsi="Times New Roman" w:eastAsia="仿宋_GB2312" w:cs="Times New Roman"/>
                      <w:bCs/>
                      <w:sz w:val="21"/>
                      <w:szCs w:val="21"/>
                    </w:rPr>
                    <w:t>200</w:t>
                  </w:r>
                </w:p>
              </w:tc>
              <w:tc>
                <w:tcPr>
                  <w:tcW w:w="484" w:type="pct"/>
                  <w:vAlign w:val="center"/>
                </w:tcPr>
                <w:p w14:paraId="3C07D392">
                  <w:pPr>
                    <w:jc w:val="center"/>
                    <w:rPr>
                      <w:rFonts w:hint="default" w:ascii="Times New Roman" w:hAnsi="Times New Roman" w:eastAsia="仿宋_GB2312" w:cs="Times New Roman"/>
                      <w:bCs/>
                      <w:sz w:val="21"/>
                      <w:szCs w:val="21"/>
                    </w:rPr>
                  </w:pPr>
                  <w:r>
                    <w:rPr>
                      <w:rFonts w:hint="default" w:ascii="Times New Roman" w:hAnsi="Times New Roman" w:eastAsia="仿宋_GB2312" w:cs="Times New Roman"/>
                      <w:bCs/>
                      <w:sz w:val="21"/>
                      <w:szCs w:val="21"/>
                    </w:rPr>
                    <w:t>250</w:t>
                  </w:r>
                </w:p>
              </w:tc>
              <w:tc>
                <w:tcPr>
                  <w:tcW w:w="465" w:type="pct"/>
                  <w:vAlign w:val="center"/>
                </w:tcPr>
                <w:p w14:paraId="134C4ACE">
                  <w:pPr>
                    <w:jc w:val="center"/>
                    <w:rPr>
                      <w:rFonts w:hint="default" w:ascii="Times New Roman" w:hAnsi="Times New Roman" w:eastAsia="仿宋_GB2312" w:cs="Times New Roman"/>
                      <w:bCs/>
                      <w:sz w:val="21"/>
                      <w:szCs w:val="21"/>
                    </w:rPr>
                  </w:pPr>
                  <w:r>
                    <w:rPr>
                      <w:rFonts w:hint="default" w:ascii="Times New Roman" w:hAnsi="Times New Roman" w:eastAsia="仿宋_GB2312" w:cs="Times New Roman"/>
                      <w:bCs/>
                      <w:sz w:val="21"/>
                      <w:szCs w:val="21"/>
                    </w:rPr>
                    <w:t>400</w:t>
                  </w:r>
                </w:p>
              </w:tc>
            </w:tr>
            <w:tr w14:paraId="7B619F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908" w:type="pct"/>
                  <w:vAlign w:val="center"/>
                </w:tcPr>
                <w:p w14:paraId="23AA9582">
                  <w:pPr>
                    <w:jc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sz w:val="21"/>
                      <w:szCs w:val="21"/>
                    </w:rPr>
                    <w:t>ΔL[dB（A）]</w:t>
                  </w:r>
                </w:p>
              </w:tc>
              <w:tc>
                <w:tcPr>
                  <w:tcW w:w="410" w:type="pct"/>
                  <w:vAlign w:val="center"/>
                </w:tcPr>
                <w:p w14:paraId="62366AF9">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0</w:t>
                  </w:r>
                </w:p>
              </w:tc>
              <w:tc>
                <w:tcPr>
                  <w:tcW w:w="446" w:type="pct"/>
                  <w:vAlign w:val="center"/>
                </w:tcPr>
                <w:p w14:paraId="5CB2CEFD">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20</w:t>
                  </w:r>
                </w:p>
              </w:tc>
              <w:tc>
                <w:tcPr>
                  <w:tcW w:w="434" w:type="pct"/>
                  <w:vAlign w:val="center"/>
                </w:tcPr>
                <w:p w14:paraId="52BB9567">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34</w:t>
                  </w:r>
                </w:p>
              </w:tc>
              <w:tc>
                <w:tcPr>
                  <w:tcW w:w="448" w:type="pct"/>
                  <w:vAlign w:val="center"/>
                </w:tcPr>
                <w:p w14:paraId="015F73ED">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35</w:t>
                  </w:r>
                </w:p>
              </w:tc>
              <w:tc>
                <w:tcPr>
                  <w:tcW w:w="467" w:type="pct"/>
                  <w:vAlign w:val="center"/>
                </w:tcPr>
                <w:p w14:paraId="45EF06F7">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40</w:t>
                  </w:r>
                </w:p>
              </w:tc>
              <w:tc>
                <w:tcPr>
                  <w:tcW w:w="466" w:type="pct"/>
                  <w:vAlign w:val="center"/>
                </w:tcPr>
                <w:p w14:paraId="7DEB1096">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43</w:t>
                  </w:r>
                </w:p>
              </w:tc>
              <w:tc>
                <w:tcPr>
                  <w:tcW w:w="466" w:type="pct"/>
                  <w:vAlign w:val="center"/>
                </w:tcPr>
                <w:p w14:paraId="3DE85483">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46</w:t>
                  </w:r>
                </w:p>
              </w:tc>
              <w:tc>
                <w:tcPr>
                  <w:tcW w:w="484" w:type="pct"/>
                  <w:vAlign w:val="center"/>
                </w:tcPr>
                <w:p w14:paraId="14FEEF8C">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48</w:t>
                  </w:r>
                </w:p>
              </w:tc>
              <w:tc>
                <w:tcPr>
                  <w:tcW w:w="465" w:type="pct"/>
                  <w:vAlign w:val="center"/>
                </w:tcPr>
                <w:p w14:paraId="13388C0E">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52</w:t>
                  </w:r>
                </w:p>
              </w:tc>
            </w:tr>
          </w:tbl>
          <w:p w14:paraId="6B2DBDC3">
            <w:pPr>
              <w:adjustRightInd w:val="0"/>
              <w:snapToGrid w:val="0"/>
              <w:spacing w:line="360" w:lineRule="auto"/>
              <w:ind w:firstLine="420" w:firstLineChars="200"/>
              <w:rPr>
                <w:rFonts w:hint="default" w:ascii="Times New Roman" w:hAnsi="Times New Roman" w:eastAsia="仿宋_GB2312" w:cs="Times New Roman"/>
                <w:bCs/>
              </w:rPr>
            </w:pPr>
            <w:r>
              <w:rPr>
                <w:rFonts w:hint="default" w:ascii="Times New Roman" w:hAnsi="Times New Roman" w:eastAsia="仿宋_GB2312" w:cs="Times New Roman"/>
                <w:bCs/>
              </w:rPr>
              <w:t>施工机械施工噪声随距离衰减后的见下表。</w:t>
            </w:r>
          </w:p>
          <w:p w14:paraId="54D5BF46">
            <w:pPr>
              <w:spacing w:line="360" w:lineRule="auto"/>
              <w:jc w:val="center"/>
              <w:rPr>
                <w:rFonts w:hint="default" w:ascii="Times New Roman" w:hAnsi="Times New Roman" w:eastAsia="仿宋_GB2312" w:cs="Times New Roman"/>
                <w:b/>
              </w:rPr>
            </w:pPr>
            <w:r>
              <w:rPr>
                <w:rFonts w:hint="default" w:ascii="Times New Roman" w:hAnsi="Times New Roman" w:eastAsia="仿宋_GB2312" w:cs="Times New Roman"/>
                <w:b/>
              </w:rPr>
              <w:t>表4-</w:t>
            </w:r>
            <w:r>
              <w:rPr>
                <w:rFonts w:hint="eastAsia" w:ascii="Times New Roman" w:hAnsi="Times New Roman" w:eastAsia="仿宋_GB2312" w:cs="Times New Roman"/>
                <w:b/>
                <w:lang w:val="en-US" w:eastAsia="zh-CN"/>
              </w:rPr>
              <w:t xml:space="preserve">5  </w:t>
            </w:r>
            <w:r>
              <w:rPr>
                <w:rFonts w:hint="default" w:ascii="Times New Roman" w:hAnsi="Times New Roman" w:eastAsia="仿宋_GB2312" w:cs="Times New Roman"/>
                <w:b/>
              </w:rPr>
              <w:t>施工噪声随距离衰减后的情况</w:t>
            </w:r>
          </w:p>
          <w:tbl>
            <w:tblPr>
              <w:tblStyle w:val="31"/>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47"/>
              <w:gridCol w:w="777"/>
              <w:gridCol w:w="744"/>
              <w:gridCol w:w="753"/>
              <w:gridCol w:w="877"/>
              <w:gridCol w:w="902"/>
              <w:gridCol w:w="846"/>
              <w:gridCol w:w="859"/>
              <w:gridCol w:w="886"/>
            </w:tblGrid>
            <w:tr w14:paraId="583FEB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087" w:type="pct"/>
                  <w:vAlign w:val="center"/>
                </w:tcPr>
                <w:p w14:paraId="2717CDC0">
                  <w:pPr>
                    <w:jc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sz w:val="21"/>
                      <w:szCs w:val="21"/>
                    </w:rPr>
                    <w:t>距离（m）</w:t>
                  </w:r>
                </w:p>
              </w:tc>
              <w:tc>
                <w:tcPr>
                  <w:tcW w:w="457" w:type="pct"/>
                  <w:vAlign w:val="center"/>
                </w:tcPr>
                <w:p w14:paraId="573D191D">
                  <w:pPr>
                    <w:jc w:val="center"/>
                    <w:rPr>
                      <w:rFonts w:hint="default" w:ascii="Times New Roman" w:hAnsi="Times New Roman" w:eastAsia="仿宋_GB2312" w:cs="Times New Roman"/>
                      <w:bCs/>
                      <w:sz w:val="21"/>
                      <w:szCs w:val="21"/>
                    </w:rPr>
                  </w:pPr>
                  <w:r>
                    <w:rPr>
                      <w:rFonts w:hint="default" w:ascii="Times New Roman" w:hAnsi="Times New Roman" w:eastAsia="仿宋_GB2312" w:cs="Times New Roman"/>
                      <w:bCs/>
                      <w:sz w:val="21"/>
                      <w:szCs w:val="21"/>
                    </w:rPr>
                    <w:t>10</w:t>
                  </w:r>
                </w:p>
              </w:tc>
              <w:tc>
                <w:tcPr>
                  <w:tcW w:w="438" w:type="pct"/>
                  <w:vAlign w:val="center"/>
                </w:tcPr>
                <w:p w14:paraId="5DF9499F">
                  <w:pPr>
                    <w:jc w:val="center"/>
                    <w:rPr>
                      <w:rFonts w:hint="default" w:ascii="Times New Roman" w:hAnsi="Times New Roman" w:eastAsia="仿宋_GB2312" w:cs="Times New Roman"/>
                      <w:bCs/>
                      <w:sz w:val="21"/>
                      <w:szCs w:val="21"/>
                    </w:rPr>
                  </w:pPr>
                  <w:r>
                    <w:rPr>
                      <w:rFonts w:hint="default" w:ascii="Times New Roman" w:hAnsi="Times New Roman" w:eastAsia="仿宋_GB2312" w:cs="Times New Roman"/>
                      <w:bCs/>
                      <w:sz w:val="21"/>
                      <w:szCs w:val="21"/>
                    </w:rPr>
                    <w:t>50</w:t>
                  </w:r>
                </w:p>
              </w:tc>
              <w:tc>
                <w:tcPr>
                  <w:tcW w:w="443" w:type="pct"/>
                  <w:vAlign w:val="center"/>
                </w:tcPr>
                <w:p w14:paraId="3F8A3BAB">
                  <w:pPr>
                    <w:jc w:val="center"/>
                    <w:rPr>
                      <w:rFonts w:hint="default" w:ascii="Times New Roman" w:hAnsi="Times New Roman" w:eastAsia="仿宋_GB2312" w:cs="Times New Roman"/>
                      <w:bCs/>
                      <w:sz w:val="21"/>
                      <w:szCs w:val="21"/>
                    </w:rPr>
                  </w:pPr>
                  <w:r>
                    <w:rPr>
                      <w:rFonts w:hint="default" w:ascii="Times New Roman" w:hAnsi="Times New Roman" w:eastAsia="仿宋_GB2312" w:cs="Times New Roman"/>
                      <w:bCs/>
                      <w:sz w:val="21"/>
                      <w:szCs w:val="21"/>
                    </w:rPr>
                    <w:t>60</w:t>
                  </w:r>
                </w:p>
              </w:tc>
              <w:tc>
                <w:tcPr>
                  <w:tcW w:w="516" w:type="pct"/>
                  <w:vAlign w:val="center"/>
                </w:tcPr>
                <w:p w14:paraId="351FDFF8">
                  <w:pPr>
                    <w:jc w:val="center"/>
                    <w:rPr>
                      <w:rFonts w:hint="default" w:ascii="Times New Roman" w:hAnsi="Times New Roman" w:eastAsia="仿宋_GB2312" w:cs="Times New Roman"/>
                      <w:bCs/>
                      <w:sz w:val="21"/>
                      <w:szCs w:val="21"/>
                    </w:rPr>
                  </w:pPr>
                  <w:r>
                    <w:rPr>
                      <w:rFonts w:hint="default" w:ascii="Times New Roman" w:hAnsi="Times New Roman" w:eastAsia="仿宋_GB2312" w:cs="Times New Roman"/>
                      <w:bCs/>
                      <w:sz w:val="21"/>
                      <w:szCs w:val="21"/>
                    </w:rPr>
                    <w:t>100</w:t>
                  </w:r>
                </w:p>
              </w:tc>
              <w:tc>
                <w:tcPr>
                  <w:tcW w:w="531" w:type="pct"/>
                  <w:vAlign w:val="center"/>
                </w:tcPr>
                <w:p w14:paraId="22E0068F">
                  <w:pPr>
                    <w:jc w:val="center"/>
                    <w:rPr>
                      <w:rFonts w:hint="default" w:ascii="Times New Roman" w:hAnsi="Times New Roman" w:eastAsia="仿宋_GB2312" w:cs="Times New Roman"/>
                      <w:bCs/>
                      <w:sz w:val="21"/>
                      <w:szCs w:val="21"/>
                    </w:rPr>
                  </w:pPr>
                  <w:r>
                    <w:rPr>
                      <w:rFonts w:hint="default" w:ascii="Times New Roman" w:hAnsi="Times New Roman" w:eastAsia="仿宋_GB2312" w:cs="Times New Roman"/>
                      <w:bCs/>
                      <w:sz w:val="21"/>
                      <w:szCs w:val="21"/>
                    </w:rPr>
                    <w:t>150</w:t>
                  </w:r>
                </w:p>
              </w:tc>
              <w:tc>
                <w:tcPr>
                  <w:tcW w:w="498" w:type="pct"/>
                  <w:vAlign w:val="center"/>
                </w:tcPr>
                <w:p w14:paraId="07687125">
                  <w:pPr>
                    <w:jc w:val="center"/>
                    <w:rPr>
                      <w:rFonts w:hint="default" w:ascii="Times New Roman" w:hAnsi="Times New Roman" w:eastAsia="仿宋_GB2312" w:cs="Times New Roman"/>
                      <w:bCs/>
                      <w:sz w:val="21"/>
                      <w:szCs w:val="21"/>
                    </w:rPr>
                  </w:pPr>
                  <w:r>
                    <w:rPr>
                      <w:rFonts w:hint="default" w:ascii="Times New Roman" w:hAnsi="Times New Roman" w:eastAsia="仿宋_GB2312" w:cs="Times New Roman"/>
                      <w:bCs/>
                      <w:sz w:val="21"/>
                      <w:szCs w:val="21"/>
                    </w:rPr>
                    <w:t>200</w:t>
                  </w:r>
                </w:p>
              </w:tc>
              <w:tc>
                <w:tcPr>
                  <w:tcW w:w="505" w:type="pct"/>
                  <w:vAlign w:val="center"/>
                </w:tcPr>
                <w:p w14:paraId="4CC96013">
                  <w:pPr>
                    <w:jc w:val="center"/>
                    <w:rPr>
                      <w:rFonts w:hint="default" w:ascii="Times New Roman" w:hAnsi="Times New Roman" w:eastAsia="仿宋_GB2312" w:cs="Times New Roman"/>
                      <w:bCs/>
                      <w:sz w:val="21"/>
                      <w:szCs w:val="21"/>
                    </w:rPr>
                  </w:pPr>
                  <w:r>
                    <w:rPr>
                      <w:rFonts w:hint="default" w:ascii="Times New Roman" w:hAnsi="Times New Roman" w:eastAsia="仿宋_GB2312" w:cs="Times New Roman"/>
                      <w:bCs/>
                      <w:sz w:val="21"/>
                      <w:szCs w:val="21"/>
                    </w:rPr>
                    <w:t>250</w:t>
                  </w:r>
                </w:p>
              </w:tc>
              <w:tc>
                <w:tcPr>
                  <w:tcW w:w="521" w:type="pct"/>
                  <w:vAlign w:val="center"/>
                </w:tcPr>
                <w:p w14:paraId="64778541">
                  <w:pPr>
                    <w:jc w:val="center"/>
                    <w:rPr>
                      <w:rFonts w:hint="default" w:ascii="Times New Roman" w:hAnsi="Times New Roman" w:eastAsia="仿宋_GB2312" w:cs="Times New Roman"/>
                      <w:bCs/>
                      <w:sz w:val="21"/>
                      <w:szCs w:val="21"/>
                    </w:rPr>
                  </w:pPr>
                  <w:r>
                    <w:rPr>
                      <w:rFonts w:hint="default" w:ascii="Times New Roman" w:hAnsi="Times New Roman" w:eastAsia="仿宋_GB2312" w:cs="Times New Roman"/>
                      <w:bCs/>
                      <w:sz w:val="21"/>
                      <w:szCs w:val="21"/>
                    </w:rPr>
                    <w:t>400</w:t>
                  </w:r>
                </w:p>
              </w:tc>
            </w:tr>
            <w:tr w14:paraId="5BCD15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087" w:type="pct"/>
                  <w:vAlign w:val="center"/>
                </w:tcPr>
                <w:p w14:paraId="274C95BC">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泥浆泵的影响值[dB(A)]</w:t>
                  </w:r>
                </w:p>
              </w:tc>
              <w:tc>
                <w:tcPr>
                  <w:tcW w:w="457" w:type="pct"/>
                  <w:vAlign w:val="center"/>
                </w:tcPr>
                <w:p w14:paraId="401924D0">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60</w:t>
                  </w:r>
                </w:p>
              </w:tc>
              <w:tc>
                <w:tcPr>
                  <w:tcW w:w="438" w:type="pct"/>
                  <w:vAlign w:val="center"/>
                </w:tcPr>
                <w:p w14:paraId="1FA61F66">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46</w:t>
                  </w:r>
                </w:p>
              </w:tc>
              <w:tc>
                <w:tcPr>
                  <w:tcW w:w="443" w:type="pct"/>
                  <w:vAlign w:val="center"/>
                </w:tcPr>
                <w:p w14:paraId="430F4BBE">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45</w:t>
                  </w:r>
                </w:p>
              </w:tc>
              <w:tc>
                <w:tcPr>
                  <w:tcW w:w="516" w:type="pct"/>
                  <w:vAlign w:val="center"/>
                </w:tcPr>
                <w:p w14:paraId="3CD9A100">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40</w:t>
                  </w:r>
                </w:p>
              </w:tc>
              <w:tc>
                <w:tcPr>
                  <w:tcW w:w="531" w:type="pct"/>
                  <w:vAlign w:val="center"/>
                </w:tcPr>
                <w:p w14:paraId="040242D6">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37</w:t>
                  </w:r>
                </w:p>
              </w:tc>
              <w:tc>
                <w:tcPr>
                  <w:tcW w:w="498" w:type="pct"/>
                  <w:vAlign w:val="center"/>
                </w:tcPr>
                <w:p w14:paraId="65CACA4E">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34</w:t>
                  </w:r>
                </w:p>
              </w:tc>
              <w:tc>
                <w:tcPr>
                  <w:tcW w:w="505" w:type="pct"/>
                  <w:vAlign w:val="center"/>
                </w:tcPr>
                <w:p w14:paraId="2FC005E0">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32</w:t>
                  </w:r>
                </w:p>
              </w:tc>
              <w:tc>
                <w:tcPr>
                  <w:tcW w:w="521" w:type="pct"/>
                  <w:vAlign w:val="center"/>
                </w:tcPr>
                <w:p w14:paraId="74AE3FA8">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28</w:t>
                  </w:r>
                </w:p>
              </w:tc>
            </w:tr>
            <w:tr w14:paraId="5F6C48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087" w:type="pct"/>
                  <w:vAlign w:val="center"/>
                </w:tcPr>
                <w:p w14:paraId="65C67607">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清水高压泵的影响值[dB(A)]</w:t>
                  </w:r>
                </w:p>
              </w:tc>
              <w:tc>
                <w:tcPr>
                  <w:tcW w:w="457" w:type="pct"/>
                  <w:vAlign w:val="center"/>
                </w:tcPr>
                <w:p w14:paraId="09AACA01">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60</w:t>
                  </w:r>
                </w:p>
              </w:tc>
              <w:tc>
                <w:tcPr>
                  <w:tcW w:w="438" w:type="pct"/>
                  <w:vAlign w:val="center"/>
                </w:tcPr>
                <w:p w14:paraId="78144B92">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46</w:t>
                  </w:r>
                </w:p>
              </w:tc>
              <w:tc>
                <w:tcPr>
                  <w:tcW w:w="443" w:type="pct"/>
                  <w:vAlign w:val="center"/>
                </w:tcPr>
                <w:p w14:paraId="3DA41D9F">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45</w:t>
                  </w:r>
                </w:p>
              </w:tc>
              <w:tc>
                <w:tcPr>
                  <w:tcW w:w="516" w:type="pct"/>
                  <w:vAlign w:val="center"/>
                </w:tcPr>
                <w:p w14:paraId="5C1120B8">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40</w:t>
                  </w:r>
                </w:p>
              </w:tc>
              <w:tc>
                <w:tcPr>
                  <w:tcW w:w="531" w:type="pct"/>
                  <w:vAlign w:val="center"/>
                </w:tcPr>
                <w:p w14:paraId="18212962">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37</w:t>
                  </w:r>
                </w:p>
              </w:tc>
              <w:tc>
                <w:tcPr>
                  <w:tcW w:w="498" w:type="pct"/>
                  <w:vAlign w:val="center"/>
                </w:tcPr>
                <w:p w14:paraId="4B3D55B7">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34</w:t>
                  </w:r>
                </w:p>
              </w:tc>
              <w:tc>
                <w:tcPr>
                  <w:tcW w:w="505" w:type="pct"/>
                  <w:vAlign w:val="center"/>
                </w:tcPr>
                <w:p w14:paraId="0B0E2167">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32</w:t>
                  </w:r>
                </w:p>
              </w:tc>
              <w:tc>
                <w:tcPr>
                  <w:tcW w:w="521" w:type="pct"/>
                  <w:vAlign w:val="center"/>
                </w:tcPr>
                <w:p w14:paraId="382430AE">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28</w:t>
                  </w:r>
                </w:p>
              </w:tc>
            </w:tr>
            <w:tr w14:paraId="362C45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087" w:type="pct"/>
                  <w:vAlign w:val="center"/>
                </w:tcPr>
                <w:p w14:paraId="5835502F">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潜水泵的影响值[dB(A)]</w:t>
                  </w:r>
                </w:p>
              </w:tc>
              <w:tc>
                <w:tcPr>
                  <w:tcW w:w="457" w:type="pct"/>
                  <w:vAlign w:val="center"/>
                </w:tcPr>
                <w:p w14:paraId="1051F07F">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60</w:t>
                  </w:r>
                </w:p>
              </w:tc>
              <w:tc>
                <w:tcPr>
                  <w:tcW w:w="438" w:type="pct"/>
                  <w:vAlign w:val="center"/>
                </w:tcPr>
                <w:p w14:paraId="3283EE50">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46</w:t>
                  </w:r>
                </w:p>
              </w:tc>
              <w:tc>
                <w:tcPr>
                  <w:tcW w:w="443" w:type="pct"/>
                  <w:vAlign w:val="center"/>
                </w:tcPr>
                <w:p w14:paraId="0A5A330E">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45</w:t>
                  </w:r>
                </w:p>
              </w:tc>
              <w:tc>
                <w:tcPr>
                  <w:tcW w:w="516" w:type="pct"/>
                  <w:vAlign w:val="center"/>
                </w:tcPr>
                <w:p w14:paraId="41655835">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40</w:t>
                  </w:r>
                </w:p>
              </w:tc>
              <w:tc>
                <w:tcPr>
                  <w:tcW w:w="531" w:type="pct"/>
                  <w:vAlign w:val="center"/>
                </w:tcPr>
                <w:p w14:paraId="67F5C4F7">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37</w:t>
                  </w:r>
                </w:p>
              </w:tc>
              <w:tc>
                <w:tcPr>
                  <w:tcW w:w="498" w:type="pct"/>
                  <w:vAlign w:val="center"/>
                </w:tcPr>
                <w:p w14:paraId="5A921E28">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34</w:t>
                  </w:r>
                </w:p>
              </w:tc>
              <w:tc>
                <w:tcPr>
                  <w:tcW w:w="505" w:type="pct"/>
                  <w:vAlign w:val="center"/>
                </w:tcPr>
                <w:p w14:paraId="329BC9FC">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32</w:t>
                  </w:r>
                </w:p>
              </w:tc>
              <w:tc>
                <w:tcPr>
                  <w:tcW w:w="521" w:type="pct"/>
                  <w:vAlign w:val="center"/>
                </w:tcPr>
                <w:p w14:paraId="1DA0A024">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28</w:t>
                  </w:r>
                </w:p>
              </w:tc>
            </w:tr>
            <w:tr w14:paraId="3D80EC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087" w:type="pct"/>
                  <w:vAlign w:val="center"/>
                </w:tcPr>
                <w:p w14:paraId="5B73BAE2">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8寸排水泵的影响值[dB(A)]</w:t>
                  </w:r>
                </w:p>
              </w:tc>
              <w:tc>
                <w:tcPr>
                  <w:tcW w:w="457" w:type="pct"/>
                  <w:vAlign w:val="center"/>
                </w:tcPr>
                <w:p w14:paraId="01D55974">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60</w:t>
                  </w:r>
                </w:p>
              </w:tc>
              <w:tc>
                <w:tcPr>
                  <w:tcW w:w="438" w:type="pct"/>
                  <w:vAlign w:val="center"/>
                </w:tcPr>
                <w:p w14:paraId="70D57973">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46</w:t>
                  </w:r>
                </w:p>
              </w:tc>
              <w:tc>
                <w:tcPr>
                  <w:tcW w:w="443" w:type="pct"/>
                  <w:vAlign w:val="center"/>
                </w:tcPr>
                <w:p w14:paraId="48A12777">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45</w:t>
                  </w:r>
                </w:p>
              </w:tc>
              <w:tc>
                <w:tcPr>
                  <w:tcW w:w="516" w:type="pct"/>
                  <w:vAlign w:val="center"/>
                </w:tcPr>
                <w:p w14:paraId="6973E65B">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40</w:t>
                  </w:r>
                </w:p>
              </w:tc>
              <w:tc>
                <w:tcPr>
                  <w:tcW w:w="531" w:type="pct"/>
                  <w:vAlign w:val="center"/>
                </w:tcPr>
                <w:p w14:paraId="1E592101">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37</w:t>
                  </w:r>
                </w:p>
              </w:tc>
              <w:tc>
                <w:tcPr>
                  <w:tcW w:w="498" w:type="pct"/>
                  <w:vAlign w:val="center"/>
                </w:tcPr>
                <w:p w14:paraId="5C53E513">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34</w:t>
                  </w:r>
                </w:p>
              </w:tc>
              <w:tc>
                <w:tcPr>
                  <w:tcW w:w="505" w:type="pct"/>
                  <w:vAlign w:val="center"/>
                </w:tcPr>
                <w:p w14:paraId="1987EF35">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32</w:t>
                  </w:r>
                </w:p>
              </w:tc>
              <w:tc>
                <w:tcPr>
                  <w:tcW w:w="521" w:type="pct"/>
                  <w:vAlign w:val="center"/>
                </w:tcPr>
                <w:p w14:paraId="0EF08DE9">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28</w:t>
                  </w:r>
                </w:p>
              </w:tc>
            </w:tr>
            <w:tr w14:paraId="1BD958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087" w:type="pct"/>
                  <w:vAlign w:val="center"/>
                </w:tcPr>
                <w:p w14:paraId="15F70D56">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汽车吊的影响值[dB(A)]</w:t>
                  </w:r>
                </w:p>
              </w:tc>
              <w:tc>
                <w:tcPr>
                  <w:tcW w:w="457" w:type="pct"/>
                  <w:vAlign w:val="center"/>
                </w:tcPr>
                <w:p w14:paraId="41C76646">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60</w:t>
                  </w:r>
                </w:p>
              </w:tc>
              <w:tc>
                <w:tcPr>
                  <w:tcW w:w="438" w:type="pct"/>
                  <w:vAlign w:val="center"/>
                </w:tcPr>
                <w:p w14:paraId="19AB5097">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46</w:t>
                  </w:r>
                </w:p>
              </w:tc>
              <w:tc>
                <w:tcPr>
                  <w:tcW w:w="443" w:type="pct"/>
                  <w:vAlign w:val="center"/>
                </w:tcPr>
                <w:p w14:paraId="5C3F7D6E">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45</w:t>
                  </w:r>
                </w:p>
              </w:tc>
              <w:tc>
                <w:tcPr>
                  <w:tcW w:w="516" w:type="pct"/>
                  <w:vAlign w:val="center"/>
                </w:tcPr>
                <w:p w14:paraId="0ABBD73B">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40</w:t>
                  </w:r>
                </w:p>
              </w:tc>
              <w:tc>
                <w:tcPr>
                  <w:tcW w:w="531" w:type="pct"/>
                  <w:vAlign w:val="center"/>
                </w:tcPr>
                <w:p w14:paraId="633CA5FC">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37</w:t>
                  </w:r>
                </w:p>
              </w:tc>
              <w:tc>
                <w:tcPr>
                  <w:tcW w:w="498" w:type="pct"/>
                  <w:vAlign w:val="center"/>
                </w:tcPr>
                <w:p w14:paraId="28B88D30">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34</w:t>
                  </w:r>
                </w:p>
              </w:tc>
              <w:tc>
                <w:tcPr>
                  <w:tcW w:w="505" w:type="pct"/>
                  <w:vAlign w:val="center"/>
                </w:tcPr>
                <w:p w14:paraId="4B0D3FB5">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32</w:t>
                  </w:r>
                </w:p>
              </w:tc>
              <w:tc>
                <w:tcPr>
                  <w:tcW w:w="521" w:type="pct"/>
                  <w:vAlign w:val="center"/>
                </w:tcPr>
                <w:p w14:paraId="5651D15A">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28</w:t>
                  </w:r>
                </w:p>
              </w:tc>
            </w:tr>
            <w:tr w14:paraId="0B1553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087" w:type="pct"/>
                  <w:vAlign w:val="center"/>
                </w:tcPr>
                <w:p w14:paraId="7C1CEC9D">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绞车的影响值[dB(A)]</w:t>
                  </w:r>
                </w:p>
              </w:tc>
              <w:tc>
                <w:tcPr>
                  <w:tcW w:w="457" w:type="pct"/>
                  <w:vAlign w:val="center"/>
                </w:tcPr>
                <w:p w14:paraId="7CAE4C27">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60</w:t>
                  </w:r>
                </w:p>
              </w:tc>
              <w:tc>
                <w:tcPr>
                  <w:tcW w:w="438" w:type="pct"/>
                  <w:vAlign w:val="center"/>
                </w:tcPr>
                <w:p w14:paraId="45AC5D98">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46</w:t>
                  </w:r>
                </w:p>
              </w:tc>
              <w:tc>
                <w:tcPr>
                  <w:tcW w:w="443" w:type="pct"/>
                  <w:vAlign w:val="center"/>
                </w:tcPr>
                <w:p w14:paraId="008F5994">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45</w:t>
                  </w:r>
                </w:p>
              </w:tc>
              <w:tc>
                <w:tcPr>
                  <w:tcW w:w="516" w:type="pct"/>
                  <w:vAlign w:val="center"/>
                </w:tcPr>
                <w:p w14:paraId="166C2F93">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40</w:t>
                  </w:r>
                </w:p>
              </w:tc>
              <w:tc>
                <w:tcPr>
                  <w:tcW w:w="531" w:type="pct"/>
                  <w:vAlign w:val="center"/>
                </w:tcPr>
                <w:p w14:paraId="4F69E5B5">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37</w:t>
                  </w:r>
                </w:p>
              </w:tc>
              <w:tc>
                <w:tcPr>
                  <w:tcW w:w="498" w:type="pct"/>
                  <w:vAlign w:val="center"/>
                </w:tcPr>
                <w:p w14:paraId="2C9E24CA">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34</w:t>
                  </w:r>
                </w:p>
              </w:tc>
              <w:tc>
                <w:tcPr>
                  <w:tcW w:w="505" w:type="pct"/>
                  <w:vAlign w:val="center"/>
                </w:tcPr>
                <w:p w14:paraId="49F614E0">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32</w:t>
                  </w:r>
                </w:p>
              </w:tc>
              <w:tc>
                <w:tcPr>
                  <w:tcW w:w="521" w:type="pct"/>
                  <w:vAlign w:val="center"/>
                </w:tcPr>
                <w:p w14:paraId="008BB7C3">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28</w:t>
                  </w:r>
                </w:p>
              </w:tc>
            </w:tr>
            <w:tr w14:paraId="05D054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087" w:type="pct"/>
                </w:tcPr>
                <w:p w14:paraId="4C40E198">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挖掘机的影响值[dB(A)]</w:t>
                  </w:r>
                </w:p>
              </w:tc>
              <w:tc>
                <w:tcPr>
                  <w:tcW w:w="457" w:type="pct"/>
                  <w:vAlign w:val="center"/>
                </w:tcPr>
                <w:p w14:paraId="701B624A">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64</w:t>
                  </w:r>
                </w:p>
              </w:tc>
              <w:tc>
                <w:tcPr>
                  <w:tcW w:w="438" w:type="pct"/>
                  <w:vAlign w:val="center"/>
                </w:tcPr>
                <w:p w14:paraId="65969FC6">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50</w:t>
                  </w:r>
                </w:p>
              </w:tc>
              <w:tc>
                <w:tcPr>
                  <w:tcW w:w="443" w:type="pct"/>
                  <w:vAlign w:val="center"/>
                </w:tcPr>
                <w:p w14:paraId="5E7C6889">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49</w:t>
                  </w:r>
                </w:p>
              </w:tc>
              <w:tc>
                <w:tcPr>
                  <w:tcW w:w="516" w:type="pct"/>
                  <w:vAlign w:val="center"/>
                </w:tcPr>
                <w:p w14:paraId="65C34867">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44</w:t>
                  </w:r>
                </w:p>
              </w:tc>
              <w:tc>
                <w:tcPr>
                  <w:tcW w:w="531" w:type="pct"/>
                  <w:vAlign w:val="center"/>
                </w:tcPr>
                <w:p w14:paraId="0FBD8232">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41</w:t>
                  </w:r>
                </w:p>
              </w:tc>
              <w:tc>
                <w:tcPr>
                  <w:tcW w:w="498" w:type="pct"/>
                  <w:vAlign w:val="center"/>
                </w:tcPr>
                <w:p w14:paraId="7438656B">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38</w:t>
                  </w:r>
                </w:p>
              </w:tc>
              <w:tc>
                <w:tcPr>
                  <w:tcW w:w="505" w:type="pct"/>
                  <w:vAlign w:val="center"/>
                </w:tcPr>
                <w:p w14:paraId="3297AEFC">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36</w:t>
                  </w:r>
                </w:p>
              </w:tc>
              <w:tc>
                <w:tcPr>
                  <w:tcW w:w="521" w:type="pct"/>
                  <w:vAlign w:val="center"/>
                </w:tcPr>
                <w:p w14:paraId="0020CFCB">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32</w:t>
                  </w:r>
                </w:p>
              </w:tc>
            </w:tr>
            <w:tr w14:paraId="478194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087" w:type="pct"/>
                </w:tcPr>
                <w:p w14:paraId="2453C1DB">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推土机的影响值[dB(A)]</w:t>
                  </w:r>
                </w:p>
              </w:tc>
              <w:tc>
                <w:tcPr>
                  <w:tcW w:w="457" w:type="pct"/>
                  <w:vAlign w:val="center"/>
                </w:tcPr>
                <w:p w14:paraId="3C40B92C">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62</w:t>
                  </w:r>
                </w:p>
              </w:tc>
              <w:tc>
                <w:tcPr>
                  <w:tcW w:w="438" w:type="pct"/>
                  <w:vAlign w:val="center"/>
                </w:tcPr>
                <w:p w14:paraId="1A0CB300">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48</w:t>
                  </w:r>
                </w:p>
              </w:tc>
              <w:tc>
                <w:tcPr>
                  <w:tcW w:w="443" w:type="pct"/>
                  <w:vAlign w:val="center"/>
                </w:tcPr>
                <w:p w14:paraId="743BD945">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47</w:t>
                  </w:r>
                </w:p>
              </w:tc>
              <w:tc>
                <w:tcPr>
                  <w:tcW w:w="516" w:type="pct"/>
                  <w:vAlign w:val="center"/>
                </w:tcPr>
                <w:p w14:paraId="370B16D7">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42</w:t>
                  </w:r>
                </w:p>
              </w:tc>
              <w:tc>
                <w:tcPr>
                  <w:tcW w:w="531" w:type="pct"/>
                  <w:vAlign w:val="center"/>
                </w:tcPr>
                <w:p w14:paraId="3F7809CD">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39</w:t>
                  </w:r>
                </w:p>
              </w:tc>
              <w:tc>
                <w:tcPr>
                  <w:tcW w:w="498" w:type="pct"/>
                  <w:vAlign w:val="center"/>
                </w:tcPr>
                <w:p w14:paraId="7B1CD330">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36</w:t>
                  </w:r>
                </w:p>
              </w:tc>
              <w:tc>
                <w:tcPr>
                  <w:tcW w:w="505" w:type="pct"/>
                  <w:vAlign w:val="center"/>
                </w:tcPr>
                <w:p w14:paraId="1BDED0DA">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34</w:t>
                  </w:r>
                </w:p>
              </w:tc>
              <w:tc>
                <w:tcPr>
                  <w:tcW w:w="521" w:type="pct"/>
                  <w:vAlign w:val="center"/>
                </w:tcPr>
                <w:p w14:paraId="4DFEEAC6">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30</w:t>
                  </w:r>
                </w:p>
              </w:tc>
            </w:tr>
            <w:tr w14:paraId="6AA2F9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087" w:type="pct"/>
                </w:tcPr>
                <w:p w14:paraId="51396B9B">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混凝土搅拌机的影响值[dB(A)]</w:t>
                  </w:r>
                </w:p>
              </w:tc>
              <w:tc>
                <w:tcPr>
                  <w:tcW w:w="457" w:type="pct"/>
                  <w:vAlign w:val="center"/>
                </w:tcPr>
                <w:p w14:paraId="22E1FA6B">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65</w:t>
                  </w:r>
                </w:p>
              </w:tc>
              <w:tc>
                <w:tcPr>
                  <w:tcW w:w="438" w:type="pct"/>
                  <w:vAlign w:val="center"/>
                </w:tcPr>
                <w:p w14:paraId="52509DEE">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51</w:t>
                  </w:r>
                </w:p>
              </w:tc>
              <w:tc>
                <w:tcPr>
                  <w:tcW w:w="443" w:type="pct"/>
                  <w:vAlign w:val="center"/>
                </w:tcPr>
                <w:p w14:paraId="79C7A31A">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50</w:t>
                  </w:r>
                </w:p>
              </w:tc>
              <w:tc>
                <w:tcPr>
                  <w:tcW w:w="516" w:type="pct"/>
                  <w:vAlign w:val="center"/>
                </w:tcPr>
                <w:p w14:paraId="7AC90F02">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45</w:t>
                  </w:r>
                </w:p>
              </w:tc>
              <w:tc>
                <w:tcPr>
                  <w:tcW w:w="531" w:type="pct"/>
                  <w:vAlign w:val="center"/>
                </w:tcPr>
                <w:p w14:paraId="0E51B598">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42</w:t>
                  </w:r>
                </w:p>
              </w:tc>
              <w:tc>
                <w:tcPr>
                  <w:tcW w:w="498" w:type="pct"/>
                  <w:vAlign w:val="center"/>
                </w:tcPr>
                <w:p w14:paraId="6FB0310D">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39</w:t>
                  </w:r>
                </w:p>
              </w:tc>
              <w:tc>
                <w:tcPr>
                  <w:tcW w:w="505" w:type="pct"/>
                  <w:vAlign w:val="center"/>
                </w:tcPr>
                <w:p w14:paraId="5556BFB3">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37</w:t>
                  </w:r>
                </w:p>
              </w:tc>
              <w:tc>
                <w:tcPr>
                  <w:tcW w:w="521" w:type="pct"/>
                  <w:vAlign w:val="center"/>
                </w:tcPr>
                <w:p w14:paraId="7C051927">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33</w:t>
                  </w:r>
                </w:p>
              </w:tc>
            </w:tr>
            <w:tr w14:paraId="29121E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087" w:type="pct"/>
                </w:tcPr>
                <w:p w14:paraId="094232C6">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电锯的影响值[dB(A)]</w:t>
                  </w:r>
                </w:p>
              </w:tc>
              <w:tc>
                <w:tcPr>
                  <w:tcW w:w="457" w:type="pct"/>
                  <w:vAlign w:val="center"/>
                </w:tcPr>
                <w:p w14:paraId="4BA293D2">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70</w:t>
                  </w:r>
                </w:p>
              </w:tc>
              <w:tc>
                <w:tcPr>
                  <w:tcW w:w="438" w:type="pct"/>
                  <w:vAlign w:val="center"/>
                </w:tcPr>
                <w:p w14:paraId="370DBA7A">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56</w:t>
                  </w:r>
                </w:p>
              </w:tc>
              <w:tc>
                <w:tcPr>
                  <w:tcW w:w="443" w:type="pct"/>
                  <w:vAlign w:val="center"/>
                </w:tcPr>
                <w:p w14:paraId="24B7B656">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55</w:t>
                  </w:r>
                </w:p>
              </w:tc>
              <w:tc>
                <w:tcPr>
                  <w:tcW w:w="516" w:type="pct"/>
                  <w:vAlign w:val="center"/>
                </w:tcPr>
                <w:p w14:paraId="36DAB6D1">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50</w:t>
                  </w:r>
                </w:p>
              </w:tc>
              <w:tc>
                <w:tcPr>
                  <w:tcW w:w="531" w:type="pct"/>
                  <w:vAlign w:val="center"/>
                </w:tcPr>
                <w:p w14:paraId="7FA444E4">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47</w:t>
                  </w:r>
                </w:p>
              </w:tc>
              <w:tc>
                <w:tcPr>
                  <w:tcW w:w="498" w:type="pct"/>
                  <w:vAlign w:val="center"/>
                </w:tcPr>
                <w:p w14:paraId="5BF3DE48">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44</w:t>
                  </w:r>
                </w:p>
              </w:tc>
              <w:tc>
                <w:tcPr>
                  <w:tcW w:w="505" w:type="pct"/>
                  <w:vAlign w:val="center"/>
                </w:tcPr>
                <w:p w14:paraId="35A348F2">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42</w:t>
                  </w:r>
                </w:p>
              </w:tc>
              <w:tc>
                <w:tcPr>
                  <w:tcW w:w="521" w:type="pct"/>
                  <w:vAlign w:val="center"/>
                </w:tcPr>
                <w:p w14:paraId="54324F1E">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38</w:t>
                  </w:r>
                </w:p>
              </w:tc>
            </w:tr>
            <w:tr w14:paraId="0D33CE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087" w:type="pct"/>
                </w:tcPr>
                <w:p w14:paraId="372D82BE">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压路机的影响值[dB(A)]</w:t>
                  </w:r>
                </w:p>
              </w:tc>
              <w:tc>
                <w:tcPr>
                  <w:tcW w:w="457" w:type="pct"/>
                  <w:vAlign w:val="center"/>
                </w:tcPr>
                <w:p w14:paraId="67FD89B7">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65</w:t>
                  </w:r>
                </w:p>
              </w:tc>
              <w:tc>
                <w:tcPr>
                  <w:tcW w:w="438" w:type="pct"/>
                  <w:vAlign w:val="center"/>
                </w:tcPr>
                <w:p w14:paraId="04991165">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51</w:t>
                  </w:r>
                </w:p>
              </w:tc>
              <w:tc>
                <w:tcPr>
                  <w:tcW w:w="443" w:type="pct"/>
                  <w:vAlign w:val="center"/>
                </w:tcPr>
                <w:p w14:paraId="7F3CEFFB">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50</w:t>
                  </w:r>
                </w:p>
              </w:tc>
              <w:tc>
                <w:tcPr>
                  <w:tcW w:w="516" w:type="pct"/>
                  <w:vAlign w:val="center"/>
                </w:tcPr>
                <w:p w14:paraId="5FCF7B66">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45</w:t>
                  </w:r>
                </w:p>
              </w:tc>
              <w:tc>
                <w:tcPr>
                  <w:tcW w:w="531" w:type="pct"/>
                  <w:vAlign w:val="center"/>
                </w:tcPr>
                <w:p w14:paraId="35BDE4C7">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42</w:t>
                  </w:r>
                </w:p>
              </w:tc>
              <w:tc>
                <w:tcPr>
                  <w:tcW w:w="498" w:type="pct"/>
                  <w:vAlign w:val="center"/>
                </w:tcPr>
                <w:p w14:paraId="50FE6F46">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39</w:t>
                  </w:r>
                </w:p>
              </w:tc>
              <w:tc>
                <w:tcPr>
                  <w:tcW w:w="505" w:type="pct"/>
                  <w:vAlign w:val="center"/>
                </w:tcPr>
                <w:p w14:paraId="4BFFA71F">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37</w:t>
                  </w:r>
                </w:p>
              </w:tc>
              <w:tc>
                <w:tcPr>
                  <w:tcW w:w="521" w:type="pct"/>
                  <w:vAlign w:val="center"/>
                </w:tcPr>
                <w:p w14:paraId="29BB302C">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33</w:t>
                  </w:r>
                </w:p>
              </w:tc>
            </w:tr>
            <w:tr w14:paraId="3D3531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087" w:type="pct"/>
                </w:tcPr>
                <w:p w14:paraId="178B4E6F">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翻斗车装载车的影响值[dB(A)]</w:t>
                  </w:r>
                </w:p>
              </w:tc>
              <w:tc>
                <w:tcPr>
                  <w:tcW w:w="457" w:type="pct"/>
                  <w:vAlign w:val="center"/>
                </w:tcPr>
                <w:p w14:paraId="564CBE88">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70</w:t>
                  </w:r>
                </w:p>
              </w:tc>
              <w:tc>
                <w:tcPr>
                  <w:tcW w:w="438" w:type="pct"/>
                  <w:vAlign w:val="center"/>
                </w:tcPr>
                <w:p w14:paraId="593648D0">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56</w:t>
                  </w:r>
                </w:p>
              </w:tc>
              <w:tc>
                <w:tcPr>
                  <w:tcW w:w="443" w:type="pct"/>
                  <w:vAlign w:val="center"/>
                </w:tcPr>
                <w:p w14:paraId="12943280">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55</w:t>
                  </w:r>
                </w:p>
              </w:tc>
              <w:tc>
                <w:tcPr>
                  <w:tcW w:w="516" w:type="pct"/>
                  <w:vAlign w:val="center"/>
                </w:tcPr>
                <w:p w14:paraId="5A62114B">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50</w:t>
                  </w:r>
                </w:p>
              </w:tc>
              <w:tc>
                <w:tcPr>
                  <w:tcW w:w="531" w:type="pct"/>
                  <w:vAlign w:val="center"/>
                </w:tcPr>
                <w:p w14:paraId="7F3E5E4E">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47</w:t>
                  </w:r>
                </w:p>
              </w:tc>
              <w:tc>
                <w:tcPr>
                  <w:tcW w:w="498" w:type="pct"/>
                  <w:vAlign w:val="center"/>
                </w:tcPr>
                <w:p w14:paraId="16B4E467">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44</w:t>
                  </w:r>
                </w:p>
              </w:tc>
              <w:tc>
                <w:tcPr>
                  <w:tcW w:w="505" w:type="pct"/>
                  <w:vAlign w:val="center"/>
                </w:tcPr>
                <w:p w14:paraId="34AB05E1">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42</w:t>
                  </w:r>
                </w:p>
              </w:tc>
              <w:tc>
                <w:tcPr>
                  <w:tcW w:w="521" w:type="pct"/>
                  <w:vAlign w:val="center"/>
                </w:tcPr>
                <w:p w14:paraId="200D6700">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38</w:t>
                  </w:r>
                </w:p>
              </w:tc>
            </w:tr>
            <w:tr w14:paraId="338A4C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087" w:type="pct"/>
                </w:tcPr>
                <w:p w14:paraId="3CC49EA0">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槽罐车的影响值[dB(A)]</w:t>
                  </w:r>
                </w:p>
              </w:tc>
              <w:tc>
                <w:tcPr>
                  <w:tcW w:w="457" w:type="pct"/>
                  <w:vAlign w:val="center"/>
                </w:tcPr>
                <w:p w14:paraId="5E064474">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68</w:t>
                  </w:r>
                </w:p>
              </w:tc>
              <w:tc>
                <w:tcPr>
                  <w:tcW w:w="438" w:type="pct"/>
                  <w:vAlign w:val="center"/>
                </w:tcPr>
                <w:p w14:paraId="317CF84C">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54</w:t>
                  </w:r>
                </w:p>
              </w:tc>
              <w:tc>
                <w:tcPr>
                  <w:tcW w:w="443" w:type="pct"/>
                  <w:vAlign w:val="center"/>
                </w:tcPr>
                <w:p w14:paraId="224E5381">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53</w:t>
                  </w:r>
                </w:p>
              </w:tc>
              <w:tc>
                <w:tcPr>
                  <w:tcW w:w="516" w:type="pct"/>
                  <w:vAlign w:val="center"/>
                </w:tcPr>
                <w:p w14:paraId="31E631D0">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48</w:t>
                  </w:r>
                </w:p>
              </w:tc>
              <w:tc>
                <w:tcPr>
                  <w:tcW w:w="531" w:type="pct"/>
                  <w:vAlign w:val="center"/>
                </w:tcPr>
                <w:p w14:paraId="6711CA02">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45</w:t>
                  </w:r>
                </w:p>
              </w:tc>
              <w:tc>
                <w:tcPr>
                  <w:tcW w:w="498" w:type="pct"/>
                  <w:vAlign w:val="center"/>
                </w:tcPr>
                <w:p w14:paraId="307F9993">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42</w:t>
                  </w:r>
                </w:p>
              </w:tc>
              <w:tc>
                <w:tcPr>
                  <w:tcW w:w="505" w:type="pct"/>
                  <w:vAlign w:val="center"/>
                </w:tcPr>
                <w:p w14:paraId="2A3376FE">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40</w:t>
                  </w:r>
                </w:p>
              </w:tc>
              <w:tc>
                <w:tcPr>
                  <w:tcW w:w="521" w:type="pct"/>
                  <w:vAlign w:val="center"/>
                </w:tcPr>
                <w:p w14:paraId="1368B8E8">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36</w:t>
                  </w:r>
                </w:p>
              </w:tc>
            </w:tr>
            <w:tr w14:paraId="166FDB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087" w:type="pct"/>
                </w:tcPr>
                <w:p w14:paraId="5BA41CD6">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路面破碎机的影响值[dB(A)]</w:t>
                  </w:r>
                </w:p>
              </w:tc>
              <w:tc>
                <w:tcPr>
                  <w:tcW w:w="457" w:type="pct"/>
                  <w:vAlign w:val="center"/>
                </w:tcPr>
                <w:p w14:paraId="41F33301">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70</w:t>
                  </w:r>
                </w:p>
              </w:tc>
              <w:tc>
                <w:tcPr>
                  <w:tcW w:w="438" w:type="pct"/>
                  <w:vAlign w:val="center"/>
                </w:tcPr>
                <w:p w14:paraId="29F89178">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56</w:t>
                  </w:r>
                </w:p>
              </w:tc>
              <w:tc>
                <w:tcPr>
                  <w:tcW w:w="443" w:type="pct"/>
                  <w:vAlign w:val="center"/>
                </w:tcPr>
                <w:p w14:paraId="3FF175D8">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55</w:t>
                  </w:r>
                </w:p>
              </w:tc>
              <w:tc>
                <w:tcPr>
                  <w:tcW w:w="516" w:type="pct"/>
                  <w:vAlign w:val="center"/>
                </w:tcPr>
                <w:p w14:paraId="2D42C3B9">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50</w:t>
                  </w:r>
                </w:p>
              </w:tc>
              <w:tc>
                <w:tcPr>
                  <w:tcW w:w="531" w:type="pct"/>
                  <w:vAlign w:val="center"/>
                </w:tcPr>
                <w:p w14:paraId="755B6B64">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47</w:t>
                  </w:r>
                </w:p>
              </w:tc>
              <w:tc>
                <w:tcPr>
                  <w:tcW w:w="498" w:type="pct"/>
                  <w:vAlign w:val="center"/>
                </w:tcPr>
                <w:p w14:paraId="4F33DDB4">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44</w:t>
                  </w:r>
                </w:p>
              </w:tc>
              <w:tc>
                <w:tcPr>
                  <w:tcW w:w="505" w:type="pct"/>
                  <w:vAlign w:val="center"/>
                </w:tcPr>
                <w:p w14:paraId="13CD1E55">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42</w:t>
                  </w:r>
                </w:p>
              </w:tc>
              <w:tc>
                <w:tcPr>
                  <w:tcW w:w="521" w:type="pct"/>
                  <w:vAlign w:val="center"/>
                </w:tcPr>
                <w:p w14:paraId="3F11517C">
                  <w:pPr>
                    <w:widowControl/>
                    <w:jc w:val="center"/>
                    <w:textAlignment w:val="center"/>
                    <w:rPr>
                      <w:rFonts w:hint="default" w:ascii="Times New Roman" w:hAnsi="Times New Roman" w:eastAsia="仿宋_GB2312" w:cs="Times New Roman"/>
                      <w:bCs/>
                      <w:sz w:val="21"/>
                      <w:szCs w:val="21"/>
                    </w:rPr>
                  </w:pPr>
                  <w:r>
                    <w:rPr>
                      <w:rFonts w:hint="default" w:ascii="Times New Roman" w:hAnsi="Times New Roman" w:eastAsia="仿宋_GB2312" w:cs="Times New Roman"/>
                      <w:color w:val="000000"/>
                      <w:sz w:val="21"/>
                      <w:szCs w:val="21"/>
                      <w:lang w:bidi="ar"/>
                    </w:rPr>
                    <w:t>38</w:t>
                  </w:r>
                </w:p>
              </w:tc>
            </w:tr>
          </w:tbl>
          <w:p w14:paraId="5C36A66E">
            <w:pPr>
              <w:adjustRightInd w:val="0"/>
              <w:snapToGrid w:val="0"/>
              <w:spacing w:line="360" w:lineRule="auto"/>
              <w:ind w:firstLine="420" w:firstLineChars="200"/>
              <w:rPr>
                <w:rFonts w:hint="default" w:ascii="Times New Roman" w:hAnsi="Times New Roman" w:eastAsia="仿宋_GB2312" w:cs="Times New Roman"/>
              </w:rPr>
            </w:pPr>
            <w:r>
              <w:rPr>
                <w:rFonts w:hint="default" w:ascii="Times New Roman" w:hAnsi="Times New Roman" w:eastAsia="仿宋_GB2312" w:cs="Times New Roman"/>
                <w:color w:val="000000"/>
              </w:rPr>
              <w:t>由上表可见，施工机械昼间必须在50m以外才能达标，夜间在100m以外才能达到作业噪声限值。另外</w:t>
            </w:r>
            <w:r>
              <w:rPr>
                <w:rFonts w:hint="default" w:ascii="Times New Roman" w:hAnsi="Times New Roman" w:eastAsia="仿宋_GB2312" w:cs="Times New Roman"/>
              </w:rPr>
              <w:t>，各种施工车辆的运行产生的交通噪声短期内将对道路沿线产生一定影响。</w:t>
            </w:r>
          </w:p>
          <w:p w14:paraId="379BA633">
            <w:pPr>
              <w:adjustRightInd w:val="0"/>
              <w:snapToGrid w:val="0"/>
              <w:spacing w:line="360" w:lineRule="auto"/>
              <w:ind w:firstLine="420" w:firstLineChars="200"/>
              <w:rPr>
                <w:rFonts w:hint="default" w:ascii="Times New Roman" w:hAnsi="Times New Roman" w:eastAsia="仿宋_GB2312" w:cs="Times New Roman"/>
              </w:rPr>
            </w:pPr>
            <w:r>
              <w:rPr>
                <w:rFonts w:hint="default" w:ascii="Times New Roman" w:hAnsi="Times New Roman" w:eastAsia="仿宋_GB2312" w:cs="Times New Roman"/>
              </w:rPr>
              <w:t>由此可见，工程施工时，施工噪声昼间将会产生扰民影响，对居民影响很大。根据以上分析，要求建设单位在施工期采取以下相应措施：</w:t>
            </w:r>
          </w:p>
          <w:p w14:paraId="6943BD01">
            <w:pPr>
              <w:adjustRightInd w:val="0"/>
              <w:snapToGrid w:val="0"/>
              <w:spacing w:line="360" w:lineRule="auto"/>
              <w:ind w:firstLine="420" w:firstLineChars="200"/>
              <w:rPr>
                <w:rFonts w:hint="default" w:ascii="Times New Roman" w:hAnsi="Times New Roman" w:eastAsia="仿宋_GB2312" w:cs="Times New Roman"/>
              </w:rPr>
            </w:pPr>
            <w:r>
              <w:rPr>
                <w:rFonts w:hint="default" w:ascii="Times New Roman" w:hAnsi="Times New Roman" w:eastAsia="仿宋_GB2312" w:cs="Times New Roman"/>
              </w:rPr>
              <w:t>①施工单位应尽量选用先进的低噪声设备，在高噪声设备周围设置屏障以减轻噪声对周围环境的影响，控制施工场界噪声不超过</w:t>
            </w:r>
            <w:r>
              <w:rPr>
                <w:rFonts w:hint="eastAsia" w:ascii="Times New Roman" w:hAnsi="Times New Roman" w:eastAsia="仿宋_GB2312" w:cs="Times New Roman"/>
              </w:rPr>
              <w:t>《建筑施工噪声排放标准》（GB 12523-2025）</w:t>
            </w:r>
            <w:r>
              <w:rPr>
                <w:rFonts w:hint="default" w:ascii="Times New Roman" w:hAnsi="Times New Roman" w:eastAsia="仿宋_GB2312" w:cs="Times New Roman"/>
              </w:rPr>
              <w:t>限值。</w:t>
            </w:r>
          </w:p>
          <w:p w14:paraId="66B6BE54">
            <w:pPr>
              <w:adjustRightInd w:val="0"/>
              <w:snapToGrid w:val="0"/>
              <w:spacing w:line="360" w:lineRule="auto"/>
              <w:ind w:firstLine="420" w:firstLineChars="200"/>
              <w:rPr>
                <w:rFonts w:hint="default" w:ascii="Times New Roman" w:hAnsi="Times New Roman" w:eastAsia="仿宋_GB2312" w:cs="Times New Roman"/>
              </w:rPr>
            </w:pPr>
            <w:r>
              <w:rPr>
                <w:rFonts w:hint="default" w:ascii="Times New Roman" w:hAnsi="Times New Roman" w:eastAsia="仿宋_GB2312" w:cs="Times New Roman"/>
              </w:rPr>
              <w:t>②施工单位采用先进的施工工艺，合理选用施工机械，加装减振、消声、吸声设备。</w:t>
            </w:r>
          </w:p>
          <w:p w14:paraId="0BB09D19">
            <w:pPr>
              <w:adjustRightInd w:val="0"/>
              <w:snapToGrid w:val="0"/>
              <w:spacing w:line="360" w:lineRule="auto"/>
              <w:ind w:firstLine="420" w:firstLineChars="200"/>
              <w:rPr>
                <w:rFonts w:hint="default" w:ascii="Times New Roman" w:hAnsi="Times New Roman" w:eastAsia="仿宋_GB2312" w:cs="Times New Roman"/>
              </w:rPr>
            </w:pPr>
            <w:r>
              <w:rPr>
                <w:rFonts w:hint="default" w:ascii="Times New Roman" w:hAnsi="Times New Roman" w:eastAsia="仿宋_GB2312" w:cs="Times New Roman"/>
              </w:rPr>
              <w:t>③精心安排，减少昼间施工噪声影响时间，禁止夜间施工。如需夜间施工，需按国家有关规定到环境保护行政主管部门及时办理夜间施工许可手续，并张贴安民告示。</w:t>
            </w:r>
          </w:p>
          <w:p w14:paraId="11876FDF">
            <w:pPr>
              <w:adjustRightInd w:val="0"/>
              <w:snapToGrid w:val="0"/>
              <w:spacing w:line="360" w:lineRule="auto"/>
              <w:ind w:firstLine="420" w:firstLineChars="200"/>
              <w:rPr>
                <w:rFonts w:hint="default" w:ascii="Times New Roman" w:hAnsi="Times New Roman" w:eastAsia="仿宋_GB2312" w:cs="Times New Roman"/>
              </w:rPr>
            </w:pPr>
            <w:r>
              <w:rPr>
                <w:rFonts w:hint="default" w:ascii="Times New Roman" w:hAnsi="Times New Roman" w:eastAsia="仿宋_GB2312" w:cs="Times New Roman"/>
              </w:rPr>
              <w:t>④施工中应加强对施工机械的维护保养，避免由于设备性能差而增大机械噪声的现象发生。对施工运输车辆安装消声器。</w:t>
            </w:r>
          </w:p>
          <w:p w14:paraId="13DB82CD">
            <w:pPr>
              <w:pStyle w:val="69"/>
              <w:spacing w:line="360" w:lineRule="auto"/>
              <w:ind w:firstLine="422" w:firstLineChars="200"/>
              <w:rPr>
                <w:rFonts w:hint="default" w:ascii="Times New Roman" w:hAnsi="Times New Roman" w:eastAsia="仿宋_GB2312" w:cs="Times New Roman"/>
                <w:b/>
                <w:bCs/>
                <w:snapToGrid w:val="0"/>
              </w:rPr>
            </w:pPr>
            <w:r>
              <w:rPr>
                <w:rFonts w:hint="default" w:ascii="Times New Roman" w:hAnsi="Times New Roman" w:eastAsia="仿宋_GB2312" w:cs="Times New Roman"/>
                <w:b/>
                <w:bCs/>
                <w:snapToGrid w:val="0"/>
              </w:rPr>
              <w:t>4、施工期固体废弃物影响分析</w:t>
            </w:r>
          </w:p>
          <w:p w14:paraId="67359C35">
            <w:pPr>
              <w:pStyle w:val="69"/>
              <w:spacing w:line="360" w:lineRule="auto"/>
              <w:ind w:firstLine="420" w:firstLineChars="200"/>
              <w:rPr>
                <w:rFonts w:hint="default" w:ascii="Times New Roman" w:hAnsi="Times New Roman" w:eastAsia="仿宋_GB2312" w:cs="Times New Roman"/>
                <w:snapToGrid w:val="0"/>
              </w:rPr>
            </w:pPr>
            <w:r>
              <w:rPr>
                <w:rFonts w:hint="default" w:ascii="Times New Roman" w:hAnsi="Times New Roman" w:eastAsia="仿宋_GB2312" w:cs="Times New Roman"/>
                <w:snapToGrid w:val="0"/>
              </w:rPr>
              <w:t>本工程施工期无弃渣，施工期产生的固体废弃物主要为施工期生活垃圾，淤泥</w:t>
            </w:r>
            <w:r>
              <w:rPr>
                <w:rFonts w:hint="default" w:ascii="Times New Roman" w:hAnsi="Times New Roman" w:eastAsia="仿宋_GB2312" w:cs="Times New Roman"/>
              </w:rPr>
              <w:t>，</w:t>
            </w:r>
            <w:r>
              <w:rPr>
                <w:rFonts w:hint="default" w:ascii="Times New Roman" w:hAnsi="Times New Roman" w:eastAsia="仿宋_GB2312" w:cs="Times New Roman"/>
                <w:snapToGrid w:val="0"/>
              </w:rPr>
              <w:t>弃土，建筑垃圾，暗涵内杂物等。施工期产生的固体废弃物若不妥善处理，将对工程区环境卫生、施工人员健康等产生不利影响。</w:t>
            </w:r>
          </w:p>
          <w:p w14:paraId="0EB67DC4">
            <w:pPr>
              <w:pStyle w:val="77"/>
              <w:spacing w:line="360" w:lineRule="auto"/>
              <w:ind w:firstLine="420"/>
              <w:jc w:val="both"/>
              <w:rPr>
                <w:rFonts w:hint="default" w:ascii="Times New Roman" w:hAnsi="Times New Roman" w:eastAsia="仿宋_GB2312" w:cs="Times New Roman"/>
                <w:b w:val="0"/>
                <w:kern w:val="2"/>
                <w:lang w:val="en-US"/>
              </w:rPr>
            </w:pPr>
            <w:r>
              <w:rPr>
                <w:rFonts w:hint="default" w:ascii="Times New Roman" w:hAnsi="Times New Roman" w:eastAsia="仿宋_GB2312" w:cs="Times New Roman"/>
                <w:b w:val="0"/>
                <w:kern w:val="2"/>
                <w:lang w:val="en-US"/>
              </w:rPr>
              <w:t>1）施工人员生活垃圾</w:t>
            </w:r>
          </w:p>
          <w:p w14:paraId="0A0379E2">
            <w:pPr>
              <w:pStyle w:val="77"/>
              <w:spacing w:line="360" w:lineRule="auto"/>
              <w:ind w:firstLine="420"/>
              <w:jc w:val="both"/>
              <w:rPr>
                <w:rFonts w:hint="default" w:ascii="Times New Roman" w:hAnsi="Times New Roman" w:eastAsia="仿宋_GB2312" w:cs="Times New Roman"/>
                <w:b w:val="0"/>
                <w:kern w:val="2"/>
                <w:lang w:val="en-US"/>
              </w:rPr>
            </w:pPr>
            <w:r>
              <w:rPr>
                <w:rFonts w:hint="default" w:ascii="Times New Roman" w:hAnsi="Times New Roman" w:eastAsia="仿宋_GB2312" w:cs="Times New Roman"/>
                <w:b w:val="0"/>
                <w:kern w:val="2"/>
                <w:lang w:val="en-US"/>
              </w:rPr>
              <w:t>施工期施工人数为30人，施工工期150天，经预测，日产生活垃圾量为0.5kg/人，则累计产生生活垃圾量为2.25t。生活垃圾中有机质等多种复杂成份，如不及时清理，垃圾中有机质会变质腐烂，发生恶臭，污染空气，招引和滋生苍蝇，繁殖老鼠，垃圾中的病原微生物就会随着雨水淋洗，污染水质，也会随着飘尘污染大气，造成疾病传染和流行，特别是肠道传染疾病。</w:t>
            </w:r>
          </w:p>
          <w:p w14:paraId="426796FD">
            <w:pPr>
              <w:pStyle w:val="77"/>
              <w:spacing w:line="360" w:lineRule="auto"/>
              <w:ind w:firstLine="420"/>
              <w:jc w:val="left"/>
              <w:rPr>
                <w:rFonts w:hint="default" w:ascii="Times New Roman" w:hAnsi="Times New Roman" w:eastAsia="仿宋_GB2312" w:cs="Times New Roman"/>
                <w:b w:val="0"/>
                <w:kern w:val="2"/>
                <w:lang w:val="en-US"/>
              </w:rPr>
            </w:pPr>
            <w:r>
              <w:rPr>
                <w:rFonts w:hint="default" w:ascii="Times New Roman" w:hAnsi="Times New Roman" w:eastAsia="仿宋_GB2312" w:cs="Times New Roman"/>
                <w:b w:val="0"/>
                <w:kern w:val="2"/>
                <w:lang w:val="en-US"/>
              </w:rPr>
              <w:t>2）弃土</w:t>
            </w:r>
          </w:p>
          <w:p w14:paraId="1B18311E">
            <w:pPr>
              <w:spacing w:line="360" w:lineRule="auto"/>
              <w:ind w:left="105" w:leftChars="50" w:firstLine="315" w:firstLineChars="150"/>
              <w:rPr>
                <w:rFonts w:hint="default" w:ascii="Times New Roman" w:hAnsi="Times New Roman" w:eastAsia="仿宋_GB2312" w:cs="Times New Roman"/>
                <w:bCs/>
              </w:rPr>
            </w:pPr>
            <w:r>
              <w:rPr>
                <w:rFonts w:hint="eastAsia" w:ascii="Times New Roman" w:hAnsi="Times New Roman" w:eastAsia="仿宋_GB2312" w:cs="Times New Roman"/>
                <w:bCs/>
                <w:lang w:val="en-US" w:eastAsia="zh-CN"/>
              </w:rPr>
              <w:t>厂房</w:t>
            </w:r>
            <w:r>
              <w:rPr>
                <w:rFonts w:hint="default" w:ascii="Times New Roman" w:hAnsi="Times New Roman" w:eastAsia="仿宋_GB2312" w:cs="Times New Roman"/>
                <w:bCs/>
              </w:rPr>
              <w:t>工程施工会产生少量的弃方。根据测算，盖板翻建200m</w:t>
            </w:r>
            <w:r>
              <w:rPr>
                <w:rFonts w:hint="default" w:ascii="Times New Roman" w:hAnsi="Times New Roman" w:eastAsia="仿宋_GB2312" w:cs="Times New Roman"/>
                <w:bCs/>
                <w:vertAlign w:val="superscript"/>
              </w:rPr>
              <w:t>2</w:t>
            </w:r>
            <w:r>
              <w:rPr>
                <w:rFonts w:hint="default" w:ascii="Times New Roman" w:hAnsi="Times New Roman" w:eastAsia="仿宋_GB2312" w:cs="Times New Roman"/>
                <w:bCs/>
              </w:rPr>
              <w:t>，上方附着物厚度约20cm，则产生弃土约为200m</w:t>
            </w:r>
            <w:r>
              <w:rPr>
                <w:rFonts w:hint="default" w:ascii="Times New Roman" w:hAnsi="Times New Roman" w:eastAsia="仿宋_GB2312" w:cs="Times New Roman"/>
                <w:bCs/>
                <w:vertAlign w:val="superscript"/>
              </w:rPr>
              <w:t>3</w:t>
            </w:r>
            <w:r>
              <w:rPr>
                <w:rFonts w:hint="default" w:ascii="Times New Roman" w:hAnsi="Times New Roman" w:eastAsia="仿宋_GB2312" w:cs="Times New Roman"/>
                <w:bCs/>
              </w:rPr>
              <w:t>，为避免堆积土对周边交通出行的影响，弃土运输过程中应严格执行相关管理制度，</w:t>
            </w:r>
            <w:r>
              <w:rPr>
                <w:rFonts w:hint="default" w:ascii="Times New Roman" w:hAnsi="Times New Roman" w:eastAsia="仿宋_GB2312" w:cs="Times New Roman"/>
              </w:rPr>
              <w:t>申报、登记，集中使用或堆放在指定场所</w:t>
            </w:r>
            <w:r>
              <w:rPr>
                <w:rFonts w:hint="default" w:ascii="Times New Roman" w:hAnsi="Times New Roman" w:eastAsia="仿宋_GB2312" w:cs="Times New Roman"/>
                <w:bCs/>
              </w:rPr>
              <w:t>。严禁沿途抛洒，运送土方的车辆应封闭，避免沿途抛洒，且车辆运输时应禁鸣慢行，避免防止扬尘和噪声扰民。回填土均为外购土或砂石，回填量约200m</w:t>
            </w:r>
            <w:r>
              <w:rPr>
                <w:rFonts w:hint="default" w:ascii="Times New Roman" w:hAnsi="Times New Roman" w:eastAsia="仿宋_GB2312" w:cs="Times New Roman"/>
                <w:bCs/>
                <w:vertAlign w:val="superscript"/>
              </w:rPr>
              <w:t>3</w:t>
            </w:r>
            <w:r>
              <w:rPr>
                <w:rFonts w:hint="default" w:ascii="Times New Roman" w:hAnsi="Times New Roman" w:eastAsia="仿宋_GB2312" w:cs="Times New Roman"/>
                <w:bCs/>
              </w:rPr>
              <w:t>。</w:t>
            </w:r>
          </w:p>
          <w:p w14:paraId="0A211123">
            <w:pPr>
              <w:spacing w:line="360" w:lineRule="auto"/>
              <w:ind w:left="105" w:leftChars="50" w:firstLine="315" w:firstLineChars="150"/>
              <w:rPr>
                <w:rFonts w:hint="default" w:ascii="Times New Roman" w:hAnsi="Times New Roman" w:eastAsia="仿宋_GB2312" w:cs="Times New Roman"/>
              </w:rPr>
            </w:pPr>
            <w:r>
              <w:rPr>
                <w:rFonts w:hint="default" w:ascii="Times New Roman" w:hAnsi="Times New Roman" w:eastAsia="仿宋_GB2312" w:cs="Times New Roman"/>
              </w:rPr>
              <w:t>3）建筑垃圾</w:t>
            </w:r>
          </w:p>
          <w:p w14:paraId="319B18E6">
            <w:pPr>
              <w:spacing w:line="360" w:lineRule="auto"/>
              <w:ind w:left="105" w:leftChars="50" w:firstLine="315" w:firstLineChars="150"/>
              <w:rPr>
                <w:rFonts w:hint="default" w:ascii="Times New Roman" w:hAnsi="Times New Roman" w:eastAsia="仿宋_GB2312" w:cs="Times New Roman"/>
                <w:bCs/>
              </w:rPr>
            </w:pPr>
            <w:r>
              <w:rPr>
                <w:rFonts w:hint="default" w:ascii="Times New Roman" w:hAnsi="Times New Roman" w:eastAsia="仿宋_GB2312" w:cs="Times New Roman"/>
                <w:bCs/>
              </w:rPr>
              <w:t>在工程施工过程中，会产生建筑施工材料的废边角料等，参照《环境统计手册》，单位面积施工固体废物的产生系数为0.8kg/m²，本项目总建筑面积为3240m²，则建筑垃圾产生量为2.592t。</w:t>
            </w:r>
            <w:r>
              <w:rPr>
                <w:rFonts w:hint="default" w:ascii="Times New Roman" w:hAnsi="Times New Roman" w:eastAsia="仿宋_GB2312" w:cs="Times New Roman"/>
              </w:rPr>
              <w:t>本项目建筑垃圾外售综合利用。</w:t>
            </w:r>
          </w:p>
          <w:p w14:paraId="40FBD424">
            <w:pPr>
              <w:pStyle w:val="77"/>
              <w:spacing w:line="360" w:lineRule="auto"/>
              <w:ind w:firstLine="420"/>
              <w:jc w:val="both"/>
              <w:rPr>
                <w:rFonts w:hint="default" w:ascii="Times New Roman" w:hAnsi="Times New Roman" w:eastAsia="仿宋_GB2312" w:cs="Times New Roman"/>
                <w:b w:val="0"/>
                <w:bCs/>
                <w:kern w:val="2"/>
                <w:lang w:val="en-US"/>
              </w:rPr>
            </w:pPr>
            <w:r>
              <w:rPr>
                <w:rFonts w:hint="default" w:ascii="Times New Roman" w:hAnsi="Times New Roman" w:eastAsia="仿宋_GB2312" w:cs="Times New Roman"/>
                <w:b w:val="0"/>
                <w:bCs/>
              </w:rPr>
              <w:t>根据以上分析，要求建设单位在施工期采取以下相应措施：</w:t>
            </w:r>
          </w:p>
          <w:p w14:paraId="550124BA">
            <w:pPr>
              <w:pStyle w:val="77"/>
              <w:spacing w:line="360" w:lineRule="auto"/>
              <w:ind w:firstLine="420"/>
              <w:jc w:val="both"/>
              <w:rPr>
                <w:rFonts w:hint="default" w:ascii="Times New Roman" w:hAnsi="Times New Roman" w:eastAsia="仿宋_GB2312" w:cs="Times New Roman"/>
                <w:b w:val="0"/>
                <w:kern w:val="2"/>
                <w:lang w:val="en-US"/>
              </w:rPr>
            </w:pPr>
            <w:r>
              <w:rPr>
                <w:rFonts w:hint="default" w:ascii="Times New Roman" w:hAnsi="Times New Roman" w:eastAsia="仿宋_GB2312" w:cs="Times New Roman"/>
                <w:b w:val="0"/>
                <w:kern w:val="2"/>
                <w:lang w:val="en-US"/>
              </w:rPr>
              <w:t>1、项目在施工过程中厂区弃渣土全部用于回填，不产生弃土，同时对不能及时回用临时堆放的弃渣土就地堆放，同时做好相应的拦挡、防护措施避免和防止造成新的水土流失和环境污染。</w:t>
            </w:r>
          </w:p>
          <w:p w14:paraId="559885A2">
            <w:pPr>
              <w:pStyle w:val="77"/>
              <w:spacing w:line="360" w:lineRule="auto"/>
              <w:ind w:firstLine="420"/>
              <w:jc w:val="both"/>
              <w:rPr>
                <w:rFonts w:hint="default" w:ascii="Times New Roman" w:hAnsi="Times New Roman" w:eastAsia="仿宋_GB2312" w:cs="Times New Roman"/>
                <w:b w:val="0"/>
                <w:kern w:val="2"/>
                <w:lang w:val="en-US"/>
              </w:rPr>
            </w:pPr>
            <w:r>
              <w:rPr>
                <w:rFonts w:hint="default" w:ascii="Times New Roman" w:hAnsi="Times New Roman" w:eastAsia="仿宋_GB2312" w:cs="Times New Roman"/>
                <w:b w:val="0"/>
                <w:kern w:val="2"/>
                <w:lang w:val="en-US"/>
              </w:rPr>
              <w:t>2、对可再利用的废料，如木材、竹料等，应进行回收，以节省资源。</w:t>
            </w:r>
          </w:p>
          <w:p w14:paraId="4EF621DA">
            <w:pPr>
              <w:pStyle w:val="77"/>
              <w:spacing w:line="360" w:lineRule="auto"/>
              <w:ind w:firstLine="420"/>
              <w:jc w:val="both"/>
              <w:rPr>
                <w:rFonts w:hint="default" w:ascii="Times New Roman" w:hAnsi="Times New Roman" w:eastAsia="仿宋_GB2312" w:cs="Times New Roman"/>
                <w:b w:val="0"/>
                <w:kern w:val="2"/>
                <w:lang w:val="en-US"/>
              </w:rPr>
            </w:pPr>
            <w:r>
              <w:rPr>
                <w:rFonts w:hint="default" w:ascii="Times New Roman" w:hAnsi="Times New Roman" w:eastAsia="仿宋_GB2312" w:cs="Times New Roman"/>
                <w:b w:val="0"/>
                <w:kern w:val="2"/>
                <w:lang w:val="en-US"/>
              </w:rPr>
              <w:t>3、对砖块瓦砾等块状物和颗粒状废物，可采用一般堆存的方法处理，但要将其最终运送到政府部门指定的建筑固体废物倾倒场。</w:t>
            </w:r>
          </w:p>
          <w:p w14:paraId="76768219">
            <w:pPr>
              <w:pStyle w:val="77"/>
              <w:spacing w:line="360" w:lineRule="auto"/>
              <w:ind w:firstLine="420"/>
              <w:jc w:val="both"/>
              <w:rPr>
                <w:rFonts w:hint="default" w:ascii="Times New Roman" w:hAnsi="Times New Roman" w:eastAsia="仿宋_GB2312" w:cs="Times New Roman"/>
                <w:b w:val="0"/>
                <w:kern w:val="2"/>
                <w:lang w:val="en-US"/>
              </w:rPr>
            </w:pPr>
            <w:r>
              <w:rPr>
                <w:rFonts w:hint="default" w:ascii="Times New Roman" w:hAnsi="Times New Roman" w:eastAsia="仿宋_GB2312" w:cs="Times New Roman"/>
                <w:b w:val="0"/>
                <w:kern w:val="2"/>
                <w:lang w:val="en-US"/>
              </w:rPr>
              <w:t>4、施工人员产生的生活垃圾量较少，设置固定垃圾收集点存放，定期由环卫部门统一清运、不得随意丢弃。</w:t>
            </w:r>
          </w:p>
          <w:p w14:paraId="2616F757">
            <w:pPr>
              <w:pStyle w:val="77"/>
              <w:spacing w:line="360" w:lineRule="auto"/>
              <w:ind w:firstLine="420"/>
              <w:jc w:val="both"/>
              <w:rPr>
                <w:rFonts w:hint="default" w:ascii="Times New Roman" w:hAnsi="Times New Roman" w:eastAsia="仿宋_GB2312" w:cs="Times New Roman"/>
                <w:b w:val="0"/>
                <w:kern w:val="2"/>
                <w:lang w:val="en-US"/>
              </w:rPr>
            </w:pPr>
            <w:r>
              <w:rPr>
                <w:rFonts w:hint="default" w:ascii="Times New Roman" w:hAnsi="Times New Roman" w:eastAsia="仿宋_GB2312" w:cs="Times New Roman"/>
                <w:b w:val="0"/>
                <w:kern w:val="2"/>
                <w:lang w:val="en-US"/>
              </w:rPr>
              <w:t>新建项目固体废弃物产生量如下表所示。</w:t>
            </w:r>
          </w:p>
          <w:p w14:paraId="5A1B7888">
            <w:pPr>
              <w:pStyle w:val="7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仿宋_GB2312" w:cs="Times New Roman"/>
                <w:color w:val="000000"/>
              </w:rPr>
            </w:pPr>
            <w:r>
              <w:rPr>
                <w:rFonts w:hint="default" w:ascii="Times New Roman" w:hAnsi="Times New Roman" w:eastAsia="仿宋_GB2312" w:cs="Times New Roman"/>
                <w:color w:val="000000"/>
              </w:rPr>
              <w:t>表4-</w:t>
            </w:r>
            <w:r>
              <w:rPr>
                <w:rFonts w:hint="eastAsia" w:ascii="Times New Roman" w:hAnsi="Times New Roman" w:eastAsia="仿宋_GB2312" w:cs="Times New Roman"/>
                <w:color w:val="000000"/>
                <w:lang w:val="en-US" w:eastAsia="zh-CN"/>
              </w:rPr>
              <w:t xml:space="preserve">6  </w:t>
            </w:r>
            <w:r>
              <w:rPr>
                <w:rFonts w:hint="default" w:ascii="Times New Roman" w:hAnsi="Times New Roman" w:eastAsia="仿宋_GB2312" w:cs="Times New Roman"/>
                <w:color w:val="000000"/>
              </w:rPr>
              <w:t>新建项目施工期固体废物分析结果汇总表</w:t>
            </w:r>
          </w:p>
          <w:tbl>
            <w:tblPr>
              <w:tblStyle w:val="3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2"/>
              <w:gridCol w:w="836"/>
              <w:gridCol w:w="581"/>
              <w:gridCol w:w="1017"/>
              <w:gridCol w:w="726"/>
              <w:gridCol w:w="726"/>
              <w:gridCol w:w="872"/>
              <w:gridCol w:w="726"/>
              <w:gridCol w:w="917"/>
              <w:gridCol w:w="1630"/>
            </w:tblGrid>
            <w:tr w14:paraId="03B5DD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71" w:type="pct"/>
                  <w:vMerge w:val="restart"/>
                  <w:vAlign w:val="center"/>
                </w:tcPr>
                <w:p w14:paraId="6AEBCE86">
                  <w:pPr>
                    <w:adjustRightInd w:val="0"/>
                    <w:snapToGrid w:val="0"/>
                    <w:jc w:val="center"/>
                    <w:rPr>
                      <w:rFonts w:hint="default" w:ascii="Times New Roman" w:hAnsi="Times New Roman" w:eastAsia="仿宋_GB2312" w:cs="Times New Roman"/>
                      <w:b/>
                      <w:bCs/>
                      <w:sz w:val="21"/>
                      <w:szCs w:val="21"/>
                    </w:rPr>
                  </w:pPr>
                  <w:r>
                    <w:rPr>
                      <w:rFonts w:hint="default" w:ascii="Times New Roman" w:hAnsi="Times New Roman" w:eastAsia="仿宋_GB2312" w:cs="Times New Roman"/>
                      <w:b/>
                      <w:bCs/>
                      <w:sz w:val="21"/>
                      <w:szCs w:val="21"/>
                    </w:rPr>
                    <w:t>序号</w:t>
                  </w:r>
                </w:p>
              </w:tc>
              <w:tc>
                <w:tcPr>
                  <w:tcW w:w="492" w:type="pct"/>
                  <w:vMerge w:val="restart"/>
                  <w:vAlign w:val="center"/>
                </w:tcPr>
                <w:p w14:paraId="735ED1B4">
                  <w:pPr>
                    <w:adjustRightInd w:val="0"/>
                    <w:snapToGrid w:val="0"/>
                    <w:jc w:val="center"/>
                    <w:rPr>
                      <w:rFonts w:hint="default" w:ascii="Times New Roman" w:hAnsi="Times New Roman" w:eastAsia="仿宋_GB2312" w:cs="Times New Roman"/>
                      <w:b/>
                      <w:bCs/>
                      <w:sz w:val="21"/>
                      <w:szCs w:val="21"/>
                    </w:rPr>
                  </w:pPr>
                  <w:r>
                    <w:rPr>
                      <w:rFonts w:hint="default" w:ascii="Times New Roman" w:hAnsi="Times New Roman" w:eastAsia="仿宋_GB2312" w:cs="Times New Roman"/>
                      <w:b/>
                      <w:bCs/>
                      <w:sz w:val="21"/>
                      <w:szCs w:val="21"/>
                    </w:rPr>
                    <w:t>副产物名称</w:t>
                  </w:r>
                </w:p>
              </w:tc>
              <w:tc>
                <w:tcPr>
                  <w:tcW w:w="342" w:type="pct"/>
                  <w:vMerge w:val="restart"/>
                  <w:vAlign w:val="center"/>
                </w:tcPr>
                <w:p w14:paraId="179FDD4E">
                  <w:pPr>
                    <w:pStyle w:val="25"/>
                    <w:adjustRightInd w:val="0"/>
                    <w:snapToGrid w:val="0"/>
                    <w:ind w:left="0" w:firstLine="0" w:firstLineChars="0"/>
                    <w:jc w:val="center"/>
                    <w:rPr>
                      <w:rFonts w:hint="default" w:ascii="Times New Roman" w:hAnsi="Times New Roman" w:eastAsia="仿宋_GB2312" w:cs="Times New Roman"/>
                      <w:b/>
                      <w:bCs/>
                      <w:sz w:val="21"/>
                      <w:szCs w:val="21"/>
                    </w:rPr>
                  </w:pPr>
                  <w:r>
                    <w:rPr>
                      <w:rFonts w:hint="default" w:ascii="Times New Roman" w:hAnsi="Times New Roman" w:eastAsia="仿宋_GB2312" w:cs="Times New Roman"/>
                      <w:b/>
                      <w:bCs/>
                      <w:sz w:val="21"/>
                      <w:szCs w:val="21"/>
                    </w:rPr>
                    <w:t>属性</w:t>
                  </w:r>
                </w:p>
              </w:tc>
              <w:tc>
                <w:tcPr>
                  <w:tcW w:w="598" w:type="pct"/>
                  <w:vMerge w:val="restart"/>
                  <w:vAlign w:val="center"/>
                </w:tcPr>
                <w:p w14:paraId="6AF9B700">
                  <w:pPr>
                    <w:adjustRightInd w:val="0"/>
                    <w:snapToGrid w:val="0"/>
                    <w:jc w:val="center"/>
                    <w:rPr>
                      <w:rFonts w:hint="default" w:ascii="Times New Roman" w:hAnsi="Times New Roman" w:eastAsia="仿宋_GB2312" w:cs="Times New Roman"/>
                      <w:b/>
                      <w:bCs/>
                      <w:sz w:val="21"/>
                      <w:szCs w:val="21"/>
                    </w:rPr>
                  </w:pPr>
                  <w:r>
                    <w:rPr>
                      <w:rFonts w:hint="default" w:ascii="Times New Roman" w:hAnsi="Times New Roman" w:eastAsia="仿宋_GB2312" w:cs="Times New Roman"/>
                      <w:b/>
                      <w:bCs/>
                      <w:sz w:val="21"/>
                      <w:szCs w:val="21"/>
                    </w:rPr>
                    <w:t>产生工序</w:t>
                  </w:r>
                </w:p>
              </w:tc>
              <w:tc>
                <w:tcPr>
                  <w:tcW w:w="427" w:type="pct"/>
                  <w:vMerge w:val="restart"/>
                  <w:vAlign w:val="center"/>
                </w:tcPr>
                <w:p w14:paraId="08EE67A6">
                  <w:pPr>
                    <w:adjustRightInd w:val="0"/>
                    <w:snapToGrid w:val="0"/>
                    <w:jc w:val="center"/>
                    <w:rPr>
                      <w:rFonts w:hint="default" w:ascii="Times New Roman" w:hAnsi="Times New Roman" w:eastAsia="仿宋_GB2312" w:cs="Times New Roman"/>
                      <w:b/>
                      <w:bCs/>
                      <w:sz w:val="21"/>
                      <w:szCs w:val="21"/>
                    </w:rPr>
                  </w:pPr>
                  <w:r>
                    <w:rPr>
                      <w:rFonts w:hint="default" w:ascii="Times New Roman" w:hAnsi="Times New Roman" w:eastAsia="仿宋_GB2312" w:cs="Times New Roman"/>
                      <w:b/>
                      <w:bCs/>
                      <w:sz w:val="21"/>
                      <w:szCs w:val="21"/>
                    </w:rPr>
                    <w:t>形态</w:t>
                  </w:r>
                </w:p>
              </w:tc>
              <w:tc>
                <w:tcPr>
                  <w:tcW w:w="427" w:type="pct"/>
                  <w:vMerge w:val="restart"/>
                  <w:vAlign w:val="center"/>
                </w:tcPr>
                <w:p w14:paraId="3D0B0D78">
                  <w:pPr>
                    <w:adjustRightInd w:val="0"/>
                    <w:snapToGrid w:val="0"/>
                    <w:jc w:val="center"/>
                    <w:rPr>
                      <w:rFonts w:hint="default" w:ascii="Times New Roman" w:hAnsi="Times New Roman" w:eastAsia="仿宋_GB2312" w:cs="Times New Roman"/>
                      <w:b/>
                      <w:bCs/>
                      <w:sz w:val="21"/>
                      <w:szCs w:val="21"/>
                    </w:rPr>
                  </w:pPr>
                  <w:r>
                    <w:rPr>
                      <w:rFonts w:hint="default" w:ascii="Times New Roman" w:hAnsi="Times New Roman" w:eastAsia="仿宋_GB2312" w:cs="Times New Roman"/>
                      <w:b/>
                      <w:bCs/>
                      <w:sz w:val="21"/>
                      <w:szCs w:val="21"/>
                    </w:rPr>
                    <w:t>主要成分</w:t>
                  </w:r>
                </w:p>
              </w:tc>
              <w:tc>
                <w:tcPr>
                  <w:tcW w:w="513" w:type="pct"/>
                  <w:vMerge w:val="restart"/>
                  <w:vAlign w:val="center"/>
                </w:tcPr>
                <w:p w14:paraId="6C1076FA">
                  <w:pPr>
                    <w:adjustRightInd w:val="0"/>
                    <w:snapToGrid w:val="0"/>
                    <w:jc w:val="center"/>
                    <w:rPr>
                      <w:rFonts w:hint="default" w:ascii="Times New Roman" w:hAnsi="Times New Roman" w:eastAsia="仿宋_GB2312" w:cs="Times New Roman"/>
                      <w:b/>
                      <w:bCs/>
                      <w:sz w:val="21"/>
                      <w:szCs w:val="21"/>
                    </w:rPr>
                  </w:pPr>
                  <w:r>
                    <w:rPr>
                      <w:rFonts w:hint="default" w:ascii="Times New Roman" w:hAnsi="Times New Roman" w:eastAsia="仿宋_GB2312" w:cs="Times New Roman"/>
                      <w:b/>
                      <w:bCs/>
                      <w:sz w:val="21"/>
                      <w:szCs w:val="21"/>
                    </w:rPr>
                    <w:t>预测产生量</w:t>
                  </w:r>
                </w:p>
              </w:tc>
              <w:tc>
                <w:tcPr>
                  <w:tcW w:w="1926" w:type="pct"/>
                  <w:gridSpan w:val="3"/>
                  <w:vAlign w:val="center"/>
                </w:tcPr>
                <w:p w14:paraId="4EB15279">
                  <w:pPr>
                    <w:adjustRightInd w:val="0"/>
                    <w:snapToGrid w:val="0"/>
                    <w:jc w:val="center"/>
                    <w:rPr>
                      <w:rFonts w:hint="default" w:ascii="Times New Roman" w:hAnsi="Times New Roman" w:eastAsia="仿宋_GB2312" w:cs="Times New Roman"/>
                      <w:b/>
                      <w:bCs/>
                      <w:sz w:val="21"/>
                      <w:szCs w:val="21"/>
                    </w:rPr>
                  </w:pPr>
                  <w:r>
                    <w:rPr>
                      <w:rFonts w:hint="default" w:ascii="Times New Roman" w:hAnsi="Times New Roman" w:eastAsia="仿宋_GB2312" w:cs="Times New Roman"/>
                      <w:b/>
                      <w:bCs/>
                      <w:sz w:val="21"/>
                      <w:szCs w:val="21"/>
                    </w:rPr>
                    <w:t>种类判断*</w:t>
                  </w:r>
                </w:p>
              </w:tc>
            </w:tr>
            <w:tr w14:paraId="7A0AF1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71" w:type="pct"/>
                  <w:vMerge w:val="continue"/>
                  <w:vAlign w:val="center"/>
                </w:tcPr>
                <w:p w14:paraId="72F88C2C">
                  <w:pPr>
                    <w:adjustRightInd w:val="0"/>
                    <w:snapToGrid w:val="0"/>
                    <w:jc w:val="center"/>
                    <w:rPr>
                      <w:rFonts w:hint="default" w:ascii="Times New Roman" w:hAnsi="Times New Roman" w:eastAsia="仿宋_GB2312" w:cs="Times New Roman"/>
                      <w:b/>
                      <w:bCs/>
                      <w:sz w:val="21"/>
                      <w:szCs w:val="21"/>
                    </w:rPr>
                  </w:pPr>
                </w:p>
              </w:tc>
              <w:tc>
                <w:tcPr>
                  <w:tcW w:w="492" w:type="pct"/>
                  <w:vMerge w:val="continue"/>
                  <w:vAlign w:val="center"/>
                </w:tcPr>
                <w:p w14:paraId="442657B7">
                  <w:pPr>
                    <w:adjustRightInd w:val="0"/>
                    <w:snapToGrid w:val="0"/>
                    <w:jc w:val="center"/>
                    <w:rPr>
                      <w:rFonts w:hint="default" w:ascii="Times New Roman" w:hAnsi="Times New Roman" w:eastAsia="仿宋_GB2312" w:cs="Times New Roman"/>
                      <w:b/>
                      <w:bCs/>
                      <w:sz w:val="21"/>
                      <w:szCs w:val="21"/>
                    </w:rPr>
                  </w:pPr>
                </w:p>
              </w:tc>
              <w:tc>
                <w:tcPr>
                  <w:tcW w:w="342" w:type="pct"/>
                  <w:vMerge w:val="continue"/>
                  <w:vAlign w:val="center"/>
                </w:tcPr>
                <w:p w14:paraId="0DFFD855">
                  <w:pPr>
                    <w:adjustRightInd w:val="0"/>
                    <w:snapToGrid w:val="0"/>
                    <w:jc w:val="center"/>
                    <w:rPr>
                      <w:rFonts w:hint="default" w:ascii="Times New Roman" w:hAnsi="Times New Roman" w:eastAsia="仿宋_GB2312" w:cs="Times New Roman"/>
                      <w:b/>
                      <w:bCs/>
                      <w:sz w:val="21"/>
                      <w:szCs w:val="21"/>
                    </w:rPr>
                  </w:pPr>
                </w:p>
              </w:tc>
              <w:tc>
                <w:tcPr>
                  <w:tcW w:w="598" w:type="pct"/>
                  <w:vMerge w:val="continue"/>
                  <w:vAlign w:val="center"/>
                </w:tcPr>
                <w:p w14:paraId="2B1AE7FB">
                  <w:pPr>
                    <w:adjustRightInd w:val="0"/>
                    <w:snapToGrid w:val="0"/>
                    <w:jc w:val="center"/>
                    <w:rPr>
                      <w:rFonts w:hint="default" w:ascii="Times New Roman" w:hAnsi="Times New Roman" w:eastAsia="仿宋_GB2312" w:cs="Times New Roman"/>
                      <w:b/>
                      <w:bCs/>
                      <w:sz w:val="21"/>
                      <w:szCs w:val="21"/>
                    </w:rPr>
                  </w:pPr>
                </w:p>
              </w:tc>
              <w:tc>
                <w:tcPr>
                  <w:tcW w:w="427" w:type="pct"/>
                  <w:vMerge w:val="continue"/>
                  <w:vAlign w:val="center"/>
                </w:tcPr>
                <w:p w14:paraId="42425D61">
                  <w:pPr>
                    <w:adjustRightInd w:val="0"/>
                    <w:snapToGrid w:val="0"/>
                    <w:jc w:val="center"/>
                    <w:rPr>
                      <w:rFonts w:hint="default" w:ascii="Times New Roman" w:hAnsi="Times New Roman" w:eastAsia="仿宋_GB2312" w:cs="Times New Roman"/>
                      <w:b/>
                      <w:bCs/>
                      <w:sz w:val="21"/>
                      <w:szCs w:val="21"/>
                    </w:rPr>
                  </w:pPr>
                </w:p>
              </w:tc>
              <w:tc>
                <w:tcPr>
                  <w:tcW w:w="427" w:type="pct"/>
                  <w:vMerge w:val="continue"/>
                  <w:vAlign w:val="center"/>
                </w:tcPr>
                <w:p w14:paraId="070519E0">
                  <w:pPr>
                    <w:adjustRightInd w:val="0"/>
                    <w:snapToGrid w:val="0"/>
                    <w:jc w:val="center"/>
                    <w:rPr>
                      <w:rFonts w:hint="default" w:ascii="Times New Roman" w:hAnsi="Times New Roman" w:eastAsia="仿宋_GB2312" w:cs="Times New Roman"/>
                      <w:b/>
                      <w:bCs/>
                      <w:sz w:val="21"/>
                      <w:szCs w:val="21"/>
                    </w:rPr>
                  </w:pPr>
                </w:p>
              </w:tc>
              <w:tc>
                <w:tcPr>
                  <w:tcW w:w="513" w:type="pct"/>
                  <w:vMerge w:val="continue"/>
                  <w:vAlign w:val="center"/>
                </w:tcPr>
                <w:p w14:paraId="69BE4C5D">
                  <w:pPr>
                    <w:adjustRightInd w:val="0"/>
                    <w:snapToGrid w:val="0"/>
                    <w:jc w:val="center"/>
                    <w:rPr>
                      <w:rFonts w:hint="default" w:ascii="Times New Roman" w:hAnsi="Times New Roman" w:eastAsia="仿宋_GB2312" w:cs="Times New Roman"/>
                      <w:b/>
                      <w:bCs/>
                      <w:sz w:val="21"/>
                      <w:szCs w:val="21"/>
                    </w:rPr>
                  </w:pPr>
                </w:p>
              </w:tc>
              <w:tc>
                <w:tcPr>
                  <w:tcW w:w="427" w:type="pct"/>
                  <w:vAlign w:val="center"/>
                </w:tcPr>
                <w:p w14:paraId="44846925">
                  <w:pPr>
                    <w:adjustRightInd w:val="0"/>
                    <w:snapToGrid w:val="0"/>
                    <w:jc w:val="center"/>
                    <w:rPr>
                      <w:rFonts w:hint="default" w:ascii="Times New Roman" w:hAnsi="Times New Roman" w:eastAsia="仿宋_GB2312" w:cs="Times New Roman"/>
                      <w:b/>
                      <w:bCs/>
                      <w:sz w:val="21"/>
                      <w:szCs w:val="21"/>
                    </w:rPr>
                  </w:pPr>
                  <w:r>
                    <w:rPr>
                      <w:rFonts w:hint="default" w:ascii="Times New Roman" w:hAnsi="Times New Roman" w:eastAsia="仿宋_GB2312" w:cs="Times New Roman"/>
                      <w:b/>
                      <w:bCs/>
                      <w:sz w:val="21"/>
                      <w:szCs w:val="21"/>
                    </w:rPr>
                    <w:t>固体废物</w:t>
                  </w:r>
                </w:p>
              </w:tc>
              <w:tc>
                <w:tcPr>
                  <w:tcW w:w="539" w:type="pct"/>
                  <w:vAlign w:val="center"/>
                </w:tcPr>
                <w:p w14:paraId="26C296B8">
                  <w:pPr>
                    <w:adjustRightInd w:val="0"/>
                    <w:snapToGrid w:val="0"/>
                    <w:jc w:val="center"/>
                    <w:rPr>
                      <w:rFonts w:hint="default" w:ascii="Times New Roman" w:hAnsi="Times New Roman" w:eastAsia="仿宋_GB2312" w:cs="Times New Roman"/>
                      <w:b/>
                      <w:bCs/>
                      <w:sz w:val="21"/>
                      <w:szCs w:val="21"/>
                    </w:rPr>
                  </w:pPr>
                  <w:r>
                    <w:rPr>
                      <w:rFonts w:hint="default" w:ascii="Times New Roman" w:hAnsi="Times New Roman" w:eastAsia="仿宋_GB2312" w:cs="Times New Roman"/>
                      <w:b/>
                      <w:bCs/>
                      <w:sz w:val="21"/>
                      <w:szCs w:val="21"/>
                    </w:rPr>
                    <w:t>副产品</w:t>
                  </w:r>
                </w:p>
              </w:tc>
              <w:tc>
                <w:tcPr>
                  <w:tcW w:w="959" w:type="pct"/>
                  <w:vAlign w:val="center"/>
                </w:tcPr>
                <w:p w14:paraId="121CE85D">
                  <w:pPr>
                    <w:adjustRightInd w:val="0"/>
                    <w:snapToGrid w:val="0"/>
                    <w:jc w:val="center"/>
                    <w:rPr>
                      <w:rFonts w:hint="default" w:ascii="Times New Roman" w:hAnsi="Times New Roman" w:eastAsia="仿宋_GB2312" w:cs="Times New Roman"/>
                      <w:b/>
                      <w:bCs/>
                      <w:sz w:val="21"/>
                      <w:szCs w:val="21"/>
                    </w:rPr>
                  </w:pPr>
                  <w:r>
                    <w:rPr>
                      <w:rFonts w:hint="default" w:ascii="Times New Roman" w:hAnsi="Times New Roman" w:eastAsia="仿宋_GB2312" w:cs="Times New Roman"/>
                      <w:b/>
                      <w:bCs/>
                      <w:sz w:val="21"/>
                      <w:szCs w:val="21"/>
                    </w:rPr>
                    <w:t>判定依据</w:t>
                  </w:r>
                </w:p>
              </w:tc>
            </w:tr>
            <w:tr w14:paraId="3963EF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71" w:type="pct"/>
                  <w:vAlign w:val="center"/>
                </w:tcPr>
                <w:p w14:paraId="10D630AB">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1</w:t>
                  </w:r>
                </w:p>
              </w:tc>
              <w:tc>
                <w:tcPr>
                  <w:tcW w:w="492" w:type="pct"/>
                  <w:vAlign w:val="center"/>
                </w:tcPr>
                <w:p w14:paraId="0415D2E3">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生活</w:t>
                  </w:r>
                </w:p>
                <w:p w14:paraId="5447FBDF">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垃圾</w:t>
                  </w:r>
                </w:p>
              </w:tc>
              <w:tc>
                <w:tcPr>
                  <w:tcW w:w="342" w:type="pct"/>
                  <w:vMerge w:val="restart"/>
                  <w:vAlign w:val="center"/>
                </w:tcPr>
                <w:p w14:paraId="689676B2">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一般固废</w:t>
                  </w:r>
                </w:p>
              </w:tc>
              <w:tc>
                <w:tcPr>
                  <w:tcW w:w="598" w:type="pct"/>
                  <w:vAlign w:val="center"/>
                </w:tcPr>
                <w:p w14:paraId="6F547EF3">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施工人员生活</w:t>
                  </w:r>
                </w:p>
              </w:tc>
              <w:tc>
                <w:tcPr>
                  <w:tcW w:w="427" w:type="pct"/>
                  <w:vAlign w:val="center"/>
                </w:tcPr>
                <w:p w14:paraId="17972CE3">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固</w:t>
                  </w:r>
                </w:p>
              </w:tc>
              <w:tc>
                <w:tcPr>
                  <w:tcW w:w="427" w:type="pct"/>
                  <w:vAlign w:val="center"/>
                </w:tcPr>
                <w:p w14:paraId="1DA1B6A4">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生活垃圾</w:t>
                  </w:r>
                </w:p>
              </w:tc>
              <w:tc>
                <w:tcPr>
                  <w:tcW w:w="513" w:type="pct"/>
                  <w:vAlign w:val="center"/>
                </w:tcPr>
                <w:p w14:paraId="5FE87191">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2.25t</w:t>
                  </w:r>
                </w:p>
              </w:tc>
              <w:tc>
                <w:tcPr>
                  <w:tcW w:w="427" w:type="pct"/>
                  <w:vAlign w:val="center"/>
                </w:tcPr>
                <w:p w14:paraId="7359A628">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w:t>
                  </w:r>
                </w:p>
              </w:tc>
              <w:tc>
                <w:tcPr>
                  <w:tcW w:w="539" w:type="pct"/>
                  <w:vAlign w:val="center"/>
                </w:tcPr>
                <w:p w14:paraId="51484E9B">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w:t>
                  </w:r>
                </w:p>
              </w:tc>
              <w:tc>
                <w:tcPr>
                  <w:tcW w:w="959" w:type="pct"/>
                  <w:vMerge w:val="restart"/>
                  <w:vAlign w:val="center"/>
                </w:tcPr>
                <w:p w14:paraId="5DFC76BC">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《固体废物鉴别标准</w:t>
                  </w:r>
                  <w:r>
                    <w:rPr>
                      <w:rFonts w:hint="eastAsia" w:eastAsia="仿宋_GB2312" w:cs="Times New Roman"/>
                      <w:sz w:val="21"/>
                      <w:szCs w:val="21"/>
                      <w:lang w:val="en-US" w:eastAsia="zh-CN"/>
                    </w:rPr>
                    <w:t xml:space="preserve"> </w:t>
                  </w:r>
                  <w:r>
                    <w:rPr>
                      <w:rFonts w:hint="default" w:ascii="Times New Roman" w:hAnsi="Times New Roman" w:eastAsia="仿宋_GB2312" w:cs="Times New Roman"/>
                      <w:sz w:val="21"/>
                      <w:szCs w:val="21"/>
                    </w:rPr>
                    <w:t>通则》GB34330-20</w:t>
                  </w:r>
                  <w:r>
                    <w:rPr>
                      <w:rFonts w:hint="eastAsia" w:eastAsia="仿宋_GB2312" w:cs="Times New Roman"/>
                      <w:sz w:val="21"/>
                      <w:szCs w:val="21"/>
                      <w:lang w:val="en-US" w:eastAsia="zh-CN"/>
                    </w:rPr>
                    <w:t>25</w:t>
                  </w:r>
                  <w:r>
                    <w:rPr>
                      <w:rFonts w:hint="default" w:ascii="Times New Roman" w:hAnsi="Times New Roman" w:eastAsia="仿宋_GB2312" w:cs="Times New Roman"/>
                      <w:sz w:val="21"/>
                      <w:szCs w:val="21"/>
                    </w:rPr>
                    <w:t>）</w:t>
                  </w:r>
                </w:p>
              </w:tc>
            </w:tr>
            <w:tr w14:paraId="44CD6D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71" w:type="pct"/>
                  <w:vAlign w:val="center"/>
                </w:tcPr>
                <w:p w14:paraId="49F17057">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2</w:t>
                  </w:r>
                </w:p>
              </w:tc>
              <w:tc>
                <w:tcPr>
                  <w:tcW w:w="492" w:type="pct"/>
                  <w:vAlign w:val="center"/>
                </w:tcPr>
                <w:p w14:paraId="4E6FA068">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弃土</w:t>
                  </w:r>
                </w:p>
              </w:tc>
              <w:tc>
                <w:tcPr>
                  <w:tcW w:w="342" w:type="pct"/>
                  <w:vMerge w:val="continue"/>
                  <w:vAlign w:val="center"/>
                </w:tcPr>
                <w:p w14:paraId="2B6997B7">
                  <w:pPr>
                    <w:adjustRightInd w:val="0"/>
                    <w:snapToGrid w:val="0"/>
                    <w:jc w:val="center"/>
                    <w:rPr>
                      <w:rFonts w:hint="default" w:ascii="Times New Roman" w:hAnsi="Times New Roman" w:eastAsia="仿宋_GB2312" w:cs="Times New Roman"/>
                      <w:sz w:val="21"/>
                      <w:szCs w:val="21"/>
                    </w:rPr>
                  </w:pPr>
                </w:p>
              </w:tc>
              <w:tc>
                <w:tcPr>
                  <w:tcW w:w="598" w:type="pct"/>
                  <w:vAlign w:val="center"/>
                </w:tcPr>
                <w:p w14:paraId="0CEE0A78">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土方开挖</w:t>
                  </w:r>
                </w:p>
              </w:tc>
              <w:tc>
                <w:tcPr>
                  <w:tcW w:w="427" w:type="pct"/>
                  <w:vAlign w:val="center"/>
                </w:tcPr>
                <w:p w14:paraId="23145FE8">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固</w:t>
                  </w:r>
                </w:p>
              </w:tc>
              <w:tc>
                <w:tcPr>
                  <w:tcW w:w="427" w:type="pct"/>
                  <w:vAlign w:val="center"/>
                </w:tcPr>
                <w:p w14:paraId="5FB0179A">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土方</w:t>
                  </w:r>
                </w:p>
              </w:tc>
              <w:tc>
                <w:tcPr>
                  <w:tcW w:w="513" w:type="pct"/>
                  <w:vAlign w:val="center"/>
                </w:tcPr>
                <w:p w14:paraId="0186645D">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200m</w:t>
                  </w:r>
                  <w:r>
                    <w:rPr>
                      <w:rFonts w:hint="default" w:ascii="Times New Roman" w:hAnsi="Times New Roman" w:eastAsia="仿宋_GB2312" w:cs="Times New Roman"/>
                      <w:sz w:val="21"/>
                      <w:szCs w:val="21"/>
                      <w:vertAlign w:val="superscript"/>
                    </w:rPr>
                    <w:t>3</w:t>
                  </w:r>
                </w:p>
              </w:tc>
              <w:tc>
                <w:tcPr>
                  <w:tcW w:w="427" w:type="pct"/>
                  <w:vAlign w:val="center"/>
                </w:tcPr>
                <w:p w14:paraId="1BC4E91A">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w:t>
                  </w:r>
                </w:p>
              </w:tc>
              <w:tc>
                <w:tcPr>
                  <w:tcW w:w="539" w:type="pct"/>
                  <w:vAlign w:val="center"/>
                </w:tcPr>
                <w:p w14:paraId="6C2F4F74">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w:t>
                  </w:r>
                </w:p>
              </w:tc>
              <w:tc>
                <w:tcPr>
                  <w:tcW w:w="959" w:type="pct"/>
                  <w:vMerge w:val="continue"/>
                  <w:vAlign w:val="center"/>
                </w:tcPr>
                <w:p w14:paraId="6E0805A5">
                  <w:pPr>
                    <w:adjustRightInd w:val="0"/>
                    <w:snapToGrid w:val="0"/>
                    <w:jc w:val="center"/>
                    <w:rPr>
                      <w:rFonts w:hint="default" w:ascii="Times New Roman" w:hAnsi="Times New Roman" w:eastAsia="仿宋_GB2312" w:cs="Times New Roman"/>
                      <w:sz w:val="21"/>
                      <w:szCs w:val="21"/>
                    </w:rPr>
                  </w:pPr>
                </w:p>
              </w:tc>
            </w:tr>
            <w:tr w14:paraId="3D0DCD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71" w:type="pct"/>
                  <w:vAlign w:val="center"/>
                </w:tcPr>
                <w:p w14:paraId="17F90EE3">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3</w:t>
                  </w:r>
                </w:p>
              </w:tc>
              <w:tc>
                <w:tcPr>
                  <w:tcW w:w="492" w:type="pct"/>
                  <w:vAlign w:val="center"/>
                </w:tcPr>
                <w:p w14:paraId="48BCD8A8">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建筑垃圾</w:t>
                  </w:r>
                </w:p>
              </w:tc>
              <w:tc>
                <w:tcPr>
                  <w:tcW w:w="342" w:type="pct"/>
                  <w:vMerge w:val="continue"/>
                  <w:vAlign w:val="center"/>
                </w:tcPr>
                <w:p w14:paraId="0FD075BB">
                  <w:pPr>
                    <w:adjustRightInd w:val="0"/>
                    <w:snapToGrid w:val="0"/>
                    <w:jc w:val="center"/>
                    <w:rPr>
                      <w:rFonts w:hint="default" w:ascii="Times New Roman" w:hAnsi="Times New Roman" w:eastAsia="仿宋_GB2312" w:cs="Times New Roman"/>
                      <w:sz w:val="21"/>
                      <w:szCs w:val="21"/>
                    </w:rPr>
                  </w:pPr>
                </w:p>
              </w:tc>
              <w:tc>
                <w:tcPr>
                  <w:tcW w:w="598" w:type="pct"/>
                  <w:vAlign w:val="center"/>
                </w:tcPr>
                <w:p w14:paraId="4B415276">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钢结构厂房新建、管道铺设</w:t>
                  </w:r>
                </w:p>
              </w:tc>
              <w:tc>
                <w:tcPr>
                  <w:tcW w:w="427" w:type="pct"/>
                  <w:vAlign w:val="center"/>
                </w:tcPr>
                <w:p w14:paraId="2405564E">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固</w:t>
                  </w:r>
                </w:p>
              </w:tc>
              <w:tc>
                <w:tcPr>
                  <w:tcW w:w="427" w:type="pct"/>
                  <w:vAlign w:val="center"/>
                </w:tcPr>
                <w:p w14:paraId="7BCCB537">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砂石、砖块</w:t>
                  </w:r>
                </w:p>
              </w:tc>
              <w:tc>
                <w:tcPr>
                  <w:tcW w:w="513" w:type="pct"/>
                  <w:vAlign w:val="center"/>
                </w:tcPr>
                <w:p w14:paraId="7750F8BC">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2.592t</w:t>
                  </w:r>
                </w:p>
              </w:tc>
              <w:tc>
                <w:tcPr>
                  <w:tcW w:w="427" w:type="pct"/>
                  <w:vAlign w:val="center"/>
                </w:tcPr>
                <w:p w14:paraId="78634AF1">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w:t>
                  </w:r>
                </w:p>
              </w:tc>
              <w:tc>
                <w:tcPr>
                  <w:tcW w:w="539" w:type="pct"/>
                  <w:vAlign w:val="center"/>
                </w:tcPr>
                <w:p w14:paraId="143EE921">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w:t>
                  </w:r>
                </w:p>
              </w:tc>
              <w:tc>
                <w:tcPr>
                  <w:tcW w:w="959" w:type="pct"/>
                  <w:vMerge w:val="continue"/>
                  <w:vAlign w:val="center"/>
                </w:tcPr>
                <w:p w14:paraId="4C8247EB">
                  <w:pPr>
                    <w:adjustRightInd w:val="0"/>
                    <w:snapToGrid w:val="0"/>
                    <w:jc w:val="center"/>
                    <w:rPr>
                      <w:rFonts w:hint="default" w:ascii="Times New Roman" w:hAnsi="Times New Roman" w:eastAsia="仿宋_GB2312" w:cs="Times New Roman"/>
                      <w:sz w:val="21"/>
                      <w:szCs w:val="21"/>
                    </w:rPr>
                  </w:pPr>
                </w:p>
              </w:tc>
            </w:tr>
          </w:tbl>
          <w:p w14:paraId="5589CF06">
            <w:pPr>
              <w:pStyle w:val="75"/>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default" w:ascii="Times New Roman" w:hAnsi="Times New Roman" w:eastAsia="仿宋_GB2312" w:cs="Times New Roman"/>
              </w:rPr>
            </w:pPr>
            <w:r>
              <w:rPr>
                <w:rFonts w:hint="default" w:ascii="Times New Roman" w:hAnsi="Times New Roman" w:eastAsia="仿宋_GB2312" w:cs="Times New Roman"/>
              </w:rPr>
              <w:t>表4-</w:t>
            </w:r>
            <w:r>
              <w:rPr>
                <w:rFonts w:hint="eastAsia" w:ascii="Times New Roman" w:hAnsi="Times New Roman" w:eastAsia="仿宋_GB2312" w:cs="Times New Roman"/>
                <w:lang w:val="en-US" w:eastAsia="zh-CN"/>
              </w:rPr>
              <w:t xml:space="preserve">7  </w:t>
            </w:r>
            <w:r>
              <w:rPr>
                <w:rFonts w:hint="default" w:ascii="Times New Roman" w:hAnsi="Times New Roman" w:eastAsia="仿宋_GB2312" w:cs="Times New Roman"/>
              </w:rPr>
              <w:t>新建项目施工期固体废物分析结果汇总表</w:t>
            </w:r>
          </w:p>
          <w:tbl>
            <w:tblPr>
              <w:tblStyle w:val="31"/>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95"/>
              <w:gridCol w:w="583"/>
              <w:gridCol w:w="512"/>
              <w:gridCol w:w="790"/>
              <w:gridCol w:w="559"/>
              <w:gridCol w:w="874"/>
              <w:gridCol w:w="1965"/>
              <w:gridCol w:w="561"/>
              <w:gridCol w:w="559"/>
              <w:gridCol w:w="581"/>
              <w:gridCol w:w="1010"/>
            </w:tblGrid>
            <w:tr w14:paraId="7D45BD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91" w:type="pct"/>
                  <w:vAlign w:val="center"/>
                </w:tcPr>
                <w:p w14:paraId="22D80108">
                  <w:pPr>
                    <w:adjustRightInd w:val="0"/>
                    <w:snapToGrid w:val="0"/>
                    <w:jc w:val="center"/>
                    <w:rPr>
                      <w:rFonts w:hint="default" w:ascii="Times New Roman" w:hAnsi="Times New Roman" w:eastAsia="仿宋_GB2312" w:cs="Times New Roman"/>
                      <w:b/>
                      <w:bCs/>
                      <w:sz w:val="21"/>
                      <w:szCs w:val="21"/>
                    </w:rPr>
                  </w:pPr>
                  <w:r>
                    <w:rPr>
                      <w:rFonts w:hint="default" w:ascii="Times New Roman" w:hAnsi="Times New Roman" w:eastAsia="仿宋_GB2312" w:cs="Times New Roman"/>
                      <w:b/>
                      <w:bCs/>
                      <w:sz w:val="21"/>
                      <w:szCs w:val="21"/>
                    </w:rPr>
                    <w:t>序号</w:t>
                  </w:r>
                </w:p>
              </w:tc>
              <w:tc>
                <w:tcPr>
                  <w:tcW w:w="343" w:type="pct"/>
                  <w:vAlign w:val="center"/>
                </w:tcPr>
                <w:p w14:paraId="53AC604E">
                  <w:pPr>
                    <w:adjustRightInd w:val="0"/>
                    <w:snapToGrid w:val="0"/>
                    <w:jc w:val="center"/>
                    <w:rPr>
                      <w:rFonts w:hint="default" w:ascii="Times New Roman" w:hAnsi="Times New Roman" w:eastAsia="仿宋_GB2312" w:cs="Times New Roman"/>
                      <w:b/>
                      <w:bCs/>
                      <w:sz w:val="21"/>
                      <w:szCs w:val="21"/>
                    </w:rPr>
                  </w:pPr>
                  <w:r>
                    <w:rPr>
                      <w:rFonts w:hint="default" w:ascii="Times New Roman" w:hAnsi="Times New Roman" w:eastAsia="仿宋_GB2312" w:cs="Times New Roman"/>
                      <w:b/>
                      <w:bCs/>
                      <w:sz w:val="21"/>
                      <w:szCs w:val="21"/>
                    </w:rPr>
                    <w:t>固废名称</w:t>
                  </w:r>
                </w:p>
              </w:tc>
              <w:tc>
                <w:tcPr>
                  <w:tcW w:w="301" w:type="pct"/>
                  <w:vAlign w:val="center"/>
                </w:tcPr>
                <w:p w14:paraId="16F7665B">
                  <w:pPr>
                    <w:adjustRightInd w:val="0"/>
                    <w:snapToGrid w:val="0"/>
                    <w:jc w:val="center"/>
                    <w:rPr>
                      <w:rFonts w:hint="default" w:ascii="Times New Roman" w:hAnsi="Times New Roman" w:eastAsia="仿宋_GB2312" w:cs="Times New Roman"/>
                      <w:b/>
                      <w:bCs/>
                      <w:sz w:val="21"/>
                      <w:szCs w:val="21"/>
                    </w:rPr>
                  </w:pPr>
                  <w:r>
                    <w:rPr>
                      <w:rFonts w:hint="default" w:ascii="Times New Roman" w:hAnsi="Times New Roman" w:eastAsia="仿宋_GB2312" w:cs="Times New Roman"/>
                      <w:b/>
                      <w:bCs/>
                      <w:sz w:val="21"/>
                      <w:szCs w:val="21"/>
                    </w:rPr>
                    <w:t>属性</w:t>
                  </w:r>
                </w:p>
              </w:tc>
              <w:tc>
                <w:tcPr>
                  <w:tcW w:w="465" w:type="pct"/>
                  <w:vAlign w:val="center"/>
                </w:tcPr>
                <w:p w14:paraId="2C1E789E">
                  <w:pPr>
                    <w:adjustRightInd w:val="0"/>
                    <w:snapToGrid w:val="0"/>
                    <w:jc w:val="center"/>
                    <w:rPr>
                      <w:rFonts w:hint="default" w:ascii="Times New Roman" w:hAnsi="Times New Roman" w:eastAsia="仿宋_GB2312" w:cs="Times New Roman"/>
                      <w:b/>
                      <w:bCs/>
                      <w:sz w:val="21"/>
                      <w:szCs w:val="21"/>
                    </w:rPr>
                  </w:pPr>
                  <w:r>
                    <w:rPr>
                      <w:rFonts w:hint="default" w:ascii="Times New Roman" w:hAnsi="Times New Roman" w:eastAsia="仿宋_GB2312" w:cs="Times New Roman"/>
                      <w:b/>
                      <w:bCs/>
                      <w:sz w:val="21"/>
                      <w:szCs w:val="21"/>
                    </w:rPr>
                    <w:t>产生工序</w:t>
                  </w:r>
                </w:p>
              </w:tc>
              <w:tc>
                <w:tcPr>
                  <w:tcW w:w="329" w:type="pct"/>
                  <w:vAlign w:val="center"/>
                </w:tcPr>
                <w:p w14:paraId="28060AC9">
                  <w:pPr>
                    <w:adjustRightInd w:val="0"/>
                    <w:snapToGrid w:val="0"/>
                    <w:jc w:val="center"/>
                    <w:rPr>
                      <w:rFonts w:hint="default" w:ascii="Times New Roman" w:hAnsi="Times New Roman" w:eastAsia="仿宋_GB2312" w:cs="Times New Roman"/>
                      <w:b/>
                      <w:bCs/>
                      <w:sz w:val="21"/>
                      <w:szCs w:val="21"/>
                    </w:rPr>
                  </w:pPr>
                  <w:r>
                    <w:rPr>
                      <w:rFonts w:hint="default" w:ascii="Times New Roman" w:hAnsi="Times New Roman" w:eastAsia="仿宋_GB2312" w:cs="Times New Roman"/>
                      <w:b/>
                      <w:bCs/>
                      <w:sz w:val="21"/>
                      <w:szCs w:val="21"/>
                    </w:rPr>
                    <w:t>形态</w:t>
                  </w:r>
                </w:p>
              </w:tc>
              <w:tc>
                <w:tcPr>
                  <w:tcW w:w="514" w:type="pct"/>
                  <w:vAlign w:val="center"/>
                </w:tcPr>
                <w:p w14:paraId="0AD87C24">
                  <w:pPr>
                    <w:adjustRightInd w:val="0"/>
                    <w:snapToGrid w:val="0"/>
                    <w:jc w:val="center"/>
                    <w:rPr>
                      <w:rFonts w:hint="default" w:ascii="Times New Roman" w:hAnsi="Times New Roman" w:eastAsia="仿宋_GB2312" w:cs="Times New Roman"/>
                      <w:b/>
                      <w:bCs/>
                      <w:sz w:val="21"/>
                      <w:szCs w:val="21"/>
                    </w:rPr>
                  </w:pPr>
                  <w:r>
                    <w:rPr>
                      <w:rFonts w:hint="default" w:ascii="Times New Roman" w:hAnsi="Times New Roman" w:eastAsia="仿宋_GB2312" w:cs="Times New Roman"/>
                      <w:b/>
                      <w:bCs/>
                      <w:sz w:val="21"/>
                      <w:szCs w:val="21"/>
                    </w:rPr>
                    <w:t>主要成分</w:t>
                  </w:r>
                </w:p>
              </w:tc>
              <w:tc>
                <w:tcPr>
                  <w:tcW w:w="1156" w:type="pct"/>
                  <w:vAlign w:val="center"/>
                </w:tcPr>
                <w:p w14:paraId="2E1F309E">
                  <w:pPr>
                    <w:adjustRightInd w:val="0"/>
                    <w:snapToGrid w:val="0"/>
                    <w:jc w:val="center"/>
                    <w:rPr>
                      <w:rFonts w:hint="default" w:ascii="Times New Roman" w:hAnsi="Times New Roman" w:eastAsia="仿宋_GB2312" w:cs="Times New Roman"/>
                      <w:b/>
                      <w:bCs/>
                      <w:sz w:val="21"/>
                      <w:szCs w:val="21"/>
                    </w:rPr>
                  </w:pPr>
                  <w:r>
                    <w:rPr>
                      <w:rFonts w:hint="default" w:ascii="Times New Roman" w:hAnsi="Times New Roman" w:eastAsia="仿宋_GB2312" w:cs="Times New Roman"/>
                      <w:b/>
                      <w:bCs/>
                      <w:sz w:val="21"/>
                      <w:szCs w:val="21"/>
                    </w:rPr>
                    <w:t>危险特性鉴别方法</w:t>
                  </w:r>
                </w:p>
              </w:tc>
              <w:tc>
                <w:tcPr>
                  <w:tcW w:w="330" w:type="pct"/>
                  <w:vAlign w:val="center"/>
                </w:tcPr>
                <w:p w14:paraId="7D98F86F">
                  <w:pPr>
                    <w:adjustRightInd w:val="0"/>
                    <w:snapToGrid w:val="0"/>
                    <w:jc w:val="center"/>
                    <w:rPr>
                      <w:rFonts w:hint="default" w:ascii="Times New Roman" w:hAnsi="Times New Roman" w:eastAsia="仿宋_GB2312" w:cs="Times New Roman"/>
                      <w:b/>
                      <w:bCs/>
                      <w:sz w:val="21"/>
                      <w:szCs w:val="21"/>
                    </w:rPr>
                  </w:pPr>
                  <w:r>
                    <w:rPr>
                      <w:rFonts w:hint="default" w:ascii="Times New Roman" w:hAnsi="Times New Roman" w:eastAsia="仿宋_GB2312" w:cs="Times New Roman"/>
                      <w:b/>
                      <w:bCs/>
                      <w:sz w:val="21"/>
                      <w:szCs w:val="21"/>
                    </w:rPr>
                    <w:t>危险</w:t>
                  </w:r>
                </w:p>
                <w:p w14:paraId="707FAEC3">
                  <w:pPr>
                    <w:adjustRightInd w:val="0"/>
                    <w:snapToGrid w:val="0"/>
                    <w:jc w:val="center"/>
                    <w:rPr>
                      <w:rFonts w:hint="default" w:ascii="Times New Roman" w:hAnsi="Times New Roman" w:eastAsia="仿宋_GB2312" w:cs="Times New Roman"/>
                      <w:b/>
                      <w:bCs/>
                      <w:sz w:val="21"/>
                      <w:szCs w:val="21"/>
                    </w:rPr>
                  </w:pPr>
                  <w:r>
                    <w:rPr>
                      <w:rFonts w:hint="default" w:ascii="Times New Roman" w:hAnsi="Times New Roman" w:eastAsia="仿宋_GB2312" w:cs="Times New Roman"/>
                      <w:b/>
                      <w:bCs/>
                      <w:sz w:val="21"/>
                      <w:szCs w:val="21"/>
                    </w:rPr>
                    <w:t>特性</w:t>
                  </w:r>
                </w:p>
              </w:tc>
              <w:tc>
                <w:tcPr>
                  <w:tcW w:w="329" w:type="pct"/>
                  <w:vAlign w:val="center"/>
                </w:tcPr>
                <w:p w14:paraId="6D60532B">
                  <w:pPr>
                    <w:adjustRightInd w:val="0"/>
                    <w:snapToGrid w:val="0"/>
                    <w:jc w:val="center"/>
                    <w:rPr>
                      <w:rFonts w:hint="default" w:ascii="Times New Roman" w:hAnsi="Times New Roman" w:eastAsia="仿宋_GB2312" w:cs="Times New Roman"/>
                      <w:b/>
                      <w:bCs/>
                      <w:sz w:val="21"/>
                      <w:szCs w:val="21"/>
                    </w:rPr>
                  </w:pPr>
                  <w:r>
                    <w:rPr>
                      <w:rFonts w:hint="default" w:ascii="Times New Roman" w:hAnsi="Times New Roman" w:eastAsia="仿宋_GB2312" w:cs="Times New Roman"/>
                      <w:b/>
                      <w:bCs/>
                      <w:sz w:val="21"/>
                      <w:szCs w:val="21"/>
                    </w:rPr>
                    <w:t>废物类别</w:t>
                  </w:r>
                </w:p>
              </w:tc>
              <w:tc>
                <w:tcPr>
                  <w:tcW w:w="342" w:type="pct"/>
                  <w:vAlign w:val="center"/>
                </w:tcPr>
                <w:p w14:paraId="23637ADB">
                  <w:pPr>
                    <w:adjustRightInd w:val="0"/>
                    <w:snapToGrid w:val="0"/>
                    <w:jc w:val="center"/>
                    <w:rPr>
                      <w:rFonts w:hint="default" w:ascii="Times New Roman" w:hAnsi="Times New Roman" w:eastAsia="仿宋_GB2312" w:cs="Times New Roman"/>
                      <w:b/>
                      <w:bCs/>
                      <w:sz w:val="21"/>
                      <w:szCs w:val="21"/>
                    </w:rPr>
                  </w:pPr>
                  <w:r>
                    <w:rPr>
                      <w:rFonts w:hint="default" w:ascii="Times New Roman" w:hAnsi="Times New Roman" w:eastAsia="仿宋_GB2312" w:cs="Times New Roman"/>
                      <w:b/>
                      <w:bCs/>
                      <w:sz w:val="21"/>
                      <w:szCs w:val="21"/>
                    </w:rPr>
                    <w:t>废物代码</w:t>
                  </w:r>
                </w:p>
              </w:tc>
              <w:tc>
                <w:tcPr>
                  <w:tcW w:w="594" w:type="pct"/>
                  <w:vAlign w:val="center"/>
                </w:tcPr>
                <w:p w14:paraId="3A6CDC21">
                  <w:pPr>
                    <w:adjustRightInd w:val="0"/>
                    <w:snapToGrid w:val="0"/>
                    <w:jc w:val="center"/>
                    <w:rPr>
                      <w:rFonts w:hint="default" w:ascii="Times New Roman" w:hAnsi="Times New Roman" w:eastAsia="仿宋_GB2312" w:cs="Times New Roman"/>
                      <w:b/>
                      <w:bCs/>
                      <w:sz w:val="21"/>
                      <w:szCs w:val="21"/>
                    </w:rPr>
                  </w:pPr>
                  <w:r>
                    <w:rPr>
                      <w:rFonts w:hint="default" w:ascii="Times New Roman" w:hAnsi="Times New Roman" w:eastAsia="仿宋_GB2312" w:cs="Times New Roman"/>
                      <w:b/>
                      <w:bCs/>
                      <w:sz w:val="21"/>
                      <w:szCs w:val="21"/>
                    </w:rPr>
                    <w:t>估算年产生量</w:t>
                  </w:r>
                </w:p>
              </w:tc>
            </w:tr>
            <w:tr w14:paraId="4448BB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91" w:type="pct"/>
                  <w:vAlign w:val="center"/>
                </w:tcPr>
                <w:p w14:paraId="77762881">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1</w:t>
                  </w:r>
                </w:p>
              </w:tc>
              <w:tc>
                <w:tcPr>
                  <w:tcW w:w="343" w:type="pct"/>
                  <w:vAlign w:val="center"/>
                </w:tcPr>
                <w:p w14:paraId="0AFCC4A4">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生活</w:t>
                  </w:r>
                </w:p>
                <w:p w14:paraId="1E109116">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垃圾</w:t>
                  </w:r>
                </w:p>
              </w:tc>
              <w:tc>
                <w:tcPr>
                  <w:tcW w:w="301" w:type="pct"/>
                  <w:vMerge w:val="restart"/>
                  <w:vAlign w:val="center"/>
                </w:tcPr>
                <w:p w14:paraId="55EE1CB8">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一般固废</w:t>
                  </w:r>
                </w:p>
              </w:tc>
              <w:tc>
                <w:tcPr>
                  <w:tcW w:w="465" w:type="pct"/>
                  <w:vAlign w:val="center"/>
                </w:tcPr>
                <w:p w14:paraId="2AD0AE90">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施工人员生活</w:t>
                  </w:r>
                </w:p>
              </w:tc>
              <w:tc>
                <w:tcPr>
                  <w:tcW w:w="329" w:type="pct"/>
                  <w:vAlign w:val="center"/>
                </w:tcPr>
                <w:p w14:paraId="22C59D7C">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固</w:t>
                  </w:r>
                </w:p>
              </w:tc>
              <w:tc>
                <w:tcPr>
                  <w:tcW w:w="514" w:type="pct"/>
                  <w:vAlign w:val="center"/>
                </w:tcPr>
                <w:p w14:paraId="1237695A">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生活垃圾</w:t>
                  </w:r>
                </w:p>
              </w:tc>
              <w:tc>
                <w:tcPr>
                  <w:tcW w:w="1156" w:type="pct"/>
                  <w:vMerge w:val="restart"/>
                  <w:vAlign w:val="center"/>
                </w:tcPr>
                <w:p w14:paraId="66E50650">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《固体废物鉴别标准</w:t>
                  </w:r>
                  <w:r>
                    <w:rPr>
                      <w:rFonts w:hint="eastAsia" w:eastAsia="仿宋_GB2312" w:cs="Times New Roman"/>
                      <w:sz w:val="21"/>
                      <w:szCs w:val="21"/>
                      <w:lang w:val="en-US" w:eastAsia="zh-CN"/>
                    </w:rPr>
                    <w:t xml:space="preserve"> </w:t>
                  </w:r>
                  <w:r>
                    <w:rPr>
                      <w:rFonts w:hint="default" w:ascii="Times New Roman" w:hAnsi="Times New Roman" w:eastAsia="仿宋_GB2312" w:cs="Times New Roman"/>
                      <w:sz w:val="21"/>
                      <w:szCs w:val="21"/>
                    </w:rPr>
                    <w:t>通则》GB34330-20</w:t>
                  </w:r>
                  <w:r>
                    <w:rPr>
                      <w:rFonts w:hint="eastAsia" w:eastAsia="仿宋_GB2312" w:cs="Times New Roman"/>
                      <w:sz w:val="21"/>
                      <w:szCs w:val="21"/>
                      <w:lang w:val="en-US" w:eastAsia="zh-CN"/>
                    </w:rPr>
                    <w:t>25</w:t>
                  </w:r>
                  <w:r>
                    <w:rPr>
                      <w:rFonts w:hint="default" w:ascii="Times New Roman" w:hAnsi="Times New Roman" w:eastAsia="仿宋_GB2312" w:cs="Times New Roman"/>
                      <w:sz w:val="21"/>
                      <w:szCs w:val="21"/>
                    </w:rPr>
                    <w:t>）</w:t>
                  </w:r>
                </w:p>
              </w:tc>
              <w:tc>
                <w:tcPr>
                  <w:tcW w:w="330" w:type="pct"/>
                  <w:vAlign w:val="center"/>
                </w:tcPr>
                <w:p w14:paraId="7B3023C5">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w:t>
                  </w:r>
                </w:p>
              </w:tc>
              <w:tc>
                <w:tcPr>
                  <w:tcW w:w="329" w:type="pct"/>
                  <w:vAlign w:val="center"/>
                </w:tcPr>
                <w:p w14:paraId="00D92E50">
                  <w:pPr>
                    <w:pStyle w:val="56"/>
                    <w:spacing w:before="24" w:after="24" w:line="240" w:lineRule="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w:t>
                  </w:r>
                </w:p>
              </w:tc>
              <w:tc>
                <w:tcPr>
                  <w:tcW w:w="342" w:type="pct"/>
                  <w:vAlign w:val="center"/>
                </w:tcPr>
                <w:p w14:paraId="26D25C5A">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w:t>
                  </w:r>
                </w:p>
              </w:tc>
              <w:tc>
                <w:tcPr>
                  <w:tcW w:w="594" w:type="pct"/>
                  <w:vAlign w:val="center"/>
                </w:tcPr>
                <w:p w14:paraId="6F2D9F64">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2.25t</w:t>
                  </w:r>
                </w:p>
              </w:tc>
            </w:tr>
            <w:tr w14:paraId="30BDB3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91" w:type="pct"/>
                  <w:vAlign w:val="center"/>
                </w:tcPr>
                <w:p w14:paraId="3551ACFB">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2</w:t>
                  </w:r>
                </w:p>
              </w:tc>
              <w:tc>
                <w:tcPr>
                  <w:tcW w:w="343" w:type="pct"/>
                  <w:vAlign w:val="center"/>
                </w:tcPr>
                <w:p w14:paraId="1965EF34">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弃土</w:t>
                  </w:r>
                </w:p>
              </w:tc>
              <w:tc>
                <w:tcPr>
                  <w:tcW w:w="301" w:type="pct"/>
                  <w:vMerge w:val="continue"/>
                  <w:vAlign w:val="center"/>
                </w:tcPr>
                <w:p w14:paraId="76966572">
                  <w:pPr>
                    <w:adjustRightInd w:val="0"/>
                    <w:snapToGrid w:val="0"/>
                    <w:jc w:val="center"/>
                    <w:rPr>
                      <w:rFonts w:hint="default" w:ascii="Times New Roman" w:hAnsi="Times New Roman" w:eastAsia="仿宋_GB2312" w:cs="Times New Roman"/>
                      <w:sz w:val="21"/>
                      <w:szCs w:val="21"/>
                    </w:rPr>
                  </w:pPr>
                </w:p>
              </w:tc>
              <w:tc>
                <w:tcPr>
                  <w:tcW w:w="465" w:type="pct"/>
                  <w:vAlign w:val="center"/>
                </w:tcPr>
                <w:p w14:paraId="02BEB22A">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土方开挖</w:t>
                  </w:r>
                </w:p>
              </w:tc>
              <w:tc>
                <w:tcPr>
                  <w:tcW w:w="329" w:type="pct"/>
                  <w:vAlign w:val="center"/>
                </w:tcPr>
                <w:p w14:paraId="68C5B086">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固</w:t>
                  </w:r>
                </w:p>
              </w:tc>
              <w:tc>
                <w:tcPr>
                  <w:tcW w:w="514" w:type="pct"/>
                  <w:vAlign w:val="center"/>
                </w:tcPr>
                <w:p w14:paraId="0311F886">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土方</w:t>
                  </w:r>
                </w:p>
              </w:tc>
              <w:tc>
                <w:tcPr>
                  <w:tcW w:w="1156" w:type="pct"/>
                  <w:vMerge w:val="continue"/>
                  <w:vAlign w:val="center"/>
                </w:tcPr>
                <w:p w14:paraId="6377F01D">
                  <w:pPr>
                    <w:adjustRightInd w:val="0"/>
                    <w:snapToGrid w:val="0"/>
                    <w:jc w:val="center"/>
                    <w:rPr>
                      <w:rFonts w:hint="default" w:ascii="Times New Roman" w:hAnsi="Times New Roman" w:eastAsia="仿宋_GB2312" w:cs="Times New Roman"/>
                      <w:sz w:val="21"/>
                      <w:szCs w:val="21"/>
                    </w:rPr>
                  </w:pPr>
                </w:p>
              </w:tc>
              <w:tc>
                <w:tcPr>
                  <w:tcW w:w="330" w:type="pct"/>
                  <w:vAlign w:val="center"/>
                </w:tcPr>
                <w:p w14:paraId="0B4374AA">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w:t>
                  </w:r>
                </w:p>
              </w:tc>
              <w:tc>
                <w:tcPr>
                  <w:tcW w:w="329" w:type="pct"/>
                  <w:vAlign w:val="center"/>
                </w:tcPr>
                <w:p w14:paraId="35DF45FF">
                  <w:pPr>
                    <w:pStyle w:val="56"/>
                    <w:spacing w:before="24" w:after="24" w:line="240" w:lineRule="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w:t>
                  </w:r>
                </w:p>
              </w:tc>
              <w:tc>
                <w:tcPr>
                  <w:tcW w:w="342" w:type="pct"/>
                  <w:vAlign w:val="center"/>
                </w:tcPr>
                <w:p w14:paraId="518D0FDE">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w:t>
                  </w:r>
                </w:p>
              </w:tc>
              <w:tc>
                <w:tcPr>
                  <w:tcW w:w="594" w:type="pct"/>
                  <w:vAlign w:val="center"/>
                </w:tcPr>
                <w:p w14:paraId="2BA69563">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200m</w:t>
                  </w:r>
                  <w:r>
                    <w:rPr>
                      <w:rFonts w:hint="default" w:ascii="Times New Roman" w:hAnsi="Times New Roman" w:eastAsia="仿宋_GB2312" w:cs="Times New Roman"/>
                      <w:sz w:val="21"/>
                      <w:szCs w:val="21"/>
                      <w:vertAlign w:val="superscript"/>
                    </w:rPr>
                    <w:t>3</w:t>
                  </w:r>
                </w:p>
              </w:tc>
            </w:tr>
            <w:tr w14:paraId="087988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91" w:type="pct"/>
                  <w:vAlign w:val="center"/>
                </w:tcPr>
                <w:p w14:paraId="78969354">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3</w:t>
                  </w:r>
                </w:p>
              </w:tc>
              <w:tc>
                <w:tcPr>
                  <w:tcW w:w="343" w:type="pct"/>
                  <w:vAlign w:val="center"/>
                </w:tcPr>
                <w:p w14:paraId="439F0596">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建筑垃圾</w:t>
                  </w:r>
                </w:p>
              </w:tc>
              <w:tc>
                <w:tcPr>
                  <w:tcW w:w="301" w:type="pct"/>
                  <w:vMerge w:val="continue"/>
                  <w:vAlign w:val="center"/>
                </w:tcPr>
                <w:p w14:paraId="46A61FF0">
                  <w:pPr>
                    <w:adjustRightInd w:val="0"/>
                    <w:snapToGrid w:val="0"/>
                    <w:jc w:val="center"/>
                    <w:rPr>
                      <w:rFonts w:hint="default" w:ascii="Times New Roman" w:hAnsi="Times New Roman" w:eastAsia="仿宋_GB2312" w:cs="Times New Roman"/>
                      <w:sz w:val="21"/>
                      <w:szCs w:val="21"/>
                    </w:rPr>
                  </w:pPr>
                </w:p>
              </w:tc>
              <w:tc>
                <w:tcPr>
                  <w:tcW w:w="465" w:type="pct"/>
                  <w:vAlign w:val="center"/>
                </w:tcPr>
                <w:p w14:paraId="6E2408DC">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新建厂房</w:t>
                  </w:r>
                </w:p>
              </w:tc>
              <w:tc>
                <w:tcPr>
                  <w:tcW w:w="329" w:type="pct"/>
                  <w:vAlign w:val="center"/>
                </w:tcPr>
                <w:p w14:paraId="7774D57B">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固</w:t>
                  </w:r>
                </w:p>
              </w:tc>
              <w:tc>
                <w:tcPr>
                  <w:tcW w:w="514" w:type="pct"/>
                  <w:vAlign w:val="center"/>
                </w:tcPr>
                <w:p w14:paraId="582ECFBC">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砂石、砖块</w:t>
                  </w:r>
                </w:p>
              </w:tc>
              <w:tc>
                <w:tcPr>
                  <w:tcW w:w="1156" w:type="pct"/>
                  <w:vMerge w:val="continue"/>
                  <w:vAlign w:val="center"/>
                </w:tcPr>
                <w:p w14:paraId="16E44979">
                  <w:pPr>
                    <w:adjustRightInd w:val="0"/>
                    <w:snapToGrid w:val="0"/>
                    <w:jc w:val="center"/>
                    <w:rPr>
                      <w:rFonts w:hint="default" w:ascii="Times New Roman" w:hAnsi="Times New Roman" w:eastAsia="仿宋_GB2312" w:cs="Times New Roman"/>
                      <w:sz w:val="21"/>
                      <w:szCs w:val="21"/>
                    </w:rPr>
                  </w:pPr>
                </w:p>
              </w:tc>
              <w:tc>
                <w:tcPr>
                  <w:tcW w:w="330" w:type="pct"/>
                  <w:vAlign w:val="center"/>
                </w:tcPr>
                <w:p w14:paraId="4EE36931">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w:t>
                  </w:r>
                </w:p>
              </w:tc>
              <w:tc>
                <w:tcPr>
                  <w:tcW w:w="329" w:type="pct"/>
                  <w:vAlign w:val="center"/>
                </w:tcPr>
                <w:p w14:paraId="05476C86">
                  <w:pPr>
                    <w:pStyle w:val="56"/>
                    <w:spacing w:before="24" w:after="24" w:line="240" w:lineRule="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w:t>
                  </w:r>
                </w:p>
              </w:tc>
              <w:tc>
                <w:tcPr>
                  <w:tcW w:w="342" w:type="pct"/>
                  <w:vAlign w:val="center"/>
                </w:tcPr>
                <w:p w14:paraId="201AFD7D">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w:t>
                  </w:r>
                </w:p>
              </w:tc>
              <w:tc>
                <w:tcPr>
                  <w:tcW w:w="594" w:type="pct"/>
                  <w:vAlign w:val="center"/>
                </w:tcPr>
                <w:p w14:paraId="467B6FB7">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2.592t</w:t>
                  </w:r>
                </w:p>
              </w:tc>
            </w:tr>
          </w:tbl>
          <w:p w14:paraId="3963AE56">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default" w:ascii="Times New Roman" w:hAnsi="Times New Roman" w:eastAsia="仿宋_GB2312" w:cs="Times New Roman"/>
                <w:b/>
                <w:color w:val="000000"/>
              </w:rPr>
            </w:pPr>
            <w:r>
              <w:rPr>
                <w:rFonts w:hint="default" w:ascii="Times New Roman" w:hAnsi="Times New Roman" w:eastAsia="仿宋_GB2312" w:cs="Times New Roman"/>
                <w:b/>
                <w:color w:val="000000"/>
              </w:rPr>
              <w:t>表4-</w:t>
            </w:r>
            <w:r>
              <w:rPr>
                <w:rFonts w:hint="eastAsia" w:ascii="Times New Roman" w:hAnsi="Times New Roman" w:eastAsia="仿宋_GB2312" w:cs="Times New Roman"/>
                <w:b/>
                <w:color w:val="000000"/>
                <w:lang w:val="en-US" w:eastAsia="zh-CN"/>
              </w:rPr>
              <w:t xml:space="preserve">8  </w:t>
            </w:r>
            <w:r>
              <w:rPr>
                <w:rFonts w:hint="default" w:ascii="Times New Roman" w:hAnsi="Times New Roman" w:eastAsia="仿宋_GB2312" w:cs="Times New Roman"/>
                <w:b/>
                <w:color w:val="000000"/>
              </w:rPr>
              <w:t>新建项目固体废物污染源源强核算结果及相关参数一览表</w:t>
            </w:r>
          </w:p>
          <w:tbl>
            <w:tblPr>
              <w:tblStyle w:val="31"/>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4"/>
              <w:gridCol w:w="1070"/>
              <w:gridCol w:w="916"/>
              <w:gridCol w:w="765"/>
              <w:gridCol w:w="1070"/>
              <w:gridCol w:w="919"/>
              <w:gridCol w:w="916"/>
              <w:gridCol w:w="921"/>
              <w:gridCol w:w="1160"/>
            </w:tblGrid>
            <w:tr w14:paraId="3406CA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444" w:type="pct"/>
                  <w:vMerge w:val="restart"/>
                  <w:vAlign w:val="center"/>
                </w:tcPr>
                <w:p w14:paraId="4023EB84">
                  <w:pPr>
                    <w:adjustRightInd w:val="0"/>
                    <w:snapToGrid w:val="0"/>
                    <w:jc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sz w:val="21"/>
                      <w:szCs w:val="21"/>
                    </w:rPr>
                    <w:t>工序/生产线</w:t>
                  </w:r>
                </w:p>
              </w:tc>
              <w:tc>
                <w:tcPr>
                  <w:tcW w:w="630" w:type="pct"/>
                  <w:vMerge w:val="restart"/>
                  <w:vAlign w:val="center"/>
                </w:tcPr>
                <w:p w14:paraId="3D0EEB5D">
                  <w:pPr>
                    <w:adjustRightInd w:val="0"/>
                    <w:snapToGrid w:val="0"/>
                    <w:jc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sz w:val="21"/>
                      <w:szCs w:val="21"/>
                    </w:rPr>
                    <w:t>装置</w:t>
                  </w:r>
                </w:p>
              </w:tc>
              <w:tc>
                <w:tcPr>
                  <w:tcW w:w="539" w:type="pct"/>
                  <w:vMerge w:val="restart"/>
                  <w:vAlign w:val="center"/>
                </w:tcPr>
                <w:p w14:paraId="00682269">
                  <w:pPr>
                    <w:adjustRightInd w:val="0"/>
                    <w:snapToGrid w:val="0"/>
                    <w:jc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sz w:val="21"/>
                      <w:szCs w:val="21"/>
                    </w:rPr>
                    <w:t>固体废物名称</w:t>
                  </w:r>
                </w:p>
              </w:tc>
              <w:tc>
                <w:tcPr>
                  <w:tcW w:w="450" w:type="pct"/>
                  <w:vMerge w:val="restart"/>
                  <w:vAlign w:val="center"/>
                </w:tcPr>
                <w:p w14:paraId="35FCBE88">
                  <w:pPr>
                    <w:adjustRightInd w:val="0"/>
                    <w:snapToGrid w:val="0"/>
                    <w:jc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sz w:val="21"/>
                      <w:szCs w:val="21"/>
                    </w:rPr>
                    <w:t>固废属性</w:t>
                  </w:r>
                </w:p>
              </w:tc>
              <w:tc>
                <w:tcPr>
                  <w:tcW w:w="1171" w:type="pct"/>
                  <w:gridSpan w:val="2"/>
                  <w:vAlign w:val="center"/>
                </w:tcPr>
                <w:p w14:paraId="3C263D93">
                  <w:pPr>
                    <w:adjustRightInd w:val="0"/>
                    <w:snapToGrid w:val="0"/>
                    <w:jc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sz w:val="21"/>
                      <w:szCs w:val="21"/>
                    </w:rPr>
                    <w:t>产生情况</w:t>
                  </w:r>
                </w:p>
              </w:tc>
              <w:tc>
                <w:tcPr>
                  <w:tcW w:w="1081" w:type="pct"/>
                  <w:gridSpan w:val="2"/>
                  <w:vAlign w:val="center"/>
                </w:tcPr>
                <w:p w14:paraId="22151449">
                  <w:pPr>
                    <w:adjustRightInd w:val="0"/>
                    <w:snapToGrid w:val="0"/>
                    <w:jc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sz w:val="21"/>
                      <w:szCs w:val="21"/>
                    </w:rPr>
                    <w:t>处置措施</w:t>
                  </w:r>
                </w:p>
              </w:tc>
              <w:tc>
                <w:tcPr>
                  <w:tcW w:w="682" w:type="pct"/>
                  <w:vMerge w:val="restart"/>
                  <w:vAlign w:val="center"/>
                </w:tcPr>
                <w:p w14:paraId="1DB7ECDE">
                  <w:pPr>
                    <w:adjustRightInd w:val="0"/>
                    <w:snapToGrid w:val="0"/>
                    <w:jc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sz w:val="21"/>
                      <w:szCs w:val="21"/>
                    </w:rPr>
                    <w:t>最终去向</w:t>
                  </w:r>
                </w:p>
              </w:tc>
            </w:tr>
            <w:tr w14:paraId="2D9F6A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444" w:type="pct"/>
                  <w:vMerge w:val="continue"/>
                  <w:vAlign w:val="center"/>
                </w:tcPr>
                <w:p w14:paraId="03A2D9FC">
                  <w:pPr>
                    <w:adjustRightInd w:val="0"/>
                    <w:snapToGrid w:val="0"/>
                    <w:jc w:val="center"/>
                    <w:rPr>
                      <w:rFonts w:hint="default" w:ascii="Times New Roman" w:hAnsi="Times New Roman" w:eastAsia="仿宋_GB2312" w:cs="Times New Roman"/>
                      <w:b/>
                      <w:sz w:val="21"/>
                      <w:szCs w:val="21"/>
                    </w:rPr>
                  </w:pPr>
                </w:p>
              </w:tc>
              <w:tc>
                <w:tcPr>
                  <w:tcW w:w="630" w:type="pct"/>
                  <w:vMerge w:val="continue"/>
                  <w:vAlign w:val="center"/>
                </w:tcPr>
                <w:p w14:paraId="199158C3">
                  <w:pPr>
                    <w:adjustRightInd w:val="0"/>
                    <w:snapToGrid w:val="0"/>
                    <w:jc w:val="center"/>
                    <w:rPr>
                      <w:rFonts w:hint="default" w:ascii="Times New Roman" w:hAnsi="Times New Roman" w:eastAsia="仿宋_GB2312" w:cs="Times New Roman"/>
                      <w:b/>
                      <w:sz w:val="21"/>
                      <w:szCs w:val="21"/>
                    </w:rPr>
                  </w:pPr>
                </w:p>
              </w:tc>
              <w:tc>
                <w:tcPr>
                  <w:tcW w:w="539" w:type="pct"/>
                  <w:vMerge w:val="continue"/>
                  <w:vAlign w:val="center"/>
                </w:tcPr>
                <w:p w14:paraId="7806FDDD">
                  <w:pPr>
                    <w:adjustRightInd w:val="0"/>
                    <w:snapToGrid w:val="0"/>
                    <w:jc w:val="center"/>
                    <w:rPr>
                      <w:rFonts w:hint="default" w:ascii="Times New Roman" w:hAnsi="Times New Roman" w:eastAsia="仿宋_GB2312" w:cs="Times New Roman"/>
                      <w:b/>
                      <w:sz w:val="21"/>
                      <w:szCs w:val="21"/>
                    </w:rPr>
                  </w:pPr>
                </w:p>
              </w:tc>
              <w:tc>
                <w:tcPr>
                  <w:tcW w:w="450" w:type="pct"/>
                  <w:vMerge w:val="continue"/>
                  <w:vAlign w:val="center"/>
                </w:tcPr>
                <w:p w14:paraId="3F45FCFF">
                  <w:pPr>
                    <w:adjustRightInd w:val="0"/>
                    <w:snapToGrid w:val="0"/>
                    <w:jc w:val="center"/>
                    <w:rPr>
                      <w:rFonts w:hint="default" w:ascii="Times New Roman" w:hAnsi="Times New Roman" w:eastAsia="仿宋_GB2312" w:cs="Times New Roman"/>
                      <w:b/>
                      <w:sz w:val="21"/>
                      <w:szCs w:val="21"/>
                    </w:rPr>
                  </w:pPr>
                </w:p>
              </w:tc>
              <w:tc>
                <w:tcPr>
                  <w:tcW w:w="630" w:type="pct"/>
                  <w:vAlign w:val="center"/>
                </w:tcPr>
                <w:p w14:paraId="7B07AA42">
                  <w:pPr>
                    <w:adjustRightInd w:val="0"/>
                    <w:snapToGrid w:val="0"/>
                    <w:jc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sz w:val="21"/>
                      <w:szCs w:val="21"/>
                    </w:rPr>
                    <w:t>核算方法</w:t>
                  </w:r>
                </w:p>
              </w:tc>
              <w:tc>
                <w:tcPr>
                  <w:tcW w:w="540" w:type="pct"/>
                  <w:vAlign w:val="center"/>
                </w:tcPr>
                <w:p w14:paraId="701BAE32">
                  <w:pPr>
                    <w:adjustRightInd w:val="0"/>
                    <w:snapToGrid w:val="0"/>
                    <w:jc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sz w:val="21"/>
                      <w:szCs w:val="21"/>
                    </w:rPr>
                    <w:t>年产生量</w:t>
                  </w:r>
                </w:p>
              </w:tc>
              <w:tc>
                <w:tcPr>
                  <w:tcW w:w="539" w:type="pct"/>
                  <w:vAlign w:val="center"/>
                </w:tcPr>
                <w:p w14:paraId="70F696B1">
                  <w:pPr>
                    <w:adjustRightInd w:val="0"/>
                    <w:snapToGrid w:val="0"/>
                    <w:jc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sz w:val="21"/>
                      <w:szCs w:val="21"/>
                    </w:rPr>
                    <w:t>工艺</w:t>
                  </w:r>
                </w:p>
              </w:tc>
              <w:tc>
                <w:tcPr>
                  <w:tcW w:w="541" w:type="pct"/>
                  <w:vAlign w:val="center"/>
                </w:tcPr>
                <w:p w14:paraId="3EFFFF1C">
                  <w:pPr>
                    <w:adjustRightInd w:val="0"/>
                    <w:snapToGrid w:val="0"/>
                    <w:jc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sz w:val="21"/>
                      <w:szCs w:val="21"/>
                    </w:rPr>
                    <w:t>年处置量</w:t>
                  </w:r>
                </w:p>
              </w:tc>
              <w:tc>
                <w:tcPr>
                  <w:tcW w:w="682" w:type="pct"/>
                  <w:vMerge w:val="continue"/>
                  <w:vAlign w:val="center"/>
                </w:tcPr>
                <w:p w14:paraId="7DEAA3EB">
                  <w:pPr>
                    <w:adjustRightInd w:val="0"/>
                    <w:snapToGrid w:val="0"/>
                    <w:jc w:val="center"/>
                    <w:rPr>
                      <w:rFonts w:hint="default" w:ascii="Times New Roman" w:hAnsi="Times New Roman" w:eastAsia="仿宋_GB2312" w:cs="Times New Roman"/>
                      <w:b/>
                      <w:sz w:val="21"/>
                      <w:szCs w:val="21"/>
                    </w:rPr>
                  </w:pPr>
                </w:p>
              </w:tc>
            </w:tr>
            <w:tr w14:paraId="720569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444" w:type="pct"/>
                  <w:vMerge w:val="restart"/>
                  <w:vAlign w:val="center"/>
                </w:tcPr>
                <w:p w14:paraId="57D4F58F">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施工</w:t>
                  </w:r>
                </w:p>
              </w:tc>
              <w:tc>
                <w:tcPr>
                  <w:tcW w:w="630" w:type="pct"/>
                  <w:vAlign w:val="center"/>
                </w:tcPr>
                <w:p w14:paraId="1FDD6065">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施工人员生活</w:t>
                  </w:r>
                </w:p>
              </w:tc>
              <w:tc>
                <w:tcPr>
                  <w:tcW w:w="539" w:type="pct"/>
                  <w:vAlign w:val="center"/>
                </w:tcPr>
                <w:p w14:paraId="0AC7B652">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生活</w:t>
                  </w:r>
                </w:p>
                <w:p w14:paraId="2AAA2109">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垃圾</w:t>
                  </w:r>
                </w:p>
              </w:tc>
              <w:tc>
                <w:tcPr>
                  <w:tcW w:w="450" w:type="pct"/>
                  <w:vMerge w:val="restart"/>
                  <w:vAlign w:val="center"/>
                </w:tcPr>
                <w:p w14:paraId="5BC2276A">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一般固体废物</w:t>
                  </w:r>
                </w:p>
              </w:tc>
              <w:tc>
                <w:tcPr>
                  <w:tcW w:w="630" w:type="pct"/>
                  <w:vAlign w:val="center"/>
                </w:tcPr>
                <w:p w14:paraId="426F02D8">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产污系数法</w:t>
                  </w:r>
                </w:p>
              </w:tc>
              <w:tc>
                <w:tcPr>
                  <w:tcW w:w="540" w:type="pct"/>
                  <w:vAlign w:val="center"/>
                </w:tcPr>
                <w:p w14:paraId="37CD038B">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2.25t</w:t>
                  </w:r>
                </w:p>
              </w:tc>
              <w:tc>
                <w:tcPr>
                  <w:tcW w:w="539" w:type="pct"/>
                  <w:vAlign w:val="center"/>
                </w:tcPr>
                <w:p w14:paraId="4F0DB4A0">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环卫部门清运</w:t>
                  </w:r>
                </w:p>
              </w:tc>
              <w:tc>
                <w:tcPr>
                  <w:tcW w:w="541" w:type="pct"/>
                  <w:vAlign w:val="center"/>
                </w:tcPr>
                <w:p w14:paraId="5BD742C1">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2.25t</w:t>
                  </w:r>
                </w:p>
              </w:tc>
              <w:tc>
                <w:tcPr>
                  <w:tcW w:w="682" w:type="pct"/>
                  <w:vAlign w:val="center"/>
                </w:tcPr>
                <w:p w14:paraId="6C28BDC7">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环卫部门</w:t>
                  </w:r>
                </w:p>
              </w:tc>
            </w:tr>
            <w:tr w14:paraId="0265A9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444" w:type="pct"/>
                  <w:vMerge w:val="continue"/>
                  <w:vAlign w:val="center"/>
                </w:tcPr>
                <w:p w14:paraId="549C68B2">
                  <w:pPr>
                    <w:jc w:val="center"/>
                    <w:rPr>
                      <w:rFonts w:hint="default" w:ascii="Times New Roman" w:hAnsi="Times New Roman" w:eastAsia="仿宋_GB2312" w:cs="Times New Roman"/>
                      <w:sz w:val="21"/>
                      <w:szCs w:val="21"/>
                    </w:rPr>
                  </w:pPr>
                </w:p>
              </w:tc>
              <w:tc>
                <w:tcPr>
                  <w:tcW w:w="630" w:type="pct"/>
                  <w:vAlign w:val="center"/>
                </w:tcPr>
                <w:p w14:paraId="0F69656F">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土方开挖</w:t>
                  </w:r>
                </w:p>
              </w:tc>
              <w:tc>
                <w:tcPr>
                  <w:tcW w:w="539" w:type="pct"/>
                  <w:vAlign w:val="center"/>
                </w:tcPr>
                <w:p w14:paraId="596514F6">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弃土</w:t>
                  </w:r>
                </w:p>
              </w:tc>
              <w:tc>
                <w:tcPr>
                  <w:tcW w:w="450" w:type="pct"/>
                  <w:vMerge w:val="continue"/>
                  <w:vAlign w:val="center"/>
                </w:tcPr>
                <w:p w14:paraId="15E1FFB4">
                  <w:pPr>
                    <w:adjustRightInd w:val="0"/>
                    <w:snapToGrid w:val="0"/>
                    <w:jc w:val="center"/>
                    <w:rPr>
                      <w:rFonts w:hint="default" w:ascii="Times New Roman" w:hAnsi="Times New Roman" w:eastAsia="仿宋_GB2312" w:cs="Times New Roman"/>
                      <w:sz w:val="21"/>
                      <w:szCs w:val="21"/>
                    </w:rPr>
                  </w:pPr>
                </w:p>
              </w:tc>
              <w:tc>
                <w:tcPr>
                  <w:tcW w:w="630" w:type="pct"/>
                  <w:vAlign w:val="center"/>
                </w:tcPr>
                <w:p w14:paraId="1A1B6A2B">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产污系数法</w:t>
                  </w:r>
                </w:p>
              </w:tc>
              <w:tc>
                <w:tcPr>
                  <w:tcW w:w="540" w:type="pct"/>
                  <w:vAlign w:val="center"/>
                </w:tcPr>
                <w:p w14:paraId="28C4BBEE">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200m</w:t>
                  </w:r>
                  <w:r>
                    <w:rPr>
                      <w:rFonts w:hint="default" w:ascii="Times New Roman" w:hAnsi="Times New Roman" w:eastAsia="仿宋_GB2312" w:cs="Times New Roman"/>
                      <w:sz w:val="21"/>
                      <w:szCs w:val="21"/>
                      <w:vertAlign w:val="superscript"/>
                    </w:rPr>
                    <w:t>3</w:t>
                  </w:r>
                </w:p>
              </w:tc>
              <w:tc>
                <w:tcPr>
                  <w:tcW w:w="539" w:type="pct"/>
                  <w:vAlign w:val="center"/>
                </w:tcPr>
                <w:p w14:paraId="1E6A57CE">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外运</w:t>
                  </w:r>
                </w:p>
              </w:tc>
              <w:tc>
                <w:tcPr>
                  <w:tcW w:w="541" w:type="pct"/>
                  <w:vAlign w:val="center"/>
                </w:tcPr>
                <w:p w14:paraId="70B7321B">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200m</w:t>
                  </w:r>
                  <w:r>
                    <w:rPr>
                      <w:rFonts w:hint="default" w:ascii="Times New Roman" w:hAnsi="Times New Roman" w:eastAsia="仿宋_GB2312" w:cs="Times New Roman"/>
                      <w:sz w:val="21"/>
                      <w:szCs w:val="21"/>
                      <w:vertAlign w:val="superscript"/>
                    </w:rPr>
                    <w:t>3</w:t>
                  </w:r>
                </w:p>
              </w:tc>
              <w:tc>
                <w:tcPr>
                  <w:tcW w:w="682" w:type="pct"/>
                  <w:vAlign w:val="center"/>
                </w:tcPr>
                <w:p w14:paraId="3F0A1F75">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申报、登记，集中使用或对方在指定场所</w:t>
                  </w:r>
                </w:p>
              </w:tc>
            </w:tr>
            <w:tr w14:paraId="2D2865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444" w:type="pct"/>
                  <w:vMerge w:val="continue"/>
                  <w:vAlign w:val="center"/>
                </w:tcPr>
                <w:p w14:paraId="11316AE2">
                  <w:pPr>
                    <w:jc w:val="center"/>
                    <w:rPr>
                      <w:rFonts w:hint="default" w:ascii="Times New Roman" w:hAnsi="Times New Roman" w:eastAsia="仿宋_GB2312" w:cs="Times New Roman"/>
                      <w:sz w:val="21"/>
                      <w:szCs w:val="21"/>
                    </w:rPr>
                  </w:pPr>
                </w:p>
              </w:tc>
              <w:tc>
                <w:tcPr>
                  <w:tcW w:w="630" w:type="pct"/>
                  <w:vAlign w:val="center"/>
                </w:tcPr>
                <w:p w14:paraId="2FDE2869">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建筑垃圾</w:t>
                  </w:r>
                </w:p>
              </w:tc>
              <w:tc>
                <w:tcPr>
                  <w:tcW w:w="539" w:type="pct"/>
                  <w:vAlign w:val="center"/>
                </w:tcPr>
                <w:p w14:paraId="78C1197C">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建筑垃圾</w:t>
                  </w:r>
                </w:p>
              </w:tc>
              <w:tc>
                <w:tcPr>
                  <w:tcW w:w="450" w:type="pct"/>
                  <w:vMerge w:val="continue"/>
                  <w:vAlign w:val="center"/>
                </w:tcPr>
                <w:p w14:paraId="22FBA5FB">
                  <w:pPr>
                    <w:adjustRightInd w:val="0"/>
                    <w:snapToGrid w:val="0"/>
                    <w:jc w:val="center"/>
                    <w:rPr>
                      <w:rFonts w:hint="default" w:ascii="Times New Roman" w:hAnsi="Times New Roman" w:eastAsia="仿宋_GB2312" w:cs="Times New Roman"/>
                      <w:sz w:val="21"/>
                      <w:szCs w:val="21"/>
                    </w:rPr>
                  </w:pPr>
                </w:p>
              </w:tc>
              <w:tc>
                <w:tcPr>
                  <w:tcW w:w="630" w:type="pct"/>
                  <w:vAlign w:val="center"/>
                </w:tcPr>
                <w:p w14:paraId="2B1B5272">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产污系数法</w:t>
                  </w:r>
                </w:p>
              </w:tc>
              <w:tc>
                <w:tcPr>
                  <w:tcW w:w="540" w:type="pct"/>
                  <w:vAlign w:val="center"/>
                </w:tcPr>
                <w:p w14:paraId="5236A519">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2.592t</w:t>
                  </w:r>
                </w:p>
              </w:tc>
              <w:tc>
                <w:tcPr>
                  <w:tcW w:w="539" w:type="pct"/>
                  <w:vAlign w:val="center"/>
                </w:tcPr>
                <w:p w14:paraId="15688714">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外售</w:t>
                  </w:r>
                </w:p>
              </w:tc>
              <w:tc>
                <w:tcPr>
                  <w:tcW w:w="541" w:type="pct"/>
                  <w:vAlign w:val="center"/>
                </w:tcPr>
                <w:p w14:paraId="6612B952">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2.592t</w:t>
                  </w:r>
                </w:p>
              </w:tc>
              <w:tc>
                <w:tcPr>
                  <w:tcW w:w="682" w:type="pct"/>
                  <w:vAlign w:val="center"/>
                </w:tcPr>
                <w:p w14:paraId="775C5B53">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外售</w:t>
                  </w:r>
                </w:p>
              </w:tc>
            </w:tr>
          </w:tbl>
          <w:p w14:paraId="01CAE480">
            <w:pPr>
              <w:pStyle w:val="69"/>
              <w:spacing w:line="360" w:lineRule="auto"/>
              <w:ind w:firstLine="422" w:firstLineChars="200"/>
              <w:rPr>
                <w:rFonts w:hint="default" w:ascii="Times New Roman" w:hAnsi="Times New Roman" w:eastAsia="仿宋_GB2312" w:cs="Times New Roman"/>
                <w:b/>
                <w:bCs/>
                <w:snapToGrid w:val="0"/>
              </w:rPr>
            </w:pPr>
            <w:r>
              <w:rPr>
                <w:rFonts w:hint="default" w:ascii="Times New Roman" w:hAnsi="Times New Roman" w:eastAsia="仿宋_GB2312" w:cs="Times New Roman"/>
                <w:b/>
                <w:bCs/>
                <w:snapToGrid w:val="0"/>
              </w:rPr>
              <w:t>5、施工期生态环境影响分析</w:t>
            </w:r>
          </w:p>
          <w:p w14:paraId="5FACC5C9">
            <w:pPr>
              <w:pStyle w:val="69"/>
              <w:spacing w:line="360" w:lineRule="auto"/>
              <w:ind w:firstLine="420" w:firstLineChars="200"/>
              <w:rPr>
                <w:rFonts w:hint="default" w:ascii="Times New Roman" w:hAnsi="Times New Roman" w:eastAsia="仿宋_GB2312" w:cs="Times New Roman"/>
                <w:snapToGrid w:val="0"/>
              </w:rPr>
            </w:pPr>
            <w:r>
              <w:rPr>
                <w:rFonts w:hint="default" w:ascii="Times New Roman" w:hAnsi="Times New Roman" w:eastAsia="仿宋_GB2312" w:cs="Times New Roman"/>
                <w:snapToGrid w:val="0"/>
              </w:rPr>
              <w:t>1）土地利用类型影响分析</w:t>
            </w:r>
          </w:p>
          <w:p w14:paraId="022C8E36">
            <w:pPr>
              <w:spacing w:line="360" w:lineRule="auto"/>
              <w:ind w:firstLine="420" w:firstLineChars="200"/>
              <w:rPr>
                <w:rFonts w:hint="default" w:ascii="Times New Roman" w:hAnsi="Times New Roman" w:eastAsia="仿宋_GB2312" w:cs="Times New Roman"/>
                <w:bCs/>
              </w:rPr>
            </w:pPr>
            <w:r>
              <w:rPr>
                <w:rFonts w:hint="default" w:ascii="Times New Roman" w:hAnsi="Times New Roman" w:eastAsia="仿宋_GB2312" w:cs="Times New Roman"/>
                <w:bCs/>
              </w:rPr>
              <w:t>项目不新增占地，不改变用地性质和类别，对区域土地利用类型的影响小。</w:t>
            </w:r>
          </w:p>
          <w:p w14:paraId="02585E1A">
            <w:pPr>
              <w:pStyle w:val="69"/>
              <w:spacing w:line="360" w:lineRule="auto"/>
              <w:ind w:firstLine="420" w:firstLineChars="200"/>
              <w:rPr>
                <w:rFonts w:hint="default" w:ascii="Times New Roman" w:hAnsi="Times New Roman" w:eastAsia="仿宋_GB2312" w:cs="Times New Roman"/>
                <w:snapToGrid w:val="0"/>
              </w:rPr>
            </w:pPr>
            <w:r>
              <w:rPr>
                <w:rFonts w:hint="default" w:ascii="Times New Roman" w:hAnsi="Times New Roman" w:eastAsia="仿宋_GB2312" w:cs="Times New Roman"/>
                <w:snapToGrid w:val="0"/>
              </w:rPr>
              <w:t>2）对植被的影响</w:t>
            </w:r>
          </w:p>
          <w:p w14:paraId="131EAC92">
            <w:pPr>
              <w:spacing w:line="360" w:lineRule="auto"/>
              <w:ind w:firstLine="420" w:firstLineChars="200"/>
              <w:rPr>
                <w:rFonts w:hint="default" w:ascii="Times New Roman" w:hAnsi="Times New Roman" w:eastAsia="仿宋_GB2312" w:cs="Times New Roman"/>
                <w:bCs/>
              </w:rPr>
            </w:pPr>
            <w:r>
              <w:rPr>
                <w:rFonts w:hint="default" w:ascii="Times New Roman" w:hAnsi="Times New Roman" w:eastAsia="仿宋_GB2312" w:cs="Times New Roman"/>
                <w:bCs/>
              </w:rPr>
              <w:t>项目陆域施工内容主要有钢结构厂房搭建、输卤输水管线铺埋，涵体盖板拆除、翻新、加固及检查井翻建，现状均为硬质路面，施工区域不涉及珍稀濒危物种、关键种、土著种、建群种和特有种，天然的重要经济物种等，不涉及国家级和省级保护物种、珍稀濒危物种和地方特有物种，工程建设对植被无影响。</w:t>
            </w:r>
          </w:p>
          <w:p w14:paraId="1ACF0C18">
            <w:pPr>
              <w:pStyle w:val="69"/>
              <w:spacing w:line="360" w:lineRule="auto"/>
              <w:ind w:firstLine="420" w:firstLineChars="200"/>
              <w:rPr>
                <w:rFonts w:hint="default" w:ascii="Times New Roman" w:hAnsi="Times New Roman" w:eastAsia="仿宋_GB2312" w:cs="Times New Roman"/>
                <w:snapToGrid w:val="0"/>
              </w:rPr>
            </w:pPr>
            <w:r>
              <w:rPr>
                <w:rFonts w:hint="default" w:ascii="Times New Roman" w:hAnsi="Times New Roman" w:eastAsia="仿宋_GB2312" w:cs="Times New Roman"/>
                <w:snapToGrid w:val="0"/>
              </w:rPr>
              <w:t>3）对土壤的影响</w:t>
            </w:r>
          </w:p>
          <w:p w14:paraId="140FA345">
            <w:pPr>
              <w:spacing w:line="360" w:lineRule="auto"/>
              <w:ind w:firstLine="420" w:firstLineChars="200"/>
              <w:rPr>
                <w:rFonts w:hint="default" w:ascii="Times New Roman" w:hAnsi="Times New Roman" w:eastAsia="仿宋_GB2312" w:cs="Times New Roman"/>
                <w:bCs/>
              </w:rPr>
            </w:pPr>
            <w:r>
              <w:rPr>
                <w:rFonts w:hint="default" w:ascii="Times New Roman" w:hAnsi="Times New Roman" w:eastAsia="仿宋_GB2312" w:cs="Times New Roman"/>
                <w:bCs/>
              </w:rPr>
              <w:t>由于项目土方工程量较小，建筑弃土及时得以清运，不会导致区域地下水水位、径流及补给受到明显影响，对施工区域的土壤结构影响也较小。</w:t>
            </w:r>
          </w:p>
          <w:p w14:paraId="36F75852">
            <w:pPr>
              <w:pStyle w:val="69"/>
              <w:spacing w:line="360" w:lineRule="auto"/>
              <w:ind w:firstLine="420" w:firstLineChars="200"/>
              <w:rPr>
                <w:rFonts w:hint="default" w:ascii="Times New Roman" w:hAnsi="Times New Roman" w:eastAsia="仿宋_GB2312" w:cs="Times New Roman"/>
                <w:snapToGrid w:val="0"/>
              </w:rPr>
            </w:pPr>
            <w:r>
              <w:rPr>
                <w:rFonts w:hint="default" w:ascii="Times New Roman" w:hAnsi="Times New Roman" w:eastAsia="仿宋_GB2312" w:cs="Times New Roman"/>
                <w:snapToGrid w:val="0"/>
              </w:rPr>
              <w:t>4）对景观的影响</w:t>
            </w:r>
          </w:p>
          <w:p w14:paraId="4A041BDA">
            <w:pPr>
              <w:spacing w:line="360" w:lineRule="auto"/>
              <w:ind w:firstLine="420" w:firstLineChars="200"/>
              <w:rPr>
                <w:rFonts w:hint="default" w:ascii="Times New Roman" w:hAnsi="Times New Roman" w:eastAsia="仿宋_GB2312" w:cs="Times New Roman"/>
                <w:bCs/>
              </w:rPr>
            </w:pPr>
            <w:r>
              <w:rPr>
                <w:rFonts w:hint="default" w:ascii="Times New Roman" w:hAnsi="Times New Roman" w:eastAsia="仿宋_GB2312" w:cs="Times New Roman"/>
                <w:bCs/>
              </w:rPr>
              <w:t>施工场地的裸露地面、地表破损等，会因雨水冲刷、泥浆四溢，而影响路面环境卫生，对周围环境景观产生暂时的负面影响。施工场地及废弃土运输线路沿线的抛撒和遗漏引起的扬尘，也会对周围环境景观产生暂时的不利影响。施工拆除现有的破损盖板，在新盖板上方铺设彩色混凝土并做美化图案，可提升了区域景观环境。</w:t>
            </w:r>
          </w:p>
          <w:p w14:paraId="1AAD60C6">
            <w:pPr>
              <w:spacing w:line="360" w:lineRule="auto"/>
              <w:ind w:firstLine="420" w:firstLineChars="200"/>
              <w:rPr>
                <w:rFonts w:hint="default" w:ascii="Times New Roman" w:hAnsi="Times New Roman" w:eastAsia="仿宋_GB2312" w:cs="Times New Roman"/>
                <w:snapToGrid w:val="0"/>
              </w:rPr>
            </w:pPr>
            <w:r>
              <w:rPr>
                <w:rFonts w:hint="default" w:ascii="Times New Roman" w:hAnsi="Times New Roman" w:eastAsia="仿宋_GB2312" w:cs="Times New Roman"/>
                <w:snapToGrid w:val="0"/>
              </w:rPr>
              <w:t>5）弃土处置及水土流失分析</w:t>
            </w:r>
          </w:p>
          <w:p w14:paraId="086658F6">
            <w:pPr>
              <w:spacing w:line="360" w:lineRule="auto"/>
              <w:ind w:firstLine="420" w:firstLineChars="200"/>
              <w:rPr>
                <w:rFonts w:hint="default" w:ascii="Times New Roman" w:hAnsi="Times New Roman" w:eastAsia="仿宋_GB2312" w:cs="Times New Roman"/>
                <w:bCs/>
              </w:rPr>
            </w:pPr>
            <w:r>
              <w:rPr>
                <w:rFonts w:hint="default" w:ascii="Times New Roman" w:hAnsi="Times New Roman" w:eastAsia="仿宋_GB2312" w:cs="Times New Roman"/>
                <w:bCs/>
              </w:rPr>
              <w:t>本工程在实施过程中对水土保持造成的影响主要为以下两个方面：第一，在工程实施过程中，土方开挖、堆放会造成原有植被的人为破坏，在降雨的作用下，造成裸露在外的土壤遭到冲刷；第二，在工程实施中临时性的建筑等设施也会对植被造成一定的破坏，不利于水土的保持。如不及时采取有效的防治措施，将不可避免地造成人为水土流失。</w:t>
            </w:r>
          </w:p>
          <w:p w14:paraId="596F7E5A">
            <w:pPr>
              <w:spacing w:line="360" w:lineRule="auto"/>
              <w:ind w:firstLine="420" w:firstLineChars="200"/>
              <w:rPr>
                <w:rFonts w:hint="default" w:ascii="Times New Roman" w:hAnsi="Times New Roman" w:eastAsia="仿宋_GB2312" w:cs="Times New Roman"/>
                <w:bCs/>
              </w:rPr>
            </w:pPr>
            <w:r>
              <w:rPr>
                <w:rFonts w:hint="default" w:ascii="Times New Roman" w:hAnsi="Times New Roman" w:eastAsia="仿宋_GB2312" w:cs="Times New Roman"/>
                <w:bCs/>
              </w:rPr>
              <w:t>1）预防为主、保护优先、可持续发展原则。针对项目主体工程特征和新增水土流失特点，因地制宜，合理布局，最大限度地预防和治理工程建设过程中可能产生的水土流失，提高防治效果。充分利用主体工程方案优化和施工组织设计优化，减少弃土弃渣，达到合理利用水土资源、减少水土流失的目的。</w:t>
            </w:r>
          </w:p>
          <w:p w14:paraId="254F2A40">
            <w:pPr>
              <w:spacing w:line="360" w:lineRule="auto"/>
              <w:ind w:firstLine="420" w:firstLineChars="200"/>
              <w:rPr>
                <w:rFonts w:hint="default" w:ascii="Times New Roman" w:hAnsi="Times New Roman" w:eastAsia="仿宋_GB2312" w:cs="Times New Roman"/>
                <w:bCs/>
              </w:rPr>
            </w:pPr>
            <w:r>
              <w:rPr>
                <w:rFonts w:hint="default" w:ascii="Times New Roman" w:hAnsi="Times New Roman" w:eastAsia="仿宋_GB2312" w:cs="Times New Roman"/>
                <w:bCs/>
              </w:rPr>
              <w:t>2）经济可行、综合防治原则。工程措施、植物措施和临时防护措施相结合，以弃渣场和取土场为重点，尽可能降低工程造价，节省投资，获得较好的生态和社会效益。</w:t>
            </w:r>
          </w:p>
          <w:p w14:paraId="69148DC6">
            <w:pPr>
              <w:spacing w:line="360" w:lineRule="auto"/>
              <w:ind w:firstLine="420" w:firstLineChars="200"/>
              <w:rPr>
                <w:rFonts w:hint="default" w:ascii="Times New Roman" w:hAnsi="Times New Roman" w:eastAsia="仿宋_GB2312" w:cs="Times New Roman"/>
                <w:bCs/>
              </w:rPr>
            </w:pPr>
            <w:r>
              <w:rPr>
                <w:rFonts w:hint="default" w:ascii="Times New Roman" w:hAnsi="Times New Roman" w:eastAsia="仿宋_GB2312" w:cs="Times New Roman"/>
                <w:bCs/>
              </w:rPr>
              <w:t>3）统筹兼顾原则。水土保持方案与主体设计相衔接，将具体措施和要求纳入主体工程整体设计中落实；保护水土资源、防治水土流失与工程建设和安全运行相统一，防治并重，因地制宜，因害设防。</w:t>
            </w:r>
          </w:p>
          <w:p w14:paraId="548FCB6E">
            <w:pPr>
              <w:spacing w:line="360" w:lineRule="auto"/>
              <w:ind w:firstLine="420" w:firstLineChars="200"/>
              <w:rPr>
                <w:rFonts w:hint="default" w:ascii="Times New Roman" w:hAnsi="Times New Roman" w:eastAsia="仿宋_GB2312" w:cs="Times New Roman"/>
                <w:bCs/>
              </w:rPr>
            </w:pPr>
            <w:r>
              <w:rPr>
                <w:rFonts w:hint="default" w:ascii="Times New Roman" w:hAnsi="Times New Roman" w:eastAsia="仿宋_GB2312" w:cs="Times New Roman"/>
                <w:bCs/>
              </w:rPr>
              <w:t>4）坚持生态优先原则。水土保持措施除采取必要的工程措施以外，注重采取植物措施，与周边景观和环境相协调，达到人与自然和谐。</w:t>
            </w:r>
          </w:p>
          <w:p w14:paraId="2B7C2762">
            <w:pPr>
              <w:pStyle w:val="69"/>
              <w:spacing w:line="360" w:lineRule="auto"/>
              <w:ind w:firstLine="422" w:firstLineChars="200"/>
              <w:rPr>
                <w:rFonts w:hint="default" w:ascii="Times New Roman" w:hAnsi="Times New Roman" w:eastAsia="仿宋_GB2312" w:cs="Times New Roman"/>
                <w:b/>
                <w:bCs/>
                <w:snapToGrid w:val="0"/>
              </w:rPr>
            </w:pPr>
            <w:r>
              <w:rPr>
                <w:rFonts w:hint="default" w:ascii="Times New Roman" w:hAnsi="Times New Roman" w:eastAsia="仿宋_GB2312" w:cs="Times New Roman"/>
                <w:b/>
                <w:bCs/>
                <w:snapToGrid w:val="0"/>
              </w:rPr>
              <w:t>6、施工期地下水环境影响分析</w:t>
            </w:r>
          </w:p>
          <w:p w14:paraId="33E23A7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outlineLvl w:val="2"/>
              <w:rPr>
                <w:rFonts w:hint="default" w:ascii="Times New Roman" w:hAnsi="Times New Roman" w:eastAsia="仿宋_GB2312" w:cs="Times New Roman"/>
                <w:bCs/>
              </w:rPr>
            </w:pPr>
            <w:bookmarkStart w:id="47" w:name="_Toc23694"/>
            <w:bookmarkStart w:id="48" w:name="_Toc6185"/>
            <w:r>
              <w:rPr>
                <w:rFonts w:hint="default" w:ascii="Times New Roman" w:hAnsi="Times New Roman" w:eastAsia="仿宋_GB2312" w:cs="Times New Roman"/>
                <w:bCs/>
              </w:rPr>
              <w:t>本项目施工期废水主要为施工废水和生活污水，施工废水回用于场地降尘，生活污水经化粪池处理后接管金坛第二污水处理厂深度处理后接管排放，不会对地下水造成污染。</w:t>
            </w:r>
            <w:bookmarkEnd w:id="47"/>
            <w:bookmarkEnd w:id="48"/>
          </w:p>
          <w:p w14:paraId="20EB6E5A">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outlineLvl w:val="2"/>
              <w:rPr>
                <w:rFonts w:hint="eastAsia" w:ascii="Times New Roman" w:hAnsi="Times New Roman" w:eastAsia="仿宋_GB2312" w:cs="Times New Roman"/>
                <w:b/>
                <w:snapToGrid w:val="0"/>
                <w:color w:val="auto"/>
                <w:kern w:val="0"/>
                <w:sz w:val="21"/>
                <w:szCs w:val="21"/>
              </w:rPr>
            </w:pPr>
            <w:bookmarkStart w:id="49" w:name="_Toc28492"/>
            <w:bookmarkStart w:id="50" w:name="_Toc19669"/>
            <w:r>
              <w:rPr>
                <w:rFonts w:hint="eastAsia" w:eastAsia="仿宋_GB2312" w:cs="Times New Roman"/>
                <w:b/>
                <w:snapToGrid w:val="0"/>
                <w:color w:val="auto"/>
                <w:kern w:val="0"/>
                <w:sz w:val="21"/>
                <w:szCs w:val="21"/>
                <w:lang w:val="en-US" w:eastAsia="zh-CN"/>
              </w:rPr>
              <w:t>7</w:t>
            </w:r>
            <w:r>
              <w:rPr>
                <w:rFonts w:hint="eastAsia" w:ascii="Times New Roman" w:hAnsi="Times New Roman" w:eastAsia="仿宋_GB2312" w:cs="Times New Roman"/>
                <w:b/>
                <w:snapToGrid w:val="0"/>
                <w:color w:val="auto"/>
                <w:kern w:val="0"/>
                <w:sz w:val="21"/>
                <w:szCs w:val="21"/>
                <w:lang w:val="en-US" w:eastAsia="zh-CN"/>
              </w:rPr>
              <w:t>、</w:t>
            </w:r>
            <w:r>
              <w:rPr>
                <w:rFonts w:hint="eastAsia" w:ascii="Times New Roman" w:hAnsi="Times New Roman" w:eastAsia="仿宋_GB2312" w:cs="Times New Roman"/>
                <w:b/>
                <w:snapToGrid w:val="0"/>
                <w:color w:val="auto"/>
                <w:kern w:val="0"/>
                <w:sz w:val="21"/>
                <w:szCs w:val="21"/>
              </w:rPr>
              <w:t>拆除设备环境影响分析</w:t>
            </w:r>
            <w:bookmarkEnd w:id="49"/>
            <w:bookmarkEnd w:id="50"/>
          </w:p>
          <w:p w14:paraId="4A4B0F4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仿宋_GB2312" w:cs="Times New Roman"/>
                <w:snapToGrid w:val="0"/>
                <w:color w:val="auto"/>
                <w:kern w:val="0"/>
                <w:sz w:val="21"/>
                <w:szCs w:val="21"/>
              </w:rPr>
            </w:pPr>
            <w:r>
              <w:rPr>
                <w:rFonts w:hint="eastAsia" w:ascii="Times New Roman" w:hAnsi="Times New Roman" w:eastAsia="仿宋_GB2312" w:cs="Times New Roman"/>
                <w:snapToGrid w:val="0"/>
                <w:color w:val="auto"/>
                <w:kern w:val="0"/>
                <w:sz w:val="21"/>
                <w:szCs w:val="21"/>
              </w:rPr>
              <w:t>拆除工程主要内容为</w:t>
            </w:r>
            <w:r>
              <w:rPr>
                <w:rFonts w:hint="eastAsia" w:ascii="Times New Roman" w:hAnsi="Times New Roman" w:eastAsia="仿宋_GB2312" w:cs="Times New Roman"/>
                <w:snapToGrid w:val="0"/>
                <w:color w:val="auto"/>
                <w:kern w:val="0"/>
                <w:sz w:val="21"/>
                <w:szCs w:val="21"/>
                <w:lang w:val="en-US" w:eastAsia="zh-CN"/>
              </w:rPr>
              <w:t>2个100m</w:t>
            </w:r>
            <w:r>
              <w:rPr>
                <w:rFonts w:hint="eastAsia" w:ascii="Times New Roman" w:hAnsi="Times New Roman" w:eastAsia="仿宋_GB2312" w:cs="Times New Roman"/>
                <w:snapToGrid w:val="0"/>
                <w:color w:val="auto"/>
                <w:kern w:val="0"/>
                <w:sz w:val="21"/>
                <w:szCs w:val="21"/>
                <w:vertAlign w:val="superscript"/>
                <w:lang w:val="en-US" w:eastAsia="zh-CN"/>
              </w:rPr>
              <w:t>3</w:t>
            </w:r>
            <w:r>
              <w:rPr>
                <w:rFonts w:hint="eastAsia" w:ascii="Times New Roman" w:hAnsi="Times New Roman" w:eastAsia="仿宋_GB2312" w:cs="Times New Roman"/>
                <w:snapToGrid w:val="0"/>
                <w:color w:val="auto"/>
                <w:kern w:val="0"/>
                <w:sz w:val="21"/>
                <w:szCs w:val="21"/>
                <w:lang w:val="en-US" w:eastAsia="zh-CN"/>
              </w:rPr>
              <w:t>卧式储罐的</w:t>
            </w:r>
            <w:r>
              <w:rPr>
                <w:rFonts w:hint="eastAsia" w:ascii="Times New Roman" w:hAnsi="Times New Roman" w:eastAsia="仿宋_GB2312" w:cs="Times New Roman"/>
                <w:snapToGrid w:val="0"/>
                <w:color w:val="auto"/>
                <w:kern w:val="0"/>
                <w:sz w:val="21"/>
                <w:szCs w:val="21"/>
              </w:rPr>
              <w:t>拆除；设备拆卸，不对生产车间结构及其它配套用房房屋结构进行拆除。施工范围</w:t>
            </w:r>
            <w:r>
              <w:rPr>
                <w:rFonts w:hint="eastAsia" w:ascii="Times New Roman" w:hAnsi="Times New Roman" w:eastAsia="仿宋_GB2312" w:cs="Times New Roman"/>
                <w:snapToGrid w:val="0"/>
                <w:color w:val="auto"/>
                <w:kern w:val="0"/>
                <w:sz w:val="21"/>
                <w:szCs w:val="21"/>
                <w:lang w:val="en-US" w:eastAsia="zh-CN"/>
              </w:rPr>
              <w:t>为原料储罐区</w:t>
            </w:r>
            <w:r>
              <w:rPr>
                <w:rFonts w:hint="eastAsia" w:ascii="Times New Roman" w:hAnsi="Times New Roman" w:eastAsia="仿宋_GB2312" w:cs="Times New Roman"/>
                <w:snapToGrid w:val="0"/>
                <w:color w:val="auto"/>
                <w:kern w:val="0"/>
                <w:sz w:val="21"/>
                <w:szCs w:val="21"/>
              </w:rPr>
              <w:t>。</w:t>
            </w:r>
          </w:p>
          <w:p w14:paraId="65248AE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仿宋_GB2312" w:cs="Times New Roman"/>
                <w:snapToGrid w:val="0"/>
                <w:color w:val="auto"/>
                <w:kern w:val="0"/>
                <w:sz w:val="21"/>
                <w:szCs w:val="21"/>
              </w:rPr>
            </w:pPr>
            <w:r>
              <w:rPr>
                <w:rFonts w:hint="eastAsia" w:ascii="Times New Roman" w:hAnsi="Times New Roman" w:eastAsia="仿宋_GB2312" w:cs="Times New Roman"/>
                <w:snapToGrid w:val="0"/>
                <w:color w:val="auto"/>
                <w:kern w:val="0"/>
                <w:sz w:val="21"/>
                <w:szCs w:val="21"/>
                <w:lang w:eastAsia="zh-CN"/>
              </w:rPr>
              <w:t>（</w:t>
            </w:r>
            <w:r>
              <w:rPr>
                <w:rFonts w:hint="eastAsia" w:ascii="Times New Roman" w:hAnsi="Times New Roman" w:eastAsia="仿宋_GB2312" w:cs="Times New Roman"/>
                <w:snapToGrid w:val="0"/>
                <w:color w:val="auto"/>
                <w:kern w:val="0"/>
                <w:sz w:val="21"/>
                <w:szCs w:val="21"/>
                <w:lang w:val="en-US" w:eastAsia="zh-CN"/>
              </w:rPr>
              <w:t>1</w:t>
            </w:r>
            <w:r>
              <w:rPr>
                <w:rFonts w:hint="eastAsia" w:ascii="Times New Roman" w:hAnsi="Times New Roman" w:eastAsia="仿宋_GB2312" w:cs="Times New Roman"/>
                <w:snapToGrid w:val="0"/>
                <w:color w:val="auto"/>
                <w:kern w:val="0"/>
                <w:sz w:val="21"/>
                <w:szCs w:val="21"/>
                <w:lang w:eastAsia="zh-CN"/>
              </w:rPr>
              <w:t>）</w:t>
            </w:r>
            <w:r>
              <w:rPr>
                <w:rFonts w:hint="eastAsia" w:ascii="Times New Roman" w:hAnsi="Times New Roman" w:eastAsia="仿宋_GB2312" w:cs="Times New Roman"/>
                <w:snapToGrid w:val="0"/>
                <w:color w:val="auto"/>
                <w:kern w:val="0"/>
                <w:sz w:val="21"/>
                <w:szCs w:val="21"/>
              </w:rPr>
              <w:t>施工方法及要求</w:t>
            </w:r>
          </w:p>
          <w:p w14:paraId="7FE2B23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仿宋_GB2312" w:cs="Times New Roman"/>
                <w:snapToGrid w:val="0"/>
                <w:color w:val="auto"/>
                <w:kern w:val="0"/>
                <w:sz w:val="21"/>
                <w:szCs w:val="21"/>
              </w:rPr>
            </w:pPr>
            <w:r>
              <w:rPr>
                <w:rFonts w:hint="eastAsia" w:ascii="Times New Roman" w:hAnsi="Times New Roman" w:eastAsia="仿宋_GB2312" w:cs="Times New Roman"/>
                <w:snapToGrid w:val="0"/>
                <w:color w:val="auto"/>
                <w:kern w:val="0"/>
                <w:sz w:val="21"/>
                <w:szCs w:val="21"/>
              </w:rPr>
              <w:t>1）对设备编号</w:t>
            </w:r>
          </w:p>
          <w:p w14:paraId="2DB8C0A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仿宋_GB2312" w:cs="Times New Roman"/>
                <w:snapToGrid w:val="0"/>
                <w:color w:val="auto"/>
                <w:kern w:val="0"/>
                <w:sz w:val="21"/>
                <w:szCs w:val="21"/>
              </w:rPr>
            </w:pPr>
            <w:r>
              <w:rPr>
                <w:rFonts w:hint="eastAsia" w:ascii="Times New Roman" w:hAnsi="Times New Roman" w:eastAsia="仿宋_GB2312" w:cs="Times New Roman"/>
                <w:snapToGrid w:val="0"/>
                <w:color w:val="auto"/>
                <w:kern w:val="0"/>
                <w:sz w:val="21"/>
                <w:szCs w:val="21"/>
              </w:rPr>
              <w:t>对所有拆卸的设备部件、附件等依据规定的“设备编号规则”统一编号，其编号位置至少对应两处，标识在设备明显、外露、便于查找的地方。编号采用记号笔进行，应保证牢靠、清晰、不易被涂抹。</w:t>
            </w:r>
          </w:p>
          <w:p w14:paraId="5E7096E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仿宋_GB2312" w:cs="Times New Roman"/>
                <w:snapToGrid w:val="0"/>
                <w:color w:val="auto"/>
                <w:kern w:val="0"/>
                <w:sz w:val="21"/>
                <w:szCs w:val="21"/>
              </w:rPr>
            </w:pPr>
            <w:r>
              <w:rPr>
                <w:rFonts w:hint="eastAsia" w:ascii="Times New Roman" w:hAnsi="Times New Roman" w:eastAsia="仿宋_GB2312" w:cs="Times New Roman"/>
                <w:snapToGrid w:val="0"/>
                <w:color w:val="auto"/>
                <w:kern w:val="0"/>
                <w:sz w:val="21"/>
                <w:szCs w:val="21"/>
              </w:rPr>
              <w:t>2）断水、电、油、气</w:t>
            </w:r>
          </w:p>
          <w:p w14:paraId="35251FB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仿宋_GB2312" w:cs="Times New Roman"/>
                <w:snapToGrid w:val="0"/>
                <w:color w:val="auto"/>
                <w:kern w:val="0"/>
                <w:sz w:val="21"/>
                <w:szCs w:val="21"/>
              </w:rPr>
            </w:pPr>
            <w:r>
              <w:rPr>
                <w:rFonts w:hint="eastAsia" w:ascii="Times New Roman" w:hAnsi="Times New Roman" w:eastAsia="仿宋_GB2312" w:cs="Times New Roman"/>
                <w:snapToGrid w:val="0"/>
                <w:color w:val="auto"/>
                <w:kern w:val="0"/>
                <w:sz w:val="21"/>
                <w:szCs w:val="21"/>
              </w:rPr>
              <w:t>设备拆除前必须断掉水、电、油、气等，其中特别是电、油、气一定要绝对彻底，不得马虎。经安全员专检后，方可进行下道工序。</w:t>
            </w:r>
          </w:p>
          <w:p w14:paraId="5B6CCA0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仿宋_GB2312" w:cs="Times New Roman"/>
                <w:snapToGrid w:val="0"/>
                <w:color w:val="auto"/>
                <w:kern w:val="0"/>
                <w:sz w:val="21"/>
                <w:szCs w:val="21"/>
              </w:rPr>
            </w:pPr>
            <w:r>
              <w:rPr>
                <w:rFonts w:hint="eastAsia" w:ascii="Times New Roman" w:hAnsi="Times New Roman" w:eastAsia="仿宋_GB2312" w:cs="Times New Roman"/>
                <w:snapToGrid w:val="0"/>
                <w:color w:val="auto"/>
                <w:kern w:val="0"/>
                <w:sz w:val="21"/>
                <w:szCs w:val="21"/>
              </w:rPr>
              <w:t>断电、油、气后应及时排放设备和管线内介质</w:t>
            </w:r>
            <w:r>
              <w:rPr>
                <w:rFonts w:hint="eastAsia" w:ascii="Times New Roman" w:hAnsi="Times New Roman" w:eastAsia="仿宋_GB2312" w:cs="Times New Roman"/>
                <w:snapToGrid w:val="0"/>
                <w:color w:val="auto"/>
                <w:kern w:val="0"/>
                <w:sz w:val="21"/>
                <w:szCs w:val="21"/>
                <w:lang w:eastAsia="zh-CN"/>
              </w:rPr>
              <w:t>，</w:t>
            </w:r>
            <w:r>
              <w:rPr>
                <w:rFonts w:hint="eastAsia" w:ascii="Times New Roman" w:hAnsi="Times New Roman" w:eastAsia="仿宋_GB2312" w:cs="Times New Roman"/>
                <w:snapToGrid w:val="0"/>
                <w:color w:val="auto"/>
                <w:kern w:val="0"/>
                <w:sz w:val="21"/>
                <w:szCs w:val="21"/>
              </w:rPr>
              <w:t>不得有剩余在管线或设备中，残存物应立即清理干净，将保留下来的设备管口用塑料布扎牢靠，封闭好。</w:t>
            </w:r>
          </w:p>
          <w:p w14:paraId="786E6D0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仿宋_GB2312" w:cs="Times New Roman"/>
                <w:snapToGrid w:val="0"/>
                <w:color w:val="auto"/>
                <w:kern w:val="0"/>
                <w:sz w:val="21"/>
                <w:szCs w:val="21"/>
              </w:rPr>
            </w:pPr>
            <w:r>
              <w:rPr>
                <w:rFonts w:hint="eastAsia" w:ascii="Times New Roman" w:hAnsi="Times New Roman" w:eastAsia="仿宋_GB2312" w:cs="Times New Roman"/>
                <w:snapToGrid w:val="0"/>
                <w:color w:val="auto"/>
                <w:kern w:val="0"/>
                <w:sz w:val="21"/>
                <w:szCs w:val="21"/>
              </w:rPr>
              <w:t>3）设备拆卸</w:t>
            </w:r>
          </w:p>
          <w:p w14:paraId="1B83278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仿宋_GB2312" w:cs="Times New Roman"/>
                <w:snapToGrid w:val="0"/>
                <w:color w:val="auto"/>
                <w:kern w:val="0"/>
                <w:sz w:val="21"/>
                <w:szCs w:val="21"/>
              </w:rPr>
            </w:pPr>
            <w:r>
              <w:rPr>
                <w:rFonts w:hint="eastAsia" w:ascii="Times New Roman" w:hAnsi="Times New Roman" w:eastAsia="仿宋_GB2312" w:cs="Times New Roman"/>
                <w:snapToGrid w:val="0"/>
                <w:color w:val="auto"/>
                <w:kern w:val="0"/>
                <w:sz w:val="21"/>
                <w:szCs w:val="21"/>
              </w:rPr>
              <w:t>拆卸前应将现场设备拆卸后的堆放场地、运输车辆出、入和路线等均用标志、标记、红线、白线、划分清楚。同一编号的设备应按顺序排放在道木垫上（起吊运输穿、挂绳套比较方便）；严禁不同编号的设备拆卸设备混杂堆放在一起，给以后清查造成很大的困难。</w:t>
            </w:r>
          </w:p>
          <w:p w14:paraId="77BF580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仿宋_GB2312" w:cs="Times New Roman"/>
                <w:snapToGrid w:val="0"/>
                <w:color w:val="auto"/>
                <w:kern w:val="0"/>
                <w:sz w:val="21"/>
                <w:szCs w:val="21"/>
              </w:rPr>
            </w:pPr>
            <w:r>
              <w:rPr>
                <w:rFonts w:hint="eastAsia" w:ascii="Times New Roman" w:hAnsi="Times New Roman" w:eastAsia="仿宋_GB2312" w:cs="Times New Roman"/>
                <w:snapToGrid w:val="0"/>
                <w:color w:val="auto"/>
                <w:kern w:val="0"/>
                <w:sz w:val="21"/>
                <w:szCs w:val="21"/>
              </w:rPr>
              <w:t>附属在设备上的小型电机、执行元件、信号、记录、计数等仪表装置，需要进行集中处理，避免遗落在现场造成污染。</w:t>
            </w:r>
          </w:p>
          <w:p w14:paraId="333787D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仿宋_GB2312" w:cs="Times New Roman"/>
                <w:snapToGrid w:val="0"/>
                <w:color w:val="auto"/>
                <w:kern w:val="0"/>
                <w:sz w:val="21"/>
                <w:szCs w:val="21"/>
              </w:rPr>
            </w:pPr>
            <w:r>
              <w:rPr>
                <w:rFonts w:hint="eastAsia" w:ascii="Times New Roman" w:hAnsi="Times New Roman" w:eastAsia="仿宋_GB2312" w:cs="Times New Roman"/>
                <w:snapToGrid w:val="0"/>
                <w:color w:val="auto"/>
                <w:kern w:val="0"/>
                <w:sz w:val="21"/>
                <w:szCs w:val="21"/>
              </w:rPr>
              <w:t>影响设备起吊、搬运的保护罩、油管、电缆和各种电气元件等，若需拆除或拆移至合适位置，其裸口必须立即采用封口措施，防止污染。</w:t>
            </w:r>
          </w:p>
          <w:p w14:paraId="1B6490A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仿宋_GB2312" w:cs="Times New Roman"/>
                <w:snapToGrid w:val="0"/>
                <w:color w:val="auto"/>
                <w:kern w:val="0"/>
                <w:sz w:val="21"/>
                <w:szCs w:val="21"/>
              </w:rPr>
            </w:pPr>
            <w:r>
              <w:rPr>
                <w:rFonts w:hint="eastAsia" w:ascii="Times New Roman" w:hAnsi="Times New Roman" w:eastAsia="仿宋_GB2312" w:cs="Times New Roman"/>
                <w:snapToGrid w:val="0"/>
                <w:color w:val="auto"/>
                <w:kern w:val="0"/>
                <w:sz w:val="21"/>
                <w:szCs w:val="21"/>
              </w:rPr>
              <w:t>4）设备与吊装</w:t>
            </w:r>
          </w:p>
          <w:p w14:paraId="2CD6C2E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仿宋_GB2312" w:cs="Times New Roman"/>
                <w:snapToGrid w:val="0"/>
                <w:color w:val="auto"/>
                <w:kern w:val="0"/>
                <w:sz w:val="21"/>
                <w:szCs w:val="21"/>
              </w:rPr>
            </w:pPr>
            <w:r>
              <w:rPr>
                <w:rFonts w:hint="eastAsia" w:ascii="Times New Roman" w:hAnsi="Times New Roman" w:eastAsia="仿宋_GB2312" w:cs="Times New Roman"/>
                <w:snapToGrid w:val="0"/>
                <w:color w:val="auto"/>
                <w:kern w:val="0"/>
                <w:sz w:val="21"/>
                <w:szCs w:val="21"/>
              </w:rPr>
              <w:t>在吊装与运输前要知道运件的重量，起重运输设备严禁超负荷使用，吊装时要注意重心位置，对重心较高的设备，侧面应支撑固定，防止设备倾倒。</w:t>
            </w:r>
          </w:p>
          <w:p w14:paraId="2297574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仿宋_GB2312" w:cs="Times New Roman"/>
                <w:snapToGrid w:val="0"/>
                <w:color w:val="auto"/>
                <w:kern w:val="0"/>
                <w:sz w:val="21"/>
                <w:szCs w:val="21"/>
              </w:rPr>
            </w:pPr>
            <w:r>
              <w:rPr>
                <w:rFonts w:hint="eastAsia" w:ascii="Times New Roman" w:hAnsi="Times New Roman" w:eastAsia="仿宋_GB2312" w:cs="Times New Roman"/>
                <w:snapToGrid w:val="0"/>
                <w:color w:val="auto"/>
                <w:kern w:val="0"/>
                <w:sz w:val="21"/>
                <w:szCs w:val="21"/>
                <w:lang w:eastAsia="zh-CN"/>
              </w:rPr>
              <w:t>（</w:t>
            </w:r>
            <w:r>
              <w:rPr>
                <w:rFonts w:hint="eastAsia" w:ascii="Times New Roman" w:hAnsi="Times New Roman" w:eastAsia="仿宋_GB2312" w:cs="Times New Roman"/>
                <w:snapToGrid w:val="0"/>
                <w:color w:val="auto"/>
                <w:kern w:val="0"/>
                <w:sz w:val="21"/>
                <w:szCs w:val="21"/>
                <w:lang w:val="en-US" w:eastAsia="zh-CN"/>
              </w:rPr>
              <w:t>2</w:t>
            </w:r>
            <w:r>
              <w:rPr>
                <w:rFonts w:hint="eastAsia" w:ascii="Times New Roman" w:hAnsi="Times New Roman" w:eastAsia="仿宋_GB2312" w:cs="Times New Roman"/>
                <w:snapToGrid w:val="0"/>
                <w:color w:val="auto"/>
                <w:kern w:val="0"/>
                <w:sz w:val="21"/>
                <w:szCs w:val="21"/>
                <w:lang w:eastAsia="zh-CN"/>
              </w:rPr>
              <w:t>）</w:t>
            </w:r>
            <w:r>
              <w:rPr>
                <w:rFonts w:hint="eastAsia" w:ascii="Times New Roman" w:hAnsi="Times New Roman" w:eastAsia="仿宋_GB2312" w:cs="Times New Roman"/>
                <w:snapToGrid w:val="0"/>
                <w:color w:val="auto"/>
                <w:kern w:val="0"/>
                <w:sz w:val="21"/>
                <w:szCs w:val="21"/>
              </w:rPr>
              <w:t>拆除过程防治措施</w:t>
            </w:r>
          </w:p>
          <w:p w14:paraId="6D33959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仿宋_GB2312" w:cs="Times New Roman"/>
                <w:snapToGrid w:val="0"/>
                <w:color w:val="auto"/>
                <w:kern w:val="0"/>
                <w:sz w:val="21"/>
                <w:szCs w:val="21"/>
              </w:rPr>
            </w:pPr>
            <w:r>
              <w:rPr>
                <w:rFonts w:hint="eastAsia" w:ascii="Times New Roman" w:hAnsi="Times New Roman" w:eastAsia="仿宋_GB2312" w:cs="Times New Roman"/>
                <w:snapToGrid w:val="0"/>
                <w:color w:val="auto"/>
                <w:kern w:val="0"/>
                <w:sz w:val="21"/>
                <w:szCs w:val="21"/>
              </w:rPr>
              <w:t>1）废气</w:t>
            </w:r>
          </w:p>
          <w:p w14:paraId="1349427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仿宋_GB2312" w:cs="Times New Roman"/>
                <w:snapToGrid w:val="0"/>
                <w:color w:val="auto"/>
                <w:kern w:val="0"/>
                <w:sz w:val="21"/>
                <w:szCs w:val="21"/>
              </w:rPr>
            </w:pPr>
            <w:r>
              <w:rPr>
                <w:rFonts w:hint="default" w:ascii="Times New Roman" w:hAnsi="Times New Roman" w:eastAsia="仿宋_GB2312" w:cs="Times New Roman"/>
                <w:snapToGrid w:val="0"/>
                <w:color w:val="auto"/>
                <w:kern w:val="0"/>
                <w:sz w:val="21"/>
                <w:szCs w:val="21"/>
              </w:rPr>
              <w:t>①拆除</w:t>
            </w:r>
            <w:r>
              <w:rPr>
                <w:rFonts w:hint="default" w:ascii="Times New Roman" w:hAnsi="Times New Roman" w:eastAsia="仿宋_GB2312" w:cs="Times New Roman"/>
                <w:snapToGrid w:val="0"/>
                <w:color w:val="auto"/>
                <w:kern w:val="0"/>
                <w:sz w:val="21"/>
                <w:szCs w:val="21"/>
                <w:lang w:val="en-US" w:eastAsia="zh-CN"/>
              </w:rPr>
              <w:t>时应</w:t>
            </w:r>
            <w:r>
              <w:rPr>
                <w:rFonts w:hint="default" w:ascii="Times New Roman" w:hAnsi="Times New Roman" w:eastAsia="仿宋_GB2312" w:cs="Times New Roman"/>
                <w:snapToGrid w:val="0"/>
                <w:color w:val="auto"/>
                <w:kern w:val="0"/>
                <w:sz w:val="21"/>
                <w:szCs w:val="21"/>
              </w:rPr>
              <w:t>采取喷淋、洒水、喷雾状水等措施进行降尘处理，需当天完成清理作业，并清理好现场，所有设备均需做到日拆日清，不隔天清理。遇超过4级以上大风或降雨降雪天气，所有设备及零部件严禁在室外清理或堆存。</w:t>
            </w:r>
          </w:p>
          <w:p w14:paraId="5E43060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仿宋_GB2312" w:cs="Times New Roman"/>
                <w:snapToGrid w:val="0"/>
                <w:color w:val="auto"/>
                <w:kern w:val="0"/>
                <w:sz w:val="21"/>
                <w:szCs w:val="21"/>
              </w:rPr>
            </w:pPr>
            <w:r>
              <w:rPr>
                <w:rFonts w:hint="default" w:ascii="Times New Roman" w:hAnsi="Times New Roman" w:eastAsia="仿宋_GB2312" w:cs="Times New Roman"/>
                <w:snapToGrid w:val="0"/>
                <w:color w:val="auto"/>
                <w:kern w:val="0"/>
                <w:sz w:val="21"/>
                <w:szCs w:val="21"/>
              </w:rPr>
              <w:t>②车辆出入口出设置清洗车辆用喷头和冲洗池，驶入和驶出现场的运输车辆必须车身整洁，不得污染道路，运输车辆经冲洗干净后驶出施工场地，防止车辆将泥砂带出场外。</w:t>
            </w:r>
          </w:p>
          <w:p w14:paraId="3FEA67B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仿宋_GB2312" w:cs="Times New Roman"/>
                <w:snapToGrid w:val="0"/>
                <w:color w:val="auto"/>
                <w:kern w:val="0"/>
                <w:sz w:val="21"/>
                <w:szCs w:val="21"/>
              </w:rPr>
            </w:pPr>
            <w:r>
              <w:rPr>
                <w:rFonts w:hint="default" w:ascii="Times New Roman" w:hAnsi="Times New Roman" w:eastAsia="仿宋_GB2312" w:cs="Times New Roman"/>
                <w:snapToGrid w:val="0"/>
                <w:color w:val="auto"/>
                <w:kern w:val="0"/>
                <w:sz w:val="21"/>
                <w:szCs w:val="21"/>
              </w:rPr>
              <w:t>③对出入拆除现场及厂房内的各种车辆进行限速（行驶速度不得超过15公里/小时），防止车速过快产生扬尘。</w:t>
            </w:r>
          </w:p>
          <w:p w14:paraId="1E23D9A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仿宋_GB2312" w:cs="Times New Roman"/>
                <w:snapToGrid w:val="0"/>
                <w:color w:val="auto"/>
                <w:kern w:val="0"/>
                <w:sz w:val="21"/>
                <w:szCs w:val="21"/>
              </w:rPr>
            </w:pPr>
            <w:r>
              <w:rPr>
                <w:rFonts w:hint="eastAsia" w:ascii="Times New Roman" w:hAnsi="Times New Roman" w:eastAsia="仿宋_GB2312" w:cs="Times New Roman"/>
                <w:snapToGrid w:val="0"/>
                <w:color w:val="auto"/>
                <w:kern w:val="0"/>
                <w:sz w:val="21"/>
                <w:szCs w:val="21"/>
              </w:rPr>
              <w:t>2）废水</w:t>
            </w:r>
          </w:p>
          <w:p w14:paraId="0E8D1DC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仿宋_GB2312" w:cs="Times New Roman"/>
                <w:snapToGrid w:val="0"/>
                <w:color w:val="auto"/>
                <w:kern w:val="0"/>
                <w:sz w:val="21"/>
                <w:szCs w:val="21"/>
              </w:rPr>
            </w:pPr>
            <w:r>
              <w:rPr>
                <w:rFonts w:hint="eastAsia" w:ascii="Times New Roman" w:hAnsi="Times New Roman" w:eastAsia="仿宋_GB2312" w:cs="Times New Roman"/>
                <w:snapToGrid w:val="0"/>
                <w:color w:val="auto"/>
                <w:kern w:val="0"/>
                <w:sz w:val="21"/>
                <w:szCs w:val="21"/>
              </w:rPr>
              <w:t>①拆除活动结束后车辆进出口冲洗池内的废水及污泥应交由一般固废处置单位回收处理，不得随意处置。</w:t>
            </w:r>
          </w:p>
          <w:p w14:paraId="52E34C3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仿宋_GB2312" w:cs="Times New Roman"/>
                <w:snapToGrid w:val="0"/>
                <w:color w:val="auto"/>
                <w:kern w:val="0"/>
                <w:sz w:val="21"/>
                <w:szCs w:val="21"/>
              </w:rPr>
            </w:pPr>
            <w:r>
              <w:rPr>
                <w:rFonts w:hint="eastAsia" w:ascii="Times New Roman" w:hAnsi="Times New Roman" w:eastAsia="仿宋_GB2312" w:cs="Times New Roman"/>
                <w:snapToGrid w:val="0"/>
                <w:color w:val="auto"/>
                <w:kern w:val="0"/>
                <w:sz w:val="21"/>
                <w:szCs w:val="21"/>
              </w:rPr>
              <w:t>②对设备清洗及厂房地面冲洗之前，需对厂房内边沟进行人工清理疏通，防止因拆除过程中杂物对其造成封堵，从而导致清洗废水出现漫流。</w:t>
            </w:r>
          </w:p>
          <w:p w14:paraId="0252188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仿宋_GB2312" w:cs="Times New Roman"/>
                <w:snapToGrid w:val="0"/>
                <w:color w:val="auto"/>
                <w:kern w:val="0"/>
                <w:sz w:val="21"/>
                <w:szCs w:val="21"/>
              </w:rPr>
            </w:pPr>
            <w:r>
              <w:rPr>
                <w:rFonts w:hint="eastAsia" w:ascii="Times New Roman" w:hAnsi="Times New Roman" w:eastAsia="仿宋_GB2312" w:cs="Times New Roman"/>
                <w:snapToGrid w:val="0"/>
                <w:color w:val="auto"/>
                <w:kern w:val="0"/>
                <w:sz w:val="21"/>
                <w:szCs w:val="21"/>
              </w:rPr>
              <w:t>3）固体废物</w:t>
            </w:r>
          </w:p>
          <w:p w14:paraId="20E4288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仿宋_GB2312" w:cs="Times New Roman"/>
                <w:snapToGrid w:val="0"/>
                <w:color w:val="auto"/>
                <w:kern w:val="0"/>
                <w:sz w:val="21"/>
                <w:szCs w:val="21"/>
              </w:rPr>
            </w:pPr>
            <w:r>
              <w:rPr>
                <w:rFonts w:hint="eastAsia" w:ascii="Times New Roman" w:hAnsi="Times New Roman" w:eastAsia="仿宋_GB2312" w:cs="Times New Roman"/>
                <w:snapToGrid w:val="0"/>
                <w:color w:val="auto"/>
                <w:kern w:val="0"/>
                <w:sz w:val="21"/>
                <w:szCs w:val="21"/>
              </w:rPr>
              <w:t>①拆除过程中设备废</w:t>
            </w:r>
            <w:r>
              <w:rPr>
                <w:rFonts w:hint="eastAsia" w:ascii="Times New Roman" w:hAnsi="Times New Roman" w:eastAsia="仿宋_GB2312" w:cs="Times New Roman"/>
                <w:snapToGrid w:val="0"/>
                <w:color w:val="auto"/>
                <w:kern w:val="0"/>
                <w:sz w:val="21"/>
                <w:szCs w:val="21"/>
                <w:lang w:val="en-US" w:eastAsia="zh-CN"/>
              </w:rPr>
              <w:t>液</w:t>
            </w:r>
            <w:r>
              <w:rPr>
                <w:rFonts w:hint="eastAsia" w:ascii="Times New Roman" w:hAnsi="Times New Roman" w:eastAsia="仿宋_GB2312" w:cs="Times New Roman"/>
                <w:snapToGrid w:val="0"/>
                <w:color w:val="auto"/>
                <w:kern w:val="0"/>
                <w:sz w:val="21"/>
                <w:szCs w:val="21"/>
              </w:rPr>
              <w:t>，采用200L加盖铁桶承装暂存后由有资质单位处理。</w:t>
            </w:r>
          </w:p>
          <w:p w14:paraId="6F58310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仿宋_GB2312" w:cs="Times New Roman"/>
                <w:snapToGrid w:val="0"/>
                <w:color w:val="auto"/>
                <w:kern w:val="0"/>
                <w:sz w:val="21"/>
                <w:szCs w:val="21"/>
              </w:rPr>
            </w:pPr>
            <w:r>
              <w:rPr>
                <w:rFonts w:hint="eastAsia" w:ascii="Times New Roman" w:hAnsi="Times New Roman" w:eastAsia="仿宋_GB2312" w:cs="Times New Roman"/>
                <w:snapToGrid w:val="0"/>
                <w:color w:val="auto"/>
                <w:kern w:val="0"/>
                <w:sz w:val="21"/>
                <w:szCs w:val="21"/>
              </w:rPr>
              <w:t>②粉尘采用200L加盖铁桶承装暂存后由有一般固体废物清运处理。</w:t>
            </w:r>
          </w:p>
          <w:p w14:paraId="7A98297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仿宋_GB2312" w:cs="Times New Roman"/>
                <w:snapToGrid w:val="0"/>
                <w:color w:val="auto"/>
                <w:kern w:val="0"/>
                <w:sz w:val="21"/>
                <w:szCs w:val="21"/>
              </w:rPr>
            </w:pPr>
            <w:r>
              <w:rPr>
                <w:rFonts w:hint="eastAsia" w:ascii="Times New Roman" w:hAnsi="Times New Roman" w:eastAsia="仿宋_GB2312" w:cs="Times New Roman"/>
                <w:snapToGrid w:val="0"/>
                <w:color w:val="auto"/>
                <w:kern w:val="0"/>
                <w:sz w:val="21"/>
                <w:szCs w:val="21"/>
              </w:rPr>
              <w:t>综上，企业拆除过程中，在落实拆除活动污染防治方案情况下，本次拆除活动不会对周围环境造成较大影响。</w:t>
            </w:r>
          </w:p>
          <w:p w14:paraId="690A174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pPr>
            <w:r>
              <w:rPr>
                <w:rFonts w:hint="eastAsia" w:ascii="Times New Roman" w:hAnsi="Times New Roman" w:eastAsia="仿宋_GB2312" w:cs="Times New Roman"/>
                <w:snapToGrid w:val="0"/>
                <w:color w:val="auto"/>
                <w:kern w:val="0"/>
                <w:sz w:val="21"/>
                <w:szCs w:val="21"/>
              </w:rPr>
              <w:t>拆除活动结束后，应对现场内所有区域进行检查、清理，确保所有拆除产物、遗留物料、残留污染物等得到合理处置，不遗留污染隐患。</w:t>
            </w:r>
          </w:p>
        </w:tc>
      </w:tr>
      <w:tr w14:paraId="56BAEC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234" w:type="pct"/>
            <w:vMerge w:val="restart"/>
            <w:tcMar>
              <w:left w:w="28" w:type="dxa"/>
              <w:right w:w="28" w:type="dxa"/>
            </w:tcMar>
            <w:vAlign w:val="center"/>
          </w:tcPr>
          <w:p w14:paraId="28B4E43B">
            <w:pPr>
              <w:adjustRightInd w:val="0"/>
              <w:snapToGrid w:val="0"/>
              <w:spacing w:line="360" w:lineRule="auto"/>
              <w:jc w:val="center"/>
              <w:rPr>
                <w:rFonts w:eastAsia="仿宋_GB2312"/>
                <w:bCs/>
                <w:sz w:val="24"/>
                <w:szCs w:val="24"/>
              </w:rPr>
            </w:pPr>
            <w:r>
              <w:rPr>
                <w:rFonts w:eastAsia="仿宋_GB2312"/>
                <w:bCs/>
                <w:sz w:val="24"/>
                <w:szCs w:val="24"/>
              </w:rPr>
              <w:t>运营</w:t>
            </w:r>
          </w:p>
          <w:p w14:paraId="3CAC00B5">
            <w:pPr>
              <w:adjustRightInd w:val="0"/>
              <w:snapToGrid w:val="0"/>
              <w:spacing w:line="360" w:lineRule="auto"/>
              <w:jc w:val="center"/>
              <w:rPr>
                <w:rFonts w:eastAsia="仿宋_GB2312"/>
                <w:bCs/>
                <w:sz w:val="24"/>
                <w:szCs w:val="24"/>
              </w:rPr>
            </w:pPr>
            <w:r>
              <w:rPr>
                <w:rFonts w:eastAsia="仿宋_GB2312"/>
                <w:bCs/>
                <w:sz w:val="24"/>
                <w:szCs w:val="24"/>
              </w:rPr>
              <w:t>期环</w:t>
            </w:r>
          </w:p>
          <w:p w14:paraId="6DC1D0D6">
            <w:pPr>
              <w:adjustRightInd w:val="0"/>
              <w:snapToGrid w:val="0"/>
              <w:spacing w:line="360" w:lineRule="auto"/>
              <w:jc w:val="center"/>
              <w:rPr>
                <w:rFonts w:eastAsia="仿宋_GB2312"/>
                <w:bCs/>
                <w:sz w:val="24"/>
                <w:szCs w:val="24"/>
              </w:rPr>
            </w:pPr>
            <w:r>
              <w:rPr>
                <w:rFonts w:eastAsia="仿宋_GB2312"/>
                <w:bCs/>
                <w:sz w:val="24"/>
                <w:szCs w:val="24"/>
              </w:rPr>
              <w:t>境影</w:t>
            </w:r>
          </w:p>
          <w:p w14:paraId="682D2268">
            <w:pPr>
              <w:adjustRightInd w:val="0"/>
              <w:snapToGrid w:val="0"/>
              <w:spacing w:line="360" w:lineRule="auto"/>
              <w:jc w:val="center"/>
              <w:rPr>
                <w:rFonts w:eastAsia="仿宋_GB2312"/>
                <w:bCs/>
                <w:sz w:val="24"/>
                <w:szCs w:val="24"/>
              </w:rPr>
            </w:pPr>
            <w:r>
              <w:rPr>
                <w:rFonts w:eastAsia="仿宋_GB2312"/>
                <w:bCs/>
                <w:sz w:val="24"/>
                <w:szCs w:val="24"/>
              </w:rPr>
              <w:t>响和</w:t>
            </w:r>
          </w:p>
          <w:p w14:paraId="5BFA41B9">
            <w:pPr>
              <w:adjustRightInd w:val="0"/>
              <w:snapToGrid w:val="0"/>
              <w:spacing w:line="360" w:lineRule="auto"/>
              <w:jc w:val="center"/>
              <w:rPr>
                <w:rFonts w:eastAsia="仿宋_GB2312"/>
                <w:bCs/>
                <w:sz w:val="24"/>
                <w:szCs w:val="24"/>
              </w:rPr>
            </w:pPr>
            <w:r>
              <w:rPr>
                <w:rFonts w:eastAsia="仿宋_GB2312"/>
                <w:bCs/>
                <w:sz w:val="24"/>
                <w:szCs w:val="24"/>
              </w:rPr>
              <w:t>保护</w:t>
            </w:r>
          </w:p>
          <w:p w14:paraId="4686DED1">
            <w:pPr>
              <w:pStyle w:val="28"/>
              <w:adjustRightInd w:val="0"/>
              <w:snapToGrid w:val="0"/>
              <w:spacing w:before="0" w:beforeAutospacing="0" w:after="0" w:afterAutospacing="0" w:line="360" w:lineRule="auto"/>
              <w:jc w:val="center"/>
              <w:rPr>
                <w:rFonts w:ascii="Times New Roman" w:hAnsi="Times New Roman" w:eastAsia="仿宋_GB2312"/>
                <w:kern w:val="2"/>
                <w:szCs w:val="24"/>
              </w:rPr>
            </w:pPr>
            <w:r>
              <w:rPr>
                <w:rFonts w:ascii="Times New Roman" w:hAnsi="Times New Roman" w:eastAsia="仿宋_GB2312"/>
                <w:bCs/>
                <w:szCs w:val="24"/>
              </w:rPr>
              <w:t>措施</w:t>
            </w:r>
          </w:p>
        </w:tc>
        <w:tc>
          <w:tcPr>
            <w:tcW w:w="4765" w:type="pct"/>
            <w:vAlign w:val="center"/>
          </w:tcPr>
          <w:p w14:paraId="562063CC">
            <w:pPr>
              <w:adjustRightInd w:val="0"/>
              <w:snapToGrid w:val="0"/>
              <w:spacing w:line="360" w:lineRule="auto"/>
              <w:ind w:firstLine="422" w:firstLineChars="200"/>
              <w:rPr>
                <w:rFonts w:eastAsia="仿宋_GB2312"/>
                <w:b/>
                <w:bCs/>
                <w:color w:val="000000"/>
                <w:kern w:val="0"/>
              </w:rPr>
            </w:pPr>
            <w:r>
              <w:rPr>
                <w:rFonts w:eastAsia="仿宋_GB2312"/>
                <w:b/>
                <w:bCs/>
                <w:color w:val="000000"/>
                <w:kern w:val="0"/>
              </w:rPr>
              <w:t>1、废气</w:t>
            </w:r>
          </w:p>
          <w:p w14:paraId="182C7AFC">
            <w:pPr>
              <w:adjustRightInd w:val="0"/>
              <w:snapToGrid w:val="0"/>
              <w:spacing w:line="312" w:lineRule="auto"/>
              <w:ind w:firstLine="422" w:firstLineChars="200"/>
              <w:rPr>
                <w:rFonts w:eastAsia="仿宋_GB2312"/>
                <w:b/>
                <w:bCs/>
              </w:rPr>
            </w:pPr>
            <w:r>
              <w:rPr>
                <w:rFonts w:eastAsia="仿宋_GB2312"/>
                <w:b/>
                <w:bCs/>
              </w:rPr>
              <w:t>1.1 产污环节及治理措施</w:t>
            </w:r>
          </w:p>
          <w:p w14:paraId="0BF01B10">
            <w:pPr>
              <w:pStyle w:val="12"/>
              <w:spacing w:before="0" w:after="0" w:line="360" w:lineRule="auto"/>
              <w:ind w:right="0" w:firstLine="420" w:firstLineChars="200"/>
              <w:rPr>
                <w:rFonts w:eastAsia="仿宋_GB2312"/>
                <w:sz w:val="21"/>
                <w:szCs w:val="21"/>
              </w:rPr>
            </w:pPr>
            <w:r>
              <w:rPr>
                <w:rFonts w:eastAsia="仿宋_GB2312"/>
                <w:sz w:val="21"/>
                <w:szCs w:val="21"/>
              </w:rPr>
              <w:t>本项目废气污染工序及主要污染因子见表4-</w:t>
            </w:r>
            <w:r>
              <w:rPr>
                <w:rFonts w:hint="eastAsia" w:eastAsia="仿宋_GB2312"/>
                <w:sz w:val="21"/>
                <w:szCs w:val="21"/>
                <w:lang w:val="en-US" w:eastAsia="zh-CN"/>
              </w:rPr>
              <w:t>9</w:t>
            </w:r>
            <w:r>
              <w:rPr>
                <w:rFonts w:eastAsia="仿宋_GB2312"/>
                <w:sz w:val="21"/>
                <w:szCs w:val="21"/>
              </w:rPr>
              <w:t>。</w:t>
            </w:r>
          </w:p>
          <w:p w14:paraId="12149F7E">
            <w:pPr>
              <w:pStyle w:val="17"/>
              <w:numPr>
                <w:ilvl w:val="0"/>
                <w:numId w:val="0"/>
              </w:numPr>
              <w:spacing w:line="360" w:lineRule="auto"/>
              <w:jc w:val="center"/>
              <w:rPr>
                <w:rFonts w:eastAsia="仿宋_GB2312"/>
                <w:b/>
                <w:bCs/>
              </w:rPr>
            </w:pPr>
            <w:r>
              <w:rPr>
                <w:rFonts w:eastAsia="仿宋_GB2312"/>
                <w:b/>
                <w:bCs/>
              </w:rPr>
              <w:t>表4-</w:t>
            </w:r>
            <w:r>
              <w:rPr>
                <w:rFonts w:hint="eastAsia" w:eastAsia="仿宋_GB2312"/>
                <w:b/>
                <w:bCs/>
                <w:lang w:val="en-US" w:eastAsia="zh-CN"/>
              </w:rPr>
              <w:t xml:space="preserve">9  </w:t>
            </w:r>
            <w:r>
              <w:rPr>
                <w:rFonts w:eastAsia="仿宋_GB2312"/>
                <w:b/>
                <w:bCs/>
              </w:rPr>
              <w:t>废气污染工序及主要污染因子</w:t>
            </w:r>
          </w:p>
          <w:tbl>
            <w:tblPr>
              <w:tblStyle w:val="32"/>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97"/>
              <w:gridCol w:w="1049"/>
              <w:gridCol w:w="2348"/>
              <w:gridCol w:w="1700"/>
              <w:gridCol w:w="1700"/>
            </w:tblGrid>
            <w:tr w14:paraId="2B73EE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8" w:type="pct"/>
                  <w:vAlign w:val="center"/>
                </w:tcPr>
                <w:p w14:paraId="546FCCDB">
                  <w:pPr>
                    <w:pStyle w:val="17"/>
                    <w:numPr>
                      <w:ilvl w:val="0"/>
                      <w:numId w:val="0"/>
                    </w:numPr>
                    <w:jc w:val="center"/>
                    <w:rPr>
                      <w:rFonts w:eastAsia="仿宋_GB2312"/>
                      <w:b/>
                      <w:bCs/>
                      <w:sz w:val="21"/>
                      <w:szCs w:val="21"/>
                    </w:rPr>
                  </w:pPr>
                  <w:r>
                    <w:rPr>
                      <w:rFonts w:eastAsia="仿宋_GB2312"/>
                      <w:b/>
                      <w:bCs/>
                      <w:sz w:val="21"/>
                      <w:szCs w:val="21"/>
                    </w:rPr>
                    <w:t>生产线</w:t>
                  </w:r>
                </w:p>
              </w:tc>
              <w:tc>
                <w:tcPr>
                  <w:tcW w:w="617" w:type="pct"/>
                  <w:vAlign w:val="center"/>
                </w:tcPr>
                <w:p w14:paraId="5C7D2FD7">
                  <w:pPr>
                    <w:pStyle w:val="17"/>
                    <w:numPr>
                      <w:ilvl w:val="0"/>
                      <w:numId w:val="0"/>
                    </w:numPr>
                    <w:jc w:val="center"/>
                    <w:rPr>
                      <w:rFonts w:eastAsia="仿宋_GB2312"/>
                      <w:b/>
                      <w:bCs/>
                      <w:sz w:val="21"/>
                      <w:szCs w:val="21"/>
                    </w:rPr>
                  </w:pPr>
                  <w:r>
                    <w:rPr>
                      <w:rFonts w:eastAsia="仿宋_GB2312"/>
                      <w:b/>
                      <w:bCs/>
                      <w:sz w:val="21"/>
                      <w:szCs w:val="21"/>
                    </w:rPr>
                    <w:t>编号</w:t>
                  </w:r>
                </w:p>
              </w:tc>
              <w:tc>
                <w:tcPr>
                  <w:tcW w:w="1382" w:type="pct"/>
                  <w:vAlign w:val="center"/>
                </w:tcPr>
                <w:p w14:paraId="260C9A46">
                  <w:pPr>
                    <w:pStyle w:val="17"/>
                    <w:numPr>
                      <w:ilvl w:val="0"/>
                      <w:numId w:val="0"/>
                    </w:numPr>
                    <w:jc w:val="center"/>
                    <w:rPr>
                      <w:rFonts w:eastAsia="仿宋_GB2312"/>
                      <w:b/>
                      <w:bCs/>
                      <w:sz w:val="21"/>
                      <w:szCs w:val="21"/>
                    </w:rPr>
                  </w:pPr>
                  <w:r>
                    <w:rPr>
                      <w:rFonts w:eastAsia="仿宋_GB2312"/>
                      <w:b/>
                      <w:bCs/>
                      <w:sz w:val="21"/>
                      <w:szCs w:val="21"/>
                    </w:rPr>
                    <w:t>名称</w:t>
                  </w:r>
                </w:p>
              </w:tc>
              <w:tc>
                <w:tcPr>
                  <w:tcW w:w="1000" w:type="pct"/>
                  <w:vAlign w:val="center"/>
                </w:tcPr>
                <w:p w14:paraId="4FA7D8EA">
                  <w:pPr>
                    <w:pStyle w:val="17"/>
                    <w:numPr>
                      <w:ilvl w:val="0"/>
                      <w:numId w:val="0"/>
                    </w:numPr>
                    <w:jc w:val="center"/>
                    <w:rPr>
                      <w:rFonts w:eastAsia="仿宋_GB2312"/>
                      <w:b/>
                      <w:bCs/>
                      <w:sz w:val="21"/>
                      <w:szCs w:val="21"/>
                    </w:rPr>
                  </w:pPr>
                  <w:r>
                    <w:rPr>
                      <w:rFonts w:eastAsia="仿宋_GB2312"/>
                      <w:b/>
                      <w:bCs/>
                      <w:sz w:val="21"/>
                      <w:szCs w:val="21"/>
                    </w:rPr>
                    <w:t>产生工段</w:t>
                  </w:r>
                </w:p>
              </w:tc>
              <w:tc>
                <w:tcPr>
                  <w:tcW w:w="1000" w:type="pct"/>
                  <w:vAlign w:val="center"/>
                </w:tcPr>
                <w:p w14:paraId="5FCC6560">
                  <w:pPr>
                    <w:pStyle w:val="17"/>
                    <w:numPr>
                      <w:ilvl w:val="0"/>
                      <w:numId w:val="0"/>
                    </w:numPr>
                    <w:jc w:val="center"/>
                    <w:rPr>
                      <w:rFonts w:eastAsia="仿宋_GB2312"/>
                      <w:b/>
                      <w:bCs/>
                      <w:sz w:val="21"/>
                      <w:szCs w:val="21"/>
                    </w:rPr>
                  </w:pPr>
                  <w:r>
                    <w:rPr>
                      <w:rFonts w:eastAsia="仿宋_GB2312"/>
                      <w:b/>
                      <w:bCs/>
                      <w:sz w:val="21"/>
                      <w:szCs w:val="21"/>
                    </w:rPr>
                    <w:t>主要污染因子</w:t>
                  </w:r>
                </w:p>
              </w:tc>
            </w:tr>
            <w:tr w14:paraId="1CF31E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8" w:type="pct"/>
                  <w:vMerge w:val="restart"/>
                  <w:vAlign w:val="center"/>
                </w:tcPr>
                <w:p w14:paraId="3576A06C">
                  <w:pPr>
                    <w:pStyle w:val="17"/>
                    <w:numPr>
                      <w:ilvl w:val="0"/>
                      <w:numId w:val="0"/>
                    </w:numPr>
                    <w:jc w:val="center"/>
                    <w:rPr>
                      <w:rFonts w:eastAsia="仿宋_GB2312"/>
                      <w:sz w:val="21"/>
                      <w:szCs w:val="21"/>
                    </w:rPr>
                  </w:pPr>
                  <w:r>
                    <w:rPr>
                      <w:rFonts w:eastAsia="仿宋_GB2312"/>
                      <w:sz w:val="21"/>
                      <w:szCs w:val="21"/>
                    </w:rPr>
                    <w:t>连续式双膜法产线</w:t>
                  </w:r>
                </w:p>
              </w:tc>
              <w:tc>
                <w:tcPr>
                  <w:tcW w:w="617" w:type="pct"/>
                  <w:vAlign w:val="center"/>
                </w:tcPr>
                <w:p w14:paraId="1A096909">
                  <w:pPr>
                    <w:pStyle w:val="17"/>
                    <w:numPr>
                      <w:ilvl w:val="0"/>
                      <w:numId w:val="0"/>
                    </w:numPr>
                    <w:jc w:val="center"/>
                    <w:rPr>
                      <w:rFonts w:eastAsia="仿宋_GB2312"/>
                      <w:sz w:val="21"/>
                      <w:szCs w:val="21"/>
                    </w:rPr>
                  </w:pPr>
                  <w:r>
                    <w:rPr>
                      <w:rFonts w:eastAsia="仿宋_GB2312"/>
                      <w:sz w:val="21"/>
                      <w:szCs w:val="21"/>
                    </w:rPr>
                    <w:t>G1</w:t>
                  </w:r>
                </w:p>
              </w:tc>
              <w:tc>
                <w:tcPr>
                  <w:tcW w:w="1382" w:type="pct"/>
                  <w:shd w:val="clear" w:color="auto" w:fill="auto"/>
                  <w:vAlign w:val="center"/>
                </w:tcPr>
                <w:p w14:paraId="4D93D7C4">
                  <w:pPr>
                    <w:pStyle w:val="17"/>
                    <w:numPr>
                      <w:ilvl w:val="0"/>
                      <w:numId w:val="0"/>
                    </w:numPr>
                    <w:ind w:left="0" w:leftChars="0" w:firstLine="0" w:firstLineChars="0"/>
                    <w:jc w:val="center"/>
                    <w:rPr>
                      <w:rFonts w:ascii="Times New Roman" w:hAnsi="Times New Roman" w:eastAsia="仿宋_GB2312" w:cs="Times New Roman"/>
                      <w:kern w:val="2"/>
                      <w:sz w:val="21"/>
                      <w:szCs w:val="21"/>
                      <w:lang w:val="en-US" w:eastAsia="zh-CN" w:bidi="ar-SA"/>
                    </w:rPr>
                  </w:pPr>
                  <w:r>
                    <w:rPr>
                      <w:rFonts w:eastAsia="仿宋_GB2312"/>
                      <w:sz w:val="21"/>
                      <w:szCs w:val="21"/>
                    </w:rPr>
                    <w:t>盐酸储罐呼吸废气</w:t>
                  </w:r>
                </w:p>
              </w:tc>
              <w:tc>
                <w:tcPr>
                  <w:tcW w:w="1000" w:type="pct"/>
                  <w:shd w:val="clear" w:color="auto" w:fill="auto"/>
                  <w:vAlign w:val="center"/>
                </w:tcPr>
                <w:p w14:paraId="3CAC75C2">
                  <w:pPr>
                    <w:pStyle w:val="17"/>
                    <w:numPr>
                      <w:ilvl w:val="0"/>
                      <w:numId w:val="0"/>
                    </w:numPr>
                    <w:ind w:left="0" w:leftChars="0" w:firstLine="0" w:firstLineChars="0"/>
                    <w:jc w:val="center"/>
                    <w:rPr>
                      <w:rFonts w:ascii="Times New Roman" w:hAnsi="Times New Roman" w:eastAsia="仿宋_GB2312" w:cs="Times New Roman"/>
                      <w:kern w:val="2"/>
                      <w:sz w:val="21"/>
                      <w:szCs w:val="21"/>
                      <w:lang w:val="en-US" w:eastAsia="zh-CN" w:bidi="ar-SA"/>
                    </w:rPr>
                  </w:pPr>
                  <w:r>
                    <w:rPr>
                      <w:rFonts w:eastAsia="仿宋_GB2312"/>
                      <w:sz w:val="21"/>
                      <w:szCs w:val="21"/>
                    </w:rPr>
                    <w:t>盐酸储存</w:t>
                  </w:r>
                </w:p>
              </w:tc>
              <w:tc>
                <w:tcPr>
                  <w:tcW w:w="1000" w:type="pct"/>
                  <w:shd w:val="clear" w:color="auto" w:fill="auto"/>
                  <w:vAlign w:val="center"/>
                </w:tcPr>
                <w:p w14:paraId="03D0CC5A">
                  <w:pPr>
                    <w:pStyle w:val="17"/>
                    <w:numPr>
                      <w:ilvl w:val="0"/>
                      <w:numId w:val="0"/>
                    </w:numPr>
                    <w:ind w:left="0" w:leftChars="0" w:firstLine="0" w:firstLineChars="0"/>
                    <w:jc w:val="center"/>
                    <w:rPr>
                      <w:rFonts w:ascii="Times New Roman" w:hAnsi="Times New Roman" w:eastAsia="仿宋_GB2312" w:cs="Times New Roman"/>
                      <w:kern w:val="2"/>
                      <w:sz w:val="21"/>
                      <w:szCs w:val="21"/>
                      <w:lang w:val="en-US" w:eastAsia="zh-CN" w:bidi="ar-SA"/>
                    </w:rPr>
                  </w:pPr>
                  <w:r>
                    <w:rPr>
                      <w:rFonts w:eastAsia="仿宋_GB2312"/>
                      <w:sz w:val="21"/>
                      <w:szCs w:val="21"/>
                    </w:rPr>
                    <w:t>HCl</w:t>
                  </w:r>
                </w:p>
              </w:tc>
            </w:tr>
            <w:tr w14:paraId="282047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8" w:type="pct"/>
                  <w:vMerge w:val="continue"/>
                  <w:vAlign w:val="center"/>
                </w:tcPr>
                <w:p w14:paraId="5C345B79">
                  <w:pPr>
                    <w:pStyle w:val="17"/>
                    <w:numPr>
                      <w:ilvl w:val="0"/>
                      <w:numId w:val="0"/>
                    </w:numPr>
                    <w:jc w:val="center"/>
                    <w:rPr>
                      <w:rFonts w:eastAsia="仿宋_GB2312"/>
                      <w:sz w:val="21"/>
                      <w:szCs w:val="21"/>
                    </w:rPr>
                  </w:pPr>
                </w:p>
              </w:tc>
              <w:tc>
                <w:tcPr>
                  <w:tcW w:w="617" w:type="pct"/>
                  <w:vAlign w:val="center"/>
                </w:tcPr>
                <w:p w14:paraId="50075B4C">
                  <w:pPr>
                    <w:pStyle w:val="17"/>
                    <w:numPr>
                      <w:ilvl w:val="0"/>
                      <w:numId w:val="0"/>
                    </w:numPr>
                    <w:jc w:val="center"/>
                    <w:rPr>
                      <w:rFonts w:eastAsia="仿宋_GB2312"/>
                      <w:sz w:val="21"/>
                      <w:szCs w:val="21"/>
                    </w:rPr>
                  </w:pPr>
                  <w:r>
                    <w:rPr>
                      <w:rFonts w:eastAsia="仿宋_GB2312"/>
                      <w:sz w:val="21"/>
                      <w:szCs w:val="21"/>
                    </w:rPr>
                    <w:t>G2</w:t>
                  </w:r>
                </w:p>
              </w:tc>
              <w:tc>
                <w:tcPr>
                  <w:tcW w:w="1382" w:type="pct"/>
                  <w:shd w:val="clear" w:color="auto" w:fill="auto"/>
                  <w:vAlign w:val="center"/>
                </w:tcPr>
                <w:p w14:paraId="162138B0">
                  <w:pPr>
                    <w:pStyle w:val="17"/>
                    <w:numPr>
                      <w:ilvl w:val="0"/>
                      <w:numId w:val="0"/>
                    </w:numPr>
                    <w:ind w:left="0" w:leftChars="0" w:firstLine="0" w:firstLineChars="0"/>
                    <w:jc w:val="center"/>
                    <w:rPr>
                      <w:rFonts w:ascii="Times New Roman" w:hAnsi="Times New Roman" w:eastAsia="仿宋_GB2312" w:cs="Times New Roman"/>
                      <w:kern w:val="2"/>
                      <w:sz w:val="21"/>
                      <w:szCs w:val="21"/>
                      <w:lang w:val="en-US" w:eastAsia="zh-CN" w:bidi="ar-SA"/>
                    </w:rPr>
                  </w:pPr>
                  <w:r>
                    <w:rPr>
                      <w:rFonts w:eastAsia="仿宋_GB2312"/>
                      <w:sz w:val="21"/>
                      <w:szCs w:val="21"/>
                    </w:rPr>
                    <w:t>平板膜过滤废气</w:t>
                  </w:r>
                </w:p>
              </w:tc>
              <w:tc>
                <w:tcPr>
                  <w:tcW w:w="1000" w:type="pct"/>
                  <w:shd w:val="clear" w:color="auto" w:fill="auto"/>
                  <w:vAlign w:val="center"/>
                </w:tcPr>
                <w:p w14:paraId="2C3CB1C3">
                  <w:pPr>
                    <w:pStyle w:val="17"/>
                    <w:numPr>
                      <w:ilvl w:val="0"/>
                      <w:numId w:val="0"/>
                    </w:numPr>
                    <w:ind w:left="0" w:leftChars="0" w:firstLine="0" w:firstLineChars="0"/>
                    <w:jc w:val="center"/>
                    <w:rPr>
                      <w:rFonts w:ascii="Times New Roman" w:hAnsi="Times New Roman" w:eastAsia="仿宋_GB2312" w:cs="Times New Roman"/>
                      <w:kern w:val="2"/>
                      <w:sz w:val="21"/>
                      <w:szCs w:val="21"/>
                      <w:lang w:val="en-US" w:eastAsia="zh-CN" w:bidi="ar-SA"/>
                    </w:rPr>
                  </w:pPr>
                  <w:r>
                    <w:rPr>
                      <w:rFonts w:eastAsia="仿宋_GB2312"/>
                      <w:sz w:val="21"/>
                      <w:szCs w:val="21"/>
                    </w:rPr>
                    <w:t>卤水过滤</w:t>
                  </w:r>
                </w:p>
              </w:tc>
              <w:tc>
                <w:tcPr>
                  <w:tcW w:w="1000" w:type="pct"/>
                  <w:shd w:val="clear" w:color="auto" w:fill="auto"/>
                  <w:vAlign w:val="center"/>
                </w:tcPr>
                <w:p w14:paraId="14FCFF39">
                  <w:pPr>
                    <w:pStyle w:val="17"/>
                    <w:numPr>
                      <w:ilvl w:val="0"/>
                      <w:numId w:val="0"/>
                    </w:numPr>
                    <w:ind w:left="0" w:leftChars="0" w:firstLine="0" w:firstLineChars="0"/>
                    <w:jc w:val="center"/>
                    <w:rPr>
                      <w:rFonts w:ascii="Times New Roman" w:hAnsi="Times New Roman" w:eastAsia="仿宋_GB2312" w:cs="Times New Roman"/>
                      <w:kern w:val="2"/>
                      <w:sz w:val="21"/>
                      <w:szCs w:val="21"/>
                      <w:lang w:val="en-US" w:eastAsia="zh-CN" w:bidi="ar-SA"/>
                    </w:rPr>
                  </w:pPr>
                  <w:r>
                    <w:rPr>
                      <w:rFonts w:eastAsia="仿宋_GB2312"/>
                      <w:sz w:val="21"/>
                      <w:szCs w:val="21"/>
                    </w:rPr>
                    <w:t>颗粒物</w:t>
                  </w:r>
                </w:p>
              </w:tc>
            </w:tr>
            <w:tr w14:paraId="7C4ED8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8" w:type="pct"/>
                  <w:vMerge w:val="continue"/>
                  <w:vAlign w:val="center"/>
                </w:tcPr>
                <w:p w14:paraId="1BA1CB38">
                  <w:pPr>
                    <w:pStyle w:val="17"/>
                    <w:numPr>
                      <w:ilvl w:val="0"/>
                      <w:numId w:val="0"/>
                    </w:numPr>
                    <w:jc w:val="center"/>
                    <w:rPr>
                      <w:rFonts w:eastAsia="仿宋_GB2312"/>
                      <w:sz w:val="21"/>
                      <w:szCs w:val="21"/>
                    </w:rPr>
                  </w:pPr>
                </w:p>
              </w:tc>
              <w:tc>
                <w:tcPr>
                  <w:tcW w:w="617" w:type="pct"/>
                  <w:vAlign w:val="center"/>
                </w:tcPr>
                <w:p w14:paraId="174CC0DD">
                  <w:pPr>
                    <w:pStyle w:val="17"/>
                    <w:numPr>
                      <w:ilvl w:val="0"/>
                      <w:numId w:val="0"/>
                    </w:numPr>
                    <w:jc w:val="center"/>
                    <w:rPr>
                      <w:rFonts w:eastAsia="仿宋_GB2312"/>
                      <w:sz w:val="21"/>
                      <w:szCs w:val="21"/>
                    </w:rPr>
                  </w:pPr>
                  <w:r>
                    <w:rPr>
                      <w:rFonts w:eastAsia="仿宋_GB2312"/>
                      <w:sz w:val="21"/>
                      <w:szCs w:val="21"/>
                    </w:rPr>
                    <w:t>/</w:t>
                  </w:r>
                </w:p>
              </w:tc>
              <w:tc>
                <w:tcPr>
                  <w:tcW w:w="1382" w:type="pct"/>
                  <w:vAlign w:val="center"/>
                </w:tcPr>
                <w:p w14:paraId="2E53ADF8">
                  <w:pPr>
                    <w:pStyle w:val="17"/>
                    <w:numPr>
                      <w:ilvl w:val="0"/>
                      <w:numId w:val="0"/>
                    </w:numPr>
                    <w:jc w:val="center"/>
                    <w:rPr>
                      <w:rFonts w:eastAsia="仿宋_GB2312"/>
                      <w:sz w:val="21"/>
                      <w:szCs w:val="21"/>
                    </w:rPr>
                  </w:pPr>
                  <w:r>
                    <w:rPr>
                      <w:rFonts w:eastAsia="仿宋_GB2312"/>
                      <w:sz w:val="21"/>
                      <w:szCs w:val="21"/>
                    </w:rPr>
                    <w:t>刷漆废气</w:t>
                  </w:r>
                </w:p>
              </w:tc>
              <w:tc>
                <w:tcPr>
                  <w:tcW w:w="1000" w:type="pct"/>
                  <w:vAlign w:val="center"/>
                </w:tcPr>
                <w:p w14:paraId="096BAE3A">
                  <w:pPr>
                    <w:pStyle w:val="17"/>
                    <w:numPr>
                      <w:ilvl w:val="0"/>
                      <w:numId w:val="0"/>
                    </w:numPr>
                    <w:jc w:val="center"/>
                    <w:rPr>
                      <w:rFonts w:eastAsia="仿宋_GB2312"/>
                      <w:sz w:val="21"/>
                      <w:szCs w:val="21"/>
                    </w:rPr>
                  </w:pPr>
                  <w:r>
                    <w:rPr>
                      <w:rFonts w:eastAsia="仿宋_GB2312"/>
                      <w:sz w:val="21"/>
                      <w:szCs w:val="21"/>
                    </w:rPr>
                    <w:t>产线维修</w:t>
                  </w:r>
                </w:p>
              </w:tc>
              <w:tc>
                <w:tcPr>
                  <w:tcW w:w="1000" w:type="pct"/>
                  <w:vAlign w:val="center"/>
                </w:tcPr>
                <w:p w14:paraId="34232598">
                  <w:pPr>
                    <w:pStyle w:val="17"/>
                    <w:numPr>
                      <w:ilvl w:val="0"/>
                      <w:numId w:val="0"/>
                    </w:numPr>
                    <w:jc w:val="center"/>
                    <w:rPr>
                      <w:rFonts w:eastAsia="仿宋_GB2312"/>
                      <w:sz w:val="21"/>
                      <w:szCs w:val="21"/>
                    </w:rPr>
                  </w:pPr>
                  <w:r>
                    <w:rPr>
                      <w:rFonts w:eastAsia="仿宋_GB2312"/>
                      <w:sz w:val="21"/>
                      <w:szCs w:val="21"/>
                    </w:rPr>
                    <w:t>非甲烷总烃</w:t>
                  </w:r>
                </w:p>
              </w:tc>
            </w:tr>
          </w:tbl>
          <w:p w14:paraId="4E55A837">
            <w:pPr>
              <w:autoSpaceDE w:val="0"/>
              <w:autoSpaceDN w:val="0"/>
              <w:adjustRightInd w:val="0"/>
              <w:snapToGrid w:val="0"/>
              <w:spacing w:beforeLines="50" w:line="360" w:lineRule="auto"/>
              <w:ind w:firstLine="420" w:firstLineChars="200"/>
              <w:rPr>
                <w:rFonts w:eastAsia="仿宋_GB2312"/>
              </w:rPr>
            </w:pPr>
            <w:r>
              <w:rPr>
                <w:rFonts w:eastAsia="仿宋_GB2312"/>
              </w:rPr>
              <w:t>（</w:t>
            </w:r>
            <w:r>
              <w:rPr>
                <w:rFonts w:hint="eastAsia" w:eastAsia="仿宋_GB2312"/>
                <w:lang w:val="en-US" w:eastAsia="zh-CN"/>
              </w:rPr>
              <w:t>1</w:t>
            </w:r>
            <w:r>
              <w:rPr>
                <w:rFonts w:eastAsia="仿宋_GB2312"/>
              </w:rPr>
              <w:t>）盐酸储罐呼吸废气</w:t>
            </w:r>
          </w:p>
          <w:p w14:paraId="60F12694">
            <w:pPr>
              <w:autoSpaceDE w:val="0"/>
              <w:autoSpaceDN w:val="0"/>
              <w:adjustRightInd w:val="0"/>
              <w:snapToGrid w:val="0"/>
              <w:spacing w:line="312" w:lineRule="auto"/>
              <w:ind w:firstLine="420" w:firstLineChars="200"/>
              <w:rPr>
                <w:rFonts w:eastAsia="仿宋_GB2312"/>
              </w:rPr>
            </w:pPr>
            <w:r>
              <w:rPr>
                <w:rFonts w:eastAsia="仿宋_GB2312"/>
              </w:rPr>
              <w:t>①废气治理设施设置情况</w:t>
            </w:r>
          </w:p>
          <w:p w14:paraId="30F59279">
            <w:pPr>
              <w:adjustRightInd w:val="0"/>
              <w:snapToGrid w:val="0"/>
              <w:spacing w:line="360" w:lineRule="auto"/>
              <w:ind w:firstLine="420" w:firstLineChars="200"/>
              <w:rPr>
                <w:rFonts w:eastAsia="仿宋_GB2312"/>
                <w:b/>
                <w:bCs/>
                <w:color w:val="000000"/>
                <w:kern w:val="0"/>
              </w:rPr>
            </w:pPr>
            <w:r>
              <w:rPr>
                <w:rFonts w:eastAsia="仿宋_GB2312"/>
              </w:rPr>
              <w:t>盐酸储存过程储罐大小呼吸会产生的HCl废气。储罐“小呼吸”损耗(静置损耗),是指由于温度和大气压力的变化引起蒸气的膨胀和收缩而产生的蒸气排出，它出现在罐内液面无任何变化的情况，是非人为干扰的自然排放方式；储罐“大呼吸”损耗(工作损耗)是储罐进行收发作业所造成，当储罐进料时，由于罐内液体体积增加，罐内气体压力增加，当压力增至机械呼吸阀压力极限时，呼吸阀自动开启排气。当从储罐输出物料时，罐内液体体积减小，罐内气体压力降低，当压力降至呼吸阀负压极限时，吸进空气，这种由于输转物料致使储罐</w:t>
            </w:r>
            <w:r>
              <w:rPr>
                <w:rFonts w:hint="eastAsia" w:eastAsia="仿宋_GB2312"/>
                <w:lang w:eastAsia="zh-CN"/>
              </w:rPr>
              <w:t>排出</w:t>
            </w:r>
            <w:r>
              <w:rPr>
                <w:rFonts w:eastAsia="仿宋_GB2312"/>
              </w:rPr>
              <w:t>物料蒸气和吸入空气所导致的损失叫“大呼吸”损失。盐酸储罐产生的呼吸废气采用酸雾收集处理装置，该装置利用利用烧碱溶液吸收中和空气中的盐酸，处理后无组织排放。</w:t>
            </w:r>
          </w:p>
          <w:p w14:paraId="1EEFBEDF">
            <w:pPr>
              <w:pStyle w:val="12"/>
              <w:keepNext w:val="0"/>
              <w:keepLines w:val="0"/>
              <w:pageBreakBefore w:val="0"/>
              <w:widowControl/>
              <w:kinsoku/>
              <w:wordWrap/>
              <w:overflowPunct/>
              <w:topLinePunct w:val="0"/>
              <w:autoSpaceDE/>
              <w:autoSpaceDN/>
              <w:bidi w:val="0"/>
              <w:adjustRightInd/>
              <w:snapToGrid w:val="0"/>
              <w:spacing w:before="0" w:after="0" w:line="360" w:lineRule="auto"/>
              <w:ind w:right="0"/>
              <w:jc w:val="center"/>
              <w:textAlignment w:val="auto"/>
              <w:rPr>
                <w:rFonts w:eastAsia="仿宋_GB2312"/>
                <w:sz w:val="21"/>
                <w:szCs w:val="21"/>
              </w:rPr>
            </w:pPr>
            <w:r>
              <w:rPr>
                <w:rFonts w:eastAsia="仿宋_GB2312"/>
                <w:b/>
                <w:color w:val="000000"/>
                <w:sz w:val="21"/>
                <w:szCs w:val="21"/>
              </w:rPr>
              <w:t>表4-</w:t>
            </w:r>
            <w:r>
              <w:rPr>
                <w:rFonts w:hint="eastAsia" w:eastAsia="仿宋_GB2312"/>
                <w:b/>
                <w:color w:val="000000"/>
                <w:sz w:val="21"/>
                <w:szCs w:val="21"/>
                <w:lang w:val="en-US" w:eastAsia="zh-CN"/>
              </w:rPr>
              <w:t xml:space="preserve">10  </w:t>
            </w:r>
            <w:r>
              <w:rPr>
                <w:rFonts w:eastAsia="仿宋_GB2312"/>
                <w:b/>
                <w:sz w:val="21"/>
                <w:szCs w:val="21"/>
              </w:rPr>
              <w:t>废气收集情况及风量核算一览表</w:t>
            </w:r>
          </w:p>
          <w:tbl>
            <w:tblPr>
              <w:tblStyle w:val="31"/>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47"/>
              <w:gridCol w:w="836"/>
              <w:gridCol w:w="669"/>
              <w:gridCol w:w="1785"/>
              <w:gridCol w:w="1043"/>
              <w:gridCol w:w="2401"/>
              <w:gridCol w:w="1110"/>
            </w:tblGrid>
            <w:tr w14:paraId="356EE6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47" w:hRule="atLeast"/>
                <w:jc w:val="center"/>
              </w:trPr>
              <w:tc>
                <w:tcPr>
                  <w:tcW w:w="599" w:type="dxa"/>
                  <w:vAlign w:val="center"/>
                </w:tcPr>
                <w:p w14:paraId="3FADB97C">
                  <w:pPr>
                    <w:pStyle w:val="70"/>
                    <w:widowControl/>
                    <w:overflowPunct/>
                    <w:spacing w:line="240" w:lineRule="auto"/>
                    <w:ind w:left="63" w:leftChars="30"/>
                    <w:textAlignment w:val="auto"/>
                    <w:rPr>
                      <w:rFonts w:eastAsia="仿宋_GB2312"/>
                      <w:b/>
                      <w:bCs/>
                      <w:sz w:val="21"/>
                      <w:szCs w:val="21"/>
                    </w:rPr>
                  </w:pPr>
                  <w:r>
                    <w:rPr>
                      <w:rFonts w:eastAsia="仿宋_GB2312"/>
                      <w:b/>
                      <w:bCs/>
                      <w:sz w:val="21"/>
                      <w:szCs w:val="21"/>
                    </w:rPr>
                    <w:t>污染</w:t>
                  </w:r>
                </w:p>
                <w:p w14:paraId="05C7D343">
                  <w:pPr>
                    <w:pStyle w:val="70"/>
                    <w:widowControl/>
                    <w:overflowPunct/>
                    <w:spacing w:line="240" w:lineRule="auto"/>
                    <w:ind w:left="63" w:leftChars="30"/>
                    <w:textAlignment w:val="auto"/>
                    <w:rPr>
                      <w:rFonts w:eastAsia="仿宋_GB2312"/>
                      <w:b/>
                      <w:bCs/>
                      <w:sz w:val="21"/>
                      <w:szCs w:val="21"/>
                    </w:rPr>
                  </w:pPr>
                  <w:r>
                    <w:rPr>
                      <w:rFonts w:eastAsia="仿宋_GB2312"/>
                      <w:b/>
                      <w:bCs/>
                      <w:sz w:val="21"/>
                      <w:szCs w:val="21"/>
                    </w:rPr>
                    <w:t>环节</w:t>
                  </w:r>
                </w:p>
              </w:tc>
              <w:tc>
                <w:tcPr>
                  <w:tcW w:w="774" w:type="dxa"/>
                  <w:vAlign w:val="center"/>
                </w:tcPr>
                <w:p w14:paraId="24F09934">
                  <w:pPr>
                    <w:pStyle w:val="70"/>
                    <w:widowControl/>
                    <w:overflowPunct/>
                    <w:spacing w:line="240" w:lineRule="auto"/>
                    <w:ind w:left="63" w:leftChars="30"/>
                    <w:textAlignment w:val="auto"/>
                    <w:rPr>
                      <w:rFonts w:eastAsia="仿宋_GB2312"/>
                      <w:b/>
                      <w:bCs/>
                      <w:sz w:val="21"/>
                      <w:szCs w:val="21"/>
                    </w:rPr>
                  </w:pPr>
                  <w:r>
                    <w:rPr>
                      <w:rFonts w:eastAsia="仿宋_GB2312"/>
                      <w:b/>
                      <w:bCs/>
                      <w:sz w:val="21"/>
                      <w:szCs w:val="21"/>
                    </w:rPr>
                    <w:t>位置</w:t>
                  </w:r>
                </w:p>
              </w:tc>
              <w:tc>
                <w:tcPr>
                  <w:tcW w:w="619" w:type="dxa"/>
                  <w:vAlign w:val="center"/>
                </w:tcPr>
                <w:p w14:paraId="7C8B36E5">
                  <w:pPr>
                    <w:pStyle w:val="70"/>
                    <w:widowControl/>
                    <w:overflowPunct/>
                    <w:spacing w:line="240" w:lineRule="auto"/>
                    <w:ind w:left="63" w:leftChars="30"/>
                    <w:textAlignment w:val="auto"/>
                    <w:rPr>
                      <w:rFonts w:eastAsia="仿宋_GB2312"/>
                      <w:b/>
                      <w:bCs/>
                      <w:sz w:val="21"/>
                      <w:szCs w:val="21"/>
                    </w:rPr>
                  </w:pPr>
                  <w:r>
                    <w:rPr>
                      <w:rFonts w:eastAsia="仿宋_GB2312"/>
                      <w:b/>
                      <w:bCs/>
                      <w:sz w:val="21"/>
                      <w:szCs w:val="21"/>
                    </w:rPr>
                    <w:t>数量/台</w:t>
                  </w:r>
                </w:p>
              </w:tc>
              <w:tc>
                <w:tcPr>
                  <w:tcW w:w="1653" w:type="dxa"/>
                  <w:vAlign w:val="center"/>
                </w:tcPr>
                <w:p w14:paraId="36D33791">
                  <w:pPr>
                    <w:pStyle w:val="70"/>
                    <w:widowControl/>
                    <w:overflowPunct/>
                    <w:spacing w:line="240" w:lineRule="auto"/>
                    <w:ind w:left="63" w:leftChars="30"/>
                    <w:textAlignment w:val="auto"/>
                    <w:rPr>
                      <w:rFonts w:eastAsia="仿宋_GB2312"/>
                      <w:b/>
                      <w:bCs/>
                      <w:sz w:val="21"/>
                      <w:szCs w:val="21"/>
                    </w:rPr>
                  </w:pPr>
                  <w:r>
                    <w:rPr>
                      <w:rFonts w:eastAsia="仿宋_GB2312"/>
                      <w:b/>
                      <w:bCs/>
                      <w:sz w:val="21"/>
                      <w:szCs w:val="21"/>
                    </w:rPr>
                    <w:t>集气装置设置</w:t>
                  </w:r>
                </w:p>
              </w:tc>
              <w:tc>
                <w:tcPr>
                  <w:tcW w:w="967" w:type="dxa"/>
                  <w:vAlign w:val="center"/>
                </w:tcPr>
                <w:p w14:paraId="15BD8C3F">
                  <w:pPr>
                    <w:pStyle w:val="70"/>
                    <w:widowControl/>
                    <w:overflowPunct/>
                    <w:spacing w:line="240" w:lineRule="auto"/>
                    <w:ind w:left="63" w:leftChars="30"/>
                    <w:textAlignment w:val="auto"/>
                    <w:rPr>
                      <w:rFonts w:eastAsia="仿宋_GB2312"/>
                      <w:b/>
                      <w:bCs/>
                      <w:sz w:val="21"/>
                      <w:szCs w:val="21"/>
                    </w:rPr>
                  </w:pPr>
                  <w:r>
                    <w:rPr>
                      <w:rFonts w:eastAsia="仿宋_GB2312"/>
                      <w:b/>
                      <w:bCs/>
                      <w:sz w:val="21"/>
                      <w:szCs w:val="21"/>
                    </w:rPr>
                    <w:t>风速要求</w:t>
                  </w:r>
                </w:p>
              </w:tc>
              <w:tc>
                <w:tcPr>
                  <w:tcW w:w="2224" w:type="dxa"/>
                  <w:vAlign w:val="center"/>
                </w:tcPr>
                <w:p w14:paraId="68013C87">
                  <w:pPr>
                    <w:pStyle w:val="70"/>
                    <w:widowControl/>
                    <w:overflowPunct/>
                    <w:spacing w:line="240" w:lineRule="auto"/>
                    <w:ind w:left="63" w:leftChars="30"/>
                    <w:textAlignment w:val="auto"/>
                    <w:rPr>
                      <w:rFonts w:eastAsia="仿宋_GB2312"/>
                      <w:b/>
                      <w:bCs/>
                      <w:sz w:val="21"/>
                      <w:szCs w:val="21"/>
                    </w:rPr>
                  </w:pPr>
                  <w:r>
                    <w:rPr>
                      <w:rFonts w:eastAsia="仿宋_GB2312"/>
                      <w:b/>
                      <w:bCs/>
                      <w:sz w:val="21"/>
                      <w:szCs w:val="21"/>
                    </w:rPr>
                    <w:t>风量核算</w:t>
                  </w:r>
                </w:p>
              </w:tc>
              <w:tc>
                <w:tcPr>
                  <w:tcW w:w="1028" w:type="dxa"/>
                  <w:vAlign w:val="center"/>
                </w:tcPr>
                <w:p w14:paraId="2116F60D">
                  <w:pPr>
                    <w:pStyle w:val="70"/>
                    <w:widowControl/>
                    <w:overflowPunct/>
                    <w:spacing w:line="240" w:lineRule="auto"/>
                    <w:ind w:left="63" w:leftChars="30"/>
                    <w:textAlignment w:val="auto"/>
                    <w:rPr>
                      <w:rFonts w:eastAsia="仿宋_GB2312"/>
                      <w:b/>
                      <w:bCs/>
                      <w:sz w:val="21"/>
                      <w:szCs w:val="21"/>
                    </w:rPr>
                  </w:pPr>
                  <w:r>
                    <w:rPr>
                      <w:rFonts w:eastAsia="仿宋_GB2312"/>
                      <w:b/>
                      <w:bCs/>
                      <w:sz w:val="21"/>
                      <w:szCs w:val="21"/>
                    </w:rPr>
                    <w:t>核算结果</w:t>
                  </w:r>
                </w:p>
              </w:tc>
            </w:tr>
            <w:tr w14:paraId="642F58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33" w:hRule="atLeast"/>
                <w:jc w:val="center"/>
              </w:trPr>
              <w:tc>
                <w:tcPr>
                  <w:tcW w:w="599" w:type="dxa"/>
                  <w:vAlign w:val="center"/>
                </w:tcPr>
                <w:p w14:paraId="276D1B49">
                  <w:pPr>
                    <w:pStyle w:val="70"/>
                    <w:widowControl/>
                    <w:overflowPunct/>
                    <w:spacing w:line="240" w:lineRule="auto"/>
                    <w:ind w:left="63" w:leftChars="30"/>
                    <w:textAlignment w:val="auto"/>
                    <w:rPr>
                      <w:rFonts w:eastAsia="仿宋_GB2312"/>
                      <w:sz w:val="21"/>
                      <w:szCs w:val="21"/>
                    </w:rPr>
                  </w:pPr>
                  <w:r>
                    <w:rPr>
                      <w:rFonts w:eastAsia="仿宋_GB2312"/>
                      <w:sz w:val="21"/>
                      <w:szCs w:val="21"/>
                    </w:rPr>
                    <w:t>盐酸储罐呼吸废气</w:t>
                  </w:r>
                </w:p>
              </w:tc>
              <w:tc>
                <w:tcPr>
                  <w:tcW w:w="774" w:type="dxa"/>
                  <w:vAlign w:val="center"/>
                </w:tcPr>
                <w:p w14:paraId="06001CEC">
                  <w:pPr>
                    <w:pStyle w:val="70"/>
                    <w:widowControl/>
                    <w:overflowPunct/>
                    <w:spacing w:line="240" w:lineRule="auto"/>
                    <w:ind w:left="63" w:leftChars="30"/>
                    <w:textAlignment w:val="auto"/>
                    <w:rPr>
                      <w:rFonts w:eastAsia="仿宋_GB2312"/>
                      <w:sz w:val="21"/>
                      <w:szCs w:val="21"/>
                    </w:rPr>
                  </w:pPr>
                  <w:r>
                    <w:rPr>
                      <w:rFonts w:eastAsia="仿宋_GB2312"/>
                      <w:sz w:val="21"/>
                      <w:szCs w:val="21"/>
                    </w:rPr>
                    <w:t>盐酸储罐</w:t>
                  </w:r>
                </w:p>
              </w:tc>
              <w:tc>
                <w:tcPr>
                  <w:tcW w:w="619" w:type="dxa"/>
                  <w:vAlign w:val="center"/>
                </w:tcPr>
                <w:p w14:paraId="4E6942CE">
                  <w:pPr>
                    <w:pStyle w:val="70"/>
                    <w:widowControl/>
                    <w:overflowPunct/>
                    <w:spacing w:line="240" w:lineRule="auto"/>
                    <w:ind w:left="63" w:leftChars="30"/>
                    <w:textAlignment w:val="auto"/>
                    <w:rPr>
                      <w:rFonts w:eastAsia="仿宋_GB2312"/>
                      <w:sz w:val="21"/>
                      <w:szCs w:val="21"/>
                    </w:rPr>
                  </w:pPr>
                  <w:r>
                    <w:rPr>
                      <w:rFonts w:eastAsia="仿宋_GB2312"/>
                      <w:sz w:val="21"/>
                      <w:szCs w:val="21"/>
                    </w:rPr>
                    <w:t>1</w:t>
                  </w:r>
                </w:p>
              </w:tc>
              <w:tc>
                <w:tcPr>
                  <w:tcW w:w="1653" w:type="dxa"/>
                  <w:vAlign w:val="center"/>
                </w:tcPr>
                <w:p w14:paraId="4609C7BF">
                  <w:pPr>
                    <w:pStyle w:val="70"/>
                    <w:widowControl/>
                    <w:overflowPunct/>
                    <w:spacing w:line="240" w:lineRule="auto"/>
                    <w:ind w:left="63" w:leftChars="30"/>
                    <w:textAlignment w:val="auto"/>
                    <w:rPr>
                      <w:rFonts w:eastAsia="仿宋_GB2312"/>
                      <w:sz w:val="21"/>
                      <w:szCs w:val="21"/>
                    </w:rPr>
                  </w:pPr>
                  <w:r>
                    <w:rPr>
                      <w:rFonts w:eastAsia="仿宋_GB2312"/>
                      <w:sz w:val="21"/>
                      <w:szCs w:val="21"/>
                    </w:rPr>
                    <w:t>酸雾尾气吸收塔，利用烧碱溶液吸收中和空气中的盐酸</w:t>
                  </w:r>
                </w:p>
              </w:tc>
              <w:tc>
                <w:tcPr>
                  <w:tcW w:w="967" w:type="dxa"/>
                  <w:vAlign w:val="center"/>
                </w:tcPr>
                <w:p w14:paraId="420B861A">
                  <w:pPr>
                    <w:pStyle w:val="70"/>
                    <w:widowControl/>
                    <w:overflowPunct/>
                    <w:spacing w:line="240" w:lineRule="auto"/>
                    <w:ind w:left="63" w:leftChars="30"/>
                    <w:textAlignment w:val="auto"/>
                    <w:rPr>
                      <w:rFonts w:eastAsia="仿宋_GB2312"/>
                      <w:sz w:val="21"/>
                      <w:szCs w:val="21"/>
                    </w:rPr>
                  </w:pPr>
                  <w:r>
                    <w:rPr>
                      <w:rFonts w:eastAsia="仿宋_GB2312"/>
                      <w:sz w:val="21"/>
                      <w:szCs w:val="21"/>
                    </w:rPr>
                    <w:t>/</w:t>
                  </w:r>
                </w:p>
              </w:tc>
              <w:tc>
                <w:tcPr>
                  <w:tcW w:w="2224" w:type="dxa"/>
                  <w:vAlign w:val="center"/>
                </w:tcPr>
                <w:p w14:paraId="4BFF2DEF">
                  <w:pPr>
                    <w:pStyle w:val="70"/>
                    <w:widowControl/>
                    <w:overflowPunct/>
                    <w:spacing w:line="240" w:lineRule="auto"/>
                    <w:ind w:left="63" w:leftChars="30"/>
                    <w:textAlignment w:val="auto"/>
                    <w:rPr>
                      <w:rFonts w:eastAsia="仿宋_GB2312"/>
                      <w:sz w:val="21"/>
                      <w:szCs w:val="21"/>
                    </w:rPr>
                  </w:pPr>
                  <w:r>
                    <w:rPr>
                      <w:rFonts w:eastAsia="仿宋_GB2312"/>
                      <w:sz w:val="21"/>
                      <w:szCs w:val="21"/>
                    </w:rPr>
                    <w:t>风量为</w:t>
                  </w:r>
                  <w:r>
                    <w:rPr>
                      <w:rFonts w:hint="eastAsia" w:eastAsia="仿宋_GB2312"/>
                      <w:sz w:val="21"/>
                      <w:szCs w:val="21"/>
                      <w:lang w:val="en-US" w:eastAsia="zh-CN"/>
                    </w:rPr>
                    <w:t>1</w:t>
                  </w:r>
                  <w:r>
                    <w:rPr>
                      <w:rFonts w:eastAsia="仿宋_GB2312"/>
                      <w:sz w:val="21"/>
                      <w:szCs w:val="21"/>
                    </w:rPr>
                    <w:t>00m</w:t>
                  </w:r>
                  <w:r>
                    <w:rPr>
                      <w:rFonts w:eastAsia="仿宋_GB2312"/>
                      <w:sz w:val="21"/>
                      <w:szCs w:val="21"/>
                      <w:vertAlign w:val="superscript"/>
                    </w:rPr>
                    <w:t>3</w:t>
                  </w:r>
                  <w:r>
                    <w:rPr>
                      <w:rFonts w:eastAsia="仿宋_GB2312"/>
                      <w:sz w:val="21"/>
                      <w:szCs w:val="21"/>
                    </w:rPr>
                    <w:t>/h</w:t>
                  </w:r>
                </w:p>
              </w:tc>
              <w:tc>
                <w:tcPr>
                  <w:tcW w:w="1028" w:type="dxa"/>
                  <w:vAlign w:val="center"/>
                </w:tcPr>
                <w:p w14:paraId="002203A6">
                  <w:pPr>
                    <w:pStyle w:val="70"/>
                    <w:widowControl/>
                    <w:overflowPunct/>
                    <w:spacing w:line="240" w:lineRule="auto"/>
                    <w:ind w:left="63" w:leftChars="30"/>
                    <w:textAlignment w:val="auto"/>
                    <w:rPr>
                      <w:rFonts w:eastAsia="仿宋_GB2312"/>
                      <w:sz w:val="21"/>
                      <w:szCs w:val="21"/>
                    </w:rPr>
                  </w:pPr>
                  <w:r>
                    <w:rPr>
                      <w:rFonts w:hint="eastAsia" w:eastAsia="仿宋_GB2312"/>
                      <w:sz w:val="21"/>
                      <w:szCs w:val="21"/>
                      <w:lang w:val="en-US" w:eastAsia="zh-CN"/>
                    </w:rPr>
                    <w:t>1</w:t>
                  </w:r>
                  <w:r>
                    <w:rPr>
                      <w:rFonts w:eastAsia="仿宋_GB2312"/>
                      <w:sz w:val="21"/>
                      <w:szCs w:val="21"/>
                    </w:rPr>
                    <w:t>00m</w:t>
                  </w:r>
                  <w:r>
                    <w:rPr>
                      <w:rFonts w:eastAsia="仿宋_GB2312"/>
                      <w:sz w:val="21"/>
                      <w:szCs w:val="21"/>
                      <w:vertAlign w:val="superscript"/>
                    </w:rPr>
                    <w:t>3</w:t>
                  </w:r>
                  <w:r>
                    <w:rPr>
                      <w:rFonts w:eastAsia="仿宋_GB2312"/>
                      <w:sz w:val="21"/>
                      <w:szCs w:val="21"/>
                    </w:rPr>
                    <w:t>/h</w:t>
                  </w:r>
                </w:p>
              </w:tc>
            </w:tr>
            <w:tr w14:paraId="796760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7" w:hRule="atLeast"/>
                <w:jc w:val="center"/>
              </w:trPr>
              <w:tc>
                <w:tcPr>
                  <w:tcW w:w="6836" w:type="dxa"/>
                  <w:gridSpan w:val="6"/>
                  <w:vAlign w:val="center"/>
                </w:tcPr>
                <w:p w14:paraId="10D2CB39">
                  <w:pPr>
                    <w:pStyle w:val="70"/>
                    <w:widowControl/>
                    <w:overflowPunct/>
                    <w:spacing w:line="240" w:lineRule="auto"/>
                    <w:ind w:left="63" w:leftChars="30"/>
                    <w:textAlignment w:val="auto"/>
                    <w:rPr>
                      <w:rFonts w:eastAsia="仿宋_GB2312"/>
                      <w:sz w:val="21"/>
                      <w:szCs w:val="21"/>
                    </w:rPr>
                  </w:pPr>
                  <w:r>
                    <w:rPr>
                      <w:rFonts w:eastAsia="仿宋_GB2312"/>
                      <w:sz w:val="21"/>
                      <w:szCs w:val="21"/>
                    </w:rPr>
                    <w:t>合计</w:t>
                  </w:r>
                </w:p>
              </w:tc>
              <w:tc>
                <w:tcPr>
                  <w:tcW w:w="1028" w:type="dxa"/>
                  <w:vAlign w:val="center"/>
                </w:tcPr>
                <w:p w14:paraId="17A2286C">
                  <w:pPr>
                    <w:pStyle w:val="70"/>
                    <w:widowControl/>
                    <w:overflowPunct/>
                    <w:spacing w:line="240" w:lineRule="auto"/>
                    <w:ind w:left="63" w:leftChars="30"/>
                    <w:textAlignment w:val="auto"/>
                    <w:rPr>
                      <w:rFonts w:eastAsia="仿宋_GB2312"/>
                      <w:sz w:val="21"/>
                      <w:szCs w:val="21"/>
                    </w:rPr>
                  </w:pPr>
                  <w:r>
                    <w:rPr>
                      <w:rFonts w:hint="eastAsia" w:eastAsia="仿宋_GB2312"/>
                      <w:sz w:val="21"/>
                      <w:szCs w:val="21"/>
                      <w:lang w:val="en-US" w:eastAsia="zh-CN"/>
                    </w:rPr>
                    <w:t>1</w:t>
                  </w:r>
                  <w:r>
                    <w:rPr>
                      <w:rFonts w:eastAsia="仿宋_GB2312"/>
                      <w:sz w:val="21"/>
                      <w:szCs w:val="21"/>
                    </w:rPr>
                    <w:t>00m</w:t>
                  </w:r>
                  <w:r>
                    <w:rPr>
                      <w:rFonts w:eastAsia="仿宋_GB2312"/>
                      <w:sz w:val="21"/>
                      <w:szCs w:val="21"/>
                      <w:vertAlign w:val="superscript"/>
                    </w:rPr>
                    <w:t>3</w:t>
                  </w:r>
                  <w:r>
                    <w:rPr>
                      <w:rFonts w:eastAsia="仿宋_GB2312"/>
                      <w:sz w:val="21"/>
                      <w:szCs w:val="21"/>
                    </w:rPr>
                    <w:t>/h</w:t>
                  </w:r>
                </w:p>
              </w:tc>
            </w:tr>
          </w:tbl>
          <w:p w14:paraId="2EA50C61">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eastAsia="仿宋_GB2312"/>
              </w:rPr>
            </w:pPr>
            <w:r>
              <w:rPr>
                <w:rFonts w:eastAsia="仿宋_GB2312"/>
              </w:rPr>
              <w:t>②源强核算</w:t>
            </w:r>
          </w:p>
          <w:p w14:paraId="43D7B2F4">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eastAsia="仿宋_GB2312"/>
              </w:rPr>
            </w:pPr>
            <w:r>
              <w:rPr>
                <w:rFonts w:eastAsia="仿宋_GB2312"/>
              </w:rPr>
              <w:t>根据《环境保护计算手册》，罐区小呼吸废气量可用下式进行估算：</w:t>
            </w:r>
          </w:p>
          <w:p w14:paraId="29DEA8E5">
            <w:pPr>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center"/>
              <w:textAlignment w:val="auto"/>
              <w:rPr>
                <w:rFonts w:eastAsia="仿宋_GB2312"/>
              </w:rPr>
            </w:pPr>
            <m:oMathPara>
              <m:oMath>
                <m:r>
                  <m:rPr>
                    <m:nor/>
                  </m:rPr>
                  <w:rPr>
                    <w:rFonts w:eastAsia="仿宋_GB2312"/>
                    <w:i/>
                  </w:rPr>
                  <m:t>LB</m:t>
                </m:r>
                <m:r>
                  <m:rPr>
                    <m:nor/>
                    <m:sty m:val="p"/>
                  </m:rPr>
                  <w:rPr>
                    <w:rFonts w:eastAsia="仿宋_GB2312"/>
                    <w:b w:val="0"/>
                    <w:i w:val="0"/>
                  </w:rPr>
                  <m:t>=0.191×</m:t>
                </m:r>
                <m:r>
                  <m:rPr>
                    <m:nor/>
                  </m:rPr>
                  <w:rPr>
                    <w:rFonts w:eastAsia="仿宋_GB2312"/>
                    <w:i/>
                  </w:rPr>
                  <m:t>M</m:t>
                </m:r>
                <m:sSup>
                  <m:sSupPr>
                    <m:ctrlPr>
                      <w:rPr>
                        <w:rFonts w:ascii="Cambria Math" w:hAnsi="Cambria Math" w:eastAsia="仿宋_GB2312"/>
                        <w:i/>
                      </w:rPr>
                    </m:ctrlPr>
                  </m:sSupPr>
                  <m:e>
                    <m:r>
                      <m:rPr>
                        <m:nor/>
                        <m:sty m:val="p"/>
                      </m:rPr>
                      <w:rPr>
                        <w:rFonts w:eastAsia="仿宋_GB2312"/>
                        <w:b w:val="0"/>
                        <w:i w:val="0"/>
                      </w:rPr>
                      <m:t>(</m:t>
                    </m:r>
                    <m:f>
                      <m:fPr>
                        <m:ctrlPr>
                          <w:rPr>
                            <w:rFonts w:ascii="Cambria Math" w:hAnsi="Cambria Math" w:eastAsia="仿宋_GB2312"/>
                            <w:i/>
                          </w:rPr>
                        </m:ctrlPr>
                      </m:fPr>
                      <m:num>
                        <m:r>
                          <m:rPr>
                            <m:nor/>
                          </m:rPr>
                          <w:rPr>
                            <w:rFonts w:eastAsia="仿宋_GB2312"/>
                            <w:i/>
                          </w:rPr>
                          <m:t>P</m:t>
                        </m:r>
                        <m:ctrlPr>
                          <w:rPr>
                            <w:rFonts w:ascii="Cambria Math" w:hAnsi="Cambria Math" w:eastAsia="仿宋_GB2312"/>
                            <w:i/>
                          </w:rPr>
                        </m:ctrlPr>
                      </m:num>
                      <m:den>
                        <m:r>
                          <m:rPr>
                            <m:nor/>
                            <m:sty m:val="p"/>
                          </m:rPr>
                          <w:rPr>
                            <w:rFonts w:eastAsia="仿宋_GB2312"/>
                            <w:b w:val="0"/>
                            <w:i w:val="0"/>
                          </w:rPr>
                          <m:t>100910-</m:t>
                        </m:r>
                        <m:r>
                          <m:rPr>
                            <m:nor/>
                          </m:rPr>
                          <w:rPr>
                            <w:rFonts w:eastAsia="仿宋_GB2312"/>
                            <w:i/>
                          </w:rPr>
                          <m:t>P</m:t>
                        </m:r>
                        <m:ctrlPr>
                          <w:rPr>
                            <w:rFonts w:ascii="Cambria Math" w:hAnsi="Cambria Math" w:eastAsia="仿宋_GB2312"/>
                            <w:i/>
                          </w:rPr>
                        </m:ctrlPr>
                      </m:den>
                    </m:f>
                    <m:r>
                      <m:rPr>
                        <m:nor/>
                        <m:sty m:val="p"/>
                      </m:rPr>
                      <w:rPr>
                        <w:rFonts w:eastAsia="仿宋_GB2312"/>
                        <w:b w:val="0"/>
                        <w:i w:val="0"/>
                      </w:rPr>
                      <m:t>)</m:t>
                    </m:r>
                    <m:ctrlPr>
                      <w:rPr>
                        <w:rFonts w:ascii="Cambria Math" w:hAnsi="Cambria Math" w:eastAsia="仿宋_GB2312"/>
                        <w:i/>
                      </w:rPr>
                    </m:ctrlPr>
                  </m:e>
                  <m:sup>
                    <m:r>
                      <m:rPr>
                        <m:nor/>
                        <m:sty m:val="p"/>
                      </m:rPr>
                      <w:rPr>
                        <w:rFonts w:eastAsia="仿宋_GB2312"/>
                        <w:b w:val="0"/>
                        <w:i w:val="0"/>
                      </w:rPr>
                      <m:t>0.68</m:t>
                    </m:r>
                    <m:ctrlPr>
                      <w:rPr>
                        <w:rFonts w:ascii="Cambria Math" w:hAnsi="Cambria Math" w:eastAsia="仿宋_GB2312"/>
                        <w:i/>
                      </w:rPr>
                    </m:ctrlPr>
                  </m:sup>
                </m:sSup>
                <m:r>
                  <m:rPr>
                    <m:nor/>
                    <m:sty m:val="p"/>
                  </m:rPr>
                  <w:rPr>
                    <w:rFonts w:eastAsia="仿宋_GB2312"/>
                    <w:b w:val="0"/>
                    <w:i w:val="0"/>
                  </w:rPr>
                  <m:t>×</m:t>
                </m:r>
                <m:sSup>
                  <m:sSupPr>
                    <m:ctrlPr>
                      <w:rPr>
                        <w:rFonts w:ascii="Cambria Math" w:hAnsi="Cambria Math" w:eastAsia="仿宋_GB2312"/>
                        <w:i/>
                      </w:rPr>
                    </m:ctrlPr>
                  </m:sSupPr>
                  <m:e>
                    <m:r>
                      <m:rPr>
                        <m:nor/>
                      </m:rPr>
                      <w:rPr>
                        <w:rFonts w:eastAsia="仿宋_GB2312"/>
                        <w:i/>
                      </w:rPr>
                      <m:t>D</m:t>
                    </m:r>
                    <m:ctrlPr>
                      <w:rPr>
                        <w:rFonts w:ascii="Cambria Math" w:hAnsi="Cambria Math" w:eastAsia="仿宋_GB2312"/>
                        <w:i/>
                      </w:rPr>
                    </m:ctrlPr>
                  </m:e>
                  <m:sup>
                    <m:r>
                      <m:rPr>
                        <m:nor/>
                        <m:sty m:val="p"/>
                      </m:rPr>
                      <w:rPr>
                        <w:rFonts w:eastAsia="仿宋_GB2312"/>
                        <w:b w:val="0"/>
                        <w:i w:val="0"/>
                      </w:rPr>
                      <m:t>1.73</m:t>
                    </m:r>
                    <m:ctrlPr>
                      <w:rPr>
                        <w:rFonts w:ascii="Cambria Math" w:hAnsi="Cambria Math" w:eastAsia="仿宋_GB2312"/>
                        <w:i/>
                      </w:rPr>
                    </m:ctrlPr>
                  </m:sup>
                </m:sSup>
                <m:r>
                  <m:rPr>
                    <m:nor/>
                    <m:sty m:val="p"/>
                  </m:rPr>
                  <w:rPr>
                    <w:rFonts w:eastAsia="仿宋_GB2312"/>
                    <w:b w:val="0"/>
                    <w:i w:val="0"/>
                  </w:rPr>
                  <m:t>×</m:t>
                </m:r>
                <m:sSup>
                  <m:sSupPr>
                    <m:ctrlPr>
                      <w:rPr>
                        <w:rFonts w:ascii="Cambria Math" w:hAnsi="Cambria Math" w:eastAsia="仿宋_GB2312"/>
                        <w:i/>
                      </w:rPr>
                    </m:ctrlPr>
                  </m:sSupPr>
                  <m:e>
                    <m:r>
                      <m:rPr>
                        <m:nor/>
                      </m:rPr>
                      <w:rPr>
                        <w:rFonts w:eastAsia="仿宋_GB2312"/>
                        <w:i/>
                      </w:rPr>
                      <m:t>H</m:t>
                    </m:r>
                    <m:ctrlPr>
                      <w:rPr>
                        <w:rFonts w:ascii="Cambria Math" w:hAnsi="Cambria Math" w:eastAsia="仿宋_GB2312"/>
                        <w:i/>
                      </w:rPr>
                    </m:ctrlPr>
                  </m:e>
                  <m:sup>
                    <m:r>
                      <m:rPr>
                        <m:nor/>
                        <m:sty m:val="p"/>
                      </m:rPr>
                      <w:rPr>
                        <w:rFonts w:eastAsia="仿宋_GB2312"/>
                        <w:b w:val="0"/>
                        <w:i w:val="0"/>
                      </w:rPr>
                      <m:t>0.51</m:t>
                    </m:r>
                    <m:ctrlPr>
                      <w:rPr>
                        <w:rFonts w:ascii="Cambria Math" w:hAnsi="Cambria Math" w:eastAsia="仿宋_GB2312"/>
                        <w:i/>
                      </w:rPr>
                    </m:ctrlPr>
                  </m:sup>
                </m:sSup>
                <m:r>
                  <m:rPr>
                    <m:nor/>
                    <m:sty m:val="p"/>
                  </m:rPr>
                  <w:rPr>
                    <w:rFonts w:eastAsia="仿宋_GB2312"/>
                    <w:b w:val="0"/>
                    <w:i w:val="0"/>
                  </w:rPr>
                  <m:t>×</m:t>
                </m:r>
                <m:sSup>
                  <m:sSupPr>
                    <m:ctrlPr>
                      <w:rPr>
                        <w:rFonts w:ascii="Cambria Math" w:hAnsi="Cambria Math" w:eastAsia="仿宋_GB2312"/>
                        <w:i/>
                      </w:rPr>
                    </m:ctrlPr>
                  </m:sSupPr>
                  <m:e>
                    <m:r>
                      <m:rPr>
                        <m:nor/>
                        <m:sty m:val="p"/>
                      </m:rPr>
                      <w:rPr>
                        <w:rFonts w:eastAsia="仿宋_GB2312"/>
                        <w:b w:val="0"/>
                        <w:i w:val="0"/>
                      </w:rPr>
                      <m:t>∆</m:t>
                    </m:r>
                    <m:r>
                      <m:rPr>
                        <m:nor/>
                      </m:rPr>
                      <w:rPr>
                        <w:rFonts w:eastAsia="仿宋_GB2312"/>
                        <w:i/>
                      </w:rPr>
                      <m:t>T</m:t>
                    </m:r>
                    <m:ctrlPr>
                      <w:rPr>
                        <w:rFonts w:ascii="Cambria Math" w:hAnsi="Cambria Math" w:eastAsia="仿宋_GB2312"/>
                        <w:i/>
                      </w:rPr>
                    </m:ctrlPr>
                  </m:e>
                  <m:sup>
                    <m:r>
                      <m:rPr>
                        <m:nor/>
                        <m:sty m:val="p"/>
                      </m:rPr>
                      <w:rPr>
                        <w:rFonts w:eastAsia="仿宋_GB2312"/>
                        <w:b w:val="0"/>
                        <w:i w:val="0"/>
                      </w:rPr>
                      <m:t>0.45</m:t>
                    </m:r>
                    <m:ctrlPr>
                      <w:rPr>
                        <w:rFonts w:ascii="Cambria Math" w:hAnsi="Cambria Math" w:eastAsia="仿宋_GB2312"/>
                        <w:i/>
                      </w:rPr>
                    </m:ctrlPr>
                  </m:sup>
                </m:sSup>
                <m:r>
                  <m:rPr>
                    <m:nor/>
                    <m:sty m:val="p"/>
                  </m:rPr>
                  <w:rPr>
                    <w:rFonts w:eastAsia="仿宋_GB2312"/>
                    <w:b w:val="0"/>
                    <w:i w:val="0"/>
                  </w:rPr>
                  <m:t>×</m:t>
                </m:r>
                <m:r>
                  <m:rPr>
                    <m:nor/>
                  </m:rPr>
                  <w:rPr>
                    <w:rFonts w:eastAsia="仿宋_GB2312"/>
                    <w:i/>
                  </w:rPr>
                  <m:t>FP</m:t>
                </m:r>
                <m:r>
                  <m:rPr>
                    <m:nor/>
                    <m:sty m:val="p"/>
                  </m:rPr>
                  <w:rPr>
                    <w:rFonts w:eastAsia="仿宋_GB2312"/>
                    <w:b w:val="0"/>
                    <w:i w:val="0"/>
                  </w:rPr>
                  <m:t>×</m:t>
                </m:r>
                <m:r>
                  <m:rPr>
                    <m:nor/>
                  </m:rPr>
                  <w:rPr>
                    <w:rFonts w:eastAsia="仿宋_GB2312"/>
                    <w:i/>
                  </w:rPr>
                  <m:t>C</m:t>
                </m:r>
                <m:r>
                  <m:rPr>
                    <m:nor/>
                    <m:sty m:val="p"/>
                  </m:rPr>
                  <w:rPr>
                    <w:rFonts w:eastAsia="仿宋_GB2312"/>
                    <w:b w:val="0"/>
                    <w:i w:val="0"/>
                  </w:rPr>
                  <m:t>×</m:t>
                </m:r>
                <m:r>
                  <m:rPr>
                    <m:nor/>
                  </m:rPr>
                  <w:rPr>
                    <w:rFonts w:eastAsia="仿宋_GB2312"/>
                    <w:i/>
                  </w:rPr>
                  <m:t>KC</m:t>
                </m:r>
              </m:oMath>
            </m:oMathPara>
          </w:p>
          <w:p w14:paraId="10D1A618">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eastAsia="仿宋_GB2312"/>
              </w:rPr>
            </w:pPr>
            <w:r>
              <w:rPr>
                <w:rFonts w:eastAsia="仿宋_GB2312"/>
              </w:rPr>
              <w:t>式中：LB——固定顶罐的呼吸排放量（kg/a）;</w:t>
            </w:r>
          </w:p>
          <w:p w14:paraId="5A0449FD">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eastAsia="仿宋_GB2312"/>
              </w:rPr>
            </w:pPr>
            <w:r>
              <w:rPr>
                <w:rFonts w:eastAsia="仿宋_GB2312"/>
              </w:rPr>
              <w:t>M——储罐内蒸汽的分子量，盐酸36.5；</w:t>
            </w:r>
          </w:p>
          <w:p w14:paraId="0150A39B">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eastAsia="仿宋_GB2312"/>
              </w:rPr>
            </w:pPr>
            <w:r>
              <w:rPr>
                <w:rFonts w:eastAsia="仿宋_GB2312"/>
              </w:rPr>
              <w:t>P——在大量液体状态下，真实的蒸汽压力（Pa），本项目取26300;</w:t>
            </w:r>
          </w:p>
          <w:p w14:paraId="26D30424">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eastAsia="仿宋_GB2312"/>
              </w:rPr>
            </w:pPr>
            <w:r>
              <w:rPr>
                <w:rFonts w:eastAsia="仿宋_GB2312"/>
              </w:rPr>
              <w:t>D——罐的直径（m），本项目取4;</w:t>
            </w:r>
          </w:p>
          <w:p w14:paraId="228C53F4">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eastAsia="仿宋_GB2312"/>
              </w:rPr>
            </w:pPr>
            <w:r>
              <w:rPr>
                <w:rFonts w:eastAsia="仿宋_GB2312"/>
              </w:rPr>
              <w:t>H——平均蒸汽空间高度（m）。本项目取0.3m;</w:t>
            </w:r>
          </w:p>
          <w:p w14:paraId="263875A9">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eastAsia="仿宋_GB2312"/>
              </w:rPr>
            </w:pPr>
            <w:r>
              <w:rPr>
                <w:rFonts w:eastAsia="仿宋_GB2312"/>
              </w:rPr>
              <w:t>△T——一天之内的平均温度差（℃）,本项目取10℃;</w:t>
            </w:r>
          </w:p>
          <w:p w14:paraId="376E184C">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eastAsia="仿宋_GB2312"/>
              </w:rPr>
            </w:pPr>
            <w:r>
              <w:rPr>
                <w:rFonts w:eastAsia="仿宋_GB2312"/>
              </w:rPr>
              <w:t>FP——图层因子(无量纲)，根据液体状态取值在1-1.5之间，本项目取1.3;</w:t>
            </w:r>
          </w:p>
          <w:p w14:paraId="2D5ADF61">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eastAsia="仿宋_GB2312"/>
              </w:rPr>
            </w:pPr>
            <w:r>
              <w:rPr>
                <w:rFonts w:eastAsia="仿宋_GB2312"/>
              </w:rPr>
              <w:t>C——用于小直径罐的调节因子（无量纲），在0-9m之间的罐体，C=1-0.0123(D-9)²；管径大于9米的取C=1；</w:t>
            </w:r>
          </w:p>
          <w:p w14:paraId="0527BEF4">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eastAsia="仿宋_GB2312"/>
              </w:rPr>
            </w:pPr>
            <w:r>
              <w:rPr>
                <w:rFonts w:eastAsia="仿宋_GB2312"/>
              </w:rPr>
              <w:t>KC——产品因子（石油的KC取0.65，其他液体取1.0）;</w:t>
            </w:r>
          </w:p>
          <w:p w14:paraId="020B66FD">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eastAsia="仿宋_GB2312"/>
              </w:rPr>
            </w:pPr>
            <w:r>
              <w:rPr>
                <w:rFonts w:eastAsia="仿宋_GB2312"/>
              </w:rPr>
              <w:t>大呼吸废气的产生量可以用下式进行估算：</w:t>
            </w:r>
          </w:p>
          <w:p w14:paraId="29CCAD84">
            <w:pPr>
              <w:pStyle w:val="12"/>
              <w:jc w:val="center"/>
              <w:rPr>
                <w:rFonts w:eastAsia="仿宋_GB2312"/>
                <w:sz w:val="21"/>
                <w:szCs w:val="21"/>
              </w:rPr>
            </w:pPr>
            <m:oMathPara>
              <m:oMath>
                <m:r>
                  <m:rPr>
                    <m:nor/>
                  </m:rPr>
                  <w:rPr>
                    <w:rFonts w:eastAsia="仿宋_GB2312"/>
                    <w:i/>
                    <w:sz w:val="21"/>
                    <w:szCs w:val="21"/>
                  </w:rPr>
                  <m:t>LW</m:t>
                </m:r>
                <m:r>
                  <m:rPr>
                    <m:nor/>
                    <m:sty m:val="p"/>
                  </m:rPr>
                  <w:rPr>
                    <w:rFonts w:eastAsia="仿宋_GB2312"/>
                    <w:b w:val="0"/>
                    <w:i w:val="0"/>
                    <w:sz w:val="21"/>
                    <w:szCs w:val="21"/>
                  </w:rPr>
                  <m:t>=4.188×</m:t>
                </m:r>
                <m:sSup>
                  <m:sSupPr>
                    <m:ctrlPr>
                      <w:rPr>
                        <w:rFonts w:ascii="Cambria Math" w:hAnsi="Cambria Math" w:eastAsia="仿宋_GB2312"/>
                        <w:i/>
                        <w:sz w:val="21"/>
                        <w:szCs w:val="21"/>
                      </w:rPr>
                    </m:ctrlPr>
                  </m:sSupPr>
                  <m:e>
                    <m:r>
                      <m:rPr>
                        <m:nor/>
                        <m:sty m:val="p"/>
                      </m:rPr>
                      <w:rPr>
                        <w:rFonts w:eastAsia="仿宋_GB2312"/>
                        <w:b w:val="0"/>
                        <w:i w:val="0"/>
                        <w:sz w:val="21"/>
                        <w:szCs w:val="21"/>
                      </w:rPr>
                      <m:t>10</m:t>
                    </m:r>
                    <m:ctrlPr>
                      <w:rPr>
                        <w:rFonts w:ascii="Cambria Math" w:hAnsi="Cambria Math" w:eastAsia="仿宋_GB2312"/>
                        <w:i/>
                        <w:sz w:val="21"/>
                        <w:szCs w:val="21"/>
                      </w:rPr>
                    </m:ctrlPr>
                  </m:e>
                  <m:sup>
                    <m:r>
                      <m:rPr>
                        <m:nor/>
                        <m:sty m:val="p"/>
                      </m:rPr>
                      <w:rPr>
                        <w:rFonts w:eastAsia="仿宋_GB2312"/>
                        <w:b w:val="0"/>
                        <w:i w:val="0"/>
                        <w:sz w:val="21"/>
                        <w:szCs w:val="21"/>
                      </w:rPr>
                      <m:t>-7</m:t>
                    </m:r>
                    <m:ctrlPr>
                      <w:rPr>
                        <w:rFonts w:ascii="Cambria Math" w:hAnsi="Cambria Math" w:eastAsia="仿宋_GB2312"/>
                        <w:i/>
                        <w:sz w:val="21"/>
                        <w:szCs w:val="21"/>
                      </w:rPr>
                    </m:ctrlPr>
                  </m:sup>
                </m:sSup>
                <m:r>
                  <m:rPr>
                    <m:nor/>
                    <m:sty m:val="p"/>
                  </m:rPr>
                  <w:rPr>
                    <w:rFonts w:eastAsia="仿宋_GB2312"/>
                    <w:b w:val="0"/>
                    <w:i w:val="0"/>
                    <w:sz w:val="21"/>
                    <w:szCs w:val="21"/>
                  </w:rPr>
                  <m:t>×</m:t>
                </m:r>
                <m:r>
                  <m:rPr>
                    <m:nor/>
                  </m:rPr>
                  <w:rPr>
                    <w:rFonts w:eastAsia="仿宋_GB2312"/>
                    <w:i/>
                    <w:sz w:val="21"/>
                    <w:szCs w:val="21"/>
                  </w:rPr>
                  <m:t>M</m:t>
                </m:r>
                <m:r>
                  <m:rPr>
                    <m:nor/>
                    <m:sty m:val="p"/>
                  </m:rPr>
                  <w:rPr>
                    <w:rFonts w:eastAsia="仿宋_GB2312"/>
                    <w:b w:val="0"/>
                    <w:i w:val="0"/>
                    <w:sz w:val="21"/>
                    <w:szCs w:val="21"/>
                  </w:rPr>
                  <m:t>×</m:t>
                </m:r>
                <m:r>
                  <m:rPr>
                    <m:nor/>
                  </m:rPr>
                  <w:rPr>
                    <w:rFonts w:eastAsia="仿宋_GB2312"/>
                    <w:i/>
                    <w:sz w:val="21"/>
                    <w:szCs w:val="21"/>
                  </w:rPr>
                  <m:t>P</m:t>
                </m:r>
                <m:r>
                  <m:rPr>
                    <m:nor/>
                    <m:sty m:val="p"/>
                  </m:rPr>
                  <w:rPr>
                    <w:rFonts w:eastAsia="仿宋_GB2312"/>
                    <w:b w:val="0"/>
                    <w:i w:val="0"/>
                    <w:sz w:val="21"/>
                    <w:szCs w:val="21"/>
                  </w:rPr>
                  <m:t>×</m:t>
                </m:r>
                <m:r>
                  <m:rPr>
                    <m:nor/>
                  </m:rPr>
                  <w:rPr>
                    <w:rFonts w:eastAsia="仿宋_GB2312"/>
                    <w:i/>
                    <w:sz w:val="21"/>
                    <w:szCs w:val="21"/>
                  </w:rPr>
                  <m:t>KN</m:t>
                </m:r>
                <m:r>
                  <m:rPr>
                    <m:nor/>
                    <m:sty m:val="p"/>
                  </m:rPr>
                  <w:rPr>
                    <w:rFonts w:eastAsia="仿宋_GB2312"/>
                    <w:b w:val="0"/>
                    <w:i w:val="0"/>
                    <w:sz w:val="21"/>
                    <w:szCs w:val="21"/>
                  </w:rPr>
                  <m:t>×</m:t>
                </m:r>
                <m:r>
                  <m:rPr>
                    <m:nor/>
                  </m:rPr>
                  <w:rPr>
                    <w:rFonts w:eastAsia="仿宋_GB2312"/>
                    <w:i/>
                    <w:sz w:val="21"/>
                    <w:szCs w:val="21"/>
                  </w:rPr>
                  <m:t>KC</m:t>
                </m:r>
              </m:oMath>
            </m:oMathPara>
          </w:p>
          <w:p w14:paraId="5CBB0887">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eastAsia="仿宋_GB2312"/>
              </w:rPr>
            </w:pPr>
            <w:r>
              <w:rPr>
                <w:rFonts w:eastAsia="仿宋_GB2312"/>
              </w:rPr>
              <w:t>式中：LW——固定顶罐的呼吸排放量（kg/a）;</w:t>
            </w:r>
          </w:p>
          <w:p w14:paraId="3ADB9B5E">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eastAsia="仿宋_GB2312"/>
              </w:rPr>
            </w:pPr>
            <w:r>
              <w:rPr>
                <w:rFonts w:eastAsia="仿宋_GB2312"/>
              </w:rPr>
              <w:t>M——储罐内蒸汽的分子量，盐酸</w:t>
            </w:r>
            <w:r>
              <w:rPr>
                <w:rFonts w:hint="eastAsia" w:eastAsia="仿宋_GB2312"/>
                <w:lang w:val="en-US" w:eastAsia="zh-CN"/>
              </w:rPr>
              <w:t>为</w:t>
            </w:r>
            <w:r>
              <w:rPr>
                <w:rFonts w:eastAsia="仿宋_GB2312"/>
              </w:rPr>
              <w:t>36.5；</w:t>
            </w:r>
          </w:p>
          <w:p w14:paraId="0E64479C">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eastAsia="仿宋_GB2312"/>
              </w:rPr>
            </w:pPr>
            <w:r>
              <w:rPr>
                <w:rFonts w:eastAsia="仿宋_GB2312"/>
              </w:rPr>
              <w:t>P——在大量液体状态下，真实的蒸汽压力（Pa），本项目取26300;</w:t>
            </w:r>
          </w:p>
          <w:p w14:paraId="38A394B0">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eastAsia="仿宋_GB2312"/>
                <w:color w:val="000000" w:themeColor="text1"/>
              </w:rPr>
            </w:pPr>
            <w:r>
              <w:rPr>
                <w:rFonts w:eastAsia="仿宋_GB2312"/>
                <w:color w:val="000000" w:themeColor="text1"/>
              </w:rPr>
              <w:t>KN——周转因子（无量纲），取值按年周转次数（K）确定；K≤36，KN=1；36&lt;K≤220，KN=11.467×K</w:t>
            </w:r>
            <w:r>
              <w:rPr>
                <w:rFonts w:eastAsia="仿宋_GB2312"/>
                <w:color w:val="000000" w:themeColor="text1"/>
                <w:vertAlign w:val="superscript"/>
              </w:rPr>
              <w:t>-0.7026</w:t>
            </w:r>
            <w:r>
              <w:rPr>
                <w:rFonts w:eastAsia="仿宋_GB2312"/>
                <w:color w:val="000000" w:themeColor="text1"/>
              </w:rPr>
              <w:t>；K&gt;220，KN=0.26；本项目盐酸储罐年周转次数为3次。</w:t>
            </w:r>
          </w:p>
          <w:p w14:paraId="1048ABC6">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eastAsia" w:eastAsia="仿宋_GB2312"/>
                <w:lang w:eastAsia="zh-CN"/>
              </w:rPr>
            </w:pPr>
            <w:r>
              <w:rPr>
                <w:rFonts w:eastAsia="仿宋_GB2312"/>
              </w:rPr>
              <w:t>KC——产品因子（石油的KC取0.65，其他液体取1.0）</w:t>
            </w:r>
            <w:r>
              <w:rPr>
                <w:rFonts w:hint="eastAsia" w:eastAsia="仿宋_GB2312"/>
                <w:lang w:eastAsia="zh-CN"/>
              </w:rPr>
              <w:t>。</w:t>
            </w:r>
          </w:p>
          <w:p w14:paraId="3A708328">
            <w:pPr>
              <w:autoSpaceDE w:val="0"/>
              <w:autoSpaceDN w:val="0"/>
              <w:adjustRightInd w:val="0"/>
              <w:snapToGrid w:val="0"/>
              <w:spacing w:line="312" w:lineRule="auto"/>
              <w:ind w:firstLine="422" w:firstLineChars="200"/>
              <w:jc w:val="center"/>
              <w:rPr>
                <w:rFonts w:eastAsia="仿宋_GB2312"/>
                <w:b/>
              </w:rPr>
            </w:pPr>
            <w:r>
              <w:rPr>
                <w:rFonts w:eastAsia="仿宋_GB2312"/>
                <w:b/>
                <w:color w:val="000000"/>
              </w:rPr>
              <w:t>表4-1</w:t>
            </w:r>
            <w:r>
              <w:rPr>
                <w:rFonts w:hint="eastAsia" w:eastAsia="仿宋_GB2312"/>
                <w:b/>
                <w:color w:val="000000"/>
                <w:lang w:val="en-US" w:eastAsia="zh-CN"/>
              </w:rPr>
              <w:t xml:space="preserve">1  </w:t>
            </w:r>
            <w:r>
              <w:rPr>
                <w:rFonts w:eastAsia="仿宋_GB2312"/>
                <w:b/>
              </w:rPr>
              <w:t>项目储罐呼吸废气产生量一览表 单位：t/a</w:t>
            </w:r>
          </w:p>
          <w:tbl>
            <w:tblPr>
              <w:tblStyle w:val="32"/>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1415"/>
              <w:gridCol w:w="1415"/>
              <w:gridCol w:w="1416"/>
              <w:gridCol w:w="1416"/>
              <w:gridCol w:w="1416"/>
            </w:tblGrid>
            <w:tr w14:paraId="76EA03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3" w:type="pct"/>
                  <w:vAlign w:val="center"/>
                </w:tcPr>
                <w:p w14:paraId="2BFD81B6">
                  <w:pPr>
                    <w:autoSpaceDE w:val="0"/>
                    <w:autoSpaceDN w:val="0"/>
                    <w:adjustRightInd w:val="0"/>
                    <w:snapToGrid w:val="0"/>
                    <w:jc w:val="center"/>
                    <w:rPr>
                      <w:rFonts w:eastAsia="仿宋_GB2312"/>
                      <w:b/>
                      <w:bCs/>
                      <w:sz w:val="21"/>
                      <w:szCs w:val="21"/>
                    </w:rPr>
                  </w:pPr>
                  <w:r>
                    <w:rPr>
                      <w:rFonts w:eastAsia="仿宋_GB2312"/>
                      <w:b/>
                      <w:bCs/>
                      <w:sz w:val="21"/>
                      <w:szCs w:val="21"/>
                    </w:rPr>
                    <w:t>序号</w:t>
                  </w:r>
                </w:p>
              </w:tc>
              <w:tc>
                <w:tcPr>
                  <w:tcW w:w="833" w:type="pct"/>
                  <w:vAlign w:val="center"/>
                </w:tcPr>
                <w:p w14:paraId="5ACBCEC6">
                  <w:pPr>
                    <w:autoSpaceDE w:val="0"/>
                    <w:autoSpaceDN w:val="0"/>
                    <w:adjustRightInd w:val="0"/>
                    <w:snapToGrid w:val="0"/>
                    <w:jc w:val="center"/>
                    <w:rPr>
                      <w:rFonts w:eastAsia="仿宋_GB2312"/>
                      <w:b/>
                      <w:bCs/>
                      <w:sz w:val="21"/>
                      <w:szCs w:val="21"/>
                    </w:rPr>
                  </w:pPr>
                  <w:r>
                    <w:rPr>
                      <w:rFonts w:eastAsia="仿宋_GB2312"/>
                      <w:b/>
                      <w:bCs/>
                      <w:sz w:val="21"/>
                      <w:szCs w:val="21"/>
                    </w:rPr>
                    <w:t>储罐</w:t>
                  </w:r>
                </w:p>
              </w:tc>
              <w:tc>
                <w:tcPr>
                  <w:tcW w:w="833" w:type="pct"/>
                  <w:vAlign w:val="center"/>
                </w:tcPr>
                <w:p w14:paraId="3EBFC752">
                  <w:pPr>
                    <w:autoSpaceDE w:val="0"/>
                    <w:autoSpaceDN w:val="0"/>
                    <w:adjustRightInd w:val="0"/>
                    <w:snapToGrid w:val="0"/>
                    <w:jc w:val="center"/>
                    <w:rPr>
                      <w:rFonts w:eastAsia="仿宋_GB2312"/>
                      <w:b/>
                      <w:bCs/>
                      <w:sz w:val="21"/>
                      <w:szCs w:val="21"/>
                    </w:rPr>
                  </w:pPr>
                  <w:r>
                    <w:rPr>
                      <w:rFonts w:eastAsia="仿宋_GB2312"/>
                      <w:b/>
                      <w:bCs/>
                      <w:sz w:val="21"/>
                      <w:szCs w:val="21"/>
                    </w:rPr>
                    <w:t>污染物</w:t>
                  </w:r>
                </w:p>
              </w:tc>
              <w:tc>
                <w:tcPr>
                  <w:tcW w:w="833" w:type="pct"/>
                  <w:vAlign w:val="center"/>
                </w:tcPr>
                <w:p w14:paraId="2E9663F4">
                  <w:pPr>
                    <w:autoSpaceDE w:val="0"/>
                    <w:autoSpaceDN w:val="0"/>
                    <w:adjustRightInd w:val="0"/>
                    <w:snapToGrid w:val="0"/>
                    <w:jc w:val="center"/>
                    <w:rPr>
                      <w:rFonts w:eastAsia="仿宋_GB2312"/>
                      <w:b/>
                      <w:bCs/>
                      <w:sz w:val="21"/>
                      <w:szCs w:val="21"/>
                    </w:rPr>
                  </w:pPr>
                  <w:r>
                    <w:rPr>
                      <w:rFonts w:eastAsia="仿宋_GB2312"/>
                      <w:b/>
                      <w:bCs/>
                      <w:sz w:val="21"/>
                      <w:szCs w:val="21"/>
                    </w:rPr>
                    <w:t>小呼吸废气</w:t>
                  </w:r>
                </w:p>
              </w:tc>
              <w:tc>
                <w:tcPr>
                  <w:tcW w:w="833" w:type="pct"/>
                  <w:vAlign w:val="center"/>
                </w:tcPr>
                <w:p w14:paraId="2FB8D856">
                  <w:pPr>
                    <w:autoSpaceDE w:val="0"/>
                    <w:autoSpaceDN w:val="0"/>
                    <w:adjustRightInd w:val="0"/>
                    <w:snapToGrid w:val="0"/>
                    <w:jc w:val="center"/>
                    <w:rPr>
                      <w:rFonts w:eastAsia="仿宋_GB2312"/>
                      <w:b/>
                      <w:bCs/>
                      <w:sz w:val="21"/>
                      <w:szCs w:val="21"/>
                    </w:rPr>
                  </w:pPr>
                  <w:r>
                    <w:rPr>
                      <w:rFonts w:eastAsia="仿宋_GB2312"/>
                      <w:b/>
                      <w:bCs/>
                      <w:sz w:val="21"/>
                      <w:szCs w:val="21"/>
                    </w:rPr>
                    <w:t>大呼吸废气</w:t>
                  </w:r>
                </w:p>
              </w:tc>
              <w:tc>
                <w:tcPr>
                  <w:tcW w:w="833" w:type="pct"/>
                  <w:vAlign w:val="center"/>
                </w:tcPr>
                <w:p w14:paraId="2683B305">
                  <w:pPr>
                    <w:autoSpaceDE w:val="0"/>
                    <w:autoSpaceDN w:val="0"/>
                    <w:adjustRightInd w:val="0"/>
                    <w:snapToGrid w:val="0"/>
                    <w:jc w:val="center"/>
                    <w:rPr>
                      <w:rFonts w:eastAsia="仿宋_GB2312"/>
                      <w:b/>
                      <w:bCs/>
                      <w:sz w:val="21"/>
                      <w:szCs w:val="21"/>
                    </w:rPr>
                  </w:pPr>
                  <w:r>
                    <w:rPr>
                      <w:rFonts w:eastAsia="仿宋_GB2312"/>
                      <w:b/>
                      <w:bCs/>
                      <w:sz w:val="21"/>
                      <w:szCs w:val="21"/>
                    </w:rPr>
                    <w:t>合计</w:t>
                  </w:r>
                </w:p>
              </w:tc>
            </w:tr>
            <w:tr w14:paraId="7EEA5F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3" w:type="pct"/>
                  <w:vAlign w:val="center"/>
                </w:tcPr>
                <w:p w14:paraId="5F9AE4B0">
                  <w:pPr>
                    <w:autoSpaceDE w:val="0"/>
                    <w:autoSpaceDN w:val="0"/>
                    <w:adjustRightInd w:val="0"/>
                    <w:snapToGrid w:val="0"/>
                    <w:jc w:val="center"/>
                    <w:rPr>
                      <w:rFonts w:eastAsia="仿宋_GB2312"/>
                      <w:sz w:val="21"/>
                      <w:szCs w:val="21"/>
                    </w:rPr>
                  </w:pPr>
                  <w:r>
                    <w:rPr>
                      <w:rFonts w:eastAsia="仿宋_GB2312"/>
                      <w:sz w:val="21"/>
                      <w:szCs w:val="21"/>
                    </w:rPr>
                    <w:t>1</w:t>
                  </w:r>
                </w:p>
              </w:tc>
              <w:tc>
                <w:tcPr>
                  <w:tcW w:w="833" w:type="pct"/>
                  <w:vAlign w:val="center"/>
                </w:tcPr>
                <w:p w14:paraId="4B64B68C">
                  <w:pPr>
                    <w:autoSpaceDE w:val="0"/>
                    <w:autoSpaceDN w:val="0"/>
                    <w:adjustRightInd w:val="0"/>
                    <w:snapToGrid w:val="0"/>
                    <w:jc w:val="center"/>
                    <w:rPr>
                      <w:rFonts w:eastAsia="仿宋_GB2312"/>
                      <w:sz w:val="21"/>
                      <w:szCs w:val="21"/>
                    </w:rPr>
                  </w:pPr>
                  <w:r>
                    <w:rPr>
                      <w:rFonts w:eastAsia="仿宋_GB2312"/>
                      <w:sz w:val="21"/>
                      <w:szCs w:val="21"/>
                    </w:rPr>
                    <w:t>盐酸储罐</w:t>
                  </w:r>
                </w:p>
              </w:tc>
              <w:tc>
                <w:tcPr>
                  <w:tcW w:w="833" w:type="pct"/>
                  <w:vAlign w:val="center"/>
                </w:tcPr>
                <w:p w14:paraId="577B96FF">
                  <w:pPr>
                    <w:autoSpaceDE w:val="0"/>
                    <w:autoSpaceDN w:val="0"/>
                    <w:adjustRightInd w:val="0"/>
                    <w:snapToGrid w:val="0"/>
                    <w:jc w:val="center"/>
                    <w:rPr>
                      <w:rFonts w:eastAsia="仿宋_GB2312"/>
                      <w:sz w:val="21"/>
                      <w:szCs w:val="21"/>
                    </w:rPr>
                  </w:pPr>
                  <w:r>
                    <w:rPr>
                      <w:rFonts w:eastAsia="仿宋_GB2312"/>
                      <w:sz w:val="21"/>
                      <w:szCs w:val="21"/>
                    </w:rPr>
                    <w:t>HCl</w:t>
                  </w:r>
                </w:p>
              </w:tc>
              <w:tc>
                <w:tcPr>
                  <w:tcW w:w="833" w:type="pct"/>
                  <w:vAlign w:val="center"/>
                </w:tcPr>
                <w:p w14:paraId="037621F1">
                  <w:pPr>
                    <w:autoSpaceDE w:val="0"/>
                    <w:autoSpaceDN w:val="0"/>
                    <w:adjustRightInd w:val="0"/>
                    <w:snapToGrid w:val="0"/>
                    <w:jc w:val="center"/>
                    <w:rPr>
                      <w:rFonts w:eastAsia="仿宋_GB2312"/>
                      <w:sz w:val="21"/>
                      <w:szCs w:val="21"/>
                    </w:rPr>
                  </w:pPr>
                  <w:r>
                    <w:rPr>
                      <w:rFonts w:eastAsia="仿宋_GB2312"/>
                      <w:sz w:val="21"/>
                      <w:szCs w:val="21"/>
                    </w:rPr>
                    <w:t>0.0004</w:t>
                  </w:r>
                </w:p>
              </w:tc>
              <w:tc>
                <w:tcPr>
                  <w:tcW w:w="833" w:type="pct"/>
                  <w:vAlign w:val="center"/>
                </w:tcPr>
                <w:p w14:paraId="32819826">
                  <w:pPr>
                    <w:autoSpaceDE w:val="0"/>
                    <w:autoSpaceDN w:val="0"/>
                    <w:adjustRightInd w:val="0"/>
                    <w:snapToGrid w:val="0"/>
                    <w:jc w:val="center"/>
                    <w:rPr>
                      <w:rFonts w:eastAsia="仿宋_GB2312"/>
                      <w:sz w:val="21"/>
                      <w:szCs w:val="21"/>
                    </w:rPr>
                  </w:pPr>
                  <w:r>
                    <w:rPr>
                      <w:rFonts w:eastAsia="仿宋_GB2312"/>
                      <w:sz w:val="21"/>
                      <w:szCs w:val="21"/>
                    </w:rPr>
                    <w:t>0.204</w:t>
                  </w:r>
                </w:p>
              </w:tc>
              <w:tc>
                <w:tcPr>
                  <w:tcW w:w="833" w:type="pct"/>
                  <w:vAlign w:val="center"/>
                </w:tcPr>
                <w:p w14:paraId="2A850C2D">
                  <w:pPr>
                    <w:autoSpaceDE w:val="0"/>
                    <w:autoSpaceDN w:val="0"/>
                    <w:adjustRightInd w:val="0"/>
                    <w:snapToGrid w:val="0"/>
                    <w:jc w:val="center"/>
                    <w:rPr>
                      <w:rFonts w:eastAsia="仿宋_GB2312"/>
                      <w:sz w:val="21"/>
                      <w:szCs w:val="21"/>
                    </w:rPr>
                  </w:pPr>
                  <w:r>
                    <w:rPr>
                      <w:rFonts w:eastAsia="仿宋_GB2312"/>
                      <w:sz w:val="21"/>
                      <w:szCs w:val="21"/>
                    </w:rPr>
                    <w:t>0.2044</w:t>
                  </w:r>
                </w:p>
              </w:tc>
            </w:tr>
          </w:tbl>
          <w:p w14:paraId="47176272">
            <w:pPr>
              <w:autoSpaceDE w:val="0"/>
              <w:autoSpaceDN w:val="0"/>
              <w:adjustRightInd w:val="0"/>
              <w:snapToGrid w:val="0"/>
              <w:spacing w:line="312" w:lineRule="auto"/>
              <w:ind w:firstLine="420" w:firstLineChars="200"/>
              <w:rPr>
                <w:rFonts w:eastAsia="仿宋_GB2312"/>
              </w:rPr>
            </w:pPr>
            <w:r>
              <w:rPr>
                <w:rFonts w:eastAsia="仿宋_GB2312"/>
              </w:rPr>
              <w:t>③排放情况</w:t>
            </w:r>
          </w:p>
          <w:p w14:paraId="5860C3B8">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eastAsia="仿宋_GB2312"/>
              </w:rPr>
            </w:pPr>
            <w:r>
              <w:rPr>
                <w:rFonts w:eastAsia="仿宋_GB2312"/>
              </w:rPr>
              <w:t>综上所述，运营期卤水品质优化工序合计产生HCl 0.2044t/a，经负压管道收集经酸雾收集处理装置处理后（处理效率按95%），则年排放量为0.01t/a，最大排放速率0.001kg/h，最大排放浓度0.47mg/m</w:t>
            </w:r>
            <w:r>
              <w:rPr>
                <w:rFonts w:eastAsia="仿宋_GB2312"/>
                <w:vertAlign w:val="superscript"/>
              </w:rPr>
              <w:t>3</w:t>
            </w:r>
            <w:r>
              <w:rPr>
                <w:rFonts w:eastAsia="仿宋_GB2312"/>
              </w:rPr>
              <w:t>，满足《大气污染物综合排放标准》（DB32/4041-2021）表1中排放浓度限值</w:t>
            </w:r>
            <w:r>
              <w:rPr>
                <w:rFonts w:hint="eastAsia" w:eastAsia="仿宋_GB2312"/>
                <w:lang w:val="en-US" w:eastAsia="zh-CN"/>
              </w:rPr>
              <w:t>要求</w:t>
            </w:r>
            <w:r>
              <w:rPr>
                <w:rFonts w:eastAsia="仿宋_GB2312"/>
              </w:rPr>
              <w:t>。则项目废气处理情况见下表4-1</w:t>
            </w:r>
            <w:r>
              <w:rPr>
                <w:rFonts w:hint="eastAsia" w:eastAsia="仿宋_GB2312"/>
                <w:lang w:val="en-US" w:eastAsia="zh-CN"/>
              </w:rPr>
              <w:t>2</w:t>
            </w:r>
            <w:r>
              <w:rPr>
                <w:rFonts w:eastAsia="仿宋_GB2312"/>
              </w:rPr>
              <w:t>。</w:t>
            </w:r>
          </w:p>
          <w:p w14:paraId="7D28882D">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eastAsia="仿宋_GB2312"/>
                <w:b/>
              </w:rPr>
            </w:pPr>
            <w:r>
              <w:rPr>
                <w:rFonts w:eastAsia="仿宋_GB2312"/>
                <w:b/>
              </w:rPr>
              <w:t>表4-1</w:t>
            </w:r>
            <w:r>
              <w:rPr>
                <w:rFonts w:hint="eastAsia" w:eastAsia="仿宋_GB2312"/>
                <w:b/>
                <w:lang w:val="en-US" w:eastAsia="zh-CN"/>
              </w:rPr>
              <w:t xml:space="preserve">2  </w:t>
            </w:r>
            <w:r>
              <w:rPr>
                <w:rFonts w:eastAsia="仿宋_GB2312"/>
                <w:b/>
              </w:rPr>
              <w:t>项目储罐呼吸废气治理一览表</w:t>
            </w:r>
          </w:p>
          <w:tbl>
            <w:tblPr>
              <w:tblStyle w:val="31"/>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32"/>
              <w:gridCol w:w="736"/>
              <w:gridCol w:w="814"/>
              <w:gridCol w:w="930"/>
              <w:gridCol w:w="590"/>
              <w:gridCol w:w="620"/>
              <w:gridCol w:w="800"/>
              <w:gridCol w:w="770"/>
              <w:gridCol w:w="800"/>
              <w:gridCol w:w="890"/>
              <w:gridCol w:w="910"/>
            </w:tblGrid>
            <w:tr w14:paraId="6B9C7F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2" w:hRule="atLeast"/>
                <w:jc w:val="center"/>
              </w:trPr>
              <w:tc>
                <w:tcPr>
                  <w:tcW w:w="372" w:type="pct"/>
                  <w:vMerge w:val="restart"/>
                  <w:tcBorders>
                    <w:tl2br w:val="nil"/>
                    <w:tr2bl w:val="nil"/>
                  </w:tcBorders>
                  <w:vAlign w:val="center"/>
                </w:tcPr>
                <w:p w14:paraId="5079CA32">
                  <w:pPr>
                    <w:pStyle w:val="70"/>
                    <w:widowControl/>
                    <w:overflowPunct/>
                    <w:spacing w:line="240" w:lineRule="auto"/>
                    <w:textAlignment w:val="auto"/>
                    <w:rPr>
                      <w:rFonts w:eastAsia="仿宋_GB2312"/>
                      <w:b/>
                      <w:bCs/>
                      <w:sz w:val="21"/>
                      <w:szCs w:val="21"/>
                    </w:rPr>
                  </w:pPr>
                  <w:r>
                    <w:rPr>
                      <w:rFonts w:eastAsia="仿宋_GB2312"/>
                      <w:b/>
                      <w:bCs/>
                      <w:sz w:val="21"/>
                      <w:szCs w:val="21"/>
                    </w:rPr>
                    <w:t>产排污环节</w:t>
                  </w:r>
                </w:p>
              </w:tc>
              <w:tc>
                <w:tcPr>
                  <w:tcW w:w="433" w:type="pct"/>
                  <w:vMerge w:val="restart"/>
                  <w:tcBorders>
                    <w:tl2br w:val="nil"/>
                    <w:tr2bl w:val="nil"/>
                  </w:tcBorders>
                  <w:vAlign w:val="center"/>
                </w:tcPr>
                <w:p w14:paraId="71871348">
                  <w:pPr>
                    <w:pStyle w:val="70"/>
                    <w:widowControl/>
                    <w:overflowPunct/>
                    <w:spacing w:line="240" w:lineRule="auto"/>
                    <w:textAlignment w:val="auto"/>
                    <w:rPr>
                      <w:rFonts w:eastAsia="仿宋_GB2312"/>
                      <w:b/>
                      <w:bCs/>
                      <w:sz w:val="21"/>
                      <w:szCs w:val="21"/>
                    </w:rPr>
                  </w:pPr>
                  <w:r>
                    <w:rPr>
                      <w:rFonts w:eastAsia="仿宋_GB2312"/>
                      <w:b/>
                      <w:bCs/>
                      <w:sz w:val="21"/>
                      <w:szCs w:val="21"/>
                    </w:rPr>
                    <w:t>污染物种类</w:t>
                  </w:r>
                </w:p>
              </w:tc>
              <w:tc>
                <w:tcPr>
                  <w:tcW w:w="1026" w:type="pct"/>
                  <w:gridSpan w:val="2"/>
                  <w:tcBorders>
                    <w:tl2br w:val="nil"/>
                    <w:tr2bl w:val="nil"/>
                  </w:tcBorders>
                  <w:vAlign w:val="center"/>
                </w:tcPr>
                <w:p w14:paraId="4F261A48">
                  <w:pPr>
                    <w:pStyle w:val="70"/>
                    <w:widowControl/>
                    <w:overflowPunct/>
                    <w:spacing w:line="240" w:lineRule="auto"/>
                    <w:textAlignment w:val="auto"/>
                    <w:rPr>
                      <w:rFonts w:eastAsia="仿宋_GB2312"/>
                      <w:b/>
                      <w:bCs/>
                      <w:sz w:val="21"/>
                      <w:szCs w:val="21"/>
                    </w:rPr>
                  </w:pPr>
                  <w:r>
                    <w:rPr>
                      <w:rFonts w:eastAsia="仿宋_GB2312"/>
                      <w:b/>
                      <w:bCs/>
                      <w:sz w:val="21"/>
                      <w:szCs w:val="21"/>
                    </w:rPr>
                    <w:t>产生情况</w:t>
                  </w:r>
                </w:p>
              </w:tc>
              <w:tc>
                <w:tcPr>
                  <w:tcW w:w="347" w:type="pct"/>
                  <w:vMerge w:val="restart"/>
                  <w:tcBorders>
                    <w:tl2br w:val="nil"/>
                    <w:tr2bl w:val="nil"/>
                  </w:tcBorders>
                  <w:vAlign w:val="center"/>
                </w:tcPr>
                <w:p w14:paraId="1E02221C">
                  <w:pPr>
                    <w:pStyle w:val="70"/>
                    <w:widowControl/>
                    <w:overflowPunct/>
                    <w:spacing w:line="240" w:lineRule="auto"/>
                    <w:textAlignment w:val="auto"/>
                    <w:rPr>
                      <w:rFonts w:eastAsia="仿宋_GB2312"/>
                      <w:b/>
                      <w:bCs/>
                      <w:sz w:val="21"/>
                      <w:szCs w:val="21"/>
                    </w:rPr>
                  </w:pPr>
                  <w:r>
                    <w:rPr>
                      <w:rFonts w:eastAsia="仿宋_GB2312"/>
                      <w:b/>
                      <w:bCs/>
                      <w:sz w:val="21"/>
                      <w:szCs w:val="21"/>
                    </w:rPr>
                    <w:t>排放</w:t>
                  </w:r>
                </w:p>
                <w:p w14:paraId="62968572">
                  <w:pPr>
                    <w:pStyle w:val="70"/>
                    <w:widowControl/>
                    <w:overflowPunct/>
                    <w:spacing w:line="240" w:lineRule="auto"/>
                    <w:textAlignment w:val="auto"/>
                    <w:rPr>
                      <w:rFonts w:eastAsia="仿宋_GB2312"/>
                      <w:b/>
                      <w:bCs/>
                      <w:sz w:val="21"/>
                      <w:szCs w:val="21"/>
                    </w:rPr>
                  </w:pPr>
                  <w:r>
                    <w:rPr>
                      <w:rFonts w:eastAsia="仿宋_GB2312"/>
                      <w:b/>
                      <w:bCs/>
                      <w:sz w:val="21"/>
                      <w:szCs w:val="21"/>
                    </w:rPr>
                    <w:t>形式</w:t>
                  </w:r>
                </w:p>
              </w:tc>
              <w:tc>
                <w:tcPr>
                  <w:tcW w:w="1760" w:type="pct"/>
                  <w:gridSpan w:val="4"/>
                  <w:tcBorders>
                    <w:tl2br w:val="nil"/>
                    <w:tr2bl w:val="nil"/>
                  </w:tcBorders>
                  <w:vAlign w:val="center"/>
                </w:tcPr>
                <w:p w14:paraId="0AAE300A">
                  <w:pPr>
                    <w:pStyle w:val="70"/>
                    <w:widowControl/>
                    <w:overflowPunct/>
                    <w:spacing w:line="240" w:lineRule="auto"/>
                    <w:textAlignment w:val="auto"/>
                    <w:rPr>
                      <w:rFonts w:eastAsia="仿宋_GB2312"/>
                      <w:b/>
                      <w:bCs/>
                      <w:sz w:val="21"/>
                      <w:szCs w:val="21"/>
                    </w:rPr>
                  </w:pPr>
                  <w:r>
                    <w:rPr>
                      <w:rFonts w:eastAsia="仿宋_GB2312"/>
                      <w:b/>
                      <w:bCs/>
                      <w:sz w:val="21"/>
                      <w:szCs w:val="21"/>
                    </w:rPr>
                    <w:t>治理设施</w:t>
                  </w:r>
                </w:p>
              </w:tc>
              <w:tc>
                <w:tcPr>
                  <w:tcW w:w="1059" w:type="pct"/>
                  <w:gridSpan w:val="2"/>
                  <w:tcBorders>
                    <w:tl2br w:val="nil"/>
                    <w:tr2bl w:val="nil"/>
                  </w:tcBorders>
                  <w:vAlign w:val="center"/>
                </w:tcPr>
                <w:p w14:paraId="1024BCF9">
                  <w:pPr>
                    <w:pStyle w:val="70"/>
                    <w:widowControl/>
                    <w:overflowPunct/>
                    <w:spacing w:line="240" w:lineRule="auto"/>
                    <w:textAlignment w:val="auto"/>
                    <w:rPr>
                      <w:rFonts w:eastAsia="仿宋_GB2312"/>
                      <w:b/>
                      <w:bCs/>
                      <w:sz w:val="21"/>
                      <w:szCs w:val="21"/>
                    </w:rPr>
                  </w:pPr>
                  <w:r>
                    <w:rPr>
                      <w:rFonts w:eastAsia="仿宋_GB2312"/>
                      <w:b/>
                      <w:bCs/>
                      <w:sz w:val="21"/>
                      <w:szCs w:val="21"/>
                    </w:rPr>
                    <w:t>污染物排放情况</w:t>
                  </w:r>
                </w:p>
              </w:tc>
            </w:tr>
            <w:tr w14:paraId="30E640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047" w:hRule="atLeast"/>
                <w:jc w:val="center"/>
              </w:trPr>
              <w:tc>
                <w:tcPr>
                  <w:tcW w:w="372" w:type="pct"/>
                  <w:vMerge w:val="continue"/>
                  <w:tcBorders>
                    <w:tl2br w:val="nil"/>
                    <w:tr2bl w:val="nil"/>
                  </w:tcBorders>
                  <w:vAlign w:val="center"/>
                </w:tcPr>
                <w:p w14:paraId="14C2EE43">
                  <w:pPr>
                    <w:pStyle w:val="70"/>
                    <w:widowControl/>
                    <w:overflowPunct/>
                    <w:spacing w:line="240" w:lineRule="auto"/>
                    <w:textAlignment w:val="auto"/>
                    <w:rPr>
                      <w:rFonts w:eastAsia="仿宋_GB2312"/>
                      <w:sz w:val="21"/>
                      <w:szCs w:val="21"/>
                    </w:rPr>
                  </w:pPr>
                </w:p>
              </w:tc>
              <w:tc>
                <w:tcPr>
                  <w:tcW w:w="433" w:type="pct"/>
                  <w:vMerge w:val="continue"/>
                  <w:tcBorders>
                    <w:tl2br w:val="nil"/>
                    <w:tr2bl w:val="nil"/>
                  </w:tcBorders>
                  <w:vAlign w:val="center"/>
                </w:tcPr>
                <w:p w14:paraId="6CCC4649">
                  <w:pPr>
                    <w:pStyle w:val="70"/>
                    <w:widowControl/>
                    <w:overflowPunct/>
                    <w:spacing w:line="240" w:lineRule="auto"/>
                    <w:textAlignment w:val="auto"/>
                    <w:rPr>
                      <w:rFonts w:eastAsia="仿宋_GB2312"/>
                      <w:sz w:val="21"/>
                      <w:szCs w:val="21"/>
                    </w:rPr>
                  </w:pPr>
                </w:p>
              </w:tc>
              <w:tc>
                <w:tcPr>
                  <w:tcW w:w="479" w:type="pct"/>
                  <w:tcBorders>
                    <w:tl2br w:val="nil"/>
                    <w:tr2bl w:val="nil"/>
                  </w:tcBorders>
                  <w:vAlign w:val="center"/>
                </w:tcPr>
                <w:p w14:paraId="13765790">
                  <w:pPr>
                    <w:pStyle w:val="70"/>
                    <w:widowControl/>
                    <w:overflowPunct/>
                    <w:spacing w:line="240" w:lineRule="auto"/>
                    <w:textAlignment w:val="auto"/>
                    <w:rPr>
                      <w:rFonts w:eastAsia="仿宋_GB2312"/>
                      <w:b/>
                      <w:bCs/>
                      <w:sz w:val="21"/>
                      <w:szCs w:val="21"/>
                    </w:rPr>
                  </w:pPr>
                  <w:r>
                    <w:rPr>
                      <w:rFonts w:eastAsia="仿宋_GB2312"/>
                      <w:b/>
                      <w:bCs/>
                      <w:sz w:val="21"/>
                      <w:szCs w:val="21"/>
                    </w:rPr>
                    <w:t>产生量</w:t>
                  </w:r>
                </w:p>
                <w:p w14:paraId="2DD2A21E">
                  <w:pPr>
                    <w:pStyle w:val="70"/>
                    <w:widowControl/>
                    <w:overflowPunct/>
                    <w:spacing w:line="240" w:lineRule="auto"/>
                    <w:textAlignment w:val="auto"/>
                    <w:rPr>
                      <w:rFonts w:eastAsia="仿宋_GB2312"/>
                      <w:b/>
                      <w:bCs/>
                      <w:sz w:val="21"/>
                      <w:szCs w:val="21"/>
                    </w:rPr>
                  </w:pPr>
                  <w:r>
                    <w:rPr>
                      <w:rFonts w:eastAsia="仿宋_GB2312"/>
                      <w:b/>
                      <w:bCs/>
                      <w:sz w:val="21"/>
                      <w:szCs w:val="21"/>
                    </w:rPr>
                    <w:t>（t/a）</w:t>
                  </w:r>
                </w:p>
              </w:tc>
              <w:tc>
                <w:tcPr>
                  <w:tcW w:w="547" w:type="pct"/>
                  <w:tcBorders>
                    <w:tl2br w:val="nil"/>
                    <w:tr2bl w:val="nil"/>
                  </w:tcBorders>
                  <w:vAlign w:val="center"/>
                </w:tcPr>
                <w:p w14:paraId="528F4D98">
                  <w:pPr>
                    <w:pStyle w:val="70"/>
                    <w:widowControl/>
                    <w:overflowPunct/>
                    <w:spacing w:line="240" w:lineRule="auto"/>
                    <w:textAlignment w:val="auto"/>
                    <w:rPr>
                      <w:rFonts w:hint="eastAsia" w:eastAsia="仿宋_GB2312"/>
                      <w:b/>
                      <w:bCs/>
                      <w:sz w:val="21"/>
                      <w:szCs w:val="21"/>
                      <w:lang w:eastAsia="zh-CN"/>
                    </w:rPr>
                  </w:pPr>
                  <w:r>
                    <w:rPr>
                      <w:rFonts w:eastAsia="仿宋_GB2312"/>
                      <w:b/>
                      <w:bCs/>
                      <w:sz w:val="21"/>
                      <w:szCs w:val="21"/>
                    </w:rPr>
                    <w:t>产生</w:t>
                  </w:r>
                  <w:r>
                    <w:rPr>
                      <w:rFonts w:hint="eastAsia" w:eastAsia="仿宋_GB2312"/>
                      <w:b/>
                      <w:bCs/>
                      <w:sz w:val="21"/>
                      <w:szCs w:val="21"/>
                      <w:lang w:val="en-US" w:eastAsia="zh-CN"/>
                    </w:rPr>
                    <w:t>速率</w:t>
                  </w:r>
                </w:p>
                <w:p w14:paraId="7F2903F8">
                  <w:pPr>
                    <w:pStyle w:val="70"/>
                    <w:widowControl/>
                    <w:overflowPunct/>
                    <w:spacing w:line="240" w:lineRule="auto"/>
                    <w:textAlignment w:val="auto"/>
                    <w:rPr>
                      <w:rFonts w:eastAsia="仿宋_GB2312"/>
                      <w:b/>
                      <w:bCs/>
                      <w:sz w:val="21"/>
                      <w:szCs w:val="21"/>
                    </w:rPr>
                  </w:pPr>
                  <w:r>
                    <w:rPr>
                      <w:rFonts w:eastAsia="仿宋_GB2312"/>
                      <w:b/>
                      <w:bCs/>
                      <w:sz w:val="21"/>
                      <w:szCs w:val="21"/>
                    </w:rPr>
                    <w:t>（kg/h）</w:t>
                  </w:r>
                </w:p>
              </w:tc>
              <w:tc>
                <w:tcPr>
                  <w:tcW w:w="347" w:type="pct"/>
                  <w:vMerge w:val="continue"/>
                  <w:tcBorders>
                    <w:tl2br w:val="nil"/>
                    <w:tr2bl w:val="nil"/>
                  </w:tcBorders>
                  <w:vAlign w:val="center"/>
                </w:tcPr>
                <w:p w14:paraId="565D2D9B">
                  <w:pPr>
                    <w:pStyle w:val="70"/>
                    <w:widowControl/>
                    <w:overflowPunct/>
                    <w:spacing w:line="240" w:lineRule="auto"/>
                    <w:textAlignment w:val="auto"/>
                    <w:rPr>
                      <w:rFonts w:eastAsia="仿宋_GB2312"/>
                      <w:sz w:val="21"/>
                      <w:szCs w:val="21"/>
                    </w:rPr>
                  </w:pPr>
                </w:p>
              </w:tc>
              <w:tc>
                <w:tcPr>
                  <w:tcW w:w="365" w:type="pct"/>
                  <w:tcBorders>
                    <w:tl2br w:val="nil"/>
                    <w:tr2bl w:val="nil"/>
                  </w:tcBorders>
                  <w:vAlign w:val="center"/>
                </w:tcPr>
                <w:p w14:paraId="405A192D">
                  <w:pPr>
                    <w:pStyle w:val="70"/>
                    <w:widowControl/>
                    <w:overflowPunct/>
                    <w:spacing w:line="240" w:lineRule="auto"/>
                    <w:textAlignment w:val="auto"/>
                    <w:rPr>
                      <w:rFonts w:eastAsia="仿宋_GB2312"/>
                      <w:b/>
                      <w:bCs/>
                      <w:sz w:val="21"/>
                      <w:szCs w:val="21"/>
                    </w:rPr>
                  </w:pPr>
                  <w:r>
                    <w:rPr>
                      <w:rFonts w:eastAsia="仿宋_GB2312"/>
                      <w:b/>
                      <w:bCs/>
                      <w:sz w:val="21"/>
                      <w:szCs w:val="21"/>
                    </w:rPr>
                    <w:t>治理</w:t>
                  </w:r>
                </w:p>
                <w:p w14:paraId="6433BE73">
                  <w:pPr>
                    <w:pStyle w:val="70"/>
                    <w:widowControl/>
                    <w:overflowPunct/>
                    <w:spacing w:line="240" w:lineRule="auto"/>
                    <w:textAlignment w:val="auto"/>
                    <w:rPr>
                      <w:rFonts w:eastAsia="仿宋_GB2312"/>
                      <w:b/>
                      <w:bCs/>
                      <w:sz w:val="21"/>
                      <w:szCs w:val="21"/>
                    </w:rPr>
                  </w:pPr>
                  <w:r>
                    <w:rPr>
                      <w:rFonts w:eastAsia="仿宋_GB2312"/>
                      <w:b/>
                      <w:bCs/>
                      <w:sz w:val="21"/>
                      <w:szCs w:val="21"/>
                    </w:rPr>
                    <w:t>工艺</w:t>
                  </w:r>
                </w:p>
              </w:tc>
              <w:tc>
                <w:tcPr>
                  <w:tcW w:w="471" w:type="pct"/>
                  <w:tcBorders>
                    <w:tl2br w:val="nil"/>
                    <w:tr2bl w:val="nil"/>
                  </w:tcBorders>
                  <w:vAlign w:val="center"/>
                </w:tcPr>
                <w:p w14:paraId="312D9AC2">
                  <w:pPr>
                    <w:pStyle w:val="70"/>
                    <w:widowControl/>
                    <w:overflowPunct/>
                    <w:spacing w:line="240" w:lineRule="auto"/>
                    <w:textAlignment w:val="auto"/>
                    <w:rPr>
                      <w:rFonts w:eastAsia="仿宋_GB2312"/>
                      <w:b/>
                      <w:bCs/>
                      <w:sz w:val="21"/>
                      <w:szCs w:val="21"/>
                    </w:rPr>
                  </w:pPr>
                  <w:r>
                    <w:rPr>
                      <w:rFonts w:eastAsia="仿宋_GB2312"/>
                      <w:b/>
                      <w:bCs/>
                      <w:sz w:val="21"/>
                      <w:szCs w:val="21"/>
                    </w:rPr>
                    <w:t>处理能力（m</w:t>
                  </w:r>
                  <w:r>
                    <w:rPr>
                      <w:rFonts w:eastAsia="仿宋_GB2312"/>
                      <w:b/>
                      <w:bCs/>
                      <w:sz w:val="21"/>
                      <w:szCs w:val="21"/>
                      <w:vertAlign w:val="superscript"/>
                    </w:rPr>
                    <w:t>3</w:t>
                  </w:r>
                  <w:r>
                    <w:rPr>
                      <w:rFonts w:eastAsia="仿宋_GB2312"/>
                      <w:b/>
                      <w:bCs/>
                      <w:sz w:val="21"/>
                      <w:szCs w:val="21"/>
                    </w:rPr>
                    <w:t>/h）</w:t>
                  </w:r>
                </w:p>
              </w:tc>
              <w:tc>
                <w:tcPr>
                  <w:tcW w:w="453" w:type="pct"/>
                  <w:tcBorders>
                    <w:tl2br w:val="nil"/>
                    <w:tr2bl w:val="nil"/>
                  </w:tcBorders>
                  <w:vAlign w:val="center"/>
                </w:tcPr>
                <w:p w14:paraId="09AF36D8">
                  <w:pPr>
                    <w:pStyle w:val="70"/>
                    <w:widowControl/>
                    <w:overflowPunct/>
                    <w:spacing w:line="240" w:lineRule="auto"/>
                    <w:textAlignment w:val="auto"/>
                    <w:rPr>
                      <w:rFonts w:eastAsia="仿宋_GB2312"/>
                      <w:b/>
                      <w:bCs/>
                      <w:sz w:val="21"/>
                      <w:szCs w:val="21"/>
                    </w:rPr>
                  </w:pPr>
                  <w:r>
                    <w:rPr>
                      <w:rFonts w:eastAsia="仿宋_GB2312"/>
                      <w:b/>
                      <w:bCs/>
                      <w:sz w:val="21"/>
                      <w:szCs w:val="21"/>
                    </w:rPr>
                    <w:t>处理效率</w:t>
                  </w:r>
                </w:p>
                <w:p w14:paraId="1ACB4C4A">
                  <w:pPr>
                    <w:pStyle w:val="70"/>
                    <w:widowControl/>
                    <w:overflowPunct/>
                    <w:spacing w:line="240" w:lineRule="auto"/>
                    <w:textAlignment w:val="auto"/>
                    <w:rPr>
                      <w:rFonts w:eastAsia="仿宋_GB2312"/>
                      <w:b/>
                      <w:bCs/>
                      <w:sz w:val="21"/>
                      <w:szCs w:val="21"/>
                    </w:rPr>
                  </w:pPr>
                  <w:r>
                    <w:rPr>
                      <w:rFonts w:eastAsia="仿宋_GB2312"/>
                      <w:b/>
                      <w:bCs/>
                      <w:sz w:val="21"/>
                      <w:szCs w:val="21"/>
                    </w:rPr>
                    <w:t>（%）</w:t>
                  </w:r>
                </w:p>
              </w:tc>
              <w:tc>
                <w:tcPr>
                  <w:tcW w:w="471" w:type="pct"/>
                  <w:tcBorders>
                    <w:tl2br w:val="nil"/>
                    <w:tr2bl w:val="nil"/>
                  </w:tcBorders>
                  <w:vAlign w:val="center"/>
                </w:tcPr>
                <w:p w14:paraId="45950443">
                  <w:pPr>
                    <w:pStyle w:val="70"/>
                    <w:widowControl/>
                    <w:overflowPunct/>
                    <w:spacing w:line="240" w:lineRule="auto"/>
                    <w:textAlignment w:val="auto"/>
                    <w:rPr>
                      <w:rFonts w:eastAsia="仿宋_GB2312"/>
                      <w:b/>
                      <w:bCs/>
                      <w:sz w:val="21"/>
                      <w:szCs w:val="21"/>
                    </w:rPr>
                  </w:pPr>
                  <w:r>
                    <w:rPr>
                      <w:rFonts w:eastAsia="仿宋_GB2312"/>
                      <w:b/>
                      <w:bCs/>
                      <w:sz w:val="21"/>
                      <w:szCs w:val="21"/>
                    </w:rPr>
                    <w:t>是否为可行技术</w:t>
                  </w:r>
                </w:p>
              </w:tc>
              <w:tc>
                <w:tcPr>
                  <w:tcW w:w="524" w:type="pct"/>
                  <w:tcBorders>
                    <w:tl2br w:val="nil"/>
                    <w:tr2bl w:val="nil"/>
                  </w:tcBorders>
                  <w:vAlign w:val="center"/>
                </w:tcPr>
                <w:p w14:paraId="6E8247D4">
                  <w:pPr>
                    <w:pStyle w:val="70"/>
                    <w:widowControl/>
                    <w:overflowPunct/>
                    <w:spacing w:line="240" w:lineRule="auto"/>
                    <w:textAlignment w:val="auto"/>
                    <w:rPr>
                      <w:rFonts w:eastAsia="仿宋_GB2312"/>
                      <w:b/>
                      <w:bCs/>
                      <w:sz w:val="21"/>
                      <w:szCs w:val="21"/>
                    </w:rPr>
                  </w:pPr>
                  <w:r>
                    <w:rPr>
                      <w:rFonts w:eastAsia="仿宋_GB2312"/>
                      <w:b/>
                      <w:bCs/>
                      <w:sz w:val="21"/>
                      <w:szCs w:val="21"/>
                    </w:rPr>
                    <w:t>排放速率</w:t>
                  </w:r>
                </w:p>
                <w:p w14:paraId="31397A1A">
                  <w:pPr>
                    <w:pStyle w:val="70"/>
                    <w:widowControl/>
                    <w:overflowPunct/>
                    <w:spacing w:line="240" w:lineRule="auto"/>
                    <w:textAlignment w:val="auto"/>
                    <w:rPr>
                      <w:rFonts w:eastAsia="仿宋_GB2312"/>
                      <w:b/>
                      <w:bCs/>
                      <w:sz w:val="21"/>
                      <w:szCs w:val="21"/>
                    </w:rPr>
                  </w:pPr>
                  <w:r>
                    <w:rPr>
                      <w:rFonts w:eastAsia="仿宋_GB2312"/>
                      <w:b/>
                      <w:bCs/>
                      <w:sz w:val="21"/>
                      <w:szCs w:val="21"/>
                    </w:rPr>
                    <w:t>（kg/h）</w:t>
                  </w:r>
                </w:p>
              </w:tc>
              <w:tc>
                <w:tcPr>
                  <w:tcW w:w="535" w:type="pct"/>
                  <w:tcBorders>
                    <w:tl2br w:val="nil"/>
                    <w:tr2bl w:val="nil"/>
                  </w:tcBorders>
                  <w:vAlign w:val="center"/>
                </w:tcPr>
                <w:p w14:paraId="6503FAF5">
                  <w:pPr>
                    <w:pStyle w:val="70"/>
                    <w:widowControl/>
                    <w:overflowPunct/>
                    <w:spacing w:line="240" w:lineRule="auto"/>
                    <w:textAlignment w:val="auto"/>
                    <w:rPr>
                      <w:rFonts w:eastAsia="仿宋_GB2312"/>
                      <w:b/>
                      <w:bCs/>
                      <w:sz w:val="21"/>
                      <w:szCs w:val="21"/>
                    </w:rPr>
                  </w:pPr>
                  <w:r>
                    <w:rPr>
                      <w:rFonts w:eastAsia="仿宋_GB2312"/>
                      <w:b/>
                      <w:bCs/>
                      <w:sz w:val="21"/>
                      <w:szCs w:val="21"/>
                    </w:rPr>
                    <w:t>排放量</w:t>
                  </w:r>
                </w:p>
                <w:p w14:paraId="0BD9ECE9">
                  <w:pPr>
                    <w:pStyle w:val="70"/>
                    <w:widowControl/>
                    <w:overflowPunct/>
                    <w:spacing w:line="240" w:lineRule="auto"/>
                    <w:textAlignment w:val="auto"/>
                    <w:rPr>
                      <w:rFonts w:eastAsia="仿宋_GB2312"/>
                      <w:b/>
                      <w:bCs/>
                      <w:sz w:val="21"/>
                      <w:szCs w:val="21"/>
                    </w:rPr>
                  </w:pPr>
                  <w:r>
                    <w:rPr>
                      <w:rFonts w:eastAsia="仿宋_GB2312"/>
                      <w:b/>
                      <w:bCs/>
                      <w:sz w:val="21"/>
                      <w:szCs w:val="21"/>
                    </w:rPr>
                    <w:t>（t/a）</w:t>
                  </w:r>
                </w:p>
              </w:tc>
            </w:tr>
            <w:tr w14:paraId="542D57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21" w:hRule="atLeast"/>
                <w:jc w:val="center"/>
              </w:trPr>
              <w:tc>
                <w:tcPr>
                  <w:tcW w:w="372" w:type="pct"/>
                  <w:tcBorders>
                    <w:tl2br w:val="nil"/>
                    <w:tr2bl w:val="nil"/>
                  </w:tcBorders>
                  <w:vAlign w:val="center"/>
                </w:tcPr>
                <w:p w14:paraId="01CC04D9">
                  <w:pPr>
                    <w:pStyle w:val="70"/>
                    <w:widowControl/>
                    <w:overflowPunct/>
                    <w:spacing w:line="240" w:lineRule="auto"/>
                    <w:textAlignment w:val="auto"/>
                    <w:rPr>
                      <w:rFonts w:eastAsia="仿宋_GB2312"/>
                      <w:sz w:val="21"/>
                      <w:szCs w:val="21"/>
                    </w:rPr>
                  </w:pPr>
                  <w:r>
                    <w:rPr>
                      <w:rFonts w:eastAsia="仿宋_GB2312"/>
                      <w:sz w:val="21"/>
                      <w:szCs w:val="21"/>
                    </w:rPr>
                    <w:t>盐酸储罐呼吸废气</w:t>
                  </w:r>
                </w:p>
              </w:tc>
              <w:tc>
                <w:tcPr>
                  <w:tcW w:w="433" w:type="pct"/>
                  <w:tcBorders>
                    <w:tl2br w:val="nil"/>
                    <w:tr2bl w:val="nil"/>
                  </w:tcBorders>
                  <w:vAlign w:val="center"/>
                </w:tcPr>
                <w:p w14:paraId="77014949">
                  <w:pPr>
                    <w:widowControl/>
                    <w:adjustRightInd w:val="0"/>
                    <w:snapToGrid w:val="0"/>
                    <w:jc w:val="center"/>
                    <w:rPr>
                      <w:rFonts w:eastAsia="仿宋_GB2312"/>
                      <w:sz w:val="21"/>
                      <w:szCs w:val="21"/>
                    </w:rPr>
                  </w:pPr>
                  <w:r>
                    <w:rPr>
                      <w:rFonts w:eastAsia="仿宋_GB2312"/>
                      <w:sz w:val="21"/>
                      <w:szCs w:val="21"/>
                    </w:rPr>
                    <w:t>HCl</w:t>
                  </w:r>
                </w:p>
              </w:tc>
              <w:tc>
                <w:tcPr>
                  <w:tcW w:w="479" w:type="pct"/>
                  <w:tcBorders>
                    <w:tl2br w:val="nil"/>
                    <w:tr2bl w:val="nil"/>
                  </w:tcBorders>
                  <w:vAlign w:val="center"/>
                </w:tcPr>
                <w:p w14:paraId="1AD3604C">
                  <w:pPr>
                    <w:pStyle w:val="70"/>
                    <w:widowControl/>
                    <w:overflowPunct/>
                    <w:spacing w:line="240" w:lineRule="auto"/>
                    <w:textAlignment w:val="auto"/>
                    <w:rPr>
                      <w:rFonts w:eastAsia="仿宋_GB2312"/>
                      <w:sz w:val="21"/>
                      <w:szCs w:val="21"/>
                    </w:rPr>
                  </w:pPr>
                  <w:r>
                    <w:rPr>
                      <w:rFonts w:eastAsia="仿宋_GB2312"/>
                      <w:sz w:val="21"/>
                      <w:szCs w:val="21"/>
                    </w:rPr>
                    <w:t>0.2044</w:t>
                  </w:r>
                </w:p>
              </w:tc>
              <w:tc>
                <w:tcPr>
                  <w:tcW w:w="547" w:type="pct"/>
                  <w:tcBorders>
                    <w:tl2br w:val="nil"/>
                    <w:tr2bl w:val="nil"/>
                  </w:tcBorders>
                  <w:vAlign w:val="center"/>
                </w:tcPr>
                <w:p w14:paraId="20F5CADD">
                  <w:pPr>
                    <w:pStyle w:val="70"/>
                    <w:widowControl/>
                    <w:overflowPunct/>
                    <w:spacing w:line="240" w:lineRule="auto"/>
                    <w:textAlignment w:val="auto"/>
                    <w:rPr>
                      <w:rFonts w:hint="default" w:eastAsia="仿宋_GB2312"/>
                      <w:sz w:val="21"/>
                      <w:szCs w:val="21"/>
                      <w:lang w:val="en-US" w:eastAsia="zh-CN"/>
                    </w:rPr>
                  </w:pPr>
                  <w:r>
                    <w:rPr>
                      <w:rFonts w:hint="eastAsia" w:eastAsia="仿宋_GB2312"/>
                      <w:sz w:val="21"/>
                      <w:szCs w:val="21"/>
                      <w:lang w:val="en-US" w:eastAsia="zh-CN"/>
                    </w:rPr>
                    <w:t>0.024</w:t>
                  </w:r>
                </w:p>
              </w:tc>
              <w:tc>
                <w:tcPr>
                  <w:tcW w:w="347" w:type="pct"/>
                  <w:tcBorders>
                    <w:tl2br w:val="nil"/>
                    <w:tr2bl w:val="nil"/>
                  </w:tcBorders>
                  <w:vAlign w:val="center"/>
                </w:tcPr>
                <w:p w14:paraId="120A3603">
                  <w:pPr>
                    <w:pStyle w:val="70"/>
                    <w:widowControl/>
                    <w:overflowPunct/>
                    <w:spacing w:line="240" w:lineRule="auto"/>
                    <w:textAlignment w:val="auto"/>
                    <w:rPr>
                      <w:rFonts w:eastAsia="仿宋_GB2312"/>
                      <w:sz w:val="21"/>
                      <w:szCs w:val="21"/>
                    </w:rPr>
                  </w:pPr>
                  <w:r>
                    <w:rPr>
                      <w:rFonts w:eastAsia="仿宋_GB2312"/>
                      <w:sz w:val="21"/>
                      <w:szCs w:val="21"/>
                    </w:rPr>
                    <w:t>无组织</w:t>
                  </w:r>
                </w:p>
              </w:tc>
              <w:tc>
                <w:tcPr>
                  <w:tcW w:w="365" w:type="pct"/>
                  <w:tcBorders>
                    <w:tl2br w:val="nil"/>
                    <w:tr2bl w:val="nil"/>
                  </w:tcBorders>
                  <w:vAlign w:val="center"/>
                </w:tcPr>
                <w:p w14:paraId="3088F89B">
                  <w:pPr>
                    <w:pStyle w:val="70"/>
                    <w:widowControl/>
                    <w:overflowPunct/>
                    <w:spacing w:line="240" w:lineRule="auto"/>
                    <w:textAlignment w:val="auto"/>
                    <w:rPr>
                      <w:rFonts w:eastAsia="仿宋_GB2312"/>
                      <w:sz w:val="21"/>
                      <w:szCs w:val="21"/>
                    </w:rPr>
                  </w:pPr>
                  <w:r>
                    <w:rPr>
                      <w:rFonts w:eastAsia="仿宋_GB2312"/>
                      <w:sz w:val="21"/>
                      <w:szCs w:val="21"/>
                    </w:rPr>
                    <w:t>酸雾尾气吸收塔</w:t>
                  </w:r>
                </w:p>
              </w:tc>
              <w:tc>
                <w:tcPr>
                  <w:tcW w:w="471" w:type="pct"/>
                  <w:tcBorders>
                    <w:tl2br w:val="nil"/>
                    <w:tr2bl w:val="nil"/>
                  </w:tcBorders>
                  <w:vAlign w:val="center"/>
                </w:tcPr>
                <w:p w14:paraId="7602A1CD">
                  <w:pPr>
                    <w:pStyle w:val="70"/>
                    <w:widowControl/>
                    <w:overflowPunct/>
                    <w:spacing w:line="240" w:lineRule="auto"/>
                    <w:textAlignment w:val="auto"/>
                    <w:rPr>
                      <w:rFonts w:eastAsia="仿宋_GB2312"/>
                      <w:sz w:val="21"/>
                      <w:szCs w:val="21"/>
                    </w:rPr>
                  </w:pPr>
                  <w:r>
                    <w:rPr>
                      <w:rFonts w:hint="eastAsia" w:eastAsia="仿宋_GB2312"/>
                      <w:sz w:val="21"/>
                      <w:szCs w:val="21"/>
                      <w:lang w:val="en-US" w:eastAsia="zh-CN"/>
                    </w:rPr>
                    <w:t>1</w:t>
                  </w:r>
                  <w:r>
                    <w:rPr>
                      <w:rFonts w:eastAsia="仿宋_GB2312"/>
                      <w:sz w:val="21"/>
                      <w:szCs w:val="21"/>
                    </w:rPr>
                    <w:t>00</w:t>
                  </w:r>
                </w:p>
              </w:tc>
              <w:tc>
                <w:tcPr>
                  <w:tcW w:w="453" w:type="pct"/>
                  <w:tcBorders>
                    <w:tl2br w:val="nil"/>
                    <w:tr2bl w:val="nil"/>
                  </w:tcBorders>
                  <w:vAlign w:val="center"/>
                </w:tcPr>
                <w:p w14:paraId="30168DD8">
                  <w:pPr>
                    <w:pStyle w:val="70"/>
                    <w:widowControl/>
                    <w:overflowPunct/>
                    <w:spacing w:line="240" w:lineRule="auto"/>
                    <w:textAlignment w:val="auto"/>
                    <w:rPr>
                      <w:rFonts w:eastAsia="仿宋_GB2312"/>
                      <w:sz w:val="21"/>
                      <w:szCs w:val="21"/>
                    </w:rPr>
                  </w:pPr>
                  <w:r>
                    <w:rPr>
                      <w:rFonts w:eastAsia="仿宋_GB2312"/>
                      <w:sz w:val="21"/>
                      <w:szCs w:val="21"/>
                    </w:rPr>
                    <w:t>95</w:t>
                  </w:r>
                </w:p>
              </w:tc>
              <w:tc>
                <w:tcPr>
                  <w:tcW w:w="471" w:type="pct"/>
                  <w:tcBorders>
                    <w:tl2br w:val="nil"/>
                    <w:tr2bl w:val="nil"/>
                  </w:tcBorders>
                  <w:vAlign w:val="center"/>
                </w:tcPr>
                <w:p w14:paraId="7265749A">
                  <w:pPr>
                    <w:widowControl/>
                    <w:adjustRightInd w:val="0"/>
                    <w:snapToGrid w:val="0"/>
                    <w:jc w:val="center"/>
                    <w:rPr>
                      <w:rFonts w:eastAsia="仿宋_GB2312"/>
                      <w:sz w:val="21"/>
                      <w:szCs w:val="21"/>
                    </w:rPr>
                  </w:pPr>
                  <w:r>
                    <w:rPr>
                      <w:rFonts w:eastAsia="仿宋_GB2312"/>
                      <w:sz w:val="21"/>
                      <w:szCs w:val="21"/>
                    </w:rPr>
                    <w:t>可行</w:t>
                  </w:r>
                </w:p>
              </w:tc>
              <w:tc>
                <w:tcPr>
                  <w:tcW w:w="524" w:type="pct"/>
                  <w:tcBorders>
                    <w:tl2br w:val="nil"/>
                    <w:tr2bl w:val="nil"/>
                  </w:tcBorders>
                  <w:vAlign w:val="center"/>
                </w:tcPr>
                <w:p w14:paraId="52E9FC0F">
                  <w:pPr>
                    <w:pStyle w:val="70"/>
                    <w:widowControl/>
                    <w:overflowPunct/>
                    <w:spacing w:line="240" w:lineRule="auto"/>
                    <w:textAlignment w:val="auto"/>
                    <w:rPr>
                      <w:rFonts w:eastAsia="仿宋_GB2312"/>
                      <w:sz w:val="21"/>
                      <w:szCs w:val="21"/>
                    </w:rPr>
                  </w:pPr>
                  <w:r>
                    <w:rPr>
                      <w:rFonts w:eastAsia="仿宋_GB2312"/>
                      <w:sz w:val="21"/>
                      <w:szCs w:val="21"/>
                    </w:rPr>
                    <w:t>0.001</w:t>
                  </w:r>
                </w:p>
              </w:tc>
              <w:tc>
                <w:tcPr>
                  <w:tcW w:w="535" w:type="pct"/>
                  <w:tcBorders>
                    <w:tl2br w:val="nil"/>
                    <w:tr2bl w:val="nil"/>
                  </w:tcBorders>
                  <w:vAlign w:val="center"/>
                </w:tcPr>
                <w:p w14:paraId="3B9F2808">
                  <w:pPr>
                    <w:pStyle w:val="70"/>
                    <w:widowControl/>
                    <w:overflowPunct/>
                    <w:spacing w:line="240" w:lineRule="auto"/>
                    <w:textAlignment w:val="auto"/>
                    <w:rPr>
                      <w:rFonts w:eastAsia="仿宋_GB2312"/>
                      <w:sz w:val="21"/>
                      <w:szCs w:val="21"/>
                    </w:rPr>
                  </w:pPr>
                  <w:r>
                    <w:rPr>
                      <w:rFonts w:eastAsia="仿宋_GB2312"/>
                      <w:sz w:val="21"/>
                      <w:szCs w:val="21"/>
                    </w:rPr>
                    <w:t>0.01</w:t>
                  </w:r>
                </w:p>
              </w:tc>
            </w:tr>
          </w:tbl>
          <w:p w14:paraId="7E3A4E67">
            <w:pPr>
              <w:autoSpaceDE w:val="0"/>
              <w:autoSpaceDN w:val="0"/>
              <w:adjustRightInd w:val="0"/>
              <w:snapToGrid w:val="0"/>
              <w:spacing w:beforeLines="50" w:line="360" w:lineRule="auto"/>
              <w:ind w:firstLine="420" w:firstLineChars="200"/>
              <w:rPr>
                <w:rFonts w:hint="default" w:ascii="Times New Roman" w:hAnsi="Times New Roman" w:eastAsia="仿宋_GB2312" w:cs="Times New Roman"/>
              </w:rPr>
            </w:pPr>
            <w:r>
              <w:rPr>
                <w:rFonts w:hint="default" w:ascii="Times New Roman" w:hAnsi="Times New Roman" w:eastAsia="仿宋_GB2312" w:cs="Times New Roman"/>
              </w:rPr>
              <w:t>（</w:t>
            </w:r>
            <w:r>
              <w:rPr>
                <w:rFonts w:hint="eastAsia" w:ascii="Times New Roman" w:hAnsi="Times New Roman" w:eastAsia="仿宋_GB2312" w:cs="Times New Roman"/>
                <w:lang w:val="en-US" w:eastAsia="zh-CN"/>
              </w:rPr>
              <w:t>2</w:t>
            </w:r>
            <w:r>
              <w:rPr>
                <w:rFonts w:hint="default" w:ascii="Times New Roman" w:hAnsi="Times New Roman" w:eastAsia="仿宋_GB2312" w:cs="Times New Roman"/>
              </w:rPr>
              <w:t>）平板膜过滤废气</w:t>
            </w:r>
          </w:p>
          <w:p w14:paraId="76C98226">
            <w:pPr>
              <w:autoSpaceDE w:val="0"/>
              <w:autoSpaceDN w:val="0"/>
              <w:adjustRightInd w:val="0"/>
              <w:snapToGrid w:val="0"/>
              <w:spacing w:line="360" w:lineRule="auto"/>
              <w:ind w:firstLine="420" w:firstLineChars="200"/>
              <w:rPr>
                <w:rFonts w:hint="default" w:ascii="Times New Roman" w:hAnsi="Times New Roman" w:eastAsia="仿宋_GB2312" w:cs="Times New Roman"/>
              </w:rPr>
            </w:pPr>
            <w:r>
              <w:rPr>
                <w:rFonts w:hint="default" w:ascii="Times New Roman" w:hAnsi="Times New Roman" w:eastAsia="仿宋_GB2312" w:cs="Times New Roman"/>
              </w:rPr>
              <w:t>①废气治理设施设置情况</w:t>
            </w:r>
          </w:p>
          <w:p w14:paraId="1B99F00B">
            <w:pPr>
              <w:autoSpaceDE w:val="0"/>
              <w:autoSpaceDN w:val="0"/>
              <w:adjustRightInd w:val="0"/>
              <w:snapToGrid w:val="0"/>
              <w:spacing w:line="360" w:lineRule="auto"/>
              <w:ind w:firstLine="420" w:firstLineChars="200"/>
              <w:rPr>
                <w:rFonts w:hint="default" w:ascii="Times New Roman" w:hAnsi="Times New Roman" w:eastAsia="仿宋_GB2312" w:cs="Times New Roman"/>
              </w:rPr>
            </w:pPr>
            <w:r>
              <w:rPr>
                <w:rFonts w:hint="default" w:ascii="Times New Roman" w:hAnsi="Times New Roman" w:eastAsia="仿宋_GB2312" w:cs="Times New Roman"/>
              </w:rPr>
              <w:t>项目卤水品质优化工程采用平板膜盐水精制装置脱除钙镁离子，过滤过程中产生的盐雾采用盐雾收集处理装置，该装置利用淡水吸收空气中的盐分，处理后无组织排放。</w:t>
            </w:r>
          </w:p>
          <w:p w14:paraId="157700A7">
            <w:pPr>
              <w:pStyle w:val="17"/>
              <w:numPr>
                <w:ilvl w:val="0"/>
                <w:numId w:val="0"/>
              </w:numPr>
              <w:spacing w:line="360" w:lineRule="auto"/>
              <w:jc w:val="center"/>
              <w:rPr>
                <w:rFonts w:eastAsia="仿宋_GB2312"/>
                <w:b/>
                <w:bCs/>
              </w:rPr>
            </w:pPr>
            <w:r>
              <w:rPr>
                <w:rFonts w:eastAsia="仿宋_GB2312"/>
                <w:b/>
                <w:bCs/>
              </w:rPr>
              <w:t>表4-</w:t>
            </w:r>
            <w:r>
              <w:rPr>
                <w:rFonts w:hint="eastAsia" w:eastAsia="仿宋_GB2312"/>
                <w:b/>
                <w:bCs/>
                <w:lang w:val="en-US" w:eastAsia="zh-CN"/>
              </w:rPr>
              <w:t xml:space="preserve">13  </w:t>
            </w:r>
            <w:r>
              <w:rPr>
                <w:rFonts w:eastAsia="仿宋_GB2312"/>
                <w:b/>
                <w:bCs/>
              </w:rPr>
              <w:t>废气收集情况及风量核算一览表</w:t>
            </w:r>
          </w:p>
          <w:tbl>
            <w:tblPr>
              <w:tblStyle w:val="31"/>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47"/>
              <w:gridCol w:w="836"/>
              <w:gridCol w:w="669"/>
              <w:gridCol w:w="1785"/>
              <w:gridCol w:w="1043"/>
              <w:gridCol w:w="2401"/>
              <w:gridCol w:w="1110"/>
            </w:tblGrid>
            <w:tr w14:paraId="08FECA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47" w:hRule="atLeast"/>
                <w:jc w:val="center"/>
              </w:trPr>
              <w:tc>
                <w:tcPr>
                  <w:tcW w:w="599" w:type="dxa"/>
                  <w:vAlign w:val="center"/>
                </w:tcPr>
                <w:p w14:paraId="6B2B82BD">
                  <w:pPr>
                    <w:pStyle w:val="70"/>
                    <w:widowControl/>
                    <w:overflowPunct/>
                    <w:spacing w:line="240" w:lineRule="auto"/>
                    <w:ind w:left="63" w:leftChars="30"/>
                    <w:textAlignment w:val="auto"/>
                    <w:rPr>
                      <w:rFonts w:eastAsia="仿宋_GB2312"/>
                      <w:b/>
                      <w:bCs/>
                      <w:sz w:val="21"/>
                      <w:szCs w:val="21"/>
                    </w:rPr>
                  </w:pPr>
                  <w:r>
                    <w:rPr>
                      <w:rFonts w:eastAsia="仿宋_GB2312"/>
                      <w:b/>
                      <w:bCs/>
                      <w:sz w:val="21"/>
                      <w:szCs w:val="21"/>
                    </w:rPr>
                    <w:t>污染</w:t>
                  </w:r>
                </w:p>
                <w:p w14:paraId="76778B5C">
                  <w:pPr>
                    <w:pStyle w:val="70"/>
                    <w:widowControl/>
                    <w:overflowPunct/>
                    <w:spacing w:line="240" w:lineRule="auto"/>
                    <w:ind w:left="63" w:leftChars="30"/>
                    <w:textAlignment w:val="auto"/>
                    <w:rPr>
                      <w:rFonts w:eastAsia="仿宋_GB2312"/>
                      <w:b/>
                      <w:bCs/>
                      <w:sz w:val="21"/>
                      <w:szCs w:val="21"/>
                    </w:rPr>
                  </w:pPr>
                  <w:r>
                    <w:rPr>
                      <w:rFonts w:eastAsia="仿宋_GB2312"/>
                      <w:b/>
                      <w:bCs/>
                      <w:sz w:val="21"/>
                      <w:szCs w:val="21"/>
                    </w:rPr>
                    <w:t>环节</w:t>
                  </w:r>
                </w:p>
              </w:tc>
              <w:tc>
                <w:tcPr>
                  <w:tcW w:w="774" w:type="dxa"/>
                  <w:vAlign w:val="center"/>
                </w:tcPr>
                <w:p w14:paraId="79F56D8C">
                  <w:pPr>
                    <w:pStyle w:val="70"/>
                    <w:widowControl/>
                    <w:overflowPunct/>
                    <w:spacing w:line="240" w:lineRule="auto"/>
                    <w:ind w:left="63" w:leftChars="30"/>
                    <w:textAlignment w:val="auto"/>
                    <w:rPr>
                      <w:rFonts w:eastAsia="仿宋_GB2312"/>
                      <w:b/>
                      <w:bCs/>
                      <w:sz w:val="21"/>
                      <w:szCs w:val="21"/>
                    </w:rPr>
                  </w:pPr>
                  <w:r>
                    <w:rPr>
                      <w:rFonts w:eastAsia="仿宋_GB2312"/>
                      <w:b/>
                      <w:bCs/>
                      <w:sz w:val="21"/>
                      <w:szCs w:val="21"/>
                    </w:rPr>
                    <w:t>位置</w:t>
                  </w:r>
                </w:p>
              </w:tc>
              <w:tc>
                <w:tcPr>
                  <w:tcW w:w="619" w:type="dxa"/>
                  <w:vAlign w:val="center"/>
                </w:tcPr>
                <w:p w14:paraId="353E2B91">
                  <w:pPr>
                    <w:pStyle w:val="70"/>
                    <w:widowControl/>
                    <w:overflowPunct/>
                    <w:spacing w:line="240" w:lineRule="auto"/>
                    <w:ind w:left="63" w:leftChars="30"/>
                    <w:textAlignment w:val="auto"/>
                    <w:rPr>
                      <w:rFonts w:eastAsia="仿宋_GB2312"/>
                      <w:b/>
                      <w:bCs/>
                      <w:sz w:val="21"/>
                      <w:szCs w:val="21"/>
                    </w:rPr>
                  </w:pPr>
                  <w:r>
                    <w:rPr>
                      <w:rFonts w:eastAsia="仿宋_GB2312"/>
                      <w:b/>
                      <w:bCs/>
                      <w:sz w:val="21"/>
                      <w:szCs w:val="21"/>
                    </w:rPr>
                    <w:t>数量/台</w:t>
                  </w:r>
                </w:p>
              </w:tc>
              <w:tc>
                <w:tcPr>
                  <w:tcW w:w="1653" w:type="dxa"/>
                  <w:vAlign w:val="center"/>
                </w:tcPr>
                <w:p w14:paraId="3927139D">
                  <w:pPr>
                    <w:pStyle w:val="70"/>
                    <w:widowControl/>
                    <w:overflowPunct/>
                    <w:spacing w:line="240" w:lineRule="auto"/>
                    <w:ind w:left="63" w:leftChars="30"/>
                    <w:textAlignment w:val="auto"/>
                    <w:rPr>
                      <w:rFonts w:eastAsia="仿宋_GB2312"/>
                      <w:b/>
                      <w:bCs/>
                      <w:sz w:val="21"/>
                      <w:szCs w:val="21"/>
                    </w:rPr>
                  </w:pPr>
                  <w:r>
                    <w:rPr>
                      <w:rFonts w:eastAsia="仿宋_GB2312"/>
                      <w:b/>
                      <w:bCs/>
                      <w:sz w:val="21"/>
                      <w:szCs w:val="21"/>
                    </w:rPr>
                    <w:t>集气装置设置</w:t>
                  </w:r>
                </w:p>
              </w:tc>
              <w:tc>
                <w:tcPr>
                  <w:tcW w:w="967" w:type="dxa"/>
                  <w:vAlign w:val="center"/>
                </w:tcPr>
                <w:p w14:paraId="78854C22">
                  <w:pPr>
                    <w:pStyle w:val="70"/>
                    <w:widowControl/>
                    <w:overflowPunct/>
                    <w:spacing w:line="240" w:lineRule="auto"/>
                    <w:ind w:left="63" w:leftChars="30"/>
                    <w:textAlignment w:val="auto"/>
                    <w:rPr>
                      <w:rFonts w:eastAsia="仿宋_GB2312"/>
                      <w:b/>
                      <w:bCs/>
                      <w:sz w:val="21"/>
                      <w:szCs w:val="21"/>
                    </w:rPr>
                  </w:pPr>
                  <w:r>
                    <w:rPr>
                      <w:rFonts w:eastAsia="仿宋_GB2312"/>
                      <w:b/>
                      <w:bCs/>
                      <w:sz w:val="21"/>
                      <w:szCs w:val="21"/>
                    </w:rPr>
                    <w:t>风速要求</w:t>
                  </w:r>
                </w:p>
              </w:tc>
              <w:tc>
                <w:tcPr>
                  <w:tcW w:w="2224" w:type="dxa"/>
                  <w:vAlign w:val="center"/>
                </w:tcPr>
                <w:p w14:paraId="44383EAB">
                  <w:pPr>
                    <w:pStyle w:val="70"/>
                    <w:widowControl/>
                    <w:overflowPunct/>
                    <w:spacing w:line="240" w:lineRule="auto"/>
                    <w:ind w:left="63" w:leftChars="30"/>
                    <w:textAlignment w:val="auto"/>
                    <w:rPr>
                      <w:rFonts w:eastAsia="仿宋_GB2312"/>
                      <w:b/>
                      <w:bCs/>
                      <w:sz w:val="21"/>
                      <w:szCs w:val="21"/>
                    </w:rPr>
                  </w:pPr>
                  <w:r>
                    <w:rPr>
                      <w:rFonts w:eastAsia="仿宋_GB2312"/>
                      <w:b/>
                      <w:bCs/>
                      <w:sz w:val="21"/>
                      <w:szCs w:val="21"/>
                    </w:rPr>
                    <w:t>风量核算</w:t>
                  </w:r>
                </w:p>
              </w:tc>
              <w:tc>
                <w:tcPr>
                  <w:tcW w:w="1028" w:type="dxa"/>
                  <w:vAlign w:val="center"/>
                </w:tcPr>
                <w:p w14:paraId="3CF9CC44">
                  <w:pPr>
                    <w:pStyle w:val="70"/>
                    <w:widowControl/>
                    <w:overflowPunct/>
                    <w:spacing w:line="240" w:lineRule="auto"/>
                    <w:ind w:left="63" w:leftChars="30"/>
                    <w:textAlignment w:val="auto"/>
                    <w:rPr>
                      <w:rFonts w:eastAsia="仿宋_GB2312"/>
                      <w:b/>
                      <w:bCs/>
                      <w:sz w:val="21"/>
                      <w:szCs w:val="21"/>
                    </w:rPr>
                  </w:pPr>
                  <w:r>
                    <w:rPr>
                      <w:rFonts w:eastAsia="仿宋_GB2312"/>
                      <w:b/>
                      <w:bCs/>
                      <w:sz w:val="21"/>
                      <w:szCs w:val="21"/>
                    </w:rPr>
                    <w:t>核算结果</w:t>
                  </w:r>
                </w:p>
              </w:tc>
            </w:tr>
            <w:tr w14:paraId="193607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33" w:hRule="atLeast"/>
                <w:jc w:val="center"/>
              </w:trPr>
              <w:tc>
                <w:tcPr>
                  <w:tcW w:w="599" w:type="dxa"/>
                  <w:vAlign w:val="center"/>
                </w:tcPr>
                <w:p w14:paraId="05EEE6BE">
                  <w:pPr>
                    <w:pStyle w:val="70"/>
                    <w:widowControl/>
                    <w:overflowPunct/>
                    <w:spacing w:line="240" w:lineRule="auto"/>
                    <w:ind w:left="63" w:leftChars="30"/>
                    <w:textAlignment w:val="auto"/>
                    <w:rPr>
                      <w:rFonts w:eastAsia="仿宋_GB2312"/>
                      <w:sz w:val="21"/>
                      <w:szCs w:val="21"/>
                    </w:rPr>
                  </w:pPr>
                  <w:r>
                    <w:rPr>
                      <w:rFonts w:eastAsia="仿宋_GB2312"/>
                      <w:sz w:val="21"/>
                      <w:szCs w:val="21"/>
                    </w:rPr>
                    <w:t>平板膜过滤废气</w:t>
                  </w:r>
                </w:p>
              </w:tc>
              <w:tc>
                <w:tcPr>
                  <w:tcW w:w="774" w:type="dxa"/>
                  <w:vAlign w:val="center"/>
                </w:tcPr>
                <w:p w14:paraId="1EF740AB">
                  <w:pPr>
                    <w:pStyle w:val="70"/>
                    <w:widowControl/>
                    <w:overflowPunct/>
                    <w:spacing w:line="240" w:lineRule="auto"/>
                    <w:ind w:left="63" w:leftChars="30"/>
                    <w:textAlignment w:val="auto"/>
                    <w:rPr>
                      <w:rFonts w:eastAsia="仿宋_GB2312"/>
                      <w:sz w:val="21"/>
                      <w:szCs w:val="21"/>
                    </w:rPr>
                  </w:pPr>
                  <w:r>
                    <w:rPr>
                      <w:rFonts w:eastAsia="仿宋_GB2312"/>
                      <w:sz w:val="21"/>
                      <w:szCs w:val="21"/>
                    </w:rPr>
                    <w:t>平板膜组</w:t>
                  </w:r>
                </w:p>
              </w:tc>
              <w:tc>
                <w:tcPr>
                  <w:tcW w:w="619" w:type="dxa"/>
                  <w:vAlign w:val="center"/>
                </w:tcPr>
                <w:p w14:paraId="60DB7A60">
                  <w:pPr>
                    <w:pStyle w:val="70"/>
                    <w:widowControl/>
                    <w:overflowPunct/>
                    <w:spacing w:line="240" w:lineRule="auto"/>
                    <w:ind w:left="63" w:leftChars="30"/>
                    <w:textAlignment w:val="auto"/>
                    <w:rPr>
                      <w:rFonts w:eastAsia="仿宋_GB2312"/>
                      <w:sz w:val="21"/>
                      <w:szCs w:val="21"/>
                    </w:rPr>
                  </w:pPr>
                  <w:r>
                    <w:rPr>
                      <w:rFonts w:eastAsia="仿宋_GB2312"/>
                      <w:sz w:val="21"/>
                      <w:szCs w:val="21"/>
                    </w:rPr>
                    <w:t>1</w:t>
                  </w:r>
                </w:p>
              </w:tc>
              <w:tc>
                <w:tcPr>
                  <w:tcW w:w="1653" w:type="dxa"/>
                  <w:vAlign w:val="center"/>
                </w:tcPr>
                <w:p w14:paraId="29072D95">
                  <w:pPr>
                    <w:pStyle w:val="70"/>
                    <w:widowControl/>
                    <w:overflowPunct/>
                    <w:spacing w:line="240" w:lineRule="auto"/>
                    <w:ind w:left="63" w:leftChars="30"/>
                    <w:textAlignment w:val="auto"/>
                    <w:rPr>
                      <w:rFonts w:eastAsia="仿宋_GB2312"/>
                      <w:sz w:val="21"/>
                      <w:szCs w:val="21"/>
                    </w:rPr>
                  </w:pPr>
                  <w:r>
                    <w:rPr>
                      <w:rFonts w:eastAsia="仿宋_GB2312"/>
                      <w:sz w:val="21"/>
                      <w:szCs w:val="21"/>
                    </w:rPr>
                    <w:t>盐雾尾气吸收塔，利用淡水吸收空气中的盐分</w:t>
                  </w:r>
                </w:p>
              </w:tc>
              <w:tc>
                <w:tcPr>
                  <w:tcW w:w="967" w:type="dxa"/>
                  <w:vAlign w:val="center"/>
                </w:tcPr>
                <w:p w14:paraId="5D03E4C3">
                  <w:pPr>
                    <w:pStyle w:val="70"/>
                    <w:widowControl/>
                    <w:overflowPunct/>
                    <w:spacing w:line="240" w:lineRule="auto"/>
                    <w:ind w:left="63" w:leftChars="30"/>
                    <w:textAlignment w:val="auto"/>
                    <w:rPr>
                      <w:rFonts w:eastAsia="仿宋_GB2312"/>
                      <w:sz w:val="21"/>
                      <w:szCs w:val="21"/>
                    </w:rPr>
                  </w:pPr>
                  <w:r>
                    <w:rPr>
                      <w:rFonts w:eastAsia="仿宋_GB2312"/>
                      <w:sz w:val="21"/>
                      <w:szCs w:val="21"/>
                    </w:rPr>
                    <w:t>/</w:t>
                  </w:r>
                </w:p>
              </w:tc>
              <w:tc>
                <w:tcPr>
                  <w:tcW w:w="2224" w:type="dxa"/>
                  <w:vAlign w:val="center"/>
                </w:tcPr>
                <w:p w14:paraId="6695487F">
                  <w:pPr>
                    <w:pStyle w:val="70"/>
                    <w:widowControl/>
                    <w:overflowPunct/>
                    <w:spacing w:line="240" w:lineRule="auto"/>
                    <w:ind w:left="63" w:leftChars="30"/>
                    <w:textAlignment w:val="auto"/>
                    <w:rPr>
                      <w:rFonts w:eastAsia="仿宋_GB2312"/>
                      <w:sz w:val="21"/>
                      <w:szCs w:val="21"/>
                    </w:rPr>
                  </w:pPr>
                  <w:r>
                    <w:rPr>
                      <w:rFonts w:eastAsia="仿宋_GB2312"/>
                      <w:sz w:val="21"/>
                      <w:szCs w:val="21"/>
                    </w:rPr>
                    <w:t>风量为3000m</w:t>
                  </w:r>
                  <w:r>
                    <w:rPr>
                      <w:rFonts w:eastAsia="仿宋_GB2312"/>
                      <w:sz w:val="21"/>
                      <w:szCs w:val="21"/>
                      <w:vertAlign w:val="superscript"/>
                    </w:rPr>
                    <w:t>3</w:t>
                  </w:r>
                  <w:r>
                    <w:rPr>
                      <w:rFonts w:eastAsia="仿宋_GB2312"/>
                      <w:sz w:val="21"/>
                      <w:szCs w:val="21"/>
                    </w:rPr>
                    <w:t>/h</w:t>
                  </w:r>
                </w:p>
              </w:tc>
              <w:tc>
                <w:tcPr>
                  <w:tcW w:w="1028" w:type="dxa"/>
                  <w:vAlign w:val="center"/>
                </w:tcPr>
                <w:p w14:paraId="00F20BC1">
                  <w:pPr>
                    <w:pStyle w:val="70"/>
                    <w:widowControl/>
                    <w:overflowPunct/>
                    <w:spacing w:line="240" w:lineRule="auto"/>
                    <w:ind w:left="63" w:leftChars="30"/>
                    <w:textAlignment w:val="auto"/>
                    <w:rPr>
                      <w:rFonts w:eastAsia="仿宋_GB2312"/>
                      <w:sz w:val="21"/>
                      <w:szCs w:val="21"/>
                    </w:rPr>
                  </w:pPr>
                  <w:r>
                    <w:rPr>
                      <w:rFonts w:eastAsia="仿宋_GB2312"/>
                      <w:sz w:val="21"/>
                      <w:szCs w:val="21"/>
                    </w:rPr>
                    <w:t>3000m</w:t>
                  </w:r>
                  <w:r>
                    <w:rPr>
                      <w:rFonts w:eastAsia="仿宋_GB2312"/>
                      <w:sz w:val="21"/>
                      <w:szCs w:val="21"/>
                      <w:vertAlign w:val="superscript"/>
                    </w:rPr>
                    <w:t>3</w:t>
                  </w:r>
                  <w:r>
                    <w:rPr>
                      <w:rFonts w:eastAsia="仿宋_GB2312"/>
                      <w:sz w:val="21"/>
                      <w:szCs w:val="21"/>
                    </w:rPr>
                    <w:t>/h</w:t>
                  </w:r>
                </w:p>
              </w:tc>
            </w:tr>
            <w:tr w14:paraId="0A0C0D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7" w:hRule="atLeast"/>
                <w:jc w:val="center"/>
              </w:trPr>
              <w:tc>
                <w:tcPr>
                  <w:tcW w:w="6836" w:type="dxa"/>
                  <w:gridSpan w:val="6"/>
                  <w:vAlign w:val="center"/>
                </w:tcPr>
                <w:p w14:paraId="332AB71D">
                  <w:pPr>
                    <w:pStyle w:val="70"/>
                    <w:widowControl/>
                    <w:overflowPunct/>
                    <w:spacing w:line="240" w:lineRule="auto"/>
                    <w:ind w:left="63" w:leftChars="30"/>
                    <w:textAlignment w:val="auto"/>
                    <w:rPr>
                      <w:rFonts w:eastAsia="仿宋_GB2312"/>
                      <w:sz w:val="21"/>
                      <w:szCs w:val="21"/>
                    </w:rPr>
                  </w:pPr>
                  <w:r>
                    <w:rPr>
                      <w:rFonts w:eastAsia="仿宋_GB2312"/>
                      <w:sz w:val="21"/>
                      <w:szCs w:val="21"/>
                    </w:rPr>
                    <w:t>合计</w:t>
                  </w:r>
                </w:p>
              </w:tc>
              <w:tc>
                <w:tcPr>
                  <w:tcW w:w="1028" w:type="dxa"/>
                  <w:vAlign w:val="center"/>
                </w:tcPr>
                <w:p w14:paraId="3CECE836">
                  <w:pPr>
                    <w:pStyle w:val="70"/>
                    <w:widowControl/>
                    <w:overflowPunct/>
                    <w:spacing w:line="240" w:lineRule="auto"/>
                    <w:ind w:left="63" w:leftChars="30"/>
                    <w:textAlignment w:val="auto"/>
                    <w:rPr>
                      <w:rFonts w:eastAsia="仿宋_GB2312"/>
                      <w:sz w:val="21"/>
                      <w:szCs w:val="21"/>
                    </w:rPr>
                  </w:pPr>
                  <w:r>
                    <w:rPr>
                      <w:rFonts w:eastAsia="仿宋_GB2312"/>
                      <w:sz w:val="21"/>
                      <w:szCs w:val="21"/>
                    </w:rPr>
                    <w:t>3000m</w:t>
                  </w:r>
                  <w:r>
                    <w:rPr>
                      <w:rFonts w:eastAsia="仿宋_GB2312"/>
                      <w:sz w:val="21"/>
                      <w:szCs w:val="21"/>
                      <w:vertAlign w:val="superscript"/>
                    </w:rPr>
                    <w:t>3</w:t>
                  </w:r>
                  <w:r>
                    <w:rPr>
                      <w:rFonts w:eastAsia="仿宋_GB2312"/>
                      <w:sz w:val="21"/>
                      <w:szCs w:val="21"/>
                    </w:rPr>
                    <w:t>/h</w:t>
                  </w:r>
                </w:p>
              </w:tc>
            </w:tr>
          </w:tbl>
          <w:p w14:paraId="38A37B74">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default" w:ascii="Times New Roman" w:hAnsi="Times New Roman" w:eastAsia="仿宋_GB2312" w:cs="Times New Roman"/>
              </w:rPr>
            </w:pPr>
            <w:r>
              <w:rPr>
                <w:rFonts w:hint="default" w:ascii="Times New Roman" w:hAnsi="Times New Roman" w:eastAsia="仿宋_GB2312" w:cs="Times New Roman"/>
              </w:rPr>
              <w:t>②源强核算</w:t>
            </w:r>
          </w:p>
          <w:p w14:paraId="38C29108">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default" w:ascii="Times New Roman" w:hAnsi="Times New Roman" w:eastAsia="仿宋_GB2312" w:cs="Times New Roman"/>
              </w:rPr>
            </w:pPr>
            <w:r>
              <w:rPr>
                <w:rFonts w:hint="default" w:ascii="Times New Roman" w:hAnsi="Times New Roman" w:eastAsia="仿宋_GB2312" w:cs="Times New Roman"/>
              </w:rPr>
              <w:t>《排放源统计调查产排污核算方法和系数手册》未明确该食盐加工过程废气产生源强，本次评价类比本企业</w:t>
            </w:r>
            <w:r>
              <w:rPr>
                <w:rFonts w:hint="eastAsia" w:ascii="Times New Roman" w:hAnsi="Times New Roman" w:eastAsia="仿宋_GB2312" w:cs="Times New Roman"/>
                <w:lang w:eastAsia="zh-CN"/>
              </w:rPr>
              <w:t>《中盐金坛盐化有限责任公司卤水净化技术改造工程项目（</w:t>
            </w:r>
            <w:r>
              <w:rPr>
                <w:rFonts w:hint="eastAsia" w:ascii="Times New Roman" w:hAnsi="Times New Roman" w:eastAsia="仿宋_GB2312" w:cs="Times New Roman"/>
                <w:lang w:val="en-US" w:eastAsia="zh-CN"/>
              </w:rPr>
              <w:t>一期真空制盐工程配套卤水净化系统改造</w:t>
            </w:r>
            <w:r>
              <w:rPr>
                <w:rFonts w:hint="eastAsia" w:ascii="Times New Roman" w:hAnsi="Times New Roman" w:eastAsia="仿宋_GB2312" w:cs="Times New Roman"/>
                <w:lang w:eastAsia="zh-CN"/>
              </w:rPr>
              <w:t>）竣工环境保护验收监测报告》</w:t>
            </w:r>
            <w:r>
              <w:rPr>
                <w:rFonts w:hint="eastAsia" w:ascii="Times New Roman" w:hAnsi="Times New Roman" w:eastAsia="仿宋_GB2312" w:cs="Times New Roman"/>
                <w:lang w:val="en-US" w:eastAsia="zh-CN"/>
              </w:rPr>
              <w:t>中验收监测数据</w:t>
            </w:r>
            <w:r>
              <w:rPr>
                <w:rFonts w:hint="default" w:ascii="Times New Roman" w:hAnsi="Times New Roman" w:eastAsia="仿宋_GB2312" w:cs="Times New Roman"/>
              </w:rPr>
              <w:t>数据，产生的盐雾</w:t>
            </w:r>
            <w:r>
              <w:rPr>
                <w:rFonts w:hint="eastAsia" w:ascii="Times New Roman" w:hAnsi="Times New Roman" w:eastAsia="仿宋_GB2312" w:cs="Times New Roman"/>
                <w:lang w:val="en-US" w:eastAsia="zh-CN"/>
              </w:rPr>
              <w:t>颗粒物</w:t>
            </w:r>
            <w:r>
              <w:rPr>
                <w:rFonts w:hint="default" w:ascii="Times New Roman" w:hAnsi="Times New Roman" w:eastAsia="仿宋_GB2312" w:cs="Times New Roman"/>
              </w:rPr>
              <w:t>浓度为</w:t>
            </w:r>
            <w:r>
              <w:rPr>
                <w:rFonts w:hint="eastAsia" w:eastAsia="仿宋_GB2312" w:cs="Times New Roman"/>
                <w:lang w:val="en-US" w:eastAsia="zh-CN"/>
              </w:rPr>
              <w:t xml:space="preserve">13.0 </w:t>
            </w:r>
            <w:r>
              <w:rPr>
                <w:rFonts w:hint="default" w:ascii="Times New Roman" w:hAnsi="Times New Roman" w:eastAsia="仿宋_GB2312" w:cs="Times New Roman"/>
              </w:rPr>
              <w:t>mg/m</w:t>
            </w:r>
            <w:r>
              <w:rPr>
                <w:rFonts w:hint="default" w:ascii="Times New Roman" w:hAnsi="Times New Roman" w:eastAsia="仿宋_GB2312" w:cs="Times New Roman"/>
                <w:vertAlign w:val="superscript"/>
              </w:rPr>
              <w:t>3</w:t>
            </w:r>
            <w:r>
              <w:rPr>
                <w:rStyle w:val="36"/>
                <w:rFonts w:hint="eastAsia" w:ascii="Times New Roman" w:hAnsi="Times New Roman" w:cs="Times New Roman"/>
                <w:kern w:val="0"/>
                <w:szCs w:val="20"/>
                <w:lang w:eastAsia="zh-CN"/>
              </w:rPr>
              <w:t>，</w:t>
            </w:r>
            <w:r>
              <w:rPr>
                <w:rFonts w:hint="eastAsia" w:ascii="Times New Roman" w:hAnsi="Times New Roman" w:eastAsia="仿宋_GB2312" w:cs="Times New Roman"/>
                <w:lang w:val="en-US" w:eastAsia="zh-CN"/>
              </w:rPr>
              <w:t>产生速率为0.0</w:t>
            </w:r>
            <w:r>
              <w:rPr>
                <w:rFonts w:hint="eastAsia" w:eastAsia="仿宋_GB2312" w:cs="Times New Roman"/>
                <w:lang w:val="en-US" w:eastAsia="zh-CN"/>
              </w:rPr>
              <w:t>40</w:t>
            </w:r>
            <w:r>
              <w:rPr>
                <w:rFonts w:hint="eastAsia" w:ascii="Times New Roman" w:hAnsi="Times New Roman" w:eastAsia="仿宋_GB2312" w:cs="Times New Roman"/>
                <w:lang w:val="en-US" w:eastAsia="zh-CN"/>
              </w:rPr>
              <w:t>kg/h</w:t>
            </w:r>
            <w:r>
              <w:rPr>
                <w:rFonts w:hint="default" w:ascii="Times New Roman" w:hAnsi="Times New Roman" w:eastAsia="仿宋_GB2312" w:cs="Times New Roman"/>
              </w:rPr>
              <w:t>。</w:t>
            </w:r>
          </w:p>
          <w:p w14:paraId="7ADD4170">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default" w:ascii="Times New Roman" w:hAnsi="Times New Roman" w:eastAsia="仿宋_GB2312" w:cs="Times New Roman"/>
              </w:rPr>
            </w:pPr>
            <w:r>
              <w:rPr>
                <w:rFonts w:hint="default" w:ascii="Times New Roman" w:hAnsi="Times New Roman" w:eastAsia="仿宋_GB2312" w:cs="Times New Roman"/>
              </w:rPr>
              <w:t>项目盐雾收集处理装置处理能力为3000m</w:t>
            </w:r>
            <w:r>
              <w:rPr>
                <w:rFonts w:hint="default" w:ascii="Times New Roman" w:hAnsi="Times New Roman" w:eastAsia="仿宋_GB2312" w:cs="Times New Roman"/>
                <w:vertAlign w:val="superscript"/>
              </w:rPr>
              <w:t>3</w:t>
            </w:r>
            <w:r>
              <w:rPr>
                <w:rFonts w:hint="default" w:ascii="Times New Roman" w:hAnsi="Times New Roman" w:eastAsia="仿宋_GB2312" w:cs="Times New Roman"/>
              </w:rPr>
              <w:t>/h，年工作时间按各生产工序最大工作时间计算，为8160h，则颗粒物产生量</w:t>
            </w:r>
            <w:r>
              <w:rPr>
                <w:rFonts w:hint="eastAsia" w:ascii="Times New Roman" w:hAnsi="Times New Roman" w:eastAsia="仿宋_GB2312" w:cs="Times New Roman"/>
                <w:lang w:val="en-US" w:eastAsia="zh-CN"/>
              </w:rPr>
              <w:t>0.</w:t>
            </w:r>
            <w:r>
              <w:rPr>
                <w:rFonts w:hint="eastAsia" w:eastAsia="仿宋_GB2312" w:cs="Times New Roman"/>
                <w:lang w:val="en-US" w:eastAsia="zh-CN"/>
              </w:rPr>
              <w:t>3596</w:t>
            </w:r>
            <w:r>
              <w:rPr>
                <w:rFonts w:hint="default" w:ascii="Times New Roman" w:hAnsi="Times New Roman" w:eastAsia="仿宋_GB2312" w:cs="Times New Roman"/>
              </w:rPr>
              <w:t>t/a。</w:t>
            </w:r>
          </w:p>
          <w:p w14:paraId="2B4499F0">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default" w:ascii="Times New Roman" w:hAnsi="Times New Roman" w:eastAsia="仿宋_GB2312" w:cs="Times New Roman"/>
              </w:rPr>
            </w:pPr>
            <w:r>
              <w:rPr>
                <w:rFonts w:hint="default" w:ascii="Times New Roman" w:hAnsi="Times New Roman" w:eastAsia="仿宋_GB2312" w:cs="Times New Roman"/>
              </w:rPr>
              <w:t>③排放情况</w:t>
            </w:r>
          </w:p>
          <w:p w14:paraId="046128A2">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default" w:ascii="Times New Roman" w:hAnsi="Times New Roman" w:eastAsia="仿宋_GB2312" w:cs="Times New Roman"/>
              </w:rPr>
            </w:pPr>
            <w:r>
              <w:rPr>
                <w:rFonts w:hint="default" w:ascii="Times New Roman" w:hAnsi="Times New Roman" w:eastAsia="仿宋_GB2312" w:cs="Times New Roman"/>
              </w:rPr>
              <w:t>水喷淋对颗粒物的处理效率参考《大气环境工程师实用手册》（中国环境科学出版社），喷淋洗涤器对颗粒物的去除效率在75-85%，本环评取平均值80%计算。则项目废气处理情况见下表4-1</w:t>
            </w:r>
            <w:r>
              <w:rPr>
                <w:rFonts w:hint="eastAsia" w:eastAsia="仿宋_GB2312" w:cs="Times New Roman"/>
                <w:lang w:val="en-US" w:eastAsia="zh-CN"/>
              </w:rPr>
              <w:t>4</w:t>
            </w:r>
            <w:r>
              <w:rPr>
                <w:rFonts w:hint="default" w:ascii="Times New Roman" w:hAnsi="Times New Roman" w:eastAsia="仿宋_GB2312" w:cs="Times New Roman"/>
              </w:rPr>
              <w:t>。</w:t>
            </w:r>
          </w:p>
          <w:p w14:paraId="00AE3391">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eastAsia="仿宋_GB2312"/>
                <w:b/>
              </w:rPr>
            </w:pPr>
            <w:r>
              <w:rPr>
                <w:rFonts w:eastAsia="仿宋_GB2312"/>
                <w:b/>
              </w:rPr>
              <w:t>表4-1</w:t>
            </w:r>
            <w:r>
              <w:rPr>
                <w:rFonts w:hint="eastAsia" w:eastAsia="仿宋_GB2312"/>
                <w:b/>
                <w:lang w:val="en-US" w:eastAsia="zh-CN"/>
              </w:rPr>
              <w:t xml:space="preserve">4  </w:t>
            </w:r>
            <w:r>
              <w:rPr>
                <w:rFonts w:eastAsia="仿宋_GB2312"/>
                <w:b/>
              </w:rPr>
              <w:t>项目平板膜过滤废气治理一览表</w:t>
            </w:r>
          </w:p>
          <w:tbl>
            <w:tblPr>
              <w:tblStyle w:val="31"/>
              <w:tblW w:w="494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740"/>
              <w:gridCol w:w="594"/>
              <w:gridCol w:w="714"/>
              <w:gridCol w:w="599"/>
              <w:gridCol w:w="510"/>
              <w:gridCol w:w="597"/>
              <w:gridCol w:w="650"/>
              <w:gridCol w:w="626"/>
              <w:gridCol w:w="654"/>
              <w:gridCol w:w="1000"/>
              <w:gridCol w:w="824"/>
              <w:gridCol w:w="887"/>
            </w:tblGrid>
            <w:tr w14:paraId="29A32A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2" w:hRule="atLeast"/>
                <w:jc w:val="center"/>
              </w:trPr>
              <w:tc>
                <w:tcPr>
                  <w:tcW w:w="740" w:type="dxa"/>
                  <w:vMerge w:val="restart"/>
                  <w:tcBorders>
                    <w:tl2br w:val="nil"/>
                    <w:tr2bl w:val="nil"/>
                  </w:tcBorders>
                  <w:vAlign w:val="center"/>
                </w:tcPr>
                <w:p w14:paraId="406105C7">
                  <w:pPr>
                    <w:pStyle w:val="70"/>
                    <w:widowControl/>
                    <w:overflowPunct/>
                    <w:spacing w:line="240" w:lineRule="auto"/>
                    <w:ind w:left="63" w:leftChars="30"/>
                    <w:textAlignment w:val="auto"/>
                    <w:rPr>
                      <w:rFonts w:eastAsia="仿宋_GB2312"/>
                      <w:b/>
                      <w:bCs/>
                      <w:sz w:val="21"/>
                      <w:szCs w:val="21"/>
                    </w:rPr>
                  </w:pPr>
                  <w:r>
                    <w:rPr>
                      <w:rFonts w:eastAsia="仿宋_GB2312"/>
                      <w:b/>
                      <w:bCs/>
                      <w:sz w:val="21"/>
                      <w:szCs w:val="21"/>
                    </w:rPr>
                    <w:t>产排污环节</w:t>
                  </w:r>
                </w:p>
              </w:tc>
              <w:tc>
                <w:tcPr>
                  <w:tcW w:w="594" w:type="dxa"/>
                  <w:vMerge w:val="restart"/>
                  <w:tcBorders>
                    <w:tl2br w:val="nil"/>
                    <w:tr2bl w:val="nil"/>
                  </w:tcBorders>
                  <w:vAlign w:val="center"/>
                </w:tcPr>
                <w:p w14:paraId="21502236">
                  <w:pPr>
                    <w:pStyle w:val="70"/>
                    <w:widowControl/>
                    <w:overflowPunct/>
                    <w:spacing w:line="240" w:lineRule="auto"/>
                    <w:ind w:left="63" w:leftChars="30"/>
                    <w:textAlignment w:val="auto"/>
                    <w:rPr>
                      <w:rFonts w:eastAsia="仿宋_GB2312"/>
                      <w:b/>
                      <w:bCs/>
                      <w:sz w:val="21"/>
                      <w:szCs w:val="21"/>
                    </w:rPr>
                  </w:pPr>
                  <w:r>
                    <w:rPr>
                      <w:rFonts w:eastAsia="仿宋_GB2312"/>
                      <w:b/>
                      <w:bCs/>
                      <w:sz w:val="21"/>
                      <w:szCs w:val="21"/>
                    </w:rPr>
                    <w:t>污染物种类</w:t>
                  </w:r>
                </w:p>
              </w:tc>
              <w:tc>
                <w:tcPr>
                  <w:tcW w:w="1313" w:type="dxa"/>
                  <w:gridSpan w:val="2"/>
                  <w:tcBorders>
                    <w:tl2br w:val="nil"/>
                    <w:tr2bl w:val="nil"/>
                  </w:tcBorders>
                  <w:vAlign w:val="center"/>
                </w:tcPr>
                <w:p w14:paraId="4B2A2FB2">
                  <w:pPr>
                    <w:pStyle w:val="70"/>
                    <w:widowControl/>
                    <w:overflowPunct/>
                    <w:spacing w:line="240" w:lineRule="auto"/>
                    <w:ind w:left="63" w:leftChars="30"/>
                    <w:textAlignment w:val="auto"/>
                    <w:rPr>
                      <w:rFonts w:eastAsia="仿宋_GB2312"/>
                      <w:b/>
                      <w:bCs/>
                      <w:sz w:val="21"/>
                      <w:szCs w:val="21"/>
                    </w:rPr>
                  </w:pPr>
                  <w:r>
                    <w:rPr>
                      <w:rFonts w:eastAsia="仿宋_GB2312"/>
                      <w:b/>
                      <w:bCs/>
                      <w:sz w:val="21"/>
                      <w:szCs w:val="21"/>
                    </w:rPr>
                    <w:t>产生情况</w:t>
                  </w:r>
                </w:p>
              </w:tc>
              <w:tc>
                <w:tcPr>
                  <w:tcW w:w="510" w:type="dxa"/>
                  <w:vMerge w:val="restart"/>
                  <w:tcBorders>
                    <w:tl2br w:val="nil"/>
                    <w:tr2bl w:val="nil"/>
                  </w:tcBorders>
                  <w:vAlign w:val="center"/>
                </w:tcPr>
                <w:p w14:paraId="5EC4AE8E">
                  <w:pPr>
                    <w:pStyle w:val="70"/>
                    <w:widowControl/>
                    <w:overflowPunct/>
                    <w:spacing w:line="240" w:lineRule="auto"/>
                    <w:ind w:left="63" w:leftChars="30"/>
                    <w:textAlignment w:val="auto"/>
                    <w:rPr>
                      <w:rFonts w:eastAsia="仿宋_GB2312"/>
                      <w:b/>
                      <w:bCs/>
                      <w:sz w:val="21"/>
                      <w:szCs w:val="21"/>
                    </w:rPr>
                  </w:pPr>
                  <w:r>
                    <w:rPr>
                      <w:rFonts w:eastAsia="仿宋_GB2312"/>
                      <w:b/>
                      <w:bCs/>
                      <w:sz w:val="21"/>
                      <w:szCs w:val="21"/>
                    </w:rPr>
                    <w:t>排放</w:t>
                  </w:r>
                </w:p>
                <w:p w14:paraId="7BB50BAB">
                  <w:pPr>
                    <w:pStyle w:val="70"/>
                    <w:widowControl/>
                    <w:overflowPunct/>
                    <w:spacing w:line="240" w:lineRule="auto"/>
                    <w:ind w:left="63" w:leftChars="30"/>
                    <w:textAlignment w:val="auto"/>
                    <w:rPr>
                      <w:rFonts w:eastAsia="仿宋_GB2312"/>
                      <w:b/>
                      <w:bCs/>
                      <w:sz w:val="21"/>
                      <w:szCs w:val="21"/>
                    </w:rPr>
                  </w:pPr>
                  <w:r>
                    <w:rPr>
                      <w:rFonts w:eastAsia="仿宋_GB2312"/>
                      <w:b/>
                      <w:bCs/>
                      <w:sz w:val="21"/>
                      <w:szCs w:val="21"/>
                    </w:rPr>
                    <w:t>形式</w:t>
                  </w:r>
                </w:p>
              </w:tc>
              <w:tc>
                <w:tcPr>
                  <w:tcW w:w="2527" w:type="dxa"/>
                  <w:gridSpan w:val="4"/>
                  <w:tcBorders>
                    <w:tl2br w:val="nil"/>
                    <w:tr2bl w:val="nil"/>
                  </w:tcBorders>
                  <w:vAlign w:val="center"/>
                </w:tcPr>
                <w:p w14:paraId="4574129F">
                  <w:pPr>
                    <w:pStyle w:val="70"/>
                    <w:widowControl/>
                    <w:overflowPunct/>
                    <w:spacing w:line="240" w:lineRule="auto"/>
                    <w:ind w:left="63" w:leftChars="30"/>
                    <w:textAlignment w:val="auto"/>
                    <w:rPr>
                      <w:rFonts w:eastAsia="仿宋_GB2312"/>
                      <w:b/>
                      <w:bCs/>
                      <w:sz w:val="21"/>
                      <w:szCs w:val="21"/>
                    </w:rPr>
                  </w:pPr>
                  <w:r>
                    <w:rPr>
                      <w:rFonts w:eastAsia="仿宋_GB2312"/>
                      <w:b/>
                      <w:bCs/>
                      <w:sz w:val="21"/>
                      <w:szCs w:val="21"/>
                    </w:rPr>
                    <w:t>治理设施</w:t>
                  </w:r>
                </w:p>
              </w:tc>
              <w:tc>
                <w:tcPr>
                  <w:tcW w:w="2711" w:type="dxa"/>
                  <w:gridSpan w:val="3"/>
                  <w:tcBorders>
                    <w:tl2br w:val="nil"/>
                    <w:tr2bl w:val="nil"/>
                  </w:tcBorders>
                  <w:vAlign w:val="center"/>
                </w:tcPr>
                <w:p w14:paraId="36728F97">
                  <w:pPr>
                    <w:pStyle w:val="70"/>
                    <w:widowControl/>
                    <w:overflowPunct/>
                    <w:spacing w:line="240" w:lineRule="auto"/>
                    <w:ind w:left="63" w:leftChars="30"/>
                    <w:textAlignment w:val="auto"/>
                    <w:rPr>
                      <w:rFonts w:eastAsia="仿宋_GB2312"/>
                      <w:b/>
                      <w:bCs/>
                      <w:sz w:val="21"/>
                      <w:szCs w:val="21"/>
                    </w:rPr>
                  </w:pPr>
                  <w:r>
                    <w:rPr>
                      <w:rFonts w:eastAsia="仿宋_GB2312"/>
                      <w:b/>
                      <w:bCs/>
                      <w:sz w:val="21"/>
                      <w:szCs w:val="21"/>
                    </w:rPr>
                    <w:t>污染物排放情况</w:t>
                  </w:r>
                </w:p>
              </w:tc>
            </w:tr>
            <w:tr w14:paraId="67C0FC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047" w:hRule="atLeast"/>
                <w:jc w:val="center"/>
              </w:trPr>
              <w:tc>
                <w:tcPr>
                  <w:tcW w:w="740" w:type="dxa"/>
                  <w:vMerge w:val="continue"/>
                  <w:tcBorders>
                    <w:tl2br w:val="nil"/>
                    <w:tr2bl w:val="nil"/>
                  </w:tcBorders>
                  <w:vAlign w:val="center"/>
                </w:tcPr>
                <w:p w14:paraId="6C86191B">
                  <w:pPr>
                    <w:pStyle w:val="70"/>
                    <w:widowControl/>
                    <w:overflowPunct/>
                    <w:spacing w:line="240" w:lineRule="auto"/>
                    <w:ind w:left="63" w:leftChars="30"/>
                    <w:textAlignment w:val="auto"/>
                    <w:rPr>
                      <w:rFonts w:eastAsia="仿宋_GB2312"/>
                      <w:sz w:val="21"/>
                      <w:szCs w:val="21"/>
                    </w:rPr>
                  </w:pPr>
                </w:p>
              </w:tc>
              <w:tc>
                <w:tcPr>
                  <w:tcW w:w="594" w:type="dxa"/>
                  <w:vMerge w:val="continue"/>
                  <w:tcBorders>
                    <w:tl2br w:val="nil"/>
                    <w:tr2bl w:val="nil"/>
                  </w:tcBorders>
                  <w:vAlign w:val="center"/>
                </w:tcPr>
                <w:p w14:paraId="3F1C38EA">
                  <w:pPr>
                    <w:pStyle w:val="70"/>
                    <w:widowControl/>
                    <w:overflowPunct/>
                    <w:spacing w:line="240" w:lineRule="auto"/>
                    <w:ind w:left="63" w:leftChars="30"/>
                    <w:textAlignment w:val="auto"/>
                    <w:rPr>
                      <w:rFonts w:eastAsia="仿宋_GB2312"/>
                      <w:sz w:val="21"/>
                      <w:szCs w:val="21"/>
                    </w:rPr>
                  </w:pPr>
                </w:p>
              </w:tc>
              <w:tc>
                <w:tcPr>
                  <w:tcW w:w="714" w:type="dxa"/>
                  <w:tcBorders>
                    <w:tl2br w:val="nil"/>
                    <w:tr2bl w:val="nil"/>
                  </w:tcBorders>
                  <w:vAlign w:val="center"/>
                </w:tcPr>
                <w:p w14:paraId="66C01385">
                  <w:pPr>
                    <w:pStyle w:val="70"/>
                    <w:widowControl/>
                    <w:overflowPunct/>
                    <w:spacing w:line="240" w:lineRule="auto"/>
                    <w:ind w:left="63" w:leftChars="30"/>
                    <w:textAlignment w:val="auto"/>
                    <w:rPr>
                      <w:rFonts w:eastAsia="仿宋_GB2312"/>
                      <w:b/>
                      <w:bCs/>
                      <w:sz w:val="21"/>
                      <w:szCs w:val="21"/>
                    </w:rPr>
                  </w:pPr>
                  <w:r>
                    <w:rPr>
                      <w:rFonts w:eastAsia="仿宋_GB2312"/>
                      <w:b/>
                      <w:bCs/>
                      <w:sz w:val="21"/>
                      <w:szCs w:val="21"/>
                    </w:rPr>
                    <w:t>产生量</w:t>
                  </w:r>
                </w:p>
                <w:p w14:paraId="54507105">
                  <w:pPr>
                    <w:pStyle w:val="70"/>
                    <w:widowControl/>
                    <w:overflowPunct/>
                    <w:spacing w:line="240" w:lineRule="auto"/>
                    <w:ind w:left="63" w:leftChars="30"/>
                    <w:textAlignment w:val="auto"/>
                    <w:rPr>
                      <w:rFonts w:eastAsia="仿宋_GB2312"/>
                      <w:b/>
                      <w:bCs/>
                      <w:sz w:val="21"/>
                      <w:szCs w:val="21"/>
                    </w:rPr>
                  </w:pPr>
                  <w:r>
                    <w:rPr>
                      <w:rFonts w:eastAsia="仿宋_GB2312"/>
                      <w:b/>
                      <w:bCs/>
                      <w:sz w:val="21"/>
                      <w:szCs w:val="21"/>
                    </w:rPr>
                    <w:t>（t/a）</w:t>
                  </w:r>
                </w:p>
              </w:tc>
              <w:tc>
                <w:tcPr>
                  <w:tcW w:w="599" w:type="dxa"/>
                  <w:tcBorders>
                    <w:tl2br w:val="nil"/>
                    <w:tr2bl w:val="nil"/>
                  </w:tcBorders>
                  <w:vAlign w:val="center"/>
                </w:tcPr>
                <w:p w14:paraId="15147E22">
                  <w:pPr>
                    <w:pStyle w:val="70"/>
                    <w:widowControl/>
                    <w:overflowPunct/>
                    <w:spacing w:line="240" w:lineRule="auto"/>
                    <w:ind w:left="63" w:leftChars="30"/>
                    <w:textAlignment w:val="auto"/>
                    <w:rPr>
                      <w:rFonts w:eastAsia="仿宋_GB2312"/>
                      <w:b/>
                      <w:bCs/>
                      <w:sz w:val="21"/>
                      <w:szCs w:val="21"/>
                    </w:rPr>
                  </w:pPr>
                  <w:r>
                    <w:rPr>
                      <w:rFonts w:eastAsia="仿宋_GB2312"/>
                      <w:b/>
                      <w:bCs/>
                      <w:sz w:val="21"/>
                      <w:szCs w:val="21"/>
                    </w:rPr>
                    <w:t>产生浓度</w:t>
                  </w:r>
                </w:p>
                <w:p w14:paraId="42930F30">
                  <w:pPr>
                    <w:pStyle w:val="70"/>
                    <w:widowControl/>
                    <w:overflowPunct/>
                    <w:spacing w:line="240" w:lineRule="auto"/>
                    <w:ind w:left="63" w:leftChars="30"/>
                    <w:textAlignment w:val="auto"/>
                    <w:rPr>
                      <w:rFonts w:eastAsia="仿宋_GB2312"/>
                      <w:b/>
                      <w:bCs/>
                      <w:sz w:val="21"/>
                      <w:szCs w:val="21"/>
                    </w:rPr>
                  </w:pPr>
                  <w:r>
                    <w:rPr>
                      <w:rFonts w:eastAsia="仿宋_GB2312"/>
                      <w:b/>
                      <w:bCs/>
                      <w:sz w:val="21"/>
                      <w:szCs w:val="21"/>
                    </w:rPr>
                    <w:t>（mg/m</w:t>
                  </w:r>
                  <w:r>
                    <w:rPr>
                      <w:rFonts w:eastAsia="仿宋_GB2312"/>
                      <w:b/>
                      <w:bCs/>
                      <w:sz w:val="21"/>
                      <w:szCs w:val="21"/>
                      <w:vertAlign w:val="superscript"/>
                    </w:rPr>
                    <w:t>3</w:t>
                  </w:r>
                  <w:r>
                    <w:rPr>
                      <w:rFonts w:eastAsia="仿宋_GB2312"/>
                      <w:b/>
                      <w:bCs/>
                      <w:sz w:val="21"/>
                      <w:szCs w:val="21"/>
                    </w:rPr>
                    <w:t>）</w:t>
                  </w:r>
                </w:p>
              </w:tc>
              <w:tc>
                <w:tcPr>
                  <w:tcW w:w="510" w:type="dxa"/>
                  <w:vMerge w:val="continue"/>
                  <w:tcBorders>
                    <w:tl2br w:val="nil"/>
                    <w:tr2bl w:val="nil"/>
                  </w:tcBorders>
                  <w:vAlign w:val="center"/>
                </w:tcPr>
                <w:p w14:paraId="4B95BCE3">
                  <w:pPr>
                    <w:pStyle w:val="70"/>
                    <w:widowControl/>
                    <w:overflowPunct/>
                    <w:spacing w:line="240" w:lineRule="auto"/>
                    <w:ind w:left="63" w:leftChars="30"/>
                    <w:textAlignment w:val="auto"/>
                    <w:rPr>
                      <w:rFonts w:eastAsia="仿宋_GB2312"/>
                      <w:sz w:val="21"/>
                      <w:szCs w:val="21"/>
                    </w:rPr>
                  </w:pPr>
                </w:p>
              </w:tc>
              <w:tc>
                <w:tcPr>
                  <w:tcW w:w="597" w:type="dxa"/>
                  <w:tcBorders>
                    <w:tl2br w:val="nil"/>
                    <w:tr2bl w:val="nil"/>
                  </w:tcBorders>
                  <w:vAlign w:val="center"/>
                </w:tcPr>
                <w:p w14:paraId="1472DE62">
                  <w:pPr>
                    <w:pStyle w:val="70"/>
                    <w:widowControl/>
                    <w:overflowPunct/>
                    <w:spacing w:line="240" w:lineRule="auto"/>
                    <w:ind w:left="63" w:leftChars="30"/>
                    <w:textAlignment w:val="auto"/>
                    <w:rPr>
                      <w:rFonts w:eastAsia="仿宋_GB2312"/>
                      <w:b/>
                      <w:bCs/>
                      <w:sz w:val="21"/>
                      <w:szCs w:val="21"/>
                    </w:rPr>
                  </w:pPr>
                  <w:r>
                    <w:rPr>
                      <w:rFonts w:eastAsia="仿宋_GB2312"/>
                      <w:b/>
                      <w:bCs/>
                      <w:sz w:val="21"/>
                      <w:szCs w:val="21"/>
                    </w:rPr>
                    <w:t>治理</w:t>
                  </w:r>
                </w:p>
                <w:p w14:paraId="47F47C23">
                  <w:pPr>
                    <w:pStyle w:val="70"/>
                    <w:widowControl/>
                    <w:overflowPunct/>
                    <w:spacing w:line="240" w:lineRule="auto"/>
                    <w:ind w:left="63" w:leftChars="30"/>
                    <w:textAlignment w:val="auto"/>
                    <w:rPr>
                      <w:rFonts w:eastAsia="仿宋_GB2312"/>
                      <w:b/>
                      <w:bCs/>
                      <w:sz w:val="21"/>
                      <w:szCs w:val="21"/>
                    </w:rPr>
                  </w:pPr>
                  <w:r>
                    <w:rPr>
                      <w:rFonts w:eastAsia="仿宋_GB2312"/>
                      <w:b/>
                      <w:bCs/>
                      <w:sz w:val="21"/>
                      <w:szCs w:val="21"/>
                    </w:rPr>
                    <w:t>工艺</w:t>
                  </w:r>
                </w:p>
              </w:tc>
              <w:tc>
                <w:tcPr>
                  <w:tcW w:w="650" w:type="dxa"/>
                  <w:tcBorders>
                    <w:tl2br w:val="nil"/>
                    <w:tr2bl w:val="nil"/>
                  </w:tcBorders>
                  <w:vAlign w:val="center"/>
                </w:tcPr>
                <w:p w14:paraId="05A372A4">
                  <w:pPr>
                    <w:pStyle w:val="70"/>
                    <w:widowControl/>
                    <w:overflowPunct/>
                    <w:spacing w:line="240" w:lineRule="auto"/>
                    <w:ind w:left="63" w:leftChars="30"/>
                    <w:textAlignment w:val="auto"/>
                    <w:rPr>
                      <w:rFonts w:eastAsia="仿宋_GB2312"/>
                      <w:b/>
                      <w:bCs/>
                      <w:sz w:val="21"/>
                      <w:szCs w:val="21"/>
                    </w:rPr>
                  </w:pPr>
                  <w:r>
                    <w:rPr>
                      <w:rFonts w:eastAsia="仿宋_GB2312"/>
                      <w:b/>
                      <w:bCs/>
                      <w:sz w:val="21"/>
                      <w:szCs w:val="21"/>
                    </w:rPr>
                    <w:t>处理能力（m</w:t>
                  </w:r>
                  <w:r>
                    <w:rPr>
                      <w:rFonts w:eastAsia="仿宋_GB2312"/>
                      <w:b/>
                      <w:bCs/>
                      <w:sz w:val="21"/>
                      <w:szCs w:val="21"/>
                      <w:vertAlign w:val="superscript"/>
                    </w:rPr>
                    <w:t>3</w:t>
                  </w:r>
                  <w:r>
                    <w:rPr>
                      <w:rFonts w:eastAsia="仿宋_GB2312"/>
                      <w:b/>
                      <w:bCs/>
                      <w:sz w:val="21"/>
                      <w:szCs w:val="21"/>
                    </w:rPr>
                    <w:t>/h）</w:t>
                  </w:r>
                </w:p>
              </w:tc>
              <w:tc>
                <w:tcPr>
                  <w:tcW w:w="626" w:type="dxa"/>
                  <w:tcBorders>
                    <w:tl2br w:val="nil"/>
                    <w:tr2bl w:val="nil"/>
                  </w:tcBorders>
                  <w:vAlign w:val="center"/>
                </w:tcPr>
                <w:p w14:paraId="0416FDF1">
                  <w:pPr>
                    <w:pStyle w:val="70"/>
                    <w:widowControl/>
                    <w:overflowPunct/>
                    <w:spacing w:line="240" w:lineRule="auto"/>
                    <w:ind w:left="63" w:leftChars="30"/>
                    <w:textAlignment w:val="auto"/>
                    <w:rPr>
                      <w:rFonts w:eastAsia="仿宋_GB2312"/>
                      <w:b/>
                      <w:bCs/>
                      <w:sz w:val="21"/>
                      <w:szCs w:val="21"/>
                    </w:rPr>
                  </w:pPr>
                  <w:r>
                    <w:rPr>
                      <w:rFonts w:eastAsia="仿宋_GB2312"/>
                      <w:b/>
                      <w:bCs/>
                      <w:sz w:val="21"/>
                      <w:szCs w:val="21"/>
                    </w:rPr>
                    <w:t>去除率</w:t>
                  </w:r>
                </w:p>
                <w:p w14:paraId="0F41E5E1">
                  <w:pPr>
                    <w:pStyle w:val="70"/>
                    <w:widowControl/>
                    <w:overflowPunct/>
                    <w:spacing w:line="240" w:lineRule="auto"/>
                    <w:ind w:left="63" w:leftChars="30"/>
                    <w:textAlignment w:val="auto"/>
                    <w:rPr>
                      <w:rFonts w:eastAsia="仿宋_GB2312"/>
                      <w:b/>
                      <w:bCs/>
                      <w:sz w:val="21"/>
                      <w:szCs w:val="21"/>
                    </w:rPr>
                  </w:pPr>
                  <w:r>
                    <w:rPr>
                      <w:rFonts w:eastAsia="仿宋_GB2312"/>
                      <w:b/>
                      <w:bCs/>
                      <w:sz w:val="21"/>
                      <w:szCs w:val="21"/>
                    </w:rPr>
                    <w:t>（%）</w:t>
                  </w:r>
                </w:p>
              </w:tc>
              <w:tc>
                <w:tcPr>
                  <w:tcW w:w="654" w:type="dxa"/>
                  <w:tcBorders>
                    <w:tl2br w:val="nil"/>
                    <w:tr2bl w:val="nil"/>
                  </w:tcBorders>
                  <w:vAlign w:val="center"/>
                </w:tcPr>
                <w:p w14:paraId="3B79ED49">
                  <w:pPr>
                    <w:pStyle w:val="70"/>
                    <w:widowControl/>
                    <w:overflowPunct/>
                    <w:spacing w:line="240" w:lineRule="auto"/>
                    <w:ind w:left="63" w:leftChars="30"/>
                    <w:textAlignment w:val="auto"/>
                    <w:rPr>
                      <w:rFonts w:eastAsia="仿宋_GB2312"/>
                      <w:b/>
                      <w:bCs/>
                      <w:sz w:val="21"/>
                      <w:szCs w:val="21"/>
                    </w:rPr>
                  </w:pPr>
                  <w:r>
                    <w:rPr>
                      <w:rFonts w:eastAsia="仿宋_GB2312"/>
                      <w:b/>
                      <w:bCs/>
                      <w:sz w:val="21"/>
                      <w:szCs w:val="21"/>
                    </w:rPr>
                    <w:t>是否为可行技术</w:t>
                  </w:r>
                </w:p>
              </w:tc>
              <w:tc>
                <w:tcPr>
                  <w:tcW w:w="1000" w:type="dxa"/>
                  <w:tcBorders>
                    <w:tl2br w:val="nil"/>
                    <w:tr2bl w:val="nil"/>
                  </w:tcBorders>
                  <w:vAlign w:val="center"/>
                </w:tcPr>
                <w:p w14:paraId="62E2E410">
                  <w:pPr>
                    <w:pStyle w:val="70"/>
                    <w:widowControl/>
                    <w:overflowPunct/>
                    <w:spacing w:line="240" w:lineRule="auto"/>
                    <w:ind w:left="63" w:leftChars="30"/>
                    <w:textAlignment w:val="auto"/>
                    <w:rPr>
                      <w:rFonts w:eastAsia="仿宋_GB2312"/>
                      <w:b/>
                      <w:bCs/>
                      <w:sz w:val="21"/>
                      <w:szCs w:val="21"/>
                    </w:rPr>
                  </w:pPr>
                  <w:r>
                    <w:rPr>
                      <w:rFonts w:eastAsia="仿宋_GB2312"/>
                      <w:b/>
                      <w:bCs/>
                      <w:sz w:val="21"/>
                      <w:szCs w:val="21"/>
                    </w:rPr>
                    <w:t>尾气吸收塔排放浓度</w:t>
                  </w:r>
                </w:p>
                <w:p w14:paraId="7A2A401F">
                  <w:pPr>
                    <w:pStyle w:val="70"/>
                    <w:widowControl/>
                    <w:overflowPunct/>
                    <w:spacing w:line="240" w:lineRule="auto"/>
                    <w:ind w:left="63" w:leftChars="30"/>
                    <w:textAlignment w:val="auto"/>
                    <w:rPr>
                      <w:rFonts w:eastAsia="仿宋_GB2312"/>
                      <w:b/>
                      <w:bCs/>
                      <w:sz w:val="21"/>
                      <w:szCs w:val="21"/>
                    </w:rPr>
                  </w:pPr>
                  <w:r>
                    <w:rPr>
                      <w:rFonts w:eastAsia="仿宋_GB2312"/>
                      <w:b/>
                      <w:bCs/>
                      <w:sz w:val="21"/>
                      <w:szCs w:val="21"/>
                    </w:rPr>
                    <w:t>（mg/m</w:t>
                  </w:r>
                  <w:r>
                    <w:rPr>
                      <w:rFonts w:eastAsia="仿宋_GB2312"/>
                      <w:b/>
                      <w:bCs/>
                      <w:sz w:val="21"/>
                      <w:szCs w:val="21"/>
                      <w:vertAlign w:val="superscript"/>
                    </w:rPr>
                    <w:t>3</w:t>
                  </w:r>
                  <w:r>
                    <w:rPr>
                      <w:rFonts w:eastAsia="仿宋_GB2312"/>
                      <w:b/>
                      <w:bCs/>
                      <w:sz w:val="21"/>
                      <w:szCs w:val="21"/>
                    </w:rPr>
                    <w:t>）</w:t>
                  </w:r>
                </w:p>
              </w:tc>
              <w:tc>
                <w:tcPr>
                  <w:tcW w:w="824" w:type="dxa"/>
                  <w:tcBorders>
                    <w:tl2br w:val="nil"/>
                    <w:tr2bl w:val="nil"/>
                  </w:tcBorders>
                  <w:vAlign w:val="center"/>
                </w:tcPr>
                <w:p w14:paraId="28EC7F84">
                  <w:pPr>
                    <w:pStyle w:val="70"/>
                    <w:widowControl/>
                    <w:overflowPunct/>
                    <w:spacing w:line="240" w:lineRule="auto"/>
                    <w:ind w:left="63" w:leftChars="30"/>
                    <w:textAlignment w:val="auto"/>
                    <w:rPr>
                      <w:rFonts w:eastAsia="仿宋_GB2312"/>
                      <w:b/>
                      <w:bCs/>
                      <w:sz w:val="21"/>
                      <w:szCs w:val="21"/>
                    </w:rPr>
                  </w:pPr>
                  <w:r>
                    <w:rPr>
                      <w:rFonts w:eastAsia="仿宋_GB2312"/>
                      <w:b/>
                      <w:bCs/>
                      <w:sz w:val="21"/>
                      <w:szCs w:val="21"/>
                    </w:rPr>
                    <w:t>排放速率</w:t>
                  </w:r>
                </w:p>
                <w:p w14:paraId="118F7AC0">
                  <w:pPr>
                    <w:pStyle w:val="70"/>
                    <w:widowControl/>
                    <w:overflowPunct/>
                    <w:spacing w:line="240" w:lineRule="auto"/>
                    <w:ind w:left="63" w:leftChars="30"/>
                    <w:textAlignment w:val="auto"/>
                    <w:rPr>
                      <w:rFonts w:eastAsia="仿宋_GB2312"/>
                      <w:b/>
                      <w:bCs/>
                      <w:sz w:val="21"/>
                      <w:szCs w:val="21"/>
                    </w:rPr>
                  </w:pPr>
                  <w:r>
                    <w:rPr>
                      <w:rFonts w:eastAsia="仿宋_GB2312"/>
                      <w:b/>
                      <w:bCs/>
                      <w:sz w:val="21"/>
                      <w:szCs w:val="21"/>
                    </w:rPr>
                    <w:t>（kg/h）</w:t>
                  </w:r>
                </w:p>
              </w:tc>
              <w:tc>
                <w:tcPr>
                  <w:tcW w:w="887" w:type="dxa"/>
                  <w:tcBorders>
                    <w:tl2br w:val="nil"/>
                    <w:tr2bl w:val="nil"/>
                  </w:tcBorders>
                  <w:vAlign w:val="center"/>
                </w:tcPr>
                <w:p w14:paraId="25BBFB8D">
                  <w:pPr>
                    <w:pStyle w:val="70"/>
                    <w:widowControl/>
                    <w:overflowPunct/>
                    <w:spacing w:line="240" w:lineRule="auto"/>
                    <w:ind w:left="63" w:leftChars="30"/>
                    <w:textAlignment w:val="auto"/>
                    <w:rPr>
                      <w:rFonts w:eastAsia="仿宋_GB2312"/>
                      <w:b/>
                      <w:bCs/>
                      <w:sz w:val="21"/>
                      <w:szCs w:val="21"/>
                    </w:rPr>
                  </w:pPr>
                  <w:r>
                    <w:rPr>
                      <w:rFonts w:eastAsia="仿宋_GB2312"/>
                      <w:b/>
                      <w:bCs/>
                      <w:sz w:val="21"/>
                      <w:szCs w:val="21"/>
                    </w:rPr>
                    <w:t>排放量</w:t>
                  </w:r>
                </w:p>
                <w:p w14:paraId="7E277E31">
                  <w:pPr>
                    <w:pStyle w:val="70"/>
                    <w:widowControl/>
                    <w:overflowPunct/>
                    <w:spacing w:line="240" w:lineRule="auto"/>
                    <w:ind w:left="63" w:leftChars="30"/>
                    <w:textAlignment w:val="auto"/>
                    <w:rPr>
                      <w:rFonts w:eastAsia="仿宋_GB2312"/>
                      <w:b/>
                      <w:bCs/>
                      <w:sz w:val="21"/>
                      <w:szCs w:val="21"/>
                    </w:rPr>
                  </w:pPr>
                  <w:r>
                    <w:rPr>
                      <w:rFonts w:eastAsia="仿宋_GB2312"/>
                      <w:b/>
                      <w:bCs/>
                      <w:sz w:val="21"/>
                      <w:szCs w:val="21"/>
                    </w:rPr>
                    <w:t>（t/a）</w:t>
                  </w:r>
                </w:p>
              </w:tc>
            </w:tr>
            <w:tr w14:paraId="1346F7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21" w:hRule="atLeast"/>
                <w:jc w:val="center"/>
              </w:trPr>
              <w:tc>
                <w:tcPr>
                  <w:tcW w:w="740" w:type="dxa"/>
                  <w:tcBorders>
                    <w:tl2br w:val="nil"/>
                    <w:tr2bl w:val="nil"/>
                  </w:tcBorders>
                  <w:vAlign w:val="center"/>
                </w:tcPr>
                <w:p w14:paraId="65824630">
                  <w:pPr>
                    <w:pStyle w:val="70"/>
                    <w:widowControl/>
                    <w:overflowPunct/>
                    <w:spacing w:line="240" w:lineRule="auto"/>
                    <w:ind w:left="63" w:leftChars="30"/>
                    <w:textAlignment w:val="auto"/>
                    <w:rPr>
                      <w:rFonts w:eastAsia="仿宋_GB2312"/>
                      <w:sz w:val="21"/>
                      <w:szCs w:val="21"/>
                    </w:rPr>
                  </w:pPr>
                  <w:r>
                    <w:rPr>
                      <w:rFonts w:eastAsia="仿宋_GB2312"/>
                      <w:sz w:val="21"/>
                      <w:szCs w:val="21"/>
                    </w:rPr>
                    <w:t>平板膜过滤废气</w:t>
                  </w:r>
                </w:p>
              </w:tc>
              <w:tc>
                <w:tcPr>
                  <w:tcW w:w="594" w:type="dxa"/>
                  <w:tcBorders>
                    <w:tl2br w:val="nil"/>
                    <w:tr2bl w:val="nil"/>
                  </w:tcBorders>
                  <w:vAlign w:val="center"/>
                </w:tcPr>
                <w:p w14:paraId="3DDF7B71">
                  <w:pPr>
                    <w:widowControl/>
                    <w:adjustRightInd w:val="0"/>
                    <w:snapToGrid w:val="0"/>
                    <w:ind w:left="63" w:leftChars="30"/>
                    <w:jc w:val="center"/>
                    <w:rPr>
                      <w:rFonts w:eastAsia="仿宋_GB2312"/>
                      <w:sz w:val="21"/>
                      <w:szCs w:val="21"/>
                    </w:rPr>
                  </w:pPr>
                  <w:r>
                    <w:rPr>
                      <w:rFonts w:eastAsia="仿宋_GB2312"/>
                      <w:sz w:val="21"/>
                      <w:szCs w:val="21"/>
                    </w:rPr>
                    <w:t>颗粒物</w:t>
                  </w:r>
                </w:p>
              </w:tc>
              <w:tc>
                <w:tcPr>
                  <w:tcW w:w="714" w:type="dxa"/>
                  <w:tcBorders>
                    <w:tl2br w:val="nil"/>
                    <w:tr2bl w:val="nil"/>
                  </w:tcBorders>
                  <w:vAlign w:val="center"/>
                </w:tcPr>
                <w:p w14:paraId="598D1C0F">
                  <w:pPr>
                    <w:pStyle w:val="70"/>
                    <w:widowControl/>
                    <w:overflowPunct/>
                    <w:spacing w:line="240" w:lineRule="auto"/>
                    <w:ind w:left="63" w:leftChars="30"/>
                    <w:textAlignment w:val="auto"/>
                    <w:rPr>
                      <w:rFonts w:hint="default" w:eastAsia="仿宋_GB2312"/>
                      <w:sz w:val="21"/>
                      <w:szCs w:val="21"/>
                      <w:lang w:val="en-US" w:eastAsia="zh-CN"/>
                    </w:rPr>
                  </w:pPr>
                  <w:r>
                    <w:rPr>
                      <w:rFonts w:hint="eastAsia" w:ascii="Times New Roman" w:hAnsi="Times New Roman" w:eastAsia="仿宋_GB2312" w:cs="Times New Roman"/>
                      <w:lang w:val="en-US" w:eastAsia="zh-CN"/>
                    </w:rPr>
                    <w:t>0.</w:t>
                  </w:r>
                  <w:r>
                    <w:rPr>
                      <w:rFonts w:hint="eastAsia" w:eastAsia="仿宋_GB2312" w:cs="Times New Roman"/>
                      <w:lang w:val="en-US" w:eastAsia="zh-CN"/>
                    </w:rPr>
                    <w:t>3596</w:t>
                  </w:r>
                </w:p>
              </w:tc>
              <w:tc>
                <w:tcPr>
                  <w:tcW w:w="599" w:type="dxa"/>
                  <w:tcBorders>
                    <w:tl2br w:val="nil"/>
                    <w:tr2bl w:val="nil"/>
                  </w:tcBorders>
                  <w:vAlign w:val="center"/>
                </w:tcPr>
                <w:p w14:paraId="5DACB67C">
                  <w:pPr>
                    <w:pStyle w:val="70"/>
                    <w:widowControl/>
                    <w:overflowPunct/>
                    <w:spacing w:line="240" w:lineRule="auto"/>
                    <w:ind w:left="63" w:leftChars="30"/>
                    <w:textAlignment w:val="auto"/>
                    <w:rPr>
                      <w:rFonts w:hint="default" w:eastAsia="仿宋_GB2312"/>
                      <w:sz w:val="21"/>
                      <w:szCs w:val="21"/>
                      <w:lang w:val="en-US" w:eastAsia="zh-CN"/>
                    </w:rPr>
                  </w:pPr>
                  <w:r>
                    <w:rPr>
                      <w:rFonts w:hint="eastAsia" w:eastAsia="仿宋_GB2312"/>
                      <w:sz w:val="21"/>
                      <w:szCs w:val="21"/>
                      <w:lang w:val="en-US" w:eastAsia="zh-CN"/>
                    </w:rPr>
                    <w:t>13.0</w:t>
                  </w:r>
                </w:p>
              </w:tc>
              <w:tc>
                <w:tcPr>
                  <w:tcW w:w="510" w:type="dxa"/>
                  <w:tcBorders>
                    <w:tl2br w:val="nil"/>
                    <w:tr2bl w:val="nil"/>
                  </w:tcBorders>
                  <w:vAlign w:val="center"/>
                </w:tcPr>
                <w:p w14:paraId="68B852D5">
                  <w:pPr>
                    <w:pStyle w:val="70"/>
                    <w:widowControl/>
                    <w:overflowPunct/>
                    <w:spacing w:line="240" w:lineRule="auto"/>
                    <w:ind w:left="63" w:leftChars="30"/>
                    <w:textAlignment w:val="auto"/>
                    <w:rPr>
                      <w:rFonts w:eastAsia="仿宋_GB2312"/>
                      <w:sz w:val="21"/>
                      <w:szCs w:val="21"/>
                    </w:rPr>
                  </w:pPr>
                  <w:r>
                    <w:rPr>
                      <w:rFonts w:eastAsia="仿宋_GB2312"/>
                      <w:sz w:val="21"/>
                      <w:szCs w:val="21"/>
                    </w:rPr>
                    <w:t>无组织</w:t>
                  </w:r>
                </w:p>
              </w:tc>
              <w:tc>
                <w:tcPr>
                  <w:tcW w:w="597" w:type="dxa"/>
                  <w:tcBorders>
                    <w:tl2br w:val="nil"/>
                    <w:tr2bl w:val="nil"/>
                  </w:tcBorders>
                  <w:vAlign w:val="center"/>
                </w:tcPr>
                <w:p w14:paraId="40724B57">
                  <w:pPr>
                    <w:pStyle w:val="70"/>
                    <w:widowControl/>
                    <w:overflowPunct/>
                    <w:spacing w:line="240" w:lineRule="auto"/>
                    <w:ind w:left="63" w:leftChars="30"/>
                    <w:textAlignment w:val="auto"/>
                    <w:rPr>
                      <w:rFonts w:eastAsia="仿宋_GB2312"/>
                      <w:sz w:val="21"/>
                      <w:szCs w:val="21"/>
                    </w:rPr>
                  </w:pPr>
                  <w:r>
                    <w:rPr>
                      <w:rFonts w:eastAsia="仿宋_GB2312"/>
                      <w:sz w:val="21"/>
                      <w:szCs w:val="21"/>
                    </w:rPr>
                    <w:t>盐雾尾气吸收塔</w:t>
                  </w:r>
                </w:p>
              </w:tc>
              <w:tc>
                <w:tcPr>
                  <w:tcW w:w="650" w:type="dxa"/>
                  <w:tcBorders>
                    <w:tl2br w:val="nil"/>
                    <w:tr2bl w:val="nil"/>
                  </w:tcBorders>
                  <w:vAlign w:val="center"/>
                </w:tcPr>
                <w:p w14:paraId="6F5BD0F4">
                  <w:pPr>
                    <w:pStyle w:val="70"/>
                    <w:widowControl/>
                    <w:overflowPunct/>
                    <w:spacing w:line="240" w:lineRule="auto"/>
                    <w:ind w:left="63" w:leftChars="30"/>
                    <w:textAlignment w:val="auto"/>
                    <w:rPr>
                      <w:rFonts w:eastAsia="仿宋_GB2312"/>
                      <w:sz w:val="21"/>
                      <w:szCs w:val="21"/>
                    </w:rPr>
                  </w:pPr>
                  <w:r>
                    <w:rPr>
                      <w:rFonts w:eastAsia="仿宋_GB2312"/>
                      <w:sz w:val="21"/>
                      <w:szCs w:val="21"/>
                    </w:rPr>
                    <w:t>3000</w:t>
                  </w:r>
                </w:p>
              </w:tc>
              <w:tc>
                <w:tcPr>
                  <w:tcW w:w="626" w:type="dxa"/>
                  <w:tcBorders>
                    <w:tl2br w:val="nil"/>
                    <w:tr2bl w:val="nil"/>
                  </w:tcBorders>
                  <w:vAlign w:val="center"/>
                </w:tcPr>
                <w:p w14:paraId="3D49DE19">
                  <w:pPr>
                    <w:pStyle w:val="70"/>
                    <w:widowControl/>
                    <w:overflowPunct/>
                    <w:spacing w:line="240" w:lineRule="auto"/>
                    <w:ind w:left="63" w:leftChars="30"/>
                    <w:textAlignment w:val="auto"/>
                    <w:rPr>
                      <w:rFonts w:hint="default" w:eastAsia="仿宋_GB2312"/>
                      <w:sz w:val="21"/>
                      <w:szCs w:val="21"/>
                      <w:lang w:val="en-US" w:eastAsia="zh-CN"/>
                    </w:rPr>
                  </w:pPr>
                  <w:r>
                    <w:rPr>
                      <w:rFonts w:hint="eastAsia" w:eastAsia="仿宋_GB2312"/>
                      <w:sz w:val="21"/>
                      <w:szCs w:val="21"/>
                      <w:lang w:val="en-US" w:eastAsia="zh-CN"/>
                    </w:rPr>
                    <w:t>80</w:t>
                  </w:r>
                </w:p>
              </w:tc>
              <w:tc>
                <w:tcPr>
                  <w:tcW w:w="654" w:type="dxa"/>
                  <w:tcBorders>
                    <w:tl2br w:val="nil"/>
                    <w:tr2bl w:val="nil"/>
                  </w:tcBorders>
                  <w:vAlign w:val="center"/>
                </w:tcPr>
                <w:p w14:paraId="5ED3599C">
                  <w:pPr>
                    <w:widowControl/>
                    <w:adjustRightInd w:val="0"/>
                    <w:snapToGrid w:val="0"/>
                    <w:ind w:left="63" w:leftChars="30"/>
                    <w:jc w:val="center"/>
                    <w:rPr>
                      <w:rFonts w:eastAsia="仿宋_GB2312"/>
                      <w:sz w:val="21"/>
                      <w:szCs w:val="21"/>
                    </w:rPr>
                  </w:pPr>
                  <w:r>
                    <w:rPr>
                      <w:rFonts w:eastAsia="仿宋_GB2312"/>
                      <w:sz w:val="21"/>
                      <w:szCs w:val="21"/>
                    </w:rPr>
                    <w:t>可行</w:t>
                  </w:r>
                </w:p>
              </w:tc>
              <w:tc>
                <w:tcPr>
                  <w:tcW w:w="1000" w:type="dxa"/>
                  <w:tcBorders>
                    <w:tl2br w:val="nil"/>
                    <w:tr2bl w:val="nil"/>
                  </w:tcBorders>
                  <w:vAlign w:val="center"/>
                </w:tcPr>
                <w:p w14:paraId="7B9D3A0E">
                  <w:pPr>
                    <w:pStyle w:val="70"/>
                    <w:widowControl/>
                    <w:overflowPunct/>
                    <w:spacing w:line="240" w:lineRule="auto"/>
                    <w:ind w:left="63" w:leftChars="30"/>
                    <w:textAlignment w:val="auto"/>
                    <w:rPr>
                      <w:rFonts w:hint="default" w:eastAsia="仿宋_GB2312"/>
                      <w:sz w:val="21"/>
                      <w:szCs w:val="21"/>
                      <w:lang w:val="en-US" w:eastAsia="zh-CN"/>
                    </w:rPr>
                  </w:pPr>
                  <w:r>
                    <w:rPr>
                      <w:rFonts w:hint="eastAsia" w:eastAsia="仿宋_GB2312"/>
                      <w:sz w:val="21"/>
                      <w:szCs w:val="21"/>
                      <w:lang w:val="en-US" w:eastAsia="zh-CN"/>
                    </w:rPr>
                    <w:t>2.94</w:t>
                  </w:r>
                </w:p>
              </w:tc>
              <w:tc>
                <w:tcPr>
                  <w:tcW w:w="824" w:type="dxa"/>
                  <w:tcBorders>
                    <w:tl2br w:val="nil"/>
                    <w:tr2bl w:val="nil"/>
                  </w:tcBorders>
                  <w:vAlign w:val="center"/>
                </w:tcPr>
                <w:p w14:paraId="768FD0C5">
                  <w:pPr>
                    <w:pStyle w:val="70"/>
                    <w:widowControl/>
                    <w:overflowPunct/>
                    <w:spacing w:line="240" w:lineRule="auto"/>
                    <w:ind w:left="63" w:leftChars="30"/>
                    <w:textAlignment w:val="auto"/>
                    <w:rPr>
                      <w:rFonts w:hint="default" w:eastAsia="仿宋_GB2312"/>
                      <w:sz w:val="21"/>
                      <w:szCs w:val="21"/>
                      <w:lang w:val="en-US" w:eastAsia="zh-CN"/>
                    </w:rPr>
                  </w:pPr>
                  <w:r>
                    <w:rPr>
                      <w:rFonts w:hint="eastAsia" w:eastAsia="仿宋_GB2312"/>
                      <w:sz w:val="21"/>
                      <w:szCs w:val="21"/>
                      <w:lang w:val="en-US" w:eastAsia="zh-CN"/>
                    </w:rPr>
                    <w:t>0.009</w:t>
                  </w:r>
                </w:p>
              </w:tc>
              <w:tc>
                <w:tcPr>
                  <w:tcW w:w="887" w:type="dxa"/>
                  <w:tcBorders>
                    <w:tl2br w:val="nil"/>
                    <w:tr2bl w:val="nil"/>
                  </w:tcBorders>
                  <w:vAlign w:val="center"/>
                </w:tcPr>
                <w:p w14:paraId="366CD053">
                  <w:pPr>
                    <w:pStyle w:val="70"/>
                    <w:widowControl/>
                    <w:overflowPunct/>
                    <w:spacing w:line="240" w:lineRule="auto"/>
                    <w:ind w:left="63" w:leftChars="30"/>
                    <w:textAlignment w:val="auto"/>
                    <w:rPr>
                      <w:rFonts w:hint="default" w:eastAsia="仿宋_GB2312"/>
                      <w:sz w:val="21"/>
                      <w:szCs w:val="21"/>
                      <w:lang w:val="en-US" w:eastAsia="zh-CN"/>
                    </w:rPr>
                  </w:pPr>
                  <w:r>
                    <w:rPr>
                      <w:rFonts w:hint="eastAsia" w:eastAsia="仿宋_GB2312"/>
                      <w:sz w:val="21"/>
                      <w:szCs w:val="21"/>
                    </w:rPr>
                    <w:t>0.0</w:t>
                  </w:r>
                  <w:r>
                    <w:rPr>
                      <w:rFonts w:hint="eastAsia" w:eastAsia="仿宋_GB2312"/>
                      <w:sz w:val="21"/>
                      <w:szCs w:val="21"/>
                      <w:lang w:val="en-US" w:eastAsia="zh-CN"/>
                    </w:rPr>
                    <w:t>719</w:t>
                  </w:r>
                </w:p>
              </w:tc>
            </w:tr>
          </w:tbl>
          <w:p w14:paraId="25AA7031">
            <w:pPr>
              <w:adjustRightInd w:val="0"/>
              <w:snapToGrid w:val="0"/>
              <w:spacing w:line="360" w:lineRule="auto"/>
              <w:ind w:firstLine="420" w:firstLineChars="200"/>
              <w:rPr>
                <w:rFonts w:eastAsia="仿宋_GB2312"/>
                <w:color w:val="000000"/>
                <w:kern w:val="0"/>
              </w:rPr>
            </w:pPr>
            <w:r>
              <w:rPr>
                <w:rFonts w:eastAsia="仿宋_GB2312"/>
                <w:color w:val="000000"/>
                <w:kern w:val="0"/>
              </w:rPr>
              <w:t>（3）刷漆废气</w:t>
            </w:r>
          </w:p>
          <w:p w14:paraId="1D6D8A1E">
            <w:pPr>
              <w:adjustRightInd w:val="0"/>
              <w:snapToGrid w:val="0"/>
              <w:spacing w:line="360" w:lineRule="auto"/>
              <w:ind w:firstLine="420" w:firstLineChars="200"/>
              <w:rPr>
                <w:rFonts w:eastAsia="仿宋_GB2312"/>
              </w:rPr>
            </w:pPr>
            <w:r>
              <w:rPr>
                <w:rFonts w:eastAsia="仿宋_GB2312"/>
              </w:rPr>
              <w:t>本项目进行设备维护刷漆时产生的刷漆废气为无组织排放。</w:t>
            </w:r>
          </w:p>
          <w:p w14:paraId="73F0453F">
            <w:pPr>
              <w:adjustRightInd w:val="0"/>
              <w:snapToGrid w:val="0"/>
              <w:spacing w:line="360" w:lineRule="auto"/>
              <w:ind w:firstLine="420" w:firstLineChars="200"/>
              <w:rPr>
                <w:rFonts w:eastAsia="仿宋_GB2312"/>
                <w:kern w:val="0"/>
              </w:rPr>
            </w:pPr>
            <w:r>
              <w:rPr>
                <w:rFonts w:eastAsia="仿宋_GB2312"/>
                <w:kern w:val="0"/>
              </w:rPr>
              <w:t>①源强核算</w:t>
            </w:r>
          </w:p>
          <w:p w14:paraId="24C036A1">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eastAsia="仿宋_GB2312"/>
                <w:b/>
                <w:bCs/>
                <w:kern w:val="0"/>
              </w:rPr>
            </w:pPr>
            <w:r>
              <w:rPr>
                <w:rFonts w:eastAsia="仿宋_GB2312"/>
                <w:b/>
                <w:bCs/>
                <w:kern w:val="0"/>
              </w:rPr>
              <w:t>表4-1</w:t>
            </w:r>
            <w:r>
              <w:rPr>
                <w:rFonts w:hint="eastAsia" w:eastAsia="仿宋_GB2312"/>
                <w:b/>
                <w:bCs/>
                <w:kern w:val="0"/>
                <w:lang w:val="en-US" w:eastAsia="zh-CN"/>
              </w:rPr>
              <w:t xml:space="preserve">5  </w:t>
            </w:r>
            <w:r>
              <w:rPr>
                <w:rFonts w:eastAsia="仿宋_GB2312"/>
                <w:b/>
                <w:bCs/>
                <w:kern w:val="0"/>
              </w:rPr>
              <w:t>刷漆废气源强核算详细结果</w:t>
            </w:r>
          </w:p>
          <w:tbl>
            <w:tblPr>
              <w:tblStyle w:val="31"/>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41"/>
              <w:gridCol w:w="1100"/>
              <w:gridCol w:w="1242"/>
              <w:gridCol w:w="1949"/>
              <w:gridCol w:w="658"/>
              <w:gridCol w:w="670"/>
              <w:gridCol w:w="783"/>
              <w:gridCol w:w="1150"/>
            </w:tblGrid>
            <w:tr w14:paraId="1F04B3B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54" w:type="pct"/>
                  <w:vMerge w:val="restart"/>
                  <w:vAlign w:val="center"/>
                </w:tcPr>
                <w:p w14:paraId="1CCEBC30">
                  <w:pPr>
                    <w:adjustRightInd w:val="0"/>
                    <w:snapToGrid w:val="0"/>
                    <w:jc w:val="center"/>
                    <w:rPr>
                      <w:rFonts w:eastAsia="仿宋_GB2312"/>
                      <w:b/>
                      <w:kern w:val="0"/>
                      <w:sz w:val="21"/>
                      <w:szCs w:val="21"/>
                    </w:rPr>
                  </w:pPr>
                  <w:r>
                    <w:rPr>
                      <w:rFonts w:eastAsia="仿宋_GB2312"/>
                      <w:b/>
                      <w:kern w:val="0"/>
                      <w:sz w:val="21"/>
                      <w:szCs w:val="21"/>
                    </w:rPr>
                    <w:t>污染源位置</w:t>
                  </w:r>
                </w:p>
              </w:tc>
              <w:tc>
                <w:tcPr>
                  <w:tcW w:w="647" w:type="pct"/>
                  <w:vMerge w:val="restart"/>
                  <w:vAlign w:val="center"/>
                </w:tcPr>
                <w:p w14:paraId="0AB7B594">
                  <w:pPr>
                    <w:adjustRightInd w:val="0"/>
                    <w:snapToGrid w:val="0"/>
                    <w:jc w:val="center"/>
                    <w:rPr>
                      <w:rFonts w:eastAsia="仿宋_GB2312"/>
                      <w:b/>
                      <w:kern w:val="0"/>
                      <w:sz w:val="21"/>
                      <w:szCs w:val="21"/>
                    </w:rPr>
                  </w:pPr>
                  <w:r>
                    <w:rPr>
                      <w:rFonts w:eastAsia="仿宋_GB2312"/>
                      <w:b/>
                      <w:kern w:val="0"/>
                      <w:sz w:val="21"/>
                      <w:szCs w:val="21"/>
                    </w:rPr>
                    <w:t>污染物名称</w:t>
                  </w:r>
                </w:p>
              </w:tc>
              <w:tc>
                <w:tcPr>
                  <w:tcW w:w="731" w:type="pct"/>
                  <w:vMerge w:val="restart"/>
                  <w:vAlign w:val="center"/>
                </w:tcPr>
                <w:p w14:paraId="2EF0332A">
                  <w:pPr>
                    <w:adjustRightInd w:val="0"/>
                    <w:snapToGrid w:val="0"/>
                    <w:jc w:val="center"/>
                    <w:rPr>
                      <w:rFonts w:eastAsia="仿宋_GB2312"/>
                      <w:b/>
                      <w:kern w:val="0"/>
                      <w:sz w:val="21"/>
                      <w:szCs w:val="21"/>
                    </w:rPr>
                  </w:pPr>
                  <w:r>
                    <w:rPr>
                      <w:rFonts w:eastAsia="仿宋_GB2312"/>
                      <w:b/>
                      <w:kern w:val="0"/>
                      <w:sz w:val="21"/>
                      <w:szCs w:val="21"/>
                    </w:rPr>
                    <w:t>污染物排放量（t/a）</w:t>
                  </w:r>
                </w:p>
              </w:tc>
              <w:tc>
                <w:tcPr>
                  <w:tcW w:w="1147" w:type="pct"/>
                  <w:vMerge w:val="restart"/>
                  <w:vAlign w:val="center"/>
                </w:tcPr>
                <w:p w14:paraId="52AF4143">
                  <w:pPr>
                    <w:adjustRightInd w:val="0"/>
                    <w:snapToGrid w:val="0"/>
                    <w:jc w:val="center"/>
                    <w:rPr>
                      <w:rFonts w:eastAsia="仿宋_GB2312"/>
                      <w:b/>
                      <w:kern w:val="0"/>
                      <w:sz w:val="21"/>
                      <w:szCs w:val="21"/>
                      <w:highlight w:val="yellow"/>
                    </w:rPr>
                  </w:pPr>
                  <w:r>
                    <w:rPr>
                      <w:rFonts w:eastAsia="仿宋_GB2312"/>
                      <w:b/>
                      <w:kern w:val="0"/>
                      <w:sz w:val="21"/>
                      <w:szCs w:val="21"/>
                    </w:rPr>
                    <w:t>污染物排放速率（kg/h）</w:t>
                  </w:r>
                </w:p>
              </w:tc>
              <w:tc>
                <w:tcPr>
                  <w:tcW w:w="1242" w:type="pct"/>
                  <w:gridSpan w:val="3"/>
                  <w:vAlign w:val="center"/>
                </w:tcPr>
                <w:p w14:paraId="465459B9">
                  <w:pPr>
                    <w:pStyle w:val="18"/>
                    <w:adjustRightInd w:val="0"/>
                    <w:snapToGrid w:val="0"/>
                    <w:ind w:left="0" w:leftChars="0"/>
                    <w:jc w:val="center"/>
                    <w:rPr>
                      <w:rFonts w:eastAsia="仿宋_GB2312"/>
                      <w:b/>
                      <w:sz w:val="21"/>
                      <w:szCs w:val="21"/>
                    </w:rPr>
                  </w:pPr>
                  <w:r>
                    <w:rPr>
                      <w:rFonts w:eastAsia="仿宋_GB2312"/>
                      <w:b/>
                      <w:sz w:val="21"/>
                      <w:szCs w:val="21"/>
                    </w:rPr>
                    <w:t>面源参数（m）</w:t>
                  </w:r>
                </w:p>
              </w:tc>
              <w:tc>
                <w:tcPr>
                  <w:tcW w:w="677" w:type="pct"/>
                  <w:vMerge w:val="restart"/>
                  <w:vAlign w:val="center"/>
                </w:tcPr>
                <w:p w14:paraId="4B5C0295">
                  <w:pPr>
                    <w:pStyle w:val="18"/>
                    <w:adjustRightInd w:val="0"/>
                    <w:snapToGrid w:val="0"/>
                    <w:ind w:left="0" w:leftChars="0"/>
                    <w:jc w:val="center"/>
                    <w:rPr>
                      <w:rFonts w:eastAsia="仿宋_GB2312"/>
                      <w:b/>
                      <w:sz w:val="21"/>
                      <w:szCs w:val="21"/>
                    </w:rPr>
                  </w:pPr>
                  <w:r>
                    <w:rPr>
                      <w:rFonts w:eastAsia="仿宋_GB2312"/>
                      <w:b/>
                      <w:sz w:val="21"/>
                      <w:szCs w:val="21"/>
                    </w:rPr>
                    <w:t>周界浓度限值（mg/m</w:t>
                  </w:r>
                  <w:r>
                    <w:rPr>
                      <w:rFonts w:eastAsia="仿宋_GB2312"/>
                      <w:b/>
                      <w:sz w:val="21"/>
                      <w:szCs w:val="21"/>
                      <w:vertAlign w:val="superscript"/>
                    </w:rPr>
                    <w:t>3</w:t>
                  </w:r>
                  <w:r>
                    <w:rPr>
                      <w:rFonts w:eastAsia="仿宋_GB2312"/>
                      <w:b/>
                      <w:sz w:val="21"/>
                      <w:szCs w:val="21"/>
                    </w:rPr>
                    <w:t>）</w:t>
                  </w:r>
                </w:p>
              </w:tc>
            </w:tr>
            <w:tr w14:paraId="2C953D2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54" w:type="pct"/>
                  <w:vMerge w:val="continue"/>
                  <w:vAlign w:val="center"/>
                </w:tcPr>
                <w:p w14:paraId="7DB97452">
                  <w:pPr>
                    <w:adjustRightInd w:val="0"/>
                    <w:snapToGrid w:val="0"/>
                    <w:jc w:val="center"/>
                    <w:rPr>
                      <w:rFonts w:eastAsia="仿宋_GB2312"/>
                      <w:b/>
                      <w:kern w:val="0"/>
                      <w:sz w:val="21"/>
                      <w:szCs w:val="21"/>
                      <w:highlight w:val="yellow"/>
                    </w:rPr>
                  </w:pPr>
                </w:p>
              </w:tc>
              <w:tc>
                <w:tcPr>
                  <w:tcW w:w="647" w:type="pct"/>
                  <w:vMerge w:val="continue"/>
                  <w:vAlign w:val="center"/>
                </w:tcPr>
                <w:p w14:paraId="673857E3">
                  <w:pPr>
                    <w:adjustRightInd w:val="0"/>
                    <w:snapToGrid w:val="0"/>
                    <w:jc w:val="center"/>
                    <w:rPr>
                      <w:rFonts w:eastAsia="仿宋_GB2312"/>
                      <w:b/>
                      <w:kern w:val="0"/>
                      <w:sz w:val="21"/>
                      <w:szCs w:val="21"/>
                      <w:highlight w:val="yellow"/>
                    </w:rPr>
                  </w:pPr>
                </w:p>
              </w:tc>
              <w:tc>
                <w:tcPr>
                  <w:tcW w:w="731" w:type="pct"/>
                  <w:vMerge w:val="continue"/>
                  <w:vAlign w:val="center"/>
                </w:tcPr>
                <w:p w14:paraId="065BB3F3">
                  <w:pPr>
                    <w:adjustRightInd w:val="0"/>
                    <w:snapToGrid w:val="0"/>
                    <w:jc w:val="center"/>
                    <w:rPr>
                      <w:rFonts w:eastAsia="仿宋_GB2312"/>
                      <w:b/>
                      <w:kern w:val="0"/>
                      <w:sz w:val="21"/>
                      <w:szCs w:val="21"/>
                      <w:highlight w:val="yellow"/>
                    </w:rPr>
                  </w:pPr>
                </w:p>
              </w:tc>
              <w:tc>
                <w:tcPr>
                  <w:tcW w:w="1147" w:type="pct"/>
                  <w:vMerge w:val="continue"/>
                  <w:vAlign w:val="center"/>
                </w:tcPr>
                <w:p w14:paraId="5A85CE49">
                  <w:pPr>
                    <w:adjustRightInd w:val="0"/>
                    <w:snapToGrid w:val="0"/>
                    <w:jc w:val="center"/>
                    <w:rPr>
                      <w:rFonts w:eastAsia="仿宋_GB2312"/>
                      <w:b/>
                      <w:kern w:val="0"/>
                      <w:sz w:val="21"/>
                      <w:szCs w:val="21"/>
                      <w:highlight w:val="yellow"/>
                    </w:rPr>
                  </w:pPr>
                </w:p>
              </w:tc>
              <w:tc>
                <w:tcPr>
                  <w:tcW w:w="387" w:type="pct"/>
                  <w:vAlign w:val="center"/>
                </w:tcPr>
                <w:p w14:paraId="69308DB1">
                  <w:pPr>
                    <w:adjustRightInd w:val="0"/>
                    <w:snapToGrid w:val="0"/>
                    <w:jc w:val="center"/>
                    <w:rPr>
                      <w:rFonts w:eastAsia="仿宋_GB2312"/>
                      <w:b/>
                      <w:kern w:val="0"/>
                      <w:sz w:val="21"/>
                      <w:szCs w:val="21"/>
                    </w:rPr>
                  </w:pPr>
                  <w:r>
                    <w:rPr>
                      <w:rFonts w:eastAsia="仿宋_GB2312"/>
                      <w:b/>
                      <w:kern w:val="0"/>
                      <w:sz w:val="21"/>
                      <w:szCs w:val="21"/>
                    </w:rPr>
                    <w:t>长度</w:t>
                  </w:r>
                </w:p>
              </w:tc>
              <w:tc>
                <w:tcPr>
                  <w:tcW w:w="394" w:type="pct"/>
                  <w:vAlign w:val="center"/>
                </w:tcPr>
                <w:p w14:paraId="285D01DA">
                  <w:pPr>
                    <w:pStyle w:val="18"/>
                    <w:adjustRightInd w:val="0"/>
                    <w:snapToGrid w:val="0"/>
                    <w:ind w:left="0" w:leftChars="0"/>
                    <w:jc w:val="center"/>
                    <w:rPr>
                      <w:rFonts w:eastAsia="仿宋_GB2312"/>
                      <w:b/>
                      <w:sz w:val="21"/>
                      <w:szCs w:val="21"/>
                    </w:rPr>
                  </w:pPr>
                  <w:r>
                    <w:rPr>
                      <w:rFonts w:eastAsia="仿宋_GB2312"/>
                      <w:b/>
                      <w:sz w:val="21"/>
                      <w:szCs w:val="21"/>
                    </w:rPr>
                    <w:t>宽度</w:t>
                  </w:r>
                </w:p>
              </w:tc>
              <w:tc>
                <w:tcPr>
                  <w:tcW w:w="460" w:type="pct"/>
                  <w:vAlign w:val="center"/>
                </w:tcPr>
                <w:p w14:paraId="05F2EA82">
                  <w:pPr>
                    <w:pStyle w:val="18"/>
                    <w:adjustRightInd w:val="0"/>
                    <w:snapToGrid w:val="0"/>
                    <w:ind w:left="0" w:leftChars="0"/>
                    <w:jc w:val="center"/>
                    <w:rPr>
                      <w:rFonts w:eastAsia="仿宋_GB2312"/>
                      <w:b/>
                      <w:sz w:val="21"/>
                      <w:szCs w:val="21"/>
                      <w:highlight w:val="yellow"/>
                    </w:rPr>
                  </w:pPr>
                  <w:r>
                    <w:rPr>
                      <w:rFonts w:eastAsia="仿宋_GB2312"/>
                      <w:b/>
                      <w:sz w:val="21"/>
                      <w:szCs w:val="21"/>
                    </w:rPr>
                    <w:t>高度</w:t>
                  </w:r>
                </w:p>
              </w:tc>
              <w:tc>
                <w:tcPr>
                  <w:tcW w:w="677" w:type="pct"/>
                  <w:vMerge w:val="continue"/>
                  <w:vAlign w:val="center"/>
                </w:tcPr>
                <w:p w14:paraId="6E30F377">
                  <w:pPr>
                    <w:pStyle w:val="18"/>
                    <w:adjustRightInd w:val="0"/>
                    <w:snapToGrid w:val="0"/>
                    <w:ind w:left="0" w:leftChars="0"/>
                    <w:jc w:val="center"/>
                    <w:rPr>
                      <w:rFonts w:eastAsia="仿宋_GB2312"/>
                      <w:b/>
                      <w:sz w:val="21"/>
                      <w:szCs w:val="21"/>
                    </w:rPr>
                  </w:pPr>
                </w:p>
              </w:tc>
            </w:tr>
            <w:tr w14:paraId="78DD311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54" w:type="pct"/>
                  <w:vAlign w:val="center"/>
                </w:tcPr>
                <w:p w14:paraId="65321483">
                  <w:pPr>
                    <w:autoSpaceDE w:val="0"/>
                    <w:autoSpaceDN w:val="0"/>
                    <w:adjustRightInd w:val="0"/>
                    <w:snapToGrid w:val="0"/>
                    <w:jc w:val="center"/>
                    <w:rPr>
                      <w:rFonts w:eastAsia="仿宋_GB2312"/>
                      <w:kern w:val="0"/>
                      <w:sz w:val="21"/>
                      <w:szCs w:val="21"/>
                    </w:rPr>
                  </w:pPr>
                  <w:r>
                    <w:rPr>
                      <w:rFonts w:eastAsia="仿宋_GB2312"/>
                      <w:kern w:val="0"/>
                      <w:sz w:val="21"/>
                      <w:szCs w:val="21"/>
                    </w:rPr>
                    <w:t>生产车间</w:t>
                  </w:r>
                </w:p>
              </w:tc>
              <w:tc>
                <w:tcPr>
                  <w:tcW w:w="647" w:type="pct"/>
                  <w:vAlign w:val="center"/>
                </w:tcPr>
                <w:p w14:paraId="497B756F">
                  <w:pPr>
                    <w:widowControl/>
                    <w:adjustRightInd w:val="0"/>
                    <w:snapToGrid w:val="0"/>
                    <w:jc w:val="center"/>
                    <w:textAlignment w:val="center"/>
                    <w:rPr>
                      <w:rFonts w:eastAsia="仿宋_GB2312"/>
                      <w:snapToGrid w:val="0"/>
                      <w:kern w:val="0"/>
                      <w:sz w:val="21"/>
                      <w:szCs w:val="21"/>
                    </w:rPr>
                  </w:pPr>
                  <w:r>
                    <w:rPr>
                      <w:rFonts w:eastAsia="仿宋_GB2312"/>
                      <w:snapToGrid w:val="0"/>
                      <w:kern w:val="0"/>
                      <w:sz w:val="21"/>
                      <w:szCs w:val="21"/>
                    </w:rPr>
                    <w:t>非甲烷总烃</w:t>
                  </w:r>
                </w:p>
              </w:tc>
              <w:tc>
                <w:tcPr>
                  <w:tcW w:w="731" w:type="pct"/>
                  <w:vAlign w:val="center"/>
                </w:tcPr>
                <w:p w14:paraId="63CE47D0">
                  <w:pPr>
                    <w:widowControl/>
                    <w:jc w:val="center"/>
                    <w:textAlignment w:val="center"/>
                    <w:rPr>
                      <w:rFonts w:eastAsia="仿宋_GB2312"/>
                      <w:kern w:val="0"/>
                      <w:sz w:val="21"/>
                      <w:szCs w:val="21"/>
                    </w:rPr>
                  </w:pPr>
                  <w:r>
                    <w:rPr>
                      <w:rFonts w:eastAsia="仿宋_GB2312"/>
                      <w:kern w:val="0"/>
                      <w:sz w:val="21"/>
                      <w:szCs w:val="21"/>
                    </w:rPr>
                    <w:t>0.01</w:t>
                  </w:r>
                </w:p>
              </w:tc>
              <w:tc>
                <w:tcPr>
                  <w:tcW w:w="1147" w:type="pct"/>
                  <w:vAlign w:val="center"/>
                </w:tcPr>
                <w:p w14:paraId="617F1296">
                  <w:pPr>
                    <w:widowControl/>
                    <w:jc w:val="center"/>
                    <w:textAlignment w:val="center"/>
                    <w:rPr>
                      <w:rFonts w:eastAsia="仿宋_GB2312"/>
                      <w:kern w:val="0"/>
                      <w:sz w:val="21"/>
                      <w:szCs w:val="21"/>
                    </w:rPr>
                  </w:pPr>
                  <w:r>
                    <w:rPr>
                      <w:rFonts w:eastAsia="仿宋_GB2312"/>
                      <w:kern w:val="0"/>
                      <w:sz w:val="21"/>
                      <w:szCs w:val="21"/>
                    </w:rPr>
                    <w:t>0.0</w:t>
                  </w:r>
                  <w:r>
                    <w:rPr>
                      <w:rFonts w:hint="eastAsia" w:eastAsia="仿宋_GB2312"/>
                      <w:kern w:val="0"/>
                      <w:sz w:val="21"/>
                      <w:szCs w:val="21"/>
                    </w:rPr>
                    <w:t>33</w:t>
                  </w:r>
                </w:p>
              </w:tc>
              <w:tc>
                <w:tcPr>
                  <w:tcW w:w="387" w:type="pct"/>
                  <w:vAlign w:val="center"/>
                </w:tcPr>
                <w:p w14:paraId="6105E7FE">
                  <w:pPr>
                    <w:adjustRightInd w:val="0"/>
                    <w:snapToGrid w:val="0"/>
                    <w:jc w:val="center"/>
                    <w:rPr>
                      <w:rFonts w:eastAsia="仿宋_GB2312"/>
                      <w:kern w:val="0"/>
                      <w:sz w:val="21"/>
                      <w:szCs w:val="21"/>
                    </w:rPr>
                  </w:pPr>
                  <w:r>
                    <w:rPr>
                      <w:rFonts w:eastAsia="仿宋_GB2312"/>
                      <w:kern w:val="0"/>
                      <w:sz w:val="21"/>
                      <w:szCs w:val="21"/>
                    </w:rPr>
                    <w:t>20</w:t>
                  </w:r>
                </w:p>
              </w:tc>
              <w:tc>
                <w:tcPr>
                  <w:tcW w:w="394" w:type="pct"/>
                  <w:vAlign w:val="center"/>
                </w:tcPr>
                <w:p w14:paraId="18AFC7B9">
                  <w:pPr>
                    <w:autoSpaceDE w:val="0"/>
                    <w:autoSpaceDN w:val="0"/>
                    <w:adjustRightInd w:val="0"/>
                    <w:snapToGrid w:val="0"/>
                    <w:jc w:val="center"/>
                    <w:rPr>
                      <w:rFonts w:eastAsia="仿宋_GB2312"/>
                      <w:kern w:val="0"/>
                      <w:sz w:val="21"/>
                      <w:szCs w:val="21"/>
                    </w:rPr>
                  </w:pPr>
                  <w:r>
                    <w:rPr>
                      <w:rFonts w:eastAsia="仿宋_GB2312"/>
                      <w:kern w:val="0"/>
                      <w:sz w:val="21"/>
                      <w:szCs w:val="21"/>
                    </w:rPr>
                    <w:t>15</w:t>
                  </w:r>
                </w:p>
              </w:tc>
              <w:tc>
                <w:tcPr>
                  <w:tcW w:w="460" w:type="pct"/>
                  <w:vAlign w:val="center"/>
                </w:tcPr>
                <w:p w14:paraId="2698937F">
                  <w:pPr>
                    <w:autoSpaceDE w:val="0"/>
                    <w:autoSpaceDN w:val="0"/>
                    <w:adjustRightInd w:val="0"/>
                    <w:snapToGrid w:val="0"/>
                    <w:jc w:val="center"/>
                    <w:rPr>
                      <w:rFonts w:eastAsia="仿宋_GB2312"/>
                      <w:kern w:val="0"/>
                      <w:sz w:val="21"/>
                      <w:szCs w:val="21"/>
                    </w:rPr>
                  </w:pPr>
                  <w:r>
                    <w:rPr>
                      <w:rFonts w:eastAsia="仿宋_GB2312"/>
                      <w:kern w:val="0"/>
                      <w:sz w:val="21"/>
                      <w:szCs w:val="21"/>
                    </w:rPr>
                    <w:t>8</w:t>
                  </w:r>
                </w:p>
              </w:tc>
              <w:tc>
                <w:tcPr>
                  <w:tcW w:w="677" w:type="pct"/>
                  <w:vAlign w:val="center"/>
                </w:tcPr>
                <w:p w14:paraId="57BC3310">
                  <w:pPr>
                    <w:adjustRightInd w:val="0"/>
                    <w:snapToGrid w:val="0"/>
                    <w:jc w:val="center"/>
                    <w:rPr>
                      <w:rFonts w:eastAsia="仿宋_GB2312"/>
                      <w:kern w:val="0"/>
                      <w:sz w:val="21"/>
                      <w:szCs w:val="21"/>
                    </w:rPr>
                  </w:pPr>
                  <w:r>
                    <w:rPr>
                      <w:rFonts w:eastAsia="仿宋_GB2312"/>
                      <w:kern w:val="0"/>
                      <w:sz w:val="21"/>
                      <w:szCs w:val="21"/>
                    </w:rPr>
                    <w:t>4.0</w:t>
                  </w:r>
                </w:p>
              </w:tc>
            </w:tr>
          </w:tbl>
          <w:p w14:paraId="51E9596B">
            <w:pPr>
              <w:adjustRightInd w:val="0"/>
              <w:snapToGrid w:val="0"/>
              <w:spacing w:line="360" w:lineRule="auto"/>
              <w:ind w:firstLine="420" w:firstLineChars="200"/>
              <w:jc w:val="left"/>
              <w:rPr>
                <w:rFonts w:eastAsia="仿宋_GB2312"/>
                <w:kern w:val="0"/>
              </w:rPr>
            </w:pPr>
            <w:r>
              <w:rPr>
                <w:rFonts w:eastAsia="仿宋_GB2312"/>
                <w:kern w:val="0"/>
              </w:rPr>
              <w:t>②源强核算说明</w:t>
            </w:r>
          </w:p>
          <w:p w14:paraId="18D0681D">
            <w:pPr>
              <w:pStyle w:val="12"/>
              <w:adjustRightInd w:val="0"/>
              <w:spacing w:before="0" w:after="0" w:line="360" w:lineRule="auto"/>
              <w:ind w:right="0" w:firstLine="420" w:firstLineChars="200"/>
              <w:rPr>
                <w:rFonts w:eastAsia="仿宋_GB2312"/>
                <w:b/>
                <w:bCs/>
                <w:sz w:val="21"/>
                <w:szCs w:val="21"/>
              </w:rPr>
            </w:pPr>
            <w:r>
              <w:rPr>
                <w:rFonts w:eastAsia="仿宋_GB2312"/>
                <w:sz w:val="21"/>
                <w:szCs w:val="21"/>
              </w:rPr>
              <w:t>场内设备需要定期进行维护保养，需对设备进行刷漆，企业用漆量约为0.2t/a</w:t>
            </w:r>
            <w:r>
              <w:rPr>
                <w:rFonts w:hint="eastAsia" w:eastAsia="仿宋_GB2312"/>
                <w:sz w:val="21"/>
                <w:szCs w:val="21"/>
                <w:lang w:eastAsia="zh-CN"/>
              </w:rPr>
              <w:t>（</w:t>
            </w:r>
            <w:r>
              <w:rPr>
                <w:rFonts w:hint="eastAsia" w:eastAsia="仿宋_GB2312"/>
                <w:sz w:val="21"/>
                <w:szCs w:val="21"/>
                <w:lang w:val="en-US" w:eastAsia="zh-CN"/>
              </w:rPr>
              <w:t>详见下表4-15</w:t>
            </w:r>
            <w:r>
              <w:rPr>
                <w:rFonts w:hint="eastAsia" w:eastAsia="仿宋_GB2312"/>
                <w:sz w:val="21"/>
                <w:szCs w:val="21"/>
                <w:lang w:eastAsia="zh-CN"/>
              </w:rPr>
              <w:t>）</w:t>
            </w:r>
            <w:r>
              <w:rPr>
                <w:rFonts w:eastAsia="仿宋_GB2312"/>
                <w:sz w:val="21"/>
                <w:szCs w:val="21"/>
              </w:rPr>
              <w:t>。根据水性漆的成分表，挥发性物质约占5%，以非甲烷总烃计，则刷漆产生的非甲烷总烃量为0.01t/a。在车间内无组织排放，维护时间一年约300h。</w:t>
            </w:r>
          </w:p>
          <w:p w14:paraId="19A8060A">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eastAsia="仿宋_GB2312"/>
                <w:b/>
                <w:bCs/>
                <w:kern w:val="0"/>
                <w:lang w:val="en-US" w:eastAsia="zh-CN"/>
              </w:rPr>
            </w:pPr>
            <w:r>
              <w:rPr>
                <w:rFonts w:eastAsia="仿宋_GB2312"/>
                <w:b/>
                <w:bCs/>
                <w:kern w:val="0"/>
              </w:rPr>
              <w:t>表4-</w:t>
            </w:r>
            <w:r>
              <w:rPr>
                <w:rFonts w:hint="eastAsia" w:eastAsia="仿宋_GB2312"/>
                <w:b/>
                <w:bCs/>
                <w:kern w:val="0"/>
              </w:rPr>
              <w:t>1</w:t>
            </w:r>
            <w:r>
              <w:rPr>
                <w:rFonts w:hint="eastAsia" w:eastAsia="仿宋_GB2312"/>
                <w:b/>
                <w:bCs/>
                <w:kern w:val="0"/>
                <w:lang w:val="en-US" w:eastAsia="zh-CN"/>
              </w:rPr>
              <w:t>6  用漆量核算统计表</w:t>
            </w:r>
          </w:p>
          <w:tbl>
            <w:tblPr>
              <w:tblStyle w:val="32"/>
              <w:tblW w:w="849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56"/>
              <w:gridCol w:w="1470"/>
              <w:gridCol w:w="1090"/>
              <w:gridCol w:w="1232"/>
              <w:gridCol w:w="1320"/>
              <w:gridCol w:w="1214"/>
              <w:gridCol w:w="1214"/>
            </w:tblGrid>
            <w:tr w14:paraId="5C3EF3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6" w:type="dxa"/>
                  <w:tcBorders>
                    <w:tl2br w:val="nil"/>
                    <w:tr2bl w:val="nil"/>
                  </w:tcBorders>
                  <w:vAlign w:val="center"/>
                </w:tcPr>
                <w:p w14:paraId="489F89F9">
                  <w:pPr>
                    <w:adjustRightInd w:val="0"/>
                    <w:snapToGrid w:val="0"/>
                    <w:jc w:val="center"/>
                    <w:rPr>
                      <w:rFonts w:hint="default" w:eastAsia="仿宋_GB2312"/>
                      <w:b/>
                      <w:kern w:val="0"/>
                      <w:sz w:val="21"/>
                      <w:szCs w:val="21"/>
                      <w:lang w:val="en-US" w:eastAsia="zh-CN"/>
                    </w:rPr>
                  </w:pPr>
                  <w:r>
                    <w:rPr>
                      <w:rFonts w:hint="eastAsia" w:eastAsia="仿宋_GB2312"/>
                      <w:b/>
                      <w:kern w:val="0"/>
                      <w:sz w:val="21"/>
                      <w:szCs w:val="21"/>
                      <w:lang w:val="en-US" w:eastAsia="zh-CN"/>
                    </w:rPr>
                    <w:t>设备</w:t>
                  </w:r>
                </w:p>
              </w:tc>
              <w:tc>
                <w:tcPr>
                  <w:tcW w:w="1470" w:type="dxa"/>
                  <w:tcBorders>
                    <w:tl2br w:val="nil"/>
                    <w:tr2bl w:val="nil"/>
                  </w:tcBorders>
                  <w:vAlign w:val="center"/>
                </w:tcPr>
                <w:p w14:paraId="3A7120BC">
                  <w:pPr>
                    <w:adjustRightInd w:val="0"/>
                    <w:snapToGrid w:val="0"/>
                    <w:jc w:val="center"/>
                    <w:rPr>
                      <w:rFonts w:hint="default" w:eastAsia="仿宋_GB2312"/>
                      <w:b/>
                      <w:kern w:val="0"/>
                      <w:sz w:val="21"/>
                      <w:szCs w:val="21"/>
                      <w:lang w:val="en-US" w:eastAsia="zh-CN"/>
                    </w:rPr>
                  </w:pPr>
                  <w:r>
                    <w:rPr>
                      <w:rFonts w:hint="eastAsia" w:eastAsia="仿宋_GB2312"/>
                      <w:b/>
                      <w:kern w:val="0"/>
                      <w:sz w:val="21"/>
                      <w:szCs w:val="21"/>
                      <w:lang w:val="en-US" w:eastAsia="zh-CN"/>
                    </w:rPr>
                    <w:t>总面积m</w:t>
                  </w:r>
                  <w:r>
                    <w:rPr>
                      <w:rFonts w:hint="eastAsia" w:eastAsia="仿宋_GB2312"/>
                      <w:b/>
                      <w:kern w:val="0"/>
                      <w:sz w:val="21"/>
                      <w:szCs w:val="21"/>
                      <w:vertAlign w:val="superscript"/>
                      <w:lang w:val="en-US" w:eastAsia="zh-CN"/>
                    </w:rPr>
                    <w:t>2</w:t>
                  </w:r>
                </w:p>
              </w:tc>
              <w:tc>
                <w:tcPr>
                  <w:tcW w:w="1090" w:type="dxa"/>
                  <w:tcBorders>
                    <w:tl2br w:val="nil"/>
                    <w:tr2bl w:val="nil"/>
                  </w:tcBorders>
                  <w:vAlign w:val="center"/>
                </w:tcPr>
                <w:p w14:paraId="4F1BAEA1">
                  <w:pPr>
                    <w:adjustRightInd w:val="0"/>
                    <w:snapToGrid w:val="0"/>
                    <w:jc w:val="center"/>
                    <w:rPr>
                      <w:rFonts w:hint="default" w:eastAsia="仿宋_GB2312"/>
                      <w:b/>
                      <w:kern w:val="0"/>
                      <w:sz w:val="21"/>
                      <w:szCs w:val="21"/>
                      <w:lang w:val="en-US" w:eastAsia="zh-CN"/>
                    </w:rPr>
                  </w:pPr>
                  <w:r>
                    <w:rPr>
                      <w:rFonts w:hint="eastAsia" w:eastAsia="仿宋_GB2312"/>
                      <w:b/>
                      <w:kern w:val="0"/>
                      <w:sz w:val="21"/>
                      <w:szCs w:val="21"/>
                      <w:lang w:val="en-US" w:eastAsia="zh-CN"/>
                    </w:rPr>
                    <w:t>厚度um</w:t>
                  </w:r>
                </w:p>
              </w:tc>
              <w:tc>
                <w:tcPr>
                  <w:tcW w:w="1232" w:type="dxa"/>
                  <w:tcBorders>
                    <w:tl2br w:val="nil"/>
                    <w:tr2bl w:val="nil"/>
                  </w:tcBorders>
                  <w:vAlign w:val="center"/>
                </w:tcPr>
                <w:p w14:paraId="69E01C48">
                  <w:pPr>
                    <w:adjustRightInd w:val="0"/>
                    <w:snapToGrid w:val="0"/>
                    <w:jc w:val="center"/>
                    <w:rPr>
                      <w:rFonts w:hint="default" w:eastAsia="仿宋_GB2312"/>
                      <w:b/>
                      <w:kern w:val="0"/>
                      <w:sz w:val="21"/>
                      <w:szCs w:val="21"/>
                      <w:lang w:val="en-US" w:eastAsia="zh-CN"/>
                    </w:rPr>
                  </w:pPr>
                  <w:r>
                    <w:rPr>
                      <w:rFonts w:hint="eastAsia" w:eastAsia="仿宋_GB2312"/>
                      <w:b/>
                      <w:kern w:val="0"/>
                      <w:sz w:val="21"/>
                      <w:szCs w:val="21"/>
                      <w:lang w:val="en-US" w:eastAsia="zh-CN"/>
                    </w:rPr>
                    <w:t>密度g/cm</w:t>
                  </w:r>
                  <w:r>
                    <w:rPr>
                      <w:rFonts w:hint="eastAsia" w:eastAsia="仿宋_GB2312"/>
                      <w:b/>
                      <w:kern w:val="0"/>
                      <w:sz w:val="21"/>
                      <w:szCs w:val="21"/>
                      <w:vertAlign w:val="superscript"/>
                      <w:lang w:val="en-US" w:eastAsia="zh-CN"/>
                    </w:rPr>
                    <w:t>3</w:t>
                  </w:r>
                </w:p>
              </w:tc>
              <w:tc>
                <w:tcPr>
                  <w:tcW w:w="1320" w:type="dxa"/>
                  <w:tcBorders>
                    <w:tl2br w:val="nil"/>
                    <w:tr2bl w:val="nil"/>
                  </w:tcBorders>
                  <w:vAlign w:val="center"/>
                </w:tcPr>
                <w:p w14:paraId="29092CED">
                  <w:pPr>
                    <w:adjustRightInd w:val="0"/>
                    <w:snapToGrid w:val="0"/>
                    <w:jc w:val="center"/>
                    <w:rPr>
                      <w:rFonts w:hint="default" w:eastAsia="仿宋_GB2312"/>
                      <w:b/>
                      <w:kern w:val="0"/>
                      <w:sz w:val="21"/>
                      <w:szCs w:val="21"/>
                      <w:lang w:val="en-US" w:eastAsia="zh-CN"/>
                    </w:rPr>
                  </w:pPr>
                  <w:r>
                    <w:rPr>
                      <w:rFonts w:hint="eastAsia" w:eastAsia="仿宋_GB2312"/>
                      <w:b/>
                      <w:kern w:val="0"/>
                      <w:sz w:val="21"/>
                      <w:szCs w:val="21"/>
                      <w:lang w:val="en-US" w:eastAsia="zh-CN"/>
                    </w:rPr>
                    <w:t>含固量%</w:t>
                  </w:r>
                </w:p>
              </w:tc>
              <w:tc>
                <w:tcPr>
                  <w:tcW w:w="1214" w:type="dxa"/>
                  <w:tcBorders>
                    <w:tl2br w:val="nil"/>
                    <w:tr2bl w:val="nil"/>
                  </w:tcBorders>
                  <w:vAlign w:val="center"/>
                </w:tcPr>
                <w:p w14:paraId="7CA38AD5">
                  <w:pPr>
                    <w:adjustRightInd w:val="0"/>
                    <w:snapToGrid w:val="0"/>
                    <w:jc w:val="center"/>
                    <w:rPr>
                      <w:rFonts w:hint="default" w:eastAsia="仿宋_GB2312"/>
                      <w:b/>
                      <w:kern w:val="0"/>
                      <w:sz w:val="21"/>
                      <w:szCs w:val="21"/>
                      <w:lang w:val="en-US" w:eastAsia="zh-CN"/>
                    </w:rPr>
                  </w:pPr>
                  <w:r>
                    <w:rPr>
                      <w:rFonts w:hint="eastAsia" w:eastAsia="仿宋_GB2312"/>
                      <w:b/>
                      <w:kern w:val="0"/>
                      <w:sz w:val="21"/>
                      <w:szCs w:val="21"/>
                      <w:lang w:val="en-US" w:eastAsia="zh-CN"/>
                    </w:rPr>
                    <w:t>上漆率%</w:t>
                  </w:r>
                </w:p>
              </w:tc>
              <w:tc>
                <w:tcPr>
                  <w:tcW w:w="1214" w:type="dxa"/>
                  <w:tcBorders>
                    <w:tl2br w:val="nil"/>
                    <w:tr2bl w:val="nil"/>
                  </w:tcBorders>
                  <w:vAlign w:val="center"/>
                </w:tcPr>
                <w:p w14:paraId="25BA255D">
                  <w:pPr>
                    <w:adjustRightInd w:val="0"/>
                    <w:snapToGrid w:val="0"/>
                    <w:jc w:val="center"/>
                    <w:rPr>
                      <w:rFonts w:hint="default" w:eastAsia="仿宋_GB2312"/>
                      <w:b/>
                      <w:kern w:val="0"/>
                      <w:sz w:val="21"/>
                      <w:szCs w:val="21"/>
                      <w:lang w:val="en-US" w:eastAsia="zh-CN"/>
                    </w:rPr>
                  </w:pPr>
                  <w:r>
                    <w:rPr>
                      <w:rFonts w:hint="eastAsia" w:eastAsia="仿宋_GB2312"/>
                      <w:b/>
                      <w:kern w:val="0"/>
                      <w:sz w:val="21"/>
                      <w:szCs w:val="21"/>
                      <w:lang w:val="en-US" w:eastAsia="zh-CN"/>
                    </w:rPr>
                    <w:t>用漆量t/a</w:t>
                  </w:r>
                </w:p>
              </w:tc>
            </w:tr>
            <w:tr w14:paraId="238595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6" w:type="dxa"/>
                  <w:tcBorders>
                    <w:tl2br w:val="nil"/>
                    <w:tr2bl w:val="nil"/>
                  </w:tcBorders>
                  <w:vAlign w:val="center"/>
                </w:tcPr>
                <w:p w14:paraId="185CC844">
                  <w:pPr>
                    <w:autoSpaceDE w:val="0"/>
                    <w:autoSpaceDN w:val="0"/>
                    <w:adjustRightInd w:val="0"/>
                    <w:snapToGrid w:val="0"/>
                    <w:jc w:val="center"/>
                    <w:rPr>
                      <w:rFonts w:hint="default" w:eastAsia="仿宋_GB2312"/>
                      <w:kern w:val="0"/>
                      <w:sz w:val="21"/>
                      <w:szCs w:val="21"/>
                      <w:lang w:val="en-US" w:eastAsia="zh-CN"/>
                    </w:rPr>
                  </w:pPr>
                  <w:r>
                    <w:rPr>
                      <w:rFonts w:hint="eastAsia" w:eastAsia="仿宋_GB2312"/>
                      <w:kern w:val="0"/>
                      <w:sz w:val="21"/>
                      <w:szCs w:val="21"/>
                      <w:lang w:val="en-US" w:eastAsia="zh-CN"/>
                    </w:rPr>
                    <w:t>管道</w:t>
                  </w:r>
                </w:p>
              </w:tc>
              <w:tc>
                <w:tcPr>
                  <w:tcW w:w="1470" w:type="dxa"/>
                  <w:tcBorders>
                    <w:tl2br w:val="nil"/>
                    <w:tr2bl w:val="nil"/>
                  </w:tcBorders>
                  <w:vAlign w:val="center"/>
                </w:tcPr>
                <w:p w14:paraId="39C355D5">
                  <w:pPr>
                    <w:autoSpaceDE w:val="0"/>
                    <w:autoSpaceDN w:val="0"/>
                    <w:adjustRightInd w:val="0"/>
                    <w:snapToGrid w:val="0"/>
                    <w:jc w:val="center"/>
                    <w:rPr>
                      <w:rFonts w:hint="default" w:eastAsia="仿宋_GB2312"/>
                      <w:kern w:val="0"/>
                      <w:sz w:val="21"/>
                      <w:szCs w:val="21"/>
                      <w:lang w:val="en-US" w:eastAsia="zh-CN"/>
                    </w:rPr>
                  </w:pPr>
                  <w:r>
                    <w:rPr>
                      <w:rFonts w:hint="eastAsia" w:eastAsia="仿宋_GB2312"/>
                      <w:kern w:val="0"/>
                      <w:sz w:val="21"/>
                      <w:szCs w:val="21"/>
                      <w:lang w:val="en-US" w:eastAsia="zh-CN"/>
                    </w:rPr>
                    <w:t>1373</w:t>
                  </w:r>
                </w:p>
              </w:tc>
              <w:tc>
                <w:tcPr>
                  <w:tcW w:w="1090" w:type="dxa"/>
                  <w:tcBorders>
                    <w:tl2br w:val="nil"/>
                    <w:tr2bl w:val="nil"/>
                  </w:tcBorders>
                  <w:vAlign w:val="center"/>
                </w:tcPr>
                <w:p w14:paraId="2A2B580D">
                  <w:pPr>
                    <w:autoSpaceDE w:val="0"/>
                    <w:autoSpaceDN w:val="0"/>
                    <w:adjustRightInd w:val="0"/>
                    <w:snapToGrid w:val="0"/>
                    <w:jc w:val="center"/>
                    <w:rPr>
                      <w:rFonts w:hint="default" w:eastAsia="仿宋_GB2312"/>
                      <w:kern w:val="0"/>
                      <w:sz w:val="21"/>
                      <w:szCs w:val="21"/>
                      <w:lang w:val="en-US" w:eastAsia="zh-CN"/>
                    </w:rPr>
                  </w:pPr>
                  <w:r>
                    <w:rPr>
                      <w:rFonts w:hint="eastAsia" w:eastAsia="仿宋_GB2312"/>
                      <w:kern w:val="0"/>
                      <w:sz w:val="21"/>
                      <w:szCs w:val="21"/>
                      <w:lang w:val="en-US" w:eastAsia="zh-CN"/>
                    </w:rPr>
                    <w:t>120</w:t>
                  </w:r>
                </w:p>
              </w:tc>
              <w:tc>
                <w:tcPr>
                  <w:tcW w:w="1232" w:type="dxa"/>
                  <w:tcBorders>
                    <w:tl2br w:val="nil"/>
                    <w:tr2bl w:val="nil"/>
                  </w:tcBorders>
                  <w:vAlign w:val="center"/>
                </w:tcPr>
                <w:p w14:paraId="3449A572">
                  <w:pPr>
                    <w:autoSpaceDE w:val="0"/>
                    <w:autoSpaceDN w:val="0"/>
                    <w:adjustRightInd w:val="0"/>
                    <w:snapToGrid w:val="0"/>
                    <w:jc w:val="center"/>
                    <w:rPr>
                      <w:rFonts w:hint="default" w:eastAsia="仿宋_GB2312"/>
                      <w:kern w:val="0"/>
                      <w:sz w:val="21"/>
                      <w:szCs w:val="21"/>
                      <w:lang w:val="en-US" w:eastAsia="zh-CN"/>
                    </w:rPr>
                  </w:pPr>
                  <w:r>
                    <w:rPr>
                      <w:rFonts w:hint="eastAsia" w:eastAsia="仿宋_GB2312"/>
                      <w:kern w:val="0"/>
                      <w:sz w:val="21"/>
                      <w:szCs w:val="21"/>
                      <w:lang w:val="en-US" w:eastAsia="zh-CN"/>
                    </w:rPr>
                    <w:t>1.01</w:t>
                  </w:r>
                </w:p>
              </w:tc>
              <w:tc>
                <w:tcPr>
                  <w:tcW w:w="1320" w:type="dxa"/>
                  <w:tcBorders>
                    <w:tl2br w:val="nil"/>
                    <w:tr2bl w:val="nil"/>
                  </w:tcBorders>
                  <w:vAlign w:val="center"/>
                </w:tcPr>
                <w:p w14:paraId="19B38115">
                  <w:pPr>
                    <w:autoSpaceDE w:val="0"/>
                    <w:autoSpaceDN w:val="0"/>
                    <w:adjustRightInd w:val="0"/>
                    <w:snapToGrid w:val="0"/>
                    <w:jc w:val="center"/>
                    <w:rPr>
                      <w:rFonts w:hint="default" w:eastAsia="仿宋_GB2312"/>
                      <w:kern w:val="0"/>
                      <w:sz w:val="21"/>
                      <w:szCs w:val="21"/>
                      <w:lang w:val="en-US" w:eastAsia="zh-CN"/>
                    </w:rPr>
                  </w:pPr>
                  <w:r>
                    <w:rPr>
                      <w:rFonts w:hint="eastAsia" w:eastAsia="仿宋_GB2312"/>
                      <w:kern w:val="0"/>
                      <w:sz w:val="21"/>
                      <w:szCs w:val="21"/>
                      <w:lang w:val="en-US" w:eastAsia="zh-CN"/>
                    </w:rPr>
                    <w:t>80</w:t>
                  </w:r>
                </w:p>
              </w:tc>
              <w:tc>
                <w:tcPr>
                  <w:tcW w:w="1214" w:type="dxa"/>
                  <w:tcBorders>
                    <w:tl2br w:val="nil"/>
                    <w:tr2bl w:val="nil"/>
                  </w:tcBorders>
                  <w:vAlign w:val="center"/>
                </w:tcPr>
                <w:p w14:paraId="618E8B6D">
                  <w:pPr>
                    <w:autoSpaceDE w:val="0"/>
                    <w:autoSpaceDN w:val="0"/>
                    <w:adjustRightInd w:val="0"/>
                    <w:snapToGrid w:val="0"/>
                    <w:jc w:val="center"/>
                    <w:rPr>
                      <w:rFonts w:hint="default" w:eastAsia="仿宋_GB2312"/>
                      <w:kern w:val="0"/>
                      <w:sz w:val="21"/>
                      <w:szCs w:val="21"/>
                      <w:lang w:val="en-US" w:eastAsia="zh-CN"/>
                    </w:rPr>
                  </w:pPr>
                  <w:r>
                    <w:rPr>
                      <w:rFonts w:hint="eastAsia" w:eastAsia="仿宋_GB2312"/>
                      <w:kern w:val="0"/>
                      <w:sz w:val="21"/>
                      <w:szCs w:val="21"/>
                      <w:lang w:val="en-US" w:eastAsia="zh-CN"/>
                    </w:rPr>
                    <w:t>95</w:t>
                  </w:r>
                </w:p>
              </w:tc>
              <w:tc>
                <w:tcPr>
                  <w:tcW w:w="1214" w:type="dxa"/>
                  <w:tcBorders>
                    <w:tl2br w:val="nil"/>
                    <w:tr2bl w:val="nil"/>
                  </w:tcBorders>
                  <w:vAlign w:val="center"/>
                </w:tcPr>
                <w:p w14:paraId="734AD468">
                  <w:pPr>
                    <w:autoSpaceDE w:val="0"/>
                    <w:autoSpaceDN w:val="0"/>
                    <w:adjustRightInd w:val="0"/>
                    <w:snapToGrid w:val="0"/>
                    <w:jc w:val="center"/>
                    <w:rPr>
                      <w:rFonts w:hint="default" w:eastAsia="仿宋_GB2312"/>
                      <w:kern w:val="0"/>
                      <w:sz w:val="21"/>
                      <w:szCs w:val="21"/>
                      <w:lang w:val="en-US" w:eastAsia="zh-CN"/>
                    </w:rPr>
                  </w:pPr>
                  <w:r>
                    <w:rPr>
                      <w:rFonts w:hint="eastAsia" w:eastAsia="仿宋_GB2312"/>
                      <w:kern w:val="0"/>
                      <w:sz w:val="21"/>
                      <w:szCs w:val="21"/>
                      <w:lang w:val="en-US" w:eastAsia="zh-CN"/>
                    </w:rPr>
                    <w:t>0.14</w:t>
                  </w:r>
                </w:p>
              </w:tc>
            </w:tr>
            <w:tr w14:paraId="52F944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6" w:type="dxa"/>
                  <w:tcBorders>
                    <w:tl2br w:val="nil"/>
                    <w:tr2bl w:val="nil"/>
                  </w:tcBorders>
                  <w:vAlign w:val="center"/>
                </w:tcPr>
                <w:p w14:paraId="29493CED">
                  <w:pPr>
                    <w:autoSpaceDE w:val="0"/>
                    <w:autoSpaceDN w:val="0"/>
                    <w:adjustRightInd w:val="0"/>
                    <w:snapToGrid w:val="0"/>
                    <w:jc w:val="center"/>
                    <w:rPr>
                      <w:rFonts w:hint="default" w:eastAsia="仿宋_GB2312"/>
                      <w:kern w:val="0"/>
                      <w:sz w:val="21"/>
                      <w:szCs w:val="21"/>
                      <w:lang w:val="en-US" w:eastAsia="zh-CN"/>
                    </w:rPr>
                  </w:pPr>
                  <w:r>
                    <w:rPr>
                      <w:rFonts w:hint="eastAsia" w:eastAsia="仿宋_GB2312"/>
                      <w:kern w:val="0"/>
                      <w:sz w:val="21"/>
                      <w:szCs w:val="21"/>
                      <w:lang w:val="en-US" w:eastAsia="zh-CN"/>
                    </w:rPr>
                    <w:t>储罐</w:t>
                  </w:r>
                </w:p>
              </w:tc>
              <w:tc>
                <w:tcPr>
                  <w:tcW w:w="1470" w:type="dxa"/>
                  <w:tcBorders>
                    <w:tl2br w:val="nil"/>
                    <w:tr2bl w:val="nil"/>
                  </w:tcBorders>
                  <w:vAlign w:val="center"/>
                </w:tcPr>
                <w:p w14:paraId="3CE54D40">
                  <w:pPr>
                    <w:autoSpaceDE w:val="0"/>
                    <w:autoSpaceDN w:val="0"/>
                    <w:adjustRightInd w:val="0"/>
                    <w:snapToGrid w:val="0"/>
                    <w:jc w:val="center"/>
                    <w:rPr>
                      <w:rFonts w:hint="default" w:eastAsia="仿宋_GB2312"/>
                      <w:kern w:val="0"/>
                      <w:sz w:val="21"/>
                      <w:szCs w:val="21"/>
                      <w:lang w:val="en-US" w:eastAsia="zh-CN"/>
                    </w:rPr>
                  </w:pPr>
                  <w:r>
                    <w:rPr>
                      <w:rFonts w:hint="eastAsia" w:eastAsia="仿宋_GB2312"/>
                      <w:kern w:val="0"/>
                      <w:sz w:val="21"/>
                      <w:szCs w:val="21"/>
                      <w:lang w:val="en-US" w:eastAsia="zh-CN"/>
                    </w:rPr>
                    <w:t>540</w:t>
                  </w:r>
                </w:p>
              </w:tc>
              <w:tc>
                <w:tcPr>
                  <w:tcW w:w="1090" w:type="dxa"/>
                  <w:tcBorders>
                    <w:tl2br w:val="nil"/>
                    <w:tr2bl w:val="nil"/>
                  </w:tcBorders>
                  <w:vAlign w:val="center"/>
                </w:tcPr>
                <w:p w14:paraId="589F53FF">
                  <w:pPr>
                    <w:autoSpaceDE w:val="0"/>
                    <w:autoSpaceDN w:val="0"/>
                    <w:adjustRightInd w:val="0"/>
                    <w:snapToGrid w:val="0"/>
                    <w:jc w:val="center"/>
                    <w:rPr>
                      <w:rFonts w:hint="default" w:eastAsia="仿宋_GB2312"/>
                      <w:kern w:val="0"/>
                      <w:sz w:val="21"/>
                      <w:szCs w:val="21"/>
                      <w:lang w:val="en-US" w:eastAsia="zh-CN"/>
                    </w:rPr>
                  </w:pPr>
                  <w:r>
                    <w:rPr>
                      <w:rFonts w:hint="eastAsia" w:eastAsia="仿宋_GB2312"/>
                      <w:kern w:val="0"/>
                      <w:sz w:val="21"/>
                      <w:szCs w:val="21"/>
                      <w:lang w:val="en-US" w:eastAsia="zh-CN"/>
                    </w:rPr>
                    <w:t>120</w:t>
                  </w:r>
                </w:p>
              </w:tc>
              <w:tc>
                <w:tcPr>
                  <w:tcW w:w="1232" w:type="dxa"/>
                  <w:tcBorders>
                    <w:tl2br w:val="nil"/>
                    <w:tr2bl w:val="nil"/>
                  </w:tcBorders>
                  <w:vAlign w:val="center"/>
                </w:tcPr>
                <w:p w14:paraId="260D1A55">
                  <w:pPr>
                    <w:autoSpaceDE w:val="0"/>
                    <w:autoSpaceDN w:val="0"/>
                    <w:adjustRightInd w:val="0"/>
                    <w:snapToGrid w:val="0"/>
                    <w:jc w:val="center"/>
                    <w:rPr>
                      <w:rFonts w:hint="default" w:eastAsia="仿宋_GB2312"/>
                      <w:kern w:val="0"/>
                      <w:sz w:val="21"/>
                      <w:szCs w:val="21"/>
                      <w:lang w:val="en-US" w:eastAsia="zh-CN"/>
                    </w:rPr>
                  </w:pPr>
                  <w:r>
                    <w:rPr>
                      <w:rFonts w:hint="eastAsia" w:eastAsia="仿宋_GB2312"/>
                      <w:kern w:val="0"/>
                      <w:sz w:val="21"/>
                      <w:szCs w:val="21"/>
                      <w:lang w:val="en-US" w:eastAsia="zh-CN"/>
                    </w:rPr>
                    <w:t>1.01</w:t>
                  </w:r>
                </w:p>
              </w:tc>
              <w:tc>
                <w:tcPr>
                  <w:tcW w:w="1320" w:type="dxa"/>
                  <w:tcBorders>
                    <w:tl2br w:val="nil"/>
                    <w:tr2bl w:val="nil"/>
                  </w:tcBorders>
                  <w:vAlign w:val="center"/>
                </w:tcPr>
                <w:p w14:paraId="22AEB302">
                  <w:pPr>
                    <w:autoSpaceDE w:val="0"/>
                    <w:autoSpaceDN w:val="0"/>
                    <w:adjustRightInd w:val="0"/>
                    <w:snapToGrid w:val="0"/>
                    <w:jc w:val="center"/>
                    <w:rPr>
                      <w:rFonts w:hint="default" w:eastAsia="仿宋_GB2312"/>
                      <w:kern w:val="0"/>
                      <w:sz w:val="21"/>
                      <w:szCs w:val="21"/>
                      <w:lang w:val="en-US" w:eastAsia="zh-CN"/>
                    </w:rPr>
                  </w:pPr>
                  <w:r>
                    <w:rPr>
                      <w:rFonts w:hint="eastAsia" w:eastAsia="仿宋_GB2312"/>
                      <w:kern w:val="0"/>
                      <w:sz w:val="21"/>
                      <w:szCs w:val="21"/>
                      <w:lang w:val="en-US" w:eastAsia="zh-CN"/>
                    </w:rPr>
                    <w:t>80</w:t>
                  </w:r>
                </w:p>
              </w:tc>
              <w:tc>
                <w:tcPr>
                  <w:tcW w:w="1214" w:type="dxa"/>
                  <w:tcBorders>
                    <w:tl2br w:val="nil"/>
                    <w:tr2bl w:val="nil"/>
                  </w:tcBorders>
                  <w:vAlign w:val="center"/>
                </w:tcPr>
                <w:p w14:paraId="1C3CA4E6">
                  <w:pPr>
                    <w:autoSpaceDE w:val="0"/>
                    <w:autoSpaceDN w:val="0"/>
                    <w:adjustRightInd w:val="0"/>
                    <w:snapToGrid w:val="0"/>
                    <w:jc w:val="center"/>
                    <w:rPr>
                      <w:rFonts w:hint="default" w:eastAsia="仿宋_GB2312"/>
                      <w:kern w:val="0"/>
                      <w:sz w:val="21"/>
                      <w:szCs w:val="21"/>
                      <w:lang w:val="en-US" w:eastAsia="zh-CN"/>
                    </w:rPr>
                  </w:pPr>
                  <w:r>
                    <w:rPr>
                      <w:rFonts w:hint="eastAsia" w:eastAsia="仿宋_GB2312"/>
                      <w:kern w:val="0"/>
                      <w:sz w:val="21"/>
                      <w:szCs w:val="21"/>
                      <w:lang w:val="en-US" w:eastAsia="zh-CN"/>
                    </w:rPr>
                    <w:t>95</w:t>
                  </w:r>
                </w:p>
              </w:tc>
              <w:tc>
                <w:tcPr>
                  <w:tcW w:w="1214" w:type="dxa"/>
                  <w:tcBorders>
                    <w:tl2br w:val="nil"/>
                    <w:tr2bl w:val="nil"/>
                  </w:tcBorders>
                  <w:vAlign w:val="center"/>
                </w:tcPr>
                <w:p w14:paraId="52327FB4">
                  <w:pPr>
                    <w:autoSpaceDE w:val="0"/>
                    <w:autoSpaceDN w:val="0"/>
                    <w:adjustRightInd w:val="0"/>
                    <w:snapToGrid w:val="0"/>
                    <w:jc w:val="center"/>
                    <w:rPr>
                      <w:rFonts w:hint="default" w:eastAsia="仿宋_GB2312"/>
                      <w:kern w:val="0"/>
                      <w:sz w:val="21"/>
                      <w:szCs w:val="21"/>
                      <w:lang w:val="en-US" w:eastAsia="zh-CN"/>
                    </w:rPr>
                  </w:pPr>
                  <w:r>
                    <w:rPr>
                      <w:rFonts w:hint="eastAsia" w:eastAsia="仿宋_GB2312"/>
                      <w:kern w:val="0"/>
                      <w:sz w:val="21"/>
                      <w:szCs w:val="21"/>
                      <w:lang w:val="en-US" w:eastAsia="zh-CN"/>
                    </w:rPr>
                    <w:t>0.06</w:t>
                  </w:r>
                </w:p>
              </w:tc>
            </w:tr>
          </w:tbl>
          <w:p w14:paraId="3692614E">
            <w:pPr>
              <w:adjustRightInd w:val="0"/>
              <w:snapToGrid w:val="0"/>
              <w:spacing w:line="312" w:lineRule="auto"/>
              <w:ind w:firstLine="422" w:firstLineChars="200"/>
              <w:rPr>
                <w:rFonts w:hint="default" w:eastAsia="仿宋_GB2312"/>
                <w:b/>
                <w:bCs/>
                <w:lang w:val="en-US" w:eastAsia="zh-CN"/>
              </w:rPr>
            </w:pPr>
          </w:p>
          <w:p w14:paraId="4B6DAC56">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eastAsia="仿宋_GB2312"/>
                <w:b/>
                <w:bCs/>
                <w:kern w:val="0"/>
              </w:rPr>
            </w:pPr>
            <w:r>
              <w:rPr>
                <w:rFonts w:eastAsia="仿宋_GB2312"/>
                <w:b/>
                <w:bCs/>
                <w:kern w:val="0"/>
              </w:rPr>
              <w:t>表4-</w:t>
            </w:r>
            <w:r>
              <w:rPr>
                <w:rFonts w:hint="eastAsia" w:eastAsia="仿宋_GB2312"/>
                <w:b/>
                <w:bCs/>
                <w:kern w:val="0"/>
              </w:rPr>
              <w:t>1</w:t>
            </w:r>
            <w:r>
              <w:rPr>
                <w:rFonts w:hint="eastAsia" w:eastAsia="仿宋_GB2312"/>
                <w:b/>
                <w:bCs/>
                <w:kern w:val="0"/>
                <w:lang w:val="en-US" w:eastAsia="zh-CN"/>
              </w:rPr>
              <w:t xml:space="preserve">7  </w:t>
            </w:r>
            <w:r>
              <w:rPr>
                <w:rFonts w:eastAsia="仿宋_GB2312"/>
                <w:b/>
                <w:bCs/>
                <w:kern w:val="0"/>
              </w:rPr>
              <w:t>项目无组织废气排放源强</w:t>
            </w:r>
          </w:p>
          <w:tbl>
            <w:tblPr>
              <w:tblStyle w:val="3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338"/>
              <w:gridCol w:w="984"/>
              <w:gridCol w:w="1042"/>
              <w:gridCol w:w="1042"/>
              <w:gridCol w:w="1042"/>
              <w:gridCol w:w="1042"/>
              <w:gridCol w:w="1043"/>
            </w:tblGrid>
            <w:tr w14:paraId="4A2A84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4" w:type="pct"/>
                  <w:noWrap/>
                  <w:vAlign w:val="center"/>
                </w:tcPr>
                <w:p w14:paraId="25420AD3">
                  <w:pPr>
                    <w:adjustRightInd w:val="0"/>
                    <w:snapToGrid w:val="0"/>
                    <w:jc w:val="center"/>
                    <w:rPr>
                      <w:rFonts w:eastAsia="仿宋_GB2312"/>
                      <w:b/>
                      <w:sz w:val="21"/>
                      <w:szCs w:val="21"/>
                    </w:rPr>
                  </w:pPr>
                  <w:r>
                    <w:rPr>
                      <w:rFonts w:eastAsia="仿宋_GB2312"/>
                      <w:b/>
                      <w:sz w:val="21"/>
                      <w:szCs w:val="21"/>
                    </w:rPr>
                    <w:t>污染源位置</w:t>
                  </w:r>
                </w:p>
              </w:tc>
              <w:tc>
                <w:tcPr>
                  <w:tcW w:w="788" w:type="pct"/>
                  <w:noWrap/>
                  <w:vAlign w:val="center"/>
                </w:tcPr>
                <w:p w14:paraId="597F1198">
                  <w:pPr>
                    <w:adjustRightInd w:val="0"/>
                    <w:snapToGrid w:val="0"/>
                    <w:jc w:val="center"/>
                    <w:rPr>
                      <w:rFonts w:eastAsia="仿宋_GB2312"/>
                      <w:b/>
                      <w:sz w:val="21"/>
                      <w:szCs w:val="21"/>
                    </w:rPr>
                  </w:pPr>
                  <w:r>
                    <w:rPr>
                      <w:rFonts w:eastAsia="仿宋_GB2312"/>
                      <w:b/>
                      <w:sz w:val="21"/>
                      <w:szCs w:val="21"/>
                    </w:rPr>
                    <w:t>污染源</w:t>
                  </w:r>
                </w:p>
              </w:tc>
              <w:tc>
                <w:tcPr>
                  <w:tcW w:w="579" w:type="pct"/>
                  <w:noWrap/>
                  <w:vAlign w:val="center"/>
                </w:tcPr>
                <w:p w14:paraId="14F7817D">
                  <w:pPr>
                    <w:adjustRightInd w:val="0"/>
                    <w:snapToGrid w:val="0"/>
                    <w:jc w:val="center"/>
                    <w:rPr>
                      <w:rFonts w:eastAsia="仿宋_GB2312"/>
                      <w:b/>
                      <w:sz w:val="21"/>
                      <w:szCs w:val="21"/>
                    </w:rPr>
                  </w:pPr>
                  <w:r>
                    <w:rPr>
                      <w:rFonts w:eastAsia="仿宋_GB2312"/>
                      <w:b/>
                      <w:sz w:val="21"/>
                      <w:szCs w:val="21"/>
                    </w:rPr>
                    <w:t>污染物</w:t>
                  </w:r>
                </w:p>
              </w:tc>
              <w:tc>
                <w:tcPr>
                  <w:tcW w:w="613" w:type="pct"/>
                  <w:noWrap/>
                  <w:vAlign w:val="center"/>
                </w:tcPr>
                <w:p w14:paraId="54FCCDB5">
                  <w:pPr>
                    <w:adjustRightInd w:val="0"/>
                    <w:snapToGrid w:val="0"/>
                    <w:jc w:val="center"/>
                    <w:rPr>
                      <w:rFonts w:eastAsia="仿宋_GB2312"/>
                      <w:b/>
                      <w:sz w:val="21"/>
                      <w:szCs w:val="21"/>
                    </w:rPr>
                  </w:pPr>
                  <w:r>
                    <w:rPr>
                      <w:rFonts w:hint="eastAsia" w:eastAsia="仿宋_GB2312"/>
                      <w:b/>
                      <w:sz w:val="21"/>
                      <w:szCs w:val="21"/>
                    </w:rPr>
                    <w:t>产生量</w:t>
                  </w:r>
                  <w:r>
                    <w:rPr>
                      <w:rFonts w:eastAsia="仿宋_GB2312"/>
                      <w:b/>
                      <w:sz w:val="21"/>
                      <w:szCs w:val="21"/>
                    </w:rPr>
                    <w:t>t/a</w:t>
                  </w:r>
                </w:p>
              </w:tc>
              <w:tc>
                <w:tcPr>
                  <w:tcW w:w="613" w:type="pct"/>
                  <w:noWrap/>
                  <w:vAlign w:val="center"/>
                </w:tcPr>
                <w:p w14:paraId="777EA22A">
                  <w:pPr>
                    <w:adjustRightInd w:val="0"/>
                    <w:snapToGrid w:val="0"/>
                    <w:jc w:val="center"/>
                    <w:rPr>
                      <w:rFonts w:eastAsia="仿宋_GB2312"/>
                      <w:b/>
                      <w:sz w:val="21"/>
                      <w:szCs w:val="21"/>
                    </w:rPr>
                  </w:pPr>
                  <w:r>
                    <w:rPr>
                      <w:rFonts w:hint="eastAsia" w:eastAsia="仿宋_GB2312"/>
                      <w:b/>
                      <w:sz w:val="21"/>
                      <w:szCs w:val="21"/>
                    </w:rPr>
                    <w:t>削减量</w:t>
                  </w:r>
                  <w:r>
                    <w:rPr>
                      <w:rFonts w:eastAsia="仿宋_GB2312"/>
                      <w:b/>
                      <w:sz w:val="21"/>
                      <w:szCs w:val="21"/>
                    </w:rPr>
                    <w:t>t/a</w:t>
                  </w:r>
                </w:p>
              </w:tc>
              <w:tc>
                <w:tcPr>
                  <w:tcW w:w="613" w:type="pct"/>
                  <w:noWrap/>
                  <w:vAlign w:val="center"/>
                </w:tcPr>
                <w:p w14:paraId="3F6AF9DC">
                  <w:pPr>
                    <w:adjustRightInd w:val="0"/>
                    <w:snapToGrid w:val="0"/>
                    <w:jc w:val="center"/>
                    <w:rPr>
                      <w:rFonts w:eastAsia="仿宋_GB2312"/>
                      <w:b/>
                      <w:sz w:val="21"/>
                      <w:szCs w:val="21"/>
                    </w:rPr>
                  </w:pPr>
                  <w:r>
                    <w:rPr>
                      <w:rFonts w:eastAsia="仿宋_GB2312"/>
                      <w:b/>
                      <w:sz w:val="21"/>
                      <w:szCs w:val="21"/>
                    </w:rPr>
                    <w:t>排放量t/a</w:t>
                  </w:r>
                </w:p>
              </w:tc>
              <w:tc>
                <w:tcPr>
                  <w:tcW w:w="613" w:type="pct"/>
                  <w:noWrap/>
                  <w:vAlign w:val="center"/>
                </w:tcPr>
                <w:p w14:paraId="5FC8C595">
                  <w:pPr>
                    <w:adjustRightInd w:val="0"/>
                    <w:snapToGrid w:val="0"/>
                    <w:jc w:val="center"/>
                    <w:rPr>
                      <w:rFonts w:eastAsia="仿宋_GB2312"/>
                      <w:b/>
                      <w:sz w:val="21"/>
                      <w:szCs w:val="21"/>
                    </w:rPr>
                  </w:pPr>
                  <w:r>
                    <w:rPr>
                      <w:rFonts w:eastAsia="仿宋_GB2312"/>
                      <w:b/>
                      <w:sz w:val="21"/>
                      <w:szCs w:val="21"/>
                    </w:rPr>
                    <w:t>排放速率kg/h</w:t>
                  </w:r>
                </w:p>
              </w:tc>
              <w:tc>
                <w:tcPr>
                  <w:tcW w:w="613" w:type="pct"/>
                  <w:noWrap/>
                  <w:vAlign w:val="center"/>
                </w:tcPr>
                <w:p w14:paraId="04F6BD9D">
                  <w:pPr>
                    <w:adjustRightInd w:val="0"/>
                    <w:snapToGrid w:val="0"/>
                    <w:jc w:val="center"/>
                    <w:rPr>
                      <w:rFonts w:eastAsia="仿宋_GB2312"/>
                      <w:b/>
                      <w:sz w:val="21"/>
                      <w:szCs w:val="21"/>
                    </w:rPr>
                  </w:pPr>
                  <w:r>
                    <w:rPr>
                      <w:rFonts w:eastAsia="仿宋_GB2312"/>
                      <w:b/>
                      <w:sz w:val="21"/>
                      <w:szCs w:val="21"/>
                    </w:rPr>
                    <w:t>排放时间h/a</w:t>
                  </w:r>
                </w:p>
              </w:tc>
            </w:tr>
            <w:tr w14:paraId="76ABC3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564" w:type="pct"/>
                  <w:vMerge w:val="restart"/>
                  <w:noWrap/>
                  <w:vAlign w:val="center"/>
                </w:tcPr>
                <w:p w14:paraId="0064F7AE">
                  <w:pPr>
                    <w:adjustRightInd w:val="0"/>
                    <w:snapToGrid w:val="0"/>
                    <w:jc w:val="center"/>
                    <w:rPr>
                      <w:rFonts w:eastAsia="仿宋_GB2312"/>
                      <w:sz w:val="21"/>
                      <w:szCs w:val="21"/>
                    </w:rPr>
                  </w:pPr>
                  <w:r>
                    <w:rPr>
                      <w:rFonts w:hint="eastAsia" w:eastAsia="仿宋_GB2312"/>
                      <w:sz w:val="21"/>
                      <w:szCs w:val="21"/>
                    </w:rPr>
                    <w:t>生产车间</w:t>
                  </w:r>
                </w:p>
              </w:tc>
              <w:tc>
                <w:tcPr>
                  <w:tcW w:w="788" w:type="pct"/>
                  <w:noWrap/>
                  <w:vAlign w:val="center"/>
                </w:tcPr>
                <w:p w14:paraId="4F26C8FD">
                  <w:pPr>
                    <w:pStyle w:val="96"/>
                    <w:snapToGrid w:val="0"/>
                    <w:spacing w:line="240" w:lineRule="auto"/>
                    <w:textAlignment w:val="auto"/>
                    <w:rPr>
                      <w:rFonts w:ascii="Times New Roman" w:hAnsi="Times New Roman" w:eastAsia="仿宋_GB2312"/>
                      <w:sz w:val="21"/>
                      <w:szCs w:val="21"/>
                    </w:rPr>
                  </w:pPr>
                  <w:r>
                    <w:rPr>
                      <w:rFonts w:ascii="Times New Roman" w:hAnsi="Times New Roman" w:eastAsia="仿宋_GB2312"/>
                      <w:sz w:val="21"/>
                      <w:szCs w:val="21"/>
                    </w:rPr>
                    <w:t>平板膜过滤</w:t>
                  </w:r>
                </w:p>
              </w:tc>
              <w:tc>
                <w:tcPr>
                  <w:tcW w:w="579" w:type="pct"/>
                  <w:noWrap/>
                  <w:vAlign w:val="center"/>
                </w:tcPr>
                <w:p w14:paraId="33722AC2">
                  <w:pPr>
                    <w:pStyle w:val="96"/>
                    <w:snapToGrid w:val="0"/>
                    <w:spacing w:line="240" w:lineRule="auto"/>
                    <w:textAlignment w:val="auto"/>
                    <w:rPr>
                      <w:rFonts w:ascii="Times New Roman" w:hAnsi="Times New Roman" w:eastAsia="仿宋_GB2312"/>
                      <w:sz w:val="21"/>
                      <w:szCs w:val="21"/>
                    </w:rPr>
                  </w:pPr>
                  <w:r>
                    <w:rPr>
                      <w:rFonts w:hint="eastAsia" w:ascii="Times New Roman" w:hAnsi="Times New Roman" w:eastAsia="仿宋_GB2312"/>
                      <w:sz w:val="21"/>
                      <w:szCs w:val="21"/>
                    </w:rPr>
                    <w:t>颗粒物</w:t>
                  </w:r>
                </w:p>
              </w:tc>
              <w:tc>
                <w:tcPr>
                  <w:tcW w:w="613" w:type="pct"/>
                  <w:noWrap/>
                  <w:vAlign w:val="center"/>
                </w:tcPr>
                <w:p w14:paraId="73565B16">
                  <w:pPr>
                    <w:adjustRightInd w:val="0"/>
                    <w:snapToGrid w:val="0"/>
                    <w:jc w:val="center"/>
                    <w:rPr>
                      <w:rFonts w:eastAsia="仿宋_GB2312"/>
                      <w:sz w:val="21"/>
                      <w:szCs w:val="21"/>
                    </w:rPr>
                  </w:pPr>
                  <w:r>
                    <w:rPr>
                      <w:rFonts w:hint="eastAsia" w:ascii="Times New Roman" w:hAnsi="Times New Roman" w:eastAsia="仿宋_GB2312" w:cs="Times New Roman"/>
                      <w:lang w:val="en-US" w:eastAsia="zh-CN"/>
                    </w:rPr>
                    <w:t>0.</w:t>
                  </w:r>
                  <w:r>
                    <w:rPr>
                      <w:rFonts w:hint="eastAsia" w:eastAsia="仿宋_GB2312" w:cs="Times New Roman"/>
                      <w:lang w:val="en-US" w:eastAsia="zh-CN"/>
                    </w:rPr>
                    <w:t>3596</w:t>
                  </w:r>
                </w:p>
              </w:tc>
              <w:tc>
                <w:tcPr>
                  <w:tcW w:w="613" w:type="pct"/>
                  <w:noWrap/>
                  <w:vAlign w:val="center"/>
                </w:tcPr>
                <w:p w14:paraId="7B9D1EDE">
                  <w:pPr>
                    <w:adjustRightInd w:val="0"/>
                    <w:snapToGrid w:val="0"/>
                    <w:jc w:val="center"/>
                    <w:rPr>
                      <w:rFonts w:eastAsia="仿宋_GB2312"/>
                      <w:sz w:val="21"/>
                      <w:szCs w:val="21"/>
                    </w:rPr>
                  </w:pPr>
                  <w:r>
                    <w:rPr>
                      <w:rFonts w:hint="eastAsia" w:eastAsia="仿宋_GB2312"/>
                      <w:sz w:val="21"/>
                      <w:szCs w:val="21"/>
                    </w:rPr>
                    <w:t>0.2877</w:t>
                  </w:r>
                </w:p>
              </w:tc>
              <w:tc>
                <w:tcPr>
                  <w:tcW w:w="613" w:type="pct"/>
                  <w:noWrap/>
                  <w:vAlign w:val="center"/>
                </w:tcPr>
                <w:p w14:paraId="78C32BED">
                  <w:pPr>
                    <w:adjustRightInd w:val="0"/>
                    <w:snapToGrid w:val="0"/>
                    <w:jc w:val="center"/>
                    <w:rPr>
                      <w:rFonts w:eastAsia="仿宋_GB2312"/>
                      <w:sz w:val="21"/>
                      <w:szCs w:val="21"/>
                    </w:rPr>
                  </w:pPr>
                  <w:r>
                    <w:rPr>
                      <w:rFonts w:hint="eastAsia" w:eastAsia="仿宋_GB2312"/>
                      <w:sz w:val="21"/>
                      <w:szCs w:val="21"/>
                    </w:rPr>
                    <w:t>0.0</w:t>
                  </w:r>
                  <w:r>
                    <w:rPr>
                      <w:rFonts w:hint="eastAsia" w:eastAsia="仿宋_GB2312"/>
                      <w:sz w:val="21"/>
                      <w:szCs w:val="21"/>
                      <w:lang w:val="en-US" w:eastAsia="zh-CN"/>
                    </w:rPr>
                    <w:t>719</w:t>
                  </w:r>
                </w:p>
              </w:tc>
              <w:tc>
                <w:tcPr>
                  <w:tcW w:w="613" w:type="pct"/>
                  <w:noWrap/>
                  <w:vAlign w:val="center"/>
                </w:tcPr>
                <w:p w14:paraId="34139330">
                  <w:pPr>
                    <w:adjustRightInd w:val="0"/>
                    <w:snapToGrid w:val="0"/>
                    <w:jc w:val="center"/>
                    <w:rPr>
                      <w:rFonts w:eastAsia="仿宋_GB2312"/>
                      <w:sz w:val="21"/>
                      <w:szCs w:val="21"/>
                    </w:rPr>
                  </w:pPr>
                  <w:r>
                    <w:rPr>
                      <w:rFonts w:hint="eastAsia" w:eastAsia="仿宋_GB2312"/>
                      <w:sz w:val="21"/>
                      <w:szCs w:val="21"/>
                      <w:lang w:val="en-US" w:eastAsia="zh-CN"/>
                    </w:rPr>
                    <w:t>0.009</w:t>
                  </w:r>
                </w:p>
              </w:tc>
              <w:tc>
                <w:tcPr>
                  <w:tcW w:w="613" w:type="pct"/>
                  <w:noWrap/>
                  <w:vAlign w:val="center"/>
                </w:tcPr>
                <w:p w14:paraId="383D9BAB">
                  <w:pPr>
                    <w:adjustRightInd w:val="0"/>
                    <w:snapToGrid w:val="0"/>
                    <w:jc w:val="center"/>
                    <w:rPr>
                      <w:rFonts w:eastAsia="仿宋_GB2312"/>
                      <w:sz w:val="21"/>
                      <w:szCs w:val="21"/>
                    </w:rPr>
                  </w:pPr>
                  <w:r>
                    <w:rPr>
                      <w:rFonts w:eastAsia="仿宋_GB2312"/>
                      <w:sz w:val="21"/>
                      <w:szCs w:val="21"/>
                    </w:rPr>
                    <w:t>8160</w:t>
                  </w:r>
                </w:p>
              </w:tc>
            </w:tr>
            <w:tr w14:paraId="08360B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564" w:type="pct"/>
                  <w:vMerge w:val="continue"/>
                  <w:noWrap/>
                  <w:vAlign w:val="center"/>
                </w:tcPr>
                <w:p w14:paraId="4EAAA4DA">
                  <w:pPr>
                    <w:adjustRightInd w:val="0"/>
                    <w:snapToGrid w:val="0"/>
                    <w:jc w:val="center"/>
                    <w:rPr>
                      <w:rFonts w:eastAsia="仿宋_GB2312"/>
                      <w:sz w:val="21"/>
                      <w:szCs w:val="21"/>
                    </w:rPr>
                  </w:pPr>
                </w:p>
              </w:tc>
              <w:tc>
                <w:tcPr>
                  <w:tcW w:w="788" w:type="pct"/>
                  <w:noWrap/>
                  <w:vAlign w:val="center"/>
                </w:tcPr>
                <w:p w14:paraId="72F157C4">
                  <w:pPr>
                    <w:pStyle w:val="96"/>
                    <w:snapToGrid w:val="0"/>
                    <w:spacing w:line="240" w:lineRule="auto"/>
                    <w:textAlignment w:val="auto"/>
                    <w:rPr>
                      <w:rFonts w:ascii="Times New Roman" w:hAnsi="Times New Roman" w:eastAsia="仿宋_GB2312"/>
                      <w:sz w:val="21"/>
                      <w:szCs w:val="21"/>
                    </w:rPr>
                  </w:pPr>
                  <w:r>
                    <w:rPr>
                      <w:rFonts w:hint="eastAsia" w:ascii="Times New Roman" w:hAnsi="Times New Roman" w:eastAsia="仿宋_GB2312"/>
                      <w:sz w:val="21"/>
                      <w:szCs w:val="21"/>
                    </w:rPr>
                    <w:t>刷漆</w:t>
                  </w:r>
                </w:p>
              </w:tc>
              <w:tc>
                <w:tcPr>
                  <w:tcW w:w="579" w:type="pct"/>
                  <w:noWrap/>
                  <w:vAlign w:val="center"/>
                </w:tcPr>
                <w:p w14:paraId="21DCF0B6">
                  <w:pPr>
                    <w:pStyle w:val="96"/>
                    <w:snapToGrid w:val="0"/>
                    <w:spacing w:line="240" w:lineRule="auto"/>
                    <w:textAlignment w:val="auto"/>
                    <w:rPr>
                      <w:rFonts w:ascii="Times New Roman" w:hAnsi="Times New Roman" w:eastAsia="仿宋_GB2312"/>
                      <w:sz w:val="21"/>
                      <w:szCs w:val="21"/>
                    </w:rPr>
                  </w:pPr>
                  <w:r>
                    <w:rPr>
                      <w:rFonts w:hint="eastAsia" w:ascii="Times New Roman" w:hAnsi="Times New Roman" w:eastAsia="仿宋_GB2312"/>
                      <w:sz w:val="21"/>
                      <w:szCs w:val="21"/>
                    </w:rPr>
                    <w:t>非甲烷总烃</w:t>
                  </w:r>
                </w:p>
              </w:tc>
              <w:tc>
                <w:tcPr>
                  <w:tcW w:w="613" w:type="pct"/>
                  <w:noWrap/>
                  <w:vAlign w:val="center"/>
                </w:tcPr>
                <w:p w14:paraId="0698CC7D">
                  <w:pPr>
                    <w:adjustRightInd w:val="0"/>
                    <w:snapToGrid w:val="0"/>
                    <w:jc w:val="center"/>
                    <w:rPr>
                      <w:rFonts w:eastAsia="仿宋_GB2312"/>
                      <w:sz w:val="21"/>
                      <w:szCs w:val="21"/>
                    </w:rPr>
                  </w:pPr>
                  <w:r>
                    <w:rPr>
                      <w:rFonts w:eastAsia="仿宋_GB2312"/>
                      <w:sz w:val="21"/>
                      <w:szCs w:val="21"/>
                    </w:rPr>
                    <w:t>0.01</w:t>
                  </w:r>
                </w:p>
              </w:tc>
              <w:tc>
                <w:tcPr>
                  <w:tcW w:w="613" w:type="pct"/>
                  <w:noWrap/>
                  <w:vAlign w:val="center"/>
                </w:tcPr>
                <w:p w14:paraId="777F0A18">
                  <w:pPr>
                    <w:adjustRightInd w:val="0"/>
                    <w:snapToGrid w:val="0"/>
                    <w:jc w:val="center"/>
                    <w:rPr>
                      <w:rFonts w:eastAsia="仿宋_GB2312"/>
                      <w:sz w:val="21"/>
                      <w:szCs w:val="21"/>
                    </w:rPr>
                  </w:pPr>
                  <w:r>
                    <w:rPr>
                      <w:rFonts w:hint="eastAsia" w:eastAsia="仿宋_GB2312"/>
                      <w:sz w:val="21"/>
                      <w:szCs w:val="21"/>
                    </w:rPr>
                    <w:t>0</w:t>
                  </w:r>
                </w:p>
              </w:tc>
              <w:tc>
                <w:tcPr>
                  <w:tcW w:w="613" w:type="pct"/>
                  <w:noWrap/>
                  <w:vAlign w:val="center"/>
                </w:tcPr>
                <w:p w14:paraId="52868851">
                  <w:pPr>
                    <w:adjustRightInd w:val="0"/>
                    <w:snapToGrid w:val="0"/>
                    <w:jc w:val="center"/>
                    <w:rPr>
                      <w:rFonts w:eastAsia="仿宋_GB2312"/>
                      <w:sz w:val="21"/>
                      <w:szCs w:val="21"/>
                    </w:rPr>
                  </w:pPr>
                  <w:r>
                    <w:rPr>
                      <w:rFonts w:eastAsia="仿宋_GB2312"/>
                      <w:sz w:val="21"/>
                      <w:szCs w:val="21"/>
                    </w:rPr>
                    <w:t>0.01</w:t>
                  </w:r>
                </w:p>
              </w:tc>
              <w:tc>
                <w:tcPr>
                  <w:tcW w:w="613" w:type="pct"/>
                  <w:noWrap/>
                  <w:vAlign w:val="center"/>
                </w:tcPr>
                <w:p w14:paraId="36326305">
                  <w:pPr>
                    <w:adjustRightInd w:val="0"/>
                    <w:snapToGrid w:val="0"/>
                    <w:jc w:val="center"/>
                    <w:rPr>
                      <w:rFonts w:eastAsia="仿宋_GB2312"/>
                      <w:sz w:val="21"/>
                      <w:szCs w:val="21"/>
                    </w:rPr>
                  </w:pPr>
                  <w:r>
                    <w:rPr>
                      <w:rFonts w:eastAsia="仿宋_GB2312"/>
                      <w:sz w:val="21"/>
                      <w:szCs w:val="21"/>
                    </w:rPr>
                    <w:t>0.033</w:t>
                  </w:r>
                  <w:r>
                    <w:rPr>
                      <w:rFonts w:hint="eastAsia" w:eastAsia="仿宋_GB2312"/>
                      <w:sz w:val="21"/>
                      <w:szCs w:val="21"/>
                    </w:rPr>
                    <w:t>3</w:t>
                  </w:r>
                </w:p>
              </w:tc>
              <w:tc>
                <w:tcPr>
                  <w:tcW w:w="613" w:type="pct"/>
                  <w:noWrap/>
                  <w:vAlign w:val="center"/>
                </w:tcPr>
                <w:p w14:paraId="28AE4BB5">
                  <w:pPr>
                    <w:adjustRightInd w:val="0"/>
                    <w:snapToGrid w:val="0"/>
                    <w:jc w:val="center"/>
                    <w:rPr>
                      <w:rFonts w:eastAsia="仿宋_GB2312"/>
                      <w:sz w:val="21"/>
                      <w:szCs w:val="21"/>
                    </w:rPr>
                  </w:pPr>
                  <w:r>
                    <w:rPr>
                      <w:rFonts w:hint="eastAsia" w:eastAsia="仿宋_GB2312"/>
                      <w:sz w:val="21"/>
                      <w:szCs w:val="21"/>
                    </w:rPr>
                    <w:t>300</w:t>
                  </w:r>
                </w:p>
              </w:tc>
            </w:tr>
            <w:tr w14:paraId="7E12E7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564" w:type="pct"/>
                  <w:noWrap/>
                  <w:vAlign w:val="center"/>
                </w:tcPr>
                <w:p w14:paraId="08A6AE27">
                  <w:pPr>
                    <w:pStyle w:val="96"/>
                    <w:snapToGrid w:val="0"/>
                    <w:spacing w:line="240" w:lineRule="auto"/>
                    <w:textAlignment w:val="auto"/>
                    <w:rPr>
                      <w:rFonts w:ascii="Times New Roman" w:hAnsi="Times New Roman" w:eastAsia="仿宋_GB2312"/>
                      <w:color w:val="auto"/>
                      <w:sz w:val="21"/>
                      <w:szCs w:val="21"/>
                    </w:rPr>
                  </w:pPr>
                  <w:r>
                    <w:rPr>
                      <w:rFonts w:hint="eastAsia" w:ascii="Times New Roman" w:hAnsi="Times New Roman" w:eastAsia="仿宋_GB2312"/>
                      <w:color w:val="auto"/>
                      <w:sz w:val="21"/>
                      <w:szCs w:val="21"/>
                    </w:rPr>
                    <w:t>储罐区</w:t>
                  </w:r>
                </w:p>
              </w:tc>
              <w:tc>
                <w:tcPr>
                  <w:tcW w:w="788" w:type="pct"/>
                  <w:noWrap/>
                  <w:vAlign w:val="center"/>
                </w:tcPr>
                <w:p w14:paraId="6EF3B0D5">
                  <w:pPr>
                    <w:pStyle w:val="96"/>
                    <w:snapToGrid w:val="0"/>
                    <w:spacing w:line="240" w:lineRule="auto"/>
                    <w:textAlignment w:val="auto"/>
                    <w:rPr>
                      <w:rFonts w:ascii="Times New Roman" w:hAnsi="Times New Roman" w:eastAsia="仿宋_GB2312"/>
                      <w:sz w:val="21"/>
                      <w:szCs w:val="21"/>
                    </w:rPr>
                  </w:pPr>
                  <w:r>
                    <w:rPr>
                      <w:rFonts w:hint="eastAsia" w:ascii="Times New Roman" w:hAnsi="Times New Roman" w:eastAsia="仿宋_GB2312"/>
                      <w:sz w:val="21"/>
                      <w:szCs w:val="21"/>
                    </w:rPr>
                    <w:t>储罐大小呼吸</w:t>
                  </w:r>
                </w:p>
              </w:tc>
              <w:tc>
                <w:tcPr>
                  <w:tcW w:w="579" w:type="pct"/>
                  <w:noWrap/>
                  <w:vAlign w:val="center"/>
                </w:tcPr>
                <w:p w14:paraId="266DA150">
                  <w:pPr>
                    <w:pStyle w:val="96"/>
                    <w:snapToGrid w:val="0"/>
                    <w:spacing w:line="240" w:lineRule="auto"/>
                    <w:textAlignment w:val="auto"/>
                    <w:rPr>
                      <w:rFonts w:ascii="Times New Roman" w:hAnsi="Times New Roman" w:eastAsia="仿宋_GB2312"/>
                      <w:sz w:val="21"/>
                      <w:szCs w:val="21"/>
                    </w:rPr>
                  </w:pPr>
                  <w:r>
                    <w:rPr>
                      <w:rFonts w:hint="eastAsia" w:ascii="Times New Roman" w:hAnsi="Times New Roman" w:eastAsia="仿宋_GB2312"/>
                      <w:sz w:val="21"/>
                      <w:szCs w:val="21"/>
                    </w:rPr>
                    <w:t>氯化氢</w:t>
                  </w:r>
                </w:p>
              </w:tc>
              <w:tc>
                <w:tcPr>
                  <w:tcW w:w="613" w:type="pct"/>
                  <w:noWrap/>
                  <w:vAlign w:val="center"/>
                </w:tcPr>
                <w:p w14:paraId="24766EEB">
                  <w:pPr>
                    <w:adjustRightInd w:val="0"/>
                    <w:snapToGrid w:val="0"/>
                    <w:jc w:val="center"/>
                    <w:rPr>
                      <w:rFonts w:eastAsia="仿宋_GB2312"/>
                      <w:sz w:val="21"/>
                      <w:szCs w:val="21"/>
                    </w:rPr>
                  </w:pPr>
                  <w:r>
                    <w:rPr>
                      <w:rFonts w:eastAsia="仿宋_GB2312"/>
                      <w:sz w:val="21"/>
                      <w:szCs w:val="21"/>
                    </w:rPr>
                    <w:t>0.2044</w:t>
                  </w:r>
                </w:p>
              </w:tc>
              <w:tc>
                <w:tcPr>
                  <w:tcW w:w="613" w:type="pct"/>
                  <w:noWrap/>
                  <w:vAlign w:val="center"/>
                </w:tcPr>
                <w:p w14:paraId="73182E88">
                  <w:pPr>
                    <w:adjustRightInd w:val="0"/>
                    <w:snapToGrid w:val="0"/>
                    <w:jc w:val="center"/>
                    <w:rPr>
                      <w:rFonts w:eastAsia="仿宋_GB2312"/>
                      <w:sz w:val="21"/>
                      <w:szCs w:val="21"/>
                    </w:rPr>
                  </w:pPr>
                  <w:r>
                    <w:rPr>
                      <w:rFonts w:eastAsia="仿宋_GB2312"/>
                      <w:sz w:val="21"/>
                      <w:szCs w:val="21"/>
                    </w:rPr>
                    <w:t>0.1944</w:t>
                  </w:r>
                </w:p>
              </w:tc>
              <w:tc>
                <w:tcPr>
                  <w:tcW w:w="613" w:type="pct"/>
                  <w:noWrap/>
                  <w:vAlign w:val="center"/>
                </w:tcPr>
                <w:p w14:paraId="252AC8ED">
                  <w:pPr>
                    <w:adjustRightInd w:val="0"/>
                    <w:snapToGrid w:val="0"/>
                    <w:jc w:val="center"/>
                    <w:rPr>
                      <w:rFonts w:eastAsia="仿宋_GB2312"/>
                      <w:sz w:val="21"/>
                      <w:szCs w:val="21"/>
                    </w:rPr>
                  </w:pPr>
                  <w:r>
                    <w:rPr>
                      <w:rFonts w:eastAsia="仿宋_GB2312"/>
                      <w:sz w:val="21"/>
                      <w:szCs w:val="21"/>
                    </w:rPr>
                    <w:t>0.01</w:t>
                  </w:r>
                </w:p>
              </w:tc>
              <w:tc>
                <w:tcPr>
                  <w:tcW w:w="613" w:type="pct"/>
                  <w:noWrap/>
                  <w:vAlign w:val="center"/>
                </w:tcPr>
                <w:p w14:paraId="36D43FC1">
                  <w:pPr>
                    <w:adjustRightInd w:val="0"/>
                    <w:snapToGrid w:val="0"/>
                    <w:jc w:val="center"/>
                    <w:rPr>
                      <w:rFonts w:eastAsia="仿宋_GB2312"/>
                      <w:sz w:val="21"/>
                      <w:szCs w:val="21"/>
                    </w:rPr>
                  </w:pPr>
                  <w:r>
                    <w:rPr>
                      <w:rFonts w:eastAsia="仿宋_GB2312"/>
                      <w:sz w:val="21"/>
                      <w:szCs w:val="21"/>
                    </w:rPr>
                    <w:t>0.001</w:t>
                  </w:r>
                  <w:r>
                    <w:rPr>
                      <w:rFonts w:hint="eastAsia" w:eastAsia="仿宋_GB2312"/>
                      <w:sz w:val="21"/>
                      <w:szCs w:val="21"/>
                    </w:rPr>
                    <w:t>2</w:t>
                  </w:r>
                </w:p>
              </w:tc>
              <w:tc>
                <w:tcPr>
                  <w:tcW w:w="613" w:type="pct"/>
                  <w:noWrap/>
                  <w:vAlign w:val="center"/>
                </w:tcPr>
                <w:p w14:paraId="7135FFF3">
                  <w:pPr>
                    <w:adjustRightInd w:val="0"/>
                    <w:snapToGrid w:val="0"/>
                    <w:jc w:val="center"/>
                    <w:rPr>
                      <w:rFonts w:eastAsia="仿宋_GB2312"/>
                      <w:sz w:val="21"/>
                      <w:szCs w:val="21"/>
                    </w:rPr>
                  </w:pPr>
                  <w:r>
                    <w:rPr>
                      <w:rFonts w:eastAsia="仿宋_GB2312"/>
                      <w:sz w:val="21"/>
                      <w:szCs w:val="21"/>
                    </w:rPr>
                    <w:t>8160</w:t>
                  </w:r>
                </w:p>
              </w:tc>
            </w:tr>
          </w:tbl>
          <w:p w14:paraId="03F55DDB">
            <w:pPr>
              <w:keepNext w:val="0"/>
              <w:keepLines w:val="0"/>
              <w:pageBreakBefore w:val="0"/>
              <w:kinsoku/>
              <w:wordWrap/>
              <w:overflowPunct/>
              <w:topLinePunct w:val="0"/>
              <w:autoSpaceDE/>
              <w:autoSpaceDN/>
              <w:bidi w:val="0"/>
              <w:adjustRightInd w:val="0"/>
              <w:snapToGrid w:val="0"/>
              <w:spacing w:line="360" w:lineRule="auto"/>
              <w:ind w:firstLine="422" w:firstLineChars="200"/>
              <w:textAlignment w:val="auto"/>
              <w:rPr>
                <w:rFonts w:ascii="Times New Roman" w:hAnsi="Times New Roman" w:eastAsia="仿宋_GB2312" w:cs="Times New Roman"/>
                <w:b/>
                <w:bCs/>
              </w:rPr>
            </w:pPr>
            <w:r>
              <w:rPr>
                <w:rFonts w:hint="eastAsia" w:ascii="Times New Roman" w:hAnsi="Times New Roman" w:eastAsia="仿宋_GB2312" w:cs="Times New Roman"/>
                <w:b/>
                <w:bCs/>
                <w:lang w:val="en-US" w:eastAsia="zh-CN"/>
              </w:rPr>
              <w:t>1.2</w:t>
            </w:r>
            <w:r>
              <w:rPr>
                <w:rFonts w:ascii="Times New Roman" w:hAnsi="Times New Roman" w:eastAsia="仿宋_GB2312" w:cs="Times New Roman"/>
                <w:b/>
                <w:bCs/>
              </w:rPr>
              <w:t>废气污染治理设施可行性分析</w:t>
            </w:r>
          </w:p>
          <w:p w14:paraId="095E7395">
            <w:pPr>
              <w:pStyle w:val="12"/>
              <w:pageBreakBefore w:val="0"/>
              <w:wordWrap/>
              <w:bidi w:val="0"/>
              <w:adjustRightInd w:val="0"/>
              <w:snapToGrid w:val="0"/>
              <w:spacing w:before="0" w:beforeAutospacing="0" w:after="0" w:afterAutospacing="0" w:line="360" w:lineRule="auto"/>
              <w:ind w:left="0" w:leftChars="0" w:right="0" w:firstLine="420" w:firstLineChars="200"/>
              <w:rPr>
                <w:rFonts w:hint="default" w:ascii="Times New Roman" w:hAnsi="Times New Roman" w:eastAsia="仿宋_GB2312" w:cs="Times New Roman"/>
                <w:kern w:val="2"/>
                <w:sz w:val="21"/>
                <w:szCs w:val="21"/>
                <w:lang w:val="en-US" w:eastAsia="zh-CN" w:bidi="ar-SA"/>
              </w:rPr>
            </w:pPr>
            <w:r>
              <w:rPr>
                <w:rFonts w:hint="eastAsia" w:ascii="Times New Roman" w:hAnsi="Times New Roman" w:eastAsia="仿宋_GB2312" w:cs="Times New Roman"/>
                <w:kern w:val="2"/>
                <w:sz w:val="21"/>
                <w:szCs w:val="21"/>
                <w:lang w:val="en-US" w:eastAsia="zh-CN" w:bidi="ar-SA"/>
              </w:rPr>
              <w:t>本次设置尾气吸收塔对盐雾（颗粒物）、盐酸储罐呼吸废气（</w:t>
            </w:r>
            <w:r>
              <w:rPr>
                <w:rFonts w:eastAsia="仿宋_GB2312"/>
                <w:sz w:val="21"/>
                <w:szCs w:val="21"/>
              </w:rPr>
              <w:t>HCl</w:t>
            </w:r>
            <w:r>
              <w:rPr>
                <w:rFonts w:hint="eastAsia" w:ascii="Times New Roman" w:hAnsi="Times New Roman" w:eastAsia="仿宋_GB2312" w:cs="Times New Roman"/>
                <w:kern w:val="2"/>
                <w:sz w:val="21"/>
                <w:szCs w:val="21"/>
                <w:lang w:val="en-US" w:eastAsia="zh-CN" w:bidi="ar-SA"/>
              </w:rPr>
              <w:t>）进行处理，处理后通过。</w:t>
            </w:r>
          </w:p>
          <w:p w14:paraId="1E89E5BB">
            <w:pPr>
              <w:keepNext w:val="0"/>
              <w:keepLines w:val="0"/>
              <w:pageBreakBefore w:val="0"/>
              <w:widowControl w:val="0"/>
              <w:kinsoku/>
              <w:wordWrap/>
              <w:overflowPunct w:val="0"/>
              <w:topLinePunct w:val="0"/>
              <w:autoSpaceDE/>
              <w:autoSpaceDN/>
              <w:bidi w:val="0"/>
              <w:adjustRightInd w:val="0"/>
              <w:snapToGrid w:val="0"/>
              <w:ind w:left="-431"/>
              <w:jc w:val="center"/>
              <w:textAlignment w:val="auto"/>
              <w:outlineLvl w:val="9"/>
              <w:rPr>
                <w:rFonts w:hint="default" w:ascii="Times New Roman" w:hAnsi="Times New Roman" w:eastAsia="仿宋_GB2312" w:cs="Times New Roman"/>
                <w:b/>
                <w:lang w:val="en-US" w:eastAsia="zh-CN"/>
              </w:rPr>
            </w:pPr>
            <w:r>
              <w:rPr>
                <w:rFonts w:hint="default" w:ascii="Times New Roman" w:hAnsi="Times New Roman" w:eastAsia="仿宋_GB2312" w:cs="Times New Roman"/>
                <w:b/>
                <w:lang w:val="en-US" w:eastAsia="zh-CN"/>
              </w:rPr>
              <w:t>表4-</w:t>
            </w:r>
            <w:r>
              <w:rPr>
                <w:rFonts w:hint="eastAsia" w:ascii="Times New Roman" w:hAnsi="Times New Roman" w:eastAsia="仿宋_GB2312" w:cs="Times New Roman"/>
                <w:b/>
                <w:lang w:val="en-US" w:eastAsia="zh-CN"/>
              </w:rPr>
              <w:t xml:space="preserve">18 </w:t>
            </w:r>
            <w:r>
              <w:rPr>
                <w:rFonts w:hint="default" w:ascii="Times New Roman" w:hAnsi="Times New Roman" w:eastAsia="仿宋_GB2312" w:cs="Times New Roman"/>
                <w:b/>
                <w:lang w:val="en-US" w:eastAsia="zh-CN"/>
              </w:rPr>
              <w:t xml:space="preserve"> </w:t>
            </w:r>
            <w:r>
              <w:rPr>
                <w:rFonts w:hint="eastAsia" w:ascii="Times New Roman" w:hAnsi="Times New Roman" w:eastAsia="仿宋_GB2312" w:cs="Times New Roman"/>
                <w:b/>
                <w:lang w:val="en-US" w:eastAsia="zh-CN"/>
              </w:rPr>
              <w:t>本项目</w:t>
            </w:r>
            <w:r>
              <w:rPr>
                <w:rFonts w:hint="default" w:ascii="Times New Roman" w:hAnsi="Times New Roman" w:eastAsia="仿宋_GB2312" w:cs="Times New Roman"/>
                <w:b/>
                <w:lang w:val="en-US" w:eastAsia="zh-CN"/>
              </w:rPr>
              <w:t>废气处理措施可行性表</w:t>
            </w:r>
          </w:p>
          <w:tbl>
            <w:tblPr>
              <w:tblStyle w:val="98"/>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296"/>
              <w:gridCol w:w="1357"/>
              <w:gridCol w:w="1656"/>
              <w:gridCol w:w="1736"/>
              <w:gridCol w:w="2447"/>
            </w:tblGrid>
            <w:tr w14:paraId="17D0F81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63" w:type="pct"/>
                  <w:vMerge w:val="restart"/>
                  <w:tcBorders>
                    <w:tl2br w:val="nil"/>
                    <w:tr2bl w:val="nil"/>
                  </w:tcBorders>
                  <w:noWrap w:val="0"/>
                  <w:vAlign w:val="center"/>
                </w:tcPr>
                <w:p w14:paraId="33DDEC46">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rPr>
                      <w:rFonts w:hint="default" w:ascii="Times New Roman" w:hAnsi="Times New Roman" w:eastAsia="仿宋_GB2312" w:cs="Times New Roman"/>
                      <w:b/>
                      <w:bCs/>
                      <w:sz w:val="21"/>
                      <w:szCs w:val="21"/>
                    </w:rPr>
                  </w:pPr>
                  <w:r>
                    <w:rPr>
                      <w:rFonts w:hint="default" w:ascii="Times New Roman" w:hAnsi="Times New Roman" w:eastAsia="仿宋_GB2312" w:cs="Times New Roman"/>
                      <w:b/>
                      <w:bCs/>
                      <w:sz w:val="21"/>
                      <w:szCs w:val="21"/>
                    </w:rPr>
                    <w:t>产污环节</w:t>
                  </w:r>
                </w:p>
              </w:tc>
              <w:tc>
                <w:tcPr>
                  <w:tcW w:w="798" w:type="pct"/>
                  <w:vMerge w:val="restart"/>
                  <w:tcBorders>
                    <w:tl2br w:val="nil"/>
                    <w:tr2bl w:val="nil"/>
                  </w:tcBorders>
                  <w:noWrap w:val="0"/>
                  <w:vAlign w:val="center"/>
                </w:tcPr>
                <w:p w14:paraId="22369FD2">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rPr>
                      <w:rFonts w:hint="default" w:ascii="Times New Roman" w:hAnsi="Times New Roman" w:eastAsia="仿宋_GB2312" w:cs="Times New Roman"/>
                      <w:b/>
                      <w:bCs/>
                      <w:sz w:val="21"/>
                      <w:szCs w:val="21"/>
                    </w:rPr>
                  </w:pPr>
                  <w:r>
                    <w:rPr>
                      <w:rFonts w:hint="default" w:ascii="Times New Roman" w:hAnsi="Times New Roman" w:eastAsia="仿宋_GB2312" w:cs="Times New Roman"/>
                      <w:b/>
                      <w:bCs/>
                      <w:sz w:val="21"/>
                      <w:szCs w:val="21"/>
                    </w:rPr>
                    <w:t>污染物种类</w:t>
                  </w:r>
                </w:p>
              </w:tc>
              <w:tc>
                <w:tcPr>
                  <w:tcW w:w="3437" w:type="pct"/>
                  <w:gridSpan w:val="3"/>
                  <w:tcBorders>
                    <w:tl2br w:val="nil"/>
                    <w:tr2bl w:val="nil"/>
                  </w:tcBorders>
                  <w:noWrap w:val="0"/>
                  <w:vAlign w:val="center"/>
                </w:tcPr>
                <w:p w14:paraId="27DE73D3">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rPr>
                      <w:rFonts w:hint="default" w:ascii="Times New Roman" w:hAnsi="Times New Roman" w:eastAsia="仿宋_GB2312" w:cs="Times New Roman"/>
                      <w:b/>
                      <w:bCs/>
                      <w:sz w:val="21"/>
                      <w:szCs w:val="21"/>
                    </w:rPr>
                  </w:pPr>
                  <w:r>
                    <w:rPr>
                      <w:rFonts w:hint="default" w:ascii="Times New Roman" w:hAnsi="Times New Roman" w:eastAsia="仿宋_GB2312" w:cs="Times New Roman"/>
                      <w:b/>
                      <w:bCs/>
                      <w:sz w:val="21"/>
                      <w:szCs w:val="21"/>
                    </w:rPr>
                    <w:t>污染物治理设施</w:t>
                  </w:r>
                </w:p>
              </w:tc>
            </w:tr>
            <w:tr w14:paraId="44885B1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63" w:type="pct"/>
                  <w:vMerge w:val="continue"/>
                  <w:tcBorders>
                    <w:tl2br w:val="nil"/>
                    <w:tr2bl w:val="nil"/>
                  </w:tcBorders>
                  <w:noWrap w:val="0"/>
                  <w:vAlign w:val="center"/>
                </w:tcPr>
                <w:p w14:paraId="3AB29D49">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rPr>
                      <w:rFonts w:hint="default" w:ascii="Times New Roman" w:hAnsi="Times New Roman" w:eastAsia="仿宋_GB2312" w:cs="Times New Roman"/>
                      <w:b/>
                      <w:bCs/>
                      <w:sz w:val="21"/>
                      <w:szCs w:val="21"/>
                    </w:rPr>
                  </w:pPr>
                </w:p>
              </w:tc>
              <w:tc>
                <w:tcPr>
                  <w:tcW w:w="798" w:type="pct"/>
                  <w:vMerge w:val="continue"/>
                  <w:tcBorders>
                    <w:tl2br w:val="nil"/>
                    <w:tr2bl w:val="nil"/>
                  </w:tcBorders>
                  <w:noWrap w:val="0"/>
                  <w:vAlign w:val="center"/>
                </w:tcPr>
                <w:p w14:paraId="59192DF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rPr>
                      <w:rFonts w:hint="default" w:ascii="Times New Roman" w:hAnsi="Times New Roman" w:eastAsia="仿宋_GB2312" w:cs="Times New Roman"/>
                      <w:b/>
                      <w:bCs/>
                      <w:sz w:val="21"/>
                      <w:szCs w:val="21"/>
                    </w:rPr>
                  </w:pPr>
                </w:p>
              </w:tc>
              <w:tc>
                <w:tcPr>
                  <w:tcW w:w="975" w:type="pct"/>
                  <w:tcBorders>
                    <w:tl2br w:val="nil"/>
                    <w:tr2bl w:val="nil"/>
                  </w:tcBorders>
                  <w:noWrap w:val="0"/>
                  <w:vAlign w:val="center"/>
                </w:tcPr>
                <w:p w14:paraId="008DCD9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rPr>
                      <w:rFonts w:hint="default" w:ascii="Times New Roman" w:hAnsi="Times New Roman" w:eastAsia="仿宋_GB2312" w:cs="Times New Roman"/>
                      <w:b/>
                      <w:bCs/>
                      <w:sz w:val="21"/>
                      <w:szCs w:val="21"/>
                    </w:rPr>
                  </w:pPr>
                  <w:r>
                    <w:rPr>
                      <w:rFonts w:hint="default" w:ascii="Times New Roman" w:hAnsi="Times New Roman" w:eastAsia="仿宋_GB2312" w:cs="Times New Roman"/>
                      <w:b/>
                      <w:bCs/>
                      <w:sz w:val="21"/>
                      <w:szCs w:val="21"/>
                    </w:rPr>
                    <w:t>处理工艺</w:t>
                  </w:r>
                </w:p>
              </w:tc>
              <w:tc>
                <w:tcPr>
                  <w:tcW w:w="1022" w:type="pct"/>
                  <w:tcBorders>
                    <w:tl2br w:val="nil"/>
                    <w:tr2bl w:val="nil"/>
                  </w:tcBorders>
                  <w:noWrap w:val="0"/>
                  <w:vAlign w:val="center"/>
                </w:tcPr>
                <w:p w14:paraId="1293A8C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rPr>
                      <w:rFonts w:hint="default" w:ascii="Times New Roman" w:hAnsi="Times New Roman" w:eastAsia="仿宋_GB2312" w:cs="Times New Roman"/>
                      <w:b/>
                      <w:bCs/>
                      <w:sz w:val="21"/>
                      <w:szCs w:val="21"/>
                    </w:rPr>
                  </w:pPr>
                  <w:r>
                    <w:rPr>
                      <w:rFonts w:hint="default" w:ascii="Times New Roman" w:hAnsi="Times New Roman" w:eastAsia="仿宋_GB2312" w:cs="Times New Roman"/>
                      <w:b/>
                      <w:bCs/>
                      <w:sz w:val="21"/>
                      <w:szCs w:val="21"/>
                    </w:rPr>
                    <w:t>是否为可行技术</w:t>
                  </w:r>
                </w:p>
              </w:tc>
              <w:tc>
                <w:tcPr>
                  <w:tcW w:w="1440" w:type="pct"/>
                  <w:tcBorders>
                    <w:tl2br w:val="nil"/>
                    <w:tr2bl w:val="nil"/>
                  </w:tcBorders>
                  <w:noWrap w:val="0"/>
                  <w:vAlign w:val="center"/>
                </w:tcPr>
                <w:p w14:paraId="522FE8B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rPr>
                      <w:rFonts w:hint="default" w:ascii="Times New Roman" w:hAnsi="Times New Roman" w:eastAsia="仿宋_GB2312" w:cs="Times New Roman"/>
                      <w:b/>
                      <w:bCs/>
                      <w:sz w:val="21"/>
                      <w:szCs w:val="21"/>
                      <w:lang w:val="en-US" w:eastAsia="zh-CN"/>
                    </w:rPr>
                  </w:pPr>
                  <w:r>
                    <w:rPr>
                      <w:rFonts w:hint="default" w:ascii="Times New Roman" w:hAnsi="Times New Roman" w:eastAsia="仿宋_GB2312" w:cs="Times New Roman"/>
                      <w:b/>
                      <w:bCs/>
                      <w:sz w:val="21"/>
                      <w:szCs w:val="21"/>
                      <w:lang w:val="en-US" w:eastAsia="zh-CN"/>
                    </w:rPr>
                    <w:t>可行依据</w:t>
                  </w:r>
                </w:p>
              </w:tc>
            </w:tr>
            <w:tr w14:paraId="6018B8F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63" w:type="pct"/>
                  <w:tcBorders>
                    <w:tl2br w:val="nil"/>
                    <w:tr2bl w:val="nil"/>
                  </w:tcBorders>
                  <w:noWrap w:val="0"/>
                  <w:vAlign w:val="center"/>
                </w:tcPr>
                <w:p w14:paraId="32BF5F1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平板膜过滤</w:t>
                  </w:r>
                </w:p>
              </w:tc>
              <w:tc>
                <w:tcPr>
                  <w:tcW w:w="798" w:type="pct"/>
                  <w:tcBorders>
                    <w:tl2br w:val="nil"/>
                    <w:tr2bl w:val="nil"/>
                  </w:tcBorders>
                  <w:noWrap w:val="0"/>
                  <w:vAlign w:val="center"/>
                </w:tcPr>
                <w:p w14:paraId="46819B0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颗粒物</w:t>
                  </w:r>
                </w:p>
              </w:tc>
              <w:tc>
                <w:tcPr>
                  <w:tcW w:w="975" w:type="pct"/>
                  <w:tcBorders>
                    <w:tl2br w:val="nil"/>
                    <w:tr2bl w:val="nil"/>
                  </w:tcBorders>
                  <w:noWrap w:val="0"/>
                  <w:vAlign w:val="center"/>
                </w:tcPr>
                <w:p w14:paraId="5693623C">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尾气吸收塔</w:t>
                  </w:r>
                </w:p>
              </w:tc>
              <w:tc>
                <w:tcPr>
                  <w:tcW w:w="1022" w:type="pct"/>
                  <w:tcBorders>
                    <w:tl2br w:val="nil"/>
                    <w:tr2bl w:val="nil"/>
                  </w:tcBorders>
                  <w:noWrap w:val="0"/>
                  <w:vAlign w:val="center"/>
                </w:tcPr>
                <w:p w14:paraId="0DDBB4C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除尘设施类</w:t>
                  </w:r>
                  <w:r>
                    <w:rPr>
                      <w:rFonts w:hint="default" w:ascii="Times New Roman" w:hAnsi="Times New Roman" w:eastAsia="仿宋_GB2312" w:cs="Times New Roman"/>
                      <w:sz w:val="21"/>
                      <w:szCs w:val="21"/>
                      <w:lang w:eastAsia="zh-CN"/>
                    </w:rPr>
                    <w:t>，</w:t>
                  </w:r>
                  <w:r>
                    <w:rPr>
                      <w:rFonts w:hint="default" w:ascii="Times New Roman" w:hAnsi="Times New Roman" w:eastAsia="仿宋_GB2312" w:cs="Times New Roman"/>
                      <w:sz w:val="21"/>
                      <w:szCs w:val="21"/>
                      <w:lang w:val="en-US" w:eastAsia="zh-CN"/>
                    </w:rPr>
                    <w:t>属于可行技术</w:t>
                  </w:r>
                </w:p>
              </w:tc>
              <w:tc>
                <w:tcPr>
                  <w:tcW w:w="1440" w:type="pct"/>
                  <w:vMerge w:val="restart"/>
                  <w:tcBorders>
                    <w:tl2br w:val="nil"/>
                    <w:tr2bl w:val="nil"/>
                  </w:tcBorders>
                  <w:noWrap w:val="0"/>
                  <w:vAlign w:val="center"/>
                </w:tcPr>
                <w:p w14:paraId="2774C5F1">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 xml:space="preserve">《排污许可证申请与核发技术规范 </w:t>
                  </w:r>
                  <w:r>
                    <w:rPr>
                      <w:rFonts w:hint="default" w:ascii="Times New Roman" w:hAnsi="Times New Roman" w:eastAsia="仿宋_GB2312" w:cs="Times New Roman"/>
                      <w:sz w:val="21"/>
                      <w:szCs w:val="21"/>
                      <w:lang w:eastAsia="zh-CN"/>
                    </w:rPr>
                    <w:t>总则</w:t>
                  </w:r>
                  <w:r>
                    <w:rPr>
                      <w:rFonts w:hint="default" w:ascii="Times New Roman" w:hAnsi="Times New Roman" w:eastAsia="仿宋_GB2312" w:cs="Times New Roman"/>
                      <w:sz w:val="21"/>
                      <w:szCs w:val="21"/>
                    </w:rPr>
                    <w:t>》（HJ</w:t>
                  </w:r>
                  <w:r>
                    <w:rPr>
                      <w:rFonts w:hint="default" w:ascii="Times New Roman" w:hAnsi="Times New Roman" w:eastAsia="仿宋_GB2312" w:cs="Times New Roman"/>
                      <w:sz w:val="21"/>
                      <w:szCs w:val="21"/>
                      <w:lang w:val="en-US" w:eastAsia="zh-CN"/>
                    </w:rPr>
                    <w:t>942</w:t>
                  </w:r>
                  <w:r>
                    <w:rPr>
                      <w:rFonts w:hint="default" w:ascii="Times New Roman" w:hAnsi="Times New Roman" w:eastAsia="仿宋_GB2312" w:cs="Times New Roman"/>
                      <w:sz w:val="21"/>
                      <w:szCs w:val="21"/>
                    </w:rPr>
                    <w:t>-201</w:t>
                  </w:r>
                  <w:r>
                    <w:rPr>
                      <w:rFonts w:hint="default" w:ascii="Times New Roman" w:hAnsi="Times New Roman" w:eastAsia="仿宋_GB2312" w:cs="Times New Roman"/>
                      <w:sz w:val="21"/>
                      <w:szCs w:val="21"/>
                      <w:lang w:val="en-US" w:eastAsia="zh-CN"/>
                    </w:rPr>
                    <w:t>8</w:t>
                  </w:r>
                  <w:r>
                    <w:rPr>
                      <w:rFonts w:hint="default" w:ascii="Times New Roman" w:hAnsi="Times New Roman" w:eastAsia="仿宋_GB2312" w:cs="Times New Roman"/>
                      <w:sz w:val="21"/>
                      <w:szCs w:val="21"/>
                    </w:rPr>
                    <w:t>）</w:t>
                  </w:r>
                </w:p>
              </w:tc>
            </w:tr>
            <w:tr w14:paraId="159F010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63" w:type="pct"/>
                  <w:tcBorders>
                    <w:tl2br w:val="nil"/>
                    <w:tr2bl w:val="nil"/>
                  </w:tcBorders>
                  <w:noWrap w:val="0"/>
                  <w:vAlign w:val="center"/>
                </w:tcPr>
                <w:p w14:paraId="59B2E2BB">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盐酸储罐呼吸废气</w:t>
                  </w:r>
                </w:p>
              </w:tc>
              <w:tc>
                <w:tcPr>
                  <w:tcW w:w="798" w:type="pct"/>
                  <w:tcBorders>
                    <w:tl2br w:val="nil"/>
                    <w:tr2bl w:val="nil"/>
                  </w:tcBorders>
                  <w:noWrap w:val="0"/>
                  <w:vAlign w:val="center"/>
                </w:tcPr>
                <w:p w14:paraId="026C9463">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rPr>
                      <w:rFonts w:hint="default" w:ascii="Times New Roman" w:hAnsi="Times New Roman" w:eastAsia="仿宋_GB2312" w:cs="Times New Roman"/>
                      <w:sz w:val="21"/>
                      <w:szCs w:val="21"/>
                      <w:lang w:val="en-US" w:eastAsia="zh-CN"/>
                    </w:rPr>
                  </w:pPr>
                  <w:r>
                    <w:rPr>
                      <w:rFonts w:eastAsia="仿宋_GB2312"/>
                      <w:sz w:val="21"/>
                      <w:szCs w:val="21"/>
                    </w:rPr>
                    <w:t>HCl</w:t>
                  </w:r>
                </w:p>
              </w:tc>
              <w:tc>
                <w:tcPr>
                  <w:tcW w:w="975" w:type="pct"/>
                  <w:tcBorders>
                    <w:tl2br w:val="nil"/>
                    <w:tr2bl w:val="nil"/>
                  </w:tcBorders>
                  <w:noWrap w:val="0"/>
                  <w:vAlign w:val="center"/>
                </w:tcPr>
                <w:p w14:paraId="2B62536E">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尾气吸收塔</w:t>
                  </w:r>
                </w:p>
              </w:tc>
              <w:tc>
                <w:tcPr>
                  <w:tcW w:w="1022" w:type="pct"/>
                  <w:tcBorders>
                    <w:tl2br w:val="nil"/>
                    <w:tr2bl w:val="nil"/>
                  </w:tcBorders>
                  <w:noWrap w:val="0"/>
                  <w:vAlign w:val="center"/>
                </w:tcPr>
                <w:p w14:paraId="0B1417B0">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其他废气收集处理设施类</w:t>
                  </w:r>
                  <w:r>
                    <w:rPr>
                      <w:rFonts w:hint="default" w:ascii="Times New Roman" w:hAnsi="Times New Roman" w:eastAsia="仿宋_GB2312" w:cs="Times New Roman"/>
                      <w:sz w:val="21"/>
                      <w:szCs w:val="21"/>
                      <w:lang w:eastAsia="zh-CN"/>
                    </w:rPr>
                    <w:t>，</w:t>
                  </w:r>
                  <w:r>
                    <w:rPr>
                      <w:rFonts w:hint="default" w:ascii="Times New Roman" w:hAnsi="Times New Roman" w:eastAsia="仿宋_GB2312" w:cs="Times New Roman"/>
                      <w:sz w:val="21"/>
                      <w:szCs w:val="21"/>
                      <w:lang w:val="en-US" w:eastAsia="zh-CN"/>
                    </w:rPr>
                    <w:t>属于可行技术</w:t>
                  </w:r>
                </w:p>
              </w:tc>
              <w:tc>
                <w:tcPr>
                  <w:tcW w:w="1440" w:type="pct"/>
                  <w:vMerge w:val="continue"/>
                  <w:tcBorders>
                    <w:tl2br w:val="nil"/>
                    <w:tr2bl w:val="nil"/>
                  </w:tcBorders>
                  <w:noWrap w:val="0"/>
                  <w:vAlign w:val="center"/>
                </w:tcPr>
                <w:p w14:paraId="753B2941">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rPr>
                      <w:rFonts w:hint="default" w:ascii="Times New Roman" w:hAnsi="Times New Roman" w:eastAsia="仿宋_GB2312" w:cs="Times New Roman"/>
                      <w:sz w:val="21"/>
                      <w:szCs w:val="21"/>
                    </w:rPr>
                  </w:pPr>
                </w:p>
              </w:tc>
            </w:tr>
          </w:tbl>
          <w:p w14:paraId="5F70BB7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color w:val="auto"/>
                <w:spacing w:val="-10"/>
                <w:sz w:val="24"/>
                <w:szCs w:val="21"/>
                <w:lang w:val="en-US" w:eastAsia="zh-CN"/>
              </w:rPr>
            </w:pPr>
          </w:p>
          <w:p w14:paraId="2EE7629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仿宋_GB2312" w:cs="Times New Roman"/>
                <w:b/>
                <w:lang w:val="en-US" w:eastAsia="zh-CN"/>
              </w:rPr>
            </w:pPr>
            <w:r>
              <w:rPr>
                <w:rFonts w:hint="eastAsia" w:ascii="Times New Roman" w:hAnsi="Times New Roman" w:eastAsia="仿宋_GB2312" w:cs="Times New Roman"/>
                <w:b/>
                <w:lang w:val="en-US" w:eastAsia="zh-CN"/>
              </w:rPr>
              <w:object>
                <v:shape id="_x0000_i1033" o:spt="75" type="#_x0000_t75" style="height:141.75pt;width:311.8pt;" o:ole="t" filled="f" o:preferrelative="t" stroked="f" coordsize="21600,21600">
                  <v:path/>
                  <v:fill on="f" focussize="0,0"/>
                  <v:stroke on="f"/>
                  <v:imagedata r:id="rId49" o:title=""/>
                  <o:lock v:ext="edit" aspectratio="f"/>
                  <w10:wrap type="none"/>
                  <w10:anchorlock/>
                </v:shape>
                <o:OLEObject Type="Embed" ProgID="Visio.Drawing.15" ShapeID="_x0000_i1033" DrawAspect="Content" ObjectID="_1468075736" r:id="rId48">
                  <o:LockedField>false</o:LockedField>
                </o:OLEObject>
              </w:object>
            </w:r>
          </w:p>
          <w:p w14:paraId="68F7D7D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kern w:val="0"/>
                <w:sz w:val="24"/>
                <w:szCs w:val="24"/>
                <w:lang w:val="en-US" w:eastAsia="zh-CN"/>
              </w:rPr>
            </w:pPr>
            <w:r>
              <w:rPr>
                <w:rFonts w:hint="eastAsia" w:ascii="Times New Roman" w:hAnsi="Times New Roman" w:eastAsia="仿宋_GB2312" w:cs="Times New Roman"/>
                <w:b/>
                <w:color w:val="auto"/>
                <w:lang w:val="en-US" w:eastAsia="zh-CN"/>
              </w:rPr>
              <w:t>图4-1  废气处理工艺流程图</w:t>
            </w:r>
          </w:p>
          <w:p w14:paraId="1658909A">
            <w:pPr>
              <w:keepNext w:val="0"/>
              <w:keepLines w:val="0"/>
              <w:pageBreakBefore w:val="0"/>
              <w:kinsoku/>
              <w:wordWrap/>
              <w:overflowPunct/>
              <w:topLinePunct w:val="0"/>
              <w:autoSpaceDE/>
              <w:autoSpaceDN/>
              <w:bidi w:val="0"/>
              <w:adjustRightInd/>
              <w:snapToGrid/>
              <w:spacing w:line="360" w:lineRule="auto"/>
              <w:ind w:firstLine="422" w:firstLineChars="200"/>
              <w:textAlignment w:val="auto"/>
              <w:rPr>
                <w:rFonts w:hint="eastAsia" w:ascii="Times New Roman" w:hAnsi="Times New Roman" w:eastAsia="仿宋_GB2312" w:cs="Times New Roman"/>
                <w:b/>
                <w:bCs/>
                <w:kern w:val="2"/>
                <w:sz w:val="21"/>
                <w:szCs w:val="21"/>
                <w:lang w:val="en-US" w:eastAsia="zh-CN" w:bidi="ar-SA"/>
              </w:rPr>
            </w:pPr>
            <w:r>
              <w:rPr>
                <w:rFonts w:hint="eastAsia" w:ascii="Times New Roman" w:hAnsi="Times New Roman" w:eastAsia="仿宋_GB2312" w:cs="Times New Roman"/>
                <w:b/>
                <w:bCs/>
                <w:kern w:val="2"/>
                <w:sz w:val="21"/>
                <w:szCs w:val="21"/>
                <w:lang w:val="en-US" w:eastAsia="zh-CN" w:bidi="ar-SA"/>
              </w:rPr>
              <w:t>（1）废气污染防治措施</w:t>
            </w:r>
          </w:p>
          <w:p w14:paraId="57181F61">
            <w:pPr>
              <w:pStyle w:val="12"/>
              <w:pageBreakBefore w:val="0"/>
              <w:wordWrap/>
              <w:bidi w:val="0"/>
              <w:adjustRightInd w:val="0"/>
              <w:snapToGrid w:val="0"/>
              <w:spacing w:before="0" w:beforeAutospacing="0" w:after="0" w:afterAutospacing="0" w:line="360" w:lineRule="auto"/>
              <w:ind w:left="0" w:leftChars="0" w:right="0" w:firstLine="420" w:firstLineChars="200"/>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1、</w:t>
            </w:r>
            <w:r>
              <w:rPr>
                <w:rFonts w:hint="eastAsia" w:ascii="Times New Roman" w:hAnsi="Times New Roman" w:eastAsia="仿宋_GB2312" w:cs="Times New Roman"/>
                <w:kern w:val="2"/>
                <w:sz w:val="21"/>
                <w:szCs w:val="21"/>
                <w:lang w:val="en-US" w:eastAsia="zh-CN" w:bidi="ar-SA"/>
              </w:rPr>
              <w:t>喷淋</w:t>
            </w:r>
            <w:r>
              <w:rPr>
                <w:rFonts w:hint="default" w:ascii="Times New Roman" w:hAnsi="Times New Roman" w:eastAsia="仿宋_GB2312" w:cs="Times New Roman"/>
                <w:kern w:val="2"/>
                <w:sz w:val="21"/>
                <w:szCs w:val="21"/>
                <w:lang w:val="en-US" w:eastAsia="zh-CN" w:bidi="ar-SA"/>
              </w:rPr>
              <w:t>除尘装置</w:t>
            </w:r>
          </w:p>
          <w:p w14:paraId="73D6F1BD">
            <w:pPr>
              <w:pStyle w:val="12"/>
              <w:pageBreakBefore w:val="0"/>
              <w:wordWrap/>
              <w:bidi w:val="0"/>
              <w:adjustRightInd w:val="0"/>
              <w:snapToGrid w:val="0"/>
              <w:spacing w:before="0" w:beforeAutospacing="0" w:after="0" w:afterAutospacing="0" w:line="360" w:lineRule="auto"/>
              <w:ind w:left="0" w:leftChars="0" w:right="0" w:firstLine="420" w:firstLineChars="200"/>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水喷淋除尘装置工作原理：含尘废气由引风机（离心风机）通过收集管道抽入喷淋室，气体自下</w:t>
            </w:r>
            <w:r>
              <w:rPr>
                <w:rFonts w:hint="default" w:ascii="Times New Roman" w:hAnsi="Times New Roman" w:eastAsia="仿宋_GB2312" w:cs="Times New Roman"/>
                <w:color w:val="auto"/>
                <w:kern w:val="2"/>
                <w:sz w:val="21"/>
                <w:szCs w:val="21"/>
                <w:lang w:val="en-US" w:eastAsia="zh-CN" w:bidi="ar-SA"/>
              </w:rPr>
              <w:t>而上流动，废气中的粉尘被室内自上而下的水滴俘获后随水滴坠落到循环水池，在沉淀池中沉淀，废气处理达标</w:t>
            </w:r>
            <w:r>
              <w:rPr>
                <w:rFonts w:hint="eastAsia" w:ascii="Times New Roman" w:hAnsi="Times New Roman" w:eastAsia="仿宋_GB2312" w:cs="Times New Roman"/>
                <w:color w:val="auto"/>
                <w:kern w:val="2"/>
                <w:sz w:val="21"/>
                <w:szCs w:val="21"/>
                <w:lang w:val="en-US" w:eastAsia="zh-CN" w:bidi="ar-SA"/>
              </w:rPr>
              <w:t>后</w:t>
            </w:r>
            <w:r>
              <w:rPr>
                <w:rFonts w:hint="default" w:ascii="Times New Roman" w:hAnsi="Times New Roman" w:eastAsia="仿宋_GB2312" w:cs="Times New Roman"/>
                <w:color w:val="auto"/>
                <w:kern w:val="2"/>
                <w:sz w:val="21"/>
                <w:szCs w:val="21"/>
                <w:lang w:val="en-US" w:eastAsia="zh-CN" w:bidi="ar-SA"/>
              </w:rPr>
              <w:t>经</w:t>
            </w:r>
            <w:r>
              <w:rPr>
                <w:rFonts w:hint="eastAsia" w:ascii="Times New Roman" w:hAnsi="Times New Roman" w:eastAsia="仿宋_GB2312" w:cs="Times New Roman"/>
                <w:color w:val="auto"/>
                <w:kern w:val="2"/>
                <w:sz w:val="21"/>
                <w:szCs w:val="21"/>
                <w:lang w:val="en-US" w:eastAsia="zh-CN" w:bidi="ar-SA"/>
              </w:rPr>
              <w:t>3m高</w:t>
            </w:r>
            <w:r>
              <w:rPr>
                <w:rFonts w:hint="default" w:ascii="Times New Roman" w:hAnsi="Times New Roman" w:eastAsia="仿宋_GB2312" w:cs="Times New Roman"/>
                <w:color w:val="auto"/>
                <w:kern w:val="2"/>
                <w:sz w:val="21"/>
                <w:szCs w:val="21"/>
                <w:lang w:val="en-US" w:eastAsia="zh-CN" w:bidi="ar-SA"/>
              </w:rPr>
              <w:t>排气筒</w:t>
            </w:r>
            <w:r>
              <w:rPr>
                <w:rFonts w:hint="eastAsia" w:ascii="Times New Roman" w:hAnsi="Times New Roman" w:eastAsia="仿宋_GB2312" w:cs="Times New Roman"/>
                <w:color w:val="auto"/>
                <w:kern w:val="2"/>
                <w:sz w:val="21"/>
                <w:szCs w:val="21"/>
                <w:lang w:val="en-US" w:eastAsia="zh-CN" w:bidi="ar-SA"/>
              </w:rPr>
              <w:t>无组织</w:t>
            </w:r>
            <w:r>
              <w:rPr>
                <w:rFonts w:hint="default" w:ascii="Times New Roman" w:hAnsi="Times New Roman" w:eastAsia="仿宋_GB2312" w:cs="Times New Roman"/>
                <w:color w:val="auto"/>
                <w:kern w:val="2"/>
                <w:sz w:val="21"/>
                <w:szCs w:val="21"/>
                <w:lang w:val="en-US" w:eastAsia="zh-CN" w:bidi="ar-SA"/>
              </w:rPr>
              <w:t>排放。参</w:t>
            </w:r>
            <w:r>
              <w:rPr>
                <w:rFonts w:hint="default" w:ascii="Times New Roman" w:hAnsi="Times New Roman" w:eastAsia="仿宋_GB2312" w:cs="Times New Roman"/>
                <w:kern w:val="2"/>
                <w:sz w:val="21"/>
                <w:szCs w:val="21"/>
                <w:lang w:val="en-US" w:eastAsia="zh-CN" w:bidi="ar-SA"/>
              </w:rPr>
              <w:t>考《大气环境工程师实用手册》（中国环境科学出版社）</w:t>
            </w:r>
            <w:r>
              <w:rPr>
                <w:rFonts w:hint="eastAsia" w:ascii="Times New Roman" w:hAnsi="Times New Roman" w:eastAsia="仿宋_GB2312" w:cs="Times New Roman"/>
                <w:kern w:val="2"/>
                <w:sz w:val="21"/>
                <w:szCs w:val="21"/>
                <w:lang w:val="en-US" w:eastAsia="zh-CN" w:bidi="ar-SA"/>
              </w:rPr>
              <w:t>，</w:t>
            </w:r>
            <w:r>
              <w:rPr>
                <w:rFonts w:hint="default" w:ascii="Times New Roman" w:hAnsi="Times New Roman" w:eastAsia="仿宋_GB2312" w:cs="Times New Roman"/>
                <w:kern w:val="2"/>
                <w:sz w:val="21"/>
                <w:szCs w:val="21"/>
                <w:lang w:val="en-US" w:eastAsia="zh-CN" w:bidi="ar-SA"/>
              </w:rPr>
              <w:t>水喷淋除尘装置对粉尘的去除率可达80%。</w:t>
            </w:r>
            <w:r>
              <w:rPr>
                <w:rFonts w:hint="eastAsia" w:ascii="Times New Roman" w:hAnsi="Times New Roman" w:eastAsia="仿宋_GB2312" w:cs="Times New Roman"/>
                <w:kern w:val="2"/>
                <w:sz w:val="21"/>
                <w:szCs w:val="21"/>
                <w:lang w:val="en-US" w:eastAsia="zh-CN" w:bidi="ar-SA"/>
              </w:rPr>
              <w:t>本</w:t>
            </w:r>
            <w:r>
              <w:rPr>
                <w:rFonts w:hint="default" w:ascii="Times New Roman" w:hAnsi="Times New Roman" w:eastAsia="仿宋_GB2312" w:cs="Times New Roman"/>
                <w:kern w:val="2"/>
                <w:sz w:val="21"/>
                <w:szCs w:val="21"/>
                <w:lang w:val="en-US" w:eastAsia="zh-CN" w:bidi="ar-SA"/>
              </w:rPr>
              <w:t>项目</w:t>
            </w:r>
            <w:r>
              <w:rPr>
                <w:rFonts w:hint="eastAsia" w:ascii="Times New Roman" w:hAnsi="Times New Roman" w:eastAsia="仿宋_GB2312" w:cs="Times New Roman"/>
                <w:kern w:val="2"/>
                <w:sz w:val="21"/>
                <w:szCs w:val="21"/>
                <w:lang w:val="en-US" w:eastAsia="zh-CN" w:bidi="ar-SA"/>
              </w:rPr>
              <w:t>盐雾（颗粒物）</w:t>
            </w:r>
            <w:r>
              <w:rPr>
                <w:rFonts w:hint="default" w:ascii="Times New Roman" w:hAnsi="Times New Roman" w:eastAsia="仿宋_GB2312" w:cs="Times New Roman"/>
                <w:kern w:val="2"/>
                <w:sz w:val="21"/>
                <w:szCs w:val="21"/>
                <w:lang w:val="en-US" w:eastAsia="zh-CN" w:bidi="ar-SA"/>
              </w:rPr>
              <w:t>经水喷淋除尘装置处理是可行的。本项目</w:t>
            </w:r>
            <w:r>
              <w:rPr>
                <w:rFonts w:hint="eastAsia" w:ascii="Times New Roman" w:hAnsi="Times New Roman" w:eastAsia="仿宋_GB2312" w:cs="Times New Roman"/>
                <w:kern w:val="2"/>
                <w:sz w:val="21"/>
                <w:szCs w:val="21"/>
                <w:lang w:val="en-US" w:eastAsia="zh-CN" w:bidi="ar-SA"/>
              </w:rPr>
              <w:t>盐雾</w:t>
            </w:r>
            <w:r>
              <w:rPr>
                <w:rFonts w:hint="default" w:ascii="Times New Roman" w:hAnsi="Times New Roman" w:eastAsia="仿宋_GB2312" w:cs="Times New Roman"/>
                <w:kern w:val="2"/>
                <w:sz w:val="21"/>
                <w:szCs w:val="21"/>
                <w:lang w:val="en-US" w:eastAsia="zh-CN" w:bidi="ar-SA"/>
              </w:rPr>
              <w:t>经处理后排放浓度、排放速率可符合《大气污染物综合标准》《大气污染物综合排放标准》（DB32/4041-2021）标准限值要求，因此该污染防治措施可行。</w:t>
            </w:r>
          </w:p>
          <w:p w14:paraId="5B99537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仿宋_GB2312" w:cs="Times New Roman"/>
                <w:kern w:val="2"/>
                <w:sz w:val="21"/>
                <w:szCs w:val="21"/>
                <w:lang w:val="en-US" w:eastAsia="zh-CN" w:bidi="ar-SA"/>
              </w:rPr>
            </w:pPr>
            <w:r>
              <w:rPr>
                <w:rFonts w:hint="eastAsia" w:ascii="Times New Roman" w:hAnsi="Times New Roman" w:eastAsia="仿宋_GB2312" w:cs="Times New Roman"/>
                <w:kern w:val="2"/>
                <w:sz w:val="21"/>
                <w:szCs w:val="21"/>
                <w:lang w:val="en-US" w:eastAsia="zh-CN" w:bidi="ar-SA"/>
              </w:rPr>
              <w:t>2、碱液喷淋装置</w:t>
            </w:r>
          </w:p>
          <w:p w14:paraId="6643A19F">
            <w:pPr>
              <w:pStyle w:val="7"/>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碱液喷淋塔利用酸碱中和原理，是用于吸收治理工业酸性气体的常用装置之一，目前已广泛应用于实践。喷淋塔采用碱液对废气进行吸收，吸收剂从塔顶自上而下流动，与从下向上流动的气体接触，充分吸收接触综合反应，吸收了废气的液体从塔底排出，废气经净化后再经除雾板脱水后由塔顶排出。根据《三废处理工程技术手册》（废气卷），碱液吸收法对酸雾的净化效率可达93%~99%，因此本次评价碱液喷淋对酸雾的处理效率按95%计。根据《排污许可证申请与核发技术规范</w:t>
            </w:r>
            <w:r>
              <w:rPr>
                <w:rFonts w:hint="eastAsia" w:ascii="Times New Roman" w:hAnsi="Times New Roman" w:eastAsia="仿宋_GB2312" w:cs="Times New Roman"/>
                <w:kern w:val="2"/>
                <w:sz w:val="21"/>
                <w:szCs w:val="21"/>
                <w:lang w:val="en-US" w:eastAsia="zh-CN" w:bidi="ar-SA"/>
              </w:rPr>
              <w:t xml:space="preserve"> </w:t>
            </w:r>
            <w:r>
              <w:rPr>
                <w:rFonts w:hint="default" w:ascii="Times New Roman" w:hAnsi="Times New Roman" w:eastAsia="仿宋_GB2312" w:cs="Times New Roman"/>
                <w:kern w:val="2"/>
                <w:sz w:val="21"/>
                <w:szCs w:val="21"/>
                <w:lang w:val="en-US" w:eastAsia="zh-CN" w:bidi="ar-SA"/>
              </w:rPr>
              <w:t>总则》（HJ</w:t>
            </w:r>
            <w:r>
              <w:rPr>
                <w:rFonts w:hint="eastAsia" w:ascii="Times New Roman" w:hAnsi="Times New Roman" w:eastAsia="仿宋_GB2312" w:cs="Times New Roman"/>
                <w:kern w:val="2"/>
                <w:sz w:val="21"/>
                <w:szCs w:val="21"/>
                <w:lang w:val="en-US" w:eastAsia="zh-CN" w:bidi="ar-SA"/>
              </w:rPr>
              <w:t xml:space="preserve"> </w:t>
            </w:r>
            <w:r>
              <w:rPr>
                <w:rFonts w:hint="default" w:ascii="Times New Roman" w:hAnsi="Times New Roman" w:eastAsia="仿宋_GB2312" w:cs="Times New Roman"/>
                <w:kern w:val="2"/>
                <w:sz w:val="21"/>
                <w:szCs w:val="21"/>
                <w:lang w:val="en-US" w:eastAsia="zh-CN" w:bidi="ar-SA"/>
              </w:rPr>
              <w:t>942-2018）中废物污染设置工艺的描述：“废气污染治理设施工艺包括除尘设施（袋式除尘器、电除尘器、电袋复合除尘器、其他）、脱硫设施</w:t>
            </w:r>
            <w:r>
              <w:rPr>
                <w:rFonts w:hint="eastAsia" w:ascii="Times New Roman" w:hAnsi="Times New Roman" w:eastAsia="仿宋_GB2312" w:cs="Times New Roman"/>
                <w:kern w:val="2"/>
                <w:sz w:val="21"/>
                <w:szCs w:val="21"/>
                <w:lang w:val="en-US" w:eastAsia="zh-CN" w:bidi="ar-SA"/>
              </w:rPr>
              <w:t>（</w:t>
            </w:r>
            <w:r>
              <w:rPr>
                <w:rFonts w:hint="default" w:ascii="Times New Roman" w:hAnsi="Times New Roman" w:eastAsia="仿宋_GB2312" w:cs="Times New Roman"/>
                <w:kern w:val="2"/>
                <w:sz w:val="21"/>
                <w:szCs w:val="21"/>
                <w:lang w:val="en-US" w:eastAsia="zh-CN" w:bidi="ar-SA"/>
              </w:rPr>
              <w:t>干法、半干法、湿法、其他</w:t>
            </w:r>
            <w:r>
              <w:rPr>
                <w:rFonts w:hint="eastAsia" w:ascii="Times New Roman" w:hAnsi="Times New Roman" w:eastAsia="仿宋_GB2312" w:cs="Times New Roman"/>
                <w:kern w:val="2"/>
                <w:sz w:val="21"/>
                <w:szCs w:val="21"/>
                <w:lang w:val="en-US" w:eastAsia="zh-CN" w:bidi="ar-SA"/>
              </w:rPr>
              <w:t>）</w:t>
            </w:r>
            <w:r>
              <w:rPr>
                <w:rFonts w:hint="default" w:ascii="Times New Roman" w:hAnsi="Times New Roman" w:eastAsia="仿宋_GB2312" w:cs="Times New Roman"/>
                <w:kern w:val="2"/>
                <w:sz w:val="21"/>
                <w:szCs w:val="21"/>
                <w:lang w:val="en-US" w:eastAsia="zh-CN" w:bidi="ar-SA"/>
              </w:rPr>
              <w:t>、脱硝设施（低氮燃烧、SCR、SNCR、其他）、有机废气收集治理设施（焚烧、吸附、催化分解、其他）、恶臭治理设施（水洗、吸收、氧化、活性炭吸附、过滤、其他）、其他废气收集处理设施（活性炭吸附、生物滤塔、洗涤、吸收、燃烧、氧化、过滤、其他）等”，本项目使用碱液喷淋塔进行处理</w:t>
            </w:r>
            <w:r>
              <w:rPr>
                <w:rFonts w:hint="eastAsia" w:ascii="Times New Roman" w:hAnsi="Times New Roman" w:eastAsia="仿宋_GB2312" w:cs="Times New Roman"/>
                <w:kern w:val="2"/>
                <w:sz w:val="21"/>
                <w:szCs w:val="21"/>
                <w:lang w:val="en-US" w:eastAsia="zh-CN" w:bidi="ar-SA"/>
              </w:rPr>
              <w:t>盐酸储罐</w:t>
            </w:r>
            <w:r>
              <w:rPr>
                <w:rFonts w:hint="default" w:ascii="Times New Roman" w:hAnsi="Times New Roman" w:eastAsia="仿宋_GB2312" w:cs="Times New Roman"/>
                <w:kern w:val="2"/>
                <w:sz w:val="21"/>
                <w:szCs w:val="21"/>
                <w:lang w:val="en-US" w:eastAsia="zh-CN" w:bidi="ar-SA"/>
              </w:rPr>
              <w:t>贮存过程中产生的酸雾，根据上述分析可知，本项目废气污染物所采取环保治理措施是可行的。本项目酸雾经处理后排放浓度、排放速率可符合</w:t>
            </w:r>
            <w:r>
              <w:rPr>
                <w:rFonts w:eastAsia="仿宋_GB2312"/>
              </w:rPr>
              <w:t>《大气污染物综合排放标准》（DB</w:t>
            </w:r>
            <w:r>
              <w:rPr>
                <w:rFonts w:hint="eastAsia" w:eastAsia="仿宋_GB2312"/>
                <w:lang w:val="en-US" w:eastAsia="zh-CN"/>
              </w:rPr>
              <w:t xml:space="preserve"> </w:t>
            </w:r>
            <w:r>
              <w:rPr>
                <w:rFonts w:eastAsia="仿宋_GB2312"/>
              </w:rPr>
              <w:t>32/4041-2021）</w:t>
            </w:r>
            <w:r>
              <w:rPr>
                <w:rFonts w:hint="default" w:ascii="Times New Roman" w:hAnsi="Times New Roman" w:eastAsia="仿宋_GB2312" w:cs="Times New Roman"/>
                <w:kern w:val="2"/>
                <w:sz w:val="21"/>
                <w:szCs w:val="21"/>
                <w:lang w:val="en-US" w:eastAsia="zh-CN" w:bidi="ar-SA"/>
              </w:rPr>
              <w:t>中标准限值要求，因此该污染防治措施可行。</w:t>
            </w:r>
          </w:p>
          <w:p w14:paraId="707CBFC8">
            <w:pPr>
              <w:keepNext w:val="0"/>
              <w:keepLines w:val="0"/>
              <w:pageBreakBefore w:val="0"/>
              <w:kinsoku/>
              <w:wordWrap/>
              <w:overflowPunct/>
              <w:topLinePunct w:val="0"/>
              <w:autoSpaceDE/>
              <w:autoSpaceDN/>
              <w:bidi w:val="0"/>
              <w:adjustRightInd w:val="0"/>
              <w:snapToGrid w:val="0"/>
              <w:spacing w:line="360" w:lineRule="auto"/>
              <w:ind w:firstLine="422" w:firstLineChars="200"/>
              <w:jc w:val="center"/>
              <w:textAlignment w:val="auto"/>
              <w:rPr>
                <w:rFonts w:hint="eastAsia" w:eastAsia="仿宋_GB2312"/>
                <w:b/>
                <w:bCs/>
                <w:lang w:eastAsia="zh-CN"/>
              </w:rPr>
            </w:pPr>
            <w:r>
              <w:rPr>
                <w:rFonts w:hint="eastAsia" w:eastAsia="仿宋_GB2312"/>
                <w:b/>
                <w:bCs/>
                <w:lang w:eastAsia="zh-CN"/>
              </w:rPr>
              <w:drawing>
                <wp:inline distT="0" distB="0" distL="114300" distR="114300">
                  <wp:extent cx="3842385" cy="3347720"/>
                  <wp:effectExtent l="0" t="0" r="5715" b="5080"/>
                  <wp:docPr id="6" name="图片 6" descr="t045220763f89c9e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t045220763f89c9e492"/>
                          <pic:cNvPicPr>
                            <a:picLocks noChangeAspect="1"/>
                          </pic:cNvPicPr>
                        </pic:nvPicPr>
                        <pic:blipFill>
                          <a:blip r:embed="rId50"/>
                          <a:stretch>
                            <a:fillRect/>
                          </a:stretch>
                        </pic:blipFill>
                        <pic:spPr>
                          <a:xfrm>
                            <a:off x="0" y="0"/>
                            <a:ext cx="3842385" cy="3347720"/>
                          </a:xfrm>
                          <a:prstGeom prst="rect">
                            <a:avLst/>
                          </a:prstGeom>
                        </pic:spPr>
                      </pic:pic>
                    </a:graphicData>
                  </a:graphic>
                </wp:inline>
              </w:drawing>
            </w:r>
          </w:p>
          <w:p w14:paraId="107BFEF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kern w:val="0"/>
                <w:sz w:val="24"/>
                <w:szCs w:val="24"/>
                <w:lang w:val="en-US" w:eastAsia="zh-CN"/>
              </w:rPr>
            </w:pPr>
            <w:r>
              <w:rPr>
                <w:rFonts w:hint="eastAsia" w:ascii="Times New Roman" w:hAnsi="Times New Roman" w:eastAsia="仿宋_GB2312" w:cs="Times New Roman"/>
                <w:b/>
                <w:color w:val="auto"/>
                <w:lang w:val="en-US" w:eastAsia="zh-CN"/>
              </w:rPr>
              <w:t>图4-2  喷淋塔工艺流程图</w:t>
            </w:r>
          </w:p>
          <w:p w14:paraId="68C61A11">
            <w:pPr>
              <w:keepNext w:val="0"/>
              <w:keepLines w:val="0"/>
              <w:pageBreakBefore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仿宋_GB2312" w:cs="Times New Roman"/>
                <w:b/>
                <w:bCs/>
                <w:kern w:val="2"/>
                <w:sz w:val="21"/>
                <w:szCs w:val="21"/>
                <w:lang w:val="en-US" w:eastAsia="zh-CN" w:bidi="ar-SA"/>
              </w:rPr>
            </w:pPr>
            <w:r>
              <w:rPr>
                <w:rFonts w:hint="eastAsia" w:ascii="Times New Roman" w:hAnsi="Times New Roman" w:eastAsia="仿宋_GB2312" w:cs="Times New Roman"/>
                <w:b/>
                <w:bCs/>
                <w:kern w:val="2"/>
                <w:sz w:val="21"/>
                <w:szCs w:val="21"/>
                <w:lang w:val="en-US" w:eastAsia="zh-CN" w:bidi="ar-SA"/>
              </w:rPr>
              <w:t>（2）</w:t>
            </w:r>
            <w:r>
              <w:rPr>
                <w:rFonts w:hint="default" w:ascii="Times New Roman" w:hAnsi="Times New Roman" w:eastAsia="仿宋_GB2312" w:cs="Times New Roman"/>
                <w:b/>
                <w:bCs/>
                <w:kern w:val="2"/>
                <w:sz w:val="21"/>
                <w:szCs w:val="21"/>
                <w:lang w:val="en-US" w:eastAsia="zh-CN" w:bidi="ar-SA"/>
              </w:rPr>
              <w:t>废气收集可行性分析</w:t>
            </w:r>
          </w:p>
          <w:p w14:paraId="4F27F820">
            <w:pPr>
              <w:pageBreakBefore w:val="0"/>
              <w:wordWrap/>
              <w:bidi w:val="0"/>
              <w:adjustRightInd w:val="0"/>
              <w:snapToGrid w:val="0"/>
              <w:spacing w:beforeAutospacing="0" w:afterAutospacing="0" w:line="360" w:lineRule="auto"/>
              <w:ind w:left="0" w:leftChars="0" w:right="0" w:firstLine="420" w:firstLineChars="200"/>
              <w:rPr>
                <w:rFonts w:hint="default" w:ascii="Times New Roman" w:hAnsi="Times New Roman" w:eastAsia="宋体" w:cs="Times New Roman"/>
                <w:b w:val="0"/>
                <w:bCs w:val="0"/>
                <w:color w:val="auto"/>
                <w:spacing w:val="0"/>
                <w:kern w:val="0"/>
                <w:position w:val="0"/>
                <w:sz w:val="24"/>
                <w:szCs w:val="24"/>
              </w:rPr>
            </w:pPr>
            <w:r>
              <w:rPr>
                <w:rFonts w:hint="eastAsia" w:ascii="Times New Roman" w:hAnsi="Times New Roman" w:eastAsia="仿宋_GB2312" w:cs="Times New Roman"/>
                <w:kern w:val="2"/>
                <w:sz w:val="21"/>
                <w:szCs w:val="21"/>
                <w:lang w:val="en-US" w:eastAsia="zh-CN" w:bidi="ar-SA"/>
              </w:rPr>
              <w:t>1、平板膜废气（盐雾）</w:t>
            </w:r>
            <w:r>
              <w:rPr>
                <w:rFonts w:hint="default" w:ascii="Times New Roman" w:hAnsi="Times New Roman" w:eastAsia="仿宋_GB2312" w:cs="Times New Roman"/>
                <w:kern w:val="2"/>
                <w:sz w:val="21"/>
                <w:szCs w:val="21"/>
                <w:lang w:val="en-US" w:eastAsia="zh-CN" w:bidi="ar-SA"/>
              </w:rPr>
              <w:t>设备风量计算</w:t>
            </w:r>
          </w:p>
          <w:p w14:paraId="6D574A80">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仿宋_GB2312" w:cs="Times New Roman"/>
                <w:lang w:val="en-US" w:eastAsia="zh-CN"/>
              </w:rPr>
            </w:pPr>
            <w:r>
              <w:rPr>
                <w:rFonts w:hint="eastAsia" w:ascii="Times New Roman" w:hAnsi="Times New Roman" w:eastAsia="仿宋_GB2312" w:cs="Times New Roman"/>
                <w:lang w:val="en-US" w:eastAsia="zh-CN"/>
              </w:rPr>
              <w:t>平板膜过滤设备为</w:t>
            </w:r>
            <w:r>
              <w:rPr>
                <w:rFonts w:hint="default" w:ascii="Times New Roman" w:hAnsi="Times New Roman" w:eastAsia="仿宋_GB2312" w:cs="Times New Roman"/>
                <w:lang w:val="en-US" w:eastAsia="zh-CN"/>
              </w:rPr>
              <w:t>密闭设备</w:t>
            </w:r>
            <w:r>
              <w:rPr>
                <w:rFonts w:hint="eastAsia" w:ascii="Times New Roman" w:hAnsi="Times New Roman" w:eastAsia="仿宋_GB2312" w:cs="Times New Roman"/>
                <w:lang w:val="en-US" w:eastAsia="zh-CN"/>
              </w:rPr>
              <w:t>，废气在一体化密闭管道内收集处理，本次取95%。平板膜处理</w:t>
            </w:r>
            <w:r>
              <w:rPr>
                <w:rFonts w:ascii="Times New Roman" w:hAnsi="Times New Roman" w:eastAsia="仿宋_GB2312" w:cs="Times New Roman"/>
              </w:rPr>
              <w:t>面积合计</w:t>
            </w:r>
            <w:r>
              <w:rPr>
                <w:rFonts w:hint="eastAsia" w:ascii="Times New Roman" w:hAnsi="Times New Roman" w:eastAsia="仿宋_GB2312" w:cs="Times New Roman"/>
                <w:lang w:val="en-US" w:eastAsia="zh-CN"/>
              </w:rPr>
              <w:t>46</w:t>
            </w:r>
            <w:r>
              <w:rPr>
                <w:rFonts w:ascii="Times New Roman" w:hAnsi="Times New Roman" w:eastAsia="仿宋_GB2312" w:cs="Times New Roman"/>
              </w:rPr>
              <w:t>m²，高度</w:t>
            </w:r>
            <w:r>
              <w:rPr>
                <w:rFonts w:hint="eastAsia" w:ascii="Times New Roman" w:hAnsi="Times New Roman" w:eastAsia="仿宋_GB2312" w:cs="Times New Roman"/>
                <w:lang w:val="en-US" w:eastAsia="zh-CN"/>
              </w:rPr>
              <w:t>约</w:t>
            </w:r>
            <w:r>
              <w:rPr>
                <w:rFonts w:ascii="Times New Roman" w:hAnsi="Times New Roman" w:eastAsia="仿宋_GB2312" w:cs="Times New Roman"/>
              </w:rPr>
              <w:t>为</w:t>
            </w:r>
            <w:r>
              <w:rPr>
                <w:rFonts w:hint="eastAsia" w:ascii="Times New Roman" w:hAnsi="Times New Roman" w:eastAsia="仿宋_GB2312" w:cs="Times New Roman"/>
                <w:lang w:val="en-US" w:eastAsia="zh-CN"/>
              </w:rPr>
              <w:t>4.5</w:t>
            </w:r>
            <w:r>
              <w:rPr>
                <w:rFonts w:ascii="Times New Roman" w:hAnsi="Times New Roman" w:eastAsia="仿宋_GB2312" w:cs="Times New Roman"/>
              </w:rPr>
              <w:t>米，根据《工业通风换气次数的有关规定及其在评价中的应用》，换气次数大于等于6次/小时</w:t>
            </w:r>
            <w:r>
              <w:rPr>
                <w:rFonts w:hint="eastAsia" w:ascii="Times New Roman" w:hAnsi="Times New Roman" w:eastAsia="仿宋_GB2312" w:cs="Times New Roman"/>
                <w:lang w:eastAsia="zh-CN"/>
              </w:rPr>
              <w:t>。</w:t>
            </w:r>
            <w:r>
              <w:rPr>
                <w:rFonts w:ascii="Times New Roman" w:hAnsi="Times New Roman" w:eastAsia="仿宋_GB2312" w:cs="Times New Roman"/>
              </w:rPr>
              <w:t>本项目换气次数以</w:t>
            </w:r>
            <w:r>
              <w:rPr>
                <w:rFonts w:hint="eastAsia" w:ascii="Times New Roman" w:hAnsi="Times New Roman" w:eastAsia="仿宋_GB2312" w:cs="Times New Roman"/>
                <w:lang w:val="en-US" w:eastAsia="zh-CN"/>
              </w:rPr>
              <w:t>12</w:t>
            </w:r>
            <w:r>
              <w:rPr>
                <w:rFonts w:ascii="Times New Roman" w:hAnsi="Times New Roman" w:eastAsia="仿宋_GB2312" w:cs="Times New Roman"/>
              </w:rPr>
              <w:t>次/h计，则所需风量为</w:t>
            </w:r>
            <w:r>
              <w:rPr>
                <w:rFonts w:hint="eastAsia" w:ascii="Times New Roman" w:hAnsi="Times New Roman" w:eastAsia="仿宋_GB2312" w:cs="Times New Roman"/>
                <w:lang w:val="en-US" w:eastAsia="zh-CN"/>
              </w:rPr>
              <w:t>2484</w:t>
            </w:r>
            <w:r>
              <w:rPr>
                <w:rFonts w:ascii="Times New Roman" w:hAnsi="Times New Roman" w:eastAsia="仿宋_GB2312" w:cs="Times New Roman"/>
              </w:rPr>
              <w:t>m</w:t>
            </w:r>
            <w:r>
              <w:rPr>
                <w:rFonts w:hint="eastAsia" w:ascii="Times New Roman" w:hAnsi="Times New Roman" w:eastAsia="仿宋_GB2312" w:cs="Times New Roman"/>
                <w:vertAlign w:val="superscript"/>
                <w:lang w:val="en-US" w:eastAsia="zh-CN"/>
              </w:rPr>
              <w:t>3</w:t>
            </w:r>
            <w:r>
              <w:rPr>
                <w:rFonts w:ascii="Times New Roman" w:hAnsi="Times New Roman" w:eastAsia="仿宋_GB2312" w:cs="Times New Roman"/>
              </w:rPr>
              <w:t>/h，配备风机风量约为</w:t>
            </w:r>
            <w:r>
              <w:rPr>
                <w:rFonts w:hint="eastAsia" w:ascii="Times New Roman" w:hAnsi="Times New Roman" w:eastAsia="仿宋_GB2312" w:cs="Times New Roman"/>
                <w:lang w:val="en-US" w:eastAsia="zh-CN"/>
              </w:rPr>
              <w:t>3</w:t>
            </w:r>
            <w:r>
              <w:rPr>
                <w:rFonts w:ascii="Times New Roman" w:hAnsi="Times New Roman" w:eastAsia="仿宋_GB2312" w:cs="Times New Roman"/>
              </w:rPr>
              <w:t>000m</w:t>
            </w:r>
            <w:r>
              <w:rPr>
                <w:rFonts w:ascii="Times New Roman" w:hAnsi="Times New Roman" w:eastAsia="仿宋_GB2312" w:cs="Times New Roman"/>
                <w:vertAlign w:val="superscript"/>
              </w:rPr>
              <w:t>3</w:t>
            </w:r>
            <w:r>
              <w:rPr>
                <w:rFonts w:ascii="Times New Roman" w:hAnsi="Times New Roman" w:eastAsia="仿宋_GB2312" w:cs="Times New Roman"/>
              </w:rPr>
              <w:t>/h，满足风量要求，措施可行。</w:t>
            </w:r>
          </w:p>
          <w:p w14:paraId="1B0E1178">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仿宋_GB2312" w:cs="Times New Roman"/>
                <w:lang w:val="en-US" w:eastAsia="zh-CN"/>
              </w:rPr>
            </w:pPr>
            <w:r>
              <w:rPr>
                <w:rFonts w:hint="eastAsia" w:ascii="Times New Roman" w:hAnsi="Times New Roman" w:eastAsia="仿宋_GB2312" w:cs="Times New Roman"/>
                <w:lang w:val="en-US" w:eastAsia="zh-CN"/>
              </w:rPr>
              <w:t>2、盐酸储罐呼吸废气</w:t>
            </w:r>
            <w:r>
              <w:rPr>
                <w:rFonts w:hint="default" w:ascii="Times New Roman" w:hAnsi="Times New Roman" w:eastAsia="仿宋_GB2312" w:cs="Times New Roman"/>
                <w:lang w:val="en-US" w:eastAsia="zh-CN"/>
              </w:rPr>
              <w:t>风量计算</w:t>
            </w:r>
          </w:p>
          <w:p w14:paraId="6AF37266">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仿宋_GB2312" w:cs="Times New Roman"/>
                <w:lang w:val="en-US" w:eastAsia="zh-CN"/>
              </w:rPr>
            </w:pPr>
            <w:r>
              <w:rPr>
                <w:rFonts w:hint="default" w:ascii="Times New Roman" w:hAnsi="Times New Roman" w:eastAsia="仿宋_GB2312" w:cs="Times New Roman"/>
                <w:lang w:val="en-US" w:eastAsia="zh-CN"/>
              </w:rPr>
              <w:t>储罐区呼吸阀上方设置直径</w:t>
            </w:r>
            <w:r>
              <w:rPr>
                <w:rFonts w:hint="eastAsia" w:ascii="Times New Roman" w:hAnsi="Times New Roman" w:eastAsia="仿宋_GB2312" w:cs="Times New Roman"/>
                <w:lang w:val="en-US" w:eastAsia="zh-CN"/>
              </w:rPr>
              <w:t>15</w:t>
            </w:r>
            <w:r>
              <w:rPr>
                <w:rFonts w:hint="default" w:ascii="Times New Roman" w:hAnsi="Times New Roman" w:eastAsia="仿宋_GB2312" w:cs="Times New Roman"/>
                <w:lang w:val="en-US" w:eastAsia="zh-CN"/>
              </w:rPr>
              <w:t>cm的顶吸罩，收集风量计算如下：</w:t>
            </w:r>
          </w:p>
          <w:p w14:paraId="3AF7433E">
            <w:pPr>
              <w:keepNext w:val="0"/>
              <w:keepLines w:val="0"/>
              <w:pageBreakBefore w:val="0"/>
              <w:kinsoku/>
              <w:wordWrap/>
              <w:overflowPunct/>
              <w:topLinePunct w:val="0"/>
              <w:autoSpaceDE/>
              <w:autoSpaceDN/>
              <w:bidi w:val="0"/>
              <w:adjustRightInd w:val="0"/>
              <w:snapToGrid w:val="0"/>
              <w:spacing w:line="360" w:lineRule="auto"/>
              <w:ind w:firstLine="420" w:firstLineChars="200"/>
              <w:jc w:val="center"/>
              <w:textAlignment w:val="auto"/>
              <w:rPr>
                <w:rFonts w:hint="default" w:ascii="Times New Roman" w:hAnsi="Times New Roman" w:eastAsia="仿宋_GB2312" w:cs="Times New Roman"/>
                <w:lang w:val="en-US" w:eastAsia="zh-CN"/>
              </w:rPr>
            </w:pPr>
            <w:r>
              <w:rPr>
                <w:rFonts w:hint="default" w:ascii="Times New Roman" w:hAnsi="Times New Roman" w:eastAsia="仿宋_GB2312" w:cs="Times New Roman"/>
                <w:lang w:val="en-US" w:eastAsia="zh-CN"/>
              </w:rPr>
              <w:t>L=3600π/4D²V</w:t>
            </w:r>
          </w:p>
          <w:p w14:paraId="768B5904">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仿宋_GB2312" w:cs="Times New Roman"/>
                <w:lang w:val="en-US" w:eastAsia="zh-CN"/>
              </w:rPr>
            </w:pPr>
            <w:r>
              <w:rPr>
                <w:rFonts w:hint="default" w:ascii="Times New Roman" w:hAnsi="Times New Roman" w:eastAsia="仿宋_GB2312" w:cs="Times New Roman"/>
                <w:lang w:val="en-US" w:eastAsia="zh-CN"/>
              </w:rPr>
              <w:t>式中：L——所需风量，m</w:t>
            </w:r>
            <w:r>
              <w:rPr>
                <w:rFonts w:hint="eastAsia" w:ascii="Times New Roman" w:hAnsi="Times New Roman" w:eastAsia="仿宋_GB2312" w:cs="Times New Roman"/>
                <w:vertAlign w:val="superscript"/>
                <w:lang w:val="en-US" w:eastAsia="zh-CN"/>
              </w:rPr>
              <w:t>3</w:t>
            </w:r>
            <w:r>
              <w:rPr>
                <w:rFonts w:hint="default" w:ascii="Times New Roman" w:hAnsi="Times New Roman" w:eastAsia="仿宋_GB2312" w:cs="Times New Roman"/>
                <w:lang w:val="en-US" w:eastAsia="zh-CN"/>
              </w:rPr>
              <w:t>/h；</w:t>
            </w:r>
          </w:p>
          <w:p w14:paraId="5CE49ABE">
            <w:pPr>
              <w:keepNext w:val="0"/>
              <w:keepLines w:val="0"/>
              <w:pageBreakBefore w:val="0"/>
              <w:kinsoku/>
              <w:wordWrap/>
              <w:overflowPunct/>
              <w:topLinePunct w:val="0"/>
              <w:autoSpaceDE/>
              <w:autoSpaceDN/>
              <w:bidi w:val="0"/>
              <w:adjustRightInd w:val="0"/>
              <w:snapToGrid w:val="0"/>
              <w:spacing w:line="360" w:lineRule="auto"/>
              <w:ind w:firstLine="1050" w:firstLineChars="500"/>
              <w:textAlignment w:val="auto"/>
              <w:rPr>
                <w:rFonts w:hint="default" w:ascii="Times New Roman" w:hAnsi="Times New Roman" w:eastAsia="仿宋_GB2312" w:cs="Times New Roman"/>
                <w:lang w:val="en-US" w:eastAsia="zh-CN"/>
              </w:rPr>
            </w:pPr>
            <w:r>
              <w:rPr>
                <w:rFonts w:hint="default" w:ascii="Times New Roman" w:hAnsi="Times New Roman" w:eastAsia="仿宋_GB2312" w:cs="Times New Roman"/>
                <w:lang w:val="en-US" w:eastAsia="zh-CN"/>
              </w:rPr>
              <w:t>D——圆形顶吸罩直径，m；</w:t>
            </w:r>
          </w:p>
          <w:p w14:paraId="7C98214A">
            <w:pPr>
              <w:keepNext w:val="0"/>
              <w:keepLines w:val="0"/>
              <w:pageBreakBefore w:val="0"/>
              <w:kinsoku/>
              <w:wordWrap/>
              <w:overflowPunct/>
              <w:topLinePunct w:val="0"/>
              <w:autoSpaceDE/>
              <w:autoSpaceDN/>
              <w:bidi w:val="0"/>
              <w:adjustRightInd w:val="0"/>
              <w:snapToGrid w:val="0"/>
              <w:spacing w:line="360" w:lineRule="auto"/>
              <w:ind w:firstLine="1050" w:firstLineChars="500"/>
              <w:textAlignment w:val="auto"/>
              <w:rPr>
                <w:rFonts w:hint="default" w:ascii="Times New Roman" w:hAnsi="Times New Roman" w:eastAsia="仿宋_GB2312" w:cs="Times New Roman"/>
                <w:lang w:val="en-US" w:eastAsia="zh-CN"/>
              </w:rPr>
            </w:pPr>
            <w:r>
              <w:rPr>
                <w:rFonts w:hint="default" w:ascii="Times New Roman" w:hAnsi="Times New Roman" w:eastAsia="仿宋_GB2312" w:cs="Times New Roman"/>
                <w:lang w:val="en-US" w:eastAsia="zh-CN"/>
              </w:rPr>
              <w:t xml:space="preserve">V——罩口平均风速，m/s，0.5~1.25m/s，按三边敞开取 </w:t>
            </w:r>
            <w:r>
              <w:rPr>
                <w:rFonts w:hint="eastAsia" w:ascii="Times New Roman" w:hAnsi="Times New Roman" w:eastAsia="仿宋_GB2312" w:cs="Times New Roman"/>
                <w:lang w:val="en-US" w:eastAsia="zh-CN"/>
              </w:rPr>
              <w:t>0.9</w:t>
            </w:r>
            <w:r>
              <w:rPr>
                <w:rFonts w:hint="default" w:ascii="Times New Roman" w:hAnsi="Times New Roman" w:eastAsia="仿宋_GB2312" w:cs="Times New Roman"/>
                <w:lang w:val="en-US" w:eastAsia="zh-CN"/>
              </w:rPr>
              <w:t>m/s。</w:t>
            </w:r>
          </w:p>
          <w:p w14:paraId="53E86580">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ascii="Times New Roman" w:hAnsi="Times New Roman" w:eastAsia="仿宋_GB2312" w:cs="Times New Roman"/>
              </w:rPr>
            </w:pPr>
            <w:r>
              <w:rPr>
                <w:rFonts w:hint="default" w:ascii="Times New Roman" w:hAnsi="Times New Roman" w:eastAsia="仿宋_GB2312" w:cs="Times New Roman"/>
                <w:lang w:val="en-US" w:eastAsia="zh-CN"/>
              </w:rPr>
              <w:t>储罐区集气罩所需收集风量为57.2m</w:t>
            </w:r>
            <w:r>
              <w:rPr>
                <w:rFonts w:hint="eastAsia" w:ascii="Times New Roman" w:hAnsi="Times New Roman" w:eastAsia="仿宋_GB2312" w:cs="Times New Roman"/>
                <w:vertAlign w:val="superscript"/>
                <w:lang w:val="en-US" w:eastAsia="zh-CN"/>
              </w:rPr>
              <w:t>3</w:t>
            </w:r>
            <w:r>
              <w:rPr>
                <w:rFonts w:hint="default" w:ascii="Times New Roman" w:hAnsi="Times New Roman" w:eastAsia="仿宋_GB2312" w:cs="Times New Roman"/>
                <w:lang w:val="en-US" w:eastAsia="zh-CN"/>
              </w:rPr>
              <w:t>/h，</w:t>
            </w:r>
            <w:r>
              <w:rPr>
                <w:rFonts w:hint="eastAsia" w:ascii="Times New Roman" w:hAnsi="Times New Roman" w:eastAsia="仿宋_GB2312" w:cs="Times New Roman"/>
                <w:lang w:val="en-US" w:eastAsia="zh-CN"/>
              </w:rPr>
              <w:t>考虑到漏风损耗，取整后为</w:t>
            </w:r>
            <w:r>
              <w:rPr>
                <w:rFonts w:hint="eastAsia" w:ascii="Times New Roman" w:hAnsi="Times New Roman" w:eastAsia="仿宋_GB2312" w:cs="Times New Roman"/>
                <w:color w:val="auto"/>
                <w:lang w:val="en-US" w:eastAsia="zh-CN"/>
              </w:rPr>
              <w:t>100</w:t>
            </w:r>
            <w:r>
              <w:rPr>
                <w:rFonts w:hint="default" w:ascii="Times New Roman" w:hAnsi="Times New Roman" w:eastAsia="仿宋_GB2312" w:cs="Times New Roman"/>
                <w:lang w:val="en-US" w:eastAsia="zh-CN"/>
              </w:rPr>
              <w:t>m</w:t>
            </w:r>
            <w:r>
              <w:rPr>
                <w:rFonts w:hint="eastAsia" w:ascii="Times New Roman" w:hAnsi="Times New Roman" w:eastAsia="仿宋_GB2312" w:cs="Times New Roman"/>
                <w:vertAlign w:val="superscript"/>
                <w:lang w:val="en-US" w:eastAsia="zh-CN"/>
              </w:rPr>
              <w:t>3</w:t>
            </w:r>
            <w:r>
              <w:rPr>
                <w:rFonts w:hint="default" w:ascii="Times New Roman" w:hAnsi="Times New Roman" w:eastAsia="仿宋_GB2312" w:cs="Times New Roman"/>
                <w:lang w:val="en-US" w:eastAsia="zh-CN"/>
              </w:rPr>
              <w:t>/h，设计风量为</w:t>
            </w:r>
            <w:r>
              <w:rPr>
                <w:rFonts w:hint="eastAsia" w:ascii="Times New Roman" w:hAnsi="Times New Roman" w:eastAsia="仿宋_GB2312" w:cs="Times New Roman"/>
                <w:lang w:val="en-US" w:eastAsia="zh-CN"/>
              </w:rPr>
              <w:t>1</w:t>
            </w:r>
            <w:r>
              <w:rPr>
                <w:rFonts w:hint="default" w:ascii="Times New Roman" w:hAnsi="Times New Roman" w:eastAsia="仿宋_GB2312" w:cs="Times New Roman"/>
                <w:lang w:val="en-US" w:eastAsia="zh-CN"/>
              </w:rPr>
              <w:t>00m</w:t>
            </w:r>
            <w:r>
              <w:rPr>
                <w:rFonts w:hint="eastAsia" w:ascii="Times New Roman" w:hAnsi="Times New Roman" w:eastAsia="仿宋_GB2312" w:cs="Times New Roman"/>
                <w:vertAlign w:val="superscript"/>
                <w:lang w:val="en-US" w:eastAsia="zh-CN"/>
              </w:rPr>
              <w:t>3</w:t>
            </w:r>
            <w:r>
              <w:rPr>
                <w:rFonts w:hint="default" w:ascii="Times New Roman" w:hAnsi="Times New Roman" w:eastAsia="仿宋_GB2312" w:cs="Times New Roman"/>
                <w:lang w:val="en-US" w:eastAsia="zh-CN"/>
              </w:rPr>
              <w:t>/h 满足要求，措施可行。</w:t>
            </w:r>
          </w:p>
          <w:p w14:paraId="2976C10C">
            <w:pPr>
              <w:keepNext w:val="0"/>
              <w:keepLines w:val="0"/>
              <w:pageBreakBefore w:val="0"/>
              <w:kinsoku/>
              <w:wordWrap/>
              <w:overflowPunct/>
              <w:topLinePunct w:val="0"/>
              <w:autoSpaceDE/>
              <w:autoSpaceDN/>
              <w:bidi w:val="0"/>
              <w:adjustRightInd w:val="0"/>
              <w:snapToGrid w:val="0"/>
              <w:spacing w:line="360" w:lineRule="auto"/>
              <w:ind w:firstLine="422" w:firstLineChars="200"/>
              <w:textAlignment w:val="auto"/>
              <w:rPr>
                <w:rFonts w:ascii="Times New Roman" w:hAnsi="Times New Roman" w:eastAsia="仿宋_GB2312" w:cs="Times New Roman"/>
                <w:b/>
                <w:bCs/>
              </w:rPr>
            </w:pPr>
            <w:r>
              <w:rPr>
                <w:rFonts w:hint="eastAsia" w:ascii="Times New Roman" w:hAnsi="Times New Roman" w:eastAsia="仿宋_GB2312" w:cs="Times New Roman"/>
                <w:b/>
                <w:bCs/>
                <w:lang w:val="en-US" w:eastAsia="zh-CN"/>
              </w:rPr>
              <w:t>1.3无组织废气</w:t>
            </w:r>
            <w:r>
              <w:rPr>
                <w:rFonts w:ascii="Times New Roman" w:hAnsi="Times New Roman" w:eastAsia="仿宋_GB2312" w:cs="Times New Roman"/>
                <w:b/>
                <w:bCs/>
              </w:rPr>
              <w:t>治理措施</w:t>
            </w:r>
          </w:p>
          <w:p w14:paraId="3F975EEF">
            <w:pPr>
              <w:adjustRightInd w:val="0"/>
              <w:snapToGrid w:val="0"/>
              <w:spacing w:line="360" w:lineRule="auto"/>
              <w:ind w:firstLine="420" w:firstLineChars="200"/>
              <w:rPr>
                <w:rFonts w:eastAsia="仿宋_GB2312"/>
                <w:bCs/>
                <w:kern w:val="0"/>
              </w:rPr>
            </w:pPr>
            <w:r>
              <w:rPr>
                <w:rFonts w:eastAsia="仿宋_GB2312"/>
                <w:bCs/>
                <w:kern w:val="0"/>
              </w:rPr>
              <w:t>本项目无组织废气来源于</w:t>
            </w:r>
            <w:r>
              <w:rPr>
                <w:rFonts w:hint="eastAsia" w:eastAsia="仿宋_GB2312"/>
                <w:bCs/>
                <w:kern w:val="0"/>
                <w:lang w:val="en-US" w:eastAsia="zh-CN"/>
              </w:rPr>
              <w:t>生产过程盐雾及储罐呼吸废气及</w:t>
            </w:r>
            <w:r>
              <w:rPr>
                <w:rFonts w:eastAsia="仿宋_GB2312"/>
                <w:bCs/>
                <w:kern w:val="0"/>
              </w:rPr>
              <w:t>设备维护过程中刷漆废气。</w:t>
            </w:r>
          </w:p>
          <w:p w14:paraId="43EAA3C4">
            <w:pPr>
              <w:adjustRightInd w:val="0"/>
              <w:snapToGrid w:val="0"/>
              <w:spacing w:line="360" w:lineRule="auto"/>
              <w:ind w:firstLine="420" w:firstLineChars="200"/>
              <w:rPr>
                <w:rFonts w:eastAsia="仿宋_GB2312"/>
                <w:bCs/>
                <w:kern w:val="0"/>
              </w:rPr>
            </w:pPr>
            <w:r>
              <w:rPr>
                <w:rFonts w:eastAsia="仿宋_GB2312"/>
                <w:bCs/>
                <w:kern w:val="0"/>
              </w:rPr>
              <w:t>针对项目的特点，应对无组织排放源加强管理，拟采取的控制措施有：</w:t>
            </w:r>
          </w:p>
          <w:p w14:paraId="6F668ED5">
            <w:pPr>
              <w:adjustRightInd w:val="0"/>
              <w:snapToGrid w:val="0"/>
              <w:spacing w:line="360" w:lineRule="auto"/>
              <w:ind w:firstLine="420" w:firstLineChars="200"/>
              <w:rPr>
                <w:rFonts w:eastAsia="仿宋_GB2312"/>
                <w:bCs/>
                <w:kern w:val="0"/>
              </w:rPr>
            </w:pPr>
            <w:r>
              <w:rPr>
                <w:rFonts w:hint="default" w:ascii="Times New Roman" w:hAnsi="Times New Roman" w:eastAsia="仿宋_GB2312" w:cs="Times New Roman"/>
                <w:kern w:val="2"/>
                <w:sz w:val="21"/>
                <w:szCs w:val="21"/>
                <w:lang w:val="en-US" w:eastAsia="zh-CN" w:bidi="ar-SA"/>
              </w:rPr>
              <w:t>1）</w:t>
            </w:r>
            <w:r>
              <w:rPr>
                <w:rFonts w:ascii="Times New Roman" w:hAnsi="Times New Roman" w:eastAsia="仿宋_GB2312" w:cs="Times New Roman"/>
                <w:kern w:val="2"/>
                <w:sz w:val="21"/>
                <w:szCs w:val="21"/>
                <w:lang w:val="en-US" w:eastAsia="zh-CN" w:bidi="ar-SA"/>
              </w:rPr>
              <w:t>尽可能采取密闭性措施，有效避免废气的外逸，</w:t>
            </w:r>
            <w:r>
              <w:rPr>
                <w:rFonts w:hint="default" w:ascii="Times New Roman" w:hAnsi="Times New Roman" w:eastAsia="仿宋_GB2312" w:cs="Times New Roman"/>
                <w:kern w:val="2"/>
                <w:sz w:val="21"/>
                <w:szCs w:val="21"/>
                <w:lang w:val="en-US" w:eastAsia="zh-CN" w:bidi="ar-SA"/>
              </w:rPr>
              <w:t>减少车间内无组织排放，同时车间内安装良好的净化通风设施，保持生产车间风机的正常运转；</w:t>
            </w:r>
          </w:p>
          <w:p w14:paraId="0A7D2B82">
            <w:pPr>
              <w:adjustRightInd w:val="0"/>
              <w:snapToGrid w:val="0"/>
              <w:spacing w:line="360" w:lineRule="auto"/>
              <w:ind w:firstLine="420" w:firstLineChars="200"/>
              <w:rPr>
                <w:rFonts w:eastAsia="仿宋_GB2312"/>
                <w:bCs/>
                <w:kern w:val="0"/>
              </w:rPr>
            </w:pPr>
            <w:r>
              <w:rPr>
                <w:rFonts w:hint="eastAsia" w:eastAsia="仿宋_GB2312"/>
                <w:bCs/>
                <w:kern w:val="0"/>
                <w:lang w:val="en-US" w:eastAsia="zh-CN"/>
              </w:rPr>
              <w:t>2</w:t>
            </w:r>
            <w:r>
              <w:rPr>
                <w:rFonts w:eastAsia="仿宋_GB2312"/>
                <w:bCs/>
                <w:kern w:val="0"/>
              </w:rPr>
              <w:t>）</w:t>
            </w:r>
            <w:r>
              <w:rPr>
                <w:rFonts w:eastAsia="仿宋_GB2312"/>
                <w:kern w:val="0"/>
              </w:rPr>
              <w:t>生产</w:t>
            </w:r>
            <w:r>
              <w:rPr>
                <w:rFonts w:eastAsia="仿宋_GB2312"/>
                <w:bCs/>
                <w:kern w:val="0"/>
              </w:rPr>
              <w:t>设备需要采购质量合格的产品，</w:t>
            </w:r>
            <w:r>
              <w:rPr>
                <w:rFonts w:hint="default" w:ascii="Times New Roman" w:hAnsi="Times New Roman" w:eastAsia="仿宋_GB2312" w:cs="Times New Roman"/>
                <w:kern w:val="2"/>
                <w:sz w:val="21"/>
                <w:szCs w:val="21"/>
                <w:lang w:val="en-US" w:eastAsia="zh-CN" w:bidi="ar-SA"/>
              </w:rPr>
              <w:t>并且定期检查、检修，尤其注意对集气管、吸气管路、阀门等关键部位的检查，保持装置密封性良好</w:t>
            </w:r>
          </w:p>
          <w:p w14:paraId="4F720453">
            <w:pPr>
              <w:adjustRightInd w:val="0"/>
              <w:snapToGrid w:val="0"/>
              <w:spacing w:line="360" w:lineRule="auto"/>
              <w:ind w:firstLine="420" w:firstLineChars="200"/>
              <w:rPr>
                <w:rFonts w:eastAsia="仿宋_GB2312"/>
                <w:bCs/>
                <w:kern w:val="0"/>
              </w:rPr>
            </w:pPr>
            <w:r>
              <w:rPr>
                <w:rFonts w:hint="eastAsia" w:eastAsia="仿宋_GB2312"/>
                <w:bCs/>
                <w:kern w:val="0"/>
                <w:lang w:val="en-US" w:eastAsia="zh-CN"/>
              </w:rPr>
              <w:t>3</w:t>
            </w:r>
            <w:r>
              <w:rPr>
                <w:rFonts w:eastAsia="仿宋_GB2312"/>
                <w:bCs/>
                <w:kern w:val="0"/>
              </w:rPr>
              <w:t>）使用环保型水性漆，不使用含高VOCs的涂料，减少补漆次数</w:t>
            </w:r>
            <w:r>
              <w:rPr>
                <w:rFonts w:hint="eastAsia" w:eastAsia="仿宋_GB2312"/>
                <w:bCs/>
                <w:kern w:val="0"/>
                <w:lang w:eastAsia="zh-CN"/>
              </w:rPr>
              <w:t>，</w:t>
            </w:r>
            <w:r>
              <w:rPr>
                <w:rFonts w:eastAsia="仿宋_GB2312"/>
                <w:bCs/>
                <w:kern w:val="0"/>
              </w:rPr>
              <w:t>减少对环境影响</w:t>
            </w:r>
            <w:r>
              <w:rPr>
                <w:rFonts w:eastAsia="仿宋_GB2312"/>
              </w:rPr>
              <w:t>。</w:t>
            </w:r>
          </w:p>
          <w:p w14:paraId="129BF50B">
            <w:pPr>
              <w:adjustRightInd w:val="0"/>
              <w:snapToGrid w:val="0"/>
              <w:spacing w:line="360" w:lineRule="auto"/>
              <w:ind w:firstLine="420" w:firstLineChars="200"/>
              <w:rPr>
                <w:rFonts w:eastAsia="仿宋_GB2312"/>
                <w:bCs/>
                <w:kern w:val="0"/>
              </w:rPr>
            </w:pPr>
            <w:r>
              <w:rPr>
                <w:rFonts w:hint="eastAsia" w:ascii="Times New Roman" w:hAnsi="Times New Roman" w:eastAsia="仿宋_GB2312" w:cs="Times New Roman"/>
                <w:kern w:val="2"/>
                <w:sz w:val="21"/>
                <w:szCs w:val="21"/>
                <w:lang w:val="en-US" w:eastAsia="zh-CN" w:bidi="ar-SA"/>
              </w:rPr>
              <w:t>4</w:t>
            </w:r>
            <w:r>
              <w:rPr>
                <w:rFonts w:hint="default" w:ascii="Times New Roman" w:hAnsi="Times New Roman" w:eastAsia="仿宋_GB2312" w:cs="Times New Roman"/>
                <w:kern w:val="2"/>
                <w:sz w:val="21"/>
                <w:szCs w:val="21"/>
                <w:lang w:val="en-US" w:eastAsia="zh-CN" w:bidi="ar-SA"/>
              </w:rPr>
              <w:t>）生产车间大部分工艺采用自动化控制系统，各项控制参数做到实时、无缝监控</w:t>
            </w:r>
            <w:r>
              <w:rPr>
                <w:rFonts w:hint="eastAsia" w:ascii="Times New Roman" w:hAnsi="Times New Roman" w:eastAsia="仿宋_GB2312" w:cs="Times New Roman"/>
                <w:kern w:val="2"/>
                <w:sz w:val="21"/>
                <w:szCs w:val="21"/>
                <w:lang w:val="en-US" w:eastAsia="zh-CN" w:bidi="ar-SA"/>
              </w:rPr>
              <w:t>，</w:t>
            </w:r>
            <w:r>
              <w:rPr>
                <w:rFonts w:ascii="Times New Roman" w:hAnsi="Times New Roman" w:eastAsia="仿宋_GB2312" w:cs="Times New Roman"/>
                <w:kern w:val="2"/>
                <w:sz w:val="21"/>
                <w:szCs w:val="21"/>
                <w:lang w:val="en-US" w:eastAsia="zh-CN" w:bidi="ar-SA"/>
              </w:rPr>
              <w:t>提高设备的密封性能，并严格控制系统的负压指标，有效避免废气的外逸</w:t>
            </w:r>
            <w:r>
              <w:rPr>
                <w:rFonts w:hint="default" w:ascii="Times New Roman" w:hAnsi="Times New Roman" w:eastAsia="仿宋_GB2312" w:cs="Times New Roman"/>
                <w:kern w:val="2"/>
                <w:sz w:val="21"/>
                <w:szCs w:val="21"/>
                <w:lang w:val="en-US" w:eastAsia="zh-CN" w:bidi="ar-SA"/>
              </w:rPr>
              <w:t>；</w:t>
            </w:r>
          </w:p>
          <w:p w14:paraId="085CB6E7">
            <w:pPr>
              <w:adjustRightInd w:val="0"/>
              <w:snapToGrid w:val="0"/>
              <w:spacing w:line="360" w:lineRule="auto"/>
              <w:ind w:firstLine="420" w:firstLineChars="200"/>
              <w:rPr>
                <w:rFonts w:eastAsia="仿宋_GB2312"/>
                <w:bCs/>
                <w:kern w:val="0"/>
              </w:rPr>
            </w:pPr>
            <w:r>
              <w:rPr>
                <w:rFonts w:hint="eastAsia" w:ascii="Times New Roman" w:hAnsi="Times New Roman" w:eastAsia="仿宋_GB2312" w:cs="Times New Roman"/>
                <w:kern w:val="2"/>
                <w:sz w:val="21"/>
                <w:szCs w:val="21"/>
                <w:lang w:val="en-US" w:eastAsia="zh-CN" w:bidi="ar-SA"/>
              </w:rPr>
              <w:t>5</w:t>
            </w:r>
            <w:r>
              <w:rPr>
                <w:rFonts w:hint="default" w:ascii="Times New Roman" w:hAnsi="Times New Roman" w:eastAsia="仿宋_GB2312" w:cs="Times New Roman"/>
                <w:kern w:val="2"/>
                <w:sz w:val="21"/>
                <w:szCs w:val="21"/>
                <w:lang w:val="en-US" w:eastAsia="zh-CN" w:bidi="ar-SA"/>
              </w:rPr>
              <w:t>）加强对工程技术人员及操作工的培训，熟悉各类物品的物化性质，熟练掌握操作规程，考核合格持上岗证方可上岗；加强劳动保护措施，以防各种辅料对操作工人产生毒害</w:t>
            </w:r>
          </w:p>
          <w:p w14:paraId="25B68FCB">
            <w:pPr>
              <w:adjustRightInd w:val="0"/>
              <w:snapToGrid w:val="0"/>
              <w:spacing w:line="360" w:lineRule="auto"/>
              <w:ind w:firstLine="420" w:firstLineChars="200"/>
              <w:rPr>
                <w:rFonts w:eastAsia="仿宋_GB2312"/>
                <w:bCs/>
                <w:kern w:val="0"/>
              </w:rPr>
            </w:pPr>
            <w:r>
              <w:rPr>
                <w:rFonts w:hint="eastAsia" w:ascii="Times New Roman" w:hAnsi="Times New Roman" w:eastAsia="仿宋_GB2312" w:cs="Times New Roman"/>
                <w:kern w:val="2"/>
                <w:sz w:val="21"/>
                <w:szCs w:val="21"/>
                <w:lang w:val="en-US" w:eastAsia="zh-CN" w:bidi="ar-SA"/>
              </w:rPr>
              <w:t>6</w:t>
            </w:r>
            <w:r>
              <w:rPr>
                <w:rFonts w:hint="default" w:ascii="Times New Roman" w:hAnsi="Times New Roman" w:eastAsia="仿宋_GB2312" w:cs="Times New Roman"/>
                <w:kern w:val="2"/>
                <w:sz w:val="21"/>
                <w:szCs w:val="21"/>
                <w:lang w:val="en-US" w:eastAsia="zh-CN" w:bidi="ar-SA"/>
              </w:rPr>
              <w:t>）完善各类规章制度，加强管理，所有操作严格按照操作规程进行；</w:t>
            </w:r>
          </w:p>
          <w:p w14:paraId="2EA38ED6">
            <w:pPr>
              <w:adjustRightInd w:val="0"/>
              <w:snapToGrid w:val="0"/>
              <w:spacing w:line="360" w:lineRule="auto"/>
              <w:ind w:firstLine="420" w:firstLineChars="200"/>
              <w:rPr>
                <w:rFonts w:eastAsia="仿宋_GB2312"/>
                <w:bCs/>
                <w:kern w:val="0"/>
              </w:rPr>
            </w:pPr>
            <w:r>
              <w:rPr>
                <w:rFonts w:hint="eastAsia" w:eastAsia="仿宋_GB2312"/>
                <w:bCs/>
                <w:kern w:val="0"/>
                <w:lang w:val="en-US" w:eastAsia="zh-CN"/>
              </w:rPr>
              <w:t>7</w:t>
            </w:r>
            <w:r>
              <w:rPr>
                <w:rFonts w:eastAsia="仿宋_GB2312"/>
                <w:bCs/>
                <w:kern w:val="0"/>
              </w:rPr>
              <w:t>）树木、花草可以阻滞扬尘、截留颗粒物，还有净化环境作用，减弱噪声，吸收有害气体，释放氧气等作用。因此企业应加强厂区及周边绿化，美化环境，阻滞颗粒物。</w:t>
            </w:r>
          </w:p>
          <w:p w14:paraId="5EEBBE0B">
            <w:pPr>
              <w:adjustRightInd w:val="0"/>
              <w:snapToGrid w:val="0"/>
              <w:spacing w:line="360" w:lineRule="auto"/>
              <w:ind w:firstLine="420" w:firstLineChars="200"/>
              <w:rPr>
                <w:rFonts w:eastAsia="仿宋_GB2312"/>
                <w:bCs/>
                <w:kern w:val="0"/>
              </w:rPr>
            </w:pPr>
            <w:r>
              <w:rPr>
                <w:rFonts w:hint="eastAsia" w:eastAsia="仿宋_GB2312"/>
                <w:bCs/>
                <w:kern w:val="0"/>
                <w:lang w:val="en-US" w:eastAsia="zh-CN"/>
              </w:rPr>
              <w:t>8</w:t>
            </w:r>
            <w:r>
              <w:rPr>
                <w:rFonts w:eastAsia="仿宋_GB2312"/>
                <w:bCs/>
                <w:kern w:val="0"/>
              </w:rPr>
              <w:t>）物料储存非甲烷总烃无组织排放控制要求、企业厂区内及周边污染监控要求需严格执行《挥发性有机物无组织排放控制标准》（GB37822-2019）中相关管理要求。</w:t>
            </w:r>
          </w:p>
          <w:p w14:paraId="29D6F9A2">
            <w:pPr>
              <w:pStyle w:val="8"/>
              <w:keepNext w:val="0"/>
              <w:keepLines w:val="0"/>
              <w:pageBreakBefore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仿宋_GB2312" w:cs="Times New Roman"/>
                <w:kern w:val="2"/>
                <w:sz w:val="21"/>
                <w:szCs w:val="21"/>
                <w:lang w:val="en-US" w:eastAsia="zh-CN" w:bidi="ar-SA"/>
              </w:rPr>
            </w:pPr>
            <w:r>
              <w:rPr>
                <w:rFonts w:hint="eastAsia" w:ascii="Times New Roman" w:hAnsi="Times New Roman" w:eastAsia="仿宋_GB2312" w:cs="Times New Roman"/>
                <w:kern w:val="2"/>
                <w:sz w:val="21"/>
                <w:szCs w:val="21"/>
                <w:lang w:val="en-US" w:eastAsia="zh-CN" w:bidi="ar-SA"/>
              </w:rPr>
              <w:t>9</w:t>
            </w:r>
            <w:r>
              <w:rPr>
                <w:rFonts w:hint="default" w:ascii="Times New Roman" w:hAnsi="Times New Roman" w:eastAsia="仿宋_GB2312" w:cs="Times New Roman"/>
                <w:kern w:val="2"/>
                <w:sz w:val="21"/>
                <w:szCs w:val="21"/>
                <w:lang w:val="en-US" w:eastAsia="zh-CN" w:bidi="ar-SA"/>
              </w:rPr>
              <w:t>）合</w:t>
            </w:r>
            <w:r>
              <w:rPr>
                <w:rFonts w:ascii="Times New Roman" w:hAnsi="Times New Roman" w:eastAsia="仿宋_GB2312" w:cs="Times New Roman"/>
                <w:kern w:val="2"/>
                <w:sz w:val="21"/>
                <w:szCs w:val="21"/>
                <w:lang w:val="en-US" w:eastAsia="zh-CN" w:bidi="ar-SA"/>
              </w:rPr>
              <w:t>理布置车间，将产生无组织废气的工序尽量布置在远离厂界的地方，以减少无组织废气对厂界周围环境的影响</w:t>
            </w:r>
            <w:r>
              <w:rPr>
                <w:rFonts w:hint="eastAsia" w:ascii="Times New Roman" w:hAnsi="Times New Roman" w:eastAsia="仿宋_GB2312" w:cs="Times New Roman"/>
                <w:kern w:val="2"/>
                <w:sz w:val="21"/>
                <w:szCs w:val="21"/>
                <w:lang w:val="en-US" w:eastAsia="zh-CN" w:bidi="ar-SA"/>
              </w:rPr>
              <w:t>。</w:t>
            </w:r>
          </w:p>
          <w:p w14:paraId="010EB8C3">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eastAsia="仿宋_GB2312"/>
                <w:b/>
                <w:bCs/>
              </w:rPr>
            </w:pPr>
            <w:r>
              <w:rPr>
                <w:rFonts w:ascii="Times New Roman" w:hAnsi="Times New Roman" w:eastAsia="仿宋_GB2312" w:cs="Times New Roman"/>
                <w:kern w:val="2"/>
                <w:sz w:val="21"/>
                <w:szCs w:val="21"/>
                <w:lang w:val="en-US" w:eastAsia="zh-CN" w:bidi="ar-SA"/>
              </w:rPr>
              <w:t>通过采取以上无组织排放控制措施，可减少本项目的无组织气体的排放，使污染物无组织排放量降低到较低的水平。通过预测，本项目无组织排放对大气环境及周边敏感目标的影响较小，不影响周边企业的生产、生活，无组织废气的控制措施可行。</w:t>
            </w:r>
          </w:p>
          <w:p w14:paraId="46A49D2B">
            <w:pPr>
              <w:keepNext w:val="0"/>
              <w:keepLines w:val="0"/>
              <w:pageBreakBefore w:val="0"/>
              <w:kinsoku/>
              <w:wordWrap/>
              <w:overflowPunct/>
              <w:topLinePunct w:val="0"/>
              <w:autoSpaceDE/>
              <w:autoSpaceDN/>
              <w:bidi w:val="0"/>
              <w:adjustRightInd w:val="0"/>
              <w:snapToGrid w:val="0"/>
              <w:spacing w:line="360" w:lineRule="auto"/>
              <w:ind w:firstLine="422" w:firstLineChars="200"/>
              <w:textAlignment w:val="auto"/>
              <w:rPr>
                <w:rFonts w:eastAsia="仿宋_GB2312"/>
                <w:b/>
                <w:bCs/>
              </w:rPr>
            </w:pPr>
            <w:r>
              <w:rPr>
                <w:rFonts w:eastAsia="仿宋_GB2312"/>
                <w:b/>
                <w:bCs/>
              </w:rPr>
              <w:t>1.</w:t>
            </w:r>
            <w:r>
              <w:rPr>
                <w:rFonts w:hint="eastAsia" w:eastAsia="仿宋_GB2312"/>
                <w:b/>
                <w:bCs/>
                <w:lang w:val="en-US" w:eastAsia="zh-CN"/>
              </w:rPr>
              <w:t>4</w:t>
            </w:r>
            <w:r>
              <w:rPr>
                <w:rFonts w:eastAsia="仿宋_GB2312"/>
                <w:b/>
                <w:bCs/>
              </w:rPr>
              <w:t>非正常工况废气排放情况说明</w:t>
            </w:r>
          </w:p>
          <w:p w14:paraId="734750DD">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eastAsia="仿宋_GB2312"/>
              </w:rPr>
            </w:pPr>
            <w:r>
              <w:rPr>
                <w:rFonts w:eastAsia="仿宋_GB2312"/>
              </w:rPr>
              <w:t>项目排放的废气主要污染物为颗粒物、HCl，非正常工况主要盐雾尾气吸收塔和酸雾尾气吸收塔发生故障。</w:t>
            </w:r>
          </w:p>
          <w:p w14:paraId="52CCE114">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eastAsia="仿宋_GB2312"/>
                <w:sz w:val="24"/>
                <w:szCs w:val="24"/>
              </w:rPr>
            </w:pPr>
            <w:r>
              <w:rPr>
                <w:rFonts w:eastAsia="仿宋_GB2312"/>
              </w:rPr>
              <w:t>非正常排放情况假设废气治理设施全部失效，非正常工况下污染物排放如下。</w:t>
            </w:r>
          </w:p>
          <w:p w14:paraId="761BF247">
            <w:pPr>
              <w:keepNext w:val="0"/>
              <w:keepLines w:val="0"/>
              <w:pageBreakBefore w:val="0"/>
              <w:widowControl w:val="0"/>
              <w:kinsoku/>
              <w:wordWrap/>
              <w:overflowPunct w:val="0"/>
              <w:topLinePunct w:val="0"/>
              <w:autoSpaceDE/>
              <w:autoSpaceDN/>
              <w:bidi w:val="0"/>
              <w:adjustRightInd w:val="0"/>
              <w:snapToGrid w:val="0"/>
              <w:ind w:left="-431"/>
              <w:jc w:val="center"/>
              <w:textAlignment w:val="auto"/>
              <w:outlineLvl w:val="9"/>
              <w:rPr>
                <w:rFonts w:eastAsia="仿宋_GB2312"/>
                <w:b/>
              </w:rPr>
            </w:pPr>
            <w:r>
              <w:rPr>
                <w:rFonts w:eastAsia="仿宋_GB2312"/>
                <w:b/>
              </w:rPr>
              <w:t>表4-1</w:t>
            </w:r>
            <w:r>
              <w:rPr>
                <w:rFonts w:hint="eastAsia" w:eastAsia="仿宋_GB2312"/>
                <w:b/>
                <w:lang w:val="en-US" w:eastAsia="zh-CN"/>
              </w:rPr>
              <w:t xml:space="preserve">9  </w:t>
            </w:r>
            <w:r>
              <w:rPr>
                <w:rFonts w:eastAsia="仿宋_GB2312"/>
                <w:b/>
              </w:rPr>
              <w:t>非正常工况下污染物排放情况</w:t>
            </w:r>
          </w:p>
          <w:tbl>
            <w:tblPr>
              <w:tblStyle w:val="3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90"/>
              <w:gridCol w:w="1199"/>
              <w:gridCol w:w="1101"/>
              <w:gridCol w:w="2131"/>
              <w:gridCol w:w="1386"/>
              <w:gridCol w:w="1386"/>
            </w:tblGrid>
            <w:tr w14:paraId="0FFBAE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759" w:type="pct"/>
                  <w:tcBorders>
                    <w:tl2br w:val="nil"/>
                    <w:tr2bl w:val="nil"/>
                  </w:tcBorders>
                  <w:vAlign w:val="center"/>
                </w:tcPr>
                <w:p w14:paraId="3876BE6B">
                  <w:pPr>
                    <w:snapToGrid w:val="0"/>
                    <w:spacing w:line="0" w:lineRule="atLeast"/>
                    <w:ind w:left="-63" w:leftChars="-30" w:right="-63" w:rightChars="-30"/>
                    <w:jc w:val="center"/>
                    <w:rPr>
                      <w:rFonts w:eastAsia="仿宋_GB2312"/>
                      <w:b/>
                      <w:bCs/>
                      <w:sz w:val="21"/>
                      <w:szCs w:val="21"/>
                    </w:rPr>
                  </w:pPr>
                  <w:r>
                    <w:rPr>
                      <w:rFonts w:eastAsia="仿宋_GB2312"/>
                      <w:b/>
                      <w:bCs/>
                      <w:sz w:val="21"/>
                      <w:szCs w:val="21"/>
                    </w:rPr>
                    <w:t>项目</w:t>
                  </w:r>
                </w:p>
              </w:tc>
              <w:tc>
                <w:tcPr>
                  <w:tcW w:w="705" w:type="pct"/>
                  <w:tcBorders>
                    <w:tl2br w:val="nil"/>
                    <w:tr2bl w:val="nil"/>
                  </w:tcBorders>
                  <w:vAlign w:val="center"/>
                </w:tcPr>
                <w:p w14:paraId="202D9E66">
                  <w:pPr>
                    <w:snapToGrid w:val="0"/>
                    <w:spacing w:line="0" w:lineRule="atLeast"/>
                    <w:ind w:left="-63" w:leftChars="-30" w:right="-63" w:rightChars="-30"/>
                    <w:jc w:val="center"/>
                    <w:rPr>
                      <w:rFonts w:eastAsia="仿宋_GB2312"/>
                      <w:b/>
                      <w:bCs/>
                      <w:sz w:val="21"/>
                      <w:szCs w:val="21"/>
                    </w:rPr>
                  </w:pPr>
                  <w:r>
                    <w:rPr>
                      <w:rFonts w:eastAsia="仿宋_GB2312"/>
                      <w:b/>
                      <w:bCs/>
                      <w:sz w:val="21"/>
                      <w:szCs w:val="21"/>
                    </w:rPr>
                    <w:t>污染物</w:t>
                  </w:r>
                </w:p>
              </w:tc>
              <w:tc>
                <w:tcPr>
                  <w:tcW w:w="648" w:type="pct"/>
                  <w:tcBorders>
                    <w:tl2br w:val="nil"/>
                    <w:tr2bl w:val="nil"/>
                  </w:tcBorders>
                  <w:vAlign w:val="center"/>
                </w:tcPr>
                <w:p w14:paraId="1D3EE772">
                  <w:pPr>
                    <w:snapToGrid w:val="0"/>
                    <w:spacing w:line="0" w:lineRule="atLeast"/>
                    <w:ind w:left="-63" w:leftChars="-30" w:right="-63" w:rightChars="-30"/>
                    <w:jc w:val="center"/>
                    <w:rPr>
                      <w:rFonts w:eastAsia="仿宋_GB2312"/>
                      <w:b/>
                      <w:bCs/>
                      <w:sz w:val="21"/>
                      <w:szCs w:val="21"/>
                    </w:rPr>
                  </w:pPr>
                  <w:r>
                    <w:rPr>
                      <w:rFonts w:eastAsia="仿宋_GB2312"/>
                      <w:b/>
                      <w:bCs/>
                      <w:sz w:val="21"/>
                      <w:szCs w:val="21"/>
                    </w:rPr>
                    <w:t>风量（m</w:t>
                  </w:r>
                  <w:r>
                    <w:rPr>
                      <w:rFonts w:eastAsia="仿宋_GB2312"/>
                      <w:b/>
                      <w:bCs/>
                      <w:sz w:val="21"/>
                      <w:szCs w:val="21"/>
                      <w:vertAlign w:val="superscript"/>
                    </w:rPr>
                    <w:t>3</w:t>
                  </w:r>
                  <w:r>
                    <w:rPr>
                      <w:rFonts w:eastAsia="仿宋_GB2312"/>
                      <w:b/>
                      <w:bCs/>
                      <w:sz w:val="21"/>
                      <w:szCs w:val="21"/>
                    </w:rPr>
                    <w:t>/h）</w:t>
                  </w:r>
                </w:p>
              </w:tc>
              <w:tc>
                <w:tcPr>
                  <w:tcW w:w="1254" w:type="pct"/>
                  <w:tcBorders>
                    <w:tl2br w:val="nil"/>
                    <w:tr2bl w:val="nil"/>
                  </w:tcBorders>
                  <w:vAlign w:val="center"/>
                </w:tcPr>
                <w:p w14:paraId="1645F645">
                  <w:pPr>
                    <w:snapToGrid w:val="0"/>
                    <w:spacing w:line="0" w:lineRule="atLeast"/>
                    <w:ind w:left="-63" w:leftChars="-30" w:right="-63" w:rightChars="-30"/>
                    <w:jc w:val="center"/>
                    <w:rPr>
                      <w:rFonts w:eastAsia="仿宋_GB2312"/>
                      <w:b/>
                      <w:bCs/>
                      <w:sz w:val="21"/>
                      <w:szCs w:val="21"/>
                    </w:rPr>
                  </w:pPr>
                  <w:r>
                    <w:rPr>
                      <w:rFonts w:eastAsia="仿宋_GB2312"/>
                      <w:b/>
                      <w:bCs/>
                      <w:sz w:val="21"/>
                      <w:szCs w:val="21"/>
                    </w:rPr>
                    <w:t>发生频次/持续时间</w:t>
                  </w:r>
                </w:p>
              </w:tc>
              <w:tc>
                <w:tcPr>
                  <w:tcW w:w="815" w:type="pct"/>
                  <w:tcBorders>
                    <w:tl2br w:val="nil"/>
                    <w:tr2bl w:val="nil"/>
                  </w:tcBorders>
                  <w:vAlign w:val="center"/>
                </w:tcPr>
                <w:p w14:paraId="07F9B862">
                  <w:pPr>
                    <w:snapToGrid w:val="0"/>
                    <w:spacing w:line="0" w:lineRule="atLeast"/>
                    <w:ind w:left="-63" w:leftChars="-30" w:right="-63" w:rightChars="-30"/>
                    <w:jc w:val="center"/>
                    <w:rPr>
                      <w:rFonts w:eastAsia="仿宋_GB2312"/>
                      <w:b/>
                      <w:bCs/>
                      <w:sz w:val="21"/>
                      <w:szCs w:val="21"/>
                    </w:rPr>
                  </w:pPr>
                  <w:r>
                    <w:rPr>
                      <w:rFonts w:eastAsia="仿宋_GB2312"/>
                      <w:b/>
                      <w:bCs/>
                      <w:sz w:val="21"/>
                      <w:szCs w:val="21"/>
                    </w:rPr>
                    <w:t>排放速率（kg/h）</w:t>
                  </w:r>
                </w:p>
              </w:tc>
              <w:tc>
                <w:tcPr>
                  <w:tcW w:w="815" w:type="pct"/>
                  <w:tcBorders>
                    <w:tl2br w:val="nil"/>
                    <w:tr2bl w:val="nil"/>
                  </w:tcBorders>
                  <w:vAlign w:val="center"/>
                </w:tcPr>
                <w:p w14:paraId="63BF4073">
                  <w:pPr>
                    <w:snapToGrid w:val="0"/>
                    <w:spacing w:line="0" w:lineRule="atLeast"/>
                    <w:ind w:left="-63" w:leftChars="-30" w:right="-63" w:rightChars="-30"/>
                    <w:jc w:val="center"/>
                    <w:rPr>
                      <w:rFonts w:eastAsia="仿宋_GB2312"/>
                      <w:b/>
                      <w:bCs/>
                      <w:sz w:val="21"/>
                      <w:szCs w:val="21"/>
                    </w:rPr>
                  </w:pPr>
                  <w:r>
                    <w:rPr>
                      <w:rFonts w:eastAsia="仿宋_GB2312"/>
                      <w:b/>
                      <w:bCs/>
                      <w:sz w:val="21"/>
                      <w:szCs w:val="21"/>
                    </w:rPr>
                    <w:t>排放浓度（mg/m</w:t>
                  </w:r>
                  <w:r>
                    <w:rPr>
                      <w:rFonts w:eastAsia="仿宋_GB2312"/>
                      <w:b/>
                      <w:bCs/>
                      <w:sz w:val="21"/>
                      <w:szCs w:val="21"/>
                      <w:vertAlign w:val="superscript"/>
                    </w:rPr>
                    <w:t>3</w:t>
                  </w:r>
                  <w:r>
                    <w:rPr>
                      <w:rFonts w:eastAsia="仿宋_GB2312"/>
                      <w:b/>
                      <w:bCs/>
                      <w:sz w:val="21"/>
                      <w:szCs w:val="21"/>
                    </w:rPr>
                    <w:t>）</w:t>
                  </w:r>
                </w:p>
              </w:tc>
            </w:tr>
            <w:tr w14:paraId="135DEE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759" w:type="pct"/>
                  <w:tcBorders>
                    <w:tl2br w:val="nil"/>
                    <w:tr2bl w:val="nil"/>
                  </w:tcBorders>
                  <w:vAlign w:val="center"/>
                </w:tcPr>
                <w:p w14:paraId="03A48645">
                  <w:pPr>
                    <w:snapToGrid w:val="0"/>
                    <w:spacing w:line="0" w:lineRule="atLeast"/>
                    <w:ind w:left="-63" w:leftChars="-30" w:right="-63" w:rightChars="-30"/>
                    <w:jc w:val="center"/>
                    <w:rPr>
                      <w:rFonts w:eastAsia="仿宋_GB2312"/>
                      <w:sz w:val="21"/>
                      <w:szCs w:val="21"/>
                    </w:rPr>
                  </w:pPr>
                  <w:r>
                    <w:rPr>
                      <w:rFonts w:eastAsia="仿宋_GB2312"/>
                      <w:sz w:val="21"/>
                      <w:szCs w:val="21"/>
                    </w:rPr>
                    <w:t>酸雾尾气吸收塔排口</w:t>
                  </w:r>
                </w:p>
              </w:tc>
              <w:tc>
                <w:tcPr>
                  <w:tcW w:w="705" w:type="pct"/>
                  <w:tcBorders>
                    <w:tl2br w:val="nil"/>
                    <w:tr2bl w:val="nil"/>
                  </w:tcBorders>
                  <w:vAlign w:val="center"/>
                </w:tcPr>
                <w:p w14:paraId="1983862F">
                  <w:pPr>
                    <w:snapToGrid w:val="0"/>
                    <w:spacing w:line="0" w:lineRule="atLeast"/>
                    <w:ind w:left="-63" w:leftChars="-30" w:right="-63" w:rightChars="-30"/>
                    <w:jc w:val="center"/>
                    <w:rPr>
                      <w:rFonts w:eastAsia="仿宋_GB2312"/>
                      <w:sz w:val="21"/>
                      <w:szCs w:val="21"/>
                    </w:rPr>
                  </w:pPr>
                  <w:r>
                    <w:rPr>
                      <w:rFonts w:eastAsia="仿宋_GB2312"/>
                      <w:sz w:val="21"/>
                      <w:szCs w:val="21"/>
                    </w:rPr>
                    <w:t>HCl</w:t>
                  </w:r>
                </w:p>
              </w:tc>
              <w:tc>
                <w:tcPr>
                  <w:tcW w:w="648" w:type="pct"/>
                  <w:tcBorders>
                    <w:tl2br w:val="nil"/>
                    <w:tr2bl w:val="nil"/>
                  </w:tcBorders>
                  <w:vAlign w:val="center"/>
                </w:tcPr>
                <w:p w14:paraId="78F8FB5D">
                  <w:pPr>
                    <w:snapToGrid w:val="0"/>
                    <w:spacing w:line="0" w:lineRule="atLeast"/>
                    <w:ind w:left="-63" w:leftChars="-30" w:right="-63" w:rightChars="-30"/>
                    <w:jc w:val="center"/>
                    <w:rPr>
                      <w:rFonts w:eastAsia="仿宋_GB2312"/>
                      <w:sz w:val="21"/>
                      <w:szCs w:val="21"/>
                    </w:rPr>
                  </w:pPr>
                  <w:r>
                    <w:rPr>
                      <w:rFonts w:hint="eastAsia" w:eastAsia="仿宋_GB2312"/>
                      <w:sz w:val="21"/>
                      <w:szCs w:val="21"/>
                      <w:lang w:val="en-US" w:eastAsia="zh-CN"/>
                    </w:rPr>
                    <w:t>1</w:t>
                  </w:r>
                  <w:r>
                    <w:rPr>
                      <w:rFonts w:eastAsia="仿宋_GB2312"/>
                      <w:sz w:val="21"/>
                      <w:szCs w:val="21"/>
                    </w:rPr>
                    <w:t>00</w:t>
                  </w:r>
                </w:p>
              </w:tc>
              <w:tc>
                <w:tcPr>
                  <w:tcW w:w="1254" w:type="pct"/>
                  <w:tcBorders>
                    <w:tl2br w:val="nil"/>
                    <w:tr2bl w:val="nil"/>
                  </w:tcBorders>
                  <w:vAlign w:val="center"/>
                </w:tcPr>
                <w:p w14:paraId="5A575F66">
                  <w:pPr>
                    <w:snapToGrid w:val="0"/>
                    <w:spacing w:line="0" w:lineRule="atLeast"/>
                    <w:ind w:left="-63" w:leftChars="-30" w:right="-63" w:rightChars="-30"/>
                    <w:jc w:val="center"/>
                    <w:rPr>
                      <w:rFonts w:eastAsia="仿宋_GB2312"/>
                      <w:sz w:val="21"/>
                      <w:szCs w:val="21"/>
                    </w:rPr>
                  </w:pPr>
                  <w:r>
                    <w:rPr>
                      <w:rFonts w:eastAsia="仿宋_GB2312"/>
                      <w:sz w:val="21"/>
                      <w:szCs w:val="21"/>
                    </w:rPr>
                    <w:t>＜1次/年，持续时间0.5h</w:t>
                  </w:r>
                </w:p>
              </w:tc>
              <w:tc>
                <w:tcPr>
                  <w:tcW w:w="815" w:type="pct"/>
                  <w:tcBorders>
                    <w:tl2br w:val="nil"/>
                    <w:tr2bl w:val="nil"/>
                  </w:tcBorders>
                  <w:vAlign w:val="center"/>
                </w:tcPr>
                <w:p w14:paraId="7F039391">
                  <w:pPr>
                    <w:snapToGrid w:val="0"/>
                    <w:spacing w:line="0" w:lineRule="atLeast"/>
                    <w:ind w:left="-63" w:leftChars="-30" w:right="-63" w:rightChars="-30"/>
                    <w:jc w:val="center"/>
                    <w:rPr>
                      <w:rFonts w:hint="default" w:eastAsia="仿宋_GB2312"/>
                      <w:sz w:val="21"/>
                      <w:szCs w:val="21"/>
                      <w:lang w:val="en-US" w:eastAsia="zh-CN"/>
                    </w:rPr>
                  </w:pPr>
                  <w:r>
                    <w:rPr>
                      <w:rFonts w:eastAsia="仿宋_GB2312"/>
                      <w:sz w:val="21"/>
                      <w:szCs w:val="21"/>
                    </w:rPr>
                    <w:t>0.0</w:t>
                  </w:r>
                  <w:r>
                    <w:rPr>
                      <w:rFonts w:hint="eastAsia" w:eastAsia="仿宋_GB2312"/>
                      <w:sz w:val="21"/>
                      <w:szCs w:val="21"/>
                      <w:lang w:val="en-US" w:eastAsia="zh-CN"/>
                    </w:rPr>
                    <w:t>24</w:t>
                  </w:r>
                </w:p>
              </w:tc>
              <w:tc>
                <w:tcPr>
                  <w:tcW w:w="815" w:type="pct"/>
                  <w:tcBorders>
                    <w:tl2br w:val="nil"/>
                    <w:tr2bl w:val="nil"/>
                  </w:tcBorders>
                  <w:vAlign w:val="center"/>
                </w:tcPr>
                <w:p w14:paraId="5B6BAFC3">
                  <w:pPr>
                    <w:snapToGrid w:val="0"/>
                    <w:spacing w:line="0" w:lineRule="atLeast"/>
                    <w:ind w:left="-63" w:leftChars="-30" w:right="-63" w:rightChars="-30"/>
                    <w:jc w:val="center"/>
                    <w:rPr>
                      <w:rFonts w:eastAsia="仿宋_GB2312"/>
                      <w:sz w:val="21"/>
                      <w:szCs w:val="21"/>
                    </w:rPr>
                  </w:pPr>
                  <w:r>
                    <w:rPr>
                      <w:rFonts w:eastAsia="仿宋_GB2312"/>
                      <w:sz w:val="21"/>
                      <w:szCs w:val="21"/>
                    </w:rPr>
                    <w:t>9.5</w:t>
                  </w:r>
                </w:p>
              </w:tc>
            </w:tr>
            <w:tr w14:paraId="3F7398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759" w:type="pct"/>
                  <w:tcBorders>
                    <w:tl2br w:val="nil"/>
                    <w:tr2bl w:val="nil"/>
                  </w:tcBorders>
                  <w:shd w:val="clear" w:color="auto" w:fill="auto"/>
                  <w:vAlign w:val="center"/>
                </w:tcPr>
                <w:p w14:paraId="68BFA9B9">
                  <w:pPr>
                    <w:snapToGrid w:val="0"/>
                    <w:spacing w:line="0" w:lineRule="atLeast"/>
                    <w:ind w:left="-63" w:leftChars="-30" w:right="-63" w:rightChars="-30"/>
                    <w:jc w:val="center"/>
                    <w:rPr>
                      <w:rFonts w:ascii="Times New Roman" w:hAnsi="Times New Roman" w:eastAsia="仿宋_GB2312" w:cs="Times New Roman"/>
                      <w:kern w:val="2"/>
                      <w:sz w:val="21"/>
                      <w:szCs w:val="21"/>
                      <w:lang w:val="en-US" w:eastAsia="zh-CN" w:bidi="ar-SA"/>
                    </w:rPr>
                  </w:pPr>
                  <w:r>
                    <w:rPr>
                      <w:rFonts w:eastAsia="仿宋_GB2312"/>
                      <w:sz w:val="21"/>
                      <w:szCs w:val="21"/>
                    </w:rPr>
                    <w:t>盐雾尾气吸收塔排口</w:t>
                  </w:r>
                </w:p>
              </w:tc>
              <w:tc>
                <w:tcPr>
                  <w:tcW w:w="705" w:type="pct"/>
                  <w:tcBorders>
                    <w:tl2br w:val="nil"/>
                    <w:tr2bl w:val="nil"/>
                  </w:tcBorders>
                  <w:shd w:val="clear" w:color="auto" w:fill="auto"/>
                  <w:vAlign w:val="center"/>
                </w:tcPr>
                <w:p w14:paraId="6EAABBF6">
                  <w:pPr>
                    <w:snapToGrid w:val="0"/>
                    <w:spacing w:line="0" w:lineRule="atLeast"/>
                    <w:ind w:left="-63" w:leftChars="-30" w:right="-63" w:rightChars="-30"/>
                    <w:jc w:val="center"/>
                    <w:rPr>
                      <w:rFonts w:ascii="Times New Roman" w:hAnsi="Times New Roman" w:eastAsia="仿宋_GB2312" w:cs="Times New Roman"/>
                      <w:kern w:val="2"/>
                      <w:sz w:val="21"/>
                      <w:szCs w:val="21"/>
                      <w:lang w:val="en-US" w:eastAsia="zh-CN" w:bidi="ar-SA"/>
                    </w:rPr>
                  </w:pPr>
                  <w:r>
                    <w:rPr>
                      <w:rFonts w:eastAsia="仿宋_GB2312"/>
                      <w:sz w:val="21"/>
                      <w:szCs w:val="21"/>
                    </w:rPr>
                    <w:t>颗粒物</w:t>
                  </w:r>
                </w:p>
              </w:tc>
              <w:tc>
                <w:tcPr>
                  <w:tcW w:w="648" w:type="pct"/>
                  <w:tcBorders>
                    <w:tl2br w:val="nil"/>
                    <w:tr2bl w:val="nil"/>
                  </w:tcBorders>
                  <w:shd w:val="clear" w:color="auto" w:fill="auto"/>
                  <w:vAlign w:val="center"/>
                </w:tcPr>
                <w:p w14:paraId="6D7A7C56">
                  <w:pPr>
                    <w:snapToGrid w:val="0"/>
                    <w:spacing w:line="0" w:lineRule="atLeast"/>
                    <w:ind w:left="-63" w:leftChars="-30" w:right="-63" w:rightChars="-30"/>
                    <w:jc w:val="center"/>
                    <w:rPr>
                      <w:rFonts w:ascii="Times New Roman" w:hAnsi="Times New Roman" w:eastAsia="仿宋_GB2312" w:cs="Times New Roman"/>
                      <w:kern w:val="2"/>
                      <w:sz w:val="21"/>
                      <w:szCs w:val="21"/>
                      <w:lang w:val="en-US" w:eastAsia="zh-CN" w:bidi="ar-SA"/>
                    </w:rPr>
                  </w:pPr>
                  <w:r>
                    <w:rPr>
                      <w:rFonts w:eastAsia="仿宋_GB2312"/>
                      <w:sz w:val="21"/>
                      <w:szCs w:val="21"/>
                    </w:rPr>
                    <w:t>3000</w:t>
                  </w:r>
                </w:p>
              </w:tc>
              <w:tc>
                <w:tcPr>
                  <w:tcW w:w="1254" w:type="pct"/>
                  <w:tcBorders>
                    <w:tl2br w:val="nil"/>
                    <w:tr2bl w:val="nil"/>
                  </w:tcBorders>
                  <w:shd w:val="clear" w:color="auto" w:fill="auto"/>
                  <w:vAlign w:val="center"/>
                </w:tcPr>
                <w:p w14:paraId="63F64BA2">
                  <w:pPr>
                    <w:snapToGrid w:val="0"/>
                    <w:spacing w:line="0" w:lineRule="atLeast"/>
                    <w:ind w:left="-63" w:leftChars="-30" w:right="-63" w:rightChars="-30"/>
                    <w:jc w:val="center"/>
                    <w:rPr>
                      <w:rFonts w:ascii="Times New Roman" w:hAnsi="Times New Roman" w:eastAsia="仿宋_GB2312" w:cs="Times New Roman"/>
                      <w:kern w:val="2"/>
                      <w:sz w:val="21"/>
                      <w:szCs w:val="21"/>
                      <w:lang w:val="en-US" w:eastAsia="zh-CN" w:bidi="ar-SA"/>
                    </w:rPr>
                  </w:pPr>
                  <w:r>
                    <w:rPr>
                      <w:rFonts w:eastAsia="仿宋_GB2312"/>
                      <w:sz w:val="21"/>
                      <w:szCs w:val="21"/>
                    </w:rPr>
                    <w:t>＜1次/年，持续时间0.5h</w:t>
                  </w:r>
                </w:p>
              </w:tc>
              <w:tc>
                <w:tcPr>
                  <w:tcW w:w="815" w:type="pct"/>
                  <w:tcBorders>
                    <w:tl2br w:val="nil"/>
                    <w:tr2bl w:val="nil"/>
                  </w:tcBorders>
                  <w:shd w:val="clear" w:color="auto" w:fill="auto"/>
                  <w:vAlign w:val="center"/>
                </w:tcPr>
                <w:p w14:paraId="35819FEF">
                  <w:pPr>
                    <w:snapToGrid w:val="0"/>
                    <w:spacing w:line="0" w:lineRule="atLeast"/>
                    <w:ind w:left="-63" w:leftChars="-30" w:right="-63" w:rightChars="-30"/>
                    <w:jc w:val="center"/>
                    <w:rPr>
                      <w:rFonts w:hint="default" w:ascii="Times New Roman" w:hAnsi="Times New Roman" w:eastAsia="仿宋_GB2312" w:cs="Times New Roman"/>
                      <w:kern w:val="2"/>
                      <w:sz w:val="21"/>
                      <w:szCs w:val="21"/>
                      <w:lang w:val="en-US" w:eastAsia="zh-CN" w:bidi="ar-SA"/>
                    </w:rPr>
                  </w:pPr>
                  <w:r>
                    <w:rPr>
                      <w:rFonts w:hint="eastAsia" w:eastAsia="仿宋_GB2312"/>
                      <w:sz w:val="21"/>
                      <w:szCs w:val="21"/>
                      <w:lang w:val="en-US" w:eastAsia="zh-CN"/>
                    </w:rPr>
                    <w:t>0.040</w:t>
                  </w:r>
                </w:p>
              </w:tc>
              <w:tc>
                <w:tcPr>
                  <w:tcW w:w="815" w:type="pct"/>
                  <w:tcBorders>
                    <w:tl2br w:val="nil"/>
                    <w:tr2bl w:val="nil"/>
                  </w:tcBorders>
                  <w:shd w:val="clear" w:color="auto" w:fill="auto"/>
                  <w:vAlign w:val="center"/>
                </w:tcPr>
                <w:p w14:paraId="6A7AA746">
                  <w:pPr>
                    <w:snapToGrid w:val="0"/>
                    <w:spacing w:line="0" w:lineRule="atLeast"/>
                    <w:ind w:left="-63" w:leftChars="-30" w:right="-63" w:rightChars="-30"/>
                    <w:jc w:val="center"/>
                    <w:rPr>
                      <w:rFonts w:hint="default" w:ascii="Times New Roman" w:hAnsi="Times New Roman" w:eastAsia="仿宋_GB2312" w:cs="Times New Roman"/>
                      <w:kern w:val="2"/>
                      <w:sz w:val="21"/>
                      <w:szCs w:val="21"/>
                      <w:lang w:val="en-US" w:eastAsia="zh-CN" w:bidi="ar-SA"/>
                    </w:rPr>
                  </w:pPr>
                  <w:r>
                    <w:rPr>
                      <w:rFonts w:hint="eastAsia" w:eastAsia="仿宋_GB2312"/>
                      <w:sz w:val="21"/>
                      <w:szCs w:val="21"/>
                      <w:lang w:val="en-US" w:eastAsia="zh-CN"/>
                    </w:rPr>
                    <w:t>13.0</w:t>
                  </w:r>
                </w:p>
              </w:tc>
            </w:tr>
          </w:tbl>
          <w:p w14:paraId="02A07D7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仿宋_GB2312"/>
              </w:rPr>
            </w:pPr>
            <w:r>
              <w:rPr>
                <w:rFonts w:eastAsia="仿宋_GB2312"/>
              </w:rPr>
              <w:t>经分析，非正常工况下，废气排放浓度明显增大，故若环保治理设施出现故障，应立即停产进行设施的维修，维修好后方可恢复运行。</w:t>
            </w:r>
          </w:p>
          <w:p w14:paraId="5525BF45">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eastAsia="仿宋_GB2312"/>
                <w:szCs w:val="24"/>
              </w:rPr>
            </w:pPr>
            <w:r>
              <w:rPr>
                <w:rFonts w:eastAsia="仿宋_GB2312"/>
                <w:b/>
                <w:bCs/>
              </w:rPr>
              <w:t>1.3废气监测情况分析</w:t>
            </w:r>
          </w:p>
          <w:p w14:paraId="084DDD7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仿宋_GB2312"/>
              </w:rPr>
            </w:pPr>
            <w:r>
              <w:rPr>
                <w:rFonts w:eastAsia="仿宋_GB2312"/>
              </w:rPr>
              <w:t>根据《排污许可证申请与核发技术规范 总则》（HJ 942-2018）</w:t>
            </w:r>
            <w:r>
              <w:rPr>
                <w:rFonts w:hint="eastAsia" w:eastAsia="仿宋_GB2312"/>
                <w:lang w:eastAsia="zh-CN"/>
              </w:rPr>
              <w:t>、《排污单位自行监测技术指南总则》（</w:t>
            </w:r>
            <w:r>
              <w:rPr>
                <w:rFonts w:hint="eastAsia" w:eastAsia="仿宋_GB2312"/>
                <w:lang w:val="en-US" w:eastAsia="zh-CN"/>
              </w:rPr>
              <w:t xml:space="preserve">HJ </w:t>
            </w:r>
            <w:r>
              <w:rPr>
                <w:rFonts w:hint="eastAsia" w:eastAsia="仿宋_GB2312"/>
                <w:lang w:eastAsia="zh-CN"/>
              </w:rPr>
              <w:t>819-2017）</w:t>
            </w:r>
            <w:r>
              <w:rPr>
                <w:rFonts w:eastAsia="仿宋_GB2312"/>
              </w:rPr>
              <w:t>的要求，排污单位可自行或委托第三方监测机构开展监测工作，并安排专人专职对监测数据进行记录、整理、统计和分析，对监测结果的真实性、准确性、完整性负责。手工监测时的生产负荷不低于本次监测与上一次监测周期内的平均生产负荷。</w:t>
            </w:r>
          </w:p>
          <w:p w14:paraId="13013B8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仿宋_GB2312"/>
              </w:rPr>
            </w:pPr>
            <w:r>
              <w:rPr>
                <w:rFonts w:eastAsia="仿宋_GB2312"/>
              </w:rPr>
              <w:t>本项目废气自行监测信息见下表。</w:t>
            </w:r>
          </w:p>
          <w:p w14:paraId="38AE114B">
            <w:pPr>
              <w:keepNext w:val="0"/>
              <w:keepLines w:val="0"/>
              <w:pageBreakBefore w:val="0"/>
              <w:widowControl w:val="0"/>
              <w:kinsoku/>
              <w:wordWrap/>
              <w:overflowPunct w:val="0"/>
              <w:topLinePunct w:val="0"/>
              <w:autoSpaceDE/>
              <w:autoSpaceDN/>
              <w:bidi w:val="0"/>
              <w:adjustRightInd w:val="0"/>
              <w:snapToGrid w:val="0"/>
              <w:spacing w:line="360" w:lineRule="auto"/>
              <w:ind w:left="0"/>
              <w:jc w:val="center"/>
              <w:textAlignment w:val="auto"/>
              <w:outlineLvl w:val="9"/>
              <w:rPr>
                <w:rFonts w:eastAsia="仿宋_GB2312"/>
                <w:b/>
              </w:rPr>
            </w:pPr>
            <w:r>
              <w:rPr>
                <w:rFonts w:eastAsia="仿宋_GB2312"/>
                <w:b/>
              </w:rPr>
              <w:t>表4-</w:t>
            </w:r>
            <w:r>
              <w:rPr>
                <w:rFonts w:hint="eastAsia" w:eastAsia="仿宋_GB2312"/>
                <w:b/>
                <w:lang w:val="en-US" w:eastAsia="zh-CN"/>
              </w:rPr>
              <w:t xml:space="preserve">20  </w:t>
            </w:r>
            <w:r>
              <w:rPr>
                <w:rFonts w:eastAsia="仿宋_GB2312"/>
                <w:b/>
              </w:rPr>
              <w:t>本项目废气监测基本情况表</w:t>
            </w:r>
          </w:p>
          <w:tbl>
            <w:tblPr>
              <w:tblStyle w:val="3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57" w:type="dxa"/>
                <w:left w:w="85" w:type="dxa"/>
                <w:bottom w:w="57" w:type="dxa"/>
                <w:right w:w="85" w:type="dxa"/>
              </w:tblCellMar>
            </w:tblPr>
            <w:tblGrid>
              <w:gridCol w:w="1077"/>
              <w:gridCol w:w="997"/>
              <w:gridCol w:w="1007"/>
              <w:gridCol w:w="1140"/>
              <w:gridCol w:w="4272"/>
            </w:tblGrid>
            <w:tr w14:paraId="7D4523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90" w:hRule="atLeast"/>
                <w:jc w:val="center"/>
              </w:trPr>
              <w:tc>
                <w:tcPr>
                  <w:tcW w:w="634" w:type="pct"/>
                  <w:tcBorders>
                    <w:tl2br w:val="nil"/>
                    <w:tr2bl w:val="nil"/>
                  </w:tcBorders>
                  <w:vAlign w:val="center"/>
                </w:tcPr>
                <w:p w14:paraId="2205FC77">
                  <w:pPr>
                    <w:keepNext w:val="0"/>
                    <w:keepLines w:val="0"/>
                    <w:pageBreakBefore w:val="0"/>
                    <w:widowControl w:val="0"/>
                    <w:kinsoku/>
                    <w:wordWrap/>
                    <w:overflowPunct/>
                    <w:topLinePunct w:val="0"/>
                    <w:bidi w:val="0"/>
                    <w:adjustRightInd w:val="0"/>
                    <w:snapToGrid w:val="0"/>
                    <w:jc w:val="center"/>
                    <w:rPr>
                      <w:rFonts w:hint="default" w:ascii="Times New Roman" w:hAnsi="Times New Roman" w:eastAsia="仿宋_GB2312" w:cs="Times New Roman"/>
                      <w:b/>
                      <w:bCs/>
                      <w:sz w:val="21"/>
                      <w:szCs w:val="21"/>
                    </w:rPr>
                  </w:pPr>
                  <w:r>
                    <w:rPr>
                      <w:rFonts w:hint="default" w:ascii="Times New Roman" w:hAnsi="Times New Roman" w:eastAsia="仿宋_GB2312" w:cs="Times New Roman"/>
                      <w:b/>
                      <w:bCs/>
                      <w:sz w:val="21"/>
                      <w:szCs w:val="21"/>
                    </w:rPr>
                    <w:t>监测位置</w:t>
                  </w:r>
                </w:p>
              </w:tc>
              <w:tc>
                <w:tcPr>
                  <w:tcW w:w="587" w:type="pct"/>
                  <w:tcBorders>
                    <w:tl2br w:val="nil"/>
                    <w:tr2bl w:val="nil"/>
                  </w:tcBorders>
                  <w:vAlign w:val="center"/>
                </w:tcPr>
                <w:p w14:paraId="05CA80BC">
                  <w:pPr>
                    <w:keepNext w:val="0"/>
                    <w:keepLines w:val="0"/>
                    <w:pageBreakBefore w:val="0"/>
                    <w:widowControl w:val="0"/>
                    <w:kinsoku/>
                    <w:wordWrap/>
                    <w:overflowPunct/>
                    <w:topLinePunct w:val="0"/>
                    <w:bidi w:val="0"/>
                    <w:adjustRightInd w:val="0"/>
                    <w:snapToGrid w:val="0"/>
                    <w:jc w:val="center"/>
                    <w:rPr>
                      <w:rFonts w:hint="default" w:ascii="Times New Roman" w:hAnsi="Times New Roman" w:eastAsia="仿宋_GB2312" w:cs="Times New Roman"/>
                      <w:b/>
                      <w:bCs/>
                      <w:sz w:val="21"/>
                      <w:szCs w:val="21"/>
                    </w:rPr>
                  </w:pPr>
                  <w:r>
                    <w:rPr>
                      <w:rFonts w:hint="default" w:ascii="Times New Roman" w:hAnsi="Times New Roman" w:eastAsia="仿宋_GB2312" w:cs="Times New Roman"/>
                      <w:b/>
                      <w:bCs/>
                      <w:sz w:val="21"/>
                      <w:szCs w:val="21"/>
                    </w:rPr>
                    <w:t>监测因子</w:t>
                  </w:r>
                </w:p>
              </w:tc>
              <w:tc>
                <w:tcPr>
                  <w:tcW w:w="593" w:type="pct"/>
                  <w:tcBorders>
                    <w:tl2br w:val="nil"/>
                    <w:tr2bl w:val="nil"/>
                  </w:tcBorders>
                  <w:vAlign w:val="center"/>
                </w:tcPr>
                <w:p w14:paraId="146F1D73">
                  <w:pPr>
                    <w:keepNext w:val="0"/>
                    <w:keepLines w:val="0"/>
                    <w:pageBreakBefore w:val="0"/>
                    <w:widowControl w:val="0"/>
                    <w:kinsoku/>
                    <w:wordWrap/>
                    <w:overflowPunct/>
                    <w:topLinePunct w:val="0"/>
                    <w:bidi w:val="0"/>
                    <w:adjustRightInd w:val="0"/>
                    <w:snapToGrid w:val="0"/>
                    <w:jc w:val="center"/>
                    <w:rPr>
                      <w:rFonts w:hint="default" w:ascii="Times New Roman" w:hAnsi="Times New Roman" w:eastAsia="仿宋_GB2312" w:cs="Times New Roman"/>
                      <w:b/>
                      <w:bCs/>
                      <w:sz w:val="21"/>
                      <w:szCs w:val="21"/>
                    </w:rPr>
                  </w:pPr>
                  <w:r>
                    <w:rPr>
                      <w:rFonts w:hint="default" w:ascii="Times New Roman" w:hAnsi="Times New Roman" w:eastAsia="仿宋_GB2312" w:cs="Times New Roman"/>
                      <w:b/>
                      <w:bCs/>
                      <w:sz w:val="21"/>
                      <w:szCs w:val="21"/>
                    </w:rPr>
                    <w:t>监测周期</w:t>
                  </w:r>
                </w:p>
              </w:tc>
              <w:tc>
                <w:tcPr>
                  <w:tcW w:w="671" w:type="pct"/>
                  <w:tcBorders>
                    <w:tl2br w:val="nil"/>
                    <w:tr2bl w:val="nil"/>
                  </w:tcBorders>
                  <w:vAlign w:val="center"/>
                </w:tcPr>
                <w:p w14:paraId="11E2A526">
                  <w:pPr>
                    <w:keepNext w:val="0"/>
                    <w:keepLines w:val="0"/>
                    <w:pageBreakBefore w:val="0"/>
                    <w:widowControl w:val="0"/>
                    <w:kinsoku/>
                    <w:wordWrap/>
                    <w:overflowPunct/>
                    <w:topLinePunct w:val="0"/>
                    <w:bidi w:val="0"/>
                    <w:adjustRightInd w:val="0"/>
                    <w:snapToGrid w:val="0"/>
                    <w:jc w:val="center"/>
                    <w:rPr>
                      <w:rFonts w:hint="default" w:ascii="Times New Roman" w:hAnsi="Times New Roman" w:eastAsia="仿宋_GB2312" w:cs="Times New Roman"/>
                      <w:b/>
                      <w:bCs/>
                      <w:sz w:val="21"/>
                      <w:szCs w:val="21"/>
                    </w:rPr>
                  </w:pPr>
                  <w:r>
                    <w:rPr>
                      <w:rFonts w:hint="default" w:ascii="Times New Roman" w:hAnsi="Times New Roman" w:eastAsia="仿宋_GB2312" w:cs="Times New Roman"/>
                      <w:b/>
                      <w:bCs/>
                      <w:sz w:val="21"/>
                      <w:szCs w:val="21"/>
                    </w:rPr>
                    <w:t>监测点位</w:t>
                  </w:r>
                </w:p>
              </w:tc>
              <w:tc>
                <w:tcPr>
                  <w:tcW w:w="2514" w:type="pct"/>
                  <w:tcBorders>
                    <w:tl2br w:val="nil"/>
                    <w:tr2bl w:val="nil"/>
                  </w:tcBorders>
                  <w:vAlign w:val="center"/>
                </w:tcPr>
                <w:p w14:paraId="1E836109">
                  <w:pPr>
                    <w:keepNext w:val="0"/>
                    <w:keepLines w:val="0"/>
                    <w:pageBreakBefore w:val="0"/>
                    <w:widowControl w:val="0"/>
                    <w:kinsoku/>
                    <w:wordWrap/>
                    <w:overflowPunct/>
                    <w:topLinePunct w:val="0"/>
                    <w:bidi w:val="0"/>
                    <w:adjustRightInd w:val="0"/>
                    <w:snapToGrid w:val="0"/>
                    <w:jc w:val="center"/>
                    <w:rPr>
                      <w:rFonts w:hint="default" w:ascii="Times New Roman" w:hAnsi="Times New Roman" w:eastAsia="仿宋_GB2312" w:cs="Times New Roman"/>
                      <w:b/>
                      <w:bCs/>
                      <w:sz w:val="21"/>
                      <w:szCs w:val="21"/>
                    </w:rPr>
                  </w:pPr>
                  <w:r>
                    <w:rPr>
                      <w:rFonts w:hint="default" w:ascii="Times New Roman" w:hAnsi="Times New Roman" w:eastAsia="仿宋_GB2312" w:cs="Times New Roman"/>
                      <w:b/>
                      <w:bCs/>
                      <w:sz w:val="21"/>
                      <w:szCs w:val="21"/>
                    </w:rPr>
                    <w:t>排放标准</w:t>
                  </w:r>
                </w:p>
              </w:tc>
            </w:tr>
            <w:tr w14:paraId="5450CE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85" w:type="dxa"/>
                  <w:bottom w:w="57" w:type="dxa"/>
                  <w:right w:w="85" w:type="dxa"/>
                </w:tblCellMar>
              </w:tblPrEx>
              <w:trPr>
                <w:trHeight w:val="246" w:hRule="atLeast"/>
                <w:jc w:val="center"/>
              </w:trPr>
              <w:tc>
                <w:tcPr>
                  <w:tcW w:w="634" w:type="pct"/>
                  <w:vMerge w:val="restart"/>
                  <w:tcBorders>
                    <w:tl2br w:val="nil"/>
                    <w:tr2bl w:val="nil"/>
                  </w:tcBorders>
                  <w:vAlign w:val="center"/>
                </w:tcPr>
                <w:p w14:paraId="6217EDB2">
                  <w:pPr>
                    <w:keepNext w:val="0"/>
                    <w:keepLines w:val="0"/>
                    <w:pageBreakBefore w:val="0"/>
                    <w:widowControl w:val="0"/>
                    <w:kinsoku/>
                    <w:wordWrap/>
                    <w:overflowPunct/>
                    <w:topLinePunct w:val="0"/>
                    <w:bidi w:val="0"/>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厂界</w:t>
                  </w:r>
                </w:p>
              </w:tc>
              <w:tc>
                <w:tcPr>
                  <w:tcW w:w="587" w:type="pct"/>
                  <w:tcBorders>
                    <w:tl2br w:val="nil"/>
                    <w:tr2bl w:val="nil"/>
                  </w:tcBorders>
                  <w:vAlign w:val="center"/>
                </w:tcPr>
                <w:p w14:paraId="34883565">
                  <w:pPr>
                    <w:keepNext w:val="0"/>
                    <w:keepLines w:val="0"/>
                    <w:pageBreakBefore w:val="0"/>
                    <w:widowControl w:val="0"/>
                    <w:kinsoku/>
                    <w:wordWrap/>
                    <w:overflowPunct/>
                    <w:topLinePunct w:val="0"/>
                    <w:bidi w:val="0"/>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颗粒物</w:t>
                  </w:r>
                </w:p>
              </w:tc>
              <w:tc>
                <w:tcPr>
                  <w:tcW w:w="593" w:type="pct"/>
                  <w:tcBorders>
                    <w:tl2br w:val="nil"/>
                    <w:tr2bl w:val="nil"/>
                  </w:tcBorders>
                  <w:vAlign w:val="center"/>
                </w:tcPr>
                <w:p w14:paraId="0866C012">
                  <w:pPr>
                    <w:keepNext w:val="0"/>
                    <w:keepLines w:val="0"/>
                    <w:pageBreakBefore w:val="0"/>
                    <w:widowControl w:val="0"/>
                    <w:kinsoku/>
                    <w:wordWrap/>
                    <w:overflowPunct/>
                    <w:topLinePunct w:val="0"/>
                    <w:bidi w:val="0"/>
                    <w:adjustRightInd w:val="0"/>
                    <w:snapToGrid w:val="0"/>
                    <w:jc w:val="center"/>
                    <w:rPr>
                      <w:rFonts w:hint="default" w:ascii="Times New Roman" w:hAnsi="Times New Roman" w:eastAsia="仿宋_GB2312" w:cs="Times New Roman"/>
                      <w:sz w:val="21"/>
                      <w:szCs w:val="21"/>
                    </w:rPr>
                  </w:pPr>
                  <w:r>
                    <w:rPr>
                      <w:rFonts w:hint="eastAsia" w:eastAsia="仿宋_GB2312" w:cs="Times New Roman"/>
                      <w:sz w:val="21"/>
                      <w:szCs w:val="21"/>
                      <w:lang w:val="en-US" w:eastAsia="zh-CN"/>
                    </w:rPr>
                    <w:t>1</w:t>
                  </w:r>
                  <w:r>
                    <w:rPr>
                      <w:rFonts w:hint="default" w:ascii="Times New Roman" w:hAnsi="Times New Roman" w:eastAsia="仿宋_GB2312" w:cs="Times New Roman"/>
                      <w:sz w:val="21"/>
                      <w:szCs w:val="21"/>
                    </w:rPr>
                    <w:t>次/年</w:t>
                  </w:r>
                </w:p>
              </w:tc>
              <w:tc>
                <w:tcPr>
                  <w:tcW w:w="671" w:type="pct"/>
                  <w:tcBorders>
                    <w:tl2br w:val="nil"/>
                    <w:tr2bl w:val="nil"/>
                  </w:tcBorders>
                  <w:vAlign w:val="center"/>
                </w:tcPr>
                <w:p w14:paraId="388ECB66">
                  <w:pPr>
                    <w:keepNext w:val="0"/>
                    <w:keepLines w:val="0"/>
                    <w:pageBreakBefore w:val="0"/>
                    <w:widowControl w:val="0"/>
                    <w:kinsoku/>
                    <w:wordWrap/>
                    <w:overflowPunct/>
                    <w:topLinePunct w:val="0"/>
                    <w:bidi w:val="0"/>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厂界四周</w:t>
                  </w:r>
                </w:p>
              </w:tc>
              <w:tc>
                <w:tcPr>
                  <w:tcW w:w="2514" w:type="pct"/>
                  <w:tcBorders>
                    <w:tl2br w:val="nil"/>
                    <w:tr2bl w:val="nil"/>
                  </w:tcBorders>
                  <w:vAlign w:val="center"/>
                </w:tcPr>
                <w:p w14:paraId="6A7BC0EA">
                  <w:pPr>
                    <w:keepNext w:val="0"/>
                    <w:keepLines w:val="0"/>
                    <w:pageBreakBefore w:val="0"/>
                    <w:widowControl w:val="0"/>
                    <w:kinsoku/>
                    <w:wordWrap/>
                    <w:overflowPunct/>
                    <w:topLinePunct w:val="0"/>
                    <w:bidi w:val="0"/>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《大气污染物综合排放标准》（DB32/4041-2021）表3周界浓度限值</w:t>
                  </w:r>
                  <w:r>
                    <w:rPr>
                      <w:rFonts w:hint="eastAsia" w:eastAsia="仿宋_GB2312" w:cs="Times New Roman"/>
                      <w:sz w:val="21"/>
                      <w:szCs w:val="21"/>
                      <w:lang w:val="en-US" w:eastAsia="zh-CN"/>
                    </w:rPr>
                    <w:t>0.5</w:t>
                  </w:r>
                  <w:r>
                    <w:rPr>
                      <w:rFonts w:hint="default" w:ascii="Times New Roman" w:hAnsi="Times New Roman" w:eastAsia="仿宋_GB2312" w:cs="Times New Roman"/>
                      <w:sz w:val="21"/>
                      <w:szCs w:val="21"/>
                    </w:rPr>
                    <w:t>mg/m</w:t>
                  </w:r>
                  <w:r>
                    <w:rPr>
                      <w:rFonts w:hint="default" w:ascii="Times New Roman" w:hAnsi="Times New Roman" w:eastAsia="仿宋_GB2312" w:cs="Times New Roman"/>
                      <w:sz w:val="21"/>
                      <w:szCs w:val="21"/>
                      <w:vertAlign w:val="superscript"/>
                    </w:rPr>
                    <w:t>3</w:t>
                  </w:r>
                </w:p>
              </w:tc>
            </w:tr>
            <w:tr w14:paraId="79262D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85" w:type="dxa"/>
                  <w:bottom w:w="57" w:type="dxa"/>
                  <w:right w:w="85" w:type="dxa"/>
                </w:tblCellMar>
              </w:tblPrEx>
              <w:trPr>
                <w:trHeight w:val="171" w:hRule="atLeast"/>
                <w:jc w:val="center"/>
              </w:trPr>
              <w:tc>
                <w:tcPr>
                  <w:tcW w:w="634" w:type="pct"/>
                  <w:vMerge w:val="continue"/>
                  <w:tcBorders>
                    <w:tl2br w:val="nil"/>
                    <w:tr2bl w:val="nil"/>
                  </w:tcBorders>
                  <w:vAlign w:val="center"/>
                </w:tcPr>
                <w:p w14:paraId="059BA843">
                  <w:pPr>
                    <w:keepNext w:val="0"/>
                    <w:keepLines w:val="0"/>
                    <w:pageBreakBefore w:val="0"/>
                    <w:widowControl w:val="0"/>
                    <w:kinsoku/>
                    <w:wordWrap/>
                    <w:overflowPunct/>
                    <w:topLinePunct w:val="0"/>
                    <w:bidi w:val="0"/>
                    <w:adjustRightInd w:val="0"/>
                    <w:snapToGrid w:val="0"/>
                    <w:jc w:val="center"/>
                    <w:rPr>
                      <w:rFonts w:hint="default" w:ascii="Times New Roman" w:hAnsi="Times New Roman" w:eastAsia="仿宋_GB2312" w:cs="Times New Roman"/>
                      <w:sz w:val="21"/>
                      <w:szCs w:val="21"/>
                    </w:rPr>
                  </w:pPr>
                </w:p>
              </w:tc>
              <w:tc>
                <w:tcPr>
                  <w:tcW w:w="587" w:type="pct"/>
                  <w:tcBorders>
                    <w:tl2br w:val="nil"/>
                    <w:tr2bl w:val="nil"/>
                  </w:tcBorders>
                  <w:vAlign w:val="center"/>
                </w:tcPr>
                <w:p w14:paraId="6886F1C1">
                  <w:pPr>
                    <w:keepNext w:val="0"/>
                    <w:keepLines w:val="0"/>
                    <w:pageBreakBefore w:val="0"/>
                    <w:widowControl w:val="0"/>
                    <w:kinsoku/>
                    <w:wordWrap/>
                    <w:overflowPunct/>
                    <w:topLinePunct w:val="0"/>
                    <w:bidi w:val="0"/>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HCl</w:t>
                  </w:r>
                </w:p>
              </w:tc>
              <w:tc>
                <w:tcPr>
                  <w:tcW w:w="593" w:type="pct"/>
                  <w:tcBorders>
                    <w:tl2br w:val="nil"/>
                    <w:tr2bl w:val="nil"/>
                  </w:tcBorders>
                  <w:vAlign w:val="center"/>
                </w:tcPr>
                <w:p w14:paraId="0936124E">
                  <w:pPr>
                    <w:keepNext w:val="0"/>
                    <w:keepLines w:val="0"/>
                    <w:pageBreakBefore w:val="0"/>
                    <w:widowControl w:val="0"/>
                    <w:kinsoku/>
                    <w:wordWrap/>
                    <w:overflowPunct/>
                    <w:topLinePunct w:val="0"/>
                    <w:bidi w:val="0"/>
                    <w:adjustRightInd w:val="0"/>
                    <w:snapToGrid w:val="0"/>
                    <w:jc w:val="center"/>
                    <w:rPr>
                      <w:rFonts w:hint="default" w:ascii="Times New Roman" w:hAnsi="Times New Roman" w:eastAsia="仿宋_GB2312" w:cs="Times New Roman"/>
                      <w:sz w:val="21"/>
                      <w:szCs w:val="21"/>
                    </w:rPr>
                  </w:pPr>
                  <w:r>
                    <w:rPr>
                      <w:rFonts w:hint="eastAsia" w:eastAsia="仿宋_GB2312" w:cs="Times New Roman"/>
                      <w:sz w:val="21"/>
                      <w:szCs w:val="21"/>
                      <w:lang w:val="en-US" w:eastAsia="zh-CN"/>
                    </w:rPr>
                    <w:t>1</w:t>
                  </w:r>
                  <w:r>
                    <w:rPr>
                      <w:rFonts w:hint="default" w:ascii="Times New Roman" w:hAnsi="Times New Roman" w:eastAsia="仿宋_GB2312" w:cs="Times New Roman"/>
                      <w:sz w:val="21"/>
                      <w:szCs w:val="21"/>
                    </w:rPr>
                    <w:t>次/年</w:t>
                  </w:r>
                </w:p>
              </w:tc>
              <w:tc>
                <w:tcPr>
                  <w:tcW w:w="671" w:type="pct"/>
                  <w:tcBorders>
                    <w:tl2br w:val="nil"/>
                    <w:tr2bl w:val="nil"/>
                  </w:tcBorders>
                  <w:vAlign w:val="center"/>
                </w:tcPr>
                <w:p w14:paraId="2D1C1506">
                  <w:pPr>
                    <w:keepNext w:val="0"/>
                    <w:keepLines w:val="0"/>
                    <w:pageBreakBefore w:val="0"/>
                    <w:widowControl w:val="0"/>
                    <w:kinsoku/>
                    <w:wordWrap/>
                    <w:overflowPunct/>
                    <w:topLinePunct w:val="0"/>
                    <w:bidi w:val="0"/>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厂界四周</w:t>
                  </w:r>
                </w:p>
              </w:tc>
              <w:tc>
                <w:tcPr>
                  <w:tcW w:w="2514" w:type="pct"/>
                  <w:tcBorders>
                    <w:tl2br w:val="nil"/>
                    <w:tr2bl w:val="nil"/>
                  </w:tcBorders>
                  <w:vAlign w:val="center"/>
                </w:tcPr>
                <w:p w14:paraId="7FF54442">
                  <w:pPr>
                    <w:keepNext w:val="0"/>
                    <w:keepLines w:val="0"/>
                    <w:pageBreakBefore w:val="0"/>
                    <w:widowControl w:val="0"/>
                    <w:kinsoku/>
                    <w:wordWrap/>
                    <w:overflowPunct/>
                    <w:topLinePunct w:val="0"/>
                    <w:bidi w:val="0"/>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《大气污染物综合排放标准》（DB32/4041-2021）表3周界浓度限值0.05mg/m</w:t>
                  </w:r>
                  <w:r>
                    <w:rPr>
                      <w:rFonts w:hint="default" w:ascii="Times New Roman" w:hAnsi="Times New Roman" w:eastAsia="仿宋_GB2312" w:cs="Times New Roman"/>
                      <w:sz w:val="21"/>
                      <w:szCs w:val="21"/>
                      <w:vertAlign w:val="superscript"/>
                    </w:rPr>
                    <w:t>3</w:t>
                  </w:r>
                </w:p>
              </w:tc>
            </w:tr>
            <w:tr w14:paraId="30150E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85" w:type="dxa"/>
                  <w:bottom w:w="57" w:type="dxa"/>
                  <w:right w:w="85" w:type="dxa"/>
                </w:tblCellMar>
              </w:tblPrEx>
              <w:trPr>
                <w:trHeight w:val="304" w:hRule="atLeast"/>
                <w:jc w:val="center"/>
              </w:trPr>
              <w:tc>
                <w:tcPr>
                  <w:tcW w:w="634" w:type="pct"/>
                  <w:vMerge w:val="continue"/>
                  <w:tcBorders>
                    <w:tl2br w:val="nil"/>
                    <w:tr2bl w:val="nil"/>
                  </w:tcBorders>
                  <w:vAlign w:val="center"/>
                </w:tcPr>
                <w:p w14:paraId="043817F0">
                  <w:pPr>
                    <w:keepNext w:val="0"/>
                    <w:keepLines w:val="0"/>
                    <w:pageBreakBefore w:val="0"/>
                    <w:widowControl w:val="0"/>
                    <w:kinsoku/>
                    <w:wordWrap/>
                    <w:overflowPunct/>
                    <w:topLinePunct w:val="0"/>
                    <w:bidi w:val="0"/>
                    <w:adjustRightInd w:val="0"/>
                    <w:snapToGrid w:val="0"/>
                    <w:jc w:val="center"/>
                    <w:rPr>
                      <w:rFonts w:hint="default" w:ascii="Times New Roman" w:hAnsi="Times New Roman" w:eastAsia="仿宋_GB2312" w:cs="Times New Roman"/>
                      <w:sz w:val="21"/>
                      <w:szCs w:val="21"/>
                    </w:rPr>
                  </w:pPr>
                </w:p>
              </w:tc>
              <w:tc>
                <w:tcPr>
                  <w:tcW w:w="587" w:type="pct"/>
                  <w:tcBorders>
                    <w:tl2br w:val="nil"/>
                    <w:tr2bl w:val="nil"/>
                  </w:tcBorders>
                  <w:vAlign w:val="center"/>
                </w:tcPr>
                <w:p w14:paraId="11DE8B8E">
                  <w:pPr>
                    <w:keepNext w:val="0"/>
                    <w:keepLines w:val="0"/>
                    <w:pageBreakBefore w:val="0"/>
                    <w:widowControl w:val="0"/>
                    <w:kinsoku/>
                    <w:wordWrap/>
                    <w:overflowPunct/>
                    <w:topLinePunct w:val="0"/>
                    <w:bidi w:val="0"/>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非甲烷总烃</w:t>
                  </w:r>
                </w:p>
              </w:tc>
              <w:tc>
                <w:tcPr>
                  <w:tcW w:w="593" w:type="pct"/>
                  <w:tcBorders>
                    <w:tl2br w:val="nil"/>
                    <w:tr2bl w:val="nil"/>
                  </w:tcBorders>
                  <w:vAlign w:val="center"/>
                </w:tcPr>
                <w:p w14:paraId="735342A7">
                  <w:pPr>
                    <w:keepNext w:val="0"/>
                    <w:keepLines w:val="0"/>
                    <w:pageBreakBefore w:val="0"/>
                    <w:widowControl w:val="0"/>
                    <w:kinsoku/>
                    <w:wordWrap/>
                    <w:overflowPunct/>
                    <w:topLinePunct w:val="0"/>
                    <w:bidi w:val="0"/>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1次/年</w:t>
                  </w:r>
                </w:p>
              </w:tc>
              <w:tc>
                <w:tcPr>
                  <w:tcW w:w="671" w:type="pct"/>
                  <w:tcBorders>
                    <w:tl2br w:val="nil"/>
                    <w:tr2bl w:val="nil"/>
                  </w:tcBorders>
                  <w:vAlign w:val="center"/>
                </w:tcPr>
                <w:p w14:paraId="4E7D03ED">
                  <w:pPr>
                    <w:keepNext w:val="0"/>
                    <w:keepLines w:val="0"/>
                    <w:pageBreakBefore w:val="0"/>
                    <w:widowControl w:val="0"/>
                    <w:kinsoku/>
                    <w:wordWrap/>
                    <w:overflowPunct/>
                    <w:topLinePunct w:val="0"/>
                    <w:autoSpaceDE w:val="0"/>
                    <w:autoSpaceDN w:val="0"/>
                    <w:bidi w:val="0"/>
                    <w:adjustRightInd w:val="0"/>
                    <w:jc w:val="center"/>
                    <w:textAlignment w:val="baseline"/>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厂界四周，上风向一个点，下风向三个点</w:t>
                  </w:r>
                </w:p>
              </w:tc>
              <w:tc>
                <w:tcPr>
                  <w:tcW w:w="2514" w:type="pct"/>
                  <w:tcBorders>
                    <w:tl2br w:val="nil"/>
                    <w:tr2bl w:val="nil"/>
                  </w:tcBorders>
                  <w:vAlign w:val="center"/>
                </w:tcPr>
                <w:p w14:paraId="7B0E5D0A">
                  <w:pPr>
                    <w:keepNext w:val="0"/>
                    <w:keepLines w:val="0"/>
                    <w:pageBreakBefore w:val="0"/>
                    <w:widowControl w:val="0"/>
                    <w:kinsoku/>
                    <w:wordWrap/>
                    <w:overflowPunct/>
                    <w:topLinePunct w:val="0"/>
                    <w:autoSpaceDE w:val="0"/>
                    <w:autoSpaceDN w:val="0"/>
                    <w:bidi w:val="0"/>
                    <w:adjustRightInd w:val="0"/>
                    <w:jc w:val="center"/>
                    <w:textAlignment w:val="baseline"/>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《大气污染物综合排放标准》（DB32/4041-2021）表2、表3中无组织排放监控浓度限值：周界外浓度最高点4mg/m</w:t>
                  </w:r>
                  <w:r>
                    <w:rPr>
                      <w:rFonts w:hint="default" w:ascii="Times New Roman" w:hAnsi="Times New Roman" w:eastAsia="仿宋_GB2312" w:cs="Times New Roman"/>
                      <w:sz w:val="21"/>
                      <w:szCs w:val="21"/>
                      <w:vertAlign w:val="superscript"/>
                    </w:rPr>
                    <w:t>3</w:t>
                  </w:r>
                  <w:r>
                    <w:rPr>
                      <w:rFonts w:hint="default" w:ascii="Times New Roman" w:hAnsi="Times New Roman" w:eastAsia="仿宋_GB2312" w:cs="Times New Roman"/>
                      <w:sz w:val="21"/>
                      <w:szCs w:val="21"/>
                    </w:rPr>
                    <w:t>、监控点处1h平均浓度值6mg/m</w:t>
                  </w:r>
                  <w:r>
                    <w:rPr>
                      <w:rFonts w:hint="default" w:ascii="Times New Roman" w:hAnsi="Times New Roman" w:eastAsia="仿宋_GB2312" w:cs="Times New Roman"/>
                      <w:sz w:val="21"/>
                      <w:szCs w:val="21"/>
                      <w:vertAlign w:val="superscript"/>
                    </w:rPr>
                    <w:t>3</w:t>
                  </w:r>
                  <w:r>
                    <w:rPr>
                      <w:rFonts w:hint="default" w:ascii="Times New Roman" w:hAnsi="Times New Roman" w:eastAsia="仿宋_GB2312" w:cs="Times New Roman"/>
                      <w:sz w:val="21"/>
                      <w:szCs w:val="21"/>
                    </w:rPr>
                    <w:t>、监控点处任意一次浓度值20mg/m</w:t>
                  </w:r>
                  <w:r>
                    <w:rPr>
                      <w:rFonts w:hint="default" w:ascii="Times New Roman" w:hAnsi="Times New Roman" w:eastAsia="仿宋_GB2312" w:cs="Times New Roman"/>
                      <w:sz w:val="21"/>
                      <w:szCs w:val="21"/>
                      <w:vertAlign w:val="superscript"/>
                    </w:rPr>
                    <w:t>3</w:t>
                  </w:r>
                </w:p>
              </w:tc>
            </w:tr>
          </w:tbl>
          <w:p w14:paraId="2C5E2F7E">
            <w:pPr>
              <w:pStyle w:val="72"/>
              <w:keepNext w:val="0"/>
              <w:keepLines w:val="0"/>
              <w:pageBreakBefore w:val="0"/>
              <w:widowControl w:val="0"/>
              <w:kinsoku/>
              <w:wordWrap/>
              <w:overflowPunct/>
              <w:topLinePunct w:val="0"/>
              <w:bidi w:val="0"/>
              <w:snapToGrid w:val="0"/>
              <w:spacing w:before="0" w:line="360" w:lineRule="auto"/>
              <w:ind w:firstLine="422"/>
              <w:jc w:val="both"/>
              <w:textAlignment w:val="auto"/>
              <w:rPr>
                <w:rFonts w:eastAsia="仿宋_GB2312"/>
                <w:b/>
                <w:kern w:val="24"/>
              </w:rPr>
            </w:pPr>
            <w:r>
              <w:rPr>
                <w:rFonts w:eastAsia="仿宋_GB2312"/>
                <w:b/>
                <w:kern w:val="24"/>
              </w:rPr>
              <w:t>1.4卫生防护距离</w:t>
            </w:r>
          </w:p>
          <w:p w14:paraId="3354FE0C">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both"/>
              <w:textAlignment w:val="auto"/>
              <w:rPr>
                <w:rFonts w:eastAsia="仿宋_GB2312"/>
                <w:kern w:val="24"/>
              </w:rPr>
            </w:pPr>
            <w:r>
              <w:rPr>
                <w:rFonts w:eastAsia="仿宋_GB2312"/>
                <w:kern w:val="0"/>
              </w:rPr>
              <w:t>1）计算公式</w:t>
            </w:r>
          </w:p>
          <w:p w14:paraId="77367DE0">
            <w:pPr>
              <w:pStyle w:val="72"/>
              <w:keepNext w:val="0"/>
              <w:keepLines w:val="0"/>
              <w:pageBreakBefore w:val="0"/>
              <w:widowControl w:val="0"/>
              <w:kinsoku/>
              <w:wordWrap/>
              <w:overflowPunct/>
              <w:topLinePunct w:val="0"/>
              <w:bidi w:val="0"/>
              <w:snapToGrid w:val="0"/>
              <w:spacing w:before="0" w:line="360" w:lineRule="auto"/>
              <w:ind w:firstLine="420"/>
              <w:jc w:val="both"/>
              <w:textAlignment w:val="auto"/>
              <w:rPr>
                <w:rFonts w:eastAsia="仿宋_GB2312"/>
                <w:kern w:val="24"/>
              </w:rPr>
            </w:pPr>
            <w:r>
              <w:rPr>
                <w:rFonts w:eastAsia="仿宋_GB2312"/>
                <w:kern w:val="24"/>
              </w:rPr>
              <w:t>根据《大气有害物质无组织排放 卫生防护距离推导技术导则》(GB/T39499-2020)规定，无组织生产单元外应设置卫生防护距离；其计算公式如下：</w:t>
            </w:r>
          </w:p>
          <w:p w14:paraId="0F0AFED1">
            <w:pPr>
              <w:pStyle w:val="72"/>
              <w:keepNext w:val="0"/>
              <w:keepLines w:val="0"/>
              <w:pageBreakBefore w:val="0"/>
              <w:widowControl w:val="0"/>
              <w:kinsoku/>
              <w:wordWrap/>
              <w:overflowPunct/>
              <w:topLinePunct w:val="0"/>
              <w:autoSpaceDE/>
              <w:autoSpaceDN/>
              <w:bidi w:val="0"/>
              <w:adjustRightInd/>
              <w:snapToGrid w:val="0"/>
              <w:spacing w:before="0" w:line="360" w:lineRule="auto"/>
              <w:ind w:firstLine="0" w:firstLineChars="0"/>
              <w:jc w:val="center"/>
              <w:textAlignment w:val="auto"/>
              <w:rPr>
                <w:rFonts w:eastAsia="仿宋_GB2312"/>
                <w:kern w:val="24"/>
              </w:rPr>
            </w:pPr>
            <w:r>
              <w:rPr>
                <w:rFonts w:eastAsia="仿宋_GB2312"/>
                <w:kern w:val="24"/>
              </w:rPr>
              <w:t>Qc/Cm=(BLc+0.25γ</w:t>
            </w:r>
            <w:r>
              <w:rPr>
                <w:rFonts w:eastAsia="仿宋_GB2312"/>
                <w:kern w:val="24"/>
                <w:vertAlign w:val="superscript"/>
              </w:rPr>
              <w:t>2</w:t>
            </w:r>
            <w:r>
              <w:rPr>
                <w:rFonts w:eastAsia="仿宋_GB2312"/>
                <w:kern w:val="24"/>
              </w:rPr>
              <w:t>)</w:t>
            </w:r>
            <w:r>
              <w:rPr>
                <w:rFonts w:eastAsia="仿宋_GB2312"/>
                <w:kern w:val="24"/>
                <w:vertAlign w:val="superscript"/>
              </w:rPr>
              <w:t>0.5</w:t>
            </w:r>
            <w:r>
              <w:rPr>
                <w:rFonts w:eastAsia="仿宋_GB2312"/>
                <w:kern w:val="24"/>
              </w:rPr>
              <w:t>L</w:t>
            </w:r>
            <w:r>
              <w:rPr>
                <w:rFonts w:eastAsia="仿宋_GB2312"/>
                <w:kern w:val="24"/>
                <w:vertAlign w:val="subscript"/>
              </w:rPr>
              <w:t>D</w:t>
            </w:r>
            <w:r>
              <w:rPr>
                <w:rFonts w:eastAsia="仿宋_GB2312"/>
                <w:kern w:val="24"/>
              </w:rPr>
              <w:t>/A</w:t>
            </w:r>
          </w:p>
          <w:p w14:paraId="07262503">
            <w:pPr>
              <w:pStyle w:val="72"/>
              <w:keepNext w:val="0"/>
              <w:keepLines w:val="0"/>
              <w:pageBreakBefore w:val="0"/>
              <w:widowControl w:val="0"/>
              <w:kinsoku/>
              <w:wordWrap/>
              <w:overflowPunct/>
              <w:topLinePunct w:val="0"/>
              <w:bidi w:val="0"/>
              <w:snapToGrid w:val="0"/>
              <w:spacing w:before="0" w:line="360" w:lineRule="auto"/>
              <w:ind w:firstLine="420"/>
              <w:jc w:val="both"/>
              <w:textAlignment w:val="auto"/>
              <w:rPr>
                <w:rFonts w:eastAsia="仿宋_GB2312"/>
                <w:kern w:val="24"/>
              </w:rPr>
            </w:pPr>
            <w:r>
              <w:rPr>
                <w:rFonts w:eastAsia="仿宋_GB2312"/>
                <w:kern w:val="24"/>
              </w:rPr>
              <w:t>式中：</w:t>
            </w:r>
          </w:p>
          <w:p w14:paraId="55625EE3">
            <w:pPr>
              <w:pStyle w:val="72"/>
              <w:keepNext w:val="0"/>
              <w:keepLines w:val="0"/>
              <w:pageBreakBefore w:val="0"/>
              <w:widowControl w:val="0"/>
              <w:kinsoku/>
              <w:wordWrap/>
              <w:overflowPunct/>
              <w:topLinePunct w:val="0"/>
              <w:bidi w:val="0"/>
              <w:snapToGrid w:val="0"/>
              <w:spacing w:before="0" w:line="360" w:lineRule="auto"/>
              <w:ind w:firstLine="420"/>
              <w:jc w:val="both"/>
              <w:textAlignment w:val="auto"/>
              <w:rPr>
                <w:rFonts w:eastAsia="仿宋_GB2312"/>
                <w:kern w:val="24"/>
              </w:rPr>
            </w:pPr>
            <w:r>
              <w:rPr>
                <w:rFonts w:eastAsia="仿宋_GB2312"/>
                <w:kern w:val="24"/>
              </w:rPr>
              <w:t>A、B、C、D——卫生防护距离计算系数；</w:t>
            </w:r>
          </w:p>
          <w:p w14:paraId="5AB7C986">
            <w:pPr>
              <w:pStyle w:val="72"/>
              <w:keepNext w:val="0"/>
              <w:keepLines w:val="0"/>
              <w:pageBreakBefore w:val="0"/>
              <w:widowControl w:val="0"/>
              <w:kinsoku/>
              <w:wordWrap/>
              <w:overflowPunct/>
              <w:topLinePunct w:val="0"/>
              <w:bidi w:val="0"/>
              <w:snapToGrid w:val="0"/>
              <w:spacing w:before="0" w:line="360" w:lineRule="auto"/>
              <w:ind w:firstLine="420"/>
              <w:jc w:val="both"/>
              <w:textAlignment w:val="auto"/>
              <w:rPr>
                <w:rFonts w:eastAsia="仿宋_GB2312"/>
                <w:kern w:val="24"/>
              </w:rPr>
            </w:pPr>
            <w:r>
              <w:rPr>
                <w:rFonts w:eastAsia="仿宋_GB2312"/>
                <w:kern w:val="24"/>
              </w:rPr>
              <w:t>Cm—环境空气一次浓度标准限值，mg/m</w:t>
            </w:r>
            <w:r>
              <w:rPr>
                <w:rFonts w:eastAsia="仿宋_GB2312"/>
                <w:kern w:val="24"/>
                <w:vertAlign w:val="superscript"/>
              </w:rPr>
              <w:t>3</w:t>
            </w:r>
            <w:r>
              <w:rPr>
                <w:rFonts w:eastAsia="仿宋_GB2312"/>
                <w:kern w:val="24"/>
              </w:rPr>
              <w:t>；</w:t>
            </w:r>
          </w:p>
          <w:p w14:paraId="5702423B">
            <w:pPr>
              <w:pStyle w:val="72"/>
              <w:keepNext w:val="0"/>
              <w:keepLines w:val="0"/>
              <w:pageBreakBefore w:val="0"/>
              <w:widowControl w:val="0"/>
              <w:kinsoku/>
              <w:wordWrap/>
              <w:overflowPunct/>
              <w:topLinePunct w:val="0"/>
              <w:bidi w:val="0"/>
              <w:snapToGrid w:val="0"/>
              <w:spacing w:before="0" w:line="360" w:lineRule="auto"/>
              <w:ind w:firstLine="420"/>
              <w:jc w:val="both"/>
              <w:textAlignment w:val="auto"/>
              <w:rPr>
                <w:rFonts w:eastAsia="仿宋_GB2312"/>
                <w:kern w:val="24"/>
              </w:rPr>
            </w:pPr>
            <w:r>
              <w:rPr>
                <w:rFonts w:eastAsia="仿宋_GB2312"/>
                <w:kern w:val="24"/>
              </w:rPr>
              <w:t>Qc—有害气体无组织排放量可以达到的控制水平，kg/h；</w:t>
            </w:r>
          </w:p>
          <w:p w14:paraId="6BB01A52">
            <w:pPr>
              <w:pStyle w:val="72"/>
              <w:keepNext w:val="0"/>
              <w:keepLines w:val="0"/>
              <w:pageBreakBefore w:val="0"/>
              <w:widowControl w:val="0"/>
              <w:kinsoku/>
              <w:wordWrap/>
              <w:overflowPunct/>
              <w:topLinePunct w:val="0"/>
              <w:bidi w:val="0"/>
              <w:snapToGrid w:val="0"/>
              <w:spacing w:before="0" w:line="360" w:lineRule="auto"/>
              <w:ind w:firstLine="420"/>
              <w:jc w:val="both"/>
              <w:textAlignment w:val="auto"/>
              <w:rPr>
                <w:rFonts w:eastAsia="仿宋_GB2312"/>
                <w:kern w:val="24"/>
              </w:rPr>
            </w:pPr>
            <w:r>
              <w:rPr>
                <w:rFonts w:eastAsia="仿宋_GB2312"/>
                <w:kern w:val="24"/>
              </w:rPr>
              <w:t>r—有害气体无组织排放源的等效半径，r=（S/π）</w:t>
            </w:r>
            <w:r>
              <w:rPr>
                <w:rFonts w:eastAsia="仿宋_GB2312"/>
                <w:kern w:val="24"/>
                <w:vertAlign w:val="superscript"/>
              </w:rPr>
              <w:t>0.5</w:t>
            </w:r>
            <w:r>
              <w:rPr>
                <w:rFonts w:eastAsia="仿宋_GB2312"/>
                <w:kern w:val="24"/>
              </w:rPr>
              <w:t>m；</w:t>
            </w:r>
          </w:p>
          <w:p w14:paraId="69AB2C9D">
            <w:pPr>
              <w:pStyle w:val="72"/>
              <w:keepNext w:val="0"/>
              <w:keepLines w:val="0"/>
              <w:pageBreakBefore w:val="0"/>
              <w:widowControl w:val="0"/>
              <w:kinsoku/>
              <w:wordWrap/>
              <w:overflowPunct/>
              <w:topLinePunct w:val="0"/>
              <w:bidi w:val="0"/>
              <w:snapToGrid w:val="0"/>
              <w:spacing w:before="0" w:line="360" w:lineRule="auto"/>
              <w:ind w:firstLine="420"/>
              <w:jc w:val="both"/>
              <w:textAlignment w:val="auto"/>
              <w:rPr>
                <w:rFonts w:eastAsia="仿宋_GB2312"/>
                <w:kern w:val="24"/>
              </w:rPr>
            </w:pPr>
            <w:r>
              <w:rPr>
                <w:rFonts w:eastAsia="仿宋_GB2312"/>
                <w:kern w:val="24"/>
              </w:rPr>
              <w:t>L—安全卫生防护距离，m。</w:t>
            </w:r>
          </w:p>
          <w:p w14:paraId="4D92E6AD">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both"/>
              <w:textAlignment w:val="auto"/>
              <w:rPr>
                <w:rFonts w:eastAsia="仿宋_GB2312"/>
                <w:kern w:val="0"/>
              </w:rPr>
            </w:pPr>
            <w:r>
              <w:rPr>
                <w:rFonts w:eastAsia="仿宋_GB2312"/>
                <w:kern w:val="0"/>
              </w:rPr>
              <w:t>2）参数选取</w:t>
            </w:r>
          </w:p>
          <w:p w14:paraId="134971E0">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both"/>
              <w:textAlignment w:val="auto"/>
              <w:rPr>
                <w:rFonts w:eastAsia="仿宋_GB2312"/>
                <w:kern w:val="0"/>
              </w:rPr>
            </w:pPr>
            <w:r>
              <w:rPr>
                <w:rFonts w:eastAsia="仿宋_GB2312"/>
                <w:kern w:val="0"/>
              </w:rPr>
              <w:t>排放多种有害气体时，按Q</w:t>
            </w:r>
            <w:r>
              <w:rPr>
                <w:rFonts w:eastAsia="仿宋_GB2312"/>
                <w:kern w:val="0"/>
                <w:vertAlign w:val="subscript"/>
              </w:rPr>
              <w:t>c</w:t>
            </w:r>
            <w:r>
              <w:rPr>
                <w:rFonts w:eastAsia="仿宋_GB2312"/>
                <w:kern w:val="0"/>
              </w:rPr>
              <w:t>/C</w:t>
            </w:r>
            <w:r>
              <w:rPr>
                <w:rFonts w:eastAsia="仿宋_GB2312"/>
                <w:kern w:val="0"/>
                <w:vertAlign w:val="subscript"/>
              </w:rPr>
              <w:t>n</w:t>
            </w:r>
            <w:r>
              <w:rPr>
                <w:rFonts w:eastAsia="仿宋_GB2312"/>
                <w:kern w:val="0"/>
              </w:rPr>
              <w:t>的最大值计算其所需的卫生防护距离。卫生防护距离在100m内时，级差为50m；超过100m，但小于1000m时，级差为100m。当按两种或两种以上有害气体的Q</w:t>
            </w:r>
            <w:r>
              <w:rPr>
                <w:rFonts w:eastAsia="仿宋_GB2312"/>
                <w:kern w:val="0"/>
                <w:vertAlign w:val="subscript"/>
              </w:rPr>
              <w:t>c</w:t>
            </w:r>
            <w:r>
              <w:rPr>
                <w:rFonts w:eastAsia="仿宋_GB2312"/>
                <w:kern w:val="0"/>
              </w:rPr>
              <w:t>/C</w:t>
            </w:r>
            <w:r>
              <w:rPr>
                <w:rFonts w:eastAsia="仿宋_GB2312"/>
                <w:kern w:val="0"/>
                <w:vertAlign w:val="subscript"/>
              </w:rPr>
              <w:t>n</w:t>
            </w:r>
            <w:r>
              <w:rPr>
                <w:rFonts w:eastAsia="仿宋_GB2312"/>
                <w:kern w:val="0"/>
              </w:rPr>
              <w:t>，计算卫生防护距离在同一级别时，该类工业企业的卫生防护距离提高一级。常州市金坛区长期平均风速为2.9米/秒，A、B、C、D值的选取见表4-</w:t>
            </w:r>
            <w:r>
              <w:rPr>
                <w:rFonts w:hint="eastAsia" w:eastAsia="仿宋_GB2312"/>
                <w:kern w:val="0"/>
                <w:lang w:val="en-US" w:eastAsia="zh-CN"/>
              </w:rPr>
              <w:t>19</w:t>
            </w:r>
            <w:r>
              <w:rPr>
                <w:rFonts w:eastAsia="仿宋_GB2312"/>
                <w:kern w:val="0"/>
              </w:rPr>
              <w:t>。</w:t>
            </w:r>
          </w:p>
          <w:p w14:paraId="426545AF">
            <w:pPr>
              <w:tabs>
                <w:tab w:val="left" w:pos="6075"/>
              </w:tabs>
              <w:adjustRightInd w:val="0"/>
              <w:snapToGrid w:val="0"/>
              <w:jc w:val="center"/>
              <w:rPr>
                <w:rFonts w:eastAsia="仿宋_GB2312"/>
                <w:b/>
              </w:rPr>
            </w:pPr>
            <w:r>
              <w:rPr>
                <w:rFonts w:eastAsia="仿宋_GB2312"/>
                <w:b/>
              </w:rPr>
              <w:t>表4-</w:t>
            </w:r>
            <w:r>
              <w:rPr>
                <w:rFonts w:hint="eastAsia" w:eastAsia="仿宋_GB2312"/>
                <w:b/>
                <w:lang w:val="en-US" w:eastAsia="zh-CN"/>
              </w:rPr>
              <w:t xml:space="preserve">21  </w:t>
            </w:r>
            <w:r>
              <w:rPr>
                <w:rFonts w:eastAsia="仿宋_GB2312"/>
                <w:b/>
              </w:rPr>
              <w:t>卫生防护距离计算系数（无组织排放）</w:t>
            </w:r>
          </w:p>
          <w:tbl>
            <w:tblPr>
              <w:tblStyle w:val="31"/>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0" w:type="dxa"/>
                <w:bottom w:w="0" w:type="dxa"/>
                <w:right w:w="0" w:type="dxa"/>
              </w:tblCellMar>
            </w:tblPr>
            <w:tblGrid>
              <w:gridCol w:w="1338"/>
              <w:gridCol w:w="1553"/>
              <w:gridCol w:w="600"/>
              <w:gridCol w:w="783"/>
              <w:gridCol w:w="603"/>
              <w:gridCol w:w="600"/>
              <w:gridCol w:w="600"/>
              <w:gridCol w:w="603"/>
              <w:gridCol w:w="600"/>
              <w:gridCol w:w="600"/>
              <w:gridCol w:w="612"/>
            </w:tblGrid>
            <w:tr w14:paraId="0A73E372">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0" w:type="dxa"/>
                  <w:bottom w:w="0" w:type="dxa"/>
                  <w:right w:w="0" w:type="dxa"/>
                </w:tblCellMar>
              </w:tblPrEx>
              <w:trPr>
                <w:cantSplit/>
                <w:jc w:val="center"/>
              </w:trPr>
              <w:tc>
                <w:tcPr>
                  <w:tcW w:w="789" w:type="pct"/>
                  <w:vMerge w:val="restart"/>
                  <w:tcMar>
                    <w:top w:w="15" w:type="dxa"/>
                    <w:left w:w="15" w:type="dxa"/>
                    <w:bottom w:w="0" w:type="dxa"/>
                    <w:right w:w="15" w:type="dxa"/>
                  </w:tcMar>
                  <w:vAlign w:val="center"/>
                </w:tcPr>
                <w:p w14:paraId="5048BC5D">
                  <w:pPr>
                    <w:adjustRightInd w:val="0"/>
                    <w:snapToGrid w:val="0"/>
                    <w:jc w:val="center"/>
                    <w:rPr>
                      <w:rFonts w:eastAsia="仿宋_GB2312"/>
                      <w:kern w:val="0"/>
                      <w:sz w:val="21"/>
                      <w:szCs w:val="21"/>
                    </w:rPr>
                  </w:pPr>
                  <w:r>
                    <w:rPr>
                      <w:rFonts w:eastAsia="仿宋_GB2312"/>
                      <w:kern w:val="0"/>
                      <w:sz w:val="21"/>
                      <w:szCs w:val="21"/>
                    </w:rPr>
                    <w:t>计算系数</w:t>
                  </w:r>
                </w:p>
              </w:tc>
              <w:tc>
                <w:tcPr>
                  <w:tcW w:w="915" w:type="pct"/>
                  <w:vMerge w:val="restart"/>
                  <w:tcMar>
                    <w:top w:w="15" w:type="dxa"/>
                    <w:left w:w="15" w:type="dxa"/>
                    <w:bottom w:w="0" w:type="dxa"/>
                    <w:right w:w="15" w:type="dxa"/>
                  </w:tcMar>
                  <w:vAlign w:val="center"/>
                </w:tcPr>
                <w:p w14:paraId="48E7925B">
                  <w:pPr>
                    <w:adjustRightInd w:val="0"/>
                    <w:snapToGrid w:val="0"/>
                    <w:jc w:val="center"/>
                    <w:rPr>
                      <w:rFonts w:eastAsia="仿宋_GB2312"/>
                      <w:kern w:val="0"/>
                      <w:sz w:val="21"/>
                      <w:szCs w:val="21"/>
                    </w:rPr>
                  </w:pPr>
                  <w:r>
                    <w:rPr>
                      <w:rFonts w:eastAsia="仿宋_GB2312"/>
                      <w:kern w:val="0"/>
                      <w:sz w:val="21"/>
                      <w:szCs w:val="21"/>
                    </w:rPr>
                    <w:t>年平均风速m/s</w:t>
                  </w:r>
                </w:p>
              </w:tc>
              <w:tc>
                <w:tcPr>
                  <w:tcW w:w="3295" w:type="pct"/>
                  <w:gridSpan w:val="9"/>
                  <w:tcMar>
                    <w:top w:w="15" w:type="dxa"/>
                    <w:left w:w="15" w:type="dxa"/>
                    <w:bottom w:w="0" w:type="dxa"/>
                    <w:right w:w="15" w:type="dxa"/>
                  </w:tcMar>
                  <w:vAlign w:val="center"/>
                </w:tcPr>
                <w:p w14:paraId="0EB7C168">
                  <w:pPr>
                    <w:adjustRightInd w:val="0"/>
                    <w:snapToGrid w:val="0"/>
                    <w:jc w:val="center"/>
                    <w:rPr>
                      <w:rFonts w:eastAsia="仿宋_GB2312"/>
                      <w:kern w:val="0"/>
                      <w:sz w:val="21"/>
                      <w:szCs w:val="21"/>
                    </w:rPr>
                  </w:pPr>
                  <w:r>
                    <w:rPr>
                      <w:rFonts w:eastAsia="仿宋_GB2312"/>
                      <w:kern w:val="0"/>
                      <w:sz w:val="21"/>
                      <w:szCs w:val="21"/>
                    </w:rPr>
                    <w:t>卫生防护距离L（m）</w:t>
                  </w:r>
                </w:p>
              </w:tc>
            </w:tr>
            <w:tr w14:paraId="28AB2EC6">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0" w:type="dxa"/>
                  <w:bottom w:w="0" w:type="dxa"/>
                  <w:right w:w="0" w:type="dxa"/>
                </w:tblCellMar>
              </w:tblPrEx>
              <w:trPr>
                <w:cantSplit/>
                <w:jc w:val="center"/>
              </w:trPr>
              <w:tc>
                <w:tcPr>
                  <w:tcW w:w="789" w:type="pct"/>
                  <w:vMerge w:val="continue"/>
                  <w:vAlign w:val="center"/>
                </w:tcPr>
                <w:p w14:paraId="2D1111C6">
                  <w:pPr>
                    <w:widowControl/>
                    <w:adjustRightInd w:val="0"/>
                    <w:snapToGrid w:val="0"/>
                    <w:jc w:val="center"/>
                    <w:rPr>
                      <w:rFonts w:eastAsia="仿宋_GB2312"/>
                      <w:kern w:val="0"/>
                      <w:sz w:val="21"/>
                      <w:szCs w:val="21"/>
                    </w:rPr>
                  </w:pPr>
                </w:p>
              </w:tc>
              <w:tc>
                <w:tcPr>
                  <w:tcW w:w="915" w:type="pct"/>
                  <w:vMerge w:val="continue"/>
                  <w:vAlign w:val="center"/>
                </w:tcPr>
                <w:p w14:paraId="2A06EAAA">
                  <w:pPr>
                    <w:widowControl/>
                    <w:adjustRightInd w:val="0"/>
                    <w:snapToGrid w:val="0"/>
                    <w:jc w:val="center"/>
                    <w:rPr>
                      <w:rFonts w:eastAsia="仿宋_GB2312"/>
                      <w:kern w:val="0"/>
                      <w:sz w:val="21"/>
                      <w:szCs w:val="21"/>
                    </w:rPr>
                  </w:pPr>
                </w:p>
              </w:tc>
              <w:tc>
                <w:tcPr>
                  <w:tcW w:w="1169" w:type="pct"/>
                  <w:gridSpan w:val="3"/>
                  <w:tcMar>
                    <w:top w:w="15" w:type="dxa"/>
                    <w:left w:w="15" w:type="dxa"/>
                    <w:bottom w:w="0" w:type="dxa"/>
                    <w:right w:w="15" w:type="dxa"/>
                  </w:tcMar>
                  <w:vAlign w:val="center"/>
                </w:tcPr>
                <w:p w14:paraId="42FB1A7E">
                  <w:pPr>
                    <w:adjustRightInd w:val="0"/>
                    <w:snapToGrid w:val="0"/>
                    <w:jc w:val="center"/>
                    <w:rPr>
                      <w:rFonts w:eastAsia="仿宋_GB2312"/>
                      <w:kern w:val="0"/>
                      <w:sz w:val="21"/>
                      <w:szCs w:val="21"/>
                    </w:rPr>
                  </w:pPr>
                  <w:r>
                    <w:rPr>
                      <w:rFonts w:eastAsia="仿宋_GB2312"/>
                      <w:kern w:val="0"/>
                      <w:sz w:val="21"/>
                      <w:szCs w:val="21"/>
                    </w:rPr>
                    <w:t>L≤1000</w:t>
                  </w:r>
                </w:p>
              </w:tc>
              <w:tc>
                <w:tcPr>
                  <w:tcW w:w="1061" w:type="pct"/>
                  <w:gridSpan w:val="3"/>
                  <w:tcMar>
                    <w:top w:w="15" w:type="dxa"/>
                    <w:left w:w="15" w:type="dxa"/>
                    <w:bottom w:w="0" w:type="dxa"/>
                    <w:right w:w="15" w:type="dxa"/>
                  </w:tcMar>
                  <w:vAlign w:val="center"/>
                </w:tcPr>
                <w:p w14:paraId="0FA4DAC9">
                  <w:pPr>
                    <w:adjustRightInd w:val="0"/>
                    <w:snapToGrid w:val="0"/>
                    <w:jc w:val="center"/>
                    <w:rPr>
                      <w:rFonts w:eastAsia="仿宋_GB2312"/>
                      <w:kern w:val="0"/>
                      <w:sz w:val="21"/>
                      <w:szCs w:val="21"/>
                    </w:rPr>
                  </w:pPr>
                  <w:r>
                    <w:rPr>
                      <w:rFonts w:eastAsia="仿宋_GB2312"/>
                      <w:kern w:val="0"/>
                      <w:sz w:val="21"/>
                      <w:szCs w:val="21"/>
                    </w:rPr>
                    <w:t>1000＜L≤2000</w:t>
                  </w:r>
                </w:p>
              </w:tc>
              <w:tc>
                <w:tcPr>
                  <w:tcW w:w="1064" w:type="pct"/>
                  <w:gridSpan w:val="3"/>
                  <w:tcMar>
                    <w:top w:w="15" w:type="dxa"/>
                    <w:left w:w="15" w:type="dxa"/>
                    <w:bottom w:w="0" w:type="dxa"/>
                    <w:right w:w="15" w:type="dxa"/>
                  </w:tcMar>
                  <w:vAlign w:val="center"/>
                </w:tcPr>
                <w:p w14:paraId="3664FEAF">
                  <w:pPr>
                    <w:adjustRightInd w:val="0"/>
                    <w:snapToGrid w:val="0"/>
                    <w:jc w:val="center"/>
                    <w:rPr>
                      <w:rFonts w:eastAsia="仿宋_GB2312"/>
                      <w:kern w:val="0"/>
                      <w:sz w:val="21"/>
                      <w:szCs w:val="21"/>
                    </w:rPr>
                  </w:pPr>
                  <w:r>
                    <w:rPr>
                      <w:rFonts w:eastAsia="仿宋_GB2312"/>
                      <w:kern w:val="0"/>
                      <w:sz w:val="21"/>
                      <w:szCs w:val="21"/>
                    </w:rPr>
                    <w:t>L＞2000</w:t>
                  </w:r>
                </w:p>
              </w:tc>
            </w:tr>
            <w:tr w14:paraId="454B2870">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0" w:type="dxa"/>
                  <w:bottom w:w="0" w:type="dxa"/>
                  <w:right w:w="0" w:type="dxa"/>
                </w:tblCellMar>
              </w:tblPrEx>
              <w:trPr>
                <w:cantSplit/>
                <w:jc w:val="center"/>
              </w:trPr>
              <w:tc>
                <w:tcPr>
                  <w:tcW w:w="789" w:type="pct"/>
                  <w:vMerge w:val="continue"/>
                  <w:vAlign w:val="center"/>
                </w:tcPr>
                <w:p w14:paraId="7EF268B2">
                  <w:pPr>
                    <w:widowControl/>
                    <w:adjustRightInd w:val="0"/>
                    <w:snapToGrid w:val="0"/>
                    <w:jc w:val="center"/>
                    <w:rPr>
                      <w:rFonts w:eastAsia="仿宋_GB2312"/>
                      <w:kern w:val="0"/>
                      <w:sz w:val="21"/>
                      <w:szCs w:val="21"/>
                    </w:rPr>
                  </w:pPr>
                </w:p>
              </w:tc>
              <w:tc>
                <w:tcPr>
                  <w:tcW w:w="915" w:type="pct"/>
                  <w:vMerge w:val="continue"/>
                  <w:vAlign w:val="center"/>
                </w:tcPr>
                <w:p w14:paraId="21613F68">
                  <w:pPr>
                    <w:widowControl/>
                    <w:adjustRightInd w:val="0"/>
                    <w:snapToGrid w:val="0"/>
                    <w:jc w:val="center"/>
                    <w:rPr>
                      <w:rFonts w:eastAsia="仿宋_GB2312"/>
                      <w:kern w:val="0"/>
                      <w:sz w:val="21"/>
                      <w:szCs w:val="21"/>
                    </w:rPr>
                  </w:pPr>
                </w:p>
              </w:tc>
              <w:tc>
                <w:tcPr>
                  <w:tcW w:w="3295" w:type="pct"/>
                  <w:gridSpan w:val="9"/>
                  <w:tcMar>
                    <w:top w:w="15" w:type="dxa"/>
                    <w:left w:w="15" w:type="dxa"/>
                    <w:bottom w:w="0" w:type="dxa"/>
                    <w:right w:w="15" w:type="dxa"/>
                  </w:tcMar>
                  <w:vAlign w:val="center"/>
                </w:tcPr>
                <w:p w14:paraId="3D46056B">
                  <w:pPr>
                    <w:adjustRightInd w:val="0"/>
                    <w:snapToGrid w:val="0"/>
                    <w:jc w:val="center"/>
                    <w:rPr>
                      <w:rFonts w:eastAsia="仿宋_GB2312"/>
                      <w:kern w:val="0"/>
                      <w:sz w:val="21"/>
                      <w:szCs w:val="21"/>
                    </w:rPr>
                  </w:pPr>
                  <w:r>
                    <w:rPr>
                      <w:rFonts w:eastAsia="仿宋_GB2312"/>
                      <w:kern w:val="0"/>
                      <w:sz w:val="21"/>
                      <w:szCs w:val="21"/>
                    </w:rPr>
                    <w:t>工业大气污染源构成类别</w:t>
                  </w:r>
                </w:p>
              </w:tc>
            </w:tr>
            <w:tr w14:paraId="200084FD">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0" w:type="dxa"/>
                  <w:bottom w:w="0" w:type="dxa"/>
                  <w:right w:w="0" w:type="dxa"/>
                </w:tblCellMar>
              </w:tblPrEx>
              <w:trPr>
                <w:cantSplit/>
                <w:jc w:val="center"/>
              </w:trPr>
              <w:tc>
                <w:tcPr>
                  <w:tcW w:w="789" w:type="pct"/>
                  <w:vMerge w:val="continue"/>
                  <w:vAlign w:val="center"/>
                </w:tcPr>
                <w:p w14:paraId="0DA37BD6">
                  <w:pPr>
                    <w:widowControl/>
                    <w:adjustRightInd w:val="0"/>
                    <w:snapToGrid w:val="0"/>
                    <w:jc w:val="center"/>
                    <w:rPr>
                      <w:rFonts w:eastAsia="仿宋_GB2312"/>
                      <w:kern w:val="0"/>
                      <w:sz w:val="21"/>
                      <w:szCs w:val="21"/>
                    </w:rPr>
                  </w:pPr>
                </w:p>
              </w:tc>
              <w:tc>
                <w:tcPr>
                  <w:tcW w:w="915" w:type="pct"/>
                  <w:vMerge w:val="continue"/>
                  <w:vAlign w:val="center"/>
                </w:tcPr>
                <w:p w14:paraId="74E060D8">
                  <w:pPr>
                    <w:widowControl/>
                    <w:adjustRightInd w:val="0"/>
                    <w:snapToGrid w:val="0"/>
                    <w:jc w:val="center"/>
                    <w:rPr>
                      <w:rFonts w:eastAsia="仿宋_GB2312"/>
                      <w:kern w:val="0"/>
                      <w:sz w:val="21"/>
                      <w:szCs w:val="21"/>
                    </w:rPr>
                  </w:pPr>
                </w:p>
              </w:tc>
              <w:tc>
                <w:tcPr>
                  <w:tcW w:w="353" w:type="pct"/>
                  <w:tcMar>
                    <w:top w:w="15" w:type="dxa"/>
                    <w:left w:w="15" w:type="dxa"/>
                    <w:bottom w:w="0" w:type="dxa"/>
                    <w:right w:w="15" w:type="dxa"/>
                  </w:tcMar>
                  <w:vAlign w:val="center"/>
                </w:tcPr>
                <w:p w14:paraId="3700DB26">
                  <w:pPr>
                    <w:adjustRightInd w:val="0"/>
                    <w:snapToGrid w:val="0"/>
                    <w:jc w:val="center"/>
                    <w:rPr>
                      <w:rFonts w:eastAsia="仿宋_GB2312"/>
                      <w:kern w:val="0"/>
                      <w:sz w:val="21"/>
                      <w:szCs w:val="21"/>
                    </w:rPr>
                  </w:pPr>
                  <w:r>
                    <w:rPr>
                      <w:rFonts w:eastAsia="仿宋_GB2312"/>
                      <w:kern w:val="0"/>
                      <w:sz w:val="21"/>
                      <w:szCs w:val="21"/>
                    </w:rPr>
                    <w:t>Ⅰ</w:t>
                  </w:r>
                </w:p>
              </w:tc>
              <w:tc>
                <w:tcPr>
                  <w:tcW w:w="461" w:type="pct"/>
                  <w:tcMar>
                    <w:top w:w="15" w:type="dxa"/>
                    <w:left w:w="15" w:type="dxa"/>
                    <w:bottom w:w="0" w:type="dxa"/>
                    <w:right w:w="15" w:type="dxa"/>
                  </w:tcMar>
                  <w:vAlign w:val="center"/>
                </w:tcPr>
                <w:p w14:paraId="4C4E9AC1">
                  <w:pPr>
                    <w:adjustRightInd w:val="0"/>
                    <w:snapToGrid w:val="0"/>
                    <w:jc w:val="center"/>
                    <w:rPr>
                      <w:rFonts w:eastAsia="仿宋_GB2312"/>
                      <w:kern w:val="0"/>
                      <w:sz w:val="21"/>
                      <w:szCs w:val="21"/>
                    </w:rPr>
                  </w:pPr>
                  <w:r>
                    <w:rPr>
                      <w:rFonts w:eastAsia="仿宋_GB2312"/>
                      <w:kern w:val="0"/>
                      <w:sz w:val="21"/>
                      <w:szCs w:val="21"/>
                    </w:rPr>
                    <w:t>Ⅱ</w:t>
                  </w:r>
                </w:p>
              </w:tc>
              <w:tc>
                <w:tcPr>
                  <w:tcW w:w="354" w:type="pct"/>
                  <w:tcMar>
                    <w:top w:w="15" w:type="dxa"/>
                    <w:left w:w="15" w:type="dxa"/>
                    <w:bottom w:w="0" w:type="dxa"/>
                    <w:right w:w="15" w:type="dxa"/>
                  </w:tcMar>
                  <w:vAlign w:val="center"/>
                </w:tcPr>
                <w:p w14:paraId="3671BE8E">
                  <w:pPr>
                    <w:adjustRightInd w:val="0"/>
                    <w:snapToGrid w:val="0"/>
                    <w:jc w:val="center"/>
                    <w:rPr>
                      <w:rFonts w:eastAsia="仿宋_GB2312"/>
                      <w:kern w:val="0"/>
                      <w:sz w:val="21"/>
                      <w:szCs w:val="21"/>
                    </w:rPr>
                  </w:pPr>
                  <w:r>
                    <w:rPr>
                      <w:rFonts w:eastAsia="仿宋_GB2312"/>
                      <w:kern w:val="0"/>
                      <w:sz w:val="21"/>
                      <w:szCs w:val="21"/>
                    </w:rPr>
                    <w:t>Ⅲ</w:t>
                  </w:r>
                </w:p>
              </w:tc>
              <w:tc>
                <w:tcPr>
                  <w:tcW w:w="353" w:type="pct"/>
                  <w:tcMar>
                    <w:top w:w="15" w:type="dxa"/>
                    <w:left w:w="15" w:type="dxa"/>
                    <w:bottom w:w="0" w:type="dxa"/>
                    <w:right w:w="15" w:type="dxa"/>
                  </w:tcMar>
                  <w:vAlign w:val="center"/>
                </w:tcPr>
                <w:p w14:paraId="5548D074">
                  <w:pPr>
                    <w:adjustRightInd w:val="0"/>
                    <w:snapToGrid w:val="0"/>
                    <w:jc w:val="center"/>
                    <w:rPr>
                      <w:rFonts w:eastAsia="仿宋_GB2312"/>
                      <w:kern w:val="0"/>
                      <w:sz w:val="21"/>
                      <w:szCs w:val="21"/>
                    </w:rPr>
                  </w:pPr>
                  <w:r>
                    <w:rPr>
                      <w:rFonts w:eastAsia="仿宋_GB2312"/>
                      <w:kern w:val="0"/>
                      <w:sz w:val="21"/>
                      <w:szCs w:val="21"/>
                    </w:rPr>
                    <w:t>Ⅰ</w:t>
                  </w:r>
                </w:p>
              </w:tc>
              <w:tc>
                <w:tcPr>
                  <w:tcW w:w="353" w:type="pct"/>
                  <w:tcMar>
                    <w:top w:w="15" w:type="dxa"/>
                    <w:left w:w="15" w:type="dxa"/>
                    <w:bottom w:w="0" w:type="dxa"/>
                    <w:right w:w="15" w:type="dxa"/>
                  </w:tcMar>
                  <w:vAlign w:val="center"/>
                </w:tcPr>
                <w:p w14:paraId="2C7C3EA8">
                  <w:pPr>
                    <w:adjustRightInd w:val="0"/>
                    <w:snapToGrid w:val="0"/>
                    <w:jc w:val="center"/>
                    <w:rPr>
                      <w:rFonts w:eastAsia="仿宋_GB2312"/>
                      <w:kern w:val="0"/>
                      <w:sz w:val="21"/>
                      <w:szCs w:val="21"/>
                    </w:rPr>
                  </w:pPr>
                  <w:r>
                    <w:rPr>
                      <w:rFonts w:eastAsia="仿宋_GB2312"/>
                      <w:kern w:val="0"/>
                      <w:sz w:val="21"/>
                      <w:szCs w:val="21"/>
                    </w:rPr>
                    <w:t>Ⅱ</w:t>
                  </w:r>
                </w:p>
              </w:tc>
              <w:tc>
                <w:tcPr>
                  <w:tcW w:w="354" w:type="pct"/>
                  <w:tcMar>
                    <w:top w:w="15" w:type="dxa"/>
                    <w:left w:w="15" w:type="dxa"/>
                    <w:bottom w:w="0" w:type="dxa"/>
                    <w:right w:w="15" w:type="dxa"/>
                  </w:tcMar>
                  <w:vAlign w:val="center"/>
                </w:tcPr>
                <w:p w14:paraId="1CD9F5FF">
                  <w:pPr>
                    <w:adjustRightInd w:val="0"/>
                    <w:snapToGrid w:val="0"/>
                    <w:jc w:val="center"/>
                    <w:rPr>
                      <w:rFonts w:eastAsia="仿宋_GB2312"/>
                      <w:kern w:val="0"/>
                      <w:sz w:val="21"/>
                      <w:szCs w:val="21"/>
                    </w:rPr>
                  </w:pPr>
                  <w:r>
                    <w:rPr>
                      <w:rFonts w:eastAsia="仿宋_GB2312"/>
                      <w:kern w:val="0"/>
                      <w:sz w:val="21"/>
                      <w:szCs w:val="21"/>
                    </w:rPr>
                    <w:t>Ⅲ</w:t>
                  </w:r>
                </w:p>
              </w:tc>
              <w:tc>
                <w:tcPr>
                  <w:tcW w:w="353" w:type="pct"/>
                  <w:tcMar>
                    <w:top w:w="15" w:type="dxa"/>
                    <w:left w:w="15" w:type="dxa"/>
                    <w:bottom w:w="0" w:type="dxa"/>
                    <w:right w:w="15" w:type="dxa"/>
                  </w:tcMar>
                  <w:vAlign w:val="center"/>
                </w:tcPr>
                <w:p w14:paraId="42BBE2F9">
                  <w:pPr>
                    <w:adjustRightInd w:val="0"/>
                    <w:snapToGrid w:val="0"/>
                    <w:jc w:val="center"/>
                    <w:rPr>
                      <w:rFonts w:eastAsia="仿宋_GB2312"/>
                      <w:kern w:val="0"/>
                      <w:sz w:val="21"/>
                      <w:szCs w:val="21"/>
                    </w:rPr>
                  </w:pPr>
                  <w:r>
                    <w:rPr>
                      <w:rFonts w:eastAsia="仿宋_GB2312"/>
                      <w:kern w:val="0"/>
                      <w:sz w:val="21"/>
                      <w:szCs w:val="21"/>
                    </w:rPr>
                    <w:t>Ⅰ</w:t>
                  </w:r>
                </w:p>
              </w:tc>
              <w:tc>
                <w:tcPr>
                  <w:tcW w:w="353" w:type="pct"/>
                  <w:tcMar>
                    <w:top w:w="15" w:type="dxa"/>
                    <w:left w:w="15" w:type="dxa"/>
                    <w:bottom w:w="0" w:type="dxa"/>
                    <w:right w:w="15" w:type="dxa"/>
                  </w:tcMar>
                  <w:vAlign w:val="center"/>
                </w:tcPr>
                <w:p w14:paraId="74A8F7C4">
                  <w:pPr>
                    <w:adjustRightInd w:val="0"/>
                    <w:snapToGrid w:val="0"/>
                    <w:jc w:val="center"/>
                    <w:rPr>
                      <w:rFonts w:eastAsia="仿宋_GB2312"/>
                      <w:kern w:val="0"/>
                      <w:sz w:val="21"/>
                      <w:szCs w:val="21"/>
                    </w:rPr>
                  </w:pPr>
                  <w:r>
                    <w:rPr>
                      <w:rFonts w:eastAsia="仿宋_GB2312"/>
                      <w:kern w:val="0"/>
                      <w:sz w:val="21"/>
                      <w:szCs w:val="21"/>
                    </w:rPr>
                    <w:t>Ⅱ</w:t>
                  </w:r>
                </w:p>
              </w:tc>
              <w:tc>
                <w:tcPr>
                  <w:tcW w:w="357" w:type="pct"/>
                  <w:tcMar>
                    <w:top w:w="15" w:type="dxa"/>
                    <w:left w:w="15" w:type="dxa"/>
                    <w:bottom w:w="0" w:type="dxa"/>
                    <w:right w:w="15" w:type="dxa"/>
                  </w:tcMar>
                  <w:vAlign w:val="center"/>
                </w:tcPr>
                <w:p w14:paraId="373DD770">
                  <w:pPr>
                    <w:adjustRightInd w:val="0"/>
                    <w:snapToGrid w:val="0"/>
                    <w:jc w:val="center"/>
                    <w:rPr>
                      <w:rFonts w:eastAsia="仿宋_GB2312"/>
                      <w:kern w:val="0"/>
                      <w:sz w:val="21"/>
                      <w:szCs w:val="21"/>
                    </w:rPr>
                  </w:pPr>
                  <w:r>
                    <w:rPr>
                      <w:rFonts w:eastAsia="仿宋_GB2312"/>
                      <w:kern w:val="0"/>
                      <w:sz w:val="21"/>
                      <w:szCs w:val="21"/>
                    </w:rPr>
                    <w:t>Ⅲ</w:t>
                  </w:r>
                </w:p>
              </w:tc>
            </w:tr>
            <w:tr w14:paraId="40A098D3">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0" w:type="dxa"/>
                  <w:bottom w:w="0" w:type="dxa"/>
                  <w:right w:w="0" w:type="dxa"/>
                </w:tblCellMar>
              </w:tblPrEx>
              <w:trPr>
                <w:cantSplit/>
                <w:jc w:val="center"/>
              </w:trPr>
              <w:tc>
                <w:tcPr>
                  <w:tcW w:w="789" w:type="pct"/>
                  <w:vMerge w:val="restart"/>
                  <w:tcMar>
                    <w:top w:w="15" w:type="dxa"/>
                    <w:left w:w="15" w:type="dxa"/>
                    <w:bottom w:w="0" w:type="dxa"/>
                    <w:right w:w="15" w:type="dxa"/>
                  </w:tcMar>
                  <w:vAlign w:val="center"/>
                </w:tcPr>
                <w:p w14:paraId="1B9C1ECC">
                  <w:pPr>
                    <w:adjustRightInd w:val="0"/>
                    <w:snapToGrid w:val="0"/>
                    <w:jc w:val="center"/>
                    <w:rPr>
                      <w:rFonts w:eastAsia="仿宋_GB2312"/>
                      <w:kern w:val="0"/>
                      <w:sz w:val="21"/>
                      <w:szCs w:val="21"/>
                    </w:rPr>
                  </w:pPr>
                  <w:r>
                    <w:rPr>
                      <w:rFonts w:eastAsia="仿宋_GB2312"/>
                      <w:kern w:val="0"/>
                      <w:sz w:val="21"/>
                      <w:szCs w:val="21"/>
                    </w:rPr>
                    <w:t>A</w:t>
                  </w:r>
                </w:p>
              </w:tc>
              <w:tc>
                <w:tcPr>
                  <w:tcW w:w="915" w:type="pct"/>
                  <w:tcMar>
                    <w:top w:w="15" w:type="dxa"/>
                    <w:left w:w="15" w:type="dxa"/>
                    <w:bottom w:w="0" w:type="dxa"/>
                    <w:right w:w="15" w:type="dxa"/>
                  </w:tcMar>
                  <w:vAlign w:val="center"/>
                </w:tcPr>
                <w:p w14:paraId="6B1799A6">
                  <w:pPr>
                    <w:adjustRightInd w:val="0"/>
                    <w:snapToGrid w:val="0"/>
                    <w:jc w:val="center"/>
                    <w:rPr>
                      <w:rFonts w:eastAsia="仿宋_GB2312"/>
                      <w:kern w:val="0"/>
                      <w:sz w:val="21"/>
                      <w:szCs w:val="21"/>
                    </w:rPr>
                  </w:pPr>
                  <w:r>
                    <w:rPr>
                      <w:rFonts w:eastAsia="仿宋_GB2312"/>
                      <w:kern w:val="0"/>
                      <w:sz w:val="21"/>
                      <w:szCs w:val="21"/>
                    </w:rPr>
                    <w:t>＜2</w:t>
                  </w:r>
                </w:p>
              </w:tc>
              <w:tc>
                <w:tcPr>
                  <w:tcW w:w="353" w:type="pct"/>
                  <w:tcMar>
                    <w:top w:w="15" w:type="dxa"/>
                    <w:left w:w="15" w:type="dxa"/>
                    <w:bottom w:w="0" w:type="dxa"/>
                    <w:right w:w="15" w:type="dxa"/>
                  </w:tcMar>
                  <w:vAlign w:val="center"/>
                </w:tcPr>
                <w:p w14:paraId="0ABAC5BB">
                  <w:pPr>
                    <w:adjustRightInd w:val="0"/>
                    <w:snapToGrid w:val="0"/>
                    <w:jc w:val="center"/>
                    <w:rPr>
                      <w:rFonts w:eastAsia="仿宋_GB2312"/>
                      <w:kern w:val="0"/>
                      <w:sz w:val="21"/>
                      <w:szCs w:val="21"/>
                    </w:rPr>
                  </w:pPr>
                  <w:r>
                    <w:rPr>
                      <w:rFonts w:eastAsia="仿宋_GB2312"/>
                      <w:kern w:val="0"/>
                      <w:sz w:val="21"/>
                      <w:szCs w:val="21"/>
                    </w:rPr>
                    <w:t>400</w:t>
                  </w:r>
                </w:p>
              </w:tc>
              <w:tc>
                <w:tcPr>
                  <w:tcW w:w="461" w:type="pct"/>
                  <w:tcMar>
                    <w:top w:w="15" w:type="dxa"/>
                    <w:left w:w="15" w:type="dxa"/>
                    <w:bottom w:w="0" w:type="dxa"/>
                    <w:right w:w="15" w:type="dxa"/>
                  </w:tcMar>
                  <w:vAlign w:val="center"/>
                </w:tcPr>
                <w:p w14:paraId="61C0D489">
                  <w:pPr>
                    <w:adjustRightInd w:val="0"/>
                    <w:snapToGrid w:val="0"/>
                    <w:jc w:val="center"/>
                    <w:rPr>
                      <w:rFonts w:eastAsia="仿宋_GB2312"/>
                      <w:kern w:val="0"/>
                      <w:sz w:val="21"/>
                      <w:szCs w:val="21"/>
                    </w:rPr>
                  </w:pPr>
                  <w:r>
                    <w:rPr>
                      <w:rFonts w:eastAsia="仿宋_GB2312"/>
                      <w:kern w:val="0"/>
                      <w:sz w:val="21"/>
                      <w:szCs w:val="21"/>
                    </w:rPr>
                    <w:t>400</w:t>
                  </w:r>
                </w:p>
              </w:tc>
              <w:tc>
                <w:tcPr>
                  <w:tcW w:w="354" w:type="pct"/>
                  <w:tcMar>
                    <w:top w:w="15" w:type="dxa"/>
                    <w:left w:w="15" w:type="dxa"/>
                    <w:bottom w:w="0" w:type="dxa"/>
                    <w:right w:w="15" w:type="dxa"/>
                  </w:tcMar>
                  <w:vAlign w:val="center"/>
                </w:tcPr>
                <w:p w14:paraId="79C5BA91">
                  <w:pPr>
                    <w:adjustRightInd w:val="0"/>
                    <w:snapToGrid w:val="0"/>
                    <w:jc w:val="center"/>
                    <w:rPr>
                      <w:rFonts w:eastAsia="仿宋_GB2312"/>
                      <w:kern w:val="0"/>
                      <w:sz w:val="21"/>
                      <w:szCs w:val="21"/>
                    </w:rPr>
                  </w:pPr>
                  <w:r>
                    <w:rPr>
                      <w:rFonts w:eastAsia="仿宋_GB2312"/>
                      <w:kern w:val="0"/>
                      <w:sz w:val="21"/>
                      <w:szCs w:val="21"/>
                    </w:rPr>
                    <w:t>400</w:t>
                  </w:r>
                </w:p>
              </w:tc>
              <w:tc>
                <w:tcPr>
                  <w:tcW w:w="353" w:type="pct"/>
                  <w:tcMar>
                    <w:top w:w="15" w:type="dxa"/>
                    <w:left w:w="15" w:type="dxa"/>
                    <w:bottom w:w="0" w:type="dxa"/>
                    <w:right w:w="15" w:type="dxa"/>
                  </w:tcMar>
                  <w:vAlign w:val="center"/>
                </w:tcPr>
                <w:p w14:paraId="5E2881F4">
                  <w:pPr>
                    <w:adjustRightInd w:val="0"/>
                    <w:snapToGrid w:val="0"/>
                    <w:jc w:val="center"/>
                    <w:rPr>
                      <w:rFonts w:eastAsia="仿宋_GB2312"/>
                      <w:kern w:val="0"/>
                      <w:sz w:val="21"/>
                      <w:szCs w:val="21"/>
                    </w:rPr>
                  </w:pPr>
                  <w:r>
                    <w:rPr>
                      <w:rFonts w:eastAsia="仿宋_GB2312"/>
                      <w:kern w:val="0"/>
                      <w:sz w:val="21"/>
                      <w:szCs w:val="21"/>
                    </w:rPr>
                    <w:t>400</w:t>
                  </w:r>
                </w:p>
              </w:tc>
              <w:tc>
                <w:tcPr>
                  <w:tcW w:w="353" w:type="pct"/>
                  <w:tcMar>
                    <w:top w:w="15" w:type="dxa"/>
                    <w:left w:w="15" w:type="dxa"/>
                    <w:bottom w:w="0" w:type="dxa"/>
                    <w:right w:w="15" w:type="dxa"/>
                  </w:tcMar>
                  <w:vAlign w:val="center"/>
                </w:tcPr>
                <w:p w14:paraId="4C495936">
                  <w:pPr>
                    <w:adjustRightInd w:val="0"/>
                    <w:snapToGrid w:val="0"/>
                    <w:jc w:val="center"/>
                    <w:rPr>
                      <w:rFonts w:eastAsia="仿宋_GB2312"/>
                      <w:kern w:val="0"/>
                      <w:sz w:val="21"/>
                      <w:szCs w:val="21"/>
                    </w:rPr>
                  </w:pPr>
                  <w:r>
                    <w:rPr>
                      <w:rFonts w:eastAsia="仿宋_GB2312"/>
                      <w:kern w:val="0"/>
                      <w:sz w:val="21"/>
                      <w:szCs w:val="21"/>
                    </w:rPr>
                    <w:t>400</w:t>
                  </w:r>
                </w:p>
              </w:tc>
              <w:tc>
                <w:tcPr>
                  <w:tcW w:w="354" w:type="pct"/>
                  <w:tcMar>
                    <w:top w:w="15" w:type="dxa"/>
                    <w:left w:w="15" w:type="dxa"/>
                    <w:bottom w:w="0" w:type="dxa"/>
                    <w:right w:w="15" w:type="dxa"/>
                  </w:tcMar>
                  <w:vAlign w:val="center"/>
                </w:tcPr>
                <w:p w14:paraId="324FCB32">
                  <w:pPr>
                    <w:adjustRightInd w:val="0"/>
                    <w:snapToGrid w:val="0"/>
                    <w:jc w:val="center"/>
                    <w:rPr>
                      <w:rFonts w:eastAsia="仿宋_GB2312"/>
                      <w:kern w:val="0"/>
                      <w:sz w:val="21"/>
                      <w:szCs w:val="21"/>
                    </w:rPr>
                  </w:pPr>
                  <w:r>
                    <w:rPr>
                      <w:rFonts w:eastAsia="仿宋_GB2312"/>
                      <w:kern w:val="0"/>
                      <w:sz w:val="21"/>
                      <w:szCs w:val="21"/>
                    </w:rPr>
                    <w:t>400</w:t>
                  </w:r>
                </w:p>
              </w:tc>
              <w:tc>
                <w:tcPr>
                  <w:tcW w:w="353" w:type="pct"/>
                  <w:tcMar>
                    <w:top w:w="15" w:type="dxa"/>
                    <w:left w:w="15" w:type="dxa"/>
                    <w:bottom w:w="0" w:type="dxa"/>
                    <w:right w:w="15" w:type="dxa"/>
                  </w:tcMar>
                  <w:vAlign w:val="center"/>
                </w:tcPr>
                <w:p w14:paraId="2463CBEF">
                  <w:pPr>
                    <w:adjustRightInd w:val="0"/>
                    <w:snapToGrid w:val="0"/>
                    <w:jc w:val="center"/>
                    <w:rPr>
                      <w:rFonts w:eastAsia="仿宋_GB2312"/>
                      <w:kern w:val="0"/>
                      <w:sz w:val="21"/>
                      <w:szCs w:val="21"/>
                    </w:rPr>
                  </w:pPr>
                  <w:r>
                    <w:rPr>
                      <w:rFonts w:eastAsia="仿宋_GB2312"/>
                      <w:kern w:val="0"/>
                      <w:sz w:val="21"/>
                      <w:szCs w:val="21"/>
                    </w:rPr>
                    <w:t>80</w:t>
                  </w:r>
                </w:p>
              </w:tc>
              <w:tc>
                <w:tcPr>
                  <w:tcW w:w="353" w:type="pct"/>
                  <w:tcMar>
                    <w:top w:w="15" w:type="dxa"/>
                    <w:left w:w="15" w:type="dxa"/>
                    <w:bottom w:w="0" w:type="dxa"/>
                    <w:right w:w="15" w:type="dxa"/>
                  </w:tcMar>
                  <w:vAlign w:val="center"/>
                </w:tcPr>
                <w:p w14:paraId="3E601D3A">
                  <w:pPr>
                    <w:adjustRightInd w:val="0"/>
                    <w:snapToGrid w:val="0"/>
                    <w:jc w:val="center"/>
                    <w:rPr>
                      <w:rFonts w:eastAsia="仿宋_GB2312"/>
                      <w:kern w:val="0"/>
                      <w:sz w:val="21"/>
                      <w:szCs w:val="21"/>
                    </w:rPr>
                  </w:pPr>
                  <w:r>
                    <w:rPr>
                      <w:rFonts w:eastAsia="仿宋_GB2312"/>
                      <w:kern w:val="0"/>
                      <w:sz w:val="21"/>
                      <w:szCs w:val="21"/>
                    </w:rPr>
                    <w:t>80</w:t>
                  </w:r>
                </w:p>
              </w:tc>
              <w:tc>
                <w:tcPr>
                  <w:tcW w:w="357" w:type="pct"/>
                  <w:tcMar>
                    <w:top w:w="15" w:type="dxa"/>
                    <w:left w:w="15" w:type="dxa"/>
                    <w:bottom w:w="0" w:type="dxa"/>
                    <w:right w:w="15" w:type="dxa"/>
                  </w:tcMar>
                  <w:vAlign w:val="center"/>
                </w:tcPr>
                <w:p w14:paraId="484C0A52">
                  <w:pPr>
                    <w:adjustRightInd w:val="0"/>
                    <w:snapToGrid w:val="0"/>
                    <w:jc w:val="center"/>
                    <w:rPr>
                      <w:rFonts w:eastAsia="仿宋_GB2312"/>
                      <w:kern w:val="0"/>
                      <w:sz w:val="21"/>
                      <w:szCs w:val="21"/>
                    </w:rPr>
                  </w:pPr>
                  <w:r>
                    <w:rPr>
                      <w:rFonts w:eastAsia="仿宋_GB2312"/>
                      <w:kern w:val="0"/>
                      <w:sz w:val="21"/>
                      <w:szCs w:val="21"/>
                    </w:rPr>
                    <w:t>80</w:t>
                  </w:r>
                </w:p>
              </w:tc>
            </w:tr>
            <w:tr w14:paraId="0A79F0B7">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0" w:type="dxa"/>
                  <w:bottom w:w="0" w:type="dxa"/>
                  <w:right w:w="0" w:type="dxa"/>
                </w:tblCellMar>
              </w:tblPrEx>
              <w:trPr>
                <w:cantSplit/>
                <w:jc w:val="center"/>
              </w:trPr>
              <w:tc>
                <w:tcPr>
                  <w:tcW w:w="789" w:type="pct"/>
                  <w:vMerge w:val="continue"/>
                  <w:vAlign w:val="center"/>
                </w:tcPr>
                <w:p w14:paraId="347F160D">
                  <w:pPr>
                    <w:widowControl/>
                    <w:adjustRightInd w:val="0"/>
                    <w:snapToGrid w:val="0"/>
                    <w:jc w:val="center"/>
                    <w:rPr>
                      <w:rFonts w:eastAsia="仿宋_GB2312"/>
                      <w:kern w:val="0"/>
                      <w:sz w:val="21"/>
                      <w:szCs w:val="21"/>
                    </w:rPr>
                  </w:pPr>
                </w:p>
              </w:tc>
              <w:tc>
                <w:tcPr>
                  <w:tcW w:w="915" w:type="pct"/>
                  <w:tcMar>
                    <w:top w:w="15" w:type="dxa"/>
                    <w:left w:w="15" w:type="dxa"/>
                    <w:bottom w:w="0" w:type="dxa"/>
                    <w:right w:w="15" w:type="dxa"/>
                  </w:tcMar>
                  <w:vAlign w:val="center"/>
                </w:tcPr>
                <w:p w14:paraId="530AC8A3">
                  <w:pPr>
                    <w:adjustRightInd w:val="0"/>
                    <w:snapToGrid w:val="0"/>
                    <w:jc w:val="center"/>
                    <w:rPr>
                      <w:rFonts w:eastAsia="仿宋_GB2312"/>
                      <w:kern w:val="0"/>
                      <w:sz w:val="21"/>
                      <w:szCs w:val="21"/>
                    </w:rPr>
                  </w:pPr>
                  <w:r>
                    <w:rPr>
                      <w:rFonts w:eastAsia="仿宋_GB2312"/>
                      <w:kern w:val="0"/>
                      <w:sz w:val="21"/>
                      <w:szCs w:val="21"/>
                    </w:rPr>
                    <w:t>2～4</w:t>
                  </w:r>
                </w:p>
              </w:tc>
              <w:tc>
                <w:tcPr>
                  <w:tcW w:w="353" w:type="pct"/>
                  <w:tcMar>
                    <w:top w:w="15" w:type="dxa"/>
                    <w:left w:w="15" w:type="dxa"/>
                    <w:bottom w:w="0" w:type="dxa"/>
                    <w:right w:w="15" w:type="dxa"/>
                  </w:tcMar>
                  <w:vAlign w:val="center"/>
                </w:tcPr>
                <w:p w14:paraId="2C8E039F">
                  <w:pPr>
                    <w:adjustRightInd w:val="0"/>
                    <w:snapToGrid w:val="0"/>
                    <w:jc w:val="center"/>
                    <w:rPr>
                      <w:rFonts w:eastAsia="仿宋_GB2312"/>
                      <w:kern w:val="0"/>
                      <w:sz w:val="21"/>
                      <w:szCs w:val="21"/>
                    </w:rPr>
                  </w:pPr>
                  <w:r>
                    <w:rPr>
                      <w:rFonts w:eastAsia="仿宋_GB2312"/>
                      <w:kern w:val="0"/>
                      <w:sz w:val="21"/>
                      <w:szCs w:val="21"/>
                    </w:rPr>
                    <w:t>700</w:t>
                  </w:r>
                </w:p>
              </w:tc>
              <w:tc>
                <w:tcPr>
                  <w:tcW w:w="461" w:type="pct"/>
                  <w:tcMar>
                    <w:top w:w="15" w:type="dxa"/>
                    <w:left w:w="15" w:type="dxa"/>
                    <w:bottom w:w="0" w:type="dxa"/>
                    <w:right w:w="15" w:type="dxa"/>
                  </w:tcMar>
                  <w:vAlign w:val="center"/>
                </w:tcPr>
                <w:p w14:paraId="6D18E245">
                  <w:pPr>
                    <w:adjustRightInd w:val="0"/>
                    <w:snapToGrid w:val="0"/>
                    <w:jc w:val="center"/>
                    <w:rPr>
                      <w:rFonts w:eastAsia="仿宋_GB2312"/>
                      <w:kern w:val="0"/>
                      <w:sz w:val="21"/>
                      <w:szCs w:val="21"/>
                    </w:rPr>
                  </w:pPr>
                  <w:r>
                    <w:rPr>
                      <w:rFonts w:eastAsia="仿宋_GB2312"/>
                      <w:kern w:val="0"/>
                      <w:sz w:val="21"/>
                      <w:szCs w:val="21"/>
                    </w:rPr>
                    <w:t>470</w:t>
                  </w:r>
                </w:p>
              </w:tc>
              <w:tc>
                <w:tcPr>
                  <w:tcW w:w="354" w:type="pct"/>
                  <w:tcMar>
                    <w:top w:w="15" w:type="dxa"/>
                    <w:left w:w="15" w:type="dxa"/>
                    <w:bottom w:w="0" w:type="dxa"/>
                    <w:right w:w="15" w:type="dxa"/>
                  </w:tcMar>
                  <w:vAlign w:val="center"/>
                </w:tcPr>
                <w:p w14:paraId="16662593">
                  <w:pPr>
                    <w:adjustRightInd w:val="0"/>
                    <w:snapToGrid w:val="0"/>
                    <w:jc w:val="center"/>
                    <w:rPr>
                      <w:rFonts w:eastAsia="仿宋_GB2312"/>
                      <w:kern w:val="0"/>
                      <w:sz w:val="21"/>
                      <w:szCs w:val="21"/>
                    </w:rPr>
                  </w:pPr>
                  <w:r>
                    <w:rPr>
                      <w:rFonts w:eastAsia="仿宋_GB2312"/>
                      <w:kern w:val="0"/>
                      <w:sz w:val="21"/>
                      <w:szCs w:val="21"/>
                    </w:rPr>
                    <w:t>350*</w:t>
                  </w:r>
                </w:p>
              </w:tc>
              <w:tc>
                <w:tcPr>
                  <w:tcW w:w="353" w:type="pct"/>
                  <w:tcMar>
                    <w:top w:w="15" w:type="dxa"/>
                    <w:left w:w="15" w:type="dxa"/>
                    <w:bottom w:w="0" w:type="dxa"/>
                    <w:right w:w="15" w:type="dxa"/>
                  </w:tcMar>
                  <w:vAlign w:val="center"/>
                </w:tcPr>
                <w:p w14:paraId="698ECB75">
                  <w:pPr>
                    <w:adjustRightInd w:val="0"/>
                    <w:snapToGrid w:val="0"/>
                    <w:jc w:val="center"/>
                    <w:rPr>
                      <w:rFonts w:eastAsia="仿宋_GB2312"/>
                      <w:kern w:val="0"/>
                      <w:sz w:val="21"/>
                      <w:szCs w:val="21"/>
                    </w:rPr>
                  </w:pPr>
                  <w:r>
                    <w:rPr>
                      <w:rFonts w:eastAsia="仿宋_GB2312"/>
                      <w:kern w:val="0"/>
                      <w:sz w:val="21"/>
                      <w:szCs w:val="21"/>
                    </w:rPr>
                    <w:t>700</w:t>
                  </w:r>
                </w:p>
              </w:tc>
              <w:tc>
                <w:tcPr>
                  <w:tcW w:w="353" w:type="pct"/>
                  <w:tcMar>
                    <w:top w:w="15" w:type="dxa"/>
                    <w:left w:w="15" w:type="dxa"/>
                    <w:bottom w:w="0" w:type="dxa"/>
                    <w:right w:w="15" w:type="dxa"/>
                  </w:tcMar>
                  <w:vAlign w:val="center"/>
                </w:tcPr>
                <w:p w14:paraId="5DF20356">
                  <w:pPr>
                    <w:adjustRightInd w:val="0"/>
                    <w:snapToGrid w:val="0"/>
                    <w:jc w:val="center"/>
                    <w:rPr>
                      <w:rFonts w:eastAsia="仿宋_GB2312"/>
                      <w:kern w:val="0"/>
                      <w:sz w:val="21"/>
                      <w:szCs w:val="21"/>
                    </w:rPr>
                  </w:pPr>
                  <w:r>
                    <w:rPr>
                      <w:rFonts w:eastAsia="仿宋_GB2312"/>
                      <w:kern w:val="0"/>
                      <w:sz w:val="21"/>
                      <w:szCs w:val="21"/>
                    </w:rPr>
                    <w:t>470</w:t>
                  </w:r>
                </w:p>
              </w:tc>
              <w:tc>
                <w:tcPr>
                  <w:tcW w:w="354" w:type="pct"/>
                  <w:tcMar>
                    <w:top w:w="15" w:type="dxa"/>
                    <w:left w:w="15" w:type="dxa"/>
                    <w:bottom w:w="0" w:type="dxa"/>
                    <w:right w:w="15" w:type="dxa"/>
                  </w:tcMar>
                  <w:vAlign w:val="center"/>
                </w:tcPr>
                <w:p w14:paraId="401C9F9C">
                  <w:pPr>
                    <w:adjustRightInd w:val="0"/>
                    <w:snapToGrid w:val="0"/>
                    <w:jc w:val="center"/>
                    <w:rPr>
                      <w:rFonts w:eastAsia="仿宋_GB2312"/>
                      <w:kern w:val="0"/>
                      <w:sz w:val="21"/>
                      <w:szCs w:val="21"/>
                    </w:rPr>
                  </w:pPr>
                  <w:r>
                    <w:rPr>
                      <w:rFonts w:eastAsia="仿宋_GB2312"/>
                      <w:kern w:val="0"/>
                      <w:sz w:val="21"/>
                      <w:szCs w:val="21"/>
                    </w:rPr>
                    <w:t>350</w:t>
                  </w:r>
                </w:p>
              </w:tc>
              <w:tc>
                <w:tcPr>
                  <w:tcW w:w="353" w:type="pct"/>
                  <w:tcMar>
                    <w:top w:w="15" w:type="dxa"/>
                    <w:left w:w="15" w:type="dxa"/>
                    <w:bottom w:w="0" w:type="dxa"/>
                    <w:right w:w="15" w:type="dxa"/>
                  </w:tcMar>
                  <w:vAlign w:val="center"/>
                </w:tcPr>
                <w:p w14:paraId="13C1DB96">
                  <w:pPr>
                    <w:adjustRightInd w:val="0"/>
                    <w:snapToGrid w:val="0"/>
                    <w:jc w:val="center"/>
                    <w:rPr>
                      <w:rFonts w:eastAsia="仿宋_GB2312"/>
                      <w:kern w:val="0"/>
                      <w:sz w:val="21"/>
                      <w:szCs w:val="21"/>
                    </w:rPr>
                  </w:pPr>
                  <w:r>
                    <w:rPr>
                      <w:rFonts w:eastAsia="仿宋_GB2312"/>
                      <w:kern w:val="0"/>
                      <w:sz w:val="21"/>
                      <w:szCs w:val="21"/>
                    </w:rPr>
                    <w:t>380</w:t>
                  </w:r>
                </w:p>
              </w:tc>
              <w:tc>
                <w:tcPr>
                  <w:tcW w:w="353" w:type="pct"/>
                  <w:tcMar>
                    <w:top w:w="15" w:type="dxa"/>
                    <w:left w:w="15" w:type="dxa"/>
                    <w:bottom w:w="0" w:type="dxa"/>
                    <w:right w:w="15" w:type="dxa"/>
                  </w:tcMar>
                  <w:vAlign w:val="center"/>
                </w:tcPr>
                <w:p w14:paraId="61FFC1DC">
                  <w:pPr>
                    <w:adjustRightInd w:val="0"/>
                    <w:snapToGrid w:val="0"/>
                    <w:jc w:val="center"/>
                    <w:rPr>
                      <w:rFonts w:eastAsia="仿宋_GB2312"/>
                      <w:kern w:val="0"/>
                      <w:sz w:val="21"/>
                      <w:szCs w:val="21"/>
                    </w:rPr>
                  </w:pPr>
                  <w:r>
                    <w:rPr>
                      <w:rFonts w:eastAsia="仿宋_GB2312"/>
                      <w:kern w:val="0"/>
                      <w:sz w:val="21"/>
                      <w:szCs w:val="21"/>
                    </w:rPr>
                    <w:t>250</w:t>
                  </w:r>
                </w:p>
              </w:tc>
              <w:tc>
                <w:tcPr>
                  <w:tcW w:w="357" w:type="pct"/>
                  <w:tcMar>
                    <w:top w:w="15" w:type="dxa"/>
                    <w:left w:w="15" w:type="dxa"/>
                    <w:bottom w:w="0" w:type="dxa"/>
                    <w:right w:w="15" w:type="dxa"/>
                  </w:tcMar>
                  <w:vAlign w:val="center"/>
                </w:tcPr>
                <w:p w14:paraId="75606819">
                  <w:pPr>
                    <w:adjustRightInd w:val="0"/>
                    <w:snapToGrid w:val="0"/>
                    <w:jc w:val="center"/>
                    <w:rPr>
                      <w:rFonts w:eastAsia="仿宋_GB2312"/>
                      <w:kern w:val="0"/>
                      <w:sz w:val="21"/>
                      <w:szCs w:val="21"/>
                    </w:rPr>
                  </w:pPr>
                  <w:r>
                    <w:rPr>
                      <w:rFonts w:eastAsia="仿宋_GB2312"/>
                      <w:kern w:val="0"/>
                      <w:sz w:val="21"/>
                      <w:szCs w:val="21"/>
                    </w:rPr>
                    <w:t>190</w:t>
                  </w:r>
                </w:p>
              </w:tc>
            </w:tr>
            <w:tr w14:paraId="30A66B3D">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0" w:type="dxa"/>
                  <w:bottom w:w="0" w:type="dxa"/>
                  <w:right w:w="0" w:type="dxa"/>
                </w:tblCellMar>
              </w:tblPrEx>
              <w:trPr>
                <w:cantSplit/>
                <w:jc w:val="center"/>
              </w:trPr>
              <w:tc>
                <w:tcPr>
                  <w:tcW w:w="789" w:type="pct"/>
                  <w:vMerge w:val="continue"/>
                  <w:vAlign w:val="center"/>
                </w:tcPr>
                <w:p w14:paraId="4BCC63E3">
                  <w:pPr>
                    <w:widowControl/>
                    <w:adjustRightInd w:val="0"/>
                    <w:snapToGrid w:val="0"/>
                    <w:jc w:val="center"/>
                    <w:rPr>
                      <w:rFonts w:eastAsia="仿宋_GB2312"/>
                      <w:kern w:val="0"/>
                      <w:sz w:val="21"/>
                      <w:szCs w:val="21"/>
                    </w:rPr>
                  </w:pPr>
                </w:p>
              </w:tc>
              <w:tc>
                <w:tcPr>
                  <w:tcW w:w="915" w:type="pct"/>
                  <w:tcMar>
                    <w:top w:w="15" w:type="dxa"/>
                    <w:left w:w="15" w:type="dxa"/>
                    <w:bottom w:w="0" w:type="dxa"/>
                    <w:right w:w="15" w:type="dxa"/>
                  </w:tcMar>
                  <w:vAlign w:val="center"/>
                </w:tcPr>
                <w:p w14:paraId="16C2925B">
                  <w:pPr>
                    <w:adjustRightInd w:val="0"/>
                    <w:snapToGrid w:val="0"/>
                    <w:jc w:val="center"/>
                    <w:rPr>
                      <w:rFonts w:eastAsia="仿宋_GB2312"/>
                      <w:kern w:val="0"/>
                      <w:sz w:val="21"/>
                      <w:szCs w:val="21"/>
                    </w:rPr>
                  </w:pPr>
                  <w:r>
                    <w:rPr>
                      <w:rFonts w:eastAsia="仿宋_GB2312"/>
                      <w:kern w:val="0"/>
                      <w:sz w:val="21"/>
                      <w:szCs w:val="21"/>
                    </w:rPr>
                    <w:t>＞4</w:t>
                  </w:r>
                </w:p>
              </w:tc>
              <w:tc>
                <w:tcPr>
                  <w:tcW w:w="353" w:type="pct"/>
                  <w:tcMar>
                    <w:top w:w="15" w:type="dxa"/>
                    <w:left w:w="15" w:type="dxa"/>
                    <w:bottom w:w="0" w:type="dxa"/>
                    <w:right w:w="15" w:type="dxa"/>
                  </w:tcMar>
                  <w:vAlign w:val="center"/>
                </w:tcPr>
                <w:p w14:paraId="7DE23DA0">
                  <w:pPr>
                    <w:adjustRightInd w:val="0"/>
                    <w:snapToGrid w:val="0"/>
                    <w:jc w:val="center"/>
                    <w:rPr>
                      <w:rFonts w:eastAsia="仿宋_GB2312"/>
                      <w:kern w:val="0"/>
                      <w:sz w:val="21"/>
                      <w:szCs w:val="21"/>
                    </w:rPr>
                  </w:pPr>
                  <w:r>
                    <w:rPr>
                      <w:rFonts w:eastAsia="仿宋_GB2312"/>
                      <w:kern w:val="0"/>
                      <w:sz w:val="21"/>
                      <w:szCs w:val="21"/>
                    </w:rPr>
                    <w:t>530</w:t>
                  </w:r>
                </w:p>
              </w:tc>
              <w:tc>
                <w:tcPr>
                  <w:tcW w:w="461" w:type="pct"/>
                  <w:tcMar>
                    <w:top w:w="15" w:type="dxa"/>
                    <w:left w:w="15" w:type="dxa"/>
                    <w:bottom w:w="0" w:type="dxa"/>
                    <w:right w:w="15" w:type="dxa"/>
                  </w:tcMar>
                  <w:vAlign w:val="center"/>
                </w:tcPr>
                <w:p w14:paraId="2981294C">
                  <w:pPr>
                    <w:adjustRightInd w:val="0"/>
                    <w:snapToGrid w:val="0"/>
                    <w:jc w:val="center"/>
                    <w:rPr>
                      <w:rFonts w:eastAsia="仿宋_GB2312"/>
                      <w:kern w:val="0"/>
                      <w:sz w:val="21"/>
                      <w:szCs w:val="21"/>
                    </w:rPr>
                  </w:pPr>
                  <w:r>
                    <w:rPr>
                      <w:rFonts w:eastAsia="仿宋_GB2312"/>
                      <w:kern w:val="0"/>
                      <w:sz w:val="21"/>
                      <w:szCs w:val="21"/>
                    </w:rPr>
                    <w:t>350</w:t>
                  </w:r>
                </w:p>
              </w:tc>
              <w:tc>
                <w:tcPr>
                  <w:tcW w:w="354" w:type="pct"/>
                  <w:tcMar>
                    <w:top w:w="15" w:type="dxa"/>
                    <w:left w:w="15" w:type="dxa"/>
                    <w:bottom w:w="0" w:type="dxa"/>
                    <w:right w:w="15" w:type="dxa"/>
                  </w:tcMar>
                  <w:vAlign w:val="center"/>
                </w:tcPr>
                <w:p w14:paraId="69CF27B3">
                  <w:pPr>
                    <w:adjustRightInd w:val="0"/>
                    <w:snapToGrid w:val="0"/>
                    <w:jc w:val="center"/>
                    <w:rPr>
                      <w:rFonts w:eastAsia="仿宋_GB2312"/>
                      <w:kern w:val="0"/>
                      <w:sz w:val="21"/>
                      <w:szCs w:val="21"/>
                    </w:rPr>
                  </w:pPr>
                  <w:r>
                    <w:rPr>
                      <w:rFonts w:eastAsia="仿宋_GB2312"/>
                      <w:kern w:val="0"/>
                      <w:sz w:val="21"/>
                      <w:szCs w:val="21"/>
                    </w:rPr>
                    <w:t>260</w:t>
                  </w:r>
                </w:p>
              </w:tc>
              <w:tc>
                <w:tcPr>
                  <w:tcW w:w="353" w:type="pct"/>
                  <w:tcMar>
                    <w:top w:w="15" w:type="dxa"/>
                    <w:left w:w="15" w:type="dxa"/>
                    <w:bottom w:w="0" w:type="dxa"/>
                    <w:right w:w="15" w:type="dxa"/>
                  </w:tcMar>
                  <w:vAlign w:val="center"/>
                </w:tcPr>
                <w:p w14:paraId="64638F48">
                  <w:pPr>
                    <w:adjustRightInd w:val="0"/>
                    <w:snapToGrid w:val="0"/>
                    <w:jc w:val="center"/>
                    <w:rPr>
                      <w:rFonts w:eastAsia="仿宋_GB2312"/>
                      <w:kern w:val="0"/>
                      <w:sz w:val="21"/>
                      <w:szCs w:val="21"/>
                    </w:rPr>
                  </w:pPr>
                  <w:r>
                    <w:rPr>
                      <w:rFonts w:eastAsia="仿宋_GB2312"/>
                      <w:kern w:val="0"/>
                      <w:sz w:val="21"/>
                      <w:szCs w:val="21"/>
                    </w:rPr>
                    <w:t>530</w:t>
                  </w:r>
                </w:p>
              </w:tc>
              <w:tc>
                <w:tcPr>
                  <w:tcW w:w="353" w:type="pct"/>
                  <w:tcMar>
                    <w:top w:w="15" w:type="dxa"/>
                    <w:left w:w="15" w:type="dxa"/>
                    <w:bottom w:w="0" w:type="dxa"/>
                    <w:right w:w="15" w:type="dxa"/>
                  </w:tcMar>
                  <w:vAlign w:val="center"/>
                </w:tcPr>
                <w:p w14:paraId="0A49994F">
                  <w:pPr>
                    <w:adjustRightInd w:val="0"/>
                    <w:snapToGrid w:val="0"/>
                    <w:jc w:val="center"/>
                    <w:rPr>
                      <w:rFonts w:eastAsia="仿宋_GB2312"/>
                      <w:kern w:val="0"/>
                      <w:sz w:val="21"/>
                      <w:szCs w:val="21"/>
                    </w:rPr>
                  </w:pPr>
                  <w:r>
                    <w:rPr>
                      <w:rFonts w:eastAsia="仿宋_GB2312"/>
                      <w:kern w:val="0"/>
                      <w:sz w:val="21"/>
                      <w:szCs w:val="21"/>
                    </w:rPr>
                    <w:t>350</w:t>
                  </w:r>
                </w:p>
              </w:tc>
              <w:tc>
                <w:tcPr>
                  <w:tcW w:w="354" w:type="pct"/>
                  <w:tcMar>
                    <w:top w:w="15" w:type="dxa"/>
                    <w:left w:w="15" w:type="dxa"/>
                    <w:bottom w:w="0" w:type="dxa"/>
                    <w:right w:w="15" w:type="dxa"/>
                  </w:tcMar>
                  <w:vAlign w:val="center"/>
                </w:tcPr>
                <w:p w14:paraId="23EDC2DC">
                  <w:pPr>
                    <w:adjustRightInd w:val="0"/>
                    <w:snapToGrid w:val="0"/>
                    <w:jc w:val="center"/>
                    <w:rPr>
                      <w:rFonts w:eastAsia="仿宋_GB2312"/>
                      <w:kern w:val="0"/>
                      <w:sz w:val="21"/>
                      <w:szCs w:val="21"/>
                    </w:rPr>
                  </w:pPr>
                  <w:r>
                    <w:rPr>
                      <w:rFonts w:eastAsia="仿宋_GB2312"/>
                      <w:kern w:val="0"/>
                      <w:sz w:val="21"/>
                      <w:szCs w:val="21"/>
                    </w:rPr>
                    <w:t>260</w:t>
                  </w:r>
                </w:p>
              </w:tc>
              <w:tc>
                <w:tcPr>
                  <w:tcW w:w="353" w:type="pct"/>
                  <w:tcMar>
                    <w:top w:w="15" w:type="dxa"/>
                    <w:left w:w="15" w:type="dxa"/>
                    <w:bottom w:w="0" w:type="dxa"/>
                    <w:right w:w="15" w:type="dxa"/>
                  </w:tcMar>
                  <w:vAlign w:val="center"/>
                </w:tcPr>
                <w:p w14:paraId="68CDD761">
                  <w:pPr>
                    <w:adjustRightInd w:val="0"/>
                    <w:snapToGrid w:val="0"/>
                    <w:jc w:val="center"/>
                    <w:rPr>
                      <w:rFonts w:eastAsia="仿宋_GB2312"/>
                      <w:kern w:val="0"/>
                      <w:sz w:val="21"/>
                      <w:szCs w:val="21"/>
                    </w:rPr>
                  </w:pPr>
                  <w:r>
                    <w:rPr>
                      <w:rFonts w:eastAsia="仿宋_GB2312"/>
                      <w:kern w:val="0"/>
                      <w:sz w:val="21"/>
                      <w:szCs w:val="21"/>
                    </w:rPr>
                    <w:t>290</w:t>
                  </w:r>
                </w:p>
              </w:tc>
              <w:tc>
                <w:tcPr>
                  <w:tcW w:w="353" w:type="pct"/>
                  <w:tcMar>
                    <w:top w:w="15" w:type="dxa"/>
                    <w:left w:w="15" w:type="dxa"/>
                    <w:bottom w:w="0" w:type="dxa"/>
                    <w:right w:w="15" w:type="dxa"/>
                  </w:tcMar>
                  <w:vAlign w:val="center"/>
                </w:tcPr>
                <w:p w14:paraId="32F454CE">
                  <w:pPr>
                    <w:adjustRightInd w:val="0"/>
                    <w:snapToGrid w:val="0"/>
                    <w:jc w:val="center"/>
                    <w:rPr>
                      <w:rFonts w:eastAsia="仿宋_GB2312"/>
                      <w:kern w:val="0"/>
                      <w:sz w:val="21"/>
                      <w:szCs w:val="21"/>
                    </w:rPr>
                  </w:pPr>
                  <w:r>
                    <w:rPr>
                      <w:rFonts w:eastAsia="仿宋_GB2312"/>
                      <w:kern w:val="0"/>
                      <w:sz w:val="21"/>
                      <w:szCs w:val="21"/>
                    </w:rPr>
                    <w:t>190</w:t>
                  </w:r>
                </w:p>
              </w:tc>
              <w:tc>
                <w:tcPr>
                  <w:tcW w:w="357" w:type="pct"/>
                  <w:tcMar>
                    <w:top w:w="15" w:type="dxa"/>
                    <w:left w:w="15" w:type="dxa"/>
                    <w:bottom w:w="0" w:type="dxa"/>
                    <w:right w:w="15" w:type="dxa"/>
                  </w:tcMar>
                  <w:vAlign w:val="center"/>
                </w:tcPr>
                <w:p w14:paraId="70FC0D52">
                  <w:pPr>
                    <w:adjustRightInd w:val="0"/>
                    <w:snapToGrid w:val="0"/>
                    <w:jc w:val="center"/>
                    <w:rPr>
                      <w:rFonts w:eastAsia="仿宋_GB2312"/>
                      <w:kern w:val="0"/>
                      <w:sz w:val="21"/>
                      <w:szCs w:val="21"/>
                    </w:rPr>
                  </w:pPr>
                  <w:r>
                    <w:rPr>
                      <w:rFonts w:eastAsia="仿宋_GB2312"/>
                      <w:kern w:val="0"/>
                      <w:sz w:val="21"/>
                      <w:szCs w:val="21"/>
                    </w:rPr>
                    <w:t>140</w:t>
                  </w:r>
                </w:p>
              </w:tc>
            </w:tr>
            <w:tr w14:paraId="19E84785">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0" w:type="dxa"/>
                  <w:bottom w:w="0" w:type="dxa"/>
                  <w:right w:w="0" w:type="dxa"/>
                </w:tblCellMar>
              </w:tblPrEx>
              <w:trPr>
                <w:cantSplit/>
                <w:jc w:val="center"/>
              </w:trPr>
              <w:tc>
                <w:tcPr>
                  <w:tcW w:w="789" w:type="pct"/>
                  <w:vMerge w:val="restart"/>
                  <w:tcMar>
                    <w:top w:w="15" w:type="dxa"/>
                    <w:left w:w="15" w:type="dxa"/>
                    <w:bottom w:w="0" w:type="dxa"/>
                    <w:right w:w="15" w:type="dxa"/>
                  </w:tcMar>
                  <w:vAlign w:val="center"/>
                </w:tcPr>
                <w:p w14:paraId="04775F07">
                  <w:pPr>
                    <w:adjustRightInd w:val="0"/>
                    <w:snapToGrid w:val="0"/>
                    <w:jc w:val="center"/>
                    <w:rPr>
                      <w:rFonts w:eastAsia="仿宋_GB2312"/>
                      <w:kern w:val="0"/>
                      <w:sz w:val="21"/>
                      <w:szCs w:val="21"/>
                    </w:rPr>
                  </w:pPr>
                  <w:r>
                    <w:rPr>
                      <w:rFonts w:eastAsia="仿宋_GB2312"/>
                      <w:kern w:val="0"/>
                      <w:sz w:val="21"/>
                      <w:szCs w:val="21"/>
                    </w:rPr>
                    <w:t>B</w:t>
                  </w:r>
                </w:p>
              </w:tc>
              <w:tc>
                <w:tcPr>
                  <w:tcW w:w="915" w:type="pct"/>
                  <w:tcMar>
                    <w:top w:w="15" w:type="dxa"/>
                    <w:left w:w="15" w:type="dxa"/>
                    <w:bottom w:w="0" w:type="dxa"/>
                    <w:right w:w="15" w:type="dxa"/>
                  </w:tcMar>
                  <w:vAlign w:val="center"/>
                </w:tcPr>
                <w:p w14:paraId="7B04F928">
                  <w:pPr>
                    <w:adjustRightInd w:val="0"/>
                    <w:snapToGrid w:val="0"/>
                    <w:jc w:val="center"/>
                    <w:rPr>
                      <w:rFonts w:eastAsia="仿宋_GB2312"/>
                      <w:kern w:val="0"/>
                      <w:sz w:val="21"/>
                      <w:szCs w:val="21"/>
                    </w:rPr>
                  </w:pPr>
                  <w:r>
                    <w:rPr>
                      <w:rFonts w:eastAsia="仿宋_GB2312"/>
                      <w:kern w:val="0"/>
                      <w:sz w:val="21"/>
                      <w:szCs w:val="21"/>
                    </w:rPr>
                    <w:t>＜2</w:t>
                  </w:r>
                </w:p>
              </w:tc>
              <w:tc>
                <w:tcPr>
                  <w:tcW w:w="1169" w:type="pct"/>
                  <w:gridSpan w:val="3"/>
                  <w:tcMar>
                    <w:top w:w="15" w:type="dxa"/>
                    <w:left w:w="15" w:type="dxa"/>
                    <w:bottom w:w="0" w:type="dxa"/>
                    <w:right w:w="15" w:type="dxa"/>
                  </w:tcMar>
                  <w:vAlign w:val="center"/>
                </w:tcPr>
                <w:p w14:paraId="1E877BDC">
                  <w:pPr>
                    <w:adjustRightInd w:val="0"/>
                    <w:snapToGrid w:val="0"/>
                    <w:jc w:val="center"/>
                    <w:rPr>
                      <w:rFonts w:eastAsia="仿宋_GB2312"/>
                      <w:kern w:val="0"/>
                      <w:sz w:val="21"/>
                      <w:szCs w:val="21"/>
                    </w:rPr>
                  </w:pPr>
                  <w:r>
                    <w:rPr>
                      <w:rFonts w:eastAsia="仿宋_GB2312"/>
                      <w:kern w:val="0"/>
                      <w:sz w:val="21"/>
                      <w:szCs w:val="21"/>
                    </w:rPr>
                    <w:t>0.01</w:t>
                  </w:r>
                </w:p>
              </w:tc>
              <w:tc>
                <w:tcPr>
                  <w:tcW w:w="1061" w:type="pct"/>
                  <w:gridSpan w:val="3"/>
                  <w:tcMar>
                    <w:top w:w="15" w:type="dxa"/>
                    <w:left w:w="15" w:type="dxa"/>
                    <w:bottom w:w="0" w:type="dxa"/>
                    <w:right w:w="15" w:type="dxa"/>
                  </w:tcMar>
                  <w:vAlign w:val="center"/>
                </w:tcPr>
                <w:p w14:paraId="3BACD1A0">
                  <w:pPr>
                    <w:adjustRightInd w:val="0"/>
                    <w:snapToGrid w:val="0"/>
                    <w:jc w:val="center"/>
                    <w:rPr>
                      <w:rFonts w:eastAsia="仿宋_GB2312"/>
                      <w:kern w:val="0"/>
                      <w:sz w:val="21"/>
                      <w:szCs w:val="21"/>
                    </w:rPr>
                  </w:pPr>
                  <w:r>
                    <w:rPr>
                      <w:rFonts w:eastAsia="仿宋_GB2312"/>
                      <w:kern w:val="0"/>
                      <w:sz w:val="21"/>
                      <w:szCs w:val="21"/>
                    </w:rPr>
                    <w:t>0.015</w:t>
                  </w:r>
                </w:p>
              </w:tc>
              <w:tc>
                <w:tcPr>
                  <w:tcW w:w="1064" w:type="pct"/>
                  <w:gridSpan w:val="3"/>
                  <w:tcMar>
                    <w:top w:w="15" w:type="dxa"/>
                    <w:left w:w="15" w:type="dxa"/>
                    <w:bottom w:w="0" w:type="dxa"/>
                    <w:right w:w="15" w:type="dxa"/>
                  </w:tcMar>
                  <w:vAlign w:val="center"/>
                </w:tcPr>
                <w:p w14:paraId="615C2415">
                  <w:pPr>
                    <w:adjustRightInd w:val="0"/>
                    <w:snapToGrid w:val="0"/>
                    <w:jc w:val="center"/>
                    <w:rPr>
                      <w:rFonts w:eastAsia="仿宋_GB2312"/>
                      <w:kern w:val="0"/>
                      <w:sz w:val="21"/>
                      <w:szCs w:val="21"/>
                    </w:rPr>
                  </w:pPr>
                  <w:r>
                    <w:rPr>
                      <w:rFonts w:eastAsia="仿宋_GB2312"/>
                      <w:kern w:val="0"/>
                      <w:sz w:val="21"/>
                      <w:szCs w:val="21"/>
                    </w:rPr>
                    <w:t>0.015</w:t>
                  </w:r>
                </w:p>
              </w:tc>
            </w:tr>
            <w:tr w14:paraId="3C7E8C40">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0" w:type="dxa"/>
                  <w:bottom w:w="0" w:type="dxa"/>
                  <w:right w:w="0" w:type="dxa"/>
                </w:tblCellMar>
              </w:tblPrEx>
              <w:trPr>
                <w:cantSplit/>
                <w:jc w:val="center"/>
              </w:trPr>
              <w:tc>
                <w:tcPr>
                  <w:tcW w:w="789" w:type="pct"/>
                  <w:vMerge w:val="continue"/>
                  <w:vAlign w:val="center"/>
                </w:tcPr>
                <w:p w14:paraId="1D52412A">
                  <w:pPr>
                    <w:widowControl/>
                    <w:adjustRightInd w:val="0"/>
                    <w:snapToGrid w:val="0"/>
                    <w:jc w:val="center"/>
                    <w:rPr>
                      <w:rFonts w:eastAsia="仿宋_GB2312"/>
                      <w:kern w:val="0"/>
                      <w:sz w:val="21"/>
                      <w:szCs w:val="21"/>
                    </w:rPr>
                  </w:pPr>
                </w:p>
              </w:tc>
              <w:tc>
                <w:tcPr>
                  <w:tcW w:w="915" w:type="pct"/>
                  <w:tcMar>
                    <w:top w:w="15" w:type="dxa"/>
                    <w:left w:w="15" w:type="dxa"/>
                    <w:bottom w:w="0" w:type="dxa"/>
                    <w:right w:w="15" w:type="dxa"/>
                  </w:tcMar>
                  <w:vAlign w:val="center"/>
                </w:tcPr>
                <w:p w14:paraId="4E5E68B4">
                  <w:pPr>
                    <w:adjustRightInd w:val="0"/>
                    <w:snapToGrid w:val="0"/>
                    <w:jc w:val="center"/>
                    <w:rPr>
                      <w:rFonts w:eastAsia="仿宋_GB2312"/>
                      <w:kern w:val="0"/>
                      <w:sz w:val="21"/>
                      <w:szCs w:val="21"/>
                    </w:rPr>
                  </w:pPr>
                  <w:r>
                    <w:rPr>
                      <w:rFonts w:eastAsia="仿宋_GB2312"/>
                      <w:kern w:val="0"/>
                      <w:sz w:val="21"/>
                      <w:szCs w:val="21"/>
                    </w:rPr>
                    <w:t>＞2</w:t>
                  </w:r>
                </w:p>
              </w:tc>
              <w:tc>
                <w:tcPr>
                  <w:tcW w:w="1169" w:type="pct"/>
                  <w:gridSpan w:val="3"/>
                  <w:tcMar>
                    <w:top w:w="15" w:type="dxa"/>
                    <w:left w:w="15" w:type="dxa"/>
                    <w:bottom w:w="0" w:type="dxa"/>
                    <w:right w:w="15" w:type="dxa"/>
                  </w:tcMar>
                  <w:vAlign w:val="center"/>
                </w:tcPr>
                <w:p w14:paraId="6F3B7AEB">
                  <w:pPr>
                    <w:adjustRightInd w:val="0"/>
                    <w:snapToGrid w:val="0"/>
                    <w:jc w:val="center"/>
                    <w:rPr>
                      <w:rFonts w:eastAsia="仿宋_GB2312"/>
                      <w:kern w:val="0"/>
                      <w:sz w:val="21"/>
                      <w:szCs w:val="21"/>
                    </w:rPr>
                  </w:pPr>
                  <w:r>
                    <w:rPr>
                      <w:rFonts w:eastAsia="仿宋_GB2312"/>
                      <w:kern w:val="0"/>
                      <w:sz w:val="21"/>
                      <w:szCs w:val="21"/>
                    </w:rPr>
                    <w:t>0.021*</w:t>
                  </w:r>
                </w:p>
              </w:tc>
              <w:tc>
                <w:tcPr>
                  <w:tcW w:w="1061" w:type="pct"/>
                  <w:gridSpan w:val="3"/>
                  <w:tcMar>
                    <w:top w:w="15" w:type="dxa"/>
                    <w:left w:w="15" w:type="dxa"/>
                    <w:bottom w:w="0" w:type="dxa"/>
                    <w:right w:w="15" w:type="dxa"/>
                  </w:tcMar>
                  <w:vAlign w:val="center"/>
                </w:tcPr>
                <w:p w14:paraId="251B6AAE">
                  <w:pPr>
                    <w:adjustRightInd w:val="0"/>
                    <w:snapToGrid w:val="0"/>
                    <w:jc w:val="center"/>
                    <w:rPr>
                      <w:rFonts w:eastAsia="仿宋_GB2312"/>
                      <w:kern w:val="0"/>
                      <w:sz w:val="21"/>
                      <w:szCs w:val="21"/>
                    </w:rPr>
                  </w:pPr>
                  <w:r>
                    <w:rPr>
                      <w:rFonts w:eastAsia="仿宋_GB2312"/>
                      <w:kern w:val="0"/>
                      <w:sz w:val="21"/>
                      <w:szCs w:val="21"/>
                    </w:rPr>
                    <w:t>0.036</w:t>
                  </w:r>
                </w:p>
              </w:tc>
              <w:tc>
                <w:tcPr>
                  <w:tcW w:w="1064" w:type="pct"/>
                  <w:gridSpan w:val="3"/>
                  <w:tcMar>
                    <w:top w:w="15" w:type="dxa"/>
                    <w:left w:w="15" w:type="dxa"/>
                    <w:bottom w:w="0" w:type="dxa"/>
                    <w:right w:w="15" w:type="dxa"/>
                  </w:tcMar>
                  <w:vAlign w:val="center"/>
                </w:tcPr>
                <w:p w14:paraId="1330F3DB">
                  <w:pPr>
                    <w:adjustRightInd w:val="0"/>
                    <w:snapToGrid w:val="0"/>
                    <w:jc w:val="center"/>
                    <w:rPr>
                      <w:rFonts w:eastAsia="仿宋_GB2312"/>
                      <w:kern w:val="0"/>
                      <w:sz w:val="21"/>
                      <w:szCs w:val="21"/>
                    </w:rPr>
                  </w:pPr>
                  <w:r>
                    <w:rPr>
                      <w:rFonts w:eastAsia="仿宋_GB2312"/>
                      <w:kern w:val="0"/>
                      <w:sz w:val="21"/>
                      <w:szCs w:val="21"/>
                    </w:rPr>
                    <w:t>0.036</w:t>
                  </w:r>
                </w:p>
              </w:tc>
            </w:tr>
            <w:tr w14:paraId="0520A06F">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0" w:type="dxa"/>
                  <w:bottom w:w="0" w:type="dxa"/>
                  <w:right w:w="0" w:type="dxa"/>
                </w:tblCellMar>
              </w:tblPrEx>
              <w:trPr>
                <w:cantSplit/>
                <w:jc w:val="center"/>
              </w:trPr>
              <w:tc>
                <w:tcPr>
                  <w:tcW w:w="789" w:type="pct"/>
                  <w:vMerge w:val="restart"/>
                  <w:tcMar>
                    <w:top w:w="15" w:type="dxa"/>
                    <w:left w:w="15" w:type="dxa"/>
                    <w:bottom w:w="0" w:type="dxa"/>
                    <w:right w:w="15" w:type="dxa"/>
                  </w:tcMar>
                  <w:vAlign w:val="center"/>
                </w:tcPr>
                <w:p w14:paraId="45FB4F63">
                  <w:pPr>
                    <w:adjustRightInd w:val="0"/>
                    <w:snapToGrid w:val="0"/>
                    <w:jc w:val="center"/>
                    <w:rPr>
                      <w:rFonts w:eastAsia="仿宋_GB2312"/>
                      <w:kern w:val="0"/>
                      <w:sz w:val="21"/>
                      <w:szCs w:val="21"/>
                    </w:rPr>
                  </w:pPr>
                  <w:r>
                    <w:rPr>
                      <w:rFonts w:eastAsia="仿宋_GB2312"/>
                      <w:kern w:val="0"/>
                      <w:sz w:val="21"/>
                      <w:szCs w:val="21"/>
                    </w:rPr>
                    <w:t>C</w:t>
                  </w:r>
                </w:p>
              </w:tc>
              <w:tc>
                <w:tcPr>
                  <w:tcW w:w="915" w:type="pct"/>
                  <w:tcMar>
                    <w:top w:w="15" w:type="dxa"/>
                    <w:left w:w="15" w:type="dxa"/>
                    <w:bottom w:w="0" w:type="dxa"/>
                    <w:right w:w="15" w:type="dxa"/>
                  </w:tcMar>
                  <w:vAlign w:val="center"/>
                </w:tcPr>
                <w:p w14:paraId="506DF27C">
                  <w:pPr>
                    <w:adjustRightInd w:val="0"/>
                    <w:snapToGrid w:val="0"/>
                    <w:jc w:val="center"/>
                    <w:rPr>
                      <w:rFonts w:eastAsia="仿宋_GB2312"/>
                      <w:kern w:val="0"/>
                      <w:sz w:val="21"/>
                      <w:szCs w:val="21"/>
                    </w:rPr>
                  </w:pPr>
                  <w:r>
                    <w:rPr>
                      <w:rFonts w:eastAsia="仿宋_GB2312"/>
                      <w:kern w:val="0"/>
                      <w:sz w:val="21"/>
                      <w:szCs w:val="21"/>
                    </w:rPr>
                    <w:t>＜2</w:t>
                  </w:r>
                </w:p>
              </w:tc>
              <w:tc>
                <w:tcPr>
                  <w:tcW w:w="1169" w:type="pct"/>
                  <w:gridSpan w:val="3"/>
                  <w:tcMar>
                    <w:top w:w="15" w:type="dxa"/>
                    <w:left w:w="15" w:type="dxa"/>
                    <w:bottom w:w="0" w:type="dxa"/>
                    <w:right w:w="15" w:type="dxa"/>
                  </w:tcMar>
                  <w:vAlign w:val="center"/>
                </w:tcPr>
                <w:p w14:paraId="1BE19D57">
                  <w:pPr>
                    <w:adjustRightInd w:val="0"/>
                    <w:snapToGrid w:val="0"/>
                    <w:jc w:val="center"/>
                    <w:rPr>
                      <w:rFonts w:eastAsia="仿宋_GB2312"/>
                      <w:kern w:val="0"/>
                      <w:sz w:val="21"/>
                      <w:szCs w:val="21"/>
                    </w:rPr>
                  </w:pPr>
                  <w:r>
                    <w:rPr>
                      <w:rFonts w:eastAsia="仿宋_GB2312"/>
                      <w:kern w:val="0"/>
                      <w:sz w:val="21"/>
                      <w:szCs w:val="21"/>
                    </w:rPr>
                    <w:t>1.85</w:t>
                  </w:r>
                </w:p>
              </w:tc>
              <w:tc>
                <w:tcPr>
                  <w:tcW w:w="1061" w:type="pct"/>
                  <w:gridSpan w:val="3"/>
                  <w:tcMar>
                    <w:top w:w="15" w:type="dxa"/>
                    <w:left w:w="15" w:type="dxa"/>
                    <w:bottom w:w="0" w:type="dxa"/>
                    <w:right w:w="15" w:type="dxa"/>
                  </w:tcMar>
                  <w:vAlign w:val="center"/>
                </w:tcPr>
                <w:p w14:paraId="7595B177">
                  <w:pPr>
                    <w:adjustRightInd w:val="0"/>
                    <w:snapToGrid w:val="0"/>
                    <w:jc w:val="center"/>
                    <w:rPr>
                      <w:rFonts w:eastAsia="仿宋_GB2312"/>
                      <w:kern w:val="0"/>
                      <w:sz w:val="21"/>
                      <w:szCs w:val="21"/>
                    </w:rPr>
                  </w:pPr>
                  <w:r>
                    <w:rPr>
                      <w:rFonts w:eastAsia="仿宋_GB2312"/>
                      <w:kern w:val="0"/>
                      <w:sz w:val="21"/>
                      <w:szCs w:val="21"/>
                    </w:rPr>
                    <w:t>1.79</w:t>
                  </w:r>
                </w:p>
              </w:tc>
              <w:tc>
                <w:tcPr>
                  <w:tcW w:w="1064" w:type="pct"/>
                  <w:gridSpan w:val="3"/>
                  <w:tcMar>
                    <w:top w:w="15" w:type="dxa"/>
                    <w:left w:w="15" w:type="dxa"/>
                    <w:bottom w:w="0" w:type="dxa"/>
                    <w:right w:w="15" w:type="dxa"/>
                  </w:tcMar>
                  <w:vAlign w:val="center"/>
                </w:tcPr>
                <w:p w14:paraId="28D313CF">
                  <w:pPr>
                    <w:adjustRightInd w:val="0"/>
                    <w:snapToGrid w:val="0"/>
                    <w:jc w:val="center"/>
                    <w:rPr>
                      <w:rFonts w:eastAsia="仿宋_GB2312"/>
                      <w:kern w:val="0"/>
                      <w:sz w:val="21"/>
                      <w:szCs w:val="21"/>
                    </w:rPr>
                  </w:pPr>
                  <w:r>
                    <w:rPr>
                      <w:rFonts w:eastAsia="仿宋_GB2312"/>
                      <w:kern w:val="0"/>
                      <w:sz w:val="21"/>
                      <w:szCs w:val="21"/>
                    </w:rPr>
                    <w:t>1.79</w:t>
                  </w:r>
                </w:p>
              </w:tc>
            </w:tr>
            <w:tr w14:paraId="5E0A059D">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0" w:type="dxa"/>
                  <w:bottom w:w="0" w:type="dxa"/>
                  <w:right w:w="0" w:type="dxa"/>
                </w:tblCellMar>
              </w:tblPrEx>
              <w:trPr>
                <w:cantSplit/>
                <w:jc w:val="center"/>
              </w:trPr>
              <w:tc>
                <w:tcPr>
                  <w:tcW w:w="789" w:type="pct"/>
                  <w:vMerge w:val="continue"/>
                  <w:vAlign w:val="center"/>
                </w:tcPr>
                <w:p w14:paraId="6FEAFCCA">
                  <w:pPr>
                    <w:widowControl/>
                    <w:adjustRightInd w:val="0"/>
                    <w:snapToGrid w:val="0"/>
                    <w:jc w:val="center"/>
                    <w:rPr>
                      <w:rFonts w:eastAsia="仿宋_GB2312"/>
                      <w:kern w:val="0"/>
                      <w:sz w:val="21"/>
                      <w:szCs w:val="21"/>
                    </w:rPr>
                  </w:pPr>
                </w:p>
              </w:tc>
              <w:tc>
                <w:tcPr>
                  <w:tcW w:w="915" w:type="pct"/>
                  <w:tcMar>
                    <w:top w:w="15" w:type="dxa"/>
                    <w:left w:w="15" w:type="dxa"/>
                    <w:bottom w:w="0" w:type="dxa"/>
                    <w:right w:w="15" w:type="dxa"/>
                  </w:tcMar>
                  <w:vAlign w:val="center"/>
                </w:tcPr>
                <w:p w14:paraId="224997BC">
                  <w:pPr>
                    <w:adjustRightInd w:val="0"/>
                    <w:snapToGrid w:val="0"/>
                    <w:jc w:val="center"/>
                    <w:rPr>
                      <w:rFonts w:eastAsia="仿宋_GB2312"/>
                      <w:kern w:val="0"/>
                      <w:sz w:val="21"/>
                      <w:szCs w:val="21"/>
                    </w:rPr>
                  </w:pPr>
                  <w:r>
                    <w:rPr>
                      <w:rFonts w:eastAsia="仿宋_GB2312"/>
                      <w:kern w:val="0"/>
                      <w:sz w:val="21"/>
                      <w:szCs w:val="21"/>
                    </w:rPr>
                    <w:t>＞2</w:t>
                  </w:r>
                </w:p>
              </w:tc>
              <w:tc>
                <w:tcPr>
                  <w:tcW w:w="1169" w:type="pct"/>
                  <w:gridSpan w:val="3"/>
                  <w:tcMar>
                    <w:top w:w="15" w:type="dxa"/>
                    <w:left w:w="15" w:type="dxa"/>
                    <w:bottom w:w="0" w:type="dxa"/>
                    <w:right w:w="15" w:type="dxa"/>
                  </w:tcMar>
                  <w:vAlign w:val="center"/>
                </w:tcPr>
                <w:p w14:paraId="0B64EDD0">
                  <w:pPr>
                    <w:adjustRightInd w:val="0"/>
                    <w:snapToGrid w:val="0"/>
                    <w:jc w:val="center"/>
                    <w:rPr>
                      <w:rFonts w:eastAsia="仿宋_GB2312"/>
                      <w:kern w:val="0"/>
                      <w:sz w:val="21"/>
                      <w:szCs w:val="21"/>
                    </w:rPr>
                  </w:pPr>
                  <w:r>
                    <w:rPr>
                      <w:rFonts w:eastAsia="仿宋_GB2312"/>
                      <w:kern w:val="0"/>
                      <w:sz w:val="21"/>
                      <w:szCs w:val="21"/>
                    </w:rPr>
                    <w:t>1.85*</w:t>
                  </w:r>
                </w:p>
              </w:tc>
              <w:tc>
                <w:tcPr>
                  <w:tcW w:w="1061" w:type="pct"/>
                  <w:gridSpan w:val="3"/>
                  <w:tcMar>
                    <w:top w:w="15" w:type="dxa"/>
                    <w:left w:w="15" w:type="dxa"/>
                    <w:bottom w:w="0" w:type="dxa"/>
                    <w:right w:w="15" w:type="dxa"/>
                  </w:tcMar>
                  <w:vAlign w:val="center"/>
                </w:tcPr>
                <w:p w14:paraId="0B9D9D99">
                  <w:pPr>
                    <w:adjustRightInd w:val="0"/>
                    <w:snapToGrid w:val="0"/>
                    <w:jc w:val="center"/>
                    <w:rPr>
                      <w:rFonts w:eastAsia="仿宋_GB2312"/>
                      <w:kern w:val="0"/>
                      <w:sz w:val="21"/>
                      <w:szCs w:val="21"/>
                    </w:rPr>
                  </w:pPr>
                  <w:r>
                    <w:rPr>
                      <w:rFonts w:eastAsia="仿宋_GB2312"/>
                      <w:kern w:val="0"/>
                      <w:sz w:val="21"/>
                      <w:szCs w:val="21"/>
                    </w:rPr>
                    <w:t>1.77</w:t>
                  </w:r>
                </w:p>
              </w:tc>
              <w:tc>
                <w:tcPr>
                  <w:tcW w:w="1064" w:type="pct"/>
                  <w:gridSpan w:val="3"/>
                  <w:tcMar>
                    <w:top w:w="15" w:type="dxa"/>
                    <w:left w:w="15" w:type="dxa"/>
                    <w:bottom w:w="0" w:type="dxa"/>
                    <w:right w:w="15" w:type="dxa"/>
                  </w:tcMar>
                  <w:vAlign w:val="center"/>
                </w:tcPr>
                <w:p w14:paraId="1133C053">
                  <w:pPr>
                    <w:adjustRightInd w:val="0"/>
                    <w:snapToGrid w:val="0"/>
                    <w:jc w:val="center"/>
                    <w:rPr>
                      <w:rFonts w:eastAsia="仿宋_GB2312"/>
                      <w:kern w:val="0"/>
                      <w:sz w:val="21"/>
                      <w:szCs w:val="21"/>
                    </w:rPr>
                  </w:pPr>
                  <w:r>
                    <w:rPr>
                      <w:rFonts w:eastAsia="仿宋_GB2312"/>
                      <w:kern w:val="0"/>
                      <w:sz w:val="21"/>
                      <w:szCs w:val="21"/>
                    </w:rPr>
                    <w:t>1.77</w:t>
                  </w:r>
                </w:p>
              </w:tc>
            </w:tr>
            <w:tr w14:paraId="57282F9B">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0" w:type="dxa"/>
                  <w:bottom w:w="0" w:type="dxa"/>
                  <w:right w:w="0" w:type="dxa"/>
                </w:tblCellMar>
              </w:tblPrEx>
              <w:trPr>
                <w:cantSplit/>
                <w:jc w:val="center"/>
              </w:trPr>
              <w:tc>
                <w:tcPr>
                  <w:tcW w:w="789" w:type="pct"/>
                  <w:vMerge w:val="restart"/>
                  <w:tcMar>
                    <w:top w:w="15" w:type="dxa"/>
                    <w:left w:w="15" w:type="dxa"/>
                    <w:bottom w:w="0" w:type="dxa"/>
                    <w:right w:w="15" w:type="dxa"/>
                  </w:tcMar>
                  <w:vAlign w:val="center"/>
                </w:tcPr>
                <w:p w14:paraId="0F13ED4A">
                  <w:pPr>
                    <w:adjustRightInd w:val="0"/>
                    <w:snapToGrid w:val="0"/>
                    <w:jc w:val="center"/>
                    <w:rPr>
                      <w:rFonts w:eastAsia="仿宋_GB2312"/>
                      <w:kern w:val="0"/>
                      <w:sz w:val="21"/>
                      <w:szCs w:val="21"/>
                    </w:rPr>
                  </w:pPr>
                  <w:r>
                    <w:rPr>
                      <w:rFonts w:eastAsia="仿宋_GB2312"/>
                      <w:kern w:val="0"/>
                      <w:sz w:val="21"/>
                      <w:szCs w:val="21"/>
                    </w:rPr>
                    <w:t>D</w:t>
                  </w:r>
                </w:p>
              </w:tc>
              <w:tc>
                <w:tcPr>
                  <w:tcW w:w="915" w:type="pct"/>
                  <w:tcMar>
                    <w:top w:w="15" w:type="dxa"/>
                    <w:left w:w="15" w:type="dxa"/>
                    <w:bottom w:w="0" w:type="dxa"/>
                    <w:right w:w="15" w:type="dxa"/>
                  </w:tcMar>
                  <w:vAlign w:val="center"/>
                </w:tcPr>
                <w:p w14:paraId="0BD94184">
                  <w:pPr>
                    <w:adjustRightInd w:val="0"/>
                    <w:snapToGrid w:val="0"/>
                    <w:jc w:val="center"/>
                    <w:rPr>
                      <w:rFonts w:eastAsia="仿宋_GB2312"/>
                      <w:kern w:val="0"/>
                      <w:sz w:val="21"/>
                      <w:szCs w:val="21"/>
                    </w:rPr>
                  </w:pPr>
                  <w:r>
                    <w:rPr>
                      <w:rFonts w:eastAsia="仿宋_GB2312"/>
                      <w:kern w:val="0"/>
                      <w:sz w:val="21"/>
                      <w:szCs w:val="21"/>
                    </w:rPr>
                    <w:t>＜2</w:t>
                  </w:r>
                </w:p>
              </w:tc>
              <w:tc>
                <w:tcPr>
                  <w:tcW w:w="1169" w:type="pct"/>
                  <w:gridSpan w:val="3"/>
                  <w:tcMar>
                    <w:top w:w="15" w:type="dxa"/>
                    <w:left w:w="15" w:type="dxa"/>
                    <w:bottom w:w="0" w:type="dxa"/>
                    <w:right w:w="15" w:type="dxa"/>
                  </w:tcMar>
                  <w:vAlign w:val="center"/>
                </w:tcPr>
                <w:p w14:paraId="57BFEC2B">
                  <w:pPr>
                    <w:adjustRightInd w:val="0"/>
                    <w:snapToGrid w:val="0"/>
                    <w:jc w:val="center"/>
                    <w:rPr>
                      <w:rFonts w:eastAsia="仿宋_GB2312"/>
                      <w:kern w:val="0"/>
                      <w:sz w:val="21"/>
                      <w:szCs w:val="21"/>
                    </w:rPr>
                  </w:pPr>
                  <w:r>
                    <w:rPr>
                      <w:rFonts w:eastAsia="仿宋_GB2312"/>
                      <w:kern w:val="0"/>
                      <w:sz w:val="21"/>
                      <w:szCs w:val="21"/>
                    </w:rPr>
                    <w:t>0.78</w:t>
                  </w:r>
                </w:p>
              </w:tc>
              <w:tc>
                <w:tcPr>
                  <w:tcW w:w="1061" w:type="pct"/>
                  <w:gridSpan w:val="3"/>
                  <w:tcMar>
                    <w:top w:w="15" w:type="dxa"/>
                    <w:left w:w="15" w:type="dxa"/>
                    <w:bottom w:w="0" w:type="dxa"/>
                    <w:right w:w="15" w:type="dxa"/>
                  </w:tcMar>
                  <w:vAlign w:val="center"/>
                </w:tcPr>
                <w:p w14:paraId="7038AA6A">
                  <w:pPr>
                    <w:adjustRightInd w:val="0"/>
                    <w:snapToGrid w:val="0"/>
                    <w:jc w:val="center"/>
                    <w:rPr>
                      <w:rFonts w:eastAsia="仿宋_GB2312"/>
                      <w:kern w:val="0"/>
                      <w:sz w:val="21"/>
                      <w:szCs w:val="21"/>
                    </w:rPr>
                  </w:pPr>
                  <w:r>
                    <w:rPr>
                      <w:rFonts w:eastAsia="仿宋_GB2312"/>
                      <w:kern w:val="0"/>
                      <w:sz w:val="21"/>
                      <w:szCs w:val="21"/>
                    </w:rPr>
                    <w:t>0.78</w:t>
                  </w:r>
                </w:p>
              </w:tc>
              <w:tc>
                <w:tcPr>
                  <w:tcW w:w="1064" w:type="pct"/>
                  <w:gridSpan w:val="3"/>
                  <w:tcMar>
                    <w:top w:w="15" w:type="dxa"/>
                    <w:left w:w="15" w:type="dxa"/>
                    <w:bottom w:w="0" w:type="dxa"/>
                    <w:right w:w="15" w:type="dxa"/>
                  </w:tcMar>
                  <w:vAlign w:val="center"/>
                </w:tcPr>
                <w:p w14:paraId="357823DD">
                  <w:pPr>
                    <w:adjustRightInd w:val="0"/>
                    <w:snapToGrid w:val="0"/>
                    <w:jc w:val="center"/>
                    <w:rPr>
                      <w:rFonts w:eastAsia="仿宋_GB2312"/>
                      <w:kern w:val="0"/>
                      <w:sz w:val="21"/>
                      <w:szCs w:val="21"/>
                    </w:rPr>
                  </w:pPr>
                  <w:r>
                    <w:rPr>
                      <w:rFonts w:eastAsia="仿宋_GB2312"/>
                      <w:kern w:val="0"/>
                      <w:sz w:val="21"/>
                      <w:szCs w:val="21"/>
                    </w:rPr>
                    <w:t>0.57</w:t>
                  </w:r>
                </w:p>
              </w:tc>
            </w:tr>
            <w:tr w14:paraId="061AB6FD">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0" w:type="dxa"/>
                  <w:bottom w:w="0" w:type="dxa"/>
                  <w:right w:w="0" w:type="dxa"/>
                </w:tblCellMar>
              </w:tblPrEx>
              <w:trPr>
                <w:cantSplit/>
                <w:jc w:val="center"/>
              </w:trPr>
              <w:tc>
                <w:tcPr>
                  <w:tcW w:w="789" w:type="pct"/>
                  <w:vMerge w:val="continue"/>
                  <w:vAlign w:val="center"/>
                </w:tcPr>
                <w:p w14:paraId="6EFDD312">
                  <w:pPr>
                    <w:widowControl/>
                    <w:adjustRightInd w:val="0"/>
                    <w:snapToGrid w:val="0"/>
                    <w:jc w:val="center"/>
                    <w:rPr>
                      <w:rFonts w:eastAsia="仿宋_GB2312"/>
                      <w:kern w:val="0"/>
                      <w:sz w:val="21"/>
                      <w:szCs w:val="21"/>
                    </w:rPr>
                  </w:pPr>
                </w:p>
              </w:tc>
              <w:tc>
                <w:tcPr>
                  <w:tcW w:w="915" w:type="pct"/>
                  <w:tcMar>
                    <w:top w:w="15" w:type="dxa"/>
                    <w:left w:w="15" w:type="dxa"/>
                    <w:bottom w:w="0" w:type="dxa"/>
                    <w:right w:w="15" w:type="dxa"/>
                  </w:tcMar>
                  <w:vAlign w:val="center"/>
                </w:tcPr>
                <w:p w14:paraId="0EA6CDC2">
                  <w:pPr>
                    <w:adjustRightInd w:val="0"/>
                    <w:snapToGrid w:val="0"/>
                    <w:jc w:val="center"/>
                    <w:rPr>
                      <w:rFonts w:eastAsia="仿宋_GB2312"/>
                      <w:kern w:val="0"/>
                      <w:sz w:val="21"/>
                      <w:szCs w:val="21"/>
                    </w:rPr>
                  </w:pPr>
                  <w:r>
                    <w:rPr>
                      <w:rFonts w:eastAsia="仿宋_GB2312"/>
                      <w:kern w:val="0"/>
                      <w:sz w:val="21"/>
                      <w:szCs w:val="21"/>
                    </w:rPr>
                    <w:t>＞2</w:t>
                  </w:r>
                </w:p>
              </w:tc>
              <w:tc>
                <w:tcPr>
                  <w:tcW w:w="1169" w:type="pct"/>
                  <w:gridSpan w:val="3"/>
                  <w:tcMar>
                    <w:top w:w="15" w:type="dxa"/>
                    <w:left w:w="15" w:type="dxa"/>
                    <w:bottom w:w="0" w:type="dxa"/>
                    <w:right w:w="15" w:type="dxa"/>
                  </w:tcMar>
                  <w:vAlign w:val="center"/>
                </w:tcPr>
                <w:p w14:paraId="0582E0BC">
                  <w:pPr>
                    <w:adjustRightInd w:val="0"/>
                    <w:snapToGrid w:val="0"/>
                    <w:jc w:val="center"/>
                    <w:rPr>
                      <w:rFonts w:eastAsia="仿宋_GB2312"/>
                      <w:kern w:val="0"/>
                      <w:sz w:val="21"/>
                      <w:szCs w:val="21"/>
                    </w:rPr>
                  </w:pPr>
                  <w:r>
                    <w:rPr>
                      <w:rFonts w:eastAsia="仿宋_GB2312"/>
                      <w:kern w:val="0"/>
                      <w:sz w:val="21"/>
                      <w:szCs w:val="21"/>
                    </w:rPr>
                    <w:t>0.84*</w:t>
                  </w:r>
                </w:p>
              </w:tc>
              <w:tc>
                <w:tcPr>
                  <w:tcW w:w="1061" w:type="pct"/>
                  <w:gridSpan w:val="3"/>
                  <w:tcMar>
                    <w:top w:w="15" w:type="dxa"/>
                    <w:left w:w="15" w:type="dxa"/>
                    <w:bottom w:w="0" w:type="dxa"/>
                    <w:right w:w="15" w:type="dxa"/>
                  </w:tcMar>
                  <w:vAlign w:val="center"/>
                </w:tcPr>
                <w:p w14:paraId="5C67920F">
                  <w:pPr>
                    <w:adjustRightInd w:val="0"/>
                    <w:snapToGrid w:val="0"/>
                    <w:jc w:val="center"/>
                    <w:rPr>
                      <w:rFonts w:eastAsia="仿宋_GB2312"/>
                      <w:kern w:val="0"/>
                      <w:sz w:val="21"/>
                      <w:szCs w:val="21"/>
                    </w:rPr>
                  </w:pPr>
                  <w:r>
                    <w:rPr>
                      <w:rFonts w:eastAsia="仿宋_GB2312"/>
                      <w:kern w:val="0"/>
                      <w:sz w:val="21"/>
                      <w:szCs w:val="21"/>
                    </w:rPr>
                    <w:t>0.84</w:t>
                  </w:r>
                </w:p>
              </w:tc>
              <w:tc>
                <w:tcPr>
                  <w:tcW w:w="1064" w:type="pct"/>
                  <w:gridSpan w:val="3"/>
                  <w:tcMar>
                    <w:top w:w="15" w:type="dxa"/>
                    <w:left w:w="15" w:type="dxa"/>
                    <w:bottom w:w="0" w:type="dxa"/>
                    <w:right w:w="15" w:type="dxa"/>
                  </w:tcMar>
                  <w:vAlign w:val="center"/>
                </w:tcPr>
                <w:p w14:paraId="3F6B0C42">
                  <w:pPr>
                    <w:adjustRightInd w:val="0"/>
                    <w:snapToGrid w:val="0"/>
                    <w:jc w:val="center"/>
                    <w:rPr>
                      <w:rFonts w:eastAsia="仿宋_GB2312"/>
                      <w:kern w:val="0"/>
                      <w:sz w:val="21"/>
                      <w:szCs w:val="21"/>
                    </w:rPr>
                  </w:pPr>
                  <w:r>
                    <w:rPr>
                      <w:rFonts w:eastAsia="仿宋_GB2312"/>
                      <w:kern w:val="0"/>
                      <w:sz w:val="21"/>
                      <w:szCs w:val="21"/>
                    </w:rPr>
                    <w:t>0.76</w:t>
                  </w:r>
                </w:p>
              </w:tc>
            </w:tr>
          </w:tbl>
          <w:p w14:paraId="3B0E6F61">
            <w:pPr>
              <w:adjustRightInd w:val="0"/>
              <w:snapToGrid w:val="0"/>
              <w:spacing w:line="360" w:lineRule="auto"/>
              <w:ind w:firstLine="422" w:firstLineChars="200"/>
              <w:rPr>
                <w:rFonts w:eastAsia="仿宋_GB2312"/>
                <w:b/>
                <w:bCs/>
                <w:kern w:val="0"/>
              </w:rPr>
            </w:pPr>
            <w:r>
              <w:rPr>
                <w:rFonts w:eastAsia="仿宋_GB2312"/>
                <w:b/>
                <w:bCs/>
                <w:kern w:val="0"/>
              </w:rPr>
              <w:t>注：表中带“*”者为选用参数。</w:t>
            </w:r>
          </w:p>
          <w:p w14:paraId="38B490F3">
            <w:pPr>
              <w:adjustRightInd w:val="0"/>
              <w:snapToGrid w:val="0"/>
              <w:spacing w:line="360" w:lineRule="auto"/>
              <w:ind w:firstLine="420" w:firstLineChars="200"/>
              <w:rPr>
                <w:rFonts w:eastAsia="仿宋_GB2312"/>
                <w:kern w:val="0"/>
              </w:rPr>
            </w:pPr>
            <w:r>
              <w:rPr>
                <w:rFonts w:eastAsia="仿宋_GB2312"/>
                <w:kern w:val="0"/>
              </w:rPr>
              <w:t>3）计算结果</w:t>
            </w:r>
          </w:p>
          <w:p w14:paraId="7B8A4CD7">
            <w:pPr>
              <w:autoSpaceDE w:val="0"/>
              <w:autoSpaceDN w:val="0"/>
              <w:adjustRightInd w:val="0"/>
              <w:snapToGrid w:val="0"/>
              <w:spacing w:line="360" w:lineRule="auto"/>
              <w:ind w:firstLine="420" w:firstLineChars="200"/>
              <w:rPr>
                <w:rFonts w:eastAsia="仿宋_GB2312"/>
                <w:kern w:val="0"/>
              </w:rPr>
            </w:pPr>
            <w:r>
              <w:rPr>
                <w:rFonts w:eastAsia="仿宋_GB2312"/>
                <w:kern w:val="0"/>
              </w:rPr>
              <w:t>卫生防护距离计算结果见表4-</w:t>
            </w:r>
            <w:r>
              <w:rPr>
                <w:rFonts w:hint="eastAsia" w:eastAsia="仿宋_GB2312"/>
                <w:kern w:val="0"/>
                <w:lang w:val="en-US" w:eastAsia="zh-CN"/>
              </w:rPr>
              <w:t>22</w:t>
            </w:r>
            <w:r>
              <w:rPr>
                <w:rFonts w:eastAsia="仿宋_GB2312"/>
                <w:kern w:val="0"/>
              </w:rPr>
              <w:t>。</w:t>
            </w:r>
          </w:p>
          <w:p w14:paraId="627AD800">
            <w:pPr>
              <w:tabs>
                <w:tab w:val="left" w:pos="6075"/>
              </w:tabs>
              <w:adjustRightInd w:val="0"/>
              <w:snapToGrid w:val="0"/>
              <w:jc w:val="center"/>
              <w:rPr>
                <w:rFonts w:eastAsia="仿宋_GB2312"/>
                <w:b/>
              </w:rPr>
            </w:pPr>
            <w:r>
              <w:rPr>
                <w:rFonts w:eastAsia="仿宋_GB2312"/>
                <w:b/>
              </w:rPr>
              <w:t>表4-</w:t>
            </w:r>
            <w:r>
              <w:rPr>
                <w:rFonts w:hint="eastAsia" w:eastAsia="仿宋_GB2312"/>
                <w:b/>
                <w:lang w:val="en-US" w:eastAsia="zh-CN"/>
              </w:rPr>
              <w:t xml:space="preserve">22  </w:t>
            </w:r>
            <w:r>
              <w:rPr>
                <w:rFonts w:eastAsia="仿宋_GB2312"/>
                <w:b/>
              </w:rPr>
              <w:t>卫生防护距离计算参数及计算结果</w:t>
            </w:r>
          </w:p>
          <w:tbl>
            <w:tblPr>
              <w:tblStyle w:val="31"/>
              <w:tblW w:w="842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945"/>
              <w:gridCol w:w="1011"/>
              <w:gridCol w:w="691"/>
              <w:gridCol w:w="773"/>
              <w:gridCol w:w="937"/>
              <w:gridCol w:w="1050"/>
              <w:gridCol w:w="979"/>
              <w:gridCol w:w="1123"/>
              <w:gridCol w:w="920"/>
            </w:tblGrid>
            <w:tr w14:paraId="06562C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14" w:hRule="atLeast"/>
                <w:jc w:val="center"/>
              </w:trPr>
              <w:tc>
                <w:tcPr>
                  <w:tcW w:w="945" w:type="dxa"/>
                  <w:vMerge w:val="restart"/>
                  <w:vAlign w:val="center"/>
                </w:tcPr>
                <w:p w14:paraId="3CD9F497">
                  <w:pPr>
                    <w:adjustRightInd w:val="0"/>
                    <w:snapToGrid w:val="0"/>
                    <w:jc w:val="center"/>
                    <w:rPr>
                      <w:rFonts w:eastAsia="仿宋_GB2312"/>
                      <w:b/>
                      <w:kern w:val="0"/>
                      <w:sz w:val="21"/>
                      <w:szCs w:val="21"/>
                    </w:rPr>
                  </w:pPr>
                  <w:r>
                    <w:rPr>
                      <w:rFonts w:eastAsia="仿宋_GB2312"/>
                      <w:b/>
                      <w:kern w:val="0"/>
                      <w:sz w:val="21"/>
                      <w:szCs w:val="21"/>
                    </w:rPr>
                    <w:t>污染物名称</w:t>
                  </w:r>
                </w:p>
              </w:tc>
              <w:tc>
                <w:tcPr>
                  <w:tcW w:w="1011" w:type="dxa"/>
                  <w:vMerge w:val="restart"/>
                  <w:vAlign w:val="center"/>
                </w:tcPr>
                <w:p w14:paraId="05355687">
                  <w:pPr>
                    <w:adjustRightInd w:val="0"/>
                    <w:snapToGrid w:val="0"/>
                    <w:jc w:val="center"/>
                    <w:rPr>
                      <w:rFonts w:eastAsia="仿宋_GB2312"/>
                      <w:b/>
                      <w:kern w:val="0"/>
                      <w:sz w:val="21"/>
                      <w:szCs w:val="21"/>
                    </w:rPr>
                  </w:pPr>
                  <w:r>
                    <w:rPr>
                      <w:rFonts w:eastAsia="仿宋_GB2312"/>
                      <w:b/>
                      <w:kern w:val="0"/>
                      <w:sz w:val="21"/>
                      <w:szCs w:val="21"/>
                    </w:rPr>
                    <w:t>主要污染源位置</w:t>
                  </w:r>
                </w:p>
              </w:tc>
              <w:tc>
                <w:tcPr>
                  <w:tcW w:w="691" w:type="dxa"/>
                  <w:vMerge w:val="restart"/>
                  <w:vAlign w:val="center"/>
                </w:tcPr>
                <w:p w14:paraId="65D352F1">
                  <w:pPr>
                    <w:adjustRightInd w:val="0"/>
                    <w:snapToGrid w:val="0"/>
                    <w:jc w:val="center"/>
                    <w:rPr>
                      <w:rFonts w:eastAsia="仿宋_GB2312"/>
                      <w:b/>
                      <w:kern w:val="0"/>
                      <w:sz w:val="21"/>
                      <w:szCs w:val="21"/>
                    </w:rPr>
                  </w:pPr>
                  <w:r>
                    <w:rPr>
                      <w:rFonts w:eastAsia="仿宋_GB2312"/>
                      <w:b/>
                      <w:kern w:val="0"/>
                      <w:sz w:val="21"/>
                      <w:szCs w:val="21"/>
                    </w:rPr>
                    <w:t>面源长度</w:t>
                  </w:r>
                </w:p>
                <w:p w14:paraId="5626B5FE">
                  <w:pPr>
                    <w:adjustRightInd w:val="0"/>
                    <w:snapToGrid w:val="0"/>
                    <w:jc w:val="center"/>
                    <w:rPr>
                      <w:rFonts w:eastAsia="仿宋_GB2312"/>
                      <w:b/>
                      <w:kern w:val="0"/>
                      <w:sz w:val="21"/>
                      <w:szCs w:val="21"/>
                    </w:rPr>
                  </w:pPr>
                  <w:r>
                    <w:rPr>
                      <w:rFonts w:eastAsia="仿宋_GB2312"/>
                      <w:b/>
                      <w:kern w:val="0"/>
                      <w:sz w:val="21"/>
                      <w:szCs w:val="21"/>
                    </w:rPr>
                    <w:t>(m)</w:t>
                  </w:r>
                </w:p>
              </w:tc>
              <w:tc>
                <w:tcPr>
                  <w:tcW w:w="773" w:type="dxa"/>
                  <w:vMerge w:val="restart"/>
                  <w:vAlign w:val="center"/>
                </w:tcPr>
                <w:p w14:paraId="7AF1ADE2">
                  <w:pPr>
                    <w:adjustRightInd w:val="0"/>
                    <w:snapToGrid w:val="0"/>
                    <w:jc w:val="center"/>
                    <w:rPr>
                      <w:rFonts w:eastAsia="仿宋_GB2312"/>
                      <w:b/>
                      <w:kern w:val="0"/>
                      <w:sz w:val="21"/>
                      <w:szCs w:val="21"/>
                    </w:rPr>
                  </w:pPr>
                  <w:r>
                    <w:rPr>
                      <w:rFonts w:eastAsia="仿宋_GB2312"/>
                      <w:b/>
                      <w:kern w:val="0"/>
                      <w:sz w:val="21"/>
                      <w:szCs w:val="21"/>
                    </w:rPr>
                    <w:t>面源宽度</w:t>
                  </w:r>
                </w:p>
                <w:p w14:paraId="1654B207">
                  <w:pPr>
                    <w:adjustRightInd w:val="0"/>
                    <w:snapToGrid w:val="0"/>
                    <w:jc w:val="center"/>
                    <w:rPr>
                      <w:rFonts w:eastAsia="仿宋_GB2312"/>
                      <w:b/>
                      <w:kern w:val="0"/>
                      <w:sz w:val="21"/>
                      <w:szCs w:val="21"/>
                    </w:rPr>
                  </w:pPr>
                  <w:r>
                    <w:rPr>
                      <w:rFonts w:eastAsia="仿宋_GB2312"/>
                      <w:b/>
                      <w:kern w:val="0"/>
                      <w:sz w:val="21"/>
                      <w:szCs w:val="21"/>
                    </w:rPr>
                    <w:t>(m)</w:t>
                  </w:r>
                </w:p>
              </w:tc>
              <w:tc>
                <w:tcPr>
                  <w:tcW w:w="937" w:type="dxa"/>
                  <w:vMerge w:val="restart"/>
                  <w:vAlign w:val="center"/>
                </w:tcPr>
                <w:p w14:paraId="7BBA580B">
                  <w:pPr>
                    <w:adjustRightInd w:val="0"/>
                    <w:snapToGrid w:val="0"/>
                    <w:jc w:val="center"/>
                    <w:rPr>
                      <w:rFonts w:eastAsia="仿宋_GB2312"/>
                      <w:b/>
                      <w:kern w:val="0"/>
                      <w:sz w:val="21"/>
                      <w:szCs w:val="21"/>
                    </w:rPr>
                  </w:pPr>
                  <w:r>
                    <w:rPr>
                      <w:rFonts w:eastAsia="仿宋_GB2312"/>
                      <w:b/>
                      <w:kern w:val="0"/>
                      <w:sz w:val="21"/>
                      <w:szCs w:val="21"/>
                    </w:rPr>
                    <w:t>有效高度</w:t>
                  </w:r>
                </w:p>
                <w:p w14:paraId="0878F18F">
                  <w:pPr>
                    <w:adjustRightInd w:val="0"/>
                    <w:snapToGrid w:val="0"/>
                    <w:jc w:val="center"/>
                    <w:rPr>
                      <w:rFonts w:eastAsia="仿宋_GB2312"/>
                      <w:b/>
                      <w:kern w:val="0"/>
                      <w:sz w:val="21"/>
                      <w:szCs w:val="21"/>
                    </w:rPr>
                  </w:pPr>
                  <w:r>
                    <w:rPr>
                      <w:rFonts w:eastAsia="仿宋_GB2312"/>
                      <w:b/>
                      <w:kern w:val="0"/>
                      <w:sz w:val="21"/>
                      <w:szCs w:val="21"/>
                    </w:rPr>
                    <w:t>(m)</w:t>
                  </w:r>
                </w:p>
              </w:tc>
              <w:tc>
                <w:tcPr>
                  <w:tcW w:w="1050" w:type="dxa"/>
                  <w:vMerge w:val="restart"/>
                  <w:vAlign w:val="center"/>
                </w:tcPr>
                <w:p w14:paraId="6D804CB3">
                  <w:pPr>
                    <w:adjustRightInd w:val="0"/>
                    <w:snapToGrid w:val="0"/>
                    <w:jc w:val="center"/>
                    <w:rPr>
                      <w:rFonts w:eastAsia="仿宋_GB2312"/>
                      <w:b/>
                      <w:kern w:val="0"/>
                      <w:sz w:val="21"/>
                      <w:szCs w:val="21"/>
                    </w:rPr>
                  </w:pPr>
                  <w:r>
                    <w:rPr>
                      <w:rFonts w:eastAsia="仿宋_GB2312"/>
                      <w:b/>
                      <w:kern w:val="0"/>
                      <w:sz w:val="21"/>
                      <w:szCs w:val="21"/>
                    </w:rPr>
                    <w:t>污染物产生源强</w:t>
                  </w:r>
                </w:p>
                <w:p w14:paraId="632FA8D9">
                  <w:pPr>
                    <w:adjustRightInd w:val="0"/>
                    <w:snapToGrid w:val="0"/>
                    <w:jc w:val="center"/>
                    <w:rPr>
                      <w:rFonts w:eastAsia="仿宋_GB2312"/>
                      <w:b/>
                      <w:kern w:val="0"/>
                      <w:sz w:val="21"/>
                      <w:szCs w:val="21"/>
                    </w:rPr>
                  </w:pPr>
                  <w:r>
                    <w:rPr>
                      <w:rFonts w:eastAsia="仿宋_GB2312"/>
                      <w:b/>
                      <w:kern w:val="0"/>
                      <w:sz w:val="21"/>
                      <w:szCs w:val="21"/>
                    </w:rPr>
                    <w:t>(kg/h)</w:t>
                  </w:r>
                </w:p>
              </w:tc>
              <w:tc>
                <w:tcPr>
                  <w:tcW w:w="979" w:type="dxa"/>
                  <w:vMerge w:val="restart"/>
                  <w:vAlign w:val="center"/>
                </w:tcPr>
                <w:p w14:paraId="4250166E">
                  <w:pPr>
                    <w:adjustRightInd w:val="0"/>
                    <w:snapToGrid w:val="0"/>
                    <w:jc w:val="center"/>
                    <w:rPr>
                      <w:rFonts w:eastAsia="仿宋_GB2312"/>
                      <w:b/>
                      <w:kern w:val="0"/>
                      <w:sz w:val="21"/>
                      <w:szCs w:val="21"/>
                    </w:rPr>
                  </w:pPr>
                  <w:r>
                    <w:rPr>
                      <w:rFonts w:eastAsia="仿宋_GB2312"/>
                      <w:b/>
                      <w:kern w:val="0"/>
                      <w:sz w:val="21"/>
                      <w:szCs w:val="21"/>
                    </w:rPr>
                    <w:t>评价标准</w:t>
                  </w:r>
                </w:p>
                <w:p w14:paraId="51446FA5">
                  <w:pPr>
                    <w:adjustRightInd w:val="0"/>
                    <w:snapToGrid w:val="0"/>
                    <w:jc w:val="center"/>
                    <w:rPr>
                      <w:rFonts w:eastAsia="仿宋_GB2312"/>
                      <w:b/>
                      <w:kern w:val="0"/>
                      <w:sz w:val="21"/>
                      <w:szCs w:val="21"/>
                    </w:rPr>
                  </w:pPr>
                  <w:r>
                    <w:rPr>
                      <w:rFonts w:eastAsia="仿宋_GB2312"/>
                      <w:b/>
                      <w:kern w:val="0"/>
                      <w:sz w:val="21"/>
                      <w:szCs w:val="21"/>
                    </w:rPr>
                    <w:t>(mg/m</w:t>
                  </w:r>
                  <w:r>
                    <w:rPr>
                      <w:rFonts w:eastAsia="仿宋_GB2312"/>
                      <w:b/>
                      <w:kern w:val="0"/>
                      <w:sz w:val="21"/>
                      <w:szCs w:val="21"/>
                      <w:vertAlign w:val="superscript"/>
                    </w:rPr>
                    <w:t>3</w:t>
                  </w:r>
                  <w:r>
                    <w:rPr>
                      <w:rFonts w:eastAsia="仿宋_GB2312"/>
                      <w:b/>
                      <w:kern w:val="0"/>
                      <w:sz w:val="21"/>
                      <w:szCs w:val="21"/>
                    </w:rPr>
                    <w:t>)</w:t>
                  </w:r>
                </w:p>
              </w:tc>
              <w:tc>
                <w:tcPr>
                  <w:tcW w:w="2043" w:type="dxa"/>
                  <w:gridSpan w:val="2"/>
                  <w:vAlign w:val="center"/>
                </w:tcPr>
                <w:p w14:paraId="2B02DF16">
                  <w:pPr>
                    <w:adjustRightInd w:val="0"/>
                    <w:snapToGrid w:val="0"/>
                    <w:jc w:val="center"/>
                    <w:rPr>
                      <w:rFonts w:eastAsia="仿宋_GB2312"/>
                      <w:b/>
                      <w:kern w:val="0"/>
                      <w:sz w:val="21"/>
                      <w:szCs w:val="21"/>
                    </w:rPr>
                  </w:pPr>
                  <w:r>
                    <w:rPr>
                      <w:rFonts w:eastAsia="仿宋_GB2312"/>
                      <w:b/>
                      <w:kern w:val="0"/>
                      <w:sz w:val="21"/>
                      <w:szCs w:val="21"/>
                    </w:rPr>
                    <w:t>卫生防护距离(m)</w:t>
                  </w:r>
                </w:p>
              </w:tc>
            </w:tr>
            <w:tr w14:paraId="5B1930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8" w:hRule="atLeast"/>
                <w:jc w:val="center"/>
              </w:trPr>
              <w:tc>
                <w:tcPr>
                  <w:tcW w:w="945" w:type="dxa"/>
                  <w:vMerge w:val="continue"/>
                  <w:vAlign w:val="center"/>
                </w:tcPr>
                <w:p w14:paraId="5177D797">
                  <w:pPr>
                    <w:widowControl/>
                    <w:adjustRightInd w:val="0"/>
                    <w:snapToGrid w:val="0"/>
                    <w:jc w:val="center"/>
                    <w:rPr>
                      <w:rFonts w:eastAsia="仿宋_GB2312"/>
                      <w:b/>
                      <w:kern w:val="0"/>
                      <w:sz w:val="21"/>
                      <w:szCs w:val="21"/>
                    </w:rPr>
                  </w:pPr>
                </w:p>
              </w:tc>
              <w:tc>
                <w:tcPr>
                  <w:tcW w:w="1011" w:type="dxa"/>
                  <w:vMerge w:val="continue"/>
                  <w:vAlign w:val="center"/>
                </w:tcPr>
                <w:p w14:paraId="4993D0C5">
                  <w:pPr>
                    <w:widowControl/>
                    <w:adjustRightInd w:val="0"/>
                    <w:snapToGrid w:val="0"/>
                    <w:jc w:val="center"/>
                    <w:rPr>
                      <w:rFonts w:eastAsia="仿宋_GB2312"/>
                      <w:b/>
                      <w:kern w:val="0"/>
                      <w:sz w:val="21"/>
                      <w:szCs w:val="21"/>
                    </w:rPr>
                  </w:pPr>
                </w:p>
              </w:tc>
              <w:tc>
                <w:tcPr>
                  <w:tcW w:w="691" w:type="dxa"/>
                  <w:vMerge w:val="continue"/>
                  <w:vAlign w:val="center"/>
                </w:tcPr>
                <w:p w14:paraId="600E2585">
                  <w:pPr>
                    <w:widowControl/>
                    <w:adjustRightInd w:val="0"/>
                    <w:snapToGrid w:val="0"/>
                    <w:jc w:val="center"/>
                    <w:rPr>
                      <w:rFonts w:eastAsia="仿宋_GB2312"/>
                      <w:b/>
                      <w:kern w:val="0"/>
                      <w:sz w:val="21"/>
                      <w:szCs w:val="21"/>
                    </w:rPr>
                  </w:pPr>
                </w:p>
              </w:tc>
              <w:tc>
                <w:tcPr>
                  <w:tcW w:w="773" w:type="dxa"/>
                  <w:vMerge w:val="continue"/>
                  <w:vAlign w:val="center"/>
                </w:tcPr>
                <w:p w14:paraId="7E728E9F">
                  <w:pPr>
                    <w:widowControl/>
                    <w:adjustRightInd w:val="0"/>
                    <w:snapToGrid w:val="0"/>
                    <w:jc w:val="center"/>
                    <w:rPr>
                      <w:rFonts w:eastAsia="仿宋_GB2312"/>
                      <w:b/>
                      <w:kern w:val="0"/>
                      <w:sz w:val="21"/>
                      <w:szCs w:val="21"/>
                    </w:rPr>
                  </w:pPr>
                </w:p>
              </w:tc>
              <w:tc>
                <w:tcPr>
                  <w:tcW w:w="937" w:type="dxa"/>
                  <w:vMerge w:val="continue"/>
                  <w:vAlign w:val="center"/>
                </w:tcPr>
                <w:p w14:paraId="247D6C90">
                  <w:pPr>
                    <w:widowControl/>
                    <w:adjustRightInd w:val="0"/>
                    <w:snapToGrid w:val="0"/>
                    <w:jc w:val="center"/>
                    <w:rPr>
                      <w:rFonts w:eastAsia="仿宋_GB2312"/>
                      <w:b/>
                      <w:kern w:val="0"/>
                      <w:sz w:val="21"/>
                      <w:szCs w:val="21"/>
                    </w:rPr>
                  </w:pPr>
                </w:p>
              </w:tc>
              <w:tc>
                <w:tcPr>
                  <w:tcW w:w="1050" w:type="dxa"/>
                  <w:vMerge w:val="continue"/>
                  <w:vAlign w:val="center"/>
                </w:tcPr>
                <w:p w14:paraId="2777B523">
                  <w:pPr>
                    <w:widowControl/>
                    <w:adjustRightInd w:val="0"/>
                    <w:snapToGrid w:val="0"/>
                    <w:jc w:val="center"/>
                    <w:rPr>
                      <w:rFonts w:eastAsia="仿宋_GB2312"/>
                      <w:b/>
                      <w:kern w:val="0"/>
                      <w:sz w:val="21"/>
                      <w:szCs w:val="21"/>
                    </w:rPr>
                  </w:pPr>
                </w:p>
              </w:tc>
              <w:tc>
                <w:tcPr>
                  <w:tcW w:w="979" w:type="dxa"/>
                  <w:vMerge w:val="continue"/>
                  <w:vAlign w:val="center"/>
                </w:tcPr>
                <w:p w14:paraId="0E690561">
                  <w:pPr>
                    <w:widowControl/>
                    <w:adjustRightInd w:val="0"/>
                    <w:snapToGrid w:val="0"/>
                    <w:jc w:val="center"/>
                    <w:rPr>
                      <w:rFonts w:eastAsia="仿宋_GB2312"/>
                      <w:b/>
                      <w:kern w:val="0"/>
                      <w:sz w:val="21"/>
                      <w:szCs w:val="21"/>
                    </w:rPr>
                  </w:pPr>
                </w:p>
              </w:tc>
              <w:tc>
                <w:tcPr>
                  <w:tcW w:w="1123" w:type="dxa"/>
                  <w:vAlign w:val="center"/>
                </w:tcPr>
                <w:p w14:paraId="2E4E3512">
                  <w:pPr>
                    <w:adjustRightInd w:val="0"/>
                    <w:snapToGrid w:val="0"/>
                    <w:jc w:val="center"/>
                    <w:rPr>
                      <w:rFonts w:eastAsia="仿宋_GB2312"/>
                      <w:b/>
                      <w:kern w:val="0"/>
                      <w:sz w:val="21"/>
                      <w:szCs w:val="21"/>
                    </w:rPr>
                  </w:pPr>
                  <w:r>
                    <w:rPr>
                      <w:rFonts w:eastAsia="仿宋_GB2312"/>
                      <w:b/>
                      <w:kern w:val="0"/>
                      <w:sz w:val="21"/>
                      <w:szCs w:val="21"/>
                    </w:rPr>
                    <w:t>计算值</w:t>
                  </w:r>
                </w:p>
              </w:tc>
              <w:tc>
                <w:tcPr>
                  <w:tcW w:w="920" w:type="dxa"/>
                  <w:vAlign w:val="center"/>
                </w:tcPr>
                <w:p w14:paraId="66F5BEEB">
                  <w:pPr>
                    <w:adjustRightInd w:val="0"/>
                    <w:snapToGrid w:val="0"/>
                    <w:jc w:val="center"/>
                    <w:rPr>
                      <w:rFonts w:eastAsia="仿宋_GB2312"/>
                      <w:b/>
                      <w:kern w:val="0"/>
                      <w:sz w:val="21"/>
                      <w:szCs w:val="21"/>
                    </w:rPr>
                  </w:pPr>
                  <w:r>
                    <w:rPr>
                      <w:rFonts w:eastAsia="仿宋_GB2312"/>
                      <w:b/>
                      <w:kern w:val="0"/>
                      <w:sz w:val="21"/>
                      <w:szCs w:val="21"/>
                    </w:rPr>
                    <w:t>设定值</w:t>
                  </w:r>
                </w:p>
              </w:tc>
            </w:tr>
            <w:tr w14:paraId="7B3521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8" w:hRule="atLeast"/>
                <w:jc w:val="center"/>
              </w:trPr>
              <w:tc>
                <w:tcPr>
                  <w:tcW w:w="945" w:type="dxa"/>
                  <w:vAlign w:val="center"/>
                </w:tcPr>
                <w:p w14:paraId="587400AF">
                  <w:pPr>
                    <w:widowControl/>
                    <w:jc w:val="center"/>
                    <w:textAlignment w:val="center"/>
                    <w:rPr>
                      <w:rFonts w:eastAsia="仿宋_GB2312"/>
                      <w:kern w:val="0"/>
                      <w:sz w:val="21"/>
                      <w:szCs w:val="21"/>
                    </w:rPr>
                  </w:pPr>
                  <w:r>
                    <w:rPr>
                      <w:rFonts w:eastAsia="仿宋_GB2312"/>
                      <w:kern w:val="0"/>
                      <w:sz w:val="21"/>
                      <w:szCs w:val="21"/>
                    </w:rPr>
                    <w:t>颗粒物</w:t>
                  </w:r>
                </w:p>
              </w:tc>
              <w:tc>
                <w:tcPr>
                  <w:tcW w:w="1011" w:type="dxa"/>
                  <w:vMerge w:val="restart"/>
                  <w:vAlign w:val="center"/>
                </w:tcPr>
                <w:p w14:paraId="1D72D56F">
                  <w:pPr>
                    <w:autoSpaceDE w:val="0"/>
                    <w:autoSpaceDN w:val="0"/>
                    <w:adjustRightInd w:val="0"/>
                    <w:snapToGrid w:val="0"/>
                    <w:jc w:val="center"/>
                    <w:rPr>
                      <w:rFonts w:eastAsia="仿宋_GB2312"/>
                      <w:kern w:val="0"/>
                      <w:sz w:val="21"/>
                      <w:szCs w:val="21"/>
                    </w:rPr>
                  </w:pPr>
                  <w:r>
                    <w:rPr>
                      <w:rFonts w:eastAsia="仿宋_GB2312"/>
                      <w:kern w:val="0"/>
                      <w:sz w:val="21"/>
                      <w:szCs w:val="21"/>
                    </w:rPr>
                    <w:t>生产车间</w:t>
                  </w:r>
                </w:p>
              </w:tc>
              <w:tc>
                <w:tcPr>
                  <w:tcW w:w="691" w:type="dxa"/>
                  <w:vMerge w:val="restart"/>
                  <w:vAlign w:val="center"/>
                </w:tcPr>
                <w:p w14:paraId="0C3BC878">
                  <w:pPr>
                    <w:adjustRightInd w:val="0"/>
                    <w:snapToGrid w:val="0"/>
                    <w:jc w:val="center"/>
                    <w:rPr>
                      <w:rFonts w:eastAsia="仿宋_GB2312"/>
                      <w:kern w:val="0"/>
                      <w:sz w:val="21"/>
                      <w:szCs w:val="21"/>
                    </w:rPr>
                  </w:pPr>
                  <w:r>
                    <w:rPr>
                      <w:rFonts w:eastAsia="仿宋_GB2312"/>
                      <w:kern w:val="0"/>
                      <w:sz w:val="21"/>
                      <w:szCs w:val="21"/>
                    </w:rPr>
                    <w:t>60</w:t>
                  </w:r>
                </w:p>
              </w:tc>
              <w:tc>
                <w:tcPr>
                  <w:tcW w:w="773" w:type="dxa"/>
                  <w:vMerge w:val="restart"/>
                  <w:vAlign w:val="center"/>
                </w:tcPr>
                <w:p w14:paraId="0A8E68DE">
                  <w:pPr>
                    <w:autoSpaceDE w:val="0"/>
                    <w:autoSpaceDN w:val="0"/>
                    <w:adjustRightInd w:val="0"/>
                    <w:snapToGrid w:val="0"/>
                    <w:jc w:val="center"/>
                    <w:rPr>
                      <w:rFonts w:eastAsia="仿宋_GB2312"/>
                      <w:kern w:val="0"/>
                      <w:sz w:val="21"/>
                      <w:szCs w:val="21"/>
                    </w:rPr>
                  </w:pPr>
                  <w:r>
                    <w:rPr>
                      <w:rFonts w:eastAsia="仿宋_GB2312"/>
                      <w:kern w:val="0"/>
                      <w:sz w:val="21"/>
                      <w:szCs w:val="21"/>
                    </w:rPr>
                    <w:t>22</w:t>
                  </w:r>
                </w:p>
              </w:tc>
              <w:tc>
                <w:tcPr>
                  <w:tcW w:w="937" w:type="dxa"/>
                  <w:vMerge w:val="restart"/>
                  <w:vAlign w:val="center"/>
                </w:tcPr>
                <w:p w14:paraId="0D9C2735">
                  <w:pPr>
                    <w:autoSpaceDE w:val="0"/>
                    <w:autoSpaceDN w:val="0"/>
                    <w:adjustRightInd w:val="0"/>
                    <w:snapToGrid w:val="0"/>
                    <w:jc w:val="center"/>
                    <w:rPr>
                      <w:rFonts w:eastAsia="仿宋_GB2312"/>
                      <w:kern w:val="0"/>
                      <w:sz w:val="21"/>
                      <w:szCs w:val="21"/>
                    </w:rPr>
                  </w:pPr>
                  <w:r>
                    <w:rPr>
                      <w:rFonts w:eastAsia="仿宋_GB2312"/>
                      <w:kern w:val="0"/>
                      <w:sz w:val="21"/>
                      <w:szCs w:val="21"/>
                    </w:rPr>
                    <w:t>8</w:t>
                  </w:r>
                </w:p>
              </w:tc>
              <w:tc>
                <w:tcPr>
                  <w:tcW w:w="1050" w:type="dxa"/>
                  <w:vAlign w:val="center"/>
                </w:tcPr>
                <w:p w14:paraId="70ABC976">
                  <w:pPr>
                    <w:widowControl/>
                    <w:jc w:val="center"/>
                    <w:textAlignment w:val="center"/>
                    <w:rPr>
                      <w:rFonts w:hint="eastAsia" w:eastAsia="仿宋_GB2312"/>
                      <w:kern w:val="0"/>
                      <w:sz w:val="21"/>
                      <w:szCs w:val="21"/>
                      <w:lang w:eastAsia="zh-CN"/>
                    </w:rPr>
                  </w:pPr>
                  <w:r>
                    <w:rPr>
                      <w:rFonts w:eastAsia="仿宋_GB2312"/>
                      <w:kern w:val="0"/>
                      <w:sz w:val="21"/>
                      <w:szCs w:val="21"/>
                    </w:rPr>
                    <w:t>0.0</w:t>
                  </w:r>
                  <w:r>
                    <w:rPr>
                      <w:rFonts w:hint="eastAsia" w:eastAsia="仿宋_GB2312"/>
                      <w:kern w:val="0"/>
                      <w:sz w:val="21"/>
                      <w:szCs w:val="21"/>
                    </w:rPr>
                    <w:t>09</w:t>
                  </w:r>
                  <w:r>
                    <w:rPr>
                      <w:rFonts w:hint="eastAsia" w:eastAsia="仿宋_GB2312"/>
                      <w:kern w:val="0"/>
                      <w:sz w:val="21"/>
                      <w:szCs w:val="21"/>
                      <w:lang w:val="en-US" w:eastAsia="zh-CN"/>
                    </w:rPr>
                    <w:t>0</w:t>
                  </w:r>
                </w:p>
              </w:tc>
              <w:tc>
                <w:tcPr>
                  <w:tcW w:w="979" w:type="dxa"/>
                  <w:vAlign w:val="center"/>
                </w:tcPr>
                <w:p w14:paraId="66BD261D">
                  <w:pPr>
                    <w:adjustRightInd w:val="0"/>
                    <w:snapToGrid w:val="0"/>
                    <w:jc w:val="center"/>
                    <w:rPr>
                      <w:rFonts w:eastAsia="仿宋_GB2312"/>
                      <w:kern w:val="0"/>
                      <w:sz w:val="21"/>
                      <w:szCs w:val="21"/>
                    </w:rPr>
                  </w:pPr>
                  <w:r>
                    <w:rPr>
                      <w:rFonts w:eastAsia="仿宋_GB2312"/>
                      <w:kern w:val="0"/>
                      <w:sz w:val="21"/>
                      <w:szCs w:val="21"/>
                    </w:rPr>
                    <w:t>1.0</w:t>
                  </w:r>
                </w:p>
              </w:tc>
              <w:tc>
                <w:tcPr>
                  <w:tcW w:w="1123" w:type="dxa"/>
                  <w:vAlign w:val="center"/>
                </w:tcPr>
                <w:p w14:paraId="0428FDF6">
                  <w:pPr>
                    <w:adjustRightInd w:val="0"/>
                    <w:snapToGrid w:val="0"/>
                    <w:jc w:val="center"/>
                    <w:rPr>
                      <w:rFonts w:eastAsia="仿宋_GB2312"/>
                      <w:sz w:val="21"/>
                      <w:szCs w:val="21"/>
                    </w:rPr>
                  </w:pPr>
                  <w:r>
                    <w:rPr>
                      <w:rFonts w:eastAsia="仿宋_GB2312"/>
                      <w:sz w:val="21"/>
                      <w:szCs w:val="21"/>
                    </w:rPr>
                    <w:t>0.163</w:t>
                  </w:r>
                </w:p>
              </w:tc>
              <w:tc>
                <w:tcPr>
                  <w:tcW w:w="920" w:type="dxa"/>
                  <w:vMerge w:val="restart"/>
                  <w:vAlign w:val="center"/>
                </w:tcPr>
                <w:p w14:paraId="49063491">
                  <w:pPr>
                    <w:autoSpaceDE w:val="0"/>
                    <w:autoSpaceDN w:val="0"/>
                    <w:adjustRightInd w:val="0"/>
                    <w:snapToGrid w:val="0"/>
                    <w:jc w:val="center"/>
                    <w:rPr>
                      <w:rFonts w:eastAsia="仿宋_GB2312"/>
                      <w:kern w:val="0"/>
                      <w:sz w:val="21"/>
                      <w:szCs w:val="21"/>
                    </w:rPr>
                  </w:pPr>
                  <w:r>
                    <w:rPr>
                      <w:rFonts w:hint="eastAsia" w:eastAsia="仿宋_GB2312"/>
                      <w:kern w:val="0"/>
                      <w:sz w:val="21"/>
                      <w:szCs w:val="21"/>
                      <w:lang w:val="en-US" w:eastAsia="zh-CN"/>
                    </w:rPr>
                    <w:t>5</w:t>
                  </w:r>
                  <w:r>
                    <w:rPr>
                      <w:rFonts w:eastAsia="仿宋_GB2312"/>
                      <w:kern w:val="0"/>
                      <w:sz w:val="21"/>
                      <w:szCs w:val="21"/>
                    </w:rPr>
                    <w:t>0</w:t>
                  </w:r>
                </w:p>
              </w:tc>
            </w:tr>
            <w:tr w14:paraId="574CAB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6" w:hRule="atLeast"/>
                <w:jc w:val="center"/>
              </w:trPr>
              <w:tc>
                <w:tcPr>
                  <w:tcW w:w="945" w:type="dxa"/>
                  <w:vAlign w:val="center"/>
                </w:tcPr>
                <w:p w14:paraId="504DAC80">
                  <w:pPr>
                    <w:widowControl/>
                    <w:jc w:val="center"/>
                    <w:textAlignment w:val="center"/>
                    <w:rPr>
                      <w:rFonts w:eastAsia="仿宋_GB2312"/>
                      <w:kern w:val="0"/>
                      <w:sz w:val="21"/>
                      <w:szCs w:val="21"/>
                    </w:rPr>
                  </w:pPr>
                  <w:r>
                    <w:rPr>
                      <w:rFonts w:eastAsia="仿宋_GB2312"/>
                      <w:kern w:val="0"/>
                      <w:sz w:val="21"/>
                      <w:szCs w:val="21"/>
                    </w:rPr>
                    <w:t>HCl</w:t>
                  </w:r>
                </w:p>
              </w:tc>
              <w:tc>
                <w:tcPr>
                  <w:tcW w:w="1011" w:type="dxa"/>
                  <w:vMerge w:val="continue"/>
                  <w:vAlign w:val="center"/>
                </w:tcPr>
                <w:p w14:paraId="280B05EE">
                  <w:pPr>
                    <w:autoSpaceDE w:val="0"/>
                    <w:autoSpaceDN w:val="0"/>
                    <w:adjustRightInd w:val="0"/>
                    <w:snapToGrid w:val="0"/>
                    <w:jc w:val="center"/>
                    <w:rPr>
                      <w:rFonts w:eastAsia="仿宋_GB2312"/>
                      <w:kern w:val="0"/>
                      <w:sz w:val="21"/>
                      <w:szCs w:val="21"/>
                    </w:rPr>
                  </w:pPr>
                </w:p>
              </w:tc>
              <w:tc>
                <w:tcPr>
                  <w:tcW w:w="691" w:type="dxa"/>
                  <w:vMerge w:val="continue"/>
                  <w:vAlign w:val="center"/>
                </w:tcPr>
                <w:p w14:paraId="0EA042EE">
                  <w:pPr>
                    <w:adjustRightInd w:val="0"/>
                    <w:snapToGrid w:val="0"/>
                    <w:jc w:val="center"/>
                    <w:rPr>
                      <w:rFonts w:eastAsia="仿宋_GB2312"/>
                      <w:kern w:val="0"/>
                      <w:sz w:val="21"/>
                      <w:szCs w:val="21"/>
                    </w:rPr>
                  </w:pPr>
                </w:p>
              </w:tc>
              <w:tc>
                <w:tcPr>
                  <w:tcW w:w="773" w:type="dxa"/>
                  <w:vMerge w:val="continue"/>
                  <w:vAlign w:val="center"/>
                </w:tcPr>
                <w:p w14:paraId="3811A7C1">
                  <w:pPr>
                    <w:autoSpaceDE w:val="0"/>
                    <w:autoSpaceDN w:val="0"/>
                    <w:adjustRightInd w:val="0"/>
                    <w:snapToGrid w:val="0"/>
                    <w:jc w:val="center"/>
                    <w:rPr>
                      <w:rFonts w:eastAsia="仿宋_GB2312"/>
                      <w:kern w:val="0"/>
                      <w:sz w:val="21"/>
                      <w:szCs w:val="21"/>
                    </w:rPr>
                  </w:pPr>
                </w:p>
              </w:tc>
              <w:tc>
                <w:tcPr>
                  <w:tcW w:w="937" w:type="dxa"/>
                  <w:vMerge w:val="continue"/>
                  <w:vAlign w:val="center"/>
                </w:tcPr>
                <w:p w14:paraId="0D7831CD">
                  <w:pPr>
                    <w:autoSpaceDE w:val="0"/>
                    <w:autoSpaceDN w:val="0"/>
                    <w:adjustRightInd w:val="0"/>
                    <w:snapToGrid w:val="0"/>
                    <w:jc w:val="center"/>
                    <w:rPr>
                      <w:rFonts w:eastAsia="仿宋_GB2312"/>
                      <w:kern w:val="0"/>
                      <w:sz w:val="21"/>
                      <w:szCs w:val="21"/>
                    </w:rPr>
                  </w:pPr>
                </w:p>
              </w:tc>
              <w:tc>
                <w:tcPr>
                  <w:tcW w:w="1050" w:type="dxa"/>
                  <w:vAlign w:val="center"/>
                </w:tcPr>
                <w:p w14:paraId="36D02D14">
                  <w:pPr>
                    <w:widowControl/>
                    <w:jc w:val="center"/>
                    <w:textAlignment w:val="center"/>
                    <w:rPr>
                      <w:rFonts w:eastAsia="仿宋_GB2312"/>
                      <w:kern w:val="0"/>
                      <w:sz w:val="21"/>
                      <w:szCs w:val="21"/>
                    </w:rPr>
                  </w:pPr>
                  <w:r>
                    <w:rPr>
                      <w:rFonts w:eastAsia="仿宋_GB2312"/>
                      <w:kern w:val="0"/>
                      <w:sz w:val="21"/>
                      <w:szCs w:val="21"/>
                    </w:rPr>
                    <w:t>0.001</w:t>
                  </w:r>
                  <w:r>
                    <w:rPr>
                      <w:rFonts w:hint="eastAsia" w:eastAsia="仿宋_GB2312"/>
                      <w:kern w:val="0"/>
                      <w:sz w:val="21"/>
                      <w:szCs w:val="21"/>
                    </w:rPr>
                    <w:t>2</w:t>
                  </w:r>
                </w:p>
              </w:tc>
              <w:tc>
                <w:tcPr>
                  <w:tcW w:w="979" w:type="dxa"/>
                  <w:vAlign w:val="center"/>
                </w:tcPr>
                <w:p w14:paraId="2BE2536C">
                  <w:pPr>
                    <w:adjustRightInd w:val="0"/>
                    <w:snapToGrid w:val="0"/>
                    <w:jc w:val="center"/>
                    <w:rPr>
                      <w:rFonts w:eastAsia="仿宋_GB2312"/>
                      <w:kern w:val="0"/>
                      <w:sz w:val="21"/>
                      <w:szCs w:val="21"/>
                    </w:rPr>
                  </w:pPr>
                  <w:r>
                    <w:rPr>
                      <w:rFonts w:eastAsia="仿宋_GB2312"/>
                      <w:kern w:val="0"/>
                      <w:sz w:val="21"/>
                      <w:szCs w:val="21"/>
                    </w:rPr>
                    <w:t>0.05</w:t>
                  </w:r>
                </w:p>
              </w:tc>
              <w:tc>
                <w:tcPr>
                  <w:tcW w:w="1123" w:type="dxa"/>
                  <w:vAlign w:val="center"/>
                </w:tcPr>
                <w:p w14:paraId="2B722DC0">
                  <w:pPr>
                    <w:adjustRightInd w:val="0"/>
                    <w:snapToGrid w:val="0"/>
                    <w:jc w:val="center"/>
                    <w:rPr>
                      <w:rFonts w:eastAsia="仿宋_GB2312"/>
                      <w:sz w:val="21"/>
                      <w:szCs w:val="21"/>
                    </w:rPr>
                  </w:pPr>
                  <w:r>
                    <w:rPr>
                      <w:rFonts w:eastAsia="仿宋_GB2312"/>
                      <w:sz w:val="21"/>
                      <w:szCs w:val="21"/>
                    </w:rPr>
                    <w:t>0.372</w:t>
                  </w:r>
                </w:p>
              </w:tc>
              <w:tc>
                <w:tcPr>
                  <w:tcW w:w="920" w:type="dxa"/>
                  <w:vMerge w:val="continue"/>
                  <w:vAlign w:val="center"/>
                </w:tcPr>
                <w:p w14:paraId="65500394">
                  <w:pPr>
                    <w:autoSpaceDE w:val="0"/>
                    <w:autoSpaceDN w:val="0"/>
                    <w:adjustRightInd w:val="0"/>
                    <w:snapToGrid w:val="0"/>
                    <w:jc w:val="center"/>
                    <w:rPr>
                      <w:rFonts w:eastAsia="仿宋_GB2312"/>
                      <w:kern w:val="0"/>
                      <w:sz w:val="21"/>
                      <w:szCs w:val="21"/>
                    </w:rPr>
                  </w:pPr>
                </w:p>
              </w:tc>
            </w:tr>
            <w:tr w14:paraId="6210D6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2" w:hRule="atLeast"/>
                <w:jc w:val="center"/>
              </w:trPr>
              <w:tc>
                <w:tcPr>
                  <w:tcW w:w="945" w:type="dxa"/>
                  <w:vAlign w:val="center"/>
                </w:tcPr>
                <w:p w14:paraId="604DDD69">
                  <w:pPr>
                    <w:widowControl/>
                    <w:jc w:val="center"/>
                    <w:textAlignment w:val="center"/>
                    <w:rPr>
                      <w:rFonts w:eastAsia="仿宋_GB2312"/>
                      <w:kern w:val="0"/>
                      <w:sz w:val="21"/>
                      <w:szCs w:val="21"/>
                    </w:rPr>
                  </w:pPr>
                  <w:r>
                    <w:rPr>
                      <w:rFonts w:eastAsia="仿宋_GB2312"/>
                      <w:kern w:val="0"/>
                      <w:sz w:val="21"/>
                      <w:szCs w:val="21"/>
                    </w:rPr>
                    <w:t>非甲烷总烃</w:t>
                  </w:r>
                </w:p>
              </w:tc>
              <w:tc>
                <w:tcPr>
                  <w:tcW w:w="1011" w:type="dxa"/>
                  <w:vMerge w:val="continue"/>
                  <w:vAlign w:val="center"/>
                </w:tcPr>
                <w:p w14:paraId="03F61074">
                  <w:pPr>
                    <w:autoSpaceDE w:val="0"/>
                    <w:autoSpaceDN w:val="0"/>
                    <w:adjustRightInd w:val="0"/>
                    <w:snapToGrid w:val="0"/>
                    <w:jc w:val="center"/>
                    <w:rPr>
                      <w:rFonts w:eastAsia="仿宋_GB2312"/>
                      <w:kern w:val="0"/>
                      <w:sz w:val="21"/>
                      <w:szCs w:val="21"/>
                    </w:rPr>
                  </w:pPr>
                </w:p>
              </w:tc>
              <w:tc>
                <w:tcPr>
                  <w:tcW w:w="691" w:type="dxa"/>
                  <w:vMerge w:val="continue"/>
                  <w:vAlign w:val="center"/>
                </w:tcPr>
                <w:p w14:paraId="08E1B4A9">
                  <w:pPr>
                    <w:adjustRightInd w:val="0"/>
                    <w:snapToGrid w:val="0"/>
                    <w:jc w:val="center"/>
                    <w:rPr>
                      <w:rFonts w:eastAsia="仿宋_GB2312"/>
                      <w:kern w:val="0"/>
                      <w:sz w:val="21"/>
                      <w:szCs w:val="21"/>
                    </w:rPr>
                  </w:pPr>
                </w:p>
              </w:tc>
              <w:tc>
                <w:tcPr>
                  <w:tcW w:w="773" w:type="dxa"/>
                  <w:vMerge w:val="continue"/>
                  <w:vAlign w:val="center"/>
                </w:tcPr>
                <w:p w14:paraId="1F69F281">
                  <w:pPr>
                    <w:autoSpaceDE w:val="0"/>
                    <w:autoSpaceDN w:val="0"/>
                    <w:adjustRightInd w:val="0"/>
                    <w:snapToGrid w:val="0"/>
                    <w:jc w:val="center"/>
                    <w:rPr>
                      <w:rFonts w:eastAsia="仿宋_GB2312"/>
                      <w:kern w:val="0"/>
                      <w:sz w:val="21"/>
                      <w:szCs w:val="21"/>
                    </w:rPr>
                  </w:pPr>
                </w:p>
              </w:tc>
              <w:tc>
                <w:tcPr>
                  <w:tcW w:w="937" w:type="dxa"/>
                  <w:vMerge w:val="continue"/>
                  <w:vAlign w:val="center"/>
                </w:tcPr>
                <w:p w14:paraId="03FE45D3">
                  <w:pPr>
                    <w:autoSpaceDE w:val="0"/>
                    <w:autoSpaceDN w:val="0"/>
                    <w:adjustRightInd w:val="0"/>
                    <w:snapToGrid w:val="0"/>
                    <w:jc w:val="center"/>
                    <w:rPr>
                      <w:rFonts w:eastAsia="仿宋_GB2312"/>
                      <w:kern w:val="0"/>
                      <w:sz w:val="21"/>
                      <w:szCs w:val="21"/>
                    </w:rPr>
                  </w:pPr>
                </w:p>
              </w:tc>
              <w:tc>
                <w:tcPr>
                  <w:tcW w:w="1050" w:type="dxa"/>
                  <w:vAlign w:val="center"/>
                </w:tcPr>
                <w:p w14:paraId="45240587">
                  <w:pPr>
                    <w:widowControl/>
                    <w:jc w:val="center"/>
                    <w:textAlignment w:val="center"/>
                    <w:rPr>
                      <w:rFonts w:eastAsia="仿宋_GB2312"/>
                      <w:kern w:val="0"/>
                      <w:sz w:val="21"/>
                      <w:szCs w:val="21"/>
                    </w:rPr>
                  </w:pPr>
                  <w:r>
                    <w:rPr>
                      <w:rFonts w:eastAsia="仿宋_GB2312"/>
                      <w:kern w:val="0"/>
                      <w:sz w:val="21"/>
                      <w:szCs w:val="21"/>
                    </w:rPr>
                    <w:t>0.0</w:t>
                  </w:r>
                  <w:r>
                    <w:rPr>
                      <w:rFonts w:hint="eastAsia" w:eastAsia="仿宋_GB2312"/>
                      <w:kern w:val="0"/>
                      <w:sz w:val="21"/>
                      <w:szCs w:val="21"/>
                    </w:rPr>
                    <w:t>333</w:t>
                  </w:r>
                </w:p>
              </w:tc>
              <w:tc>
                <w:tcPr>
                  <w:tcW w:w="979" w:type="dxa"/>
                  <w:vAlign w:val="center"/>
                </w:tcPr>
                <w:p w14:paraId="4D822B3C">
                  <w:pPr>
                    <w:adjustRightInd w:val="0"/>
                    <w:snapToGrid w:val="0"/>
                    <w:jc w:val="center"/>
                    <w:rPr>
                      <w:rFonts w:eastAsia="仿宋_GB2312"/>
                      <w:kern w:val="0"/>
                      <w:sz w:val="21"/>
                      <w:szCs w:val="21"/>
                    </w:rPr>
                  </w:pPr>
                  <w:r>
                    <w:rPr>
                      <w:rFonts w:eastAsia="仿宋_GB2312"/>
                      <w:kern w:val="0"/>
                      <w:sz w:val="21"/>
                      <w:szCs w:val="21"/>
                    </w:rPr>
                    <w:t>4.0</w:t>
                  </w:r>
                </w:p>
              </w:tc>
              <w:tc>
                <w:tcPr>
                  <w:tcW w:w="1123" w:type="dxa"/>
                  <w:vAlign w:val="center"/>
                </w:tcPr>
                <w:p w14:paraId="41A81E74">
                  <w:pPr>
                    <w:adjustRightInd w:val="0"/>
                    <w:snapToGrid w:val="0"/>
                    <w:jc w:val="center"/>
                    <w:rPr>
                      <w:rFonts w:eastAsia="仿宋_GB2312"/>
                      <w:kern w:val="0"/>
                      <w:sz w:val="21"/>
                      <w:szCs w:val="21"/>
                    </w:rPr>
                  </w:pPr>
                  <w:r>
                    <w:rPr>
                      <w:rFonts w:eastAsia="仿宋_GB2312"/>
                      <w:sz w:val="21"/>
                      <w:szCs w:val="21"/>
                    </w:rPr>
                    <w:t>0.058</w:t>
                  </w:r>
                </w:p>
              </w:tc>
              <w:tc>
                <w:tcPr>
                  <w:tcW w:w="920" w:type="dxa"/>
                  <w:vMerge w:val="continue"/>
                  <w:vAlign w:val="center"/>
                </w:tcPr>
                <w:p w14:paraId="243546C1">
                  <w:pPr>
                    <w:autoSpaceDE w:val="0"/>
                    <w:autoSpaceDN w:val="0"/>
                    <w:adjustRightInd w:val="0"/>
                    <w:snapToGrid w:val="0"/>
                    <w:jc w:val="center"/>
                    <w:rPr>
                      <w:rFonts w:eastAsia="仿宋_GB2312"/>
                      <w:kern w:val="0"/>
                      <w:sz w:val="21"/>
                      <w:szCs w:val="21"/>
                    </w:rPr>
                  </w:pPr>
                </w:p>
              </w:tc>
            </w:tr>
          </w:tbl>
          <w:p w14:paraId="6E802AC1">
            <w:pPr>
              <w:pStyle w:val="17"/>
              <w:numPr>
                <w:ilvl w:val="0"/>
                <w:numId w:val="0"/>
              </w:numPr>
              <w:tabs>
                <w:tab w:val="clear" w:pos="2491"/>
              </w:tabs>
              <w:spacing w:line="360" w:lineRule="auto"/>
              <w:ind w:firstLine="420" w:firstLineChars="200"/>
              <w:rPr>
                <w:rFonts w:eastAsia="仿宋_GB2312"/>
                <w:kern w:val="0"/>
              </w:rPr>
            </w:pPr>
            <w:r>
              <w:rPr>
                <w:rFonts w:eastAsia="仿宋_GB2312"/>
                <w:kern w:val="0"/>
              </w:rPr>
              <w:t>按照卫生防护距离标准制定方法的规定：当按两种或两种以上的有害气体的Qc /Cm值计算的卫生防护距离在同一级别时，该类工业企业的卫生防护距离级别应提高一级。</w:t>
            </w:r>
            <w:r>
              <w:rPr>
                <w:rFonts w:eastAsia="仿宋_GB2312"/>
                <w:color w:val="000000"/>
                <w:kern w:val="0"/>
              </w:rPr>
              <w:t>本项目需以生产车间设立</w:t>
            </w:r>
            <w:r>
              <w:rPr>
                <w:rFonts w:hint="eastAsia" w:eastAsia="仿宋_GB2312"/>
                <w:color w:val="000000"/>
                <w:kern w:val="0"/>
                <w:lang w:val="en-US" w:eastAsia="zh-CN"/>
              </w:rPr>
              <w:t>5</w:t>
            </w:r>
            <w:r>
              <w:rPr>
                <w:rFonts w:eastAsia="仿宋_GB2312"/>
                <w:color w:val="000000"/>
                <w:kern w:val="0"/>
              </w:rPr>
              <w:t>0m卫生防护距离</w:t>
            </w:r>
            <w:r>
              <w:rPr>
                <w:rFonts w:eastAsia="仿宋_GB2312"/>
                <w:kern w:val="0"/>
              </w:rPr>
              <w:t>。根据现场调查，本项目卫生防护范围内无居民点等环境敏感目标，今后在此范围内也不得建设居民点、学校、医院等环境敏感项目。项目废气排放对当地的环境空气质量影响较小，可满足环境管理要求。运营期大气污染源在采取有效治理措施后，对周围环境影响较小。</w:t>
            </w:r>
          </w:p>
        </w:tc>
      </w:tr>
      <w:tr w14:paraId="52284D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234" w:type="pct"/>
            <w:vMerge w:val="continue"/>
            <w:tcMar>
              <w:left w:w="28" w:type="dxa"/>
              <w:right w:w="28" w:type="dxa"/>
            </w:tcMar>
            <w:vAlign w:val="center"/>
          </w:tcPr>
          <w:p w14:paraId="1491043B">
            <w:pPr>
              <w:pStyle w:val="28"/>
              <w:adjustRightInd w:val="0"/>
              <w:snapToGrid w:val="0"/>
              <w:spacing w:before="0" w:beforeAutospacing="0" w:after="0" w:afterAutospacing="0" w:line="360" w:lineRule="auto"/>
              <w:jc w:val="center"/>
              <w:rPr>
                <w:rFonts w:ascii="Times New Roman" w:hAnsi="Times New Roman" w:eastAsia="仿宋_GB2312"/>
                <w:bCs/>
                <w:szCs w:val="24"/>
              </w:rPr>
            </w:pPr>
          </w:p>
        </w:tc>
        <w:tc>
          <w:tcPr>
            <w:tcW w:w="4765" w:type="pct"/>
            <w:vAlign w:val="center"/>
          </w:tcPr>
          <w:p w14:paraId="52A1827E">
            <w:pPr>
              <w:widowControl/>
              <w:autoSpaceDE w:val="0"/>
              <w:autoSpaceDN w:val="0"/>
              <w:adjustRightInd w:val="0"/>
              <w:snapToGrid w:val="0"/>
              <w:spacing w:line="360" w:lineRule="auto"/>
              <w:ind w:firstLine="422" w:firstLineChars="200"/>
              <w:rPr>
                <w:rFonts w:eastAsia="仿宋_GB2312"/>
                <w:b/>
                <w:kern w:val="0"/>
              </w:rPr>
            </w:pPr>
            <w:r>
              <w:rPr>
                <w:rFonts w:eastAsia="仿宋_GB2312"/>
                <w:b/>
                <w:kern w:val="0"/>
              </w:rPr>
              <w:t>2.废水</w:t>
            </w:r>
          </w:p>
          <w:p w14:paraId="3BA8CE41">
            <w:pPr>
              <w:pStyle w:val="17"/>
              <w:numPr>
                <w:ilvl w:val="0"/>
                <w:numId w:val="0"/>
              </w:numPr>
              <w:spacing w:line="360" w:lineRule="auto"/>
              <w:ind w:firstLine="420" w:firstLineChars="200"/>
              <w:rPr>
                <w:rFonts w:eastAsia="仿宋_GB2312"/>
              </w:rPr>
            </w:pPr>
            <w:r>
              <w:rPr>
                <w:rFonts w:eastAsia="仿宋_GB2312"/>
              </w:rPr>
              <w:t>项目废水主要为</w:t>
            </w:r>
            <w:r>
              <w:rPr>
                <w:rFonts w:ascii="Times New Roman" w:hAnsi="Times New Roman" w:eastAsia="仿宋_GB2312" w:cs="Times New Roman"/>
                <w:kern w:val="0"/>
                <w:sz w:val="21"/>
                <w:szCs w:val="22"/>
                <w:lang w:val="en-US" w:eastAsia="zh-CN" w:bidi="ar-SA"/>
              </w:rPr>
              <w:t>平板膜和超滤膜反冲洗废水、平板膜和超滤膜化学清洗</w:t>
            </w:r>
            <w:r>
              <w:rPr>
                <w:rFonts w:hint="eastAsia" w:ascii="Times New Roman" w:hAnsi="Times New Roman" w:eastAsia="仿宋_GB2312" w:cs="Times New Roman"/>
                <w:kern w:val="0"/>
                <w:sz w:val="21"/>
                <w:szCs w:val="22"/>
                <w:lang w:val="en-US" w:eastAsia="zh-CN" w:bidi="ar-SA"/>
              </w:rPr>
              <w:t>废水</w:t>
            </w:r>
            <w:r>
              <w:rPr>
                <w:rFonts w:ascii="Times New Roman" w:hAnsi="Times New Roman" w:eastAsia="仿宋_GB2312" w:cs="Times New Roman"/>
                <w:kern w:val="0"/>
                <w:sz w:val="21"/>
                <w:szCs w:val="22"/>
                <w:lang w:val="en-US" w:eastAsia="zh-CN" w:bidi="ar-SA"/>
              </w:rPr>
              <w:t>、膜组件化学清洗液定期排</w:t>
            </w:r>
            <w:r>
              <w:rPr>
                <w:rFonts w:hint="eastAsia" w:ascii="Times New Roman" w:hAnsi="Times New Roman" w:eastAsia="仿宋_GB2312" w:cs="Times New Roman"/>
                <w:kern w:val="0"/>
                <w:sz w:val="21"/>
                <w:szCs w:val="22"/>
                <w:lang w:val="en-US" w:eastAsia="zh-CN" w:bidi="ar-SA"/>
              </w:rPr>
              <w:t>放废水、</w:t>
            </w:r>
            <w:r>
              <w:rPr>
                <w:rFonts w:ascii="Times New Roman" w:hAnsi="Times New Roman" w:eastAsia="仿宋_GB2312" w:cs="Times New Roman"/>
                <w:kern w:val="0"/>
                <w:sz w:val="21"/>
                <w:szCs w:val="22"/>
                <w:lang w:val="en-US" w:eastAsia="zh-CN" w:bidi="ar-SA"/>
              </w:rPr>
              <w:t>尾气吸收塔废水</w:t>
            </w:r>
            <w:r>
              <w:rPr>
                <w:rFonts w:hint="eastAsia" w:eastAsia="仿宋_GB2312" w:cs="Times New Roman"/>
                <w:kern w:val="0"/>
                <w:sz w:val="21"/>
                <w:szCs w:val="22"/>
                <w:lang w:val="en-US" w:eastAsia="zh-CN" w:bidi="ar-SA"/>
              </w:rPr>
              <w:t>、密封水</w:t>
            </w:r>
            <w:r>
              <w:rPr>
                <w:rFonts w:hint="eastAsia" w:ascii="Times New Roman" w:hAnsi="Times New Roman" w:eastAsia="仿宋_GB2312" w:cs="Times New Roman"/>
                <w:kern w:val="0"/>
                <w:sz w:val="21"/>
                <w:szCs w:val="22"/>
                <w:lang w:val="en-US" w:eastAsia="zh-CN" w:bidi="ar-SA"/>
              </w:rPr>
              <w:t>及初期雨水</w:t>
            </w:r>
            <w:r>
              <w:rPr>
                <w:rFonts w:eastAsia="仿宋_GB2312"/>
              </w:rPr>
              <w:t>。</w:t>
            </w:r>
            <w:r>
              <w:rPr>
                <w:rFonts w:hint="eastAsia" w:eastAsia="仿宋_GB2312"/>
                <w:lang w:val="en-US" w:eastAsia="zh-CN"/>
              </w:rPr>
              <w:t>初期雨水收集在初期雨水池，</w:t>
            </w:r>
            <w:r>
              <w:rPr>
                <w:rFonts w:hint="eastAsia" w:eastAsia="仿宋_GB2312"/>
              </w:rPr>
              <w:t>废水收集后回用于采卤，不外排。</w:t>
            </w:r>
          </w:p>
          <w:p w14:paraId="5B555418">
            <w:pPr>
              <w:pStyle w:val="17"/>
              <w:numPr>
                <w:ilvl w:val="0"/>
                <w:numId w:val="0"/>
              </w:numPr>
              <w:spacing w:line="360" w:lineRule="auto"/>
              <w:ind w:firstLine="420" w:firstLineChars="200"/>
              <w:rPr>
                <w:rFonts w:hint="eastAsia" w:eastAsia="仿宋_GB2312"/>
                <w:lang w:eastAsia="zh-CN"/>
              </w:rPr>
            </w:pPr>
            <w:bookmarkStart w:id="51" w:name="_Hlk201653311"/>
            <w:r>
              <w:rPr>
                <w:rFonts w:eastAsia="仿宋_GB2312"/>
              </w:rPr>
              <w:t>（1）W1平板膜反冲洗</w:t>
            </w:r>
            <w:r>
              <w:rPr>
                <w:rFonts w:hint="eastAsia" w:eastAsia="仿宋_GB2312"/>
                <w:lang w:val="en-US" w:eastAsia="zh-CN"/>
              </w:rPr>
              <w:t>废水</w:t>
            </w:r>
          </w:p>
          <w:p w14:paraId="008141BB">
            <w:pPr>
              <w:pStyle w:val="17"/>
              <w:numPr>
                <w:ilvl w:val="0"/>
                <w:numId w:val="0"/>
              </w:numPr>
              <w:spacing w:line="360" w:lineRule="auto"/>
              <w:ind w:firstLine="420" w:firstLineChars="200"/>
              <w:rPr>
                <w:rFonts w:eastAsia="仿宋_GB2312"/>
              </w:rPr>
            </w:pPr>
            <w:r>
              <w:rPr>
                <w:rFonts w:eastAsia="仿宋_GB2312"/>
              </w:rPr>
              <w:t>平板膜过滤器运行一定时间后，膜表面会形成泥饼，降低过滤通量，需要进行反向冲洗。本过滤器利用配套的超滤清卤罐，将过滤后的精卤通过超滤清卤泵加入到平板膜过滤器内，利用其与膜过滤器之间的高位差，通过重力对膜过滤器进行反冲，在设定程序</w:t>
            </w:r>
            <w:r>
              <w:rPr>
                <w:rFonts w:eastAsia="仿宋_GB2312"/>
                <w:color w:val="000000" w:themeColor="text1"/>
              </w:rPr>
              <w:t>下</w:t>
            </w:r>
            <w:r>
              <w:rPr>
                <w:rFonts w:hint="eastAsia" w:eastAsia="仿宋_GB2312"/>
                <w:color w:val="000000" w:themeColor="text1"/>
                <w:lang w:val="en-US" w:eastAsia="zh-CN"/>
              </w:rPr>
              <w:t>5天</w:t>
            </w:r>
            <w:r>
              <w:rPr>
                <w:rFonts w:eastAsia="仿宋_GB2312"/>
                <w:color w:val="000000" w:themeColor="text1"/>
              </w:rPr>
              <w:t>进行一次反向冲洗，恢复膜通量。每次每台平板膜过滤器产生反冲洗精卤约</w:t>
            </w:r>
            <w:r>
              <w:rPr>
                <w:rFonts w:hint="eastAsia" w:eastAsia="仿宋_GB2312"/>
                <w:color w:val="000000" w:themeColor="text1"/>
                <w:lang w:val="en-US" w:eastAsia="zh-CN"/>
              </w:rPr>
              <w:t>1.4</w:t>
            </w:r>
            <w:r>
              <w:rPr>
                <w:rFonts w:eastAsia="仿宋_GB2312"/>
                <w:color w:val="000000" w:themeColor="text1"/>
              </w:rPr>
              <w:t>m</w:t>
            </w:r>
            <w:r>
              <w:rPr>
                <w:rFonts w:hint="eastAsia" w:eastAsia="仿宋_GB2312"/>
                <w:color w:val="000000" w:themeColor="text1"/>
                <w:vertAlign w:val="superscript"/>
                <w:lang w:val="en-US" w:eastAsia="zh-CN"/>
              </w:rPr>
              <w:t>3</w:t>
            </w:r>
            <w:r>
              <w:rPr>
                <w:rFonts w:eastAsia="仿宋_GB2312"/>
              </w:rPr>
              <w:t>，系统共布置有2台平板膜过滤器，则产生反冲洗废卤约为</w:t>
            </w:r>
            <w:r>
              <w:rPr>
                <w:rFonts w:eastAsia="仿宋_GB2312"/>
                <w:color w:val="000000" w:themeColor="text1"/>
              </w:rPr>
              <w:t>192</w:t>
            </w:r>
            <w:r>
              <w:rPr>
                <w:rFonts w:eastAsia="仿宋_GB2312"/>
              </w:rPr>
              <w:t>m</w:t>
            </w:r>
            <w:r>
              <w:rPr>
                <w:rFonts w:hint="eastAsia" w:eastAsia="仿宋_GB2312"/>
                <w:vertAlign w:val="superscript"/>
                <w:lang w:val="en-US" w:eastAsia="zh-CN"/>
              </w:rPr>
              <w:t>3</w:t>
            </w:r>
            <w:r>
              <w:rPr>
                <w:rFonts w:eastAsia="仿宋_GB2312"/>
              </w:rPr>
              <w:t>/a，产生的反冲洗废水再进入平板膜过滤器进行处理。</w:t>
            </w:r>
          </w:p>
          <w:p w14:paraId="6EE7BB36">
            <w:pPr>
              <w:pStyle w:val="17"/>
              <w:numPr>
                <w:ilvl w:val="0"/>
                <w:numId w:val="0"/>
              </w:numPr>
              <w:spacing w:line="360" w:lineRule="auto"/>
              <w:ind w:firstLine="420" w:firstLineChars="200"/>
              <w:rPr>
                <w:rFonts w:hint="eastAsia" w:eastAsia="仿宋_GB2312"/>
                <w:lang w:eastAsia="zh-CN"/>
              </w:rPr>
            </w:pPr>
            <w:r>
              <w:rPr>
                <w:rFonts w:eastAsia="仿宋_GB2312"/>
              </w:rPr>
              <w:t>（2）W2平板膜化学清洗</w:t>
            </w:r>
            <w:r>
              <w:rPr>
                <w:rFonts w:hint="eastAsia" w:eastAsia="仿宋_GB2312"/>
                <w:lang w:val="en-US" w:eastAsia="zh-CN"/>
              </w:rPr>
              <w:t>废水</w:t>
            </w:r>
          </w:p>
          <w:p w14:paraId="62B20CCC">
            <w:pPr>
              <w:pStyle w:val="17"/>
              <w:numPr>
                <w:ilvl w:val="0"/>
                <w:numId w:val="0"/>
              </w:numPr>
              <w:spacing w:line="360" w:lineRule="auto"/>
              <w:ind w:firstLine="420" w:firstLineChars="200"/>
              <w:rPr>
                <w:rFonts w:eastAsia="仿宋_GB2312"/>
                <w:color w:val="000000" w:themeColor="text1"/>
              </w:rPr>
            </w:pPr>
            <w:r>
              <w:rPr>
                <w:rFonts w:eastAsia="仿宋_GB2312"/>
              </w:rPr>
              <w:t>在较长时间的运行后，因平板膜表面的污染可能会导致通量变化、过滤能力下降，需对膜表面进行化学清洗使其再生，使膜通量得到恢复、过滤能力达到起始状态。本项目平板膜过滤器设置了配套的清洗系统，每15天左右进行一次化学清洗，清洗流程为：排空盐水→精卤冲洗→回流平板膜→加酸循环清洗→回流酸洗罐→精卤冲洗→</w:t>
            </w:r>
            <w:r>
              <w:rPr>
                <w:rFonts w:hint="eastAsia" w:eastAsia="仿宋_GB2312"/>
                <w:lang w:val="en-US" w:eastAsia="zh-CN"/>
              </w:rPr>
              <w:t>中和</w:t>
            </w:r>
            <w:r>
              <w:rPr>
                <w:rFonts w:eastAsia="仿宋_GB2312"/>
              </w:rPr>
              <w:t>→回用采卤。每台平板膜化学清洗水洗用量为</w:t>
            </w:r>
            <w:r>
              <w:rPr>
                <w:rFonts w:eastAsia="仿宋_GB2312"/>
                <w:color w:val="000000" w:themeColor="text1"/>
              </w:rPr>
              <w:t>2m</w:t>
            </w:r>
            <w:r>
              <w:rPr>
                <w:rFonts w:hint="eastAsia" w:eastAsia="仿宋_GB2312"/>
                <w:color w:val="000000" w:themeColor="text1"/>
                <w:vertAlign w:val="superscript"/>
                <w:lang w:val="en-US" w:eastAsia="zh-CN"/>
              </w:rPr>
              <w:t>3</w:t>
            </w:r>
            <w:r>
              <w:rPr>
                <w:rFonts w:eastAsia="仿宋_GB2312"/>
                <w:color w:val="000000" w:themeColor="text1"/>
              </w:rPr>
              <w:t>/次，系统共布置有2台平板膜过滤器，年外排冲洗</w:t>
            </w:r>
            <w:r>
              <w:rPr>
                <w:rFonts w:hint="eastAsia" w:eastAsia="仿宋_GB2312"/>
                <w:color w:val="000000" w:themeColor="text1"/>
                <w:lang w:val="en-US" w:eastAsia="zh-CN"/>
              </w:rPr>
              <w:t>废水</w:t>
            </w:r>
            <w:r>
              <w:rPr>
                <w:rFonts w:eastAsia="仿宋_GB2312"/>
                <w:color w:val="000000" w:themeColor="text1"/>
              </w:rPr>
              <w:t>约为90.7m³/a，</w:t>
            </w:r>
            <w:r>
              <w:rPr>
                <w:rFonts w:hint="eastAsia" w:eastAsia="仿宋_GB2312"/>
                <w:color w:val="000000" w:themeColor="text1"/>
                <w:lang w:val="en-US" w:eastAsia="zh-CN"/>
              </w:rPr>
              <w:t>废水经管道至中和水池处理后，排入泛水池，最后</w:t>
            </w:r>
            <w:r>
              <w:rPr>
                <w:rFonts w:eastAsia="仿宋_GB2312"/>
                <w:color w:val="000000" w:themeColor="text1"/>
              </w:rPr>
              <w:t>通过回用管道回用至矿区采卤。</w:t>
            </w:r>
          </w:p>
          <w:p w14:paraId="2D266167">
            <w:pPr>
              <w:pStyle w:val="17"/>
              <w:numPr>
                <w:ilvl w:val="0"/>
                <w:numId w:val="0"/>
              </w:numPr>
              <w:spacing w:line="360" w:lineRule="auto"/>
              <w:ind w:firstLine="420" w:firstLineChars="200"/>
              <w:rPr>
                <w:rFonts w:hint="eastAsia" w:eastAsia="仿宋_GB2312"/>
                <w:lang w:eastAsia="zh-CN"/>
              </w:rPr>
            </w:pPr>
            <w:r>
              <w:rPr>
                <w:rFonts w:eastAsia="仿宋_GB2312"/>
              </w:rPr>
              <w:t>（3）W3超滤膜反冲洗</w:t>
            </w:r>
            <w:r>
              <w:rPr>
                <w:rFonts w:hint="eastAsia" w:eastAsia="仿宋_GB2312"/>
                <w:lang w:val="en-US" w:eastAsia="zh-CN"/>
              </w:rPr>
              <w:t>废水</w:t>
            </w:r>
          </w:p>
          <w:p w14:paraId="0E10530B">
            <w:pPr>
              <w:pStyle w:val="17"/>
              <w:numPr>
                <w:ilvl w:val="0"/>
                <w:numId w:val="0"/>
              </w:numPr>
              <w:spacing w:line="360" w:lineRule="auto"/>
              <w:ind w:firstLine="420" w:firstLineChars="200"/>
              <w:rPr>
                <w:rFonts w:eastAsia="仿宋_GB2312"/>
                <w:color w:val="000000" w:themeColor="text1"/>
              </w:rPr>
            </w:pPr>
            <w:r>
              <w:rPr>
                <w:rFonts w:eastAsia="仿宋_GB2312"/>
                <w:color w:val="000000" w:themeColor="text1"/>
              </w:rPr>
              <w:t>为防止膜元件堵塞严重，造成性能的不可恢复损坏，需要定期对钠膜进行反向清洗。本过滤器设置了配套的反冲洗罐，将过滤后的精卤通过超滤清卤泵加入到反冲洗罐内，利用反冲罐与压缩空气带来的动力对膜过滤器进行反冲，在设定程序下30分钟进行一次反向冲洗，恢复膜通量。每次每台超滤膜过滤器产生反冲洗精卤约为2.0m³，系统共布置有3台超滤膜过滤器，则产生反冲洗</w:t>
            </w:r>
            <w:r>
              <w:rPr>
                <w:rFonts w:hint="eastAsia" w:eastAsia="仿宋_GB2312"/>
                <w:color w:val="000000" w:themeColor="text1"/>
                <w:lang w:val="en-US" w:eastAsia="zh-CN"/>
              </w:rPr>
              <w:t>废水</w:t>
            </w:r>
            <w:r>
              <w:rPr>
                <w:rFonts w:eastAsia="仿宋_GB2312"/>
                <w:color w:val="000000" w:themeColor="text1"/>
              </w:rPr>
              <w:t>约为288m³/a，产生的反冲洗</w:t>
            </w:r>
            <w:r>
              <w:rPr>
                <w:rFonts w:hint="eastAsia" w:eastAsia="仿宋_GB2312"/>
                <w:color w:val="000000" w:themeColor="text1"/>
                <w:lang w:val="en-US" w:eastAsia="zh-CN"/>
              </w:rPr>
              <w:t>废水</w:t>
            </w:r>
            <w:r>
              <w:rPr>
                <w:rFonts w:eastAsia="仿宋_GB2312"/>
                <w:color w:val="000000" w:themeColor="text1"/>
              </w:rPr>
              <w:t>再进入平板膜过滤器进行处理</w:t>
            </w:r>
            <w:r>
              <w:rPr>
                <w:rFonts w:hint="eastAsia" w:eastAsia="仿宋_GB2312"/>
                <w:color w:val="000000" w:themeColor="text1"/>
                <w:lang w:eastAsia="zh-CN"/>
              </w:rPr>
              <w:t>，</w:t>
            </w:r>
            <w:r>
              <w:rPr>
                <w:rFonts w:hint="eastAsia" w:eastAsia="仿宋_GB2312"/>
                <w:color w:val="000000" w:themeColor="text1"/>
                <w:lang w:val="en-US" w:eastAsia="zh-CN"/>
              </w:rPr>
              <w:t>最后</w:t>
            </w:r>
            <w:r>
              <w:rPr>
                <w:rFonts w:eastAsia="仿宋_GB2312"/>
                <w:color w:val="000000" w:themeColor="text1"/>
              </w:rPr>
              <w:t>通过回用管道回用至矿区采卤。</w:t>
            </w:r>
          </w:p>
          <w:p w14:paraId="0A7B2469">
            <w:pPr>
              <w:pStyle w:val="17"/>
              <w:numPr>
                <w:ilvl w:val="0"/>
                <w:numId w:val="0"/>
              </w:numPr>
              <w:spacing w:line="360" w:lineRule="auto"/>
              <w:ind w:firstLine="420" w:firstLineChars="200"/>
              <w:rPr>
                <w:rFonts w:hint="eastAsia" w:eastAsia="仿宋_GB2312"/>
                <w:lang w:eastAsia="zh-CN"/>
              </w:rPr>
            </w:pPr>
            <w:r>
              <w:rPr>
                <w:rFonts w:eastAsia="仿宋_GB2312"/>
              </w:rPr>
              <w:t>（4）W4超滤膜化学清洗排</w:t>
            </w:r>
            <w:r>
              <w:rPr>
                <w:rFonts w:hint="eastAsia" w:eastAsia="仿宋_GB2312"/>
                <w:lang w:val="en-US" w:eastAsia="zh-CN"/>
              </w:rPr>
              <w:t>水</w:t>
            </w:r>
          </w:p>
          <w:p w14:paraId="710511E9">
            <w:pPr>
              <w:pStyle w:val="17"/>
              <w:numPr>
                <w:ilvl w:val="0"/>
                <w:numId w:val="0"/>
              </w:numPr>
              <w:spacing w:line="360" w:lineRule="auto"/>
              <w:ind w:firstLine="420" w:firstLineChars="200"/>
              <w:rPr>
                <w:rFonts w:eastAsia="仿宋_GB2312"/>
                <w:color w:val="000000" w:themeColor="text1"/>
              </w:rPr>
            </w:pPr>
            <w:r>
              <w:rPr>
                <w:rFonts w:eastAsia="仿宋_GB2312"/>
                <w:color w:val="000000" w:themeColor="text1"/>
              </w:rPr>
              <w:t>与平板膜过滤器相似，需定期对超滤膜表面进行化学清洗使其再生，使膜通量得到恢复、过滤能力达到起始状态。本项目超滤膜过滤器耶设置了配套的清洗系统，每15天左右进行一次化学清洗，清洗流程为：排空盐水→精卤冲洗→回流平板膜→加酸循环清洗→回流酸洗罐→精卤冲洗→</w:t>
            </w:r>
            <w:r>
              <w:rPr>
                <w:rFonts w:hint="eastAsia" w:eastAsia="仿宋_GB2312"/>
                <w:color w:val="000000" w:themeColor="text1"/>
                <w:lang w:val="en-US" w:eastAsia="zh-CN"/>
              </w:rPr>
              <w:t>中和</w:t>
            </w:r>
            <w:r>
              <w:rPr>
                <w:rFonts w:eastAsia="仿宋_GB2312"/>
                <w:color w:val="000000" w:themeColor="text1"/>
              </w:rPr>
              <w:t>→回用采卤。每台超滤膜过滤器化学清洗水洗用量约为2m³/次，系统共布置有3台超滤膜过滤器，则外排</w:t>
            </w:r>
            <w:r>
              <w:rPr>
                <w:rFonts w:hint="eastAsia" w:eastAsia="仿宋_GB2312"/>
                <w:color w:val="000000" w:themeColor="text1"/>
                <w:lang w:val="en-US" w:eastAsia="zh-CN"/>
              </w:rPr>
              <w:t>废水</w:t>
            </w:r>
            <w:r>
              <w:rPr>
                <w:rFonts w:eastAsia="仿宋_GB2312"/>
                <w:color w:val="000000" w:themeColor="text1"/>
              </w:rPr>
              <w:t>产生量约为136m³/a，产生的废水</w:t>
            </w:r>
            <w:r>
              <w:rPr>
                <w:rFonts w:hint="eastAsia" w:eastAsia="仿宋_GB2312"/>
                <w:color w:val="000000" w:themeColor="text1"/>
                <w:lang w:val="en-US" w:eastAsia="zh-CN"/>
              </w:rPr>
              <w:t>经管道至中和水池处理后，排入泛水池，最后</w:t>
            </w:r>
            <w:r>
              <w:rPr>
                <w:rFonts w:eastAsia="仿宋_GB2312"/>
                <w:color w:val="000000" w:themeColor="text1"/>
              </w:rPr>
              <w:t>通过回用管道回用至矿区采卤。</w:t>
            </w:r>
          </w:p>
          <w:p w14:paraId="76FF85F7">
            <w:pPr>
              <w:pStyle w:val="17"/>
              <w:numPr>
                <w:ilvl w:val="0"/>
                <w:numId w:val="0"/>
              </w:numPr>
              <w:spacing w:line="360" w:lineRule="auto"/>
              <w:ind w:firstLine="420" w:firstLineChars="200"/>
              <w:rPr>
                <w:rFonts w:hint="eastAsia" w:eastAsia="仿宋_GB2312"/>
                <w:color w:val="auto"/>
                <w:lang w:eastAsia="zh-CN"/>
              </w:rPr>
            </w:pPr>
            <w:r>
              <w:rPr>
                <w:rFonts w:eastAsia="仿宋_GB2312"/>
                <w:color w:val="auto"/>
              </w:rPr>
              <w:t>（5）W5化学清洗液定期排放</w:t>
            </w:r>
            <w:r>
              <w:rPr>
                <w:rFonts w:hint="eastAsia" w:eastAsia="仿宋_GB2312"/>
                <w:color w:val="auto"/>
                <w:lang w:val="en-US" w:eastAsia="zh-CN"/>
              </w:rPr>
              <w:t>废水</w:t>
            </w:r>
          </w:p>
          <w:p w14:paraId="02DE459D">
            <w:pPr>
              <w:pStyle w:val="17"/>
              <w:numPr>
                <w:ilvl w:val="0"/>
                <w:numId w:val="0"/>
              </w:numPr>
              <w:spacing w:line="360" w:lineRule="auto"/>
              <w:ind w:firstLine="420" w:firstLineChars="200"/>
              <w:rPr>
                <w:rFonts w:eastAsia="仿宋_GB2312"/>
                <w:color w:val="000000" w:themeColor="text1"/>
              </w:rPr>
            </w:pPr>
            <w:r>
              <w:rPr>
                <w:rFonts w:eastAsia="仿宋_GB2312"/>
                <w:color w:val="auto"/>
              </w:rPr>
              <w:t>化学清洗需要的清洗液为3</w:t>
            </w:r>
            <w:r>
              <w:rPr>
                <w:rFonts w:hint="eastAsia" w:eastAsia="仿宋_GB2312"/>
                <w:color w:val="auto"/>
                <w:lang w:val="en-US" w:eastAsia="zh-CN"/>
              </w:rPr>
              <w:t>0</w:t>
            </w:r>
            <w:r>
              <w:rPr>
                <w:rFonts w:eastAsia="仿宋_GB2312"/>
                <w:color w:val="auto"/>
              </w:rPr>
              <w:t>%的盐酸，将来自盐酸储罐的3</w:t>
            </w:r>
            <w:r>
              <w:rPr>
                <w:rFonts w:hint="eastAsia" w:eastAsia="仿宋_GB2312"/>
                <w:color w:val="auto"/>
                <w:lang w:val="en-US" w:eastAsia="zh-CN"/>
              </w:rPr>
              <w:t>0</w:t>
            </w:r>
            <w:r>
              <w:rPr>
                <w:rFonts w:eastAsia="仿宋_GB2312"/>
                <w:color w:val="auto"/>
              </w:rPr>
              <w:t>%盐酸加入到酸洗罐中，酸洗罐中的盐酸溶液平均每月需更换1次，每次更换30%盐酸溶液约20m</w:t>
            </w:r>
            <w:r>
              <w:rPr>
                <w:rFonts w:eastAsia="仿宋_GB2312"/>
                <w:color w:val="auto"/>
                <w:vertAlign w:val="superscript"/>
              </w:rPr>
              <w:t>3</w:t>
            </w:r>
            <w:r>
              <w:rPr>
                <w:rFonts w:eastAsia="仿宋_GB2312"/>
                <w:color w:val="auto"/>
              </w:rPr>
              <w:t>，则消耗30%盐酸原料约为360m</w:t>
            </w:r>
            <w:r>
              <w:rPr>
                <w:rFonts w:hint="eastAsia" w:eastAsia="仿宋_GB2312"/>
                <w:color w:val="auto"/>
                <w:vertAlign w:val="superscript"/>
                <w:lang w:val="en-US" w:eastAsia="zh-CN"/>
              </w:rPr>
              <w:t>3</w:t>
            </w:r>
            <w:r>
              <w:rPr>
                <w:rFonts w:eastAsia="仿宋_GB2312"/>
                <w:color w:val="auto"/>
              </w:rPr>
              <w:t>/a。膜池每次清洗后，清洗酸液均全量排回酸洗罐，30%盐酸溶液在使用过程中损耗约10%为36m³/a，合计废液排放量约为324m</w:t>
            </w:r>
            <w:r>
              <w:rPr>
                <w:rFonts w:eastAsia="仿宋_GB2312"/>
                <w:color w:val="auto"/>
                <w:vertAlign w:val="superscript"/>
              </w:rPr>
              <w:t>3</w:t>
            </w:r>
            <w:r>
              <w:rPr>
                <w:rFonts w:eastAsia="仿宋_GB2312"/>
                <w:color w:val="auto"/>
              </w:rPr>
              <w:t>/a。</w:t>
            </w:r>
            <w:r>
              <w:rPr>
                <w:rFonts w:eastAsia="仿宋_GB2312"/>
                <w:color w:val="000000" w:themeColor="text1"/>
              </w:rPr>
              <w:t>平板膜化学清洗液定期排放</w:t>
            </w:r>
            <w:r>
              <w:rPr>
                <w:rFonts w:hint="eastAsia" w:eastAsia="仿宋_GB2312"/>
                <w:color w:val="000000" w:themeColor="text1"/>
                <w:lang w:val="en-US" w:eastAsia="zh-CN"/>
              </w:rPr>
              <w:t>废水经管道至中和水池处理后，排入泛水池，最后</w:t>
            </w:r>
            <w:r>
              <w:rPr>
                <w:rFonts w:eastAsia="仿宋_GB2312"/>
                <w:color w:val="000000" w:themeColor="text1"/>
              </w:rPr>
              <w:t>通过回用管道回用至矿区采卤。</w:t>
            </w:r>
          </w:p>
          <w:p w14:paraId="0C6D111C">
            <w:pPr>
              <w:pStyle w:val="17"/>
              <w:numPr>
                <w:ilvl w:val="0"/>
                <w:numId w:val="0"/>
              </w:numPr>
              <w:spacing w:line="360" w:lineRule="auto"/>
              <w:ind w:firstLine="420" w:firstLineChars="200"/>
              <w:rPr>
                <w:rFonts w:eastAsia="仿宋_GB2312"/>
              </w:rPr>
            </w:pPr>
            <w:r>
              <w:rPr>
                <w:rFonts w:eastAsia="仿宋_GB2312"/>
              </w:rPr>
              <w:t>（6）W6酸雾尾气吸收塔废水</w:t>
            </w:r>
          </w:p>
          <w:p w14:paraId="3A3F7D16">
            <w:pPr>
              <w:pStyle w:val="17"/>
              <w:numPr>
                <w:ilvl w:val="0"/>
                <w:numId w:val="0"/>
              </w:numPr>
              <w:spacing w:line="360" w:lineRule="auto"/>
              <w:ind w:firstLine="420" w:firstLineChars="200"/>
              <w:rPr>
                <w:rFonts w:eastAsia="仿宋_GB2312"/>
              </w:rPr>
            </w:pPr>
            <w:r>
              <w:rPr>
                <w:rFonts w:eastAsia="仿宋_GB2312"/>
              </w:rPr>
              <w:t>盐酸贮存过程会产生含酸呼吸废气。本装置设置了配套的尾气吸收系统，利用工艺水对尾气中的HCl气体进行吸收，并产生酸性废水，需定期排放。</w:t>
            </w:r>
          </w:p>
          <w:p w14:paraId="60223E92">
            <w:pPr>
              <w:pStyle w:val="17"/>
              <w:numPr>
                <w:ilvl w:val="0"/>
                <w:numId w:val="0"/>
              </w:numPr>
              <w:spacing w:line="360" w:lineRule="auto"/>
              <w:ind w:firstLine="420" w:firstLineChars="200"/>
              <w:rPr>
                <w:rFonts w:eastAsia="仿宋_GB2312"/>
              </w:rPr>
            </w:pPr>
            <w:r>
              <w:rPr>
                <w:rFonts w:eastAsia="仿宋_GB2312"/>
              </w:rPr>
              <w:t>项目酸雾经风量为3000m</w:t>
            </w:r>
            <w:r>
              <w:rPr>
                <w:rFonts w:hint="eastAsia" w:eastAsia="仿宋_GB2312"/>
                <w:sz w:val="21"/>
                <w:szCs w:val="22"/>
                <w:vertAlign w:val="superscript"/>
                <w:lang w:val="en-US" w:eastAsia="zh-CN"/>
              </w:rPr>
              <w:t>3</w:t>
            </w:r>
            <w:r>
              <w:rPr>
                <w:rFonts w:eastAsia="仿宋_GB2312"/>
              </w:rPr>
              <w:t>/h的尾气吸收塔处理，塔体采用循环喷淋烧碱溶液系统。根据《环境工程设计手册 第三册·废气卷》（李德海，中国建筑工业出版社），喷淋液循环量一般为处理风量的1–3L/m</w:t>
            </w:r>
            <w:r>
              <w:rPr>
                <w:rFonts w:hint="eastAsia" w:eastAsia="仿宋_GB2312"/>
                <w:sz w:val="21"/>
                <w:szCs w:val="22"/>
                <w:vertAlign w:val="superscript"/>
                <w:lang w:val="en-US" w:eastAsia="zh-CN"/>
              </w:rPr>
              <w:t>3</w:t>
            </w:r>
            <w:r>
              <w:rPr>
                <w:rFonts w:eastAsia="仿宋_GB2312"/>
              </w:rPr>
              <w:t>，本项目喷淋水量按通风量3L/m</w:t>
            </w:r>
            <w:r>
              <w:rPr>
                <w:rFonts w:eastAsia="仿宋_GB2312"/>
                <w:vertAlign w:val="superscript"/>
              </w:rPr>
              <w:t>3</w:t>
            </w:r>
            <w:r>
              <w:rPr>
                <w:rFonts w:eastAsia="仿宋_GB2312"/>
              </w:rPr>
              <w:t>配置，喷淋循环水约9m</w:t>
            </w:r>
            <w:r>
              <w:rPr>
                <w:rFonts w:hint="eastAsia" w:eastAsia="仿宋_GB2312"/>
                <w:sz w:val="21"/>
                <w:szCs w:val="22"/>
                <w:vertAlign w:val="superscript"/>
                <w:lang w:val="en-US" w:eastAsia="zh-CN"/>
              </w:rPr>
              <w:t>3</w:t>
            </w:r>
            <w:r>
              <w:rPr>
                <w:rFonts w:eastAsia="仿宋_GB2312"/>
              </w:rPr>
              <w:t>/h，以运行24小时计，系统日用水量约为216m</w:t>
            </w:r>
            <w:r>
              <w:rPr>
                <w:rFonts w:hint="eastAsia" w:eastAsia="仿宋_GB2312"/>
                <w:sz w:val="21"/>
                <w:szCs w:val="22"/>
                <w:vertAlign w:val="superscript"/>
                <w:lang w:val="en-US" w:eastAsia="zh-CN"/>
              </w:rPr>
              <w:t>3</w:t>
            </w:r>
            <w:r>
              <w:rPr>
                <w:rFonts w:eastAsia="仿宋_GB2312"/>
              </w:rPr>
              <w:t>。为控制循环用水酸度过高，平均需每3天补充一次新鲜淡水，每次补充新鲜淡水量约为12m</w:t>
            </w:r>
            <w:r>
              <w:rPr>
                <w:rFonts w:hint="eastAsia" w:eastAsia="仿宋_GB2312"/>
                <w:sz w:val="21"/>
                <w:szCs w:val="22"/>
                <w:vertAlign w:val="superscript"/>
                <w:lang w:val="en-US" w:eastAsia="zh-CN"/>
              </w:rPr>
              <w:t>3</w:t>
            </w:r>
            <w:r>
              <w:rPr>
                <w:rFonts w:eastAsia="仿宋_GB2312"/>
              </w:rPr>
              <w:t>，合计补充淡水量约为1360m</w:t>
            </w:r>
            <w:r>
              <w:rPr>
                <w:rFonts w:hint="eastAsia" w:eastAsia="仿宋_GB2312"/>
                <w:sz w:val="21"/>
                <w:szCs w:val="22"/>
                <w:vertAlign w:val="superscript"/>
                <w:lang w:val="en-US" w:eastAsia="zh-CN"/>
              </w:rPr>
              <w:t>3</w:t>
            </w:r>
            <w:r>
              <w:rPr>
                <w:rFonts w:eastAsia="仿宋_GB2312"/>
              </w:rPr>
              <w:t>/a，损耗10%约为136m</w:t>
            </w:r>
            <w:r>
              <w:rPr>
                <w:rFonts w:hint="eastAsia" w:eastAsia="仿宋_GB2312"/>
                <w:sz w:val="21"/>
                <w:szCs w:val="22"/>
                <w:vertAlign w:val="superscript"/>
                <w:lang w:val="en-US" w:eastAsia="zh-CN"/>
              </w:rPr>
              <w:t>3</w:t>
            </w:r>
            <w:r>
              <w:rPr>
                <w:rFonts w:eastAsia="仿宋_GB2312"/>
              </w:rPr>
              <w:t>/a。系统设置排污管道，平均每3天排放一次，吸收塔产生废水约为1224m</w:t>
            </w:r>
            <w:r>
              <w:rPr>
                <w:rFonts w:hint="eastAsia" w:eastAsia="仿宋_GB2312"/>
                <w:sz w:val="21"/>
                <w:szCs w:val="22"/>
                <w:vertAlign w:val="superscript"/>
                <w:lang w:val="en-US" w:eastAsia="zh-CN"/>
              </w:rPr>
              <w:t>3</w:t>
            </w:r>
            <w:r>
              <w:rPr>
                <w:rFonts w:eastAsia="仿宋_GB2312"/>
              </w:rPr>
              <w:t>/a，主要含有HCl，</w:t>
            </w:r>
            <w:r>
              <w:rPr>
                <w:rFonts w:hint="eastAsia" w:eastAsia="仿宋_GB2312"/>
                <w:color w:val="000000" w:themeColor="text1"/>
                <w:lang w:val="en-US" w:eastAsia="zh-CN"/>
              </w:rPr>
              <w:t>经管道至中和水池处理后，排入泛水池，最后</w:t>
            </w:r>
            <w:r>
              <w:rPr>
                <w:rFonts w:eastAsia="仿宋_GB2312"/>
                <w:color w:val="000000" w:themeColor="text1"/>
              </w:rPr>
              <w:t>通过回用管道回用至矿区采卤。</w:t>
            </w:r>
          </w:p>
          <w:p w14:paraId="2E294E0A">
            <w:pPr>
              <w:pStyle w:val="17"/>
              <w:numPr>
                <w:ilvl w:val="0"/>
                <w:numId w:val="0"/>
              </w:numPr>
              <w:spacing w:line="360" w:lineRule="auto"/>
              <w:ind w:firstLine="420" w:firstLineChars="200"/>
              <w:rPr>
                <w:rFonts w:eastAsia="仿宋_GB2312"/>
              </w:rPr>
            </w:pPr>
            <w:r>
              <w:rPr>
                <w:rFonts w:eastAsia="仿宋_GB2312"/>
              </w:rPr>
              <w:t>（7）W7盐雾尾气吸收塔废水</w:t>
            </w:r>
          </w:p>
          <w:p w14:paraId="505CF410">
            <w:pPr>
              <w:pStyle w:val="17"/>
              <w:numPr>
                <w:ilvl w:val="0"/>
                <w:numId w:val="0"/>
              </w:numPr>
              <w:spacing w:line="360" w:lineRule="auto"/>
              <w:ind w:firstLine="420" w:firstLineChars="200"/>
              <w:rPr>
                <w:rFonts w:eastAsia="仿宋_GB2312"/>
              </w:rPr>
            </w:pPr>
            <w:r>
              <w:rPr>
                <w:rFonts w:eastAsia="仿宋_GB2312"/>
              </w:rPr>
              <w:t>平板膜过滤卤水过程中会产生盐雾。本装置设置了配套的尾气吸收系统，利用工艺水对尾气中的颗粒物进行吸收，并产生废水，需定期排放。与酸雾尾气吸收塔风机参数一致，盐雾尾气吸收塔喷淋水量按通风量3L/m</w:t>
            </w:r>
            <w:r>
              <w:rPr>
                <w:rFonts w:eastAsia="仿宋_GB2312"/>
                <w:vertAlign w:val="superscript"/>
              </w:rPr>
              <w:t>3</w:t>
            </w:r>
            <w:r>
              <w:rPr>
                <w:rFonts w:eastAsia="仿宋_GB2312"/>
              </w:rPr>
              <w:t>配置，喷淋循环水约9m</w:t>
            </w:r>
            <w:r>
              <w:rPr>
                <w:rFonts w:eastAsia="仿宋_GB2312"/>
                <w:vertAlign w:val="superscript"/>
              </w:rPr>
              <w:t>3</w:t>
            </w:r>
            <w:r>
              <w:rPr>
                <w:rFonts w:eastAsia="仿宋_GB2312"/>
              </w:rPr>
              <w:t>/h，以运行24小时计，系统日用水量约为216m</w:t>
            </w:r>
            <w:r>
              <w:rPr>
                <w:rFonts w:hint="eastAsia" w:eastAsia="仿宋_GB2312"/>
                <w:sz w:val="21"/>
                <w:szCs w:val="22"/>
                <w:vertAlign w:val="superscript"/>
                <w:lang w:val="en-US" w:eastAsia="zh-CN"/>
              </w:rPr>
              <w:t>3</w:t>
            </w:r>
            <w:r>
              <w:rPr>
                <w:rFonts w:eastAsia="仿宋_GB2312"/>
              </w:rPr>
              <w:t>。为控制循环用水酸度过高，平均需每3天补充一次新鲜淡水，每次补充新鲜淡水量约为12m</w:t>
            </w:r>
            <w:r>
              <w:rPr>
                <w:rFonts w:hint="eastAsia" w:eastAsia="仿宋_GB2312"/>
                <w:sz w:val="21"/>
                <w:szCs w:val="22"/>
                <w:vertAlign w:val="superscript"/>
                <w:lang w:val="en-US" w:eastAsia="zh-CN"/>
              </w:rPr>
              <w:t>3</w:t>
            </w:r>
            <w:r>
              <w:rPr>
                <w:rFonts w:eastAsia="仿宋_GB2312"/>
              </w:rPr>
              <w:t>，合计补充淡水量约为1360m</w:t>
            </w:r>
            <w:r>
              <w:rPr>
                <w:rFonts w:hint="eastAsia" w:eastAsia="仿宋_GB2312"/>
                <w:sz w:val="21"/>
                <w:szCs w:val="22"/>
                <w:vertAlign w:val="superscript"/>
                <w:lang w:val="en-US" w:eastAsia="zh-CN"/>
              </w:rPr>
              <w:t>3</w:t>
            </w:r>
            <w:r>
              <w:rPr>
                <w:rFonts w:eastAsia="仿宋_GB2312"/>
              </w:rPr>
              <w:t>/a，损耗10%约为136m</w:t>
            </w:r>
            <w:r>
              <w:rPr>
                <w:rFonts w:hint="eastAsia" w:eastAsia="仿宋_GB2312"/>
                <w:sz w:val="21"/>
                <w:szCs w:val="22"/>
                <w:vertAlign w:val="superscript"/>
                <w:lang w:val="en-US" w:eastAsia="zh-CN"/>
              </w:rPr>
              <w:t>3</w:t>
            </w:r>
            <w:r>
              <w:rPr>
                <w:rFonts w:eastAsia="仿宋_GB2312"/>
              </w:rPr>
              <w:t>/a。系统设置排污管道，平均每3天排放一次，吸收塔产生废水约为1224m</w:t>
            </w:r>
            <w:r>
              <w:rPr>
                <w:rFonts w:hint="eastAsia" w:eastAsia="仿宋_GB2312"/>
                <w:sz w:val="21"/>
                <w:szCs w:val="22"/>
                <w:vertAlign w:val="superscript"/>
                <w:lang w:val="en-US" w:eastAsia="zh-CN"/>
              </w:rPr>
              <w:t>3</w:t>
            </w:r>
            <w:r>
              <w:rPr>
                <w:rFonts w:eastAsia="仿宋_GB2312"/>
              </w:rPr>
              <w:t>/a，主要含有盐类、少量颗粒物，废水收集后统一回用于采卤。</w:t>
            </w:r>
          </w:p>
          <w:p w14:paraId="4A3202C6">
            <w:pPr>
              <w:pStyle w:val="17"/>
              <w:numPr>
                <w:ilvl w:val="0"/>
                <w:numId w:val="0"/>
              </w:numPr>
              <w:spacing w:line="360" w:lineRule="auto"/>
              <w:ind w:firstLine="420" w:firstLineChars="200"/>
              <w:rPr>
                <w:rFonts w:eastAsia="仿宋_GB2312"/>
              </w:rPr>
            </w:pPr>
            <w:r>
              <w:rPr>
                <w:rFonts w:eastAsia="仿宋_GB2312"/>
              </w:rPr>
              <w:t>（8）W8密封水</w:t>
            </w:r>
          </w:p>
          <w:p w14:paraId="22281A02">
            <w:pPr>
              <w:pStyle w:val="12"/>
              <w:spacing w:before="0" w:after="0" w:line="360" w:lineRule="auto"/>
              <w:ind w:right="0" w:firstLine="420" w:firstLineChars="200"/>
              <w:rPr>
                <w:rFonts w:eastAsia="仿宋_GB2312"/>
                <w:sz w:val="21"/>
                <w:szCs w:val="22"/>
              </w:rPr>
            </w:pPr>
            <w:r>
              <w:rPr>
                <w:rFonts w:eastAsia="仿宋_GB2312"/>
                <w:sz w:val="21"/>
                <w:szCs w:val="22"/>
              </w:rPr>
              <w:t>本项目采用机械密封型水泵，根据《机械密封手册》和国内工程经验，单台水泵密封水耗量约为0.5～1.0L/min，本报告按最大值1.0L/min计算。项目共设25台水泵，按每台水泵平均1.0L/min估算，更换周期约为3个月，密封水总用量约为144m</w:t>
            </w:r>
            <w:r>
              <w:rPr>
                <w:rFonts w:hint="eastAsia" w:eastAsia="仿宋_GB2312"/>
                <w:sz w:val="21"/>
                <w:szCs w:val="22"/>
                <w:vertAlign w:val="superscript"/>
                <w:lang w:val="en-US" w:eastAsia="zh-CN"/>
              </w:rPr>
              <w:t>3</w:t>
            </w:r>
            <w:r>
              <w:rPr>
                <w:rFonts w:eastAsia="仿宋_GB2312"/>
                <w:sz w:val="21"/>
                <w:szCs w:val="22"/>
              </w:rPr>
              <w:t>/a（水泵24小时连续运行）。密封水循环使用，损耗10%约为14.4m</w:t>
            </w:r>
            <w:r>
              <w:rPr>
                <w:rFonts w:hint="eastAsia" w:eastAsia="仿宋_GB2312"/>
                <w:sz w:val="21"/>
                <w:szCs w:val="22"/>
                <w:vertAlign w:val="superscript"/>
                <w:lang w:val="en-US" w:eastAsia="zh-CN"/>
              </w:rPr>
              <w:t>3</w:t>
            </w:r>
            <w:r>
              <w:rPr>
                <w:rFonts w:eastAsia="仿宋_GB2312"/>
                <w:sz w:val="21"/>
                <w:szCs w:val="22"/>
              </w:rPr>
              <w:t>/a，年排放量约为129.6m</w:t>
            </w:r>
            <w:r>
              <w:rPr>
                <w:rFonts w:eastAsia="仿宋_GB2312"/>
                <w:sz w:val="21"/>
                <w:szCs w:val="22"/>
                <w:vertAlign w:val="superscript"/>
              </w:rPr>
              <w:t>3</w:t>
            </w:r>
            <w:r>
              <w:rPr>
                <w:rFonts w:eastAsia="仿宋_GB2312"/>
                <w:sz w:val="21"/>
                <w:szCs w:val="22"/>
              </w:rPr>
              <w:t>。密封水主要用于冷却和润滑水泵密封腔，运行过程中基本无污染，密封水统一收集并回用于采卤。</w:t>
            </w:r>
            <w:bookmarkEnd w:id="51"/>
          </w:p>
          <w:p w14:paraId="474A2B78">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仿宋_GB2312" w:cs="Times New Roman"/>
                <w:kern w:val="0"/>
                <w:sz w:val="21"/>
                <w:szCs w:val="22"/>
                <w:lang w:val="en-US" w:eastAsia="zh-CN" w:bidi="ar-SA"/>
              </w:rPr>
            </w:pPr>
            <w:r>
              <w:rPr>
                <w:rFonts w:hint="eastAsia" w:ascii="Times New Roman" w:hAnsi="Times New Roman" w:eastAsia="仿宋_GB2312" w:cs="Times New Roman"/>
                <w:kern w:val="0"/>
                <w:sz w:val="21"/>
                <w:szCs w:val="22"/>
                <w:lang w:val="en-US" w:eastAsia="zh-CN" w:bidi="ar-SA"/>
              </w:rPr>
              <w:t>（9）初期雨水</w:t>
            </w:r>
          </w:p>
          <w:p w14:paraId="1ECF129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Times New Roman" w:hAnsi="Times New Roman" w:eastAsia="仿宋_GB2312" w:cs="Times New Roman"/>
                <w:kern w:val="0"/>
                <w:sz w:val="21"/>
                <w:szCs w:val="22"/>
                <w:lang w:val="en-US" w:eastAsia="zh-CN" w:bidi="ar-SA"/>
              </w:rPr>
            </w:pPr>
            <w:r>
              <w:rPr>
                <w:rFonts w:ascii="Times New Roman" w:hAnsi="Times New Roman" w:eastAsia="仿宋_GB2312" w:cs="Times New Roman"/>
                <w:kern w:val="0"/>
                <w:sz w:val="21"/>
                <w:szCs w:val="22"/>
                <w:lang w:val="en-US" w:eastAsia="zh-CN" w:bidi="ar-SA"/>
              </w:rPr>
              <w:t>参考《室外排水设计标准》（GB50014-2021）的暴雨强度计算方法进行计算，计算公式如下：</w:t>
            </w:r>
          </w:p>
          <w:p w14:paraId="290C7A7B">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ascii="Times New Roman" w:hAnsi="Times New Roman" w:eastAsia="仿宋_GB2312" w:cs="Times New Roman"/>
                <w:kern w:val="0"/>
                <w:sz w:val="21"/>
                <w:szCs w:val="22"/>
                <w:lang w:val="en-US" w:eastAsia="zh-CN" w:bidi="ar-SA"/>
              </w:rPr>
            </w:pPr>
            <w:r>
              <w:rPr>
                <w:rFonts w:ascii="Times New Roman" w:hAnsi="Times New Roman" w:eastAsia="仿宋_GB2312" w:cs="Times New Roman"/>
                <w:kern w:val="0"/>
                <w:sz w:val="21"/>
                <w:szCs w:val="22"/>
                <w:lang w:val="en-US" w:eastAsia="zh-CN" w:bidi="ar-SA"/>
              </w:rPr>
              <w:t>V=ψqFt</w:t>
            </w:r>
          </w:p>
          <w:p w14:paraId="6D97906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Times New Roman" w:hAnsi="Times New Roman" w:eastAsia="仿宋_GB2312" w:cs="Times New Roman"/>
                <w:kern w:val="0"/>
                <w:sz w:val="21"/>
                <w:szCs w:val="22"/>
                <w:lang w:val="en-US" w:eastAsia="zh-CN" w:bidi="ar-SA"/>
              </w:rPr>
            </w:pPr>
            <w:r>
              <w:rPr>
                <w:rFonts w:ascii="Times New Roman" w:hAnsi="Times New Roman" w:eastAsia="仿宋_GB2312" w:cs="Times New Roman"/>
                <w:kern w:val="0"/>
                <w:sz w:val="21"/>
                <w:szCs w:val="22"/>
                <w:lang w:val="en-US" w:eastAsia="zh-CN" w:bidi="ar-SA"/>
              </w:rPr>
              <w:t>ψ—径流系数，取0.95；</w:t>
            </w:r>
          </w:p>
          <w:p w14:paraId="5097015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Times New Roman" w:hAnsi="Times New Roman" w:eastAsia="仿宋_GB2312" w:cs="Times New Roman"/>
                <w:kern w:val="0"/>
                <w:sz w:val="21"/>
                <w:szCs w:val="22"/>
                <w:lang w:val="en-US" w:eastAsia="zh-CN" w:bidi="ar-SA"/>
              </w:rPr>
            </w:pPr>
            <w:r>
              <w:rPr>
                <w:rFonts w:ascii="Times New Roman" w:hAnsi="Times New Roman" w:eastAsia="仿宋_GB2312" w:cs="Times New Roman"/>
                <w:kern w:val="0"/>
                <w:sz w:val="21"/>
                <w:szCs w:val="22"/>
                <w:lang w:val="en-US" w:eastAsia="zh-CN" w:bidi="ar-SA"/>
              </w:rPr>
              <w:t>q—降雨强度，mm/d，常州平均降雨量 1074mm；多年降平均雨天数 126 天，平均日降雨量q＝8.52mm；</w:t>
            </w:r>
          </w:p>
          <w:p w14:paraId="5374737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Times New Roman" w:hAnsi="Times New Roman" w:eastAsia="仿宋_GB2312" w:cs="Times New Roman"/>
                <w:kern w:val="0"/>
                <w:sz w:val="21"/>
                <w:szCs w:val="22"/>
                <w:lang w:val="en-US" w:eastAsia="zh-CN" w:bidi="ar-SA"/>
              </w:rPr>
            </w:pPr>
            <w:r>
              <w:rPr>
                <w:rFonts w:ascii="Times New Roman" w:hAnsi="Times New Roman" w:eastAsia="仿宋_GB2312" w:cs="Times New Roman"/>
                <w:kern w:val="0"/>
                <w:sz w:val="21"/>
                <w:szCs w:val="22"/>
                <w:lang w:val="en-US" w:eastAsia="zh-CN" w:bidi="ar-SA"/>
              </w:rPr>
              <w:t>t—降雨历时，min，t=15min；</w:t>
            </w:r>
          </w:p>
          <w:p w14:paraId="3E45F96F">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ascii="Times New Roman" w:hAnsi="Times New Roman" w:eastAsia="仿宋_GB2312" w:cs="Times New Roman"/>
                <w:kern w:val="0"/>
                <w:sz w:val="21"/>
                <w:szCs w:val="22"/>
                <w:lang w:val="en-US" w:eastAsia="zh-CN" w:bidi="ar-SA"/>
              </w:rPr>
            </w:pPr>
            <w:r>
              <w:rPr>
                <w:rFonts w:ascii="Times New Roman" w:hAnsi="Times New Roman" w:eastAsia="仿宋_GB2312" w:cs="Times New Roman"/>
                <w:kern w:val="0"/>
                <w:sz w:val="21"/>
                <w:szCs w:val="22"/>
                <w:lang w:val="en-US" w:eastAsia="zh-CN" w:bidi="ar-SA"/>
              </w:rPr>
              <w:t>F—生产区、储存区、装卸区等汇水面积，m</w:t>
            </w:r>
            <w:r>
              <w:rPr>
                <w:rFonts w:ascii="Times New Roman" w:hAnsi="Times New Roman" w:eastAsia="仿宋_GB2312" w:cs="Times New Roman"/>
                <w:kern w:val="0"/>
                <w:sz w:val="21"/>
                <w:szCs w:val="22"/>
                <w:vertAlign w:val="superscript"/>
                <w:lang w:val="en-US" w:eastAsia="zh-CN" w:bidi="ar-SA"/>
              </w:rPr>
              <w:t>2</w:t>
            </w:r>
            <w:r>
              <w:rPr>
                <w:rFonts w:ascii="Times New Roman" w:hAnsi="Times New Roman" w:eastAsia="仿宋_GB2312" w:cs="Times New Roman"/>
                <w:kern w:val="0"/>
                <w:sz w:val="21"/>
                <w:szCs w:val="22"/>
                <w:lang w:val="en-US" w:eastAsia="zh-CN" w:bidi="ar-SA"/>
              </w:rPr>
              <w:t>，F=</w:t>
            </w:r>
            <w:r>
              <w:rPr>
                <w:rFonts w:hint="eastAsia" w:eastAsia="仿宋_GB2312" w:cs="Times New Roman"/>
                <w:kern w:val="0"/>
                <w:sz w:val="21"/>
                <w:szCs w:val="22"/>
                <w:lang w:val="en-US" w:eastAsia="zh-CN" w:bidi="ar-SA"/>
              </w:rPr>
              <w:t>72318</w:t>
            </w:r>
            <w:r>
              <w:rPr>
                <w:rFonts w:ascii="Times New Roman" w:hAnsi="Times New Roman" w:eastAsia="仿宋_GB2312" w:cs="Times New Roman"/>
                <w:kern w:val="0"/>
                <w:sz w:val="21"/>
                <w:szCs w:val="22"/>
                <w:lang w:val="en-US" w:eastAsia="zh-CN" w:bidi="ar-SA"/>
              </w:rPr>
              <w:t>m</w:t>
            </w:r>
            <w:r>
              <w:rPr>
                <w:rFonts w:ascii="Times New Roman" w:hAnsi="Times New Roman" w:eastAsia="仿宋_GB2312" w:cs="Times New Roman"/>
                <w:kern w:val="0"/>
                <w:sz w:val="21"/>
                <w:szCs w:val="22"/>
                <w:vertAlign w:val="superscript"/>
                <w:lang w:val="en-US" w:eastAsia="zh-CN" w:bidi="ar-SA"/>
              </w:rPr>
              <w:t>2</w:t>
            </w:r>
            <w:r>
              <w:rPr>
                <w:rFonts w:ascii="Times New Roman" w:hAnsi="Times New Roman" w:eastAsia="仿宋_GB2312" w:cs="Times New Roman"/>
                <w:kern w:val="0"/>
                <w:sz w:val="21"/>
                <w:szCs w:val="22"/>
                <w:lang w:val="en-US" w:eastAsia="zh-CN" w:bidi="ar-SA"/>
              </w:rPr>
              <w:t>。</w:t>
            </w:r>
          </w:p>
          <w:p w14:paraId="59676102">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ascii="Times New Roman" w:hAnsi="Times New Roman" w:eastAsia="仿宋_GB2312" w:cs="Times New Roman"/>
                <w:kern w:val="0"/>
                <w:sz w:val="21"/>
                <w:szCs w:val="22"/>
                <w:lang w:val="en-US" w:eastAsia="zh-CN" w:bidi="ar-SA"/>
              </w:rPr>
            </w:pPr>
            <w:r>
              <w:rPr>
                <w:rFonts w:ascii="Times New Roman" w:hAnsi="Times New Roman" w:eastAsia="仿宋_GB2312" w:cs="Times New Roman"/>
                <w:kern w:val="0"/>
                <w:sz w:val="21"/>
                <w:szCs w:val="22"/>
                <w:lang w:val="en-US" w:eastAsia="zh-CN" w:bidi="ar-SA"/>
              </w:rPr>
              <w:t>V=0.95qFt=0.95×(8.52/1000)×</w:t>
            </w:r>
            <w:r>
              <w:rPr>
                <w:rFonts w:hint="eastAsia" w:eastAsia="仿宋_GB2312" w:cs="Times New Roman"/>
                <w:kern w:val="0"/>
                <w:sz w:val="21"/>
                <w:szCs w:val="22"/>
                <w:lang w:val="en-US" w:eastAsia="zh-CN" w:bidi="ar-SA"/>
              </w:rPr>
              <w:t>72318</w:t>
            </w:r>
            <w:r>
              <w:rPr>
                <w:rFonts w:ascii="Times New Roman" w:hAnsi="Times New Roman" w:eastAsia="仿宋_GB2312" w:cs="Times New Roman"/>
                <w:kern w:val="0"/>
                <w:sz w:val="21"/>
                <w:szCs w:val="22"/>
                <w:lang w:val="en-US" w:eastAsia="zh-CN" w:bidi="ar-SA"/>
              </w:rPr>
              <w:t xml:space="preserve">×1/4 </w:t>
            </w:r>
            <w:r>
              <w:rPr>
                <w:rFonts w:hint="eastAsia" w:eastAsia="仿宋_GB2312" w:cs="Times New Roman"/>
                <w:kern w:val="0"/>
                <w:sz w:val="21"/>
                <w:szCs w:val="22"/>
                <w:lang w:val="en-US" w:eastAsia="zh-CN" w:bidi="ar-SA"/>
              </w:rPr>
              <w:t>≈146</w:t>
            </w:r>
            <w:r>
              <w:rPr>
                <w:rFonts w:ascii="Times New Roman" w:hAnsi="Times New Roman" w:eastAsia="仿宋_GB2312" w:cs="Times New Roman"/>
                <w:kern w:val="0"/>
                <w:sz w:val="21"/>
                <w:szCs w:val="22"/>
                <w:lang w:val="en-US" w:eastAsia="zh-CN" w:bidi="ar-SA"/>
              </w:rPr>
              <w:t>m</w:t>
            </w:r>
            <w:r>
              <w:rPr>
                <w:rFonts w:ascii="Times New Roman" w:hAnsi="Times New Roman" w:eastAsia="仿宋_GB2312" w:cs="Times New Roman"/>
                <w:kern w:val="0"/>
                <w:sz w:val="21"/>
                <w:szCs w:val="22"/>
                <w:vertAlign w:val="superscript"/>
                <w:lang w:val="en-US" w:eastAsia="zh-CN" w:bidi="ar-SA"/>
              </w:rPr>
              <w:t>3</w:t>
            </w:r>
          </w:p>
          <w:p w14:paraId="10B880E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Times New Roman" w:hAnsi="Times New Roman" w:eastAsia="仿宋_GB2312" w:cs="Times New Roman"/>
                <w:kern w:val="0"/>
                <w:sz w:val="21"/>
                <w:szCs w:val="22"/>
                <w:lang w:val="en-US" w:eastAsia="zh-CN" w:bidi="ar-SA"/>
              </w:rPr>
            </w:pPr>
            <w:r>
              <w:rPr>
                <w:rFonts w:ascii="Times New Roman" w:hAnsi="Times New Roman" w:eastAsia="仿宋_GB2312" w:cs="Times New Roman"/>
                <w:kern w:val="0"/>
                <w:sz w:val="21"/>
                <w:szCs w:val="22"/>
                <w:lang w:val="en-US" w:eastAsia="zh-CN" w:bidi="ar-SA"/>
              </w:rPr>
              <w:t>经计算，15min内初期雨水量水量约为</w:t>
            </w:r>
            <w:r>
              <w:rPr>
                <w:rFonts w:hint="eastAsia" w:eastAsia="仿宋_GB2312" w:cs="Times New Roman"/>
                <w:kern w:val="0"/>
                <w:sz w:val="21"/>
                <w:szCs w:val="22"/>
                <w:lang w:val="en-US" w:eastAsia="zh-CN" w:bidi="ar-SA"/>
              </w:rPr>
              <w:t>146</w:t>
            </w:r>
            <w:r>
              <w:rPr>
                <w:rFonts w:ascii="Times New Roman" w:hAnsi="Times New Roman" w:eastAsia="仿宋_GB2312" w:cs="Times New Roman"/>
                <w:kern w:val="0"/>
                <w:sz w:val="21"/>
                <w:szCs w:val="22"/>
                <w:lang w:val="en-US" w:eastAsia="zh-CN" w:bidi="ar-SA"/>
              </w:rPr>
              <w:t>m</w:t>
            </w:r>
            <w:r>
              <w:rPr>
                <w:rFonts w:ascii="Times New Roman" w:hAnsi="Times New Roman" w:eastAsia="仿宋_GB2312" w:cs="Times New Roman"/>
                <w:kern w:val="0"/>
                <w:sz w:val="21"/>
                <w:szCs w:val="22"/>
                <w:vertAlign w:val="superscript"/>
                <w:lang w:val="en-US" w:eastAsia="zh-CN" w:bidi="ar-SA"/>
              </w:rPr>
              <w:t>3</w:t>
            </w:r>
            <w:r>
              <w:rPr>
                <w:rFonts w:ascii="Times New Roman" w:hAnsi="Times New Roman" w:eastAsia="仿宋_GB2312" w:cs="Times New Roman"/>
                <w:kern w:val="0"/>
                <w:sz w:val="21"/>
                <w:szCs w:val="22"/>
                <w:lang w:val="en-US" w:eastAsia="zh-CN" w:bidi="ar-SA"/>
              </w:rPr>
              <w:t>，每年按1</w:t>
            </w:r>
            <w:r>
              <w:rPr>
                <w:rFonts w:hint="eastAsia" w:eastAsia="仿宋_GB2312" w:cs="Times New Roman"/>
                <w:kern w:val="0"/>
                <w:sz w:val="21"/>
                <w:szCs w:val="22"/>
                <w:lang w:val="en-US" w:eastAsia="zh-CN" w:bidi="ar-SA"/>
              </w:rPr>
              <w:t>0</w:t>
            </w:r>
            <w:r>
              <w:rPr>
                <w:rFonts w:ascii="Times New Roman" w:hAnsi="Times New Roman" w:eastAsia="仿宋_GB2312" w:cs="Times New Roman"/>
                <w:kern w:val="0"/>
                <w:sz w:val="21"/>
                <w:szCs w:val="22"/>
                <w:lang w:val="en-US" w:eastAsia="zh-CN" w:bidi="ar-SA"/>
              </w:rPr>
              <w:t>次</w:t>
            </w:r>
            <w:r>
              <w:rPr>
                <w:rFonts w:hint="eastAsia" w:eastAsia="仿宋_GB2312" w:cs="Times New Roman"/>
                <w:kern w:val="0"/>
                <w:sz w:val="21"/>
                <w:szCs w:val="22"/>
                <w:lang w:val="en-US" w:eastAsia="zh-CN" w:bidi="ar-SA"/>
              </w:rPr>
              <w:t>暴雨</w:t>
            </w:r>
            <w:r>
              <w:rPr>
                <w:rFonts w:ascii="Times New Roman" w:hAnsi="Times New Roman" w:eastAsia="仿宋_GB2312" w:cs="Times New Roman"/>
                <w:kern w:val="0"/>
                <w:sz w:val="21"/>
                <w:szCs w:val="22"/>
                <w:lang w:val="en-US" w:eastAsia="zh-CN" w:bidi="ar-SA"/>
              </w:rPr>
              <w:t>计算，全年雨水产生量约为</w:t>
            </w:r>
            <w:r>
              <w:rPr>
                <w:rFonts w:hint="eastAsia" w:eastAsia="仿宋_GB2312" w:cs="Times New Roman"/>
                <w:kern w:val="0"/>
                <w:sz w:val="21"/>
                <w:szCs w:val="22"/>
                <w:lang w:val="en-US" w:eastAsia="zh-CN" w:bidi="ar-SA"/>
              </w:rPr>
              <w:t>1460</w:t>
            </w:r>
            <w:r>
              <w:rPr>
                <w:rFonts w:ascii="Times New Roman" w:hAnsi="Times New Roman" w:eastAsia="仿宋_GB2312" w:cs="Times New Roman"/>
                <w:kern w:val="0"/>
                <w:sz w:val="21"/>
                <w:szCs w:val="22"/>
                <w:lang w:val="en-US" w:eastAsia="zh-CN" w:bidi="ar-SA"/>
              </w:rPr>
              <w:t>m</w:t>
            </w:r>
            <w:r>
              <w:rPr>
                <w:rFonts w:ascii="Times New Roman" w:hAnsi="Times New Roman" w:eastAsia="仿宋_GB2312" w:cs="Times New Roman"/>
                <w:kern w:val="0"/>
                <w:sz w:val="21"/>
                <w:szCs w:val="22"/>
                <w:vertAlign w:val="superscript"/>
                <w:lang w:val="en-US" w:eastAsia="zh-CN" w:bidi="ar-SA"/>
              </w:rPr>
              <w:t>3</w:t>
            </w:r>
            <w:r>
              <w:rPr>
                <w:rFonts w:ascii="Times New Roman" w:hAnsi="Times New Roman" w:eastAsia="仿宋_GB2312" w:cs="Times New Roman"/>
                <w:kern w:val="0"/>
                <w:sz w:val="21"/>
                <w:szCs w:val="22"/>
                <w:lang w:val="en-US" w:eastAsia="zh-CN" w:bidi="ar-SA"/>
              </w:rPr>
              <w:t>/a，通过管道进入</w:t>
            </w:r>
            <w:r>
              <w:rPr>
                <w:rFonts w:hint="eastAsia" w:eastAsia="仿宋_GB2312" w:cs="Times New Roman"/>
                <w:color w:val="auto"/>
                <w:kern w:val="0"/>
                <w:sz w:val="21"/>
                <w:szCs w:val="22"/>
                <w:lang w:val="en-US" w:eastAsia="zh-CN" w:bidi="ar-SA"/>
              </w:rPr>
              <w:t>150</w:t>
            </w:r>
            <w:r>
              <w:rPr>
                <w:rFonts w:ascii="Times New Roman" w:hAnsi="Times New Roman" w:eastAsia="仿宋_GB2312" w:cs="Times New Roman"/>
                <w:color w:val="auto"/>
                <w:kern w:val="0"/>
                <w:sz w:val="21"/>
                <w:szCs w:val="22"/>
                <w:lang w:val="en-US" w:eastAsia="zh-CN" w:bidi="ar-SA"/>
              </w:rPr>
              <w:t>m</w:t>
            </w:r>
            <w:r>
              <w:rPr>
                <w:rFonts w:ascii="Times New Roman" w:hAnsi="Times New Roman" w:eastAsia="仿宋_GB2312" w:cs="Times New Roman"/>
                <w:kern w:val="0"/>
                <w:sz w:val="21"/>
                <w:szCs w:val="22"/>
                <w:vertAlign w:val="superscript"/>
                <w:lang w:val="en-US" w:eastAsia="zh-CN" w:bidi="ar-SA"/>
              </w:rPr>
              <w:t>3</w:t>
            </w:r>
            <w:r>
              <w:rPr>
                <w:rFonts w:ascii="Times New Roman" w:hAnsi="Times New Roman" w:eastAsia="仿宋_GB2312" w:cs="Times New Roman"/>
                <w:kern w:val="0"/>
                <w:sz w:val="21"/>
                <w:szCs w:val="22"/>
                <w:lang w:val="en-US" w:eastAsia="zh-CN" w:bidi="ar-SA"/>
              </w:rPr>
              <w:t>初期雨水收集池，收集的初期</w:t>
            </w:r>
            <w:r>
              <w:rPr>
                <w:rFonts w:hint="eastAsia" w:eastAsia="仿宋_GB2312" w:cs="Times New Roman"/>
                <w:kern w:val="0"/>
                <w:sz w:val="21"/>
                <w:szCs w:val="22"/>
                <w:lang w:val="en-US" w:eastAsia="zh-CN" w:bidi="ar-SA"/>
              </w:rPr>
              <w:t>回用于采卤不外排</w:t>
            </w:r>
            <w:r>
              <w:rPr>
                <w:rFonts w:ascii="Times New Roman" w:hAnsi="Times New Roman" w:eastAsia="仿宋_GB2312" w:cs="Times New Roman"/>
                <w:kern w:val="0"/>
                <w:sz w:val="21"/>
                <w:szCs w:val="22"/>
                <w:lang w:val="en-US" w:eastAsia="zh-CN" w:bidi="ar-SA"/>
              </w:rPr>
              <w:t>。</w:t>
            </w:r>
          </w:p>
          <w:p w14:paraId="788AA12D">
            <w:pPr>
              <w:keepNext w:val="0"/>
              <w:keepLines w:val="0"/>
              <w:pageBreakBefore w:val="0"/>
              <w:widowControl w:val="0"/>
              <w:kinsoku/>
              <w:wordWrap/>
              <w:overflowPunct/>
              <w:topLinePunct w:val="0"/>
              <w:autoSpaceDE w:val="0"/>
              <w:autoSpaceDN w:val="0"/>
              <w:bidi w:val="0"/>
              <w:adjustRightInd w:val="0"/>
              <w:snapToGrid w:val="0"/>
              <w:spacing w:line="360" w:lineRule="auto"/>
              <w:ind w:firstLine="422" w:firstLineChars="200"/>
              <w:jc w:val="both"/>
              <w:textAlignment w:val="auto"/>
              <w:rPr>
                <w:rFonts w:hint="default" w:ascii="Times New Roman" w:hAnsi="Times New Roman" w:eastAsia="仿宋_GB2312" w:cs="Times New Roman"/>
                <w:b/>
                <w:bCs/>
                <w:color w:val="000000"/>
                <w:kern w:val="0"/>
                <w:lang w:val="en-US" w:eastAsia="zh-CN"/>
              </w:rPr>
            </w:pPr>
            <w:r>
              <w:rPr>
                <w:rFonts w:hint="eastAsia" w:eastAsia="仿宋_GB2312" w:cs="Times New Roman"/>
                <w:b/>
                <w:bCs/>
                <w:color w:val="000000"/>
                <w:kern w:val="0"/>
                <w:lang w:val="en-US" w:eastAsia="zh-CN"/>
              </w:rPr>
              <w:t>废水回用采卤可行性分析：</w:t>
            </w:r>
          </w:p>
          <w:p w14:paraId="68846E7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Times New Roman" w:hAnsi="Times New Roman" w:eastAsia="仿宋_GB2312" w:cs="Times New Roman"/>
                <w:kern w:val="0"/>
                <w:sz w:val="21"/>
                <w:szCs w:val="22"/>
                <w:lang w:val="en-US" w:eastAsia="zh-CN" w:bidi="ar-SA"/>
              </w:rPr>
            </w:pPr>
            <w:r>
              <w:rPr>
                <w:rFonts w:hint="eastAsia" w:ascii="Times New Roman" w:hAnsi="Times New Roman" w:eastAsia="仿宋_GB2312" w:cs="Times New Roman"/>
                <w:kern w:val="0"/>
                <w:sz w:val="21"/>
                <w:szCs w:val="22"/>
                <w:lang w:val="en-US" w:eastAsia="zh-CN" w:bidi="ar-SA"/>
              </w:rPr>
              <w:t>根据</w:t>
            </w:r>
            <w:r>
              <w:rPr>
                <w:rFonts w:ascii="Times New Roman" w:hAnsi="Times New Roman" w:eastAsia="仿宋_GB2312" w:cs="Times New Roman"/>
                <w:kern w:val="0"/>
                <w:sz w:val="21"/>
                <w:szCs w:val="22"/>
                <w:lang w:val="en-US" w:eastAsia="zh-CN" w:bidi="ar-SA"/>
              </w:rPr>
              <w:t>《化工矿山钻井水溶法采矿设计规范》（HG/T 22815-2016）中指出，“……溶剂宜利用加工厂的废水……”，明确了水溶法采矿溶矿宜利用盐化工企业加工厂废水进行回注溶矿。根据调查，盐化工行业生产加工中的含盐废水注井循环利用技术已广泛得到成功应用，如</w:t>
            </w:r>
            <w:r>
              <w:rPr>
                <w:rFonts w:hint="eastAsia" w:ascii="Times New Roman" w:hAnsi="Times New Roman" w:eastAsia="仿宋_GB2312" w:cs="Times New Roman"/>
                <w:kern w:val="0"/>
                <w:sz w:val="21"/>
                <w:szCs w:val="22"/>
                <w:lang w:val="en-US" w:eastAsia="zh-CN" w:bidi="ar-SA"/>
              </w:rPr>
              <w:t>《</w:t>
            </w:r>
            <w:r>
              <w:rPr>
                <w:rFonts w:ascii="Times New Roman" w:hAnsi="Times New Roman" w:eastAsia="仿宋_GB2312" w:cs="Times New Roman"/>
                <w:kern w:val="0"/>
                <w:sz w:val="21"/>
                <w:szCs w:val="22"/>
                <w:lang w:val="en-US" w:eastAsia="zh-CN" w:bidi="ar-SA"/>
              </w:rPr>
              <w:t>四川久大蓬莱盐化有限公司卤水净化迁建技改项目</w:t>
            </w:r>
            <w:r>
              <w:rPr>
                <w:rFonts w:hint="eastAsia" w:ascii="Times New Roman" w:hAnsi="Times New Roman" w:eastAsia="仿宋_GB2312" w:cs="Times New Roman"/>
                <w:kern w:val="0"/>
                <w:sz w:val="21"/>
                <w:szCs w:val="22"/>
                <w:lang w:val="en-US" w:eastAsia="zh-CN" w:bidi="ar-SA"/>
              </w:rPr>
              <w:t>》</w:t>
            </w:r>
            <w:r>
              <w:rPr>
                <w:rFonts w:ascii="Times New Roman" w:hAnsi="Times New Roman" w:eastAsia="仿宋_GB2312" w:cs="Times New Roman"/>
                <w:kern w:val="0"/>
                <w:sz w:val="21"/>
                <w:szCs w:val="22"/>
                <w:lang w:val="en-US" w:eastAsia="zh-CN" w:bidi="ar-SA"/>
              </w:rPr>
              <w:t>利用卤水生产氯化钠、溴、碘等化工产品，其生产废水全部用于回注对接井溶矿，消耗卤水总量约215万立方米，全部用储池收集、管道输送回注矿山对接井采卤。溶矿采卤需用水总量约225万立方米/年，还需补充淡水45-50 万立方米/年，该公司已正常运行超过十年，其利用企业加工废水回注溶矿措施可行。</w:t>
            </w:r>
          </w:p>
          <w:p w14:paraId="60A8691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仿宋_GB2312" w:cs="Times New Roman"/>
                <w:kern w:val="0"/>
                <w:sz w:val="21"/>
                <w:szCs w:val="22"/>
                <w:lang w:val="en-US" w:eastAsia="zh-CN" w:bidi="ar-SA"/>
              </w:rPr>
            </w:pPr>
            <w:r>
              <w:rPr>
                <w:rFonts w:hint="eastAsia" w:ascii="Times New Roman" w:hAnsi="Times New Roman" w:eastAsia="仿宋_GB2312" w:cs="Times New Roman"/>
                <w:kern w:val="0"/>
                <w:sz w:val="21"/>
                <w:szCs w:val="22"/>
                <w:lang w:val="en-US" w:eastAsia="zh-CN" w:bidi="ar-SA"/>
              </w:rPr>
              <w:t>《</w:t>
            </w:r>
            <w:r>
              <w:rPr>
                <w:rFonts w:ascii="Times New Roman" w:hAnsi="Times New Roman" w:eastAsia="仿宋_GB2312" w:cs="Times New Roman"/>
                <w:kern w:val="0"/>
                <w:sz w:val="21"/>
                <w:szCs w:val="22"/>
                <w:lang w:val="en-US" w:eastAsia="zh-CN" w:bidi="ar-SA"/>
              </w:rPr>
              <w:t>四川恒成钾盐科技有限公司富钾岩盐制 6 万吨/年氯化钾及卤水综合利用（一期）项目</w:t>
            </w:r>
            <w:r>
              <w:rPr>
                <w:rFonts w:hint="eastAsia" w:ascii="Times New Roman" w:hAnsi="Times New Roman" w:eastAsia="仿宋_GB2312" w:cs="Times New Roman"/>
                <w:kern w:val="0"/>
                <w:sz w:val="21"/>
                <w:szCs w:val="22"/>
                <w:lang w:val="en-US" w:eastAsia="zh-CN" w:bidi="ar-SA"/>
              </w:rPr>
              <w:t>》</w:t>
            </w:r>
            <w:r>
              <w:rPr>
                <w:rFonts w:ascii="Times New Roman" w:hAnsi="Times New Roman" w:eastAsia="仿宋_GB2312" w:cs="Times New Roman"/>
                <w:kern w:val="0"/>
                <w:sz w:val="21"/>
                <w:szCs w:val="22"/>
                <w:lang w:val="en-US" w:eastAsia="zh-CN" w:bidi="ar-SA"/>
              </w:rPr>
              <w:t>利用卤水生产</w:t>
            </w:r>
            <w:r>
              <w:rPr>
                <w:rFonts w:hint="eastAsia" w:ascii="Times New Roman" w:hAnsi="Times New Roman" w:eastAsia="仿宋_GB2312" w:cs="Times New Roman"/>
                <w:kern w:val="0"/>
                <w:sz w:val="21"/>
                <w:szCs w:val="22"/>
                <w:lang w:val="en-US" w:eastAsia="zh-CN" w:bidi="ar-SA"/>
              </w:rPr>
              <w:t>后产生的含盐废水同样全部用于回注</w:t>
            </w:r>
            <w:r>
              <w:rPr>
                <w:rFonts w:ascii="Times New Roman" w:hAnsi="Times New Roman" w:eastAsia="仿宋_GB2312" w:cs="Times New Roman"/>
                <w:kern w:val="0"/>
                <w:sz w:val="21"/>
                <w:szCs w:val="22"/>
                <w:lang w:val="en-US" w:eastAsia="zh-CN" w:bidi="ar-SA"/>
              </w:rPr>
              <w:t>对接井溶矿</w:t>
            </w:r>
            <w:r>
              <w:rPr>
                <w:rFonts w:hint="eastAsia" w:ascii="Times New Roman" w:hAnsi="Times New Roman" w:eastAsia="仿宋_GB2312" w:cs="Times New Roman"/>
                <w:kern w:val="0"/>
                <w:sz w:val="21"/>
                <w:szCs w:val="22"/>
                <w:lang w:val="en-US" w:eastAsia="zh-CN" w:bidi="ar-SA"/>
              </w:rPr>
              <w:t>。</w:t>
            </w:r>
            <w:r>
              <w:rPr>
                <w:rFonts w:ascii="Times New Roman" w:hAnsi="Times New Roman" w:eastAsia="仿宋_GB2312" w:cs="Times New Roman"/>
                <w:kern w:val="0"/>
                <w:sz w:val="21"/>
                <w:szCs w:val="22"/>
                <w:lang w:val="en-US" w:eastAsia="zh-CN" w:bidi="ar-SA"/>
              </w:rPr>
              <w:t>该公司已正常运行超过</w:t>
            </w:r>
            <w:r>
              <w:rPr>
                <w:rFonts w:hint="eastAsia" w:ascii="Times New Roman" w:hAnsi="Times New Roman" w:eastAsia="仿宋_GB2312" w:cs="Times New Roman"/>
                <w:kern w:val="0"/>
                <w:sz w:val="21"/>
                <w:szCs w:val="22"/>
                <w:lang w:val="en-US" w:eastAsia="zh-CN" w:bidi="ar-SA"/>
              </w:rPr>
              <w:t>五</w:t>
            </w:r>
            <w:r>
              <w:rPr>
                <w:rFonts w:ascii="Times New Roman" w:hAnsi="Times New Roman" w:eastAsia="仿宋_GB2312" w:cs="Times New Roman"/>
                <w:kern w:val="0"/>
                <w:sz w:val="21"/>
                <w:szCs w:val="22"/>
                <w:lang w:val="en-US" w:eastAsia="zh-CN" w:bidi="ar-SA"/>
              </w:rPr>
              <w:t>年，其利用企业加工废水回注溶矿措施可行。</w:t>
            </w:r>
          </w:p>
          <w:p w14:paraId="74ABA69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仿宋_GB2312" w:cs="Times New Roman"/>
                <w:kern w:val="0"/>
                <w:sz w:val="21"/>
                <w:szCs w:val="22"/>
                <w:lang w:val="en-US" w:eastAsia="zh-CN" w:bidi="ar-SA"/>
              </w:rPr>
            </w:pPr>
            <w:r>
              <w:rPr>
                <w:rFonts w:hint="eastAsia" w:ascii="Times New Roman" w:hAnsi="Times New Roman" w:eastAsia="仿宋_GB2312" w:cs="Times New Roman"/>
                <w:kern w:val="0"/>
                <w:sz w:val="21"/>
                <w:szCs w:val="22"/>
                <w:lang w:val="en-US" w:eastAsia="zh-CN" w:bidi="ar-SA"/>
              </w:rPr>
              <w:t>本项目生产废水主要为平板膜和超滤膜反冲洗废水、平板膜和超滤膜化学清洗废水、膜组件化学清洗液定期排放废水、尾气吸收塔废水及初期雨水等；其中平板膜和超滤膜化学清洗废水、膜组件化学清洗液定期排放废水及吸收塔废水经含HCl中和后去除酸性物质后，与其他废水水质中的主要成分（</w:t>
            </w:r>
            <w:r>
              <w:rPr>
                <w:rFonts w:hint="default" w:ascii="Times New Roman" w:hAnsi="Times New Roman" w:eastAsia="仿宋_GB2312" w:cs="Times New Roman"/>
                <w:kern w:val="0"/>
                <w:sz w:val="21"/>
                <w:szCs w:val="22"/>
                <w:lang w:val="en-US" w:eastAsia="zh-CN" w:bidi="ar-SA"/>
              </w:rPr>
              <w:t>盐分、杂质、以及少量的Ca²⁺、Mg²⁺、SO₄²⁻等离子</w:t>
            </w:r>
            <w:r>
              <w:rPr>
                <w:rFonts w:hint="eastAsia" w:ascii="Times New Roman" w:hAnsi="Times New Roman" w:eastAsia="仿宋_GB2312" w:cs="Times New Roman"/>
                <w:kern w:val="0"/>
                <w:sz w:val="21"/>
                <w:szCs w:val="22"/>
                <w:lang w:val="en-US" w:eastAsia="zh-CN" w:bidi="ar-SA"/>
              </w:rPr>
              <w:t>。由于制盐过程本身就是将卤水中的盐提取出来，这些废水并没有增加额外的污染物质）同卤矿地下水的天然成分高度一致，因而本项目生产废水回用于矿区采卤是可行的。</w:t>
            </w:r>
          </w:p>
          <w:p w14:paraId="292A6280">
            <w:pPr>
              <w:keepNext w:val="0"/>
              <w:keepLines w:val="0"/>
              <w:pageBreakBefore w:val="0"/>
              <w:widowControl w:val="0"/>
              <w:kinsoku/>
              <w:wordWrap/>
              <w:overflowPunct/>
              <w:topLinePunct w:val="0"/>
              <w:autoSpaceDE w:val="0"/>
              <w:autoSpaceDN w:val="0"/>
              <w:bidi w:val="0"/>
              <w:adjustRightInd w:val="0"/>
              <w:snapToGrid w:val="0"/>
              <w:spacing w:line="360" w:lineRule="auto"/>
              <w:ind w:firstLine="422" w:firstLineChars="200"/>
              <w:jc w:val="both"/>
              <w:textAlignment w:val="auto"/>
              <w:rPr>
                <w:rFonts w:hint="default" w:ascii="Times New Roman" w:hAnsi="Times New Roman" w:eastAsia="仿宋_GB2312" w:cs="Times New Roman"/>
                <w:b/>
                <w:bCs/>
                <w:color w:val="000000"/>
                <w:kern w:val="0"/>
                <w:lang w:val="en-US" w:eastAsia="zh-CN"/>
              </w:rPr>
            </w:pPr>
            <w:r>
              <w:rPr>
                <w:rFonts w:hint="eastAsia" w:ascii="Times New Roman" w:hAnsi="Times New Roman" w:eastAsia="仿宋_GB2312" w:cs="Times New Roman"/>
                <w:b/>
                <w:bCs/>
                <w:color w:val="000000"/>
                <w:kern w:val="0"/>
                <w:lang w:val="en-US" w:eastAsia="zh-CN"/>
              </w:rPr>
              <w:t>一期、二期卤水盐硝车间水的去向及合规合理性分析：</w:t>
            </w:r>
          </w:p>
          <w:p w14:paraId="7D74705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仿宋_GB2312" w:cs="Times New Roman"/>
                <w:kern w:val="0"/>
                <w:sz w:val="21"/>
                <w:szCs w:val="22"/>
                <w:lang w:val="en-US" w:eastAsia="zh-CN" w:bidi="ar-SA"/>
              </w:rPr>
            </w:pPr>
            <w:r>
              <w:rPr>
                <w:rFonts w:hint="eastAsia" w:ascii="Times New Roman" w:hAnsi="Times New Roman" w:eastAsia="仿宋_GB2312" w:cs="Times New Roman"/>
                <w:kern w:val="0"/>
                <w:sz w:val="21"/>
                <w:szCs w:val="22"/>
                <w:lang w:val="en-US" w:eastAsia="zh-CN" w:bidi="ar-SA"/>
              </w:rPr>
              <w:t>一期、二期卤水盐硝制备工艺一致，主要废水为：含盐冷凝水、循环冷却水排水、车间冲洗废水、（湿盐烘干尾气、湿硝烘干尾气）喷淋塔废水，其中含盐冷凝水、循环冷却水排水，喷淋塔废水主要成分为</w:t>
            </w:r>
            <w:r>
              <w:rPr>
                <w:rFonts w:hint="default" w:ascii="Times New Roman" w:hAnsi="Times New Roman" w:eastAsia="仿宋_GB2312" w:cs="Times New Roman"/>
                <w:kern w:val="0"/>
                <w:sz w:val="21"/>
                <w:szCs w:val="22"/>
                <w:lang w:val="en-US" w:eastAsia="zh-CN" w:bidi="ar-SA"/>
              </w:rPr>
              <w:t>盐分、杂质、以及少量的Ca²⁺、Mg²⁺、SO</w:t>
            </w:r>
            <w:r>
              <w:rPr>
                <w:rFonts w:hint="eastAsia" w:ascii="Times New Roman" w:hAnsi="Times New Roman" w:eastAsia="仿宋_GB2312" w:cs="Times New Roman"/>
                <w:kern w:val="0"/>
                <w:sz w:val="21"/>
                <w:szCs w:val="22"/>
                <w:vertAlign w:val="subscript"/>
                <w:lang w:val="en-US" w:eastAsia="zh-CN" w:bidi="ar-SA"/>
              </w:rPr>
              <w:t>4</w:t>
            </w:r>
            <w:r>
              <w:rPr>
                <w:rFonts w:hint="eastAsia" w:ascii="Times New Roman" w:hAnsi="Times New Roman" w:eastAsia="仿宋_GB2312" w:cs="Times New Roman"/>
                <w:kern w:val="0"/>
                <w:sz w:val="21"/>
                <w:szCs w:val="22"/>
                <w:vertAlign w:val="superscript"/>
                <w:lang w:val="en-US" w:eastAsia="zh-CN" w:bidi="ar-SA"/>
              </w:rPr>
              <w:t>2</w:t>
            </w:r>
            <w:r>
              <w:rPr>
                <w:rFonts w:hint="default" w:ascii="Times New Roman" w:hAnsi="Times New Roman" w:eastAsia="仿宋_GB2312" w:cs="Times New Roman"/>
                <w:kern w:val="0"/>
                <w:sz w:val="21"/>
                <w:szCs w:val="22"/>
                <w:lang w:val="en-US" w:eastAsia="zh-CN" w:bidi="ar-SA"/>
              </w:rPr>
              <w:t>⁻等离子</w:t>
            </w:r>
            <w:r>
              <w:rPr>
                <w:rFonts w:hint="eastAsia" w:ascii="Times New Roman" w:hAnsi="Times New Roman" w:eastAsia="仿宋_GB2312" w:cs="Times New Roman"/>
                <w:kern w:val="0"/>
                <w:sz w:val="21"/>
                <w:szCs w:val="22"/>
                <w:lang w:val="en-US" w:eastAsia="zh-CN" w:bidi="ar-SA"/>
              </w:rPr>
              <w:t>，这些废水并没有增加额外的污染物质，同卤矿地下水的天然成分高度一致。车间冲洗水中COD及SS含量略大于其他生产废水，所有废水回卤采矿前先通过管道进入泛水池调节，调节后大幅降低COD和SS浓度，送回矿井注井溶矿，不会影响卤水的质量。</w:t>
            </w:r>
          </w:p>
          <w:p w14:paraId="03869AE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仿宋_GB2312" w:cs="Times New Roman"/>
                <w:kern w:val="0"/>
                <w:sz w:val="21"/>
                <w:szCs w:val="22"/>
                <w:lang w:val="en-US" w:eastAsia="zh-CN" w:bidi="ar-SA"/>
              </w:rPr>
            </w:pPr>
            <w:r>
              <w:rPr>
                <w:rFonts w:hint="eastAsia" w:ascii="Times New Roman" w:hAnsi="Times New Roman" w:eastAsia="仿宋_GB2312" w:cs="Times New Roman"/>
                <w:kern w:val="0"/>
                <w:sz w:val="21"/>
                <w:szCs w:val="22"/>
                <w:lang w:val="en-US" w:eastAsia="zh-CN" w:bidi="ar-SA"/>
              </w:rPr>
              <w:t>结合同类型项目《陕西北元化工集团股份有限公司100万吨/年中颗粒真空制盐项目》、《江西九二盐业有限责任公司600千吨/年真空制盐技改项目》、《肥城光明岩盐有限公司肥城光明岩盐180万吨/年六效真空制盐项目》中生产废水处理方法及去向（回卤采矿）。利用废水中的盐分（如硫酸钠、碳酸钙）继续溶解地下盐矿，减少了矿井中杂质盐的累积，提高了卤水的盐分浓度，从而提升了提盐效率。同时废水回卤可以直接替代一部分淡水用于采卤，节约了大量淡水资源；通过回注废水，减少了向地表水体排放的压力，实现了“零排放”的目标。</w:t>
            </w:r>
          </w:p>
          <w:p w14:paraId="7247BD6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仿宋_GB2312" w:cs="Times New Roman"/>
                <w:kern w:val="0"/>
                <w:sz w:val="21"/>
                <w:szCs w:val="22"/>
                <w:lang w:val="en-US" w:eastAsia="zh-CN" w:bidi="ar-SA"/>
              </w:rPr>
            </w:pPr>
            <w:r>
              <w:rPr>
                <w:rFonts w:hint="eastAsia" w:ascii="Times New Roman" w:hAnsi="Times New Roman" w:eastAsia="仿宋_GB2312" w:cs="Times New Roman"/>
                <w:kern w:val="0"/>
                <w:sz w:val="21"/>
                <w:szCs w:val="22"/>
                <w:lang w:val="en-US" w:eastAsia="zh-CN" w:bidi="ar-SA"/>
              </w:rPr>
              <w:t>废水回卤（井矿）采矿是注入地下盐矿井下进行溶解，技术上是可行且资源利用率高的工艺。因此一期、二期卤水盐硝车间生产废水回卤矿可行。</w:t>
            </w:r>
          </w:p>
          <w:p w14:paraId="11D8B2D7">
            <w:pPr>
              <w:autoSpaceDE w:val="0"/>
              <w:autoSpaceDN w:val="0"/>
              <w:adjustRightInd w:val="0"/>
              <w:snapToGrid w:val="0"/>
              <w:jc w:val="center"/>
              <w:rPr>
                <w:rFonts w:hint="default" w:ascii="Times New Roman" w:hAnsi="Times New Roman" w:eastAsia="仿宋_GB2312" w:cs="Times New Roman"/>
                <w:b/>
                <w:bCs/>
                <w:color w:val="000000"/>
                <w:kern w:val="0"/>
              </w:rPr>
            </w:pPr>
            <w:r>
              <w:rPr>
                <w:rFonts w:hint="default" w:ascii="Times New Roman" w:hAnsi="Times New Roman" w:eastAsia="仿宋_GB2312" w:cs="Times New Roman"/>
                <w:b/>
                <w:bCs/>
                <w:color w:val="000000"/>
                <w:kern w:val="0"/>
              </w:rPr>
              <w:t>表4-</w:t>
            </w:r>
            <w:r>
              <w:rPr>
                <w:rFonts w:hint="eastAsia" w:ascii="Times New Roman" w:hAnsi="Times New Roman" w:eastAsia="仿宋_GB2312" w:cs="Times New Roman"/>
                <w:b/>
                <w:bCs/>
                <w:color w:val="000000"/>
                <w:kern w:val="0"/>
                <w:lang w:val="en-US" w:eastAsia="zh-CN"/>
              </w:rPr>
              <w:t>23</w:t>
            </w:r>
            <w:r>
              <w:rPr>
                <w:rFonts w:hint="default" w:ascii="Times New Roman" w:hAnsi="Times New Roman" w:eastAsia="仿宋_GB2312" w:cs="Times New Roman"/>
                <w:b/>
                <w:bCs/>
                <w:color w:val="000000"/>
                <w:kern w:val="0"/>
              </w:rPr>
              <w:t xml:space="preserve"> </w:t>
            </w:r>
            <w:r>
              <w:rPr>
                <w:rFonts w:hint="default" w:ascii="Times New Roman" w:hAnsi="Times New Roman" w:eastAsia="仿宋_GB2312" w:cs="Times New Roman"/>
                <w:b/>
                <w:bCs/>
                <w:color w:val="000000"/>
                <w:kern w:val="0"/>
                <w:lang w:val="en-US" w:eastAsia="zh-CN"/>
              </w:rPr>
              <w:t xml:space="preserve"> </w:t>
            </w:r>
            <w:r>
              <w:rPr>
                <w:rFonts w:hint="default" w:ascii="Times New Roman" w:hAnsi="Times New Roman" w:eastAsia="仿宋_GB2312" w:cs="Times New Roman"/>
                <w:b/>
                <w:bCs/>
                <w:color w:val="000000"/>
                <w:kern w:val="0"/>
              </w:rPr>
              <w:t>项目废水污染源源强核算结果及相关参数一览表</w:t>
            </w:r>
          </w:p>
          <w:tbl>
            <w:tblPr>
              <w:tblStyle w:val="31"/>
              <w:tblW w:w="485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77"/>
              <w:gridCol w:w="781"/>
              <w:gridCol w:w="716"/>
              <w:gridCol w:w="771"/>
              <w:gridCol w:w="1022"/>
              <w:gridCol w:w="1022"/>
              <w:gridCol w:w="391"/>
              <w:gridCol w:w="452"/>
              <w:gridCol w:w="764"/>
              <w:gridCol w:w="688"/>
              <w:gridCol w:w="722"/>
              <w:gridCol w:w="548"/>
            </w:tblGrid>
            <w:tr w14:paraId="4F5E82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28" w:type="pct"/>
                  <w:vMerge w:val="restart"/>
                  <w:tcBorders>
                    <w:tl2br w:val="nil"/>
                    <w:tr2bl w:val="nil"/>
                  </w:tcBorders>
                  <w:noWrap w:val="0"/>
                  <w:vAlign w:val="center"/>
                </w:tcPr>
                <w:p w14:paraId="16F3F7B6">
                  <w:pPr>
                    <w:topLinePunct/>
                    <w:adjustRightInd w:val="0"/>
                    <w:jc w:val="center"/>
                    <w:rPr>
                      <w:rFonts w:hint="default" w:ascii="Times New Roman" w:hAnsi="Times New Roman" w:eastAsia="仿宋_GB2312" w:cs="Times New Roman"/>
                      <w:b/>
                      <w:bCs/>
                      <w:color w:val="auto"/>
                      <w:sz w:val="21"/>
                      <w:szCs w:val="21"/>
                      <w:highlight w:val="none"/>
                    </w:rPr>
                  </w:pPr>
                  <w:r>
                    <w:rPr>
                      <w:rFonts w:hint="default" w:ascii="Times New Roman" w:hAnsi="Times New Roman" w:eastAsia="仿宋_GB2312" w:cs="Times New Roman"/>
                      <w:b/>
                      <w:bCs/>
                      <w:color w:val="auto"/>
                      <w:sz w:val="21"/>
                      <w:szCs w:val="21"/>
                      <w:highlight w:val="none"/>
                    </w:rPr>
                    <w:t>污染源</w:t>
                  </w:r>
                </w:p>
              </w:tc>
              <w:tc>
                <w:tcPr>
                  <w:tcW w:w="473" w:type="pct"/>
                  <w:vMerge w:val="restart"/>
                  <w:tcBorders>
                    <w:tl2br w:val="nil"/>
                    <w:tr2bl w:val="nil"/>
                  </w:tcBorders>
                  <w:noWrap w:val="0"/>
                  <w:vAlign w:val="center"/>
                </w:tcPr>
                <w:p w14:paraId="4EB88ADE">
                  <w:pPr>
                    <w:topLinePunct/>
                    <w:adjustRightInd w:val="0"/>
                    <w:jc w:val="center"/>
                    <w:rPr>
                      <w:rFonts w:hint="default" w:ascii="Times New Roman" w:hAnsi="Times New Roman" w:eastAsia="仿宋_GB2312" w:cs="Times New Roman"/>
                      <w:b/>
                      <w:bCs/>
                      <w:color w:val="auto"/>
                      <w:sz w:val="21"/>
                      <w:szCs w:val="21"/>
                      <w:highlight w:val="none"/>
                    </w:rPr>
                  </w:pPr>
                  <w:r>
                    <w:rPr>
                      <w:rFonts w:hint="default" w:ascii="Times New Roman" w:hAnsi="Times New Roman" w:eastAsia="仿宋_GB2312" w:cs="Times New Roman"/>
                      <w:b/>
                      <w:bCs/>
                      <w:color w:val="auto"/>
                      <w:sz w:val="21"/>
                      <w:szCs w:val="21"/>
                      <w:highlight w:val="none"/>
                    </w:rPr>
                    <w:t>废水量（m</w:t>
                  </w:r>
                  <w:r>
                    <w:rPr>
                      <w:rFonts w:hint="default" w:ascii="Times New Roman" w:hAnsi="Times New Roman" w:eastAsia="仿宋_GB2312" w:cs="Times New Roman"/>
                      <w:b/>
                      <w:bCs/>
                      <w:color w:val="auto"/>
                      <w:sz w:val="21"/>
                      <w:szCs w:val="21"/>
                      <w:highlight w:val="none"/>
                      <w:vertAlign w:val="superscript"/>
                    </w:rPr>
                    <w:t>3</w:t>
                  </w:r>
                  <w:r>
                    <w:rPr>
                      <w:rFonts w:hint="default" w:ascii="Times New Roman" w:hAnsi="Times New Roman" w:eastAsia="仿宋_GB2312" w:cs="Times New Roman"/>
                      <w:b/>
                      <w:bCs/>
                      <w:color w:val="auto"/>
                      <w:sz w:val="21"/>
                      <w:szCs w:val="21"/>
                      <w:highlight w:val="none"/>
                    </w:rPr>
                    <w:t>/a）</w:t>
                  </w:r>
                </w:p>
              </w:tc>
              <w:tc>
                <w:tcPr>
                  <w:tcW w:w="433" w:type="pct"/>
                  <w:vMerge w:val="restart"/>
                  <w:tcBorders>
                    <w:tl2br w:val="nil"/>
                    <w:tr2bl w:val="nil"/>
                  </w:tcBorders>
                  <w:noWrap w:val="0"/>
                  <w:vAlign w:val="center"/>
                </w:tcPr>
                <w:p w14:paraId="7D325086">
                  <w:pPr>
                    <w:topLinePunct/>
                    <w:adjustRightInd w:val="0"/>
                    <w:jc w:val="center"/>
                    <w:rPr>
                      <w:rFonts w:hint="default" w:ascii="Times New Roman" w:hAnsi="Times New Roman" w:eastAsia="仿宋_GB2312" w:cs="Times New Roman"/>
                      <w:b/>
                      <w:bCs/>
                      <w:color w:val="auto"/>
                      <w:sz w:val="21"/>
                      <w:szCs w:val="21"/>
                      <w:highlight w:val="none"/>
                    </w:rPr>
                  </w:pPr>
                  <w:r>
                    <w:rPr>
                      <w:rFonts w:hint="default" w:ascii="Times New Roman" w:hAnsi="Times New Roman" w:eastAsia="仿宋_GB2312" w:cs="Times New Roman"/>
                      <w:b/>
                      <w:bCs/>
                      <w:color w:val="auto"/>
                      <w:sz w:val="21"/>
                      <w:szCs w:val="21"/>
                      <w:highlight w:val="none"/>
                    </w:rPr>
                    <w:t>污染物名称</w:t>
                  </w:r>
                </w:p>
              </w:tc>
              <w:tc>
                <w:tcPr>
                  <w:tcW w:w="1705" w:type="pct"/>
                  <w:gridSpan w:val="3"/>
                  <w:tcBorders>
                    <w:tl2br w:val="nil"/>
                    <w:tr2bl w:val="nil"/>
                  </w:tcBorders>
                  <w:noWrap w:val="0"/>
                  <w:vAlign w:val="center"/>
                </w:tcPr>
                <w:p w14:paraId="6B6C9C59">
                  <w:pPr>
                    <w:topLinePunct/>
                    <w:adjustRightInd w:val="0"/>
                    <w:jc w:val="center"/>
                    <w:rPr>
                      <w:rFonts w:hint="default" w:ascii="Times New Roman" w:hAnsi="Times New Roman" w:eastAsia="仿宋_GB2312" w:cs="Times New Roman"/>
                      <w:b/>
                      <w:bCs/>
                      <w:color w:val="auto"/>
                      <w:sz w:val="21"/>
                      <w:szCs w:val="21"/>
                      <w:highlight w:val="none"/>
                    </w:rPr>
                  </w:pPr>
                  <w:r>
                    <w:rPr>
                      <w:rFonts w:hint="default" w:ascii="Times New Roman" w:hAnsi="Times New Roman" w:eastAsia="仿宋_GB2312" w:cs="Times New Roman"/>
                      <w:b/>
                      <w:bCs/>
                      <w:color w:val="auto"/>
                      <w:sz w:val="21"/>
                      <w:szCs w:val="21"/>
                      <w:highlight w:val="none"/>
                    </w:rPr>
                    <w:t>污染物产生</w:t>
                  </w:r>
                </w:p>
              </w:tc>
              <w:tc>
                <w:tcPr>
                  <w:tcW w:w="236" w:type="pct"/>
                  <w:vMerge w:val="restart"/>
                  <w:tcBorders>
                    <w:tl2br w:val="nil"/>
                    <w:tr2bl w:val="nil"/>
                  </w:tcBorders>
                  <w:noWrap w:val="0"/>
                  <w:vAlign w:val="center"/>
                </w:tcPr>
                <w:p w14:paraId="7FACEB52">
                  <w:pPr>
                    <w:topLinePunct/>
                    <w:adjustRightInd w:val="0"/>
                    <w:jc w:val="center"/>
                    <w:rPr>
                      <w:rFonts w:hint="default" w:ascii="Times New Roman" w:hAnsi="Times New Roman" w:eastAsia="仿宋_GB2312" w:cs="Times New Roman"/>
                      <w:b/>
                      <w:bCs/>
                      <w:color w:val="auto"/>
                      <w:sz w:val="21"/>
                      <w:szCs w:val="21"/>
                      <w:highlight w:val="none"/>
                    </w:rPr>
                  </w:pPr>
                  <w:r>
                    <w:rPr>
                      <w:rFonts w:hint="default" w:ascii="Times New Roman" w:hAnsi="Times New Roman" w:eastAsia="仿宋_GB2312" w:cs="Times New Roman"/>
                      <w:b/>
                      <w:bCs/>
                      <w:color w:val="auto"/>
                      <w:sz w:val="21"/>
                      <w:szCs w:val="21"/>
                      <w:highlight w:val="none"/>
                    </w:rPr>
                    <w:t>预处理方法</w:t>
                  </w:r>
                </w:p>
              </w:tc>
              <w:tc>
                <w:tcPr>
                  <w:tcW w:w="273" w:type="pct"/>
                  <w:vMerge w:val="restart"/>
                  <w:tcBorders>
                    <w:tl2br w:val="nil"/>
                    <w:tr2bl w:val="nil"/>
                  </w:tcBorders>
                  <w:noWrap w:val="0"/>
                  <w:vAlign w:val="center"/>
                </w:tcPr>
                <w:p w14:paraId="759B0F31">
                  <w:pPr>
                    <w:topLinePunct/>
                    <w:adjustRightInd w:val="0"/>
                    <w:jc w:val="center"/>
                    <w:rPr>
                      <w:rFonts w:hint="default" w:ascii="Times New Roman" w:hAnsi="Times New Roman" w:eastAsia="仿宋_GB2312" w:cs="Times New Roman"/>
                      <w:b/>
                      <w:bCs/>
                      <w:color w:val="auto"/>
                      <w:sz w:val="21"/>
                      <w:szCs w:val="21"/>
                      <w:highlight w:val="none"/>
                      <w:lang w:val="en-US" w:eastAsia="zh-CN"/>
                    </w:rPr>
                  </w:pPr>
                  <w:r>
                    <w:rPr>
                      <w:rFonts w:hint="default" w:ascii="Times New Roman" w:hAnsi="Times New Roman" w:eastAsia="仿宋_GB2312" w:cs="Times New Roman"/>
                      <w:b/>
                      <w:bCs/>
                      <w:color w:val="auto"/>
                      <w:sz w:val="21"/>
                      <w:szCs w:val="21"/>
                      <w:highlight w:val="none"/>
                      <w:lang w:val="en-US" w:eastAsia="zh-CN"/>
                    </w:rPr>
                    <w:t>处理效率%</w:t>
                  </w:r>
                </w:p>
              </w:tc>
              <w:tc>
                <w:tcPr>
                  <w:tcW w:w="462" w:type="pct"/>
                  <w:vMerge w:val="restart"/>
                  <w:tcBorders>
                    <w:tl2br w:val="nil"/>
                    <w:tr2bl w:val="nil"/>
                  </w:tcBorders>
                  <w:noWrap w:val="0"/>
                  <w:vAlign w:val="center"/>
                </w:tcPr>
                <w:p w14:paraId="1283E2EE">
                  <w:pPr>
                    <w:topLinePunct/>
                    <w:adjustRightInd w:val="0"/>
                    <w:jc w:val="center"/>
                    <w:rPr>
                      <w:rFonts w:hint="default" w:ascii="Times New Roman" w:hAnsi="Times New Roman" w:eastAsia="仿宋_GB2312" w:cs="Times New Roman"/>
                      <w:b/>
                      <w:bCs/>
                      <w:color w:val="auto"/>
                      <w:sz w:val="21"/>
                      <w:szCs w:val="21"/>
                      <w:highlight w:val="none"/>
                    </w:rPr>
                  </w:pPr>
                  <w:r>
                    <w:rPr>
                      <w:rFonts w:hint="default" w:ascii="Times New Roman" w:hAnsi="Times New Roman" w:eastAsia="仿宋_GB2312" w:cs="Times New Roman"/>
                      <w:b/>
                      <w:bCs/>
                      <w:color w:val="auto"/>
                      <w:sz w:val="21"/>
                      <w:szCs w:val="21"/>
                      <w:highlight w:val="none"/>
                    </w:rPr>
                    <w:t>污染物名称</w:t>
                  </w:r>
                </w:p>
              </w:tc>
              <w:tc>
                <w:tcPr>
                  <w:tcW w:w="416" w:type="pct"/>
                  <w:vMerge w:val="restart"/>
                  <w:tcBorders>
                    <w:tl2br w:val="nil"/>
                    <w:tr2bl w:val="nil"/>
                  </w:tcBorders>
                  <w:noWrap w:val="0"/>
                  <w:vAlign w:val="center"/>
                </w:tcPr>
                <w:p w14:paraId="39A2902E">
                  <w:pPr>
                    <w:topLinePunct/>
                    <w:adjustRightInd w:val="0"/>
                    <w:jc w:val="center"/>
                    <w:rPr>
                      <w:rFonts w:hint="default" w:ascii="Times New Roman" w:hAnsi="Times New Roman" w:eastAsia="仿宋_GB2312" w:cs="Times New Roman"/>
                      <w:b/>
                      <w:bCs/>
                      <w:color w:val="auto"/>
                      <w:sz w:val="21"/>
                      <w:szCs w:val="21"/>
                      <w:highlight w:val="none"/>
                    </w:rPr>
                  </w:pPr>
                  <w:r>
                    <w:rPr>
                      <w:rFonts w:hint="eastAsia" w:ascii="Times New Roman" w:hAnsi="Times New Roman" w:eastAsia="仿宋_GB2312" w:cs="Times New Roman"/>
                      <w:b/>
                      <w:bCs/>
                      <w:color w:val="auto"/>
                      <w:sz w:val="21"/>
                      <w:szCs w:val="21"/>
                      <w:highlight w:val="none"/>
                      <w:lang w:val="en-US" w:eastAsia="zh-CN"/>
                    </w:rPr>
                    <w:t>排放</w:t>
                  </w:r>
                  <w:r>
                    <w:rPr>
                      <w:rFonts w:hint="default" w:ascii="Times New Roman" w:hAnsi="Times New Roman" w:eastAsia="仿宋_GB2312" w:cs="Times New Roman"/>
                      <w:b/>
                      <w:bCs/>
                      <w:color w:val="auto"/>
                      <w:sz w:val="21"/>
                      <w:szCs w:val="21"/>
                      <w:highlight w:val="none"/>
                    </w:rPr>
                    <w:t>浓度(mg/L)</w:t>
                  </w:r>
                </w:p>
              </w:tc>
              <w:tc>
                <w:tcPr>
                  <w:tcW w:w="437" w:type="pct"/>
                  <w:vMerge w:val="restart"/>
                  <w:tcBorders>
                    <w:tl2br w:val="nil"/>
                    <w:tr2bl w:val="nil"/>
                  </w:tcBorders>
                  <w:noWrap w:val="0"/>
                  <w:vAlign w:val="center"/>
                </w:tcPr>
                <w:p w14:paraId="7EEDB09D">
                  <w:pPr>
                    <w:topLinePunct/>
                    <w:adjustRightInd w:val="0"/>
                    <w:jc w:val="center"/>
                    <w:rPr>
                      <w:rFonts w:hint="default" w:ascii="Times New Roman" w:hAnsi="Times New Roman" w:eastAsia="仿宋_GB2312" w:cs="Times New Roman"/>
                      <w:b/>
                      <w:bCs/>
                      <w:color w:val="auto"/>
                      <w:sz w:val="21"/>
                      <w:szCs w:val="21"/>
                      <w:highlight w:val="none"/>
                    </w:rPr>
                  </w:pPr>
                  <w:r>
                    <w:rPr>
                      <w:rFonts w:hint="eastAsia" w:ascii="Times New Roman" w:hAnsi="Times New Roman" w:eastAsia="仿宋_GB2312" w:cs="Times New Roman"/>
                      <w:b/>
                      <w:bCs/>
                      <w:color w:val="auto"/>
                      <w:sz w:val="21"/>
                      <w:szCs w:val="21"/>
                      <w:highlight w:val="none"/>
                      <w:lang w:val="en-US" w:eastAsia="zh-CN"/>
                    </w:rPr>
                    <w:t>排放</w:t>
                  </w:r>
                  <w:r>
                    <w:rPr>
                      <w:rFonts w:hint="default" w:ascii="Times New Roman" w:hAnsi="Times New Roman" w:eastAsia="仿宋_GB2312" w:cs="Times New Roman"/>
                      <w:b/>
                      <w:bCs/>
                      <w:color w:val="auto"/>
                      <w:sz w:val="21"/>
                      <w:szCs w:val="21"/>
                      <w:highlight w:val="none"/>
                    </w:rPr>
                    <w:t>量(t/a)</w:t>
                  </w:r>
                </w:p>
              </w:tc>
              <w:tc>
                <w:tcPr>
                  <w:tcW w:w="331" w:type="pct"/>
                  <w:vMerge w:val="restart"/>
                  <w:tcBorders>
                    <w:tl2br w:val="nil"/>
                    <w:tr2bl w:val="nil"/>
                  </w:tcBorders>
                  <w:noWrap w:val="0"/>
                  <w:vAlign w:val="center"/>
                </w:tcPr>
                <w:p w14:paraId="2D4FDA34">
                  <w:pPr>
                    <w:topLinePunct/>
                    <w:adjustRightInd w:val="0"/>
                    <w:jc w:val="center"/>
                    <w:rPr>
                      <w:rFonts w:hint="default" w:ascii="Times New Roman" w:hAnsi="Times New Roman" w:eastAsia="仿宋_GB2312" w:cs="Times New Roman"/>
                      <w:b/>
                      <w:bCs/>
                      <w:color w:val="auto"/>
                      <w:sz w:val="21"/>
                      <w:szCs w:val="21"/>
                      <w:highlight w:val="none"/>
                    </w:rPr>
                  </w:pPr>
                  <w:r>
                    <w:rPr>
                      <w:rFonts w:hint="default" w:ascii="Times New Roman" w:hAnsi="Times New Roman" w:eastAsia="仿宋_GB2312" w:cs="Times New Roman"/>
                      <w:b/>
                      <w:bCs/>
                      <w:color w:val="auto"/>
                      <w:sz w:val="21"/>
                      <w:szCs w:val="21"/>
                      <w:highlight w:val="none"/>
                    </w:rPr>
                    <w:t>排放方式及去向</w:t>
                  </w:r>
                </w:p>
              </w:tc>
            </w:tr>
            <w:tr w14:paraId="69DFDC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83" w:hRule="atLeast"/>
                <w:jc w:val="center"/>
              </w:trPr>
              <w:tc>
                <w:tcPr>
                  <w:tcW w:w="228" w:type="pct"/>
                  <w:vMerge w:val="continue"/>
                  <w:tcBorders>
                    <w:tl2br w:val="nil"/>
                    <w:tr2bl w:val="nil"/>
                  </w:tcBorders>
                  <w:noWrap w:val="0"/>
                  <w:vAlign w:val="center"/>
                </w:tcPr>
                <w:p w14:paraId="24CF73FE">
                  <w:pPr>
                    <w:topLinePunct/>
                    <w:adjustRightInd w:val="0"/>
                    <w:jc w:val="center"/>
                    <w:rPr>
                      <w:rFonts w:hint="default" w:ascii="Times New Roman" w:hAnsi="Times New Roman" w:eastAsia="仿宋_GB2312" w:cs="Times New Roman"/>
                      <w:color w:val="auto"/>
                      <w:sz w:val="21"/>
                      <w:szCs w:val="21"/>
                      <w:highlight w:val="none"/>
                    </w:rPr>
                  </w:pPr>
                </w:p>
              </w:tc>
              <w:tc>
                <w:tcPr>
                  <w:tcW w:w="473" w:type="pct"/>
                  <w:vMerge w:val="continue"/>
                  <w:tcBorders>
                    <w:tl2br w:val="nil"/>
                    <w:tr2bl w:val="nil"/>
                  </w:tcBorders>
                  <w:noWrap w:val="0"/>
                  <w:vAlign w:val="center"/>
                </w:tcPr>
                <w:p w14:paraId="41FA2B6B">
                  <w:pPr>
                    <w:topLinePunct/>
                    <w:adjustRightInd w:val="0"/>
                    <w:jc w:val="center"/>
                    <w:rPr>
                      <w:rFonts w:hint="default" w:ascii="Times New Roman" w:hAnsi="Times New Roman" w:eastAsia="仿宋_GB2312" w:cs="Times New Roman"/>
                      <w:color w:val="auto"/>
                      <w:sz w:val="21"/>
                      <w:szCs w:val="21"/>
                      <w:highlight w:val="none"/>
                    </w:rPr>
                  </w:pPr>
                </w:p>
              </w:tc>
              <w:tc>
                <w:tcPr>
                  <w:tcW w:w="433" w:type="pct"/>
                  <w:vMerge w:val="continue"/>
                  <w:tcBorders>
                    <w:tl2br w:val="nil"/>
                    <w:tr2bl w:val="nil"/>
                  </w:tcBorders>
                  <w:noWrap w:val="0"/>
                  <w:vAlign w:val="center"/>
                </w:tcPr>
                <w:p w14:paraId="735BC57F">
                  <w:pPr>
                    <w:topLinePunct/>
                    <w:adjustRightInd w:val="0"/>
                    <w:jc w:val="center"/>
                    <w:rPr>
                      <w:rFonts w:hint="default" w:ascii="Times New Roman" w:hAnsi="Times New Roman" w:eastAsia="仿宋_GB2312" w:cs="Times New Roman"/>
                      <w:color w:val="auto"/>
                      <w:sz w:val="21"/>
                      <w:szCs w:val="21"/>
                      <w:highlight w:val="none"/>
                    </w:rPr>
                  </w:pPr>
                </w:p>
              </w:tc>
              <w:tc>
                <w:tcPr>
                  <w:tcW w:w="467" w:type="pct"/>
                  <w:tcBorders>
                    <w:tl2br w:val="nil"/>
                    <w:tr2bl w:val="nil"/>
                  </w:tcBorders>
                  <w:noWrap w:val="0"/>
                  <w:vAlign w:val="center"/>
                </w:tcPr>
                <w:p w14:paraId="0286510F">
                  <w:pPr>
                    <w:topLinePunct/>
                    <w:adjustRightInd w:val="0"/>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b/>
                      <w:bCs/>
                      <w:i w:val="0"/>
                      <w:iCs w:val="0"/>
                      <w:snapToGrid w:val="0"/>
                      <w:color w:val="auto"/>
                      <w:kern w:val="0"/>
                      <w:sz w:val="21"/>
                      <w:szCs w:val="21"/>
                      <w:u w:val="none"/>
                      <w:lang w:val="en-US" w:eastAsia="zh-CN" w:bidi="ar"/>
                    </w:rPr>
                    <w:t>核算方法</w:t>
                  </w:r>
                </w:p>
              </w:tc>
              <w:tc>
                <w:tcPr>
                  <w:tcW w:w="619" w:type="pct"/>
                  <w:tcBorders>
                    <w:tl2br w:val="nil"/>
                    <w:tr2bl w:val="nil"/>
                  </w:tcBorders>
                  <w:noWrap w:val="0"/>
                  <w:vAlign w:val="center"/>
                </w:tcPr>
                <w:p w14:paraId="0B25D1B0">
                  <w:pPr>
                    <w:topLinePunct/>
                    <w:adjustRightInd w:val="0"/>
                    <w:jc w:val="center"/>
                    <w:rPr>
                      <w:rFonts w:hint="default" w:ascii="Times New Roman" w:hAnsi="Times New Roman" w:eastAsia="仿宋_GB2312" w:cs="Times New Roman"/>
                      <w:b/>
                      <w:bCs/>
                      <w:color w:val="auto"/>
                      <w:sz w:val="21"/>
                      <w:szCs w:val="21"/>
                      <w:highlight w:val="none"/>
                    </w:rPr>
                  </w:pPr>
                  <w:r>
                    <w:rPr>
                      <w:rFonts w:hint="default" w:ascii="Times New Roman" w:hAnsi="Times New Roman" w:eastAsia="仿宋_GB2312" w:cs="Times New Roman"/>
                      <w:b/>
                      <w:bCs/>
                      <w:color w:val="auto"/>
                      <w:sz w:val="21"/>
                      <w:szCs w:val="21"/>
                      <w:highlight w:val="none"/>
                    </w:rPr>
                    <w:t>浓度(mg/L)</w:t>
                  </w:r>
                </w:p>
              </w:tc>
              <w:tc>
                <w:tcPr>
                  <w:tcW w:w="619" w:type="pct"/>
                  <w:tcBorders>
                    <w:tl2br w:val="nil"/>
                    <w:tr2bl w:val="nil"/>
                  </w:tcBorders>
                  <w:noWrap w:val="0"/>
                  <w:vAlign w:val="center"/>
                </w:tcPr>
                <w:p w14:paraId="16A040C0">
                  <w:pPr>
                    <w:topLinePunct/>
                    <w:adjustRightInd w:val="0"/>
                    <w:jc w:val="center"/>
                    <w:rPr>
                      <w:rFonts w:hint="default" w:ascii="Times New Roman" w:hAnsi="Times New Roman" w:eastAsia="仿宋_GB2312" w:cs="Times New Roman"/>
                      <w:b/>
                      <w:bCs/>
                      <w:color w:val="auto"/>
                      <w:sz w:val="21"/>
                      <w:szCs w:val="21"/>
                      <w:highlight w:val="none"/>
                    </w:rPr>
                  </w:pPr>
                  <w:r>
                    <w:rPr>
                      <w:rFonts w:hint="default" w:ascii="Times New Roman" w:hAnsi="Times New Roman" w:eastAsia="仿宋_GB2312" w:cs="Times New Roman"/>
                      <w:b/>
                      <w:bCs/>
                      <w:color w:val="auto"/>
                      <w:sz w:val="21"/>
                      <w:szCs w:val="21"/>
                      <w:highlight w:val="none"/>
                    </w:rPr>
                    <w:t>产生量(t/a)</w:t>
                  </w:r>
                </w:p>
              </w:tc>
              <w:tc>
                <w:tcPr>
                  <w:tcW w:w="236" w:type="pct"/>
                  <w:vMerge w:val="continue"/>
                  <w:tcBorders>
                    <w:tl2br w:val="nil"/>
                    <w:tr2bl w:val="nil"/>
                  </w:tcBorders>
                  <w:noWrap w:val="0"/>
                  <w:vAlign w:val="center"/>
                </w:tcPr>
                <w:p w14:paraId="182BE042">
                  <w:pPr>
                    <w:topLinePunct/>
                    <w:adjustRightInd w:val="0"/>
                    <w:jc w:val="center"/>
                    <w:rPr>
                      <w:rFonts w:hint="default" w:ascii="Times New Roman" w:hAnsi="Times New Roman" w:eastAsia="仿宋_GB2312" w:cs="Times New Roman"/>
                      <w:color w:val="auto"/>
                      <w:sz w:val="21"/>
                      <w:szCs w:val="21"/>
                      <w:highlight w:val="none"/>
                    </w:rPr>
                  </w:pPr>
                </w:p>
              </w:tc>
              <w:tc>
                <w:tcPr>
                  <w:tcW w:w="273" w:type="pct"/>
                  <w:vMerge w:val="continue"/>
                  <w:tcBorders>
                    <w:tl2br w:val="nil"/>
                    <w:tr2bl w:val="nil"/>
                  </w:tcBorders>
                  <w:noWrap w:val="0"/>
                  <w:vAlign w:val="center"/>
                </w:tcPr>
                <w:p w14:paraId="0E7E73B7">
                  <w:pPr>
                    <w:topLinePunct/>
                    <w:adjustRightInd w:val="0"/>
                    <w:jc w:val="center"/>
                    <w:rPr>
                      <w:rFonts w:hint="default" w:ascii="Times New Roman" w:hAnsi="Times New Roman" w:eastAsia="仿宋_GB2312" w:cs="Times New Roman"/>
                      <w:color w:val="auto"/>
                      <w:sz w:val="21"/>
                      <w:szCs w:val="21"/>
                      <w:highlight w:val="none"/>
                    </w:rPr>
                  </w:pPr>
                </w:p>
              </w:tc>
              <w:tc>
                <w:tcPr>
                  <w:tcW w:w="462" w:type="pct"/>
                  <w:vMerge w:val="continue"/>
                  <w:tcBorders>
                    <w:tl2br w:val="nil"/>
                    <w:tr2bl w:val="nil"/>
                  </w:tcBorders>
                  <w:noWrap w:val="0"/>
                  <w:vAlign w:val="center"/>
                </w:tcPr>
                <w:p w14:paraId="03691565">
                  <w:pPr>
                    <w:topLinePunct/>
                    <w:adjustRightInd w:val="0"/>
                    <w:jc w:val="center"/>
                    <w:rPr>
                      <w:rFonts w:hint="default" w:ascii="Times New Roman" w:hAnsi="Times New Roman" w:eastAsia="仿宋_GB2312" w:cs="Times New Roman"/>
                      <w:color w:val="auto"/>
                      <w:sz w:val="21"/>
                      <w:szCs w:val="21"/>
                      <w:highlight w:val="none"/>
                    </w:rPr>
                  </w:pPr>
                </w:p>
              </w:tc>
              <w:tc>
                <w:tcPr>
                  <w:tcW w:w="416" w:type="pct"/>
                  <w:vMerge w:val="continue"/>
                  <w:tcBorders>
                    <w:tl2br w:val="nil"/>
                    <w:tr2bl w:val="nil"/>
                  </w:tcBorders>
                  <w:noWrap w:val="0"/>
                  <w:vAlign w:val="center"/>
                </w:tcPr>
                <w:p w14:paraId="47A376C6">
                  <w:pPr>
                    <w:topLinePunct/>
                    <w:adjustRightInd w:val="0"/>
                    <w:jc w:val="center"/>
                    <w:rPr>
                      <w:rFonts w:hint="default" w:ascii="Times New Roman" w:hAnsi="Times New Roman" w:eastAsia="仿宋_GB2312" w:cs="Times New Roman"/>
                      <w:color w:val="auto"/>
                      <w:sz w:val="21"/>
                      <w:szCs w:val="21"/>
                      <w:highlight w:val="none"/>
                    </w:rPr>
                  </w:pPr>
                </w:p>
              </w:tc>
              <w:tc>
                <w:tcPr>
                  <w:tcW w:w="437" w:type="pct"/>
                  <w:vMerge w:val="continue"/>
                  <w:tcBorders>
                    <w:tl2br w:val="nil"/>
                    <w:tr2bl w:val="nil"/>
                  </w:tcBorders>
                  <w:noWrap w:val="0"/>
                  <w:vAlign w:val="center"/>
                </w:tcPr>
                <w:p w14:paraId="0D0A6727">
                  <w:pPr>
                    <w:topLinePunct/>
                    <w:adjustRightInd w:val="0"/>
                    <w:jc w:val="center"/>
                    <w:rPr>
                      <w:rFonts w:hint="default" w:ascii="Times New Roman" w:hAnsi="Times New Roman" w:eastAsia="仿宋_GB2312" w:cs="Times New Roman"/>
                      <w:color w:val="auto"/>
                      <w:sz w:val="21"/>
                      <w:szCs w:val="21"/>
                      <w:highlight w:val="none"/>
                    </w:rPr>
                  </w:pPr>
                </w:p>
              </w:tc>
              <w:tc>
                <w:tcPr>
                  <w:tcW w:w="331" w:type="pct"/>
                  <w:vMerge w:val="continue"/>
                  <w:tcBorders>
                    <w:tl2br w:val="nil"/>
                    <w:tr2bl w:val="nil"/>
                  </w:tcBorders>
                  <w:noWrap w:val="0"/>
                  <w:vAlign w:val="center"/>
                </w:tcPr>
                <w:p w14:paraId="2878B1BF">
                  <w:pPr>
                    <w:topLinePunct/>
                    <w:adjustRightInd w:val="0"/>
                    <w:jc w:val="center"/>
                    <w:rPr>
                      <w:rFonts w:hint="default" w:ascii="Times New Roman" w:hAnsi="Times New Roman" w:eastAsia="仿宋_GB2312" w:cs="Times New Roman"/>
                      <w:color w:val="auto"/>
                      <w:sz w:val="21"/>
                      <w:szCs w:val="21"/>
                      <w:highlight w:val="none"/>
                    </w:rPr>
                  </w:pPr>
                </w:p>
              </w:tc>
            </w:tr>
            <w:tr w14:paraId="2DDF90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93" w:hRule="atLeast"/>
                <w:jc w:val="center"/>
              </w:trPr>
              <w:tc>
                <w:tcPr>
                  <w:tcW w:w="228" w:type="pct"/>
                  <w:vMerge w:val="restart"/>
                  <w:tcBorders>
                    <w:tl2br w:val="nil"/>
                    <w:tr2bl w:val="nil"/>
                  </w:tcBorders>
                  <w:noWrap w:val="0"/>
                  <w:vAlign w:val="center"/>
                </w:tcPr>
                <w:p w14:paraId="384B2056">
                  <w:pPr>
                    <w:widowControl/>
                    <w:jc w:val="center"/>
                    <w:textAlignment w:val="center"/>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仿宋_GB2312" w:cs="Times New Roman"/>
                      <w:sz w:val="21"/>
                      <w:szCs w:val="21"/>
                    </w:rPr>
                    <w:t>平板膜反冲洗</w:t>
                  </w:r>
                  <w:r>
                    <w:rPr>
                      <w:rFonts w:hint="default" w:ascii="Times New Roman" w:hAnsi="Times New Roman" w:eastAsia="仿宋_GB2312" w:cs="Times New Roman"/>
                      <w:sz w:val="21"/>
                      <w:szCs w:val="21"/>
                      <w:lang w:val="en-US" w:eastAsia="zh-CN"/>
                    </w:rPr>
                    <w:t>废水W1</w:t>
                  </w:r>
                </w:p>
              </w:tc>
              <w:tc>
                <w:tcPr>
                  <w:tcW w:w="473" w:type="pct"/>
                  <w:vMerge w:val="restart"/>
                  <w:tcBorders>
                    <w:tl2br w:val="nil"/>
                    <w:tr2bl w:val="nil"/>
                  </w:tcBorders>
                  <w:noWrap w:val="0"/>
                  <w:vAlign w:val="center"/>
                </w:tcPr>
                <w:p w14:paraId="3B7815EC">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仿宋_GB2312" w:cs="Times New Roman"/>
                      <w:color w:val="auto"/>
                      <w:sz w:val="21"/>
                      <w:szCs w:val="21"/>
                      <w:highlight w:val="none"/>
                      <w:lang w:val="en-US" w:eastAsia="zh-CN"/>
                    </w:rPr>
                    <w:t>192</w:t>
                  </w:r>
                </w:p>
              </w:tc>
              <w:tc>
                <w:tcPr>
                  <w:tcW w:w="433" w:type="pct"/>
                  <w:tcBorders>
                    <w:tl2br w:val="nil"/>
                    <w:tr2bl w:val="nil"/>
                  </w:tcBorders>
                  <w:shd w:val="clear" w:color="auto" w:fill="auto"/>
                  <w:noWrap w:val="0"/>
                  <w:vAlign w:val="center"/>
                </w:tcPr>
                <w:p w14:paraId="54242F60">
                  <w:pPr>
                    <w:keepNext w:val="0"/>
                    <w:keepLines w:val="0"/>
                    <w:widowControl/>
                    <w:suppressLineNumbers w:val="0"/>
                    <w:jc w:val="center"/>
                    <w:textAlignment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lang w:val="en-US" w:eastAsia="zh-CN"/>
                    </w:rPr>
                    <w:t>氯化物</w:t>
                  </w:r>
                </w:p>
              </w:tc>
              <w:tc>
                <w:tcPr>
                  <w:tcW w:w="467" w:type="pct"/>
                  <w:vMerge w:val="restart"/>
                  <w:tcBorders>
                    <w:tl2br w:val="nil"/>
                    <w:tr2bl w:val="nil"/>
                  </w:tcBorders>
                  <w:noWrap w:val="0"/>
                  <w:vAlign w:val="center"/>
                </w:tcPr>
                <w:p w14:paraId="78D5723A">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仿宋_GB2312" w:cs="Times New Roman"/>
                      <w:color w:val="auto"/>
                      <w:sz w:val="21"/>
                      <w:szCs w:val="21"/>
                      <w:highlight w:val="none"/>
                      <w:lang w:val="en-US" w:eastAsia="zh-CN"/>
                    </w:rPr>
                    <w:t>类比法</w:t>
                  </w:r>
                </w:p>
              </w:tc>
              <w:tc>
                <w:tcPr>
                  <w:tcW w:w="619" w:type="pct"/>
                  <w:tcBorders>
                    <w:tl2br w:val="nil"/>
                    <w:tr2bl w:val="nil"/>
                  </w:tcBorders>
                  <w:noWrap w:val="0"/>
                  <w:vAlign w:val="center"/>
                </w:tcPr>
                <w:p w14:paraId="05949D76">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100</w:t>
                  </w:r>
                </w:p>
              </w:tc>
              <w:tc>
                <w:tcPr>
                  <w:tcW w:w="619" w:type="pct"/>
                  <w:tcBorders>
                    <w:tl2br w:val="nil"/>
                    <w:tr2bl w:val="nil"/>
                  </w:tcBorders>
                  <w:shd w:val="clear" w:color="auto" w:fill="auto"/>
                  <w:noWrap w:val="0"/>
                  <w:vAlign w:val="center"/>
                </w:tcPr>
                <w:p w14:paraId="23D5BAA4">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0.0192</w:t>
                  </w:r>
                </w:p>
              </w:tc>
              <w:tc>
                <w:tcPr>
                  <w:tcW w:w="236" w:type="pct"/>
                  <w:vMerge w:val="restart"/>
                  <w:tcBorders>
                    <w:tl2br w:val="nil"/>
                    <w:tr2bl w:val="nil"/>
                  </w:tcBorders>
                  <w:noWrap w:val="0"/>
                  <w:vAlign w:val="center"/>
                </w:tcPr>
                <w:p w14:paraId="5EEEDB9F">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lang w:val="en-US" w:eastAsia="zh-CN" w:bidi="ar"/>
                    </w:rPr>
                    <w:t>/</w:t>
                  </w:r>
                </w:p>
              </w:tc>
              <w:tc>
                <w:tcPr>
                  <w:tcW w:w="273" w:type="pct"/>
                  <w:vMerge w:val="restart"/>
                  <w:tcBorders>
                    <w:tl2br w:val="nil"/>
                    <w:tr2bl w:val="nil"/>
                  </w:tcBorders>
                  <w:noWrap w:val="0"/>
                  <w:vAlign w:val="center"/>
                </w:tcPr>
                <w:p w14:paraId="704D1747">
                  <w:pPr>
                    <w:keepNext w:val="0"/>
                    <w:keepLines w:val="0"/>
                    <w:widowControl/>
                    <w:suppressLineNumbers w:val="0"/>
                    <w:jc w:val="center"/>
                    <w:textAlignment w:val="center"/>
                    <w:rPr>
                      <w:rFonts w:hint="default" w:ascii="Times New Roman" w:hAnsi="Times New Roman" w:eastAsia="仿宋_GB2312" w:cs="Times New Roman"/>
                      <w:color w:val="auto"/>
                      <w:kern w:val="0"/>
                      <w:sz w:val="21"/>
                      <w:szCs w:val="21"/>
                      <w:highlight w:val="none"/>
                      <w:lang w:bidi="ar"/>
                    </w:rPr>
                  </w:pPr>
                  <w:r>
                    <w:rPr>
                      <w:rFonts w:hint="default" w:ascii="Times New Roman" w:hAnsi="Times New Roman" w:eastAsia="仿宋_GB2312" w:cs="Times New Roman"/>
                      <w:color w:val="auto"/>
                      <w:kern w:val="0"/>
                      <w:sz w:val="21"/>
                      <w:szCs w:val="21"/>
                      <w:highlight w:val="none"/>
                      <w:lang w:val="en-US" w:eastAsia="zh-CN" w:bidi="ar"/>
                    </w:rPr>
                    <w:t>/</w:t>
                  </w:r>
                </w:p>
              </w:tc>
              <w:tc>
                <w:tcPr>
                  <w:tcW w:w="462" w:type="pct"/>
                  <w:tcBorders>
                    <w:tl2br w:val="nil"/>
                    <w:tr2bl w:val="nil"/>
                  </w:tcBorders>
                  <w:noWrap w:val="0"/>
                  <w:vAlign w:val="center"/>
                </w:tcPr>
                <w:p w14:paraId="25320615">
                  <w:pPr>
                    <w:keepNext w:val="0"/>
                    <w:keepLines w:val="0"/>
                    <w:widowControl/>
                    <w:suppressLineNumbers w:val="0"/>
                    <w:jc w:val="center"/>
                    <w:textAlignment w:val="center"/>
                    <w:rPr>
                      <w:rFonts w:hint="default" w:ascii="Times New Roman" w:hAnsi="Times New Roman" w:eastAsia="仿宋_GB2312" w:cs="Times New Roman"/>
                      <w:color w:val="auto"/>
                      <w:kern w:val="0"/>
                      <w:sz w:val="21"/>
                      <w:szCs w:val="21"/>
                      <w:highlight w:val="none"/>
                      <w:lang w:val="en-US" w:eastAsia="zh-CN" w:bidi="ar"/>
                    </w:rPr>
                  </w:pPr>
                  <w:r>
                    <w:rPr>
                      <w:rFonts w:hint="default" w:ascii="Times New Roman" w:hAnsi="Times New Roman" w:eastAsia="仿宋_GB2312" w:cs="Times New Roman"/>
                      <w:color w:val="auto"/>
                      <w:kern w:val="0"/>
                      <w:sz w:val="21"/>
                      <w:szCs w:val="21"/>
                      <w:highlight w:val="none"/>
                      <w:lang w:val="en-US" w:eastAsia="zh-CN" w:bidi="ar"/>
                    </w:rPr>
                    <w:t>/</w:t>
                  </w:r>
                </w:p>
              </w:tc>
              <w:tc>
                <w:tcPr>
                  <w:tcW w:w="416" w:type="pct"/>
                  <w:tcBorders>
                    <w:tl2br w:val="nil"/>
                    <w:tr2bl w:val="nil"/>
                  </w:tcBorders>
                  <w:shd w:val="clear" w:color="auto" w:fill="auto"/>
                  <w:noWrap w:val="0"/>
                  <w:vAlign w:val="center"/>
                </w:tcPr>
                <w:p w14:paraId="25C5F774">
                  <w:pPr>
                    <w:keepNext w:val="0"/>
                    <w:keepLines w:val="0"/>
                    <w:widowControl/>
                    <w:suppressLineNumbers w:val="0"/>
                    <w:jc w:val="center"/>
                    <w:textAlignment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kern w:val="2"/>
                      <w:sz w:val="21"/>
                      <w:szCs w:val="21"/>
                      <w:highlight w:val="none"/>
                      <w:lang w:val="en-US" w:eastAsia="zh-CN" w:bidi="ar-SA"/>
                    </w:rPr>
                    <w:t>/</w:t>
                  </w:r>
                </w:p>
              </w:tc>
              <w:tc>
                <w:tcPr>
                  <w:tcW w:w="437" w:type="pct"/>
                  <w:tcBorders>
                    <w:tl2br w:val="nil"/>
                    <w:tr2bl w:val="nil"/>
                  </w:tcBorders>
                  <w:noWrap w:val="0"/>
                  <w:vAlign w:val="center"/>
                </w:tcPr>
                <w:p w14:paraId="3EFEA5F0">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仿宋_GB2312" w:cs="Times New Roman"/>
                      <w:color w:val="auto"/>
                      <w:sz w:val="21"/>
                      <w:szCs w:val="21"/>
                      <w:highlight w:val="none"/>
                      <w:lang w:val="en-US" w:eastAsia="zh-CN"/>
                    </w:rPr>
                    <w:t>/</w:t>
                  </w:r>
                </w:p>
              </w:tc>
              <w:tc>
                <w:tcPr>
                  <w:tcW w:w="331" w:type="pct"/>
                  <w:vMerge w:val="restart"/>
                  <w:tcBorders>
                    <w:tl2br w:val="nil"/>
                    <w:tr2bl w:val="nil"/>
                  </w:tcBorders>
                  <w:noWrap w:val="0"/>
                  <w:vAlign w:val="center"/>
                </w:tcPr>
                <w:p w14:paraId="150E87BA">
                  <w:pPr>
                    <w:autoSpaceDE w:val="0"/>
                    <w:autoSpaceDN w:val="0"/>
                    <w:adjustRightInd w:val="0"/>
                    <w:jc w:val="center"/>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仿宋_GB2312" w:cs="Times New Roman"/>
                      <w:color w:val="auto"/>
                      <w:sz w:val="21"/>
                      <w:szCs w:val="21"/>
                      <w:highlight w:val="none"/>
                      <w:lang w:val="en-US" w:eastAsia="zh-CN"/>
                    </w:rPr>
                    <w:t>回用于采卤</w:t>
                  </w:r>
                </w:p>
              </w:tc>
            </w:tr>
            <w:tr w14:paraId="18A3C6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38" w:hRule="atLeast"/>
                <w:jc w:val="center"/>
              </w:trPr>
              <w:tc>
                <w:tcPr>
                  <w:tcW w:w="228" w:type="pct"/>
                  <w:vMerge w:val="continue"/>
                  <w:tcBorders>
                    <w:tl2br w:val="nil"/>
                    <w:tr2bl w:val="nil"/>
                  </w:tcBorders>
                  <w:noWrap w:val="0"/>
                  <w:vAlign w:val="center"/>
                </w:tcPr>
                <w:p w14:paraId="4B252225">
                  <w:pPr>
                    <w:keepNext w:val="0"/>
                    <w:keepLines w:val="0"/>
                    <w:widowControl/>
                    <w:suppressLineNumbers w:val="0"/>
                    <w:jc w:val="center"/>
                    <w:textAlignment w:val="center"/>
                    <w:rPr>
                      <w:rFonts w:hint="default" w:ascii="Times New Roman" w:hAnsi="Times New Roman" w:eastAsia="仿宋_GB2312" w:cs="Times New Roman"/>
                      <w:sz w:val="21"/>
                      <w:szCs w:val="21"/>
                    </w:rPr>
                  </w:pPr>
                </w:p>
              </w:tc>
              <w:tc>
                <w:tcPr>
                  <w:tcW w:w="473" w:type="pct"/>
                  <w:vMerge w:val="continue"/>
                  <w:tcBorders>
                    <w:tl2br w:val="nil"/>
                    <w:tr2bl w:val="nil"/>
                  </w:tcBorders>
                  <w:noWrap w:val="0"/>
                  <w:vAlign w:val="center"/>
                </w:tcPr>
                <w:p w14:paraId="1026A56A">
                  <w:pPr>
                    <w:keepNext w:val="0"/>
                    <w:keepLines w:val="0"/>
                    <w:widowControl/>
                    <w:suppressLineNumbers w:val="0"/>
                    <w:jc w:val="center"/>
                    <w:textAlignment w:val="center"/>
                    <w:rPr>
                      <w:rFonts w:hint="default" w:ascii="Times New Roman" w:hAnsi="Times New Roman" w:eastAsia="仿宋_GB2312" w:cs="Times New Roman"/>
                      <w:sz w:val="21"/>
                      <w:szCs w:val="21"/>
                    </w:rPr>
                  </w:pPr>
                </w:p>
              </w:tc>
              <w:tc>
                <w:tcPr>
                  <w:tcW w:w="433" w:type="pct"/>
                  <w:tcBorders>
                    <w:tl2br w:val="nil"/>
                    <w:tr2bl w:val="nil"/>
                  </w:tcBorders>
                  <w:shd w:val="clear" w:color="auto" w:fill="auto"/>
                  <w:noWrap w:val="0"/>
                  <w:vAlign w:val="center"/>
                </w:tcPr>
                <w:p w14:paraId="5E2E975A">
                  <w:pPr>
                    <w:keepNext w:val="0"/>
                    <w:keepLines w:val="0"/>
                    <w:widowControl/>
                    <w:suppressLineNumbers w:val="0"/>
                    <w:jc w:val="center"/>
                    <w:textAlignment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lang w:val="en-US" w:eastAsia="zh-CN"/>
                    </w:rPr>
                    <w:t>SS</w:t>
                  </w:r>
                </w:p>
              </w:tc>
              <w:tc>
                <w:tcPr>
                  <w:tcW w:w="467" w:type="pct"/>
                  <w:vMerge w:val="continue"/>
                  <w:tcBorders>
                    <w:tl2br w:val="nil"/>
                    <w:tr2bl w:val="nil"/>
                  </w:tcBorders>
                  <w:noWrap w:val="0"/>
                  <w:vAlign w:val="center"/>
                </w:tcPr>
                <w:p w14:paraId="0EE52AFA">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lang w:val="en-US" w:eastAsia="zh-CN"/>
                    </w:rPr>
                  </w:pPr>
                </w:p>
              </w:tc>
              <w:tc>
                <w:tcPr>
                  <w:tcW w:w="619" w:type="pct"/>
                  <w:tcBorders>
                    <w:tl2br w:val="nil"/>
                    <w:tr2bl w:val="nil"/>
                  </w:tcBorders>
                  <w:noWrap w:val="0"/>
                  <w:vAlign w:val="center"/>
                </w:tcPr>
                <w:p w14:paraId="2529421C">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200</w:t>
                  </w:r>
                </w:p>
              </w:tc>
              <w:tc>
                <w:tcPr>
                  <w:tcW w:w="619" w:type="pct"/>
                  <w:tcBorders>
                    <w:tl2br w:val="nil"/>
                    <w:tr2bl w:val="nil"/>
                  </w:tcBorders>
                  <w:shd w:val="clear" w:color="auto" w:fill="auto"/>
                  <w:noWrap w:val="0"/>
                  <w:vAlign w:val="center"/>
                </w:tcPr>
                <w:p w14:paraId="6840A9FD">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0.0384</w:t>
                  </w:r>
                </w:p>
              </w:tc>
              <w:tc>
                <w:tcPr>
                  <w:tcW w:w="236" w:type="pct"/>
                  <w:vMerge w:val="continue"/>
                  <w:tcBorders>
                    <w:tl2br w:val="nil"/>
                    <w:tr2bl w:val="nil"/>
                  </w:tcBorders>
                  <w:noWrap w:val="0"/>
                  <w:vAlign w:val="center"/>
                </w:tcPr>
                <w:p w14:paraId="690987DC">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lang w:val="en-US" w:eastAsia="zh-CN"/>
                    </w:rPr>
                  </w:pPr>
                </w:p>
              </w:tc>
              <w:tc>
                <w:tcPr>
                  <w:tcW w:w="273" w:type="pct"/>
                  <w:vMerge w:val="continue"/>
                  <w:tcBorders>
                    <w:tl2br w:val="nil"/>
                    <w:tr2bl w:val="nil"/>
                  </w:tcBorders>
                  <w:noWrap w:val="0"/>
                  <w:vAlign w:val="center"/>
                </w:tcPr>
                <w:p w14:paraId="48F3ECC2">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lang w:val="en-US" w:eastAsia="zh-CN"/>
                    </w:rPr>
                  </w:pPr>
                </w:p>
              </w:tc>
              <w:tc>
                <w:tcPr>
                  <w:tcW w:w="462" w:type="pct"/>
                  <w:tcBorders>
                    <w:tl2br w:val="nil"/>
                    <w:tr2bl w:val="nil"/>
                  </w:tcBorders>
                  <w:noWrap w:val="0"/>
                  <w:vAlign w:val="center"/>
                </w:tcPr>
                <w:p w14:paraId="14F56401">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bidi="ar"/>
                    </w:rPr>
                    <w:t>/</w:t>
                  </w:r>
                </w:p>
              </w:tc>
              <w:tc>
                <w:tcPr>
                  <w:tcW w:w="416" w:type="pct"/>
                  <w:tcBorders>
                    <w:tl2br w:val="nil"/>
                    <w:tr2bl w:val="nil"/>
                  </w:tcBorders>
                  <w:shd w:val="clear" w:color="auto" w:fill="auto"/>
                  <w:noWrap w:val="0"/>
                  <w:vAlign w:val="center"/>
                </w:tcPr>
                <w:p w14:paraId="61026A37">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仿宋_GB2312" w:cs="Times New Roman"/>
                      <w:color w:val="auto"/>
                      <w:kern w:val="2"/>
                      <w:sz w:val="21"/>
                      <w:szCs w:val="21"/>
                      <w:highlight w:val="none"/>
                      <w:lang w:val="en-US" w:eastAsia="zh-CN" w:bidi="ar-SA"/>
                    </w:rPr>
                    <w:t>/</w:t>
                  </w:r>
                </w:p>
              </w:tc>
              <w:tc>
                <w:tcPr>
                  <w:tcW w:w="437" w:type="pct"/>
                  <w:tcBorders>
                    <w:tl2br w:val="nil"/>
                    <w:tr2bl w:val="nil"/>
                  </w:tcBorders>
                  <w:noWrap w:val="0"/>
                  <w:vAlign w:val="center"/>
                </w:tcPr>
                <w:p w14:paraId="72C981AD">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仿宋_GB2312" w:cs="Times New Roman"/>
                      <w:color w:val="auto"/>
                      <w:sz w:val="21"/>
                      <w:szCs w:val="21"/>
                      <w:highlight w:val="none"/>
                      <w:lang w:val="en-US" w:eastAsia="zh-CN"/>
                    </w:rPr>
                    <w:t>/</w:t>
                  </w:r>
                </w:p>
              </w:tc>
              <w:tc>
                <w:tcPr>
                  <w:tcW w:w="331" w:type="pct"/>
                  <w:vMerge w:val="continue"/>
                  <w:tcBorders>
                    <w:tl2br w:val="nil"/>
                    <w:tr2bl w:val="nil"/>
                  </w:tcBorders>
                  <w:noWrap w:val="0"/>
                  <w:vAlign w:val="center"/>
                </w:tcPr>
                <w:p w14:paraId="1BE3D322">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lang w:val="en-US" w:eastAsia="zh-CN"/>
                    </w:rPr>
                  </w:pPr>
                </w:p>
              </w:tc>
            </w:tr>
            <w:tr w14:paraId="6542FB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228" w:type="pct"/>
                  <w:vMerge w:val="restart"/>
                  <w:tcBorders>
                    <w:tl2br w:val="nil"/>
                    <w:tr2bl w:val="nil"/>
                  </w:tcBorders>
                  <w:noWrap w:val="0"/>
                  <w:vAlign w:val="center"/>
                </w:tcPr>
                <w:p w14:paraId="1B36E43B">
                  <w:pPr>
                    <w:jc w:val="center"/>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仿宋_GB2312" w:cs="Times New Roman"/>
                      <w:sz w:val="21"/>
                      <w:szCs w:val="21"/>
                    </w:rPr>
                    <w:t>平板膜化学清洗</w:t>
                  </w:r>
                  <w:r>
                    <w:rPr>
                      <w:rFonts w:hint="default" w:ascii="Times New Roman" w:hAnsi="Times New Roman" w:eastAsia="仿宋_GB2312" w:cs="Times New Roman"/>
                      <w:sz w:val="21"/>
                      <w:szCs w:val="21"/>
                      <w:lang w:val="en-US" w:eastAsia="zh-CN"/>
                    </w:rPr>
                    <w:t>废水</w:t>
                  </w:r>
                  <w:r>
                    <w:rPr>
                      <w:rFonts w:hint="default" w:ascii="Times New Roman" w:hAnsi="Times New Roman" w:eastAsia="仿宋_GB2312" w:cs="Times New Roman"/>
                      <w:sz w:val="21"/>
                      <w:szCs w:val="21"/>
                    </w:rPr>
                    <w:t>W2</w:t>
                  </w:r>
                </w:p>
              </w:tc>
              <w:tc>
                <w:tcPr>
                  <w:tcW w:w="473" w:type="pct"/>
                  <w:vMerge w:val="restart"/>
                  <w:tcBorders>
                    <w:tl2br w:val="nil"/>
                    <w:tr2bl w:val="nil"/>
                  </w:tcBorders>
                  <w:noWrap w:val="0"/>
                  <w:vAlign w:val="center"/>
                </w:tcPr>
                <w:p w14:paraId="6AB5353F">
                  <w:pPr>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000000" w:themeColor="text1"/>
                      <w:sz w:val="21"/>
                      <w:szCs w:val="21"/>
                    </w:rPr>
                    <w:t>90.7</w:t>
                  </w:r>
                </w:p>
              </w:tc>
              <w:tc>
                <w:tcPr>
                  <w:tcW w:w="433" w:type="pct"/>
                  <w:tcBorders>
                    <w:tl2br w:val="nil"/>
                    <w:tr2bl w:val="nil"/>
                  </w:tcBorders>
                  <w:shd w:val="clear" w:color="auto" w:fill="auto"/>
                  <w:noWrap w:val="0"/>
                  <w:vAlign w:val="center"/>
                </w:tcPr>
                <w:p w14:paraId="6AAF3B17">
                  <w:pPr>
                    <w:keepNext w:val="0"/>
                    <w:keepLines w:val="0"/>
                    <w:widowControl/>
                    <w:suppressLineNumbers w:val="0"/>
                    <w:jc w:val="center"/>
                    <w:textAlignment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lang w:val="en-US" w:eastAsia="zh-CN"/>
                    </w:rPr>
                    <w:t>氯化物</w:t>
                  </w:r>
                </w:p>
              </w:tc>
              <w:tc>
                <w:tcPr>
                  <w:tcW w:w="467" w:type="pct"/>
                  <w:vMerge w:val="restart"/>
                  <w:tcBorders>
                    <w:tl2br w:val="nil"/>
                    <w:tr2bl w:val="nil"/>
                  </w:tcBorders>
                  <w:noWrap w:val="0"/>
                  <w:vAlign w:val="center"/>
                </w:tcPr>
                <w:p w14:paraId="16E6A1A2">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lang w:val="en-US" w:eastAsia="zh-CN"/>
                    </w:rPr>
                    <w:t>类比法</w:t>
                  </w:r>
                </w:p>
              </w:tc>
              <w:tc>
                <w:tcPr>
                  <w:tcW w:w="619" w:type="pct"/>
                  <w:tcBorders>
                    <w:tl2br w:val="nil"/>
                    <w:tr2bl w:val="nil"/>
                  </w:tcBorders>
                  <w:noWrap w:val="0"/>
                  <w:vAlign w:val="center"/>
                </w:tcPr>
                <w:p w14:paraId="7300CD08">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lang w:val="en-US"/>
                    </w:rPr>
                  </w:pPr>
                  <w:r>
                    <w:rPr>
                      <w:rFonts w:hint="eastAsia" w:ascii="Times New Roman" w:hAnsi="Times New Roman" w:eastAsia="仿宋_GB2312" w:cs="Times New Roman"/>
                      <w:color w:val="auto"/>
                      <w:sz w:val="21"/>
                      <w:szCs w:val="21"/>
                      <w:highlight w:val="none"/>
                      <w:lang w:val="en-US" w:eastAsia="zh-CN"/>
                    </w:rPr>
                    <w:t>100</w:t>
                  </w:r>
                </w:p>
              </w:tc>
              <w:tc>
                <w:tcPr>
                  <w:tcW w:w="619" w:type="pct"/>
                  <w:tcBorders>
                    <w:tl2br w:val="nil"/>
                    <w:tr2bl w:val="nil"/>
                  </w:tcBorders>
                  <w:shd w:val="clear" w:color="auto" w:fill="auto"/>
                  <w:noWrap w:val="0"/>
                  <w:vAlign w:val="center"/>
                </w:tcPr>
                <w:p w14:paraId="20B05FEC">
                  <w:pPr>
                    <w:keepNext w:val="0"/>
                    <w:keepLines w:val="0"/>
                    <w:widowControl/>
                    <w:suppressLineNumbers w:val="0"/>
                    <w:jc w:val="right"/>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0.0091</w:t>
                  </w:r>
                </w:p>
              </w:tc>
              <w:tc>
                <w:tcPr>
                  <w:tcW w:w="236" w:type="pct"/>
                  <w:vMerge w:val="restart"/>
                  <w:tcBorders>
                    <w:tl2br w:val="nil"/>
                    <w:tr2bl w:val="nil"/>
                  </w:tcBorders>
                  <w:noWrap w:val="0"/>
                  <w:vAlign w:val="center"/>
                </w:tcPr>
                <w:p w14:paraId="680D5467">
                  <w:pPr>
                    <w:jc w:val="center"/>
                    <w:rPr>
                      <w:rFonts w:hint="default"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中和水池</w:t>
                  </w:r>
                </w:p>
              </w:tc>
              <w:tc>
                <w:tcPr>
                  <w:tcW w:w="273" w:type="pct"/>
                  <w:vMerge w:val="restart"/>
                  <w:tcBorders>
                    <w:tl2br w:val="nil"/>
                    <w:tr2bl w:val="nil"/>
                  </w:tcBorders>
                  <w:noWrap w:val="0"/>
                  <w:vAlign w:val="center"/>
                </w:tcPr>
                <w:p w14:paraId="22DEC4E4">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lang w:val="en-US"/>
                    </w:rPr>
                  </w:pPr>
                  <w:r>
                    <w:rPr>
                      <w:rFonts w:hint="default" w:ascii="Times New Roman" w:hAnsi="Times New Roman" w:eastAsia="仿宋_GB2312" w:cs="Times New Roman"/>
                      <w:color w:val="auto"/>
                      <w:kern w:val="0"/>
                      <w:sz w:val="21"/>
                      <w:szCs w:val="21"/>
                      <w:highlight w:val="none"/>
                      <w:lang w:val="en-US" w:eastAsia="zh-CN" w:bidi="ar"/>
                    </w:rPr>
                    <w:t>/</w:t>
                  </w:r>
                </w:p>
              </w:tc>
              <w:tc>
                <w:tcPr>
                  <w:tcW w:w="462" w:type="pct"/>
                  <w:tcBorders>
                    <w:tl2br w:val="nil"/>
                    <w:tr2bl w:val="nil"/>
                  </w:tcBorders>
                  <w:noWrap w:val="0"/>
                  <w:vAlign w:val="center"/>
                </w:tcPr>
                <w:p w14:paraId="014F6393">
                  <w:pPr>
                    <w:keepNext w:val="0"/>
                    <w:keepLines w:val="0"/>
                    <w:widowControl/>
                    <w:suppressLineNumbers w:val="0"/>
                    <w:jc w:val="center"/>
                    <w:textAlignment w:val="center"/>
                    <w:rPr>
                      <w:rFonts w:hint="default" w:ascii="Times New Roman" w:hAnsi="Times New Roman" w:eastAsia="仿宋_GB2312" w:cs="Times New Roman"/>
                      <w:color w:val="auto"/>
                      <w:kern w:val="0"/>
                      <w:sz w:val="21"/>
                      <w:szCs w:val="21"/>
                      <w:highlight w:val="none"/>
                      <w:lang w:bidi="ar"/>
                    </w:rPr>
                  </w:pPr>
                  <w:r>
                    <w:rPr>
                      <w:rFonts w:hint="default" w:ascii="Times New Roman" w:hAnsi="Times New Roman" w:eastAsia="仿宋_GB2312" w:cs="Times New Roman"/>
                      <w:color w:val="auto"/>
                      <w:kern w:val="0"/>
                      <w:sz w:val="21"/>
                      <w:szCs w:val="21"/>
                      <w:highlight w:val="none"/>
                      <w:lang w:val="en-US" w:eastAsia="zh-CN" w:bidi="ar"/>
                    </w:rPr>
                    <w:t>/</w:t>
                  </w:r>
                </w:p>
              </w:tc>
              <w:tc>
                <w:tcPr>
                  <w:tcW w:w="416" w:type="pct"/>
                  <w:tcBorders>
                    <w:tl2br w:val="nil"/>
                    <w:tr2bl w:val="nil"/>
                  </w:tcBorders>
                  <w:shd w:val="clear" w:color="auto" w:fill="auto"/>
                  <w:noWrap w:val="0"/>
                  <w:vAlign w:val="center"/>
                </w:tcPr>
                <w:p w14:paraId="6F864930">
                  <w:pPr>
                    <w:keepNext w:val="0"/>
                    <w:keepLines w:val="0"/>
                    <w:widowControl/>
                    <w:suppressLineNumbers w:val="0"/>
                    <w:jc w:val="center"/>
                    <w:textAlignment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kern w:val="2"/>
                      <w:sz w:val="21"/>
                      <w:szCs w:val="21"/>
                      <w:highlight w:val="none"/>
                      <w:lang w:val="en-US" w:eastAsia="zh-CN" w:bidi="ar-SA"/>
                    </w:rPr>
                    <w:t>/</w:t>
                  </w:r>
                </w:p>
              </w:tc>
              <w:tc>
                <w:tcPr>
                  <w:tcW w:w="437" w:type="pct"/>
                  <w:tcBorders>
                    <w:tl2br w:val="nil"/>
                    <w:tr2bl w:val="nil"/>
                  </w:tcBorders>
                  <w:noWrap w:val="0"/>
                  <w:vAlign w:val="center"/>
                </w:tcPr>
                <w:p w14:paraId="0E5BDA3F">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仿宋_GB2312" w:cs="Times New Roman"/>
                      <w:color w:val="auto"/>
                      <w:sz w:val="21"/>
                      <w:szCs w:val="21"/>
                      <w:highlight w:val="none"/>
                      <w:lang w:val="en-US" w:eastAsia="zh-CN"/>
                    </w:rPr>
                    <w:t>/</w:t>
                  </w:r>
                </w:p>
              </w:tc>
              <w:tc>
                <w:tcPr>
                  <w:tcW w:w="331" w:type="pct"/>
                  <w:vMerge w:val="continue"/>
                  <w:tcBorders>
                    <w:tl2br w:val="nil"/>
                    <w:tr2bl w:val="nil"/>
                  </w:tcBorders>
                  <w:noWrap w:val="0"/>
                  <w:vAlign w:val="center"/>
                </w:tcPr>
                <w:p w14:paraId="284A9B26">
                  <w:pPr>
                    <w:topLinePunct/>
                    <w:adjustRightInd w:val="0"/>
                    <w:jc w:val="center"/>
                    <w:rPr>
                      <w:rFonts w:hint="default" w:ascii="Times New Roman" w:hAnsi="Times New Roman" w:eastAsia="仿宋_GB2312" w:cs="Times New Roman"/>
                      <w:color w:val="auto"/>
                      <w:sz w:val="21"/>
                      <w:szCs w:val="21"/>
                      <w:highlight w:val="none"/>
                    </w:rPr>
                  </w:pPr>
                </w:p>
              </w:tc>
            </w:tr>
            <w:tr w14:paraId="55A891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03" w:hRule="atLeast"/>
                <w:jc w:val="center"/>
              </w:trPr>
              <w:tc>
                <w:tcPr>
                  <w:tcW w:w="228" w:type="pct"/>
                  <w:vMerge w:val="continue"/>
                  <w:tcBorders>
                    <w:tl2br w:val="nil"/>
                    <w:tr2bl w:val="nil"/>
                  </w:tcBorders>
                  <w:noWrap w:val="0"/>
                  <w:vAlign w:val="center"/>
                </w:tcPr>
                <w:p w14:paraId="45355360">
                  <w:pPr>
                    <w:keepNext w:val="0"/>
                    <w:keepLines w:val="0"/>
                    <w:widowControl/>
                    <w:suppressLineNumbers w:val="0"/>
                    <w:jc w:val="center"/>
                    <w:textAlignment w:val="center"/>
                  </w:pPr>
                </w:p>
              </w:tc>
              <w:tc>
                <w:tcPr>
                  <w:tcW w:w="473" w:type="pct"/>
                  <w:vMerge w:val="continue"/>
                  <w:tcBorders>
                    <w:tl2br w:val="nil"/>
                    <w:tr2bl w:val="nil"/>
                  </w:tcBorders>
                  <w:noWrap w:val="0"/>
                  <w:vAlign w:val="center"/>
                </w:tcPr>
                <w:p w14:paraId="68EF934A">
                  <w:pPr>
                    <w:keepNext w:val="0"/>
                    <w:keepLines w:val="0"/>
                    <w:widowControl/>
                    <w:suppressLineNumbers w:val="0"/>
                    <w:jc w:val="center"/>
                    <w:textAlignment w:val="center"/>
                  </w:pPr>
                </w:p>
              </w:tc>
              <w:tc>
                <w:tcPr>
                  <w:tcW w:w="433" w:type="pct"/>
                  <w:tcBorders>
                    <w:tl2br w:val="nil"/>
                    <w:tr2bl w:val="nil"/>
                  </w:tcBorders>
                  <w:shd w:val="clear" w:color="auto" w:fill="auto"/>
                  <w:noWrap w:val="0"/>
                  <w:vAlign w:val="center"/>
                </w:tcPr>
                <w:p w14:paraId="4BDAF5A9">
                  <w:pPr>
                    <w:keepNext w:val="0"/>
                    <w:keepLines w:val="0"/>
                    <w:widowControl/>
                    <w:suppressLineNumbers w:val="0"/>
                    <w:jc w:val="center"/>
                    <w:textAlignment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lang w:val="en-US" w:eastAsia="zh-CN"/>
                    </w:rPr>
                    <w:t>SS</w:t>
                  </w:r>
                </w:p>
              </w:tc>
              <w:tc>
                <w:tcPr>
                  <w:tcW w:w="467" w:type="pct"/>
                  <w:vMerge w:val="continue"/>
                  <w:tcBorders>
                    <w:tl2br w:val="nil"/>
                    <w:tr2bl w:val="nil"/>
                  </w:tcBorders>
                  <w:noWrap w:val="0"/>
                  <w:vAlign w:val="center"/>
                </w:tcPr>
                <w:p w14:paraId="4E1E3097">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rPr>
                  </w:pPr>
                </w:p>
              </w:tc>
              <w:tc>
                <w:tcPr>
                  <w:tcW w:w="619" w:type="pct"/>
                  <w:tcBorders>
                    <w:tl2br w:val="nil"/>
                    <w:tr2bl w:val="nil"/>
                  </w:tcBorders>
                  <w:noWrap w:val="0"/>
                  <w:vAlign w:val="center"/>
                </w:tcPr>
                <w:p w14:paraId="62315DF2">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rPr>
                  </w:pPr>
                  <w:r>
                    <w:rPr>
                      <w:rFonts w:hint="eastAsia" w:ascii="Times New Roman" w:hAnsi="Times New Roman" w:eastAsia="仿宋_GB2312" w:cs="Times New Roman"/>
                      <w:color w:val="auto"/>
                      <w:sz w:val="21"/>
                      <w:szCs w:val="21"/>
                      <w:highlight w:val="none"/>
                      <w:lang w:val="en-US" w:eastAsia="zh-CN"/>
                    </w:rPr>
                    <w:t>200</w:t>
                  </w:r>
                </w:p>
              </w:tc>
              <w:tc>
                <w:tcPr>
                  <w:tcW w:w="619" w:type="pct"/>
                  <w:tcBorders>
                    <w:tl2br w:val="nil"/>
                    <w:tr2bl w:val="nil"/>
                  </w:tcBorders>
                  <w:noWrap w:val="0"/>
                  <w:vAlign w:val="center"/>
                </w:tcPr>
                <w:p w14:paraId="56760BD1">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0.0181</w:t>
                  </w:r>
                </w:p>
              </w:tc>
              <w:tc>
                <w:tcPr>
                  <w:tcW w:w="236" w:type="pct"/>
                  <w:vMerge w:val="continue"/>
                  <w:tcBorders>
                    <w:tl2br w:val="nil"/>
                    <w:tr2bl w:val="nil"/>
                  </w:tcBorders>
                  <w:noWrap w:val="0"/>
                  <w:vAlign w:val="center"/>
                </w:tcPr>
                <w:p w14:paraId="1760690B">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rPr>
                  </w:pPr>
                </w:p>
              </w:tc>
              <w:tc>
                <w:tcPr>
                  <w:tcW w:w="273" w:type="pct"/>
                  <w:vMerge w:val="continue"/>
                  <w:tcBorders>
                    <w:tl2br w:val="nil"/>
                    <w:tr2bl w:val="nil"/>
                  </w:tcBorders>
                  <w:noWrap w:val="0"/>
                  <w:vAlign w:val="center"/>
                </w:tcPr>
                <w:p w14:paraId="5A42693E">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rPr>
                  </w:pPr>
                </w:p>
              </w:tc>
              <w:tc>
                <w:tcPr>
                  <w:tcW w:w="462" w:type="pct"/>
                  <w:tcBorders>
                    <w:tl2br w:val="nil"/>
                    <w:tr2bl w:val="nil"/>
                  </w:tcBorders>
                  <w:noWrap w:val="0"/>
                  <w:vAlign w:val="center"/>
                </w:tcPr>
                <w:p w14:paraId="55518C89">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lang w:val="en-US" w:eastAsia="zh-CN" w:bidi="ar"/>
                    </w:rPr>
                    <w:t>/</w:t>
                  </w:r>
                </w:p>
              </w:tc>
              <w:tc>
                <w:tcPr>
                  <w:tcW w:w="416" w:type="pct"/>
                  <w:tcBorders>
                    <w:tl2br w:val="nil"/>
                    <w:tr2bl w:val="nil"/>
                  </w:tcBorders>
                  <w:shd w:val="clear" w:color="auto" w:fill="auto"/>
                  <w:noWrap w:val="0"/>
                  <w:vAlign w:val="center"/>
                </w:tcPr>
                <w:p w14:paraId="5203D4B2">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2"/>
                      <w:sz w:val="21"/>
                      <w:szCs w:val="21"/>
                      <w:highlight w:val="none"/>
                      <w:lang w:val="en-US" w:eastAsia="zh-CN" w:bidi="ar-SA"/>
                    </w:rPr>
                    <w:t>/</w:t>
                  </w:r>
                </w:p>
              </w:tc>
              <w:tc>
                <w:tcPr>
                  <w:tcW w:w="437" w:type="pct"/>
                  <w:tcBorders>
                    <w:tl2br w:val="nil"/>
                    <w:tr2bl w:val="nil"/>
                  </w:tcBorders>
                  <w:noWrap w:val="0"/>
                  <w:vAlign w:val="center"/>
                </w:tcPr>
                <w:p w14:paraId="61BA9B8E">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lang w:val="en-US" w:eastAsia="zh-CN"/>
                    </w:rPr>
                    <w:t>/</w:t>
                  </w:r>
                </w:p>
              </w:tc>
              <w:tc>
                <w:tcPr>
                  <w:tcW w:w="331" w:type="pct"/>
                  <w:vMerge w:val="continue"/>
                  <w:tcBorders>
                    <w:tl2br w:val="nil"/>
                    <w:tr2bl w:val="nil"/>
                  </w:tcBorders>
                  <w:noWrap w:val="0"/>
                  <w:vAlign w:val="center"/>
                </w:tcPr>
                <w:p w14:paraId="030F449C">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rPr>
                  </w:pPr>
                </w:p>
              </w:tc>
            </w:tr>
            <w:tr w14:paraId="544F43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8" w:type="pct"/>
                  <w:vMerge w:val="continue"/>
                  <w:tcBorders>
                    <w:tl2br w:val="nil"/>
                    <w:tr2bl w:val="nil"/>
                  </w:tcBorders>
                  <w:noWrap w:val="0"/>
                  <w:vAlign w:val="center"/>
                </w:tcPr>
                <w:p w14:paraId="23CAB489">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rPr>
                  </w:pPr>
                </w:p>
              </w:tc>
              <w:tc>
                <w:tcPr>
                  <w:tcW w:w="473" w:type="pct"/>
                  <w:vMerge w:val="continue"/>
                  <w:tcBorders>
                    <w:tl2br w:val="nil"/>
                    <w:tr2bl w:val="nil"/>
                  </w:tcBorders>
                  <w:noWrap w:val="0"/>
                  <w:vAlign w:val="center"/>
                </w:tcPr>
                <w:p w14:paraId="390C8161">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rPr>
                  </w:pPr>
                </w:p>
              </w:tc>
              <w:tc>
                <w:tcPr>
                  <w:tcW w:w="433" w:type="pct"/>
                  <w:tcBorders>
                    <w:tl2br w:val="nil"/>
                    <w:tr2bl w:val="nil"/>
                  </w:tcBorders>
                  <w:noWrap w:val="0"/>
                  <w:vAlign w:val="center"/>
                </w:tcPr>
                <w:p w14:paraId="26B16366">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HCL</w:t>
                  </w:r>
                </w:p>
              </w:tc>
              <w:tc>
                <w:tcPr>
                  <w:tcW w:w="467" w:type="pct"/>
                  <w:vMerge w:val="continue"/>
                  <w:tcBorders>
                    <w:tl2br w:val="nil"/>
                    <w:tr2bl w:val="nil"/>
                  </w:tcBorders>
                  <w:noWrap w:val="0"/>
                  <w:vAlign w:val="center"/>
                </w:tcPr>
                <w:p w14:paraId="6ED1705D">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rPr>
                  </w:pPr>
                </w:p>
              </w:tc>
              <w:tc>
                <w:tcPr>
                  <w:tcW w:w="619" w:type="pct"/>
                  <w:tcBorders>
                    <w:tl2br w:val="nil"/>
                    <w:tr2bl w:val="nil"/>
                  </w:tcBorders>
                  <w:noWrap w:val="0"/>
                  <w:vAlign w:val="center"/>
                </w:tcPr>
                <w:p w14:paraId="58B02859">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80</w:t>
                  </w:r>
                </w:p>
              </w:tc>
              <w:tc>
                <w:tcPr>
                  <w:tcW w:w="619" w:type="pct"/>
                  <w:tcBorders>
                    <w:tl2br w:val="nil"/>
                    <w:tr2bl w:val="nil"/>
                  </w:tcBorders>
                  <w:noWrap w:val="0"/>
                  <w:vAlign w:val="center"/>
                </w:tcPr>
                <w:p w14:paraId="1BCAAAA9">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0.0073</w:t>
                  </w:r>
                </w:p>
              </w:tc>
              <w:tc>
                <w:tcPr>
                  <w:tcW w:w="236" w:type="pct"/>
                  <w:vMerge w:val="continue"/>
                  <w:tcBorders>
                    <w:tl2br w:val="nil"/>
                    <w:tr2bl w:val="nil"/>
                  </w:tcBorders>
                  <w:noWrap w:val="0"/>
                  <w:vAlign w:val="center"/>
                </w:tcPr>
                <w:p w14:paraId="3EFDF0C5">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rPr>
                  </w:pPr>
                </w:p>
              </w:tc>
              <w:tc>
                <w:tcPr>
                  <w:tcW w:w="273" w:type="pct"/>
                  <w:vMerge w:val="continue"/>
                  <w:tcBorders>
                    <w:tl2br w:val="nil"/>
                    <w:tr2bl w:val="nil"/>
                  </w:tcBorders>
                  <w:noWrap w:val="0"/>
                  <w:vAlign w:val="center"/>
                </w:tcPr>
                <w:p w14:paraId="1280B3A7">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rPr>
                  </w:pPr>
                </w:p>
              </w:tc>
              <w:tc>
                <w:tcPr>
                  <w:tcW w:w="462" w:type="pct"/>
                  <w:tcBorders>
                    <w:tl2br w:val="nil"/>
                    <w:tr2bl w:val="nil"/>
                  </w:tcBorders>
                  <w:noWrap w:val="0"/>
                  <w:vAlign w:val="center"/>
                </w:tcPr>
                <w:p w14:paraId="6098DA25">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lang w:val="en-US" w:eastAsia="zh-CN" w:bidi="ar"/>
                    </w:rPr>
                    <w:t>/</w:t>
                  </w:r>
                </w:p>
              </w:tc>
              <w:tc>
                <w:tcPr>
                  <w:tcW w:w="416" w:type="pct"/>
                  <w:tcBorders>
                    <w:tl2br w:val="nil"/>
                    <w:tr2bl w:val="nil"/>
                  </w:tcBorders>
                  <w:shd w:val="clear" w:color="auto" w:fill="auto"/>
                  <w:noWrap w:val="0"/>
                  <w:vAlign w:val="center"/>
                </w:tcPr>
                <w:p w14:paraId="7A774D5D">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2"/>
                      <w:sz w:val="21"/>
                      <w:szCs w:val="21"/>
                      <w:highlight w:val="none"/>
                      <w:lang w:val="en-US" w:eastAsia="zh-CN" w:bidi="ar-SA"/>
                    </w:rPr>
                    <w:t>/</w:t>
                  </w:r>
                </w:p>
              </w:tc>
              <w:tc>
                <w:tcPr>
                  <w:tcW w:w="437" w:type="pct"/>
                  <w:tcBorders>
                    <w:tl2br w:val="nil"/>
                    <w:tr2bl w:val="nil"/>
                  </w:tcBorders>
                  <w:noWrap w:val="0"/>
                  <w:vAlign w:val="center"/>
                </w:tcPr>
                <w:p w14:paraId="6784D59D">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lang w:val="en-US" w:eastAsia="zh-CN"/>
                    </w:rPr>
                    <w:t>/</w:t>
                  </w:r>
                </w:p>
              </w:tc>
              <w:tc>
                <w:tcPr>
                  <w:tcW w:w="331" w:type="pct"/>
                  <w:vMerge w:val="continue"/>
                  <w:tcBorders>
                    <w:tl2br w:val="nil"/>
                    <w:tr2bl w:val="nil"/>
                  </w:tcBorders>
                  <w:noWrap w:val="0"/>
                  <w:vAlign w:val="center"/>
                </w:tcPr>
                <w:p w14:paraId="4A3EA0D5">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rPr>
                  </w:pPr>
                </w:p>
              </w:tc>
            </w:tr>
            <w:tr w14:paraId="442E9C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228" w:type="pct"/>
                  <w:vMerge w:val="restart"/>
                  <w:tcBorders>
                    <w:tl2br w:val="nil"/>
                    <w:tr2bl w:val="nil"/>
                  </w:tcBorders>
                  <w:noWrap w:val="0"/>
                  <w:vAlign w:val="center"/>
                </w:tcPr>
                <w:p w14:paraId="0DC57739">
                  <w:pPr>
                    <w:jc w:val="center"/>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仿宋_GB2312" w:cs="Times New Roman"/>
                      <w:sz w:val="21"/>
                      <w:szCs w:val="21"/>
                    </w:rPr>
                    <w:t>超滤膜反冲洗</w:t>
                  </w:r>
                  <w:r>
                    <w:rPr>
                      <w:rFonts w:hint="default" w:ascii="Times New Roman" w:hAnsi="Times New Roman" w:eastAsia="仿宋_GB2312" w:cs="Times New Roman"/>
                      <w:sz w:val="21"/>
                      <w:szCs w:val="21"/>
                      <w:lang w:val="en-US" w:eastAsia="zh-CN"/>
                    </w:rPr>
                    <w:t>废水</w:t>
                  </w:r>
                  <w:r>
                    <w:rPr>
                      <w:rFonts w:hint="default" w:ascii="Times New Roman" w:hAnsi="Times New Roman" w:eastAsia="仿宋_GB2312" w:cs="Times New Roman"/>
                      <w:sz w:val="21"/>
                      <w:szCs w:val="21"/>
                    </w:rPr>
                    <w:t>W3</w:t>
                  </w:r>
                </w:p>
              </w:tc>
              <w:tc>
                <w:tcPr>
                  <w:tcW w:w="473" w:type="pct"/>
                  <w:vMerge w:val="restart"/>
                  <w:tcBorders>
                    <w:tl2br w:val="nil"/>
                    <w:tr2bl w:val="nil"/>
                  </w:tcBorders>
                  <w:noWrap w:val="0"/>
                  <w:vAlign w:val="center"/>
                </w:tcPr>
                <w:p w14:paraId="098B9827">
                  <w:pPr>
                    <w:jc w:val="center"/>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仿宋_GB2312" w:cs="Times New Roman"/>
                      <w:color w:val="auto"/>
                      <w:sz w:val="21"/>
                      <w:szCs w:val="21"/>
                      <w:highlight w:val="none"/>
                      <w:lang w:val="en-US" w:eastAsia="zh-CN"/>
                    </w:rPr>
                    <w:t>288</w:t>
                  </w:r>
                </w:p>
              </w:tc>
              <w:tc>
                <w:tcPr>
                  <w:tcW w:w="433" w:type="pct"/>
                  <w:tcBorders>
                    <w:tl2br w:val="nil"/>
                    <w:tr2bl w:val="nil"/>
                  </w:tcBorders>
                  <w:shd w:val="clear" w:color="auto" w:fill="auto"/>
                  <w:noWrap w:val="0"/>
                  <w:vAlign w:val="center"/>
                </w:tcPr>
                <w:p w14:paraId="78BB0E9D">
                  <w:pPr>
                    <w:keepNext w:val="0"/>
                    <w:keepLines w:val="0"/>
                    <w:widowControl/>
                    <w:suppressLineNumbers w:val="0"/>
                    <w:jc w:val="center"/>
                    <w:textAlignment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lang w:val="en-US" w:eastAsia="zh-CN"/>
                    </w:rPr>
                    <w:t>氯化物</w:t>
                  </w:r>
                </w:p>
              </w:tc>
              <w:tc>
                <w:tcPr>
                  <w:tcW w:w="467" w:type="pct"/>
                  <w:vMerge w:val="restart"/>
                  <w:tcBorders>
                    <w:tl2br w:val="nil"/>
                    <w:tr2bl w:val="nil"/>
                  </w:tcBorders>
                  <w:noWrap w:val="0"/>
                  <w:vAlign w:val="center"/>
                </w:tcPr>
                <w:p w14:paraId="01E1E509">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仿宋_GB2312" w:cs="Times New Roman"/>
                      <w:color w:val="auto"/>
                      <w:sz w:val="21"/>
                      <w:szCs w:val="21"/>
                      <w:highlight w:val="none"/>
                      <w:lang w:val="en-US" w:eastAsia="zh-CN"/>
                    </w:rPr>
                    <w:t>类比法</w:t>
                  </w:r>
                </w:p>
              </w:tc>
              <w:tc>
                <w:tcPr>
                  <w:tcW w:w="619" w:type="pct"/>
                  <w:tcBorders>
                    <w:tl2br w:val="nil"/>
                    <w:tr2bl w:val="nil"/>
                  </w:tcBorders>
                  <w:shd w:val="clear" w:color="auto" w:fill="auto"/>
                  <w:noWrap w:val="0"/>
                  <w:vAlign w:val="center"/>
                </w:tcPr>
                <w:p w14:paraId="149CEAB2">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100</w:t>
                  </w:r>
                </w:p>
              </w:tc>
              <w:tc>
                <w:tcPr>
                  <w:tcW w:w="619" w:type="pct"/>
                  <w:tcBorders>
                    <w:tl2br w:val="nil"/>
                    <w:tr2bl w:val="nil"/>
                  </w:tcBorders>
                  <w:noWrap w:val="0"/>
                  <w:vAlign w:val="center"/>
                </w:tcPr>
                <w:p w14:paraId="51FC2940">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0.0288</w:t>
                  </w:r>
                </w:p>
              </w:tc>
              <w:tc>
                <w:tcPr>
                  <w:tcW w:w="236" w:type="pct"/>
                  <w:vMerge w:val="restart"/>
                  <w:tcBorders>
                    <w:tl2br w:val="nil"/>
                    <w:tr2bl w:val="nil"/>
                  </w:tcBorders>
                  <w:noWrap w:val="0"/>
                  <w:vAlign w:val="center"/>
                </w:tcPr>
                <w:p w14:paraId="3120CC8A">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lang w:val="en-US" w:eastAsia="zh-CN" w:bidi="ar"/>
                    </w:rPr>
                    <w:t>/</w:t>
                  </w:r>
                </w:p>
              </w:tc>
              <w:tc>
                <w:tcPr>
                  <w:tcW w:w="273" w:type="pct"/>
                  <w:vMerge w:val="restart"/>
                  <w:tcBorders>
                    <w:tl2br w:val="nil"/>
                    <w:tr2bl w:val="nil"/>
                  </w:tcBorders>
                  <w:noWrap w:val="0"/>
                  <w:vAlign w:val="center"/>
                </w:tcPr>
                <w:p w14:paraId="79D25DEE">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lang w:val="en-US" w:eastAsia="zh-CN" w:bidi="ar"/>
                    </w:rPr>
                    <w:t>/</w:t>
                  </w:r>
                </w:p>
              </w:tc>
              <w:tc>
                <w:tcPr>
                  <w:tcW w:w="462" w:type="pct"/>
                  <w:tcBorders>
                    <w:tl2br w:val="nil"/>
                    <w:tr2bl w:val="nil"/>
                  </w:tcBorders>
                  <w:noWrap w:val="0"/>
                  <w:vAlign w:val="center"/>
                </w:tcPr>
                <w:p w14:paraId="5DBF61B9">
                  <w:pPr>
                    <w:keepNext w:val="0"/>
                    <w:keepLines w:val="0"/>
                    <w:widowControl/>
                    <w:suppressLineNumbers w:val="0"/>
                    <w:jc w:val="center"/>
                    <w:textAlignment w:val="center"/>
                    <w:rPr>
                      <w:rFonts w:hint="default" w:ascii="Times New Roman" w:hAnsi="Times New Roman" w:eastAsia="仿宋_GB2312" w:cs="Times New Roman"/>
                      <w:color w:val="auto"/>
                      <w:kern w:val="0"/>
                      <w:sz w:val="21"/>
                      <w:szCs w:val="21"/>
                      <w:highlight w:val="none"/>
                      <w:lang w:bidi="ar"/>
                    </w:rPr>
                  </w:pPr>
                  <w:r>
                    <w:rPr>
                      <w:rFonts w:hint="default" w:ascii="Times New Roman" w:hAnsi="Times New Roman" w:eastAsia="仿宋_GB2312" w:cs="Times New Roman"/>
                      <w:color w:val="auto"/>
                      <w:kern w:val="0"/>
                      <w:sz w:val="21"/>
                      <w:szCs w:val="21"/>
                      <w:highlight w:val="none"/>
                      <w:lang w:val="en-US" w:eastAsia="zh-CN" w:bidi="ar"/>
                    </w:rPr>
                    <w:t>/</w:t>
                  </w:r>
                </w:p>
              </w:tc>
              <w:tc>
                <w:tcPr>
                  <w:tcW w:w="416" w:type="pct"/>
                  <w:tcBorders>
                    <w:tl2br w:val="nil"/>
                    <w:tr2bl w:val="nil"/>
                  </w:tcBorders>
                  <w:shd w:val="clear" w:color="auto" w:fill="auto"/>
                  <w:noWrap w:val="0"/>
                  <w:vAlign w:val="center"/>
                </w:tcPr>
                <w:p w14:paraId="7AD3C122">
                  <w:pPr>
                    <w:keepNext w:val="0"/>
                    <w:keepLines w:val="0"/>
                    <w:widowControl/>
                    <w:suppressLineNumbers w:val="0"/>
                    <w:jc w:val="center"/>
                    <w:textAlignment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kern w:val="2"/>
                      <w:sz w:val="21"/>
                      <w:szCs w:val="21"/>
                      <w:highlight w:val="none"/>
                      <w:lang w:val="en-US" w:eastAsia="zh-CN" w:bidi="ar-SA"/>
                    </w:rPr>
                    <w:t>/</w:t>
                  </w:r>
                </w:p>
              </w:tc>
              <w:tc>
                <w:tcPr>
                  <w:tcW w:w="437" w:type="pct"/>
                  <w:tcBorders>
                    <w:tl2br w:val="nil"/>
                    <w:tr2bl w:val="nil"/>
                  </w:tcBorders>
                  <w:noWrap w:val="0"/>
                  <w:vAlign w:val="center"/>
                </w:tcPr>
                <w:p w14:paraId="7184E5C5">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仿宋_GB2312" w:cs="Times New Roman"/>
                      <w:color w:val="auto"/>
                      <w:sz w:val="21"/>
                      <w:szCs w:val="21"/>
                      <w:highlight w:val="none"/>
                      <w:lang w:val="en-US" w:eastAsia="zh-CN"/>
                    </w:rPr>
                    <w:t>/</w:t>
                  </w:r>
                </w:p>
              </w:tc>
              <w:tc>
                <w:tcPr>
                  <w:tcW w:w="331" w:type="pct"/>
                  <w:vMerge w:val="continue"/>
                  <w:tcBorders>
                    <w:tl2br w:val="nil"/>
                    <w:tr2bl w:val="nil"/>
                  </w:tcBorders>
                  <w:noWrap w:val="0"/>
                  <w:vAlign w:val="center"/>
                </w:tcPr>
                <w:p w14:paraId="2AC71473">
                  <w:pPr>
                    <w:topLinePunct/>
                    <w:adjustRightInd w:val="0"/>
                    <w:jc w:val="center"/>
                    <w:rPr>
                      <w:rFonts w:hint="default" w:ascii="Times New Roman" w:hAnsi="Times New Roman" w:eastAsia="仿宋_GB2312" w:cs="Times New Roman"/>
                      <w:color w:val="auto"/>
                      <w:sz w:val="21"/>
                      <w:szCs w:val="21"/>
                      <w:highlight w:val="none"/>
                    </w:rPr>
                  </w:pPr>
                </w:p>
              </w:tc>
            </w:tr>
            <w:tr w14:paraId="0FA1A7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228" w:type="pct"/>
                  <w:vMerge w:val="continue"/>
                  <w:tcBorders>
                    <w:tl2br w:val="nil"/>
                    <w:tr2bl w:val="nil"/>
                  </w:tcBorders>
                  <w:noWrap w:val="0"/>
                  <w:vAlign w:val="center"/>
                </w:tcPr>
                <w:p w14:paraId="580EE4A1">
                  <w:pPr>
                    <w:keepNext w:val="0"/>
                    <w:keepLines w:val="0"/>
                    <w:widowControl/>
                    <w:suppressLineNumbers w:val="0"/>
                    <w:jc w:val="center"/>
                    <w:textAlignment w:val="center"/>
                  </w:pPr>
                </w:p>
              </w:tc>
              <w:tc>
                <w:tcPr>
                  <w:tcW w:w="473" w:type="pct"/>
                  <w:vMerge w:val="continue"/>
                  <w:tcBorders>
                    <w:tl2br w:val="nil"/>
                    <w:tr2bl w:val="nil"/>
                  </w:tcBorders>
                  <w:noWrap w:val="0"/>
                  <w:vAlign w:val="center"/>
                </w:tcPr>
                <w:p w14:paraId="08B4E5C0">
                  <w:pPr>
                    <w:keepNext w:val="0"/>
                    <w:keepLines w:val="0"/>
                    <w:widowControl/>
                    <w:suppressLineNumbers w:val="0"/>
                    <w:jc w:val="center"/>
                    <w:textAlignment w:val="center"/>
                  </w:pPr>
                </w:p>
              </w:tc>
              <w:tc>
                <w:tcPr>
                  <w:tcW w:w="433" w:type="pct"/>
                  <w:tcBorders>
                    <w:tl2br w:val="nil"/>
                    <w:tr2bl w:val="nil"/>
                  </w:tcBorders>
                  <w:shd w:val="clear" w:color="auto" w:fill="auto"/>
                  <w:noWrap w:val="0"/>
                  <w:vAlign w:val="center"/>
                </w:tcPr>
                <w:p w14:paraId="5698B0C9">
                  <w:pPr>
                    <w:keepNext w:val="0"/>
                    <w:keepLines w:val="0"/>
                    <w:widowControl/>
                    <w:suppressLineNumbers w:val="0"/>
                    <w:jc w:val="center"/>
                    <w:textAlignment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lang w:val="en-US" w:eastAsia="zh-CN"/>
                    </w:rPr>
                    <w:t>SS</w:t>
                  </w:r>
                </w:p>
              </w:tc>
              <w:tc>
                <w:tcPr>
                  <w:tcW w:w="467" w:type="pct"/>
                  <w:vMerge w:val="continue"/>
                  <w:tcBorders>
                    <w:tl2br w:val="nil"/>
                    <w:tr2bl w:val="nil"/>
                  </w:tcBorders>
                  <w:noWrap w:val="0"/>
                  <w:vAlign w:val="center"/>
                </w:tcPr>
                <w:p w14:paraId="01C77F47">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lang w:val="en-US" w:eastAsia="zh-CN"/>
                    </w:rPr>
                  </w:pPr>
                </w:p>
              </w:tc>
              <w:tc>
                <w:tcPr>
                  <w:tcW w:w="619" w:type="pct"/>
                  <w:tcBorders>
                    <w:tl2br w:val="nil"/>
                    <w:tr2bl w:val="nil"/>
                  </w:tcBorders>
                  <w:shd w:val="clear" w:color="auto" w:fill="auto"/>
                  <w:noWrap w:val="0"/>
                  <w:vAlign w:val="center"/>
                </w:tcPr>
                <w:p w14:paraId="5A4254EB">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200</w:t>
                  </w:r>
                </w:p>
              </w:tc>
              <w:tc>
                <w:tcPr>
                  <w:tcW w:w="619" w:type="pct"/>
                  <w:tcBorders>
                    <w:tl2br w:val="nil"/>
                    <w:tr2bl w:val="nil"/>
                  </w:tcBorders>
                  <w:noWrap w:val="0"/>
                  <w:vAlign w:val="center"/>
                </w:tcPr>
                <w:p w14:paraId="2AE5273D">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0.0576</w:t>
                  </w:r>
                </w:p>
              </w:tc>
              <w:tc>
                <w:tcPr>
                  <w:tcW w:w="236" w:type="pct"/>
                  <w:vMerge w:val="continue"/>
                  <w:tcBorders>
                    <w:tl2br w:val="nil"/>
                    <w:tr2bl w:val="nil"/>
                  </w:tcBorders>
                  <w:noWrap w:val="0"/>
                  <w:vAlign w:val="center"/>
                </w:tcPr>
                <w:p w14:paraId="69F36B88">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rPr>
                  </w:pPr>
                </w:p>
              </w:tc>
              <w:tc>
                <w:tcPr>
                  <w:tcW w:w="273" w:type="pct"/>
                  <w:vMerge w:val="continue"/>
                  <w:tcBorders>
                    <w:tl2br w:val="nil"/>
                    <w:tr2bl w:val="nil"/>
                  </w:tcBorders>
                  <w:noWrap w:val="0"/>
                  <w:vAlign w:val="center"/>
                </w:tcPr>
                <w:p w14:paraId="6748ECBE">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rPr>
                  </w:pPr>
                </w:p>
              </w:tc>
              <w:tc>
                <w:tcPr>
                  <w:tcW w:w="462" w:type="pct"/>
                  <w:tcBorders>
                    <w:tl2br w:val="nil"/>
                    <w:tr2bl w:val="nil"/>
                  </w:tcBorders>
                  <w:shd w:val="clear" w:color="auto" w:fill="auto"/>
                  <w:noWrap w:val="0"/>
                  <w:vAlign w:val="center"/>
                </w:tcPr>
                <w:p w14:paraId="4FCFCA16">
                  <w:pPr>
                    <w:keepNext w:val="0"/>
                    <w:keepLines w:val="0"/>
                    <w:widowControl/>
                    <w:suppressLineNumbers w:val="0"/>
                    <w:jc w:val="center"/>
                    <w:textAlignment w:val="center"/>
                    <w:rPr>
                      <w:rFonts w:hint="default" w:ascii="Times New Roman" w:hAnsi="Times New Roman" w:eastAsia="仿宋_GB2312" w:cs="Times New Roman"/>
                      <w:color w:val="auto"/>
                      <w:kern w:val="0"/>
                      <w:sz w:val="21"/>
                      <w:szCs w:val="21"/>
                      <w:highlight w:val="none"/>
                      <w:lang w:val="en-US" w:eastAsia="zh-CN" w:bidi="ar"/>
                    </w:rPr>
                  </w:pPr>
                  <w:r>
                    <w:rPr>
                      <w:rFonts w:hint="default" w:ascii="Times New Roman" w:hAnsi="Times New Roman" w:eastAsia="仿宋_GB2312" w:cs="Times New Roman"/>
                      <w:color w:val="auto"/>
                      <w:kern w:val="0"/>
                      <w:sz w:val="21"/>
                      <w:szCs w:val="21"/>
                      <w:highlight w:val="none"/>
                      <w:lang w:val="en-US" w:eastAsia="zh-CN" w:bidi="ar"/>
                    </w:rPr>
                    <w:t>/</w:t>
                  </w:r>
                </w:p>
              </w:tc>
              <w:tc>
                <w:tcPr>
                  <w:tcW w:w="416" w:type="pct"/>
                  <w:tcBorders>
                    <w:tl2br w:val="nil"/>
                    <w:tr2bl w:val="nil"/>
                  </w:tcBorders>
                  <w:shd w:val="clear" w:color="auto" w:fill="auto"/>
                  <w:noWrap w:val="0"/>
                  <w:vAlign w:val="center"/>
                </w:tcPr>
                <w:p w14:paraId="3ED70F17">
                  <w:pPr>
                    <w:keepNext w:val="0"/>
                    <w:keepLines w:val="0"/>
                    <w:widowControl/>
                    <w:suppressLineNumbers w:val="0"/>
                    <w:jc w:val="center"/>
                    <w:textAlignment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kern w:val="2"/>
                      <w:sz w:val="21"/>
                      <w:szCs w:val="21"/>
                      <w:highlight w:val="none"/>
                      <w:lang w:val="en-US" w:eastAsia="zh-CN" w:bidi="ar-SA"/>
                    </w:rPr>
                    <w:t>/</w:t>
                  </w:r>
                </w:p>
              </w:tc>
              <w:tc>
                <w:tcPr>
                  <w:tcW w:w="437" w:type="pct"/>
                  <w:tcBorders>
                    <w:tl2br w:val="nil"/>
                    <w:tr2bl w:val="nil"/>
                  </w:tcBorders>
                  <w:shd w:val="clear" w:color="auto" w:fill="auto"/>
                  <w:noWrap w:val="0"/>
                  <w:vAlign w:val="center"/>
                </w:tcPr>
                <w:p w14:paraId="04CC32F3">
                  <w:pPr>
                    <w:keepNext w:val="0"/>
                    <w:keepLines w:val="0"/>
                    <w:widowControl/>
                    <w:suppressLineNumbers w:val="0"/>
                    <w:jc w:val="center"/>
                    <w:textAlignment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lang w:val="en-US" w:eastAsia="zh-CN"/>
                    </w:rPr>
                    <w:t>/</w:t>
                  </w:r>
                </w:p>
              </w:tc>
              <w:tc>
                <w:tcPr>
                  <w:tcW w:w="331" w:type="pct"/>
                  <w:vMerge w:val="continue"/>
                  <w:tcBorders>
                    <w:tl2br w:val="nil"/>
                    <w:tr2bl w:val="nil"/>
                  </w:tcBorders>
                  <w:noWrap w:val="0"/>
                  <w:vAlign w:val="center"/>
                </w:tcPr>
                <w:p w14:paraId="72B53D6F">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rPr>
                  </w:pPr>
                </w:p>
              </w:tc>
            </w:tr>
            <w:tr w14:paraId="5AC8C1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228" w:type="pct"/>
                  <w:vMerge w:val="restart"/>
                  <w:tcBorders>
                    <w:tl2br w:val="nil"/>
                    <w:tr2bl w:val="nil"/>
                  </w:tcBorders>
                  <w:noWrap w:val="0"/>
                  <w:vAlign w:val="center"/>
                </w:tcPr>
                <w:p w14:paraId="0C799E5F">
                  <w:pPr>
                    <w:jc w:val="center"/>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仿宋_GB2312" w:cs="Times New Roman"/>
                      <w:sz w:val="21"/>
                      <w:szCs w:val="21"/>
                    </w:rPr>
                    <w:t>超滤膜化学清洗</w:t>
                  </w:r>
                  <w:r>
                    <w:rPr>
                      <w:rFonts w:hint="default" w:ascii="Times New Roman" w:hAnsi="Times New Roman" w:eastAsia="仿宋_GB2312" w:cs="Times New Roman"/>
                      <w:sz w:val="21"/>
                      <w:szCs w:val="21"/>
                      <w:lang w:val="en-US" w:eastAsia="zh-CN"/>
                    </w:rPr>
                    <w:t>废水</w:t>
                  </w:r>
                  <w:r>
                    <w:rPr>
                      <w:rFonts w:hint="default" w:ascii="Times New Roman" w:hAnsi="Times New Roman" w:eastAsia="仿宋_GB2312" w:cs="Times New Roman"/>
                      <w:sz w:val="21"/>
                      <w:szCs w:val="21"/>
                    </w:rPr>
                    <w:t>W4</w:t>
                  </w:r>
                </w:p>
              </w:tc>
              <w:tc>
                <w:tcPr>
                  <w:tcW w:w="473" w:type="pct"/>
                  <w:vMerge w:val="restart"/>
                  <w:tcBorders>
                    <w:tl2br w:val="nil"/>
                    <w:tr2bl w:val="nil"/>
                  </w:tcBorders>
                  <w:noWrap w:val="0"/>
                  <w:vAlign w:val="center"/>
                </w:tcPr>
                <w:p w14:paraId="10F8FB69">
                  <w:pPr>
                    <w:jc w:val="center"/>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仿宋_GB2312" w:cs="Times New Roman"/>
                      <w:color w:val="auto"/>
                      <w:sz w:val="21"/>
                      <w:szCs w:val="21"/>
                      <w:highlight w:val="none"/>
                      <w:lang w:val="en-US" w:eastAsia="zh-CN"/>
                    </w:rPr>
                    <w:t>136</w:t>
                  </w:r>
                </w:p>
              </w:tc>
              <w:tc>
                <w:tcPr>
                  <w:tcW w:w="433" w:type="pct"/>
                  <w:tcBorders>
                    <w:tl2br w:val="nil"/>
                    <w:tr2bl w:val="nil"/>
                  </w:tcBorders>
                  <w:shd w:val="clear" w:color="auto" w:fill="auto"/>
                  <w:noWrap w:val="0"/>
                  <w:vAlign w:val="center"/>
                </w:tcPr>
                <w:p w14:paraId="44A3FA13">
                  <w:pPr>
                    <w:keepNext w:val="0"/>
                    <w:keepLines w:val="0"/>
                    <w:widowControl/>
                    <w:suppressLineNumbers w:val="0"/>
                    <w:jc w:val="center"/>
                    <w:textAlignment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lang w:val="en-US" w:eastAsia="zh-CN"/>
                    </w:rPr>
                    <w:t>氯化物</w:t>
                  </w:r>
                </w:p>
              </w:tc>
              <w:tc>
                <w:tcPr>
                  <w:tcW w:w="467" w:type="pct"/>
                  <w:vMerge w:val="restart"/>
                  <w:tcBorders>
                    <w:tl2br w:val="nil"/>
                    <w:tr2bl w:val="nil"/>
                  </w:tcBorders>
                  <w:shd w:val="clear" w:color="auto" w:fill="auto"/>
                  <w:noWrap w:val="0"/>
                  <w:vAlign w:val="center"/>
                </w:tcPr>
                <w:p w14:paraId="2FE65A83">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lang w:val="en-US" w:eastAsia="zh-CN"/>
                    </w:rPr>
                    <w:t>类比法</w:t>
                  </w:r>
                </w:p>
              </w:tc>
              <w:tc>
                <w:tcPr>
                  <w:tcW w:w="619" w:type="pct"/>
                  <w:tcBorders>
                    <w:tl2br w:val="nil"/>
                    <w:tr2bl w:val="nil"/>
                  </w:tcBorders>
                  <w:shd w:val="clear" w:color="auto" w:fill="auto"/>
                  <w:noWrap w:val="0"/>
                  <w:vAlign w:val="center"/>
                </w:tcPr>
                <w:p w14:paraId="29172C4B">
                  <w:pPr>
                    <w:keepNext w:val="0"/>
                    <w:keepLines w:val="0"/>
                    <w:widowControl/>
                    <w:suppressLineNumbers w:val="0"/>
                    <w:jc w:val="center"/>
                    <w:textAlignment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lang w:val="en-US" w:eastAsia="zh-CN"/>
                    </w:rPr>
                    <w:t>100</w:t>
                  </w:r>
                </w:p>
              </w:tc>
              <w:tc>
                <w:tcPr>
                  <w:tcW w:w="619" w:type="pct"/>
                  <w:tcBorders>
                    <w:tl2br w:val="nil"/>
                    <w:tr2bl w:val="nil"/>
                  </w:tcBorders>
                  <w:noWrap w:val="0"/>
                  <w:vAlign w:val="center"/>
                </w:tcPr>
                <w:p w14:paraId="1F1CA4E4">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0.0136</w:t>
                  </w:r>
                </w:p>
              </w:tc>
              <w:tc>
                <w:tcPr>
                  <w:tcW w:w="236" w:type="pct"/>
                  <w:vMerge w:val="restart"/>
                  <w:tcBorders>
                    <w:tl2br w:val="nil"/>
                    <w:tr2bl w:val="nil"/>
                  </w:tcBorders>
                  <w:noWrap w:val="0"/>
                  <w:vAlign w:val="center"/>
                </w:tcPr>
                <w:p w14:paraId="5260B335">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rPr>
                  </w:pPr>
                  <w:r>
                    <w:rPr>
                      <w:rFonts w:hint="eastAsia" w:ascii="Times New Roman" w:hAnsi="Times New Roman" w:eastAsia="仿宋_GB2312" w:cs="Times New Roman"/>
                      <w:color w:val="auto"/>
                      <w:sz w:val="21"/>
                      <w:szCs w:val="21"/>
                      <w:highlight w:val="none"/>
                      <w:lang w:val="en-US" w:eastAsia="zh-CN"/>
                    </w:rPr>
                    <w:t>中和水池</w:t>
                  </w:r>
                </w:p>
              </w:tc>
              <w:tc>
                <w:tcPr>
                  <w:tcW w:w="273" w:type="pct"/>
                  <w:vMerge w:val="restart"/>
                  <w:tcBorders>
                    <w:tl2br w:val="nil"/>
                    <w:tr2bl w:val="nil"/>
                  </w:tcBorders>
                  <w:noWrap w:val="0"/>
                  <w:vAlign w:val="center"/>
                </w:tcPr>
                <w:p w14:paraId="0B2180BF">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2"/>
                      <w:sz w:val="21"/>
                      <w:szCs w:val="21"/>
                      <w:highlight w:val="none"/>
                      <w:lang w:val="en-US" w:eastAsia="zh-CN" w:bidi="ar-SA"/>
                    </w:rPr>
                    <w:t>/</w:t>
                  </w:r>
                </w:p>
              </w:tc>
              <w:tc>
                <w:tcPr>
                  <w:tcW w:w="462" w:type="pct"/>
                  <w:tcBorders>
                    <w:tl2br w:val="nil"/>
                    <w:tr2bl w:val="nil"/>
                  </w:tcBorders>
                  <w:noWrap w:val="0"/>
                  <w:vAlign w:val="center"/>
                </w:tcPr>
                <w:p w14:paraId="30436E66">
                  <w:pPr>
                    <w:keepNext w:val="0"/>
                    <w:keepLines w:val="0"/>
                    <w:widowControl/>
                    <w:suppressLineNumbers w:val="0"/>
                    <w:jc w:val="center"/>
                    <w:textAlignment w:val="center"/>
                    <w:rPr>
                      <w:rFonts w:hint="default" w:ascii="Times New Roman" w:hAnsi="Times New Roman" w:eastAsia="仿宋_GB2312" w:cs="Times New Roman"/>
                      <w:color w:val="auto"/>
                      <w:kern w:val="0"/>
                      <w:sz w:val="21"/>
                      <w:szCs w:val="21"/>
                      <w:highlight w:val="none"/>
                      <w:lang w:bidi="ar"/>
                    </w:rPr>
                  </w:pPr>
                  <w:r>
                    <w:rPr>
                      <w:rFonts w:hint="default" w:ascii="Times New Roman" w:hAnsi="Times New Roman" w:eastAsia="仿宋_GB2312" w:cs="Times New Roman"/>
                      <w:color w:val="auto"/>
                      <w:kern w:val="0"/>
                      <w:sz w:val="21"/>
                      <w:szCs w:val="21"/>
                      <w:highlight w:val="none"/>
                      <w:lang w:val="en-US" w:eastAsia="zh-CN" w:bidi="ar"/>
                    </w:rPr>
                    <w:t>/</w:t>
                  </w:r>
                </w:p>
              </w:tc>
              <w:tc>
                <w:tcPr>
                  <w:tcW w:w="416" w:type="pct"/>
                  <w:tcBorders>
                    <w:tl2br w:val="nil"/>
                    <w:tr2bl w:val="nil"/>
                  </w:tcBorders>
                  <w:shd w:val="clear" w:color="auto" w:fill="auto"/>
                  <w:noWrap w:val="0"/>
                  <w:vAlign w:val="center"/>
                </w:tcPr>
                <w:p w14:paraId="2BA2C9DD">
                  <w:pPr>
                    <w:keepNext w:val="0"/>
                    <w:keepLines w:val="0"/>
                    <w:widowControl/>
                    <w:suppressLineNumbers w:val="0"/>
                    <w:jc w:val="center"/>
                    <w:textAlignment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kern w:val="2"/>
                      <w:sz w:val="21"/>
                      <w:szCs w:val="21"/>
                      <w:highlight w:val="none"/>
                      <w:lang w:val="en-US" w:eastAsia="zh-CN" w:bidi="ar-SA"/>
                    </w:rPr>
                    <w:t>/</w:t>
                  </w:r>
                </w:p>
              </w:tc>
              <w:tc>
                <w:tcPr>
                  <w:tcW w:w="437" w:type="pct"/>
                  <w:tcBorders>
                    <w:tl2br w:val="nil"/>
                    <w:tr2bl w:val="nil"/>
                  </w:tcBorders>
                  <w:noWrap w:val="0"/>
                  <w:vAlign w:val="center"/>
                </w:tcPr>
                <w:p w14:paraId="4ABC663C">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仿宋_GB2312" w:cs="Times New Roman"/>
                      <w:color w:val="auto"/>
                      <w:sz w:val="21"/>
                      <w:szCs w:val="21"/>
                      <w:highlight w:val="none"/>
                      <w:lang w:val="en-US" w:eastAsia="zh-CN"/>
                    </w:rPr>
                    <w:t>/</w:t>
                  </w:r>
                </w:p>
              </w:tc>
              <w:tc>
                <w:tcPr>
                  <w:tcW w:w="331" w:type="pct"/>
                  <w:vMerge w:val="continue"/>
                  <w:tcBorders>
                    <w:tl2br w:val="nil"/>
                    <w:tr2bl w:val="nil"/>
                  </w:tcBorders>
                  <w:noWrap w:val="0"/>
                  <w:vAlign w:val="center"/>
                </w:tcPr>
                <w:p w14:paraId="6327BD54">
                  <w:pPr>
                    <w:topLinePunct/>
                    <w:adjustRightInd w:val="0"/>
                    <w:jc w:val="center"/>
                    <w:rPr>
                      <w:rFonts w:hint="default" w:ascii="Times New Roman" w:hAnsi="Times New Roman" w:eastAsia="仿宋_GB2312" w:cs="Times New Roman"/>
                      <w:color w:val="auto"/>
                      <w:sz w:val="21"/>
                      <w:szCs w:val="21"/>
                      <w:highlight w:val="none"/>
                    </w:rPr>
                  </w:pPr>
                </w:p>
              </w:tc>
            </w:tr>
            <w:tr w14:paraId="462365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7" w:hRule="atLeast"/>
                <w:jc w:val="center"/>
              </w:trPr>
              <w:tc>
                <w:tcPr>
                  <w:tcW w:w="228" w:type="pct"/>
                  <w:vMerge w:val="continue"/>
                  <w:tcBorders>
                    <w:tl2br w:val="nil"/>
                    <w:tr2bl w:val="nil"/>
                  </w:tcBorders>
                  <w:noWrap w:val="0"/>
                  <w:vAlign w:val="center"/>
                </w:tcPr>
                <w:p w14:paraId="7AF7BC58">
                  <w:pPr>
                    <w:keepNext w:val="0"/>
                    <w:keepLines w:val="0"/>
                    <w:widowControl/>
                    <w:suppressLineNumbers w:val="0"/>
                    <w:jc w:val="center"/>
                    <w:textAlignment w:val="center"/>
                  </w:pPr>
                </w:p>
              </w:tc>
              <w:tc>
                <w:tcPr>
                  <w:tcW w:w="473" w:type="pct"/>
                  <w:vMerge w:val="continue"/>
                  <w:tcBorders>
                    <w:tl2br w:val="nil"/>
                    <w:tr2bl w:val="nil"/>
                  </w:tcBorders>
                  <w:noWrap w:val="0"/>
                  <w:vAlign w:val="center"/>
                </w:tcPr>
                <w:p w14:paraId="241144FB">
                  <w:pPr>
                    <w:keepNext w:val="0"/>
                    <w:keepLines w:val="0"/>
                    <w:widowControl/>
                    <w:suppressLineNumbers w:val="0"/>
                    <w:jc w:val="center"/>
                    <w:textAlignment w:val="center"/>
                  </w:pPr>
                </w:p>
              </w:tc>
              <w:tc>
                <w:tcPr>
                  <w:tcW w:w="433" w:type="pct"/>
                  <w:tcBorders>
                    <w:tl2br w:val="nil"/>
                    <w:tr2bl w:val="nil"/>
                  </w:tcBorders>
                  <w:shd w:val="clear" w:color="auto" w:fill="auto"/>
                  <w:noWrap w:val="0"/>
                  <w:vAlign w:val="center"/>
                </w:tcPr>
                <w:p w14:paraId="23D21E41">
                  <w:pPr>
                    <w:keepNext w:val="0"/>
                    <w:keepLines w:val="0"/>
                    <w:widowControl/>
                    <w:suppressLineNumbers w:val="0"/>
                    <w:jc w:val="center"/>
                    <w:textAlignment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lang w:val="en-US" w:eastAsia="zh-CN"/>
                    </w:rPr>
                    <w:t>SS</w:t>
                  </w:r>
                </w:p>
              </w:tc>
              <w:tc>
                <w:tcPr>
                  <w:tcW w:w="467" w:type="pct"/>
                  <w:vMerge w:val="continue"/>
                  <w:tcBorders>
                    <w:tl2br w:val="nil"/>
                    <w:tr2bl w:val="nil"/>
                  </w:tcBorders>
                  <w:noWrap w:val="0"/>
                  <w:vAlign w:val="center"/>
                </w:tcPr>
                <w:p w14:paraId="7913DD05">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rPr>
                  </w:pPr>
                </w:p>
              </w:tc>
              <w:tc>
                <w:tcPr>
                  <w:tcW w:w="619" w:type="pct"/>
                  <w:tcBorders>
                    <w:tl2br w:val="nil"/>
                    <w:tr2bl w:val="nil"/>
                  </w:tcBorders>
                  <w:shd w:val="clear" w:color="auto" w:fill="auto"/>
                  <w:noWrap w:val="0"/>
                  <w:vAlign w:val="center"/>
                </w:tcPr>
                <w:p w14:paraId="59892BA7">
                  <w:pPr>
                    <w:keepNext w:val="0"/>
                    <w:keepLines w:val="0"/>
                    <w:widowControl/>
                    <w:suppressLineNumbers w:val="0"/>
                    <w:jc w:val="center"/>
                    <w:textAlignment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lang w:val="en-US" w:eastAsia="zh-CN"/>
                    </w:rPr>
                    <w:t>200</w:t>
                  </w:r>
                </w:p>
              </w:tc>
              <w:tc>
                <w:tcPr>
                  <w:tcW w:w="619" w:type="pct"/>
                  <w:tcBorders>
                    <w:tl2br w:val="nil"/>
                    <w:tr2bl w:val="nil"/>
                  </w:tcBorders>
                  <w:noWrap w:val="0"/>
                  <w:vAlign w:val="center"/>
                </w:tcPr>
                <w:p w14:paraId="42AF494A">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0.0272</w:t>
                  </w:r>
                </w:p>
              </w:tc>
              <w:tc>
                <w:tcPr>
                  <w:tcW w:w="236" w:type="pct"/>
                  <w:vMerge w:val="continue"/>
                  <w:tcBorders>
                    <w:tl2br w:val="nil"/>
                    <w:tr2bl w:val="nil"/>
                  </w:tcBorders>
                  <w:noWrap w:val="0"/>
                  <w:vAlign w:val="center"/>
                </w:tcPr>
                <w:p w14:paraId="7761666E">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rPr>
                  </w:pPr>
                </w:p>
              </w:tc>
              <w:tc>
                <w:tcPr>
                  <w:tcW w:w="273" w:type="pct"/>
                  <w:vMerge w:val="continue"/>
                  <w:tcBorders>
                    <w:tl2br w:val="nil"/>
                    <w:tr2bl w:val="nil"/>
                  </w:tcBorders>
                  <w:noWrap w:val="0"/>
                  <w:vAlign w:val="center"/>
                </w:tcPr>
                <w:p w14:paraId="6B457CB3">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rPr>
                  </w:pPr>
                </w:p>
              </w:tc>
              <w:tc>
                <w:tcPr>
                  <w:tcW w:w="462" w:type="pct"/>
                  <w:tcBorders>
                    <w:tl2br w:val="nil"/>
                    <w:tr2bl w:val="nil"/>
                  </w:tcBorders>
                  <w:noWrap w:val="0"/>
                  <w:vAlign w:val="center"/>
                </w:tcPr>
                <w:p w14:paraId="3DCAE685">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lang w:val="en-US" w:eastAsia="zh-CN" w:bidi="ar"/>
                    </w:rPr>
                    <w:t>/</w:t>
                  </w:r>
                </w:p>
              </w:tc>
              <w:tc>
                <w:tcPr>
                  <w:tcW w:w="416" w:type="pct"/>
                  <w:tcBorders>
                    <w:tl2br w:val="nil"/>
                    <w:tr2bl w:val="nil"/>
                  </w:tcBorders>
                  <w:shd w:val="clear" w:color="auto" w:fill="auto"/>
                  <w:noWrap w:val="0"/>
                  <w:vAlign w:val="center"/>
                </w:tcPr>
                <w:p w14:paraId="531CD9E8">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2"/>
                      <w:sz w:val="21"/>
                      <w:szCs w:val="21"/>
                      <w:highlight w:val="none"/>
                      <w:lang w:val="en-US" w:eastAsia="zh-CN" w:bidi="ar-SA"/>
                    </w:rPr>
                    <w:t>/</w:t>
                  </w:r>
                </w:p>
              </w:tc>
              <w:tc>
                <w:tcPr>
                  <w:tcW w:w="437" w:type="pct"/>
                  <w:tcBorders>
                    <w:tl2br w:val="nil"/>
                    <w:tr2bl w:val="nil"/>
                  </w:tcBorders>
                  <w:noWrap w:val="0"/>
                  <w:vAlign w:val="center"/>
                </w:tcPr>
                <w:p w14:paraId="5143D0B2">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lang w:val="en-US" w:eastAsia="zh-CN"/>
                    </w:rPr>
                    <w:t>/</w:t>
                  </w:r>
                </w:p>
              </w:tc>
              <w:tc>
                <w:tcPr>
                  <w:tcW w:w="331" w:type="pct"/>
                  <w:vMerge w:val="continue"/>
                  <w:tcBorders>
                    <w:tl2br w:val="nil"/>
                    <w:tr2bl w:val="nil"/>
                  </w:tcBorders>
                  <w:noWrap w:val="0"/>
                  <w:vAlign w:val="center"/>
                </w:tcPr>
                <w:p w14:paraId="502C8E0F">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rPr>
                  </w:pPr>
                </w:p>
              </w:tc>
            </w:tr>
            <w:tr w14:paraId="3C2244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continue"/>
                  <w:tcBorders>
                    <w:tl2br w:val="nil"/>
                    <w:tr2bl w:val="nil"/>
                  </w:tcBorders>
                  <w:noWrap w:val="0"/>
                  <w:vAlign w:val="center"/>
                </w:tcPr>
                <w:p w14:paraId="0588A461">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rPr>
                  </w:pPr>
                </w:p>
              </w:tc>
              <w:tc>
                <w:tcPr>
                  <w:tcW w:w="473" w:type="pct"/>
                  <w:vMerge w:val="continue"/>
                  <w:tcBorders>
                    <w:tl2br w:val="nil"/>
                    <w:tr2bl w:val="nil"/>
                  </w:tcBorders>
                  <w:noWrap w:val="0"/>
                  <w:vAlign w:val="center"/>
                </w:tcPr>
                <w:p w14:paraId="65678F8A">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rPr>
                  </w:pPr>
                </w:p>
              </w:tc>
              <w:tc>
                <w:tcPr>
                  <w:tcW w:w="433" w:type="pct"/>
                  <w:tcBorders>
                    <w:tl2br w:val="nil"/>
                    <w:tr2bl w:val="nil"/>
                  </w:tcBorders>
                  <w:shd w:val="clear" w:color="auto" w:fill="auto"/>
                  <w:noWrap w:val="0"/>
                  <w:vAlign w:val="center"/>
                </w:tcPr>
                <w:p w14:paraId="086D7DEB">
                  <w:pPr>
                    <w:keepNext w:val="0"/>
                    <w:keepLines w:val="0"/>
                    <w:widowControl/>
                    <w:suppressLineNumbers w:val="0"/>
                    <w:jc w:val="center"/>
                    <w:textAlignment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lang w:val="en-US" w:eastAsia="zh-CN"/>
                    </w:rPr>
                    <w:t>HCL</w:t>
                  </w:r>
                </w:p>
              </w:tc>
              <w:tc>
                <w:tcPr>
                  <w:tcW w:w="467" w:type="pct"/>
                  <w:vMerge w:val="continue"/>
                  <w:tcBorders>
                    <w:tl2br w:val="nil"/>
                    <w:tr2bl w:val="nil"/>
                  </w:tcBorders>
                  <w:noWrap w:val="0"/>
                  <w:vAlign w:val="center"/>
                </w:tcPr>
                <w:p w14:paraId="68ACA330">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rPr>
                  </w:pPr>
                </w:p>
              </w:tc>
              <w:tc>
                <w:tcPr>
                  <w:tcW w:w="619" w:type="pct"/>
                  <w:tcBorders>
                    <w:tl2br w:val="nil"/>
                    <w:tr2bl w:val="nil"/>
                  </w:tcBorders>
                  <w:shd w:val="clear" w:color="auto" w:fill="auto"/>
                  <w:noWrap w:val="0"/>
                  <w:vAlign w:val="center"/>
                </w:tcPr>
                <w:p w14:paraId="79EB18F7">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80</w:t>
                  </w:r>
                </w:p>
              </w:tc>
              <w:tc>
                <w:tcPr>
                  <w:tcW w:w="619" w:type="pct"/>
                  <w:tcBorders>
                    <w:tl2br w:val="nil"/>
                    <w:tr2bl w:val="nil"/>
                  </w:tcBorders>
                  <w:noWrap w:val="0"/>
                  <w:vAlign w:val="center"/>
                </w:tcPr>
                <w:p w14:paraId="4084C1C4">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0.0109</w:t>
                  </w:r>
                </w:p>
              </w:tc>
              <w:tc>
                <w:tcPr>
                  <w:tcW w:w="236" w:type="pct"/>
                  <w:vMerge w:val="continue"/>
                  <w:tcBorders>
                    <w:tl2br w:val="nil"/>
                    <w:tr2bl w:val="nil"/>
                  </w:tcBorders>
                  <w:noWrap w:val="0"/>
                  <w:vAlign w:val="center"/>
                </w:tcPr>
                <w:p w14:paraId="0265FD13">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rPr>
                  </w:pPr>
                </w:p>
              </w:tc>
              <w:tc>
                <w:tcPr>
                  <w:tcW w:w="273" w:type="pct"/>
                  <w:vMerge w:val="continue"/>
                  <w:tcBorders>
                    <w:tl2br w:val="nil"/>
                    <w:tr2bl w:val="nil"/>
                  </w:tcBorders>
                  <w:noWrap w:val="0"/>
                  <w:vAlign w:val="center"/>
                </w:tcPr>
                <w:p w14:paraId="7076643E">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rPr>
                  </w:pPr>
                </w:p>
              </w:tc>
              <w:tc>
                <w:tcPr>
                  <w:tcW w:w="462" w:type="pct"/>
                  <w:tcBorders>
                    <w:tl2br w:val="nil"/>
                    <w:tr2bl w:val="nil"/>
                  </w:tcBorders>
                  <w:noWrap w:val="0"/>
                  <w:vAlign w:val="center"/>
                </w:tcPr>
                <w:p w14:paraId="1E5159F9">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lang w:val="en-US" w:eastAsia="zh-CN" w:bidi="ar"/>
                    </w:rPr>
                    <w:t>/</w:t>
                  </w:r>
                </w:p>
              </w:tc>
              <w:tc>
                <w:tcPr>
                  <w:tcW w:w="416" w:type="pct"/>
                  <w:tcBorders>
                    <w:tl2br w:val="nil"/>
                    <w:tr2bl w:val="nil"/>
                  </w:tcBorders>
                  <w:shd w:val="clear" w:color="auto" w:fill="auto"/>
                  <w:noWrap w:val="0"/>
                  <w:vAlign w:val="center"/>
                </w:tcPr>
                <w:p w14:paraId="15D49061">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2"/>
                      <w:sz w:val="21"/>
                      <w:szCs w:val="21"/>
                      <w:highlight w:val="none"/>
                      <w:lang w:val="en-US" w:eastAsia="zh-CN" w:bidi="ar-SA"/>
                    </w:rPr>
                    <w:t>/</w:t>
                  </w:r>
                </w:p>
              </w:tc>
              <w:tc>
                <w:tcPr>
                  <w:tcW w:w="437" w:type="pct"/>
                  <w:tcBorders>
                    <w:tl2br w:val="nil"/>
                    <w:tr2bl w:val="nil"/>
                  </w:tcBorders>
                  <w:noWrap w:val="0"/>
                  <w:vAlign w:val="center"/>
                </w:tcPr>
                <w:p w14:paraId="11507CFC">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lang w:val="en-US" w:eastAsia="zh-CN"/>
                    </w:rPr>
                    <w:t>/</w:t>
                  </w:r>
                </w:p>
              </w:tc>
              <w:tc>
                <w:tcPr>
                  <w:tcW w:w="331" w:type="pct"/>
                  <w:vMerge w:val="continue"/>
                  <w:tcBorders>
                    <w:tl2br w:val="nil"/>
                    <w:tr2bl w:val="nil"/>
                  </w:tcBorders>
                  <w:noWrap w:val="0"/>
                  <w:vAlign w:val="center"/>
                </w:tcPr>
                <w:p w14:paraId="0BE1FF49">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rPr>
                  </w:pPr>
                </w:p>
              </w:tc>
            </w:tr>
            <w:tr w14:paraId="0378DF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44" w:hRule="atLeast"/>
                <w:jc w:val="center"/>
              </w:trPr>
              <w:tc>
                <w:tcPr>
                  <w:tcW w:w="228" w:type="pct"/>
                  <w:vMerge w:val="restart"/>
                  <w:tcBorders>
                    <w:tl2br w:val="nil"/>
                    <w:tr2bl w:val="nil"/>
                  </w:tcBorders>
                  <w:noWrap w:val="0"/>
                  <w:vAlign w:val="center"/>
                </w:tcPr>
                <w:p w14:paraId="257FA393">
                  <w:pPr>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sz w:val="21"/>
                      <w:szCs w:val="21"/>
                    </w:rPr>
                    <w:t>化学清洗液定期排放废</w:t>
                  </w:r>
                  <w:r>
                    <w:rPr>
                      <w:rFonts w:hint="eastAsia" w:ascii="Times New Roman" w:hAnsi="Times New Roman" w:eastAsia="仿宋_GB2312" w:cs="Times New Roman"/>
                      <w:sz w:val="21"/>
                      <w:szCs w:val="21"/>
                      <w:lang w:val="en-US" w:eastAsia="zh-CN"/>
                    </w:rPr>
                    <w:t>水</w:t>
                  </w:r>
                  <w:r>
                    <w:rPr>
                      <w:rFonts w:hint="default" w:ascii="Times New Roman" w:hAnsi="Times New Roman" w:eastAsia="仿宋_GB2312" w:cs="Times New Roman"/>
                      <w:sz w:val="21"/>
                      <w:szCs w:val="21"/>
                    </w:rPr>
                    <w:t>W5</w:t>
                  </w:r>
                </w:p>
              </w:tc>
              <w:tc>
                <w:tcPr>
                  <w:tcW w:w="473" w:type="pct"/>
                  <w:vMerge w:val="restart"/>
                  <w:tcBorders>
                    <w:tl2br w:val="nil"/>
                    <w:tr2bl w:val="nil"/>
                  </w:tcBorders>
                  <w:noWrap w:val="0"/>
                  <w:vAlign w:val="center"/>
                </w:tcPr>
                <w:p w14:paraId="3BE3873F">
                  <w:pPr>
                    <w:jc w:val="center"/>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仿宋_GB2312" w:cs="Times New Roman"/>
                      <w:color w:val="auto"/>
                      <w:sz w:val="21"/>
                      <w:szCs w:val="21"/>
                      <w:highlight w:val="none"/>
                      <w:lang w:val="en-US" w:eastAsia="zh-CN"/>
                    </w:rPr>
                    <w:t>324</w:t>
                  </w:r>
                </w:p>
              </w:tc>
              <w:tc>
                <w:tcPr>
                  <w:tcW w:w="433" w:type="pct"/>
                  <w:tcBorders>
                    <w:tl2br w:val="nil"/>
                    <w:tr2bl w:val="nil"/>
                  </w:tcBorders>
                  <w:shd w:val="clear" w:color="auto" w:fill="auto"/>
                  <w:noWrap w:val="0"/>
                  <w:vAlign w:val="center"/>
                </w:tcPr>
                <w:p w14:paraId="31B6868F">
                  <w:pPr>
                    <w:keepNext w:val="0"/>
                    <w:keepLines w:val="0"/>
                    <w:widowControl/>
                    <w:suppressLineNumbers w:val="0"/>
                    <w:jc w:val="center"/>
                    <w:textAlignment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lang w:val="en-US" w:eastAsia="zh-CN"/>
                    </w:rPr>
                    <w:t>SS</w:t>
                  </w:r>
                </w:p>
              </w:tc>
              <w:tc>
                <w:tcPr>
                  <w:tcW w:w="467" w:type="pct"/>
                  <w:vMerge w:val="restart"/>
                  <w:tcBorders>
                    <w:tl2br w:val="nil"/>
                    <w:tr2bl w:val="nil"/>
                  </w:tcBorders>
                  <w:shd w:val="clear" w:color="auto" w:fill="auto"/>
                  <w:noWrap w:val="0"/>
                  <w:vAlign w:val="center"/>
                </w:tcPr>
                <w:p w14:paraId="7F1EEE83">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lang w:val="en-US" w:eastAsia="zh-CN"/>
                    </w:rPr>
                    <w:t>类比法</w:t>
                  </w:r>
                </w:p>
              </w:tc>
              <w:tc>
                <w:tcPr>
                  <w:tcW w:w="619" w:type="pct"/>
                  <w:tcBorders>
                    <w:tl2br w:val="nil"/>
                    <w:tr2bl w:val="nil"/>
                  </w:tcBorders>
                  <w:shd w:val="clear" w:color="auto" w:fill="auto"/>
                  <w:noWrap w:val="0"/>
                  <w:vAlign w:val="center"/>
                </w:tcPr>
                <w:p w14:paraId="7C9A3F38">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200</w:t>
                  </w:r>
                </w:p>
              </w:tc>
              <w:tc>
                <w:tcPr>
                  <w:tcW w:w="619" w:type="pct"/>
                  <w:tcBorders>
                    <w:tl2br w:val="nil"/>
                    <w:tr2bl w:val="nil"/>
                  </w:tcBorders>
                  <w:noWrap w:val="0"/>
                  <w:vAlign w:val="center"/>
                </w:tcPr>
                <w:p w14:paraId="5B10D0F3">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0.0648</w:t>
                  </w:r>
                </w:p>
              </w:tc>
              <w:tc>
                <w:tcPr>
                  <w:tcW w:w="236" w:type="pct"/>
                  <w:vMerge w:val="restart"/>
                  <w:tcBorders>
                    <w:tl2br w:val="nil"/>
                    <w:tr2bl w:val="nil"/>
                  </w:tcBorders>
                  <w:noWrap w:val="0"/>
                  <w:vAlign w:val="center"/>
                </w:tcPr>
                <w:p w14:paraId="0730D722">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rPr>
                  </w:pPr>
                  <w:r>
                    <w:rPr>
                      <w:rFonts w:hint="eastAsia" w:ascii="Times New Roman" w:hAnsi="Times New Roman" w:eastAsia="仿宋_GB2312" w:cs="Times New Roman"/>
                      <w:color w:val="auto"/>
                      <w:sz w:val="21"/>
                      <w:szCs w:val="21"/>
                      <w:highlight w:val="none"/>
                      <w:lang w:val="en-US" w:eastAsia="zh-CN"/>
                    </w:rPr>
                    <w:t>中和水池</w:t>
                  </w:r>
                </w:p>
              </w:tc>
              <w:tc>
                <w:tcPr>
                  <w:tcW w:w="273" w:type="pct"/>
                  <w:vMerge w:val="restart"/>
                  <w:tcBorders>
                    <w:tl2br w:val="nil"/>
                    <w:tr2bl w:val="nil"/>
                  </w:tcBorders>
                  <w:noWrap w:val="0"/>
                  <w:vAlign w:val="center"/>
                </w:tcPr>
                <w:p w14:paraId="78E4F264">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2"/>
                      <w:sz w:val="21"/>
                      <w:szCs w:val="21"/>
                      <w:highlight w:val="none"/>
                      <w:lang w:val="en-US" w:eastAsia="zh-CN" w:bidi="ar-SA"/>
                    </w:rPr>
                    <w:t>/</w:t>
                  </w:r>
                </w:p>
              </w:tc>
              <w:tc>
                <w:tcPr>
                  <w:tcW w:w="462" w:type="pct"/>
                  <w:tcBorders>
                    <w:tl2br w:val="nil"/>
                    <w:tr2bl w:val="nil"/>
                  </w:tcBorders>
                  <w:noWrap w:val="0"/>
                  <w:vAlign w:val="center"/>
                </w:tcPr>
                <w:p w14:paraId="422995F1">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lang w:val="en-US" w:eastAsia="zh-CN" w:bidi="ar"/>
                    </w:rPr>
                    <w:t>/</w:t>
                  </w:r>
                </w:p>
              </w:tc>
              <w:tc>
                <w:tcPr>
                  <w:tcW w:w="416" w:type="pct"/>
                  <w:tcBorders>
                    <w:tl2br w:val="nil"/>
                    <w:tr2bl w:val="nil"/>
                  </w:tcBorders>
                  <w:shd w:val="clear" w:color="auto" w:fill="auto"/>
                  <w:noWrap w:val="0"/>
                  <w:vAlign w:val="center"/>
                </w:tcPr>
                <w:p w14:paraId="7EA314AD">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2"/>
                      <w:sz w:val="21"/>
                      <w:szCs w:val="21"/>
                      <w:highlight w:val="none"/>
                      <w:lang w:val="en-US" w:eastAsia="zh-CN" w:bidi="ar-SA"/>
                    </w:rPr>
                    <w:t>/</w:t>
                  </w:r>
                </w:p>
              </w:tc>
              <w:tc>
                <w:tcPr>
                  <w:tcW w:w="437" w:type="pct"/>
                  <w:tcBorders>
                    <w:tl2br w:val="nil"/>
                    <w:tr2bl w:val="nil"/>
                  </w:tcBorders>
                  <w:noWrap w:val="0"/>
                  <w:vAlign w:val="center"/>
                </w:tcPr>
                <w:p w14:paraId="54ECC192">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lang w:val="en-US" w:eastAsia="zh-CN"/>
                    </w:rPr>
                    <w:t>/</w:t>
                  </w:r>
                </w:p>
              </w:tc>
              <w:tc>
                <w:tcPr>
                  <w:tcW w:w="331" w:type="pct"/>
                  <w:vMerge w:val="continue"/>
                  <w:tcBorders>
                    <w:tl2br w:val="nil"/>
                    <w:tr2bl w:val="nil"/>
                  </w:tcBorders>
                  <w:noWrap w:val="0"/>
                  <w:vAlign w:val="center"/>
                </w:tcPr>
                <w:p w14:paraId="3856FDBE">
                  <w:pPr>
                    <w:topLinePunct/>
                    <w:adjustRightInd w:val="0"/>
                    <w:jc w:val="center"/>
                    <w:rPr>
                      <w:rFonts w:hint="default" w:ascii="Times New Roman" w:hAnsi="Times New Roman" w:eastAsia="仿宋_GB2312" w:cs="Times New Roman"/>
                      <w:color w:val="auto"/>
                      <w:sz w:val="21"/>
                      <w:szCs w:val="21"/>
                      <w:highlight w:val="none"/>
                    </w:rPr>
                  </w:pPr>
                </w:p>
              </w:tc>
            </w:tr>
            <w:tr w14:paraId="4BE5D0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continue"/>
                  <w:tcBorders>
                    <w:tl2br w:val="nil"/>
                    <w:tr2bl w:val="nil"/>
                  </w:tcBorders>
                  <w:noWrap w:val="0"/>
                  <w:vAlign w:val="center"/>
                </w:tcPr>
                <w:p w14:paraId="35B22762">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rPr>
                  </w:pPr>
                </w:p>
              </w:tc>
              <w:tc>
                <w:tcPr>
                  <w:tcW w:w="473" w:type="pct"/>
                  <w:vMerge w:val="continue"/>
                  <w:tcBorders>
                    <w:tl2br w:val="nil"/>
                    <w:tr2bl w:val="nil"/>
                  </w:tcBorders>
                  <w:noWrap w:val="0"/>
                  <w:vAlign w:val="center"/>
                </w:tcPr>
                <w:p w14:paraId="694BDF8A">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rPr>
                  </w:pPr>
                </w:p>
              </w:tc>
              <w:tc>
                <w:tcPr>
                  <w:tcW w:w="433" w:type="pct"/>
                  <w:tcBorders>
                    <w:tl2br w:val="nil"/>
                    <w:tr2bl w:val="nil"/>
                  </w:tcBorders>
                  <w:shd w:val="clear" w:color="auto" w:fill="auto"/>
                  <w:noWrap w:val="0"/>
                  <w:vAlign w:val="center"/>
                </w:tcPr>
                <w:p w14:paraId="793412B0">
                  <w:pPr>
                    <w:keepNext w:val="0"/>
                    <w:keepLines w:val="0"/>
                    <w:widowControl/>
                    <w:suppressLineNumbers w:val="0"/>
                    <w:jc w:val="center"/>
                    <w:textAlignment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lang w:val="en-US" w:eastAsia="zh-CN"/>
                    </w:rPr>
                    <w:t>HCL</w:t>
                  </w:r>
                </w:p>
              </w:tc>
              <w:tc>
                <w:tcPr>
                  <w:tcW w:w="467" w:type="pct"/>
                  <w:vMerge w:val="continue"/>
                  <w:tcBorders>
                    <w:tl2br w:val="nil"/>
                    <w:tr2bl w:val="nil"/>
                  </w:tcBorders>
                  <w:noWrap w:val="0"/>
                  <w:vAlign w:val="center"/>
                </w:tcPr>
                <w:p w14:paraId="759751A1">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rPr>
                  </w:pPr>
                </w:p>
              </w:tc>
              <w:tc>
                <w:tcPr>
                  <w:tcW w:w="619" w:type="pct"/>
                  <w:tcBorders>
                    <w:tl2br w:val="nil"/>
                    <w:tr2bl w:val="nil"/>
                  </w:tcBorders>
                  <w:shd w:val="clear" w:color="auto" w:fill="auto"/>
                  <w:noWrap w:val="0"/>
                  <w:vAlign w:val="center"/>
                </w:tcPr>
                <w:p w14:paraId="22868902">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80</w:t>
                  </w:r>
                </w:p>
              </w:tc>
              <w:tc>
                <w:tcPr>
                  <w:tcW w:w="619" w:type="pct"/>
                  <w:tcBorders>
                    <w:tl2br w:val="nil"/>
                    <w:tr2bl w:val="nil"/>
                  </w:tcBorders>
                  <w:noWrap w:val="0"/>
                  <w:vAlign w:val="center"/>
                </w:tcPr>
                <w:p w14:paraId="1013119E">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0.0259</w:t>
                  </w:r>
                </w:p>
              </w:tc>
              <w:tc>
                <w:tcPr>
                  <w:tcW w:w="236" w:type="pct"/>
                  <w:vMerge w:val="continue"/>
                  <w:tcBorders>
                    <w:tl2br w:val="nil"/>
                    <w:tr2bl w:val="nil"/>
                  </w:tcBorders>
                  <w:noWrap w:val="0"/>
                  <w:vAlign w:val="center"/>
                </w:tcPr>
                <w:p w14:paraId="73849318">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rPr>
                  </w:pPr>
                </w:p>
              </w:tc>
              <w:tc>
                <w:tcPr>
                  <w:tcW w:w="273" w:type="pct"/>
                  <w:vMerge w:val="continue"/>
                  <w:tcBorders>
                    <w:tl2br w:val="nil"/>
                    <w:tr2bl w:val="nil"/>
                  </w:tcBorders>
                  <w:noWrap w:val="0"/>
                  <w:vAlign w:val="center"/>
                </w:tcPr>
                <w:p w14:paraId="3E24DCCE">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rPr>
                  </w:pPr>
                </w:p>
              </w:tc>
              <w:tc>
                <w:tcPr>
                  <w:tcW w:w="462" w:type="pct"/>
                  <w:tcBorders>
                    <w:tl2br w:val="nil"/>
                    <w:tr2bl w:val="nil"/>
                  </w:tcBorders>
                  <w:noWrap w:val="0"/>
                  <w:vAlign w:val="center"/>
                </w:tcPr>
                <w:p w14:paraId="3082736F">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lang w:val="en-US" w:eastAsia="zh-CN" w:bidi="ar"/>
                    </w:rPr>
                    <w:t>/</w:t>
                  </w:r>
                </w:p>
              </w:tc>
              <w:tc>
                <w:tcPr>
                  <w:tcW w:w="416" w:type="pct"/>
                  <w:tcBorders>
                    <w:tl2br w:val="nil"/>
                    <w:tr2bl w:val="nil"/>
                  </w:tcBorders>
                  <w:shd w:val="clear" w:color="auto" w:fill="auto"/>
                  <w:noWrap w:val="0"/>
                  <w:vAlign w:val="center"/>
                </w:tcPr>
                <w:p w14:paraId="11677BAB">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2"/>
                      <w:sz w:val="21"/>
                      <w:szCs w:val="21"/>
                      <w:highlight w:val="none"/>
                      <w:lang w:val="en-US" w:eastAsia="zh-CN" w:bidi="ar-SA"/>
                    </w:rPr>
                    <w:t>/</w:t>
                  </w:r>
                </w:p>
              </w:tc>
              <w:tc>
                <w:tcPr>
                  <w:tcW w:w="437" w:type="pct"/>
                  <w:tcBorders>
                    <w:tl2br w:val="nil"/>
                    <w:tr2bl w:val="nil"/>
                  </w:tcBorders>
                  <w:noWrap w:val="0"/>
                  <w:vAlign w:val="center"/>
                </w:tcPr>
                <w:p w14:paraId="1199388D">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lang w:val="en-US" w:eastAsia="zh-CN"/>
                    </w:rPr>
                    <w:t>/</w:t>
                  </w:r>
                </w:p>
              </w:tc>
              <w:tc>
                <w:tcPr>
                  <w:tcW w:w="331" w:type="pct"/>
                  <w:vMerge w:val="continue"/>
                  <w:tcBorders>
                    <w:tl2br w:val="nil"/>
                    <w:tr2bl w:val="nil"/>
                  </w:tcBorders>
                  <w:noWrap w:val="0"/>
                  <w:vAlign w:val="center"/>
                </w:tcPr>
                <w:p w14:paraId="2998B0BC">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rPr>
                  </w:pPr>
                </w:p>
              </w:tc>
            </w:tr>
            <w:tr w14:paraId="6320B2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89" w:hRule="atLeast"/>
                <w:jc w:val="center"/>
              </w:trPr>
              <w:tc>
                <w:tcPr>
                  <w:tcW w:w="228" w:type="pct"/>
                  <w:vMerge w:val="restart"/>
                  <w:tcBorders>
                    <w:tl2br w:val="nil"/>
                    <w:tr2bl w:val="nil"/>
                  </w:tcBorders>
                  <w:noWrap w:val="0"/>
                  <w:vAlign w:val="center"/>
                </w:tcPr>
                <w:p w14:paraId="6C13DC1F">
                  <w:pPr>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sz w:val="21"/>
                      <w:szCs w:val="21"/>
                    </w:rPr>
                    <w:t>酸雾尾气吸收塔废水W6</w:t>
                  </w:r>
                </w:p>
              </w:tc>
              <w:tc>
                <w:tcPr>
                  <w:tcW w:w="473" w:type="pct"/>
                  <w:vMerge w:val="restart"/>
                  <w:tcBorders>
                    <w:tl2br w:val="nil"/>
                    <w:tr2bl w:val="nil"/>
                  </w:tcBorders>
                  <w:noWrap w:val="0"/>
                  <w:vAlign w:val="center"/>
                </w:tcPr>
                <w:p w14:paraId="4A40160E">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仿宋_GB2312" w:cs="Times New Roman"/>
                      <w:color w:val="auto"/>
                      <w:sz w:val="21"/>
                      <w:szCs w:val="21"/>
                      <w:highlight w:val="none"/>
                      <w:lang w:val="en-US" w:eastAsia="zh-CN"/>
                    </w:rPr>
                    <w:t>1224</w:t>
                  </w:r>
                </w:p>
              </w:tc>
              <w:tc>
                <w:tcPr>
                  <w:tcW w:w="433" w:type="pct"/>
                  <w:tcBorders>
                    <w:tl2br w:val="nil"/>
                    <w:tr2bl w:val="nil"/>
                  </w:tcBorders>
                  <w:shd w:val="clear" w:color="auto" w:fill="auto"/>
                  <w:noWrap w:val="0"/>
                  <w:vAlign w:val="center"/>
                </w:tcPr>
                <w:p w14:paraId="4A607DB6">
                  <w:pPr>
                    <w:keepNext w:val="0"/>
                    <w:keepLines w:val="0"/>
                    <w:widowControl/>
                    <w:suppressLineNumbers w:val="0"/>
                    <w:jc w:val="center"/>
                    <w:textAlignment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lang w:val="en-US" w:eastAsia="zh-CN"/>
                    </w:rPr>
                    <w:t>SS</w:t>
                  </w:r>
                </w:p>
              </w:tc>
              <w:tc>
                <w:tcPr>
                  <w:tcW w:w="467" w:type="pct"/>
                  <w:vMerge w:val="restart"/>
                  <w:tcBorders>
                    <w:tl2br w:val="nil"/>
                    <w:tr2bl w:val="nil"/>
                  </w:tcBorders>
                  <w:shd w:val="clear" w:color="auto" w:fill="auto"/>
                  <w:noWrap w:val="0"/>
                  <w:vAlign w:val="center"/>
                </w:tcPr>
                <w:p w14:paraId="514181AF">
                  <w:pPr>
                    <w:keepNext w:val="0"/>
                    <w:keepLines w:val="0"/>
                    <w:widowControl/>
                    <w:suppressLineNumbers w:val="0"/>
                    <w:jc w:val="center"/>
                    <w:textAlignment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lang w:val="en-US" w:eastAsia="zh-CN"/>
                    </w:rPr>
                    <w:t>类比法</w:t>
                  </w:r>
                </w:p>
              </w:tc>
              <w:tc>
                <w:tcPr>
                  <w:tcW w:w="619" w:type="pct"/>
                  <w:tcBorders>
                    <w:tl2br w:val="nil"/>
                    <w:tr2bl w:val="nil"/>
                  </w:tcBorders>
                  <w:shd w:val="clear" w:color="auto" w:fill="auto"/>
                  <w:noWrap w:val="0"/>
                  <w:vAlign w:val="center"/>
                </w:tcPr>
                <w:p w14:paraId="3321D815">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200</w:t>
                  </w:r>
                </w:p>
              </w:tc>
              <w:tc>
                <w:tcPr>
                  <w:tcW w:w="619" w:type="pct"/>
                  <w:tcBorders>
                    <w:tl2br w:val="nil"/>
                    <w:tr2bl w:val="nil"/>
                  </w:tcBorders>
                  <w:noWrap w:val="0"/>
                  <w:vAlign w:val="center"/>
                </w:tcPr>
                <w:p w14:paraId="19B30436">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0.2448</w:t>
                  </w:r>
                </w:p>
              </w:tc>
              <w:tc>
                <w:tcPr>
                  <w:tcW w:w="236" w:type="pct"/>
                  <w:vMerge w:val="restart"/>
                  <w:tcBorders>
                    <w:tl2br w:val="nil"/>
                    <w:tr2bl w:val="nil"/>
                  </w:tcBorders>
                  <w:noWrap w:val="0"/>
                  <w:vAlign w:val="center"/>
                </w:tcPr>
                <w:p w14:paraId="20EEF444">
                  <w:pPr>
                    <w:keepNext w:val="0"/>
                    <w:keepLines w:val="0"/>
                    <w:widowControl/>
                    <w:suppressLineNumbers w:val="0"/>
                    <w:jc w:val="both"/>
                    <w:textAlignment w:val="center"/>
                    <w:rPr>
                      <w:rFonts w:hint="default"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i w:val="0"/>
                      <w:iCs w:val="0"/>
                      <w:color w:val="auto"/>
                      <w:kern w:val="0"/>
                      <w:sz w:val="21"/>
                      <w:szCs w:val="21"/>
                      <w:u w:val="none"/>
                      <w:lang w:val="en-US" w:eastAsia="zh-CN" w:bidi="ar"/>
                    </w:rPr>
                    <w:t>/</w:t>
                  </w:r>
                </w:p>
              </w:tc>
              <w:tc>
                <w:tcPr>
                  <w:tcW w:w="273" w:type="pct"/>
                  <w:vMerge w:val="restart"/>
                  <w:tcBorders>
                    <w:tl2br w:val="nil"/>
                    <w:tr2bl w:val="nil"/>
                  </w:tcBorders>
                  <w:noWrap w:val="0"/>
                  <w:vAlign w:val="center"/>
                </w:tcPr>
                <w:p w14:paraId="4E405274">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1"/>
                      <w:szCs w:val="21"/>
                      <w:u w:val="none"/>
                      <w:lang w:val="en-US" w:eastAsia="zh-CN" w:bidi="ar"/>
                    </w:rPr>
                  </w:pPr>
                  <w:r>
                    <w:rPr>
                      <w:rFonts w:hint="eastAsia" w:ascii="Times New Roman" w:hAnsi="Times New Roman" w:eastAsia="仿宋_GB2312" w:cs="Times New Roman"/>
                      <w:i w:val="0"/>
                      <w:iCs w:val="0"/>
                      <w:color w:val="auto"/>
                      <w:kern w:val="0"/>
                      <w:sz w:val="21"/>
                      <w:szCs w:val="21"/>
                      <w:u w:val="none"/>
                      <w:lang w:val="en-US" w:eastAsia="zh-CN" w:bidi="ar"/>
                    </w:rPr>
                    <w:t>/</w:t>
                  </w:r>
                </w:p>
              </w:tc>
              <w:tc>
                <w:tcPr>
                  <w:tcW w:w="462" w:type="pct"/>
                  <w:tcBorders>
                    <w:tl2br w:val="nil"/>
                    <w:tr2bl w:val="nil"/>
                  </w:tcBorders>
                  <w:shd w:val="clear" w:color="auto" w:fill="auto"/>
                  <w:noWrap w:val="0"/>
                  <w:vAlign w:val="center"/>
                </w:tcPr>
                <w:p w14:paraId="4E897A68">
                  <w:pPr>
                    <w:keepNext w:val="0"/>
                    <w:keepLines w:val="0"/>
                    <w:widowControl/>
                    <w:suppressLineNumbers w:val="0"/>
                    <w:jc w:val="center"/>
                    <w:textAlignment w:val="center"/>
                    <w:rPr>
                      <w:rFonts w:hint="default" w:ascii="Times New Roman" w:hAnsi="Times New Roman" w:eastAsia="仿宋_GB2312" w:cs="Times New Roman"/>
                      <w:color w:val="auto"/>
                      <w:kern w:val="0"/>
                      <w:sz w:val="21"/>
                      <w:szCs w:val="21"/>
                      <w:highlight w:val="none"/>
                      <w:lang w:val="en-US" w:eastAsia="zh-CN" w:bidi="ar"/>
                    </w:rPr>
                  </w:pPr>
                  <w:r>
                    <w:rPr>
                      <w:rFonts w:hint="default" w:ascii="Times New Roman" w:hAnsi="Times New Roman" w:eastAsia="仿宋_GB2312" w:cs="Times New Roman"/>
                      <w:color w:val="auto"/>
                      <w:kern w:val="0"/>
                      <w:sz w:val="21"/>
                      <w:szCs w:val="21"/>
                      <w:highlight w:val="none"/>
                      <w:lang w:val="en-US" w:eastAsia="zh-CN" w:bidi="ar"/>
                    </w:rPr>
                    <w:t>/</w:t>
                  </w:r>
                </w:p>
              </w:tc>
              <w:tc>
                <w:tcPr>
                  <w:tcW w:w="416" w:type="pct"/>
                  <w:tcBorders>
                    <w:tl2br w:val="nil"/>
                    <w:tr2bl w:val="nil"/>
                  </w:tcBorders>
                  <w:shd w:val="clear" w:color="auto" w:fill="auto"/>
                  <w:noWrap w:val="0"/>
                  <w:vAlign w:val="center"/>
                </w:tcPr>
                <w:p w14:paraId="0D11093C">
                  <w:pPr>
                    <w:keepNext w:val="0"/>
                    <w:keepLines w:val="0"/>
                    <w:widowControl/>
                    <w:suppressLineNumbers w:val="0"/>
                    <w:jc w:val="center"/>
                    <w:textAlignment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kern w:val="2"/>
                      <w:sz w:val="21"/>
                      <w:szCs w:val="21"/>
                      <w:highlight w:val="none"/>
                      <w:lang w:val="en-US" w:eastAsia="zh-CN" w:bidi="ar-SA"/>
                    </w:rPr>
                    <w:t>/</w:t>
                  </w:r>
                </w:p>
              </w:tc>
              <w:tc>
                <w:tcPr>
                  <w:tcW w:w="437" w:type="pct"/>
                  <w:tcBorders>
                    <w:tl2br w:val="nil"/>
                    <w:tr2bl w:val="nil"/>
                  </w:tcBorders>
                  <w:noWrap w:val="0"/>
                  <w:vAlign w:val="center"/>
                </w:tcPr>
                <w:p w14:paraId="7FEED994">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1"/>
                      <w:szCs w:val="21"/>
                      <w:u w:val="none"/>
                      <w:lang w:val="en-US" w:eastAsia="zh-CN" w:bidi="ar"/>
                    </w:rPr>
                  </w:pPr>
                  <w:r>
                    <w:rPr>
                      <w:rFonts w:hint="default" w:ascii="Times New Roman" w:hAnsi="Times New Roman" w:eastAsia="仿宋_GB2312" w:cs="Times New Roman"/>
                      <w:color w:val="auto"/>
                      <w:sz w:val="21"/>
                      <w:szCs w:val="21"/>
                      <w:highlight w:val="none"/>
                      <w:lang w:val="en-US" w:eastAsia="zh-CN"/>
                    </w:rPr>
                    <w:t>/</w:t>
                  </w:r>
                </w:p>
              </w:tc>
              <w:tc>
                <w:tcPr>
                  <w:tcW w:w="331" w:type="pct"/>
                  <w:vMerge w:val="continue"/>
                  <w:tcBorders>
                    <w:tl2br w:val="nil"/>
                    <w:tr2bl w:val="nil"/>
                  </w:tcBorders>
                  <w:noWrap w:val="0"/>
                  <w:vAlign w:val="center"/>
                </w:tcPr>
                <w:p w14:paraId="18F22DB6">
                  <w:pPr>
                    <w:topLinePunct/>
                    <w:adjustRightInd w:val="0"/>
                    <w:jc w:val="center"/>
                    <w:rPr>
                      <w:rFonts w:hint="default" w:ascii="Times New Roman" w:hAnsi="Times New Roman" w:eastAsia="仿宋_GB2312" w:cs="Times New Roman"/>
                      <w:color w:val="auto"/>
                      <w:sz w:val="21"/>
                      <w:szCs w:val="21"/>
                      <w:highlight w:val="none"/>
                    </w:rPr>
                  </w:pPr>
                </w:p>
              </w:tc>
            </w:tr>
            <w:tr w14:paraId="2ABFB6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7" w:hRule="atLeast"/>
                <w:jc w:val="center"/>
              </w:trPr>
              <w:tc>
                <w:tcPr>
                  <w:tcW w:w="228" w:type="pct"/>
                  <w:vMerge w:val="continue"/>
                  <w:tcBorders>
                    <w:tl2br w:val="nil"/>
                    <w:tr2bl w:val="nil"/>
                  </w:tcBorders>
                  <w:noWrap w:val="0"/>
                  <w:vAlign w:val="center"/>
                </w:tcPr>
                <w:p w14:paraId="26025BC5">
                  <w:pPr>
                    <w:jc w:val="center"/>
                    <w:rPr>
                      <w:rFonts w:hint="default" w:ascii="Times New Roman" w:hAnsi="Times New Roman" w:eastAsia="仿宋_GB2312" w:cs="Times New Roman"/>
                      <w:color w:val="auto"/>
                      <w:sz w:val="21"/>
                      <w:szCs w:val="21"/>
                      <w:highlight w:val="none"/>
                    </w:rPr>
                  </w:pPr>
                </w:p>
              </w:tc>
              <w:tc>
                <w:tcPr>
                  <w:tcW w:w="473" w:type="pct"/>
                  <w:vMerge w:val="continue"/>
                  <w:tcBorders>
                    <w:tl2br w:val="nil"/>
                    <w:tr2bl w:val="nil"/>
                  </w:tcBorders>
                  <w:noWrap w:val="0"/>
                  <w:vAlign w:val="center"/>
                </w:tcPr>
                <w:p w14:paraId="3D81066F">
                  <w:pPr>
                    <w:jc w:val="center"/>
                    <w:rPr>
                      <w:rFonts w:hint="default" w:ascii="Times New Roman" w:hAnsi="Times New Roman" w:eastAsia="仿宋_GB2312" w:cs="Times New Roman"/>
                      <w:color w:val="auto"/>
                      <w:sz w:val="21"/>
                      <w:szCs w:val="21"/>
                      <w:highlight w:val="none"/>
                    </w:rPr>
                  </w:pPr>
                </w:p>
              </w:tc>
              <w:tc>
                <w:tcPr>
                  <w:tcW w:w="433" w:type="pct"/>
                  <w:tcBorders>
                    <w:tl2br w:val="nil"/>
                    <w:tr2bl w:val="nil"/>
                  </w:tcBorders>
                  <w:shd w:val="clear" w:color="auto" w:fill="auto"/>
                  <w:noWrap w:val="0"/>
                  <w:vAlign w:val="center"/>
                </w:tcPr>
                <w:p w14:paraId="22B74379">
                  <w:pPr>
                    <w:keepNext w:val="0"/>
                    <w:keepLines w:val="0"/>
                    <w:widowControl/>
                    <w:suppressLineNumbers w:val="0"/>
                    <w:jc w:val="center"/>
                    <w:textAlignment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lang w:val="en-US" w:eastAsia="zh-CN"/>
                    </w:rPr>
                    <w:t>HCL</w:t>
                  </w:r>
                </w:p>
              </w:tc>
              <w:tc>
                <w:tcPr>
                  <w:tcW w:w="467" w:type="pct"/>
                  <w:vMerge w:val="continue"/>
                  <w:tcBorders>
                    <w:tl2br w:val="nil"/>
                    <w:tr2bl w:val="nil"/>
                  </w:tcBorders>
                  <w:shd w:val="clear" w:color="auto" w:fill="auto"/>
                  <w:noWrap w:val="0"/>
                  <w:vAlign w:val="center"/>
                </w:tcPr>
                <w:p w14:paraId="36A07725">
                  <w:pPr>
                    <w:keepNext w:val="0"/>
                    <w:keepLines w:val="0"/>
                    <w:widowControl/>
                    <w:suppressLineNumbers w:val="0"/>
                    <w:jc w:val="center"/>
                    <w:textAlignment w:val="center"/>
                    <w:rPr>
                      <w:rFonts w:hint="default" w:ascii="Times New Roman" w:hAnsi="Times New Roman" w:eastAsia="仿宋_GB2312" w:cs="Times New Roman"/>
                      <w:color w:val="auto"/>
                      <w:kern w:val="2"/>
                      <w:sz w:val="21"/>
                      <w:szCs w:val="21"/>
                      <w:highlight w:val="none"/>
                      <w:lang w:val="en-US" w:eastAsia="zh-CN" w:bidi="ar-SA"/>
                    </w:rPr>
                  </w:pPr>
                </w:p>
              </w:tc>
              <w:tc>
                <w:tcPr>
                  <w:tcW w:w="619" w:type="pct"/>
                  <w:tcBorders>
                    <w:tl2br w:val="nil"/>
                    <w:tr2bl w:val="nil"/>
                  </w:tcBorders>
                  <w:shd w:val="clear" w:color="auto" w:fill="auto"/>
                  <w:noWrap w:val="0"/>
                  <w:vAlign w:val="center"/>
                </w:tcPr>
                <w:p w14:paraId="4C1A5FB5">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80</w:t>
                  </w:r>
                </w:p>
              </w:tc>
              <w:tc>
                <w:tcPr>
                  <w:tcW w:w="619" w:type="pct"/>
                  <w:tcBorders>
                    <w:tl2br w:val="nil"/>
                    <w:tr2bl w:val="nil"/>
                  </w:tcBorders>
                  <w:noWrap w:val="0"/>
                  <w:vAlign w:val="center"/>
                </w:tcPr>
                <w:p w14:paraId="70787492">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0.0979</w:t>
                  </w:r>
                </w:p>
              </w:tc>
              <w:tc>
                <w:tcPr>
                  <w:tcW w:w="236" w:type="pct"/>
                  <w:vMerge w:val="continue"/>
                  <w:tcBorders>
                    <w:tl2br w:val="nil"/>
                    <w:tr2bl w:val="nil"/>
                  </w:tcBorders>
                  <w:noWrap w:val="0"/>
                  <w:vAlign w:val="center"/>
                </w:tcPr>
                <w:p w14:paraId="13390427">
                  <w:pPr>
                    <w:jc w:val="center"/>
                    <w:rPr>
                      <w:rFonts w:hint="default" w:ascii="Times New Roman" w:hAnsi="Times New Roman" w:eastAsia="仿宋_GB2312" w:cs="Times New Roman"/>
                      <w:color w:val="auto"/>
                      <w:sz w:val="21"/>
                      <w:szCs w:val="21"/>
                      <w:highlight w:val="none"/>
                    </w:rPr>
                  </w:pPr>
                </w:p>
              </w:tc>
              <w:tc>
                <w:tcPr>
                  <w:tcW w:w="273" w:type="pct"/>
                  <w:vMerge w:val="continue"/>
                  <w:tcBorders>
                    <w:tl2br w:val="nil"/>
                    <w:tr2bl w:val="nil"/>
                  </w:tcBorders>
                  <w:noWrap w:val="0"/>
                  <w:vAlign w:val="center"/>
                </w:tcPr>
                <w:p w14:paraId="31149CA0">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1"/>
                      <w:szCs w:val="21"/>
                      <w:u w:val="none"/>
                      <w:lang w:val="en-US" w:eastAsia="zh-CN" w:bidi="ar"/>
                    </w:rPr>
                  </w:pPr>
                </w:p>
              </w:tc>
              <w:tc>
                <w:tcPr>
                  <w:tcW w:w="462" w:type="pct"/>
                  <w:tcBorders>
                    <w:tl2br w:val="nil"/>
                    <w:tr2bl w:val="nil"/>
                  </w:tcBorders>
                  <w:shd w:val="clear" w:color="auto" w:fill="auto"/>
                  <w:noWrap w:val="0"/>
                  <w:vAlign w:val="center"/>
                </w:tcPr>
                <w:p w14:paraId="031854C3">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1"/>
                      <w:szCs w:val="21"/>
                      <w:u w:val="none"/>
                      <w:lang w:val="en-US" w:eastAsia="zh-CN" w:bidi="ar"/>
                    </w:rPr>
                  </w:pPr>
                  <w:r>
                    <w:rPr>
                      <w:rFonts w:hint="default" w:ascii="Times New Roman" w:hAnsi="Times New Roman" w:eastAsia="仿宋_GB2312" w:cs="Times New Roman"/>
                      <w:color w:val="auto"/>
                      <w:kern w:val="0"/>
                      <w:sz w:val="21"/>
                      <w:szCs w:val="21"/>
                      <w:highlight w:val="none"/>
                      <w:lang w:val="en-US" w:eastAsia="zh-CN" w:bidi="ar"/>
                    </w:rPr>
                    <w:t>/</w:t>
                  </w:r>
                </w:p>
              </w:tc>
              <w:tc>
                <w:tcPr>
                  <w:tcW w:w="416" w:type="pct"/>
                  <w:tcBorders>
                    <w:tl2br w:val="nil"/>
                    <w:tr2bl w:val="nil"/>
                  </w:tcBorders>
                  <w:shd w:val="clear" w:color="auto" w:fill="auto"/>
                  <w:noWrap w:val="0"/>
                  <w:vAlign w:val="center"/>
                </w:tcPr>
                <w:p w14:paraId="2FD9F285">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1"/>
                      <w:szCs w:val="21"/>
                      <w:u w:val="none"/>
                      <w:lang w:val="en-US" w:eastAsia="zh-CN" w:bidi="ar"/>
                    </w:rPr>
                  </w:pPr>
                  <w:r>
                    <w:rPr>
                      <w:rFonts w:hint="default" w:ascii="Times New Roman" w:hAnsi="Times New Roman" w:eastAsia="仿宋_GB2312" w:cs="Times New Roman"/>
                      <w:color w:val="auto"/>
                      <w:kern w:val="2"/>
                      <w:sz w:val="21"/>
                      <w:szCs w:val="21"/>
                      <w:highlight w:val="none"/>
                      <w:lang w:val="en-US" w:eastAsia="zh-CN" w:bidi="ar-SA"/>
                    </w:rPr>
                    <w:t>/</w:t>
                  </w:r>
                </w:p>
              </w:tc>
              <w:tc>
                <w:tcPr>
                  <w:tcW w:w="437" w:type="pct"/>
                  <w:tcBorders>
                    <w:tl2br w:val="nil"/>
                    <w:tr2bl w:val="nil"/>
                  </w:tcBorders>
                  <w:noWrap w:val="0"/>
                  <w:vAlign w:val="center"/>
                </w:tcPr>
                <w:p w14:paraId="5C353DE0">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1"/>
                      <w:szCs w:val="21"/>
                      <w:u w:val="none"/>
                      <w:lang w:val="en-US" w:eastAsia="zh-CN" w:bidi="ar"/>
                    </w:rPr>
                  </w:pPr>
                  <w:r>
                    <w:rPr>
                      <w:rFonts w:hint="default" w:ascii="Times New Roman" w:hAnsi="Times New Roman" w:eastAsia="仿宋_GB2312" w:cs="Times New Roman"/>
                      <w:color w:val="auto"/>
                      <w:sz w:val="21"/>
                      <w:szCs w:val="21"/>
                      <w:highlight w:val="none"/>
                      <w:lang w:val="en-US" w:eastAsia="zh-CN"/>
                    </w:rPr>
                    <w:t>/</w:t>
                  </w:r>
                </w:p>
              </w:tc>
              <w:tc>
                <w:tcPr>
                  <w:tcW w:w="331" w:type="pct"/>
                  <w:vMerge w:val="continue"/>
                  <w:tcBorders>
                    <w:tl2br w:val="nil"/>
                    <w:tr2bl w:val="nil"/>
                  </w:tcBorders>
                  <w:noWrap w:val="0"/>
                  <w:vAlign w:val="center"/>
                </w:tcPr>
                <w:p w14:paraId="1446AC15">
                  <w:pPr>
                    <w:topLinePunct/>
                    <w:adjustRightInd w:val="0"/>
                    <w:jc w:val="center"/>
                    <w:rPr>
                      <w:rFonts w:hint="default" w:ascii="Times New Roman" w:hAnsi="Times New Roman" w:eastAsia="仿宋_GB2312" w:cs="Times New Roman"/>
                      <w:color w:val="auto"/>
                      <w:sz w:val="21"/>
                      <w:szCs w:val="21"/>
                      <w:highlight w:val="none"/>
                    </w:rPr>
                  </w:pPr>
                </w:p>
              </w:tc>
            </w:tr>
            <w:tr w14:paraId="0B6771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38" w:hRule="atLeast"/>
                <w:jc w:val="center"/>
              </w:trPr>
              <w:tc>
                <w:tcPr>
                  <w:tcW w:w="228" w:type="pct"/>
                  <w:vMerge w:val="restart"/>
                  <w:tcBorders>
                    <w:tl2br w:val="nil"/>
                    <w:tr2bl w:val="nil"/>
                  </w:tcBorders>
                  <w:noWrap w:val="0"/>
                  <w:vAlign w:val="center"/>
                </w:tcPr>
                <w:p w14:paraId="78111192">
                  <w:pPr>
                    <w:jc w:val="center"/>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仿宋_GB2312" w:cs="Times New Roman"/>
                      <w:sz w:val="21"/>
                      <w:szCs w:val="21"/>
                    </w:rPr>
                    <w:t>盐雾尾气吸收塔废水W7</w:t>
                  </w:r>
                </w:p>
              </w:tc>
              <w:tc>
                <w:tcPr>
                  <w:tcW w:w="473" w:type="pct"/>
                  <w:vMerge w:val="restart"/>
                  <w:tcBorders>
                    <w:tl2br w:val="nil"/>
                    <w:tr2bl w:val="nil"/>
                  </w:tcBorders>
                  <w:noWrap w:val="0"/>
                  <w:vAlign w:val="center"/>
                </w:tcPr>
                <w:p w14:paraId="2F2221E6">
                  <w:pPr>
                    <w:jc w:val="center"/>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仿宋_GB2312" w:cs="Times New Roman"/>
                      <w:sz w:val="21"/>
                      <w:szCs w:val="21"/>
                    </w:rPr>
                    <w:t>1224</w:t>
                  </w:r>
                </w:p>
              </w:tc>
              <w:tc>
                <w:tcPr>
                  <w:tcW w:w="433" w:type="pct"/>
                  <w:tcBorders>
                    <w:tl2br w:val="nil"/>
                    <w:tr2bl w:val="nil"/>
                  </w:tcBorders>
                  <w:shd w:val="clear" w:color="auto" w:fill="auto"/>
                  <w:noWrap w:val="0"/>
                  <w:vAlign w:val="center"/>
                </w:tcPr>
                <w:p w14:paraId="632AA009">
                  <w:pPr>
                    <w:keepNext w:val="0"/>
                    <w:keepLines w:val="0"/>
                    <w:widowControl/>
                    <w:suppressLineNumbers w:val="0"/>
                    <w:jc w:val="center"/>
                    <w:textAlignment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lang w:val="en-US" w:eastAsia="zh-CN"/>
                    </w:rPr>
                    <w:t>氯化物</w:t>
                  </w:r>
                </w:p>
              </w:tc>
              <w:tc>
                <w:tcPr>
                  <w:tcW w:w="467" w:type="pct"/>
                  <w:vMerge w:val="restart"/>
                  <w:tcBorders>
                    <w:tl2br w:val="nil"/>
                    <w:tr2bl w:val="nil"/>
                  </w:tcBorders>
                  <w:shd w:val="clear" w:color="auto" w:fill="auto"/>
                  <w:noWrap w:val="0"/>
                  <w:vAlign w:val="center"/>
                </w:tcPr>
                <w:p w14:paraId="025ED80C">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仿宋_GB2312" w:cs="Times New Roman"/>
                      <w:color w:val="auto"/>
                      <w:sz w:val="21"/>
                      <w:szCs w:val="21"/>
                      <w:highlight w:val="none"/>
                      <w:lang w:val="en-US" w:eastAsia="zh-CN"/>
                    </w:rPr>
                    <w:t>类比法</w:t>
                  </w:r>
                </w:p>
              </w:tc>
              <w:tc>
                <w:tcPr>
                  <w:tcW w:w="619" w:type="pct"/>
                  <w:tcBorders>
                    <w:tl2br w:val="nil"/>
                    <w:tr2bl w:val="nil"/>
                  </w:tcBorders>
                  <w:shd w:val="clear" w:color="auto" w:fill="auto"/>
                  <w:noWrap w:val="0"/>
                  <w:vAlign w:val="center"/>
                </w:tcPr>
                <w:p w14:paraId="5DF076D8">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100</w:t>
                  </w:r>
                </w:p>
              </w:tc>
              <w:tc>
                <w:tcPr>
                  <w:tcW w:w="619" w:type="pct"/>
                  <w:tcBorders>
                    <w:tl2br w:val="nil"/>
                    <w:tr2bl w:val="nil"/>
                  </w:tcBorders>
                  <w:noWrap w:val="0"/>
                  <w:vAlign w:val="center"/>
                </w:tcPr>
                <w:p w14:paraId="32A55EF1">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0.1224</w:t>
                  </w:r>
                </w:p>
              </w:tc>
              <w:tc>
                <w:tcPr>
                  <w:tcW w:w="236" w:type="pct"/>
                  <w:vMerge w:val="restart"/>
                  <w:tcBorders>
                    <w:tl2br w:val="nil"/>
                    <w:tr2bl w:val="nil"/>
                  </w:tcBorders>
                  <w:shd w:val="clear" w:color="auto" w:fill="auto"/>
                  <w:noWrap w:val="0"/>
                  <w:vAlign w:val="center"/>
                </w:tcPr>
                <w:p w14:paraId="685231EE">
                  <w:pPr>
                    <w:keepNext w:val="0"/>
                    <w:keepLines w:val="0"/>
                    <w:widowControl/>
                    <w:suppressLineNumbers w:val="0"/>
                    <w:jc w:val="center"/>
                    <w:textAlignment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 w:val="21"/>
                      <w:szCs w:val="21"/>
                      <w:highlight w:val="none"/>
                      <w:lang w:val="en-US" w:eastAsia="zh-CN"/>
                    </w:rPr>
                    <w:t>/</w:t>
                  </w:r>
                </w:p>
              </w:tc>
              <w:tc>
                <w:tcPr>
                  <w:tcW w:w="273" w:type="pct"/>
                  <w:vMerge w:val="restart"/>
                  <w:tcBorders>
                    <w:tl2br w:val="nil"/>
                    <w:tr2bl w:val="nil"/>
                  </w:tcBorders>
                  <w:shd w:val="clear" w:color="auto" w:fill="auto"/>
                  <w:noWrap w:val="0"/>
                  <w:vAlign w:val="center"/>
                </w:tcPr>
                <w:p w14:paraId="6B894555">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1"/>
                      <w:szCs w:val="21"/>
                      <w:u w:val="none"/>
                      <w:lang w:val="en-US" w:eastAsia="zh-CN" w:bidi="ar"/>
                    </w:rPr>
                  </w:pPr>
                  <w:r>
                    <w:rPr>
                      <w:rFonts w:hint="eastAsia" w:ascii="Times New Roman" w:hAnsi="Times New Roman" w:eastAsia="仿宋_GB2312" w:cs="Times New Roman"/>
                      <w:i w:val="0"/>
                      <w:iCs w:val="0"/>
                      <w:color w:val="auto"/>
                      <w:kern w:val="0"/>
                      <w:sz w:val="21"/>
                      <w:szCs w:val="21"/>
                      <w:u w:val="none"/>
                      <w:lang w:val="en-US" w:eastAsia="zh-CN" w:bidi="ar"/>
                    </w:rPr>
                    <w:t>/</w:t>
                  </w:r>
                </w:p>
              </w:tc>
              <w:tc>
                <w:tcPr>
                  <w:tcW w:w="462" w:type="pct"/>
                  <w:tcBorders>
                    <w:tl2br w:val="nil"/>
                    <w:tr2bl w:val="nil"/>
                  </w:tcBorders>
                  <w:noWrap w:val="0"/>
                  <w:vAlign w:val="center"/>
                </w:tcPr>
                <w:p w14:paraId="207CCDB7">
                  <w:pPr>
                    <w:keepNext w:val="0"/>
                    <w:keepLines w:val="0"/>
                    <w:widowControl/>
                    <w:suppressLineNumbers w:val="0"/>
                    <w:jc w:val="center"/>
                    <w:textAlignment w:val="center"/>
                    <w:rPr>
                      <w:rFonts w:hint="default" w:ascii="Times New Roman" w:hAnsi="Times New Roman" w:eastAsia="仿宋_GB2312" w:cs="Times New Roman"/>
                      <w:color w:val="auto"/>
                      <w:kern w:val="0"/>
                      <w:sz w:val="21"/>
                      <w:szCs w:val="21"/>
                      <w:highlight w:val="none"/>
                      <w:lang w:val="en-US" w:eastAsia="zh-CN" w:bidi="ar"/>
                    </w:rPr>
                  </w:pPr>
                  <w:r>
                    <w:rPr>
                      <w:rFonts w:hint="default" w:ascii="Times New Roman" w:hAnsi="Times New Roman" w:eastAsia="仿宋_GB2312" w:cs="Times New Roman"/>
                      <w:color w:val="auto"/>
                      <w:kern w:val="0"/>
                      <w:sz w:val="21"/>
                      <w:szCs w:val="21"/>
                      <w:highlight w:val="none"/>
                      <w:lang w:val="en-US" w:eastAsia="zh-CN" w:bidi="ar"/>
                    </w:rPr>
                    <w:t>/</w:t>
                  </w:r>
                </w:p>
              </w:tc>
              <w:tc>
                <w:tcPr>
                  <w:tcW w:w="416" w:type="pct"/>
                  <w:tcBorders>
                    <w:tl2br w:val="nil"/>
                    <w:tr2bl w:val="nil"/>
                  </w:tcBorders>
                  <w:noWrap w:val="0"/>
                  <w:vAlign w:val="center"/>
                </w:tcPr>
                <w:p w14:paraId="4DEC3D6D">
                  <w:pPr>
                    <w:keepNext w:val="0"/>
                    <w:keepLines w:val="0"/>
                    <w:widowControl/>
                    <w:suppressLineNumbers w:val="0"/>
                    <w:jc w:val="center"/>
                    <w:textAlignment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kern w:val="2"/>
                      <w:sz w:val="21"/>
                      <w:szCs w:val="21"/>
                      <w:highlight w:val="none"/>
                      <w:lang w:val="en-US" w:eastAsia="zh-CN" w:bidi="ar-SA"/>
                    </w:rPr>
                    <w:t>/</w:t>
                  </w:r>
                </w:p>
              </w:tc>
              <w:tc>
                <w:tcPr>
                  <w:tcW w:w="437" w:type="pct"/>
                  <w:tcBorders>
                    <w:tl2br w:val="nil"/>
                    <w:tr2bl w:val="nil"/>
                  </w:tcBorders>
                  <w:noWrap w:val="0"/>
                  <w:vAlign w:val="center"/>
                </w:tcPr>
                <w:p w14:paraId="6D32EB55">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仿宋_GB2312" w:cs="Times New Roman"/>
                      <w:color w:val="auto"/>
                      <w:sz w:val="21"/>
                      <w:szCs w:val="21"/>
                      <w:highlight w:val="none"/>
                      <w:lang w:val="en-US" w:eastAsia="zh-CN"/>
                    </w:rPr>
                    <w:t>/</w:t>
                  </w:r>
                </w:p>
              </w:tc>
              <w:tc>
                <w:tcPr>
                  <w:tcW w:w="331" w:type="pct"/>
                  <w:vMerge w:val="continue"/>
                  <w:tcBorders>
                    <w:tl2br w:val="nil"/>
                    <w:tr2bl w:val="nil"/>
                  </w:tcBorders>
                  <w:noWrap w:val="0"/>
                  <w:vAlign w:val="center"/>
                </w:tcPr>
                <w:p w14:paraId="291F3F1C">
                  <w:pPr>
                    <w:topLinePunct/>
                    <w:adjustRightInd w:val="0"/>
                    <w:jc w:val="center"/>
                    <w:rPr>
                      <w:rFonts w:hint="default" w:ascii="Times New Roman" w:hAnsi="Times New Roman" w:eastAsia="仿宋_GB2312" w:cs="Times New Roman"/>
                      <w:color w:val="auto"/>
                      <w:sz w:val="21"/>
                      <w:szCs w:val="21"/>
                      <w:highlight w:val="none"/>
                      <w:lang w:val="en-US" w:eastAsia="zh-CN"/>
                    </w:rPr>
                  </w:pPr>
                </w:p>
              </w:tc>
            </w:tr>
            <w:tr w14:paraId="16751B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228" w:type="pct"/>
                  <w:vMerge w:val="continue"/>
                  <w:tcBorders>
                    <w:tl2br w:val="nil"/>
                    <w:tr2bl w:val="nil"/>
                  </w:tcBorders>
                  <w:noWrap w:val="0"/>
                  <w:vAlign w:val="center"/>
                </w:tcPr>
                <w:p w14:paraId="5810AFFB">
                  <w:pPr>
                    <w:keepNext w:val="0"/>
                    <w:keepLines w:val="0"/>
                    <w:widowControl/>
                    <w:suppressLineNumbers w:val="0"/>
                    <w:jc w:val="center"/>
                    <w:textAlignment w:val="center"/>
                  </w:pPr>
                </w:p>
              </w:tc>
              <w:tc>
                <w:tcPr>
                  <w:tcW w:w="473" w:type="pct"/>
                  <w:vMerge w:val="continue"/>
                  <w:tcBorders>
                    <w:tl2br w:val="nil"/>
                    <w:tr2bl w:val="nil"/>
                  </w:tcBorders>
                  <w:noWrap w:val="0"/>
                  <w:vAlign w:val="center"/>
                </w:tcPr>
                <w:p w14:paraId="3DA77F9C">
                  <w:pPr>
                    <w:keepNext w:val="0"/>
                    <w:keepLines w:val="0"/>
                    <w:widowControl/>
                    <w:suppressLineNumbers w:val="0"/>
                    <w:jc w:val="center"/>
                    <w:textAlignment w:val="center"/>
                  </w:pPr>
                </w:p>
              </w:tc>
              <w:tc>
                <w:tcPr>
                  <w:tcW w:w="433" w:type="pct"/>
                  <w:tcBorders>
                    <w:tl2br w:val="nil"/>
                    <w:tr2bl w:val="nil"/>
                  </w:tcBorders>
                  <w:shd w:val="clear" w:color="auto" w:fill="auto"/>
                  <w:noWrap w:val="0"/>
                  <w:vAlign w:val="center"/>
                </w:tcPr>
                <w:p w14:paraId="2487FC10">
                  <w:pPr>
                    <w:keepNext w:val="0"/>
                    <w:keepLines w:val="0"/>
                    <w:widowControl/>
                    <w:suppressLineNumbers w:val="0"/>
                    <w:jc w:val="center"/>
                    <w:textAlignment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lang w:val="en-US" w:eastAsia="zh-CN"/>
                    </w:rPr>
                    <w:t>SS</w:t>
                  </w:r>
                </w:p>
              </w:tc>
              <w:tc>
                <w:tcPr>
                  <w:tcW w:w="467" w:type="pct"/>
                  <w:vMerge w:val="continue"/>
                  <w:tcBorders>
                    <w:tl2br w:val="nil"/>
                    <w:tr2bl w:val="nil"/>
                  </w:tcBorders>
                  <w:noWrap w:val="0"/>
                  <w:vAlign w:val="center"/>
                </w:tcPr>
                <w:p w14:paraId="23AFB284">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lang w:val="en-US" w:eastAsia="zh-CN"/>
                    </w:rPr>
                  </w:pPr>
                </w:p>
              </w:tc>
              <w:tc>
                <w:tcPr>
                  <w:tcW w:w="619" w:type="pct"/>
                  <w:tcBorders>
                    <w:tl2br w:val="nil"/>
                    <w:tr2bl w:val="nil"/>
                  </w:tcBorders>
                  <w:shd w:val="clear" w:color="auto" w:fill="auto"/>
                  <w:noWrap w:val="0"/>
                  <w:vAlign w:val="center"/>
                </w:tcPr>
                <w:p w14:paraId="75540D8F">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200</w:t>
                  </w:r>
                </w:p>
              </w:tc>
              <w:tc>
                <w:tcPr>
                  <w:tcW w:w="619" w:type="pct"/>
                  <w:tcBorders>
                    <w:tl2br w:val="nil"/>
                    <w:tr2bl w:val="nil"/>
                  </w:tcBorders>
                  <w:noWrap w:val="0"/>
                  <w:vAlign w:val="center"/>
                </w:tcPr>
                <w:p w14:paraId="31C130DD">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0.2448</w:t>
                  </w:r>
                </w:p>
              </w:tc>
              <w:tc>
                <w:tcPr>
                  <w:tcW w:w="236" w:type="pct"/>
                  <w:vMerge w:val="continue"/>
                  <w:tcBorders>
                    <w:tl2br w:val="nil"/>
                    <w:tr2bl w:val="nil"/>
                  </w:tcBorders>
                  <w:noWrap w:val="0"/>
                  <w:vAlign w:val="center"/>
                </w:tcPr>
                <w:p w14:paraId="27D3AF17">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1"/>
                      <w:szCs w:val="21"/>
                      <w:u w:val="none"/>
                      <w:lang w:val="en-US" w:eastAsia="zh-CN" w:bidi="ar"/>
                    </w:rPr>
                  </w:pPr>
                </w:p>
              </w:tc>
              <w:tc>
                <w:tcPr>
                  <w:tcW w:w="273" w:type="pct"/>
                  <w:vMerge w:val="continue"/>
                  <w:tcBorders>
                    <w:tl2br w:val="nil"/>
                    <w:tr2bl w:val="nil"/>
                  </w:tcBorders>
                  <w:noWrap w:val="0"/>
                  <w:vAlign w:val="center"/>
                </w:tcPr>
                <w:p w14:paraId="6F988A5A">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1"/>
                      <w:szCs w:val="21"/>
                      <w:u w:val="none"/>
                      <w:lang w:val="en-US" w:eastAsia="zh-CN" w:bidi="ar"/>
                    </w:rPr>
                  </w:pPr>
                </w:p>
              </w:tc>
              <w:tc>
                <w:tcPr>
                  <w:tcW w:w="462" w:type="pct"/>
                  <w:tcBorders>
                    <w:tl2br w:val="nil"/>
                    <w:tr2bl w:val="nil"/>
                  </w:tcBorders>
                  <w:noWrap w:val="0"/>
                  <w:vAlign w:val="center"/>
                </w:tcPr>
                <w:p w14:paraId="4AA52E90">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1"/>
                      <w:szCs w:val="21"/>
                      <w:u w:val="none"/>
                      <w:lang w:val="en-US" w:eastAsia="zh-CN" w:bidi="ar"/>
                    </w:rPr>
                  </w:pPr>
                  <w:r>
                    <w:rPr>
                      <w:rFonts w:hint="default" w:ascii="Times New Roman" w:hAnsi="Times New Roman" w:eastAsia="仿宋_GB2312" w:cs="Times New Roman"/>
                      <w:color w:val="auto"/>
                      <w:kern w:val="0"/>
                      <w:sz w:val="21"/>
                      <w:szCs w:val="21"/>
                      <w:highlight w:val="none"/>
                      <w:lang w:val="en-US" w:eastAsia="zh-CN" w:bidi="ar"/>
                    </w:rPr>
                    <w:t>/</w:t>
                  </w:r>
                </w:p>
              </w:tc>
              <w:tc>
                <w:tcPr>
                  <w:tcW w:w="416" w:type="pct"/>
                  <w:tcBorders>
                    <w:tl2br w:val="nil"/>
                    <w:tr2bl w:val="nil"/>
                  </w:tcBorders>
                  <w:noWrap w:val="0"/>
                  <w:vAlign w:val="center"/>
                </w:tcPr>
                <w:p w14:paraId="7F74693F">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1"/>
                      <w:szCs w:val="21"/>
                      <w:u w:val="none"/>
                      <w:lang w:val="en-US" w:eastAsia="zh-CN" w:bidi="ar"/>
                    </w:rPr>
                  </w:pPr>
                  <w:r>
                    <w:rPr>
                      <w:rFonts w:hint="default" w:ascii="Times New Roman" w:hAnsi="Times New Roman" w:eastAsia="仿宋_GB2312" w:cs="Times New Roman"/>
                      <w:color w:val="auto"/>
                      <w:kern w:val="2"/>
                      <w:sz w:val="21"/>
                      <w:szCs w:val="21"/>
                      <w:highlight w:val="none"/>
                      <w:lang w:val="en-US" w:eastAsia="zh-CN" w:bidi="ar-SA"/>
                    </w:rPr>
                    <w:t>/</w:t>
                  </w:r>
                </w:p>
              </w:tc>
              <w:tc>
                <w:tcPr>
                  <w:tcW w:w="437" w:type="pct"/>
                  <w:tcBorders>
                    <w:tl2br w:val="nil"/>
                    <w:tr2bl w:val="nil"/>
                  </w:tcBorders>
                  <w:noWrap w:val="0"/>
                  <w:vAlign w:val="center"/>
                </w:tcPr>
                <w:p w14:paraId="4CEBCDC6">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1"/>
                      <w:szCs w:val="21"/>
                      <w:u w:val="none"/>
                      <w:lang w:val="en-US" w:eastAsia="zh-CN" w:bidi="ar"/>
                    </w:rPr>
                  </w:pPr>
                  <w:r>
                    <w:rPr>
                      <w:rFonts w:hint="default" w:ascii="Times New Roman" w:hAnsi="Times New Roman" w:eastAsia="仿宋_GB2312" w:cs="Times New Roman"/>
                      <w:color w:val="auto"/>
                      <w:sz w:val="21"/>
                      <w:szCs w:val="21"/>
                      <w:highlight w:val="none"/>
                      <w:lang w:val="en-US" w:eastAsia="zh-CN"/>
                    </w:rPr>
                    <w:t>/</w:t>
                  </w:r>
                </w:p>
              </w:tc>
              <w:tc>
                <w:tcPr>
                  <w:tcW w:w="331" w:type="pct"/>
                  <w:vMerge w:val="continue"/>
                  <w:tcBorders>
                    <w:tl2br w:val="nil"/>
                    <w:tr2bl w:val="nil"/>
                  </w:tcBorders>
                  <w:noWrap w:val="0"/>
                  <w:vAlign w:val="center"/>
                </w:tcPr>
                <w:p w14:paraId="421797C9">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1"/>
                      <w:szCs w:val="21"/>
                      <w:u w:val="none"/>
                      <w:lang w:val="en-US" w:eastAsia="zh-CN" w:bidi="ar"/>
                    </w:rPr>
                  </w:pPr>
                </w:p>
              </w:tc>
            </w:tr>
            <w:tr w14:paraId="7DF050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228" w:type="pct"/>
                  <w:tcBorders>
                    <w:tl2br w:val="nil"/>
                    <w:tr2bl w:val="nil"/>
                  </w:tcBorders>
                  <w:noWrap w:val="0"/>
                  <w:vAlign w:val="center"/>
                </w:tcPr>
                <w:p w14:paraId="08C11F70">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密封水W8</w:t>
                  </w:r>
                </w:p>
              </w:tc>
              <w:tc>
                <w:tcPr>
                  <w:tcW w:w="473" w:type="pct"/>
                  <w:tcBorders>
                    <w:tl2br w:val="nil"/>
                    <w:tr2bl w:val="nil"/>
                  </w:tcBorders>
                  <w:noWrap w:val="0"/>
                  <w:vAlign w:val="center"/>
                </w:tcPr>
                <w:p w14:paraId="44E9B7E1">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129.6</w:t>
                  </w:r>
                </w:p>
              </w:tc>
              <w:tc>
                <w:tcPr>
                  <w:tcW w:w="433" w:type="pct"/>
                  <w:tcBorders>
                    <w:tl2br w:val="nil"/>
                    <w:tr2bl w:val="nil"/>
                  </w:tcBorders>
                  <w:noWrap w:val="0"/>
                  <w:vAlign w:val="center"/>
                </w:tcPr>
                <w:p w14:paraId="662E7D35">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1"/>
                      <w:szCs w:val="21"/>
                      <w:u w:val="none"/>
                      <w:lang w:val="en-US" w:eastAsia="zh-CN" w:bidi="ar"/>
                    </w:rPr>
                  </w:pPr>
                  <w:r>
                    <w:rPr>
                      <w:rFonts w:hint="default" w:ascii="Times New Roman" w:hAnsi="Times New Roman" w:eastAsia="仿宋_GB2312" w:cs="Times New Roman"/>
                      <w:color w:val="auto"/>
                      <w:sz w:val="21"/>
                      <w:szCs w:val="21"/>
                      <w:highlight w:val="none"/>
                      <w:lang w:val="en-US" w:eastAsia="zh-CN"/>
                    </w:rPr>
                    <w:t>SS</w:t>
                  </w:r>
                </w:p>
              </w:tc>
              <w:tc>
                <w:tcPr>
                  <w:tcW w:w="467" w:type="pct"/>
                  <w:tcBorders>
                    <w:tl2br w:val="nil"/>
                    <w:tr2bl w:val="nil"/>
                  </w:tcBorders>
                  <w:noWrap w:val="0"/>
                  <w:vAlign w:val="center"/>
                </w:tcPr>
                <w:p w14:paraId="7054DC4E">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1"/>
                      <w:szCs w:val="21"/>
                      <w:u w:val="none"/>
                      <w:lang w:val="en-US" w:eastAsia="zh-CN" w:bidi="ar"/>
                    </w:rPr>
                  </w:pPr>
                  <w:r>
                    <w:rPr>
                      <w:rFonts w:hint="default" w:ascii="Times New Roman" w:hAnsi="Times New Roman" w:eastAsia="仿宋_GB2312" w:cs="Times New Roman"/>
                      <w:color w:val="auto"/>
                      <w:sz w:val="21"/>
                      <w:szCs w:val="21"/>
                      <w:highlight w:val="none"/>
                      <w:lang w:val="en-US" w:eastAsia="zh-CN"/>
                    </w:rPr>
                    <w:t>类比法</w:t>
                  </w:r>
                </w:p>
              </w:tc>
              <w:tc>
                <w:tcPr>
                  <w:tcW w:w="619" w:type="pct"/>
                  <w:tcBorders>
                    <w:tl2br w:val="nil"/>
                    <w:tr2bl w:val="nil"/>
                  </w:tcBorders>
                  <w:noWrap w:val="0"/>
                  <w:vAlign w:val="center"/>
                </w:tcPr>
                <w:p w14:paraId="67035C27">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50</w:t>
                  </w:r>
                </w:p>
              </w:tc>
              <w:tc>
                <w:tcPr>
                  <w:tcW w:w="619" w:type="pct"/>
                  <w:tcBorders>
                    <w:tl2br w:val="nil"/>
                    <w:tr2bl w:val="nil"/>
                  </w:tcBorders>
                  <w:shd w:val="clear" w:color="auto" w:fill="auto"/>
                  <w:noWrap w:val="0"/>
                  <w:vAlign w:val="center"/>
                </w:tcPr>
                <w:p w14:paraId="24A2449C">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0.0065</w:t>
                  </w:r>
                </w:p>
              </w:tc>
              <w:tc>
                <w:tcPr>
                  <w:tcW w:w="236" w:type="pct"/>
                  <w:tcBorders>
                    <w:tl2br w:val="nil"/>
                    <w:tr2bl w:val="nil"/>
                  </w:tcBorders>
                  <w:noWrap w:val="0"/>
                  <w:vAlign w:val="center"/>
                </w:tcPr>
                <w:p w14:paraId="29670ABD">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bidi="ar"/>
                    </w:rPr>
                    <w:t>/</w:t>
                  </w:r>
                </w:p>
              </w:tc>
              <w:tc>
                <w:tcPr>
                  <w:tcW w:w="273" w:type="pct"/>
                  <w:tcBorders>
                    <w:tl2br w:val="nil"/>
                    <w:tr2bl w:val="nil"/>
                  </w:tcBorders>
                  <w:noWrap w:val="0"/>
                  <w:vAlign w:val="center"/>
                </w:tcPr>
                <w:p w14:paraId="461FF37B">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1"/>
                      <w:szCs w:val="21"/>
                      <w:u w:val="none"/>
                      <w:lang w:val="en-US" w:eastAsia="zh-CN" w:bidi="ar"/>
                    </w:rPr>
                  </w:pPr>
                  <w:r>
                    <w:rPr>
                      <w:rFonts w:hint="default" w:ascii="Times New Roman" w:hAnsi="Times New Roman" w:eastAsia="仿宋_GB2312" w:cs="Times New Roman"/>
                      <w:color w:val="auto"/>
                      <w:kern w:val="2"/>
                      <w:sz w:val="21"/>
                      <w:szCs w:val="21"/>
                      <w:highlight w:val="none"/>
                      <w:lang w:val="en-US" w:eastAsia="zh-CN" w:bidi="ar-SA"/>
                    </w:rPr>
                    <w:t>/</w:t>
                  </w:r>
                </w:p>
              </w:tc>
              <w:tc>
                <w:tcPr>
                  <w:tcW w:w="462" w:type="pct"/>
                  <w:tcBorders>
                    <w:tl2br w:val="nil"/>
                    <w:tr2bl w:val="nil"/>
                  </w:tcBorders>
                  <w:noWrap w:val="0"/>
                  <w:vAlign w:val="center"/>
                </w:tcPr>
                <w:p w14:paraId="28021AE5">
                  <w:pPr>
                    <w:keepNext w:val="0"/>
                    <w:keepLines w:val="0"/>
                    <w:widowControl/>
                    <w:suppressLineNumbers w:val="0"/>
                    <w:jc w:val="center"/>
                    <w:textAlignment w:val="center"/>
                    <w:rPr>
                      <w:rFonts w:hint="default" w:ascii="Times New Roman" w:hAnsi="Times New Roman" w:eastAsia="仿宋_GB2312" w:cs="Times New Roman"/>
                      <w:color w:val="auto"/>
                      <w:kern w:val="0"/>
                      <w:sz w:val="21"/>
                      <w:szCs w:val="21"/>
                      <w:highlight w:val="none"/>
                      <w:lang w:val="en-US" w:eastAsia="zh-CN" w:bidi="ar"/>
                    </w:rPr>
                  </w:pPr>
                  <w:r>
                    <w:rPr>
                      <w:rFonts w:hint="default" w:ascii="Times New Roman" w:hAnsi="Times New Roman" w:eastAsia="仿宋_GB2312" w:cs="Times New Roman"/>
                      <w:color w:val="auto"/>
                      <w:sz w:val="21"/>
                      <w:szCs w:val="21"/>
                      <w:highlight w:val="none"/>
                      <w:lang w:val="en-US" w:eastAsia="zh-CN"/>
                    </w:rPr>
                    <w:t>/</w:t>
                  </w:r>
                </w:p>
              </w:tc>
              <w:tc>
                <w:tcPr>
                  <w:tcW w:w="416" w:type="pct"/>
                  <w:tcBorders>
                    <w:tl2br w:val="nil"/>
                    <w:tr2bl w:val="nil"/>
                  </w:tcBorders>
                  <w:noWrap w:val="0"/>
                  <w:vAlign w:val="center"/>
                </w:tcPr>
                <w:p w14:paraId="21A8142E">
                  <w:pPr>
                    <w:keepNext w:val="0"/>
                    <w:keepLines w:val="0"/>
                    <w:widowControl/>
                    <w:suppressLineNumbers w:val="0"/>
                    <w:jc w:val="center"/>
                    <w:textAlignment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kern w:val="0"/>
                      <w:sz w:val="21"/>
                      <w:szCs w:val="21"/>
                      <w:highlight w:val="none"/>
                      <w:lang w:val="en-US" w:eastAsia="zh-CN" w:bidi="ar"/>
                    </w:rPr>
                    <w:t>/</w:t>
                  </w:r>
                </w:p>
              </w:tc>
              <w:tc>
                <w:tcPr>
                  <w:tcW w:w="437" w:type="pct"/>
                  <w:tcBorders>
                    <w:tl2br w:val="nil"/>
                    <w:tr2bl w:val="nil"/>
                  </w:tcBorders>
                  <w:noWrap w:val="0"/>
                  <w:vAlign w:val="center"/>
                </w:tcPr>
                <w:p w14:paraId="7D3699E1">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仿宋_GB2312" w:cs="Times New Roman"/>
                      <w:color w:val="auto"/>
                      <w:kern w:val="2"/>
                      <w:sz w:val="21"/>
                      <w:szCs w:val="21"/>
                      <w:highlight w:val="none"/>
                      <w:lang w:val="en-US" w:eastAsia="zh-CN" w:bidi="ar-SA"/>
                    </w:rPr>
                    <w:t>/</w:t>
                  </w:r>
                </w:p>
              </w:tc>
              <w:tc>
                <w:tcPr>
                  <w:tcW w:w="331" w:type="pct"/>
                  <w:vMerge w:val="continue"/>
                  <w:tcBorders>
                    <w:tl2br w:val="nil"/>
                    <w:tr2bl w:val="nil"/>
                  </w:tcBorders>
                  <w:noWrap w:val="0"/>
                  <w:vAlign w:val="center"/>
                </w:tcPr>
                <w:p w14:paraId="5717D933">
                  <w:pPr>
                    <w:topLinePunct/>
                    <w:adjustRightInd w:val="0"/>
                    <w:jc w:val="center"/>
                    <w:rPr>
                      <w:rFonts w:hint="default" w:ascii="Times New Roman" w:hAnsi="Times New Roman" w:eastAsia="仿宋_GB2312" w:cs="Times New Roman"/>
                      <w:color w:val="auto"/>
                      <w:sz w:val="21"/>
                      <w:szCs w:val="21"/>
                      <w:highlight w:val="none"/>
                      <w:lang w:val="en-US" w:eastAsia="zh-CN"/>
                    </w:rPr>
                  </w:pPr>
                </w:p>
              </w:tc>
            </w:tr>
            <w:tr w14:paraId="4BA10D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228" w:type="pct"/>
                  <w:vMerge w:val="restart"/>
                  <w:tcBorders>
                    <w:tl2br w:val="nil"/>
                    <w:tr2bl w:val="nil"/>
                  </w:tcBorders>
                  <w:noWrap w:val="0"/>
                  <w:vAlign w:val="center"/>
                </w:tcPr>
                <w:p w14:paraId="71805CA5">
                  <w:pPr>
                    <w:jc w:val="center"/>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仿宋_GB2312" w:cs="Times New Roman"/>
                      <w:color w:val="auto"/>
                      <w:sz w:val="21"/>
                      <w:szCs w:val="21"/>
                      <w:highlight w:val="none"/>
                      <w:lang w:val="en-US" w:eastAsia="zh-CN"/>
                    </w:rPr>
                    <w:t>初期雨水</w:t>
                  </w:r>
                </w:p>
              </w:tc>
              <w:tc>
                <w:tcPr>
                  <w:tcW w:w="473" w:type="pct"/>
                  <w:vMerge w:val="restart"/>
                  <w:tcBorders>
                    <w:tl2br w:val="nil"/>
                    <w:tr2bl w:val="nil"/>
                  </w:tcBorders>
                  <w:noWrap w:val="0"/>
                  <w:vAlign w:val="center"/>
                </w:tcPr>
                <w:p w14:paraId="2470C68D">
                  <w:pPr>
                    <w:jc w:val="center"/>
                    <w:rPr>
                      <w:rFonts w:hint="default"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1460</w:t>
                  </w:r>
                </w:p>
              </w:tc>
              <w:tc>
                <w:tcPr>
                  <w:tcW w:w="433" w:type="pct"/>
                  <w:tcBorders>
                    <w:tl2br w:val="nil"/>
                    <w:tr2bl w:val="nil"/>
                  </w:tcBorders>
                  <w:noWrap w:val="0"/>
                  <w:vAlign w:val="center"/>
                </w:tcPr>
                <w:p w14:paraId="52ACA256">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1"/>
                      <w:szCs w:val="21"/>
                      <w:u w:val="none"/>
                      <w:lang w:val="en-US" w:eastAsia="zh-CN" w:bidi="ar"/>
                    </w:rPr>
                  </w:pPr>
                  <w:r>
                    <w:rPr>
                      <w:rFonts w:hint="default" w:ascii="Times New Roman" w:hAnsi="Times New Roman" w:eastAsia="仿宋_GB2312" w:cs="Times New Roman"/>
                      <w:color w:val="auto"/>
                      <w:sz w:val="21"/>
                      <w:szCs w:val="21"/>
                      <w:highlight w:val="none"/>
                      <w:lang w:val="en-US" w:eastAsia="zh-CN"/>
                    </w:rPr>
                    <w:t>SS</w:t>
                  </w:r>
                </w:p>
              </w:tc>
              <w:tc>
                <w:tcPr>
                  <w:tcW w:w="467" w:type="pct"/>
                  <w:vMerge w:val="restart"/>
                  <w:tcBorders>
                    <w:tl2br w:val="nil"/>
                    <w:tr2bl w:val="nil"/>
                  </w:tcBorders>
                  <w:noWrap w:val="0"/>
                  <w:vAlign w:val="center"/>
                </w:tcPr>
                <w:p w14:paraId="40AF3DD2">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1"/>
                      <w:szCs w:val="21"/>
                      <w:u w:val="none"/>
                      <w:lang w:val="en-US" w:eastAsia="zh-CN" w:bidi="ar"/>
                    </w:rPr>
                  </w:pPr>
                  <w:r>
                    <w:rPr>
                      <w:rFonts w:hint="default" w:ascii="Times New Roman" w:hAnsi="Times New Roman" w:eastAsia="仿宋_GB2312" w:cs="Times New Roman"/>
                      <w:color w:val="auto"/>
                      <w:sz w:val="21"/>
                      <w:szCs w:val="21"/>
                      <w:highlight w:val="none"/>
                      <w:lang w:val="en-US" w:eastAsia="zh-CN"/>
                    </w:rPr>
                    <w:t>类比法</w:t>
                  </w:r>
                </w:p>
              </w:tc>
              <w:tc>
                <w:tcPr>
                  <w:tcW w:w="619" w:type="pct"/>
                  <w:tcBorders>
                    <w:tl2br w:val="nil"/>
                    <w:tr2bl w:val="nil"/>
                  </w:tcBorders>
                  <w:noWrap w:val="0"/>
                  <w:vAlign w:val="center"/>
                </w:tcPr>
                <w:p w14:paraId="7DD703C0">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400</w:t>
                  </w:r>
                </w:p>
              </w:tc>
              <w:tc>
                <w:tcPr>
                  <w:tcW w:w="1022" w:type="dxa"/>
                  <w:tcBorders>
                    <w:tl2br w:val="nil"/>
                    <w:tr2bl w:val="nil"/>
                  </w:tcBorders>
                  <w:noWrap w:val="0"/>
                  <w:vAlign w:val="center"/>
                </w:tcPr>
                <w:p w14:paraId="0229185F">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0.584</w:t>
                  </w:r>
                </w:p>
              </w:tc>
              <w:tc>
                <w:tcPr>
                  <w:tcW w:w="236" w:type="pct"/>
                  <w:vMerge w:val="restart"/>
                  <w:tcBorders>
                    <w:tl2br w:val="nil"/>
                    <w:tr2bl w:val="nil"/>
                  </w:tcBorders>
                  <w:noWrap w:val="0"/>
                  <w:vAlign w:val="center"/>
                </w:tcPr>
                <w:p w14:paraId="22889809">
                  <w:pPr>
                    <w:jc w:val="center"/>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仿宋_GB2312" w:cs="Times New Roman"/>
                      <w:color w:val="auto"/>
                      <w:sz w:val="21"/>
                      <w:szCs w:val="21"/>
                      <w:highlight w:val="none"/>
                      <w:lang w:val="en-US" w:eastAsia="zh-CN"/>
                    </w:rPr>
                    <w:t>初期雨水池</w:t>
                  </w:r>
                </w:p>
              </w:tc>
              <w:tc>
                <w:tcPr>
                  <w:tcW w:w="273" w:type="pct"/>
                  <w:vMerge w:val="restart"/>
                  <w:tcBorders>
                    <w:tl2br w:val="nil"/>
                    <w:tr2bl w:val="nil"/>
                  </w:tcBorders>
                  <w:noWrap w:val="0"/>
                  <w:vAlign w:val="center"/>
                </w:tcPr>
                <w:p w14:paraId="3C578A9D">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1"/>
                      <w:szCs w:val="21"/>
                      <w:u w:val="none"/>
                      <w:lang w:val="en-US" w:eastAsia="zh-CN" w:bidi="ar"/>
                    </w:rPr>
                  </w:pPr>
                  <w:r>
                    <w:rPr>
                      <w:rFonts w:hint="default" w:ascii="Times New Roman" w:hAnsi="Times New Roman" w:eastAsia="仿宋_GB2312" w:cs="Times New Roman"/>
                      <w:color w:val="auto"/>
                      <w:kern w:val="2"/>
                      <w:sz w:val="21"/>
                      <w:szCs w:val="21"/>
                      <w:highlight w:val="none"/>
                      <w:lang w:val="en-US" w:eastAsia="zh-CN" w:bidi="ar-SA"/>
                    </w:rPr>
                    <w:t>/</w:t>
                  </w:r>
                </w:p>
              </w:tc>
              <w:tc>
                <w:tcPr>
                  <w:tcW w:w="462" w:type="pct"/>
                  <w:tcBorders>
                    <w:tl2br w:val="nil"/>
                    <w:tr2bl w:val="nil"/>
                  </w:tcBorders>
                  <w:noWrap w:val="0"/>
                  <w:vAlign w:val="center"/>
                </w:tcPr>
                <w:p w14:paraId="5941B082">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1"/>
                      <w:szCs w:val="21"/>
                      <w:u w:val="none"/>
                      <w:lang w:val="en-US" w:eastAsia="zh-CN" w:bidi="ar"/>
                    </w:rPr>
                  </w:pPr>
                  <w:r>
                    <w:rPr>
                      <w:rFonts w:hint="default" w:ascii="Times New Roman" w:hAnsi="Times New Roman" w:eastAsia="仿宋_GB2312" w:cs="Times New Roman"/>
                      <w:color w:val="auto"/>
                      <w:kern w:val="0"/>
                      <w:sz w:val="21"/>
                      <w:szCs w:val="21"/>
                      <w:highlight w:val="none"/>
                      <w:lang w:val="en-US" w:eastAsia="zh-CN" w:bidi="ar"/>
                    </w:rPr>
                    <w:t>/</w:t>
                  </w:r>
                </w:p>
              </w:tc>
              <w:tc>
                <w:tcPr>
                  <w:tcW w:w="416" w:type="pct"/>
                  <w:tcBorders>
                    <w:tl2br w:val="nil"/>
                    <w:tr2bl w:val="nil"/>
                  </w:tcBorders>
                  <w:noWrap w:val="0"/>
                  <w:vAlign w:val="center"/>
                </w:tcPr>
                <w:p w14:paraId="62E59D6A">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1"/>
                      <w:szCs w:val="21"/>
                      <w:u w:val="none"/>
                      <w:lang w:val="en-US" w:eastAsia="zh-CN" w:bidi="ar"/>
                    </w:rPr>
                  </w:pPr>
                  <w:r>
                    <w:rPr>
                      <w:rFonts w:hint="default" w:ascii="Times New Roman" w:hAnsi="Times New Roman" w:eastAsia="仿宋_GB2312" w:cs="Times New Roman"/>
                      <w:color w:val="auto"/>
                      <w:kern w:val="2"/>
                      <w:sz w:val="21"/>
                      <w:szCs w:val="21"/>
                      <w:highlight w:val="none"/>
                      <w:lang w:val="en-US" w:eastAsia="zh-CN" w:bidi="ar-SA"/>
                    </w:rPr>
                    <w:t>/</w:t>
                  </w:r>
                </w:p>
              </w:tc>
              <w:tc>
                <w:tcPr>
                  <w:tcW w:w="437" w:type="pct"/>
                  <w:tcBorders>
                    <w:tl2br w:val="nil"/>
                    <w:tr2bl w:val="nil"/>
                  </w:tcBorders>
                  <w:noWrap w:val="0"/>
                  <w:vAlign w:val="center"/>
                </w:tcPr>
                <w:p w14:paraId="2A4138B9">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1"/>
                      <w:szCs w:val="21"/>
                      <w:u w:val="none"/>
                      <w:lang w:val="en-US" w:eastAsia="zh-CN" w:bidi="ar"/>
                    </w:rPr>
                  </w:pPr>
                  <w:r>
                    <w:rPr>
                      <w:rFonts w:hint="default" w:ascii="Times New Roman" w:hAnsi="Times New Roman" w:eastAsia="仿宋_GB2312" w:cs="Times New Roman"/>
                      <w:color w:val="auto"/>
                      <w:sz w:val="21"/>
                      <w:szCs w:val="21"/>
                      <w:highlight w:val="none"/>
                      <w:lang w:val="en-US" w:eastAsia="zh-CN"/>
                    </w:rPr>
                    <w:t>/</w:t>
                  </w:r>
                </w:p>
              </w:tc>
              <w:tc>
                <w:tcPr>
                  <w:tcW w:w="331" w:type="pct"/>
                  <w:vMerge w:val="continue"/>
                  <w:tcBorders>
                    <w:tl2br w:val="nil"/>
                    <w:tr2bl w:val="nil"/>
                  </w:tcBorders>
                  <w:noWrap w:val="0"/>
                  <w:vAlign w:val="center"/>
                </w:tcPr>
                <w:p w14:paraId="691430BF">
                  <w:pPr>
                    <w:topLinePunct/>
                    <w:adjustRightInd w:val="0"/>
                    <w:jc w:val="center"/>
                    <w:rPr>
                      <w:rFonts w:hint="default" w:ascii="Times New Roman" w:hAnsi="Times New Roman" w:eastAsia="仿宋_GB2312" w:cs="Times New Roman"/>
                      <w:color w:val="auto"/>
                      <w:sz w:val="21"/>
                      <w:szCs w:val="21"/>
                      <w:highlight w:val="none"/>
                      <w:lang w:val="en-US" w:eastAsia="zh-CN"/>
                    </w:rPr>
                  </w:pPr>
                </w:p>
              </w:tc>
            </w:tr>
            <w:tr w14:paraId="3A6792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228" w:type="pct"/>
                  <w:vMerge w:val="continue"/>
                  <w:tcBorders>
                    <w:tl2br w:val="nil"/>
                    <w:tr2bl w:val="nil"/>
                  </w:tcBorders>
                  <w:noWrap w:val="0"/>
                  <w:vAlign w:val="center"/>
                </w:tcPr>
                <w:p w14:paraId="13C70994">
                  <w:pPr>
                    <w:jc w:val="center"/>
                    <w:rPr>
                      <w:rFonts w:hint="default" w:ascii="Times New Roman" w:hAnsi="Times New Roman" w:eastAsia="仿宋_GB2312" w:cs="Times New Roman"/>
                      <w:color w:val="auto"/>
                      <w:sz w:val="21"/>
                      <w:szCs w:val="21"/>
                      <w:highlight w:val="none"/>
                      <w:lang w:val="en-US" w:eastAsia="zh-CN"/>
                    </w:rPr>
                  </w:pPr>
                </w:p>
              </w:tc>
              <w:tc>
                <w:tcPr>
                  <w:tcW w:w="473" w:type="pct"/>
                  <w:vMerge w:val="continue"/>
                  <w:tcBorders>
                    <w:tl2br w:val="nil"/>
                    <w:tr2bl w:val="nil"/>
                  </w:tcBorders>
                  <w:noWrap w:val="0"/>
                  <w:vAlign w:val="center"/>
                </w:tcPr>
                <w:p w14:paraId="51B93FA6">
                  <w:pPr>
                    <w:jc w:val="center"/>
                    <w:rPr>
                      <w:rFonts w:hint="default" w:ascii="Times New Roman" w:hAnsi="Times New Roman" w:eastAsia="仿宋_GB2312" w:cs="Times New Roman"/>
                      <w:color w:val="auto"/>
                      <w:sz w:val="21"/>
                      <w:szCs w:val="21"/>
                      <w:highlight w:val="none"/>
                      <w:lang w:val="en-US" w:eastAsia="zh-CN"/>
                    </w:rPr>
                  </w:pPr>
                </w:p>
              </w:tc>
              <w:tc>
                <w:tcPr>
                  <w:tcW w:w="433" w:type="pct"/>
                  <w:tcBorders>
                    <w:tl2br w:val="nil"/>
                    <w:tr2bl w:val="nil"/>
                  </w:tcBorders>
                  <w:noWrap w:val="0"/>
                  <w:vAlign w:val="center"/>
                </w:tcPr>
                <w:p w14:paraId="0074AD4B">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1"/>
                      <w:szCs w:val="21"/>
                      <w:u w:val="none"/>
                      <w:lang w:val="en-US" w:eastAsia="zh-CN" w:bidi="ar"/>
                    </w:rPr>
                  </w:pPr>
                  <w:r>
                    <w:rPr>
                      <w:rFonts w:hint="eastAsia" w:ascii="Times New Roman" w:hAnsi="Times New Roman" w:eastAsia="仿宋_GB2312" w:cs="Times New Roman"/>
                      <w:i w:val="0"/>
                      <w:iCs w:val="0"/>
                      <w:color w:val="auto"/>
                      <w:kern w:val="0"/>
                      <w:sz w:val="21"/>
                      <w:szCs w:val="21"/>
                      <w:u w:val="none"/>
                      <w:lang w:val="en-US" w:eastAsia="zh-CN" w:bidi="ar"/>
                    </w:rPr>
                    <w:t>COD</w:t>
                  </w:r>
                </w:p>
              </w:tc>
              <w:tc>
                <w:tcPr>
                  <w:tcW w:w="467" w:type="pct"/>
                  <w:vMerge w:val="continue"/>
                  <w:tcBorders>
                    <w:tl2br w:val="nil"/>
                    <w:tr2bl w:val="nil"/>
                  </w:tcBorders>
                  <w:noWrap w:val="0"/>
                  <w:vAlign w:val="center"/>
                </w:tcPr>
                <w:p w14:paraId="5E7C5E27">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1"/>
                      <w:szCs w:val="21"/>
                      <w:u w:val="none"/>
                      <w:lang w:val="en-US" w:eastAsia="zh-CN" w:bidi="ar"/>
                    </w:rPr>
                  </w:pPr>
                </w:p>
              </w:tc>
              <w:tc>
                <w:tcPr>
                  <w:tcW w:w="619" w:type="pct"/>
                  <w:tcBorders>
                    <w:tl2br w:val="nil"/>
                    <w:tr2bl w:val="nil"/>
                  </w:tcBorders>
                  <w:noWrap w:val="0"/>
                  <w:vAlign w:val="center"/>
                </w:tcPr>
                <w:p w14:paraId="0A5CE0B6">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50</w:t>
                  </w:r>
                </w:p>
              </w:tc>
              <w:tc>
                <w:tcPr>
                  <w:tcW w:w="1022" w:type="dxa"/>
                  <w:tcBorders>
                    <w:tl2br w:val="nil"/>
                    <w:tr2bl w:val="nil"/>
                  </w:tcBorders>
                  <w:noWrap w:val="0"/>
                  <w:vAlign w:val="center"/>
                </w:tcPr>
                <w:p w14:paraId="7C456709">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0.073</w:t>
                  </w:r>
                </w:p>
              </w:tc>
              <w:tc>
                <w:tcPr>
                  <w:tcW w:w="236" w:type="pct"/>
                  <w:vMerge w:val="continue"/>
                  <w:tcBorders>
                    <w:tl2br w:val="nil"/>
                    <w:tr2bl w:val="nil"/>
                  </w:tcBorders>
                  <w:noWrap w:val="0"/>
                  <w:vAlign w:val="center"/>
                </w:tcPr>
                <w:p w14:paraId="0A39DE64">
                  <w:pPr>
                    <w:jc w:val="center"/>
                    <w:rPr>
                      <w:rFonts w:hint="default" w:ascii="Times New Roman" w:hAnsi="Times New Roman" w:eastAsia="仿宋_GB2312" w:cs="Times New Roman"/>
                      <w:color w:val="auto"/>
                      <w:sz w:val="21"/>
                      <w:szCs w:val="21"/>
                      <w:highlight w:val="none"/>
                      <w:lang w:val="en-US" w:eastAsia="zh-CN"/>
                    </w:rPr>
                  </w:pPr>
                </w:p>
              </w:tc>
              <w:tc>
                <w:tcPr>
                  <w:tcW w:w="273" w:type="pct"/>
                  <w:vMerge w:val="continue"/>
                  <w:tcBorders>
                    <w:tl2br w:val="nil"/>
                    <w:tr2bl w:val="nil"/>
                  </w:tcBorders>
                  <w:noWrap w:val="0"/>
                  <w:vAlign w:val="center"/>
                </w:tcPr>
                <w:p w14:paraId="163F60E7">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1"/>
                      <w:szCs w:val="21"/>
                      <w:u w:val="none"/>
                      <w:lang w:val="en-US" w:eastAsia="zh-CN" w:bidi="ar"/>
                    </w:rPr>
                  </w:pPr>
                </w:p>
              </w:tc>
              <w:tc>
                <w:tcPr>
                  <w:tcW w:w="462" w:type="pct"/>
                  <w:tcBorders>
                    <w:tl2br w:val="nil"/>
                    <w:tr2bl w:val="nil"/>
                  </w:tcBorders>
                  <w:noWrap w:val="0"/>
                  <w:vAlign w:val="center"/>
                </w:tcPr>
                <w:p w14:paraId="1A25C03B">
                  <w:pPr>
                    <w:keepNext w:val="0"/>
                    <w:keepLines w:val="0"/>
                    <w:widowControl/>
                    <w:suppressLineNumbers w:val="0"/>
                    <w:jc w:val="center"/>
                    <w:textAlignment w:val="center"/>
                    <w:rPr>
                      <w:rFonts w:hint="default" w:ascii="Times New Roman" w:hAnsi="Times New Roman" w:eastAsia="仿宋_GB2312" w:cs="Times New Roman"/>
                      <w:color w:val="auto"/>
                      <w:kern w:val="0"/>
                      <w:sz w:val="21"/>
                      <w:szCs w:val="21"/>
                      <w:highlight w:val="none"/>
                      <w:lang w:val="en-US" w:eastAsia="zh-CN" w:bidi="ar"/>
                    </w:rPr>
                  </w:pPr>
                  <w:r>
                    <w:rPr>
                      <w:rFonts w:hint="default" w:ascii="Times New Roman" w:hAnsi="Times New Roman" w:eastAsia="仿宋_GB2312" w:cs="Times New Roman"/>
                      <w:color w:val="auto"/>
                      <w:kern w:val="0"/>
                      <w:sz w:val="21"/>
                      <w:szCs w:val="21"/>
                      <w:highlight w:val="none"/>
                      <w:lang w:val="en-US" w:eastAsia="zh-CN" w:bidi="ar"/>
                    </w:rPr>
                    <w:t>/</w:t>
                  </w:r>
                </w:p>
              </w:tc>
              <w:tc>
                <w:tcPr>
                  <w:tcW w:w="416" w:type="pct"/>
                  <w:tcBorders>
                    <w:tl2br w:val="nil"/>
                    <w:tr2bl w:val="nil"/>
                  </w:tcBorders>
                  <w:noWrap w:val="0"/>
                  <w:vAlign w:val="center"/>
                </w:tcPr>
                <w:p w14:paraId="490E2302">
                  <w:pPr>
                    <w:keepNext w:val="0"/>
                    <w:keepLines w:val="0"/>
                    <w:widowControl/>
                    <w:suppressLineNumbers w:val="0"/>
                    <w:jc w:val="center"/>
                    <w:textAlignment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kern w:val="2"/>
                      <w:sz w:val="21"/>
                      <w:szCs w:val="21"/>
                      <w:highlight w:val="none"/>
                      <w:lang w:val="en-US" w:eastAsia="zh-CN" w:bidi="ar-SA"/>
                    </w:rPr>
                    <w:t>/</w:t>
                  </w:r>
                </w:p>
              </w:tc>
              <w:tc>
                <w:tcPr>
                  <w:tcW w:w="437" w:type="pct"/>
                  <w:tcBorders>
                    <w:tl2br w:val="nil"/>
                    <w:tr2bl w:val="nil"/>
                  </w:tcBorders>
                  <w:noWrap w:val="0"/>
                  <w:vAlign w:val="center"/>
                </w:tcPr>
                <w:p w14:paraId="2D2BEE5A">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仿宋_GB2312" w:cs="Times New Roman"/>
                      <w:color w:val="auto"/>
                      <w:sz w:val="21"/>
                      <w:szCs w:val="21"/>
                      <w:highlight w:val="none"/>
                      <w:lang w:val="en-US" w:eastAsia="zh-CN"/>
                    </w:rPr>
                    <w:t>/</w:t>
                  </w:r>
                </w:p>
              </w:tc>
              <w:tc>
                <w:tcPr>
                  <w:tcW w:w="331" w:type="pct"/>
                  <w:vMerge w:val="continue"/>
                  <w:tcBorders>
                    <w:tl2br w:val="nil"/>
                    <w:tr2bl w:val="nil"/>
                  </w:tcBorders>
                  <w:noWrap w:val="0"/>
                  <w:vAlign w:val="center"/>
                </w:tcPr>
                <w:p w14:paraId="7997F945">
                  <w:pPr>
                    <w:topLinePunct/>
                    <w:adjustRightInd w:val="0"/>
                    <w:jc w:val="center"/>
                    <w:rPr>
                      <w:rFonts w:hint="default" w:ascii="Times New Roman" w:hAnsi="Times New Roman" w:eastAsia="仿宋_GB2312" w:cs="Times New Roman"/>
                      <w:color w:val="auto"/>
                      <w:sz w:val="21"/>
                      <w:szCs w:val="21"/>
                      <w:highlight w:val="none"/>
                      <w:lang w:val="en-US" w:eastAsia="zh-CN"/>
                    </w:rPr>
                  </w:pPr>
                </w:p>
              </w:tc>
            </w:tr>
          </w:tbl>
          <w:p w14:paraId="0915F48E">
            <w:pPr>
              <w:adjustRightInd w:val="0"/>
              <w:snapToGrid w:val="0"/>
              <w:spacing w:line="360" w:lineRule="auto"/>
              <w:ind w:firstLine="422" w:firstLineChars="200"/>
              <w:rPr>
                <w:rFonts w:eastAsia="仿宋_GB2312"/>
                <w:b/>
                <w:bCs/>
              </w:rPr>
            </w:pPr>
            <w:r>
              <w:rPr>
                <w:rFonts w:eastAsia="仿宋_GB2312"/>
                <w:b/>
                <w:bCs/>
              </w:rPr>
              <w:t>3、噪声</w:t>
            </w:r>
          </w:p>
          <w:p w14:paraId="542A9172">
            <w:pPr>
              <w:adjustRightInd w:val="0"/>
              <w:snapToGrid w:val="0"/>
              <w:spacing w:line="360" w:lineRule="auto"/>
              <w:ind w:firstLine="422" w:firstLineChars="200"/>
              <w:rPr>
                <w:rFonts w:eastAsia="仿宋_GB2312"/>
                <w:b/>
                <w:bCs/>
                <w:kern w:val="0"/>
              </w:rPr>
            </w:pPr>
            <w:r>
              <w:rPr>
                <w:rFonts w:eastAsia="仿宋_GB2312"/>
                <w:b/>
                <w:bCs/>
                <w:kern w:val="0"/>
              </w:rPr>
              <w:t>（1）噪声源强分析</w:t>
            </w:r>
          </w:p>
          <w:p w14:paraId="6D787F77">
            <w:pPr>
              <w:adjustRightInd w:val="0"/>
              <w:snapToGrid w:val="0"/>
              <w:spacing w:line="360" w:lineRule="auto"/>
              <w:ind w:firstLine="420" w:firstLineChars="200"/>
              <w:rPr>
                <w:rFonts w:eastAsia="仿宋_GB2312"/>
              </w:rPr>
            </w:pPr>
            <w:r>
              <w:rPr>
                <w:rFonts w:eastAsia="仿宋_GB2312"/>
                <w:kern w:val="0"/>
              </w:rPr>
              <w:t>根据类比调查，本项目各生产设备的噪声源强见表4-</w:t>
            </w:r>
            <w:r>
              <w:rPr>
                <w:rFonts w:hint="eastAsia" w:eastAsia="仿宋_GB2312"/>
                <w:kern w:val="0"/>
                <w:lang w:val="en-US" w:eastAsia="zh-CN"/>
              </w:rPr>
              <w:t>24、表4-25</w:t>
            </w:r>
            <w:r>
              <w:rPr>
                <w:rFonts w:eastAsia="仿宋_GB2312"/>
                <w:kern w:val="0"/>
              </w:rPr>
              <w:t>。</w:t>
            </w:r>
          </w:p>
          <w:p w14:paraId="3EC462B4">
            <w:pPr>
              <w:autoSpaceDE w:val="0"/>
              <w:autoSpaceDN w:val="0"/>
              <w:adjustRightInd w:val="0"/>
              <w:snapToGrid w:val="0"/>
              <w:jc w:val="center"/>
              <w:rPr>
                <w:rStyle w:val="36"/>
                <w:kern w:val="0"/>
                <w:szCs w:val="20"/>
              </w:rPr>
            </w:pPr>
            <w:r>
              <w:rPr>
                <w:rFonts w:eastAsia="仿宋_GB2312"/>
                <w:b/>
                <w:bCs/>
                <w:color w:val="000000"/>
                <w:kern w:val="0"/>
              </w:rPr>
              <w:t>表4-</w:t>
            </w:r>
            <w:r>
              <w:rPr>
                <w:rFonts w:hint="eastAsia" w:eastAsia="仿宋_GB2312"/>
                <w:b/>
                <w:bCs/>
                <w:color w:val="000000"/>
                <w:kern w:val="0"/>
                <w:lang w:val="en-US" w:eastAsia="zh-CN"/>
              </w:rPr>
              <w:t xml:space="preserve">24  </w:t>
            </w:r>
            <w:r>
              <w:rPr>
                <w:rFonts w:eastAsia="仿宋_GB2312"/>
                <w:b/>
                <w:bCs/>
                <w:color w:val="000000"/>
                <w:kern w:val="0"/>
              </w:rPr>
              <w:t>项目主要噪声设备一览表</w:t>
            </w:r>
            <w:r>
              <w:rPr>
                <w:rFonts w:hint="default" w:ascii="Times New Roman" w:hAnsi="Times New Roman" w:eastAsia="仿宋_GB2312" w:cs="Times New Roman"/>
                <w:b/>
                <w:bCs/>
                <w:color w:val="000000"/>
                <w:kern w:val="0"/>
                <w:lang w:val="en-US" w:eastAsia="zh-CN"/>
              </w:rPr>
              <w:t>（室</w:t>
            </w:r>
            <w:r>
              <w:rPr>
                <w:rFonts w:hint="eastAsia" w:ascii="Times New Roman" w:hAnsi="Times New Roman" w:eastAsia="仿宋_GB2312" w:cs="Times New Roman"/>
                <w:b/>
                <w:bCs/>
                <w:color w:val="000000"/>
                <w:kern w:val="0"/>
                <w:lang w:val="en-US" w:eastAsia="zh-CN"/>
              </w:rPr>
              <w:t>内</w:t>
            </w:r>
            <w:r>
              <w:rPr>
                <w:rFonts w:hint="default" w:ascii="Times New Roman" w:hAnsi="Times New Roman" w:eastAsia="仿宋_GB2312" w:cs="Times New Roman"/>
                <w:b/>
                <w:bCs/>
                <w:color w:val="000000"/>
                <w:kern w:val="0"/>
                <w:lang w:val="en-US" w:eastAsia="zh-CN"/>
              </w:rPr>
              <w:t>声源）</w:t>
            </w:r>
            <w:r>
              <w:rPr>
                <w:rFonts w:hint="eastAsia" w:eastAsia="仿宋_GB2312"/>
                <w:b/>
                <w:bCs/>
                <w:color w:val="000000"/>
                <w:kern w:val="0"/>
                <w:lang w:val="en-US" w:eastAsia="zh-CN"/>
              </w:rPr>
              <w:t xml:space="preserve"> </w:t>
            </w:r>
            <w:r>
              <w:rPr>
                <w:rFonts w:eastAsia="仿宋_GB2312"/>
                <w:b/>
                <w:bCs/>
                <w:color w:val="000000"/>
                <w:kern w:val="0"/>
              </w:rPr>
              <w:t>单位：dB（A）</w:t>
            </w:r>
          </w:p>
          <w:tbl>
            <w:tblPr>
              <w:tblStyle w:val="31"/>
              <w:tblW w:w="497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365"/>
              <w:gridCol w:w="365"/>
              <w:gridCol w:w="778"/>
              <w:gridCol w:w="788"/>
              <w:gridCol w:w="511"/>
              <w:gridCol w:w="547"/>
              <w:gridCol w:w="455"/>
              <w:gridCol w:w="455"/>
              <w:gridCol w:w="599"/>
              <w:gridCol w:w="648"/>
              <w:gridCol w:w="669"/>
              <w:gridCol w:w="623"/>
              <w:gridCol w:w="623"/>
              <w:gridCol w:w="600"/>
              <w:gridCol w:w="413"/>
              <w:gridCol w:w="21"/>
            </w:tblGrid>
            <w:tr w14:paraId="43E5148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12" w:type="pct"/>
                <w:trHeight w:val="577" w:hRule="atLeast"/>
                <w:jc w:val="center"/>
              </w:trPr>
              <w:tc>
                <w:tcPr>
                  <w:tcW w:w="215" w:type="pct"/>
                  <w:vMerge w:val="restart"/>
                  <w:tcBorders>
                    <w:tl2br w:val="nil"/>
                    <w:tr2bl w:val="nil"/>
                  </w:tcBorders>
                  <w:noWrap w:val="0"/>
                  <w:vAlign w:val="center"/>
                </w:tcPr>
                <w:p w14:paraId="1EB34AE7">
                  <w:pPr>
                    <w:adjustRightInd w:val="0"/>
                    <w:snapToGrid w:val="0"/>
                    <w:jc w:val="center"/>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rPr>
                    <w:t>序号</w:t>
                  </w:r>
                </w:p>
              </w:tc>
              <w:tc>
                <w:tcPr>
                  <w:tcW w:w="215" w:type="pct"/>
                  <w:vMerge w:val="restart"/>
                  <w:tcBorders>
                    <w:tl2br w:val="nil"/>
                    <w:tr2bl w:val="nil"/>
                  </w:tcBorders>
                  <w:noWrap w:val="0"/>
                  <w:vAlign w:val="center"/>
                </w:tcPr>
                <w:p w14:paraId="32B3BDEB">
                  <w:pPr>
                    <w:adjustRightInd w:val="0"/>
                    <w:snapToGrid w:val="0"/>
                    <w:jc w:val="center"/>
                    <w:rPr>
                      <w:rFonts w:hint="default" w:ascii="Times New Roman" w:hAnsi="Times New Roman" w:eastAsia="仿宋_GB2312" w:cs="Times New Roman"/>
                      <w:b/>
                      <w:bCs/>
                      <w:kern w:val="0"/>
                      <w:sz w:val="21"/>
                      <w:szCs w:val="21"/>
                      <w:lang w:val="en-US" w:eastAsia="zh-CN"/>
                    </w:rPr>
                  </w:pPr>
                  <w:r>
                    <w:rPr>
                      <w:rFonts w:hint="default" w:ascii="Times New Roman" w:hAnsi="Times New Roman" w:eastAsia="仿宋_GB2312" w:cs="Times New Roman"/>
                      <w:b/>
                      <w:bCs/>
                      <w:kern w:val="0"/>
                      <w:sz w:val="21"/>
                      <w:szCs w:val="21"/>
                      <w:lang w:val="en-US" w:eastAsia="zh-CN"/>
                    </w:rPr>
                    <w:t>建筑物名称</w:t>
                  </w:r>
                </w:p>
              </w:tc>
              <w:tc>
                <w:tcPr>
                  <w:tcW w:w="459" w:type="pct"/>
                  <w:vMerge w:val="restart"/>
                  <w:tcBorders>
                    <w:tl2br w:val="nil"/>
                    <w:tr2bl w:val="nil"/>
                  </w:tcBorders>
                  <w:noWrap w:val="0"/>
                  <w:vAlign w:val="center"/>
                </w:tcPr>
                <w:p w14:paraId="7EDB5BDF">
                  <w:pPr>
                    <w:adjustRightInd w:val="0"/>
                    <w:snapToGrid w:val="0"/>
                    <w:jc w:val="center"/>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lang w:val="en-US" w:eastAsia="zh-CN"/>
                    </w:rPr>
                    <w:t>声源</w:t>
                  </w:r>
                  <w:r>
                    <w:rPr>
                      <w:rFonts w:hint="default" w:ascii="Times New Roman" w:hAnsi="Times New Roman" w:eastAsia="仿宋_GB2312" w:cs="Times New Roman"/>
                      <w:b/>
                      <w:bCs/>
                      <w:kern w:val="0"/>
                      <w:sz w:val="21"/>
                      <w:szCs w:val="21"/>
                    </w:rPr>
                    <w:t>名称</w:t>
                  </w:r>
                </w:p>
              </w:tc>
              <w:tc>
                <w:tcPr>
                  <w:tcW w:w="465" w:type="pct"/>
                  <w:vMerge w:val="restart"/>
                  <w:tcBorders>
                    <w:tl2br w:val="nil"/>
                    <w:tr2bl w:val="nil"/>
                  </w:tcBorders>
                  <w:noWrap w:val="0"/>
                  <w:vAlign w:val="center"/>
                </w:tcPr>
                <w:p w14:paraId="24577F74">
                  <w:pPr>
                    <w:adjustRightInd w:val="0"/>
                    <w:snapToGrid w:val="0"/>
                    <w:jc w:val="center"/>
                    <w:rPr>
                      <w:rFonts w:hint="default" w:ascii="Times New Roman" w:hAnsi="Times New Roman" w:eastAsia="仿宋_GB2312" w:cs="Times New Roman"/>
                      <w:b/>
                      <w:bCs/>
                      <w:kern w:val="0"/>
                      <w:sz w:val="21"/>
                      <w:szCs w:val="21"/>
                      <w:lang w:val="en-US" w:eastAsia="zh-CN"/>
                    </w:rPr>
                  </w:pPr>
                  <w:r>
                    <w:rPr>
                      <w:rFonts w:hint="default" w:ascii="Times New Roman" w:hAnsi="Times New Roman" w:eastAsia="仿宋_GB2312" w:cs="Times New Roman"/>
                      <w:b/>
                      <w:bCs/>
                      <w:kern w:val="0"/>
                      <w:sz w:val="21"/>
                      <w:szCs w:val="21"/>
                      <w:lang w:val="en-US" w:eastAsia="zh-CN"/>
                    </w:rPr>
                    <w:t>型号</w:t>
                  </w:r>
                </w:p>
              </w:tc>
              <w:tc>
                <w:tcPr>
                  <w:tcW w:w="302" w:type="pct"/>
                  <w:vMerge w:val="restart"/>
                  <w:tcBorders>
                    <w:tl2br w:val="nil"/>
                    <w:tr2bl w:val="nil"/>
                  </w:tcBorders>
                  <w:noWrap w:val="0"/>
                  <w:vAlign w:val="center"/>
                </w:tcPr>
                <w:p w14:paraId="6F1DA820">
                  <w:pPr>
                    <w:adjustRightInd w:val="0"/>
                    <w:snapToGrid w:val="0"/>
                    <w:jc w:val="center"/>
                    <w:rPr>
                      <w:rFonts w:hint="default" w:ascii="Times New Roman" w:hAnsi="Times New Roman" w:eastAsia="仿宋_GB2312" w:cs="Times New Roman"/>
                      <w:b/>
                      <w:bCs/>
                      <w:kern w:val="0"/>
                      <w:sz w:val="21"/>
                      <w:szCs w:val="21"/>
                      <w:lang w:val="en-US" w:eastAsia="zh-CN"/>
                    </w:rPr>
                  </w:pPr>
                  <w:r>
                    <w:rPr>
                      <w:rFonts w:hint="default" w:ascii="Times New Roman" w:hAnsi="Times New Roman" w:eastAsia="仿宋_GB2312" w:cs="Times New Roman"/>
                      <w:b/>
                      <w:bCs/>
                      <w:kern w:val="0"/>
                      <w:sz w:val="21"/>
                      <w:szCs w:val="21"/>
                      <w:lang w:val="en-US" w:eastAsia="zh-CN"/>
                    </w:rPr>
                    <w:t>声功率级/dB(A)</w:t>
                  </w:r>
                </w:p>
              </w:tc>
              <w:tc>
                <w:tcPr>
                  <w:tcW w:w="323" w:type="pct"/>
                  <w:vMerge w:val="restart"/>
                  <w:tcBorders>
                    <w:tl2br w:val="nil"/>
                    <w:tr2bl w:val="nil"/>
                  </w:tcBorders>
                  <w:noWrap w:val="0"/>
                  <w:vAlign w:val="center"/>
                </w:tcPr>
                <w:p w14:paraId="7F97B48F">
                  <w:pPr>
                    <w:adjustRightInd w:val="0"/>
                    <w:snapToGrid w:val="0"/>
                    <w:jc w:val="center"/>
                    <w:rPr>
                      <w:rFonts w:hint="default" w:ascii="Times New Roman" w:hAnsi="Times New Roman" w:eastAsia="仿宋_GB2312" w:cs="Times New Roman"/>
                      <w:b/>
                      <w:bCs/>
                      <w:kern w:val="0"/>
                      <w:sz w:val="21"/>
                      <w:szCs w:val="21"/>
                      <w:lang w:val="en-US" w:eastAsia="zh-CN"/>
                    </w:rPr>
                  </w:pPr>
                  <w:r>
                    <w:rPr>
                      <w:rFonts w:hint="default" w:ascii="Times New Roman" w:hAnsi="Times New Roman" w:eastAsia="仿宋_GB2312" w:cs="Times New Roman"/>
                      <w:b/>
                      <w:bCs/>
                      <w:kern w:val="0"/>
                      <w:sz w:val="21"/>
                      <w:szCs w:val="21"/>
                      <w:lang w:val="en-US" w:eastAsia="zh-CN"/>
                    </w:rPr>
                    <w:t>治理措施</w:t>
                  </w:r>
                </w:p>
              </w:tc>
              <w:tc>
                <w:tcPr>
                  <w:tcW w:w="891" w:type="pct"/>
                  <w:gridSpan w:val="3"/>
                  <w:tcBorders>
                    <w:tl2br w:val="nil"/>
                    <w:tr2bl w:val="nil"/>
                  </w:tcBorders>
                  <w:noWrap w:val="0"/>
                  <w:vAlign w:val="center"/>
                </w:tcPr>
                <w:p w14:paraId="404ED55F">
                  <w:pPr>
                    <w:adjustRightInd w:val="0"/>
                    <w:snapToGrid w:val="0"/>
                    <w:jc w:val="center"/>
                    <w:rPr>
                      <w:rFonts w:hint="default" w:ascii="Times New Roman" w:hAnsi="Times New Roman" w:eastAsia="仿宋_GB2312" w:cs="Times New Roman"/>
                      <w:b/>
                      <w:bCs/>
                      <w:kern w:val="0"/>
                      <w:sz w:val="21"/>
                      <w:szCs w:val="21"/>
                      <w:lang w:val="en-US" w:eastAsia="zh-CN"/>
                    </w:rPr>
                  </w:pPr>
                  <w:r>
                    <w:rPr>
                      <w:rFonts w:hint="default" w:ascii="Times New Roman" w:hAnsi="Times New Roman" w:eastAsia="仿宋_GB2312" w:cs="Times New Roman"/>
                      <w:b/>
                      <w:bCs/>
                      <w:kern w:val="0"/>
                      <w:sz w:val="21"/>
                      <w:szCs w:val="21"/>
                      <w:lang w:val="en-US" w:eastAsia="zh-CN"/>
                    </w:rPr>
                    <w:t>空间相对位置/m</w:t>
                  </w:r>
                </w:p>
              </w:tc>
              <w:tc>
                <w:tcPr>
                  <w:tcW w:w="382" w:type="pct"/>
                  <w:vMerge w:val="restart"/>
                  <w:tcBorders>
                    <w:tl2br w:val="nil"/>
                    <w:tr2bl w:val="nil"/>
                  </w:tcBorders>
                  <w:noWrap w:val="0"/>
                  <w:vAlign w:val="center"/>
                </w:tcPr>
                <w:p w14:paraId="1C16EB8B">
                  <w:pPr>
                    <w:adjustRightInd w:val="0"/>
                    <w:snapToGrid w:val="0"/>
                    <w:jc w:val="center"/>
                    <w:rPr>
                      <w:rFonts w:hint="default" w:ascii="Times New Roman" w:hAnsi="Times New Roman" w:eastAsia="仿宋_GB2312" w:cs="Times New Roman"/>
                      <w:b/>
                      <w:bCs/>
                      <w:kern w:val="0"/>
                      <w:sz w:val="21"/>
                      <w:szCs w:val="21"/>
                      <w:lang w:val="en-US" w:eastAsia="zh-CN"/>
                    </w:rPr>
                  </w:pPr>
                  <w:r>
                    <w:rPr>
                      <w:rFonts w:hint="default" w:ascii="Times New Roman" w:hAnsi="Times New Roman" w:eastAsia="仿宋_GB2312" w:cs="Times New Roman"/>
                      <w:b/>
                      <w:bCs/>
                      <w:kern w:val="0"/>
                      <w:sz w:val="21"/>
                      <w:szCs w:val="21"/>
                      <w:lang w:val="en-US" w:eastAsia="zh-CN"/>
                    </w:rPr>
                    <w:t>距室内边界距离/m</w:t>
                  </w:r>
                </w:p>
              </w:tc>
              <w:tc>
                <w:tcPr>
                  <w:tcW w:w="395" w:type="pct"/>
                  <w:vMerge w:val="restart"/>
                  <w:tcBorders>
                    <w:tl2br w:val="nil"/>
                    <w:tr2bl w:val="nil"/>
                  </w:tcBorders>
                  <w:noWrap w:val="0"/>
                  <w:vAlign w:val="center"/>
                </w:tcPr>
                <w:p w14:paraId="2C32351C">
                  <w:pPr>
                    <w:adjustRightInd w:val="0"/>
                    <w:snapToGrid w:val="0"/>
                    <w:jc w:val="center"/>
                    <w:rPr>
                      <w:rFonts w:hint="default" w:ascii="Times New Roman" w:hAnsi="Times New Roman" w:eastAsia="仿宋_GB2312" w:cs="Times New Roman"/>
                      <w:b/>
                      <w:bCs/>
                      <w:kern w:val="0"/>
                      <w:sz w:val="21"/>
                      <w:szCs w:val="21"/>
                      <w:lang w:val="en-US" w:eastAsia="zh-CN"/>
                    </w:rPr>
                  </w:pPr>
                  <w:r>
                    <w:rPr>
                      <w:rFonts w:hint="default" w:ascii="Times New Roman" w:hAnsi="Times New Roman" w:eastAsia="仿宋_GB2312" w:cs="Times New Roman"/>
                      <w:b/>
                      <w:bCs/>
                      <w:kern w:val="0"/>
                      <w:sz w:val="21"/>
                      <w:szCs w:val="21"/>
                      <w:lang w:val="en-US" w:eastAsia="zh-CN"/>
                    </w:rPr>
                    <w:t>室内边界声级</w:t>
                  </w:r>
                </w:p>
                <w:p w14:paraId="207F7EBE">
                  <w:pPr>
                    <w:adjustRightInd w:val="0"/>
                    <w:snapToGrid w:val="0"/>
                    <w:jc w:val="center"/>
                    <w:rPr>
                      <w:rFonts w:hint="default" w:ascii="Times New Roman" w:hAnsi="Times New Roman" w:eastAsia="仿宋_GB2312" w:cs="Times New Roman"/>
                      <w:b/>
                      <w:bCs/>
                      <w:kern w:val="0"/>
                      <w:sz w:val="21"/>
                      <w:szCs w:val="21"/>
                      <w:lang w:val="en-US" w:eastAsia="zh-CN"/>
                    </w:rPr>
                  </w:pPr>
                  <w:r>
                    <w:rPr>
                      <w:rFonts w:hint="default" w:ascii="Times New Roman" w:hAnsi="Times New Roman" w:eastAsia="仿宋_GB2312" w:cs="Times New Roman"/>
                      <w:b/>
                      <w:bCs/>
                      <w:kern w:val="0"/>
                      <w:sz w:val="21"/>
                      <w:szCs w:val="21"/>
                      <w:lang w:val="en-US" w:eastAsia="zh-CN"/>
                    </w:rPr>
                    <w:t>/dB(A)</w:t>
                  </w:r>
                </w:p>
              </w:tc>
              <w:tc>
                <w:tcPr>
                  <w:tcW w:w="368" w:type="pct"/>
                  <w:vMerge w:val="restart"/>
                  <w:tcBorders>
                    <w:tl2br w:val="nil"/>
                    <w:tr2bl w:val="nil"/>
                  </w:tcBorders>
                  <w:noWrap w:val="0"/>
                  <w:vAlign w:val="center"/>
                </w:tcPr>
                <w:p w14:paraId="716F6B69">
                  <w:pPr>
                    <w:adjustRightInd w:val="0"/>
                    <w:snapToGrid w:val="0"/>
                    <w:jc w:val="center"/>
                    <w:rPr>
                      <w:rFonts w:hint="default" w:ascii="Times New Roman" w:hAnsi="Times New Roman" w:eastAsia="仿宋_GB2312" w:cs="Times New Roman"/>
                      <w:b/>
                      <w:bCs/>
                      <w:kern w:val="0"/>
                      <w:sz w:val="21"/>
                      <w:szCs w:val="21"/>
                      <w:lang w:val="en-US" w:eastAsia="zh-CN"/>
                    </w:rPr>
                  </w:pPr>
                  <w:r>
                    <w:rPr>
                      <w:rFonts w:hint="default" w:ascii="Times New Roman" w:hAnsi="Times New Roman" w:eastAsia="仿宋_GB2312" w:cs="Times New Roman"/>
                      <w:b/>
                      <w:bCs/>
                      <w:kern w:val="0"/>
                      <w:sz w:val="21"/>
                      <w:szCs w:val="21"/>
                      <w:lang w:val="en-US" w:eastAsia="zh-CN"/>
                    </w:rPr>
                    <w:t>运行时段</w:t>
                  </w:r>
                </w:p>
              </w:tc>
              <w:tc>
                <w:tcPr>
                  <w:tcW w:w="368" w:type="pct"/>
                  <w:vMerge w:val="restart"/>
                  <w:tcBorders>
                    <w:tl2br w:val="nil"/>
                    <w:tr2bl w:val="nil"/>
                  </w:tcBorders>
                  <w:noWrap w:val="0"/>
                  <w:vAlign w:val="center"/>
                </w:tcPr>
                <w:p w14:paraId="3D758253">
                  <w:pPr>
                    <w:adjustRightInd w:val="0"/>
                    <w:snapToGrid w:val="0"/>
                    <w:jc w:val="center"/>
                    <w:rPr>
                      <w:rFonts w:hint="default" w:ascii="Times New Roman" w:hAnsi="Times New Roman" w:eastAsia="仿宋_GB2312" w:cs="Times New Roman"/>
                      <w:b/>
                      <w:bCs/>
                      <w:kern w:val="0"/>
                      <w:sz w:val="21"/>
                      <w:szCs w:val="21"/>
                      <w:lang w:val="en-US" w:eastAsia="zh-CN"/>
                    </w:rPr>
                  </w:pPr>
                  <w:r>
                    <w:rPr>
                      <w:rFonts w:hint="default" w:ascii="Times New Roman" w:hAnsi="Times New Roman" w:eastAsia="仿宋_GB2312" w:cs="Times New Roman"/>
                      <w:b/>
                      <w:bCs/>
                      <w:kern w:val="0"/>
                      <w:sz w:val="21"/>
                      <w:szCs w:val="21"/>
                      <w:lang w:val="en-US" w:eastAsia="zh-CN"/>
                    </w:rPr>
                    <w:t>建筑物插入损失/ dB(A)</w:t>
                  </w:r>
                </w:p>
              </w:tc>
              <w:tc>
                <w:tcPr>
                  <w:tcW w:w="598" w:type="pct"/>
                  <w:gridSpan w:val="2"/>
                  <w:tcBorders>
                    <w:tl2br w:val="nil"/>
                    <w:tr2bl w:val="nil"/>
                  </w:tcBorders>
                  <w:noWrap w:val="0"/>
                  <w:vAlign w:val="center"/>
                </w:tcPr>
                <w:p w14:paraId="27C9121B">
                  <w:pPr>
                    <w:adjustRightInd w:val="0"/>
                    <w:snapToGrid w:val="0"/>
                    <w:jc w:val="center"/>
                    <w:rPr>
                      <w:rFonts w:hint="default" w:ascii="Times New Roman" w:hAnsi="Times New Roman" w:eastAsia="仿宋_GB2312" w:cs="Times New Roman"/>
                      <w:b/>
                      <w:bCs/>
                      <w:kern w:val="0"/>
                      <w:sz w:val="21"/>
                      <w:szCs w:val="21"/>
                      <w:lang w:val="en-US" w:eastAsia="zh-CN"/>
                    </w:rPr>
                  </w:pPr>
                  <w:r>
                    <w:rPr>
                      <w:rFonts w:hint="default" w:ascii="Times New Roman" w:hAnsi="Times New Roman" w:eastAsia="仿宋_GB2312" w:cs="Times New Roman"/>
                      <w:b/>
                      <w:bCs/>
                      <w:kern w:val="0"/>
                      <w:sz w:val="21"/>
                      <w:szCs w:val="21"/>
                      <w:lang w:val="en-US" w:eastAsia="zh-CN"/>
                    </w:rPr>
                    <w:t>建筑物外噪声</w:t>
                  </w:r>
                </w:p>
              </w:tc>
            </w:tr>
            <w:tr w14:paraId="64139AB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846" w:hRule="atLeast"/>
                <w:jc w:val="center"/>
              </w:trPr>
              <w:tc>
                <w:tcPr>
                  <w:tcW w:w="215" w:type="pct"/>
                  <w:vMerge w:val="continue"/>
                  <w:tcBorders>
                    <w:tl2br w:val="nil"/>
                    <w:tr2bl w:val="nil"/>
                  </w:tcBorders>
                  <w:noWrap w:val="0"/>
                  <w:vAlign w:val="center"/>
                </w:tcPr>
                <w:p w14:paraId="31222453">
                  <w:pPr>
                    <w:adjustRightInd w:val="0"/>
                    <w:snapToGrid w:val="0"/>
                    <w:jc w:val="center"/>
                    <w:rPr>
                      <w:rFonts w:hint="default" w:ascii="Times New Roman" w:hAnsi="Times New Roman" w:eastAsia="仿宋_GB2312" w:cs="Times New Roman"/>
                      <w:b/>
                      <w:bCs/>
                      <w:kern w:val="0"/>
                      <w:sz w:val="21"/>
                      <w:szCs w:val="21"/>
                    </w:rPr>
                  </w:pPr>
                </w:p>
              </w:tc>
              <w:tc>
                <w:tcPr>
                  <w:tcW w:w="215" w:type="pct"/>
                  <w:vMerge w:val="continue"/>
                  <w:tcBorders>
                    <w:tl2br w:val="nil"/>
                    <w:tr2bl w:val="nil"/>
                  </w:tcBorders>
                  <w:noWrap w:val="0"/>
                  <w:vAlign w:val="center"/>
                </w:tcPr>
                <w:p w14:paraId="2F47F9FD">
                  <w:pPr>
                    <w:adjustRightInd w:val="0"/>
                    <w:snapToGrid w:val="0"/>
                    <w:jc w:val="center"/>
                    <w:rPr>
                      <w:rFonts w:hint="default" w:ascii="Times New Roman" w:hAnsi="Times New Roman" w:eastAsia="仿宋_GB2312" w:cs="Times New Roman"/>
                      <w:b/>
                      <w:bCs/>
                      <w:kern w:val="0"/>
                      <w:sz w:val="21"/>
                      <w:szCs w:val="21"/>
                    </w:rPr>
                  </w:pPr>
                </w:p>
              </w:tc>
              <w:tc>
                <w:tcPr>
                  <w:tcW w:w="459" w:type="pct"/>
                  <w:vMerge w:val="continue"/>
                  <w:tcBorders>
                    <w:tl2br w:val="nil"/>
                    <w:tr2bl w:val="nil"/>
                  </w:tcBorders>
                  <w:noWrap w:val="0"/>
                  <w:vAlign w:val="center"/>
                </w:tcPr>
                <w:p w14:paraId="782A2997">
                  <w:pPr>
                    <w:adjustRightInd w:val="0"/>
                    <w:snapToGrid w:val="0"/>
                    <w:jc w:val="center"/>
                    <w:rPr>
                      <w:rFonts w:hint="default" w:ascii="Times New Roman" w:hAnsi="Times New Roman" w:eastAsia="仿宋_GB2312" w:cs="Times New Roman"/>
                      <w:b/>
                      <w:bCs/>
                      <w:kern w:val="0"/>
                      <w:sz w:val="21"/>
                      <w:szCs w:val="21"/>
                    </w:rPr>
                  </w:pPr>
                </w:p>
              </w:tc>
              <w:tc>
                <w:tcPr>
                  <w:tcW w:w="465" w:type="pct"/>
                  <w:vMerge w:val="continue"/>
                  <w:tcBorders>
                    <w:tl2br w:val="nil"/>
                    <w:tr2bl w:val="nil"/>
                  </w:tcBorders>
                  <w:noWrap w:val="0"/>
                  <w:vAlign w:val="center"/>
                </w:tcPr>
                <w:p w14:paraId="01427FAD">
                  <w:pPr>
                    <w:adjustRightInd w:val="0"/>
                    <w:snapToGrid w:val="0"/>
                    <w:jc w:val="center"/>
                    <w:rPr>
                      <w:rFonts w:hint="default" w:ascii="Times New Roman" w:hAnsi="Times New Roman" w:eastAsia="仿宋_GB2312" w:cs="Times New Roman"/>
                      <w:b/>
                      <w:bCs/>
                      <w:kern w:val="0"/>
                      <w:sz w:val="21"/>
                      <w:szCs w:val="21"/>
                    </w:rPr>
                  </w:pPr>
                </w:p>
              </w:tc>
              <w:tc>
                <w:tcPr>
                  <w:tcW w:w="302" w:type="pct"/>
                  <w:vMerge w:val="continue"/>
                  <w:tcBorders>
                    <w:tl2br w:val="nil"/>
                    <w:tr2bl w:val="nil"/>
                  </w:tcBorders>
                  <w:noWrap w:val="0"/>
                  <w:vAlign w:val="center"/>
                </w:tcPr>
                <w:p w14:paraId="367D4E1E">
                  <w:pPr>
                    <w:adjustRightInd w:val="0"/>
                    <w:snapToGrid w:val="0"/>
                    <w:jc w:val="center"/>
                    <w:rPr>
                      <w:rFonts w:hint="default" w:ascii="Times New Roman" w:hAnsi="Times New Roman" w:eastAsia="仿宋_GB2312" w:cs="Times New Roman"/>
                      <w:b/>
                      <w:bCs/>
                      <w:kern w:val="0"/>
                      <w:sz w:val="21"/>
                      <w:szCs w:val="21"/>
                    </w:rPr>
                  </w:pPr>
                </w:p>
              </w:tc>
              <w:tc>
                <w:tcPr>
                  <w:tcW w:w="323" w:type="pct"/>
                  <w:vMerge w:val="continue"/>
                  <w:tcBorders>
                    <w:tl2br w:val="nil"/>
                    <w:tr2bl w:val="nil"/>
                  </w:tcBorders>
                  <w:noWrap w:val="0"/>
                  <w:vAlign w:val="center"/>
                </w:tcPr>
                <w:p w14:paraId="64050C95">
                  <w:pPr>
                    <w:adjustRightInd w:val="0"/>
                    <w:snapToGrid w:val="0"/>
                    <w:jc w:val="center"/>
                    <w:rPr>
                      <w:rFonts w:hint="default" w:ascii="Times New Roman" w:hAnsi="Times New Roman" w:eastAsia="仿宋_GB2312" w:cs="Times New Roman"/>
                      <w:b/>
                      <w:bCs/>
                      <w:kern w:val="0"/>
                      <w:sz w:val="21"/>
                      <w:szCs w:val="21"/>
                    </w:rPr>
                  </w:pPr>
                </w:p>
              </w:tc>
              <w:tc>
                <w:tcPr>
                  <w:tcW w:w="268" w:type="pct"/>
                  <w:tcBorders>
                    <w:tl2br w:val="nil"/>
                    <w:tr2bl w:val="nil"/>
                  </w:tcBorders>
                  <w:noWrap w:val="0"/>
                  <w:vAlign w:val="center"/>
                </w:tcPr>
                <w:p w14:paraId="286142D0">
                  <w:pPr>
                    <w:adjustRightInd w:val="0"/>
                    <w:snapToGrid w:val="0"/>
                    <w:jc w:val="center"/>
                    <w:rPr>
                      <w:rFonts w:hint="default" w:ascii="Times New Roman" w:hAnsi="Times New Roman" w:eastAsia="仿宋_GB2312" w:cs="Times New Roman"/>
                      <w:b/>
                      <w:bCs/>
                      <w:kern w:val="0"/>
                      <w:sz w:val="21"/>
                      <w:szCs w:val="21"/>
                      <w:lang w:val="en-US" w:eastAsia="zh-CN"/>
                    </w:rPr>
                  </w:pPr>
                  <w:r>
                    <w:rPr>
                      <w:rFonts w:hint="default" w:ascii="Times New Roman" w:hAnsi="Times New Roman" w:eastAsia="仿宋_GB2312" w:cs="Times New Roman"/>
                      <w:b/>
                      <w:bCs/>
                      <w:kern w:val="0"/>
                      <w:sz w:val="21"/>
                      <w:szCs w:val="21"/>
                      <w:lang w:val="en-US" w:eastAsia="zh-CN"/>
                    </w:rPr>
                    <w:t>X</w:t>
                  </w:r>
                </w:p>
              </w:tc>
              <w:tc>
                <w:tcPr>
                  <w:tcW w:w="268" w:type="pct"/>
                  <w:tcBorders>
                    <w:tl2br w:val="nil"/>
                    <w:tr2bl w:val="nil"/>
                  </w:tcBorders>
                  <w:noWrap w:val="0"/>
                  <w:vAlign w:val="center"/>
                </w:tcPr>
                <w:p w14:paraId="54201F3A">
                  <w:pPr>
                    <w:adjustRightInd w:val="0"/>
                    <w:snapToGrid w:val="0"/>
                    <w:jc w:val="center"/>
                    <w:rPr>
                      <w:rFonts w:hint="default" w:ascii="Times New Roman" w:hAnsi="Times New Roman" w:eastAsia="仿宋_GB2312" w:cs="Times New Roman"/>
                      <w:b/>
                      <w:bCs/>
                      <w:kern w:val="0"/>
                      <w:sz w:val="21"/>
                      <w:szCs w:val="21"/>
                      <w:lang w:val="en-US" w:eastAsia="zh-CN"/>
                    </w:rPr>
                  </w:pPr>
                  <w:r>
                    <w:rPr>
                      <w:rFonts w:hint="default" w:ascii="Times New Roman" w:hAnsi="Times New Roman" w:eastAsia="仿宋_GB2312" w:cs="Times New Roman"/>
                      <w:b/>
                      <w:bCs/>
                      <w:kern w:val="0"/>
                      <w:sz w:val="21"/>
                      <w:szCs w:val="21"/>
                      <w:lang w:val="en-US" w:eastAsia="zh-CN"/>
                    </w:rPr>
                    <w:t>Y</w:t>
                  </w:r>
                </w:p>
              </w:tc>
              <w:tc>
                <w:tcPr>
                  <w:tcW w:w="354" w:type="pct"/>
                  <w:tcBorders>
                    <w:tl2br w:val="nil"/>
                    <w:tr2bl w:val="nil"/>
                  </w:tcBorders>
                  <w:noWrap w:val="0"/>
                  <w:vAlign w:val="center"/>
                </w:tcPr>
                <w:p w14:paraId="443B3D3B">
                  <w:pPr>
                    <w:adjustRightInd w:val="0"/>
                    <w:snapToGrid w:val="0"/>
                    <w:jc w:val="center"/>
                    <w:rPr>
                      <w:rFonts w:hint="default" w:ascii="Times New Roman" w:hAnsi="Times New Roman" w:eastAsia="仿宋_GB2312" w:cs="Times New Roman"/>
                      <w:b/>
                      <w:bCs/>
                      <w:kern w:val="0"/>
                      <w:sz w:val="21"/>
                      <w:szCs w:val="21"/>
                      <w:lang w:val="en-US" w:eastAsia="zh-CN"/>
                    </w:rPr>
                  </w:pPr>
                  <w:r>
                    <w:rPr>
                      <w:rFonts w:hint="default" w:ascii="Times New Roman" w:hAnsi="Times New Roman" w:eastAsia="仿宋_GB2312" w:cs="Times New Roman"/>
                      <w:b/>
                      <w:bCs/>
                      <w:kern w:val="0"/>
                      <w:sz w:val="21"/>
                      <w:szCs w:val="21"/>
                      <w:lang w:val="en-US" w:eastAsia="zh-CN"/>
                    </w:rPr>
                    <w:t>Z</w:t>
                  </w:r>
                </w:p>
              </w:tc>
              <w:tc>
                <w:tcPr>
                  <w:tcW w:w="382" w:type="pct"/>
                  <w:vMerge w:val="continue"/>
                  <w:tcBorders>
                    <w:tl2br w:val="nil"/>
                    <w:tr2bl w:val="nil"/>
                  </w:tcBorders>
                  <w:noWrap w:val="0"/>
                  <w:vAlign w:val="center"/>
                </w:tcPr>
                <w:p w14:paraId="692593A7">
                  <w:pPr>
                    <w:adjustRightInd w:val="0"/>
                    <w:snapToGrid w:val="0"/>
                    <w:jc w:val="center"/>
                    <w:rPr>
                      <w:rFonts w:hint="default" w:ascii="Times New Roman" w:hAnsi="Times New Roman" w:eastAsia="仿宋_GB2312" w:cs="Times New Roman"/>
                      <w:b/>
                      <w:bCs/>
                      <w:kern w:val="0"/>
                      <w:sz w:val="21"/>
                      <w:szCs w:val="21"/>
                      <w:lang w:val="en-US" w:eastAsia="zh-CN"/>
                    </w:rPr>
                  </w:pPr>
                </w:p>
              </w:tc>
              <w:tc>
                <w:tcPr>
                  <w:tcW w:w="395" w:type="pct"/>
                  <w:vMerge w:val="continue"/>
                  <w:tcBorders>
                    <w:tl2br w:val="nil"/>
                    <w:tr2bl w:val="nil"/>
                  </w:tcBorders>
                  <w:noWrap w:val="0"/>
                  <w:vAlign w:val="center"/>
                </w:tcPr>
                <w:p w14:paraId="16E8650A">
                  <w:pPr>
                    <w:adjustRightInd w:val="0"/>
                    <w:snapToGrid w:val="0"/>
                    <w:jc w:val="center"/>
                    <w:rPr>
                      <w:rFonts w:hint="default" w:ascii="Times New Roman" w:hAnsi="Times New Roman" w:eastAsia="仿宋_GB2312" w:cs="Times New Roman"/>
                      <w:b/>
                      <w:bCs/>
                      <w:kern w:val="0"/>
                      <w:sz w:val="21"/>
                      <w:szCs w:val="21"/>
                      <w:lang w:val="en-US" w:eastAsia="zh-CN"/>
                    </w:rPr>
                  </w:pPr>
                </w:p>
              </w:tc>
              <w:tc>
                <w:tcPr>
                  <w:tcW w:w="368" w:type="pct"/>
                  <w:vMerge w:val="continue"/>
                  <w:tcBorders>
                    <w:tl2br w:val="nil"/>
                    <w:tr2bl w:val="nil"/>
                  </w:tcBorders>
                  <w:noWrap w:val="0"/>
                  <w:vAlign w:val="center"/>
                </w:tcPr>
                <w:p w14:paraId="57933372">
                  <w:pPr>
                    <w:adjustRightInd w:val="0"/>
                    <w:snapToGrid w:val="0"/>
                    <w:jc w:val="center"/>
                    <w:rPr>
                      <w:rFonts w:hint="default" w:ascii="Times New Roman" w:hAnsi="Times New Roman" w:eastAsia="仿宋_GB2312" w:cs="Times New Roman"/>
                      <w:b/>
                      <w:bCs/>
                      <w:kern w:val="0"/>
                      <w:sz w:val="21"/>
                      <w:szCs w:val="21"/>
                      <w:lang w:val="en-US" w:eastAsia="zh-CN"/>
                    </w:rPr>
                  </w:pPr>
                </w:p>
              </w:tc>
              <w:tc>
                <w:tcPr>
                  <w:tcW w:w="368" w:type="pct"/>
                  <w:vMerge w:val="continue"/>
                  <w:tcBorders>
                    <w:tl2br w:val="nil"/>
                    <w:tr2bl w:val="nil"/>
                  </w:tcBorders>
                  <w:noWrap w:val="0"/>
                  <w:vAlign w:val="center"/>
                </w:tcPr>
                <w:p w14:paraId="2BFFCB74">
                  <w:pPr>
                    <w:adjustRightInd w:val="0"/>
                    <w:snapToGrid w:val="0"/>
                    <w:jc w:val="center"/>
                    <w:rPr>
                      <w:rFonts w:hint="default" w:ascii="Times New Roman" w:hAnsi="Times New Roman" w:eastAsia="仿宋_GB2312" w:cs="Times New Roman"/>
                      <w:b/>
                      <w:bCs/>
                      <w:kern w:val="0"/>
                      <w:sz w:val="21"/>
                      <w:szCs w:val="21"/>
                      <w:lang w:val="en-US" w:eastAsia="zh-CN"/>
                    </w:rPr>
                  </w:pPr>
                </w:p>
              </w:tc>
              <w:tc>
                <w:tcPr>
                  <w:tcW w:w="354" w:type="pct"/>
                  <w:tcBorders>
                    <w:tl2br w:val="nil"/>
                    <w:tr2bl w:val="nil"/>
                  </w:tcBorders>
                  <w:noWrap w:val="0"/>
                  <w:vAlign w:val="center"/>
                </w:tcPr>
                <w:p w14:paraId="5756BC17">
                  <w:pPr>
                    <w:adjustRightInd w:val="0"/>
                    <w:snapToGrid w:val="0"/>
                    <w:jc w:val="center"/>
                    <w:rPr>
                      <w:rFonts w:hint="default" w:ascii="Times New Roman" w:hAnsi="Times New Roman" w:eastAsia="仿宋_GB2312" w:cs="Times New Roman"/>
                      <w:b/>
                      <w:bCs/>
                      <w:kern w:val="0"/>
                      <w:sz w:val="21"/>
                      <w:szCs w:val="21"/>
                      <w:lang w:val="en-US" w:eastAsia="zh-CN"/>
                    </w:rPr>
                  </w:pPr>
                  <w:r>
                    <w:rPr>
                      <w:rFonts w:hint="default" w:ascii="Times New Roman" w:hAnsi="Times New Roman" w:eastAsia="仿宋_GB2312" w:cs="Times New Roman"/>
                      <w:b/>
                      <w:bCs/>
                      <w:kern w:val="0"/>
                      <w:sz w:val="21"/>
                      <w:szCs w:val="21"/>
                      <w:lang w:val="en-US" w:eastAsia="zh-CN"/>
                    </w:rPr>
                    <w:t>声压级</w:t>
                  </w:r>
                </w:p>
                <w:p w14:paraId="60928DEB">
                  <w:pPr>
                    <w:adjustRightInd w:val="0"/>
                    <w:snapToGrid w:val="0"/>
                    <w:jc w:val="center"/>
                    <w:rPr>
                      <w:rFonts w:hint="default" w:ascii="Times New Roman" w:hAnsi="Times New Roman" w:eastAsia="仿宋_GB2312" w:cs="Times New Roman"/>
                      <w:b/>
                      <w:bCs/>
                      <w:kern w:val="0"/>
                      <w:sz w:val="21"/>
                      <w:szCs w:val="21"/>
                      <w:lang w:val="en-US" w:eastAsia="zh-CN"/>
                    </w:rPr>
                  </w:pPr>
                  <w:r>
                    <w:rPr>
                      <w:rFonts w:hint="default" w:ascii="Times New Roman" w:hAnsi="Times New Roman" w:eastAsia="仿宋_GB2312" w:cs="Times New Roman"/>
                      <w:b/>
                      <w:bCs/>
                      <w:kern w:val="0"/>
                      <w:sz w:val="21"/>
                      <w:szCs w:val="21"/>
                      <w:lang w:val="en-US" w:eastAsia="zh-CN"/>
                    </w:rPr>
                    <w:t>/dB(A)</w:t>
                  </w:r>
                </w:p>
              </w:tc>
              <w:tc>
                <w:tcPr>
                  <w:tcW w:w="256" w:type="pct"/>
                  <w:gridSpan w:val="2"/>
                  <w:tcBorders>
                    <w:tl2br w:val="nil"/>
                    <w:tr2bl w:val="nil"/>
                  </w:tcBorders>
                  <w:noWrap w:val="0"/>
                  <w:vAlign w:val="center"/>
                </w:tcPr>
                <w:p w14:paraId="5BFD1CBF">
                  <w:pPr>
                    <w:adjustRightInd w:val="0"/>
                    <w:snapToGrid w:val="0"/>
                    <w:jc w:val="center"/>
                    <w:rPr>
                      <w:rFonts w:hint="default" w:ascii="Times New Roman" w:hAnsi="Times New Roman" w:eastAsia="仿宋_GB2312" w:cs="Times New Roman"/>
                      <w:b/>
                      <w:bCs/>
                      <w:kern w:val="0"/>
                      <w:sz w:val="21"/>
                      <w:szCs w:val="21"/>
                      <w:lang w:val="en-US" w:eastAsia="zh-CN"/>
                    </w:rPr>
                  </w:pPr>
                  <w:r>
                    <w:rPr>
                      <w:rFonts w:hint="default" w:ascii="Times New Roman" w:hAnsi="Times New Roman" w:eastAsia="仿宋_GB2312" w:cs="Times New Roman"/>
                      <w:b/>
                      <w:bCs/>
                      <w:kern w:val="0"/>
                      <w:sz w:val="21"/>
                      <w:szCs w:val="21"/>
                      <w:lang w:val="en-US" w:eastAsia="zh-CN"/>
                    </w:rPr>
                    <w:t>建筑物外距离m</w:t>
                  </w:r>
                </w:p>
              </w:tc>
            </w:tr>
            <w:tr w14:paraId="08862E6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846" w:hRule="atLeast"/>
                <w:jc w:val="center"/>
              </w:trPr>
              <w:tc>
                <w:tcPr>
                  <w:tcW w:w="215" w:type="pct"/>
                  <w:tcBorders>
                    <w:tl2br w:val="nil"/>
                    <w:tr2bl w:val="nil"/>
                  </w:tcBorders>
                  <w:noWrap w:val="0"/>
                  <w:vAlign w:val="center"/>
                </w:tcPr>
                <w:p w14:paraId="574E88DD">
                  <w:pPr>
                    <w:adjustRightInd w:val="0"/>
                    <w:snapToGrid w:val="0"/>
                    <w:jc w:val="center"/>
                    <w:rPr>
                      <w:rFonts w:hint="default" w:ascii="Times New Roman" w:hAnsi="Times New Roman" w:eastAsia="仿宋_GB2312" w:cs="Times New Roman"/>
                      <w:b w:val="0"/>
                      <w:bCs w:val="0"/>
                      <w:kern w:val="0"/>
                      <w:sz w:val="21"/>
                      <w:szCs w:val="21"/>
                      <w:lang w:val="en-US" w:eastAsia="zh-CN"/>
                    </w:rPr>
                  </w:pPr>
                  <w:r>
                    <w:rPr>
                      <w:rFonts w:hint="default" w:ascii="Times New Roman" w:hAnsi="Times New Roman" w:eastAsia="仿宋_GB2312" w:cs="Times New Roman"/>
                      <w:b w:val="0"/>
                      <w:bCs w:val="0"/>
                      <w:kern w:val="0"/>
                      <w:sz w:val="21"/>
                      <w:szCs w:val="21"/>
                      <w:lang w:val="en-US" w:eastAsia="zh-CN"/>
                    </w:rPr>
                    <w:t>1</w:t>
                  </w:r>
                </w:p>
              </w:tc>
              <w:tc>
                <w:tcPr>
                  <w:tcW w:w="215" w:type="pct"/>
                  <w:vMerge w:val="restart"/>
                  <w:tcBorders>
                    <w:tl2br w:val="nil"/>
                    <w:tr2bl w:val="nil"/>
                  </w:tcBorders>
                  <w:noWrap w:val="0"/>
                  <w:vAlign w:val="center"/>
                </w:tcPr>
                <w:p w14:paraId="52FE8F94">
                  <w:pPr>
                    <w:adjustRightInd w:val="0"/>
                    <w:snapToGrid w:val="0"/>
                    <w:jc w:val="center"/>
                    <w:rPr>
                      <w:rFonts w:hint="default" w:ascii="Times New Roman" w:hAnsi="Times New Roman" w:eastAsia="仿宋_GB2312" w:cs="Times New Roman"/>
                      <w:b w:val="0"/>
                      <w:bCs w:val="0"/>
                      <w:kern w:val="0"/>
                      <w:sz w:val="21"/>
                      <w:szCs w:val="21"/>
                      <w:lang w:val="en-US" w:eastAsia="zh-CN"/>
                    </w:rPr>
                  </w:pPr>
                  <w:r>
                    <w:rPr>
                      <w:rFonts w:hint="default" w:ascii="Times New Roman" w:hAnsi="Times New Roman" w:eastAsia="仿宋_GB2312" w:cs="Times New Roman"/>
                      <w:b w:val="0"/>
                      <w:bCs w:val="0"/>
                      <w:kern w:val="0"/>
                      <w:sz w:val="21"/>
                      <w:szCs w:val="21"/>
                      <w:lang w:val="en-US" w:eastAsia="zh-CN"/>
                    </w:rPr>
                    <w:t>厂房</w:t>
                  </w:r>
                </w:p>
              </w:tc>
              <w:tc>
                <w:tcPr>
                  <w:tcW w:w="459" w:type="pct"/>
                  <w:tcBorders>
                    <w:tl2br w:val="nil"/>
                    <w:tr2bl w:val="nil"/>
                  </w:tcBorders>
                  <w:shd w:val="clear" w:color="auto" w:fill="auto"/>
                  <w:noWrap w:val="0"/>
                  <w:vAlign w:val="center"/>
                </w:tcPr>
                <w:p w14:paraId="10025570">
                  <w:pPr>
                    <w:pStyle w:val="69"/>
                    <w:adjustRightInd w:val="0"/>
                    <w:snapToGrid w:val="0"/>
                    <w:jc w:val="center"/>
                    <w:rPr>
                      <w:rFonts w:hint="default" w:ascii="Times New Roman" w:hAnsi="Times New Roman" w:eastAsia="仿宋_GB2312" w:cs="Times New Roman"/>
                      <w:snapToGrid w:val="0"/>
                      <w:kern w:val="0"/>
                      <w:sz w:val="21"/>
                      <w:szCs w:val="21"/>
                      <w:lang w:val="en-US" w:eastAsia="zh-CN" w:bidi="ar-SA"/>
                    </w:rPr>
                  </w:pPr>
                  <w:r>
                    <w:rPr>
                      <w:rFonts w:hint="default" w:ascii="Times New Roman" w:hAnsi="Times New Roman" w:eastAsia="仿宋_GB2312" w:cs="Times New Roman"/>
                      <w:snapToGrid w:val="0"/>
                      <w:kern w:val="0"/>
                      <w:sz w:val="21"/>
                      <w:szCs w:val="21"/>
                    </w:rPr>
                    <w:t>管道混合器</w:t>
                  </w:r>
                </w:p>
              </w:tc>
              <w:tc>
                <w:tcPr>
                  <w:tcW w:w="465" w:type="pct"/>
                  <w:tcBorders>
                    <w:tl2br w:val="nil"/>
                    <w:tr2bl w:val="nil"/>
                  </w:tcBorders>
                  <w:shd w:val="clear" w:color="auto" w:fill="auto"/>
                  <w:noWrap w:val="0"/>
                  <w:vAlign w:val="center"/>
                </w:tcPr>
                <w:p w14:paraId="6A72468E">
                  <w:pPr>
                    <w:adjustRightInd w:val="0"/>
                    <w:snapToGrid w:val="0"/>
                    <w:jc w:val="center"/>
                    <w:rPr>
                      <w:rFonts w:hint="default" w:ascii="Times New Roman" w:hAnsi="Times New Roman" w:eastAsia="仿宋_GB2312" w:cs="Times New Roman"/>
                      <w:b/>
                      <w:bCs/>
                      <w:kern w:val="0"/>
                      <w:sz w:val="21"/>
                      <w:szCs w:val="21"/>
                      <w:lang w:val="en-US" w:eastAsia="zh-CN" w:bidi="ar-SA"/>
                    </w:rPr>
                  </w:pPr>
                  <w:r>
                    <w:rPr>
                      <w:rFonts w:hint="eastAsia" w:ascii="Times New Roman" w:hAnsi="Times New Roman" w:eastAsia="仿宋_GB2312" w:cs="Times New Roman"/>
                      <w:b/>
                      <w:bCs/>
                      <w:kern w:val="0"/>
                      <w:sz w:val="21"/>
                      <w:szCs w:val="21"/>
                      <w:lang w:val="en-US" w:eastAsia="zh-CN" w:bidi="ar-SA"/>
                    </w:rPr>
                    <w:t>/</w:t>
                  </w:r>
                </w:p>
              </w:tc>
              <w:tc>
                <w:tcPr>
                  <w:tcW w:w="302" w:type="pct"/>
                  <w:tcBorders>
                    <w:tl2br w:val="nil"/>
                    <w:tr2bl w:val="nil"/>
                  </w:tcBorders>
                  <w:shd w:val="clear" w:color="auto" w:fill="auto"/>
                  <w:noWrap w:val="0"/>
                  <w:vAlign w:val="center"/>
                </w:tcPr>
                <w:p w14:paraId="6A0A0E7B">
                  <w:pPr>
                    <w:adjustRightInd w:val="0"/>
                    <w:snapToGrid w:val="0"/>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80</w:t>
                  </w:r>
                </w:p>
              </w:tc>
              <w:tc>
                <w:tcPr>
                  <w:tcW w:w="323" w:type="pct"/>
                  <w:vMerge w:val="restart"/>
                  <w:tcBorders>
                    <w:tl2br w:val="nil"/>
                    <w:tr2bl w:val="nil"/>
                  </w:tcBorders>
                  <w:noWrap w:val="0"/>
                  <w:vAlign w:val="center"/>
                </w:tcPr>
                <w:p w14:paraId="50A6CBF2">
                  <w:pPr>
                    <w:adjustRightInd w:val="0"/>
                    <w:snapToGrid w:val="0"/>
                    <w:jc w:val="center"/>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color w:val="auto"/>
                      <w:kern w:val="2"/>
                      <w:sz w:val="21"/>
                      <w:szCs w:val="21"/>
                      <w:highlight w:val="none"/>
                      <w:lang w:val="en-US" w:eastAsia="zh-CN" w:bidi="ar-SA"/>
                    </w:rPr>
                    <w:t>采取优选低噪声设备，厂房内采取隔声、基础减振，靠近厂界一侧采用双层隔声板加隔音棉</w:t>
                  </w:r>
                </w:p>
              </w:tc>
              <w:tc>
                <w:tcPr>
                  <w:tcW w:w="268" w:type="pct"/>
                  <w:tcBorders>
                    <w:tl2br w:val="nil"/>
                    <w:tr2bl w:val="nil"/>
                  </w:tcBorders>
                  <w:shd w:val="clear" w:color="auto" w:fill="auto"/>
                  <w:noWrap w:val="0"/>
                  <w:vAlign w:val="center"/>
                </w:tcPr>
                <w:p w14:paraId="18D0DDFB">
                  <w:pPr>
                    <w:pStyle w:val="101"/>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b/>
                      <w:bCs/>
                      <w:color w:val="auto"/>
                      <w:kern w:val="0"/>
                      <w:sz w:val="21"/>
                      <w:szCs w:val="21"/>
                      <w:lang w:val="en-US" w:eastAsia="zh-CN" w:bidi="ar-SA"/>
                    </w:rPr>
                  </w:pPr>
                  <w:r>
                    <w:rPr>
                      <w:rFonts w:hint="default" w:ascii="Times New Roman" w:hAnsi="Times New Roman" w:eastAsia="宋体" w:cs="Times New Roman"/>
                      <w:color w:val="auto"/>
                      <w:kern w:val="2"/>
                      <w:sz w:val="21"/>
                      <w:szCs w:val="24"/>
                      <w:highlight w:val="none"/>
                      <w:lang w:val="en-US" w:eastAsia="zh-CN" w:bidi="ar-SA"/>
                    </w:rPr>
                    <w:t>107</w:t>
                  </w:r>
                </w:p>
              </w:tc>
              <w:tc>
                <w:tcPr>
                  <w:tcW w:w="268" w:type="pct"/>
                  <w:tcBorders>
                    <w:tl2br w:val="nil"/>
                    <w:tr2bl w:val="nil"/>
                  </w:tcBorders>
                  <w:shd w:val="clear" w:color="auto" w:fill="auto"/>
                  <w:noWrap w:val="0"/>
                  <w:vAlign w:val="center"/>
                </w:tcPr>
                <w:p w14:paraId="028CC36D">
                  <w:pPr>
                    <w:pStyle w:val="101"/>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b/>
                      <w:bCs/>
                      <w:color w:val="auto"/>
                      <w:kern w:val="0"/>
                      <w:sz w:val="21"/>
                      <w:szCs w:val="21"/>
                      <w:lang w:val="en-US" w:eastAsia="zh-CN" w:bidi="ar-SA"/>
                    </w:rPr>
                  </w:pPr>
                  <w:r>
                    <w:rPr>
                      <w:rFonts w:hint="default" w:ascii="Times New Roman" w:hAnsi="Times New Roman" w:eastAsia="宋体" w:cs="Times New Roman"/>
                      <w:color w:val="auto"/>
                      <w:kern w:val="2"/>
                      <w:sz w:val="21"/>
                      <w:szCs w:val="24"/>
                      <w:highlight w:val="none"/>
                      <w:lang w:val="en-US" w:eastAsia="zh-CN" w:bidi="ar-SA"/>
                    </w:rPr>
                    <w:t>103</w:t>
                  </w:r>
                </w:p>
              </w:tc>
              <w:tc>
                <w:tcPr>
                  <w:tcW w:w="354" w:type="pct"/>
                  <w:tcBorders>
                    <w:tl2br w:val="nil"/>
                    <w:tr2bl w:val="nil"/>
                  </w:tcBorders>
                  <w:shd w:val="clear" w:color="auto" w:fill="auto"/>
                  <w:noWrap w:val="0"/>
                  <w:vAlign w:val="center"/>
                </w:tcPr>
                <w:p w14:paraId="1342613C">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仿宋_GB2312" w:cs="Times New Roman"/>
                      <w:b/>
                      <w:bCs/>
                      <w:kern w:val="0"/>
                      <w:sz w:val="21"/>
                      <w:szCs w:val="21"/>
                      <w:lang w:val="en-US" w:eastAsia="zh-CN" w:bidi="ar-SA"/>
                    </w:rPr>
                  </w:pPr>
                  <w:r>
                    <w:rPr>
                      <w:rFonts w:hint="default" w:ascii="Times New Roman" w:hAnsi="Times New Roman" w:eastAsia="宋体" w:cs="Times New Roman"/>
                      <w:color w:val="auto"/>
                      <w:highlight w:val="none"/>
                      <w:lang w:val="en-US" w:eastAsia="zh-CN"/>
                    </w:rPr>
                    <w:t>1.5</w:t>
                  </w:r>
                </w:p>
              </w:tc>
              <w:tc>
                <w:tcPr>
                  <w:tcW w:w="382" w:type="pct"/>
                  <w:tcBorders>
                    <w:tl2br w:val="nil"/>
                    <w:tr2bl w:val="nil"/>
                  </w:tcBorders>
                  <w:shd w:val="clear" w:color="auto" w:fill="auto"/>
                  <w:noWrap w:val="0"/>
                  <w:vAlign w:val="center"/>
                </w:tcPr>
                <w:p w14:paraId="3E1AA42A">
                  <w:pPr>
                    <w:widowControl/>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6</w:t>
                  </w:r>
                </w:p>
              </w:tc>
              <w:tc>
                <w:tcPr>
                  <w:tcW w:w="395" w:type="pct"/>
                  <w:tcBorders>
                    <w:tl2br w:val="nil"/>
                    <w:tr2bl w:val="nil"/>
                  </w:tcBorders>
                  <w:shd w:val="clear" w:color="auto" w:fill="auto"/>
                  <w:noWrap w:val="0"/>
                  <w:vAlign w:val="center"/>
                </w:tcPr>
                <w:p w14:paraId="377EA86D">
                  <w:pPr>
                    <w:keepNext w:val="0"/>
                    <w:keepLines w:val="0"/>
                    <w:widowControl/>
                    <w:suppressLineNumbers w:val="0"/>
                    <w:jc w:val="center"/>
                    <w:textAlignment w:val="center"/>
                    <w:rPr>
                      <w:rFonts w:hint="default" w:ascii="Times New Roman" w:hAnsi="Times New Roman" w:eastAsia="仿宋_GB2312" w:cs="Times New Roman"/>
                      <w:b/>
                      <w:bCs/>
                      <w:kern w:val="0"/>
                      <w:sz w:val="21"/>
                      <w:szCs w:val="21"/>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29.70</w:t>
                  </w:r>
                </w:p>
              </w:tc>
              <w:tc>
                <w:tcPr>
                  <w:tcW w:w="368" w:type="pct"/>
                  <w:vMerge w:val="restart"/>
                  <w:tcBorders>
                    <w:tl2br w:val="nil"/>
                    <w:tr2bl w:val="nil"/>
                  </w:tcBorders>
                  <w:noWrap w:val="0"/>
                  <w:vAlign w:val="center"/>
                </w:tcPr>
                <w:p w14:paraId="052FFC95">
                  <w:pPr>
                    <w:adjustRightInd w:val="0"/>
                    <w:snapToGrid w:val="0"/>
                    <w:jc w:val="center"/>
                    <w:rPr>
                      <w:rFonts w:hint="default" w:ascii="Times New Roman" w:hAnsi="Times New Roman" w:eastAsia="仿宋_GB2312" w:cs="Times New Roman"/>
                      <w:b/>
                      <w:bCs/>
                      <w:kern w:val="0"/>
                      <w:sz w:val="21"/>
                      <w:szCs w:val="21"/>
                      <w:lang w:val="en-US" w:eastAsia="zh-CN"/>
                    </w:rPr>
                  </w:pPr>
                  <w:r>
                    <w:rPr>
                      <w:rFonts w:hint="eastAsia" w:ascii="Times New Roman" w:hAnsi="Times New Roman" w:eastAsia="宋体" w:cs="Times New Roman"/>
                      <w:color w:val="auto"/>
                      <w:highlight w:val="none"/>
                      <w:lang w:val="en-US" w:eastAsia="zh-CN"/>
                    </w:rPr>
                    <w:t>00</w:t>
                  </w:r>
                  <w:r>
                    <w:rPr>
                      <w:rFonts w:hint="default" w:ascii="Times New Roman" w:hAnsi="Times New Roman" w:eastAsia="宋体" w:cs="Times New Roman"/>
                      <w:color w:val="auto"/>
                      <w:highlight w:val="none"/>
                      <w:lang w:val="en-US" w:eastAsia="zh-CN"/>
                    </w:rPr>
                    <w:t>：0</w:t>
                  </w:r>
                  <w:r>
                    <w:rPr>
                      <w:rFonts w:hint="eastAsia" w:ascii="Times New Roman" w:hAnsi="Times New Roman" w:eastAsia="宋体" w:cs="Times New Roman"/>
                      <w:color w:val="auto"/>
                      <w:highlight w:val="none"/>
                      <w:lang w:val="en-US" w:eastAsia="zh-CN"/>
                    </w:rPr>
                    <w:t>0</w:t>
                  </w:r>
                  <w:r>
                    <w:rPr>
                      <w:rFonts w:hint="default" w:ascii="Times New Roman" w:hAnsi="Times New Roman" w:eastAsia="宋体" w:cs="Times New Roman"/>
                      <w:color w:val="auto"/>
                      <w:highlight w:val="none"/>
                      <w:lang w:val="en-US" w:eastAsia="zh-CN"/>
                    </w:rPr>
                    <w:t>~24：00</w:t>
                  </w:r>
                </w:p>
              </w:tc>
              <w:tc>
                <w:tcPr>
                  <w:tcW w:w="368" w:type="pct"/>
                  <w:tcBorders>
                    <w:tl2br w:val="nil"/>
                    <w:tr2bl w:val="nil"/>
                  </w:tcBorders>
                  <w:shd w:val="clear" w:color="auto" w:fill="auto"/>
                  <w:noWrap w:val="0"/>
                  <w:vAlign w:val="center"/>
                </w:tcPr>
                <w:p w14:paraId="68998603">
                  <w:pPr>
                    <w:adjustRightInd w:val="0"/>
                    <w:snapToGrid w:val="0"/>
                    <w:jc w:val="center"/>
                    <w:rPr>
                      <w:rFonts w:hint="default"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kern w:val="0"/>
                      <w:sz w:val="21"/>
                      <w:szCs w:val="21"/>
                    </w:rPr>
                    <w:t>25</w:t>
                  </w:r>
                </w:p>
              </w:tc>
              <w:tc>
                <w:tcPr>
                  <w:tcW w:w="354" w:type="pct"/>
                  <w:tcBorders>
                    <w:tl2br w:val="nil"/>
                    <w:tr2bl w:val="nil"/>
                  </w:tcBorders>
                  <w:shd w:val="clear" w:color="auto" w:fill="auto"/>
                  <w:noWrap w:val="0"/>
                  <w:vAlign w:val="center"/>
                </w:tcPr>
                <w:p w14:paraId="270C2C55">
                  <w:pPr>
                    <w:keepNext w:val="0"/>
                    <w:keepLines w:val="0"/>
                    <w:widowControl/>
                    <w:suppressLineNumbers w:val="0"/>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2"/>
                      <w:szCs w:val="22"/>
                      <w:u w:val="none"/>
                      <w:lang w:val="en-US" w:eastAsia="zh-CN" w:bidi="ar"/>
                    </w:rPr>
                    <w:t>4</w:t>
                  </w:r>
                  <w:r>
                    <w:rPr>
                      <w:rFonts w:hint="default" w:ascii="Times New Roman" w:hAnsi="Times New Roman" w:eastAsia="宋体" w:cs="Times New Roman"/>
                      <w:i w:val="0"/>
                      <w:iCs w:val="0"/>
                      <w:color w:val="auto"/>
                      <w:kern w:val="0"/>
                      <w:sz w:val="22"/>
                      <w:szCs w:val="22"/>
                      <w:u w:val="none"/>
                      <w:lang w:val="en-US" w:eastAsia="zh-CN" w:bidi="ar"/>
                    </w:rPr>
                    <w:t>.70</w:t>
                  </w:r>
                </w:p>
              </w:tc>
              <w:tc>
                <w:tcPr>
                  <w:tcW w:w="256" w:type="pct"/>
                  <w:gridSpan w:val="2"/>
                  <w:tcBorders>
                    <w:tl2br w:val="nil"/>
                    <w:tr2bl w:val="nil"/>
                  </w:tcBorders>
                  <w:shd w:val="clear" w:color="auto" w:fill="auto"/>
                  <w:noWrap w:val="0"/>
                  <w:vAlign w:val="center"/>
                </w:tcPr>
                <w:p w14:paraId="04D4DAF9">
                  <w:pPr>
                    <w:pStyle w:val="101"/>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lang w:val="en-US" w:eastAsia="zh-CN"/>
                    </w:rPr>
                    <w:t>1</w:t>
                  </w:r>
                </w:p>
              </w:tc>
            </w:tr>
            <w:tr w14:paraId="34FCBA9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846" w:hRule="atLeast"/>
                <w:jc w:val="center"/>
              </w:trPr>
              <w:tc>
                <w:tcPr>
                  <w:tcW w:w="215" w:type="pct"/>
                  <w:tcBorders>
                    <w:tl2br w:val="nil"/>
                    <w:tr2bl w:val="nil"/>
                  </w:tcBorders>
                  <w:noWrap w:val="0"/>
                  <w:vAlign w:val="center"/>
                </w:tcPr>
                <w:p w14:paraId="7702457E">
                  <w:pPr>
                    <w:adjustRightInd w:val="0"/>
                    <w:snapToGrid w:val="0"/>
                    <w:jc w:val="center"/>
                    <w:rPr>
                      <w:rFonts w:hint="default" w:ascii="Times New Roman" w:hAnsi="Times New Roman" w:eastAsia="仿宋_GB2312" w:cs="Times New Roman"/>
                      <w:b w:val="0"/>
                      <w:bCs w:val="0"/>
                      <w:kern w:val="0"/>
                      <w:sz w:val="21"/>
                      <w:szCs w:val="21"/>
                      <w:lang w:val="en-US" w:eastAsia="zh-CN"/>
                    </w:rPr>
                  </w:pPr>
                  <w:r>
                    <w:rPr>
                      <w:rFonts w:hint="default" w:ascii="Times New Roman" w:hAnsi="Times New Roman" w:eastAsia="仿宋_GB2312" w:cs="Times New Roman"/>
                      <w:b w:val="0"/>
                      <w:bCs w:val="0"/>
                      <w:kern w:val="0"/>
                      <w:sz w:val="21"/>
                      <w:szCs w:val="21"/>
                      <w:lang w:val="en-US" w:eastAsia="zh-CN"/>
                    </w:rPr>
                    <w:t>2</w:t>
                  </w:r>
                </w:p>
              </w:tc>
              <w:tc>
                <w:tcPr>
                  <w:tcW w:w="215" w:type="pct"/>
                  <w:vMerge w:val="continue"/>
                  <w:tcBorders>
                    <w:tl2br w:val="nil"/>
                    <w:tr2bl w:val="nil"/>
                  </w:tcBorders>
                  <w:noWrap w:val="0"/>
                  <w:vAlign w:val="center"/>
                </w:tcPr>
                <w:p w14:paraId="2B81352C">
                  <w:pPr>
                    <w:adjustRightInd w:val="0"/>
                    <w:snapToGrid w:val="0"/>
                    <w:jc w:val="center"/>
                    <w:rPr>
                      <w:rFonts w:hint="default" w:ascii="Times New Roman" w:hAnsi="Times New Roman" w:eastAsia="仿宋_GB2312" w:cs="Times New Roman"/>
                      <w:b w:val="0"/>
                      <w:bCs w:val="0"/>
                      <w:kern w:val="0"/>
                      <w:sz w:val="21"/>
                      <w:szCs w:val="21"/>
                    </w:rPr>
                  </w:pPr>
                </w:p>
              </w:tc>
              <w:tc>
                <w:tcPr>
                  <w:tcW w:w="459" w:type="pct"/>
                  <w:tcBorders>
                    <w:tl2br w:val="nil"/>
                    <w:tr2bl w:val="nil"/>
                  </w:tcBorders>
                  <w:shd w:val="clear" w:color="auto" w:fill="auto"/>
                  <w:noWrap w:val="0"/>
                  <w:vAlign w:val="center"/>
                </w:tcPr>
                <w:p w14:paraId="02B80858">
                  <w:pPr>
                    <w:pStyle w:val="69"/>
                    <w:adjustRightInd w:val="0"/>
                    <w:snapToGrid w:val="0"/>
                    <w:jc w:val="center"/>
                    <w:rPr>
                      <w:rFonts w:hint="default" w:ascii="Times New Roman" w:hAnsi="Times New Roman" w:eastAsia="仿宋_GB2312" w:cs="Times New Roman"/>
                      <w:snapToGrid w:val="0"/>
                      <w:kern w:val="0"/>
                      <w:sz w:val="21"/>
                      <w:szCs w:val="21"/>
                      <w:lang w:val="en-US" w:eastAsia="zh-CN" w:bidi="ar-SA"/>
                    </w:rPr>
                  </w:pPr>
                  <w:r>
                    <w:rPr>
                      <w:rFonts w:hint="default" w:ascii="Times New Roman" w:hAnsi="Times New Roman" w:eastAsia="仿宋_GB2312" w:cs="Times New Roman"/>
                      <w:snapToGrid w:val="0"/>
                      <w:kern w:val="0"/>
                      <w:sz w:val="21"/>
                      <w:szCs w:val="21"/>
                    </w:rPr>
                    <w:t>粗过滤器</w:t>
                  </w:r>
                </w:p>
              </w:tc>
              <w:tc>
                <w:tcPr>
                  <w:tcW w:w="465" w:type="pct"/>
                  <w:tcBorders>
                    <w:tl2br w:val="nil"/>
                    <w:tr2bl w:val="nil"/>
                  </w:tcBorders>
                  <w:shd w:val="clear" w:color="auto" w:fill="auto"/>
                  <w:noWrap w:val="0"/>
                  <w:vAlign w:val="center"/>
                </w:tcPr>
                <w:p w14:paraId="2E5F83C7">
                  <w:pPr>
                    <w:adjustRightInd w:val="0"/>
                    <w:snapToGrid w:val="0"/>
                    <w:jc w:val="center"/>
                    <w:rPr>
                      <w:rFonts w:hint="default" w:ascii="Times New Roman" w:hAnsi="Times New Roman" w:eastAsia="仿宋_GB2312" w:cs="Times New Roman"/>
                      <w:b/>
                      <w:bCs/>
                      <w:kern w:val="0"/>
                      <w:sz w:val="21"/>
                      <w:szCs w:val="21"/>
                      <w:lang w:val="en-US" w:eastAsia="zh-CN" w:bidi="ar-SA"/>
                    </w:rPr>
                  </w:pPr>
                  <w:r>
                    <w:rPr>
                      <w:rFonts w:eastAsia="仿宋_GB2312"/>
                      <w:color w:val="000000"/>
                      <w:sz w:val="21"/>
                      <w:szCs w:val="21"/>
                    </w:rPr>
                    <w:t>CM450-200</w:t>
                  </w:r>
                </w:p>
              </w:tc>
              <w:tc>
                <w:tcPr>
                  <w:tcW w:w="302" w:type="pct"/>
                  <w:tcBorders>
                    <w:tl2br w:val="nil"/>
                    <w:tr2bl w:val="nil"/>
                  </w:tcBorders>
                  <w:shd w:val="clear" w:color="auto" w:fill="auto"/>
                  <w:noWrap w:val="0"/>
                  <w:vAlign w:val="center"/>
                </w:tcPr>
                <w:p w14:paraId="1D8E15F0">
                  <w:pPr>
                    <w:adjustRightInd w:val="0"/>
                    <w:snapToGrid w:val="0"/>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80</w:t>
                  </w:r>
                </w:p>
              </w:tc>
              <w:tc>
                <w:tcPr>
                  <w:tcW w:w="323" w:type="pct"/>
                  <w:vMerge w:val="continue"/>
                  <w:tcBorders>
                    <w:tl2br w:val="nil"/>
                    <w:tr2bl w:val="nil"/>
                  </w:tcBorders>
                  <w:noWrap w:val="0"/>
                  <w:vAlign w:val="center"/>
                </w:tcPr>
                <w:p w14:paraId="4868D0C1">
                  <w:pPr>
                    <w:adjustRightInd w:val="0"/>
                    <w:snapToGrid w:val="0"/>
                    <w:jc w:val="center"/>
                    <w:rPr>
                      <w:rFonts w:hint="default" w:ascii="Times New Roman" w:hAnsi="Times New Roman" w:eastAsia="仿宋_GB2312" w:cs="Times New Roman"/>
                      <w:b/>
                      <w:bCs/>
                      <w:kern w:val="0"/>
                      <w:sz w:val="21"/>
                      <w:szCs w:val="21"/>
                    </w:rPr>
                  </w:pPr>
                </w:p>
              </w:tc>
              <w:tc>
                <w:tcPr>
                  <w:tcW w:w="268" w:type="pct"/>
                  <w:tcBorders>
                    <w:tl2br w:val="nil"/>
                    <w:tr2bl w:val="nil"/>
                  </w:tcBorders>
                  <w:shd w:val="clear" w:color="auto" w:fill="auto"/>
                  <w:noWrap w:val="0"/>
                  <w:vAlign w:val="center"/>
                </w:tcPr>
                <w:p w14:paraId="6561E80E">
                  <w:pPr>
                    <w:pStyle w:val="101"/>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b/>
                      <w:bCs/>
                      <w:color w:val="auto"/>
                      <w:kern w:val="0"/>
                      <w:sz w:val="21"/>
                      <w:szCs w:val="21"/>
                      <w:lang w:val="en-US" w:eastAsia="zh-CN" w:bidi="ar-SA"/>
                    </w:rPr>
                  </w:pPr>
                  <w:r>
                    <w:rPr>
                      <w:rFonts w:hint="default" w:ascii="Times New Roman" w:hAnsi="Times New Roman" w:eastAsia="宋体" w:cs="Times New Roman"/>
                      <w:color w:val="auto"/>
                      <w:kern w:val="2"/>
                      <w:sz w:val="21"/>
                      <w:szCs w:val="24"/>
                      <w:highlight w:val="none"/>
                      <w:lang w:val="en-US" w:eastAsia="zh-CN" w:bidi="ar-SA"/>
                    </w:rPr>
                    <w:t>106</w:t>
                  </w:r>
                </w:p>
              </w:tc>
              <w:tc>
                <w:tcPr>
                  <w:tcW w:w="268" w:type="pct"/>
                  <w:tcBorders>
                    <w:tl2br w:val="nil"/>
                    <w:tr2bl w:val="nil"/>
                  </w:tcBorders>
                  <w:shd w:val="clear" w:color="auto" w:fill="auto"/>
                  <w:noWrap w:val="0"/>
                  <w:vAlign w:val="center"/>
                </w:tcPr>
                <w:p w14:paraId="1F4E9823">
                  <w:pPr>
                    <w:pStyle w:val="101"/>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b/>
                      <w:bCs/>
                      <w:color w:val="auto"/>
                      <w:kern w:val="0"/>
                      <w:sz w:val="21"/>
                      <w:szCs w:val="21"/>
                      <w:lang w:val="en-US" w:eastAsia="zh-CN" w:bidi="ar-SA"/>
                    </w:rPr>
                  </w:pPr>
                  <w:r>
                    <w:rPr>
                      <w:rFonts w:hint="default" w:ascii="Times New Roman" w:hAnsi="Times New Roman" w:eastAsia="宋体" w:cs="Times New Roman"/>
                      <w:color w:val="auto"/>
                      <w:kern w:val="2"/>
                      <w:sz w:val="21"/>
                      <w:szCs w:val="24"/>
                      <w:highlight w:val="none"/>
                      <w:lang w:val="en-US" w:eastAsia="zh-CN" w:bidi="ar-SA"/>
                    </w:rPr>
                    <w:t>103</w:t>
                  </w:r>
                </w:p>
              </w:tc>
              <w:tc>
                <w:tcPr>
                  <w:tcW w:w="354" w:type="pct"/>
                  <w:tcBorders>
                    <w:tl2br w:val="nil"/>
                    <w:tr2bl w:val="nil"/>
                  </w:tcBorders>
                  <w:shd w:val="clear" w:color="auto" w:fill="auto"/>
                  <w:noWrap w:val="0"/>
                  <w:vAlign w:val="center"/>
                </w:tcPr>
                <w:p w14:paraId="22FBE6A4">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仿宋_GB2312" w:cs="Times New Roman"/>
                      <w:b/>
                      <w:bCs/>
                      <w:kern w:val="0"/>
                      <w:sz w:val="21"/>
                      <w:szCs w:val="21"/>
                      <w:lang w:val="en-US" w:eastAsia="zh-CN" w:bidi="ar-SA"/>
                    </w:rPr>
                  </w:pPr>
                  <w:r>
                    <w:rPr>
                      <w:rFonts w:hint="default" w:ascii="Times New Roman" w:hAnsi="Times New Roman" w:eastAsia="宋体" w:cs="Times New Roman"/>
                      <w:color w:val="auto"/>
                      <w:highlight w:val="none"/>
                      <w:lang w:val="en-US" w:eastAsia="zh-CN"/>
                    </w:rPr>
                    <w:t>1.5</w:t>
                  </w:r>
                </w:p>
              </w:tc>
              <w:tc>
                <w:tcPr>
                  <w:tcW w:w="382" w:type="pct"/>
                  <w:tcBorders>
                    <w:tl2br w:val="nil"/>
                    <w:tr2bl w:val="nil"/>
                  </w:tcBorders>
                  <w:shd w:val="clear" w:color="auto" w:fill="auto"/>
                  <w:noWrap w:val="0"/>
                  <w:vAlign w:val="center"/>
                </w:tcPr>
                <w:p w14:paraId="49CC69BD">
                  <w:pPr>
                    <w:widowControl/>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4</w:t>
                  </w:r>
                </w:p>
              </w:tc>
              <w:tc>
                <w:tcPr>
                  <w:tcW w:w="395" w:type="pct"/>
                  <w:tcBorders>
                    <w:tl2br w:val="nil"/>
                    <w:tr2bl w:val="nil"/>
                  </w:tcBorders>
                  <w:shd w:val="clear" w:color="auto" w:fill="auto"/>
                  <w:noWrap w:val="0"/>
                  <w:vAlign w:val="center"/>
                </w:tcPr>
                <w:p w14:paraId="7523EABB">
                  <w:pPr>
                    <w:keepNext w:val="0"/>
                    <w:keepLines w:val="0"/>
                    <w:widowControl/>
                    <w:suppressLineNumbers w:val="0"/>
                    <w:jc w:val="center"/>
                    <w:textAlignment w:val="center"/>
                    <w:rPr>
                      <w:rFonts w:hint="default" w:ascii="Times New Roman" w:hAnsi="Times New Roman" w:eastAsia="仿宋_GB2312" w:cs="Times New Roman"/>
                      <w:b/>
                      <w:bCs/>
                      <w:kern w:val="0"/>
                      <w:sz w:val="21"/>
                      <w:szCs w:val="21"/>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29.70</w:t>
                  </w:r>
                </w:p>
              </w:tc>
              <w:tc>
                <w:tcPr>
                  <w:tcW w:w="368" w:type="pct"/>
                  <w:vMerge w:val="continue"/>
                  <w:tcBorders>
                    <w:tl2br w:val="nil"/>
                    <w:tr2bl w:val="nil"/>
                  </w:tcBorders>
                  <w:noWrap w:val="0"/>
                  <w:vAlign w:val="center"/>
                </w:tcPr>
                <w:p w14:paraId="2A6FDEAF">
                  <w:pPr>
                    <w:adjustRightInd w:val="0"/>
                    <w:snapToGrid w:val="0"/>
                    <w:jc w:val="center"/>
                    <w:rPr>
                      <w:rFonts w:hint="default" w:ascii="Times New Roman" w:hAnsi="Times New Roman" w:eastAsia="仿宋_GB2312" w:cs="Times New Roman"/>
                      <w:b/>
                      <w:bCs/>
                      <w:kern w:val="0"/>
                      <w:sz w:val="21"/>
                      <w:szCs w:val="21"/>
                      <w:lang w:val="en-US" w:eastAsia="zh-CN"/>
                    </w:rPr>
                  </w:pPr>
                </w:p>
              </w:tc>
              <w:tc>
                <w:tcPr>
                  <w:tcW w:w="368" w:type="pct"/>
                  <w:tcBorders>
                    <w:tl2br w:val="nil"/>
                    <w:tr2bl w:val="nil"/>
                  </w:tcBorders>
                  <w:shd w:val="clear" w:color="auto" w:fill="auto"/>
                  <w:noWrap w:val="0"/>
                  <w:vAlign w:val="center"/>
                </w:tcPr>
                <w:p w14:paraId="60BCEAC4">
                  <w:pPr>
                    <w:adjustRightInd w:val="0"/>
                    <w:snapToGrid w:val="0"/>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0"/>
                      <w:sz w:val="21"/>
                      <w:szCs w:val="21"/>
                    </w:rPr>
                    <w:t>25</w:t>
                  </w:r>
                </w:p>
              </w:tc>
              <w:tc>
                <w:tcPr>
                  <w:tcW w:w="354" w:type="pct"/>
                  <w:tcBorders>
                    <w:tl2br w:val="nil"/>
                    <w:tr2bl w:val="nil"/>
                  </w:tcBorders>
                  <w:shd w:val="clear" w:color="auto" w:fill="auto"/>
                  <w:noWrap w:val="0"/>
                  <w:vAlign w:val="center"/>
                </w:tcPr>
                <w:p w14:paraId="224B3DC4">
                  <w:pPr>
                    <w:keepNext w:val="0"/>
                    <w:keepLines w:val="0"/>
                    <w:widowControl/>
                    <w:suppressLineNumbers w:val="0"/>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2"/>
                      <w:szCs w:val="22"/>
                      <w:u w:val="none"/>
                      <w:lang w:val="en-US" w:eastAsia="zh-CN" w:bidi="ar"/>
                    </w:rPr>
                    <w:t>4</w:t>
                  </w:r>
                  <w:r>
                    <w:rPr>
                      <w:rFonts w:hint="default" w:ascii="Times New Roman" w:hAnsi="Times New Roman" w:eastAsia="宋体" w:cs="Times New Roman"/>
                      <w:i w:val="0"/>
                      <w:iCs w:val="0"/>
                      <w:color w:val="auto"/>
                      <w:kern w:val="0"/>
                      <w:sz w:val="22"/>
                      <w:szCs w:val="22"/>
                      <w:u w:val="none"/>
                      <w:lang w:val="en-US" w:eastAsia="zh-CN" w:bidi="ar"/>
                    </w:rPr>
                    <w:t>.70</w:t>
                  </w:r>
                </w:p>
              </w:tc>
              <w:tc>
                <w:tcPr>
                  <w:tcW w:w="256" w:type="pct"/>
                  <w:gridSpan w:val="2"/>
                  <w:tcBorders>
                    <w:tl2br w:val="nil"/>
                    <w:tr2bl w:val="nil"/>
                  </w:tcBorders>
                  <w:shd w:val="clear" w:color="auto" w:fill="auto"/>
                  <w:noWrap w:val="0"/>
                  <w:vAlign w:val="center"/>
                </w:tcPr>
                <w:p w14:paraId="2965CA29">
                  <w:pPr>
                    <w:pStyle w:val="101"/>
                    <w:keepNext w:val="0"/>
                    <w:keepLines w:val="0"/>
                    <w:pageBreakBefore w:val="0"/>
                    <w:widowControl w:val="0"/>
                    <w:kinsoku/>
                    <w:wordWrap/>
                    <w:overflowPunct/>
                    <w:topLinePunct w:val="0"/>
                    <w:bidi w:val="0"/>
                    <w:adjustRightInd w:val="0"/>
                    <w:snapToGrid w:val="0"/>
                    <w:ind w:firstLine="0" w:firstLineChars="0"/>
                    <w:jc w:val="center"/>
                    <w:textAlignment w:val="auto"/>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lang w:val="en-US" w:eastAsia="zh-CN"/>
                    </w:rPr>
                    <w:t>1</w:t>
                  </w:r>
                </w:p>
              </w:tc>
            </w:tr>
            <w:tr w14:paraId="6FDE5F8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846" w:hRule="atLeast"/>
                <w:jc w:val="center"/>
              </w:trPr>
              <w:tc>
                <w:tcPr>
                  <w:tcW w:w="215" w:type="pct"/>
                  <w:tcBorders>
                    <w:tl2br w:val="nil"/>
                    <w:tr2bl w:val="nil"/>
                  </w:tcBorders>
                  <w:noWrap w:val="0"/>
                  <w:vAlign w:val="center"/>
                </w:tcPr>
                <w:p w14:paraId="0CABF1C9">
                  <w:pPr>
                    <w:adjustRightInd w:val="0"/>
                    <w:snapToGrid w:val="0"/>
                    <w:jc w:val="center"/>
                    <w:rPr>
                      <w:rFonts w:hint="default" w:ascii="Times New Roman" w:hAnsi="Times New Roman" w:eastAsia="仿宋_GB2312" w:cs="Times New Roman"/>
                      <w:b w:val="0"/>
                      <w:bCs w:val="0"/>
                      <w:kern w:val="0"/>
                      <w:sz w:val="21"/>
                      <w:szCs w:val="21"/>
                      <w:lang w:val="en-US" w:eastAsia="zh-CN"/>
                    </w:rPr>
                  </w:pPr>
                  <w:r>
                    <w:rPr>
                      <w:rFonts w:hint="default" w:ascii="Times New Roman" w:hAnsi="Times New Roman" w:eastAsia="仿宋_GB2312" w:cs="Times New Roman"/>
                      <w:b w:val="0"/>
                      <w:bCs w:val="0"/>
                      <w:kern w:val="0"/>
                      <w:sz w:val="21"/>
                      <w:szCs w:val="21"/>
                      <w:lang w:val="en-US" w:eastAsia="zh-CN"/>
                    </w:rPr>
                    <w:t>3</w:t>
                  </w:r>
                </w:p>
              </w:tc>
              <w:tc>
                <w:tcPr>
                  <w:tcW w:w="215" w:type="pct"/>
                  <w:vMerge w:val="continue"/>
                  <w:tcBorders>
                    <w:tl2br w:val="nil"/>
                    <w:tr2bl w:val="nil"/>
                  </w:tcBorders>
                  <w:noWrap w:val="0"/>
                  <w:vAlign w:val="center"/>
                </w:tcPr>
                <w:p w14:paraId="38991678">
                  <w:pPr>
                    <w:adjustRightInd w:val="0"/>
                    <w:snapToGrid w:val="0"/>
                    <w:jc w:val="center"/>
                    <w:rPr>
                      <w:rFonts w:hint="default" w:ascii="Times New Roman" w:hAnsi="Times New Roman" w:eastAsia="仿宋_GB2312" w:cs="Times New Roman"/>
                      <w:b w:val="0"/>
                      <w:bCs w:val="0"/>
                      <w:kern w:val="0"/>
                      <w:sz w:val="21"/>
                      <w:szCs w:val="21"/>
                    </w:rPr>
                  </w:pPr>
                </w:p>
              </w:tc>
              <w:tc>
                <w:tcPr>
                  <w:tcW w:w="459" w:type="pct"/>
                  <w:tcBorders>
                    <w:tl2br w:val="nil"/>
                    <w:tr2bl w:val="nil"/>
                  </w:tcBorders>
                  <w:shd w:val="clear" w:color="auto" w:fill="auto"/>
                  <w:noWrap w:val="0"/>
                  <w:vAlign w:val="center"/>
                </w:tcPr>
                <w:p w14:paraId="045292E9">
                  <w:pPr>
                    <w:pStyle w:val="69"/>
                    <w:adjustRightInd w:val="0"/>
                    <w:snapToGrid w:val="0"/>
                    <w:jc w:val="center"/>
                    <w:rPr>
                      <w:rFonts w:hint="default" w:ascii="Times New Roman" w:hAnsi="Times New Roman" w:eastAsia="仿宋_GB2312" w:cs="Times New Roman"/>
                      <w:snapToGrid w:val="0"/>
                      <w:kern w:val="0"/>
                      <w:sz w:val="21"/>
                      <w:szCs w:val="21"/>
                      <w:lang w:val="en-US" w:eastAsia="zh-CN" w:bidi="ar-SA"/>
                    </w:rPr>
                  </w:pPr>
                  <w:r>
                    <w:rPr>
                      <w:rFonts w:hint="default" w:ascii="Times New Roman" w:hAnsi="Times New Roman" w:eastAsia="仿宋_GB2312" w:cs="Times New Roman"/>
                      <w:snapToGrid w:val="0"/>
                      <w:kern w:val="0"/>
                      <w:sz w:val="21"/>
                      <w:szCs w:val="21"/>
                    </w:rPr>
                    <w:t>超滤膜设备</w:t>
                  </w:r>
                </w:p>
              </w:tc>
              <w:tc>
                <w:tcPr>
                  <w:tcW w:w="465" w:type="pct"/>
                  <w:tcBorders>
                    <w:tl2br w:val="nil"/>
                    <w:tr2bl w:val="nil"/>
                  </w:tcBorders>
                  <w:shd w:val="clear" w:color="auto" w:fill="auto"/>
                  <w:noWrap w:val="0"/>
                  <w:vAlign w:val="center"/>
                </w:tcPr>
                <w:p w14:paraId="68434235">
                  <w:pPr>
                    <w:adjustRightInd w:val="0"/>
                    <w:snapToGrid w:val="0"/>
                    <w:jc w:val="center"/>
                    <w:rPr>
                      <w:rFonts w:hint="default" w:ascii="Times New Roman" w:hAnsi="Times New Roman" w:eastAsia="仿宋_GB2312" w:cs="Times New Roman"/>
                      <w:b/>
                      <w:bCs/>
                      <w:kern w:val="0"/>
                      <w:sz w:val="21"/>
                      <w:szCs w:val="21"/>
                      <w:lang w:val="en-US" w:eastAsia="zh-CN" w:bidi="ar-SA"/>
                    </w:rPr>
                  </w:pPr>
                  <w:r>
                    <w:rPr>
                      <w:rFonts w:hint="eastAsia" w:ascii="Times New Roman" w:hAnsi="Times New Roman" w:eastAsia="仿宋_GB2312" w:cs="Times New Roman"/>
                      <w:b/>
                      <w:bCs/>
                      <w:kern w:val="0"/>
                      <w:sz w:val="21"/>
                      <w:szCs w:val="21"/>
                      <w:lang w:val="en-US" w:eastAsia="zh-CN" w:bidi="ar-SA"/>
                    </w:rPr>
                    <w:t>/</w:t>
                  </w:r>
                </w:p>
              </w:tc>
              <w:tc>
                <w:tcPr>
                  <w:tcW w:w="302" w:type="pct"/>
                  <w:tcBorders>
                    <w:tl2br w:val="nil"/>
                    <w:tr2bl w:val="nil"/>
                  </w:tcBorders>
                  <w:shd w:val="clear" w:color="auto" w:fill="auto"/>
                  <w:noWrap w:val="0"/>
                  <w:vAlign w:val="center"/>
                </w:tcPr>
                <w:p w14:paraId="4B24FC34">
                  <w:pPr>
                    <w:adjustRightInd w:val="0"/>
                    <w:snapToGrid w:val="0"/>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80</w:t>
                  </w:r>
                </w:p>
              </w:tc>
              <w:tc>
                <w:tcPr>
                  <w:tcW w:w="323" w:type="pct"/>
                  <w:vMerge w:val="continue"/>
                  <w:tcBorders>
                    <w:tl2br w:val="nil"/>
                    <w:tr2bl w:val="nil"/>
                  </w:tcBorders>
                  <w:noWrap w:val="0"/>
                  <w:vAlign w:val="center"/>
                </w:tcPr>
                <w:p w14:paraId="65AFF129">
                  <w:pPr>
                    <w:adjustRightInd w:val="0"/>
                    <w:snapToGrid w:val="0"/>
                    <w:jc w:val="center"/>
                    <w:rPr>
                      <w:rFonts w:hint="default" w:ascii="Times New Roman" w:hAnsi="Times New Roman" w:eastAsia="仿宋_GB2312" w:cs="Times New Roman"/>
                      <w:b/>
                      <w:bCs/>
                      <w:kern w:val="0"/>
                      <w:sz w:val="21"/>
                      <w:szCs w:val="21"/>
                    </w:rPr>
                  </w:pPr>
                </w:p>
              </w:tc>
              <w:tc>
                <w:tcPr>
                  <w:tcW w:w="268" w:type="pct"/>
                  <w:tcBorders>
                    <w:tl2br w:val="nil"/>
                    <w:tr2bl w:val="nil"/>
                  </w:tcBorders>
                  <w:shd w:val="clear" w:color="auto" w:fill="auto"/>
                  <w:noWrap w:val="0"/>
                  <w:vAlign w:val="center"/>
                </w:tcPr>
                <w:p w14:paraId="41838E76">
                  <w:pPr>
                    <w:pStyle w:val="101"/>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b/>
                      <w:bCs/>
                      <w:color w:val="auto"/>
                      <w:kern w:val="0"/>
                      <w:sz w:val="21"/>
                      <w:szCs w:val="21"/>
                      <w:lang w:val="en-US" w:eastAsia="zh-CN" w:bidi="ar-SA"/>
                    </w:rPr>
                  </w:pPr>
                  <w:r>
                    <w:rPr>
                      <w:rFonts w:hint="default" w:ascii="Times New Roman" w:hAnsi="Times New Roman" w:eastAsia="宋体" w:cs="Times New Roman"/>
                      <w:color w:val="auto"/>
                      <w:kern w:val="2"/>
                      <w:sz w:val="21"/>
                      <w:szCs w:val="24"/>
                      <w:highlight w:val="none"/>
                      <w:lang w:val="en-US" w:eastAsia="zh-CN" w:bidi="ar-SA"/>
                    </w:rPr>
                    <w:t>114</w:t>
                  </w:r>
                </w:p>
              </w:tc>
              <w:tc>
                <w:tcPr>
                  <w:tcW w:w="268" w:type="pct"/>
                  <w:tcBorders>
                    <w:tl2br w:val="nil"/>
                    <w:tr2bl w:val="nil"/>
                  </w:tcBorders>
                  <w:shd w:val="clear" w:color="auto" w:fill="auto"/>
                  <w:noWrap w:val="0"/>
                  <w:vAlign w:val="center"/>
                </w:tcPr>
                <w:p w14:paraId="45FB6736">
                  <w:pPr>
                    <w:pStyle w:val="101"/>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b/>
                      <w:bCs/>
                      <w:color w:val="auto"/>
                      <w:kern w:val="0"/>
                      <w:sz w:val="21"/>
                      <w:szCs w:val="21"/>
                      <w:lang w:val="en-US" w:eastAsia="zh-CN" w:bidi="ar-SA"/>
                    </w:rPr>
                  </w:pPr>
                  <w:r>
                    <w:rPr>
                      <w:rFonts w:hint="default" w:ascii="Times New Roman" w:hAnsi="Times New Roman" w:eastAsia="宋体" w:cs="Times New Roman"/>
                      <w:color w:val="auto"/>
                      <w:kern w:val="2"/>
                      <w:sz w:val="21"/>
                      <w:szCs w:val="24"/>
                      <w:highlight w:val="none"/>
                      <w:lang w:val="en-US" w:eastAsia="zh-CN" w:bidi="ar-SA"/>
                    </w:rPr>
                    <w:t>83</w:t>
                  </w:r>
                </w:p>
              </w:tc>
              <w:tc>
                <w:tcPr>
                  <w:tcW w:w="354" w:type="pct"/>
                  <w:tcBorders>
                    <w:tl2br w:val="nil"/>
                    <w:tr2bl w:val="nil"/>
                  </w:tcBorders>
                  <w:shd w:val="clear" w:color="auto" w:fill="auto"/>
                  <w:noWrap w:val="0"/>
                  <w:vAlign w:val="center"/>
                </w:tcPr>
                <w:p w14:paraId="23E3213D">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仿宋_GB2312" w:cs="Times New Roman"/>
                      <w:b/>
                      <w:bCs/>
                      <w:kern w:val="0"/>
                      <w:sz w:val="21"/>
                      <w:szCs w:val="21"/>
                      <w:lang w:val="en-US" w:eastAsia="zh-CN" w:bidi="ar-SA"/>
                    </w:rPr>
                  </w:pPr>
                  <w:r>
                    <w:rPr>
                      <w:rFonts w:hint="default" w:ascii="Times New Roman" w:hAnsi="Times New Roman" w:eastAsia="宋体" w:cs="Times New Roman"/>
                      <w:color w:val="auto"/>
                      <w:highlight w:val="none"/>
                      <w:lang w:val="en-US" w:eastAsia="zh-CN"/>
                    </w:rPr>
                    <w:t>1.5</w:t>
                  </w:r>
                </w:p>
              </w:tc>
              <w:tc>
                <w:tcPr>
                  <w:tcW w:w="382" w:type="pct"/>
                  <w:tcBorders>
                    <w:tl2br w:val="nil"/>
                    <w:tr2bl w:val="nil"/>
                  </w:tcBorders>
                  <w:shd w:val="clear" w:color="auto" w:fill="auto"/>
                  <w:noWrap w:val="0"/>
                  <w:vAlign w:val="center"/>
                </w:tcPr>
                <w:p w14:paraId="6E6BAB4C">
                  <w:pPr>
                    <w:widowControl/>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5</w:t>
                  </w:r>
                </w:p>
              </w:tc>
              <w:tc>
                <w:tcPr>
                  <w:tcW w:w="395" w:type="pct"/>
                  <w:tcBorders>
                    <w:tl2br w:val="nil"/>
                    <w:tr2bl w:val="nil"/>
                  </w:tcBorders>
                  <w:shd w:val="clear" w:color="auto" w:fill="auto"/>
                  <w:noWrap w:val="0"/>
                  <w:vAlign w:val="center"/>
                </w:tcPr>
                <w:p w14:paraId="601EF3DB">
                  <w:pPr>
                    <w:keepNext w:val="0"/>
                    <w:keepLines w:val="0"/>
                    <w:widowControl/>
                    <w:suppressLineNumbers w:val="0"/>
                    <w:jc w:val="center"/>
                    <w:textAlignment w:val="center"/>
                    <w:rPr>
                      <w:rFonts w:hint="default" w:ascii="Times New Roman" w:hAnsi="Times New Roman" w:eastAsia="仿宋_GB2312" w:cs="Times New Roman"/>
                      <w:b/>
                      <w:bCs/>
                      <w:kern w:val="0"/>
                      <w:sz w:val="21"/>
                      <w:szCs w:val="21"/>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47.92</w:t>
                  </w:r>
                </w:p>
              </w:tc>
              <w:tc>
                <w:tcPr>
                  <w:tcW w:w="368" w:type="pct"/>
                  <w:vMerge w:val="continue"/>
                  <w:tcBorders>
                    <w:tl2br w:val="nil"/>
                    <w:tr2bl w:val="nil"/>
                  </w:tcBorders>
                  <w:noWrap w:val="0"/>
                  <w:vAlign w:val="center"/>
                </w:tcPr>
                <w:p w14:paraId="2628B8D0">
                  <w:pPr>
                    <w:adjustRightInd w:val="0"/>
                    <w:snapToGrid w:val="0"/>
                    <w:jc w:val="center"/>
                    <w:rPr>
                      <w:rFonts w:hint="default" w:ascii="Times New Roman" w:hAnsi="Times New Roman" w:eastAsia="仿宋_GB2312" w:cs="Times New Roman"/>
                      <w:b/>
                      <w:bCs/>
                      <w:kern w:val="0"/>
                      <w:sz w:val="21"/>
                      <w:szCs w:val="21"/>
                      <w:lang w:val="en-US" w:eastAsia="zh-CN"/>
                    </w:rPr>
                  </w:pPr>
                </w:p>
              </w:tc>
              <w:tc>
                <w:tcPr>
                  <w:tcW w:w="368" w:type="pct"/>
                  <w:tcBorders>
                    <w:tl2br w:val="nil"/>
                    <w:tr2bl w:val="nil"/>
                  </w:tcBorders>
                  <w:shd w:val="clear" w:color="auto" w:fill="auto"/>
                  <w:noWrap w:val="0"/>
                  <w:vAlign w:val="center"/>
                </w:tcPr>
                <w:p w14:paraId="6969884A">
                  <w:pPr>
                    <w:adjustRightInd w:val="0"/>
                    <w:snapToGrid w:val="0"/>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0"/>
                      <w:sz w:val="21"/>
                      <w:szCs w:val="21"/>
                    </w:rPr>
                    <w:t>20</w:t>
                  </w:r>
                </w:p>
              </w:tc>
              <w:tc>
                <w:tcPr>
                  <w:tcW w:w="354" w:type="pct"/>
                  <w:tcBorders>
                    <w:tl2br w:val="nil"/>
                    <w:tr2bl w:val="nil"/>
                  </w:tcBorders>
                  <w:shd w:val="clear" w:color="auto" w:fill="auto"/>
                  <w:noWrap w:val="0"/>
                  <w:vAlign w:val="center"/>
                </w:tcPr>
                <w:p w14:paraId="17978898">
                  <w:pPr>
                    <w:keepNext w:val="0"/>
                    <w:keepLines w:val="0"/>
                    <w:widowControl/>
                    <w:suppressLineNumbers w:val="0"/>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27.92</w:t>
                  </w:r>
                </w:p>
              </w:tc>
              <w:tc>
                <w:tcPr>
                  <w:tcW w:w="256" w:type="pct"/>
                  <w:gridSpan w:val="2"/>
                  <w:tcBorders>
                    <w:tl2br w:val="nil"/>
                    <w:tr2bl w:val="nil"/>
                  </w:tcBorders>
                  <w:shd w:val="clear" w:color="auto" w:fill="auto"/>
                  <w:noWrap w:val="0"/>
                  <w:vAlign w:val="center"/>
                </w:tcPr>
                <w:p w14:paraId="03D0A2DB">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lang w:val="en-US" w:eastAsia="zh-CN"/>
                    </w:rPr>
                    <w:t>1</w:t>
                  </w:r>
                </w:p>
              </w:tc>
            </w:tr>
            <w:tr w14:paraId="47B6089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991" w:hRule="atLeast"/>
                <w:jc w:val="center"/>
              </w:trPr>
              <w:tc>
                <w:tcPr>
                  <w:tcW w:w="215" w:type="pct"/>
                  <w:tcBorders>
                    <w:tl2br w:val="nil"/>
                    <w:tr2bl w:val="nil"/>
                  </w:tcBorders>
                  <w:noWrap w:val="0"/>
                  <w:vAlign w:val="center"/>
                </w:tcPr>
                <w:p w14:paraId="6EADBFEB">
                  <w:pPr>
                    <w:adjustRightInd w:val="0"/>
                    <w:snapToGrid w:val="0"/>
                    <w:jc w:val="center"/>
                    <w:rPr>
                      <w:rFonts w:hint="default" w:ascii="Times New Roman" w:hAnsi="Times New Roman" w:eastAsia="仿宋_GB2312" w:cs="Times New Roman"/>
                      <w:b w:val="0"/>
                      <w:bCs w:val="0"/>
                      <w:kern w:val="0"/>
                      <w:sz w:val="21"/>
                      <w:szCs w:val="21"/>
                      <w:lang w:val="en-US" w:eastAsia="zh-CN"/>
                    </w:rPr>
                  </w:pPr>
                  <w:r>
                    <w:rPr>
                      <w:rFonts w:hint="default" w:ascii="Times New Roman" w:hAnsi="Times New Roman" w:eastAsia="仿宋_GB2312" w:cs="Times New Roman"/>
                      <w:b w:val="0"/>
                      <w:bCs w:val="0"/>
                      <w:kern w:val="0"/>
                      <w:sz w:val="21"/>
                      <w:szCs w:val="21"/>
                      <w:lang w:val="en-US" w:eastAsia="zh-CN"/>
                    </w:rPr>
                    <w:t>4</w:t>
                  </w:r>
                </w:p>
              </w:tc>
              <w:tc>
                <w:tcPr>
                  <w:tcW w:w="215" w:type="pct"/>
                  <w:vMerge w:val="continue"/>
                  <w:tcBorders>
                    <w:tl2br w:val="nil"/>
                    <w:tr2bl w:val="nil"/>
                  </w:tcBorders>
                  <w:noWrap w:val="0"/>
                  <w:vAlign w:val="center"/>
                </w:tcPr>
                <w:p w14:paraId="4AFD2F57">
                  <w:pPr>
                    <w:adjustRightInd w:val="0"/>
                    <w:snapToGrid w:val="0"/>
                    <w:jc w:val="center"/>
                    <w:rPr>
                      <w:rFonts w:hint="default" w:ascii="Times New Roman" w:hAnsi="Times New Roman" w:eastAsia="仿宋_GB2312" w:cs="Times New Roman"/>
                      <w:b w:val="0"/>
                      <w:bCs w:val="0"/>
                      <w:kern w:val="0"/>
                      <w:sz w:val="21"/>
                      <w:szCs w:val="21"/>
                    </w:rPr>
                  </w:pPr>
                </w:p>
              </w:tc>
              <w:tc>
                <w:tcPr>
                  <w:tcW w:w="459" w:type="pct"/>
                  <w:tcBorders>
                    <w:tl2br w:val="nil"/>
                    <w:tr2bl w:val="nil"/>
                  </w:tcBorders>
                  <w:shd w:val="clear" w:color="auto" w:fill="auto"/>
                  <w:noWrap w:val="0"/>
                  <w:vAlign w:val="center"/>
                </w:tcPr>
                <w:p w14:paraId="2C84B1CB">
                  <w:pPr>
                    <w:pStyle w:val="69"/>
                    <w:adjustRightInd w:val="0"/>
                    <w:snapToGrid w:val="0"/>
                    <w:jc w:val="center"/>
                    <w:rPr>
                      <w:rFonts w:hint="default" w:ascii="Times New Roman" w:hAnsi="Times New Roman" w:eastAsia="仿宋_GB2312" w:cs="Times New Roman"/>
                      <w:snapToGrid w:val="0"/>
                      <w:kern w:val="0"/>
                      <w:sz w:val="21"/>
                      <w:szCs w:val="21"/>
                      <w:lang w:val="en-US" w:eastAsia="zh-CN" w:bidi="ar-SA"/>
                    </w:rPr>
                  </w:pPr>
                  <w:r>
                    <w:rPr>
                      <w:rFonts w:hint="default" w:ascii="Times New Roman" w:hAnsi="Times New Roman" w:eastAsia="仿宋_GB2312" w:cs="Times New Roman"/>
                      <w:snapToGrid w:val="0"/>
                      <w:kern w:val="0"/>
                      <w:sz w:val="21"/>
                      <w:szCs w:val="21"/>
                    </w:rPr>
                    <w:t>保安过滤器</w:t>
                  </w:r>
                </w:p>
              </w:tc>
              <w:tc>
                <w:tcPr>
                  <w:tcW w:w="465" w:type="pct"/>
                  <w:tcBorders>
                    <w:tl2br w:val="nil"/>
                    <w:tr2bl w:val="nil"/>
                  </w:tcBorders>
                  <w:shd w:val="clear" w:color="auto" w:fill="auto"/>
                  <w:noWrap w:val="0"/>
                  <w:vAlign w:val="center"/>
                </w:tcPr>
                <w:p w14:paraId="08E2BFBF">
                  <w:pPr>
                    <w:adjustRightInd w:val="0"/>
                    <w:snapToGrid w:val="0"/>
                    <w:jc w:val="center"/>
                    <w:rPr>
                      <w:rFonts w:hint="default" w:ascii="Times New Roman" w:hAnsi="Times New Roman" w:eastAsia="仿宋_GB2312" w:cs="Times New Roman"/>
                      <w:b/>
                      <w:bCs/>
                      <w:kern w:val="0"/>
                      <w:sz w:val="21"/>
                      <w:szCs w:val="21"/>
                      <w:lang w:val="en-US" w:eastAsia="zh-CN" w:bidi="ar-SA"/>
                    </w:rPr>
                  </w:pPr>
                  <w:r>
                    <w:rPr>
                      <w:rFonts w:eastAsia="仿宋_GB2312"/>
                      <w:color w:val="000000"/>
                      <w:sz w:val="21"/>
                      <w:szCs w:val="21"/>
                    </w:rPr>
                    <w:t>3600mm*5248mm单台滤层高度900mm</w:t>
                  </w:r>
                </w:p>
              </w:tc>
              <w:tc>
                <w:tcPr>
                  <w:tcW w:w="302" w:type="pct"/>
                  <w:tcBorders>
                    <w:tl2br w:val="nil"/>
                    <w:tr2bl w:val="nil"/>
                  </w:tcBorders>
                  <w:shd w:val="clear" w:color="auto" w:fill="auto"/>
                  <w:noWrap w:val="0"/>
                  <w:vAlign w:val="center"/>
                </w:tcPr>
                <w:p w14:paraId="39AD3225">
                  <w:pPr>
                    <w:adjustRightInd w:val="0"/>
                    <w:snapToGrid w:val="0"/>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80</w:t>
                  </w:r>
                </w:p>
              </w:tc>
              <w:tc>
                <w:tcPr>
                  <w:tcW w:w="323" w:type="pct"/>
                  <w:vMerge w:val="continue"/>
                  <w:tcBorders>
                    <w:tl2br w:val="nil"/>
                    <w:tr2bl w:val="nil"/>
                  </w:tcBorders>
                  <w:noWrap w:val="0"/>
                  <w:vAlign w:val="center"/>
                </w:tcPr>
                <w:p w14:paraId="25C84DBF">
                  <w:pPr>
                    <w:adjustRightInd w:val="0"/>
                    <w:snapToGrid w:val="0"/>
                    <w:jc w:val="center"/>
                    <w:rPr>
                      <w:rFonts w:hint="default" w:ascii="Times New Roman" w:hAnsi="Times New Roman" w:eastAsia="仿宋_GB2312" w:cs="Times New Roman"/>
                      <w:b/>
                      <w:bCs/>
                      <w:kern w:val="0"/>
                      <w:sz w:val="21"/>
                      <w:szCs w:val="21"/>
                    </w:rPr>
                  </w:pPr>
                </w:p>
              </w:tc>
              <w:tc>
                <w:tcPr>
                  <w:tcW w:w="268" w:type="pct"/>
                  <w:tcBorders>
                    <w:tl2br w:val="nil"/>
                    <w:tr2bl w:val="nil"/>
                  </w:tcBorders>
                  <w:shd w:val="clear" w:color="auto" w:fill="auto"/>
                  <w:noWrap w:val="0"/>
                  <w:vAlign w:val="center"/>
                </w:tcPr>
                <w:p w14:paraId="13DB9BAB">
                  <w:pPr>
                    <w:pStyle w:val="101"/>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b/>
                      <w:bCs/>
                      <w:color w:val="auto"/>
                      <w:kern w:val="0"/>
                      <w:sz w:val="21"/>
                      <w:szCs w:val="21"/>
                      <w:lang w:val="en-US" w:eastAsia="zh-CN" w:bidi="ar-SA"/>
                    </w:rPr>
                  </w:pPr>
                  <w:r>
                    <w:rPr>
                      <w:rFonts w:hint="default" w:ascii="Times New Roman" w:hAnsi="Times New Roman" w:eastAsia="宋体" w:cs="Times New Roman"/>
                      <w:color w:val="auto"/>
                      <w:kern w:val="2"/>
                      <w:sz w:val="21"/>
                      <w:szCs w:val="24"/>
                      <w:highlight w:val="none"/>
                      <w:lang w:val="en-US" w:eastAsia="zh-CN" w:bidi="ar-SA"/>
                    </w:rPr>
                    <w:t>114</w:t>
                  </w:r>
                </w:p>
              </w:tc>
              <w:tc>
                <w:tcPr>
                  <w:tcW w:w="268" w:type="pct"/>
                  <w:tcBorders>
                    <w:tl2br w:val="nil"/>
                    <w:tr2bl w:val="nil"/>
                  </w:tcBorders>
                  <w:shd w:val="clear" w:color="auto" w:fill="auto"/>
                  <w:noWrap w:val="0"/>
                  <w:vAlign w:val="center"/>
                </w:tcPr>
                <w:p w14:paraId="0CC295A7">
                  <w:pPr>
                    <w:pStyle w:val="101"/>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b/>
                      <w:bCs/>
                      <w:color w:val="auto"/>
                      <w:kern w:val="0"/>
                      <w:sz w:val="21"/>
                      <w:szCs w:val="21"/>
                      <w:lang w:val="en-US" w:eastAsia="zh-CN" w:bidi="ar-SA"/>
                    </w:rPr>
                  </w:pPr>
                  <w:r>
                    <w:rPr>
                      <w:rFonts w:hint="default" w:ascii="Times New Roman" w:hAnsi="Times New Roman" w:eastAsia="宋体" w:cs="Times New Roman"/>
                      <w:color w:val="auto"/>
                      <w:kern w:val="2"/>
                      <w:sz w:val="21"/>
                      <w:szCs w:val="24"/>
                      <w:highlight w:val="none"/>
                      <w:lang w:val="en-US" w:eastAsia="zh-CN" w:bidi="ar-SA"/>
                    </w:rPr>
                    <w:t>86</w:t>
                  </w:r>
                </w:p>
              </w:tc>
              <w:tc>
                <w:tcPr>
                  <w:tcW w:w="354" w:type="pct"/>
                  <w:tcBorders>
                    <w:tl2br w:val="nil"/>
                    <w:tr2bl w:val="nil"/>
                  </w:tcBorders>
                  <w:shd w:val="clear" w:color="auto" w:fill="auto"/>
                  <w:noWrap w:val="0"/>
                  <w:vAlign w:val="center"/>
                </w:tcPr>
                <w:p w14:paraId="6BE592F6">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仿宋_GB2312" w:cs="Times New Roman"/>
                      <w:b/>
                      <w:bCs/>
                      <w:kern w:val="0"/>
                      <w:sz w:val="21"/>
                      <w:szCs w:val="21"/>
                      <w:lang w:val="en-US" w:eastAsia="zh-CN" w:bidi="ar-SA"/>
                    </w:rPr>
                  </w:pPr>
                  <w:r>
                    <w:rPr>
                      <w:rFonts w:hint="default" w:ascii="Times New Roman" w:hAnsi="Times New Roman" w:eastAsia="宋体" w:cs="Times New Roman"/>
                      <w:color w:val="auto"/>
                      <w:highlight w:val="none"/>
                      <w:lang w:val="en-US" w:eastAsia="zh-CN"/>
                    </w:rPr>
                    <w:t>1.5</w:t>
                  </w:r>
                </w:p>
              </w:tc>
              <w:tc>
                <w:tcPr>
                  <w:tcW w:w="382" w:type="pct"/>
                  <w:tcBorders>
                    <w:tl2br w:val="nil"/>
                    <w:tr2bl w:val="nil"/>
                  </w:tcBorders>
                  <w:shd w:val="clear" w:color="auto" w:fill="auto"/>
                  <w:noWrap w:val="0"/>
                  <w:vAlign w:val="center"/>
                </w:tcPr>
                <w:p w14:paraId="66A94D25">
                  <w:pPr>
                    <w:widowControl/>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6</w:t>
                  </w:r>
                </w:p>
              </w:tc>
              <w:tc>
                <w:tcPr>
                  <w:tcW w:w="395" w:type="pct"/>
                  <w:tcBorders>
                    <w:tl2br w:val="nil"/>
                    <w:tr2bl w:val="nil"/>
                  </w:tcBorders>
                  <w:shd w:val="clear" w:color="auto" w:fill="auto"/>
                  <w:noWrap w:val="0"/>
                  <w:vAlign w:val="center"/>
                </w:tcPr>
                <w:p w14:paraId="4C0922E8">
                  <w:pPr>
                    <w:keepNext w:val="0"/>
                    <w:keepLines w:val="0"/>
                    <w:widowControl/>
                    <w:suppressLineNumbers w:val="0"/>
                    <w:jc w:val="center"/>
                    <w:textAlignment w:val="center"/>
                    <w:rPr>
                      <w:rFonts w:hint="default" w:ascii="Times New Roman" w:hAnsi="Times New Roman" w:eastAsia="仿宋_GB2312" w:cs="Times New Roman"/>
                      <w:b/>
                      <w:bCs/>
                      <w:kern w:val="0"/>
                      <w:sz w:val="21"/>
                      <w:szCs w:val="21"/>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47.92</w:t>
                  </w:r>
                </w:p>
              </w:tc>
              <w:tc>
                <w:tcPr>
                  <w:tcW w:w="368" w:type="pct"/>
                  <w:vMerge w:val="continue"/>
                  <w:tcBorders>
                    <w:tl2br w:val="nil"/>
                    <w:tr2bl w:val="nil"/>
                  </w:tcBorders>
                  <w:noWrap w:val="0"/>
                  <w:vAlign w:val="center"/>
                </w:tcPr>
                <w:p w14:paraId="3E2703BE">
                  <w:pPr>
                    <w:adjustRightInd w:val="0"/>
                    <w:snapToGrid w:val="0"/>
                    <w:jc w:val="center"/>
                    <w:rPr>
                      <w:rFonts w:hint="default" w:ascii="Times New Roman" w:hAnsi="Times New Roman" w:eastAsia="仿宋_GB2312" w:cs="Times New Roman"/>
                      <w:b/>
                      <w:bCs/>
                      <w:kern w:val="0"/>
                      <w:sz w:val="21"/>
                      <w:szCs w:val="21"/>
                      <w:lang w:val="en-US" w:eastAsia="zh-CN"/>
                    </w:rPr>
                  </w:pPr>
                </w:p>
              </w:tc>
              <w:tc>
                <w:tcPr>
                  <w:tcW w:w="368" w:type="pct"/>
                  <w:tcBorders>
                    <w:tl2br w:val="nil"/>
                    <w:tr2bl w:val="nil"/>
                  </w:tcBorders>
                  <w:shd w:val="clear" w:color="auto" w:fill="auto"/>
                  <w:noWrap w:val="0"/>
                  <w:vAlign w:val="center"/>
                </w:tcPr>
                <w:p w14:paraId="4B925D67">
                  <w:pPr>
                    <w:adjustRightInd w:val="0"/>
                    <w:snapToGrid w:val="0"/>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0"/>
                      <w:sz w:val="21"/>
                      <w:szCs w:val="21"/>
                    </w:rPr>
                    <w:t>25</w:t>
                  </w:r>
                </w:p>
              </w:tc>
              <w:tc>
                <w:tcPr>
                  <w:tcW w:w="354" w:type="pct"/>
                  <w:tcBorders>
                    <w:tl2br w:val="nil"/>
                    <w:tr2bl w:val="nil"/>
                  </w:tcBorders>
                  <w:shd w:val="clear" w:color="auto" w:fill="auto"/>
                  <w:noWrap w:val="0"/>
                  <w:vAlign w:val="center"/>
                </w:tcPr>
                <w:p w14:paraId="6E5067A3">
                  <w:pPr>
                    <w:keepNext w:val="0"/>
                    <w:keepLines w:val="0"/>
                    <w:widowControl/>
                    <w:suppressLineNumbers w:val="0"/>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2</w:t>
                  </w:r>
                  <w:r>
                    <w:rPr>
                      <w:rFonts w:hint="eastAsia" w:cs="Times New Roman"/>
                      <w:i w:val="0"/>
                      <w:iCs w:val="0"/>
                      <w:color w:val="auto"/>
                      <w:kern w:val="0"/>
                      <w:sz w:val="22"/>
                      <w:szCs w:val="22"/>
                      <w:u w:val="none"/>
                      <w:lang w:val="en-US" w:eastAsia="zh-CN" w:bidi="ar"/>
                    </w:rPr>
                    <w:t>2</w:t>
                  </w:r>
                  <w:r>
                    <w:rPr>
                      <w:rFonts w:hint="default" w:ascii="Times New Roman" w:hAnsi="Times New Roman" w:eastAsia="宋体" w:cs="Times New Roman"/>
                      <w:i w:val="0"/>
                      <w:iCs w:val="0"/>
                      <w:color w:val="auto"/>
                      <w:kern w:val="0"/>
                      <w:sz w:val="22"/>
                      <w:szCs w:val="22"/>
                      <w:u w:val="none"/>
                      <w:lang w:val="en-US" w:eastAsia="zh-CN" w:bidi="ar"/>
                    </w:rPr>
                    <w:t>.92</w:t>
                  </w:r>
                </w:p>
              </w:tc>
              <w:tc>
                <w:tcPr>
                  <w:tcW w:w="256" w:type="pct"/>
                  <w:gridSpan w:val="2"/>
                  <w:tcBorders>
                    <w:tl2br w:val="nil"/>
                    <w:tr2bl w:val="nil"/>
                  </w:tcBorders>
                  <w:shd w:val="clear" w:color="auto" w:fill="auto"/>
                  <w:noWrap w:val="0"/>
                  <w:vAlign w:val="center"/>
                </w:tcPr>
                <w:p w14:paraId="712CBAF6">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lang w:val="en-US" w:eastAsia="zh-CN"/>
                    </w:rPr>
                    <w:t>1</w:t>
                  </w:r>
                </w:p>
              </w:tc>
            </w:tr>
            <w:tr w14:paraId="639CFA9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52" w:hRule="atLeast"/>
                <w:jc w:val="center"/>
              </w:trPr>
              <w:tc>
                <w:tcPr>
                  <w:tcW w:w="215" w:type="pct"/>
                  <w:tcBorders>
                    <w:tl2br w:val="nil"/>
                    <w:tr2bl w:val="nil"/>
                  </w:tcBorders>
                  <w:noWrap w:val="0"/>
                  <w:vAlign w:val="center"/>
                </w:tcPr>
                <w:p w14:paraId="5F148DCE">
                  <w:pPr>
                    <w:adjustRightInd w:val="0"/>
                    <w:snapToGrid w:val="0"/>
                    <w:jc w:val="center"/>
                    <w:rPr>
                      <w:rFonts w:hint="default" w:ascii="Times New Roman" w:hAnsi="Times New Roman" w:eastAsia="仿宋_GB2312" w:cs="Times New Roman"/>
                      <w:b w:val="0"/>
                      <w:bCs w:val="0"/>
                      <w:kern w:val="0"/>
                      <w:sz w:val="21"/>
                      <w:szCs w:val="21"/>
                      <w:lang w:val="en-US" w:eastAsia="zh-CN"/>
                    </w:rPr>
                  </w:pPr>
                  <w:r>
                    <w:rPr>
                      <w:rFonts w:hint="default" w:ascii="Times New Roman" w:hAnsi="Times New Roman" w:eastAsia="仿宋_GB2312" w:cs="Times New Roman"/>
                      <w:b w:val="0"/>
                      <w:bCs w:val="0"/>
                      <w:kern w:val="0"/>
                      <w:sz w:val="21"/>
                      <w:szCs w:val="21"/>
                      <w:lang w:val="en-US" w:eastAsia="zh-CN"/>
                    </w:rPr>
                    <w:t>5</w:t>
                  </w:r>
                </w:p>
              </w:tc>
              <w:tc>
                <w:tcPr>
                  <w:tcW w:w="215" w:type="pct"/>
                  <w:vMerge w:val="continue"/>
                  <w:tcBorders>
                    <w:tl2br w:val="nil"/>
                    <w:tr2bl w:val="nil"/>
                  </w:tcBorders>
                  <w:noWrap w:val="0"/>
                  <w:vAlign w:val="center"/>
                </w:tcPr>
                <w:p w14:paraId="5D14A66A">
                  <w:pPr>
                    <w:adjustRightInd w:val="0"/>
                    <w:snapToGrid w:val="0"/>
                    <w:jc w:val="center"/>
                    <w:rPr>
                      <w:rFonts w:hint="default" w:ascii="Times New Roman" w:hAnsi="Times New Roman" w:eastAsia="仿宋_GB2312" w:cs="Times New Roman"/>
                      <w:b w:val="0"/>
                      <w:bCs w:val="0"/>
                      <w:kern w:val="0"/>
                      <w:sz w:val="21"/>
                      <w:szCs w:val="21"/>
                    </w:rPr>
                  </w:pPr>
                </w:p>
              </w:tc>
              <w:tc>
                <w:tcPr>
                  <w:tcW w:w="459" w:type="pct"/>
                  <w:tcBorders>
                    <w:tl2br w:val="nil"/>
                    <w:tr2bl w:val="nil"/>
                  </w:tcBorders>
                  <w:shd w:val="clear" w:color="auto" w:fill="auto"/>
                  <w:noWrap w:val="0"/>
                  <w:vAlign w:val="center"/>
                </w:tcPr>
                <w:p w14:paraId="11B3A8CD">
                  <w:pPr>
                    <w:pStyle w:val="69"/>
                    <w:adjustRightInd w:val="0"/>
                    <w:snapToGrid w:val="0"/>
                    <w:jc w:val="center"/>
                    <w:rPr>
                      <w:rFonts w:hint="default" w:ascii="Times New Roman" w:hAnsi="Times New Roman" w:eastAsia="仿宋_GB2312" w:cs="Times New Roman"/>
                      <w:snapToGrid w:val="0"/>
                      <w:kern w:val="0"/>
                      <w:sz w:val="21"/>
                      <w:szCs w:val="21"/>
                      <w:lang w:val="en-US" w:eastAsia="zh-CN" w:bidi="ar-SA"/>
                    </w:rPr>
                  </w:pPr>
                  <w:r>
                    <w:rPr>
                      <w:rFonts w:hint="default" w:ascii="Times New Roman" w:hAnsi="Times New Roman" w:eastAsia="仿宋_GB2312" w:cs="Times New Roman"/>
                      <w:snapToGrid w:val="0"/>
                      <w:kern w:val="0"/>
                      <w:sz w:val="21"/>
                      <w:szCs w:val="21"/>
                    </w:rPr>
                    <w:t>活性炭塔</w:t>
                  </w:r>
                </w:p>
              </w:tc>
              <w:tc>
                <w:tcPr>
                  <w:tcW w:w="465" w:type="pct"/>
                  <w:tcBorders>
                    <w:tl2br w:val="nil"/>
                    <w:tr2bl w:val="nil"/>
                  </w:tcBorders>
                  <w:shd w:val="clear" w:color="auto" w:fill="auto"/>
                  <w:noWrap w:val="0"/>
                  <w:vAlign w:val="center"/>
                </w:tcPr>
                <w:p w14:paraId="4FBE82B6">
                  <w:pPr>
                    <w:adjustRightInd w:val="0"/>
                    <w:snapToGrid w:val="0"/>
                    <w:jc w:val="center"/>
                    <w:rPr>
                      <w:rFonts w:hint="default" w:ascii="Times New Roman" w:hAnsi="Times New Roman" w:eastAsia="仿宋_GB2312" w:cs="Times New Roman"/>
                      <w:b/>
                      <w:bCs/>
                      <w:kern w:val="0"/>
                      <w:sz w:val="21"/>
                      <w:szCs w:val="21"/>
                      <w:lang w:val="en-US" w:eastAsia="zh-CN" w:bidi="ar-SA"/>
                    </w:rPr>
                  </w:pPr>
                  <w:r>
                    <w:rPr>
                      <w:rFonts w:eastAsia="仿宋_GB2312"/>
                      <w:color w:val="000000"/>
                      <w:sz w:val="21"/>
                      <w:szCs w:val="21"/>
                    </w:rPr>
                    <w:t>1200mm*2400mm(110支滤芯)</w:t>
                  </w:r>
                </w:p>
              </w:tc>
              <w:tc>
                <w:tcPr>
                  <w:tcW w:w="302" w:type="pct"/>
                  <w:tcBorders>
                    <w:tl2br w:val="nil"/>
                    <w:tr2bl w:val="nil"/>
                  </w:tcBorders>
                  <w:shd w:val="clear" w:color="auto" w:fill="auto"/>
                  <w:noWrap w:val="0"/>
                  <w:vAlign w:val="center"/>
                </w:tcPr>
                <w:p w14:paraId="1B0DA0D3">
                  <w:pPr>
                    <w:adjustRightInd w:val="0"/>
                    <w:snapToGrid w:val="0"/>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85</w:t>
                  </w:r>
                </w:p>
              </w:tc>
              <w:tc>
                <w:tcPr>
                  <w:tcW w:w="323" w:type="pct"/>
                  <w:vMerge w:val="continue"/>
                  <w:tcBorders>
                    <w:tl2br w:val="nil"/>
                    <w:tr2bl w:val="nil"/>
                  </w:tcBorders>
                  <w:noWrap w:val="0"/>
                  <w:vAlign w:val="center"/>
                </w:tcPr>
                <w:p w14:paraId="47A9893B">
                  <w:pPr>
                    <w:adjustRightInd w:val="0"/>
                    <w:snapToGrid w:val="0"/>
                    <w:jc w:val="center"/>
                    <w:rPr>
                      <w:rFonts w:hint="default" w:ascii="Times New Roman" w:hAnsi="Times New Roman" w:eastAsia="仿宋_GB2312" w:cs="Times New Roman"/>
                      <w:b/>
                      <w:bCs/>
                      <w:kern w:val="0"/>
                      <w:sz w:val="21"/>
                      <w:szCs w:val="21"/>
                    </w:rPr>
                  </w:pPr>
                </w:p>
              </w:tc>
              <w:tc>
                <w:tcPr>
                  <w:tcW w:w="268" w:type="pct"/>
                  <w:tcBorders>
                    <w:tl2br w:val="nil"/>
                    <w:tr2bl w:val="nil"/>
                  </w:tcBorders>
                  <w:shd w:val="clear" w:color="auto" w:fill="auto"/>
                  <w:noWrap w:val="0"/>
                  <w:vAlign w:val="center"/>
                </w:tcPr>
                <w:p w14:paraId="13C6B31F">
                  <w:pPr>
                    <w:pStyle w:val="101"/>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b/>
                      <w:bCs/>
                      <w:color w:val="auto"/>
                      <w:kern w:val="0"/>
                      <w:sz w:val="21"/>
                      <w:szCs w:val="21"/>
                      <w:lang w:val="en-US" w:eastAsia="zh-CN" w:bidi="ar-SA"/>
                    </w:rPr>
                  </w:pPr>
                  <w:r>
                    <w:rPr>
                      <w:rFonts w:hint="default" w:ascii="Times New Roman" w:hAnsi="Times New Roman" w:eastAsia="宋体" w:cs="Times New Roman"/>
                      <w:color w:val="auto"/>
                      <w:kern w:val="2"/>
                      <w:sz w:val="21"/>
                      <w:szCs w:val="24"/>
                      <w:highlight w:val="none"/>
                      <w:lang w:val="en-US" w:eastAsia="zh-CN" w:bidi="ar-SA"/>
                    </w:rPr>
                    <w:t>50</w:t>
                  </w:r>
                </w:p>
              </w:tc>
              <w:tc>
                <w:tcPr>
                  <w:tcW w:w="268" w:type="pct"/>
                  <w:tcBorders>
                    <w:tl2br w:val="nil"/>
                    <w:tr2bl w:val="nil"/>
                  </w:tcBorders>
                  <w:shd w:val="clear" w:color="auto" w:fill="auto"/>
                  <w:noWrap w:val="0"/>
                  <w:vAlign w:val="center"/>
                </w:tcPr>
                <w:p w14:paraId="1E747967">
                  <w:pPr>
                    <w:pStyle w:val="101"/>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b/>
                      <w:bCs/>
                      <w:color w:val="auto"/>
                      <w:kern w:val="0"/>
                      <w:sz w:val="21"/>
                      <w:szCs w:val="21"/>
                      <w:lang w:val="en-US" w:eastAsia="zh-CN" w:bidi="ar-SA"/>
                    </w:rPr>
                  </w:pPr>
                  <w:r>
                    <w:rPr>
                      <w:rFonts w:hint="default" w:ascii="Times New Roman" w:hAnsi="Times New Roman" w:eastAsia="宋体" w:cs="Times New Roman"/>
                      <w:color w:val="auto"/>
                      <w:kern w:val="2"/>
                      <w:sz w:val="21"/>
                      <w:szCs w:val="24"/>
                      <w:highlight w:val="none"/>
                      <w:lang w:val="en-US" w:eastAsia="zh-CN" w:bidi="ar-SA"/>
                    </w:rPr>
                    <w:t>34</w:t>
                  </w:r>
                </w:p>
              </w:tc>
              <w:tc>
                <w:tcPr>
                  <w:tcW w:w="354" w:type="pct"/>
                  <w:tcBorders>
                    <w:tl2br w:val="nil"/>
                    <w:tr2bl w:val="nil"/>
                  </w:tcBorders>
                  <w:shd w:val="clear" w:color="auto" w:fill="auto"/>
                  <w:noWrap w:val="0"/>
                  <w:vAlign w:val="center"/>
                </w:tcPr>
                <w:p w14:paraId="74DFB63D">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仿宋_GB2312" w:cs="Times New Roman"/>
                      <w:b/>
                      <w:bCs/>
                      <w:kern w:val="0"/>
                      <w:sz w:val="21"/>
                      <w:szCs w:val="21"/>
                      <w:lang w:val="en-US" w:eastAsia="zh-CN" w:bidi="ar-SA"/>
                    </w:rPr>
                  </w:pPr>
                  <w:r>
                    <w:rPr>
                      <w:rFonts w:hint="default" w:ascii="Times New Roman" w:hAnsi="Times New Roman" w:eastAsia="宋体" w:cs="Times New Roman"/>
                      <w:color w:val="auto"/>
                      <w:highlight w:val="none"/>
                      <w:lang w:val="en-US" w:eastAsia="zh-CN"/>
                    </w:rPr>
                    <w:t>1.5</w:t>
                  </w:r>
                </w:p>
              </w:tc>
              <w:tc>
                <w:tcPr>
                  <w:tcW w:w="382" w:type="pct"/>
                  <w:tcBorders>
                    <w:tl2br w:val="nil"/>
                    <w:tr2bl w:val="nil"/>
                  </w:tcBorders>
                  <w:shd w:val="clear" w:color="auto" w:fill="auto"/>
                  <w:noWrap w:val="0"/>
                  <w:vAlign w:val="center"/>
                </w:tcPr>
                <w:p w14:paraId="789F1AA1">
                  <w:pPr>
                    <w:widowControl/>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7</w:t>
                  </w:r>
                </w:p>
              </w:tc>
              <w:tc>
                <w:tcPr>
                  <w:tcW w:w="395" w:type="pct"/>
                  <w:tcBorders>
                    <w:tl2br w:val="nil"/>
                    <w:tr2bl w:val="nil"/>
                  </w:tcBorders>
                  <w:shd w:val="clear" w:color="auto" w:fill="auto"/>
                  <w:noWrap w:val="0"/>
                  <w:vAlign w:val="center"/>
                </w:tcPr>
                <w:p w14:paraId="6F42D176">
                  <w:pPr>
                    <w:keepNext w:val="0"/>
                    <w:keepLines w:val="0"/>
                    <w:widowControl/>
                    <w:suppressLineNumbers w:val="0"/>
                    <w:jc w:val="center"/>
                    <w:textAlignment w:val="center"/>
                    <w:rPr>
                      <w:rFonts w:hint="default" w:ascii="Times New Roman" w:hAnsi="Times New Roman" w:eastAsia="仿宋_GB2312" w:cs="Times New Roman"/>
                      <w:b/>
                      <w:bCs/>
                      <w:kern w:val="0"/>
                      <w:sz w:val="21"/>
                      <w:szCs w:val="21"/>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54.37</w:t>
                  </w:r>
                </w:p>
              </w:tc>
              <w:tc>
                <w:tcPr>
                  <w:tcW w:w="368" w:type="pct"/>
                  <w:vMerge w:val="continue"/>
                  <w:tcBorders>
                    <w:tl2br w:val="nil"/>
                    <w:tr2bl w:val="nil"/>
                  </w:tcBorders>
                  <w:noWrap w:val="0"/>
                  <w:vAlign w:val="center"/>
                </w:tcPr>
                <w:p w14:paraId="62A9577B">
                  <w:pPr>
                    <w:adjustRightInd w:val="0"/>
                    <w:snapToGrid w:val="0"/>
                    <w:jc w:val="center"/>
                    <w:rPr>
                      <w:rFonts w:hint="default" w:ascii="Times New Roman" w:hAnsi="Times New Roman" w:eastAsia="仿宋_GB2312" w:cs="Times New Roman"/>
                      <w:b/>
                      <w:bCs/>
                      <w:kern w:val="0"/>
                      <w:sz w:val="21"/>
                      <w:szCs w:val="21"/>
                      <w:lang w:val="en-US" w:eastAsia="zh-CN"/>
                    </w:rPr>
                  </w:pPr>
                </w:p>
              </w:tc>
              <w:tc>
                <w:tcPr>
                  <w:tcW w:w="368" w:type="pct"/>
                  <w:tcBorders>
                    <w:tl2br w:val="nil"/>
                    <w:tr2bl w:val="nil"/>
                  </w:tcBorders>
                  <w:shd w:val="clear" w:color="auto" w:fill="auto"/>
                  <w:noWrap w:val="0"/>
                  <w:vAlign w:val="center"/>
                </w:tcPr>
                <w:p w14:paraId="29BE833C">
                  <w:pPr>
                    <w:adjustRightInd w:val="0"/>
                    <w:snapToGrid w:val="0"/>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0"/>
                      <w:sz w:val="21"/>
                      <w:szCs w:val="21"/>
                    </w:rPr>
                    <w:t>25</w:t>
                  </w:r>
                </w:p>
              </w:tc>
              <w:tc>
                <w:tcPr>
                  <w:tcW w:w="354" w:type="pct"/>
                  <w:tcBorders>
                    <w:tl2br w:val="nil"/>
                    <w:tr2bl w:val="nil"/>
                  </w:tcBorders>
                  <w:shd w:val="clear" w:color="auto" w:fill="auto"/>
                  <w:noWrap w:val="0"/>
                  <w:vAlign w:val="center"/>
                </w:tcPr>
                <w:p w14:paraId="7F6B41DB">
                  <w:pPr>
                    <w:keepNext w:val="0"/>
                    <w:keepLines w:val="0"/>
                    <w:widowControl/>
                    <w:suppressLineNumbers w:val="0"/>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2"/>
                      <w:szCs w:val="22"/>
                      <w:u w:val="none"/>
                      <w:lang w:val="en-US" w:eastAsia="zh-CN" w:bidi="ar"/>
                    </w:rPr>
                    <w:t>29</w:t>
                  </w:r>
                  <w:r>
                    <w:rPr>
                      <w:rFonts w:hint="default" w:ascii="Times New Roman" w:hAnsi="Times New Roman" w:eastAsia="宋体" w:cs="Times New Roman"/>
                      <w:i w:val="0"/>
                      <w:iCs w:val="0"/>
                      <w:color w:val="auto"/>
                      <w:kern w:val="0"/>
                      <w:sz w:val="22"/>
                      <w:szCs w:val="22"/>
                      <w:u w:val="none"/>
                      <w:lang w:val="en-US" w:eastAsia="zh-CN" w:bidi="ar"/>
                    </w:rPr>
                    <w:t>.37</w:t>
                  </w:r>
                </w:p>
              </w:tc>
              <w:tc>
                <w:tcPr>
                  <w:tcW w:w="256" w:type="pct"/>
                  <w:gridSpan w:val="2"/>
                  <w:tcBorders>
                    <w:tl2br w:val="nil"/>
                    <w:tr2bl w:val="nil"/>
                  </w:tcBorders>
                  <w:shd w:val="clear" w:color="auto" w:fill="auto"/>
                  <w:noWrap w:val="0"/>
                  <w:vAlign w:val="center"/>
                </w:tcPr>
                <w:p w14:paraId="020FFB38">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lang w:val="en-US" w:eastAsia="zh-CN"/>
                    </w:rPr>
                    <w:t>1</w:t>
                  </w:r>
                </w:p>
              </w:tc>
            </w:tr>
          </w:tbl>
          <w:p w14:paraId="56E042D8">
            <w:pPr>
              <w:keepNext w:val="0"/>
              <w:keepLines w:val="0"/>
              <w:pageBreakBefore w:val="0"/>
              <w:widowControl w:val="0"/>
              <w:kinsoku/>
              <w:wordWrap/>
              <w:overflowPunct/>
              <w:topLinePunct w:val="0"/>
              <w:autoSpaceDE/>
              <w:autoSpaceDN/>
              <w:bidi w:val="0"/>
              <w:adjustRightInd w:val="0"/>
              <w:snapToGrid w:val="0"/>
              <w:spacing w:after="157" w:afterLines="50" w:line="240" w:lineRule="auto"/>
              <w:ind w:firstLine="422" w:firstLineChars="200"/>
              <w:textAlignment w:val="auto"/>
              <w:rPr>
                <w:rFonts w:hint="default" w:ascii="Times New Roman" w:hAnsi="Times New Roman" w:eastAsia="仿宋_GB2312" w:cs="Times New Roman"/>
                <w:b/>
                <w:bCs/>
                <w:kern w:val="0"/>
                <w:lang w:val="en-US" w:eastAsia="zh-CN"/>
              </w:rPr>
            </w:pPr>
            <w:r>
              <w:rPr>
                <w:rFonts w:hint="eastAsia" w:ascii="Times New Roman" w:hAnsi="Times New Roman" w:eastAsia="仿宋_GB2312" w:cs="Times New Roman"/>
                <w:b/>
                <w:bCs/>
                <w:kern w:val="0"/>
                <w:lang w:val="en-US" w:eastAsia="zh-CN"/>
              </w:rPr>
              <w:t>注：以厂区西南角为坐标原点。</w:t>
            </w:r>
          </w:p>
          <w:p w14:paraId="4CFDF060">
            <w:pPr>
              <w:keepNext w:val="0"/>
              <w:keepLines w:val="0"/>
              <w:pageBreakBefore w:val="0"/>
              <w:widowControl w:val="0"/>
              <w:kinsoku/>
              <w:wordWrap/>
              <w:overflowPunct/>
              <w:topLinePunct w:val="0"/>
              <w:autoSpaceDE/>
              <w:autoSpaceDN/>
              <w:bidi w:val="0"/>
              <w:adjustRightInd w:val="0"/>
              <w:snapToGrid w:val="0"/>
              <w:spacing w:before="157" w:beforeLines="50" w:beforeAutospacing="0" w:afterAutospacing="0" w:line="240" w:lineRule="auto"/>
              <w:ind w:left="0" w:leftChars="0" w:right="0" w:firstLine="422" w:firstLineChars="200"/>
              <w:jc w:val="center"/>
              <w:textAlignment w:val="auto"/>
              <w:rPr>
                <w:rFonts w:hint="default" w:ascii="Times New Roman" w:hAnsi="Times New Roman" w:eastAsia="仿宋_GB2312" w:cs="Times New Roman"/>
                <w:b/>
                <w:bCs/>
                <w:color w:val="000000"/>
                <w:kern w:val="0"/>
              </w:rPr>
            </w:pPr>
          </w:p>
          <w:p w14:paraId="2BA683EE">
            <w:pPr>
              <w:keepNext w:val="0"/>
              <w:keepLines w:val="0"/>
              <w:pageBreakBefore w:val="0"/>
              <w:widowControl w:val="0"/>
              <w:kinsoku/>
              <w:wordWrap/>
              <w:overflowPunct/>
              <w:topLinePunct w:val="0"/>
              <w:autoSpaceDE/>
              <w:autoSpaceDN/>
              <w:bidi w:val="0"/>
              <w:adjustRightInd w:val="0"/>
              <w:snapToGrid w:val="0"/>
              <w:spacing w:before="157" w:beforeLines="50" w:beforeAutospacing="0" w:afterAutospacing="0" w:line="240" w:lineRule="auto"/>
              <w:ind w:left="0" w:leftChars="0" w:right="0" w:firstLine="422" w:firstLineChars="200"/>
              <w:jc w:val="center"/>
              <w:textAlignment w:val="auto"/>
              <w:rPr>
                <w:rFonts w:hint="default" w:ascii="Times New Roman" w:hAnsi="Times New Roman" w:eastAsia="宋体" w:cs="Times New Roman"/>
                <w:b/>
                <w:color w:val="auto"/>
                <w:spacing w:val="0"/>
                <w:kern w:val="0"/>
                <w:position w:val="0"/>
                <w:sz w:val="24"/>
                <w:highlight w:val="none"/>
                <w:lang w:val="en-US" w:eastAsia="zh-CN"/>
              </w:rPr>
            </w:pPr>
            <w:r>
              <w:rPr>
                <w:rFonts w:hint="default" w:ascii="Times New Roman" w:hAnsi="Times New Roman" w:eastAsia="仿宋_GB2312" w:cs="Times New Roman"/>
                <w:b/>
                <w:bCs/>
                <w:color w:val="000000"/>
                <w:kern w:val="0"/>
              </w:rPr>
              <w:t>表</w:t>
            </w:r>
            <w:r>
              <w:rPr>
                <w:rFonts w:hint="default" w:ascii="Times New Roman" w:hAnsi="Times New Roman" w:eastAsia="仿宋_GB2312" w:cs="Times New Roman"/>
                <w:b/>
                <w:bCs/>
                <w:color w:val="000000"/>
                <w:kern w:val="0"/>
                <w:lang w:val="en-US" w:eastAsia="zh-CN"/>
              </w:rPr>
              <w:t>4-</w:t>
            </w:r>
            <w:r>
              <w:rPr>
                <w:rFonts w:hint="eastAsia" w:ascii="Times New Roman" w:hAnsi="Times New Roman" w:eastAsia="仿宋_GB2312" w:cs="Times New Roman"/>
                <w:b/>
                <w:bCs/>
                <w:color w:val="000000"/>
                <w:kern w:val="0"/>
                <w:lang w:val="en-US" w:eastAsia="zh-CN"/>
              </w:rPr>
              <w:t>2</w:t>
            </w:r>
            <w:r>
              <w:rPr>
                <w:rFonts w:hint="eastAsia" w:eastAsia="仿宋_GB2312" w:cs="Times New Roman"/>
                <w:b/>
                <w:bCs/>
                <w:color w:val="000000"/>
                <w:kern w:val="0"/>
                <w:lang w:val="en-US" w:eastAsia="zh-CN"/>
              </w:rPr>
              <w:t>5</w:t>
            </w:r>
            <w:r>
              <w:rPr>
                <w:rFonts w:hint="eastAsia" w:ascii="Times New Roman" w:hAnsi="Times New Roman" w:eastAsia="仿宋_GB2312" w:cs="Times New Roman"/>
                <w:b/>
                <w:bCs/>
                <w:color w:val="000000"/>
                <w:kern w:val="0"/>
                <w:lang w:val="en-US" w:eastAsia="zh-CN"/>
              </w:rPr>
              <w:t xml:space="preserve"> </w:t>
            </w:r>
            <w:r>
              <w:rPr>
                <w:rFonts w:hint="default" w:ascii="Times New Roman" w:hAnsi="Times New Roman" w:eastAsia="仿宋_GB2312" w:cs="Times New Roman"/>
                <w:b/>
                <w:bCs/>
                <w:color w:val="000000"/>
                <w:kern w:val="0"/>
                <w:lang w:val="en-US" w:eastAsia="zh-CN"/>
              </w:rPr>
              <w:t xml:space="preserve"> 工业企业噪声源强调查清单（室外声源） </w:t>
            </w:r>
            <w:r>
              <w:rPr>
                <w:rFonts w:hint="default" w:ascii="Times New Roman" w:hAnsi="Times New Roman" w:eastAsia="仿宋_GB2312" w:cs="Times New Roman"/>
                <w:b/>
                <w:bCs/>
                <w:color w:val="000000"/>
                <w:kern w:val="0"/>
              </w:rPr>
              <w:t>单位：dB（A）</w:t>
            </w:r>
          </w:p>
          <w:tbl>
            <w:tblPr>
              <w:tblStyle w:val="32"/>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4"/>
              <w:gridCol w:w="1102"/>
              <w:gridCol w:w="870"/>
              <w:gridCol w:w="555"/>
              <w:gridCol w:w="585"/>
              <w:gridCol w:w="600"/>
              <w:gridCol w:w="1365"/>
              <w:gridCol w:w="780"/>
              <w:gridCol w:w="1302"/>
              <w:gridCol w:w="681"/>
            </w:tblGrid>
            <w:tr w14:paraId="204F27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4" w:type="dxa"/>
                  <w:vMerge w:val="restart"/>
                  <w:tcBorders>
                    <w:tl2br w:val="nil"/>
                    <w:tr2bl w:val="nil"/>
                  </w:tcBorders>
                  <w:noWrap w:val="0"/>
                  <w:vAlign w:val="center"/>
                </w:tcPr>
                <w:p w14:paraId="4F98F98D">
                  <w:pPr>
                    <w:keepNext w:val="0"/>
                    <w:keepLines w:val="0"/>
                    <w:pageBreakBefore w:val="0"/>
                    <w:widowControl w:val="0"/>
                    <w:kinsoku/>
                    <w:wordWrap/>
                    <w:overflowPunct/>
                    <w:topLinePunct w:val="0"/>
                    <w:bidi w:val="0"/>
                    <w:adjustRightInd w:val="0"/>
                    <w:snapToGrid w:val="0"/>
                    <w:spacing w:beforeAutospacing="0" w:afterAutospacing="0" w:line="240" w:lineRule="auto"/>
                    <w:ind w:left="0" w:leftChars="0" w:right="0" w:firstLine="0" w:firstLineChars="0"/>
                    <w:jc w:val="center"/>
                    <w:textAlignment w:val="auto"/>
                    <w:outlineLvl w:val="9"/>
                    <w:rPr>
                      <w:rFonts w:hint="default" w:ascii="Times New Roman" w:hAnsi="Times New Roman" w:eastAsia="仿宋_GB2312" w:cs="Times New Roman"/>
                      <w:color w:val="auto"/>
                      <w:spacing w:val="0"/>
                      <w:kern w:val="0"/>
                      <w:position w:val="0"/>
                      <w:sz w:val="21"/>
                      <w:szCs w:val="21"/>
                      <w:highlight w:val="none"/>
                      <w:vertAlign w:val="baseline"/>
                      <w:lang w:val="en-US" w:eastAsia="zh-CN"/>
                    </w:rPr>
                  </w:pPr>
                  <w:r>
                    <w:rPr>
                      <w:rFonts w:hint="default" w:ascii="Times New Roman" w:hAnsi="Times New Roman" w:eastAsia="仿宋_GB2312" w:cs="Times New Roman"/>
                      <w:b/>
                      <w:color w:val="auto"/>
                      <w:spacing w:val="0"/>
                      <w:kern w:val="0"/>
                      <w:position w:val="0"/>
                      <w:sz w:val="21"/>
                      <w:szCs w:val="21"/>
                      <w:highlight w:val="none"/>
                    </w:rPr>
                    <w:t>序号</w:t>
                  </w:r>
                </w:p>
              </w:tc>
              <w:tc>
                <w:tcPr>
                  <w:tcW w:w="1102" w:type="dxa"/>
                  <w:vMerge w:val="restart"/>
                  <w:tcBorders>
                    <w:tl2br w:val="nil"/>
                    <w:tr2bl w:val="nil"/>
                  </w:tcBorders>
                  <w:noWrap w:val="0"/>
                  <w:vAlign w:val="center"/>
                </w:tcPr>
                <w:p w14:paraId="04A1B0B4">
                  <w:pPr>
                    <w:keepNext w:val="0"/>
                    <w:keepLines w:val="0"/>
                    <w:pageBreakBefore w:val="0"/>
                    <w:widowControl w:val="0"/>
                    <w:kinsoku/>
                    <w:wordWrap/>
                    <w:overflowPunct/>
                    <w:topLinePunct w:val="0"/>
                    <w:bidi w:val="0"/>
                    <w:adjustRightInd w:val="0"/>
                    <w:snapToGrid w:val="0"/>
                    <w:spacing w:beforeAutospacing="0" w:afterAutospacing="0" w:line="240" w:lineRule="auto"/>
                    <w:ind w:left="0" w:leftChars="0" w:right="0" w:firstLine="0" w:firstLineChars="0"/>
                    <w:jc w:val="center"/>
                    <w:textAlignment w:val="auto"/>
                    <w:outlineLvl w:val="9"/>
                    <w:rPr>
                      <w:rFonts w:hint="default" w:ascii="Times New Roman" w:hAnsi="Times New Roman" w:eastAsia="仿宋_GB2312" w:cs="Times New Roman"/>
                      <w:color w:val="auto"/>
                      <w:spacing w:val="0"/>
                      <w:kern w:val="0"/>
                      <w:position w:val="0"/>
                      <w:sz w:val="21"/>
                      <w:szCs w:val="21"/>
                      <w:highlight w:val="none"/>
                      <w:vertAlign w:val="baseline"/>
                      <w:lang w:val="en-US" w:eastAsia="zh-CN"/>
                    </w:rPr>
                  </w:pPr>
                  <w:r>
                    <w:rPr>
                      <w:rFonts w:hint="default" w:ascii="Times New Roman" w:hAnsi="Times New Roman" w:eastAsia="仿宋_GB2312" w:cs="Times New Roman"/>
                      <w:b/>
                      <w:color w:val="auto"/>
                      <w:spacing w:val="0"/>
                      <w:kern w:val="0"/>
                      <w:position w:val="0"/>
                      <w:sz w:val="21"/>
                      <w:szCs w:val="21"/>
                      <w:highlight w:val="none"/>
                    </w:rPr>
                    <w:t>声源名称</w:t>
                  </w:r>
                </w:p>
              </w:tc>
              <w:tc>
                <w:tcPr>
                  <w:tcW w:w="870" w:type="dxa"/>
                  <w:vMerge w:val="restart"/>
                  <w:tcBorders>
                    <w:tl2br w:val="nil"/>
                    <w:tr2bl w:val="nil"/>
                  </w:tcBorders>
                  <w:noWrap w:val="0"/>
                  <w:vAlign w:val="center"/>
                </w:tcPr>
                <w:p w14:paraId="02392863">
                  <w:pPr>
                    <w:keepNext w:val="0"/>
                    <w:keepLines w:val="0"/>
                    <w:pageBreakBefore w:val="0"/>
                    <w:widowControl w:val="0"/>
                    <w:kinsoku/>
                    <w:wordWrap/>
                    <w:overflowPunct/>
                    <w:topLinePunct w:val="0"/>
                    <w:bidi w:val="0"/>
                    <w:adjustRightInd w:val="0"/>
                    <w:snapToGrid w:val="0"/>
                    <w:spacing w:beforeAutospacing="0" w:afterAutospacing="0" w:line="240" w:lineRule="auto"/>
                    <w:ind w:left="0" w:leftChars="0" w:right="0" w:firstLine="0" w:firstLineChars="0"/>
                    <w:jc w:val="center"/>
                    <w:textAlignment w:val="auto"/>
                    <w:outlineLvl w:val="9"/>
                    <w:rPr>
                      <w:rFonts w:hint="default" w:ascii="Times New Roman" w:hAnsi="Times New Roman" w:eastAsia="仿宋_GB2312" w:cs="Times New Roman"/>
                      <w:color w:val="auto"/>
                      <w:spacing w:val="0"/>
                      <w:kern w:val="0"/>
                      <w:position w:val="0"/>
                      <w:sz w:val="21"/>
                      <w:szCs w:val="21"/>
                      <w:highlight w:val="none"/>
                      <w:vertAlign w:val="baseline"/>
                      <w:lang w:val="en-US" w:eastAsia="zh-CN"/>
                    </w:rPr>
                  </w:pPr>
                  <w:r>
                    <w:rPr>
                      <w:rFonts w:hint="default" w:ascii="Times New Roman" w:hAnsi="Times New Roman" w:eastAsia="仿宋_GB2312" w:cs="Times New Roman"/>
                      <w:b/>
                      <w:color w:val="auto"/>
                      <w:spacing w:val="0"/>
                      <w:kern w:val="0"/>
                      <w:position w:val="0"/>
                      <w:sz w:val="21"/>
                      <w:szCs w:val="21"/>
                      <w:highlight w:val="none"/>
                    </w:rPr>
                    <w:t>型号</w:t>
                  </w:r>
                </w:p>
              </w:tc>
              <w:tc>
                <w:tcPr>
                  <w:tcW w:w="1740" w:type="dxa"/>
                  <w:gridSpan w:val="3"/>
                  <w:tcBorders>
                    <w:tl2br w:val="nil"/>
                    <w:tr2bl w:val="nil"/>
                  </w:tcBorders>
                  <w:noWrap w:val="0"/>
                  <w:vAlign w:val="center"/>
                </w:tcPr>
                <w:p w14:paraId="44DF71A3">
                  <w:pPr>
                    <w:keepNext w:val="0"/>
                    <w:keepLines w:val="0"/>
                    <w:pageBreakBefore w:val="0"/>
                    <w:widowControl w:val="0"/>
                    <w:kinsoku/>
                    <w:wordWrap/>
                    <w:overflowPunct/>
                    <w:topLinePunct w:val="0"/>
                    <w:bidi w:val="0"/>
                    <w:adjustRightInd w:val="0"/>
                    <w:snapToGrid w:val="0"/>
                    <w:spacing w:beforeAutospacing="0" w:afterAutospacing="0" w:line="240" w:lineRule="auto"/>
                    <w:ind w:left="0" w:leftChars="0" w:right="0" w:firstLine="0" w:firstLineChars="0"/>
                    <w:jc w:val="center"/>
                    <w:textAlignment w:val="auto"/>
                    <w:outlineLvl w:val="9"/>
                    <w:rPr>
                      <w:rFonts w:hint="default" w:ascii="Times New Roman" w:hAnsi="Times New Roman" w:eastAsia="仿宋_GB2312" w:cs="Times New Roman"/>
                      <w:color w:val="auto"/>
                      <w:spacing w:val="0"/>
                      <w:kern w:val="0"/>
                      <w:position w:val="0"/>
                      <w:sz w:val="21"/>
                      <w:szCs w:val="21"/>
                      <w:highlight w:val="none"/>
                      <w:vertAlign w:val="baseline"/>
                      <w:lang w:val="en-US" w:eastAsia="zh-CN"/>
                    </w:rPr>
                  </w:pPr>
                  <w:r>
                    <w:rPr>
                      <w:rFonts w:hint="default" w:ascii="Times New Roman" w:hAnsi="Times New Roman" w:eastAsia="仿宋_GB2312" w:cs="Times New Roman"/>
                      <w:b/>
                      <w:color w:val="auto"/>
                      <w:spacing w:val="0"/>
                      <w:kern w:val="0"/>
                      <w:position w:val="0"/>
                      <w:sz w:val="21"/>
                      <w:szCs w:val="21"/>
                      <w:highlight w:val="none"/>
                    </w:rPr>
                    <w:t>空间相对位置/m</w:t>
                  </w:r>
                </w:p>
              </w:tc>
              <w:tc>
                <w:tcPr>
                  <w:tcW w:w="2145" w:type="dxa"/>
                  <w:gridSpan w:val="2"/>
                  <w:tcBorders>
                    <w:tl2br w:val="nil"/>
                    <w:tr2bl w:val="nil"/>
                  </w:tcBorders>
                  <w:noWrap w:val="0"/>
                  <w:vAlign w:val="center"/>
                </w:tcPr>
                <w:p w14:paraId="4B41C4C1">
                  <w:pPr>
                    <w:keepNext w:val="0"/>
                    <w:keepLines w:val="0"/>
                    <w:pageBreakBefore w:val="0"/>
                    <w:widowControl w:val="0"/>
                    <w:kinsoku/>
                    <w:wordWrap/>
                    <w:overflowPunct/>
                    <w:topLinePunct w:val="0"/>
                    <w:bidi w:val="0"/>
                    <w:adjustRightInd w:val="0"/>
                    <w:snapToGrid w:val="0"/>
                    <w:spacing w:beforeAutospacing="0" w:afterAutospacing="0" w:line="240" w:lineRule="auto"/>
                    <w:ind w:left="0" w:leftChars="0" w:right="0" w:firstLine="0" w:firstLineChars="0"/>
                    <w:jc w:val="center"/>
                    <w:textAlignment w:val="auto"/>
                    <w:outlineLvl w:val="9"/>
                    <w:rPr>
                      <w:rFonts w:hint="default" w:ascii="Times New Roman" w:hAnsi="Times New Roman" w:eastAsia="仿宋_GB2312" w:cs="Times New Roman"/>
                      <w:color w:val="auto"/>
                      <w:spacing w:val="0"/>
                      <w:kern w:val="0"/>
                      <w:position w:val="0"/>
                      <w:sz w:val="21"/>
                      <w:szCs w:val="21"/>
                      <w:highlight w:val="none"/>
                      <w:vertAlign w:val="baseline"/>
                      <w:lang w:val="en-US" w:eastAsia="zh-CN"/>
                    </w:rPr>
                  </w:pPr>
                  <w:r>
                    <w:rPr>
                      <w:rFonts w:hint="default" w:ascii="Times New Roman" w:hAnsi="Times New Roman" w:eastAsia="仿宋_GB2312" w:cs="Times New Roman"/>
                      <w:b/>
                      <w:color w:val="auto"/>
                      <w:spacing w:val="0"/>
                      <w:kern w:val="0"/>
                      <w:position w:val="0"/>
                      <w:sz w:val="21"/>
                      <w:szCs w:val="21"/>
                      <w:highlight w:val="none"/>
                      <w:lang w:eastAsia="zh-CN"/>
                    </w:rPr>
                    <w:t>声源源强（任选一种）</w:t>
                  </w:r>
                </w:p>
              </w:tc>
              <w:tc>
                <w:tcPr>
                  <w:tcW w:w="1302" w:type="dxa"/>
                  <w:vMerge w:val="restart"/>
                  <w:tcBorders>
                    <w:tl2br w:val="nil"/>
                    <w:tr2bl w:val="nil"/>
                  </w:tcBorders>
                  <w:noWrap w:val="0"/>
                  <w:vAlign w:val="center"/>
                </w:tcPr>
                <w:p w14:paraId="160F9E51">
                  <w:pPr>
                    <w:keepNext w:val="0"/>
                    <w:keepLines w:val="0"/>
                    <w:pageBreakBefore w:val="0"/>
                    <w:widowControl w:val="0"/>
                    <w:kinsoku/>
                    <w:wordWrap/>
                    <w:overflowPunct/>
                    <w:topLinePunct w:val="0"/>
                    <w:bidi w:val="0"/>
                    <w:adjustRightInd w:val="0"/>
                    <w:snapToGrid w:val="0"/>
                    <w:spacing w:beforeAutospacing="0" w:afterAutospacing="0" w:line="240" w:lineRule="auto"/>
                    <w:ind w:left="0" w:leftChars="0" w:right="0" w:firstLine="0" w:firstLineChars="0"/>
                    <w:jc w:val="center"/>
                    <w:textAlignment w:val="auto"/>
                    <w:outlineLvl w:val="9"/>
                    <w:rPr>
                      <w:rFonts w:hint="default" w:ascii="Times New Roman" w:hAnsi="Times New Roman" w:eastAsia="仿宋_GB2312" w:cs="Times New Roman"/>
                      <w:color w:val="auto"/>
                      <w:spacing w:val="0"/>
                      <w:kern w:val="0"/>
                      <w:position w:val="0"/>
                      <w:sz w:val="21"/>
                      <w:szCs w:val="21"/>
                      <w:highlight w:val="none"/>
                      <w:vertAlign w:val="baseline"/>
                      <w:lang w:val="en-US" w:eastAsia="zh-CN"/>
                    </w:rPr>
                  </w:pPr>
                  <w:r>
                    <w:rPr>
                      <w:rFonts w:hint="default" w:ascii="Times New Roman" w:hAnsi="Times New Roman" w:eastAsia="仿宋_GB2312" w:cs="Times New Roman"/>
                      <w:b/>
                      <w:color w:val="auto"/>
                      <w:spacing w:val="0"/>
                      <w:kern w:val="0"/>
                      <w:position w:val="0"/>
                      <w:sz w:val="21"/>
                      <w:szCs w:val="21"/>
                      <w:highlight w:val="none"/>
                    </w:rPr>
                    <w:t>声源控制措施</w:t>
                  </w:r>
                </w:p>
              </w:tc>
              <w:tc>
                <w:tcPr>
                  <w:tcW w:w="681" w:type="dxa"/>
                  <w:vMerge w:val="restart"/>
                  <w:tcBorders>
                    <w:tl2br w:val="nil"/>
                    <w:tr2bl w:val="nil"/>
                  </w:tcBorders>
                  <w:noWrap w:val="0"/>
                  <w:vAlign w:val="center"/>
                </w:tcPr>
                <w:p w14:paraId="44E2273D">
                  <w:pPr>
                    <w:keepNext w:val="0"/>
                    <w:keepLines w:val="0"/>
                    <w:pageBreakBefore w:val="0"/>
                    <w:widowControl w:val="0"/>
                    <w:kinsoku/>
                    <w:wordWrap/>
                    <w:overflowPunct/>
                    <w:topLinePunct w:val="0"/>
                    <w:bidi w:val="0"/>
                    <w:adjustRightInd w:val="0"/>
                    <w:snapToGrid w:val="0"/>
                    <w:spacing w:beforeAutospacing="0" w:afterAutospacing="0" w:line="240" w:lineRule="auto"/>
                    <w:ind w:left="0" w:leftChars="0" w:right="0" w:firstLine="0" w:firstLineChars="0"/>
                    <w:jc w:val="center"/>
                    <w:textAlignment w:val="auto"/>
                    <w:outlineLvl w:val="9"/>
                    <w:rPr>
                      <w:rFonts w:hint="default" w:ascii="Times New Roman" w:hAnsi="Times New Roman" w:eastAsia="仿宋_GB2312" w:cs="Times New Roman"/>
                      <w:color w:val="auto"/>
                      <w:spacing w:val="0"/>
                      <w:kern w:val="0"/>
                      <w:position w:val="0"/>
                      <w:sz w:val="21"/>
                      <w:szCs w:val="21"/>
                      <w:highlight w:val="none"/>
                      <w:vertAlign w:val="baseline"/>
                      <w:lang w:val="en-US" w:eastAsia="zh-CN"/>
                    </w:rPr>
                  </w:pPr>
                  <w:r>
                    <w:rPr>
                      <w:rFonts w:hint="default" w:ascii="Times New Roman" w:hAnsi="Times New Roman" w:eastAsia="仿宋_GB2312" w:cs="Times New Roman"/>
                      <w:b/>
                      <w:color w:val="auto"/>
                      <w:spacing w:val="0"/>
                      <w:kern w:val="0"/>
                      <w:position w:val="0"/>
                      <w:sz w:val="21"/>
                      <w:szCs w:val="21"/>
                      <w:highlight w:val="none"/>
                    </w:rPr>
                    <w:t>运行时段</w:t>
                  </w:r>
                </w:p>
              </w:tc>
            </w:tr>
            <w:tr w14:paraId="570E61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4" w:type="dxa"/>
                  <w:vMerge w:val="continue"/>
                  <w:tcBorders>
                    <w:tl2br w:val="nil"/>
                    <w:tr2bl w:val="nil"/>
                  </w:tcBorders>
                  <w:noWrap w:val="0"/>
                  <w:vAlign w:val="center"/>
                </w:tcPr>
                <w:p w14:paraId="55D16BD9">
                  <w:pPr>
                    <w:keepNext w:val="0"/>
                    <w:keepLines w:val="0"/>
                    <w:pageBreakBefore w:val="0"/>
                    <w:widowControl w:val="0"/>
                    <w:kinsoku/>
                    <w:wordWrap/>
                    <w:overflowPunct/>
                    <w:topLinePunct w:val="0"/>
                    <w:bidi w:val="0"/>
                    <w:adjustRightInd w:val="0"/>
                    <w:snapToGrid w:val="0"/>
                    <w:spacing w:beforeAutospacing="0" w:afterAutospacing="0" w:line="240" w:lineRule="auto"/>
                    <w:ind w:left="0" w:leftChars="0" w:right="0" w:firstLine="0" w:firstLineChars="0"/>
                    <w:jc w:val="center"/>
                    <w:textAlignment w:val="auto"/>
                    <w:outlineLvl w:val="9"/>
                    <w:rPr>
                      <w:rFonts w:hint="default" w:ascii="Times New Roman" w:hAnsi="Times New Roman" w:eastAsia="仿宋_GB2312" w:cs="Times New Roman"/>
                      <w:color w:val="auto"/>
                      <w:spacing w:val="0"/>
                      <w:kern w:val="0"/>
                      <w:position w:val="0"/>
                      <w:sz w:val="21"/>
                      <w:szCs w:val="21"/>
                      <w:highlight w:val="none"/>
                      <w:vertAlign w:val="baseline"/>
                      <w:lang w:val="en-US" w:eastAsia="zh-CN"/>
                    </w:rPr>
                  </w:pPr>
                </w:p>
              </w:tc>
              <w:tc>
                <w:tcPr>
                  <w:tcW w:w="1102" w:type="dxa"/>
                  <w:vMerge w:val="continue"/>
                  <w:tcBorders>
                    <w:tl2br w:val="nil"/>
                    <w:tr2bl w:val="nil"/>
                  </w:tcBorders>
                  <w:noWrap w:val="0"/>
                  <w:vAlign w:val="center"/>
                </w:tcPr>
                <w:p w14:paraId="0AFB15D7">
                  <w:pPr>
                    <w:keepNext w:val="0"/>
                    <w:keepLines w:val="0"/>
                    <w:pageBreakBefore w:val="0"/>
                    <w:widowControl w:val="0"/>
                    <w:kinsoku/>
                    <w:wordWrap/>
                    <w:overflowPunct/>
                    <w:topLinePunct w:val="0"/>
                    <w:bidi w:val="0"/>
                    <w:adjustRightInd w:val="0"/>
                    <w:snapToGrid w:val="0"/>
                    <w:spacing w:beforeAutospacing="0" w:afterAutospacing="0" w:line="240" w:lineRule="auto"/>
                    <w:ind w:left="0" w:leftChars="0" w:right="0" w:firstLine="0" w:firstLineChars="0"/>
                    <w:jc w:val="center"/>
                    <w:textAlignment w:val="auto"/>
                    <w:outlineLvl w:val="9"/>
                    <w:rPr>
                      <w:rFonts w:hint="default" w:ascii="Times New Roman" w:hAnsi="Times New Roman" w:eastAsia="仿宋_GB2312" w:cs="Times New Roman"/>
                      <w:color w:val="auto"/>
                      <w:spacing w:val="0"/>
                      <w:kern w:val="0"/>
                      <w:position w:val="0"/>
                      <w:sz w:val="21"/>
                      <w:szCs w:val="21"/>
                      <w:highlight w:val="none"/>
                      <w:vertAlign w:val="baseline"/>
                      <w:lang w:val="en-US" w:eastAsia="zh-CN"/>
                    </w:rPr>
                  </w:pPr>
                </w:p>
              </w:tc>
              <w:tc>
                <w:tcPr>
                  <w:tcW w:w="870" w:type="dxa"/>
                  <w:vMerge w:val="continue"/>
                  <w:tcBorders>
                    <w:tl2br w:val="nil"/>
                    <w:tr2bl w:val="nil"/>
                  </w:tcBorders>
                  <w:noWrap w:val="0"/>
                  <w:vAlign w:val="center"/>
                </w:tcPr>
                <w:p w14:paraId="789308CC">
                  <w:pPr>
                    <w:keepNext w:val="0"/>
                    <w:keepLines w:val="0"/>
                    <w:pageBreakBefore w:val="0"/>
                    <w:widowControl w:val="0"/>
                    <w:kinsoku/>
                    <w:wordWrap/>
                    <w:overflowPunct/>
                    <w:topLinePunct w:val="0"/>
                    <w:bidi w:val="0"/>
                    <w:adjustRightInd w:val="0"/>
                    <w:snapToGrid w:val="0"/>
                    <w:spacing w:beforeAutospacing="0" w:afterAutospacing="0" w:line="240" w:lineRule="auto"/>
                    <w:ind w:left="0" w:leftChars="0" w:right="0" w:firstLine="0" w:firstLineChars="0"/>
                    <w:jc w:val="center"/>
                    <w:textAlignment w:val="auto"/>
                    <w:outlineLvl w:val="9"/>
                    <w:rPr>
                      <w:rFonts w:hint="default" w:ascii="Times New Roman" w:hAnsi="Times New Roman" w:eastAsia="仿宋_GB2312" w:cs="Times New Roman"/>
                      <w:color w:val="auto"/>
                      <w:spacing w:val="0"/>
                      <w:kern w:val="0"/>
                      <w:position w:val="0"/>
                      <w:sz w:val="21"/>
                      <w:szCs w:val="21"/>
                      <w:highlight w:val="none"/>
                      <w:vertAlign w:val="baseline"/>
                      <w:lang w:val="en-US" w:eastAsia="zh-CN"/>
                    </w:rPr>
                  </w:pPr>
                </w:p>
              </w:tc>
              <w:tc>
                <w:tcPr>
                  <w:tcW w:w="555" w:type="dxa"/>
                  <w:tcBorders>
                    <w:tl2br w:val="nil"/>
                    <w:tr2bl w:val="nil"/>
                  </w:tcBorders>
                  <w:noWrap w:val="0"/>
                  <w:vAlign w:val="center"/>
                </w:tcPr>
                <w:p w14:paraId="310B4877">
                  <w:pPr>
                    <w:keepNext w:val="0"/>
                    <w:keepLines w:val="0"/>
                    <w:pageBreakBefore w:val="0"/>
                    <w:widowControl w:val="0"/>
                    <w:kinsoku/>
                    <w:wordWrap/>
                    <w:overflowPunct/>
                    <w:topLinePunct w:val="0"/>
                    <w:bidi w:val="0"/>
                    <w:adjustRightInd w:val="0"/>
                    <w:snapToGrid w:val="0"/>
                    <w:spacing w:beforeAutospacing="0" w:afterAutospacing="0" w:line="240" w:lineRule="auto"/>
                    <w:ind w:left="0" w:leftChars="0" w:right="0" w:firstLine="0" w:firstLineChars="0"/>
                    <w:jc w:val="center"/>
                    <w:textAlignment w:val="auto"/>
                    <w:outlineLvl w:val="9"/>
                    <w:rPr>
                      <w:rFonts w:hint="default" w:ascii="Times New Roman" w:hAnsi="Times New Roman" w:eastAsia="仿宋_GB2312" w:cs="Times New Roman"/>
                      <w:color w:val="auto"/>
                      <w:spacing w:val="0"/>
                      <w:kern w:val="0"/>
                      <w:position w:val="0"/>
                      <w:sz w:val="21"/>
                      <w:szCs w:val="21"/>
                      <w:highlight w:val="none"/>
                      <w:vertAlign w:val="baseline"/>
                      <w:lang w:val="en-US" w:eastAsia="zh-CN"/>
                    </w:rPr>
                  </w:pPr>
                  <w:r>
                    <w:rPr>
                      <w:rFonts w:hint="default" w:ascii="Times New Roman" w:hAnsi="Times New Roman" w:eastAsia="仿宋_GB2312" w:cs="Times New Roman"/>
                      <w:b/>
                      <w:bCs/>
                      <w:color w:val="auto"/>
                      <w:spacing w:val="0"/>
                      <w:kern w:val="0"/>
                      <w:position w:val="0"/>
                      <w:sz w:val="21"/>
                      <w:szCs w:val="21"/>
                      <w:highlight w:val="none"/>
                    </w:rPr>
                    <w:t>X</w:t>
                  </w:r>
                </w:p>
              </w:tc>
              <w:tc>
                <w:tcPr>
                  <w:tcW w:w="585" w:type="dxa"/>
                  <w:tcBorders>
                    <w:tl2br w:val="nil"/>
                    <w:tr2bl w:val="nil"/>
                  </w:tcBorders>
                  <w:noWrap w:val="0"/>
                  <w:vAlign w:val="center"/>
                </w:tcPr>
                <w:p w14:paraId="5AE2D0EA">
                  <w:pPr>
                    <w:keepNext w:val="0"/>
                    <w:keepLines w:val="0"/>
                    <w:pageBreakBefore w:val="0"/>
                    <w:widowControl w:val="0"/>
                    <w:kinsoku/>
                    <w:wordWrap/>
                    <w:overflowPunct/>
                    <w:topLinePunct w:val="0"/>
                    <w:bidi w:val="0"/>
                    <w:adjustRightInd w:val="0"/>
                    <w:snapToGrid w:val="0"/>
                    <w:spacing w:beforeAutospacing="0" w:afterAutospacing="0" w:line="240" w:lineRule="auto"/>
                    <w:ind w:left="0" w:leftChars="0" w:right="0" w:firstLine="0" w:firstLineChars="0"/>
                    <w:jc w:val="center"/>
                    <w:textAlignment w:val="auto"/>
                    <w:outlineLvl w:val="9"/>
                    <w:rPr>
                      <w:rFonts w:hint="default" w:ascii="Times New Roman" w:hAnsi="Times New Roman" w:eastAsia="仿宋_GB2312" w:cs="Times New Roman"/>
                      <w:color w:val="auto"/>
                      <w:spacing w:val="0"/>
                      <w:kern w:val="0"/>
                      <w:position w:val="0"/>
                      <w:sz w:val="21"/>
                      <w:szCs w:val="21"/>
                      <w:highlight w:val="none"/>
                      <w:vertAlign w:val="baseline"/>
                      <w:lang w:val="en-US" w:eastAsia="zh-CN"/>
                    </w:rPr>
                  </w:pPr>
                  <w:r>
                    <w:rPr>
                      <w:rFonts w:hint="default" w:ascii="Times New Roman" w:hAnsi="Times New Roman" w:eastAsia="仿宋_GB2312" w:cs="Times New Roman"/>
                      <w:b/>
                      <w:bCs/>
                      <w:color w:val="auto"/>
                      <w:spacing w:val="0"/>
                      <w:kern w:val="0"/>
                      <w:position w:val="0"/>
                      <w:sz w:val="21"/>
                      <w:szCs w:val="21"/>
                      <w:highlight w:val="none"/>
                    </w:rPr>
                    <w:t>Y</w:t>
                  </w:r>
                </w:p>
              </w:tc>
              <w:tc>
                <w:tcPr>
                  <w:tcW w:w="600" w:type="dxa"/>
                  <w:tcBorders>
                    <w:tl2br w:val="nil"/>
                    <w:tr2bl w:val="nil"/>
                  </w:tcBorders>
                  <w:noWrap w:val="0"/>
                  <w:vAlign w:val="center"/>
                </w:tcPr>
                <w:p w14:paraId="3B4A99EA">
                  <w:pPr>
                    <w:keepNext w:val="0"/>
                    <w:keepLines w:val="0"/>
                    <w:pageBreakBefore w:val="0"/>
                    <w:widowControl w:val="0"/>
                    <w:kinsoku/>
                    <w:wordWrap/>
                    <w:overflowPunct/>
                    <w:topLinePunct w:val="0"/>
                    <w:bidi w:val="0"/>
                    <w:adjustRightInd w:val="0"/>
                    <w:snapToGrid w:val="0"/>
                    <w:spacing w:beforeAutospacing="0" w:afterAutospacing="0" w:line="240" w:lineRule="auto"/>
                    <w:ind w:left="0" w:leftChars="0" w:right="0" w:firstLine="0" w:firstLineChars="0"/>
                    <w:jc w:val="center"/>
                    <w:textAlignment w:val="auto"/>
                    <w:outlineLvl w:val="9"/>
                    <w:rPr>
                      <w:rFonts w:hint="default" w:ascii="Times New Roman" w:hAnsi="Times New Roman" w:eastAsia="仿宋_GB2312" w:cs="Times New Roman"/>
                      <w:color w:val="auto"/>
                      <w:spacing w:val="0"/>
                      <w:kern w:val="0"/>
                      <w:position w:val="0"/>
                      <w:sz w:val="21"/>
                      <w:szCs w:val="21"/>
                      <w:highlight w:val="none"/>
                      <w:vertAlign w:val="baseline"/>
                      <w:lang w:val="en-US" w:eastAsia="zh-CN"/>
                    </w:rPr>
                  </w:pPr>
                  <w:r>
                    <w:rPr>
                      <w:rFonts w:hint="default" w:ascii="Times New Roman" w:hAnsi="Times New Roman" w:eastAsia="仿宋_GB2312" w:cs="Times New Roman"/>
                      <w:b/>
                      <w:bCs/>
                      <w:color w:val="auto"/>
                      <w:spacing w:val="0"/>
                      <w:kern w:val="0"/>
                      <w:position w:val="0"/>
                      <w:sz w:val="21"/>
                      <w:szCs w:val="21"/>
                      <w:highlight w:val="none"/>
                    </w:rPr>
                    <w:t>Z</w:t>
                  </w:r>
                </w:p>
              </w:tc>
              <w:tc>
                <w:tcPr>
                  <w:tcW w:w="1365" w:type="dxa"/>
                  <w:tcBorders>
                    <w:tl2br w:val="nil"/>
                    <w:tr2bl w:val="nil"/>
                  </w:tcBorders>
                  <w:noWrap w:val="0"/>
                  <w:vAlign w:val="center"/>
                </w:tcPr>
                <w:p w14:paraId="45335596">
                  <w:pPr>
                    <w:keepNext w:val="0"/>
                    <w:keepLines w:val="0"/>
                    <w:pageBreakBefore w:val="0"/>
                    <w:widowControl w:val="0"/>
                    <w:kinsoku/>
                    <w:wordWrap/>
                    <w:overflowPunct/>
                    <w:topLinePunct w:val="0"/>
                    <w:bidi w:val="0"/>
                    <w:adjustRightInd w:val="0"/>
                    <w:snapToGrid w:val="0"/>
                    <w:spacing w:beforeAutospacing="0" w:afterAutospacing="0" w:line="240" w:lineRule="auto"/>
                    <w:ind w:left="0" w:leftChars="0" w:right="0" w:firstLine="0" w:firstLineChars="0"/>
                    <w:jc w:val="center"/>
                    <w:textAlignment w:val="auto"/>
                    <w:outlineLvl w:val="9"/>
                    <w:rPr>
                      <w:rFonts w:hint="default" w:ascii="Times New Roman" w:hAnsi="Times New Roman" w:eastAsia="仿宋_GB2312" w:cs="Times New Roman"/>
                      <w:color w:val="auto"/>
                      <w:spacing w:val="0"/>
                      <w:kern w:val="0"/>
                      <w:position w:val="0"/>
                      <w:sz w:val="21"/>
                      <w:szCs w:val="21"/>
                      <w:highlight w:val="none"/>
                      <w:vertAlign w:val="baseline"/>
                      <w:lang w:val="en-US" w:eastAsia="zh-CN"/>
                    </w:rPr>
                  </w:pPr>
                  <w:r>
                    <w:rPr>
                      <w:rFonts w:hint="default" w:ascii="Times New Roman" w:hAnsi="Times New Roman" w:eastAsia="仿宋_GB2312" w:cs="Times New Roman"/>
                      <w:b/>
                      <w:bCs/>
                      <w:color w:val="auto"/>
                      <w:spacing w:val="0"/>
                      <w:kern w:val="0"/>
                      <w:position w:val="0"/>
                      <w:sz w:val="21"/>
                      <w:szCs w:val="21"/>
                      <w:highlight w:val="none"/>
                    </w:rPr>
                    <w:t>（声压级/距声源距离）/（dB</w:t>
                  </w:r>
                  <w:r>
                    <w:rPr>
                      <w:rFonts w:hint="default" w:ascii="Times New Roman" w:hAnsi="Times New Roman" w:eastAsia="仿宋_GB2312" w:cs="Times New Roman"/>
                      <w:b/>
                      <w:bCs/>
                      <w:color w:val="auto"/>
                      <w:spacing w:val="0"/>
                      <w:kern w:val="0"/>
                      <w:position w:val="0"/>
                      <w:sz w:val="21"/>
                      <w:szCs w:val="21"/>
                      <w:highlight w:val="none"/>
                      <w:lang w:eastAsia="zh-CN"/>
                    </w:rPr>
                    <w:t>（</w:t>
                  </w:r>
                  <w:r>
                    <w:rPr>
                      <w:rFonts w:hint="default" w:ascii="Times New Roman" w:hAnsi="Times New Roman" w:eastAsia="仿宋_GB2312" w:cs="Times New Roman"/>
                      <w:b/>
                      <w:bCs/>
                      <w:color w:val="auto"/>
                      <w:spacing w:val="0"/>
                      <w:kern w:val="0"/>
                      <w:position w:val="0"/>
                      <w:sz w:val="21"/>
                      <w:szCs w:val="21"/>
                      <w:highlight w:val="none"/>
                    </w:rPr>
                    <w:t>A</w:t>
                  </w:r>
                  <w:r>
                    <w:rPr>
                      <w:rFonts w:hint="default" w:ascii="Times New Roman" w:hAnsi="Times New Roman" w:eastAsia="仿宋_GB2312" w:cs="Times New Roman"/>
                      <w:b/>
                      <w:bCs/>
                      <w:color w:val="auto"/>
                      <w:spacing w:val="0"/>
                      <w:kern w:val="0"/>
                      <w:position w:val="0"/>
                      <w:sz w:val="21"/>
                      <w:szCs w:val="21"/>
                      <w:highlight w:val="none"/>
                      <w:lang w:eastAsia="zh-CN"/>
                    </w:rPr>
                    <w:t>）</w:t>
                  </w:r>
                  <w:r>
                    <w:rPr>
                      <w:rFonts w:hint="default" w:ascii="Times New Roman" w:hAnsi="Times New Roman" w:eastAsia="仿宋_GB2312" w:cs="Times New Roman"/>
                      <w:b/>
                      <w:bCs/>
                      <w:color w:val="auto"/>
                      <w:spacing w:val="0"/>
                      <w:kern w:val="0"/>
                      <w:position w:val="0"/>
                      <w:sz w:val="21"/>
                      <w:szCs w:val="21"/>
                      <w:highlight w:val="none"/>
                    </w:rPr>
                    <w:t>/m）</w:t>
                  </w:r>
                </w:p>
              </w:tc>
              <w:tc>
                <w:tcPr>
                  <w:tcW w:w="780" w:type="dxa"/>
                  <w:tcBorders>
                    <w:tl2br w:val="nil"/>
                    <w:tr2bl w:val="nil"/>
                  </w:tcBorders>
                  <w:noWrap w:val="0"/>
                  <w:vAlign w:val="center"/>
                </w:tcPr>
                <w:p w14:paraId="750961E8">
                  <w:pPr>
                    <w:keepNext w:val="0"/>
                    <w:keepLines w:val="0"/>
                    <w:pageBreakBefore w:val="0"/>
                    <w:widowControl w:val="0"/>
                    <w:kinsoku/>
                    <w:wordWrap/>
                    <w:overflowPunct/>
                    <w:topLinePunct w:val="0"/>
                    <w:bidi w:val="0"/>
                    <w:adjustRightInd w:val="0"/>
                    <w:snapToGrid w:val="0"/>
                    <w:spacing w:beforeAutospacing="0" w:afterAutospacing="0" w:line="240" w:lineRule="auto"/>
                    <w:ind w:left="0" w:leftChars="0" w:right="0" w:firstLine="0" w:firstLineChars="0"/>
                    <w:jc w:val="center"/>
                    <w:textAlignment w:val="auto"/>
                    <w:outlineLvl w:val="9"/>
                    <w:rPr>
                      <w:rFonts w:hint="default" w:ascii="Times New Roman" w:hAnsi="Times New Roman" w:eastAsia="仿宋_GB2312" w:cs="Times New Roman"/>
                      <w:color w:val="auto"/>
                      <w:spacing w:val="0"/>
                      <w:kern w:val="0"/>
                      <w:position w:val="0"/>
                      <w:sz w:val="21"/>
                      <w:szCs w:val="21"/>
                      <w:highlight w:val="none"/>
                      <w:vertAlign w:val="baseline"/>
                      <w:lang w:val="en-US" w:eastAsia="zh-CN"/>
                    </w:rPr>
                  </w:pPr>
                  <w:r>
                    <w:rPr>
                      <w:rFonts w:hint="default" w:ascii="Times New Roman" w:hAnsi="Times New Roman" w:eastAsia="仿宋_GB2312" w:cs="Times New Roman"/>
                      <w:b/>
                      <w:bCs/>
                      <w:color w:val="auto"/>
                      <w:spacing w:val="0"/>
                      <w:kern w:val="0"/>
                      <w:position w:val="0"/>
                      <w:sz w:val="21"/>
                      <w:szCs w:val="21"/>
                      <w:highlight w:val="none"/>
                    </w:rPr>
                    <w:t>声功率级/dB</w:t>
                  </w:r>
                  <w:r>
                    <w:rPr>
                      <w:rFonts w:hint="default" w:ascii="Times New Roman" w:hAnsi="Times New Roman" w:eastAsia="仿宋_GB2312" w:cs="Times New Roman"/>
                      <w:b/>
                      <w:bCs/>
                      <w:color w:val="auto"/>
                      <w:spacing w:val="0"/>
                      <w:kern w:val="0"/>
                      <w:position w:val="0"/>
                      <w:sz w:val="21"/>
                      <w:szCs w:val="21"/>
                      <w:highlight w:val="none"/>
                      <w:lang w:eastAsia="zh-CN"/>
                    </w:rPr>
                    <w:t>（</w:t>
                  </w:r>
                  <w:r>
                    <w:rPr>
                      <w:rFonts w:hint="default" w:ascii="Times New Roman" w:hAnsi="Times New Roman" w:eastAsia="仿宋_GB2312" w:cs="Times New Roman"/>
                      <w:b/>
                      <w:bCs/>
                      <w:color w:val="auto"/>
                      <w:spacing w:val="0"/>
                      <w:kern w:val="0"/>
                      <w:position w:val="0"/>
                      <w:sz w:val="21"/>
                      <w:szCs w:val="21"/>
                      <w:highlight w:val="none"/>
                    </w:rPr>
                    <w:t>A</w:t>
                  </w:r>
                  <w:r>
                    <w:rPr>
                      <w:rFonts w:hint="default" w:ascii="Times New Roman" w:hAnsi="Times New Roman" w:eastAsia="仿宋_GB2312" w:cs="Times New Roman"/>
                      <w:b/>
                      <w:bCs/>
                      <w:color w:val="auto"/>
                      <w:spacing w:val="0"/>
                      <w:kern w:val="0"/>
                      <w:position w:val="0"/>
                      <w:sz w:val="21"/>
                      <w:szCs w:val="21"/>
                      <w:highlight w:val="none"/>
                      <w:lang w:eastAsia="zh-CN"/>
                    </w:rPr>
                    <w:t>）</w:t>
                  </w:r>
                </w:p>
              </w:tc>
              <w:tc>
                <w:tcPr>
                  <w:tcW w:w="1302" w:type="dxa"/>
                  <w:vMerge w:val="continue"/>
                  <w:tcBorders>
                    <w:tl2br w:val="nil"/>
                    <w:tr2bl w:val="nil"/>
                  </w:tcBorders>
                  <w:noWrap w:val="0"/>
                  <w:vAlign w:val="top"/>
                </w:tcPr>
                <w:p w14:paraId="1A7A907B">
                  <w:pPr>
                    <w:pStyle w:val="51"/>
                    <w:keepNext w:val="0"/>
                    <w:keepLines w:val="0"/>
                    <w:pageBreakBefore w:val="0"/>
                    <w:widowControl w:val="0"/>
                    <w:kinsoku/>
                    <w:wordWrap/>
                    <w:overflowPunct/>
                    <w:topLinePunct w:val="0"/>
                    <w:bidi w:val="0"/>
                    <w:adjustRightInd w:val="0"/>
                    <w:snapToGrid w:val="0"/>
                    <w:spacing w:beforeAutospacing="0" w:afterAutospacing="0" w:line="240" w:lineRule="auto"/>
                    <w:ind w:left="0" w:leftChars="0" w:right="0" w:firstLine="0" w:firstLineChars="0"/>
                    <w:jc w:val="center"/>
                    <w:textAlignment w:val="auto"/>
                    <w:outlineLvl w:val="9"/>
                    <w:rPr>
                      <w:rFonts w:hint="default" w:ascii="Times New Roman" w:hAnsi="Times New Roman" w:eastAsia="仿宋_GB2312" w:cs="Times New Roman"/>
                      <w:color w:val="auto"/>
                      <w:spacing w:val="0"/>
                      <w:kern w:val="0"/>
                      <w:position w:val="0"/>
                      <w:sz w:val="21"/>
                      <w:szCs w:val="21"/>
                      <w:highlight w:val="none"/>
                      <w:vertAlign w:val="baseline"/>
                      <w:lang w:val="en-US" w:eastAsia="zh-CN"/>
                    </w:rPr>
                  </w:pPr>
                </w:p>
              </w:tc>
              <w:tc>
                <w:tcPr>
                  <w:tcW w:w="681" w:type="dxa"/>
                  <w:vMerge w:val="continue"/>
                  <w:tcBorders>
                    <w:tl2br w:val="nil"/>
                    <w:tr2bl w:val="nil"/>
                  </w:tcBorders>
                  <w:noWrap w:val="0"/>
                  <w:vAlign w:val="top"/>
                </w:tcPr>
                <w:p w14:paraId="04E72693">
                  <w:pPr>
                    <w:pStyle w:val="51"/>
                    <w:keepNext w:val="0"/>
                    <w:keepLines w:val="0"/>
                    <w:pageBreakBefore w:val="0"/>
                    <w:widowControl w:val="0"/>
                    <w:kinsoku/>
                    <w:wordWrap/>
                    <w:overflowPunct/>
                    <w:topLinePunct w:val="0"/>
                    <w:bidi w:val="0"/>
                    <w:adjustRightInd w:val="0"/>
                    <w:snapToGrid w:val="0"/>
                    <w:spacing w:beforeAutospacing="0" w:afterAutospacing="0" w:line="240" w:lineRule="auto"/>
                    <w:ind w:left="0" w:leftChars="0" w:right="0" w:firstLine="0" w:firstLineChars="0"/>
                    <w:jc w:val="center"/>
                    <w:textAlignment w:val="auto"/>
                    <w:outlineLvl w:val="9"/>
                    <w:rPr>
                      <w:rFonts w:hint="default" w:ascii="Times New Roman" w:hAnsi="Times New Roman" w:eastAsia="仿宋_GB2312" w:cs="Times New Roman"/>
                      <w:color w:val="auto"/>
                      <w:spacing w:val="0"/>
                      <w:kern w:val="0"/>
                      <w:position w:val="0"/>
                      <w:sz w:val="21"/>
                      <w:szCs w:val="21"/>
                      <w:highlight w:val="none"/>
                      <w:vertAlign w:val="baseline"/>
                      <w:lang w:val="en-US" w:eastAsia="zh-CN"/>
                    </w:rPr>
                  </w:pPr>
                </w:p>
              </w:tc>
            </w:tr>
            <w:tr w14:paraId="64644B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664" w:type="dxa"/>
                  <w:tcBorders>
                    <w:tl2br w:val="nil"/>
                    <w:tr2bl w:val="nil"/>
                  </w:tcBorders>
                  <w:noWrap w:val="0"/>
                  <w:vAlign w:val="center"/>
                </w:tcPr>
                <w:p w14:paraId="4B7D0D68">
                  <w:pPr>
                    <w:pStyle w:val="46"/>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_GB2312" w:cs="Times New Roman"/>
                      <w:b w:val="0"/>
                      <w:bCs/>
                      <w:color w:val="auto"/>
                      <w:spacing w:val="0"/>
                      <w:kern w:val="0"/>
                      <w:position w:val="0"/>
                      <w:sz w:val="21"/>
                      <w:szCs w:val="21"/>
                      <w:highlight w:val="none"/>
                      <w:lang w:val="en-US" w:eastAsia="zh-CN"/>
                    </w:rPr>
                  </w:pPr>
                  <w:r>
                    <w:rPr>
                      <w:rFonts w:hint="default" w:ascii="Times New Roman" w:hAnsi="Times New Roman" w:eastAsia="仿宋_GB2312" w:cs="Times New Roman"/>
                      <w:b w:val="0"/>
                      <w:bCs/>
                      <w:color w:val="auto"/>
                      <w:spacing w:val="0"/>
                      <w:kern w:val="0"/>
                      <w:position w:val="0"/>
                      <w:sz w:val="21"/>
                      <w:szCs w:val="21"/>
                      <w:highlight w:val="none"/>
                      <w:lang w:val="en-US" w:eastAsia="zh-CN"/>
                    </w:rPr>
                    <w:t>1</w:t>
                  </w:r>
                </w:p>
              </w:tc>
              <w:tc>
                <w:tcPr>
                  <w:tcW w:w="1102" w:type="dxa"/>
                  <w:tcBorders>
                    <w:tl2br w:val="nil"/>
                    <w:tr2bl w:val="nil"/>
                  </w:tcBorders>
                  <w:noWrap w:val="0"/>
                  <w:vAlign w:val="center"/>
                </w:tcPr>
                <w:p w14:paraId="6D49600D">
                  <w:pPr>
                    <w:keepNext w:val="0"/>
                    <w:keepLines w:val="0"/>
                    <w:pageBreakBefore w:val="0"/>
                    <w:widowControl/>
                    <w:suppressLineNumbers w:val="0"/>
                    <w:kinsoku/>
                    <w:wordWrap/>
                    <w:overflowPunct/>
                    <w:topLinePunct w:val="0"/>
                    <w:bidi w:val="0"/>
                    <w:adjustRightInd w:val="0"/>
                    <w:snapToGrid w:val="0"/>
                    <w:spacing w:beforeAutospacing="0" w:afterAutospacing="0"/>
                    <w:ind w:left="0" w:leftChars="0" w:right="0" w:firstLine="0" w:firstLineChars="0"/>
                    <w:jc w:val="center"/>
                    <w:textAlignment w:val="center"/>
                    <w:outlineLvl w:val="9"/>
                    <w:rPr>
                      <w:rFonts w:hint="default" w:ascii="Times New Roman" w:hAnsi="Times New Roman" w:eastAsia="仿宋_GB2312" w:cs="Times New Roman"/>
                      <w:b w:val="0"/>
                      <w:bCs/>
                      <w:color w:val="auto"/>
                      <w:spacing w:val="0"/>
                      <w:kern w:val="0"/>
                      <w:position w:val="0"/>
                      <w:sz w:val="21"/>
                      <w:szCs w:val="21"/>
                      <w:highlight w:val="none"/>
                      <w:lang w:val="en-US" w:eastAsia="zh-CN"/>
                    </w:rPr>
                  </w:pPr>
                  <w:r>
                    <w:rPr>
                      <w:rFonts w:hint="default" w:ascii="Times New Roman" w:hAnsi="Times New Roman" w:eastAsia="仿宋_GB2312" w:cs="Times New Roman"/>
                      <w:bCs/>
                      <w:color w:val="auto"/>
                      <w:spacing w:val="0"/>
                      <w:kern w:val="0"/>
                      <w:position w:val="0"/>
                      <w:sz w:val="21"/>
                      <w:szCs w:val="21"/>
                      <w:lang w:val="en-US" w:eastAsia="zh-CN"/>
                    </w:rPr>
                    <w:t>风机</w:t>
                  </w:r>
                </w:p>
              </w:tc>
              <w:tc>
                <w:tcPr>
                  <w:tcW w:w="870" w:type="dxa"/>
                  <w:tcBorders>
                    <w:tl2br w:val="nil"/>
                    <w:tr2bl w:val="nil"/>
                  </w:tcBorders>
                  <w:noWrap w:val="0"/>
                  <w:vAlign w:val="center"/>
                </w:tcPr>
                <w:p w14:paraId="124A6AA1">
                  <w:pPr>
                    <w:keepNext w:val="0"/>
                    <w:keepLines w:val="0"/>
                    <w:pageBreakBefore w:val="0"/>
                    <w:widowControl w:val="0"/>
                    <w:kinsoku/>
                    <w:wordWrap/>
                    <w:overflowPunct/>
                    <w:topLinePunct w:val="0"/>
                    <w:bidi w:val="0"/>
                    <w:adjustRightInd w:val="0"/>
                    <w:snapToGrid w:val="0"/>
                    <w:spacing w:beforeAutospacing="0" w:afterAutospacing="0" w:line="240" w:lineRule="auto"/>
                    <w:ind w:left="0" w:leftChars="0" w:right="0" w:firstLine="0" w:firstLineChars="0"/>
                    <w:jc w:val="center"/>
                    <w:textAlignment w:val="auto"/>
                    <w:outlineLvl w:val="9"/>
                    <w:rPr>
                      <w:rFonts w:hint="default" w:ascii="Times New Roman" w:hAnsi="Times New Roman" w:eastAsia="仿宋_GB2312" w:cs="Times New Roman"/>
                      <w:b w:val="0"/>
                      <w:bCs/>
                      <w:color w:val="auto"/>
                      <w:spacing w:val="0"/>
                      <w:kern w:val="0"/>
                      <w:position w:val="0"/>
                      <w:sz w:val="21"/>
                      <w:szCs w:val="21"/>
                      <w:highlight w:val="none"/>
                      <w:vertAlign w:val="baseline"/>
                      <w:lang w:val="en-US" w:eastAsia="zh-CN"/>
                    </w:rPr>
                  </w:pPr>
                  <w:r>
                    <w:rPr>
                      <w:rFonts w:hint="default" w:ascii="Times New Roman" w:hAnsi="Times New Roman" w:eastAsia="仿宋_GB2312" w:cs="Times New Roman"/>
                      <w:b w:val="0"/>
                      <w:bCs/>
                      <w:color w:val="auto"/>
                      <w:spacing w:val="0"/>
                      <w:kern w:val="0"/>
                      <w:position w:val="0"/>
                      <w:sz w:val="21"/>
                      <w:szCs w:val="21"/>
                      <w:highlight w:val="none"/>
                      <w:vertAlign w:val="baseline"/>
                      <w:lang w:val="en-US" w:eastAsia="zh-CN"/>
                    </w:rPr>
                    <w:t>/</w:t>
                  </w:r>
                </w:p>
              </w:tc>
              <w:tc>
                <w:tcPr>
                  <w:tcW w:w="555" w:type="dxa"/>
                  <w:tcBorders>
                    <w:tl2br w:val="nil"/>
                    <w:tr2bl w:val="nil"/>
                  </w:tcBorders>
                  <w:noWrap w:val="0"/>
                  <w:vAlign w:val="center"/>
                </w:tcPr>
                <w:p w14:paraId="3C9A0BC1">
                  <w:pPr>
                    <w:pStyle w:val="46"/>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_GB2312" w:cs="Times New Roman"/>
                      <w:b w:val="0"/>
                      <w:bCs/>
                      <w:color w:val="auto"/>
                      <w:spacing w:val="0"/>
                      <w:kern w:val="0"/>
                      <w:position w:val="0"/>
                      <w:sz w:val="21"/>
                      <w:szCs w:val="21"/>
                      <w:highlight w:val="none"/>
                      <w:lang w:val="en-US" w:eastAsia="zh-CN"/>
                    </w:rPr>
                  </w:pPr>
                  <w:r>
                    <w:rPr>
                      <w:rFonts w:hint="default" w:ascii="Times New Roman" w:hAnsi="Times New Roman" w:eastAsia="仿宋_GB2312" w:cs="Times New Roman"/>
                      <w:b w:val="0"/>
                      <w:bCs/>
                      <w:color w:val="auto"/>
                      <w:spacing w:val="0"/>
                      <w:kern w:val="0"/>
                      <w:position w:val="0"/>
                      <w:sz w:val="21"/>
                      <w:szCs w:val="21"/>
                      <w:highlight w:val="none"/>
                      <w:lang w:val="en-US" w:eastAsia="zh-CN"/>
                    </w:rPr>
                    <w:t>38</w:t>
                  </w:r>
                </w:p>
              </w:tc>
              <w:tc>
                <w:tcPr>
                  <w:tcW w:w="585" w:type="dxa"/>
                  <w:tcBorders>
                    <w:tl2br w:val="nil"/>
                    <w:tr2bl w:val="nil"/>
                  </w:tcBorders>
                  <w:noWrap w:val="0"/>
                  <w:vAlign w:val="center"/>
                </w:tcPr>
                <w:p w14:paraId="75EF4D3F">
                  <w:pPr>
                    <w:pStyle w:val="46"/>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_GB2312" w:cs="Times New Roman"/>
                      <w:b w:val="0"/>
                      <w:bCs/>
                      <w:color w:val="auto"/>
                      <w:spacing w:val="0"/>
                      <w:kern w:val="0"/>
                      <w:position w:val="0"/>
                      <w:sz w:val="21"/>
                      <w:szCs w:val="21"/>
                      <w:highlight w:val="none"/>
                      <w:lang w:val="en-US" w:eastAsia="zh-CN"/>
                    </w:rPr>
                  </w:pPr>
                  <w:r>
                    <w:rPr>
                      <w:rFonts w:hint="default" w:ascii="Times New Roman" w:hAnsi="Times New Roman" w:eastAsia="仿宋_GB2312" w:cs="Times New Roman"/>
                      <w:b w:val="0"/>
                      <w:bCs/>
                      <w:color w:val="auto"/>
                      <w:spacing w:val="0"/>
                      <w:kern w:val="0"/>
                      <w:position w:val="0"/>
                      <w:sz w:val="21"/>
                      <w:szCs w:val="21"/>
                      <w:highlight w:val="none"/>
                      <w:lang w:val="en-US" w:eastAsia="zh-CN"/>
                    </w:rPr>
                    <w:t>70</w:t>
                  </w:r>
                </w:p>
              </w:tc>
              <w:tc>
                <w:tcPr>
                  <w:tcW w:w="600" w:type="dxa"/>
                  <w:tcBorders>
                    <w:tl2br w:val="nil"/>
                    <w:tr2bl w:val="nil"/>
                  </w:tcBorders>
                  <w:noWrap w:val="0"/>
                  <w:vAlign w:val="center"/>
                </w:tcPr>
                <w:p w14:paraId="27A82938">
                  <w:pPr>
                    <w:pStyle w:val="46"/>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_GB2312" w:cs="Times New Roman"/>
                      <w:b w:val="0"/>
                      <w:bCs/>
                      <w:color w:val="auto"/>
                      <w:spacing w:val="0"/>
                      <w:kern w:val="0"/>
                      <w:position w:val="0"/>
                      <w:sz w:val="21"/>
                      <w:szCs w:val="21"/>
                      <w:highlight w:val="none"/>
                      <w:lang w:val="en-US" w:eastAsia="zh-CN"/>
                    </w:rPr>
                  </w:pPr>
                  <w:r>
                    <w:rPr>
                      <w:rFonts w:hint="default" w:ascii="Times New Roman" w:hAnsi="Times New Roman" w:eastAsia="仿宋_GB2312" w:cs="Times New Roman"/>
                      <w:b w:val="0"/>
                      <w:bCs/>
                      <w:color w:val="auto"/>
                      <w:spacing w:val="0"/>
                      <w:kern w:val="0"/>
                      <w:position w:val="0"/>
                      <w:sz w:val="21"/>
                      <w:szCs w:val="21"/>
                      <w:highlight w:val="none"/>
                      <w:lang w:val="en-US" w:eastAsia="zh-CN"/>
                    </w:rPr>
                    <w:t>14</w:t>
                  </w:r>
                </w:p>
              </w:tc>
              <w:tc>
                <w:tcPr>
                  <w:tcW w:w="1365" w:type="dxa"/>
                  <w:tcBorders>
                    <w:tl2br w:val="nil"/>
                    <w:tr2bl w:val="nil"/>
                  </w:tcBorders>
                  <w:noWrap w:val="0"/>
                  <w:vAlign w:val="center"/>
                </w:tcPr>
                <w:p w14:paraId="2ED1EC5D">
                  <w:pPr>
                    <w:pStyle w:val="46"/>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_GB2312" w:cs="Times New Roman"/>
                      <w:b w:val="0"/>
                      <w:bCs/>
                      <w:color w:val="auto"/>
                      <w:spacing w:val="0"/>
                      <w:kern w:val="0"/>
                      <w:position w:val="0"/>
                      <w:sz w:val="21"/>
                      <w:szCs w:val="21"/>
                      <w:highlight w:val="none"/>
                      <w:lang w:val="en-US" w:eastAsia="zh-CN"/>
                    </w:rPr>
                  </w:pPr>
                  <w:r>
                    <w:rPr>
                      <w:rFonts w:hint="default" w:ascii="Times New Roman" w:hAnsi="Times New Roman" w:eastAsia="仿宋_GB2312" w:cs="Times New Roman"/>
                      <w:b w:val="0"/>
                      <w:bCs/>
                      <w:color w:val="auto"/>
                      <w:spacing w:val="0"/>
                      <w:kern w:val="0"/>
                      <w:position w:val="0"/>
                      <w:sz w:val="21"/>
                      <w:szCs w:val="21"/>
                      <w:highlight w:val="none"/>
                      <w:lang w:val="en-US" w:eastAsia="zh-CN"/>
                    </w:rPr>
                    <w:t>/</w:t>
                  </w:r>
                </w:p>
              </w:tc>
              <w:tc>
                <w:tcPr>
                  <w:tcW w:w="780" w:type="dxa"/>
                  <w:tcBorders>
                    <w:tl2br w:val="nil"/>
                    <w:tr2bl w:val="nil"/>
                  </w:tcBorders>
                  <w:noWrap w:val="0"/>
                  <w:vAlign w:val="center"/>
                </w:tcPr>
                <w:p w14:paraId="6046088A">
                  <w:pPr>
                    <w:pStyle w:val="46"/>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_GB2312" w:cs="Times New Roman"/>
                      <w:b w:val="0"/>
                      <w:bCs/>
                      <w:color w:val="auto"/>
                      <w:spacing w:val="0"/>
                      <w:kern w:val="0"/>
                      <w:position w:val="0"/>
                      <w:sz w:val="21"/>
                      <w:szCs w:val="21"/>
                      <w:highlight w:val="none"/>
                      <w:lang w:val="en-US" w:eastAsia="zh-CN"/>
                    </w:rPr>
                  </w:pPr>
                  <w:r>
                    <w:rPr>
                      <w:rFonts w:hint="eastAsia" w:ascii="Times New Roman" w:hAnsi="Times New Roman" w:eastAsia="仿宋_GB2312" w:cs="Times New Roman"/>
                      <w:b w:val="0"/>
                      <w:bCs/>
                      <w:color w:val="auto"/>
                      <w:spacing w:val="0"/>
                      <w:kern w:val="0"/>
                      <w:position w:val="0"/>
                      <w:sz w:val="21"/>
                      <w:szCs w:val="21"/>
                      <w:highlight w:val="none"/>
                      <w:lang w:val="en-US" w:eastAsia="zh-CN"/>
                    </w:rPr>
                    <w:t>85</w:t>
                  </w:r>
                </w:p>
              </w:tc>
              <w:tc>
                <w:tcPr>
                  <w:tcW w:w="1302" w:type="dxa"/>
                  <w:vMerge w:val="restart"/>
                  <w:tcBorders>
                    <w:tl2br w:val="nil"/>
                    <w:tr2bl w:val="nil"/>
                  </w:tcBorders>
                  <w:noWrap w:val="0"/>
                  <w:vAlign w:val="center"/>
                </w:tcPr>
                <w:p w14:paraId="0A686E04">
                  <w:pPr>
                    <w:pStyle w:val="46"/>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_GB2312" w:cs="Times New Roman"/>
                      <w:b w:val="0"/>
                      <w:bCs/>
                      <w:color w:val="auto"/>
                      <w:spacing w:val="0"/>
                      <w:kern w:val="0"/>
                      <w:position w:val="0"/>
                      <w:sz w:val="21"/>
                      <w:szCs w:val="21"/>
                      <w:highlight w:val="none"/>
                      <w:lang w:val="en-US" w:eastAsia="zh-CN"/>
                    </w:rPr>
                  </w:pPr>
                  <w:r>
                    <w:rPr>
                      <w:rFonts w:hint="default" w:ascii="Times New Roman" w:hAnsi="Times New Roman" w:eastAsia="仿宋_GB2312" w:cs="Times New Roman"/>
                      <w:b w:val="0"/>
                      <w:bCs/>
                      <w:color w:val="auto"/>
                      <w:spacing w:val="0"/>
                      <w:kern w:val="0"/>
                      <w:position w:val="0"/>
                      <w:sz w:val="21"/>
                      <w:szCs w:val="21"/>
                      <w:highlight w:val="none"/>
                      <w:lang w:val="en-US" w:eastAsia="zh-CN"/>
                    </w:rPr>
                    <w:t>厂房隔声、隔声罩、减振垫，排风管道使用柔性软接头</w:t>
                  </w:r>
                </w:p>
              </w:tc>
              <w:tc>
                <w:tcPr>
                  <w:tcW w:w="681" w:type="dxa"/>
                  <w:vMerge w:val="restart"/>
                  <w:tcBorders>
                    <w:tl2br w:val="nil"/>
                    <w:tr2bl w:val="nil"/>
                  </w:tcBorders>
                  <w:noWrap w:val="0"/>
                  <w:vAlign w:val="center"/>
                </w:tcPr>
                <w:p w14:paraId="7068862F">
                  <w:pPr>
                    <w:pStyle w:val="46"/>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_GB2312" w:cs="Times New Roman"/>
                      <w:b w:val="0"/>
                      <w:bCs/>
                      <w:color w:val="auto"/>
                      <w:spacing w:val="0"/>
                      <w:kern w:val="0"/>
                      <w:position w:val="0"/>
                      <w:sz w:val="21"/>
                      <w:szCs w:val="21"/>
                      <w:highlight w:val="none"/>
                      <w:lang w:val="en-US" w:eastAsia="zh-CN"/>
                    </w:rPr>
                  </w:pPr>
                  <w:r>
                    <w:rPr>
                      <w:rFonts w:hint="eastAsia" w:ascii="Times New Roman" w:hAnsi="Times New Roman" w:eastAsia="仿宋_GB2312" w:cs="Times New Roman"/>
                      <w:b w:val="0"/>
                      <w:bCs/>
                      <w:color w:val="auto"/>
                      <w:spacing w:val="0"/>
                      <w:kern w:val="0"/>
                      <w:position w:val="0"/>
                      <w:sz w:val="21"/>
                      <w:szCs w:val="21"/>
                      <w:highlight w:val="none"/>
                      <w:lang w:val="en-US" w:eastAsia="zh-CN"/>
                    </w:rPr>
                    <w:t>00</w:t>
                  </w:r>
                  <w:r>
                    <w:rPr>
                      <w:rFonts w:hint="default" w:ascii="Times New Roman" w:hAnsi="Times New Roman" w:eastAsia="仿宋_GB2312" w:cs="Times New Roman"/>
                      <w:b w:val="0"/>
                      <w:bCs/>
                      <w:color w:val="auto"/>
                      <w:spacing w:val="0"/>
                      <w:kern w:val="0"/>
                      <w:position w:val="0"/>
                      <w:sz w:val="21"/>
                      <w:szCs w:val="21"/>
                      <w:highlight w:val="none"/>
                      <w:lang w:val="en-US" w:eastAsia="zh-CN"/>
                    </w:rPr>
                    <w:t>:00~24:00</w:t>
                  </w:r>
                </w:p>
              </w:tc>
            </w:tr>
            <w:tr w14:paraId="294AFB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664" w:type="dxa"/>
                  <w:tcBorders>
                    <w:tl2br w:val="nil"/>
                    <w:tr2bl w:val="nil"/>
                  </w:tcBorders>
                  <w:noWrap w:val="0"/>
                  <w:vAlign w:val="center"/>
                </w:tcPr>
                <w:p w14:paraId="242594D2">
                  <w:pPr>
                    <w:pStyle w:val="46"/>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_GB2312" w:cs="Times New Roman"/>
                      <w:b w:val="0"/>
                      <w:bCs/>
                      <w:color w:val="auto"/>
                      <w:spacing w:val="0"/>
                      <w:kern w:val="0"/>
                      <w:position w:val="0"/>
                      <w:sz w:val="21"/>
                      <w:szCs w:val="21"/>
                      <w:highlight w:val="none"/>
                      <w:lang w:val="en-US" w:eastAsia="zh-CN"/>
                    </w:rPr>
                  </w:pPr>
                  <w:r>
                    <w:rPr>
                      <w:rFonts w:hint="eastAsia" w:ascii="Times New Roman" w:hAnsi="Times New Roman" w:eastAsia="仿宋_GB2312" w:cs="Times New Roman"/>
                      <w:b w:val="0"/>
                      <w:bCs/>
                      <w:color w:val="auto"/>
                      <w:spacing w:val="0"/>
                      <w:kern w:val="0"/>
                      <w:position w:val="0"/>
                      <w:sz w:val="21"/>
                      <w:szCs w:val="21"/>
                      <w:highlight w:val="none"/>
                      <w:lang w:val="en-US" w:eastAsia="zh-CN"/>
                    </w:rPr>
                    <w:t>2</w:t>
                  </w:r>
                </w:p>
              </w:tc>
              <w:tc>
                <w:tcPr>
                  <w:tcW w:w="1102" w:type="dxa"/>
                  <w:tcBorders>
                    <w:tl2br w:val="nil"/>
                    <w:tr2bl w:val="nil"/>
                  </w:tcBorders>
                  <w:noWrap w:val="0"/>
                  <w:vAlign w:val="center"/>
                </w:tcPr>
                <w:p w14:paraId="1863983D">
                  <w:pPr>
                    <w:keepNext w:val="0"/>
                    <w:keepLines w:val="0"/>
                    <w:pageBreakBefore w:val="0"/>
                    <w:widowControl/>
                    <w:suppressLineNumbers w:val="0"/>
                    <w:kinsoku/>
                    <w:wordWrap/>
                    <w:overflowPunct/>
                    <w:topLinePunct w:val="0"/>
                    <w:bidi w:val="0"/>
                    <w:adjustRightInd w:val="0"/>
                    <w:snapToGrid w:val="0"/>
                    <w:spacing w:beforeAutospacing="0" w:afterAutospacing="0"/>
                    <w:ind w:left="0" w:leftChars="0" w:right="0" w:firstLine="0" w:firstLineChars="0"/>
                    <w:jc w:val="center"/>
                    <w:textAlignment w:val="center"/>
                    <w:outlineLvl w:val="9"/>
                    <w:rPr>
                      <w:rFonts w:hint="default" w:ascii="Times New Roman" w:hAnsi="Times New Roman" w:eastAsia="仿宋_GB2312" w:cs="Times New Roman"/>
                      <w:bCs/>
                      <w:color w:val="auto"/>
                      <w:spacing w:val="0"/>
                      <w:kern w:val="0"/>
                      <w:position w:val="0"/>
                      <w:sz w:val="21"/>
                      <w:szCs w:val="21"/>
                      <w:lang w:val="en-US" w:eastAsia="zh-CN"/>
                    </w:rPr>
                  </w:pPr>
                  <w:r>
                    <w:rPr>
                      <w:rFonts w:hint="default" w:ascii="Times New Roman" w:hAnsi="Times New Roman" w:eastAsia="仿宋_GB2312" w:cs="Times New Roman"/>
                      <w:snapToGrid w:val="0"/>
                      <w:kern w:val="0"/>
                      <w:sz w:val="21"/>
                      <w:szCs w:val="21"/>
                    </w:rPr>
                    <w:t>卤水泵</w:t>
                  </w:r>
                </w:p>
              </w:tc>
              <w:tc>
                <w:tcPr>
                  <w:tcW w:w="870" w:type="dxa"/>
                  <w:tcBorders>
                    <w:tl2br w:val="nil"/>
                    <w:tr2bl w:val="nil"/>
                  </w:tcBorders>
                  <w:noWrap w:val="0"/>
                  <w:vAlign w:val="center"/>
                </w:tcPr>
                <w:p w14:paraId="732B7ECC">
                  <w:pPr>
                    <w:keepNext w:val="0"/>
                    <w:keepLines w:val="0"/>
                    <w:pageBreakBefore w:val="0"/>
                    <w:widowControl w:val="0"/>
                    <w:kinsoku/>
                    <w:wordWrap/>
                    <w:overflowPunct/>
                    <w:topLinePunct w:val="0"/>
                    <w:bidi w:val="0"/>
                    <w:adjustRightInd w:val="0"/>
                    <w:snapToGrid w:val="0"/>
                    <w:spacing w:beforeAutospacing="0" w:afterAutospacing="0" w:line="240" w:lineRule="auto"/>
                    <w:ind w:left="0" w:leftChars="0" w:right="0" w:firstLine="0" w:firstLineChars="0"/>
                    <w:jc w:val="center"/>
                    <w:textAlignment w:val="auto"/>
                    <w:outlineLvl w:val="9"/>
                    <w:rPr>
                      <w:rFonts w:hint="default" w:ascii="Times New Roman" w:hAnsi="Times New Roman" w:eastAsia="仿宋_GB2312" w:cs="Times New Roman"/>
                      <w:b w:val="0"/>
                      <w:bCs/>
                      <w:color w:val="auto"/>
                      <w:spacing w:val="0"/>
                      <w:kern w:val="0"/>
                      <w:position w:val="0"/>
                      <w:sz w:val="21"/>
                      <w:szCs w:val="21"/>
                      <w:highlight w:val="none"/>
                      <w:vertAlign w:val="baseline"/>
                      <w:lang w:val="en-US" w:eastAsia="zh-CN"/>
                    </w:rPr>
                  </w:pPr>
                  <w:r>
                    <w:rPr>
                      <w:rFonts w:eastAsia="仿宋_GB2312"/>
                      <w:color w:val="000000"/>
                      <w:sz w:val="21"/>
                      <w:szCs w:val="21"/>
                    </w:rPr>
                    <w:t>IJ250-200-315V-PK</w:t>
                  </w:r>
                </w:p>
              </w:tc>
              <w:tc>
                <w:tcPr>
                  <w:tcW w:w="555" w:type="dxa"/>
                  <w:tcBorders>
                    <w:tl2br w:val="nil"/>
                    <w:tr2bl w:val="nil"/>
                  </w:tcBorders>
                  <w:shd w:val="clear" w:color="auto" w:fill="auto"/>
                  <w:noWrap w:val="0"/>
                  <w:vAlign w:val="center"/>
                </w:tcPr>
                <w:p w14:paraId="1E7B1DFD">
                  <w:pPr>
                    <w:pStyle w:val="101"/>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b/>
                      <w:bCs/>
                      <w:color w:val="auto"/>
                      <w:kern w:val="0"/>
                      <w:sz w:val="21"/>
                      <w:szCs w:val="21"/>
                      <w:lang w:val="en-US" w:eastAsia="zh-CN" w:bidi="ar-SA"/>
                    </w:rPr>
                  </w:pPr>
                  <w:r>
                    <w:rPr>
                      <w:rFonts w:hint="default" w:ascii="Times New Roman" w:hAnsi="Times New Roman" w:eastAsia="宋体" w:cs="Times New Roman"/>
                      <w:color w:val="auto"/>
                      <w:highlight w:val="none"/>
                      <w:lang w:val="en-US" w:eastAsia="zh-CN"/>
                    </w:rPr>
                    <w:t>110</w:t>
                  </w:r>
                </w:p>
              </w:tc>
              <w:tc>
                <w:tcPr>
                  <w:tcW w:w="585" w:type="dxa"/>
                  <w:tcBorders>
                    <w:tl2br w:val="nil"/>
                    <w:tr2bl w:val="nil"/>
                  </w:tcBorders>
                  <w:shd w:val="clear" w:color="auto" w:fill="auto"/>
                  <w:noWrap w:val="0"/>
                  <w:vAlign w:val="center"/>
                </w:tcPr>
                <w:p w14:paraId="57B542F0">
                  <w:pPr>
                    <w:pStyle w:val="101"/>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b/>
                      <w:bCs/>
                      <w:color w:val="auto"/>
                      <w:kern w:val="0"/>
                      <w:sz w:val="21"/>
                      <w:szCs w:val="21"/>
                      <w:lang w:val="en-US" w:eastAsia="zh-CN" w:bidi="ar-SA"/>
                    </w:rPr>
                  </w:pPr>
                  <w:r>
                    <w:rPr>
                      <w:rFonts w:hint="default" w:ascii="Times New Roman" w:hAnsi="Times New Roman" w:eastAsia="宋体" w:cs="Times New Roman"/>
                      <w:color w:val="auto"/>
                      <w:highlight w:val="none"/>
                      <w:lang w:val="en-US" w:eastAsia="zh-CN"/>
                    </w:rPr>
                    <w:t>103</w:t>
                  </w:r>
                </w:p>
              </w:tc>
              <w:tc>
                <w:tcPr>
                  <w:tcW w:w="600" w:type="dxa"/>
                  <w:tcBorders>
                    <w:tl2br w:val="nil"/>
                    <w:tr2bl w:val="nil"/>
                  </w:tcBorders>
                  <w:shd w:val="clear" w:color="auto" w:fill="auto"/>
                  <w:noWrap w:val="0"/>
                  <w:vAlign w:val="center"/>
                </w:tcPr>
                <w:p w14:paraId="363951B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b/>
                      <w:bCs/>
                      <w:kern w:val="0"/>
                      <w:sz w:val="21"/>
                      <w:szCs w:val="21"/>
                      <w:lang w:val="en-US" w:eastAsia="zh-CN" w:bidi="ar-SA"/>
                    </w:rPr>
                  </w:pPr>
                  <w:r>
                    <w:rPr>
                      <w:rFonts w:hint="default" w:ascii="Times New Roman" w:hAnsi="Times New Roman" w:eastAsia="宋体" w:cs="Times New Roman"/>
                      <w:color w:val="auto"/>
                      <w:highlight w:val="none"/>
                      <w:lang w:val="en-US" w:eastAsia="zh-CN"/>
                    </w:rPr>
                    <w:t>1.5</w:t>
                  </w:r>
                </w:p>
              </w:tc>
              <w:tc>
                <w:tcPr>
                  <w:tcW w:w="1365" w:type="dxa"/>
                  <w:tcBorders>
                    <w:tl2br w:val="nil"/>
                    <w:tr2bl w:val="nil"/>
                  </w:tcBorders>
                  <w:noWrap w:val="0"/>
                  <w:vAlign w:val="center"/>
                </w:tcPr>
                <w:p w14:paraId="0FF0397E">
                  <w:pPr>
                    <w:pStyle w:val="46"/>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_GB2312" w:cs="Times New Roman"/>
                      <w:b w:val="0"/>
                      <w:bCs/>
                      <w:color w:val="auto"/>
                      <w:spacing w:val="0"/>
                      <w:kern w:val="0"/>
                      <w:position w:val="0"/>
                      <w:sz w:val="21"/>
                      <w:szCs w:val="21"/>
                      <w:highlight w:val="none"/>
                      <w:lang w:val="en-US" w:eastAsia="zh-CN"/>
                    </w:rPr>
                  </w:pPr>
                  <w:r>
                    <w:rPr>
                      <w:rFonts w:hint="default" w:ascii="Times New Roman" w:hAnsi="Times New Roman" w:eastAsia="仿宋_GB2312" w:cs="Times New Roman"/>
                      <w:b w:val="0"/>
                      <w:bCs/>
                      <w:color w:val="auto"/>
                      <w:spacing w:val="0"/>
                      <w:kern w:val="0"/>
                      <w:position w:val="0"/>
                      <w:sz w:val="21"/>
                      <w:szCs w:val="21"/>
                      <w:highlight w:val="none"/>
                      <w:lang w:val="en-US" w:eastAsia="zh-CN"/>
                    </w:rPr>
                    <w:t>/</w:t>
                  </w:r>
                </w:p>
              </w:tc>
              <w:tc>
                <w:tcPr>
                  <w:tcW w:w="780" w:type="dxa"/>
                  <w:tcBorders>
                    <w:tl2br w:val="nil"/>
                    <w:tr2bl w:val="nil"/>
                  </w:tcBorders>
                  <w:noWrap w:val="0"/>
                  <w:vAlign w:val="center"/>
                </w:tcPr>
                <w:p w14:paraId="7FFBA9A3">
                  <w:pPr>
                    <w:pStyle w:val="46"/>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_GB2312" w:cs="Times New Roman"/>
                      <w:b w:val="0"/>
                      <w:bCs/>
                      <w:color w:val="auto"/>
                      <w:spacing w:val="0"/>
                      <w:kern w:val="0"/>
                      <w:position w:val="0"/>
                      <w:sz w:val="21"/>
                      <w:szCs w:val="21"/>
                      <w:highlight w:val="none"/>
                      <w:lang w:val="en-US" w:eastAsia="zh-CN"/>
                    </w:rPr>
                  </w:pPr>
                  <w:r>
                    <w:rPr>
                      <w:rFonts w:hint="default" w:ascii="Times New Roman" w:hAnsi="Times New Roman" w:eastAsia="仿宋_GB2312" w:cs="Times New Roman"/>
                      <w:b w:val="0"/>
                      <w:bCs/>
                      <w:kern w:val="0"/>
                      <w:sz w:val="21"/>
                      <w:szCs w:val="21"/>
                    </w:rPr>
                    <w:t>85</w:t>
                  </w:r>
                </w:p>
              </w:tc>
              <w:tc>
                <w:tcPr>
                  <w:tcW w:w="1302" w:type="dxa"/>
                  <w:vMerge w:val="continue"/>
                  <w:tcBorders>
                    <w:tl2br w:val="nil"/>
                    <w:tr2bl w:val="nil"/>
                  </w:tcBorders>
                  <w:noWrap w:val="0"/>
                  <w:vAlign w:val="center"/>
                </w:tcPr>
                <w:p w14:paraId="6828F46C">
                  <w:pPr>
                    <w:pStyle w:val="46"/>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_GB2312" w:cs="Times New Roman"/>
                      <w:b w:val="0"/>
                      <w:bCs/>
                      <w:color w:val="auto"/>
                      <w:spacing w:val="0"/>
                      <w:kern w:val="0"/>
                      <w:position w:val="0"/>
                      <w:sz w:val="21"/>
                      <w:szCs w:val="21"/>
                      <w:highlight w:val="none"/>
                      <w:lang w:val="en-US" w:eastAsia="zh-CN"/>
                    </w:rPr>
                  </w:pPr>
                </w:p>
              </w:tc>
              <w:tc>
                <w:tcPr>
                  <w:tcW w:w="681" w:type="dxa"/>
                  <w:vMerge w:val="continue"/>
                  <w:tcBorders>
                    <w:tl2br w:val="nil"/>
                    <w:tr2bl w:val="nil"/>
                  </w:tcBorders>
                  <w:noWrap w:val="0"/>
                  <w:vAlign w:val="center"/>
                </w:tcPr>
                <w:p w14:paraId="2AD23BEC">
                  <w:pPr>
                    <w:pStyle w:val="46"/>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_GB2312" w:cs="Times New Roman"/>
                      <w:b w:val="0"/>
                      <w:bCs/>
                      <w:color w:val="auto"/>
                      <w:spacing w:val="0"/>
                      <w:kern w:val="0"/>
                      <w:position w:val="0"/>
                      <w:sz w:val="21"/>
                      <w:szCs w:val="21"/>
                      <w:highlight w:val="none"/>
                      <w:lang w:val="en-US" w:eastAsia="zh-CN"/>
                    </w:rPr>
                  </w:pPr>
                </w:p>
              </w:tc>
            </w:tr>
            <w:tr w14:paraId="4D54FA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664" w:type="dxa"/>
                  <w:tcBorders>
                    <w:tl2br w:val="nil"/>
                    <w:tr2bl w:val="nil"/>
                  </w:tcBorders>
                  <w:noWrap w:val="0"/>
                  <w:vAlign w:val="center"/>
                </w:tcPr>
                <w:p w14:paraId="4D367D8B">
                  <w:pPr>
                    <w:pStyle w:val="46"/>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_GB2312" w:cs="Times New Roman"/>
                      <w:b w:val="0"/>
                      <w:bCs/>
                      <w:color w:val="auto"/>
                      <w:spacing w:val="0"/>
                      <w:kern w:val="0"/>
                      <w:position w:val="0"/>
                      <w:sz w:val="21"/>
                      <w:szCs w:val="21"/>
                      <w:highlight w:val="none"/>
                      <w:lang w:val="en-US" w:eastAsia="zh-CN"/>
                    </w:rPr>
                  </w:pPr>
                  <w:r>
                    <w:rPr>
                      <w:rFonts w:hint="eastAsia" w:ascii="Times New Roman" w:hAnsi="Times New Roman" w:eastAsia="仿宋_GB2312" w:cs="Times New Roman"/>
                      <w:b w:val="0"/>
                      <w:bCs/>
                      <w:color w:val="auto"/>
                      <w:spacing w:val="0"/>
                      <w:kern w:val="0"/>
                      <w:position w:val="0"/>
                      <w:sz w:val="21"/>
                      <w:szCs w:val="21"/>
                      <w:highlight w:val="none"/>
                      <w:lang w:val="en-US" w:eastAsia="zh-CN"/>
                    </w:rPr>
                    <w:t>3</w:t>
                  </w:r>
                </w:p>
              </w:tc>
              <w:tc>
                <w:tcPr>
                  <w:tcW w:w="1102" w:type="dxa"/>
                  <w:tcBorders>
                    <w:tl2br w:val="nil"/>
                    <w:tr2bl w:val="nil"/>
                  </w:tcBorders>
                  <w:noWrap w:val="0"/>
                  <w:vAlign w:val="center"/>
                </w:tcPr>
                <w:p w14:paraId="1665E343">
                  <w:pPr>
                    <w:keepNext w:val="0"/>
                    <w:keepLines w:val="0"/>
                    <w:pageBreakBefore w:val="0"/>
                    <w:widowControl/>
                    <w:suppressLineNumbers w:val="0"/>
                    <w:kinsoku/>
                    <w:wordWrap/>
                    <w:overflowPunct/>
                    <w:topLinePunct w:val="0"/>
                    <w:bidi w:val="0"/>
                    <w:adjustRightInd w:val="0"/>
                    <w:snapToGrid w:val="0"/>
                    <w:spacing w:beforeAutospacing="0" w:afterAutospacing="0"/>
                    <w:ind w:left="0" w:leftChars="0" w:right="0" w:firstLine="0" w:firstLineChars="0"/>
                    <w:jc w:val="center"/>
                    <w:textAlignment w:val="center"/>
                    <w:outlineLvl w:val="9"/>
                    <w:rPr>
                      <w:rFonts w:hint="default" w:ascii="Times New Roman" w:hAnsi="Times New Roman" w:eastAsia="仿宋_GB2312" w:cs="Times New Roman"/>
                      <w:snapToGrid w:val="0"/>
                      <w:kern w:val="0"/>
                      <w:sz w:val="21"/>
                      <w:szCs w:val="21"/>
                    </w:rPr>
                  </w:pPr>
                  <w:r>
                    <w:rPr>
                      <w:rFonts w:hint="default" w:ascii="Times New Roman" w:hAnsi="Times New Roman" w:eastAsia="仿宋_GB2312" w:cs="Times New Roman"/>
                      <w:snapToGrid w:val="0"/>
                      <w:kern w:val="0"/>
                      <w:sz w:val="21"/>
                      <w:szCs w:val="21"/>
                    </w:rPr>
                    <w:t>泥浆泵</w:t>
                  </w:r>
                </w:p>
              </w:tc>
              <w:tc>
                <w:tcPr>
                  <w:tcW w:w="870" w:type="dxa"/>
                  <w:tcBorders>
                    <w:tl2br w:val="nil"/>
                    <w:tr2bl w:val="nil"/>
                  </w:tcBorders>
                  <w:noWrap w:val="0"/>
                  <w:vAlign w:val="center"/>
                </w:tcPr>
                <w:p w14:paraId="34183E15">
                  <w:pPr>
                    <w:keepNext w:val="0"/>
                    <w:keepLines w:val="0"/>
                    <w:pageBreakBefore w:val="0"/>
                    <w:widowControl w:val="0"/>
                    <w:kinsoku/>
                    <w:wordWrap/>
                    <w:overflowPunct/>
                    <w:topLinePunct w:val="0"/>
                    <w:bidi w:val="0"/>
                    <w:adjustRightInd w:val="0"/>
                    <w:snapToGrid w:val="0"/>
                    <w:spacing w:beforeAutospacing="0" w:afterAutospacing="0" w:line="240" w:lineRule="auto"/>
                    <w:ind w:left="0" w:leftChars="0" w:right="0" w:firstLine="0" w:firstLineChars="0"/>
                    <w:jc w:val="center"/>
                    <w:textAlignment w:val="auto"/>
                    <w:outlineLvl w:val="9"/>
                    <w:rPr>
                      <w:rFonts w:eastAsia="仿宋_GB2312"/>
                      <w:color w:val="000000"/>
                      <w:sz w:val="21"/>
                      <w:szCs w:val="21"/>
                    </w:rPr>
                  </w:pPr>
                  <w:r>
                    <w:rPr>
                      <w:rFonts w:eastAsia="仿宋_GB2312"/>
                      <w:color w:val="000000"/>
                      <w:sz w:val="21"/>
                      <w:szCs w:val="21"/>
                    </w:rPr>
                    <w:t>CZ050-315</w:t>
                  </w:r>
                </w:p>
              </w:tc>
              <w:tc>
                <w:tcPr>
                  <w:tcW w:w="555" w:type="dxa"/>
                  <w:tcBorders>
                    <w:tl2br w:val="nil"/>
                    <w:tr2bl w:val="nil"/>
                  </w:tcBorders>
                  <w:shd w:val="clear" w:color="auto" w:fill="auto"/>
                  <w:noWrap w:val="0"/>
                  <w:vAlign w:val="center"/>
                </w:tcPr>
                <w:p w14:paraId="6B0A802D">
                  <w:pPr>
                    <w:pStyle w:val="101"/>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b/>
                      <w:bCs/>
                      <w:color w:val="auto"/>
                      <w:kern w:val="0"/>
                      <w:sz w:val="21"/>
                      <w:szCs w:val="21"/>
                      <w:lang w:val="en-US" w:eastAsia="zh-CN" w:bidi="ar-SA"/>
                    </w:rPr>
                  </w:pPr>
                  <w:r>
                    <w:rPr>
                      <w:rFonts w:hint="default" w:ascii="Times New Roman" w:hAnsi="Times New Roman" w:eastAsia="宋体" w:cs="Times New Roman"/>
                      <w:color w:val="auto"/>
                      <w:highlight w:val="none"/>
                      <w:lang w:val="en-US" w:eastAsia="zh-CN"/>
                    </w:rPr>
                    <w:t>108</w:t>
                  </w:r>
                </w:p>
              </w:tc>
              <w:tc>
                <w:tcPr>
                  <w:tcW w:w="585" w:type="dxa"/>
                  <w:tcBorders>
                    <w:tl2br w:val="nil"/>
                    <w:tr2bl w:val="nil"/>
                  </w:tcBorders>
                  <w:shd w:val="clear" w:color="auto" w:fill="auto"/>
                  <w:noWrap w:val="0"/>
                  <w:vAlign w:val="center"/>
                </w:tcPr>
                <w:p w14:paraId="6612B515">
                  <w:pPr>
                    <w:pStyle w:val="101"/>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b/>
                      <w:bCs/>
                      <w:color w:val="auto"/>
                      <w:kern w:val="0"/>
                      <w:sz w:val="21"/>
                      <w:szCs w:val="21"/>
                      <w:lang w:val="en-US" w:eastAsia="zh-CN" w:bidi="ar-SA"/>
                    </w:rPr>
                  </w:pPr>
                  <w:r>
                    <w:rPr>
                      <w:rFonts w:hint="default" w:ascii="Times New Roman" w:hAnsi="Times New Roman" w:eastAsia="宋体" w:cs="Times New Roman"/>
                      <w:color w:val="auto"/>
                      <w:highlight w:val="none"/>
                      <w:lang w:val="en-US" w:eastAsia="zh-CN"/>
                    </w:rPr>
                    <w:t>103</w:t>
                  </w:r>
                </w:p>
              </w:tc>
              <w:tc>
                <w:tcPr>
                  <w:tcW w:w="600" w:type="dxa"/>
                  <w:tcBorders>
                    <w:tl2br w:val="nil"/>
                    <w:tr2bl w:val="nil"/>
                  </w:tcBorders>
                  <w:shd w:val="clear" w:color="auto" w:fill="auto"/>
                  <w:noWrap w:val="0"/>
                  <w:vAlign w:val="center"/>
                </w:tcPr>
                <w:p w14:paraId="29D4C8D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b/>
                      <w:bCs/>
                      <w:kern w:val="0"/>
                      <w:sz w:val="21"/>
                      <w:szCs w:val="21"/>
                      <w:lang w:val="en-US" w:eastAsia="zh-CN" w:bidi="ar-SA"/>
                    </w:rPr>
                  </w:pPr>
                  <w:r>
                    <w:rPr>
                      <w:rFonts w:hint="default" w:ascii="Times New Roman" w:hAnsi="Times New Roman" w:eastAsia="宋体" w:cs="Times New Roman"/>
                      <w:color w:val="auto"/>
                      <w:highlight w:val="none"/>
                      <w:lang w:val="en-US" w:eastAsia="zh-CN"/>
                    </w:rPr>
                    <w:t>1.5</w:t>
                  </w:r>
                </w:p>
              </w:tc>
              <w:tc>
                <w:tcPr>
                  <w:tcW w:w="1365" w:type="dxa"/>
                  <w:tcBorders>
                    <w:tl2br w:val="nil"/>
                    <w:tr2bl w:val="nil"/>
                  </w:tcBorders>
                  <w:noWrap w:val="0"/>
                  <w:vAlign w:val="center"/>
                </w:tcPr>
                <w:p w14:paraId="61005673">
                  <w:pPr>
                    <w:pStyle w:val="46"/>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_GB2312" w:cs="Times New Roman"/>
                      <w:b w:val="0"/>
                      <w:bCs/>
                      <w:color w:val="auto"/>
                      <w:spacing w:val="0"/>
                      <w:kern w:val="0"/>
                      <w:position w:val="0"/>
                      <w:sz w:val="21"/>
                      <w:szCs w:val="21"/>
                      <w:highlight w:val="none"/>
                      <w:lang w:val="en-US" w:eastAsia="zh-CN"/>
                    </w:rPr>
                  </w:pPr>
                  <w:r>
                    <w:rPr>
                      <w:rFonts w:hint="default" w:ascii="Times New Roman" w:hAnsi="Times New Roman" w:eastAsia="仿宋_GB2312" w:cs="Times New Roman"/>
                      <w:b w:val="0"/>
                      <w:bCs/>
                      <w:color w:val="auto"/>
                      <w:spacing w:val="0"/>
                      <w:kern w:val="0"/>
                      <w:position w:val="0"/>
                      <w:sz w:val="21"/>
                      <w:szCs w:val="21"/>
                      <w:highlight w:val="none"/>
                      <w:lang w:val="en-US" w:eastAsia="zh-CN"/>
                    </w:rPr>
                    <w:t>/</w:t>
                  </w:r>
                </w:p>
              </w:tc>
              <w:tc>
                <w:tcPr>
                  <w:tcW w:w="780" w:type="dxa"/>
                  <w:tcBorders>
                    <w:tl2br w:val="nil"/>
                    <w:tr2bl w:val="nil"/>
                  </w:tcBorders>
                  <w:noWrap w:val="0"/>
                  <w:vAlign w:val="center"/>
                </w:tcPr>
                <w:p w14:paraId="071F70A7">
                  <w:pPr>
                    <w:pStyle w:val="46"/>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_GB2312" w:cs="Times New Roman"/>
                      <w:b w:val="0"/>
                      <w:bCs/>
                      <w:kern w:val="0"/>
                      <w:sz w:val="21"/>
                      <w:szCs w:val="21"/>
                      <w:lang w:val="en-US" w:eastAsia="zh-CN"/>
                    </w:rPr>
                  </w:pPr>
                  <w:r>
                    <w:rPr>
                      <w:rFonts w:hint="eastAsia" w:ascii="Times New Roman" w:hAnsi="Times New Roman" w:eastAsia="仿宋_GB2312" w:cs="Times New Roman"/>
                      <w:b w:val="0"/>
                      <w:bCs/>
                      <w:kern w:val="0"/>
                      <w:sz w:val="21"/>
                      <w:szCs w:val="21"/>
                      <w:lang w:val="en-US" w:eastAsia="zh-CN"/>
                    </w:rPr>
                    <w:t>85</w:t>
                  </w:r>
                </w:p>
              </w:tc>
              <w:tc>
                <w:tcPr>
                  <w:tcW w:w="1302" w:type="dxa"/>
                  <w:vMerge w:val="continue"/>
                  <w:tcBorders>
                    <w:tl2br w:val="nil"/>
                    <w:tr2bl w:val="nil"/>
                  </w:tcBorders>
                  <w:noWrap w:val="0"/>
                  <w:vAlign w:val="center"/>
                </w:tcPr>
                <w:p w14:paraId="5EFB6F2E">
                  <w:pPr>
                    <w:pStyle w:val="46"/>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_GB2312" w:cs="Times New Roman"/>
                      <w:b w:val="0"/>
                      <w:bCs/>
                      <w:color w:val="auto"/>
                      <w:spacing w:val="0"/>
                      <w:kern w:val="0"/>
                      <w:position w:val="0"/>
                      <w:sz w:val="21"/>
                      <w:szCs w:val="21"/>
                      <w:highlight w:val="none"/>
                      <w:lang w:val="en-US" w:eastAsia="zh-CN"/>
                    </w:rPr>
                  </w:pPr>
                </w:p>
              </w:tc>
              <w:tc>
                <w:tcPr>
                  <w:tcW w:w="681" w:type="dxa"/>
                  <w:vMerge w:val="continue"/>
                  <w:tcBorders>
                    <w:tl2br w:val="nil"/>
                    <w:tr2bl w:val="nil"/>
                  </w:tcBorders>
                  <w:noWrap w:val="0"/>
                  <w:vAlign w:val="center"/>
                </w:tcPr>
                <w:p w14:paraId="3A324793">
                  <w:pPr>
                    <w:pStyle w:val="46"/>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240" w:lineRule="auto"/>
                    <w:ind w:left="0" w:leftChars="0" w:right="0" w:firstLine="0" w:firstLineChars="0"/>
                    <w:jc w:val="center"/>
                    <w:textAlignment w:val="auto"/>
                    <w:outlineLvl w:val="9"/>
                    <w:rPr>
                      <w:rFonts w:hint="eastAsia" w:ascii="Times New Roman" w:hAnsi="Times New Roman" w:eastAsia="仿宋_GB2312" w:cs="Times New Roman"/>
                      <w:b w:val="0"/>
                      <w:bCs/>
                      <w:color w:val="auto"/>
                      <w:spacing w:val="0"/>
                      <w:kern w:val="0"/>
                      <w:position w:val="0"/>
                      <w:sz w:val="21"/>
                      <w:szCs w:val="21"/>
                      <w:highlight w:val="none"/>
                      <w:lang w:val="en-US" w:eastAsia="zh-CN"/>
                    </w:rPr>
                  </w:pPr>
                </w:p>
              </w:tc>
            </w:tr>
            <w:tr w14:paraId="5C8AB9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664" w:type="dxa"/>
                  <w:tcBorders>
                    <w:tl2br w:val="nil"/>
                    <w:tr2bl w:val="nil"/>
                  </w:tcBorders>
                  <w:noWrap w:val="0"/>
                  <w:vAlign w:val="center"/>
                </w:tcPr>
                <w:p w14:paraId="7336B43F">
                  <w:pPr>
                    <w:pStyle w:val="46"/>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_GB2312" w:cs="Times New Roman"/>
                      <w:b w:val="0"/>
                      <w:bCs/>
                      <w:color w:val="auto"/>
                      <w:spacing w:val="0"/>
                      <w:kern w:val="0"/>
                      <w:position w:val="0"/>
                      <w:sz w:val="21"/>
                      <w:szCs w:val="21"/>
                      <w:highlight w:val="none"/>
                      <w:lang w:val="en-US" w:eastAsia="zh-CN"/>
                    </w:rPr>
                  </w:pPr>
                  <w:r>
                    <w:rPr>
                      <w:rFonts w:hint="eastAsia" w:ascii="Times New Roman" w:hAnsi="Times New Roman" w:eastAsia="仿宋_GB2312" w:cs="Times New Roman"/>
                      <w:b w:val="0"/>
                      <w:bCs/>
                      <w:color w:val="auto"/>
                      <w:spacing w:val="0"/>
                      <w:kern w:val="0"/>
                      <w:position w:val="0"/>
                      <w:sz w:val="21"/>
                      <w:szCs w:val="21"/>
                      <w:highlight w:val="none"/>
                      <w:lang w:val="en-US" w:eastAsia="zh-CN"/>
                    </w:rPr>
                    <w:t>4</w:t>
                  </w:r>
                </w:p>
              </w:tc>
              <w:tc>
                <w:tcPr>
                  <w:tcW w:w="1102" w:type="dxa"/>
                  <w:tcBorders>
                    <w:tl2br w:val="nil"/>
                    <w:tr2bl w:val="nil"/>
                  </w:tcBorders>
                  <w:noWrap w:val="0"/>
                  <w:vAlign w:val="center"/>
                </w:tcPr>
                <w:p w14:paraId="154659E4">
                  <w:pPr>
                    <w:keepNext w:val="0"/>
                    <w:keepLines w:val="0"/>
                    <w:pageBreakBefore w:val="0"/>
                    <w:widowControl/>
                    <w:suppressLineNumbers w:val="0"/>
                    <w:kinsoku/>
                    <w:wordWrap/>
                    <w:overflowPunct/>
                    <w:topLinePunct w:val="0"/>
                    <w:bidi w:val="0"/>
                    <w:adjustRightInd w:val="0"/>
                    <w:snapToGrid w:val="0"/>
                    <w:spacing w:beforeAutospacing="0" w:afterAutospacing="0"/>
                    <w:ind w:left="0" w:leftChars="0" w:right="0" w:firstLine="0" w:firstLineChars="0"/>
                    <w:jc w:val="center"/>
                    <w:textAlignment w:val="center"/>
                    <w:outlineLvl w:val="9"/>
                    <w:rPr>
                      <w:rFonts w:hint="default" w:ascii="Times New Roman" w:hAnsi="Times New Roman" w:eastAsia="仿宋_GB2312" w:cs="Times New Roman"/>
                      <w:snapToGrid w:val="0"/>
                      <w:kern w:val="0"/>
                      <w:sz w:val="21"/>
                      <w:szCs w:val="21"/>
                    </w:rPr>
                  </w:pPr>
                  <w:r>
                    <w:rPr>
                      <w:rFonts w:eastAsia="仿宋_GB2312"/>
                      <w:color w:val="000000"/>
                      <w:sz w:val="21"/>
                      <w:szCs w:val="21"/>
                    </w:rPr>
                    <w:t>加料泵</w:t>
                  </w:r>
                </w:p>
              </w:tc>
              <w:tc>
                <w:tcPr>
                  <w:tcW w:w="870" w:type="dxa"/>
                  <w:tcBorders>
                    <w:tl2br w:val="nil"/>
                    <w:tr2bl w:val="nil"/>
                  </w:tcBorders>
                  <w:noWrap w:val="0"/>
                  <w:vAlign w:val="center"/>
                </w:tcPr>
                <w:p w14:paraId="01AE5DC6">
                  <w:pPr>
                    <w:keepNext w:val="0"/>
                    <w:keepLines w:val="0"/>
                    <w:pageBreakBefore w:val="0"/>
                    <w:widowControl w:val="0"/>
                    <w:kinsoku/>
                    <w:wordWrap/>
                    <w:overflowPunct/>
                    <w:topLinePunct w:val="0"/>
                    <w:bidi w:val="0"/>
                    <w:adjustRightInd w:val="0"/>
                    <w:snapToGrid w:val="0"/>
                    <w:spacing w:beforeAutospacing="0" w:afterAutospacing="0" w:line="240" w:lineRule="auto"/>
                    <w:ind w:left="0" w:leftChars="0" w:right="0" w:firstLine="0" w:firstLineChars="0"/>
                    <w:jc w:val="center"/>
                    <w:textAlignment w:val="auto"/>
                    <w:outlineLvl w:val="9"/>
                    <w:rPr>
                      <w:rFonts w:eastAsia="仿宋_GB2312"/>
                      <w:color w:val="000000"/>
                      <w:sz w:val="21"/>
                      <w:szCs w:val="21"/>
                    </w:rPr>
                  </w:pPr>
                  <w:r>
                    <w:rPr>
                      <w:rFonts w:eastAsia="仿宋_GB2312"/>
                      <w:color w:val="000000"/>
                      <w:sz w:val="21"/>
                      <w:szCs w:val="21"/>
                    </w:rPr>
                    <w:t>40FSB-32L</w:t>
                  </w:r>
                </w:p>
              </w:tc>
              <w:tc>
                <w:tcPr>
                  <w:tcW w:w="555" w:type="dxa"/>
                  <w:tcBorders>
                    <w:tl2br w:val="nil"/>
                    <w:tr2bl w:val="nil"/>
                  </w:tcBorders>
                  <w:shd w:val="clear" w:color="auto" w:fill="auto"/>
                  <w:noWrap w:val="0"/>
                  <w:vAlign w:val="center"/>
                </w:tcPr>
                <w:p w14:paraId="49D6B1C9">
                  <w:pPr>
                    <w:pStyle w:val="101"/>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kern w:val="2"/>
                      <w:sz w:val="21"/>
                      <w:szCs w:val="24"/>
                      <w:highlight w:val="none"/>
                      <w:lang w:val="en-US" w:eastAsia="zh-CN" w:bidi="ar-SA"/>
                    </w:rPr>
                    <w:t>105</w:t>
                  </w:r>
                </w:p>
              </w:tc>
              <w:tc>
                <w:tcPr>
                  <w:tcW w:w="585" w:type="dxa"/>
                  <w:tcBorders>
                    <w:tl2br w:val="nil"/>
                    <w:tr2bl w:val="nil"/>
                  </w:tcBorders>
                  <w:shd w:val="clear" w:color="auto" w:fill="auto"/>
                  <w:noWrap w:val="0"/>
                  <w:vAlign w:val="center"/>
                </w:tcPr>
                <w:p w14:paraId="29E55BB0">
                  <w:pPr>
                    <w:pStyle w:val="101"/>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kern w:val="2"/>
                      <w:sz w:val="21"/>
                      <w:szCs w:val="24"/>
                      <w:highlight w:val="none"/>
                      <w:lang w:val="en-US" w:eastAsia="zh-CN" w:bidi="ar-SA"/>
                    </w:rPr>
                    <w:t>103</w:t>
                  </w:r>
                </w:p>
              </w:tc>
              <w:tc>
                <w:tcPr>
                  <w:tcW w:w="600" w:type="dxa"/>
                  <w:tcBorders>
                    <w:tl2br w:val="nil"/>
                    <w:tr2bl w:val="nil"/>
                  </w:tcBorders>
                  <w:shd w:val="clear" w:color="auto" w:fill="auto"/>
                  <w:noWrap w:val="0"/>
                  <w:vAlign w:val="center"/>
                </w:tcPr>
                <w:p w14:paraId="5A3DB6B2">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1.5</w:t>
                  </w:r>
                </w:p>
              </w:tc>
              <w:tc>
                <w:tcPr>
                  <w:tcW w:w="1365" w:type="dxa"/>
                  <w:tcBorders>
                    <w:tl2br w:val="nil"/>
                    <w:tr2bl w:val="nil"/>
                  </w:tcBorders>
                  <w:shd w:val="clear" w:color="auto" w:fill="auto"/>
                  <w:noWrap w:val="0"/>
                  <w:vAlign w:val="center"/>
                </w:tcPr>
                <w:p w14:paraId="0DCFE7A1">
                  <w:pPr>
                    <w:pStyle w:val="46"/>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color w:val="auto"/>
                      <w:spacing w:val="0"/>
                      <w:kern w:val="0"/>
                      <w:position w:val="0"/>
                      <w:sz w:val="21"/>
                      <w:szCs w:val="21"/>
                      <w:highlight w:val="none"/>
                      <w:lang w:val="en-US" w:eastAsia="zh-CN" w:bidi="ar-SA"/>
                    </w:rPr>
                  </w:pPr>
                  <w:r>
                    <w:rPr>
                      <w:rFonts w:hint="default" w:ascii="Times New Roman" w:hAnsi="Times New Roman" w:eastAsia="仿宋_GB2312" w:cs="Times New Roman"/>
                      <w:b w:val="0"/>
                      <w:bCs/>
                      <w:color w:val="auto"/>
                      <w:spacing w:val="0"/>
                      <w:kern w:val="0"/>
                      <w:position w:val="0"/>
                      <w:sz w:val="21"/>
                      <w:szCs w:val="21"/>
                      <w:highlight w:val="none"/>
                      <w:lang w:val="en-US" w:eastAsia="zh-CN"/>
                    </w:rPr>
                    <w:t>/</w:t>
                  </w:r>
                </w:p>
              </w:tc>
              <w:tc>
                <w:tcPr>
                  <w:tcW w:w="780" w:type="dxa"/>
                  <w:tcBorders>
                    <w:tl2br w:val="nil"/>
                    <w:tr2bl w:val="nil"/>
                  </w:tcBorders>
                  <w:shd w:val="clear" w:color="auto" w:fill="auto"/>
                  <w:noWrap w:val="0"/>
                  <w:vAlign w:val="center"/>
                </w:tcPr>
                <w:p w14:paraId="13CD285F">
                  <w:pPr>
                    <w:pStyle w:val="46"/>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仿宋_GB2312" w:cs="Times New Roman"/>
                      <w:b w:val="0"/>
                      <w:bCs/>
                      <w:color w:val="auto"/>
                      <w:spacing w:val="0"/>
                      <w:kern w:val="0"/>
                      <w:position w:val="0"/>
                      <w:sz w:val="21"/>
                      <w:szCs w:val="21"/>
                      <w:highlight w:val="none"/>
                      <w:lang w:val="en-US" w:eastAsia="zh-CN" w:bidi="ar-SA"/>
                    </w:rPr>
                  </w:pPr>
                  <w:r>
                    <w:rPr>
                      <w:rFonts w:hint="default" w:ascii="Times New Roman" w:hAnsi="Times New Roman" w:eastAsia="仿宋_GB2312" w:cs="Times New Roman"/>
                      <w:b w:val="0"/>
                      <w:bCs/>
                      <w:kern w:val="0"/>
                      <w:sz w:val="21"/>
                      <w:szCs w:val="21"/>
                    </w:rPr>
                    <w:t>85</w:t>
                  </w:r>
                </w:p>
              </w:tc>
              <w:tc>
                <w:tcPr>
                  <w:tcW w:w="1302" w:type="dxa"/>
                  <w:vMerge w:val="continue"/>
                  <w:tcBorders>
                    <w:tl2br w:val="nil"/>
                    <w:tr2bl w:val="nil"/>
                  </w:tcBorders>
                  <w:shd w:val="clear" w:color="auto" w:fill="auto"/>
                  <w:noWrap w:val="0"/>
                  <w:vAlign w:val="center"/>
                </w:tcPr>
                <w:p w14:paraId="04809FF7">
                  <w:pPr>
                    <w:pStyle w:val="46"/>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color w:val="auto"/>
                      <w:spacing w:val="0"/>
                      <w:kern w:val="0"/>
                      <w:position w:val="0"/>
                      <w:sz w:val="21"/>
                      <w:szCs w:val="21"/>
                      <w:highlight w:val="none"/>
                      <w:lang w:val="en-US" w:eastAsia="zh-CN" w:bidi="ar-SA"/>
                    </w:rPr>
                  </w:pPr>
                </w:p>
              </w:tc>
              <w:tc>
                <w:tcPr>
                  <w:tcW w:w="681" w:type="dxa"/>
                  <w:vMerge w:val="continue"/>
                  <w:tcBorders>
                    <w:tl2br w:val="nil"/>
                    <w:tr2bl w:val="nil"/>
                  </w:tcBorders>
                  <w:shd w:val="clear" w:color="auto" w:fill="auto"/>
                  <w:noWrap w:val="0"/>
                  <w:vAlign w:val="center"/>
                </w:tcPr>
                <w:p w14:paraId="3C7EC8D6">
                  <w:pPr>
                    <w:pStyle w:val="46"/>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仿宋_GB2312" w:cs="Times New Roman"/>
                      <w:b w:val="0"/>
                      <w:bCs/>
                      <w:color w:val="auto"/>
                      <w:spacing w:val="0"/>
                      <w:kern w:val="0"/>
                      <w:position w:val="0"/>
                      <w:sz w:val="21"/>
                      <w:szCs w:val="21"/>
                      <w:highlight w:val="none"/>
                      <w:lang w:val="en-US" w:eastAsia="zh-CN" w:bidi="ar-SA"/>
                    </w:rPr>
                  </w:pPr>
                </w:p>
              </w:tc>
            </w:tr>
            <w:tr w14:paraId="5F097D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664" w:type="dxa"/>
                  <w:tcBorders>
                    <w:tl2br w:val="nil"/>
                    <w:tr2bl w:val="nil"/>
                  </w:tcBorders>
                  <w:noWrap w:val="0"/>
                  <w:vAlign w:val="center"/>
                </w:tcPr>
                <w:p w14:paraId="665BED8E">
                  <w:pPr>
                    <w:pStyle w:val="46"/>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仿宋_GB2312" w:cs="Times New Roman"/>
                      <w:b w:val="0"/>
                      <w:bCs/>
                      <w:color w:val="auto"/>
                      <w:spacing w:val="0"/>
                      <w:kern w:val="0"/>
                      <w:position w:val="0"/>
                      <w:sz w:val="21"/>
                      <w:szCs w:val="21"/>
                      <w:highlight w:val="none"/>
                      <w:lang w:val="en-US" w:eastAsia="zh-CN"/>
                    </w:rPr>
                  </w:pPr>
                  <w:r>
                    <w:rPr>
                      <w:rFonts w:hint="eastAsia" w:ascii="Times New Roman" w:hAnsi="Times New Roman" w:eastAsia="仿宋_GB2312" w:cs="Times New Roman"/>
                      <w:b w:val="0"/>
                      <w:bCs/>
                      <w:color w:val="auto"/>
                      <w:spacing w:val="0"/>
                      <w:kern w:val="0"/>
                      <w:position w:val="0"/>
                      <w:sz w:val="21"/>
                      <w:szCs w:val="21"/>
                      <w:highlight w:val="none"/>
                      <w:lang w:val="en-US" w:eastAsia="zh-CN"/>
                    </w:rPr>
                    <w:t>5</w:t>
                  </w:r>
                </w:p>
              </w:tc>
              <w:tc>
                <w:tcPr>
                  <w:tcW w:w="1102" w:type="dxa"/>
                  <w:tcBorders>
                    <w:tl2br w:val="nil"/>
                    <w:tr2bl w:val="nil"/>
                  </w:tcBorders>
                  <w:shd w:val="clear" w:color="auto" w:fill="auto"/>
                  <w:noWrap w:val="0"/>
                  <w:vAlign w:val="center"/>
                </w:tcPr>
                <w:p w14:paraId="0DED7B14">
                  <w:pPr>
                    <w:pStyle w:val="69"/>
                    <w:adjustRightInd w:val="0"/>
                    <w:snapToGrid w:val="0"/>
                    <w:jc w:val="center"/>
                    <w:rPr>
                      <w:rFonts w:hint="default" w:ascii="Times New Roman" w:hAnsi="Times New Roman" w:eastAsia="仿宋_GB2312" w:cs="Times New Roman"/>
                      <w:snapToGrid w:val="0"/>
                      <w:kern w:val="0"/>
                      <w:sz w:val="21"/>
                      <w:szCs w:val="21"/>
                      <w:lang w:val="en-US" w:eastAsia="zh-CN" w:bidi="ar-SA"/>
                    </w:rPr>
                  </w:pPr>
                  <w:r>
                    <w:rPr>
                      <w:rFonts w:ascii="Times New Roman" w:hAnsi="Times New Roman" w:eastAsia="仿宋_GB2312" w:cs="Times New Roman"/>
                      <w:color w:val="000000"/>
                      <w:sz w:val="21"/>
                      <w:szCs w:val="21"/>
                    </w:rPr>
                    <w:t>酸洗泵</w:t>
                  </w:r>
                </w:p>
              </w:tc>
              <w:tc>
                <w:tcPr>
                  <w:tcW w:w="870" w:type="dxa"/>
                  <w:tcBorders>
                    <w:tl2br w:val="nil"/>
                    <w:tr2bl w:val="nil"/>
                  </w:tcBorders>
                  <w:shd w:val="clear" w:color="auto" w:fill="auto"/>
                  <w:noWrap w:val="0"/>
                  <w:vAlign w:val="center"/>
                </w:tcPr>
                <w:p w14:paraId="7FAB2FED">
                  <w:pPr>
                    <w:widowControl/>
                    <w:jc w:val="center"/>
                    <w:textAlignment w:val="center"/>
                    <w:rPr>
                      <w:rFonts w:hint="default" w:ascii="Times New Roman" w:hAnsi="Times New Roman" w:eastAsia="仿宋_GB2312" w:cs="Times New Roman"/>
                      <w:color w:val="000000" w:themeColor="text1"/>
                      <w:kern w:val="0"/>
                      <w:sz w:val="21"/>
                      <w:szCs w:val="21"/>
                      <w:lang w:val="en-US" w:eastAsia="zh-CN" w:bidi="ar-SA"/>
                    </w:rPr>
                  </w:pPr>
                  <w:r>
                    <w:rPr>
                      <w:rFonts w:ascii="Times New Roman" w:hAnsi="Times New Roman" w:eastAsia="仿宋_GB2312" w:cs="Times New Roman"/>
                      <w:color w:val="000000"/>
                      <w:sz w:val="21"/>
                      <w:szCs w:val="21"/>
                    </w:rPr>
                    <w:t>IHF100-80-160</w:t>
                  </w:r>
                </w:p>
              </w:tc>
              <w:tc>
                <w:tcPr>
                  <w:tcW w:w="555" w:type="dxa"/>
                  <w:tcBorders>
                    <w:tl2br w:val="nil"/>
                    <w:tr2bl w:val="nil"/>
                  </w:tcBorders>
                  <w:shd w:val="clear" w:color="auto" w:fill="auto"/>
                  <w:noWrap w:val="0"/>
                  <w:vAlign w:val="center"/>
                </w:tcPr>
                <w:p w14:paraId="3A104347">
                  <w:pPr>
                    <w:pStyle w:val="101"/>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b/>
                      <w:bCs/>
                      <w:color w:val="auto"/>
                      <w:kern w:val="0"/>
                      <w:sz w:val="21"/>
                      <w:szCs w:val="21"/>
                      <w:lang w:val="en-US" w:eastAsia="zh-CN" w:bidi="ar-SA"/>
                    </w:rPr>
                  </w:pPr>
                  <w:r>
                    <w:rPr>
                      <w:rFonts w:hint="default" w:ascii="Times New Roman" w:hAnsi="Times New Roman" w:eastAsia="宋体" w:cs="Times New Roman"/>
                      <w:color w:val="auto"/>
                      <w:kern w:val="2"/>
                      <w:sz w:val="21"/>
                      <w:szCs w:val="24"/>
                      <w:highlight w:val="none"/>
                      <w:lang w:val="en-US" w:eastAsia="zh-CN" w:bidi="ar-SA"/>
                    </w:rPr>
                    <w:t>114</w:t>
                  </w:r>
                </w:p>
              </w:tc>
              <w:tc>
                <w:tcPr>
                  <w:tcW w:w="585" w:type="dxa"/>
                  <w:tcBorders>
                    <w:tl2br w:val="nil"/>
                    <w:tr2bl w:val="nil"/>
                  </w:tcBorders>
                  <w:shd w:val="clear" w:color="auto" w:fill="auto"/>
                  <w:noWrap w:val="0"/>
                  <w:vAlign w:val="center"/>
                </w:tcPr>
                <w:p w14:paraId="51E8E190">
                  <w:pPr>
                    <w:pStyle w:val="101"/>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b/>
                      <w:bCs/>
                      <w:color w:val="auto"/>
                      <w:kern w:val="0"/>
                      <w:sz w:val="21"/>
                      <w:szCs w:val="21"/>
                      <w:lang w:val="en-US" w:eastAsia="zh-CN" w:bidi="ar-SA"/>
                    </w:rPr>
                  </w:pPr>
                  <w:r>
                    <w:rPr>
                      <w:rFonts w:hint="default" w:ascii="Times New Roman" w:hAnsi="Times New Roman" w:eastAsia="宋体" w:cs="Times New Roman"/>
                      <w:color w:val="auto"/>
                      <w:kern w:val="2"/>
                      <w:sz w:val="21"/>
                      <w:szCs w:val="24"/>
                      <w:highlight w:val="none"/>
                      <w:lang w:val="en-US" w:eastAsia="zh-CN" w:bidi="ar-SA"/>
                    </w:rPr>
                    <w:t>80</w:t>
                  </w:r>
                </w:p>
              </w:tc>
              <w:tc>
                <w:tcPr>
                  <w:tcW w:w="600" w:type="dxa"/>
                  <w:tcBorders>
                    <w:tl2br w:val="nil"/>
                    <w:tr2bl w:val="nil"/>
                  </w:tcBorders>
                  <w:shd w:val="clear" w:color="auto" w:fill="auto"/>
                  <w:noWrap w:val="0"/>
                  <w:vAlign w:val="center"/>
                </w:tcPr>
                <w:p w14:paraId="2C029658">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仿宋_GB2312" w:cs="Times New Roman"/>
                      <w:b/>
                      <w:bCs/>
                      <w:kern w:val="0"/>
                      <w:sz w:val="21"/>
                      <w:szCs w:val="21"/>
                      <w:lang w:val="en-US" w:eastAsia="zh-CN" w:bidi="ar-SA"/>
                    </w:rPr>
                  </w:pPr>
                  <w:r>
                    <w:rPr>
                      <w:rFonts w:hint="default" w:ascii="Times New Roman" w:hAnsi="Times New Roman" w:eastAsia="宋体" w:cs="Times New Roman"/>
                      <w:color w:val="auto"/>
                      <w:highlight w:val="none"/>
                      <w:lang w:val="en-US" w:eastAsia="zh-CN"/>
                    </w:rPr>
                    <w:t>1.5</w:t>
                  </w:r>
                </w:p>
              </w:tc>
              <w:tc>
                <w:tcPr>
                  <w:tcW w:w="1365" w:type="dxa"/>
                  <w:tcBorders>
                    <w:tl2br w:val="nil"/>
                    <w:tr2bl w:val="nil"/>
                  </w:tcBorders>
                  <w:shd w:val="clear" w:color="auto" w:fill="auto"/>
                  <w:noWrap w:val="0"/>
                  <w:vAlign w:val="center"/>
                </w:tcPr>
                <w:p w14:paraId="1D336A6B">
                  <w:pPr>
                    <w:pStyle w:val="46"/>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color w:val="auto"/>
                      <w:spacing w:val="0"/>
                      <w:kern w:val="0"/>
                      <w:position w:val="0"/>
                      <w:sz w:val="21"/>
                      <w:szCs w:val="21"/>
                      <w:highlight w:val="none"/>
                      <w:lang w:val="en-US" w:eastAsia="zh-CN" w:bidi="ar-SA"/>
                    </w:rPr>
                  </w:pPr>
                  <w:r>
                    <w:rPr>
                      <w:rFonts w:hint="default" w:ascii="Times New Roman" w:hAnsi="Times New Roman" w:eastAsia="仿宋_GB2312" w:cs="Times New Roman"/>
                      <w:b w:val="0"/>
                      <w:bCs/>
                      <w:color w:val="auto"/>
                      <w:spacing w:val="0"/>
                      <w:kern w:val="0"/>
                      <w:position w:val="0"/>
                      <w:sz w:val="21"/>
                      <w:szCs w:val="21"/>
                      <w:highlight w:val="none"/>
                      <w:lang w:val="en-US" w:eastAsia="zh-CN"/>
                    </w:rPr>
                    <w:t>/</w:t>
                  </w:r>
                </w:p>
              </w:tc>
              <w:tc>
                <w:tcPr>
                  <w:tcW w:w="780" w:type="dxa"/>
                  <w:tcBorders>
                    <w:tl2br w:val="nil"/>
                    <w:tr2bl w:val="nil"/>
                  </w:tcBorders>
                  <w:shd w:val="clear" w:color="auto" w:fill="auto"/>
                  <w:noWrap w:val="0"/>
                  <w:vAlign w:val="center"/>
                </w:tcPr>
                <w:p w14:paraId="620FA9FA">
                  <w:pPr>
                    <w:pStyle w:val="46"/>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color w:val="auto"/>
                      <w:spacing w:val="0"/>
                      <w:kern w:val="0"/>
                      <w:position w:val="0"/>
                      <w:sz w:val="21"/>
                      <w:szCs w:val="21"/>
                      <w:highlight w:val="none"/>
                      <w:lang w:val="en-US" w:eastAsia="zh-CN" w:bidi="ar-SA"/>
                    </w:rPr>
                  </w:pPr>
                  <w:r>
                    <w:rPr>
                      <w:rFonts w:hint="default" w:ascii="Times New Roman" w:hAnsi="Times New Roman" w:eastAsia="仿宋_GB2312" w:cs="Times New Roman"/>
                      <w:b w:val="0"/>
                      <w:bCs/>
                      <w:kern w:val="0"/>
                      <w:sz w:val="21"/>
                      <w:szCs w:val="21"/>
                    </w:rPr>
                    <w:t>85</w:t>
                  </w:r>
                </w:p>
              </w:tc>
              <w:tc>
                <w:tcPr>
                  <w:tcW w:w="1302" w:type="dxa"/>
                  <w:vMerge w:val="continue"/>
                  <w:tcBorders>
                    <w:tl2br w:val="nil"/>
                    <w:tr2bl w:val="nil"/>
                  </w:tcBorders>
                  <w:shd w:val="clear" w:color="auto" w:fill="auto"/>
                  <w:noWrap w:val="0"/>
                  <w:vAlign w:val="center"/>
                </w:tcPr>
                <w:p w14:paraId="3A317907">
                  <w:pPr>
                    <w:pStyle w:val="46"/>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color w:val="auto"/>
                      <w:spacing w:val="0"/>
                      <w:kern w:val="0"/>
                      <w:position w:val="0"/>
                      <w:sz w:val="21"/>
                      <w:szCs w:val="21"/>
                      <w:highlight w:val="none"/>
                      <w:lang w:val="en-US" w:eastAsia="zh-CN" w:bidi="ar-SA"/>
                    </w:rPr>
                  </w:pPr>
                </w:p>
              </w:tc>
              <w:tc>
                <w:tcPr>
                  <w:tcW w:w="681" w:type="dxa"/>
                  <w:vMerge w:val="continue"/>
                  <w:tcBorders>
                    <w:tl2br w:val="nil"/>
                    <w:tr2bl w:val="nil"/>
                  </w:tcBorders>
                  <w:shd w:val="clear" w:color="auto" w:fill="auto"/>
                  <w:noWrap w:val="0"/>
                  <w:vAlign w:val="center"/>
                </w:tcPr>
                <w:p w14:paraId="1215BF22">
                  <w:pPr>
                    <w:pStyle w:val="46"/>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仿宋_GB2312" w:cs="Times New Roman"/>
                      <w:b w:val="0"/>
                      <w:bCs/>
                      <w:color w:val="auto"/>
                      <w:spacing w:val="0"/>
                      <w:kern w:val="0"/>
                      <w:position w:val="0"/>
                      <w:sz w:val="21"/>
                      <w:szCs w:val="21"/>
                      <w:highlight w:val="none"/>
                      <w:lang w:val="en-US" w:eastAsia="zh-CN" w:bidi="ar-SA"/>
                    </w:rPr>
                  </w:pPr>
                </w:p>
              </w:tc>
            </w:tr>
          </w:tbl>
          <w:p w14:paraId="0B219BCD">
            <w:pPr>
              <w:keepNext w:val="0"/>
              <w:keepLines w:val="0"/>
              <w:pageBreakBefore w:val="0"/>
              <w:widowControl w:val="0"/>
              <w:kinsoku/>
              <w:wordWrap/>
              <w:overflowPunct/>
              <w:topLinePunct w:val="0"/>
              <w:autoSpaceDE/>
              <w:autoSpaceDN/>
              <w:bidi w:val="0"/>
              <w:adjustRightInd w:val="0"/>
              <w:snapToGrid w:val="0"/>
              <w:spacing w:after="157" w:afterLines="50" w:line="240" w:lineRule="auto"/>
              <w:ind w:firstLine="422" w:firstLineChars="200"/>
              <w:textAlignment w:val="auto"/>
              <w:rPr>
                <w:rFonts w:hint="default" w:ascii="Times New Roman" w:hAnsi="Times New Roman" w:eastAsia="仿宋_GB2312" w:cs="Times New Roman"/>
                <w:b/>
                <w:bCs/>
                <w:kern w:val="0"/>
                <w:lang w:val="en-US" w:eastAsia="zh-CN"/>
              </w:rPr>
            </w:pPr>
            <w:r>
              <w:rPr>
                <w:rFonts w:hint="default" w:ascii="Times New Roman" w:hAnsi="Times New Roman" w:eastAsia="仿宋_GB2312" w:cs="Times New Roman"/>
                <w:b/>
                <w:bCs/>
                <w:kern w:val="0"/>
                <w:lang w:val="en-US" w:eastAsia="zh-CN"/>
              </w:rPr>
              <w:t>注：室外声源以厂</w:t>
            </w:r>
            <w:r>
              <w:rPr>
                <w:rFonts w:hint="eastAsia" w:ascii="Times New Roman" w:hAnsi="Times New Roman" w:eastAsia="仿宋_GB2312" w:cs="Times New Roman"/>
                <w:b/>
                <w:bCs/>
                <w:kern w:val="0"/>
                <w:lang w:val="en-US" w:eastAsia="zh-CN"/>
              </w:rPr>
              <w:t>区西南角</w:t>
            </w:r>
            <w:r>
              <w:rPr>
                <w:rFonts w:hint="default" w:ascii="Times New Roman" w:hAnsi="Times New Roman" w:eastAsia="仿宋_GB2312" w:cs="Times New Roman"/>
                <w:b/>
                <w:bCs/>
                <w:kern w:val="0"/>
                <w:lang w:val="en-US" w:eastAsia="zh-CN"/>
              </w:rPr>
              <w:t>作为原点（0,0,0）。</w:t>
            </w:r>
          </w:p>
          <w:p w14:paraId="45B2B922">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eastAsia="仿宋_GB2312"/>
                <w:b/>
                <w:bCs/>
                <w:kern w:val="0"/>
              </w:rPr>
            </w:pPr>
            <w:r>
              <w:rPr>
                <w:rFonts w:eastAsia="仿宋_GB2312"/>
                <w:b/>
                <w:bCs/>
                <w:kern w:val="0"/>
              </w:rPr>
              <w:t>（2）噪声环境保护措施</w:t>
            </w:r>
          </w:p>
          <w:p w14:paraId="7019158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仿宋_GB2312"/>
                <w:kern w:val="0"/>
              </w:rPr>
            </w:pPr>
            <w:r>
              <w:rPr>
                <w:rFonts w:eastAsia="仿宋_GB2312"/>
                <w:kern w:val="0"/>
              </w:rPr>
              <w:t>本项目主要噪声源为反应罐、过滤器、各类泵等机械设备，各类声源的声功率级约75~85dB(A)。本工程拟采取的主要噪声控制措施如下：</w:t>
            </w:r>
          </w:p>
          <w:p w14:paraId="37E7E9C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ascii="Times New Roman" w:hAnsi="Times New Roman" w:eastAsia="仿宋_GB2312" w:cs="Times New Roman"/>
                <w:kern w:val="0"/>
              </w:rPr>
            </w:pPr>
            <w:r>
              <w:rPr>
                <w:rFonts w:ascii="Times New Roman" w:hAnsi="Times New Roman" w:eastAsia="仿宋_GB2312" w:cs="Times New Roman"/>
                <w:kern w:val="0"/>
              </w:rPr>
              <w:t>1）合理布局，将主要生产装置靠车间中心布置，靠厂界一侧布置成辅助用房或其它功能等</w:t>
            </w:r>
            <w:r>
              <w:rPr>
                <w:rFonts w:hint="eastAsia" w:ascii="Times New Roman" w:hAnsi="Times New Roman" w:eastAsia="仿宋_GB2312" w:cs="Times New Roman"/>
                <w:kern w:val="0"/>
                <w:lang w:eastAsia="zh-CN"/>
              </w:rPr>
              <w:t>，</w:t>
            </w:r>
            <w:r>
              <w:rPr>
                <w:rFonts w:ascii="Times New Roman" w:hAnsi="Times New Roman" w:eastAsia="仿宋_GB2312" w:cs="Times New Roman"/>
                <w:kern w:val="0"/>
              </w:rPr>
              <w:t>将高噪声设备设于远离周围居民</w:t>
            </w:r>
            <w:r>
              <w:rPr>
                <w:rFonts w:hint="eastAsia" w:ascii="Times New Roman" w:hAnsi="Times New Roman" w:eastAsia="仿宋_GB2312" w:cs="Times New Roman"/>
                <w:kern w:val="0"/>
                <w:lang w:val="en-US" w:eastAsia="zh-CN"/>
              </w:rPr>
              <w:t>区或其他敏感目标</w:t>
            </w:r>
            <w:r>
              <w:rPr>
                <w:rFonts w:ascii="Times New Roman" w:hAnsi="Times New Roman" w:eastAsia="仿宋_GB2312" w:cs="Times New Roman"/>
                <w:kern w:val="0"/>
              </w:rPr>
              <w:t>；</w:t>
            </w:r>
          </w:p>
          <w:p w14:paraId="6135F73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仿宋_GB2312"/>
                <w:kern w:val="0"/>
              </w:rPr>
            </w:pPr>
            <w:r>
              <w:rPr>
                <w:rFonts w:ascii="Times New Roman" w:hAnsi="Times New Roman" w:eastAsia="仿宋_GB2312" w:cs="Times New Roman"/>
                <w:kern w:val="0"/>
              </w:rPr>
              <w:t>2）在满足工艺要求的前提下，应尽量选用低噪声设备，从源头控制噪声</w:t>
            </w:r>
            <w:r>
              <w:rPr>
                <w:rFonts w:hint="eastAsia" w:eastAsia="仿宋_GB2312"/>
                <w:kern w:val="0"/>
                <w:lang w:eastAsia="zh-CN"/>
              </w:rPr>
              <w:t>。</w:t>
            </w:r>
            <w:r>
              <w:rPr>
                <w:rFonts w:eastAsia="仿宋_GB2312"/>
                <w:kern w:val="0"/>
              </w:rPr>
              <w:t>本项目拟采购的生产设备大多数是进口设备和国内先进设备，辐射噪声比同类设备低；</w:t>
            </w:r>
          </w:p>
          <w:p w14:paraId="55153A8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仿宋_GB2312"/>
                <w:kern w:val="0"/>
              </w:rPr>
            </w:pPr>
            <w:r>
              <w:rPr>
                <w:rFonts w:eastAsia="仿宋_GB2312"/>
                <w:kern w:val="0"/>
              </w:rPr>
              <w:t>3）对风机等高噪声设备，安装于具有良好隔声效果的车间内，高噪声源设备安装消声器，高振动设备安装橡胶减振垫等；</w:t>
            </w:r>
          </w:p>
          <w:p w14:paraId="59E811B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仿宋_GB2312"/>
                <w:kern w:val="0"/>
              </w:rPr>
            </w:pPr>
            <w:r>
              <w:rPr>
                <w:rFonts w:eastAsia="仿宋_GB2312"/>
                <w:kern w:val="0"/>
              </w:rPr>
              <w:t>4）本项目生产车间厂房屋顶以及墙体安装吸声隔声材料，可吸声20～25dB（A）；</w:t>
            </w:r>
          </w:p>
          <w:p w14:paraId="1B6C3D2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仿宋_GB2312"/>
                <w:kern w:val="0"/>
              </w:rPr>
            </w:pPr>
            <w:r>
              <w:rPr>
                <w:rFonts w:eastAsia="仿宋_GB2312"/>
                <w:kern w:val="0"/>
              </w:rPr>
              <w:t>5）加强对高噪声设备的管理和维护，确保设备运行状态良好，避免设备不正常运转产生的高噪声现象；</w:t>
            </w:r>
          </w:p>
          <w:p w14:paraId="2D7AF07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仿宋_GB2312"/>
                <w:kern w:val="0"/>
              </w:rPr>
            </w:pPr>
            <w:r>
              <w:rPr>
                <w:rFonts w:eastAsia="仿宋_GB2312"/>
                <w:kern w:val="0"/>
              </w:rPr>
              <w:t>6）项目区应安装塑钢双层玻璃窗，发现破碎及时修补、减少噪声透射；</w:t>
            </w:r>
          </w:p>
          <w:p w14:paraId="08CCEEE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仿宋_GB2312"/>
                <w:kern w:val="0"/>
              </w:rPr>
            </w:pPr>
            <w:r>
              <w:rPr>
                <w:rFonts w:eastAsia="仿宋_GB2312"/>
                <w:kern w:val="0"/>
              </w:rPr>
              <w:t>7）配套耳塞、耳罩以及设置单独的操作室，都可有效避免工作人员长期置身高噪声环境中而造成慢性损害。</w:t>
            </w:r>
          </w:p>
          <w:p w14:paraId="1F06901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仿宋_GB2312"/>
                <w:kern w:val="0"/>
              </w:rPr>
            </w:pPr>
            <w:r>
              <w:rPr>
                <w:rFonts w:eastAsia="仿宋_GB2312"/>
                <w:kern w:val="0"/>
              </w:rPr>
              <w:t>采取上述措施后，经预测，项目建成运行后工业厂界噪声可以满足《工业企业厂界环境噪声排放标准》（GB12348-2008）3类</w:t>
            </w:r>
            <w:r>
              <w:rPr>
                <w:rFonts w:hint="eastAsia" w:eastAsia="仿宋_GB2312"/>
                <w:kern w:val="0"/>
              </w:rPr>
              <w:t>、4a类</w:t>
            </w:r>
            <w:r>
              <w:rPr>
                <w:rFonts w:eastAsia="仿宋_GB2312"/>
                <w:kern w:val="0"/>
              </w:rPr>
              <w:t>标准要求。</w:t>
            </w:r>
          </w:p>
          <w:p w14:paraId="6AD461A8">
            <w:pPr>
              <w:adjustRightInd w:val="0"/>
              <w:snapToGrid w:val="0"/>
              <w:spacing w:line="360" w:lineRule="auto"/>
              <w:ind w:firstLine="422" w:firstLineChars="200"/>
              <w:rPr>
                <w:rFonts w:eastAsia="仿宋_GB2312"/>
                <w:b/>
              </w:rPr>
            </w:pPr>
            <w:r>
              <w:rPr>
                <w:rFonts w:eastAsia="仿宋_GB2312"/>
                <w:b/>
              </w:rPr>
              <w:t>（3）厂界和环境保护目标达标情况分析</w:t>
            </w:r>
          </w:p>
          <w:p w14:paraId="48A0DAEB">
            <w:pPr>
              <w:adjustRightInd w:val="0"/>
              <w:snapToGrid w:val="0"/>
              <w:spacing w:line="360" w:lineRule="auto"/>
              <w:ind w:firstLine="461"/>
              <w:rPr>
                <w:rFonts w:hint="default" w:ascii="Times New Roman" w:hAnsi="Times New Roman" w:eastAsia="仿宋_GB2312" w:cs="Times New Roman"/>
                <w:color w:val="auto"/>
                <w:sz w:val="21"/>
                <w:szCs w:val="21"/>
              </w:rPr>
            </w:pPr>
            <w:r>
              <w:rPr>
                <w:rFonts w:eastAsia="仿宋_GB2312"/>
                <w:bCs/>
              </w:rPr>
              <w:t>根据项目的噪声排放特点，结合《环境影响评价技术导则 声环境》（HJ2.4-20</w:t>
            </w:r>
            <w:r>
              <w:rPr>
                <w:rFonts w:hint="eastAsia" w:eastAsia="仿宋_GB2312"/>
                <w:bCs/>
                <w:lang w:val="en-US" w:eastAsia="zh-CN"/>
              </w:rPr>
              <w:t>21</w:t>
            </w:r>
            <w:r>
              <w:rPr>
                <w:rFonts w:eastAsia="仿宋_GB2312"/>
                <w:bCs/>
              </w:rPr>
              <w:t>）的要求，</w:t>
            </w:r>
            <w:r>
              <w:rPr>
                <w:rFonts w:hint="default" w:ascii="Times New Roman" w:hAnsi="Times New Roman" w:eastAsia="仿宋_GB2312" w:cs="Times New Roman"/>
                <w:color w:val="auto"/>
                <w:sz w:val="21"/>
                <w:szCs w:val="21"/>
              </w:rPr>
              <w:t>本次评价采用点源预测模式对建设项目厂界噪声进行预测。计算公式如下：</w:t>
            </w:r>
          </w:p>
          <w:p w14:paraId="3912D228">
            <w:pPr>
              <w:autoSpaceDE w:val="0"/>
              <w:autoSpaceDN w:val="0"/>
              <w:adjustRightInd w:val="0"/>
              <w:snapToGrid w:val="0"/>
              <w:spacing w:line="360" w:lineRule="auto"/>
              <w:ind w:firstLine="420" w:firstLineChars="200"/>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 xml:space="preserve">①单个室外的点声源在预测点产生的声级计算方法 </w:t>
            </w:r>
          </w:p>
          <w:p w14:paraId="5999C6DC">
            <w:pPr>
              <w:autoSpaceDE w:val="0"/>
              <w:autoSpaceDN w:val="0"/>
              <w:adjustRightInd w:val="0"/>
              <w:snapToGrid w:val="0"/>
              <w:spacing w:line="360" w:lineRule="auto"/>
              <w:ind w:firstLine="420" w:firstLineChars="200"/>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如已知声源的倍频带声功率级（从63Hz到8KHz标称频带中心频率的8个倍频带），预测点位置的倍频带声压级</w:t>
            </w:r>
            <w:r>
              <w:rPr>
                <w:rFonts w:hint="default" w:ascii="Times New Roman" w:hAnsi="Times New Roman" w:eastAsia="仿宋_GB2312" w:cs="Times New Roman"/>
                <w:i/>
                <w:color w:val="auto"/>
                <w:sz w:val="21"/>
                <w:szCs w:val="21"/>
              </w:rPr>
              <w:t>L</w:t>
            </w:r>
            <w:r>
              <w:rPr>
                <w:rFonts w:hint="default" w:ascii="Times New Roman" w:hAnsi="Times New Roman" w:eastAsia="仿宋_GB2312" w:cs="Times New Roman"/>
                <w:i/>
                <w:color w:val="auto"/>
                <w:sz w:val="21"/>
                <w:szCs w:val="21"/>
                <w:vertAlign w:val="subscript"/>
              </w:rPr>
              <w:t>p</w:t>
            </w:r>
            <w:r>
              <w:rPr>
                <w:rFonts w:hint="default" w:ascii="Times New Roman" w:hAnsi="Times New Roman" w:eastAsia="仿宋_GB2312" w:cs="Times New Roman"/>
                <w:i/>
                <w:color w:val="auto"/>
                <w:sz w:val="21"/>
                <w:szCs w:val="21"/>
                <w:lang w:eastAsia="zh-CN"/>
              </w:rPr>
              <w:t>（</w:t>
            </w:r>
            <w:r>
              <w:rPr>
                <w:rFonts w:hint="default" w:ascii="Times New Roman" w:hAnsi="Times New Roman" w:eastAsia="仿宋_GB2312" w:cs="Times New Roman"/>
                <w:i/>
                <w:color w:val="auto"/>
                <w:sz w:val="21"/>
                <w:szCs w:val="21"/>
              </w:rPr>
              <w:t>r</w:t>
            </w:r>
            <w:r>
              <w:rPr>
                <w:rFonts w:hint="default" w:ascii="Times New Roman" w:hAnsi="Times New Roman" w:eastAsia="仿宋_GB2312" w:cs="Times New Roman"/>
                <w:i/>
                <w:color w:val="auto"/>
                <w:sz w:val="21"/>
                <w:szCs w:val="21"/>
                <w:lang w:eastAsia="zh-CN"/>
              </w:rPr>
              <w:t>）</w:t>
            </w:r>
            <w:r>
              <w:rPr>
                <w:rFonts w:hint="default" w:ascii="Times New Roman" w:hAnsi="Times New Roman" w:eastAsia="仿宋_GB2312" w:cs="Times New Roman"/>
                <w:color w:val="auto"/>
                <w:sz w:val="21"/>
                <w:szCs w:val="21"/>
              </w:rPr>
              <w:t xml:space="preserve">可按下式计算： </w:t>
            </w:r>
          </w:p>
          <w:p w14:paraId="7AD13B4A">
            <w:pPr>
              <w:autoSpaceDE w:val="0"/>
              <w:autoSpaceDN w:val="0"/>
              <w:adjustRightInd w:val="0"/>
              <w:snapToGrid w:val="0"/>
              <w:spacing w:line="360" w:lineRule="auto"/>
              <w:ind w:firstLine="420" w:firstLineChars="200"/>
              <w:jc w:val="center"/>
              <w:rPr>
                <w:rFonts w:hint="default" w:ascii="Times New Roman" w:hAnsi="Times New Roman" w:eastAsia="仿宋_GB2312" w:cs="Times New Roman"/>
                <w:color w:val="auto"/>
                <w:sz w:val="21"/>
                <w:szCs w:val="21"/>
                <w:lang w:val="es-ES"/>
              </w:rPr>
            </w:pPr>
            <w:r>
              <w:rPr>
                <w:rFonts w:hint="default" w:ascii="Times New Roman" w:hAnsi="Times New Roman" w:eastAsia="仿宋_GB2312" w:cs="Times New Roman"/>
                <w:color w:val="auto"/>
                <w:sz w:val="21"/>
                <w:szCs w:val="21"/>
                <w:lang w:val="es-ES"/>
              </w:rPr>
              <w:t>L</w:t>
            </w:r>
            <w:r>
              <w:rPr>
                <w:rFonts w:hint="default" w:ascii="Times New Roman" w:hAnsi="Times New Roman" w:eastAsia="仿宋_GB2312" w:cs="Times New Roman"/>
                <w:color w:val="auto"/>
                <w:sz w:val="21"/>
                <w:szCs w:val="21"/>
                <w:vertAlign w:val="subscript"/>
                <w:lang w:val="es-ES"/>
              </w:rPr>
              <w:t>p</w:t>
            </w:r>
            <w:r>
              <w:rPr>
                <w:rFonts w:hint="default" w:ascii="Times New Roman" w:hAnsi="Times New Roman" w:eastAsia="仿宋_GB2312" w:cs="Times New Roman"/>
                <w:color w:val="auto"/>
                <w:sz w:val="21"/>
                <w:szCs w:val="21"/>
                <w:lang w:val="es-ES" w:eastAsia="zh-CN"/>
              </w:rPr>
              <w:t>（</w:t>
            </w:r>
            <w:r>
              <w:rPr>
                <w:rFonts w:hint="default" w:ascii="Times New Roman" w:hAnsi="Times New Roman" w:eastAsia="仿宋_GB2312" w:cs="Times New Roman"/>
                <w:color w:val="auto"/>
                <w:sz w:val="21"/>
                <w:szCs w:val="21"/>
                <w:lang w:val="es-ES"/>
              </w:rPr>
              <w:t>r</w:t>
            </w:r>
            <w:r>
              <w:rPr>
                <w:rFonts w:hint="default" w:ascii="Times New Roman" w:hAnsi="Times New Roman" w:eastAsia="仿宋_GB2312" w:cs="Times New Roman"/>
                <w:color w:val="auto"/>
                <w:sz w:val="21"/>
                <w:szCs w:val="21"/>
                <w:lang w:val="es-ES" w:eastAsia="zh-CN"/>
              </w:rPr>
              <w:t>）</w:t>
            </w:r>
            <w:r>
              <w:rPr>
                <w:rFonts w:hint="default" w:ascii="Times New Roman" w:hAnsi="Times New Roman" w:eastAsia="仿宋_GB2312" w:cs="Times New Roman"/>
                <w:color w:val="auto"/>
                <w:sz w:val="21"/>
                <w:szCs w:val="21"/>
                <w:lang w:val="es-ES"/>
              </w:rPr>
              <w:t>=L</w:t>
            </w:r>
            <w:r>
              <w:rPr>
                <w:rFonts w:hint="default" w:ascii="Times New Roman" w:hAnsi="Times New Roman" w:eastAsia="仿宋_GB2312" w:cs="Times New Roman"/>
                <w:color w:val="auto"/>
                <w:sz w:val="21"/>
                <w:szCs w:val="21"/>
                <w:vertAlign w:val="subscript"/>
                <w:lang w:val="es-ES"/>
              </w:rPr>
              <w:t>W</w:t>
            </w:r>
            <w:r>
              <w:rPr>
                <w:rFonts w:hint="default" w:ascii="Times New Roman" w:hAnsi="Times New Roman" w:eastAsia="仿宋_GB2312" w:cs="Times New Roman"/>
                <w:color w:val="auto"/>
                <w:sz w:val="21"/>
                <w:szCs w:val="21"/>
                <w:lang w:val="es-ES"/>
              </w:rPr>
              <w:t>+D</w:t>
            </w:r>
            <w:r>
              <w:rPr>
                <w:rFonts w:hint="default" w:ascii="Times New Roman" w:hAnsi="Times New Roman" w:eastAsia="仿宋_GB2312" w:cs="Times New Roman"/>
                <w:color w:val="auto"/>
                <w:sz w:val="21"/>
                <w:szCs w:val="21"/>
                <w:vertAlign w:val="subscript"/>
                <w:lang w:val="es-ES"/>
              </w:rPr>
              <w:t>c</w:t>
            </w:r>
            <w:r>
              <w:rPr>
                <w:rFonts w:hint="default" w:ascii="Times New Roman" w:hAnsi="Times New Roman" w:eastAsia="仿宋_GB2312" w:cs="Times New Roman"/>
                <w:color w:val="auto"/>
                <w:sz w:val="21"/>
                <w:szCs w:val="21"/>
                <w:lang w:val="es-ES"/>
              </w:rPr>
              <w:t>-A</w:t>
            </w:r>
          </w:p>
          <w:p w14:paraId="7B35A2A3">
            <w:pPr>
              <w:autoSpaceDE w:val="0"/>
              <w:autoSpaceDN w:val="0"/>
              <w:adjustRightInd w:val="0"/>
              <w:snapToGrid w:val="0"/>
              <w:spacing w:line="360" w:lineRule="auto"/>
              <w:ind w:firstLine="420" w:firstLineChars="200"/>
              <w:jc w:val="center"/>
              <w:rPr>
                <w:rFonts w:hint="default" w:ascii="Times New Roman" w:hAnsi="Times New Roman" w:eastAsia="仿宋_GB2312" w:cs="Times New Roman"/>
                <w:color w:val="auto"/>
                <w:sz w:val="21"/>
                <w:szCs w:val="21"/>
                <w:lang w:val="es-ES"/>
              </w:rPr>
            </w:pPr>
            <w:r>
              <w:rPr>
                <w:rFonts w:hint="default" w:ascii="Times New Roman" w:hAnsi="Times New Roman" w:eastAsia="仿宋_GB2312" w:cs="Times New Roman"/>
                <w:color w:val="auto"/>
                <w:sz w:val="21"/>
                <w:szCs w:val="21"/>
                <w:lang w:val="es-ES"/>
              </w:rPr>
              <w:t>A=A</w:t>
            </w:r>
            <w:r>
              <w:rPr>
                <w:rFonts w:hint="default" w:ascii="Times New Roman" w:hAnsi="Times New Roman" w:eastAsia="仿宋_GB2312" w:cs="Times New Roman"/>
                <w:color w:val="auto"/>
                <w:sz w:val="21"/>
                <w:szCs w:val="21"/>
                <w:vertAlign w:val="subscript"/>
                <w:lang w:val="es-ES"/>
              </w:rPr>
              <w:t>div</w:t>
            </w:r>
            <w:r>
              <w:rPr>
                <w:rFonts w:hint="default" w:ascii="Times New Roman" w:hAnsi="Times New Roman" w:eastAsia="仿宋_GB2312" w:cs="Times New Roman"/>
                <w:color w:val="auto"/>
                <w:sz w:val="21"/>
                <w:szCs w:val="21"/>
                <w:lang w:val="es-ES"/>
              </w:rPr>
              <w:t>+A</w:t>
            </w:r>
            <w:r>
              <w:rPr>
                <w:rFonts w:hint="default" w:ascii="Times New Roman" w:hAnsi="Times New Roman" w:eastAsia="仿宋_GB2312" w:cs="Times New Roman"/>
                <w:color w:val="auto"/>
                <w:sz w:val="21"/>
                <w:szCs w:val="21"/>
                <w:vertAlign w:val="subscript"/>
                <w:lang w:val="es-ES"/>
              </w:rPr>
              <w:t>atm</w:t>
            </w:r>
            <w:r>
              <w:rPr>
                <w:rFonts w:hint="default" w:ascii="Times New Roman" w:hAnsi="Times New Roman" w:eastAsia="仿宋_GB2312" w:cs="Times New Roman"/>
                <w:color w:val="auto"/>
                <w:sz w:val="21"/>
                <w:szCs w:val="21"/>
                <w:lang w:val="es-ES"/>
              </w:rPr>
              <w:t>+A</w:t>
            </w:r>
            <w:r>
              <w:rPr>
                <w:rFonts w:hint="default" w:ascii="Times New Roman" w:hAnsi="Times New Roman" w:eastAsia="仿宋_GB2312" w:cs="Times New Roman"/>
                <w:color w:val="auto"/>
                <w:sz w:val="21"/>
                <w:szCs w:val="21"/>
                <w:vertAlign w:val="subscript"/>
                <w:lang w:val="es-ES"/>
              </w:rPr>
              <w:t>gr</w:t>
            </w:r>
            <w:r>
              <w:rPr>
                <w:rFonts w:hint="default" w:ascii="Times New Roman" w:hAnsi="Times New Roman" w:eastAsia="仿宋_GB2312" w:cs="Times New Roman"/>
                <w:color w:val="auto"/>
                <w:sz w:val="21"/>
                <w:szCs w:val="21"/>
                <w:lang w:val="es-ES"/>
              </w:rPr>
              <w:t>+A</w:t>
            </w:r>
            <w:r>
              <w:rPr>
                <w:rFonts w:hint="default" w:ascii="Times New Roman" w:hAnsi="Times New Roman" w:eastAsia="仿宋_GB2312" w:cs="Times New Roman"/>
                <w:color w:val="auto"/>
                <w:sz w:val="21"/>
                <w:szCs w:val="21"/>
                <w:vertAlign w:val="subscript"/>
                <w:lang w:val="es-ES"/>
              </w:rPr>
              <w:t>bar</w:t>
            </w:r>
            <w:r>
              <w:rPr>
                <w:rFonts w:hint="default" w:ascii="Times New Roman" w:hAnsi="Times New Roman" w:eastAsia="仿宋_GB2312" w:cs="Times New Roman"/>
                <w:color w:val="auto"/>
                <w:sz w:val="21"/>
                <w:szCs w:val="21"/>
                <w:lang w:val="es-ES"/>
              </w:rPr>
              <w:t>+A</w:t>
            </w:r>
            <w:r>
              <w:rPr>
                <w:rFonts w:hint="default" w:ascii="Times New Roman" w:hAnsi="Times New Roman" w:eastAsia="仿宋_GB2312" w:cs="Times New Roman"/>
                <w:color w:val="auto"/>
                <w:sz w:val="21"/>
                <w:szCs w:val="21"/>
                <w:vertAlign w:val="subscript"/>
                <w:lang w:val="es-ES"/>
              </w:rPr>
              <w:t>misc</w:t>
            </w:r>
          </w:p>
          <w:p w14:paraId="0F5A10DA">
            <w:pPr>
              <w:autoSpaceDE w:val="0"/>
              <w:autoSpaceDN w:val="0"/>
              <w:adjustRightInd w:val="0"/>
              <w:snapToGrid w:val="0"/>
              <w:spacing w:line="360" w:lineRule="auto"/>
              <w:ind w:firstLine="420" w:firstLineChars="200"/>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式中：</w:t>
            </w:r>
            <w:r>
              <w:rPr>
                <w:rFonts w:hint="default" w:ascii="Times New Roman" w:hAnsi="Times New Roman" w:eastAsia="仿宋_GB2312" w:cs="Times New Roman"/>
                <w:iCs/>
                <w:color w:val="auto"/>
                <w:sz w:val="21"/>
                <w:szCs w:val="21"/>
              </w:rPr>
              <w:t>L</w:t>
            </w:r>
            <w:r>
              <w:rPr>
                <w:rFonts w:hint="default" w:ascii="Times New Roman" w:hAnsi="Times New Roman" w:eastAsia="仿宋_GB2312" w:cs="Times New Roman"/>
                <w:iCs/>
                <w:color w:val="auto"/>
                <w:sz w:val="21"/>
                <w:szCs w:val="21"/>
                <w:vertAlign w:val="subscript"/>
              </w:rPr>
              <w:t>w</w:t>
            </w:r>
            <w:r>
              <w:rPr>
                <w:rFonts w:hint="default" w:ascii="Times New Roman" w:hAnsi="Times New Roman" w:eastAsia="仿宋_GB2312" w:cs="Times New Roman"/>
                <w:color w:val="auto"/>
                <w:sz w:val="21"/>
                <w:szCs w:val="21"/>
              </w:rPr>
              <w:t>—倍频带声功率级，dB；</w:t>
            </w:r>
          </w:p>
          <w:p w14:paraId="7B3F4BBE">
            <w:pPr>
              <w:autoSpaceDE w:val="0"/>
              <w:autoSpaceDN w:val="0"/>
              <w:adjustRightInd w:val="0"/>
              <w:snapToGrid w:val="0"/>
              <w:spacing w:line="360" w:lineRule="auto"/>
              <w:ind w:firstLine="420" w:firstLineChars="200"/>
              <w:rPr>
                <w:rFonts w:hint="default" w:ascii="Times New Roman" w:hAnsi="Times New Roman" w:eastAsia="仿宋_GB2312" w:cs="Times New Roman"/>
                <w:color w:val="auto"/>
                <w:sz w:val="21"/>
                <w:szCs w:val="21"/>
              </w:rPr>
            </w:pPr>
            <w:r>
              <w:rPr>
                <w:rFonts w:hint="default" w:ascii="Times New Roman" w:hAnsi="Times New Roman" w:eastAsia="仿宋_GB2312" w:cs="Times New Roman"/>
                <w:iCs/>
                <w:color w:val="auto"/>
                <w:sz w:val="21"/>
                <w:szCs w:val="21"/>
              </w:rPr>
              <w:t>D</w:t>
            </w:r>
            <w:r>
              <w:rPr>
                <w:rFonts w:hint="default" w:ascii="Times New Roman" w:hAnsi="Times New Roman" w:eastAsia="仿宋_GB2312" w:cs="Times New Roman"/>
                <w:iCs/>
                <w:color w:val="auto"/>
                <w:sz w:val="21"/>
                <w:szCs w:val="21"/>
                <w:vertAlign w:val="subscript"/>
              </w:rPr>
              <w:t>c</w:t>
            </w:r>
            <w:r>
              <w:rPr>
                <w:rFonts w:hint="default" w:ascii="Times New Roman" w:hAnsi="Times New Roman" w:eastAsia="仿宋_GB2312" w:cs="Times New Roman"/>
                <w:color w:val="auto"/>
                <w:sz w:val="21"/>
                <w:szCs w:val="21"/>
              </w:rPr>
              <w:t>—指向性校正，dB；它描述点声源的等效连续声压级与产生声功率级Lw的全向点声源在规定方向的级的偏差程度。指向性校正等于点声源的指向性指数DI加上计到小于4π球面度（sr）立体角内的声传播指数DΩ。对辐射到自由空间的全向点声源，Dc=0dB。</w:t>
            </w:r>
          </w:p>
          <w:p w14:paraId="7D726EC7">
            <w:pPr>
              <w:autoSpaceDE w:val="0"/>
              <w:autoSpaceDN w:val="0"/>
              <w:adjustRightInd w:val="0"/>
              <w:snapToGrid w:val="0"/>
              <w:spacing w:line="360" w:lineRule="auto"/>
              <w:ind w:firstLine="420" w:firstLineChars="200"/>
              <w:rPr>
                <w:rFonts w:hint="default" w:ascii="Times New Roman" w:hAnsi="Times New Roman" w:eastAsia="仿宋_GB2312" w:cs="Times New Roman"/>
                <w:color w:val="auto"/>
                <w:sz w:val="21"/>
                <w:szCs w:val="21"/>
              </w:rPr>
            </w:pPr>
            <w:r>
              <w:rPr>
                <w:rFonts w:hint="default" w:ascii="Times New Roman" w:hAnsi="Times New Roman" w:eastAsia="仿宋_GB2312" w:cs="Times New Roman"/>
                <w:iCs/>
                <w:color w:val="auto"/>
                <w:sz w:val="21"/>
                <w:szCs w:val="21"/>
              </w:rPr>
              <w:t xml:space="preserve">A </w:t>
            </w:r>
            <w:r>
              <w:rPr>
                <w:rFonts w:hint="default" w:ascii="Times New Roman" w:hAnsi="Times New Roman" w:eastAsia="仿宋_GB2312" w:cs="Times New Roman"/>
                <w:color w:val="auto"/>
                <w:sz w:val="21"/>
                <w:szCs w:val="21"/>
              </w:rPr>
              <w:t xml:space="preserve">—倍频带衰减，dB； </w:t>
            </w:r>
          </w:p>
          <w:p w14:paraId="7C51B38B">
            <w:pPr>
              <w:autoSpaceDE w:val="0"/>
              <w:autoSpaceDN w:val="0"/>
              <w:adjustRightInd w:val="0"/>
              <w:snapToGrid w:val="0"/>
              <w:spacing w:line="360" w:lineRule="auto"/>
              <w:ind w:firstLine="420" w:firstLineChars="200"/>
              <w:rPr>
                <w:rFonts w:hint="default" w:ascii="Times New Roman" w:hAnsi="Times New Roman" w:eastAsia="仿宋_GB2312" w:cs="Times New Roman"/>
                <w:color w:val="auto"/>
                <w:sz w:val="21"/>
                <w:szCs w:val="21"/>
              </w:rPr>
            </w:pPr>
            <w:r>
              <w:rPr>
                <w:rFonts w:hint="default" w:ascii="Times New Roman" w:hAnsi="Times New Roman" w:eastAsia="仿宋_GB2312" w:cs="Times New Roman"/>
                <w:iCs/>
                <w:color w:val="auto"/>
                <w:sz w:val="21"/>
                <w:szCs w:val="21"/>
              </w:rPr>
              <w:t>A</w:t>
            </w:r>
            <w:r>
              <w:rPr>
                <w:rFonts w:hint="default" w:ascii="Times New Roman" w:hAnsi="Times New Roman" w:eastAsia="仿宋_GB2312" w:cs="Times New Roman"/>
                <w:iCs/>
                <w:color w:val="auto"/>
                <w:sz w:val="21"/>
                <w:szCs w:val="21"/>
                <w:vertAlign w:val="subscript"/>
              </w:rPr>
              <w:t>div</w:t>
            </w:r>
            <w:r>
              <w:rPr>
                <w:rFonts w:hint="default" w:ascii="Times New Roman" w:hAnsi="Times New Roman" w:eastAsia="仿宋_GB2312" w:cs="Times New Roman"/>
                <w:color w:val="auto"/>
                <w:sz w:val="21"/>
                <w:szCs w:val="21"/>
              </w:rPr>
              <w:t xml:space="preserve">—几何发散引起的倍频带衰减，dB； </w:t>
            </w:r>
          </w:p>
          <w:p w14:paraId="5E3DB7DE">
            <w:pPr>
              <w:autoSpaceDE w:val="0"/>
              <w:autoSpaceDN w:val="0"/>
              <w:adjustRightInd w:val="0"/>
              <w:snapToGrid w:val="0"/>
              <w:spacing w:line="360" w:lineRule="auto"/>
              <w:ind w:firstLine="420" w:firstLineChars="200"/>
              <w:rPr>
                <w:rFonts w:hint="default" w:ascii="Times New Roman" w:hAnsi="Times New Roman" w:eastAsia="仿宋_GB2312" w:cs="Times New Roman"/>
                <w:color w:val="auto"/>
                <w:sz w:val="21"/>
                <w:szCs w:val="21"/>
              </w:rPr>
            </w:pPr>
            <w:r>
              <w:rPr>
                <w:rFonts w:hint="default" w:ascii="Times New Roman" w:hAnsi="Times New Roman" w:eastAsia="仿宋_GB2312" w:cs="Times New Roman"/>
                <w:iCs/>
                <w:color w:val="auto"/>
                <w:sz w:val="21"/>
                <w:szCs w:val="21"/>
              </w:rPr>
              <w:t>A</w:t>
            </w:r>
            <w:r>
              <w:rPr>
                <w:rFonts w:hint="default" w:ascii="Times New Roman" w:hAnsi="Times New Roman" w:eastAsia="仿宋_GB2312" w:cs="Times New Roman"/>
                <w:iCs/>
                <w:color w:val="auto"/>
                <w:sz w:val="21"/>
                <w:szCs w:val="21"/>
                <w:vertAlign w:val="subscript"/>
              </w:rPr>
              <w:t>atm</w:t>
            </w:r>
            <w:r>
              <w:rPr>
                <w:rFonts w:hint="default" w:ascii="Times New Roman" w:hAnsi="Times New Roman" w:eastAsia="仿宋_GB2312" w:cs="Times New Roman"/>
                <w:color w:val="auto"/>
                <w:sz w:val="21"/>
                <w:szCs w:val="21"/>
              </w:rPr>
              <w:t xml:space="preserve">—大气吸收引起的倍频带衰减，dB； </w:t>
            </w:r>
          </w:p>
          <w:p w14:paraId="25B28B25">
            <w:pPr>
              <w:autoSpaceDE w:val="0"/>
              <w:autoSpaceDN w:val="0"/>
              <w:adjustRightInd w:val="0"/>
              <w:snapToGrid w:val="0"/>
              <w:spacing w:line="360" w:lineRule="auto"/>
              <w:ind w:firstLine="420" w:firstLineChars="200"/>
              <w:rPr>
                <w:rFonts w:hint="default" w:ascii="Times New Roman" w:hAnsi="Times New Roman" w:eastAsia="仿宋_GB2312" w:cs="Times New Roman"/>
                <w:color w:val="auto"/>
                <w:sz w:val="21"/>
                <w:szCs w:val="21"/>
              </w:rPr>
            </w:pPr>
            <w:r>
              <w:rPr>
                <w:rFonts w:hint="default" w:ascii="Times New Roman" w:hAnsi="Times New Roman" w:eastAsia="仿宋_GB2312" w:cs="Times New Roman"/>
                <w:iCs/>
                <w:color w:val="auto"/>
                <w:sz w:val="21"/>
                <w:szCs w:val="21"/>
              </w:rPr>
              <w:t>A</w:t>
            </w:r>
            <w:r>
              <w:rPr>
                <w:rFonts w:hint="default" w:ascii="Times New Roman" w:hAnsi="Times New Roman" w:eastAsia="仿宋_GB2312" w:cs="Times New Roman"/>
                <w:iCs/>
                <w:color w:val="auto"/>
                <w:sz w:val="21"/>
                <w:szCs w:val="21"/>
                <w:vertAlign w:val="subscript"/>
              </w:rPr>
              <w:t>gr</w:t>
            </w:r>
            <w:r>
              <w:rPr>
                <w:rFonts w:hint="default" w:ascii="Times New Roman" w:hAnsi="Times New Roman" w:eastAsia="仿宋_GB2312" w:cs="Times New Roman"/>
                <w:color w:val="auto"/>
                <w:sz w:val="21"/>
                <w:szCs w:val="21"/>
              </w:rPr>
              <w:t xml:space="preserve">—地面效应引起的倍频带衰减，dB； </w:t>
            </w:r>
          </w:p>
          <w:p w14:paraId="4CE7FA52">
            <w:pPr>
              <w:autoSpaceDE w:val="0"/>
              <w:autoSpaceDN w:val="0"/>
              <w:adjustRightInd w:val="0"/>
              <w:snapToGrid w:val="0"/>
              <w:spacing w:line="360" w:lineRule="auto"/>
              <w:ind w:firstLine="420" w:firstLineChars="200"/>
              <w:rPr>
                <w:rFonts w:hint="default" w:ascii="Times New Roman" w:hAnsi="Times New Roman" w:eastAsia="仿宋_GB2312" w:cs="Times New Roman"/>
                <w:color w:val="auto"/>
                <w:sz w:val="21"/>
                <w:szCs w:val="21"/>
              </w:rPr>
            </w:pPr>
            <w:r>
              <w:rPr>
                <w:rFonts w:hint="default" w:ascii="Times New Roman" w:hAnsi="Times New Roman" w:eastAsia="仿宋_GB2312" w:cs="Times New Roman"/>
                <w:iCs/>
                <w:color w:val="auto"/>
                <w:sz w:val="21"/>
                <w:szCs w:val="21"/>
              </w:rPr>
              <w:t>A</w:t>
            </w:r>
            <w:r>
              <w:rPr>
                <w:rFonts w:hint="default" w:ascii="Times New Roman" w:hAnsi="Times New Roman" w:eastAsia="仿宋_GB2312" w:cs="Times New Roman"/>
                <w:iCs/>
                <w:color w:val="auto"/>
                <w:sz w:val="21"/>
                <w:szCs w:val="21"/>
                <w:vertAlign w:val="subscript"/>
              </w:rPr>
              <w:t>bar</w:t>
            </w:r>
            <w:r>
              <w:rPr>
                <w:rFonts w:hint="default" w:ascii="Times New Roman" w:hAnsi="Times New Roman" w:eastAsia="仿宋_GB2312" w:cs="Times New Roman"/>
                <w:color w:val="auto"/>
                <w:sz w:val="21"/>
                <w:szCs w:val="21"/>
              </w:rPr>
              <w:t xml:space="preserve">—声屏障引起的倍频带衰减，dB； </w:t>
            </w:r>
          </w:p>
          <w:p w14:paraId="67A7E94C">
            <w:pPr>
              <w:autoSpaceDE w:val="0"/>
              <w:autoSpaceDN w:val="0"/>
              <w:adjustRightInd w:val="0"/>
              <w:snapToGrid w:val="0"/>
              <w:spacing w:line="360" w:lineRule="auto"/>
              <w:ind w:firstLine="420" w:firstLineChars="200"/>
              <w:rPr>
                <w:rFonts w:hint="default" w:ascii="Times New Roman" w:hAnsi="Times New Roman" w:eastAsia="仿宋_GB2312" w:cs="Times New Roman"/>
                <w:color w:val="auto"/>
                <w:sz w:val="21"/>
                <w:szCs w:val="21"/>
              </w:rPr>
            </w:pPr>
            <w:r>
              <w:rPr>
                <w:rFonts w:hint="default" w:ascii="Times New Roman" w:hAnsi="Times New Roman" w:eastAsia="仿宋_GB2312" w:cs="Times New Roman"/>
                <w:iCs/>
                <w:color w:val="auto"/>
                <w:sz w:val="21"/>
                <w:szCs w:val="21"/>
              </w:rPr>
              <w:t>A</w:t>
            </w:r>
            <w:r>
              <w:rPr>
                <w:rFonts w:hint="default" w:ascii="Times New Roman" w:hAnsi="Times New Roman" w:eastAsia="仿宋_GB2312" w:cs="Times New Roman"/>
                <w:iCs/>
                <w:color w:val="auto"/>
                <w:sz w:val="21"/>
                <w:szCs w:val="21"/>
                <w:vertAlign w:val="subscript"/>
              </w:rPr>
              <w:t>misc</w:t>
            </w:r>
            <w:r>
              <w:rPr>
                <w:rFonts w:hint="default" w:ascii="Times New Roman" w:hAnsi="Times New Roman" w:eastAsia="仿宋_GB2312" w:cs="Times New Roman"/>
                <w:color w:val="auto"/>
                <w:sz w:val="21"/>
                <w:szCs w:val="21"/>
              </w:rPr>
              <w:t xml:space="preserve">—其他多方面效应引起的倍频带衰减，dB。 </w:t>
            </w:r>
          </w:p>
          <w:p w14:paraId="7A1857E7">
            <w:pPr>
              <w:autoSpaceDE w:val="0"/>
              <w:autoSpaceDN w:val="0"/>
              <w:adjustRightInd w:val="0"/>
              <w:snapToGrid w:val="0"/>
              <w:spacing w:line="360" w:lineRule="auto"/>
              <w:ind w:firstLine="420" w:firstLineChars="200"/>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如已知靠近声源处某点的倍频带声压级L</w:t>
            </w:r>
            <w:r>
              <w:rPr>
                <w:rFonts w:hint="default" w:ascii="Times New Roman" w:hAnsi="Times New Roman" w:eastAsia="仿宋_GB2312" w:cs="Times New Roman"/>
                <w:color w:val="auto"/>
                <w:sz w:val="21"/>
                <w:szCs w:val="21"/>
                <w:vertAlign w:val="subscript"/>
              </w:rPr>
              <w:t>p</w:t>
            </w:r>
            <w:r>
              <w:rPr>
                <w:rFonts w:hint="default" w:ascii="Times New Roman" w:hAnsi="Times New Roman" w:eastAsia="仿宋_GB2312" w:cs="Times New Roman"/>
                <w:color w:val="auto"/>
                <w:sz w:val="21"/>
                <w:szCs w:val="21"/>
                <w:lang w:eastAsia="zh-CN"/>
              </w:rPr>
              <w:t>（</w:t>
            </w:r>
            <w:r>
              <w:rPr>
                <w:rFonts w:hint="default" w:ascii="Times New Roman" w:hAnsi="Times New Roman" w:eastAsia="仿宋_GB2312" w:cs="Times New Roman"/>
                <w:color w:val="auto"/>
                <w:sz w:val="21"/>
                <w:szCs w:val="21"/>
              </w:rPr>
              <w:t>r</w:t>
            </w:r>
            <w:r>
              <w:rPr>
                <w:rFonts w:hint="default" w:ascii="Times New Roman" w:hAnsi="Times New Roman" w:eastAsia="仿宋_GB2312" w:cs="Times New Roman"/>
                <w:color w:val="auto"/>
                <w:sz w:val="21"/>
                <w:szCs w:val="21"/>
                <w:vertAlign w:val="subscript"/>
              </w:rPr>
              <w:t>0</w:t>
            </w:r>
            <w:r>
              <w:rPr>
                <w:rFonts w:hint="default" w:ascii="Times New Roman" w:hAnsi="Times New Roman" w:eastAsia="仿宋_GB2312" w:cs="Times New Roman"/>
                <w:color w:val="auto"/>
                <w:sz w:val="21"/>
                <w:szCs w:val="21"/>
                <w:lang w:eastAsia="zh-CN"/>
              </w:rPr>
              <w:t>）</w:t>
            </w:r>
            <w:r>
              <w:rPr>
                <w:rFonts w:hint="default" w:ascii="Times New Roman" w:hAnsi="Times New Roman" w:eastAsia="仿宋_GB2312" w:cs="Times New Roman"/>
                <w:color w:val="auto"/>
                <w:sz w:val="21"/>
                <w:szCs w:val="21"/>
              </w:rPr>
              <w:t>时，相同方向预测点位置的倍频带声压级L</w:t>
            </w:r>
            <w:r>
              <w:rPr>
                <w:rFonts w:hint="default" w:ascii="Times New Roman" w:hAnsi="Times New Roman" w:eastAsia="仿宋_GB2312" w:cs="Times New Roman"/>
                <w:color w:val="auto"/>
                <w:sz w:val="21"/>
                <w:szCs w:val="21"/>
                <w:vertAlign w:val="subscript"/>
              </w:rPr>
              <w:t>p</w:t>
            </w:r>
            <w:r>
              <w:rPr>
                <w:rFonts w:hint="default" w:ascii="Times New Roman" w:hAnsi="Times New Roman" w:eastAsia="仿宋_GB2312" w:cs="Times New Roman"/>
                <w:color w:val="auto"/>
                <w:sz w:val="21"/>
                <w:szCs w:val="21"/>
              </w:rPr>
              <w:t>（r）可按下式计算：L</w:t>
            </w:r>
            <w:r>
              <w:rPr>
                <w:rFonts w:hint="default" w:ascii="Times New Roman" w:hAnsi="Times New Roman" w:eastAsia="仿宋_GB2312" w:cs="Times New Roman"/>
                <w:color w:val="auto"/>
                <w:sz w:val="21"/>
                <w:szCs w:val="21"/>
                <w:vertAlign w:val="subscript"/>
              </w:rPr>
              <w:t>p</w:t>
            </w:r>
            <w:r>
              <w:rPr>
                <w:rFonts w:hint="default" w:ascii="Times New Roman" w:hAnsi="Times New Roman" w:eastAsia="仿宋_GB2312" w:cs="Times New Roman"/>
                <w:color w:val="auto"/>
                <w:sz w:val="21"/>
                <w:szCs w:val="21"/>
                <w:lang w:eastAsia="zh-CN"/>
              </w:rPr>
              <w:t>（</w:t>
            </w:r>
            <w:r>
              <w:rPr>
                <w:rFonts w:hint="default" w:ascii="Times New Roman" w:hAnsi="Times New Roman" w:eastAsia="仿宋_GB2312" w:cs="Times New Roman"/>
                <w:color w:val="auto"/>
                <w:sz w:val="21"/>
                <w:szCs w:val="21"/>
              </w:rPr>
              <w:t>r</w:t>
            </w:r>
            <w:r>
              <w:rPr>
                <w:rFonts w:hint="default" w:ascii="Times New Roman" w:hAnsi="Times New Roman" w:eastAsia="仿宋_GB2312" w:cs="Times New Roman"/>
                <w:color w:val="auto"/>
                <w:sz w:val="21"/>
                <w:szCs w:val="21"/>
                <w:lang w:eastAsia="zh-CN"/>
              </w:rPr>
              <w:t>）</w:t>
            </w:r>
            <w:r>
              <w:rPr>
                <w:rFonts w:hint="default" w:ascii="Times New Roman" w:hAnsi="Times New Roman" w:eastAsia="仿宋_GB2312" w:cs="Times New Roman"/>
                <w:color w:val="auto"/>
                <w:sz w:val="21"/>
                <w:szCs w:val="21"/>
              </w:rPr>
              <w:t>=L</w:t>
            </w:r>
            <w:r>
              <w:rPr>
                <w:rFonts w:hint="default" w:ascii="Times New Roman" w:hAnsi="Times New Roman" w:eastAsia="仿宋_GB2312" w:cs="Times New Roman"/>
                <w:color w:val="auto"/>
                <w:sz w:val="21"/>
                <w:szCs w:val="21"/>
                <w:vertAlign w:val="subscript"/>
              </w:rPr>
              <w:t>p</w:t>
            </w:r>
            <w:r>
              <w:rPr>
                <w:rFonts w:hint="default" w:ascii="Times New Roman" w:hAnsi="Times New Roman" w:eastAsia="仿宋_GB2312" w:cs="Times New Roman"/>
                <w:color w:val="auto"/>
                <w:sz w:val="21"/>
                <w:szCs w:val="21"/>
              </w:rPr>
              <w:t>（r</w:t>
            </w:r>
            <w:r>
              <w:rPr>
                <w:rFonts w:hint="default" w:ascii="Times New Roman" w:hAnsi="Times New Roman" w:eastAsia="仿宋_GB2312" w:cs="Times New Roman"/>
                <w:color w:val="auto"/>
                <w:sz w:val="21"/>
                <w:szCs w:val="21"/>
                <w:vertAlign w:val="subscript"/>
              </w:rPr>
              <w:t>0</w:t>
            </w:r>
            <w:r>
              <w:rPr>
                <w:rFonts w:hint="default" w:ascii="Times New Roman" w:hAnsi="Times New Roman" w:eastAsia="仿宋_GB2312" w:cs="Times New Roman"/>
                <w:color w:val="auto"/>
                <w:sz w:val="21"/>
                <w:szCs w:val="21"/>
              </w:rPr>
              <w:t>）-A</w:t>
            </w:r>
          </w:p>
          <w:p w14:paraId="1CF14D7A">
            <w:pPr>
              <w:autoSpaceDE w:val="0"/>
              <w:autoSpaceDN w:val="0"/>
              <w:adjustRightInd w:val="0"/>
              <w:snapToGrid w:val="0"/>
              <w:spacing w:line="360" w:lineRule="auto"/>
              <w:ind w:firstLine="420" w:firstLineChars="200"/>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预测点的A声级L</w:t>
            </w:r>
            <w:r>
              <w:rPr>
                <w:rFonts w:hint="default" w:ascii="Times New Roman" w:hAnsi="Times New Roman" w:eastAsia="仿宋_GB2312" w:cs="Times New Roman"/>
                <w:color w:val="auto"/>
                <w:sz w:val="21"/>
                <w:szCs w:val="21"/>
                <w:vertAlign w:val="subscript"/>
              </w:rPr>
              <w:t>A</w:t>
            </w:r>
            <w:r>
              <w:rPr>
                <w:rFonts w:hint="default" w:ascii="Times New Roman" w:hAnsi="Times New Roman" w:eastAsia="仿宋_GB2312" w:cs="Times New Roman"/>
                <w:color w:val="auto"/>
                <w:sz w:val="21"/>
                <w:szCs w:val="21"/>
                <w:lang w:eastAsia="zh-CN"/>
              </w:rPr>
              <w:t>（</w:t>
            </w:r>
            <w:r>
              <w:rPr>
                <w:rFonts w:hint="default" w:ascii="Times New Roman" w:hAnsi="Times New Roman" w:eastAsia="仿宋_GB2312" w:cs="Times New Roman"/>
                <w:color w:val="auto"/>
                <w:sz w:val="21"/>
                <w:szCs w:val="21"/>
              </w:rPr>
              <w:t>r</w:t>
            </w:r>
            <w:r>
              <w:rPr>
                <w:rFonts w:hint="default" w:ascii="Times New Roman" w:hAnsi="Times New Roman" w:eastAsia="仿宋_GB2312" w:cs="Times New Roman"/>
                <w:color w:val="auto"/>
                <w:sz w:val="21"/>
                <w:szCs w:val="21"/>
                <w:lang w:eastAsia="zh-CN"/>
              </w:rPr>
              <w:t>）</w:t>
            </w:r>
            <w:r>
              <w:rPr>
                <w:rFonts w:hint="default" w:ascii="Times New Roman" w:hAnsi="Times New Roman" w:eastAsia="仿宋_GB2312" w:cs="Times New Roman"/>
                <w:color w:val="auto"/>
                <w:sz w:val="21"/>
                <w:szCs w:val="21"/>
              </w:rPr>
              <w:t>，可利用8个倍频带的声压级按下式计算：</w:t>
            </w:r>
          </w:p>
          <w:p w14:paraId="7A724896">
            <w:pPr>
              <w:autoSpaceDE w:val="0"/>
              <w:autoSpaceDN w:val="0"/>
              <w:adjustRightInd w:val="0"/>
              <w:snapToGrid w:val="0"/>
              <w:spacing w:line="360" w:lineRule="auto"/>
              <w:ind w:firstLine="420" w:firstLineChars="200"/>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drawing>
                <wp:anchor distT="0" distB="0" distL="114300" distR="114300" simplePos="0" relativeHeight="251935744" behindDoc="0" locked="0" layoutInCell="1" allowOverlap="1">
                  <wp:simplePos x="0" y="0"/>
                  <wp:positionH relativeFrom="column">
                    <wp:posOffset>1694815</wp:posOffset>
                  </wp:positionH>
                  <wp:positionV relativeFrom="paragraph">
                    <wp:posOffset>99060</wp:posOffset>
                  </wp:positionV>
                  <wp:extent cx="1826895" cy="478790"/>
                  <wp:effectExtent l="0" t="0" r="1905" b="16510"/>
                  <wp:wrapTopAndBottom/>
                  <wp:docPr id="2" name="图片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79"/>
                          <pic:cNvPicPr>
                            <a:picLocks noChangeAspect="1"/>
                          </pic:cNvPicPr>
                        </pic:nvPicPr>
                        <pic:blipFill>
                          <a:blip r:embed="rId51"/>
                          <a:stretch>
                            <a:fillRect/>
                          </a:stretch>
                        </pic:blipFill>
                        <pic:spPr>
                          <a:xfrm>
                            <a:off x="0" y="0"/>
                            <a:ext cx="1826895" cy="478790"/>
                          </a:xfrm>
                          <a:prstGeom prst="rect">
                            <a:avLst/>
                          </a:prstGeom>
                          <a:noFill/>
                          <a:ln>
                            <a:noFill/>
                          </a:ln>
                        </pic:spPr>
                      </pic:pic>
                    </a:graphicData>
                  </a:graphic>
                </wp:anchor>
              </w:drawing>
            </w:r>
            <w:r>
              <w:rPr>
                <w:rFonts w:hint="default" w:ascii="Times New Roman" w:hAnsi="Times New Roman" w:eastAsia="仿宋_GB2312" w:cs="Times New Roman"/>
                <w:color w:val="auto"/>
                <w:sz w:val="21"/>
                <w:szCs w:val="21"/>
              </w:rPr>
              <w:t>式中：L</w:t>
            </w:r>
            <w:r>
              <w:rPr>
                <w:rFonts w:hint="default" w:ascii="Times New Roman" w:hAnsi="Times New Roman" w:eastAsia="仿宋_GB2312" w:cs="Times New Roman"/>
                <w:color w:val="auto"/>
                <w:sz w:val="21"/>
                <w:szCs w:val="21"/>
                <w:vertAlign w:val="subscript"/>
              </w:rPr>
              <w:t>Pi</w:t>
            </w:r>
            <w:r>
              <w:rPr>
                <w:rFonts w:hint="default" w:ascii="Times New Roman" w:hAnsi="Times New Roman" w:eastAsia="仿宋_GB2312" w:cs="Times New Roman"/>
                <w:color w:val="auto"/>
                <w:sz w:val="21"/>
                <w:szCs w:val="21"/>
              </w:rPr>
              <w:t>（r）—预测点（r）处，第i倍频带声压级，dB；</w:t>
            </w:r>
          </w:p>
          <w:p w14:paraId="6E40F96C">
            <w:pPr>
              <w:autoSpaceDE w:val="0"/>
              <w:autoSpaceDN w:val="0"/>
              <w:adjustRightInd w:val="0"/>
              <w:snapToGrid w:val="0"/>
              <w:spacing w:line="360" w:lineRule="auto"/>
              <w:ind w:firstLine="420" w:firstLineChars="200"/>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ΔL</w:t>
            </w:r>
            <w:r>
              <w:rPr>
                <w:rFonts w:hint="default" w:ascii="Times New Roman" w:hAnsi="Times New Roman" w:eastAsia="仿宋_GB2312" w:cs="Times New Roman"/>
                <w:color w:val="auto"/>
                <w:sz w:val="21"/>
                <w:szCs w:val="21"/>
                <w:vertAlign w:val="subscript"/>
              </w:rPr>
              <w:t>i</w:t>
            </w:r>
            <w:r>
              <w:rPr>
                <w:rFonts w:hint="default" w:ascii="Times New Roman" w:hAnsi="Times New Roman" w:eastAsia="仿宋_GB2312" w:cs="Times New Roman"/>
                <w:color w:val="auto"/>
                <w:sz w:val="21"/>
                <w:szCs w:val="21"/>
              </w:rPr>
              <w:t xml:space="preserve"> —i倍频带A计权网络修正值，dB。</w:t>
            </w:r>
          </w:p>
          <w:p w14:paraId="24A6A25D">
            <w:pPr>
              <w:autoSpaceDE w:val="0"/>
              <w:autoSpaceDN w:val="0"/>
              <w:adjustRightInd w:val="0"/>
              <w:snapToGrid w:val="0"/>
              <w:spacing w:line="360" w:lineRule="auto"/>
              <w:ind w:firstLine="420" w:firstLineChars="200"/>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在不能取得声源倍频带声功率级或倍频带声压级，只能获得A声功率级或某点的A声级时，可按下式作近似计算：</w:t>
            </w:r>
          </w:p>
          <w:p w14:paraId="08A2374E">
            <w:pPr>
              <w:autoSpaceDE w:val="0"/>
              <w:autoSpaceDN w:val="0"/>
              <w:adjustRightInd w:val="0"/>
              <w:snapToGrid w:val="0"/>
              <w:spacing w:line="360" w:lineRule="auto"/>
              <w:ind w:firstLine="420" w:firstLineChars="200"/>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L</w:t>
            </w:r>
            <w:r>
              <w:rPr>
                <w:rFonts w:hint="default" w:ascii="Times New Roman" w:hAnsi="Times New Roman" w:eastAsia="仿宋_GB2312" w:cs="Times New Roman"/>
                <w:color w:val="auto"/>
                <w:sz w:val="21"/>
                <w:szCs w:val="21"/>
                <w:vertAlign w:val="subscript"/>
              </w:rPr>
              <w:t>A</w:t>
            </w:r>
            <w:r>
              <w:rPr>
                <w:rFonts w:hint="default" w:ascii="Times New Roman" w:hAnsi="Times New Roman" w:eastAsia="仿宋_GB2312" w:cs="Times New Roman"/>
                <w:color w:val="auto"/>
                <w:sz w:val="21"/>
                <w:szCs w:val="21"/>
              </w:rPr>
              <w:t>（r）=L</w:t>
            </w:r>
            <w:r>
              <w:rPr>
                <w:rFonts w:hint="default" w:ascii="Times New Roman" w:hAnsi="Times New Roman" w:eastAsia="仿宋_GB2312" w:cs="Times New Roman"/>
                <w:color w:val="auto"/>
                <w:sz w:val="21"/>
                <w:szCs w:val="21"/>
                <w:vertAlign w:val="subscript"/>
              </w:rPr>
              <w:t xml:space="preserve">AW </w:t>
            </w:r>
            <w:r>
              <w:rPr>
                <w:rFonts w:hint="default" w:ascii="Times New Roman" w:hAnsi="Times New Roman" w:eastAsia="仿宋_GB2312" w:cs="Times New Roman"/>
                <w:color w:val="auto"/>
                <w:sz w:val="21"/>
                <w:szCs w:val="21"/>
              </w:rPr>
              <w:t>- D</w:t>
            </w:r>
            <w:r>
              <w:rPr>
                <w:rFonts w:hint="default" w:ascii="Times New Roman" w:hAnsi="Times New Roman" w:eastAsia="仿宋_GB2312" w:cs="Times New Roman"/>
                <w:color w:val="auto"/>
                <w:sz w:val="21"/>
                <w:szCs w:val="21"/>
                <w:vertAlign w:val="subscript"/>
              </w:rPr>
              <w:t xml:space="preserve">C </w:t>
            </w:r>
            <w:r>
              <w:rPr>
                <w:rFonts w:hint="default" w:ascii="Times New Roman" w:hAnsi="Times New Roman" w:eastAsia="仿宋_GB2312" w:cs="Times New Roman"/>
                <w:color w:val="auto"/>
                <w:sz w:val="21"/>
                <w:szCs w:val="21"/>
              </w:rPr>
              <w:t>– A 或L</w:t>
            </w:r>
            <w:r>
              <w:rPr>
                <w:rFonts w:hint="default" w:ascii="Times New Roman" w:hAnsi="Times New Roman" w:eastAsia="仿宋_GB2312" w:cs="Times New Roman"/>
                <w:color w:val="auto"/>
                <w:sz w:val="21"/>
                <w:szCs w:val="21"/>
                <w:vertAlign w:val="subscript"/>
              </w:rPr>
              <w:t>A</w:t>
            </w:r>
            <w:r>
              <w:rPr>
                <w:rFonts w:hint="default" w:ascii="Times New Roman" w:hAnsi="Times New Roman" w:eastAsia="仿宋_GB2312" w:cs="Times New Roman"/>
                <w:color w:val="auto"/>
                <w:sz w:val="21"/>
                <w:szCs w:val="21"/>
              </w:rPr>
              <w:t>（r）=L</w:t>
            </w:r>
            <w:r>
              <w:rPr>
                <w:rFonts w:hint="default" w:ascii="Times New Roman" w:hAnsi="Times New Roman" w:eastAsia="仿宋_GB2312" w:cs="Times New Roman"/>
                <w:color w:val="auto"/>
                <w:sz w:val="21"/>
                <w:szCs w:val="21"/>
                <w:vertAlign w:val="subscript"/>
              </w:rPr>
              <w:t>A</w:t>
            </w:r>
            <w:r>
              <w:rPr>
                <w:rFonts w:hint="default" w:ascii="Times New Roman" w:hAnsi="Times New Roman" w:eastAsia="仿宋_GB2312" w:cs="Times New Roman"/>
                <w:color w:val="auto"/>
                <w:sz w:val="21"/>
                <w:szCs w:val="21"/>
              </w:rPr>
              <w:t>（r</w:t>
            </w:r>
            <w:r>
              <w:rPr>
                <w:rFonts w:hint="default" w:ascii="Times New Roman" w:hAnsi="Times New Roman" w:eastAsia="仿宋_GB2312" w:cs="Times New Roman"/>
                <w:color w:val="auto"/>
                <w:sz w:val="21"/>
                <w:szCs w:val="21"/>
                <w:vertAlign w:val="subscript"/>
              </w:rPr>
              <w:t>0</w:t>
            </w:r>
            <w:r>
              <w:rPr>
                <w:rFonts w:hint="default" w:ascii="Times New Roman" w:hAnsi="Times New Roman" w:eastAsia="仿宋_GB2312" w:cs="Times New Roman"/>
                <w:color w:val="auto"/>
                <w:sz w:val="21"/>
                <w:szCs w:val="21"/>
              </w:rPr>
              <w:t>）- A</w:t>
            </w:r>
          </w:p>
          <w:p w14:paraId="4287E4BF">
            <w:pPr>
              <w:autoSpaceDE w:val="0"/>
              <w:autoSpaceDN w:val="0"/>
              <w:adjustRightInd w:val="0"/>
              <w:snapToGrid w:val="0"/>
              <w:spacing w:line="360" w:lineRule="auto"/>
              <w:ind w:firstLine="420" w:firstLineChars="200"/>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A可选择对A声级影响最大的倍频带计算，一般可选中心频率为500HZ的倍频带作估算。</w:t>
            </w:r>
          </w:p>
          <w:p w14:paraId="0854AB4D">
            <w:pPr>
              <w:pStyle w:val="78"/>
              <w:numPr>
                <w:ilvl w:val="0"/>
                <w:numId w:val="4"/>
              </w:numPr>
              <w:adjustRightInd w:val="0"/>
              <w:snapToGrid w:val="0"/>
              <w:spacing w:line="360" w:lineRule="auto"/>
              <w:ind w:left="0" w:firstLine="420" w:firstLineChars="200"/>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室内声源等效室外声源声功率级计算方法</w:t>
            </w:r>
          </w:p>
          <w:p w14:paraId="34A8042F">
            <w:pPr>
              <w:adjustRightInd w:val="0"/>
              <w:snapToGrid w:val="0"/>
              <w:spacing w:line="360" w:lineRule="auto"/>
              <w:ind w:firstLine="420" w:firstLineChars="200"/>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声源位于室内，室内声源可采用等效室外声源声功率级法进行计算。设靠近开口处（或窗户）室内、室外某倍频带的声压级分别为L</w:t>
            </w:r>
            <w:r>
              <w:rPr>
                <w:rFonts w:hint="default" w:ascii="Times New Roman" w:hAnsi="Times New Roman" w:eastAsia="仿宋_GB2312" w:cs="Times New Roman"/>
                <w:color w:val="auto"/>
                <w:sz w:val="21"/>
                <w:szCs w:val="21"/>
                <w:vertAlign w:val="subscript"/>
              </w:rPr>
              <w:t>p1</w:t>
            </w:r>
            <w:r>
              <w:rPr>
                <w:rFonts w:hint="default" w:ascii="Times New Roman" w:hAnsi="Times New Roman" w:eastAsia="仿宋_GB2312" w:cs="Times New Roman"/>
                <w:color w:val="auto"/>
                <w:sz w:val="21"/>
                <w:szCs w:val="21"/>
              </w:rPr>
              <w:t>和L</w:t>
            </w:r>
            <w:r>
              <w:rPr>
                <w:rFonts w:hint="default" w:ascii="Times New Roman" w:hAnsi="Times New Roman" w:eastAsia="仿宋_GB2312" w:cs="Times New Roman"/>
                <w:color w:val="auto"/>
                <w:sz w:val="21"/>
                <w:szCs w:val="21"/>
                <w:vertAlign w:val="subscript"/>
              </w:rPr>
              <w:t>p2</w:t>
            </w:r>
            <w:r>
              <w:rPr>
                <w:rFonts w:hint="default" w:ascii="Times New Roman" w:hAnsi="Times New Roman" w:eastAsia="仿宋_GB2312" w:cs="Times New Roman"/>
                <w:color w:val="auto"/>
                <w:sz w:val="21"/>
                <w:szCs w:val="21"/>
              </w:rPr>
              <w:t>。若声源所在室内声场为近似扩散声场，则室外的倍频带声压级可按下式近似求出：</w:t>
            </w:r>
          </w:p>
          <w:p w14:paraId="5170D9C4">
            <w:pPr>
              <w:adjustRightInd w:val="0"/>
              <w:snapToGrid w:val="0"/>
              <w:spacing w:line="360" w:lineRule="auto"/>
              <w:ind w:firstLine="420" w:firstLineChars="20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L</w:t>
            </w:r>
            <w:r>
              <w:rPr>
                <w:rFonts w:hint="default" w:ascii="Times New Roman" w:hAnsi="Times New Roman" w:eastAsia="仿宋_GB2312" w:cs="Times New Roman"/>
                <w:color w:val="auto"/>
                <w:sz w:val="21"/>
                <w:szCs w:val="21"/>
                <w:vertAlign w:val="subscript"/>
              </w:rPr>
              <w:t xml:space="preserve">P2 </w:t>
            </w:r>
            <w:r>
              <w:rPr>
                <w:rFonts w:hint="default" w:ascii="Times New Roman" w:hAnsi="Times New Roman" w:eastAsia="仿宋_GB2312" w:cs="Times New Roman"/>
                <w:color w:val="auto"/>
                <w:sz w:val="21"/>
                <w:szCs w:val="21"/>
              </w:rPr>
              <w:t>=L</w:t>
            </w:r>
            <w:r>
              <w:rPr>
                <w:rFonts w:hint="default" w:ascii="Times New Roman" w:hAnsi="Times New Roman" w:eastAsia="仿宋_GB2312" w:cs="Times New Roman"/>
                <w:color w:val="auto"/>
                <w:sz w:val="21"/>
                <w:szCs w:val="21"/>
                <w:vertAlign w:val="subscript"/>
              </w:rPr>
              <w:t xml:space="preserve">P1 </w:t>
            </w:r>
            <w:r>
              <w:rPr>
                <w:rFonts w:hint="default" w:ascii="Times New Roman" w:hAnsi="Times New Roman" w:eastAsia="仿宋_GB2312" w:cs="Times New Roman"/>
                <w:color w:val="auto"/>
                <w:sz w:val="21"/>
                <w:szCs w:val="21"/>
              </w:rPr>
              <w:t>-（TL+6）</w:t>
            </w:r>
          </w:p>
          <w:p w14:paraId="6CD8816E">
            <w:pPr>
              <w:adjustRightInd w:val="0"/>
              <w:snapToGrid w:val="0"/>
              <w:spacing w:line="360" w:lineRule="auto"/>
              <w:ind w:firstLine="420" w:firstLineChars="200"/>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式中：TL—隔墙（或窗户）倍频带的隔声量，dB。</w:t>
            </w:r>
          </w:p>
          <w:p w14:paraId="786726A9">
            <w:pPr>
              <w:adjustRightInd w:val="0"/>
              <w:snapToGrid w:val="0"/>
              <w:spacing w:line="360" w:lineRule="auto"/>
              <w:ind w:firstLine="420" w:firstLineChars="200"/>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 xml:space="preserve">也可按下式计算某一室内声源靠近围护结构处产生的倍频带声压级： </w:t>
            </w:r>
          </w:p>
          <w:p w14:paraId="273FD5C7">
            <w:pPr>
              <w:adjustRightInd w:val="0"/>
              <w:snapToGrid w:val="0"/>
              <w:spacing w:line="360" w:lineRule="auto"/>
              <w:ind w:firstLine="420" w:firstLineChars="20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drawing>
                <wp:anchor distT="0" distB="0" distL="114300" distR="114300" simplePos="0" relativeHeight="251934720" behindDoc="0" locked="0" layoutInCell="1" allowOverlap="1">
                  <wp:simplePos x="0" y="0"/>
                  <wp:positionH relativeFrom="column">
                    <wp:posOffset>1911350</wp:posOffset>
                  </wp:positionH>
                  <wp:positionV relativeFrom="paragraph">
                    <wp:posOffset>40005</wp:posOffset>
                  </wp:positionV>
                  <wp:extent cx="1534160" cy="353695"/>
                  <wp:effectExtent l="0" t="0" r="8890" b="8255"/>
                  <wp:wrapSquare wrapText="bothSides"/>
                  <wp:docPr id="7" name="图片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80"/>
                          <pic:cNvPicPr>
                            <a:picLocks noChangeAspect="1"/>
                          </pic:cNvPicPr>
                        </pic:nvPicPr>
                        <pic:blipFill>
                          <a:blip r:embed="rId52"/>
                          <a:stretch>
                            <a:fillRect/>
                          </a:stretch>
                        </pic:blipFill>
                        <pic:spPr>
                          <a:xfrm>
                            <a:off x="0" y="0"/>
                            <a:ext cx="1534160" cy="353695"/>
                          </a:xfrm>
                          <a:prstGeom prst="rect">
                            <a:avLst/>
                          </a:prstGeom>
                          <a:noFill/>
                          <a:ln>
                            <a:noFill/>
                          </a:ln>
                        </pic:spPr>
                      </pic:pic>
                    </a:graphicData>
                  </a:graphic>
                </wp:anchor>
              </w:drawing>
            </w:r>
          </w:p>
          <w:p w14:paraId="2B44D815">
            <w:pPr>
              <w:adjustRightInd w:val="0"/>
              <w:snapToGrid w:val="0"/>
              <w:spacing w:line="360" w:lineRule="auto"/>
              <w:ind w:firstLine="420" w:firstLineChars="200"/>
              <w:rPr>
                <w:rFonts w:hint="default" w:ascii="Times New Roman" w:hAnsi="Times New Roman" w:eastAsia="仿宋_GB2312" w:cs="Times New Roman"/>
                <w:color w:val="auto"/>
                <w:sz w:val="21"/>
                <w:szCs w:val="21"/>
              </w:rPr>
            </w:pPr>
          </w:p>
          <w:p w14:paraId="159AE2E8">
            <w:pPr>
              <w:adjustRightInd w:val="0"/>
              <w:snapToGrid w:val="0"/>
              <w:spacing w:line="360" w:lineRule="auto"/>
              <w:ind w:firstLine="420" w:firstLineChars="200"/>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 xml:space="preserve">式中：Q—指向性因数；通常对无指向性声源，当声源放在房间中心时，Q=1；当放在一面墙的中心时，Q=2；当放在两面墙夹角处时，Q=4；当放在三面墙夹角处时，Q=8。 </w:t>
            </w:r>
          </w:p>
          <w:p w14:paraId="1ED2E983">
            <w:pPr>
              <w:adjustRightInd w:val="0"/>
              <w:snapToGrid w:val="0"/>
              <w:spacing w:line="360" w:lineRule="auto"/>
              <w:ind w:firstLine="420" w:firstLineChars="200"/>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R—房间常数；R=Sα/</w:t>
            </w:r>
            <w:r>
              <w:rPr>
                <w:rFonts w:hint="default" w:ascii="Times New Roman" w:hAnsi="Times New Roman" w:eastAsia="仿宋_GB2312" w:cs="Times New Roman"/>
                <w:color w:val="auto"/>
                <w:sz w:val="21"/>
                <w:szCs w:val="21"/>
                <w:lang w:eastAsia="zh-CN"/>
              </w:rPr>
              <w:t>（</w:t>
            </w:r>
            <w:r>
              <w:rPr>
                <w:rFonts w:hint="default" w:ascii="Times New Roman" w:hAnsi="Times New Roman" w:eastAsia="仿宋_GB2312" w:cs="Times New Roman"/>
                <w:color w:val="auto"/>
                <w:sz w:val="21"/>
                <w:szCs w:val="21"/>
              </w:rPr>
              <w:t>1-α</w:t>
            </w:r>
            <w:r>
              <w:rPr>
                <w:rFonts w:hint="default" w:ascii="Times New Roman" w:hAnsi="Times New Roman" w:eastAsia="仿宋_GB2312" w:cs="Times New Roman"/>
                <w:color w:val="auto"/>
                <w:sz w:val="21"/>
                <w:szCs w:val="21"/>
                <w:lang w:eastAsia="zh-CN"/>
              </w:rPr>
              <w:t>）</w:t>
            </w:r>
            <w:r>
              <w:rPr>
                <w:rFonts w:hint="default" w:ascii="Times New Roman" w:hAnsi="Times New Roman" w:eastAsia="仿宋_GB2312" w:cs="Times New Roman"/>
                <w:color w:val="auto"/>
                <w:sz w:val="21"/>
                <w:szCs w:val="21"/>
              </w:rPr>
              <w:t>，S为房间内表面面积，m</w:t>
            </w:r>
            <w:r>
              <w:rPr>
                <w:rFonts w:hint="default" w:ascii="Times New Roman" w:hAnsi="Times New Roman" w:eastAsia="仿宋_GB2312" w:cs="Times New Roman"/>
                <w:color w:val="auto"/>
                <w:sz w:val="21"/>
                <w:szCs w:val="21"/>
                <w:vertAlign w:val="superscript"/>
              </w:rPr>
              <w:t>2</w:t>
            </w:r>
            <w:r>
              <w:rPr>
                <w:rFonts w:hint="default" w:ascii="Times New Roman" w:hAnsi="Times New Roman" w:eastAsia="仿宋_GB2312" w:cs="Times New Roman"/>
                <w:color w:val="auto"/>
                <w:sz w:val="21"/>
                <w:szCs w:val="21"/>
              </w:rPr>
              <w:t xml:space="preserve">；α为平均吸声系数。 </w:t>
            </w:r>
          </w:p>
          <w:p w14:paraId="4117F727">
            <w:pPr>
              <w:adjustRightInd w:val="0"/>
              <w:snapToGrid w:val="0"/>
              <w:spacing w:line="360" w:lineRule="auto"/>
              <w:ind w:firstLine="420" w:firstLineChars="200"/>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 xml:space="preserve">r—声源到靠近围护结构某点处的距离，m。 </w:t>
            </w:r>
          </w:p>
          <w:p w14:paraId="135DB641">
            <w:pPr>
              <w:adjustRightInd w:val="0"/>
              <w:snapToGrid w:val="0"/>
              <w:spacing w:line="360" w:lineRule="auto"/>
              <w:ind w:firstLine="420" w:firstLineChars="200"/>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然后按下式计算出所有室内声源在围护结构处产生的i倍频带叠加声压级：</w:t>
            </w:r>
          </w:p>
          <w:p w14:paraId="20233C7D">
            <w:pPr>
              <w:adjustRightInd w:val="0"/>
              <w:snapToGrid w:val="0"/>
              <w:spacing w:line="360" w:lineRule="auto"/>
              <w:ind w:firstLine="420" w:firstLineChars="20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drawing>
                <wp:anchor distT="0" distB="0" distL="114300" distR="114300" simplePos="0" relativeHeight="251933696" behindDoc="0" locked="0" layoutInCell="1" allowOverlap="1">
                  <wp:simplePos x="0" y="0"/>
                  <wp:positionH relativeFrom="column">
                    <wp:posOffset>1905635</wp:posOffset>
                  </wp:positionH>
                  <wp:positionV relativeFrom="paragraph">
                    <wp:posOffset>31750</wp:posOffset>
                  </wp:positionV>
                  <wp:extent cx="1488440" cy="438785"/>
                  <wp:effectExtent l="0" t="0" r="16510" b="18415"/>
                  <wp:wrapSquare wrapText="bothSides"/>
                  <wp:docPr id="9" name="图片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81"/>
                          <pic:cNvPicPr>
                            <a:picLocks noChangeAspect="1"/>
                          </pic:cNvPicPr>
                        </pic:nvPicPr>
                        <pic:blipFill>
                          <a:blip r:embed="rId53"/>
                          <a:stretch>
                            <a:fillRect/>
                          </a:stretch>
                        </pic:blipFill>
                        <pic:spPr>
                          <a:xfrm>
                            <a:off x="0" y="0"/>
                            <a:ext cx="1488440" cy="438785"/>
                          </a:xfrm>
                          <a:prstGeom prst="rect">
                            <a:avLst/>
                          </a:prstGeom>
                          <a:noFill/>
                          <a:ln>
                            <a:noFill/>
                          </a:ln>
                        </pic:spPr>
                      </pic:pic>
                    </a:graphicData>
                  </a:graphic>
                </wp:anchor>
              </w:drawing>
            </w:r>
          </w:p>
          <w:p w14:paraId="5AFD0F25">
            <w:pPr>
              <w:adjustRightInd w:val="0"/>
              <w:snapToGrid w:val="0"/>
              <w:spacing w:line="360" w:lineRule="auto"/>
              <w:ind w:firstLine="420" w:firstLineChars="200"/>
              <w:rPr>
                <w:rFonts w:hint="default" w:ascii="Times New Roman" w:hAnsi="Times New Roman" w:eastAsia="仿宋_GB2312" w:cs="Times New Roman"/>
                <w:color w:val="auto"/>
                <w:sz w:val="21"/>
                <w:szCs w:val="21"/>
              </w:rPr>
            </w:pPr>
          </w:p>
          <w:p w14:paraId="31CAAC4E">
            <w:pPr>
              <w:adjustRightInd w:val="0"/>
              <w:snapToGrid w:val="0"/>
              <w:spacing w:line="360" w:lineRule="auto"/>
              <w:ind w:firstLine="420" w:firstLineChars="200"/>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式中：</w:t>
            </w:r>
          </w:p>
          <w:p w14:paraId="42AFFC71">
            <w:pPr>
              <w:adjustRightInd w:val="0"/>
              <w:snapToGrid w:val="0"/>
              <w:spacing w:line="360" w:lineRule="auto"/>
              <w:ind w:firstLine="420" w:firstLineChars="200"/>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L</w:t>
            </w:r>
            <w:r>
              <w:rPr>
                <w:rFonts w:hint="default" w:ascii="Times New Roman" w:hAnsi="Times New Roman" w:eastAsia="仿宋_GB2312" w:cs="Times New Roman"/>
                <w:color w:val="auto"/>
                <w:sz w:val="21"/>
                <w:szCs w:val="21"/>
                <w:vertAlign w:val="subscript"/>
              </w:rPr>
              <w:t>P1i</w:t>
            </w:r>
            <w:r>
              <w:rPr>
                <w:rFonts w:hint="default" w:ascii="Times New Roman" w:hAnsi="Times New Roman" w:eastAsia="仿宋_GB2312" w:cs="Times New Roman"/>
                <w:color w:val="auto"/>
                <w:sz w:val="21"/>
                <w:szCs w:val="21"/>
              </w:rPr>
              <w:t xml:space="preserve">（T）—靠近围护结构处室内N个声源i倍频带的叠加声压级，dB； </w:t>
            </w:r>
          </w:p>
          <w:p w14:paraId="2A27A983">
            <w:pPr>
              <w:adjustRightInd w:val="0"/>
              <w:snapToGrid w:val="0"/>
              <w:spacing w:line="360" w:lineRule="auto"/>
              <w:ind w:firstLine="420" w:firstLineChars="200"/>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L</w:t>
            </w:r>
            <w:r>
              <w:rPr>
                <w:rFonts w:hint="default" w:ascii="Times New Roman" w:hAnsi="Times New Roman" w:eastAsia="仿宋_GB2312" w:cs="Times New Roman"/>
                <w:color w:val="auto"/>
                <w:sz w:val="21"/>
                <w:szCs w:val="21"/>
                <w:vertAlign w:val="subscript"/>
              </w:rPr>
              <w:t>P1ij</w:t>
            </w:r>
            <w:r>
              <w:rPr>
                <w:rFonts w:hint="default" w:ascii="Times New Roman" w:hAnsi="Times New Roman" w:eastAsia="仿宋_GB2312" w:cs="Times New Roman"/>
                <w:color w:val="auto"/>
                <w:sz w:val="21"/>
                <w:szCs w:val="21"/>
              </w:rPr>
              <w:t>—室内j声源i倍频带的声压级，dB；N—室内声源总数。</w:t>
            </w:r>
          </w:p>
          <w:p w14:paraId="0B361233">
            <w:pPr>
              <w:adjustRightInd w:val="0"/>
              <w:snapToGrid w:val="0"/>
              <w:spacing w:line="360" w:lineRule="auto"/>
              <w:ind w:firstLine="420" w:firstLineChars="200"/>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 xml:space="preserve">在室内近似为扩散声场时，按下式计算出靠近室外围护结构处的声压级： </w:t>
            </w:r>
          </w:p>
          <w:p w14:paraId="6ECE1A3B">
            <w:pPr>
              <w:adjustRightInd w:val="0"/>
              <w:snapToGrid w:val="0"/>
              <w:spacing w:line="360" w:lineRule="auto"/>
              <w:ind w:firstLine="420" w:firstLineChars="200"/>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L</w:t>
            </w:r>
            <w:r>
              <w:rPr>
                <w:rFonts w:hint="default" w:ascii="Times New Roman" w:hAnsi="Times New Roman" w:eastAsia="仿宋_GB2312" w:cs="Times New Roman"/>
                <w:color w:val="auto"/>
                <w:sz w:val="21"/>
                <w:szCs w:val="21"/>
                <w:vertAlign w:val="subscript"/>
              </w:rPr>
              <w:t>P2i</w:t>
            </w:r>
            <w:r>
              <w:rPr>
                <w:rFonts w:hint="default" w:ascii="Times New Roman" w:hAnsi="Times New Roman" w:eastAsia="仿宋_GB2312" w:cs="Times New Roman"/>
                <w:color w:val="auto"/>
                <w:sz w:val="21"/>
                <w:szCs w:val="21"/>
              </w:rPr>
              <w:t>（T）= L</w:t>
            </w:r>
            <w:r>
              <w:rPr>
                <w:rFonts w:hint="default" w:ascii="Times New Roman" w:hAnsi="Times New Roman" w:eastAsia="仿宋_GB2312" w:cs="Times New Roman"/>
                <w:color w:val="auto"/>
                <w:sz w:val="21"/>
                <w:szCs w:val="21"/>
                <w:vertAlign w:val="subscript"/>
              </w:rPr>
              <w:t>P1i</w:t>
            </w:r>
            <w:r>
              <w:rPr>
                <w:rFonts w:hint="default" w:ascii="Times New Roman" w:hAnsi="Times New Roman" w:eastAsia="仿宋_GB2312" w:cs="Times New Roman"/>
                <w:color w:val="auto"/>
                <w:sz w:val="21"/>
                <w:szCs w:val="21"/>
              </w:rPr>
              <w:t>（T）-（TL</w:t>
            </w:r>
            <w:r>
              <w:rPr>
                <w:rFonts w:hint="default" w:ascii="Times New Roman" w:hAnsi="Times New Roman" w:eastAsia="仿宋_GB2312" w:cs="Times New Roman"/>
                <w:color w:val="auto"/>
                <w:sz w:val="21"/>
                <w:szCs w:val="21"/>
                <w:vertAlign w:val="subscript"/>
              </w:rPr>
              <w:t xml:space="preserve">i </w:t>
            </w:r>
            <w:r>
              <w:rPr>
                <w:rFonts w:hint="default" w:ascii="Times New Roman" w:hAnsi="Times New Roman" w:eastAsia="仿宋_GB2312" w:cs="Times New Roman"/>
                <w:color w:val="auto"/>
                <w:sz w:val="21"/>
                <w:szCs w:val="21"/>
              </w:rPr>
              <w:t>+6）</w:t>
            </w:r>
          </w:p>
          <w:p w14:paraId="46EA31CC">
            <w:pPr>
              <w:adjustRightInd w:val="0"/>
              <w:snapToGrid w:val="0"/>
              <w:spacing w:line="360" w:lineRule="auto"/>
              <w:ind w:firstLine="420" w:firstLineChars="200"/>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式中：L</w:t>
            </w:r>
            <w:r>
              <w:rPr>
                <w:rFonts w:hint="default" w:ascii="Times New Roman" w:hAnsi="Times New Roman" w:eastAsia="仿宋_GB2312" w:cs="Times New Roman"/>
                <w:color w:val="auto"/>
                <w:sz w:val="21"/>
                <w:szCs w:val="21"/>
                <w:vertAlign w:val="subscript"/>
              </w:rPr>
              <w:t>P2i</w:t>
            </w:r>
            <w:r>
              <w:rPr>
                <w:rFonts w:hint="default" w:ascii="Times New Roman" w:hAnsi="Times New Roman" w:eastAsia="仿宋_GB2312" w:cs="Times New Roman"/>
                <w:color w:val="auto"/>
                <w:sz w:val="21"/>
                <w:szCs w:val="21"/>
              </w:rPr>
              <w:t xml:space="preserve">（T）—靠近围护结构处室外N个声源i倍频带的叠加声压级，dB； </w:t>
            </w:r>
          </w:p>
          <w:p w14:paraId="102F621A">
            <w:pPr>
              <w:adjustRightInd w:val="0"/>
              <w:snapToGrid w:val="0"/>
              <w:spacing w:line="360" w:lineRule="auto"/>
              <w:ind w:firstLine="420" w:firstLineChars="200"/>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TL</w:t>
            </w:r>
            <w:r>
              <w:rPr>
                <w:rFonts w:hint="default" w:ascii="Times New Roman" w:hAnsi="Times New Roman" w:eastAsia="仿宋_GB2312" w:cs="Times New Roman"/>
                <w:color w:val="auto"/>
                <w:sz w:val="21"/>
                <w:szCs w:val="21"/>
                <w:vertAlign w:val="subscript"/>
              </w:rPr>
              <w:t>i</w:t>
            </w:r>
            <w:r>
              <w:rPr>
                <w:rFonts w:hint="default" w:ascii="Times New Roman" w:hAnsi="Times New Roman" w:eastAsia="仿宋_GB2312" w:cs="Times New Roman"/>
                <w:color w:val="auto"/>
                <w:sz w:val="21"/>
                <w:szCs w:val="21"/>
              </w:rPr>
              <w:t xml:space="preserve">—围护结构i倍频带的隔声量，dB。 </w:t>
            </w:r>
          </w:p>
          <w:p w14:paraId="1D356D4A">
            <w:pPr>
              <w:adjustRightInd w:val="0"/>
              <w:snapToGrid w:val="0"/>
              <w:spacing w:line="360" w:lineRule="auto"/>
              <w:ind w:firstLine="420" w:firstLineChars="200"/>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 xml:space="preserve">然后按下式将室外声源的声压级和透过面积换算成等效的室外声源，计算出中心位置位于透声面积（S）处的等效声源的倍频带声功率级。 </w:t>
            </w:r>
          </w:p>
          <w:p w14:paraId="64BC0094">
            <w:pPr>
              <w:adjustRightInd w:val="0"/>
              <w:snapToGrid w:val="0"/>
              <w:spacing w:line="360" w:lineRule="auto"/>
              <w:ind w:firstLine="420" w:firstLineChars="200"/>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L</w:t>
            </w:r>
            <w:r>
              <w:rPr>
                <w:rFonts w:hint="default" w:ascii="Times New Roman" w:hAnsi="Times New Roman" w:eastAsia="仿宋_GB2312" w:cs="Times New Roman"/>
                <w:color w:val="auto"/>
                <w:sz w:val="21"/>
                <w:szCs w:val="21"/>
                <w:vertAlign w:val="subscript"/>
              </w:rPr>
              <w:t>W</w:t>
            </w:r>
            <w:r>
              <w:rPr>
                <w:rFonts w:hint="default" w:ascii="Times New Roman" w:hAnsi="Times New Roman" w:eastAsia="仿宋_GB2312" w:cs="Times New Roman"/>
                <w:color w:val="auto"/>
                <w:sz w:val="21"/>
                <w:szCs w:val="21"/>
              </w:rPr>
              <w:t>=L</w:t>
            </w:r>
            <w:r>
              <w:rPr>
                <w:rFonts w:hint="default" w:ascii="Times New Roman" w:hAnsi="Times New Roman" w:eastAsia="仿宋_GB2312" w:cs="Times New Roman"/>
                <w:color w:val="auto"/>
                <w:sz w:val="21"/>
                <w:szCs w:val="21"/>
                <w:vertAlign w:val="subscript"/>
              </w:rPr>
              <w:t>P2</w:t>
            </w:r>
            <w:r>
              <w:rPr>
                <w:rFonts w:hint="default" w:ascii="Times New Roman" w:hAnsi="Times New Roman" w:eastAsia="仿宋_GB2312" w:cs="Times New Roman"/>
                <w:color w:val="auto"/>
                <w:sz w:val="21"/>
                <w:szCs w:val="21"/>
              </w:rPr>
              <w:t>（T）+10lgs</w:t>
            </w:r>
          </w:p>
          <w:p w14:paraId="551B81AE">
            <w:pPr>
              <w:adjustRightInd w:val="0"/>
              <w:snapToGrid w:val="0"/>
              <w:spacing w:line="360" w:lineRule="auto"/>
              <w:ind w:firstLine="420" w:firstLineChars="200"/>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然后按室外声源预测方法计算预测点处的A声级。</w:t>
            </w:r>
          </w:p>
          <w:p w14:paraId="69EC669A">
            <w:pPr>
              <w:adjustRightInd w:val="0"/>
              <w:snapToGrid w:val="0"/>
              <w:spacing w:line="360" w:lineRule="auto"/>
              <w:ind w:firstLine="420" w:firstLineChars="200"/>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 xml:space="preserve">③噪声贡献值计算 </w:t>
            </w:r>
          </w:p>
          <w:p w14:paraId="77751BEE">
            <w:pPr>
              <w:adjustRightInd w:val="0"/>
              <w:snapToGrid w:val="0"/>
              <w:spacing w:line="360" w:lineRule="auto"/>
              <w:ind w:firstLine="420" w:firstLineChars="200"/>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设第i个室外声源在预测点产生的A声级为L</w:t>
            </w:r>
            <w:r>
              <w:rPr>
                <w:rFonts w:hint="default" w:ascii="Times New Roman" w:hAnsi="Times New Roman" w:eastAsia="仿宋_GB2312" w:cs="Times New Roman"/>
                <w:color w:val="auto"/>
                <w:sz w:val="21"/>
                <w:szCs w:val="21"/>
                <w:vertAlign w:val="subscript"/>
              </w:rPr>
              <w:t>Ai</w:t>
            </w:r>
            <w:r>
              <w:rPr>
                <w:rFonts w:hint="default" w:ascii="Times New Roman" w:hAnsi="Times New Roman" w:eastAsia="仿宋_GB2312" w:cs="Times New Roman"/>
                <w:color w:val="auto"/>
                <w:sz w:val="21"/>
                <w:szCs w:val="21"/>
              </w:rPr>
              <w:t>，在T时间内该声源工作时间为t</w:t>
            </w:r>
            <w:r>
              <w:rPr>
                <w:rFonts w:hint="default" w:ascii="Times New Roman" w:hAnsi="Times New Roman" w:eastAsia="仿宋_GB2312" w:cs="Times New Roman"/>
                <w:color w:val="auto"/>
                <w:sz w:val="21"/>
                <w:szCs w:val="21"/>
                <w:vertAlign w:val="subscript"/>
              </w:rPr>
              <w:t>i</w:t>
            </w:r>
            <w:r>
              <w:rPr>
                <w:rFonts w:hint="default" w:ascii="Times New Roman" w:hAnsi="Times New Roman" w:eastAsia="仿宋_GB2312" w:cs="Times New Roman"/>
                <w:color w:val="auto"/>
                <w:sz w:val="21"/>
                <w:szCs w:val="21"/>
              </w:rPr>
              <w:t>；第j个等效室外声源在预测点产生的A声级为L</w:t>
            </w:r>
            <w:r>
              <w:rPr>
                <w:rFonts w:hint="default" w:ascii="Times New Roman" w:hAnsi="Times New Roman" w:eastAsia="仿宋_GB2312" w:cs="Times New Roman"/>
                <w:color w:val="auto"/>
                <w:sz w:val="21"/>
                <w:szCs w:val="21"/>
                <w:vertAlign w:val="subscript"/>
              </w:rPr>
              <w:t>Aj</w:t>
            </w:r>
            <w:r>
              <w:rPr>
                <w:rFonts w:hint="default" w:ascii="Times New Roman" w:hAnsi="Times New Roman" w:eastAsia="仿宋_GB2312" w:cs="Times New Roman"/>
                <w:color w:val="auto"/>
                <w:sz w:val="21"/>
                <w:szCs w:val="21"/>
              </w:rPr>
              <w:t>，在T时间内该声源工作时间为t</w:t>
            </w:r>
            <w:r>
              <w:rPr>
                <w:rFonts w:hint="default" w:ascii="Times New Roman" w:hAnsi="Times New Roman" w:eastAsia="仿宋_GB2312" w:cs="Times New Roman"/>
                <w:color w:val="auto"/>
                <w:sz w:val="21"/>
                <w:szCs w:val="21"/>
                <w:vertAlign w:val="subscript"/>
              </w:rPr>
              <w:t>j</w:t>
            </w:r>
            <w:r>
              <w:rPr>
                <w:rFonts w:hint="default" w:ascii="Times New Roman" w:hAnsi="Times New Roman" w:eastAsia="仿宋_GB2312" w:cs="Times New Roman"/>
                <w:color w:val="auto"/>
                <w:sz w:val="21"/>
                <w:szCs w:val="21"/>
              </w:rPr>
              <w:t>，则拟建工程声源对预测点产生的贡献值（L</w:t>
            </w:r>
            <w:r>
              <w:rPr>
                <w:rFonts w:hint="default" w:ascii="Times New Roman" w:hAnsi="Times New Roman" w:eastAsia="仿宋_GB2312" w:cs="Times New Roman"/>
                <w:color w:val="auto"/>
                <w:sz w:val="21"/>
                <w:szCs w:val="21"/>
                <w:vertAlign w:val="subscript"/>
              </w:rPr>
              <w:t>eqg</w:t>
            </w:r>
            <w:r>
              <w:rPr>
                <w:rFonts w:hint="default" w:ascii="Times New Roman" w:hAnsi="Times New Roman" w:eastAsia="仿宋_GB2312" w:cs="Times New Roman"/>
                <w:color w:val="auto"/>
                <w:sz w:val="21"/>
                <w:szCs w:val="21"/>
              </w:rPr>
              <w:t>）为：</w:t>
            </w:r>
          </w:p>
          <w:p w14:paraId="386C7836">
            <w:pPr>
              <w:adjustRightInd w:val="0"/>
              <w:snapToGrid w:val="0"/>
              <w:spacing w:line="360" w:lineRule="auto"/>
              <w:ind w:firstLine="420" w:firstLineChars="20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drawing>
                <wp:anchor distT="0" distB="0" distL="114300" distR="114300" simplePos="0" relativeHeight="251932672" behindDoc="0" locked="0" layoutInCell="1" allowOverlap="1">
                  <wp:simplePos x="0" y="0"/>
                  <wp:positionH relativeFrom="column">
                    <wp:posOffset>1508760</wp:posOffset>
                  </wp:positionH>
                  <wp:positionV relativeFrom="paragraph">
                    <wp:posOffset>86360</wp:posOffset>
                  </wp:positionV>
                  <wp:extent cx="2371090" cy="424815"/>
                  <wp:effectExtent l="0" t="0" r="10160" b="13335"/>
                  <wp:wrapSquare wrapText="bothSides"/>
                  <wp:docPr id="10" name="图片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82"/>
                          <pic:cNvPicPr>
                            <a:picLocks noChangeAspect="1"/>
                          </pic:cNvPicPr>
                        </pic:nvPicPr>
                        <pic:blipFill>
                          <a:blip r:embed="rId54"/>
                          <a:stretch>
                            <a:fillRect/>
                          </a:stretch>
                        </pic:blipFill>
                        <pic:spPr>
                          <a:xfrm>
                            <a:off x="0" y="0"/>
                            <a:ext cx="2371090" cy="424815"/>
                          </a:xfrm>
                          <a:prstGeom prst="rect">
                            <a:avLst/>
                          </a:prstGeom>
                          <a:noFill/>
                          <a:ln>
                            <a:noFill/>
                          </a:ln>
                        </pic:spPr>
                      </pic:pic>
                    </a:graphicData>
                  </a:graphic>
                </wp:anchor>
              </w:drawing>
            </w:r>
          </w:p>
          <w:p w14:paraId="1CCCF756">
            <w:pPr>
              <w:adjustRightInd w:val="0"/>
              <w:snapToGrid w:val="0"/>
              <w:spacing w:line="360" w:lineRule="auto"/>
              <w:ind w:firstLine="420" w:firstLineChars="200"/>
              <w:jc w:val="center"/>
              <w:rPr>
                <w:rFonts w:hint="default" w:ascii="Times New Roman" w:hAnsi="Times New Roman" w:eastAsia="仿宋_GB2312" w:cs="Times New Roman"/>
                <w:color w:val="auto"/>
                <w:sz w:val="21"/>
                <w:szCs w:val="21"/>
              </w:rPr>
            </w:pPr>
          </w:p>
          <w:p w14:paraId="5BB36FE9">
            <w:pPr>
              <w:adjustRightInd w:val="0"/>
              <w:snapToGrid w:val="0"/>
              <w:spacing w:line="360" w:lineRule="auto"/>
              <w:ind w:firstLine="420" w:firstLineChars="200"/>
              <w:jc w:val="center"/>
              <w:rPr>
                <w:rFonts w:hint="default" w:ascii="Times New Roman" w:hAnsi="Times New Roman" w:eastAsia="仿宋_GB2312" w:cs="Times New Roman"/>
                <w:color w:val="auto"/>
                <w:sz w:val="21"/>
                <w:szCs w:val="21"/>
              </w:rPr>
            </w:pPr>
          </w:p>
          <w:p w14:paraId="15AD4BD7">
            <w:pPr>
              <w:adjustRightInd w:val="0"/>
              <w:snapToGrid w:val="0"/>
              <w:spacing w:line="360" w:lineRule="auto"/>
              <w:ind w:firstLine="420" w:firstLineChars="200"/>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式中：t</w:t>
            </w:r>
            <w:r>
              <w:rPr>
                <w:rFonts w:hint="default" w:ascii="Times New Roman" w:hAnsi="Times New Roman" w:eastAsia="仿宋_GB2312" w:cs="Times New Roman"/>
                <w:color w:val="auto"/>
                <w:sz w:val="21"/>
                <w:szCs w:val="21"/>
                <w:vertAlign w:val="subscript"/>
              </w:rPr>
              <w:t>j</w:t>
            </w:r>
            <w:r>
              <w:rPr>
                <w:rFonts w:hint="default" w:ascii="Times New Roman" w:hAnsi="Times New Roman" w:eastAsia="仿宋_GB2312" w:cs="Times New Roman"/>
                <w:color w:val="auto"/>
                <w:sz w:val="21"/>
                <w:szCs w:val="21"/>
              </w:rPr>
              <w:t>—在T时间内 j声源工作时间，s；</w:t>
            </w:r>
          </w:p>
          <w:p w14:paraId="799EF5E6">
            <w:pPr>
              <w:adjustRightInd w:val="0"/>
              <w:snapToGrid w:val="0"/>
              <w:spacing w:line="360" w:lineRule="auto"/>
              <w:ind w:firstLine="420" w:firstLineChars="200"/>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t</w:t>
            </w:r>
            <w:r>
              <w:rPr>
                <w:rFonts w:hint="default" w:ascii="Times New Roman" w:hAnsi="Times New Roman" w:eastAsia="仿宋_GB2312" w:cs="Times New Roman"/>
                <w:color w:val="auto"/>
                <w:sz w:val="21"/>
                <w:szCs w:val="21"/>
                <w:vertAlign w:val="subscript"/>
              </w:rPr>
              <w:t>i</w:t>
            </w:r>
            <w:r>
              <w:rPr>
                <w:rFonts w:hint="default" w:ascii="Times New Roman" w:hAnsi="Times New Roman" w:eastAsia="仿宋_GB2312" w:cs="Times New Roman"/>
                <w:color w:val="auto"/>
                <w:sz w:val="21"/>
                <w:szCs w:val="21"/>
              </w:rPr>
              <w:t>—在T时间内i声源工作时间，s；N—室外声源个数；</w:t>
            </w:r>
          </w:p>
          <w:p w14:paraId="4F401E81">
            <w:pPr>
              <w:adjustRightInd w:val="0"/>
              <w:snapToGrid w:val="0"/>
              <w:spacing w:line="360" w:lineRule="auto"/>
              <w:ind w:firstLine="420" w:firstLineChars="200"/>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T—用于计算等效声级的时间，s； M—等效室外声源个数。</w:t>
            </w:r>
          </w:p>
          <w:p w14:paraId="1437E7B9">
            <w:pPr>
              <w:adjustRightInd w:val="0"/>
              <w:snapToGrid w:val="0"/>
              <w:spacing w:line="360" w:lineRule="auto"/>
              <w:ind w:firstLine="420" w:firstLineChars="200"/>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 xml:space="preserve">④预测值计算 </w:t>
            </w:r>
          </w:p>
          <w:p w14:paraId="7FE20D0E">
            <w:pPr>
              <w:adjustRightInd w:val="0"/>
              <w:snapToGrid w:val="0"/>
              <w:spacing w:line="360" w:lineRule="auto"/>
              <w:ind w:firstLine="420" w:firstLineChars="200"/>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L</w:t>
            </w:r>
            <w:r>
              <w:rPr>
                <w:rFonts w:hint="default" w:ascii="Times New Roman" w:hAnsi="Times New Roman" w:eastAsia="仿宋_GB2312" w:cs="Times New Roman"/>
                <w:color w:val="auto"/>
                <w:sz w:val="21"/>
                <w:szCs w:val="21"/>
                <w:vertAlign w:val="subscript"/>
              </w:rPr>
              <w:t>eq</w:t>
            </w:r>
            <w:r>
              <w:rPr>
                <w:rFonts w:hint="default" w:ascii="Times New Roman" w:hAnsi="Times New Roman" w:eastAsia="仿宋_GB2312" w:cs="Times New Roman"/>
                <w:color w:val="auto"/>
                <w:sz w:val="21"/>
                <w:szCs w:val="21"/>
              </w:rPr>
              <w:t>= 10lg（10</w:t>
            </w:r>
            <w:r>
              <w:rPr>
                <w:rFonts w:hint="default" w:ascii="Times New Roman" w:hAnsi="Times New Roman" w:eastAsia="仿宋_GB2312" w:cs="Times New Roman"/>
                <w:color w:val="auto"/>
                <w:sz w:val="21"/>
                <w:szCs w:val="21"/>
                <w:vertAlign w:val="superscript"/>
              </w:rPr>
              <w:t xml:space="preserve">0.1Leqg </w:t>
            </w:r>
            <w:r>
              <w:rPr>
                <w:rFonts w:hint="default" w:ascii="Times New Roman" w:hAnsi="Times New Roman" w:eastAsia="仿宋_GB2312" w:cs="Times New Roman"/>
                <w:color w:val="auto"/>
                <w:sz w:val="21"/>
                <w:szCs w:val="21"/>
              </w:rPr>
              <w:t>+ 10</w:t>
            </w:r>
            <w:r>
              <w:rPr>
                <w:rFonts w:hint="default" w:ascii="Times New Roman" w:hAnsi="Times New Roman" w:eastAsia="仿宋_GB2312" w:cs="Times New Roman"/>
                <w:color w:val="auto"/>
                <w:sz w:val="21"/>
                <w:szCs w:val="21"/>
                <w:vertAlign w:val="superscript"/>
              </w:rPr>
              <w:t>0.1Leqb</w:t>
            </w:r>
            <w:r>
              <w:rPr>
                <w:rFonts w:hint="default" w:ascii="Times New Roman" w:hAnsi="Times New Roman" w:eastAsia="仿宋_GB2312" w:cs="Times New Roman"/>
                <w:color w:val="auto"/>
                <w:sz w:val="21"/>
                <w:szCs w:val="21"/>
              </w:rPr>
              <w:t>）</w:t>
            </w:r>
          </w:p>
          <w:p w14:paraId="56274850">
            <w:pPr>
              <w:adjustRightInd w:val="0"/>
              <w:snapToGrid w:val="0"/>
              <w:spacing w:line="360" w:lineRule="auto"/>
              <w:ind w:firstLine="420" w:firstLineChars="200"/>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式中：L</w:t>
            </w:r>
            <w:r>
              <w:rPr>
                <w:rFonts w:hint="default" w:ascii="Times New Roman" w:hAnsi="Times New Roman" w:eastAsia="仿宋_GB2312" w:cs="Times New Roman"/>
                <w:color w:val="auto"/>
                <w:sz w:val="21"/>
                <w:szCs w:val="21"/>
                <w:vertAlign w:val="subscript"/>
              </w:rPr>
              <w:t>eqg</w:t>
            </w:r>
            <w:r>
              <w:rPr>
                <w:rFonts w:hint="default" w:ascii="Times New Roman" w:hAnsi="Times New Roman" w:eastAsia="仿宋_GB2312" w:cs="Times New Roman"/>
                <w:color w:val="auto"/>
                <w:sz w:val="21"/>
                <w:szCs w:val="21"/>
              </w:rPr>
              <w:t xml:space="preserve">—建设项目声源在预测点的等效声级贡献值，dB（A）； </w:t>
            </w:r>
          </w:p>
          <w:p w14:paraId="50FDACDC">
            <w:pPr>
              <w:tabs>
                <w:tab w:val="left" w:pos="5340"/>
              </w:tabs>
              <w:adjustRightInd w:val="0"/>
              <w:snapToGrid w:val="0"/>
              <w:spacing w:line="360" w:lineRule="auto"/>
              <w:ind w:firstLine="420" w:firstLineChars="200"/>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L</w:t>
            </w:r>
            <w:r>
              <w:rPr>
                <w:rFonts w:hint="default" w:ascii="Times New Roman" w:hAnsi="Times New Roman" w:eastAsia="仿宋_GB2312" w:cs="Times New Roman"/>
                <w:color w:val="auto"/>
                <w:sz w:val="21"/>
                <w:szCs w:val="21"/>
                <w:vertAlign w:val="subscript"/>
              </w:rPr>
              <w:t>eqb</w:t>
            </w:r>
            <w:r>
              <w:rPr>
                <w:rFonts w:hint="default" w:ascii="Times New Roman" w:hAnsi="Times New Roman" w:eastAsia="仿宋_GB2312" w:cs="Times New Roman"/>
                <w:color w:val="auto"/>
                <w:sz w:val="21"/>
                <w:szCs w:val="21"/>
              </w:rPr>
              <w:t>—预测点的背景值，dB（A）。</w:t>
            </w:r>
          </w:p>
          <w:p w14:paraId="3F520AB8">
            <w:pPr>
              <w:tabs>
                <w:tab w:val="left" w:pos="5340"/>
              </w:tabs>
              <w:adjustRightInd w:val="0"/>
              <w:snapToGrid w:val="0"/>
              <w:spacing w:line="360" w:lineRule="auto"/>
              <w:ind w:firstLine="420" w:firstLineChars="200"/>
              <w:rPr>
                <w:rFonts w:eastAsia="仿宋_GB2312"/>
                <w:bCs/>
                <w:kern w:val="44"/>
              </w:rPr>
            </w:pPr>
            <w:r>
              <w:rPr>
                <w:rFonts w:eastAsia="仿宋_GB2312"/>
                <w:bCs/>
                <w:kern w:val="44"/>
              </w:rPr>
              <w:t>3）预测值计算</w:t>
            </w:r>
          </w:p>
          <w:p w14:paraId="47A02180">
            <w:pPr>
              <w:adjustRightInd w:val="0"/>
              <w:snapToGrid w:val="0"/>
              <w:spacing w:line="360" w:lineRule="auto"/>
              <w:ind w:firstLine="480"/>
              <w:rPr>
                <w:rFonts w:eastAsia="仿宋_GB2312"/>
                <w:bCs/>
              </w:rPr>
            </w:pPr>
            <w:r>
              <w:rPr>
                <w:rFonts w:eastAsia="仿宋_GB2312"/>
                <w:bCs/>
              </w:rPr>
              <w:t>项目噪声预测结果详见表4-2</w:t>
            </w:r>
            <w:r>
              <w:rPr>
                <w:rFonts w:hint="eastAsia" w:eastAsia="仿宋_GB2312"/>
                <w:bCs/>
                <w:lang w:val="en-US" w:eastAsia="zh-CN"/>
              </w:rPr>
              <w:t>6</w:t>
            </w:r>
            <w:r>
              <w:rPr>
                <w:rFonts w:eastAsia="仿宋_GB2312"/>
                <w:bCs/>
              </w:rPr>
              <w:t>。</w:t>
            </w:r>
          </w:p>
          <w:p w14:paraId="5FAAAC0E">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eastAsia="仿宋_GB2312"/>
                <w:b/>
                <w:bCs/>
                <w:kern w:val="0"/>
              </w:rPr>
            </w:pPr>
            <w:r>
              <w:rPr>
                <w:rFonts w:eastAsia="仿宋_GB2312"/>
                <w:b/>
                <w:bCs/>
                <w:kern w:val="0"/>
              </w:rPr>
              <w:t>表4-2</w:t>
            </w:r>
            <w:r>
              <w:rPr>
                <w:rFonts w:hint="eastAsia" w:eastAsia="仿宋_GB2312"/>
                <w:b/>
                <w:bCs/>
                <w:kern w:val="0"/>
                <w:lang w:val="en-US" w:eastAsia="zh-CN"/>
              </w:rPr>
              <w:t xml:space="preserve">6  </w:t>
            </w:r>
            <w:r>
              <w:rPr>
                <w:rFonts w:eastAsia="仿宋_GB2312"/>
                <w:b/>
                <w:bCs/>
                <w:kern w:val="0"/>
              </w:rPr>
              <w:t>项目各测点噪声预测结果表（单位：dB(A)）</w:t>
            </w:r>
          </w:p>
          <w:tbl>
            <w:tblPr>
              <w:tblStyle w:val="98"/>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429"/>
              <w:gridCol w:w="763"/>
              <w:gridCol w:w="547"/>
              <w:gridCol w:w="441"/>
              <w:gridCol w:w="501"/>
              <w:gridCol w:w="501"/>
              <w:gridCol w:w="456"/>
              <w:gridCol w:w="456"/>
              <w:gridCol w:w="563"/>
              <w:gridCol w:w="563"/>
              <w:gridCol w:w="669"/>
              <w:gridCol w:w="694"/>
              <w:gridCol w:w="496"/>
              <w:gridCol w:w="442"/>
              <w:gridCol w:w="475"/>
              <w:gridCol w:w="496"/>
            </w:tblGrid>
            <w:tr w14:paraId="709B0BF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81" w:hRule="atLeast"/>
                <w:jc w:val="center"/>
              </w:trPr>
              <w:tc>
                <w:tcPr>
                  <w:tcW w:w="252" w:type="pct"/>
                  <w:vMerge w:val="restart"/>
                  <w:tcBorders>
                    <w:tl2br w:val="nil"/>
                    <w:tr2bl w:val="nil"/>
                  </w:tcBorders>
                  <w:noWrap/>
                  <w:vAlign w:val="center"/>
                </w:tcPr>
                <w:p w14:paraId="52798688">
                  <w:pPr>
                    <w:adjustRightInd w:val="0"/>
                    <w:snapToGrid w:val="0"/>
                    <w:jc w:val="center"/>
                    <w:rPr>
                      <w:rFonts w:eastAsia="仿宋_GB2312"/>
                      <w:b/>
                      <w:bCs/>
                      <w:sz w:val="21"/>
                      <w:szCs w:val="21"/>
                    </w:rPr>
                  </w:pPr>
                  <w:r>
                    <w:rPr>
                      <w:rFonts w:eastAsia="仿宋_GB2312"/>
                      <w:b/>
                      <w:bCs/>
                      <w:spacing w:val="-2"/>
                      <w:sz w:val="21"/>
                      <w:szCs w:val="21"/>
                    </w:rPr>
                    <w:t>序号</w:t>
                  </w:r>
                </w:p>
              </w:tc>
              <w:tc>
                <w:tcPr>
                  <w:tcW w:w="449" w:type="pct"/>
                  <w:vMerge w:val="restart"/>
                  <w:tcBorders>
                    <w:tl2br w:val="nil"/>
                    <w:tr2bl w:val="nil"/>
                  </w:tcBorders>
                  <w:noWrap/>
                  <w:vAlign w:val="center"/>
                </w:tcPr>
                <w:p w14:paraId="7843111B">
                  <w:pPr>
                    <w:adjustRightInd w:val="0"/>
                    <w:snapToGrid w:val="0"/>
                    <w:jc w:val="center"/>
                    <w:rPr>
                      <w:rFonts w:eastAsia="仿宋_GB2312"/>
                      <w:b/>
                      <w:bCs/>
                      <w:sz w:val="21"/>
                      <w:szCs w:val="21"/>
                    </w:rPr>
                  </w:pPr>
                  <w:r>
                    <w:rPr>
                      <w:rFonts w:eastAsia="仿宋_GB2312"/>
                      <w:b/>
                      <w:bCs/>
                      <w:spacing w:val="-2"/>
                      <w:sz w:val="21"/>
                      <w:szCs w:val="21"/>
                    </w:rPr>
                    <w:t>声环境保护目标名称</w:t>
                  </w:r>
                </w:p>
              </w:tc>
              <w:tc>
                <w:tcPr>
                  <w:tcW w:w="581" w:type="pct"/>
                  <w:gridSpan w:val="2"/>
                  <w:tcBorders>
                    <w:tl2br w:val="nil"/>
                    <w:tr2bl w:val="nil"/>
                  </w:tcBorders>
                  <w:noWrap/>
                  <w:vAlign w:val="center"/>
                </w:tcPr>
                <w:p w14:paraId="3337DCA4">
                  <w:pPr>
                    <w:adjustRightInd w:val="0"/>
                    <w:snapToGrid w:val="0"/>
                    <w:jc w:val="center"/>
                    <w:rPr>
                      <w:rFonts w:eastAsia="仿宋_GB2312"/>
                      <w:b/>
                      <w:bCs/>
                      <w:sz w:val="21"/>
                      <w:szCs w:val="21"/>
                    </w:rPr>
                  </w:pPr>
                  <w:r>
                    <w:rPr>
                      <w:rFonts w:eastAsia="仿宋_GB2312"/>
                      <w:b/>
                      <w:bCs/>
                      <w:spacing w:val="-3"/>
                      <w:position w:val="7"/>
                      <w:sz w:val="21"/>
                      <w:szCs w:val="21"/>
                    </w:rPr>
                    <w:t>噪声背景值</w:t>
                  </w:r>
                  <w:r>
                    <w:rPr>
                      <w:rFonts w:eastAsia="仿宋_GB2312"/>
                      <w:b/>
                      <w:bCs/>
                      <w:sz w:val="21"/>
                      <w:szCs w:val="21"/>
                    </w:rPr>
                    <w:t>/dB(A)</w:t>
                  </w:r>
                </w:p>
              </w:tc>
              <w:tc>
                <w:tcPr>
                  <w:tcW w:w="589" w:type="pct"/>
                  <w:gridSpan w:val="2"/>
                  <w:tcBorders>
                    <w:tl2br w:val="nil"/>
                    <w:tr2bl w:val="nil"/>
                  </w:tcBorders>
                  <w:noWrap/>
                  <w:vAlign w:val="center"/>
                </w:tcPr>
                <w:p w14:paraId="20E63CEC">
                  <w:pPr>
                    <w:adjustRightInd w:val="0"/>
                    <w:snapToGrid w:val="0"/>
                    <w:jc w:val="center"/>
                    <w:rPr>
                      <w:rFonts w:eastAsia="仿宋_GB2312"/>
                      <w:b/>
                      <w:bCs/>
                      <w:sz w:val="21"/>
                      <w:szCs w:val="21"/>
                    </w:rPr>
                  </w:pPr>
                  <w:r>
                    <w:rPr>
                      <w:rFonts w:eastAsia="仿宋_GB2312"/>
                      <w:b/>
                      <w:bCs/>
                      <w:spacing w:val="-3"/>
                      <w:position w:val="7"/>
                      <w:sz w:val="21"/>
                      <w:szCs w:val="21"/>
                    </w:rPr>
                    <w:t>噪声现状值</w:t>
                  </w:r>
                  <w:r>
                    <w:rPr>
                      <w:rFonts w:eastAsia="仿宋_GB2312"/>
                      <w:b/>
                      <w:bCs/>
                      <w:sz w:val="21"/>
                      <w:szCs w:val="21"/>
                    </w:rPr>
                    <w:t>/dB(A)</w:t>
                  </w:r>
                </w:p>
              </w:tc>
              <w:tc>
                <w:tcPr>
                  <w:tcW w:w="536" w:type="pct"/>
                  <w:gridSpan w:val="2"/>
                  <w:tcBorders>
                    <w:tl2br w:val="nil"/>
                    <w:tr2bl w:val="nil"/>
                  </w:tcBorders>
                  <w:noWrap/>
                  <w:vAlign w:val="center"/>
                </w:tcPr>
                <w:p w14:paraId="6C4489E3">
                  <w:pPr>
                    <w:adjustRightInd w:val="0"/>
                    <w:snapToGrid w:val="0"/>
                    <w:jc w:val="center"/>
                    <w:rPr>
                      <w:rFonts w:eastAsia="仿宋_GB2312"/>
                      <w:b/>
                      <w:bCs/>
                      <w:sz w:val="21"/>
                      <w:szCs w:val="21"/>
                    </w:rPr>
                  </w:pPr>
                  <w:r>
                    <w:rPr>
                      <w:rFonts w:eastAsia="仿宋_GB2312"/>
                      <w:b/>
                      <w:bCs/>
                      <w:spacing w:val="-2"/>
                      <w:sz w:val="21"/>
                      <w:szCs w:val="21"/>
                    </w:rPr>
                    <w:t>噪声标准/dB(A)</w:t>
                  </w:r>
                </w:p>
              </w:tc>
              <w:tc>
                <w:tcPr>
                  <w:tcW w:w="662" w:type="pct"/>
                  <w:gridSpan w:val="2"/>
                  <w:tcBorders>
                    <w:tl2br w:val="nil"/>
                    <w:tr2bl w:val="nil"/>
                  </w:tcBorders>
                  <w:noWrap/>
                  <w:vAlign w:val="center"/>
                </w:tcPr>
                <w:p w14:paraId="51288A94">
                  <w:pPr>
                    <w:adjustRightInd w:val="0"/>
                    <w:snapToGrid w:val="0"/>
                    <w:jc w:val="center"/>
                    <w:rPr>
                      <w:rFonts w:eastAsia="仿宋_GB2312"/>
                      <w:b/>
                      <w:bCs/>
                      <w:sz w:val="21"/>
                      <w:szCs w:val="21"/>
                    </w:rPr>
                  </w:pPr>
                  <w:r>
                    <w:rPr>
                      <w:rFonts w:eastAsia="仿宋_GB2312"/>
                      <w:b/>
                      <w:bCs/>
                      <w:spacing w:val="-3"/>
                      <w:position w:val="7"/>
                      <w:sz w:val="21"/>
                      <w:szCs w:val="21"/>
                    </w:rPr>
                    <w:t>噪声贡献值</w:t>
                  </w:r>
                  <w:r>
                    <w:rPr>
                      <w:rFonts w:eastAsia="仿宋_GB2312"/>
                      <w:b/>
                      <w:bCs/>
                      <w:sz w:val="21"/>
                      <w:szCs w:val="21"/>
                    </w:rPr>
                    <w:t>/dB(A)</w:t>
                  </w:r>
                </w:p>
              </w:tc>
              <w:tc>
                <w:tcPr>
                  <w:tcW w:w="802" w:type="pct"/>
                  <w:gridSpan w:val="2"/>
                  <w:tcBorders>
                    <w:tl2br w:val="nil"/>
                    <w:tr2bl w:val="nil"/>
                  </w:tcBorders>
                  <w:noWrap/>
                  <w:vAlign w:val="center"/>
                </w:tcPr>
                <w:p w14:paraId="6AA16E4B">
                  <w:pPr>
                    <w:adjustRightInd w:val="0"/>
                    <w:snapToGrid w:val="0"/>
                    <w:jc w:val="center"/>
                    <w:rPr>
                      <w:rFonts w:eastAsia="仿宋_GB2312"/>
                      <w:b/>
                      <w:bCs/>
                      <w:sz w:val="21"/>
                      <w:szCs w:val="21"/>
                    </w:rPr>
                  </w:pPr>
                  <w:r>
                    <w:rPr>
                      <w:rFonts w:eastAsia="仿宋_GB2312"/>
                      <w:b/>
                      <w:bCs/>
                      <w:spacing w:val="-3"/>
                      <w:position w:val="7"/>
                      <w:sz w:val="21"/>
                      <w:szCs w:val="21"/>
                    </w:rPr>
                    <w:t>噪声预测值</w:t>
                  </w:r>
                  <w:r>
                    <w:rPr>
                      <w:rFonts w:eastAsia="仿宋_GB2312"/>
                      <w:b/>
                      <w:bCs/>
                      <w:sz w:val="21"/>
                      <w:szCs w:val="21"/>
                    </w:rPr>
                    <w:t>/dB(A)</w:t>
                  </w:r>
                </w:p>
              </w:tc>
              <w:tc>
                <w:tcPr>
                  <w:tcW w:w="552" w:type="pct"/>
                  <w:gridSpan w:val="2"/>
                  <w:tcBorders>
                    <w:tl2br w:val="nil"/>
                    <w:tr2bl w:val="nil"/>
                  </w:tcBorders>
                  <w:noWrap/>
                  <w:vAlign w:val="center"/>
                </w:tcPr>
                <w:p w14:paraId="19E0A044">
                  <w:pPr>
                    <w:adjustRightInd w:val="0"/>
                    <w:snapToGrid w:val="0"/>
                    <w:jc w:val="center"/>
                    <w:rPr>
                      <w:rFonts w:eastAsia="仿宋_GB2312"/>
                      <w:b/>
                      <w:bCs/>
                      <w:sz w:val="21"/>
                      <w:szCs w:val="21"/>
                    </w:rPr>
                  </w:pPr>
                  <w:r>
                    <w:rPr>
                      <w:rFonts w:eastAsia="仿宋_GB2312"/>
                      <w:b/>
                      <w:bCs/>
                      <w:spacing w:val="-2"/>
                      <w:sz w:val="21"/>
                      <w:szCs w:val="21"/>
                    </w:rPr>
                    <w:t>较现状增量</w:t>
                  </w:r>
                  <w:r>
                    <w:rPr>
                      <w:rFonts w:eastAsia="仿宋_GB2312"/>
                      <w:b/>
                      <w:bCs/>
                      <w:sz w:val="21"/>
                      <w:szCs w:val="21"/>
                    </w:rPr>
                    <w:t>/dB(A)</w:t>
                  </w:r>
                </w:p>
              </w:tc>
              <w:tc>
                <w:tcPr>
                  <w:tcW w:w="571" w:type="pct"/>
                  <w:gridSpan w:val="2"/>
                  <w:tcBorders>
                    <w:tl2br w:val="nil"/>
                    <w:tr2bl w:val="nil"/>
                  </w:tcBorders>
                  <w:noWrap/>
                  <w:vAlign w:val="center"/>
                </w:tcPr>
                <w:p w14:paraId="33FFA336">
                  <w:pPr>
                    <w:adjustRightInd w:val="0"/>
                    <w:snapToGrid w:val="0"/>
                    <w:jc w:val="center"/>
                    <w:rPr>
                      <w:rFonts w:eastAsia="仿宋_GB2312"/>
                      <w:b/>
                      <w:bCs/>
                      <w:sz w:val="21"/>
                      <w:szCs w:val="21"/>
                    </w:rPr>
                  </w:pPr>
                  <w:r>
                    <w:rPr>
                      <w:rFonts w:eastAsia="仿宋_GB2312"/>
                      <w:b/>
                      <w:bCs/>
                      <w:spacing w:val="-1"/>
                      <w:sz w:val="21"/>
                      <w:szCs w:val="21"/>
                    </w:rPr>
                    <w:t>超标和达标情况</w:t>
                  </w:r>
                </w:p>
              </w:tc>
            </w:tr>
            <w:tr w14:paraId="2E9B002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7" w:hRule="atLeast"/>
                <w:jc w:val="center"/>
              </w:trPr>
              <w:tc>
                <w:tcPr>
                  <w:tcW w:w="252" w:type="pct"/>
                  <w:vMerge w:val="continue"/>
                  <w:tcBorders>
                    <w:tl2br w:val="nil"/>
                    <w:tr2bl w:val="nil"/>
                  </w:tcBorders>
                  <w:noWrap/>
                  <w:vAlign w:val="center"/>
                </w:tcPr>
                <w:p w14:paraId="35E77351">
                  <w:pPr>
                    <w:pStyle w:val="99"/>
                    <w:adjustRightInd w:val="0"/>
                    <w:snapToGrid w:val="0"/>
                    <w:jc w:val="center"/>
                    <w:rPr>
                      <w:rFonts w:ascii="Times New Roman" w:hAnsi="Times New Roman" w:eastAsia="仿宋_GB2312" w:cs="Times New Roman"/>
                      <w:sz w:val="21"/>
                      <w:szCs w:val="21"/>
                      <w:lang w:eastAsia="zh-CN"/>
                    </w:rPr>
                  </w:pPr>
                </w:p>
              </w:tc>
              <w:tc>
                <w:tcPr>
                  <w:tcW w:w="449" w:type="pct"/>
                  <w:vMerge w:val="continue"/>
                  <w:tcBorders>
                    <w:tl2br w:val="nil"/>
                    <w:tr2bl w:val="nil"/>
                  </w:tcBorders>
                  <w:noWrap/>
                  <w:vAlign w:val="center"/>
                </w:tcPr>
                <w:p w14:paraId="79AFAE70">
                  <w:pPr>
                    <w:pStyle w:val="99"/>
                    <w:adjustRightInd w:val="0"/>
                    <w:snapToGrid w:val="0"/>
                    <w:jc w:val="center"/>
                    <w:rPr>
                      <w:rFonts w:ascii="Times New Roman" w:hAnsi="Times New Roman" w:eastAsia="仿宋_GB2312" w:cs="Times New Roman"/>
                      <w:sz w:val="21"/>
                      <w:szCs w:val="21"/>
                      <w:lang w:eastAsia="zh-CN"/>
                    </w:rPr>
                  </w:pPr>
                </w:p>
              </w:tc>
              <w:tc>
                <w:tcPr>
                  <w:tcW w:w="322" w:type="pct"/>
                  <w:tcBorders>
                    <w:tl2br w:val="nil"/>
                    <w:tr2bl w:val="nil"/>
                  </w:tcBorders>
                  <w:noWrap/>
                  <w:vAlign w:val="center"/>
                </w:tcPr>
                <w:p w14:paraId="2940CF5F">
                  <w:pPr>
                    <w:adjustRightInd w:val="0"/>
                    <w:snapToGrid w:val="0"/>
                    <w:jc w:val="center"/>
                    <w:rPr>
                      <w:rFonts w:eastAsia="仿宋_GB2312"/>
                      <w:sz w:val="21"/>
                      <w:szCs w:val="21"/>
                    </w:rPr>
                  </w:pPr>
                  <w:r>
                    <w:rPr>
                      <w:rFonts w:eastAsia="仿宋_GB2312"/>
                      <w:spacing w:val="-2"/>
                      <w:sz w:val="21"/>
                      <w:szCs w:val="21"/>
                    </w:rPr>
                    <w:t>昼间</w:t>
                  </w:r>
                </w:p>
              </w:tc>
              <w:tc>
                <w:tcPr>
                  <w:tcW w:w="259" w:type="pct"/>
                  <w:tcBorders>
                    <w:tl2br w:val="nil"/>
                    <w:tr2bl w:val="nil"/>
                  </w:tcBorders>
                  <w:noWrap/>
                  <w:vAlign w:val="center"/>
                </w:tcPr>
                <w:p w14:paraId="44EA738B">
                  <w:pPr>
                    <w:adjustRightInd w:val="0"/>
                    <w:snapToGrid w:val="0"/>
                    <w:jc w:val="center"/>
                    <w:rPr>
                      <w:rFonts w:eastAsia="仿宋_GB2312"/>
                      <w:sz w:val="21"/>
                      <w:szCs w:val="21"/>
                    </w:rPr>
                  </w:pPr>
                  <w:r>
                    <w:rPr>
                      <w:rFonts w:eastAsia="仿宋_GB2312"/>
                      <w:spacing w:val="-3"/>
                      <w:sz w:val="21"/>
                      <w:szCs w:val="21"/>
                    </w:rPr>
                    <w:t>夜间</w:t>
                  </w:r>
                </w:p>
              </w:tc>
              <w:tc>
                <w:tcPr>
                  <w:tcW w:w="294" w:type="pct"/>
                  <w:tcBorders>
                    <w:tl2br w:val="nil"/>
                    <w:tr2bl w:val="nil"/>
                  </w:tcBorders>
                  <w:noWrap/>
                  <w:vAlign w:val="center"/>
                </w:tcPr>
                <w:p w14:paraId="753F3B7A">
                  <w:pPr>
                    <w:adjustRightInd w:val="0"/>
                    <w:snapToGrid w:val="0"/>
                    <w:jc w:val="center"/>
                    <w:rPr>
                      <w:rFonts w:eastAsia="仿宋_GB2312"/>
                      <w:sz w:val="21"/>
                      <w:szCs w:val="21"/>
                    </w:rPr>
                  </w:pPr>
                  <w:r>
                    <w:rPr>
                      <w:rFonts w:eastAsia="仿宋_GB2312"/>
                      <w:spacing w:val="-2"/>
                      <w:sz w:val="21"/>
                      <w:szCs w:val="21"/>
                    </w:rPr>
                    <w:t>昼间</w:t>
                  </w:r>
                </w:p>
              </w:tc>
              <w:tc>
                <w:tcPr>
                  <w:tcW w:w="294" w:type="pct"/>
                  <w:tcBorders>
                    <w:tl2br w:val="nil"/>
                    <w:tr2bl w:val="nil"/>
                  </w:tcBorders>
                  <w:noWrap/>
                  <w:vAlign w:val="center"/>
                </w:tcPr>
                <w:p w14:paraId="424B15C2">
                  <w:pPr>
                    <w:adjustRightInd w:val="0"/>
                    <w:snapToGrid w:val="0"/>
                    <w:jc w:val="center"/>
                    <w:rPr>
                      <w:rFonts w:eastAsia="仿宋_GB2312"/>
                      <w:sz w:val="21"/>
                      <w:szCs w:val="21"/>
                    </w:rPr>
                  </w:pPr>
                  <w:r>
                    <w:rPr>
                      <w:rFonts w:eastAsia="仿宋_GB2312"/>
                      <w:spacing w:val="-3"/>
                      <w:sz w:val="21"/>
                      <w:szCs w:val="21"/>
                    </w:rPr>
                    <w:t>夜间</w:t>
                  </w:r>
                </w:p>
              </w:tc>
              <w:tc>
                <w:tcPr>
                  <w:tcW w:w="268" w:type="pct"/>
                  <w:tcBorders>
                    <w:tl2br w:val="nil"/>
                    <w:tr2bl w:val="nil"/>
                  </w:tcBorders>
                  <w:noWrap/>
                  <w:vAlign w:val="center"/>
                </w:tcPr>
                <w:p w14:paraId="0BEA5A14">
                  <w:pPr>
                    <w:adjustRightInd w:val="0"/>
                    <w:snapToGrid w:val="0"/>
                    <w:jc w:val="center"/>
                    <w:rPr>
                      <w:rFonts w:eastAsia="仿宋_GB2312"/>
                      <w:sz w:val="21"/>
                      <w:szCs w:val="21"/>
                    </w:rPr>
                  </w:pPr>
                  <w:r>
                    <w:rPr>
                      <w:rFonts w:eastAsia="仿宋_GB2312"/>
                      <w:spacing w:val="-2"/>
                      <w:sz w:val="21"/>
                      <w:szCs w:val="21"/>
                    </w:rPr>
                    <w:t>昼间</w:t>
                  </w:r>
                </w:p>
              </w:tc>
              <w:tc>
                <w:tcPr>
                  <w:tcW w:w="268" w:type="pct"/>
                  <w:tcBorders>
                    <w:tl2br w:val="nil"/>
                    <w:tr2bl w:val="nil"/>
                  </w:tcBorders>
                  <w:noWrap/>
                  <w:vAlign w:val="center"/>
                </w:tcPr>
                <w:p w14:paraId="299B86EB">
                  <w:pPr>
                    <w:adjustRightInd w:val="0"/>
                    <w:snapToGrid w:val="0"/>
                    <w:jc w:val="center"/>
                    <w:rPr>
                      <w:rFonts w:eastAsia="仿宋_GB2312"/>
                      <w:sz w:val="21"/>
                      <w:szCs w:val="21"/>
                    </w:rPr>
                  </w:pPr>
                  <w:r>
                    <w:rPr>
                      <w:rFonts w:eastAsia="仿宋_GB2312"/>
                      <w:spacing w:val="-3"/>
                      <w:sz w:val="21"/>
                      <w:szCs w:val="21"/>
                    </w:rPr>
                    <w:t>夜间</w:t>
                  </w:r>
                </w:p>
              </w:tc>
              <w:tc>
                <w:tcPr>
                  <w:tcW w:w="331" w:type="pct"/>
                  <w:tcBorders>
                    <w:tl2br w:val="nil"/>
                    <w:tr2bl w:val="nil"/>
                  </w:tcBorders>
                  <w:noWrap/>
                  <w:vAlign w:val="center"/>
                </w:tcPr>
                <w:p w14:paraId="3F589D5B">
                  <w:pPr>
                    <w:adjustRightInd w:val="0"/>
                    <w:snapToGrid w:val="0"/>
                    <w:jc w:val="center"/>
                    <w:rPr>
                      <w:rFonts w:eastAsia="仿宋_GB2312"/>
                      <w:sz w:val="21"/>
                      <w:szCs w:val="21"/>
                    </w:rPr>
                  </w:pPr>
                  <w:r>
                    <w:rPr>
                      <w:rFonts w:eastAsia="仿宋_GB2312"/>
                      <w:spacing w:val="-2"/>
                      <w:sz w:val="21"/>
                      <w:szCs w:val="21"/>
                    </w:rPr>
                    <w:t>昼间</w:t>
                  </w:r>
                </w:p>
              </w:tc>
              <w:tc>
                <w:tcPr>
                  <w:tcW w:w="331" w:type="pct"/>
                  <w:tcBorders>
                    <w:tl2br w:val="nil"/>
                    <w:tr2bl w:val="nil"/>
                  </w:tcBorders>
                  <w:noWrap/>
                  <w:vAlign w:val="center"/>
                </w:tcPr>
                <w:p w14:paraId="5B355DE5">
                  <w:pPr>
                    <w:adjustRightInd w:val="0"/>
                    <w:snapToGrid w:val="0"/>
                    <w:jc w:val="center"/>
                    <w:rPr>
                      <w:rFonts w:eastAsia="仿宋_GB2312"/>
                      <w:sz w:val="21"/>
                      <w:szCs w:val="21"/>
                    </w:rPr>
                  </w:pPr>
                  <w:r>
                    <w:rPr>
                      <w:rFonts w:eastAsia="仿宋_GB2312"/>
                      <w:spacing w:val="-3"/>
                      <w:sz w:val="21"/>
                      <w:szCs w:val="21"/>
                    </w:rPr>
                    <w:t>夜间</w:t>
                  </w:r>
                </w:p>
              </w:tc>
              <w:tc>
                <w:tcPr>
                  <w:tcW w:w="393" w:type="pct"/>
                  <w:tcBorders>
                    <w:tl2br w:val="nil"/>
                    <w:tr2bl w:val="nil"/>
                  </w:tcBorders>
                  <w:noWrap/>
                  <w:vAlign w:val="center"/>
                </w:tcPr>
                <w:p w14:paraId="7E17EF92">
                  <w:pPr>
                    <w:adjustRightInd w:val="0"/>
                    <w:snapToGrid w:val="0"/>
                    <w:jc w:val="center"/>
                    <w:rPr>
                      <w:rFonts w:eastAsia="仿宋_GB2312"/>
                      <w:sz w:val="21"/>
                      <w:szCs w:val="21"/>
                    </w:rPr>
                  </w:pPr>
                  <w:r>
                    <w:rPr>
                      <w:rFonts w:eastAsia="仿宋_GB2312"/>
                      <w:spacing w:val="-2"/>
                      <w:sz w:val="21"/>
                      <w:szCs w:val="21"/>
                    </w:rPr>
                    <w:t>昼间</w:t>
                  </w:r>
                </w:p>
              </w:tc>
              <w:tc>
                <w:tcPr>
                  <w:tcW w:w="408" w:type="pct"/>
                  <w:tcBorders>
                    <w:tl2br w:val="nil"/>
                    <w:tr2bl w:val="nil"/>
                  </w:tcBorders>
                  <w:noWrap/>
                  <w:vAlign w:val="center"/>
                </w:tcPr>
                <w:p w14:paraId="5DE05DB6">
                  <w:pPr>
                    <w:adjustRightInd w:val="0"/>
                    <w:snapToGrid w:val="0"/>
                    <w:jc w:val="center"/>
                    <w:rPr>
                      <w:rFonts w:eastAsia="仿宋_GB2312"/>
                      <w:sz w:val="21"/>
                      <w:szCs w:val="21"/>
                    </w:rPr>
                  </w:pPr>
                  <w:r>
                    <w:rPr>
                      <w:rFonts w:eastAsia="仿宋_GB2312"/>
                      <w:spacing w:val="-3"/>
                      <w:sz w:val="21"/>
                      <w:szCs w:val="21"/>
                    </w:rPr>
                    <w:t>夜间</w:t>
                  </w:r>
                </w:p>
              </w:tc>
              <w:tc>
                <w:tcPr>
                  <w:tcW w:w="292" w:type="pct"/>
                  <w:tcBorders>
                    <w:tl2br w:val="nil"/>
                    <w:tr2bl w:val="nil"/>
                  </w:tcBorders>
                  <w:noWrap/>
                  <w:vAlign w:val="center"/>
                </w:tcPr>
                <w:p w14:paraId="586D72C7">
                  <w:pPr>
                    <w:adjustRightInd w:val="0"/>
                    <w:snapToGrid w:val="0"/>
                    <w:jc w:val="center"/>
                    <w:rPr>
                      <w:rFonts w:eastAsia="仿宋_GB2312"/>
                      <w:sz w:val="21"/>
                      <w:szCs w:val="21"/>
                    </w:rPr>
                  </w:pPr>
                  <w:r>
                    <w:rPr>
                      <w:rFonts w:eastAsia="仿宋_GB2312"/>
                      <w:spacing w:val="-2"/>
                      <w:sz w:val="21"/>
                      <w:szCs w:val="21"/>
                    </w:rPr>
                    <w:t>昼间</w:t>
                  </w:r>
                </w:p>
              </w:tc>
              <w:tc>
                <w:tcPr>
                  <w:tcW w:w="260" w:type="pct"/>
                  <w:tcBorders>
                    <w:tl2br w:val="nil"/>
                    <w:tr2bl w:val="nil"/>
                  </w:tcBorders>
                  <w:noWrap/>
                  <w:vAlign w:val="center"/>
                </w:tcPr>
                <w:p w14:paraId="7D8046E4">
                  <w:pPr>
                    <w:adjustRightInd w:val="0"/>
                    <w:snapToGrid w:val="0"/>
                    <w:jc w:val="center"/>
                    <w:rPr>
                      <w:rFonts w:eastAsia="仿宋_GB2312"/>
                      <w:sz w:val="21"/>
                      <w:szCs w:val="21"/>
                    </w:rPr>
                  </w:pPr>
                  <w:r>
                    <w:rPr>
                      <w:rFonts w:eastAsia="仿宋_GB2312"/>
                      <w:spacing w:val="-3"/>
                      <w:sz w:val="21"/>
                      <w:szCs w:val="21"/>
                    </w:rPr>
                    <w:t>夜间</w:t>
                  </w:r>
                </w:p>
              </w:tc>
              <w:tc>
                <w:tcPr>
                  <w:tcW w:w="279" w:type="pct"/>
                  <w:tcBorders>
                    <w:tl2br w:val="nil"/>
                    <w:tr2bl w:val="nil"/>
                  </w:tcBorders>
                  <w:noWrap/>
                  <w:vAlign w:val="center"/>
                </w:tcPr>
                <w:p w14:paraId="72E21C6B">
                  <w:pPr>
                    <w:adjustRightInd w:val="0"/>
                    <w:snapToGrid w:val="0"/>
                    <w:jc w:val="center"/>
                    <w:rPr>
                      <w:rFonts w:eastAsia="仿宋_GB2312"/>
                      <w:sz w:val="21"/>
                      <w:szCs w:val="21"/>
                    </w:rPr>
                  </w:pPr>
                  <w:r>
                    <w:rPr>
                      <w:rFonts w:eastAsia="仿宋_GB2312"/>
                      <w:spacing w:val="-2"/>
                      <w:sz w:val="21"/>
                      <w:szCs w:val="21"/>
                    </w:rPr>
                    <w:t>昼间</w:t>
                  </w:r>
                </w:p>
              </w:tc>
              <w:tc>
                <w:tcPr>
                  <w:tcW w:w="292" w:type="pct"/>
                  <w:tcBorders>
                    <w:tl2br w:val="nil"/>
                    <w:tr2bl w:val="nil"/>
                  </w:tcBorders>
                  <w:noWrap/>
                  <w:vAlign w:val="center"/>
                </w:tcPr>
                <w:p w14:paraId="5F930FF9">
                  <w:pPr>
                    <w:adjustRightInd w:val="0"/>
                    <w:snapToGrid w:val="0"/>
                    <w:jc w:val="center"/>
                    <w:rPr>
                      <w:rFonts w:eastAsia="仿宋_GB2312"/>
                      <w:sz w:val="21"/>
                      <w:szCs w:val="21"/>
                    </w:rPr>
                  </w:pPr>
                  <w:r>
                    <w:rPr>
                      <w:rFonts w:eastAsia="仿宋_GB2312"/>
                      <w:spacing w:val="-3"/>
                      <w:sz w:val="21"/>
                      <w:szCs w:val="21"/>
                    </w:rPr>
                    <w:t>夜间</w:t>
                  </w:r>
                </w:p>
              </w:tc>
            </w:tr>
            <w:tr w14:paraId="1468C78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252" w:type="pct"/>
                  <w:tcBorders>
                    <w:tl2br w:val="nil"/>
                    <w:tr2bl w:val="nil"/>
                  </w:tcBorders>
                  <w:noWrap/>
                  <w:vAlign w:val="center"/>
                </w:tcPr>
                <w:p w14:paraId="26861EF0">
                  <w:pPr>
                    <w:pStyle w:val="99"/>
                    <w:adjustRightInd w:val="0"/>
                    <w:snapToGrid w:val="0"/>
                    <w:jc w:val="center"/>
                    <w:rPr>
                      <w:rFonts w:ascii="Times New Roman" w:hAnsi="Times New Roman" w:eastAsia="仿宋_GB2312" w:cs="Times New Roman"/>
                      <w:sz w:val="21"/>
                      <w:szCs w:val="21"/>
                      <w:lang w:eastAsia="zh-CN"/>
                    </w:rPr>
                  </w:pPr>
                  <w:r>
                    <w:rPr>
                      <w:rFonts w:ascii="Times New Roman" w:hAnsi="Times New Roman" w:eastAsia="仿宋_GB2312" w:cs="Times New Roman"/>
                      <w:sz w:val="21"/>
                      <w:szCs w:val="21"/>
                      <w:lang w:eastAsia="zh-CN"/>
                    </w:rPr>
                    <w:t>1</w:t>
                  </w:r>
                </w:p>
              </w:tc>
              <w:tc>
                <w:tcPr>
                  <w:tcW w:w="449" w:type="pct"/>
                  <w:tcBorders>
                    <w:tl2br w:val="nil"/>
                    <w:tr2bl w:val="nil"/>
                  </w:tcBorders>
                  <w:noWrap/>
                  <w:vAlign w:val="center"/>
                </w:tcPr>
                <w:p w14:paraId="6C363098">
                  <w:pPr>
                    <w:pStyle w:val="99"/>
                    <w:adjustRightInd w:val="0"/>
                    <w:snapToGrid w:val="0"/>
                    <w:jc w:val="center"/>
                    <w:rPr>
                      <w:rFonts w:ascii="Times New Roman" w:hAnsi="Times New Roman" w:eastAsia="仿宋_GB2312" w:cs="Times New Roman"/>
                      <w:sz w:val="21"/>
                      <w:szCs w:val="21"/>
                      <w:lang w:eastAsia="zh-CN"/>
                    </w:rPr>
                  </w:pPr>
                  <w:r>
                    <w:rPr>
                      <w:rFonts w:ascii="Times New Roman" w:hAnsi="Times New Roman" w:eastAsia="仿宋_GB2312" w:cs="Times New Roman"/>
                      <w:sz w:val="21"/>
                      <w:szCs w:val="21"/>
                      <w:lang w:eastAsia="zh-CN"/>
                    </w:rPr>
                    <w:t>东厂界</w:t>
                  </w:r>
                </w:p>
              </w:tc>
              <w:tc>
                <w:tcPr>
                  <w:tcW w:w="322" w:type="pct"/>
                  <w:tcBorders>
                    <w:tl2br w:val="nil"/>
                    <w:tr2bl w:val="nil"/>
                  </w:tcBorders>
                  <w:noWrap/>
                  <w:vAlign w:val="center"/>
                </w:tcPr>
                <w:p w14:paraId="2D1620DF">
                  <w:pPr>
                    <w:adjustRightInd w:val="0"/>
                    <w:snapToGrid w:val="0"/>
                    <w:jc w:val="center"/>
                    <w:rPr>
                      <w:rFonts w:eastAsia="仿宋_GB2312"/>
                      <w:sz w:val="21"/>
                      <w:szCs w:val="21"/>
                    </w:rPr>
                  </w:pPr>
                  <w:r>
                    <w:rPr>
                      <w:rFonts w:eastAsia="仿宋_GB2312"/>
                      <w:sz w:val="21"/>
                      <w:szCs w:val="21"/>
                    </w:rPr>
                    <w:t>/</w:t>
                  </w:r>
                </w:p>
              </w:tc>
              <w:tc>
                <w:tcPr>
                  <w:tcW w:w="259" w:type="pct"/>
                  <w:tcBorders>
                    <w:tl2br w:val="nil"/>
                    <w:tr2bl w:val="nil"/>
                  </w:tcBorders>
                  <w:noWrap/>
                  <w:vAlign w:val="center"/>
                </w:tcPr>
                <w:p w14:paraId="59F05756">
                  <w:pPr>
                    <w:adjustRightInd w:val="0"/>
                    <w:snapToGrid w:val="0"/>
                    <w:jc w:val="center"/>
                    <w:rPr>
                      <w:rFonts w:eastAsia="仿宋_GB2312"/>
                      <w:sz w:val="21"/>
                      <w:szCs w:val="21"/>
                    </w:rPr>
                  </w:pPr>
                  <w:r>
                    <w:rPr>
                      <w:rFonts w:eastAsia="仿宋_GB2312"/>
                      <w:sz w:val="21"/>
                      <w:szCs w:val="21"/>
                    </w:rPr>
                    <w:t>/</w:t>
                  </w:r>
                </w:p>
              </w:tc>
              <w:tc>
                <w:tcPr>
                  <w:tcW w:w="294" w:type="pct"/>
                  <w:tcBorders>
                    <w:tl2br w:val="nil"/>
                    <w:tr2bl w:val="nil"/>
                  </w:tcBorders>
                  <w:shd w:val="clear" w:color="auto" w:fill="auto"/>
                  <w:noWrap/>
                  <w:vAlign w:val="center"/>
                </w:tcPr>
                <w:p w14:paraId="2E275720">
                  <w:pPr>
                    <w:pStyle w:val="17"/>
                    <w:keepNext w:val="0"/>
                    <w:keepLines w:val="0"/>
                    <w:pageBreakBefore w:val="0"/>
                    <w:widowControl w:val="0"/>
                    <w:numPr>
                      <w:ilvl w:val="0"/>
                      <w:numId w:val="0"/>
                    </w:numPr>
                    <w:suppressLineNumbers w:val="0"/>
                    <w:tabs>
                      <w:tab w:val="clear" w:pos="204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_GB2312" w:cs="Times New Roman"/>
                      <w:color w:val="auto"/>
                      <w:kern w:val="2"/>
                      <w:sz w:val="21"/>
                      <w:szCs w:val="21"/>
                      <w:vertAlign w:val="baseline"/>
                      <w:lang w:val="en-US" w:eastAsia="zh-CN" w:bidi="ar-SA"/>
                    </w:rPr>
                  </w:pPr>
                  <w:r>
                    <w:rPr>
                      <w:rFonts w:hint="eastAsia" w:ascii="Times New Roman" w:hAnsi="Times New Roman" w:eastAsia="仿宋_GB2312" w:cs="Times New Roman"/>
                      <w:color w:val="auto"/>
                      <w:kern w:val="2"/>
                      <w:sz w:val="21"/>
                      <w:szCs w:val="21"/>
                      <w:vertAlign w:val="baseline"/>
                      <w:lang w:val="en-US" w:eastAsia="zh-CN" w:bidi="ar-SA"/>
                    </w:rPr>
                    <w:t>63</w:t>
                  </w:r>
                </w:p>
              </w:tc>
              <w:tc>
                <w:tcPr>
                  <w:tcW w:w="294" w:type="pct"/>
                  <w:tcBorders>
                    <w:tl2br w:val="nil"/>
                    <w:tr2bl w:val="nil"/>
                  </w:tcBorders>
                  <w:noWrap/>
                  <w:vAlign w:val="center"/>
                </w:tcPr>
                <w:p w14:paraId="11E7F48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eastAsia="仿宋_GB2312"/>
                      <w:sz w:val="21"/>
                      <w:szCs w:val="21"/>
                    </w:rPr>
                  </w:pPr>
                  <w:r>
                    <w:rPr>
                      <w:rFonts w:hint="eastAsia" w:ascii="Times New Roman" w:hAnsi="Times New Roman" w:eastAsia="仿宋_GB2312" w:cs="Times New Roman"/>
                      <w:color w:val="auto"/>
                      <w:kern w:val="2"/>
                      <w:sz w:val="21"/>
                      <w:szCs w:val="21"/>
                      <w:vertAlign w:val="baseline"/>
                      <w:lang w:val="en-US" w:eastAsia="zh-CN" w:bidi="ar-SA"/>
                    </w:rPr>
                    <w:t>53</w:t>
                  </w:r>
                </w:p>
              </w:tc>
              <w:tc>
                <w:tcPr>
                  <w:tcW w:w="268" w:type="pct"/>
                  <w:tcBorders>
                    <w:tl2br w:val="nil"/>
                    <w:tr2bl w:val="nil"/>
                  </w:tcBorders>
                  <w:noWrap/>
                  <w:vAlign w:val="center"/>
                </w:tcPr>
                <w:p w14:paraId="3005C18A">
                  <w:pPr>
                    <w:pStyle w:val="99"/>
                    <w:adjustRightInd w:val="0"/>
                    <w:snapToGrid w:val="0"/>
                    <w:jc w:val="center"/>
                    <w:rPr>
                      <w:rFonts w:ascii="Times New Roman" w:hAnsi="Times New Roman" w:eastAsia="仿宋_GB2312" w:cs="Times New Roman"/>
                      <w:sz w:val="21"/>
                      <w:szCs w:val="21"/>
                      <w:lang w:eastAsia="zh-CN"/>
                    </w:rPr>
                  </w:pPr>
                  <w:r>
                    <w:rPr>
                      <w:rFonts w:ascii="Times New Roman" w:hAnsi="Times New Roman" w:eastAsia="仿宋_GB2312" w:cs="Times New Roman"/>
                      <w:sz w:val="21"/>
                      <w:szCs w:val="21"/>
                      <w:lang w:eastAsia="zh-CN"/>
                    </w:rPr>
                    <w:t>65</w:t>
                  </w:r>
                </w:p>
              </w:tc>
              <w:tc>
                <w:tcPr>
                  <w:tcW w:w="268" w:type="pct"/>
                  <w:tcBorders>
                    <w:tl2br w:val="nil"/>
                    <w:tr2bl w:val="nil"/>
                  </w:tcBorders>
                  <w:noWrap/>
                  <w:vAlign w:val="center"/>
                </w:tcPr>
                <w:p w14:paraId="6964C30D">
                  <w:pPr>
                    <w:pStyle w:val="99"/>
                    <w:adjustRightInd w:val="0"/>
                    <w:snapToGrid w:val="0"/>
                    <w:jc w:val="center"/>
                    <w:rPr>
                      <w:rFonts w:ascii="Times New Roman" w:hAnsi="Times New Roman" w:eastAsia="仿宋_GB2312" w:cs="Times New Roman"/>
                      <w:sz w:val="21"/>
                      <w:szCs w:val="21"/>
                      <w:lang w:eastAsia="zh-CN"/>
                    </w:rPr>
                  </w:pPr>
                  <w:r>
                    <w:rPr>
                      <w:rFonts w:ascii="Times New Roman" w:hAnsi="Times New Roman" w:eastAsia="仿宋_GB2312" w:cs="Times New Roman"/>
                      <w:sz w:val="21"/>
                      <w:szCs w:val="21"/>
                      <w:lang w:eastAsia="zh-CN"/>
                    </w:rPr>
                    <w:t>55</w:t>
                  </w:r>
                </w:p>
              </w:tc>
              <w:tc>
                <w:tcPr>
                  <w:tcW w:w="331" w:type="pct"/>
                  <w:tcBorders>
                    <w:tl2br w:val="nil"/>
                    <w:tr2bl w:val="nil"/>
                  </w:tcBorders>
                  <w:noWrap/>
                  <w:vAlign w:val="center"/>
                </w:tcPr>
                <w:p w14:paraId="549A9927">
                  <w:pPr>
                    <w:adjustRightInd w:val="0"/>
                    <w:snapToGrid w:val="0"/>
                    <w:jc w:val="center"/>
                    <w:rPr>
                      <w:rFonts w:hint="default" w:eastAsia="仿宋_GB2312"/>
                      <w:sz w:val="21"/>
                      <w:szCs w:val="21"/>
                      <w:lang w:val="en-US" w:eastAsia="zh-CN"/>
                    </w:rPr>
                  </w:pPr>
                  <w:r>
                    <w:rPr>
                      <w:rFonts w:hint="eastAsia" w:eastAsia="仿宋_GB2312"/>
                      <w:kern w:val="0"/>
                      <w:sz w:val="21"/>
                      <w:szCs w:val="21"/>
                      <w:lang w:val="en-US" w:eastAsia="zh-CN"/>
                    </w:rPr>
                    <w:t>61</w:t>
                  </w:r>
                  <w:r>
                    <w:rPr>
                      <w:rFonts w:eastAsia="仿宋_GB2312"/>
                      <w:kern w:val="0"/>
                      <w:sz w:val="21"/>
                      <w:szCs w:val="21"/>
                    </w:rPr>
                    <w:t>.</w:t>
                  </w:r>
                  <w:r>
                    <w:rPr>
                      <w:rFonts w:hint="eastAsia" w:eastAsia="仿宋_GB2312"/>
                      <w:kern w:val="0"/>
                      <w:sz w:val="21"/>
                      <w:szCs w:val="21"/>
                      <w:lang w:val="en-US" w:eastAsia="zh-CN"/>
                    </w:rPr>
                    <w:t>17</w:t>
                  </w:r>
                </w:p>
              </w:tc>
              <w:tc>
                <w:tcPr>
                  <w:tcW w:w="331" w:type="pct"/>
                  <w:tcBorders>
                    <w:tl2br w:val="nil"/>
                    <w:tr2bl w:val="nil"/>
                  </w:tcBorders>
                  <w:noWrap/>
                  <w:vAlign w:val="center"/>
                </w:tcPr>
                <w:p w14:paraId="6842BA28">
                  <w:pPr>
                    <w:adjustRightInd w:val="0"/>
                    <w:snapToGrid w:val="0"/>
                    <w:jc w:val="center"/>
                    <w:rPr>
                      <w:rFonts w:hint="default" w:eastAsia="仿宋_GB2312"/>
                      <w:sz w:val="21"/>
                      <w:szCs w:val="21"/>
                      <w:lang w:val="en-US" w:eastAsia="zh-CN"/>
                    </w:rPr>
                  </w:pPr>
                  <w:r>
                    <w:rPr>
                      <w:rFonts w:hint="eastAsia" w:eastAsia="仿宋_GB2312"/>
                      <w:kern w:val="0"/>
                      <w:sz w:val="21"/>
                      <w:szCs w:val="21"/>
                      <w:lang w:val="en-US" w:eastAsia="zh-CN"/>
                    </w:rPr>
                    <w:t>52</w:t>
                  </w:r>
                  <w:r>
                    <w:rPr>
                      <w:rFonts w:eastAsia="仿宋_GB2312"/>
                      <w:kern w:val="0"/>
                      <w:sz w:val="21"/>
                      <w:szCs w:val="21"/>
                    </w:rPr>
                    <w:t>.</w:t>
                  </w:r>
                  <w:r>
                    <w:rPr>
                      <w:rFonts w:hint="eastAsia" w:eastAsia="仿宋_GB2312"/>
                      <w:kern w:val="0"/>
                      <w:sz w:val="21"/>
                      <w:szCs w:val="21"/>
                      <w:lang w:val="en-US" w:eastAsia="zh-CN"/>
                    </w:rPr>
                    <w:t>25</w:t>
                  </w:r>
                </w:p>
              </w:tc>
              <w:tc>
                <w:tcPr>
                  <w:tcW w:w="669" w:type="dxa"/>
                  <w:tcBorders>
                    <w:tl2br w:val="nil"/>
                    <w:tr2bl w:val="nil"/>
                  </w:tcBorders>
                  <w:noWrap/>
                  <w:vAlign w:val="center"/>
                </w:tcPr>
                <w:p w14:paraId="11B2201C">
                  <w:pPr>
                    <w:adjustRightInd w:val="0"/>
                    <w:snapToGrid w:val="0"/>
                    <w:jc w:val="center"/>
                    <w:rPr>
                      <w:rFonts w:eastAsia="仿宋_GB2312"/>
                      <w:sz w:val="21"/>
                      <w:szCs w:val="21"/>
                    </w:rPr>
                  </w:pPr>
                  <w:r>
                    <w:rPr>
                      <w:rFonts w:hint="eastAsia" w:eastAsia="仿宋_GB2312"/>
                      <w:kern w:val="0"/>
                      <w:sz w:val="21"/>
                      <w:szCs w:val="21"/>
                      <w:lang w:val="en-US" w:eastAsia="zh-CN"/>
                    </w:rPr>
                    <w:t>61</w:t>
                  </w:r>
                  <w:r>
                    <w:rPr>
                      <w:rFonts w:eastAsia="仿宋_GB2312"/>
                      <w:kern w:val="0"/>
                      <w:sz w:val="21"/>
                      <w:szCs w:val="21"/>
                    </w:rPr>
                    <w:t>.</w:t>
                  </w:r>
                  <w:r>
                    <w:rPr>
                      <w:rFonts w:hint="eastAsia" w:eastAsia="仿宋_GB2312"/>
                      <w:kern w:val="0"/>
                      <w:sz w:val="21"/>
                      <w:szCs w:val="21"/>
                      <w:lang w:val="en-US" w:eastAsia="zh-CN"/>
                    </w:rPr>
                    <w:t>17</w:t>
                  </w:r>
                </w:p>
              </w:tc>
              <w:tc>
                <w:tcPr>
                  <w:tcW w:w="694" w:type="dxa"/>
                  <w:tcBorders>
                    <w:tl2br w:val="nil"/>
                    <w:tr2bl w:val="nil"/>
                  </w:tcBorders>
                  <w:noWrap/>
                  <w:vAlign w:val="center"/>
                </w:tcPr>
                <w:p w14:paraId="19495494">
                  <w:pPr>
                    <w:adjustRightInd w:val="0"/>
                    <w:snapToGrid w:val="0"/>
                    <w:jc w:val="center"/>
                    <w:rPr>
                      <w:rFonts w:eastAsia="仿宋_GB2312"/>
                      <w:sz w:val="21"/>
                      <w:szCs w:val="21"/>
                    </w:rPr>
                  </w:pPr>
                  <w:r>
                    <w:rPr>
                      <w:rFonts w:hint="eastAsia" w:eastAsia="仿宋_GB2312"/>
                      <w:kern w:val="0"/>
                      <w:sz w:val="21"/>
                      <w:szCs w:val="21"/>
                      <w:lang w:val="en-US" w:eastAsia="zh-CN"/>
                    </w:rPr>
                    <w:t>52</w:t>
                  </w:r>
                  <w:r>
                    <w:rPr>
                      <w:rFonts w:eastAsia="仿宋_GB2312"/>
                      <w:kern w:val="0"/>
                      <w:sz w:val="21"/>
                      <w:szCs w:val="21"/>
                    </w:rPr>
                    <w:t>.</w:t>
                  </w:r>
                  <w:r>
                    <w:rPr>
                      <w:rFonts w:hint="eastAsia" w:eastAsia="仿宋_GB2312"/>
                      <w:kern w:val="0"/>
                      <w:sz w:val="21"/>
                      <w:szCs w:val="21"/>
                      <w:lang w:val="en-US" w:eastAsia="zh-CN"/>
                    </w:rPr>
                    <w:t>25</w:t>
                  </w:r>
                </w:p>
              </w:tc>
              <w:tc>
                <w:tcPr>
                  <w:tcW w:w="292" w:type="pct"/>
                  <w:tcBorders>
                    <w:tl2br w:val="nil"/>
                    <w:tr2bl w:val="nil"/>
                  </w:tcBorders>
                  <w:noWrap/>
                  <w:vAlign w:val="center"/>
                </w:tcPr>
                <w:p w14:paraId="087884DD">
                  <w:pPr>
                    <w:adjustRightInd w:val="0"/>
                    <w:snapToGrid w:val="0"/>
                    <w:jc w:val="center"/>
                    <w:rPr>
                      <w:rFonts w:eastAsia="仿宋_GB2312"/>
                      <w:sz w:val="21"/>
                      <w:szCs w:val="21"/>
                    </w:rPr>
                  </w:pPr>
                  <w:r>
                    <w:rPr>
                      <w:rFonts w:eastAsia="仿宋_GB2312"/>
                      <w:sz w:val="21"/>
                      <w:szCs w:val="21"/>
                    </w:rPr>
                    <w:t>/</w:t>
                  </w:r>
                </w:p>
              </w:tc>
              <w:tc>
                <w:tcPr>
                  <w:tcW w:w="260" w:type="pct"/>
                  <w:tcBorders>
                    <w:tl2br w:val="nil"/>
                    <w:tr2bl w:val="nil"/>
                  </w:tcBorders>
                  <w:noWrap/>
                  <w:vAlign w:val="center"/>
                </w:tcPr>
                <w:p w14:paraId="560D5349">
                  <w:pPr>
                    <w:adjustRightInd w:val="0"/>
                    <w:snapToGrid w:val="0"/>
                    <w:jc w:val="center"/>
                    <w:rPr>
                      <w:rFonts w:eastAsia="仿宋_GB2312"/>
                      <w:sz w:val="21"/>
                      <w:szCs w:val="21"/>
                    </w:rPr>
                  </w:pPr>
                  <w:r>
                    <w:rPr>
                      <w:rFonts w:eastAsia="仿宋_GB2312"/>
                      <w:sz w:val="21"/>
                      <w:szCs w:val="21"/>
                    </w:rPr>
                    <w:t>/</w:t>
                  </w:r>
                </w:p>
              </w:tc>
              <w:tc>
                <w:tcPr>
                  <w:tcW w:w="279" w:type="pct"/>
                  <w:tcBorders>
                    <w:tl2br w:val="nil"/>
                    <w:tr2bl w:val="nil"/>
                  </w:tcBorders>
                  <w:noWrap/>
                  <w:vAlign w:val="center"/>
                </w:tcPr>
                <w:p w14:paraId="1BE4DE89">
                  <w:pPr>
                    <w:adjustRightInd w:val="0"/>
                    <w:snapToGrid w:val="0"/>
                    <w:rPr>
                      <w:rFonts w:eastAsia="仿宋_GB2312"/>
                      <w:sz w:val="21"/>
                      <w:szCs w:val="21"/>
                    </w:rPr>
                  </w:pPr>
                  <w:r>
                    <w:rPr>
                      <w:rFonts w:eastAsia="仿宋_GB2312"/>
                      <w:sz w:val="21"/>
                      <w:szCs w:val="21"/>
                    </w:rPr>
                    <w:t>达标</w:t>
                  </w:r>
                </w:p>
              </w:tc>
              <w:tc>
                <w:tcPr>
                  <w:tcW w:w="292" w:type="pct"/>
                  <w:tcBorders>
                    <w:tl2br w:val="nil"/>
                    <w:tr2bl w:val="nil"/>
                  </w:tcBorders>
                  <w:noWrap/>
                  <w:vAlign w:val="center"/>
                </w:tcPr>
                <w:p w14:paraId="43089193">
                  <w:pPr>
                    <w:adjustRightInd w:val="0"/>
                    <w:snapToGrid w:val="0"/>
                    <w:jc w:val="center"/>
                    <w:rPr>
                      <w:rFonts w:eastAsia="仿宋_GB2312"/>
                      <w:sz w:val="21"/>
                      <w:szCs w:val="21"/>
                    </w:rPr>
                  </w:pPr>
                  <w:r>
                    <w:rPr>
                      <w:rFonts w:eastAsia="仿宋_GB2312"/>
                      <w:sz w:val="21"/>
                      <w:szCs w:val="21"/>
                    </w:rPr>
                    <w:t>达标</w:t>
                  </w:r>
                </w:p>
              </w:tc>
            </w:tr>
            <w:tr w14:paraId="5F857B1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252" w:type="pct"/>
                  <w:tcBorders>
                    <w:tl2br w:val="nil"/>
                    <w:tr2bl w:val="nil"/>
                  </w:tcBorders>
                  <w:noWrap/>
                  <w:vAlign w:val="center"/>
                </w:tcPr>
                <w:p w14:paraId="0347AB58">
                  <w:pPr>
                    <w:pStyle w:val="99"/>
                    <w:adjustRightInd w:val="0"/>
                    <w:snapToGrid w:val="0"/>
                    <w:jc w:val="center"/>
                    <w:rPr>
                      <w:rFonts w:ascii="Times New Roman" w:hAnsi="Times New Roman" w:eastAsia="仿宋_GB2312" w:cs="Times New Roman"/>
                      <w:sz w:val="21"/>
                      <w:szCs w:val="21"/>
                      <w:lang w:eastAsia="zh-CN"/>
                    </w:rPr>
                  </w:pPr>
                  <w:r>
                    <w:rPr>
                      <w:rFonts w:ascii="Times New Roman" w:hAnsi="Times New Roman" w:eastAsia="仿宋_GB2312" w:cs="Times New Roman"/>
                      <w:sz w:val="21"/>
                      <w:szCs w:val="21"/>
                      <w:lang w:eastAsia="zh-CN"/>
                    </w:rPr>
                    <w:t>2</w:t>
                  </w:r>
                </w:p>
              </w:tc>
              <w:tc>
                <w:tcPr>
                  <w:tcW w:w="449" w:type="pct"/>
                  <w:tcBorders>
                    <w:tl2br w:val="nil"/>
                    <w:tr2bl w:val="nil"/>
                  </w:tcBorders>
                  <w:noWrap/>
                  <w:vAlign w:val="center"/>
                </w:tcPr>
                <w:p w14:paraId="20C15346">
                  <w:pPr>
                    <w:pStyle w:val="99"/>
                    <w:adjustRightInd w:val="0"/>
                    <w:snapToGrid w:val="0"/>
                    <w:jc w:val="center"/>
                    <w:rPr>
                      <w:rFonts w:ascii="Times New Roman" w:hAnsi="Times New Roman" w:eastAsia="仿宋_GB2312" w:cs="Times New Roman"/>
                      <w:sz w:val="21"/>
                      <w:szCs w:val="21"/>
                      <w:lang w:eastAsia="zh-CN"/>
                    </w:rPr>
                  </w:pPr>
                  <w:r>
                    <w:rPr>
                      <w:rFonts w:ascii="Times New Roman" w:hAnsi="Times New Roman" w:eastAsia="仿宋_GB2312" w:cs="Times New Roman"/>
                      <w:sz w:val="21"/>
                      <w:szCs w:val="21"/>
                      <w:lang w:eastAsia="zh-CN"/>
                    </w:rPr>
                    <w:t>南厂界</w:t>
                  </w:r>
                </w:p>
              </w:tc>
              <w:tc>
                <w:tcPr>
                  <w:tcW w:w="322" w:type="pct"/>
                  <w:tcBorders>
                    <w:tl2br w:val="nil"/>
                    <w:tr2bl w:val="nil"/>
                  </w:tcBorders>
                  <w:noWrap/>
                  <w:vAlign w:val="center"/>
                </w:tcPr>
                <w:p w14:paraId="47AD53B0">
                  <w:pPr>
                    <w:adjustRightInd w:val="0"/>
                    <w:snapToGrid w:val="0"/>
                    <w:jc w:val="center"/>
                    <w:rPr>
                      <w:rFonts w:eastAsia="仿宋_GB2312"/>
                      <w:sz w:val="21"/>
                      <w:szCs w:val="21"/>
                    </w:rPr>
                  </w:pPr>
                  <w:r>
                    <w:rPr>
                      <w:rFonts w:eastAsia="仿宋_GB2312"/>
                      <w:sz w:val="21"/>
                      <w:szCs w:val="21"/>
                    </w:rPr>
                    <w:t>/</w:t>
                  </w:r>
                </w:p>
              </w:tc>
              <w:tc>
                <w:tcPr>
                  <w:tcW w:w="259" w:type="pct"/>
                  <w:tcBorders>
                    <w:tl2br w:val="nil"/>
                    <w:tr2bl w:val="nil"/>
                  </w:tcBorders>
                  <w:noWrap/>
                  <w:vAlign w:val="center"/>
                </w:tcPr>
                <w:p w14:paraId="3CEC32C2">
                  <w:pPr>
                    <w:adjustRightInd w:val="0"/>
                    <w:snapToGrid w:val="0"/>
                    <w:jc w:val="center"/>
                    <w:rPr>
                      <w:rFonts w:eastAsia="仿宋_GB2312"/>
                      <w:sz w:val="21"/>
                      <w:szCs w:val="21"/>
                    </w:rPr>
                  </w:pPr>
                  <w:r>
                    <w:rPr>
                      <w:rFonts w:eastAsia="仿宋_GB2312"/>
                      <w:sz w:val="21"/>
                      <w:szCs w:val="21"/>
                    </w:rPr>
                    <w:t>/</w:t>
                  </w:r>
                </w:p>
              </w:tc>
              <w:tc>
                <w:tcPr>
                  <w:tcW w:w="294" w:type="pct"/>
                  <w:tcBorders>
                    <w:tl2br w:val="nil"/>
                    <w:tr2bl w:val="nil"/>
                  </w:tcBorders>
                  <w:shd w:val="clear" w:color="auto" w:fill="auto"/>
                  <w:noWrap/>
                  <w:vAlign w:val="center"/>
                </w:tcPr>
                <w:p w14:paraId="381379F4">
                  <w:pPr>
                    <w:pStyle w:val="17"/>
                    <w:keepNext w:val="0"/>
                    <w:keepLines w:val="0"/>
                    <w:pageBreakBefore w:val="0"/>
                    <w:widowControl w:val="0"/>
                    <w:numPr>
                      <w:ilvl w:val="0"/>
                      <w:numId w:val="0"/>
                    </w:numPr>
                    <w:suppressLineNumbers w:val="0"/>
                    <w:tabs>
                      <w:tab w:val="clear" w:pos="204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_GB2312" w:cs="Times New Roman"/>
                      <w:color w:val="auto"/>
                      <w:kern w:val="2"/>
                      <w:sz w:val="21"/>
                      <w:szCs w:val="21"/>
                      <w:vertAlign w:val="baseline"/>
                      <w:lang w:val="en-US" w:eastAsia="zh-CN" w:bidi="ar-SA"/>
                    </w:rPr>
                  </w:pPr>
                  <w:r>
                    <w:rPr>
                      <w:rFonts w:hint="eastAsia" w:ascii="Times New Roman" w:hAnsi="Times New Roman" w:eastAsia="仿宋_GB2312" w:cs="Times New Roman"/>
                      <w:color w:val="auto"/>
                      <w:kern w:val="2"/>
                      <w:sz w:val="21"/>
                      <w:szCs w:val="21"/>
                      <w:vertAlign w:val="baseline"/>
                      <w:lang w:val="en-US" w:eastAsia="zh-CN" w:bidi="ar-SA"/>
                    </w:rPr>
                    <w:t>64</w:t>
                  </w:r>
                </w:p>
              </w:tc>
              <w:tc>
                <w:tcPr>
                  <w:tcW w:w="294" w:type="pct"/>
                  <w:tcBorders>
                    <w:tl2br w:val="nil"/>
                    <w:tr2bl w:val="nil"/>
                  </w:tcBorders>
                  <w:noWrap/>
                  <w:vAlign w:val="center"/>
                </w:tcPr>
                <w:p w14:paraId="361FACD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eastAsia="仿宋_GB2312"/>
                      <w:sz w:val="21"/>
                      <w:szCs w:val="21"/>
                    </w:rPr>
                  </w:pPr>
                  <w:r>
                    <w:rPr>
                      <w:rFonts w:hint="eastAsia" w:ascii="Times New Roman" w:hAnsi="Times New Roman" w:eastAsia="仿宋_GB2312" w:cs="Times New Roman"/>
                      <w:color w:val="auto"/>
                      <w:kern w:val="2"/>
                      <w:sz w:val="21"/>
                      <w:szCs w:val="21"/>
                      <w:vertAlign w:val="baseline"/>
                      <w:lang w:val="en-US" w:eastAsia="zh-CN" w:bidi="ar-SA"/>
                    </w:rPr>
                    <w:t>52</w:t>
                  </w:r>
                </w:p>
              </w:tc>
              <w:tc>
                <w:tcPr>
                  <w:tcW w:w="268" w:type="pct"/>
                  <w:tcBorders>
                    <w:tl2br w:val="nil"/>
                    <w:tr2bl w:val="nil"/>
                  </w:tcBorders>
                  <w:noWrap/>
                  <w:vAlign w:val="center"/>
                </w:tcPr>
                <w:p w14:paraId="725F4373">
                  <w:pPr>
                    <w:pStyle w:val="99"/>
                    <w:adjustRightInd w:val="0"/>
                    <w:snapToGrid w:val="0"/>
                    <w:jc w:val="center"/>
                    <w:rPr>
                      <w:rFonts w:ascii="Times New Roman" w:hAnsi="Times New Roman" w:eastAsia="仿宋_GB2312" w:cs="Times New Roman"/>
                      <w:sz w:val="21"/>
                      <w:szCs w:val="21"/>
                      <w:lang w:eastAsia="zh-CN"/>
                    </w:rPr>
                  </w:pPr>
                  <w:r>
                    <w:rPr>
                      <w:rFonts w:ascii="Times New Roman" w:hAnsi="Times New Roman" w:eastAsia="仿宋_GB2312" w:cs="Times New Roman"/>
                      <w:sz w:val="21"/>
                      <w:szCs w:val="21"/>
                      <w:lang w:eastAsia="zh-CN"/>
                    </w:rPr>
                    <w:t>65</w:t>
                  </w:r>
                </w:p>
              </w:tc>
              <w:tc>
                <w:tcPr>
                  <w:tcW w:w="268" w:type="pct"/>
                  <w:tcBorders>
                    <w:tl2br w:val="nil"/>
                    <w:tr2bl w:val="nil"/>
                  </w:tcBorders>
                  <w:noWrap/>
                  <w:vAlign w:val="center"/>
                </w:tcPr>
                <w:p w14:paraId="7B530538">
                  <w:pPr>
                    <w:pStyle w:val="99"/>
                    <w:adjustRightInd w:val="0"/>
                    <w:snapToGrid w:val="0"/>
                    <w:jc w:val="center"/>
                    <w:rPr>
                      <w:rFonts w:ascii="Times New Roman" w:hAnsi="Times New Roman" w:eastAsia="仿宋_GB2312" w:cs="Times New Roman"/>
                      <w:sz w:val="21"/>
                      <w:szCs w:val="21"/>
                      <w:lang w:eastAsia="zh-CN"/>
                    </w:rPr>
                  </w:pPr>
                  <w:r>
                    <w:rPr>
                      <w:rFonts w:ascii="Times New Roman" w:hAnsi="Times New Roman" w:eastAsia="仿宋_GB2312" w:cs="Times New Roman"/>
                      <w:sz w:val="21"/>
                      <w:szCs w:val="21"/>
                      <w:lang w:eastAsia="zh-CN"/>
                    </w:rPr>
                    <w:t>55</w:t>
                  </w:r>
                </w:p>
              </w:tc>
              <w:tc>
                <w:tcPr>
                  <w:tcW w:w="331" w:type="pct"/>
                  <w:tcBorders>
                    <w:tl2br w:val="nil"/>
                    <w:tr2bl w:val="nil"/>
                  </w:tcBorders>
                  <w:noWrap/>
                  <w:vAlign w:val="center"/>
                </w:tcPr>
                <w:p w14:paraId="7323EFDD">
                  <w:pPr>
                    <w:adjustRightInd w:val="0"/>
                    <w:snapToGrid w:val="0"/>
                    <w:jc w:val="center"/>
                    <w:rPr>
                      <w:rFonts w:hint="default" w:eastAsia="仿宋_GB2312"/>
                      <w:sz w:val="21"/>
                      <w:szCs w:val="21"/>
                      <w:lang w:val="en-US" w:eastAsia="zh-CN"/>
                    </w:rPr>
                  </w:pPr>
                  <w:r>
                    <w:rPr>
                      <w:rFonts w:hint="eastAsia" w:eastAsia="仿宋_GB2312"/>
                      <w:kern w:val="0"/>
                      <w:sz w:val="21"/>
                      <w:szCs w:val="21"/>
                      <w:lang w:val="en-US" w:eastAsia="zh-CN"/>
                    </w:rPr>
                    <w:t>63</w:t>
                  </w:r>
                  <w:r>
                    <w:rPr>
                      <w:rFonts w:eastAsia="仿宋_GB2312"/>
                      <w:kern w:val="0"/>
                      <w:sz w:val="21"/>
                      <w:szCs w:val="21"/>
                    </w:rPr>
                    <w:t>.</w:t>
                  </w:r>
                  <w:r>
                    <w:rPr>
                      <w:rFonts w:hint="eastAsia" w:eastAsia="仿宋_GB2312"/>
                      <w:kern w:val="0"/>
                      <w:sz w:val="21"/>
                      <w:szCs w:val="21"/>
                      <w:lang w:val="en-US" w:eastAsia="zh-CN"/>
                    </w:rPr>
                    <w:t>48</w:t>
                  </w:r>
                </w:p>
              </w:tc>
              <w:tc>
                <w:tcPr>
                  <w:tcW w:w="331" w:type="pct"/>
                  <w:tcBorders>
                    <w:tl2br w:val="nil"/>
                    <w:tr2bl w:val="nil"/>
                  </w:tcBorders>
                  <w:noWrap/>
                  <w:vAlign w:val="center"/>
                </w:tcPr>
                <w:p w14:paraId="5901A6C5">
                  <w:pPr>
                    <w:adjustRightInd w:val="0"/>
                    <w:snapToGrid w:val="0"/>
                    <w:jc w:val="center"/>
                    <w:rPr>
                      <w:rFonts w:hint="default" w:eastAsia="仿宋_GB2312"/>
                      <w:sz w:val="21"/>
                      <w:szCs w:val="21"/>
                      <w:lang w:val="en-US" w:eastAsia="zh-CN"/>
                    </w:rPr>
                  </w:pPr>
                  <w:r>
                    <w:rPr>
                      <w:rFonts w:eastAsia="仿宋_GB2312"/>
                      <w:kern w:val="0"/>
                      <w:sz w:val="21"/>
                      <w:szCs w:val="21"/>
                    </w:rPr>
                    <w:t>4</w:t>
                  </w:r>
                  <w:r>
                    <w:rPr>
                      <w:rFonts w:hint="eastAsia" w:eastAsia="仿宋_GB2312"/>
                      <w:kern w:val="0"/>
                      <w:sz w:val="21"/>
                      <w:szCs w:val="21"/>
                      <w:lang w:val="en-US" w:eastAsia="zh-CN"/>
                    </w:rPr>
                    <w:t>7</w:t>
                  </w:r>
                  <w:r>
                    <w:rPr>
                      <w:rFonts w:eastAsia="仿宋_GB2312"/>
                      <w:kern w:val="0"/>
                      <w:sz w:val="21"/>
                      <w:szCs w:val="21"/>
                    </w:rPr>
                    <w:t>.</w:t>
                  </w:r>
                  <w:r>
                    <w:rPr>
                      <w:rFonts w:hint="eastAsia" w:eastAsia="仿宋_GB2312"/>
                      <w:kern w:val="0"/>
                      <w:sz w:val="21"/>
                      <w:szCs w:val="21"/>
                      <w:lang w:val="en-US" w:eastAsia="zh-CN"/>
                    </w:rPr>
                    <w:t>14</w:t>
                  </w:r>
                </w:p>
              </w:tc>
              <w:tc>
                <w:tcPr>
                  <w:tcW w:w="669" w:type="dxa"/>
                  <w:tcBorders>
                    <w:tl2br w:val="nil"/>
                    <w:tr2bl w:val="nil"/>
                  </w:tcBorders>
                  <w:noWrap/>
                  <w:vAlign w:val="center"/>
                </w:tcPr>
                <w:p w14:paraId="0E62A35A">
                  <w:pPr>
                    <w:adjustRightInd w:val="0"/>
                    <w:snapToGrid w:val="0"/>
                    <w:jc w:val="center"/>
                    <w:rPr>
                      <w:rFonts w:eastAsia="仿宋_GB2312"/>
                      <w:sz w:val="21"/>
                      <w:szCs w:val="21"/>
                    </w:rPr>
                  </w:pPr>
                  <w:r>
                    <w:rPr>
                      <w:rFonts w:hint="eastAsia" w:eastAsia="仿宋_GB2312"/>
                      <w:kern w:val="0"/>
                      <w:sz w:val="21"/>
                      <w:szCs w:val="21"/>
                      <w:lang w:val="en-US" w:eastAsia="zh-CN"/>
                    </w:rPr>
                    <w:t>63</w:t>
                  </w:r>
                  <w:r>
                    <w:rPr>
                      <w:rFonts w:eastAsia="仿宋_GB2312"/>
                      <w:kern w:val="0"/>
                      <w:sz w:val="21"/>
                      <w:szCs w:val="21"/>
                    </w:rPr>
                    <w:t>.</w:t>
                  </w:r>
                  <w:r>
                    <w:rPr>
                      <w:rFonts w:hint="eastAsia" w:eastAsia="仿宋_GB2312"/>
                      <w:kern w:val="0"/>
                      <w:sz w:val="21"/>
                      <w:szCs w:val="21"/>
                      <w:lang w:val="en-US" w:eastAsia="zh-CN"/>
                    </w:rPr>
                    <w:t>48</w:t>
                  </w:r>
                </w:p>
              </w:tc>
              <w:tc>
                <w:tcPr>
                  <w:tcW w:w="694" w:type="dxa"/>
                  <w:tcBorders>
                    <w:tl2br w:val="nil"/>
                    <w:tr2bl w:val="nil"/>
                  </w:tcBorders>
                  <w:noWrap/>
                  <w:vAlign w:val="center"/>
                </w:tcPr>
                <w:p w14:paraId="27F0F27B">
                  <w:pPr>
                    <w:adjustRightInd w:val="0"/>
                    <w:snapToGrid w:val="0"/>
                    <w:jc w:val="center"/>
                    <w:rPr>
                      <w:rFonts w:eastAsia="仿宋_GB2312"/>
                      <w:sz w:val="21"/>
                      <w:szCs w:val="21"/>
                    </w:rPr>
                  </w:pPr>
                  <w:r>
                    <w:rPr>
                      <w:rFonts w:eastAsia="仿宋_GB2312"/>
                      <w:kern w:val="0"/>
                      <w:sz w:val="21"/>
                      <w:szCs w:val="21"/>
                    </w:rPr>
                    <w:t>4</w:t>
                  </w:r>
                  <w:r>
                    <w:rPr>
                      <w:rFonts w:hint="eastAsia" w:eastAsia="仿宋_GB2312"/>
                      <w:kern w:val="0"/>
                      <w:sz w:val="21"/>
                      <w:szCs w:val="21"/>
                      <w:lang w:val="en-US" w:eastAsia="zh-CN"/>
                    </w:rPr>
                    <w:t>7</w:t>
                  </w:r>
                  <w:r>
                    <w:rPr>
                      <w:rFonts w:eastAsia="仿宋_GB2312"/>
                      <w:kern w:val="0"/>
                      <w:sz w:val="21"/>
                      <w:szCs w:val="21"/>
                    </w:rPr>
                    <w:t>.</w:t>
                  </w:r>
                  <w:r>
                    <w:rPr>
                      <w:rFonts w:hint="eastAsia" w:eastAsia="仿宋_GB2312"/>
                      <w:kern w:val="0"/>
                      <w:sz w:val="21"/>
                      <w:szCs w:val="21"/>
                      <w:lang w:val="en-US" w:eastAsia="zh-CN"/>
                    </w:rPr>
                    <w:t>14</w:t>
                  </w:r>
                </w:p>
              </w:tc>
              <w:tc>
                <w:tcPr>
                  <w:tcW w:w="292" w:type="pct"/>
                  <w:tcBorders>
                    <w:tl2br w:val="nil"/>
                    <w:tr2bl w:val="nil"/>
                  </w:tcBorders>
                  <w:noWrap/>
                  <w:vAlign w:val="center"/>
                </w:tcPr>
                <w:p w14:paraId="09ED75FF">
                  <w:pPr>
                    <w:adjustRightInd w:val="0"/>
                    <w:snapToGrid w:val="0"/>
                    <w:jc w:val="center"/>
                    <w:rPr>
                      <w:rFonts w:eastAsia="仿宋_GB2312"/>
                      <w:sz w:val="21"/>
                      <w:szCs w:val="21"/>
                    </w:rPr>
                  </w:pPr>
                  <w:r>
                    <w:rPr>
                      <w:rFonts w:eastAsia="仿宋_GB2312"/>
                      <w:sz w:val="21"/>
                      <w:szCs w:val="21"/>
                    </w:rPr>
                    <w:t>/</w:t>
                  </w:r>
                </w:p>
              </w:tc>
              <w:tc>
                <w:tcPr>
                  <w:tcW w:w="260" w:type="pct"/>
                  <w:tcBorders>
                    <w:tl2br w:val="nil"/>
                    <w:tr2bl w:val="nil"/>
                  </w:tcBorders>
                  <w:noWrap/>
                  <w:vAlign w:val="center"/>
                </w:tcPr>
                <w:p w14:paraId="39DFBB1D">
                  <w:pPr>
                    <w:adjustRightInd w:val="0"/>
                    <w:snapToGrid w:val="0"/>
                    <w:jc w:val="center"/>
                    <w:rPr>
                      <w:rFonts w:eastAsia="仿宋_GB2312"/>
                      <w:sz w:val="21"/>
                      <w:szCs w:val="21"/>
                    </w:rPr>
                  </w:pPr>
                  <w:r>
                    <w:rPr>
                      <w:rFonts w:eastAsia="仿宋_GB2312"/>
                      <w:sz w:val="21"/>
                      <w:szCs w:val="21"/>
                    </w:rPr>
                    <w:t>/</w:t>
                  </w:r>
                </w:p>
              </w:tc>
              <w:tc>
                <w:tcPr>
                  <w:tcW w:w="279" w:type="pct"/>
                  <w:tcBorders>
                    <w:tl2br w:val="nil"/>
                    <w:tr2bl w:val="nil"/>
                  </w:tcBorders>
                  <w:noWrap/>
                  <w:vAlign w:val="center"/>
                </w:tcPr>
                <w:p w14:paraId="5F224A20">
                  <w:pPr>
                    <w:adjustRightInd w:val="0"/>
                    <w:snapToGrid w:val="0"/>
                    <w:jc w:val="center"/>
                    <w:rPr>
                      <w:rFonts w:eastAsia="仿宋_GB2312"/>
                      <w:sz w:val="21"/>
                      <w:szCs w:val="21"/>
                    </w:rPr>
                  </w:pPr>
                  <w:r>
                    <w:rPr>
                      <w:rFonts w:eastAsia="仿宋_GB2312"/>
                      <w:sz w:val="21"/>
                      <w:szCs w:val="21"/>
                    </w:rPr>
                    <w:t>达标</w:t>
                  </w:r>
                </w:p>
              </w:tc>
              <w:tc>
                <w:tcPr>
                  <w:tcW w:w="292" w:type="pct"/>
                  <w:tcBorders>
                    <w:tl2br w:val="nil"/>
                    <w:tr2bl w:val="nil"/>
                  </w:tcBorders>
                  <w:noWrap/>
                  <w:vAlign w:val="center"/>
                </w:tcPr>
                <w:p w14:paraId="34FD35C5">
                  <w:pPr>
                    <w:adjustRightInd w:val="0"/>
                    <w:snapToGrid w:val="0"/>
                    <w:jc w:val="center"/>
                    <w:rPr>
                      <w:rFonts w:eastAsia="仿宋_GB2312"/>
                      <w:sz w:val="21"/>
                      <w:szCs w:val="21"/>
                    </w:rPr>
                  </w:pPr>
                  <w:r>
                    <w:rPr>
                      <w:rFonts w:eastAsia="仿宋_GB2312"/>
                      <w:sz w:val="21"/>
                      <w:szCs w:val="21"/>
                    </w:rPr>
                    <w:t>达标</w:t>
                  </w:r>
                </w:p>
              </w:tc>
            </w:tr>
            <w:tr w14:paraId="53A7DC8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252" w:type="pct"/>
                  <w:tcBorders>
                    <w:tl2br w:val="nil"/>
                    <w:tr2bl w:val="nil"/>
                  </w:tcBorders>
                  <w:noWrap/>
                  <w:vAlign w:val="center"/>
                </w:tcPr>
                <w:p w14:paraId="2646DDAA">
                  <w:pPr>
                    <w:pStyle w:val="99"/>
                    <w:adjustRightInd w:val="0"/>
                    <w:snapToGrid w:val="0"/>
                    <w:jc w:val="center"/>
                    <w:rPr>
                      <w:rFonts w:ascii="Times New Roman" w:hAnsi="Times New Roman" w:eastAsia="仿宋_GB2312" w:cs="Times New Roman"/>
                      <w:sz w:val="21"/>
                      <w:szCs w:val="21"/>
                      <w:lang w:eastAsia="zh-CN"/>
                    </w:rPr>
                  </w:pPr>
                  <w:r>
                    <w:rPr>
                      <w:rFonts w:ascii="Times New Roman" w:hAnsi="Times New Roman" w:eastAsia="仿宋_GB2312" w:cs="Times New Roman"/>
                      <w:sz w:val="21"/>
                      <w:szCs w:val="21"/>
                      <w:lang w:eastAsia="zh-CN"/>
                    </w:rPr>
                    <w:t>3</w:t>
                  </w:r>
                </w:p>
              </w:tc>
              <w:tc>
                <w:tcPr>
                  <w:tcW w:w="449" w:type="pct"/>
                  <w:tcBorders>
                    <w:tl2br w:val="nil"/>
                    <w:tr2bl w:val="nil"/>
                  </w:tcBorders>
                  <w:noWrap/>
                  <w:vAlign w:val="center"/>
                </w:tcPr>
                <w:p w14:paraId="32A91A4E">
                  <w:pPr>
                    <w:pStyle w:val="99"/>
                    <w:adjustRightInd w:val="0"/>
                    <w:snapToGrid w:val="0"/>
                    <w:jc w:val="center"/>
                    <w:rPr>
                      <w:rFonts w:ascii="Times New Roman" w:hAnsi="Times New Roman" w:eastAsia="仿宋_GB2312" w:cs="Times New Roman"/>
                      <w:sz w:val="21"/>
                      <w:szCs w:val="21"/>
                      <w:lang w:eastAsia="zh-CN"/>
                    </w:rPr>
                  </w:pPr>
                  <w:r>
                    <w:rPr>
                      <w:rFonts w:ascii="Times New Roman" w:hAnsi="Times New Roman" w:eastAsia="仿宋_GB2312" w:cs="Times New Roman"/>
                      <w:sz w:val="21"/>
                      <w:szCs w:val="21"/>
                      <w:lang w:eastAsia="zh-CN"/>
                    </w:rPr>
                    <w:t>西厂界</w:t>
                  </w:r>
                </w:p>
              </w:tc>
              <w:tc>
                <w:tcPr>
                  <w:tcW w:w="322" w:type="pct"/>
                  <w:tcBorders>
                    <w:tl2br w:val="nil"/>
                    <w:tr2bl w:val="nil"/>
                  </w:tcBorders>
                  <w:noWrap/>
                  <w:vAlign w:val="center"/>
                </w:tcPr>
                <w:p w14:paraId="3D0F1C36">
                  <w:pPr>
                    <w:adjustRightInd w:val="0"/>
                    <w:snapToGrid w:val="0"/>
                    <w:jc w:val="center"/>
                    <w:rPr>
                      <w:rFonts w:eastAsia="仿宋_GB2312"/>
                      <w:sz w:val="21"/>
                      <w:szCs w:val="21"/>
                    </w:rPr>
                  </w:pPr>
                  <w:r>
                    <w:rPr>
                      <w:rFonts w:eastAsia="仿宋_GB2312"/>
                      <w:sz w:val="21"/>
                      <w:szCs w:val="21"/>
                    </w:rPr>
                    <w:t>/</w:t>
                  </w:r>
                </w:p>
              </w:tc>
              <w:tc>
                <w:tcPr>
                  <w:tcW w:w="259" w:type="pct"/>
                  <w:tcBorders>
                    <w:tl2br w:val="nil"/>
                    <w:tr2bl w:val="nil"/>
                  </w:tcBorders>
                  <w:noWrap/>
                  <w:vAlign w:val="center"/>
                </w:tcPr>
                <w:p w14:paraId="139CE00C">
                  <w:pPr>
                    <w:adjustRightInd w:val="0"/>
                    <w:snapToGrid w:val="0"/>
                    <w:jc w:val="center"/>
                    <w:rPr>
                      <w:rFonts w:eastAsia="仿宋_GB2312"/>
                      <w:sz w:val="21"/>
                      <w:szCs w:val="21"/>
                    </w:rPr>
                  </w:pPr>
                  <w:r>
                    <w:rPr>
                      <w:rFonts w:eastAsia="仿宋_GB2312"/>
                      <w:sz w:val="21"/>
                      <w:szCs w:val="21"/>
                    </w:rPr>
                    <w:t>/</w:t>
                  </w:r>
                </w:p>
              </w:tc>
              <w:tc>
                <w:tcPr>
                  <w:tcW w:w="294" w:type="pct"/>
                  <w:tcBorders>
                    <w:tl2br w:val="nil"/>
                    <w:tr2bl w:val="nil"/>
                  </w:tcBorders>
                  <w:shd w:val="clear" w:color="auto" w:fill="auto"/>
                  <w:noWrap/>
                  <w:vAlign w:val="center"/>
                </w:tcPr>
                <w:p w14:paraId="3A681642">
                  <w:pPr>
                    <w:pStyle w:val="17"/>
                    <w:keepNext w:val="0"/>
                    <w:keepLines w:val="0"/>
                    <w:pageBreakBefore w:val="0"/>
                    <w:widowControl w:val="0"/>
                    <w:numPr>
                      <w:ilvl w:val="0"/>
                      <w:numId w:val="0"/>
                    </w:numPr>
                    <w:suppressLineNumbers w:val="0"/>
                    <w:tabs>
                      <w:tab w:val="clear" w:pos="204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_GB2312" w:cs="Times New Roman"/>
                      <w:color w:val="auto"/>
                      <w:kern w:val="2"/>
                      <w:sz w:val="21"/>
                      <w:szCs w:val="21"/>
                      <w:vertAlign w:val="baseline"/>
                      <w:lang w:val="en-US" w:eastAsia="zh-CN" w:bidi="ar-SA"/>
                    </w:rPr>
                  </w:pPr>
                  <w:r>
                    <w:rPr>
                      <w:rFonts w:hint="eastAsia" w:ascii="Times New Roman" w:hAnsi="Times New Roman" w:eastAsia="仿宋_GB2312" w:cs="Times New Roman"/>
                      <w:color w:val="auto"/>
                      <w:kern w:val="2"/>
                      <w:sz w:val="21"/>
                      <w:szCs w:val="21"/>
                      <w:vertAlign w:val="baseline"/>
                      <w:lang w:val="en-US" w:eastAsia="zh-CN" w:bidi="ar-SA"/>
                    </w:rPr>
                    <w:t>64</w:t>
                  </w:r>
                </w:p>
              </w:tc>
              <w:tc>
                <w:tcPr>
                  <w:tcW w:w="294" w:type="pct"/>
                  <w:tcBorders>
                    <w:tl2br w:val="nil"/>
                    <w:tr2bl w:val="nil"/>
                  </w:tcBorders>
                  <w:shd w:val="clear" w:color="auto" w:fill="auto"/>
                  <w:noWrap/>
                  <w:vAlign w:val="center"/>
                </w:tcPr>
                <w:p w14:paraId="1D2569D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_GB2312" w:cs="Times New Roman"/>
                      <w:color w:val="auto"/>
                      <w:kern w:val="2"/>
                      <w:sz w:val="21"/>
                      <w:szCs w:val="21"/>
                      <w:vertAlign w:val="baseline"/>
                      <w:lang w:val="en-US" w:eastAsia="zh-CN" w:bidi="ar-SA"/>
                    </w:rPr>
                  </w:pPr>
                  <w:r>
                    <w:rPr>
                      <w:rFonts w:hint="eastAsia" w:ascii="Times New Roman" w:hAnsi="Times New Roman" w:eastAsia="仿宋_GB2312" w:cs="Times New Roman"/>
                      <w:color w:val="auto"/>
                      <w:kern w:val="2"/>
                      <w:sz w:val="21"/>
                      <w:szCs w:val="21"/>
                      <w:vertAlign w:val="baseline"/>
                      <w:lang w:val="en-US" w:eastAsia="zh-CN" w:bidi="ar-SA"/>
                    </w:rPr>
                    <w:t>54</w:t>
                  </w:r>
                </w:p>
              </w:tc>
              <w:tc>
                <w:tcPr>
                  <w:tcW w:w="268" w:type="pct"/>
                  <w:tcBorders>
                    <w:tl2br w:val="nil"/>
                    <w:tr2bl w:val="nil"/>
                  </w:tcBorders>
                  <w:noWrap/>
                  <w:vAlign w:val="center"/>
                </w:tcPr>
                <w:p w14:paraId="53E7B25B">
                  <w:pPr>
                    <w:pStyle w:val="99"/>
                    <w:adjustRightInd w:val="0"/>
                    <w:snapToGrid w:val="0"/>
                    <w:jc w:val="center"/>
                    <w:rPr>
                      <w:rFonts w:ascii="Times New Roman" w:hAnsi="Times New Roman" w:eastAsia="仿宋_GB2312" w:cs="Times New Roman"/>
                      <w:sz w:val="21"/>
                      <w:szCs w:val="21"/>
                      <w:lang w:eastAsia="zh-CN"/>
                    </w:rPr>
                  </w:pPr>
                  <w:r>
                    <w:rPr>
                      <w:rFonts w:hint="eastAsia" w:ascii="Times New Roman" w:hAnsi="Times New Roman" w:eastAsia="仿宋_GB2312" w:cs="Times New Roman"/>
                      <w:sz w:val="21"/>
                      <w:szCs w:val="21"/>
                      <w:lang w:eastAsia="zh-CN"/>
                    </w:rPr>
                    <w:t>70</w:t>
                  </w:r>
                </w:p>
              </w:tc>
              <w:tc>
                <w:tcPr>
                  <w:tcW w:w="268" w:type="pct"/>
                  <w:tcBorders>
                    <w:tl2br w:val="nil"/>
                    <w:tr2bl w:val="nil"/>
                  </w:tcBorders>
                  <w:noWrap/>
                  <w:vAlign w:val="center"/>
                </w:tcPr>
                <w:p w14:paraId="58E0DFEA">
                  <w:pPr>
                    <w:pStyle w:val="99"/>
                    <w:adjustRightInd w:val="0"/>
                    <w:snapToGrid w:val="0"/>
                    <w:jc w:val="center"/>
                    <w:rPr>
                      <w:rFonts w:ascii="Times New Roman" w:hAnsi="Times New Roman" w:eastAsia="仿宋_GB2312" w:cs="Times New Roman"/>
                      <w:sz w:val="21"/>
                      <w:szCs w:val="21"/>
                      <w:lang w:eastAsia="zh-CN"/>
                    </w:rPr>
                  </w:pPr>
                  <w:r>
                    <w:rPr>
                      <w:rFonts w:ascii="Times New Roman" w:hAnsi="Times New Roman" w:eastAsia="仿宋_GB2312" w:cs="Times New Roman"/>
                      <w:sz w:val="21"/>
                      <w:szCs w:val="21"/>
                      <w:lang w:eastAsia="zh-CN"/>
                    </w:rPr>
                    <w:t>55</w:t>
                  </w:r>
                </w:p>
              </w:tc>
              <w:tc>
                <w:tcPr>
                  <w:tcW w:w="331" w:type="pct"/>
                  <w:tcBorders>
                    <w:tl2br w:val="nil"/>
                    <w:tr2bl w:val="nil"/>
                  </w:tcBorders>
                  <w:noWrap/>
                  <w:vAlign w:val="center"/>
                </w:tcPr>
                <w:p w14:paraId="17044528">
                  <w:pPr>
                    <w:adjustRightInd w:val="0"/>
                    <w:snapToGrid w:val="0"/>
                    <w:jc w:val="center"/>
                    <w:rPr>
                      <w:rFonts w:hint="default" w:eastAsia="仿宋_GB2312"/>
                      <w:sz w:val="21"/>
                      <w:szCs w:val="21"/>
                      <w:lang w:val="en-US" w:eastAsia="zh-CN"/>
                    </w:rPr>
                  </w:pPr>
                  <w:r>
                    <w:rPr>
                      <w:rFonts w:eastAsia="仿宋_GB2312"/>
                      <w:kern w:val="0"/>
                      <w:sz w:val="21"/>
                      <w:szCs w:val="21"/>
                    </w:rPr>
                    <w:t>5</w:t>
                  </w:r>
                  <w:r>
                    <w:rPr>
                      <w:rFonts w:hint="eastAsia" w:eastAsia="仿宋_GB2312"/>
                      <w:kern w:val="0"/>
                      <w:sz w:val="21"/>
                      <w:szCs w:val="21"/>
                      <w:lang w:val="en-US" w:eastAsia="zh-CN"/>
                    </w:rPr>
                    <w:t>9.45</w:t>
                  </w:r>
                </w:p>
              </w:tc>
              <w:tc>
                <w:tcPr>
                  <w:tcW w:w="331" w:type="pct"/>
                  <w:tcBorders>
                    <w:tl2br w:val="nil"/>
                    <w:tr2bl w:val="nil"/>
                  </w:tcBorders>
                  <w:noWrap/>
                  <w:vAlign w:val="center"/>
                </w:tcPr>
                <w:p w14:paraId="08E22038">
                  <w:pPr>
                    <w:adjustRightInd w:val="0"/>
                    <w:snapToGrid w:val="0"/>
                    <w:jc w:val="center"/>
                    <w:rPr>
                      <w:rFonts w:hint="default" w:eastAsia="仿宋_GB2312"/>
                      <w:sz w:val="21"/>
                      <w:szCs w:val="21"/>
                      <w:lang w:val="en-US" w:eastAsia="zh-CN"/>
                    </w:rPr>
                  </w:pPr>
                  <w:r>
                    <w:rPr>
                      <w:rFonts w:eastAsia="仿宋_GB2312"/>
                      <w:kern w:val="0"/>
                      <w:sz w:val="21"/>
                      <w:szCs w:val="21"/>
                    </w:rPr>
                    <w:t>4</w:t>
                  </w:r>
                  <w:r>
                    <w:rPr>
                      <w:rFonts w:hint="eastAsia" w:eastAsia="仿宋_GB2312"/>
                      <w:kern w:val="0"/>
                      <w:sz w:val="21"/>
                      <w:szCs w:val="21"/>
                      <w:lang w:val="en-US" w:eastAsia="zh-CN"/>
                    </w:rPr>
                    <w:t>8</w:t>
                  </w:r>
                  <w:r>
                    <w:rPr>
                      <w:rFonts w:eastAsia="仿宋_GB2312"/>
                      <w:kern w:val="0"/>
                      <w:sz w:val="21"/>
                      <w:szCs w:val="21"/>
                    </w:rPr>
                    <w:t>.</w:t>
                  </w:r>
                  <w:r>
                    <w:rPr>
                      <w:rFonts w:hint="eastAsia" w:eastAsia="仿宋_GB2312"/>
                      <w:kern w:val="0"/>
                      <w:sz w:val="21"/>
                      <w:szCs w:val="21"/>
                      <w:lang w:val="en-US" w:eastAsia="zh-CN"/>
                    </w:rPr>
                    <w:t>95</w:t>
                  </w:r>
                </w:p>
              </w:tc>
              <w:tc>
                <w:tcPr>
                  <w:tcW w:w="669" w:type="dxa"/>
                  <w:tcBorders>
                    <w:tl2br w:val="nil"/>
                    <w:tr2bl w:val="nil"/>
                  </w:tcBorders>
                  <w:noWrap/>
                  <w:vAlign w:val="center"/>
                </w:tcPr>
                <w:p w14:paraId="7128EE03">
                  <w:pPr>
                    <w:adjustRightInd w:val="0"/>
                    <w:snapToGrid w:val="0"/>
                    <w:jc w:val="center"/>
                    <w:rPr>
                      <w:rFonts w:eastAsia="仿宋_GB2312"/>
                      <w:sz w:val="21"/>
                      <w:szCs w:val="21"/>
                    </w:rPr>
                  </w:pPr>
                  <w:r>
                    <w:rPr>
                      <w:rFonts w:eastAsia="仿宋_GB2312"/>
                      <w:kern w:val="0"/>
                      <w:sz w:val="21"/>
                      <w:szCs w:val="21"/>
                    </w:rPr>
                    <w:t>5</w:t>
                  </w:r>
                  <w:r>
                    <w:rPr>
                      <w:rFonts w:hint="eastAsia" w:eastAsia="仿宋_GB2312"/>
                      <w:kern w:val="0"/>
                      <w:sz w:val="21"/>
                      <w:szCs w:val="21"/>
                      <w:lang w:val="en-US" w:eastAsia="zh-CN"/>
                    </w:rPr>
                    <w:t>9.45</w:t>
                  </w:r>
                </w:p>
              </w:tc>
              <w:tc>
                <w:tcPr>
                  <w:tcW w:w="694" w:type="dxa"/>
                  <w:tcBorders>
                    <w:tl2br w:val="nil"/>
                    <w:tr2bl w:val="nil"/>
                  </w:tcBorders>
                  <w:noWrap/>
                  <w:vAlign w:val="center"/>
                </w:tcPr>
                <w:p w14:paraId="2E17C35D">
                  <w:pPr>
                    <w:adjustRightInd w:val="0"/>
                    <w:snapToGrid w:val="0"/>
                    <w:jc w:val="center"/>
                    <w:rPr>
                      <w:rFonts w:eastAsia="仿宋_GB2312"/>
                      <w:sz w:val="21"/>
                      <w:szCs w:val="21"/>
                    </w:rPr>
                  </w:pPr>
                  <w:r>
                    <w:rPr>
                      <w:rFonts w:eastAsia="仿宋_GB2312"/>
                      <w:kern w:val="0"/>
                      <w:sz w:val="21"/>
                      <w:szCs w:val="21"/>
                    </w:rPr>
                    <w:t>4</w:t>
                  </w:r>
                  <w:r>
                    <w:rPr>
                      <w:rFonts w:hint="eastAsia" w:eastAsia="仿宋_GB2312"/>
                      <w:kern w:val="0"/>
                      <w:sz w:val="21"/>
                      <w:szCs w:val="21"/>
                      <w:lang w:val="en-US" w:eastAsia="zh-CN"/>
                    </w:rPr>
                    <w:t>8</w:t>
                  </w:r>
                  <w:r>
                    <w:rPr>
                      <w:rFonts w:eastAsia="仿宋_GB2312"/>
                      <w:kern w:val="0"/>
                      <w:sz w:val="21"/>
                      <w:szCs w:val="21"/>
                    </w:rPr>
                    <w:t>.</w:t>
                  </w:r>
                  <w:r>
                    <w:rPr>
                      <w:rFonts w:hint="eastAsia" w:eastAsia="仿宋_GB2312"/>
                      <w:kern w:val="0"/>
                      <w:sz w:val="21"/>
                      <w:szCs w:val="21"/>
                      <w:lang w:val="en-US" w:eastAsia="zh-CN"/>
                    </w:rPr>
                    <w:t>95</w:t>
                  </w:r>
                </w:p>
              </w:tc>
              <w:tc>
                <w:tcPr>
                  <w:tcW w:w="292" w:type="pct"/>
                  <w:tcBorders>
                    <w:tl2br w:val="nil"/>
                    <w:tr2bl w:val="nil"/>
                  </w:tcBorders>
                  <w:noWrap/>
                  <w:vAlign w:val="center"/>
                </w:tcPr>
                <w:p w14:paraId="0ECA5CF1">
                  <w:pPr>
                    <w:adjustRightInd w:val="0"/>
                    <w:snapToGrid w:val="0"/>
                    <w:jc w:val="center"/>
                    <w:rPr>
                      <w:rFonts w:eastAsia="仿宋_GB2312"/>
                      <w:sz w:val="21"/>
                      <w:szCs w:val="21"/>
                    </w:rPr>
                  </w:pPr>
                  <w:r>
                    <w:rPr>
                      <w:rFonts w:eastAsia="仿宋_GB2312"/>
                      <w:sz w:val="21"/>
                      <w:szCs w:val="21"/>
                    </w:rPr>
                    <w:t>/</w:t>
                  </w:r>
                </w:p>
              </w:tc>
              <w:tc>
                <w:tcPr>
                  <w:tcW w:w="260" w:type="pct"/>
                  <w:tcBorders>
                    <w:tl2br w:val="nil"/>
                    <w:tr2bl w:val="nil"/>
                  </w:tcBorders>
                  <w:noWrap/>
                  <w:vAlign w:val="center"/>
                </w:tcPr>
                <w:p w14:paraId="4B91F444">
                  <w:pPr>
                    <w:adjustRightInd w:val="0"/>
                    <w:snapToGrid w:val="0"/>
                    <w:jc w:val="center"/>
                    <w:rPr>
                      <w:rFonts w:eastAsia="仿宋_GB2312"/>
                      <w:sz w:val="21"/>
                      <w:szCs w:val="21"/>
                    </w:rPr>
                  </w:pPr>
                  <w:r>
                    <w:rPr>
                      <w:rFonts w:eastAsia="仿宋_GB2312"/>
                      <w:sz w:val="21"/>
                      <w:szCs w:val="21"/>
                    </w:rPr>
                    <w:t>/</w:t>
                  </w:r>
                </w:p>
              </w:tc>
              <w:tc>
                <w:tcPr>
                  <w:tcW w:w="279" w:type="pct"/>
                  <w:tcBorders>
                    <w:tl2br w:val="nil"/>
                    <w:tr2bl w:val="nil"/>
                  </w:tcBorders>
                  <w:noWrap/>
                  <w:vAlign w:val="center"/>
                </w:tcPr>
                <w:p w14:paraId="2F5EB29B">
                  <w:pPr>
                    <w:adjustRightInd w:val="0"/>
                    <w:snapToGrid w:val="0"/>
                    <w:jc w:val="center"/>
                    <w:rPr>
                      <w:rFonts w:eastAsia="仿宋_GB2312"/>
                      <w:sz w:val="21"/>
                      <w:szCs w:val="21"/>
                    </w:rPr>
                  </w:pPr>
                  <w:r>
                    <w:rPr>
                      <w:rFonts w:eastAsia="仿宋_GB2312"/>
                      <w:sz w:val="21"/>
                      <w:szCs w:val="21"/>
                    </w:rPr>
                    <w:t>达标</w:t>
                  </w:r>
                </w:p>
              </w:tc>
              <w:tc>
                <w:tcPr>
                  <w:tcW w:w="292" w:type="pct"/>
                  <w:tcBorders>
                    <w:tl2br w:val="nil"/>
                    <w:tr2bl w:val="nil"/>
                  </w:tcBorders>
                  <w:noWrap/>
                  <w:vAlign w:val="center"/>
                </w:tcPr>
                <w:p w14:paraId="7C22EEE6">
                  <w:pPr>
                    <w:adjustRightInd w:val="0"/>
                    <w:snapToGrid w:val="0"/>
                    <w:jc w:val="center"/>
                    <w:rPr>
                      <w:rFonts w:eastAsia="仿宋_GB2312"/>
                      <w:sz w:val="21"/>
                      <w:szCs w:val="21"/>
                    </w:rPr>
                  </w:pPr>
                  <w:r>
                    <w:rPr>
                      <w:rFonts w:eastAsia="仿宋_GB2312"/>
                      <w:sz w:val="21"/>
                      <w:szCs w:val="21"/>
                    </w:rPr>
                    <w:t>达标</w:t>
                  </w:r>
                </w:p>
              </w:tc>
            </w:tr>
            <w:tr w14:paraId="439DE48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252" w:type="pct"/>
                  <w:tcBorders>
                    <w:tl2br w:val="nil"/>
                    <w:tr2bl w:val="nil"/>
                  </w:tcBorders>
                  <w:noWrap/>
                  <w:vAlign w:val="center"/>
                </w:tcPr>
                <w:p w14:paraId="7589B865">
                  <w:pPr>
                    <w:pStyle w:val="99"/>
                    <w:adjustRightInd w:val="0"/>
                    <w:snapToGrid w:val="0"/>
                    <w:jc w:val="center"/>
                    <w:rPr>
                      <w:rFonts w:ascii="Times New Roman" w:hAnsi="Times New Roman" w:eastAsia="仿宋_GB2312" w:cs="Times New Roman"/>
                      <w:sz w:val="21"/>
                      <w:szCs w:val="21"/>
                      <w:lang w:eastAsia="zh-CN"/>
                    </w:rPr>
                  </w:pPr>
                  <w:r>
                    <w:rPr>
                      <w:rFonts w:ascii="Times New Roman" w:hAnsi="Times New Roman" w:eastAsia="仿宋_GB2312" w:cs="Times New Roman"/>
                      <w:sz w:val="21"/>
                      <w:szCs w:val="21"/>
                      <w:lang w:eastAsia="zh-CN"/>
                    </w:rPr>
                    <w:t>4</w:t>
                  </w:r>
                </w:p>
              </w:tc>
              <w:tc>
                <w:tcPr>
                  <w:tcW w:w="449" w:type="pct"/>
                  <w:tcBorders>
                    <w:tl2br w:val="nil"/>
                    <w:tr2bl w:val="nil"/>
                  </w:tcBorders>
                  <w:noWrap/>
                  <w:vAlign w:val="center"/>
                </w:tcPr>
                <w:p w14:paraId="0B861CFB">
                  <w:pPr>
                    <w:pStyle w:val="99"/>
                    <w:adjustRightInd w:val="0"/>
                    <w:snapToGrid w:val="0"/>
                    <w:jc w:val="center"/>
                    <w:rPr>
                      <w:rFonts w:ascii="Times New Roman" w:hAnsi="Times New Roman" w:eastAsia="仿宋_GB2312" w:cs="Times New Roman"/>
                      <w:sz w:val="21"/>
                      <w:szCs w:val="21"/>
                      <w:lang w:eastAsia="zh-CN"/>
                    </w:rPr>
                  </w:pPr>
                  <w:r>
                    <w:rPr>
                      <w:rFonts w:ascii="Times New Roman" w:hAnsi="Times New Roman" w:eastAsia="仿宋_GB2312" w:cs="Times New Roman"/>
                      <w:sz w:val="21"/>
                      <w:szCs w:val="21"/>
                      <w:lang w:eastAsia="zh-CN"/>
                    </w:rPr>
                    <w:t>北厂界</w:t>
                  </w:r>
                </w:p>
              </w:tc>
              <w:tc>
                <w:tcPr>
                  <w:tcW w:w="322" w:type="pct"/>
                  <w:tcBorders>
                    <w:tl2br w:val="nil"/>
                    <w:tr2bl w:val="nil"/>
                  </w:tcBorders>
                  <w:noWrap/>
                  <w:vAlign w:val="center"/>
                </w:tcPr>
                <w:p w14:paraId="52F00BC5">
                  <w:pPr>
                    <w:adjustRightInd w:val="0"/>
                    <w:snapToGrid w:val="0"/>
                    <w:jc w:val="center"/>
                    <w:rPr>
                      <w:rFonts w:eastAsia="仿宋_GB2312"/>
                      <w:sz w:val="21"/>
                      <w:szCs w:val="21"/>
                    </w:rPr>
                  </w:pPr>
                  <w:r>
                    <w:rPr>
                      <w:rFonts w:eastAsia="仿宋_GB2312"/>
                      <w:sz w:val="21"/>
                      <w:szCs w:val="21"/>
                    </w:rPr>
                    <w:t>/</w:t>
                  </w:r>
                </w:p>
              </w:tc>
              <w:tc>
                <w:tcPr>
                  <w:tcW w:w="259" w:type="pct"/>
                  <w:tcBorders>
                    <w:tl2br w:val="nil"/>
                    <w:tr2bl w:val="nil"/>
                  </w:tcBorders>
                  <w:noWrap/>
                  <w:vAlign w:val="center"/>
                </w:tcPr>
                <w:p w14:paraId="43896742">
                  <w:pPr>
                    <w:adjustRightInd w:val="0"/>
                    <w:snapToGrid w:val="0"/>
                    <w:jc w:val="center"/>
                    <w:rPr>
                      <w:rFonts w:eastAsia="仿宋_GB2312"/>
                      <w:sz w:val="21"/>
                      <w:szCs w:val="21"/>
                    </w:rPr>
                  </w:pPr>
                  <w:r>
                    <w:rPr>
                      <w:rFonts w:eastAsia="仿宋_GB2312"/>
                      <w:sz w:val="21"/>
                      <w:szCs w:val="21"/>
                    </w:rPr>
                    <w:t>/</w:t>
                  </w:r>
                </w:p>
              </w:tc>
              <w:tc>
                <w:tcPr>
                  <w:tcW w:w="294" w:type="pct"/>
                  <w:tcBorders>
                    <w:tl2br w:val="nil"/>
                    <w:tr2bl w:val="nil"/>
                  </w:tcBorders>
                  <w:shd w:val="clear" w:color="auto" w:fill="auto"/>
                  <w:noWrap/>
                  <w:vAlign w:val="center"/>
                </w:tcPr>
                <w:p w14:paraId="07D88910">
                  <w:pPr>
                    <w:pStyle w:val="17"/>
                    <w:keepNext w:val="0"/>
                    <w:keepLines w:val="0"/>
                    <w:pageBreakBefore w:val="0"/>
                    <w:widowControl w:val="0"/>
                    <w:numPr>
                      <w:ilvl w:val="0"/>
                      <w:numId w:val="0"/>
                    </w:numPr>
                    <w:suppressLineNumbers w:val="0"/>
                    <w:tabs>
                      <w:tab w:val="clear" w:pos="204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_GB2312" w:cs="Times New Roman"/>
                      <w:color w:val="auto"/>
                      <w:kern w:val="2"/>
                      <w:sz w:val="21"/>
                      <w:szCs w:val="21"/>
                      <w:vertAlign w:val="baseline"/>
                      <w:lang w:val="en-US" w:eastAsia="zh-CN" w:bidi="ar-SA"/>
                    </w:rPr>
                  </w:pPr>
                  <w:r>
                    <w:rPr>
                      <w:rFonts w:hint="eastAsia" w:ascii="Times New Roman" w:hAnsi="Times New Roman" w:eastAsia="仿宋_GB2312" w:cs="Times New Roman"/>
                      <w:color w:val="auto"/>
                      <w:kern w:val="2"/>
                      <w:sz w:val="21"/>
                      <w:szCs w:val="21"/>
                      <w:vertAlign w:val="baseline"/>
                      <w:lang w:val="en-US" w:eastAsia="zh-CN" w:bidi="ar-SA"/>
                    </w:rPr>
                    <w:t>62</w:t>
                  </w:r>
                </w:p>
              </w:tc>
              <w:tc>
                <w:tcPr>
                  <w:tcW w:w="294" w:type="pct"/>
                  <w:tcBorders>
                    <w:tl2br w:val="nil"/>
                    <w:tr2bl w:val="nil"/>
                  </w:tcBorders>
                  <w:noWrap/>
                  <w:vAlign w:val="center"/>
                </w:tcPr>
                <w:p w14:paraId="3E950BB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eastAsia="仿宋_GB2312"/>
                      <w:sz w:val="21"/>
                      <w:szCs w:val="21"/>
                    </w:rPr>
                  </w:pPr>
                  <w:r>
                    <w:rPr>
                      <w:rFonts w:hint="eastAsia" w:eastAsia="仿宋_GB2312" w:cs="Times New Roman"/>
                      <w:color w:val="auto"/>
                      <w:kern w:val="2"/>
                      <w:sz w:val="21"/>
                      <w:szCs w:val="21"/>
                      <w:vertAlign w:val="baseline"/>
                      <w:lang w:val="en-US" w:eastAsia="zh-CN" w:bidi="ar-SA"/>
                    </w:rPr>
                    <w:t>5</w:t>
                  </w:r>
                  <w:r>
                    <w:rPr>
                      <w:rFonts w:hint="eastAsia" w:ascii="Times New Roman" w:hAnsi="Times New Roman" w:eastAsia="仿宋_GB2312" w:cs="Times New Roman"/>
                      <w:color w:val="auto"/>
                      <w:kern w:val="2"/>
                      <w:sz w:val="21"/>
                      <w:szCs w:val="21"/>
                      <w:vertAlign w:val="baseline"/>
                      <w:lang w:val="en-US" w:eastAsia="zh-CN" w:bidi="ar-SA"/>
                    </w:rPr>
                    <w:t>4</w:t>
                  </w:r>
                </w:p>
              </w:tc>
              <w:tc>
                <w:tcPr>
                  <w:tcW w:w="268" w:type="pct"/>
                  <w:tcBorders>
                    <w:tl2br w:val="nil"/>
                    <w:tr2bl w:val="nil"/>
                  </w:tcBorders>
                  <w:noWrap/>
                  <w:vAlign w:val="center"/>
                </w:tcPr>
                <w:p w14:paraId="06721C2E">
                  <w:pPr>
                    <w:pStyle w:val="99"/>
                    <w:adjustRightInd w:val="0"/>
                    <w:snapToGrid w:val="0"/>
                    <w:jc w:val="center"/>
                    <w:rPr>
                      <w:rFonts w:ascii="Times New Roman" w:hAnsi="Times New Roman" w:eastAsia="仿宋_GB2312" w:cs="Times New Roman"/>
                      <w:sz w:val="21"/>
                      <w:szCs w:val="21"/>
                      <w:lang w:eastAsia="zh-CN"/>
                    </w:rPr>
                  </w:pPr>
                  <w:r>
                    <w:rPr>
                      <w:rFonts w:ascii="Times New Roman" w:hAnsi="Times New Roman" w:eastAsia="仿宋_GB2312" w:cs="Times New Roman"/>
                      <w:sz w:val="21"/>
                      <w:szCs w:val="21"/>
                      <w:lang w:eastAsia="zh-CN"/>
                    </w:rPr>
                    <w:t>65</w:t>
                  </w:r>
                </w:p>
              </w:tc>
              <w:tc>
                <w:tcPr>
                  <w:tcW w:w="268" w:type="pct"/>
                  <w:tcBorders>
                    <w:tl2br w:val="nil"/>
                    <w:tr2bl w:val="nil"/>
                  </w:tcBorders>
                  <w:noWrap/>
                  <w:vAlign w:val="center"/>
                </w:tcPr>
                <w:p w14:paraId="606526A7">
                  <w:pPr>
                    <w:pStyle w:val="99"/>
                    <w:adjustRightInd w:val="0"/>
                    <w:snapToGrid w:val="0"/>
                    <w:jc w:val="center"/>
                    <w:rPr>
                      <w:rFonts w:ascii="Times New Roman" w:hAnsi="Times New Roman" w:eastAsia="仿宋_GB2312" w:cs="Times New Roman"/>
                      <w:sz w:val="21"/>
                      <w:szCs w:val="21"/>
                      <w:lang w:eastAsia="zh-CN"/>
                    </w:rPr>
                  </w:pPr>
                  <w:r>
                    <w:rPr>
                      <w:rFonts w:ascii="Times New Roman" w:hAnsi="Times New Roman" w:eastAsia="仿宋_GB2312" w:cs="Times New Roman"/>
                      <w:sz w:val="21"/>
                      <w:szCs w:val="21"/>
                      <w:lang w:eastAsia="zh-CN"/>
                    </w:rPr>
                    <w:t>55</w:t>
                  </w:r>
                </w:p>
              </w:tc>
              <w:tc>
                <w:tcPr>
                  <w:tcW w:w="331" w:type="pct"/>
                  <w:tcBorders>
                    <w:tl2br w:val="nil"/>
                    <w:tr2bl w:val="nil"/>
                  </w:tcBorders>
                  <w:noWrap/>
                  <w:vAlign w:val="center"/>
                </w:tcPr>
                <w:p w14:paraId="0A6B568A">
                  <w:pPr>
                    <w:adjustRightInd w:val="0"/>
                    <w:snapToGrid w:val="0"/>
                    <w:jc w:val="center"/>
                    <w:rPr>
                      <w:rFonts w:hint="default" w:eastAsia="仿宋_GB2312"/>
                      <w:sz w:val="21"/>
                      <w:szCs w:val="21"/>
                      <w:lang w:val="en-US" w:eastAsia="zh-CN"/>
                    </w:rPr>
                  </w:pPr>
                  <w:r>
                    <w:rPr>
                      <w:rFonts w:hint="eastAsia" w:eastAsia="仿宋_GB2312"/>
                      <w:snapToGrid w:val="0"/>
                      <w:kern w:val="0"/>
                      <w:sz w:val="21"/>
                      <w:szCs w:val="21"/>
                      <w:lang w:val="en-US" w:eastAsia="zh-CN"/>
                    </w:rPr>
                    <w:t>62</w:t>
                  </w:r>
                  <w:r>
                    <w:rPr>
                      <w:rFonts w:eastAsia="仿宋_GB2312"/>
                      <w:snapToGrid w:val="0"/>
                      <w:kern w:val="0"/>
                      <w:sz w:val="21"/>
                      <w:szCs w:val="21"/>
                    </w:rPr>
                    <w:t>.</w:t>
                  </w:r>
                  <w:r>
                    <w:rPr>
                      <w:rFonts w:hint="eastAsia" w:eastAsia="仿宋_GB2312"/>
                      <w:snapToGrid w:val="0"/>
                      <w:kern w:val="0"/>
                      <w:sz w:val="21"/>
                      <w:szCs w:val="21"/>
                      <w:lang w:val="en-US" w:eastAsia="zh-CN"/>
                    </w:rPr>
                    <w:t>21</w:t>
                  </w:r>
                </w:p>
              </w:tc>
              <w:tc>
                <w:tcPr>
                  <w:tcW w:w="331" w:type="pct"/>
                  <w:tcBorders>
                    <w:tl2br w:val="nil"/>
                    <w:tr2bl w:val="nil"/>
                  </w:tcBorders>
                  <w:noWrap/>
                  <w:vAlign w:val="center"/>
                </w:tcPr>
                <w:p w14:paraId="30821572">
                  <w:pPr>
                    <w:adjustRightInd w:val="0"/>
                    <w:snapToGrid w:val="0"/>
                    <w:jc w:val="center"/>
                    <w:rPr>
                      <w:rFonts w:hint="eastAsia" w:eastAsia="仿宋_GB2312"/>
                      <w:sz w:val="21"/>
                      <w:szCs w:val="21"/>
                      <w:lang w:eastAsia="zh-CN"/>
                    </w:rPr>
                  </w:pPr>
                  <w:r>
                    <w:rPr>
                      <w:rFonts w:eastAsia="仿宋_GB2312"/>
                      <w:snapToGrid w:val="0"/>
                      <w:kern w:val="0"/>
                      <w:sz w:val="21"/>
                      <w:szCs w:val="21"/>
                    </w:rPr>
                    <w:t>4</w:t>
                  </w:r>
                  <w:r>
                    <w:rPr>
                      <w:rFonts w:hint="eastAsia" w:eastAsia="仿宋_GB2312"/>
                      <w:snapToGrid w:val="0"/>
                      <w:kern w:val="0"/>
                      <w:sz w:val="21"/>
                      <w:szCs w:val="21"/>
                      <w:lang w:val="en-US" w:eastAsia="zh-CN"/>
                    </w:rPr>
                    <w:t>9</w:t>
                  </w:r>
                  <w:r>
                    <w:rPr>
                      <w:rFonts w:eastAsia="仿宋_GB2312"/>
                      <w:snapToGrid w:val="0"/>
                      <w:kern w:val="0"/>
                      <w:sz w:val="21"/>
                      <w:szCs w:val="21"/>
                    </w:rPr>
                    <w:t>.</w:t>
                  </w:r>
                  <w:r>
                    <w:rPr>
                      <w:rFonts w:hint="eastAsia" w:eastAsia="仿宋_GB2312"/>
                      <w:snapToGrid w:val="0"/>
                      <w:kern w:val="0"/>
                      <w:sz w:val="21"/>
                      <w:szCs w:val="21"/>
                      <w:lang w:val="en-US" w:eastAsia="zh-CN"/>
                    </w:rPr>
                    <w:t>57</w:t>
                  </w:r>
                </w:p>
              </w:tc>
              <w:tc>
                <w:tcPr>
                  <w:tcW w:w="669" w:type="dxa"/>
                  <w:tcBorders>
                    <w:tl2br w:val="nil"/>
                    <w:tr2bl w:val="nil"/>
                  </w:tcBorders>
                  <w:noWrap/>
                  <w:vAlign w:val="center"/>
                </w:tcPr>
                <w:p w14:paraId="2602E4AB">
                  <w:pPr>
                    <w:adjustRightInd w:val="0"/>
                    <w:snapToGrid w:val="0"/>
                    <w:jc w:val="center"/>
                    <w:rPr>
                      <w:rFonts w:eastAsia="仿宋_GB2312"/>
                      <w:sz w:val="21"/>
                      <w:szCs w:val="21"/>
                    </w:rPr>
                  </w:pPr>
                  <w:r>
                    <w:rPr>
                      <w:rFonts w:hint="eastAsia" w:eastAsia="仿宋_GB2312"/>
                      <w:snapToGrid w:val="0"/>
                      <w:kern w:val="0"/>
                      <w:sz w:val="21"/>
                      <w:szCs w:val="21"/>
                      <w:lang w:val="en-US" w:eastAsia="zh-CN"/>
                    </w:rPr>
                    <w:t>62</w:t>
                  </w:r>
                  <w:r>
                    <w:rPr>
                      <w:rFonts w:eastAsia="仿宋_GB2312"/>
                      <w:snapToGrid w:val="0"/>
                      <w:kern w:val="0"/>
                      <w:sz w:val="21"/>
                      <w:szCs w:val="21"/>
                    </w:rPr>
                    <w:t>.</w:t>
                  </w:r>
                  <w:r>
                    <w:rPr>
                      <w:rFonts w:hint="eastAsia" w:eastAsia="仿宋_GB2312"/>
                      <w:snapToGrid w:val="0"/>
                      <w:kern w:val="0"/>
                      <w:sz w:val="21"/>
                      <w:szCs w:val="21"/>
                      <w:lang w:val="en-US" w:eastAsia="zh-CN"/>
                    </w:rPr>
                    <w:t>21</w:t>
                  </w:r>
                </w:p>
              </w:tc>
              <w:tc>
                <w:tcPr>
                  <w:tcW w:w="694" w:type="dxa"/>
                  <w:tcBorders>
                    <w:tl2br w:val="nil"/>
                    <w:tr2bl w:val="nil"/>
                  </w:tcBorders>
                  <w:noWrap/>
                  <w:vAlign w:val="center"/>
                </w:tcPr>
                <w:p w14:paraId="677DC999">
                  <w:pPr>
                    <w:adjustRightInd w:val="0"/>
                    <w:snapToGrid w:val="0"/>
                    <w:jc w:val="center"/>
                    <w:rPr>
                      <w:rFonts w:eastAsia="仿宋_GB2312"/>
                      <w:sz w:val="21"/>
                      <w:szCs w:val="21"/>
                    </w:rPr>
                  </w:pPr>
                  <w:r>
                    <w:rPr>
                      <w:rFonts w:eastAsia="仿宋_GB2312"/>
                      <w:snapToGrid w:val="0"/>
                      <w:kern w:val="0"/>
                      <w:sz w:val="21"/>
                      <w:szCs w:val="21"/>
                    </w:rPr>
                    <w:t>4</w:t>
                  </w:r>
                  <w:r>
                    <w:rPr>
                      <w:rFonts w:hint="eastAsia" w:eastAsia="仿宋_GB2312"/>
                      <w:snapToGrid w:val="0"/>
                      <w:kern w:val="0"/>
                      <w:sz w:val="21"/>
                      <w:szCs w:val="21"/>
                      <w:lang w:val="en-US" w:eastAsia="zh-CN"/>
                    </w:rPr>
                    <w:t>9</w:t>
                  </w:r>
                  <w:r>
                    <w:rPr>
                      <w:rFonts w:eastAsia="仿宋_GB2312"/>
                      <w:snapToGrid w:val="0"/>
                      <w:kern w:val="0"/>
                      <w:sz w:val="21"/>
                      <w:szCs w:val="21"/>
                    </w:rPr>
                    <w:t>.</w:t>
                  </w:r>
                  <w:r>
                    <w:rPr>
                      <w:rFonts w:hint="eastAsia" w:eastAsia="仿宋_GB2312"/>
                      <w:snapToGrid w:val="0"/>
                      <w:kern w:val="0"/>
                      <w:sz w:val="21"/>
                      <w:szCs w:val="21"/>
                      <w:lang w:val="en-US" w:eastAsia="zh-CN"/>
                    </w:rPr>
                    <w:t>57</w:t>
                  </w:r>
                </w:p>
              </w:tc>
              <w:tc>
                <w:tcPr>
                  <w:tcW w:w="292" w:type="pct"/>
                  <w:tcBorders>
                    <w:tl2br w:val="nil"/>
                    <w:tr2bl w:val="nil"/>
                  </w:tcBorders>
                  <w:noWrap/>
                  <w:vAlign w:val="center"/>
                </w:tcPr>
                <w:p w14:paraId="2F895D94">
                  <w:pPr>
                    <w:adjustRightInd w:val="0"/>
                    <w:snapToGrid w:val="0"/>
                    <w:jc w:val="center"/>
                    <w:rPr>
                      <w:rFonts w:eastAsia="仿宋_GB2312"/>
                      <w:sz w:val="21"/>
                      <w:szCs w:val="21"/>
                    </w:rPr>
                  </w:pPr>
                  <w:r>
                    <w:rPr>
                      <w:rFonts w:eastAsia="仿宋_GB2312"/>
                      <w:sz w:val="21"/>
                      <w:szCs w:val="21"/>
                    </w:rPr>
                    <w:t>/</w:t>
                  </w:r>
                </w:p>
              </w:tc>
              <w:tc>
                <w:tcPr>
                  <w:tcW w:w="260" w:type="pct"/>
                  <w:tcBorders>
                    <w:tl2br w:val="nil"/>
                    <w:tr2bl w:val="nil"/>
                  </w:tcBorders>
                  <w:noWrap/>
                  <w:vAlign w:val="center"/>
                </w:tcPr>
                <w:p w14:paraId="40E7CE73">
                  <w:pPr>
                    <w:adjustRightInd w:val="0"/>
                    <w:snapToGrid w:val="0"/>
                    <w:jc w:val="center"/>
                    <w:rPr>
                      <w:rFonts w:eastAsia="仿宋_GB2312"/>
                      <w:sz w:val="21"/>
                      <w:szCs w:val="21"/>
                    </w:rPr>
                  </w:pPr>
                  <w:r>
                    <w:rPr>
                      <w:rFonts w:eastAsia="仿宋_GB2312"/>
                      <w:sz w:val="21"/>
                      <w:szCs w:val="21"/>
                    </w:rPr>
                    <w:t>/</w:t>
                  </w:r>
                </w:p>
              </w:tc>
              <w:tc>
                <w:tcPr>
                  <w:tcW w:w="279" w:type="pct"/>
                  <w:tcBorders>
                    <w:tl2br w:val="nil"/>
                    <w:tr2bl w:val="nil"/>
                  </w:tcBorders>
                  <w:noWrap/>
                  <w:vAlign w:val="center"/>
                </w:tcPr>
                <w:p w14:paraId="4154D542">
                  <w:pPr>
                    <w:adjustRightInd w:val="0"/>
                    <w:snapToGrid w:val="0"/>
                    <w:jc w:val="center"/>
                    <w:rPr>
                      <w:rFonts w:eastAsia="仿宋_GB2312"/>
                      <w:sz w:val="21"/>
                      <w:szCs w:val="21"/>
                    </w:rPr>
                  </w:pPr>
                  <w:r>
                    <w:rPr>
                      <w:rFonts w:eastAsia="仿宋_GB2312"/>
                      <w:sz w:val="21"/>
                      <w:szCs w:val="21"/>
                    </w:rPr>
                    <w:t>达标</w:t>
                  </w:r>
                </w:p>
              </w:tc>
              <w:tc>
                <w:tcPr>
                  <w:tcW w:w="292" w:type="pct"/>
                  <w:tcBorders>
                    <w:tl2br w:val="nil"/>
                    <w:tr2bl w:val="nil"/>
                  </w:tcBorders>
                  <w:noWrap/>
                  <w:vAlign w:val="center"/>
                </w:tcPr>
                <w:p w14:paraId="3FCCF334">
                  <w:pPr>
                    <w:adjustRightInd w:val="0"/>
                    <w:snapToGrid w:val="0"/>
                    <w:jc w:val="center"/>
                    <w:rPr>
                      <w:rFonts w:eastAsia="仿宋_GB2312"/>
                      <w:sz w:val="21"/>
                      <w:szCs w:val="21"/>
                    </w:rPr>
                  </w:pPr>
                  <w:r>
                    <w:rPr>
                      <w:rFonts w:eastAsia="仿宋_GB2312"/>
                      <w:sz w:val="21"/>
                      <w:szCs w:val="21"/>
                    </w:rPr>
                    <w:t>达标</w:t>
                  </w:r>
                </w:p>
              </w:tc>
            </w:tr>
          </w:tbl>
          <w:p w14:paraId="146975B2">
            <w:pPr>
              <w:pStyle w:val="46"/>
              <w:keepNext w:val="0"/>
              <w:keepLines w:val="0"/>
              <w:pageBreakBefore w:val="0"/>
              <w:kinsoku/>
              <w:wordWrap/>
              <w:overflowPunct/>
              <w:topLinePunct w:val="0"/>
              <w:bidi w:val="0"/>
              <w:adjustRightInd w:val="0"/>
              <w:snapToGrid w:val="0"/>
              <w:spacing w:line="360" w:lineRule="auto"/>
              <w:ind w:firstLine="420" w:firstLineChars="200"/>
              <w:jc w:val="both"/>
              <w:textAlignment w:val="auto"/>
              <w:outlineLvl w:val="9"/>
              <w:rPr>
                <w:rFonts w:ascii="Times New Roman" w:eastAsia="仿宋_GB2312" w:cs="Times New Roman"/>
                <w:b w:val="0"/>
                <w:bCs/>
                <w:color w:val="auto"/>
                <w:sz w:val="21"/>
                <w:szCs w:val="21"/>
              </w:rPr>
            </w:pPr>
            <w:r>
              <w:rPr>
                <w:rFonts w:ascii="Times New Roman" w:eastAsia="仿宋_GB2312" w:cs="Times New Roman"/>
                <w:b w:val="0"/>
                <w:bCs/>
                <w:color w:val="auto"/>
                <w:sz w:val="21"/>
                <w:szCs w:val="21"/>
              </w:rPr>
              <w:t>根据预测结果可知，经以上防护措施及墙体隔声和距离的自然衰减后，项目四周厂界均满足《工业企业厂界环境噪声排放标准》（GB12348-2008）中3类</w:t>
            </w:r>
            <w:r>
              <w:rPr>
                <w:rFonts w:hint="eastAsia" w:ascii="Times New Roman" w:eastAsia="仿宋_GB2312" w:cs="Times New Roman"/>
                <w:b w:val="0"/>
                <w:bCs/>
                <w:color w:val="auto"/>
                <w:sz w:val="21"/>
                <w:szCs w:val="21"/>
              </w:rPr>
              <w:t>、4a类</w:t>
            </w:r>
            <w:r>
              <w:rPr>
                <w:rFonts w:ascii="Times New Roman" w:eastAsia="仿宋_GB2312" w:cs="Times New Roman"/>
                <w:b w:val="0"/>
                <w:bCs/>
                <w:color w:val="auto"/>
                <w:sz w:val="21"/>
                <w:szCs w:val="21"/>
              </w:rPr>
              <w:t>标准要求，不会对周围声环境及内部造成明显影响。</w:t>
            </w:r>
          </w:p>
          <w:p w14:paraId="0FB291C0">
            <w:pPr>
              <w:keepNext w:val="0"/>
              <w:keepLines w:val="0"/>
              <w:pageBreakBefore w:val="0"/>
              <w:kinsoku/>
              <w:wordWrap/>
              <w:overflowPunct/>
              <w:topLinePunct w:val="0"/>
              <w:bidi w:val="0"/>
              <w:adjustRightInd w:val="0"/>
              <w:snapToGrid w:val="0"/>
              <w:spacing w:line="360" w:lineRule="auto"/>
              <w:ind w:firstLine="422" w:firstLineChars="200"/>
              <w:jc w:val="both"/>
              <w:textAlignment w:val="auto"/>
              <w:rPr>
                <w:rFonts w:eastAsia="仿宋_GB2312"/>
              </w:rPr>
            </w:pPr>
            <w:r>
              <w:rPr>
                <w:rFonts w:eastAsia="仿宋_GB2312"/>
                <w:b/>
                <w:bCs/>
                <w:kern w:val="0"/>
              </w:rPr>
              <w:t>（4）噪声监测计划</w:t>
            </w:r>
          </w:p>
          <w:p w14:paraId="3FB23AB7">
            <w:pPr>
              <w:keepNext w:val="0"/>
              <w:keepLines w:val="0"/>
              <w:pageBreakBefore w:val="0"/>
              <w:widowControl/>
              <w:kinsoku/>
              <w:wordWrap/>
              <w:overflowPunct/>
              <w:topLinePunct w:val="0"/>
              <w:bidi w:val="0"/>
              <w:adjustRightInd w:val="0"/>
              <w:snapToGrid w:val="0"/>
              <w:spacing w:line="360" w:lineRule="auto"/>
              <w:ind w:firstLine="420" w:firstLineChars="200"/>
              <w:jc w:val="both"/>
              <w:textAlignment w:val="auto"/>
              <w:rPr>
                <w:rFonts w:eastAsia="仿宋_GB2312"/>
                <w:kern w:val="0"/>
              </w:rPr>
            </w:pPr>
            <w:r>
              <w:rPr>
                <w:rFonts w:eastAsia="仿宋_GB2312"/>
                <w:kern w:val="0"/>
              </w:rPr>
              <w:t>根据《排污单位自行监测技术指南 总则》（HJ819-2017），噪声监测计划见下表。</w:t>
            </w:r>
          </w:p>
          <w:p w14:paraId="6429DB1B">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eastAsia="仿宋_GB2312"/>
                <w:b/>
                <w:bCs/>
                <w:kern w:val="0"/>
              </w:rPr>
            </w:pPr>
            <w:r>
              <w:rPr>
                <w:rFonts w:eastAsia="仿宋_GB2312"/>
                <w:b/>
                <w:bCs/>
                <w:kern w:val="0"/>
              </w:rPr>
              <w:t>表4-2</w:t>
            </w:r>
            <w:r>
              <w:rPr>
                <w:rFonts w:hint="eastAsia" w:eastAsia="仿宋_GB2312"/>
                <w:b/>
                <w:bCs/>
                <w:kern w:val="0"/>
                <w:lang w:val="en-US" w:eastAsia="zh-CN"/>
              </w:rPr>
              <w:t xml:space="preserve">7  </w:t>
            </w:r>
            <w:r>
              <w:rPr>
                <w:rFonts w:eastAsia="仿宋_GB2312"/>
                <w:b/>
                <w:bCs/>
                <w:kern w:val="0"/>
              </w:rPr>
              <w:t>项目噪声监测计划</w:t>
            </w:r>
          </w:p>
          <w:tbl>
            <w:tblPr>
              <w:tblStyle w:val="3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1" w:type="dxa"/>
                <w:bottom w:w="0" w:type="dxa"/>
                <w:right w:w="11" w:type="dxa"/>
              </w:tblCellMar>
            </w:tblPr>
            <w:tblGrid>
              <w:gridCol w:w="2507"/>
              <w:gridCol w:w="1933"/>
              <w:gridCol w:w="1930"/>
              <w:gridCol w:w="2123"/>
            </w:tblGrid>
            <w:tr w14:paraId="19C887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jc w:val="center"/>
              </w:trPr>
              <w:tc>
                <w:tcPr>
                  <w:tcW w:w="1475" w:type="pct"/>
                  <w:vAlign w:val="center"/>
                </w:tcPr>
                <w:p w14:paraId="35D44057">
                  <w:pPr>
                    <w:widowControl/>
                    <w:adjustRightInd w:val="0"/>
                    <w:snapToGrid w:val="0"/>
                    <w:jc w:val="center"/>
                    <w:rPr>
                      <w:rFonts w:eastAsia="仿宋_GB2312"/>
                      <w:b/>
                      <w:bCs/>
                      <w:kern w:val="0"/>
                      <w:sz w:val="21"/>
                      <w:szCs w:val="21"/>
                      <w:lang w:bidi="en-US"/>
                    </w:rPr>
                  </w:pPr>
                  <w:r>
                    <w:rPr>
                      <w:rFonts w:eastAsia="仿宋_GB2312"/>
                      <w:b/>
                      <w:bCs/>
                      <w:kern w:val="0"/>
                      <w:sz w:val="21"/>
                      <w:szCs w:val="21"/>
                      <w:lang w:bidi="en-US"/>
                    </w:rPr>
                    <w:t>类别</w:t>
                  </w:r>
                </w:p>
              </w:tc>
              <w:tc>
                <w:tcPr>
                  <w:tcW w:w="1138" w:type="pct"/>
                  <w:vAlign w:val="center"/>
                </w:tcPr>
                <w:p w14:paraId="51D4A765">
                  <w:pPr>
                    <w:widowControl/>
                    <w:adjustRightInd w:val="0"/>
                    <w:snapToGrid w:val="0"/>
                    <w:jc w:val="center"/>
                    <w:rPr>
                      <w:rFonts w:eastAsia="仿宋_GB2312"/>
                      <w:b/>
                      <w:bCs/>
                      <w:kern w:val="0"/>
                      <w:sz w:val="21"/>
                      <w:szCs w:val="21"/>
                      <w:lang w:bidi="en-US"/>
                    </w:rPr>
                  </w:pPr>
                  <w:r>
                    <w:rPr>
                      <w:rFonts w:eastAsia="仿宋_GB2312"/>
                      <w:b/>
                      <w:bCs/>
                      <w:kern w:val="0"/>
                      <w:sz w:val="21"/>
                      <w:szCs w:val="21"/>
                      <w:lang w:bidi="en-US"/>
                    </w:rPr>
                    <w:t>监测点位</w:t>
                  </w:r>
                </w:p>
              </w:tc>
              <w:tc>
                <w:tcPr>
                  <w:tcW w:w="1136" w:type="pct"/>
                  <w:vAlign w:val="center"/>
                </w:tcPr>
                <w:p w14:paraId="2AAAE60E">
                  <w:pPr>
                    <w:widowControl/>
                    <w:adjustRightInd w:val="0"/>
                    <w:snapToGrid w:val="0"/>
                    <w:jc w:val="center"/>
                    <w:rPr>
                      <w:rFonts w:eastAsia="仿宋_GB2312"/>
                      <w:b/>
                      <w:bCs/>
                      <w:kern w:val="0"/>
                      <w:sz w:val="21"/>
                      <w:szCs w:val="21"/>
                      <w:lang w:bidi="en-US"/>
                    </w:rPr>
                  </w:pPr>
                  <w:r>
                    <w:rPr>
                      <w:rFonts w:eastAsia="仿宋_GB2312"/>
                      <w:b/>
                      <w:bCs/>
                      <w:kern w:val="0"/>
                      <w:sz w:val="21"/>
                      <w:szCs w:val="21"/>
                      <w:lang w:bidi="en-US"/>
                    </w:rPr>
                    <w:t>监测指标</w:t>
                  </w:r>
                </w:p>
              </w:tc>
              <w:tc>
                <w:tcPr>
                  <w:tcW w:w="1249" w:type="pct"/>
                  <w:vAlign w:val="center"/>
                </w:tcPr>
                <w:p w14:paraId="30D650BA">
                  <w:pPr>
                    <w:widowControl/>
                    <w:adjustRightInd w:val="0"/>
                    <w:snapToGrid w:val="0"/>
                    <w:jc w:val="center"/>
                    <w:rPr>
                      <w:rFonts w:eastAsia="仿宋_GB2312"/>
                      <w:b/>
                      <w:bCs/>
                      <w:kern w:val="0"/>
                      <w:sz w:val="21"/>
                      <w:szCs w:val="21"/>
                      <w:lang w:bidi="en-US"/>
                    </w:rPr>
                  </w:pPr>
                  <w:r>
                    <w:rPr>
                      <w:rFonts w:eastAsia="仿宋_GB2312"/>
                      <w:b/>
                      <w:bCs/>
                      <w:kern w:val="0"/>
                      <w:sz w:val="21"/>
                      <w:szCs w:val="21"/>
                      <w:lang w:bidi="en-US"/>
                    </w:rPr>
                    <w:t>监测频次</w:t>
                  </w:r>
                </w:p>
              </w:tc>
            </w:tr>
            <w:tr w14:paraId="7B3CD4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jc w:val="center"/>
              </w:trPr>
              <w:tc>
                <w:tcPr>
                  <w:tcW w:w="1475" w:type="pct"/>
                  <w:vAlign w:val="center"/>
                </w:tcPr>
                <w:p w14:paraId="6E663316">
                  <w:pPr>
                    <w:widowControl/>
                    <w:adjustRightInd w:val="0"/>
                    <w:snapToGrid w:val="0"/>
                    <w:jc w:val="center"/>
                    <w:rPr>
                      <w:rFonts w:eastAsia="仿宋_GB2312"/>
                      <w:kern w:val="0"/>
                      <w:sz w:val="21"/>
                      <w:szCs w:val="21"/>
                      <w:lang w:bidi="en-US"/>
                    </w:rPr>
                  </w:pPr>
                  <w:r>
                    <w:rPr>
                      <w:rFonts w:eastAsia="仿宋_GB2312"/>
                      <w:kern w:val="0"/>
                      <w:sz w:val="21"/>
                      <w:szCs w:val="21"/>
                      <w:lang w:bidi="en-US"/>
                    </w:rPr>
                    <w:t>厂界噪声</w:t>
                  </w:r>
                </w:p>
              </w:tc>
              <w:tc>
                <w:tcPr>
                  <w:tcW w:w="1138" w:type="pct"/>
                  <w:vAlign w:val="center"/>
                </w:tcPr>
                <w:p w14:paraId="370C0AC4">
                  <w:pPr>
                    <w:widowControl/>
                    <w:adjustRightInd w:val="0"/>
                    <w:snapToGrid w:val="0"/>
                    <w:jc w:val="center"/>
                    <w:rPr>
                      <w:rFonts w:eastAsia="仿宋_GB2312"/>
                      <w:kern w:val="0"/>
                      <w:sz w:val="21"/>
                      <w:szCs w:val="21"/>
                      <w:lang w:bidi="en-US"/>
                    </w:rPr>
                  </w:pPr>
                  <w:r>
                    <w:rPr>
                      <w:rFonts w:eastAsia="仿宋_GB2312"/>
                      <w:kern w:val="0"/>
                      <w:sz w:val="21"/>
                      <w:szCs w:val="21"/>
                      <w:lang w:bidi="en-US"/>
                    </w:rPr>
                    <w:t>项目厂区四周界</w:t>
                  </w:r>
                </w:p>
              </w:tc>
              <w:tc>
                <w:tcPr>
                  <w:tcW w:w="1136" w:type="pct"/>
                  <w:vAlign w:val="center"/>
                </w:tcPr>
                <w:p w14:paraId="657EB5CA">
                  <w:pPr>
                    <w:widowControl/>
                    <w:adjustRightInd w:val="0"/>
                    <w:snapToGrid w:val="0"/>
                    <w:jc w:val="center"/>
                    <w:rPr>
                      <w:rFonts w:eastAsia="仿宋_GB2312"/>
                      <w:kern w:val="0"/>
                      <w:sz w:val="21"/>
                      <w:szCs w:val="21"/>
                      <w:lang w:bidi="en-US"/>
                    </w:rPr>
                  </w:pPr>
                  <w:r>
                    <w:rPr>
                      <w:rFonts w:eastAsia="仿宋_GB2312"/>
                      <w:kern w:val="0"/>
                      <w:sz w:val="21"/>
                      <w:szCs w:val="21"/>
                      <w:lang w:bidi="en-US"/>
                    </w:rPr>
                    <w:t>等效连续A声级</w:t>
                  </w:r>
                </w:p>
              </w:tc>
              <w:tc>
                <w:tcPr>
                  <w:tcW w:w="1249" w:type="pct"/>
                  <w:vAlign w:val="center"/>
                </w:tcPr>
                <w:p w14:paraId="6BF095E6">
                  <w:pPr>
                    <w:widowControl/>
                    <w:adjustRightInd w:val="0"/>
                    <w:snapToGrid w:val="0"/>
                    <w:jc w:val="center"/>
                    <w:rPr>
                      <w:rFonts w:hint="eastAsia" w:eastAsia="仿宋_GB2312"/>
                      <w:kern w:val="0"/>
                      <w:sz w:val="21"/>
                      <w:szCs w:val="21"/>
                      <w:lang w:eastAsia="zh-CN" w:bidi="en-US"/>
                    </w:rPr>
                  </w:pPr>
                  <w:r>
                    <w:rPr>
                      <w:rFonts w:eastAsia="仿宋_GB2312"/>
                      <w:kern w:val="0"/>
                      <w:sz w:val="21"/>
                      <w:szCs w:val="21"/>
                      <w:lang w:bidi="en-US"/>
                    </w:rPr>
                    <w:t>1次/</w:t>
                  </w:r>
                  <w:r>
                    <w:rPr>
                      <w:rFonts w:hint="eastAsia" w:eastAsia="仿宋_GB2312"/>
                      <w:kern w:val="0"/>
                      <w:sz w:val="21"/>
                      <w:szCs w:val="21"/>
                      <w:lang w:val="en-US" w:eastAsia="zh-CN" w:bidi="en-US"/>
                    </w:rPr>
                    <w:t>季度</w:t>
                  </w:r>
                </w:p>
              </w:tc>
            </w:tr>
          </w:tbl>
          <w:p w14:paraId="194357E1">
            <w:pPr>
              <w:pStyle w:val="77"/>
              <w:keepNext w:val="0"/>
              <w:keepLines w:val="0"/>
              <w:pageBreakBefore w:val="0"/>
              <w:kinsoku/>
              <w:wordWrap/>
              <w:overflowPunct/>
              <w:topLinePunct w:val="0"/>
              <w:autoSpaceDE/>
              <w:autoSpaceDN/>
              <w:bidi w:val="0"/>
              <w:snapToGrid w:val="0"/>
              <w:spacing w:line="360" w:lineRule="auto"/>
              <w:ind w:firstLine="422"/>
              <w:jc w:val="both"/>
              <w:textAlignment w:val="auto"/>
              <w:rPr>
                <w:lang w:val="en-US"/>
              </w:rPr>
            </w:pPr>
            <w:r>
              <w:rPr>
                <w:lang w:val="en-US"/>
              </w:rPr>
              <w:t>4、固体废弃物</w:t>
            </w:r>
          </w:p>
          <w:p w14:paraId="61AB8BC8">
            <w:pPr>
              <w:keepNext w:val="0"/>
              <w:keepLines w:val="0"/>
              <w:pageBreakBefore w:val="0"/>
              <w:kinsoku/>
              <w:wordWrap/>
              <w:overflowPunct/>
              <w:topLinePunct w:val="0"/>
              <w:autoSpaceDE/>
              <w:autoSpaceDN/>
              <w:bidi w:val="0"/>
              <w:adjustRightInd w:val="0"/>
              <w:snapToGrid w:val="0"/>
              <w:spacing w:line="360" w:lineRule="auto"/>
              <w:ind w:firstLine="420" w:firstLineChars="200"/>
              <w:jc w:val="both"/>
              <w:textAlignment w:val="auto"/>
              <w:rPr>
                <w:rFonts w:eastAsia="仿宋_GB2312"/>
              </w:rPr>
            </w:pPr>
            <w:r>
              <w:rPr>
                <w:rFonts w:eastAsia="仿宋_GB2312"/>
              </w:rPr>
              <w:t>建设项目营运期产生的固体废弃物包括：废机油、废油桶、废漆桶、废漆刷</w:t>
            </w:r>
            <w:r>
              <w:rPr>
                <w:rFonts w:hint="eastAsia" w:eastAsia="仿宋_GB2312"/>
              </w:rPr>
              <w:t>、废活性炭、</w:t>
            </w:r>
            <w:r>
              <w:rPr>
                <w:rFonts w:eastAsia="仿宋_GB2312"/>
                <w:kern w:val="0"/>
              </w:rPr>
              <w:t>废保安过滤器</w:t>
            </w:r>
            <w:r>
              <w:rPr>
                <w:rFonts w:hint="eastAsia" w:eastAsia="仿宋_GB2312"/>
                <w:kern w:val="0"/>
              </w:rPr>
              <w:t>、</w:t>
            </w:r>
            <w:r>
              <w:rPr>
                <w:rFonts w:eastAsia="仿宋_GB2312"/>
                <w:kern w:val="0"/>
              </w:rPr>
              <w:t>废粗过滤器滤芯</w:t>
            </w:r>
            <w:r>
              <w:rPr>
                <w:rFonts w:hint="eastAsia" w:eastAsia="仿宋_GB2312"/>
                <w:kern w:val="0"/>
              </w:rPr>
              <w:t>、</w:t>
            </w:r>
            <w:r>
              <w:rPr>
                <w:rFonts w:eastAsia="仿宋_GB2312"/>
                <w:kern w:val="0"/>
              </w:rPr>
              <w:t>盐泥</w:t>
            </w:r>
            <w:r>
              <w:rPr>
                <w:rFonts w:hint="eastAsia" w:eastAsia="仿宋_GB2312"/>
                <w:kern w:val="0"/>
              </w:rPr>
              <w:t>、实验室废液</w:t>
            </w:r>
            <w:r>
              <w:rPr>
                <w:rFonts w:eastAsia="仿宋_GB2312"/>
              </w:rPr>
              <w:t>等。</w:t>
            </w:r>
          </w:p>
          <w:p w14:paraId="50E2DB16">
            <w:pPr>
              <w:keepNext w:val="0"/>
              <w:keepLines w:val="0"/>
              <w:pageBreakBefore w:val="0"/>
              <w:kinsoku/>
              <w:wordWrap/>
              <w:overflowPunct/>
              <w:topLinePunct w:val="0"/>
              <w:autoSpaceDE/>
              <w:autoSpaceDN/>
              <w:bidi w:val="0"/>
              <w:adjustRightInd w:val="0"/>
              <w:snapToGrid w:val="0"/>
              <w:spacing w:line="360" w:lineRule="auto"/>
              <w:ind w:firstLine="420" w:firstLineChars="200"/>
              <w:jc w:val="both"/>
              <w:textAlignment w:val="auto"/>
              <w:rPr>
                <w:rFonts w:eastAsia="仿宋_GB2312"/>
              </w:rPr>
            </w:pPr>
            <w:r>
              <w:rPr>
                <w:rFonts w:eastAsia="仿宋_GB2312"/>
              </w:rPr>
              <w:t>（1）废机油</w:t>
            </w:r>
          </w:p>
          <w:p w14:paraId="3C666A64">
            <w:pPr>
              <w:keepNext w:val="0"/>
              <w:keepLines w:val="0"/>
              <w:pageBreakBefore w:val="0"/>
              <w:kinsoku/>
              <w:wordWrap/>
              <w:overflowPunct/>
              <w:topLinePunct w:val="0"/>
              <w:autoSpaceDE/>
              <w:autoSpaceDN/>
              <w:bidi w:val="0"/>
              <w:adjustRightInd w:val="0"/>
              <w:snapToGrid w:val="0"/>
              <w:spacing w:line="360" w:lineRule="auto"/>
              <w:ind w:firstLine="420" w:firstLineChars="200"/>
              <w:jc w:val="both"/>
              <w:textAlignment w:val="auto"/>
              <w:rPr>
                <w:rFonts w:eastAsia="仿宋_GB2312"/>
              </w:rPr>
            </w:pPr>
            <w:r>
              <w:rPr>
                <w:rFonts w:eastAsia="仿宋_GB2312"/>
              </w:rPr>
              <w:t>本项目设备维护需要使用机油，会产生废机油，约</w:t>
            </w:r>
            <w:r>
              <w:rPr>
                <w:rFonts w:hint="eastAsia" w:eastAsia="仿宋_GB2312"/>
              </w:rPr>
              <w:t>4</w:t>
            </w:r>
            <w:r>
              <w:rPr>
                <w:rFonts w:eastAsia="仿宋_GB2312"/>
              </w:rPr>
              <w:t>.5t/a，</w:t>
            </w:r>
            <w:r>
              <w:rPr>
                <w:rFonts w:eastAsia="仿宋_GB2312"/>
                <w:kern w:val="0"/>
              </w:rPr>
              <w:t>属于危险废物，</w:t>
            </w:r>
            <w:r>
              <w:rPr>
                <w:rFonts w:eastAsia="仿宋_GB2312"/>
              </w:rPr>
              <w:t>委托有资质单位处置。</w:t>
            </w:r>
          </w:p>
          <w:p w14:paraId="617FEB7F">
            <w:pPr>
              <w:keepNext w:val="0"/>
              <w:keepLines w:val="0"/>
              <w:pageBreakBefore w:val="0"/>
              <w:kinsoku/>
              <w:wordWrap/>
              <w:overflowPunct/>
              <w:topLinePunct w:val="0"/>
              <w:autoSpaceDE/>
              <w:autoSpaceDN/>
              <w:bidi w:val="0"/>
              <w:adjustRightInd w:val="0"/>
              <w:snapToGrid w:val="0"/>
              <w:spacing w:line="360" w:lineRule="auto"/>
              <w:ind w:firstLine="420" w:firstLineChars="200"/>
              <w:jc w:val="both"/>
              <w:textAlignment w:val="auto"/>
              <w:rPr>
                <w:rFonts w:eastAsia="仿宋_GB2312"/>
              </w:rPr>
            </w:pPr>
            <w:r>
              <w:rPr>
                <w:rFonts w:eastAsia="仿宋_GB2312"/>
              </w:rPr>
              <w:t>（2）废机油桶</w:t>
            </w:r>
          </w:p>
          <w:p w14:paraId="47660C94">
            <w:pPr>
              <w:keepNext w:val="0"/>
              <w:keepLines w:val="0"/>
              <w:pageBreakBefore w:val="0"/>
              <w:kinsoku/>
              <w:wordWrap/>
              <w:overflowPunct/>
              <w:topLinePunct w:val="0"/>
              <w:autoSpaceDE/>
              <w:autoSpaceDN/>
              <w:bidi w:val="0"/>
              <w:adjustRightInd w:val="0"/>
              <w:snapToGrid w:val="0"/>
              <w:spacing w:line="360" w:lineRule="auto"/>
              <w:ind w:firstLine="420" w:firstLineChars="200"/>
              <w:jc w:val="both"/>
              <w:textAlignment w:val="auto"/>
              <w:rPr>
                <w:rFonts w:eastAsia="仿宋_GB2312"/>
              </w:rPr>
            </w:pPr>
            <w:r>
              <w:rPr>
                <w:rFonts w:eastAsia="仿宋_GB2312"/>
              </w:rPr>
              <w:t>本项目设备维护需要使用机油会产生废机油桶，约</w:t>
            </w:r>
            <w:r>
              <w:rPr>
                <w:rFonts w:hint="eastAsia" w:eastAsia="仿宋_GB2312"/>
              </w:rPr>
              <w:t>0</w:t>
            </w:r>
            <w:r>
              <w:rPr>
                <w:rFonts w:eastAsia="仿宋_GB2312"/>
              </w:rPr>
              <w:t>.</w:t>
            </w:r>
            <w:r>
              <w:rPr>
                <w:rFonts w:hint="eastAsia" w:eastAsia="仿宋_GB2312"/>
              </w:rPr>
              <w:t>5</w:t>
            </w:r>
            <w:r>
              <w:rPr>
                <w:rFonts w:eastAsia="仿宋_GB2312"/>
              </w:rPr>
              <w:t>t/a，</w:t>
            </w:r>
            <w:r>
              <w:rPr>
                <w:rFonts w:eastAsia="仿宋_GB2312"/>
                <w:kern w:val="0"/>
              </w:rPr>
              <w:t>属于危险废物，</w:t>
            </w:r>
            <w:r>
              <w:rPr>
                <w:rFonts w:eastAsia="仿宋_GB2312"/>
              </w:rPr>
              <w:t>委托有资质单位处置。</w:t>
            </w:r>
          </w:p>
          <w:p w14:paraId="36CE9261">
            <w:pPr>
              <w:keepNext w:val="0"/>
              <w:keepLines w:val="0"/>
              <w:pageBreakBefore w:val="0"/>
              <w:kinsoku/>
              <w:wordWrap/>
              <w:overflowPunct/>
              <w:topLinePunct w:val="0"/>
              <w:autoSpaceDE/>
              <w:autoSpaceDN/>
              <w:bidi w:val="0"/>
              <w:adjustRightInd w:val="0"/>
              <w:snapToGrid w:val="0"/>
              <w:spacing w:line="360" w:lineRule="auto"/>
              <w:ind w:firstLine="420" w:firstLineChars="200"/>
              <w:jc w:val="both"/>
              <w:textAlignment w:val="auto"/>
              <w:rPr>
                <w:rFonts w:eastAsia="仿宋_GB2312"/>
                <w:kern w:val="0"/>
              </w:rPr>
            </w:pPr>
            <w:r>
              <w:rPr>
                <w:rFonts w:eastAsia="仿宋_GB2312"/>
                <w:kern w:val="0"/>
              </w:rPr>
              <w:t>（3）废漆桶</w:t>
            </w:r>
          </w:p>
          <w:p w14:paraId="17F64543">
            <w:pPr>
              <w:keepNext w:val="0"/>
              <w:keepLines w:val="0"/>
              <w:pageBreakBefore w:val="0"/>
              <w:kinsoku/>
              <w:wordWrap/>
              <w:overflowPunct/>
              <w:topLinePunct w:val="0"/>
              <w:autoSpaceDE/>
              <w:autoSpaceDN/>
              <w:bidi w:val="0"/>
              <w:adjustRightInd w:val="0"/>
              <w:snapToGrid w:val="0"/>
              <w:spacing w:line="360" w:lineRule="auto"/>
              <w:ind w:firstLine="420" w:firstLineChars="200"/>
              <w:jc w:val="both"/>
              <w:textAlignment w:val="auto"/>
              <w:rPr>
                <w:rFonts w:eastAsia="仿宋_GB2312"/>
                <w:kern w:val="0"/>
              </w:rPr>
            </w:pPr>
            <w:r>
              <w:rPr>
                <w:rFonts w:eastAsia="仿宋_GB2312"/>
                <w:kern w:val="0"/>
              </w:rPr>
              <w:t>设备维护须使用油漆，会产生废漆桶，约</w:t>
            </w:r>
            <w:r>
              <w:rPr>
                <w:rFonts w:hint="eastAsia" w:eastAsia="仿宋_GB2312"/>
                <w:kern w:val="0"/>
              </w:rPr>
              <w:t>0</w:t>
            </w:r>
            <w:r>
              <w:rPr>
                <w:rFonts w:eastAsia="仿宋_GB2312"/>
                <w:kern w:val="0"/>
              </w:rPr>
              <w:t>.5t/a，属于危险废物，委托有资质单位处置。</w:t>
            </w:r>
          </w:p>
          <w:p w14:paraId="0DC097D0">
            <w:pPr>
              <w:keepNext w:val="0"/>
              <w:keepLines w:val="0"/>
              <w:pageBreakBefore w:val="0"/>
              <w:kinsoku/>
              <w:wordWrap/>
              <w:overflowPunct/>
              <w:topLinePunct w:val="0"/>
              <w:autoSpaceDE/>
              <w:autoSpaceDN/>
              <w:bidi w:val="0"/>
              <w:adjustRightInd w:val="0"/>
              <w:snapToGrid w:val="0"/>
              <w:spacing w:line="360" w:lineRule="auto"/>
              <w:ind w:firstLine="420" w:firstLineChars="200"/>
              <w:jc w:val="both"/>
              <w:textAlignment w:val="auto"/>
              <w:rPr>
                <w:rFonts w:eastAsia="仿宋_GB2312"/>
                <w:kern w:val="0"/>
              </w:rPr>
            </w:pPr>
            <w:r>
              <w:rPr>
                <w:rFonts w:eastAsia="仿宋_GB2312"/>
                <w:kern w:val="0"/>
              </w:rPr>
              <w:t>（4）废漆刷</w:t>
            </w:r>
          </w:p>
          <w:p w14:paraId="3114637C">
            <w:pPr>
              <w:keepNext w:val="0"/>
              <w:keepLines w:val="0"/>
              <w:pageBreakBefore w:val="0"/>
              <w:kinsoku/>
              <w:wordWrap/>
              <w:overflowPunct/>
              <w:topLinePunct w:val="0"/>
              <w:autoSpaceDE/>
              <w:autoSpaceDN/>
              <w:bidi w:val="0"/>
              <w:adjustRightInd w:val="0"/>
              <w:snapToGrid w:val="0"/>
              <w:spacing w:line="360" w:lineRule="auto"/>
              <w:ind w:firstLine="420" w:firstLineChars="200"/>
              <w:jc w:val="both"/>
              <w:textAlignment w:val="auto"/>
              <w:rPr>
                <w:rFonts w:eastAsia="仿宋_GB2312"/>
                <w:kern w:val="0"/>
              </w:rPr>
            </w:pPr>
            <w:r>
              <w:rPr>
                <w:rFonts w:eastAsia="仿宋_GB2312"/>
                <w:kern w:val="0"/>
              </w:rPr>
              <w:t>设备维护须使用油漆，会产生废漆刷，约0.01t/a，属于危险废物，委托有资质单位处置。</w:t>
            </w:r>
          </w:p>
          <w:p w14:paraId="78D05047">
            <w:pPr>
              <w:keepNext w:val="0"/>
              <w:keepLines w:val="0"/>
              <w:pageBreakBefore w:val="0"/>
              <w:kinsoku/>
              <w:wordWrap/>
              <w:overflowPunct/>
              <w:topLinePunct w:val="0"/>
              <w:autoSpaceDE/>
              <w:autoSpaceDN/>
              <w:bidi w:val="0"/>
              <w:adjustRightInd w:val="0"/>
              <w:snapToGrid w:val="0"/>
              <w:spacing w:line="360" w:lineRule="auto"/>
              <w:ind w:firstLine="420" w:firstLineChars="200"/>
              <w:jc w:val="both"/>
              <w:textAlignment w:val="auto"/>
              <w:rPr>
                <w:rFonts w:eastAsia="仿宋_GB2312"/>
                <w:kern w:val="0"/>
              </w:rPr>
            </w:pPr>
            <w:r>
              <w:rPr>
                <w:rFonts w:eastAsia="仿宋_GB2312"/>
                <w:kern w:val="0"/>
              </w:rPr>
              <w:t>（5）废活性炭</w:t>
            </w:r>
          </w:p>
          <w:p w14:paraId="40A5896A">
            <w:pPr>
              <w:pStyle w:val="12"/>
              <w:keepNext w:val="0"/>
              <w:keepLines w:val="0"/>
              <w:pageBreakBefore w:val="0"/>
              <w:kinsoku/>
              <w:wordWrap/>
              <w:overflowPunct/>
              <w:topLinePunct w:val="0"/>
              <w:autoSpaceDE/>
              <w:autoSpaceDN/>
              <w:bidi w:val="0"/>
              <w:snapToGrid w:val="0"/>
              <w:spacing w:before="0" w:after="0" w:line="360" w:lineRule="auto"/>
              <w:ind w:right="0" w:firstLine="420" w:firstLineChars="200"/>
              <w:jc w:val="both"/>
              <w:textAlignment w:val="auto"/>
              <w:rPr>
                <w:rFonts w:eastAsia="仿宋_GB2312"/>
                <w:sz w:val="21"/>
                <w:szCs w:val="21"/>
              </w:rPr>
            </w:pPr>
            <w:r>
              <w:rPr>
                <w:rFonts w:eastAsia="仿宋_GB2312"/>
                <w:sz w:val="21"/>
                <w:szCs w:val="21"/>
              </w:rPr>
              <w:t>活性炭塔用于吸附卤水中残留的游离氯，活性炭塔的活性炭吸附过滤饱和后由厂家进行回收，其废弃量约为9.0t，更换周期约为2年，则约4.5t/a。</w:t>
            </w:r>
          </w:p>
          <w:p w14:paraId="015BC94C">
            <w:pPr>
              <w:keepNext w:val="0"/>
              <w:keepLines w:val="0"/>
              <w:pageBreakBefore w:val="0"/>
              <w:kinsoku/>
              <w:wordWrap/>
              <w:overflowPunct/>
              <w:topLinePunct w:val="0"/>
              <w:autoSpaceDE/>
              <w:autoSpaceDN/>
              <w:bidi w:val="0"/>
              <w:adjustRightInd w:val="0"/>
              <w:snapToGrid w:val="0"/>
              <w:spacing w:line="360" w:lineRule="auto"/>
              <w:ind w:firstLine="420" w:firstLineChars="200"/>
              <w:jc w:val="both"/>
              <w:textAlignment w:val="auto"/>
              <w:rPr>
                <w:rFonts w:eastAsia="仿宋_GB2312"/>
                <w:kern w:val="0"/>
              </w:rPr>
            </w:pPr>
            <w:r>
              <w:rPr>
                <w:rFonts w:eastAsia="仿宋_GB2312"/>
                <w:kern w:val="0"/>
              </w:rPr>
              <w:t>（6）废保安过滤器</w:t>
            </w:r>
          </w:p>
          <w:p w14:paraId="0AFAA44C">
            <w:pPr>
              <w:pStyle w:val="12"/>
              <w:keepNext w:val="0"/>
              <w:keepLines w:val="0"/>
              <w:pageBreakBefore w:val="0"/>
              <w:kinsoku/>
              <w:wordWrap/>
              <w:overflowPunct/>
              <w:topLinePunct w:val="0"/>
              <w:autoSpaceDE/>
              <w:autoSpaceDN/>
              <w:bidi w:val="0"/>
              <w:snapToGrid w:val="0"/>
              <w:spacing w:before="0" w:after="0" w:line="360" w:lineRule="auto"/>
              <w:ind w:right="0" w:firstLine="420" w:firstLineChars="200"/>
              <w:jc w:val="both"/>
              <w:textAlignment w:val="auto"/>
              <w:rPr>
                <w:rFonts w:eastAsia="仿宋_GB2312"/>
                <w:sz w:val="21"/>
                <w:szCs w:val="21"/>
              </w:rPr>
            </w:pPr>
            <w:r>
              <w:rPr>
                <w:rFonts w:eastAsia="仿宋_GB2312"/>
                <w:sz w:val="21"/>
                <w:szCs w:val="21"/>
              </w:rPr>
              <w:t>纳滤膜处理装置脱除硫酸根离子工艺中保安过滤器需定期更换，产生的废保安过滤器滤芯，其废弃量约为6.1t，更换周期约为2年，则约3.05t/a。</w:t>
            </w:r>
          </w:p>
          <w:p w14:paraId="110327A8">
            <w:pPr>
              <w:keepNext w:val="0"/>
              <w:keepLines w:val="0"/>
              <w:pageBreakBefore w:val="0"/>
              <w:kinsoku/>
              <w:wordWrap/>
              <w:overflowPunct/>
              <w:topLinePunct w:val="0"/>
              <w:autoSpaceDE/>
              <w:autoSpaceDN/>
              <w:bidi w:val="0"/>
              <w:adjustRightInd w:val="0"/>
              <w:snapToGrid w:val="0"/>
              <w:spacing w:line="360" w:lineRule="auto"/>
              <w:ind w:firstLine="420" w:firstLineChars="200"/>
              <w:jc w:val="both"/>
              <w:textAlignment w:val="auto"/>
              <w:rPr>
                <w:rFonts w:eastAsia="仿宋_GB2312"/>
                <w:kern w:val="0"/>
              </w:rPr>
            </w:pPr>
            <w:r>
              <w:rPr>
                <w:rFonts w:eastAsia="仿宋_GB2312"/>
                <w:kern w:val="0"/>
              </w:rPr>
              <w:t>（7）废粗过滤器滤芯</w:t>
            </w:r>
          </w:p>
          <w:p w14:paraId="53198B75">
            <w:pPr>
              <w:pStyle w:val="12"/>
              <w:keepNext w:val="0"/>
              <w:keepLines w:val="0"/>
              <w:pageBreakBefore w:val="0"/>
              <w:kinsoku/>
              <w:wordWrap/>
              <w:overflowPunct/>
              <w:topLinePunct w:val="0"/>
              <w:autoSpaceDE/>
              <w:autoSpaceDN/>
              <w:bidi w:val="0"/>
              <w:snapToGrid w:val="0"/>
              <w:spacing w:before="0" w:after="0" w:line="360" w:lineRule="auto"/>
              <w:ind w:right="0" w:firstLine="420" w:firstLineChars="200"/>
              <w:jc w:val="both"/>
              <w:textAlignment w:val="auto"/>
              <w:rPr>
                <w:rFonts w:eastAsia="仿宋_GB2312"/>
                <w:sz w:val="21"/>
                <w:szCs w:val="21"/>
              </w:rPr>
            </w:pPr>
            <w:r>
              <w:rPr>
                <w:rFonts w:eastAsia="仿宋_GB2312"/>
                <w:sz w:val="21"/>
                <w:szCs w:val="21"/>
              </w:rPr>
              <w:t>本项目产生的废粗过滤器滤芯，其废弃量约为0.3t，更换周期约为2年，则约0.15t/a。</w:t>
            </w:r>
          </w:p>
          <w:p w14:paraId="07B3C522">
            <w:pPr>
              <w:keepNext w:val="0"/>
              <w:keepLines w:val="0"/>
              <w:pageBreakBefore w:val="0"/>
              <w:kinsoku/>
              <w:wordWrap/>
              <w:overflowPunct/>
              <w:topLinePunct w:val="0"/>
              <w:autoSpaceDE/>
              <w:autoSpaceDN/>
              <w:bidi w:val="0"/>
              <w:adjustRightInd w:val="0"/>
              <w:snapToGrid w:val="0"/>
              <w:spacing w:line="360" w:lineRule="auto"/>
              <w:ind w:firstLine="420" w:firstLineChars="200"/>
              <w:jc w:val="both"/>
              <w:textAlignment w:val="auto"/>
              <w:rPr>
                <w:rFonts w:eastAsia="仿宋_GB2312"/>
                <w:kern w:val="0"/>
              </w:rPr>
            </w:pPr>
            <w:r>
              <w:rPr>
                <w:rFonts w:eastAsia="仿宋_GB2312"/>
                <w:kern w:val="0"/>
              </w:rPr>
              <w:t>（8）盐泥</w:t>
            </w:r>
          </w:p>
          <w:p w14:paraId="423EE8FA">
            <w:pPr>
              <w:pStyle w:val="12"/>
              <w:keepNext w:val="0"/>
              <w:keepLines w:val="0"/>
              <w:pageBreakBefore w:val="0"/>
              <w:kinsoku/>
              <w:wordWrap/>
              <w:overflowPunct/>
              <w:topLinePunct w:val="0"/>
              <w:autoSpaceDE/>
              <w:autoSpaceDN/>
              <w:bidi w:val="0"/>
              <w:snapToGrid w:val="0"/>
              <w:spacing w:before="0" w:after="0" w:line="360" w:lineRule="auto"/>
              <w:ind w:right="0" w:firstLine="420" w:firstLineChars="200"/>
              <w:jc w:val="both"/>
              <w:textAlignment w:val="auto"/>
              <w:rPr>
                <w:rFonts w:eastAsia="仿宋_GB2312"/>
                <w:sz w:val="21"/>
                <w:szCs w:val="21"/>
              </w:rPr>
            </w:pPr>
            <w:r>
              <w:rPr>
                <w:rFonts w:eastAsia="仿宋_GB2312"/>
                <w:sz w:val="21"/>
                <w:szCs w:val="21"/>
              </w:rPr>
              <w:t>本项目MLR平板膜过滤工序产生的盐泥，其主要成份为Mg(OH)₂和CaCO₃，</w:t>
            </w:r>
            <w:r>
              <w:rPr>
                <w:rFonts w:hint="eastAsia" w:eastAsia="仿宋_GB2312"/>
                <w:sz w:val="21"/>
                <w:szCs w:val="21"/>
              </w:rPr>
              <w:t>约</w:t>
            </w:r>
            <w:r>
              <w:rPr>
                <w:rFonts w:eastAsia="仿宋_GB2312"/>
                <w:sz w:val="21"/>
                <w:szCs w:val="21"/>
              </w:rPr>
              <w:t>5000t/a</w:t>
            </w:r>
            <w:r>
              <w:rPr>
                <w:rFonts w:hint="eastAsia" w:eastAsia="仿宋_GB2312"/>
                <w:sz w:val="21"/>
                <w:szCs w:val="21"/>
              </w:rPr>
              <w:t>，</w:t>
            </w:r>
            <w:r>
              <w:rPr>
                <w:rFonts w:hint="eastAsia" w:eastAsia="仿宋_GB2312"/>
                <w:sz w:val="21"/>
                <w:szCs w:val="21"/>
                <w:lang w:val="en-US" w:eastAsia="zh-CN"/>
              </w:rPr>
              <w:t>作为原料回用于盐泥综合利用项目</w:t>
            </w:r>
            <w:r>
              <w:rPr>
                <w:rFonts w:eastAsia="仿宋_GB2312"/>
                <w:sz w:val="21"/>
                <w:szCs w:val="21"/>
              </w:rPr>
              <w:t>。</w:t>
            </w:r>
          </w:p>
          <w:p w14:paraId="53568BF0">
            <w:pPr>
              <w:keepNext w:val="0"/>
              <w:keepLines w:val="0"/>
              <w:pageBreakBefore w:val="0"/>
              <w:kinsoku/>
              <w:wordWrap/>
              <w:overflowPunct/>
              <w:topLinePunct w:val="0"/>
              <w:autoSpaceDE/>
              <w:autoSpaceDN/>
              <w:bidi w:val="0"/>
              <w:adjustRightInd w:val="0"/>
              <w:snapToGrid w:val="0"/>
              <w:spacing w:line="360" w:lineRule="auto"/>
              <w:ind w:firstLine="420" w:firstLineChars="200"/>
              <w:jc w:val="both"/>
              <w:textAlignment w:val="auto"/>
              <w:rPr>
                <w:rFonts w:eastAsia="仿宋_GB2312"/>
                <w:kern w:val="0"/>
              </w:rPr>
            </w:pPr>
            <w:r>
              <w:rPr>
                <w:rFonts w:eastAsia="仿宋_GB2312"/>
                <w:kern w:val="0"/>
              </w:rPr>
              <w:t>（9）实验室废液</w:t>
            </w:r>
          </w:p>
          <w:p w14:paraId="40EA025E">
            <w:pPr>
              <w:keepNext w:val="0"/>
              <w:keepLines w:val="0"/>
              <w:pageBreakBefore w:val="0"/>
              <w:kinsoku/>
              <w:wordWrap/>
              <w:overflowPunct/>
              <w:topLinePunct w:val="0"/>
              <w:autoSpaceDE/>
              <w:autoSpaceDN/>
              <w:bidi w:val="0"/>
              <w:adjustRightInd w:val="0"/>
              <w:snapToGrid w:val="0"/>
              <w:spacing w:line="360" w:lineRule="auto"/>
              <w:ind w:firstLine="420" w:firstLineChars="200"/>
              <w:jc w:val="both"/>
              <w:textAlignment w:val="auto"/>
              <w:rPr>
                <w:rFonts w:eastAsia="仿宋_GB2312"/>
                <w:kern w:val="0"/>
              </w:rPr>
            </w:pPr>
            <w:r>
              <w:rPr>
                <w:rFonts w:eastAsia="仿宋_GB2312"/>
                <w:kern w:val="0"/>
              </w:rPr>
              <w:t>原料及产品质量检测，会产生实验室废液，约1.5t/a，属于危险废物，委托有资质单位处置。</w:t>
            </w:r>
          </w:p>
          <w:p w14:paraId="177C2591">
            <w:pPr>
              <w:adjustRightInd w:val="0"/>
              <w:snapToGrid w:val="0"/>
              <w:spacing w:line="360" w:lineRule="auto"/>
              <w:ind w:firstLine="422" w:firstLineChars="200"/>
              <w:rPr>
                <w:rFonts w:eastAsia="仿宋_GB2312"/>
                <w:b/>
                <w:bCs/>
                <w:kern w:val="0"/>
              </w:rPr>
            </w:pPr>
            <w:r>
              <w:rPr>
                <w:rFonts w:eastAsia="仿宋_GB2312"/>
                <w:b/>
                <w:bCs/>
                <w:kern w:val="0"/>
              </w:rPr>
              <w:t>2）本项目固体废物产生情况汇总</w:t>
            </w:r>
          </w:p>
          <w:p w14:paraId="7DF5C80F">
            <w:pPr>
              <w:adjustRightInd w:val="0"/>
              <w:snapToGrid w:val="0"/>
              <w:spacing w:line="360" w:lineRule="auto"/>
              <w:ind w:firstLine="420" w:firstLineChars="200"/>
              <w:rPr>
                <w:rFonts w:eastAsia="仿宋_GB2312"/>
                <w:kern w:val="0"/>
              </w:rPr>
            </w:pPr>
            <w:r>
              <w:rPr>
                <w:rFonts w:eastAsia="仿宋_GB2312"/>
                <w:kern w:val="0"/>
              </w:rPr>
              <w:t>根据《中华人民共和国固体废物污染环境防治法》以及《固体废物鉴别标准</w:t>
            </w:r>
            <w:r>
              <w:rPr>
                <w:rFonts w:ascii="Times New Roman" w:hAnsi="Times New Roman" w:eastAsia="仿宋_GB2312" w:cs="Times New Roman"/>
                <w:kern w:val="0"/>
              </w:rPr>
              <w:t xml:space="preserve"> 通则》</w:t>
            </w:r>
            <w:r>
              <w:rPr>
                <w:rFonts w:hint="eastAsia" w:ascii="Times New Roman" w:hAnsi="Times New Roman" w:eastAsia="仿宋_GB2312" w:cs="Times New Roman"/>
                <w:kern w:val="0"/>
                <w:lang w:eastAsia="zh-CN"/>
              </w:rPr>
              <w:t>（</w:t>
            </w:r>
            <w:r>
              <w:rPr>
                <w:rFonts w:hint="default" w:ascii="Times New Roman" w:hAnsi="Times New Roman" w:eastAsia="仿宋_GB2312" w:cs="Times New Roman"/>
                <w:kern w:val="0"/>
                <w:lang w:val="en-US" w:eastAsia="zh-CN"/>
              </w:rPr>
              <w:t>GB34330-20</w:t>
            </w:r>
            <w:r>
              <w:rPr>
                <w:rFonts w:hint="eastAsia" w:ascii="Times New Roman" w:hAnsi="Times New Roman" w:eastAsia="仿宋_GB2312" w:cs="Times New Roman"/>
                <w:kern w:val="0"/>
                <w:lang w:val="en-US" w:eastAsia="zh-CN"/>
              </w:rPr>
              <w:t>25</w:t>
            </w:r>
            <w:r>
              <w:rPr>
                <w:rFonts w:hint="eastAsia" w:ascii="Times New Roman" w:hAnsi="Times New Roman" w:eastAsia="仿宋_GB2312" w:cs="Times New Roman"/>
                <w:kern w:val="0"/>
                <w:lang w:eastAsia="zh-CN"/>
              </w:rPr>
              <w:t>）</w:t>
            </w:r>
            <w:r>
              <w:rPr>
                <w:rFonts w:ascii="Times New Roman" w:hAnsi="Times New Roman" w:eastAsia="仿宋_GB2312" w:cs="Times New Roman"/>
                <w:kern w:val="0"/>
              </w:rPr>
              <w:t>（</w:t>
            </w:r>
            <w:r>
              <w:rPr>
                <w:rFonts w:eastAsia="仿宋_GB2312"/>
                <w:kern w:val="0"/>
              </w:rPr>
              <w:t>以下简称通则）的规定，对建设项目产生的物质（除目标产物，即产品、副产品外），依据产生来源、利用和处置过程鉴别属于固体废物并且作为固体废物管理的物质，详见表4-2</w:t>
            </w:r>
            <w:r>
              <w:rPr>
                <w:rFonts w:hint="eastAsia" w:eastAsia="仿宋_GB2312"/>
                <w:kern w:val="0"/>
                <w:lang w:val="en-US" w:eastAsia="zh-CN"/>
              </w:rPr>
              <w:t>8</w:t>
            </w:r>
            <w:r>
              <w:rPr>
                <w:rFonts w:eastAsia="仿宋_GB2312"/>
                <w:kern w:val="0"/>
              </w:rPr>
              <w:t>。</w:t>
            </w:r>
          </w:p>
          <w:p w14:paraId="643C86DE">
            <w:pPr>
              <w:autoSpaceDE w:val="0"/>
              <w:autoSpaceDN w:val="0"/>
              <w:adjustRightInd w:val="0"/>
              <w:snapToGrid w:val="0"/>
              <w:jc w:val="center"/>
              <w:rPr>
                <w:rFonts w:eastAsia="仿宋_GB2312"/>
                <w:b/>
                <w:bCs/>
                <w:kern w:val="0"/>
              </w:rPr>
            </w:pPr>
            <w:r>
              <w:rPr>
                <w:rFonts w:eastAsia="仿宋_GB2312"/>
                <w:b/>
                <w:bCs/>
                <w:kern w:val="0"/>
              </w:rPr>
              <w:t>表4-2</w:t>
            </w:r>
            <w:r>
              <w:rPr>
                <w:rFonts w:hint="eastAsia" w:eastAsia="仿宋_GB2312"/>
                <w:b/>
                <w:bCs/>
                <w:kern w:val="0"/>
                <w:lang w:val="en-US" w:eastAsia="zh-CN"/>
              </w:rPr>
              <w:t xml:space="preserve">8  </w:t>
            </w:r>
            <w:r>
              <w:rPr>
                <w:rFonts w:eastAsia="仿宋_GB2312"/>
                <w:b/>
                <w:bCs/>
                <w:kern w:val="0"/>
              </w:rPr>
              <w:t>项目固体废物产生情况汇总表</w:t>
            </w:r>
          </w:p>
          <w:tbl>
            <w:tblPr>
              <w:tblStyle w:val="3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532"/>
              <w:gridCol w:w="1338"/>
              <w:gridCol w:w="1268"/>
              <w:gridCol w:w="561"/>
              <w:gridCol w:w="1290"/>
              <w:gridCol w:w="1012"/>
              <w:gridCol w:w="530"/>
              <w:gridCol w:w="521"/>
              <w:gridCol w:w="724"/>
              <w:gridCol w:w="717"/>
            </w:tblGrid>
            <w:tr w14:paraId="5AFC7F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13" w:type="pct"/>
                  <w:vMerge w:val="restart"/>
                  <w:vAlign w:val="center"/>
                </w:tcPr>
                <w:p w14:paraId="35655268">
                  <w:pPr>
                    <w:pStyle w:val="56"/>
                    <w:spacing w:beforeLines="0" w:afterLines="0" w:line="240" w:lineRule="auto"/>
                    <w:rPr>
                      <w:rFonts w:ascii="Times New Roman" w:eastAsia="仿宋_GB2312"/>
                      <w:b/>
                      <w:sz w:val="21"/>
                      <w:szCs w:val="21"/>
                    </w:rPr>
                  </w:pPr>
                  <w:r>
                    <w:rPr>
                      <w:rFonts w:ascii="Times New Roman" w:eastAsia="仿宋_GB2312"/>
                      <w:b/>
                      <w:sz w:val="21"/>
                      <w:szCs w:val="21"/>
                    </w:rPr>
                    <w:t>序号</w:t>
                  </w:r>
                </w:p>
              </w:tc>
              <w:tc>
                <w:tcPr>
                  <w:tcW w:w="787" w:type="pct"/>
                  <w:vMerge w:val="restart"/>
                  <w:vAlign w:val="center"/>
                </w:tcPr>
                <w:p w14:paraId="088E4138">
                  <w:pPr>
                    <w:pStyle w:val="56"/>
                    <w:spacing w:beforeLines="0" w:afterLines="0" w:line="240" w:lineRule="auto"/>
                    <w:rPr>
                      <w:rFonts w:ascii="Times New Roman" w:eastAsia="仿宋_GB2312"/>
                      <w:b/>
                      <w:sz w:val="21"/>
                      <w:szCs w:val="21"/>
                    </w:rPr>
                  </w:pPr>
                  <w:r>
                    <w:rPr>
                      <w:rFonts w:ascii="Times New Roman" w:eastAsia="仿宋_GB2312"/>
                      <w:b/>
                      <w:sz w:val="21"/>
                      <w:szCs w:val="21"/>
                    </w:rPr>
                    <w:t>固废名称</w:t>
                  </w:r>
                </w:p>
              </w:tc>
              <w:tc>
                <w:tcPr>
                  <w:tcW w:w="746" w:type="pct"/>
                  <w:vMerge w:val="restart"/>
                  <w:vAlign w:val="center"/>
                </w:tcPr>
                <w:p w14:paraId="2479B789">
                  <w:pPr>
                    <w:pStyle w:val="56"/>
                    <w:spacing w:beforeLines="0" w:afterLines="0" w:line="240" w:lineRule="auto"/>
                    <w:rPr>
                      <w:rFonts w:ascii="Times New Roman" w:eastAsia="仿宋_GB2312"/>
                      <w:b/>
                      <w:sz w:val="21"/>
                      <w:szCs w:val="21"/>
                    </w:rPr>
                  </w:pPr>
                  <w:r>
                    <w:rPr>
                      <w:rFonts w:ascii="Times New Roman" w:eastAsia="仿宋_GB2312"/>
                      <w:b/>
                      <w:sz w:val="21"/>
                      <w:szCs w:val="21"/>
                    </w:rPr>
                    <w:t>产生工序</w:t>
                  </w:r>
                </w:p>
              </w:tc>
              <w:tc>
                <w:tcPr>
                  <w:tcW w:w="330" w:type="pct"/>
                  <w:vMerge w:val="restart"/>
                  <w:vAlign w:val="center"/>
                </w:tcPr>
                <w:p w14:paraId="0CCC2B8F">
                  <w:pPr>
                    <w:pStyle w:val="56"/>
                    <w:spacing w:beforeLines="0" w:afterLines="0" w:line="240" w:lineRule="auto"/>
                    <w:rPr>
                      <w:rFonts w:ascii="Times New Roman" w:eastAsia="仿宋_GB2312"/>
                      <w:b/>
                      <w:sz w:val="21"/>
                      <w:szCs w:val="21"/>
                    </w:rPr>
                  </w:pPr>
                  <w:r>
                    <w:rPr>
                      <w:rFonts w:ascii="Times New Roman" w:eastAsia="仿宋_GB2312"/>
                      <w:b/>
                      <w:sz w:val="21"/>
                      <w:szCs w:val="21"/>
                    </w:rPr>
                    <w:t>形态</w:t>
                  </w:r>
                </w:p>
              </w:tc>
              <w:tc>
                <w:tcPr>
                  <w:tcW w:w="759" w:type="pct"/>
                  <w:vMerge w:val="restart"/>
                  <w:vAlign w:val="center"/>
                </w:tcPr>
                <w:p w14:paraId="12CFC0B2">
                  <w:pPr>
                    <w:pStyle w:val="56"/>
                    <w:spacing w:beforeLines="0" w:afterLines="0" w:line="240" w:lineRule="auto"/>
                    <w:rPr>
                      <w:rFonts w:ascii="Times New Roman" w:eastAsia="仿宋_GB2312"/>
                      <w:b/>
                      <w:sz w:val="21"/>
                      <w:szCs w:val="21"/>
                    </w:rPr>
                  </w:pPr>
                  <w:r>
                    <w:rPr>
                      <w:rFonts w:ascii="Times New Roman" w:eastAsia="仿宋_GB2312"/>
                      <w:b/>
                      <w:sz w:val="21"/>
                      <w:szCs w:val="21"/>
                    </w:rPr>
                    <w:t>主要成分</w:t>
                  </w:r>
                </w:p>
              </w:tc>
              <w:tc>
                <w:tcPr>
                  <w:tcW w:w="595" w:type="pct"/>
                  <w:vMerge w:val="restart"/>
                  <w:vAlign w:val="center"/>
                </w:tcPr>
                <w:p w14:paraId="053F2EE8">
                  <w:pPr>
                    <w:pStyle w:val="56"/>
                    <w:spacing w:beforeLines="0" w:afterLines="0" w:line="240" w:lineRule="auto"/>
                    <w:rPr>
                      <w:rFonts w:ascii="Times New Roman" w:eastAsia="仿宋_GB2312"/>
                      <w:b/>
                      <w:sz w:val="21"/>
                      <w:szCs w:val="21"/>
                    </w:rPr>
                  </w:pPr>
                  <w:r>
                    <w:rPr>
                      <w:rFonts w:ascii="Times New Roman" w:eastAsia="仿宋_GB2312"/>
                      <w:b/>
                      <w:sz w:val="21"/>
                      <w:szCs w:val="21"/>
                    </w:rPr>
                    <w:t>产生量/年</w:t>
                  </w:r>
                </w:p>
              </w:tc>
              <w:tc>
                <w:tcPr>
                  <w:tcW w:w="1467" w:type="pct"/>
                  <w:gridSpan w:val="4"/>
                  <w:vAlign w:val="center"/>
                </w:tcPr>
                <w:p w14:paraId="19EB620E">
                  <w:pPr>
                    <w:pStyle w:val="56"/>
                    <w:spacing w:beforeLines="0" w:afterLines="0" w:line="240" w:lineRule="auto"/>
                    <w:rPr>
                      <w:rFonts w:ascii="Times New Roman" w:eastAsia="仿宋_GB2312"/>
                      <w:b/>
                      <w:sz w:val="21"/>
                      <w:szCs w:val="21"/>
                    </w:rPr>
                  </w:pPr>
                  <w:r>
                    <w:rPr>
                      <w:rFonts w:ascii="Times New Roman" w:eastAsia="仿宋_GB2312"/>
                      <w:b/>
                      <w:sz w:val="21"/>
                      <w:szCs w:val="21"/>
                    </w:rPr>
                    <w:t>种类判断</w:t>
                  </w:r>
                </w:p>
              </w:tc>
            </w:tr>
            <w:tr w14:paraId="1ADD3D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13" w:type="pct"/>
                  <w:vMerge w:val="continue"/>
                  <w:vAlign w:val="center"/>
                </w:tcPr>
                <w:p w14:paraId="1CF78351">
                  <w:pPr>
                    <w:pStyle w:val="56"/>
                    <w:spacing w:beforeLines="0" w:afterLines="0" w:line="240" w:lineRule="auto"/>
                    <w:rPr>
                      <w:rFonts w:ascii="Times New Roman" w:eastAsia="仿宋_GB2312"/>
                      <w:b/>
                      <w:sz w:val="21"/>
                      <w:szCs w:val="21"/>
                    </w:rPr>
                  </w:pPr>
                </w:p>
              </w:tc>
              <w:tc>
                <w:tcPr>
                  <w:tcW w:w="787" w:type="pct"/>
                  <w:vMerge w:val="continue"/>
                  <w:vAlign w:val="center"/>
                </w:tcPr>
                <w:p w14:paraId="58CCAAB3">
                  <w:pPr>
                    <w:pStyle w:val="56"/>
                    <w:spacing w:beforeLines="0" w:afterLines="0" w:line="240" w:lineRule="auto"/>
                    <w:rPr>
                      <w:rFonts w:ascii="Times New Roman" w:eastAsia="仿宋_GB2312"/>
                      <w:b/>
                      <w:sz w:val="21"/>
                      <w:szCs w:val="21"/>
                    </w:rPr>
                  </w:pPr>
                </w:p>
              </w:tc>
              <w:tc>
                <w:tcPr>
                  <w:tcW w:w="746" w:type="pct"/>
                  <w:vMerge w:val="continue"/>
                  <w:vAlign w:val="center"/>
                </w:tcPr>
                <w:p w14:paraId="3CBDCF49">
                  <w:pPr>
                    <w:pStyle w:val="56"/>
                    <w:spacing w:beforeLines="0" w:afterLines="0" w:line="240" w:lineRule="auto"/>
                    <w:rPr>
                      <w:rFonts w:ascii="Times New Roman" w:eastAsia="仿宋_GB2312"/>
                      <w:b/>
                      <w:sz w:val="21"/>
                      <w:szCs w:val="21"/>
                    </w:rPr>
                  </w:pPr>
                </w:p>
              </w:tc>
              <w:tc>
                <w:tcPr>
                  <w:tcW w:w="330" w:type="pct"/>
                  <w:vMerge w:val="continue"/>
                  <w:vAlign w:val="center"/>
                </w:tcPr>
                <w:p w14:paraId="1962BF61">
                  <w:pPr>
                    <w:pStyle w:val="56"/>
                    <w:spacing w:beforeLines="0" w:afterLines="0" w:line="240" w:lineRule="auto"/>
                    <w:rPr>
                      <w:rFonts w:ascii="Times New Roman" w:eastAsia="仿宋_GB2312"/>
                      <w:b/>
                      <w:sz w:val="21"/>
                      <w:szCs w:val="21"/>
                    </w:rPr>
                  </w:pPr>
                </w:p>
              </w:tc>
              <w:tc>
                <w:tcPr>
                  <w:tcW w:w="759" w:type="pct"/>
                  <w:vMerge w:val="continue"/>
                  <w:vAlign w:val="center"/>
                </w:tcPr>
                <w:p w14:paraId="0D2B0712">
                  <w:pPr>
                    <w:pStyle w:val="56"/>
                    <w:spacing w:beforeLines="0" w:afterLines="0" w:line="240" w:lineRule="auto"/>
                    <w:rPr>
                      <w:rFonts w:ascii="Times New Roman" w:eastAsia="仿宋_GB2312"/>
                      <w:b/>
                      <w:sz w:val="21"/>
                      <w:szCs w:val="21"/>
                    </w:rPr>
                  </w:pPr>
                </w:p>
              </w:tc>
              <w:tc>
                <w:tcPr>
                  <w:tcW w:w="595" w:type="pct"/>
                  <w:vMerge w:val="continue"/>
                  <w:vAlign w:val="center"/>
                </w:tcPr>
                <w:p w14:paraId="5BC607C3">
                  <w:pPr>
                    <w:pStyle w:val="56"/>
                    <w:spacing w:beforeLines="0" w:afterLines="0" w:line="240" w:lineRule="auto"/>
                    <w:rPr>
                      <w:rFonts w:ascii="Times New Roman" w:eastAsia="仿宋_GB2312"/>
                      <w:b/>
                      <w:sz w:val="21"/>
                      <w:szCs w:val="21"/>
                    </w:rPr>
                  </w:pPr>
                </w:p>
              </w:tc>
              <w:tc>
                <w:tcPr>
                  <w:tcW w:w="312" w:type="pct"/>
                  <w:vAlign w:val="center"/>
                </w:tcPr>
                <w:p w14:paraId="4BCE6C7B">
                  <w:pPr>
                    <w:pStyle w:val="56"/>
                    <w:spacing w:beforeLines="0" w:afterLines="0" w:line="240" w:lineRule="auto"/>
                    <w:rPr>
                      <w:rFonts w:ascii="Times New Roman" w:eastAsia="仿宋_GB2312"/>
                      <w:b/>
                      <w:sz w:val="21"/>
                      <w:szCs w:val="21"/>
                    </w:rPr>
                  </w:pPr>
                  <w:r>
                    <w:rPr>
                      <w:rFonts w:ascii="Times New Roman" w:eastAsia="仿宋_GB2312"/>
                      <w:b/>
                      <w:sz w:val="21"/>
                      <w:szCs w:val="21"/>
                    </w:rPr>
                    <w:t>固体</w:t>
                  </w:r>
                </w:p>
                <w:p w14:paraId="3AC2F4B4">
                  <w:pPr>
                    <w:pStyle w:val="56"/>
                    <w:spacing w:beforeLines="0" w:afterLines="0" w:line="240" w:lineRule="auto"/>
                    <w:rPr>
                      <w:rFonts w:ascii="Times New Roman" w:eastAsia="仿宋_GB2312"/>
                      <w:b/>
                      <w:sz w:val="21"/>
                      <w:szCs w:val="21"/>
                    </w:rPr>
                  </w:pPr>
                  <w:r>
                    <w:rPr>
                      <w:rFonts w:ascii="Times New Roman" w:eastAsia="仿宋_GB2312"/>
                      <w:b/>
                      <w:sz w:val="21"/>
                      <w:szCs w:val="21"/>
                    </w:rPr>
                    <w:t>废物</w:t>
                  </w:r>
                </w:p>
              </w:tc>
              <w:tc>
                <w:tcPr>
                  <w:tcW w:w="307" w:type="pct"/>
                  <w:vAlign w:val="center"/>
                </w:tcPr>
                <w:p w14:paraId="7EC77F20">
                  <w:pPr>
                    <w:pStyle w:val="56"/>
                    <w:spacing w:beforeLines="0" w:afterLines="0" w:line="240" w:lineRule="auto"/>
                    <w:rPr>
                      <w:rFonts w:ascii="Times New Roman" w:eastAsia="仿宋_GB2312"/>
                      <w:b/>
                      <w:sz w:val="21"/>
                      <w:szCs w:val="21"/>
                    </w:rPr>
                  </w:pPr>
                  <w:r>
                    <w:rPr>
                      <w:rFonts w:ascii="Times New Roman" w:eastAsia="仿宋_GB2312"/>
                      <w:b/>
                      <w:sz w:val="21"/>
                      <w:szCs w:val="21"/>
                    </w:rPr>
                    <w:t>副产</w:t>
                  </w:r>
                </w:p>
                <w:p w14:paraId="75743359">
                  <w:pPr>
                    <w:pStyle w:val="56"/>
                    <w:spacing w:beforeLines="0" w:afterLines="0" w:line="240" w:lineRule="auto"/>
                    <w:rPr>
                      <w:rFonts w:ascii="Times New Roman" w:eastAsia="仿宋_GB2312"/>
                      <w:b/>
                      <w:sz w:val="21"/>
                      <w:szCs w:val="21"/>
                    </w:rPr>
                  </w:pPr>
                  <w:r>
                    <w:rPr>
                      <w:rFonts w:ascii="Times New Roman" w:eastAsia="仿宋_GB2312"/>
                      <w:b/>
                      <w:sz w:val="21"/>
                      <w:szCs w:val="21"/>
                    </w:rPr>
                    <w:t>品</w:t>
                  </w:r>
                </w:p>
              </w:tc>
              <w:tc>
                <w:tcPr>
                  <w:tcW w:w="426" w:type="pct"/>
                  <w:vAlign w:val="center"/>
                </w:tcPr>
                <w:p w14:paraId="5AC53845">
                  <w:pPr>
                    <w:adjustRightInd w:val="0"/>
                    <w:snapToGrid w:val="0"/>
                    <w:jc w:val="center"/>
                    <w:rPr>
                      <w:rFonts w:eastAsia="仿宋_GB2312"/>
                      <w:b/>
                      <w:bCs/>
                      <w:kern w:val="0"/>
                      <w:sz w:val="21"/>
                      <w:szCs w:val="21"/>
                    </w:rPr>
                  </w:pPr>
                  <w:r>
                    <w:rPr>
                      <w:rFonts w:eastAsia="仿宋_GB2312"/>
                      <w:b/>
                      <w:bCs/>
                      <w:kern w:val="0"/>
                      <w:sz w:val="21"/>
                      <w:szCs w:val="21"/>
                    </w:rPr>
                    <w:t>来源鉴别</w:t>
                  </w:r>
                  <w:r>
                    <w:rPr>
                      <w:rFonts w:eastAsia="仿宋_GB2312"/>
                      <w:b/>
                      <w:bCs/>
                      <w:kern w:val="0"/>
                      <w:sz w:val="21"/>
                      <w:szCs w:val="21"/>
                      <w:vertAlign w:val="superscript"/>
                    </w:rPr>
                    <w:t>①</w:t>
                  </w:r>
                </w:p>
              </w:tc>
              <w:tc>
                <w:tcPr>
                  <w:tcW w:w="420" w:type="pct"/>
                  <w:vAlign w:val="center"/>
                </w:tcPr>
                <w:p w14:paraId="53A1F086">
                  <w:pPr>
                    <w:adjustRightInd w:val="0"/>
                    <w:snapToGrid w:val="0"/>
                    <w:jc w:val="center"/>
                    <w:rPr>
                      <w:rFonts w:eastAsia="仿宋_GB2312"/>
                      <w:b/>
                      <w:bCs/>
                      <w:kern w:val="0"/>
                      <w:sz w:val="21"/>
                      <w:szCs w:val="21"/>
                    </w:rPr>
                  </w:pPr>
                  <w:r>
                    <w:rPr>
                      <w:rFonts w:eastAsia="仿宋_GB2312"/>
                      <w:b/>
                      <w:bCs/>
                      <w:kern w:val="0"/>
                      <w:sz w:val="21"/>
                      <w:szCs w:val="21"/>
                    </w:rPr>
                    <w:t>处置鉴别</w:t>
                  </w:r>
                  <w:r>
                    <w:rPr>
                      <w:rFonts w:eastAsia="仿宋_GB2312"/>
                      <w:b/>
                      <w:bCs/>
                      <w:kern w:val="0"/>
                      <w:sz w:val="21"/>
                      <w:szCs w:val="21"/>
                      <w:vertAlign w:val="superscript"/>
                    </w:rPr>
                    <w:t>②</w:t>
                  </w:r>
                </w:p>
              </w:tc>
            </w:tr>
            <w:tr w14:paraId="1C835A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13" w:type="pct"/>
                  <w:vAlign w:val="center"/>
                </w:tcPr>
                <w:p w14:paraId="4A8019A8">
                  <w:pPr>
                    <w:pStyle w:val="56"/>
                    <w:numPr>
                      <w:ilvl w:val="0"/>
                      <w:numId w:val="5"/>
                    </w:numPr>
                    <w:spacing w:beforeLines="0" w:afterLines="0" w:line="240" w:lineRule="auto"/>
                    <w:rPr>
                      <w:rFonts w:ascii="Times New Roman" w:eastAsia="仿宋_GB2312"/>
                      <w:sz w:val="21"/>
                      <w:szCs w:val="21"/>
                    </w:rPr>
                  </w:pPr>
                </w:p>
              </w:tc>
              <w:tc>
                <w:tcPr>
                  <w:tcW w:w="787" w:type="pct"/>
                  <w:vAlign w:val="center"/>
                </w:tcPr>
                <w:p w14:paraId="5DB55ECA">
                  <w:pPr>
                    <w:adjustRightInd w:val="0"/>
                    <w:snapToGrid w:val="0"/>
                    <w:jc w:val="center"/>
                    <w:rPr>
                      <w:rFonts w:eastAsia="仿宋_GB2312"/>
                      <w:sz w:val="21"/>
                      <w:szCs w:val="21"/>
                    </w:rPr>
                  </w:pPr>
                  <w:r>
                    <w:rPr>
                      <w:rFonts w:eastAsia="仿宋_GB2312"/>
                      <w:sz w:val="21"/>
                      <w:szCs w:val="21"/>
                    </w:rPr>
                    <w:t>废机油</w:t>
                  </w:r>
                </w:p>
              </w:tc>
              <w:tc>
                <w:tcPr>
                  <w:tcW w:w="746" w:type="pct"/>
                  <w:vMerge w:val="restart"/>
                  <w:vAlign w:val="center"/>
                </w:tcPr>
                <w:p w14:paraId="6DC03951">
                  <w:pPr>
                    <w:adjustRightInd w:val="0"/>
                    <w:snapToGrid w:val="0"/>
                    <w:jc w:val="center"/>
                    <w:rPr>
                      <w:rFonts w:eastAsia="仿宋_GB2312"/>
                      <w:sz w:val="21"/>
                      <w:szCs w:val="21"/>
                    </w:rPr>
                  </w:pPr>
                  <w:r>
                    <w:rPr>
                      <w:rFonts w:eastAsia="仿宋_GB2312"/>
                      <w:sz w:val="21"/>
                      <w:szCs w:val="21"/>
                    </w:rPr>
                    <w:t>设备维护</w:t>
                  </w:r>
                </w:p>
              </w:tc>
              <w:tc>
                <w:tcPr>
                  <w:tcW w:w="330" w:type="pct"/>
                  <w:vAlign w:val="center"/>
                </w:tcPr>
                <w:p w14:paraId="663A5737">
                  <w:pPr>
                    <w:adjustRightInd w:val="0"/>
                    <w:snapToGrid w:val="0"/>
                    <w:jc w:val="center"/>
                    <w:rPr>
                      <w:rFonts w:eastAsia="仿宋_GB2312"/>
                      <w:sz w:val="21"/>
                      <w:szCs w:val="21"/>
                    </w:rPr>
                  </w:pPr>
                  <w:r>
                    <w:rPr>
                      <w:rFonts w:eastAsia="仿宋_GB2312"/>
                      <w:sz w:val="21"/>
                      <w:szCs w:val="21"/>
                    </w:rPr>
                    <w:t>液</w:t>
                  </w:r>
                </w:p>
              </w:tc>
              <w:tc>
                <w:tcPr>
                  <w:tcW w:w="759" w:type="pct"/>
                  <w:vAlign w:val="center"/>
                </w:tcPr>
                <w:p w14:paraId="5BB7285D">
                  <w:pPr>
                    <w:pStyle w:val="56"/>
                    <w:spacing w:beforeLines="0" w:afterLines="0" w:line="240" w:lineRule="auto"/>
                    <w:rPr>
                      <w:rFonts w:ascii="Times New Roman" w:eastAsia="仿宋_GB2312"/>
                      <w:sz w:val="21"/>
                      <w:szCs w:val="21"/>
                    </w:rPr>
                  </w:pPr>
                  <w:r>
                    <w:rPr>
                      <w:rFonts w:ascii="Times New Roman" w:eastAsia="仿宋_GB2312"/>
                      <w:sz w:val="21"/>
                      <w:szCs w:val="21"/>
                    </w:rPr>
                    <w:t>废机油</w:t>
                  </w:r>
                </w:p>
              </w:tc>
              <w:tc>
                <w:tcPr>
                  <w:tcW w:w="595" w:type="pct"/>
                  <w:vAlign w:val="center"/>
                </w:tcPr>
                <w:p w14:paraId="6A57790F">
                  <w:pPr>
                    <w:adjustRightInd w:val="0"/>
                    <w:snapToGrid w:val="0"/>
                    <w:jc w:val="center"/>
                    <w:rPr>
                      <w:rFonts w:eastAsia="仿宋_GB2312"/>
                      <w:kern w:val="0"/>
                      <w:sz w:val="21"/>
                      <w:szCs w:val="21"/>
                    </w:rPr>
                  </w:pPr>
                  <w:r>
                    <w:rPr>
                      <w:rFonts w:eastAsia="仿宋_GB2312"/>
                      <w:kern w:val="0"/>
                      <w:sz w:val="21"/>
                      <w:szCs w:val="21"/>
                    </w:rPr>
                    <w:t>4.5</w:t>
                  </w:r>
                </w:p>
              </w:tc>
              <w:tc>
                <w:tcPr>
                  <w:tcW w:w="312" w:type="pct"/>
                  <w:vAlign w:val="center"/>
                </w:tcPr>
                <w:p w14:paraId="6FE059B5">
                  <w:pPr>
                    <w:pStyle w:val="56"/>
                    <w:spacing w:beforeLines="0" w:afterLines="0" w:line="240" w:lineRule="auto"/>
                    <w:rPr>
                      <w:rFonts w:ascii="Times New Roman" w:eastAsia="仿宋_GB2312"/>
                      <w:sz w:val="21"/>
                      <w:szCs w:val="21"/>
                    </w:rPr>
                  </w:pPr>
                </w:p>
              </w:tc>
              <w:tc>
                <w:tcPr>
                  <w:tcW w:w="307" w:type="pct"/>
                  <w:vAlign w:val="center"/>
                </w:tcPr>
                <w:p w14:paraId="669A10EE">
                  <w:pPr>
                    <w:pStyle w:val="56"/>
                    <w:spacing w:beforeLines="0" w:afterLines="0" w:line="240" w:lineRule="auto"/>
                    <w:rPr>
                      <w:rFonts w:ascii="Times New Roman" w:eastAsia="仿宋_GB2312"/>
                      <w:sz w:val="21"/>
                      <w:szCs w:val="21"/>
                    </w:rPr>
                  </w:pPr>
                  <w:r>
                    <w:rPr>
                      <w:rFonts w:ascii="Times New Roman" w:eastAsia="仿宋_GB2312"/>
                      <w:sz w:val="21"/>
                      <w:szCs w:val="21"/>
                    </w:rPr>
                    <w:t>/</w:t>
                  </w:r>
                </w:p>
              </w:tc>
              <w:tc>
                <w:tcPr>
                  <w:tcW w:w="426" w:type="pct"/>
                  <w:vAlign w:val="center"/>
                </w:tcPr>
                <w:p w14:paraId="7FCDEE16">
                  <w:pPr>
                    <w:adjustRightInd w:val="0"/>
                    <w:snapToGrid w:val="0"/>
                    <w:jc w:val="center"/>
                    <w:rPr>
                      <w:rFonts w:eastAsia="仿宋_GB2312"/>
                      <w:sz w:val="21"/>
                      <w:szCs w:val="21"/>
                    </w:rPr>
                  </w:pPr>
                  <w:r>
                    <w:rPr>
                      <w:rFonts w:eastAsia="仿宋_GB2312"/>
                      <w:sz w:val="21"/>
                      <w:szCs w:val="21"/>
                    </w:rPr>
                    <w:t>4.1h）</w:t>
                  </w:r>
                </w:p>
              </w:tc>
              <w:tc>
                <w:tcPr>
                  <w:tcW w:w="420" w:type="pct"/>
                  <w:vAlign w:val="center"/>
                </w:tcPr>
                <w:p w14:paraId="661BE534">
                  <w:pPr>
                    <w:adjustRightInd w:val="0"/>
                    <w:snapToGrid w:val="0"/>
                    <w:jc w:val="center"/>
                    <w:rPr>
                      <w:rFonts w:eastAsia="仿宋_GB2312"/>
                      <w:kern w:val="0"/>
                      <w:sz w:val="21"/>
                      <w:szCs w:val="21"/>
                    </w:rPr>
                  </w:pPr>
                  <w:r>
                    <w:rPr>
                      <w:rFonts w:eastAsia="仿宋_GB2312"/>
                      <w:kern w:val="0"/>
                      <w:sz w:val="21"/>
                      <w:szCs w:val="21"/>
                    </w:rPr>
                    <w:t>5.1e）</w:t>
                  </w:r>
                </w:p>
              </w:tc>
            </w:tr>
            <w:tr w14:paraId="3D134D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13" w:type="pct"/>
                  <w:vAlign w:val="center"/>
                </w:tcPr>
                <w:p w14:paraId="1951148A">
                  <w:pPr>
                    <w:pStyle w:val="56"/>
                    <w:numPr>
                      <w:ilvl w:val="0"/>
                      <w:numId w:val="5"/>
                    </w:numPr>
                    <w:spacing w:beforeLines="0" w:afterLines="0" w:line="240" w:lineRule="auto"/>
                    <w:rPr>
                      <w:rFonts w:ascii="Times New Roman" w:eastAsia="仿宋_GB2312"/>
                      <w:sz w:val="21"/>
                      <w:szCs w:val="21"/>
                    </w:rPr>
                  </w:pPr>
                </w:p>
              </w:tc>
              <w:tc>
                <w:tcPr>
                  <w:tcW w:w="787" w:type="pct"/>
                  <w:vAlign w:val="center"/>
                </w:tcPr>
                <w:p w14:paraId="655D7CC2">
                  <w:pPr>
                    <w:adjustRightInd w:val="0"/>
                    <w:snapToGrid w:val="0"/>
                    <w:jc w:val="center"/>
                    <w:rPr>
                      <w:rFonts w:eastAsia="仿宋_GB2312"/>
                      <w:sz w:val="21"/>
                      <w:szCs w:val="21"/>
                    </w:rPr>
                  </w:pPr>
                  <w:r>
                    <w:rPr>
                      <w:rFonts w:eastAsia="仿宋_GB2312"/>
                      <w:sz w:val="21"/>
                      <w:szCs w:val="21"/>
                    </w:rPr>
                    <w:t>废油桶</w:t>
                  </w:r>
                </w:p>
              </w:tc>
              <w:tc>
                <w:tcPr>
                  <w:tcW w:w="746" w:type="pct"/>
                  <w:vMerge w:val="continue"/>
                  <w:vAlign w:val="center"/>
                </w:tcPr>
                <w:p w14:paraId="28E30D57">
                  <w:pPr>
                    <w:adjustRightInd w:val="0"/>
                    <w:snapToGrid w:val="0"/>
                    <w:jc w:val="center"/>
                    <w:rPr>
                      <w:rFonts w:eastAsia="仿宋_GB2312"/>
                      <w:sz w:val="21"/>
                      <w:szCs w:val="21"/>
                    </w:rPr>
                  </w:pPr>
                </w:p>
              </w:tc>
              <w:tc>
                <w:tcPr>
                  <w:tcW w:w="330" w:type="pct"/>
                  <w:vAlign w:val="center"/>
                </w:tcPr>
                <w:p w14:paraId="6F8CF2C2">
                  <w:pPr>
                    <w:adjustRightInd w:val="0"/>
                    <w:snapToGrid w:val="0"/>
                    <w:jc w:val="center"/>
                    <w:rPr>
                      <w:rFonts w:eastAsia="仿宋_GB2312"/>
                      <w:sz w:val="21"/>
                      <w:szCs w:val="21"/>
                    </w:rPr>
                  </w:pPr>
                  <w:r>
                    <w:rPr>
                      <w:rFonts w:eastAsia="仿宋_GB2312"/>
                      <w:sz w:val="21"/>
                      <w:szCs w:val="21"/>
                    </w:rPr>
                    <w:t>固</w:t>
                  </w:r>
                </w:p>
              </w:tc>
              <w:tc>
                <w:tcPr>
                  <w:tcW w:w="759" w:type="pct"/>
                  <w:vAlign w:val="center"/>
                </w:tcPr>
                <w:p w14:paraId="37D4C6D6">
                  <w:pPr>
                    <w:pStyle w:val="56"/>
                    <w:spacing w:beforeLines="0" w:afterLines="0" w:line="240" w:lineRule="auto"/>
                    <w:rPr>
                      <w:rFonts w:ascii="Times New Roman" w:eastAsia="仿宋_GB2312"/>
                      <w:sz w:val="21"/>
                      <w:szCs w:val="21"/>
                    </w:rPr>
                  </w:pPr>
                  <w:r>
                    <w:rPr>
                      <w:rFonts w:ascii="Times New Roman" w:eastAsia="仿宋_GB2312"/>
                      <w:sz w:val="21"/>
                      <w:szCs w:val="21"/>
                    </w:rPr>
                    <w:t>铁桶、有机物</w:t>
                  </w:r>
                </w:p>
              </w:tc>
              <w:tc>
                <w:tcPr>
                  <w:tcW w:w="595" w:type="pct"/>
                  <w:vAlign w:val="center"/>
                </w:tcPr>
                <w:p w14:paraId="2C3EF7A5">
                  <w:pPr>
                    <w:adjustRightInd w:val="0"/>
                    <w:snapToGrid w:val="0"/>
                    <w:jc w:val="center"/>
                    <w:rPr>
                      <w:rFonts w:eastAsia="仿宋_GB2312"/>
                      <w:kern w:val="0"/>
                      <w:sz w:val="21"/>
                      <w:szCs w:val="21"/>
                    </w:rPr>
                  </w:pPr>
                  <w:r>
                    <w:rPr>
                      <w:rFonts w:hint="eastAsia" w:eastAsia="仿宋_GB2312"/>
                      <w:sz w:val="21"/>
                      <w:szCs w:val="21"/>
                    </w:rPr>
                    <w:t>0.5</w:t>
                  </w:r>
                </w:p>
              </w:tc>
              <w:tc>
                <w:tcPr>
                  <w:tcW w:w="312" w:type="pct"/>
                  <w:vAlign w:val="center"/>
                </w:tcPr>
                <w:p w14:paraId="1F9BFB02">
                  <w:pPr>
                    <w:pStyle w:val="56"/>
                    <w:spacing w:beforeLines="0" w:afterLines="0" w:line="240" w:lineRule="auto"/>
                    <w:rPr>
                      <w:rFonts w:ascii="Times New Roman" w:eastAsia="仿宋_GB2312"/>
                      <w:sz w:val="21"/>
                      <w:szCs w:val="21"/>
                    </w:rPr>
                  </w:pPr>
                  <w:r>
                    <w:rPr>
                      <w:rFonts w:ascii="Times New Roman" w:eastAsia="仿宋_GB2312"/>
                      <w:sz w:val="21"/>
                      <w:szCs w:val="21"/>
                    </w:rPr>
                    <w:t>√</w:t>
                  </w:r>
                </w:p>
              </w:tc>
              <w:tc>
                <w:tcPr>
                  <w:tcW w:w="307" w:type="pct"/>
                  <w:vAlign w:val="center"/>
                </w:tcPr>
                <w:p w14:paraId="7E1CCA8D">
                  <w:pPr>
                    <w:adjustRightInd w:val="0"/>
                    <w:snapToGrid w:val="0"/>
                    <w:jc w:val="center"/>
                    <w:rPr>
                      <w:rFonts w:eastAsia="仿宋_GB2312"/>
                      <w:sz w:val="21"/>
                      <w:szCs w:val="21"/>
                    </w:rPr>
                  </w:pPr>
                  <w:r>
                    <w:rPr>
                      <w:rFonts w:eastAsia="仿宋_GB2312"/>
                      <w:kern w:val="0"/>
                      <w:sz w:val="21"/>
                      <w:szCs w:val="21"/>
                    </w:rPr>
                    <w:t>/</w:t>
                  </w:r>
                </w:p>
              </w:tc>
              <w:tc>
                <w:tcPr>
                  <w:tcW w:w="426" w:type="pct"/>
                  <w:vAlign w:val="center"/>
                </w:tcPr>
                <w:p w14:paraId="5869FBA9">
                  <w:pPr>
                    <w:adjustRightInd w:val="0"/>
                    <w:snapToGrid w:val="0"/>
                    <w:jc w:val="center"/>
                    <w:rPr>
                      <w:rFonts w:eastAsia="仿宋_GB2312"/>
                      <w:sz w:val="21"/>
                      <w:szCs w:val="21"/>
                    </w:rPr>
                  </w:pPr>
                  <w:r>
                    <w:rPr>
                      <w:rFonts w:eastAsia="仿宋_GB2312"/>
                      <w:sz w:val="21"/>
                      <w:szCs w:val="21"/>
                    </w:rPr>
                    <w:t>4.1h）</w:t>
                  </w:r>
                </w:p>
              </w:tc>
              <w:tc>
                <w:tcPr>
                  <w:tcW w:w="420" w:type="pct"/>
                  <w:vAlign w:val="center"/>
                </w:tcPr>
                <w:p w14:paraId="022619B1">
                  <w:pPr>
                    <w:adjustRightInd w:val="0"/>
                    <w:snapToGrid w:val="0"/>
                    <w:jc w:val="center"/>
                    <w:rPr>
                      <w:rFonts w:eastAsia="仿宋_GB2312"/>
                      <w:kern w:val="0"/>
                      <w:sz w:val="21"/>
                      <w:szCs w:val="21"/>
                    </w:rPr>
                  </w:pPr>
                  <w:r>
                    <w:rPr>
                      <w:rFonts w:eastAsia="仿宋_GB2312"/>
                      <w:kern w:val="0"/>
                      <w:sz w:val="21"/>
                      <w:szCs w:val="21"/>
                    </w:rPr>
                    <w:t>5.1e）</w:t>
                  </w:r>
                </w:p>
              </w:tc>
            </w:tr>
            <w:tr w14:paraId="475A9F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13" w:type="pct"/>
                  <w:vAlign w:val="center"/>
                </w:tcPr>
                <w:p w14:paraId="1A31F222">
                  <w:pPr>
                    <w:pStyle w:val="56"/>
                    <w:numPr>
                      <w:ilvl w:val="0"/>
                      <w:numId w:val="5"/>
                    </w:numPr>
                    <w:spacing w:beforeLines="0" w:afterLines="0" w:line="240" w:lineRule="auto"/>
                    <w:rPr>
                      <w:rFonts w:ascii="Times New Roman" w:eastAsia="仿宋_GB2312"/>
                      <w:sz w:val="21"/>
                      <w:szCs w:val="21"/>
                    </w:rPr>
                  </w:pPr>
                </w:p>
              </w:tc>
              <w:tc>
                <w:tcPr>
                  <w:tcW w:w="787" w:type="pct"/>
                  <w:vAlign w:val="center"/>
                </w:tcPr>
                <w:p w14:paraId="5774F80B">
                  <w:pPr>
                    <w:adjustRightInd w:val="0"/>
                    <w:snapToGrid w:val="0"/>
                    <w:jc w:val="center"/>
                    <w:rPr>
                      <w:rFonts w:eastAsia="仿宋_GB2312"/>
                      <w:kern w:val="0"/>
                      <w:sz w:val="21"/>
                      <w:szCs w:val="21"/>
                    </w:rPr>
                  </w:pPr>
                  <w:r>
                    <w:rPr>
                      <w:rFonts w:eastAsia="仿宋_GB2312"/>
                      <w:kern w:val="0"/>
                      <w:sz w:val="21"/>
                      <w:szCs w:val="21"/>
                    </w:rPr>
                    <w:t>废漆桶</w:t>
                  </w:r>
                </w:p>
              </w:tc>
              <w:tc>
                <w:tcPr>
                  <w:tcW w:w="746" w:type="pct"/>
                  <w:vMerge w:val="continue"/>
                  <w:vAlign w:val="center"/>
                </w:tcPr>
                <w:p w14:paraId="63368826">
                  <w:pPr>
                    <w:adjustRightInd w:val="0"/>
                    <w:snapToGrid w:val="0"/>
                    <w:jc w:val="center"/>
                    <w:rPr>
                      <w:rFonts w:eastAsia="仿宋_GB2312"/>
                      <w:kern w:val="0"/>
                      <w:sz w:val="21"/>
                      <w:szCs w:val="21"/>
                    </w:rPr>
                  </w:pPr>
                </w:p>
              </w:tc>
              <w:tc>
                <w:tcPr>
                  <w:tcW w:w="330" w:type="pct"/>
                  <w:vAlign w:val="center"/>
                </w:tcPr>
                <w:p w14:paraId="284EA6A6">
                  <w:pPr>
                    <w:adjustRightInd w:val="0"/>
                    <w:snapToGrid w:val="0"/>
                    <w:jc w:val="center"/>
                    <w:rPr>
                      <w:rFonts w:eastAsia="仿宋_GB2312"/>
                      <w:sz w:val="21"/>
                      <w:szCs w:val="21"/>
                    </w:rPr>
                  </w:pPr>
                  <w:r>
                    <w:rPr>
                      <w:rFonts w:eastAsia="仿宋_GB2312"/>
                      <w:sz w:val="21"/>
                      <w:szCs w:val="21"/>
                    </w:rPr>
                    <w:t>固</w:t>
                  </w:r>
                </w:p>
              </w:tc>
              <w:tc>
                <w:tcPr>
                  <w:tcW w:w="759" w:type="pct"/>
                  <w:vAlign w:val="center"/>
                </w:tcPr>
                <w:p w14:paraId="1DE47895">
                  <w:pPr>
                    <w:adjustRightInd w:val="0"/>
                    <w:snapToGrid w:val="0"/>
                    <w:jc w:val="center"/>
                    <w:rPr>
                      <w:rFonts w:eastAsia="仿宋_GB2312"/>
                      <w:kern w:val="0"/>
                      <w:sz w:val="21"/>
                      <w:szCs w:val="21"/>
                    </w:rPr>
                  </w:pPr>
                  <w:r>
                    <w:rPr>
                      <w:rFonts w:eastAsia="仿宋_GB2312"/>
                      <w:kern w:val="0"/>
                      <w:sz w:val="21"/>
                      <w:szCs w:val="21"/>
                    </w:rPr>
                    <w:t>废漆桶</w:t>
                  </w:r>
                </w:p>
              </w:tc>
              <w:tc>
                <w:tcPr>
                  <w:tcW w:w="595" w:type="pct"/>
                  <w:vAlign w:val="center"/>
                </w:tcPr>
                <w:p w14:paraId="0CB26ADA">
                  <w:pPr>
                    <w:adjustRightInd w:val="0"/>
                    <w:snapToGrid w:val="0"/>
                    <w:jc w:val="center"/>
                    <w:rPr>
                      <w:rFonts w:eastAsia="仿宋_GB2312"/>
                      <w:kern w:val="0"/>
                      <w:sz w:val="21"/>
                      <w:szCs w:val="21"/>
                    </w:rPr>
                  </w:pPr>
                  <w:r>
                    <w:rPr>
                      <w:rFonts w:hint="eastAsia" w:eastAsia="仿宋_GB2312"/>
                      <w:sz w:val="21"/>
                      <w:szCs w:val="21"/>
                    </w:rPr>
                    <w:t>0.5</w:t>
                  </w:r>
                </w:p>
              </w:tc>
              <w:tc>
                <w:tcPr>
                  <w:tcW w:w="312" w:type="pct"/>
                  <w:vAlign w:val="center"/>
                </w:tcPr>
                <w:p w14:paraId="6AC609CD">
                  <w:pPr>
                    <w:pStyle w:val="56"/>
                    <w:spacing w:before="24" w:after="24"/>
                    <w:rPr>
                      <w:rFonts w:ascii="Times New Roman" w:eastAsia="仿宋_GB2312"/>
                      <w:sz w:val="21"/>
                      <w:szCs w:val="21"/>
                    </w:rPr>
                  </w:pPr>
                  <w:r>
                    <w:rPr>
                      <w:rFonts w:ascii="Times New Roman" w:eastAsia="仿宋_GB2312"/>
                      <w:sz w:val="21"/>
                      <w:szCs w:val="21"/>
                    </w:rPr>
                    <w:t>√</w:t>
                  </w:r>
                </w:p>
              </w:tc>
              <w:tc>
                <w:tcPr>
                  <w:tcW w:w="307" w:type="pct"/>
                  <w:vAlign w:val="center"/>
                </w:tcPr>
                <w:p w14:paraId="6A1ADCEF">
                  <w:pPr>
                    <w:adjustRightInd w:val="0"/>
                    <w:snapToGrid w:val="0"/>
                    <w:jc w:val="center"/>
                    <w:rPr>
                      <w:rFonts w:eastAsia="仿宋_GB2312"/>
                      <w:kern w:val="0"/>
                      <w:sz w:val="21"/>
                      <w:szCs w:val="21"/>
                    </w:rPr>
                  </w:pPr>
                  <w:r>
                    <w:rPr>
                      <w:rFonts w:eastAsia="仿宋_GB2312"/>
                      <w:kern w:val="0"/>
                      <w:sz w:val="21"/>
                      <w:szCs w:val="21"/>
                    </w:rPr>
                    <w:t>/</w:t>
                  </w:r>
                </w:p>
              </w:tc>
              <w:tc>
                <w:tcPr>
                  <w:tcW w:w="426" w:type="pct"/>
                  <w:vAlign w:val="center"/>
                </w:tcPr>
                <w:p w14:paraId="38820789">
                  <w:pPr>
                    <w:adjustRightInd w:val="0"/>
                    <w:snapToGrid w:val="0"/>
                    <w:rPr>
                      <w:rFonts w:eastAsia="仿宋_GB2312"/>
                      <w:sz w:val="21"/>
                      <w:szCs w:val="21"/>
                    </w:rPr>
                  </w:pPr>
                  <w:r>
                    <w:rPr>
                      <w:rFonts w:eastAsia="仿宋_GB2312"/>
                      <w:sz w:val="21"/>
                      <w:szCs w:val="21"/>
                    </w:rPr>
                    <w:t>4.1h）</w:t>
                  </w:r>
                </w:p>
              </w:tc>
              <w:tc>
                <w:tcPr>
                  <w:tcW w:w="420" w:type="pct"/>
                  <w:vAlign w:val="center"/>
                </w:tcPr>
                <w:p w14:paraId="62E49E65">
                  <w:pPr>
                    <w:adjustRightInd w:val="0"/>
                    <w:snapToGrid w:val="0"/>
                    <w:jc w:val="center"/>
                    <w:rPr>
                      <w:rFonts w:eastAsia="仿宋_GB2312"/>
                      <w:kern w:val="0"/>
                      <w:sz w:val="21"/>
                      <w:szCs w:val="21"/>
                    </w:rPr>
                  </w:pPr>
                  <w:r>
                    <w:rPr>
                      <w:rFonts w:eastAsia="仿宋_GB2312"/>
                      <w:kern w:val="0"/>
                      <w:sz w:val="21"/>
                      <w:szCs w:val="21"/>
                    </w:rPr>
                    <w:t>5.1e）</w:t>
                  </w:r>
                </w:p>
              </w:tc>
            </w:tr>
            <w:tr w14:paraId="16EC1A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13" w:type="pct"/>
                  <w:vAlign w:val="center"/>
                </w:tcPr>
                <w:p w14:paraId="0F205863">
                  <w:pPr>
                    <w:pStyle w:val="56"/>
                    <w:numPr>
                      <w:ilvl w:val="0"/>
                      <w:numId w:val="5"/>
                    </w:numPr>
                    <w:spacing w:beforeLines="0" w:afterLines="0" w:line="240" w:lineRule="auto"/>
                    <w:rPr>
                      <w:rFonts w:ascii="Times New Roman" w:eastAsia="仿宋_GB2312"/>
                      <w:sz w:val="21"/>
                      <w:szCs w:val="21"/>
                    </w:rPr>
                  </w:pPr>
                </w:p>
              </w:tc>
              <w:tc>
                <w:tcPr>
                  <w:tcW w:w="787" w:type="pct"/>
                  <w:vAlign w:val="center"/>
                </w:tcPr>
                <w:p w14:paraId="2653C440">
                  <w:pPr>
                    <w:adjustRightInd w:val="0"/>
                    <w:snapToGrid w:val="0"/>
                    <w:jc w:val="center"/>
                    <w:rPr>
                      <w:rFonts w:eastAsia="仿宋_GB2312"/>
                      <w:kern w:val="0"/>
                      <w:sz w:val="21"/>
                      <w:szCs w:val="21"/>
                    </w:rPr>
                  </w:pPr>
                  <w:r>
                    <w:rPr>
                      <w:rFonts w:eastAsia="仿宋_GB2312"/>
                      <w:kern w:val="0"/>
                      <w:sz w:val="21"/>
                      <w:szCs w:val="21"/>
                    </w:rPr>
                    <w:t>废漆刷</w:t>
                  </w:r>
                </w:p>
              </w:tc>
              <w:tc>
                <w:tcPr>
                  <w:tcW w:w="746" w:type="pct"/>
                  <w:vMerge w:val="continue"/>
                  <w:vAlign w:val="center"/>
                </w:tcPr>
                <w:p w14:paraId="66E49CEF">
                  <w:pPr>
                    <w:adjustRightInd w:val="0"/>
                    <w:snapToGrid w:val="0"/>
                    <w:jc w:val="center"/>
                    <w:rPr>
                      <w:rFonts w:eastAsia="仿宋_GB2312"/>
                      <w:kern w:val="0"/>
                      <w:sz w:val="21"/>
                      <w:szCs w:val="21"/>
                    </w:rPr>
                  </w:pPr>
                </w:p>
              </w:tc>
              <w:tc>
                <w:tcPr>
                  <w:tcW w:w="330" w:type="pct"/>
                  <w:vAlign w:val="center"/>
                </w:tcPr>
                <w:p w14:paraId="613B4E98">
                  <w:pPr>
                    <w:adjustRightInd w:val="0"/>
                    <w:snapToGrid w:val="0"/>
                    <w:jc w:val="center"/>
                    <w:rPr>
                      <w:rFonts w:eastAsia="仿宋_GB2312"/>
                      <w:sz w:val="21"/>
                      <w:szCs w:val="21"/>
                    </w:rPr>
                  </w:pPr>
                  <w:r>
                    <w:rPr>
                      <w:rFonts w:eastAsia="仿宋_GB2312"/>
                      <w:sz w:val="21"/>
                      <w:szCs w:val="21"/>
                    </w:rPr>
                    <w:t>固</w:t>
                  </w:r>
                </w:p>
              </w:tc>
              <w:tc>
                <w:tcPr>
                  <w:tcW w:w="759" w:type="pct"/>
                  <w:vAlign w:val="center"/>
                </w:tcPr>
                <w:p w14:paraId="5AEB5CCC">
                  <w:pPr>
                    <w:adjustRightInd w:val="0"/>
                    <w:snapToGrid w:val="0"/>
                    <w:jc w:val="center"/>
                    <w:rPr>
                      <w:rFonts w:eastAsia="仿宋_GB2312"/>
                      <w:kern w:val="0"/>
                      <w:sz w:val="21"/>
                      <w:szCs w:val="21"/>
                    </w:rPr>
                  </w:pPr>
                  <w:r>
                    <w:rPr>
                      <w:rFonts w:eastAsia="仿宋_GB2312"/>
                      <w:kern w:val="0"/>
                      <w:sz w:val="21"/>
                      <w:szCs w:val="21"/>
                    </w:rPr>
                    <w:t>废漆刷</w:t>
                  </w:r>
                </w:p>
              </w:tc>
              <w:tc>
                <w:tcPr>
                  <w:tcW w:w="595" w:type="pct"/>
                  <w:vAlign w:val="center"/>
                </w:tcPr>
                <w:p w14:paraId="40D2B477">
                  <w:pPr>
                    <w:adjustRightInd w:val="0"/>
                    <w:snapToGrid w:val="0"/>
                    <w:jc w:val="center"/>
                    <w:rPr>
                      <w:rFonts w:eastAsia="仿宋_GB2312"/>
                      <w:kern w:val="0"/>
                      <w:sz w:val="21"/>
                      <w:szCs w:val="21"/>
                    </w:rPr>
                  </w:pPr>
                  <w:r>
                    <w:rPr>
                      <w:rFonts w:eastAsia="仿宋_GB2312"/>
                      <w:kern w:val="0"/>
                      <w:sz w:val="21"/>
                      <w:szCs w:val="21"/>
                    </w:rPr>
                    <w:t>0.01</w:t>
                  </w:r>
                </w:p>
              </w:tc>
              <w:tc>
                <w:tcPr>
                  <w:tcW w:w="312" w:type="pct"/>
                  <w:vAlign w:val="center"/>
                </w:tcPr>
                <w:p w14:paraId="53BD9A17">
                  <w:pPr>
                    <w:pStyle w:val="56"/>
                    <w:spacing w:before="24" w:after="24"/>
                    <w:rPr>
                      <w:rFonts w:ascii="Times New Roman" w:eastAsia="仿宋_GB2312"/>
                      <w:sz w:val="21"/>
                      <w:szCs w:val="21"/>
                    </w:rPr>
                  </w:pPr>
                  <w:r>
                    <w:rPr>
                      <w:rFonts w:ascii="Times New Roman" w:eastAsia="仿宋_GB2312"/>
                      <w:sz w:val="21"/>
                      <w:szCs w:val="21"/>
                    </w:rPr>
                    <w:t>√</w:t>
                  </w:r>
                </w:p>
              </w:tc>
              <w:tc>
                <w:tcPr>
                  <w:tcW w:w="307" w:type="pct"/>
                  <w:vAlign w:val="center"/>
                </w:tcPr>
                <w:p w14:paraId="0BB3481D">
                  <w:pPr>
                    <w:adjustRightInd w:val="0"/>
                    <w:snapToGrid w:val="0"/>
                    <w:jc w:val="center"/>
                    <w:rPr>
                      <w:rFonts w:eastAsia="仿宋_GB2312"/>
                      <w:kern w:val="0"/>
                      <w:sz w:val="21"/>
                      <w:szCs w:val="21"/>
                    </w:rPr>
                  </w:pPr>
                  <w:r>
                    <w:rPr>
                      <w:rFonts w:eastAsia="仿宋_GB2312"/>
                      <w:kern w:val="0"/>
                      <w:sz w:val="21"/>
                      <w:szCs w:val="21"/>
                    </w:rPr>
                    <w:t>/</w:t>
                  </w:r>
                </w:p>
              </w:tc>
              <w:tc>
                <w:tcPr>
                  <w:tcW w:w="426" w:type="pct"/>
                  <w:vAlign w:val="center"/>
                </w:tcPr>
                <w:p w14:paraId="01BCA843">
                  <w:pPr>
                    <w:adjustRightInd w:val="0"/>
                    <w:snapToGrid w:val="0"/>
                    <w:rPr>
                      <w:rFonts w:eastAsia="仿宋_GB2312"/>
                      <w:sz w:val="21"/>
                      <w:szCs w:val="21"/>
                    </w:rPr>
                  </w:pPr>
                  <w:r>
                    <w:rPr>
                      <w:rFonts w:eastAsia="仿宋_GB2312"/>
                      <w:sz w:val="21"/>
                      <w:szCs w:val="21"/>
                    </w:rPr>
                    <w:t>4.1h）</w:t>
                  </w:r>
                </w:p>
              </w:tc>
              <w:tc>
                <w:tcPr>
                  <w:tcW w:w="420" w:type="pct"/>
                  <w:vAlign w:val="center"/>
                </w:tcPr>
                <w:p w14:paraId="2E2A2DBF">
                  <w:pPr>
                    <w:adjustRightInd w:val="0"/>
                    <w:snapToGrid w:val="0"/>
                    <w:jc w:val="center"/>
                    <w:rPr>
                      <w:rFonts w:eastAsia="仿宋_GB2312"/>
                      <w:kern w:val="0"/>
                      <w:sz w:val="21"/>
                      <w:szCs w:val="21"/>
                    </w:rPr>
                  </w:pPr>
                  <w:r>
                    <w:rPr>
                      <w:rFonts w:eastAsia="仿宋_GB2312"/>
                      <w:kern w:val="0"/>
                      <w:sz w:val="21"/>
                      <w:szCs w:val="21"/>
                    </w:rPr>
                    <w:t>5.1e）</w:t>
                  </w:r>
                </w:p>
              </w:tc>
            </w:tr>
            <w:tr w14:paraId="3DA471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13" w:type="pct"/>
                  <w:vAlign w:val="center"/>
                </w:tcPr>
                <w:p w14:paraId="4D3ACB24">
                  <w:pPr>
                    <w:pStyle w:val="56"/>
                    <w:numPr>
                      <w:ilvl w:val="0"/>
                      <w:numId w:val="5"/>
                    </w:numPr>
                    <w:spacing w:beforeLines="0" w:afterLines="0" w:line="240" w:lineRule="auto"/>
                    <w:rPr>
                      <w:rFonts w:ascii="Times New Roman" w:eastAsia="仿宋_GB2312"/>
                      <w:sz w:val="21"/>
                      <w:szCs w:val="21"/>
                    </w:rPr>
                  </w:pPr>
                </w:p>
              </w:tc>
              <w:tc>
                <w:tcPr>
                  <w:tcW w:w="787" w:type="pct"/>
                  <w:vAlign w:val="center"/>
                </w:tcPr>
                <w:p w14:paraId="020A5869">
                  <w:pPr>
                    <w:adjustRightInd w:val="0"/>
                    <w:snapToGrid w:val="0"/>
                    <w:jc w:val="center"/>
                    <w:rPr>
                      <w:rFonts w:eastAsia="仿宋_GB2312"/>
                      <w:kern w:val="0"/>
                      <w:sz w:val="21"/>
                      <w:szCs w:val="21"/>
                    </w:rPr>
                  </w:pPr>
                  <w:r>
                    <w:rPr>
                      <w:rFonts w:eastAsia="仿宋_GB2312"/>
                      <w:kern w:val="0"/>
                      <w:sz w:val="21"/>
                      <w:szCs w:val="21"/>
                    </w:rPr>
                    <w:t>废活性炭</w:t>
                  </w:r>
                </w:p>
              </w:tc>
              <w:tc>
                <w:tcPr>
                  <w:tcW w:w="746" w:type="pct"/>
                  <w:vAlign w:val="center"/>
                </w:tcPr>
                <w:p w14:paraId="00639557">
                  <w:pPr>
                    <w:adjustRightInd w:val="0"/>
                    <w:snapToGrid w:val="0"/>
                    <w:jc w:val="center"/>
                    <w:rPr>
                      <w:rFonts w:eastAsia="仿宋_GB2312"/>
                      <w:kern w:val="0"/>
                      <w:sz w:val="21"/>
                      <w:szCs w:val="21"/>
                    </w:rPr>
                  </w:pPr>
                  <w:r>
                    <w:rPr>
                      <w:rFonts w:eastAsia="仿宋_GB2312"/>
                      <w:kern w:val="0"/>
                      <w:sz w:val="21"/>
                      <w:szCs w:val="21"/>
                    </w:rPr>
                    <w:t>活性炭塔吸附过滤游离氯</w:t>
                  </w:r>
                </w:p>
              </w:tc>
              <w:tc>
                <w:tcPr>
                  <w:tcW w:w="330" w:type="pct"/>
                  <w:vAlign w:val="center"/>
                </w:tcPr>
                <w:p w14:paraId="093533A1">
                  <w:pPr>
                    <w:adjustRightInd w:val="0"/>
                    <w:snapToGrid w:val="0"/>
                    <w:jc w:val="center"/>
                    <w:rPr>
                      <w:rFonts w:eastAsia="仿宋_GB2312"/>
                      <w:sz w:val="21"/>
                      <w:szCs w:val="21"/>
                    </w:rPr>
                  </w:pPr>
                  <w:r>
                    <w:rPr>
                      <w:rFonts w:eastAsia="仿宋_GB2312"/>
                      <w:sz w:val="21"/>
                      <w:szCs w:val="21"/>
                    </w:rPr>
                    <w:t>固</w:t>
                  </w:r>
                </w:p>
              </w:tc>
              <w:tc>
                <w:tcPr>
                  <w:tcW w:w="759" w:type="pct"/>
                  <w:vAlign w:val="center"/>
                </w:tcPr>
                <w:p w14:paraId="684036D2">
                  <w:pPr>
                    <w:adjustRightInd w:val="0"/>
                    <w:snapToGrid w:val="0"/>
                    <w:jc w:val="center"/>
                    <w:rPr>
                      <w:rFonts w:eastAsia="仿宋_GB2312"/>
                      <w:kern w:val="0"/>
                      <w:sz w:val="21"/>
                      <w:szCs w:val="21"/>
                    </w:rPr>
                  </w:pPr>
                  <w:r>
                    <w:rPr>
                      <w:rFonts w:eastAsia="仿宋_GB2312"/>
                      <w:kern w:val="0"/>
                      <w:sz w:val="21"/>
                      <w:szCs w:val="21"/>
                    </w:rPr>
                    <w:t>活性炭</w:t>
                  </w:r>
                </w:p>
              </w:tc>
              <w:tc>
                <w:tcPr>
                  <w:tcW w:w="595" w:type="pct"/>
                  <w:vAlign w:val="center"/>
                </w:tcPr>
                <w:p w14:paraId="43591C91">
                  <w:pPr>
                    <w:adjustRightInd w:val="0"/>
                    <w:snapToGrid w:val="0"/>
                    <w:jc w:val="center"/>
                    <w:rPr>
                      <w:rFonts w:eastAsia="仿宋_GB2312"/>
                      <w:kern w:val="0"/>
                      <w:sz w:val="21"/>
                      <w:szCs w:val="21"/>
                    </w:rPr>
                  </w:pPr>
                  <w:r>
                    <w:rPr>
                      <w:rFonts w:eastAsia="仿宋_GB2312"/>
                      <w:kern w:val="0"/>
                      <w:sz w:val="21"/>
                      <w:szCs w:val="21"/>
                    </w:rPr>
                    <w:t>4.5</w:t>
                  </w:r>
                </w:p>
              </w:tc>
              <w:tc>
                <w:tcPr>
                  <w:tcW w:w="312" w:type="pct"/>
                  <w:vAlign w:val="center"/>
                </w:tcPr>
                <w:p w14:paraId="6891CEAA">
                  <w:pPr>
                    <w:pStyle w:val="56"/>
                    <w:spacing w:before="24" w:after="24"/>
                    <w:rPr>
                      <w:rFonts w:ascii="Times New Roman" w:eastAsia="仿宋_GB2312"/>
                      <w:sz w:val="21"/>
                      <w:szCs w:val="21"/>
                    </w:rPr>
                  </w:pPr>
                  <w:r>
                    <w:rPr>
                      <w:rFonts w:ascii="Times New Roman" w:eastAsia="仿宋_GB2312"/>
                      <w:sz w:val="21"/>
                      <w:szCs w:val="21"/>
                    </w:rPr>
                    <w:t>√</w:t>
                  </w:r>
                </w:p>
              </w:tc>
              <w:tc>
                <w:tcPr>
                  <w:tcW w:w="307" w:type="pct"/>
                  <w:vAlign w:val="center"/>
                </w:tcPr>
                <w:p w14:paraId="28E94573">
                  <w:pPr>
                    <w:adjustRightInd w:val="0"/>
                    <w:snapToGrid w:val="0"/>
                    <w:jc w:val="center"/>
                    <w:rPr>
                      <w:rFonts w:eastAsia="仿宋_GB2312"/>
                      <w:kern w:val="0"/>
                      <w:sz w:val="21"/>
                      <w:szCs w:val="21"/>
                    </w:rPr>
                  </w:pPr>
                  <w:r>
                    <w:rPr>
                      <w:rFonts w:eastAsia="仿宋_GB2312"/>
                      <w:kern w:val="0"/>
                      <w:sz w:val="21"/>
                      <w:szCs w:val="21"/>
                    </w:rPr>
                    <w:t>/</w:t>
                  </w:r>
                </w:p>
              </w:tc>
              <w:tc>
                <w:tcPr>
                  <w:tcW w:w="426" w:type="pct"/>
                  <w:vAlign w:val="center"/>
                </w:tcPr>
                <w:p w14:paraId="1ECE77C9">
                  <w:pPr>
                    <w:adjustRightInd w:val="0"/>
                    <w:snapToGrid w:val="0"/>
                    <w:rPr>
                      <w:rFonts w:eastAsia="仿宋_GB2312"/>
                      <w:sz w:val="21"/>
                      <w:szCs w:val="21"/>
                    </w:rPr>
                  </w:pPr>
                  <w:r>
                    <w:rPr>
                      <w:rFonts w:eastAsia="仿宋_GB2312"/>
                      <w:sz w:val="21"/>
                      <w:szCs w:val="21"/>
                    </w:rPr>
                    <w:t>4.2b）</w:t>
                  </w:r>
                </w:p>
              </w:tc>
              <w:tc>
                <w:tcPr>
                  <w:tcW w:w="420" w:type="pct"/>
                  <w:vAlign w:val="center"/>
                </w:tcPr>
                <w:p w14:paraId="6CAA0CAE">
                  <w:pPr>
                    <w:adjustRightInd w:val="0"/>
                    <w:snapToGrid w:val="0"/>
                    <w:jc w:val="center"/>
                    <w:rPr>
                      <w:rFonts w:eastAsia="仿宋_GB2312"/>
                      <w:kern w:val="0"/>
                      <w:sz w:val="21"/>
                      <w:szCs w:val="21"/>
                    </w:rPr>
                  </w:pPr>
                  <w:r>
                    <w:rPr>
                      <w:rFonts w:eastAsia="仿宋_GB2312"/>
                      <w:kern w:val="0"/>
                      <w:sz w:val="21"/>
                      <w:szCs w:val="21"/>
                    </w:rPr>
                    <w:t>5.1e）</w:t>
                  </w:r>
                </w:p>
              </w:tc>
            </w:tr>
            <w:tr w14:paraId="451780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13" w:type="pct"/>
                  <w:vAlign w:val="center"/>
                </w:tcPr>
                <w:p w14:paraId="604D04B8">
                  <w:pPr>
                    <w:pStyle w:val="56"/>
                    <w:numPr>
                      <w:ilvl w:val="0"/>
                      <w:numId w:val="5"/>
                    </w:numPr>
                    <w:spacing w:beforeLines="0" w:afterLines="0" w:line="240" w:lineRule="auto"/>
                    <w:rPr>
                      <w:rFonts w:ascii="Times New Roman" w:eastAsia="仿宋_GB2312"/>
                      <w:sz w:val="21"/>
                      <w:szCs w:val="21"/>
                    </w:rPr>
                  </w:pPr>
                </w:p>
              </w:tc>
              <w:tc>
                <w:tcPr>
                  <w:tcW w:w="787" w:type="pct"/>
                  <w:vAlign w:val="center"/>
                </w:tcPr>
                <w:p w14:paraId="44B3CC1D">
                  <w:pPr>
                    <w:adjustRightInd w:val="0"/>
                    <w:snapToGrid w:val="0"/>
                    <w:jc w:val="center"/>
                    <w:rPr>
                      <w:rFonts w:eastAsia="仿宋_GB2312"/>
                      <w:kern w:val="0"/>
                      <w:sz w:val="21"/>
                      <w:szCs w:val="21"/>
                    </w:rPr>
                  </w:pPr>
                  <w:r>
                    <w:rPr>
                      <w:rFonts w:eastAsia="仿宋_GB2312"/>
                      <w:kern w:val="0"/>
                      <w:sz w:val="21"/>
                      <w:szCs w:val="21"/>
                    </w:rPr>
                    <w:t>废保安过滤器滤芯</w:t>
                  </w:r>
                </w:p>
              </w:tc>
              <w:tc>
                <w:tcPr>
                  <w:tcW w:w="746" w:type="pct"/>
                  <w:vAlign w:val="center"/>
                </w:tcPr>
                <w:p w14:paraId="613128E5">
                  <w:pPr>
                    <w:adjustRightInd w:val="0"/>
                    <w:snapToGrid w:val="0"/>
                    <w:jc w:val="center"/>
                    <w:rPr>
                      <w:rFonts w:eastAsia="仿宋_GB2312"/>
                      <w:kern w:val="0"/>
                      <w:sz w:val="21"/>
                      <w:szCs w:val="21"/>
                    </w:rPr>
                  </w:pPr>
                  <w:r>
                    <w:rPr>
                      <w:rFonts w:eastAsia="仿宋_GB2312"/>
                      <w:kern w:val="0"/>
                      <w:sz w:val="21"/>
                      <w:szCs w:val="21"/>
                    </w:rPr>
                    <w:t>保安过滤器滤芯更换</w:t>
                  </w:r>
                </w:p>
              </w:tc>
              <w:tc>
                <w:tcPr>
                  <w:tcW w:w="330" w:type="pct"/>
                  <w:vAlign w:val="center"/>
                </w:tcPr>
                <w:p w14:paraId="0509452B">
                  <w:pPr>
                    <w:adjustRightInd w:val="0"/>
                    <w:snapToGrid w:val="0"/>
                    <w:jc w:val="center"/>
                    <w:rPr>
                      <w:rFonts w:eastAsia="仿宋_GB2312"/>
                      <w:sz w:val="21"/>
                      <w:szCs w:val="21"/>
                    </w:rPr>
                  </w:pPr>
                  <w:r>
                    <w:rPr>
                      <w:rFonts w:eastAsia="仿宋_GB2312"/>
                      <w:sz w:val="21"/>
                      <w:szCs w:val="21"/>
                    </w:rPr>
                    <w:t>固</w:t>
                  </w:r>
                </w:p>
              </w:tc>
              <w:tc>
                <w:tcPr>
                  <w:tcW w:w="759" w:type="pct"/>
                  <w:vAlign w:val="center"/>
                </w:tcPr>
                <w:p w14:paraId="22F39CC5">
                  <w:pPr>
                    <w:adjustRightInd w:val="0"/>
                    <w:snapToGrid w:val="0"/>
                    <w:jc w:val="center"/>
                    <w:rPr>
                      <w:rFonts w:eastAsia="仿宋_GB2312"/>
                      <w:kern w:val="0"/>
                      <w:sz w:val="21"/>
                      <w:szCs w:val="21"/>
                    </w:rPr>
                  </w:pPr>
                  <w:r>
                    <w:rPr>
                      <w:rFonts w:eastAsia="仿宋_GB2312"/>
                      <w:kern w:val="0"/>
                      <w:sz w:val="21"/>
                      <w:szCs w:val="21"/>
                    </w:rPr>
                    <w:t>PP材质</w:t>
                  </w:r>
                </w:p>
              </w:tc>
              <w:tc>
                <w:tcPr>
                  <w:tcW w:w="595" w:type="pct"/>
                  <w:vAlign w:val="center"/>
                </w:tcPr>
                <w:p w14:paraId="7EEE9FE9">
                  <w:pPr>
                    <w:adjustRightInd w:val="0"/>
                    <w:snapToGrid w:val="0"/>
                    <w:jc w:val="center"/>
                    <w:rPr>
                      <w:rFonts w:hint="default" w:eastAsia="仿宋_GB2312"/>
                      <w:kern w:val="0"/>
                      <w:sz w:val="21"/>
                      <w:szCs w:val="21"/>
                      <w:lang w:val="en-US" w:eastAsia="zh-CN"/>
                    </w:rPr>
                  </w:pPr>
                  <w:r>
                    <w:rPr>
                      <w:rFonts w:hint="eastAsia" w:eastAsia="仿宋_GB2312"/>
                      <w:kern w:val="0"/>
                      <w:sz w:val="21"/>
                      <w:szCs w:val="21"/>
                      <w:lang w:val="en-US" w:eastAsia="zh-CN"/>
                    </w:rPr>
                    <w:t>3.05</w:t>
                  </w:r>
                </w:p>
              </w:tc>
              <w:tc>
                <w:tcPr>
                  <w:tcW w:w="312" w:type="pct"/>
                  <w:vAlign w:val="center"/>
                </w:tcPr>
                <w:p w14:paraId="7E1277C5">
                  <w:pPr>
                    <w:pStyle w:val="56"/>
                    <w:spacing w:before="24" w:after="24"/>
                    <w:rPr>
                      <w:rFonts w:ascii="Times New Roman" w:eastAsia="仿宋_GB2312"/>
                      <w:sz w:val="21"/>
                      <w:szCs w:val="21"/>
                    </w:rPr>
                  </w:pPr>
                  <w:r>
                    <w:rPr>
                      <w:rFonts w:ascii="Times New Roman" w:eastAsia="仿宋_GB2312"/>
                      <w:sz w:val="21"/>
                      <w:szCs w:val="21"/>
                    </w:rPr>
                    <w:t>√</w:t>
                  </w:r>
                </w:p>
              </w:tc>
              <w:tc>
                <w:tcPr>
                  <w:tcW w:w="307" w:type="pct"/>
                  <w:vAlign w:val="center"/>
                </w:tcPr>
                <w:p w14:paraId="0BF36628">
                  <w:pPr>
                    <w:adjustRightInd w:val="0"/>
                    <w:snapToGrid w:val="0"/>
                    <w:jc w:val="center"/>
                    <w:rPr>
                      <w:rFonts w:eastAsia="仿宋_GB2312"/>
                      <w:kern w:val="0"/>
                      <w:sz w:val="21"/>
                      <w:szCs w:val="21"/>
                    </w:rPr>
                  </w:pPr>
                  <w:r>
                    <w:rPr>
                      <w:rFonts w:eastAsia="仿宋_GB2312"/>
                      <w:kern w:val="0"/>
                      <w:sz w:val="21"/>
                      <w:szCs w:val="21"/>
                    </w:rPr>
                    <w:t>/</w:t>
                  </w:r>
                </w:p>
              </w:tc>
              <w:tc>
                <w:tcPr>
                  <w:tcW w:w="426" w:type="pct"/>
                  <w:vAlign w:val="center"/>
                </w:tcPr>
                <w:p w14:paraId="39A775AA">
                  <w:pPr>
                    <w:adjustRightInd w:val="0"/>
                    <w:snapToGrid w:val="0"/>
                    <w:rPr>
                      <w:rFonts w:eastAsia="仿宋_GB2312"/>
                      <w:sz w:val="21"/>
                      <w:szCs w:val="21"/>
                    </w:rPr>
                  </w:pPr>
                  <w:r>
                    <w:rPr>
                      <w:rFonts w:eastAsia="仿宋_GB2312"/>
                      <w:sz w:val="21"/>
                      <w:szCs w:val="21"/>
                    </w:rPr>
                    <w:t>4.2a）</w:t>
                  </w:r>
                </w:p>
              </w:tc>
              <w:tc>
                <w:tcPr>
                  <w:tcW w:w="420" w:type="pct"/>
                  <w:vAlign w:val="center"/>
                </w:tcPr>
                <w:p w14:paraId="2782F5D6">
                  <w:pPr>
                    <w:adjustRightInd w:val="0"/>
                    <w:snapToGrid w:val="0"/>
                    <w:jc w:val="center"/>
                    <w:rPr>
                      <w:rFonts w:eastAsia="仿宋_GB2312"/>
                      <w:kern w:val="0"/>
                      <w:sz w:val="21"/>
                      <w:szCs w:val="21"/>
                    </w:rPr>
                  </w:pPr>
                  <w:r>
                    <w:rPr>
                      <w:rFonts w:eastAsia="仿宋_GB2312"/>
                      <w:kern w:val="0"/>
                      <w:sz w:val="21"/>
                      <w:szCs w:val="21"/>
                    </w:rPr>
                    <w:t>5.1e）</w:t>
                  </w:r>
                </w:p>
              </w:tc>
            </w:tr>
            <w:tr w14:paraId="1457DA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13" w:type="pct"/>
                  <w:vAlign w:val="center"/>
                </w:tcPr>
                <w:p w14:paraId="243A4F18">
                  <w:pPr>
                    <w:pStyle w:val="56"/>
                    <w:numPr>
                      <w:ilvl w:val="0"/>
                      <w:numId w:val="5"/>
                    </w:numPr>
                    <w:spacing w:beforeLines="0" w:afterLines="0" w:line="240" w:lineRule="auto"/>
                    <w:rPr>
                      <w:rFonts w:ascii="Times New Roman" w:eastAsia="仿宋_GB2312"/>
                      <w:sz w:val="21"/>
                      <w:szCs w:val="21"/>
                    </w:rPr>
                  </w:pPr>
                </w:p>
              </w:tc>
              <w:tc>
                <w:tcPr>
                  <w:tcW w:w="787" w:type="pct"/>
                  <w:vAlign w:val="center"/>
                </w:tcPr>
                <w:p w14:paraId="47D964FB">
                  <w:pPr>
                    <w:adjustRightInd w:val="0"/>
                    <w:snapToGrid w:val="0"/>
                    <w:jc w:val="center"/>
                    <w:rPr>
                      <w:rFonts w:eastAsia="仿宋_GB2312"/>
                      <w:kern w:val="0"/>
                      <w:sz w:val="21"/>
                      <w:szCs w:val="21"/>
                    </w:rPr>
                  </w:pPr>
                  <w:r>
                    <w:rPr>
                      <w:rFonts w:eastAsia="仿宋_GB2312"/>
                      <w:kern w:val="0"/>
                      <w:sz w:val="21"/>
                      <w:szCs w:val="21"/>
                    </w:rPr>
                    <w:t>废粗过滤器滤芯</w:t>
                  </w:r>
                </w:p>
              </w:tc>
              <w:tc>
                <w:tcPr>
                  <w:tcW w:w="746" w:type="pct"/>
                  <w:vAlign w:val="center"/>
                </w:tcPr>
                <w:p w14:paraId="02F432AF">
                  <w:pPr>
                    <w:adjustRightInd w:val="0"/>
                    <w:snapToGrid w:val="0"/>
                    <w:jc w:val="center"/>
                    <w:rPr>
                      <w:rFonts w:eastAsia="仿宋_GB2312"/>
                      <w:kern w:val="0"/>
                      <w:sz w:val="21"/>
                      <w:szCs w:val="21"/>
                    </w:rPr>
                  </w:pPr>
                  <w:r>
                    <w:rPr>
                      <w:rFonts w:eastAsia="仿宋_GB2312"/>
                      <w:kern w:val="0"/>
                      <w:sz w:val="21"/>
                      <w:szCs w:val="21"/>
                    </w:rPr>
                    <w:t>粗过滤器滤芯更换</w:t>
                  </w:r>
                </w:p>
              </w:tc>
              <w:tc>
                <w:tcPr>
                  <w:tcW w:w="330" w:type="pct"/>
                  <w:vAlign w:val="center"/>
                </w:tcPr>
                <w:p w14:paraId="2B8D6E6D">
                  <w:pPr>
                    <w:adjustRightInd w:val="0"/>
                    <w:snapToGrid w:val="0"/>
                    <w:jc w:val="center"/>
                    <w:rPr>
                      <w:rFonts w:eastAsia="仿宋_GB2312"/>
                      <w:sz w:val="21"/>
                      <w:szCs w:val="21"/>
                    </w:rPr>
                  </w:pPr>
                  <w:r>
                    <w:rPr>
                      <w:rFonts w:eastAsia="仿宋_GB2312"/>
                      <w:sz w:val="21"/>
                      <w:szCs w:val="21"/>
                    </w:rPr>
                    <w:t>固</w:t>
                  </w:r>
                </w:p>
              </w:tc>
              <w:tc>
                <w:tcPr>
                  <w:tcW w:w="759" w:type="pct"/>
                  <w:vAlign w:val="center"/>
                </w:tcPr>
                <w:p w14:paraId="0BA4251A">
                  <w:pPr>
                    <w:adjustRightInd w:val="0"/>
                    <w:snapToGrid w:val="0"/>
                    <w:jc w:val="center"/>
                    <w:rPr>
                      <w:rFonts w:eastAsia="仿宋_GB2312"/>
                      <w:kern w:val="0"/>
                      <w:sz w:val="21"/>
                      <w:szCs w:val="21"/>
                    </w:rPr>
                  </w:pPr>
                  <w:r>
                    <w:rPr>
                      <w:rFonts w:eastAsia="仿宋_GB2312"/>
                      <w:kern w:val="0"/>
                      <w:sz w:val="21"/>
                      <w:szCs w:val="21"/>
                    </w:rPr>
                    <w:t>TA2材质</w:t>
                  </w:r>
                </w:p>
              </w:tc>
              <w:tc>
                <w:tcPr>
                  <w:tcW w:w="595" w:type="pct"/>
                  <w:vAlign w:val="center"/>
                </w:tcPr>
                <w:p w14:paraId="39BC9AC5">
                  <w:pPr>
                    <w:adjustRightInd w:val="0"/>
                    <w:snapToGrid w:val="0"/>
                    <w:jc w:val="center"/>
                    <w:rPr>
                      <w:rFonts w:eastAsia="仿宋_GB2312"/>
                      <w:kern w:val="0"/>
                      <w:sz w:val="21"/>
                      <w:szCs w:val="21"/>
                    </w:rPr>
                  </w:pPr>
                  <w:r>
                    <w:rPr>
                      <w:rFonts w:eastAsia="仿宋_GB2312"/>
                      <w:kern w:val="0"/>
                      <w:sz w:val="21"/>
                      <w:szCs w:val="21"/>
                    </w:rPr>
                    <w:t>0.15</w:t>
                  </w:r>
                </w:p>
              </w:tc>
              <w:tc>
                <w:tcPr>
                  <w:tcW w:w="312" w:type="pct"/>
                  <w:vAlign w:val="center"/>
                </w:tcPr>
                <w:p w14:paraId="36D8558D">
                  <w:pPr>
                    <w:pStyle w:val="56"/>
                    <w:spacing w:before="24" w:after="24"/>
                    <w:rPr>
                      <w:rFonts w:ascii="Times New Roman" w:eastAsia="仿宋_GB2312"/>
                      <w:sz w:val="21"/>
                      <w:szCs w:val="21"/>
                    </w:rPr>
                  </w:pPr>
                  <w:r>
                    <w:rPr>
                      <w:rFonts w:ascii="Times New Roman" w:eastAsia="仿宋_GB2312"/>
                      <w:sz w:val="21"/>
                      <w:szCs w:val="21"/>
                    </w:rPr>
                    <w:t>√</w:t>
                  </w:r>
                </w:p>
              </w:tc>
              <w:tc>
                <w:tcPr>
                  <w:tcW w:w="307" w:type="pct"/>
                  <w:vAlign w:val="center"/>
                </w:tcPr>
                <w:p w14:paraId="48C015FB">
                  <w:pPr>
                    <w:adjustRightInd w:val="0"/>
                    <w:snapToGrid w:val="0"/>
                    <w:jc w:val="center"/>
                    <w:rPr>
                      <w:rFonts w:eastAsia="仿宋_GB2312"/>
                      <w:kern w:val="0"/>
                      <w:sz w:val="21"/>
                      <w:szCs w:val="21"/>
                    </w:rPr>
                  </w:pPr>
                  <w:r>
                    <w:rPr>
                      <w:rFonts w:eastAsia="仿宋_GB2312"/>
                      <w:kern w:val="0"/>
                      <w:sz w:val="21"/>
                      <w:szCs w:val="21"/>
                    </w:rPr>
                    <w:t>/</w:t>
                  </w:r>
                </w:p>
              </w:tc>
              <w:tc>
                <w:tcPr>
                  <w:tcW w:w="426" w:type="pct"/>
                  <w:vAlign w:val="center"/>
                </w:tcPr>
                <w:p w14:paraId="4CD3670E">
                  <w:pPr>
                    <w:adjustRightInd w:val="0"/>
                    <w:snapToGrid w:val="0"/>
                    <w:rPr>
                      <w:rFonts w:eastAsia="仿宋_GB2312"/>
                      <w:sz w:val="21"/>
                      <w:szCs w:val="21"/>
                    </w:rPr>
                  </w:pPr>
                  <w:r>
                    <w:rPr>
                      <w:rFonts w:eastAsia="仿宋_GB2312"/>
                      <w:sz w:val="21"/>
                      <w:szCs w:val="21"/>
                    </w:rPr>
                    <w:t>4.2a）</w:t>
                  </w:r>
                </w:p>
              </w:tc>
              <w:tc>
                <w:tcPr>
                  <w:tcW w:w="420" w:type="pct"/>
                  <w:vAlign w:val="center"/>
                </w:tcPr>
                <w:p w14:paraId="3872D5E3">
                  <w:pPr>
                    <w:adjustRightInd w:val="0"/>
                    <w:snapToGrid w:val="0"/>
                    <w:jc w:val="center"/>
                    <w:rPr>
                      <w:rFonts w:eastAsia="仿宋_GB2312"/>
                      <w:kern w:val="0"/>
                      <w:sz w:val="21"/>
                      <w:szCs w:val="21"/>
                    </w:rPr>
                  </w:pPr>
                  <w:r>
                    <w:rPr>
                      <w:rFonts w:eastAsia="仿宋_GB2312"/>
                      <w:kern w:val="0"/>
                      <w:sz w:val="21"/>
                      <w:szCs w:val="21"/>
                    </w:rPr>
                    <w:t>5.1e）</w:t>
                  </w:r>
                </w:p>
              </w:tc>
            </w:tr>
            <w:tr w14:paraId="229889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13" w:type="pct"/>
                  <w:vAlign w:val="center"/>
                </w:tcPr>
                <w:p w14:paraId="3B2BB6FD">
                  <w:pPr>
                    <w:pStyle w:val="56"/>
                    <w:numPr>
                      <w:ilvl w:val="0"/>
                      <w:numId w:val="5"/>
                    </w:numPr>
                    <w:spacing w:beforeLines="0" w:afterLines="0" w:line="240" w:lineRule="auto"/>
                    <w:rPr>
                      <w:rFonts w:ascii="Times New Roman" w:eastAsia="仿宋_GB2312"/>
                      <w:sz w:val="21"/>
                      <w:szCs w:val="21"/>
                    </w:rPr>
                  </w:pPr>
                </w:p>
              </w:tc>
              <w:tc>
                <w:tcPr>
                  <w:tcW w:w="787" w:type="pct"/>
                  <w:vAlign w:val="center"/>
                </w:tcPr>
                <w:p w14:paraId="6087C881">
                  <w:pPr>
                    <w:adjustRightInd w:val="0"/>
                    <w:snapToGrid w:val="0"/>
                    <w:jc w:val="center"/>
                    <w:rPr>
                      <w:rFonts w:eastAsia="仿宋_GB2312"/>
                      <w:kern w:val="0"/>
                      <w:sz w:val="21"/>
                      <w:szCs w:val="21"/>
                    </w:rPr>
                  </w:pPr>
                  <w:r>
                    <w:rPr>
                      <w:rFonts w:eastAsia="仿宋_GB2312"/>
                      <w:kern w:val="0"/>
                      <w:sz w:val="21"/>
                      <w:szCs w:val="21"/>
                    </w:rPr>
                    <w:t>盐泥</w:t>
                  </w:r>
                </w:p>
              </w:tc>
              <w:tc>
                <w:tcPr>
                  <w:tcW w:w="746" w:type="pct"/>
                  <w:vAlign w:val="center"/>
                </w:tcPr>
                <w:p w14:paraId="37C8A582">
                  <w:pPr>
                    <w:adjustRightInd w:val="0"/>
                    <w:snapToGrid w:val="0"/>
                    <w:jc w:val="center"/>
                    <w:rPr>
                      <w:rFonts w:eastAsia="仿宋_GB2312"/>
                      <w:kern w:val="0"/>
                      <w:sz w:val="21"/>
                      <w:szCs w:val="21"/>
                    </w:rPr>
                  </w:pPr>
                  <w:r>
                    <w:rPr>
                      <w:rFonts w:eastAsia="仿宋_GB2312"/>
                      <w:kern w:val="0"/>
                      <w:sz w:val="21"/>
                      <w:szCs w:val="21"/>
                    </w:rPr>
                    <w:t>平板膜过滤</w:t>
                  </w:r>
                </w:p>
              </w:tc>
              <w:tc>
                <w:tcPr>
                  <w:tcW w:w="330" w:type="pct"/>
                  <w:vAlign w:val="center"/>
                </w:tcPr>
                <w:p w14:paraId="06D88747">
                  <w:pPr>
                    <w:adjustRightInd w:val="0"/>
                    <w:snapToGrid w:val="0"/>
                    <w:jc w:val="center"/>
                    <w:rPr>
                      <w:rFonts w:eastAsia="仿宋_GB2312"/>
                      <w:sz w:val="21"/>
                      <w:szCs w:val="21"/>
                    </w:rPr>
                  </w:pPr>
                  <w:r>
                    <w:rPr>
                      <w:rFonts w:eastAsia="仿宋_GB2312"/>
                      <w:sz w:val="21"/>
                      <w:szCs w:val="21"/>
                    </w:rPr>
                    <w:t>固</w:t>
                  </w:r>
                </w:p>
              </w:tc>
              <w:tc>
                <w:tcPr>
                  <w:tcW w:w="759" w:type="pct"/>
                  <w:vAlign w:val="center"/>
                </w:tcPr>
                <w:p w14:paraId="109169A5">
                  <w:pPr>
                    <w:adjustRightInd w:val="0"/>
                    <w:snapToGrid w:val="0"/>
                    <w:jc w:val="center"/>
                    <w:rPr>
                      <w:rFonts w:eastAsia="仿宋_GB2312"/>
                      <w:kern w:val="0"/>
                      <w:sz w:val="21"/>
                      <w:szCs w:val="21"/>
                    </w:rPr>
                  </w:pPr>
                  <w:r>
                    <w:rPr>
                      <w:rFonts w:eastAsia="仿宋_GB2312"/>
                      <w:kern w:val="0"/>
                      <w:sz w:val="21"/>
                      <w:szCs w:val="21"/>
                    </w:rPr>
                    <w:t>Mg(OH)₂、CaCO₃等</w:t>
                  </w:r>
                </w:p>
              </w:tc>
              <w:tc>
                <w:tcPr>
                  <w:tcW w:w="595" w:type="pct"/>
                  <w:vAlign w:val="center"/>
                </w:tcPr>
                <w:p w14:paraId="1426A2E3">
                  <w:pPr>
                    <w:adjustRightInd w:val="0"/>
                    <w:snapToGrid w:val="0"/>
                    <w:jc w:val="center"/>
                    <w:rPr>
                      <w:rFonts w:eastAsia="仿宋_GB2312"/>
                      <w:kern w:val="0"/>
                      <w:sz w:val="21"/>
                      <w:szCs w:val="21"/>
                    </w:rPr>
                  </w:pPr>
                  <w:r>
                    <w:rPr>
                      <w:rFonts w:eastAsia="仿宋_GB2312"/>
                      <w:kern w:val="0"/>
                      <w:sz w:val="21"/>
                      <w:szCs w:val="21"/>
                    </w:rPr>
                    <w:t>5000</w:t>
                  </w:r>
                </w:p>
              </w:tc>
              <w:tc>
                <w:tcPr>
                  <w:tcW w:w="312" w:type="pct"/>
                  <w:vAlign w:val="center"/>
                </w:tcPr>
                <w:p w14:paraId="54BEDB66">
                  <w:pPr>
                    <w:pStyle w:val="56"/>
                    <w:spacing w:before="24" w:after="24"/>
                    <w:rPr>
                      <w:rFonts w:ascii="Times New Roman" w:eastAsia="仿宋_GB2312"/>
                      <w:sz w:val="21"/>
                      <w:szCs w:val="21"/>
                    </w:rPr>
                  </w:pPr>
                  <w:r>
                    <w:rPr>
                      <w:rFonts w:ascii="Times New Roman" w:eastAsia="仿宋_GB2312"/>
                      <w:sz w:val="21"/>
                      <w:szCs w:val="21"/>
                    </w:rPr>
                    <w:t>√</w:t>
                  </w:r>
                </w:p>
              </w:tc>
              <w:tc>
                <w:tcPr>
                  <w:tcW w:w="307" w:type="pct"/>
                  <w:vAlign w:val="center"/>
                </w:tcPr>
                <w:p w14:paraId="77B67DCC">
                  <w:pPr>
                    <w:adjustRightInd w:val="0"/>
                    <w:snapToGrid w:val="0"/>
                    <w:jc w:val="center"/>
                    <w:rPr>
                      <w:rFonts w:eastAsia="仿宋_GB2312"/>
                      <w:kern w:val="0"/>
                      <w:sz w:val="21"/>
                      <w:szCs w:val="21"/>
                    </w:rPr>
                  </w:pPr>
                  <w:r>
                    <w:rPr>
                      <w:rFonts w:eastAsia="仿宋_GB2312"/>
                      <w:kern w:val="0"/>
                      <w:sz w:val="21"/>
                      <w:szCs w:val="21"/>
                    </w:rPr>
                    <w:t>/</w:t>
                  </w:r>
                </w:p>
              </w:tc>
              <w:tc>
                <w:tcPr>
                  <w:tcW w:w="426" w:type="pct"/>
                  <w:vAlign w:val="center"/>
                </w:tcPr>
                <w:p w14:paraId="422D89D5">
                  <w:pPr>
                    <w:adjustRightInd w:val="0"/>
                    <w:snapToGrid w:val="0"/>
                    <w:rPr>
                      <w:rFonts w:eastAsia="仿宋_GB2312"/>
                      <w:sz w:val="21"/>
                      <w:szCs w:val="21"/>
                    </w:rPr>
                  </w:pPr>
                  <w:r>
                    <w:rPr>
                      <w:rFonts w:eastAsia="仿宋_GB2312"/>
                      <w:sz w:val="21"/>
                      <w:szCs w:val="21"/>
                    </w:rPr>
                    <w:t>4.3e）</w:t>
                  </w:r>
                </w:p>
              </w:tc>
              <w:tc>
                <w:tcPr>
                  <w:tcW w:w="420" w:type="pct"/>
                  <w:vAlign w:val="center"/>
                </w:tcPr>
                <w:p w14:paraId="7B586E5F">
                  <w:pPr>
                    <w:adjustRightInd w:val="0"/>
                    <w:snapToGrid w:val="0"/>
                    <w:jc w:val="center"/>
                    <w:rPr>
                      <w:rFonts w:eastAsia="仿宋_GB2312"/>
                      <w:kern w:val="0"/>
                      <w:sz w:val="21"/>
                      <w:szCs w:val="21"/>
                    </w:rPr>
                  </w:pPr>
                  <w:r>
                    <w:rPr>
                      <w:rFonts w:eastAsia="仿宋_GB2312"/>
                      <w:kern w:val="0"/>
                      <w:sz w:val="21"/>
                      <w:szCs w:val="21"/>
                    </w:rPr>
                    <w:t>5.1e）</w:t>
                  </w:r>
                </w:p>
              </w:tc>
            </w:tr>
            <w:tr w14:paraId="168E63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13" w:type="pct"/>
                  <w:vAlign w:val="center"/>
                </w:tcPr>
                <w:p w14:paraId="05A6DA22">
                  <w:pPr>
                    <w:pStyle w:val="56"/>
                    <w:numPr>
                      <w:ilvl w:val="0"/>
                      <w:numId w:val="5"/>
                    </w:numPr>
                    <w:spacing w:beforeLines="0" w:afterLines="0" w:line="240" w:lineRule="auto"/>
                    <w:rPr>
                      <w:rFonts w:ascii="Times New Roman" w:eastAsia="仿宋_GB2312"/>
                      <w:sz w:val="21"/>
                      <w:szCs w:val="21"/>
                    </w:rPr>
                  </w:pPr>
                </w:p>
              </w:tc>
              <w:tc>
                <w:tcPr>
                  <w:tcW w:w="787" w:type="pct"/>
                  <w:vAlign w:val="center"/>
                </w:tcPr>
                <w:p w14:paraId="08A6FAB3">
                  <w:pPr>
                    <w:adjustRightInd w:val="0"/>
                    <w:snapToGrid w:val="0"/>
                    <w:jc w:val="center"/>
                    <w:rPr>
                      <w:rFonts w:eastAsia="仿宋_GB2312"/>
                      <w:kern w:val="0"/>
                      <w:sz w:val="21"/>
                      <w:szCs w:val="21"/>
                    </w:rPr>
                  </w:pPr>
                  <w:r>
                    <w:rPr>
                      <w:rFonts w:eastAsia="仿宋_GB2312"/>
                      <w:kern w:val="0"/>
                      <w:sz w:val="21"/>
                      <w:szCs w:val="21"/>
                    </w:rPr>
                    <w:t>实验室废液</w:t>
                  </w:r>
                </w:p>
              </w:tc>
              <w:tc>
                <w:tcPr>
                  <w:tcW w:w="746" w:type="pct"/>
                  <w:vAlign w:val="center"/>
                </w:tcPr>
                <w:p w14:paraId="1EF8EFA9">
                  <w:pPr>
                    <w:adjustRightInd w:val="0"/>
                    <w:snapToGrid w:val="0"/>
                    <w:jc w:val="center"/>
                    <w:rPr>
                      <w:rFonts w:eastAsia="仿宋_GB2312"/>
                      <w:kern w:val="0"/>
                      <w:sz w:val="21"/>
                      <w:szCs w:val="21"/>
                    </w:rPr>
                  </w:pPr>
                  <w:r>
                    <w:rPr>
                      <w:rFonts w:eastAsia="仿宋_GB2312"/>
                      <w:kern w:val="0"/>
                      <w:sz w:val="21"/>
                      <w:szCs w:val="21"/>
                    </w:rPr>
                    <w:t>原料及样品检测</w:t>
                  </w:r>
                </w:p>
              </w:tc>
              <w:tc>
                <w:tcPr>
                  <w:tcW w:w="330" w:type="pct"/>
                  <w:vAlign w:val="center"/>
                </w:tcPr>
                <w:p w14:paraId="03AD3200">
                  <w:pPr>
                    <w:adjustRightInd w:val="0"/>
                    <w:snapToGrid w:val="0"/>
                    <w:jc w:val="center"/>
                    <w:rPr>
                      <w:rFonts w:eastAsia="仿宋_GB2312"/>
                      <w:sz w:val="21"/>
                      <w:szCs w:val="21"/>
                    </w:rPr>
                  </w:pPr>
                  <w:r>
                    <w:rPr>
                      <w:rFonts w:eastAsia="仿宋_GB2312"/>
                      <w:sz w:val="21"/>
                      <w:szCs w:val="21"/>
                    </w:rPr>
                    <w:t>液</w:t>
                  </w:r>
                </w:p>
              </w:tc>
              <w:tc>
                <w:tcPr>
                  <w:tcW w:w="759" w:type="pct"/>
                  <w:vAlign w:val="center"/>
                </w:tcPr>
                <w:p w14:paraId="469B0C2F">
                  <w:pPr>
                    <w:adjustRightInd w:val="0"/>
                    <w:snapToGrid w:val="0"/>
                    <w:jc w:val="center"/>
                    <w:rPr>
                      <w:rFonts w:eastAsia="仿宋_GB2312"/>
                      <w:kern w:val="0"/>
                      <w:sz w:val="21"/>
                      <w:szCs w:val="21"/>
                    </w:rPr>
                  </w:pPr>
                  <w:r>
                    <w:rPr>
                      <w:rFonts w:eastAsia="仿宋_GB2312"/>
                      <w:kern w:val="0"/>
                      <w:sz w:val="21"/>
                      <w:szCs w:val="21"/>
                    </w:rPr>
                    <w:t>重金属离子、强酸强碱和有机溶剂等</w:t>
                  </w:r>
                </w:p>
              </w:tc>
              <w:tc>
                <w:tcPr>
                  <w:tcW w:w="595" w:type="pct"/>
                  <w:vAlign w:val="center"/>
                </w:tcPr>
                <w:p w14:paraId="515B1FCD">
                  <w:pPr>
                    <w:adjustRightInd w:val="0"/>
                    <w:snapToGrid w:val="0"/>
                    <w:jc w:val="center"/>
                    <w:rPr>
                      <w:rFonts w:eastAsia="仿宋_GB2312"/>
                      <w:kern w:val="0"/>
                      <w:sz w:val="21"/>
                      <w:szCs w:val="21"/>
                    </w:rPr>
                  </w:pPr>
                  <w:r>
                    <w:rPr>
                      <w:rFonts w:eastAsia="仿宋_GB2312"/>
                      <w:kern w:val="0"/>
                      <w:sz w:val="21"/>
                      <w:szCs w:val="21"/>
                    </w:rPr>
                    <w:t>1.5</w:t>
                  </w:r>
                </w:p>
              </w:tc>
              <w:tc>
                <w:tcPr>
                  <w:tcW w:w="312" w:type="pct"/>
                  <w:vAlign w:val="center"/>
                </w:tcPr>
                <w:p w14:paraId="5FC54755">
                  <w:pPr>
                    <w:pStyle w:val="56"/>
                    <w:spacing w:before="24" w:after="24"/>
                    <w:rPr>
                      <w:rFonts w:ascii="Times New Roman" w:eastAsia="仿宋_GB2312"/>
                      <w:sz w:val="21"/>
                      <w:szCs w:val="21"/>
                    </w:rPr>
                  </w:pPr>
                  <w:r>
                    <w:rPr>
                      <w:rFonts w:ascii="Times New Roman" w:eastAsia="仿宋_GB2312"/>
                      <w:sz w:val="21"/>
                      <w:szCs w:val="21"/>
                    </w:rPr>
                    <w:t>√</w:t>
                  </w:r>
                </w:p>
              </w:tc>
              <w:tc>
                <w:tcPr>
                  <w:tcW w:w="307" w:type="pct"/>
                  <w:vAlign w:val="center"/>
                </w:tcPr>
                <w:p w14:paraId="71225C51">
                  <w:pPr>
                    <w:adjustRightInd w:val="0"/>
                    <w:snapToGrid w:val="0"/>
                    <w:jc w:val="center"/>
                    <w:rPr>
                      <w:rFonts w:eastAsia="仿宋_GB2312"/>
                      <w:kern w:val="0"/>
                      <w:sz w:val="21"/>
                      <w:szCs w:val="21"/>
                    </w:rPr>
                  </w:pPr>
                  <w:r>
                    <w:rPr>
                      <w:rFonts w:eastAsia="仿宋_GB2312"/>
                      <w:kern w:val="0"/>
                      <w:sz w:val="21"/>
                      <w:szCs w:val="21"/>
                    </w:rPr>
                    <w:t>/</w:t>
                  </w:r>
                </w:p>
              </w:tc>
              <w:tc>
                <w:tcPr>
                  <w:tcW w:w="426" w:type="pct"/>
                  <w:vAlign w:val="center"/>
                </w:tcPr>
                <w:p w14:paraId="24EBB6A5">
                  <w:pPr>
                    <w:adjustRightInd w:val="0"/>
                    <w:snapToGrid w:val="0"/>
                    <w:rPr>
                      <w:rFonts w:eastAsia="仿宋_GB2312"/>
                      <w:sz w:val="21"/>
                      <w:szCs w:val="21"/>
                    </w:rPr>
                  </w:pPr>
                  <w:r>
                    <w:rPr>
                      <w:rFonts w:eastAsia="仿宋_GB2312"/>
                      <w:sz w:val="21"/>
                      <w:szCs w:val="21"/>
                    </w:rPr>
                    <w:t>4.4b）</w:t>
                  </w:r>
                </w:p>
              </w:tc>
              <w:tc>
                <w:tcPr>
                  <w:tcW w:w="420" w:type="pct"/>
                  <w:vAlign w:val="center"/>
                </w:tcPr>
                <w:p w14:paraId="1A33594B">
                  <w:pPr>
                    <w:adjustRightInd w:val="0"/>
                    <w:snapToGrid w:val="0"/>
                    <w:jc w:val="center"/>
                    <w:rPr>
                      <w:rFonts w:eastAsia="仿宋_GB2312"/>
                      <w:kern w:val="0"/>
                      <w:sz w:val="21"/>
                      <w:szCs w:val="21"/>
                    </w:rPr>
                  </w:pPr>
                  <w:r>
                    <w:rPr>
                      <w:rFonts w:eastAsia="仿宋_GB2312"/>
                      <w:kern w:val="0"/>
                      <w:sz w:val="21"/>
                      <w:szCs w:val="21"/>
                    </w:rPr>
                    <w:t>5.1e）</w:t>
                  </w:r>
                </w:p>
              </w:tc>
            </w:tr>
          </w:tbl>
          <w:p w14:paraId="7AB7D251">
            <w:pPr>
              <w:pStyle w:val="75"/>
              <w:jc w:val="left"/>
              <w:rPr>
                <w:rFonts w:ascii="Times New Roman" w:hAnsi="Times New Roman" w:eastAsia="仿宋_GB2312"/>
                <w:kern w:val="0"/>
                <w:sz w:val="18"/>
                <w:szCs w:val="18"/>
              </w:rPr>
            </w:pPr>
            <w:r>
              <w:rPr>
                <w:rFonts w:ascii="Times New Roman" w:hAnsi="Times New Roman" w:eastAsia="仿宋_GB2312"/>
                <w:kern w:val="0"/>
                <w:sz w:val="18"/>
                <w:szCs w:val="18"/>
              </w:rPr>
              <w:t>注：上表中①《固体废物鉴别标准  通则》（GB34330-20</w:t>
            </w:r>
            <w:r>
              <w:rPr>
                <w:rFonts w:hint="eastAsia" w:ascii="Times New Roman" w:hAnsi="Times New Roman" w:eastAsia="仿宋_GB2312"/>
                <w:kern w:val="0"/>
                <w:sz w:val="18"/>
                <w:szCs w:val="18"/>
                <w:lang w:val="en-US" w:eastAsia="zh-CN"/>
              </w:rPr>
              <w:t>25</w:t>
            </w:r>
            <w:r>
              <w:rPr>
                <w:rFonts w:ascii="Times New Roman" w:hAnsi="Times New Roman" w:eastAsia="仿宋_GB2312"/>
                <w:kern w:val="0"/>
                <w:sz w:val="18"/>
                <w:szCs w:val="18"/>
              </w:rPr>
              <w:t>）来源鉴别中“4.1h）”表示：因丧失原有功能而无法继续使用的物质；“4.2a）”表示：产品加工和制造过程中产生的下脚料、边角料、残余物质等；“4.2b）”表示：在物质提取、提纯、电解、电积、净化、改性、表面处理以及其他处理过程中产生的残余物质；“4.3e）”表示：水净化和废水处理产生的污泥及其他废弃物质；“4.3n）”表示：在其他环境治理和污染修复过程中产生的各类物质；“4.4b）”表示：国务院环境保护行政主管部门认定为固体废物的物质；②《固体废物鉴别标准  通则》（GB34330-20</w:t>
            </w:r>
            <w:r>
              <w:rPr>
                <w:rFonts w:hint="eastAsia" w:ascii="Times New Roman" w:hAnsi="Times New Roman" w:eastAsia="仿宋_GB2312"/>
                <w:kern w:val="0"/>
                <w:sz w:val="18"/>
                <w:szCs w:val="18"/>
                <w:lang w:val="en-US" w:eastAsia="zh-CN"/>
              </w:rPr>
              <w:t>25</w:t>
            </w:r>
            <w:r>
              <w:rPr>
                <w:rFonts w:ascii="Times New Roman" w:hAnsi="Times New Roman" w:eastAsia="仿宋_GB2312"/>
                <w:kern w:val="0"/>
                <w:sz w:val="18"/>
                <w:szCs w:val="18"/>
              </w:rPr>
              <w:t>）处置鉴别中“5.1c）”表示：填埋处理；“5.1e）”表示：国务院环境保护行政主管部门认定的其他处置方式。</w:t>
            </w:r>
          </w:p>
          <w:p w14:paraId="7785E1DC">
            <w:pPr>
              <w:adjustRightInd w:val="0"/>
              <w:snapToGrid w:val="0"/>
              <w:spacing w:beforeLines="50" w:line="360" w:lineRule="auto"/>
              <w:ind w:firstLine="420" w:firstLineChars="200"/>
              <w:rPr>
                <w:rFonts w:eastAsia="仿宋_GB2312"/>
                <w:kern w:val="0"/>
              </w:rPr>
            </w:pPr>
            <w:r>
              <w:rPr>
                <w:rFonts w:eastAsia="仿宋_GB2312"/>
                <w:kern w:val="0"/>
              </w:rPr>
              <w:t>根据《国家危险废物名录》（2025）、《建设项目危险废物环境影响评价指南》及《固体废物鉴别标准 通则》</w:t>
            </w:r>
            <w:r>
              <w:rPr>
                <w:rFonts w:hint="eastAsia" w:eastAsia="仿宋_GB2312"/>
                <w:kern w:val="0"/>
                <w:lang w:eastAsia="zh-CN"/>
              </w:rPr>
              <w:t>（</w:t>
            </w:r>
            <w:r>
              <w:rPr>
                <w:rFonts w:eastAsia="仿宋_GB2312"/>
                <w:color w:val="000000" w:themeColor="text1"/>
                <w:kern w:val="0"/>
                <w:sz w:val="21"/>
                <w:szCs w:val="21"/>
              </w:rPr>
              <w:t>GB34330-20</w:t>
            </w:r>
            <w:r>
              <w:rPr>
                <w:rFonts w:hint="eastAsia" w:eastAsia="仿宋_GB2312"/>
                <w:color w:val="000000" w:themeColor="text1"/>
                <w:kern w:val="0"/>
                <w:sz w:val="21"/>
                <w:szCs w:val="21"/>
                <w:lang w:val="en-US" w:eastAsia="zh-CN"/>
              </w:rPr>
              <w:t>25</w:t>
            </w:r>
            <w:r>
              <w:rPr>
                <w:rFonts w:hint="eastAsia" w:eastAsia="仿宋_GB2312"/>
                <w:kern w:val="0"/>
                <w:lang w:eastAsia="zh-CN"/>
              </w:rPr>
              <w:t>）</w:t>
            </w:r>
            <w:r>
              <w:rPr>
                <w:rFonts w:eastAsia="仿宋_GB2312"/>
                <w:kern w:val="0"/>
              </w:rPr>
              <w:t>，判定该固体废物是否属于危险废物，需进一步开展危险废物特性鉴别的，列出建议开展危险特性鉴别指标。</w:t>
            </w:r>
          </w:p>
          <w:p w14:paraId="107E97F9">
            <w:pPr>
              <w:adjustRightInd w:val="0"/>
              <w:snapToGrid w:val="0"/>
              <w:spacing w:line="360" w:lineRule="auto"/>
              <w:ind w:firstLine="420" w:firstLineChars="200"/>
              <w:rPr>
                <w:rFonts w:eastAsia="仿宋_GB2312"/>
              </w:rPr>
            </w:pPr>
            <w:r>
              <w:rPr>
                <w:rFonts w:eastAsia="仿宋_GB2312"/>
                <w:kern w:val="0"/>
              </w:rPr>
              <w:t>本项目营运期一般工业固体废物和危险废物分析结果分别见表4-2</w:t>
            </w:r>
            <w:r>
              <w:rPr>
                <w:rFonts w:hint="eastAsia" w:eastAsia="仿宋_GB2312"/>
                <w:kern w:val="0"/>
                <w:lang w:val="en-US" w:eastAsia="zh-CN"/>
              </w:rPr>
              <w:t>9</w:t>
            </w:r>
            <w:r>
              <w:rPr>
                <w:rFonts w:eastAsia="仿宋_GB2312"/>
                <w:kern w:val="0"/>
              </w:rPr>
              <w:t>和表4-</w:t>
            </w:r>
            <w:r>
              <w:rPr>
                <w:rFonts w:hint="eastAsia" w:eastAsia="仿宋_GB2312"/>
                <w:kern w:val="0"/>
                <w:lang w:val="en-US" w:eastAsia="zh-CN"/>
              </w:rPr>
              <w:t>30</w:t>
            </w:r>
            <w:r>
              <w:rPr>
                <w:rFonts w:eastAsia="仿宋_GB2312"/>
                <w:kern w:val="0"/>
              </w:rPr>
              <w:t>，营运期固体废物污染源源强核算结果及相关参数详见表4-</w:t>
            </w:r>
            <w:r>
              <w:rPr>
                <w:rFonts w:hint="eastAsia" w:eastAsia="仿宋_GB2312"/>
                <w:kern w:val="0"/>
                <w:lang w:val="en-US" w:eastAsia="zh-CN"/>
              </w:rPr>
              <w:t>31</w:t>
            </w:r>
            <w:r>
              <w:rPr>
                <w:rFonts w:eastAsia="仿宋_GB2312"/>
                <w:kern w:val="0"/>
              </w:rPr>
              <w:t>。</w:t>
            </w:r>
          </w:p>
          <w:p w14:paraId="5BA6CE14">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eastAsia="仿宋_GB2312"/>
                <w:b/>
                <w:bCs/>
                <w:kern w:val="0"/>
              </w:rPr>
            </w:pPr>
            <w:r>
              <w:rPr>
                <w:rFonts w:eastAsia="仿宋_GB2312"/>
                <w:b/>
                <w:bCs/>
                <w:kern w:val="0"/>
              </w:rPr>
              <w:t>表4-2</w:t>
            </w:r>
            <w:r>
              <w:rPr>
                <w:rFonts w:hint="eastAsia" w:eastAsia="仿宋_GB2312"/>
                <w:b/>
                <w:bCs/>
                <w:kern w:val="0"/>
                <w:lang w:val="en-US" w:eastAsia="zh-CN"/>
              </w:rPr>
              <w:t xml:space="preserve">9  </w:t>
            </w:r>
            <w:r>
              <w:rPr>
                <w:rFonts w:eastAsia="仿宋_GB2312"/>
                <w:b/>
                <w:bCs/>
                <w:kern w:val="0"/>
              </w:rPr>
              <w:t>营运期一般工业固体废物分析结果汇总表</w:t>
            </w:r>
          </w:p>
          <w:tbl>
            <w:tblPr>
              <w:tblStyle w:val="31"/>
              <w:tblW w:w="499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476"/>
              <w:gridCol w:w="941"/>
              <w:gridCol w:w="938"/>
              <w:gridCol w:w="497"/>
              <w:gridCol w:w="941"/>
              <w:gridCol w:w="1938"/>
              <w:gridCol w:w="997"/>
              <w:gridCol w:w="887"/>
              <w:gridCol w:w="876"/>
            </w:tblGrid>
            <w:tr w14:paraId="0A5AF12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280" w:type="pct"/>
                  <w:vAlign w:val="center"/>
                </w:tcPr>
                <w:p w14:paraId="15F607A0">
                  <w:pPr>
                    <w:adjustRightInd w:val="0"/>
                    <w:snapToGrid w:val="0"/>
                    <w:jc w:val="center"/>
                    <w:rPr>
                      <w:rFonts w:eastAsia="仿宋_GB2312"/>
                      <w:b/>
                      <w:color w:val="000000" w:themeColor="text1"/>
                      <w:kern w:val="0"/>
                      <w:sz w:val="21"/>
                      <w:szCs w:val="21"/>
                    </w:rPr>
                  </w:pPr>
                  <w:r>
                    <w:rPr>
                      <w:rFonts w:eastAsia="仿宋_GB2312"/>
                      <w:b/>
                      <w:color w:val="000000" w:themeColor="text1"/>
                      <w:kern w:val="0"/>
                      <w:sz w:val="21"/>
                      <w:szCs w:val="21"/>
                    </w:rPr>
                    <w:t>编号</w:t>
                  </w:r>
                </w:p>
              </w:tc>
              <w:tc>
                <w:tcPr>
                  <w:tcW w:w="554" w:type="pct"/>
                  <w:vAlign w:val="center"/>
                </w:tcPr>
                <w:p w14:paraId="672FF716">
                  <w:pPr>
                    <w:adjustRightInd w:val="0"/>
                    <w:snapToGrid w:val="0"/>
                    <w:jc w:val="center"/>
                    <w:rPr>
                      <w:rFonts w:eastAsia="仿宋_GB2312"/>
                      <w:b/>
                      <w:color w:val="000000" w:themeColor="text1"/>
                      <w:kern w:val="0"/>
                      <w:sz w:val="21"/>
                      <w:szCs w:val="21"/>
                    </w:rPr>
                  </w:pPr>
                  <w:r>
                    <w:rPr>
                      <w:rFonts w:eastAsia="仿宋_GB2312"/>
                      <w:b/>
                      <w:color w:val="000000" w:themeColor="text1"/>
                      <w:kern w:val="0"/>
                      <w:sz w:val="21"/>
                      <w:szCs w:val="21"/>
                    </w:rPr>
                    <w:t>固废名称</w:t>
                  </w:r>
                </w:p>
              </w:tc>
              <w:tc>
                <w:tcPr>
                  <w:tcW w:w="552" w:type="pct"/>
                  <w:vAlign w:val="center"/>
                </w:tcPr>
                <w:p w14:paraId="5E3B723B">
                  <w:pPr>
                    <w:adjustRightInd w:val="0"/>
                    <w:snapToGrid w:val="0"/>
                    <w:jc w:val="center"/>
                    <w:rPr>
                      <w:rFonts w:eastAsia="仿宋_GB2312"/>
                      <w:b/>
                      <w:color w:val="000000" w:themeColor="text1"/>
                      <w:kern w:val="0"/>
                      <w:sz w:val="21"/>
                      <w:szCs w:val="21"/>
                    </w:rPr>
                  </w:pPr>
                  <w:r>
                    <w:rPr>
                      <w:rFonts w:eastAsia="仿宋_GB2312"/>
                      <w:b/>
                      <w:color w:val="000000" w:themeColor="text1"/>
                      <w:kern w:val="0"/>
                      <w:sz w:val="21"/>
                      <w:szCs w:val="21"/>
                    </w:rPr>
                    <w:t>产生工序</w:t>
                  </w:r>
                </w:p>
              </w:tc>
              <w:tc>
                <w:tcPr>
                  <w:tcW w:w="292" w:type="pct"/>
                  <w:vAlign w:val="center"/>
                </w:tcPr>
                <w:p w14:paraId="57106FF1">
                  <w:pPr>
                    <w:adjustRightInd w:val="0"/>
                    <w:snapToGrid w:val="0"/>
                    <w:jc w:val="center"/>
                    <w:rPr>
                      <w:rFonts w:eastAsia="仿宋_GB2312"/>
                      <w:b/>
                      <w:color w:val="000000" w:themeColor="text1"/>
                      <w:kern w:val="0"/>
                      <w:sz w:val="21"/>
                      <w:szCs w:val="21"/>
                    </w:rPr>
                  </w:pPr>
                  <w:r>
                    <w:rPr>
                      <w:rFonts w:eastAsia="仿宋_GB2312"/>
                      <w:b/>
                      <w:color w:val="000000" w:themeColor="text1"/>
                      <w:kern w:val="0"/>
                      <w:sz w:val="21"/>
                      <w:szCs w:val="21"/>
                    </w:rPr>
                    <w:t>形态</w:t>
                  </w:r>
                </w:p>
              </w:tc>
              <w:tc>
                <w:tcPr>
                  <w:tcW w:w="554" w:type="pct"/>
                  <w:vAlign w:val="center"/>
                </w:tcPr>
                <w:p w14:paraId="4AC86F68">
                  <w:pPr>
                    <w:adjustRightInd w:val="0"/>
                    <w:snapToGrid w:val="0"/>
                    <w:jc w:val="center"/>
                    <w:rPr>
                      <w:rFonts w:eastAsia="仿宋_GB2312"/>
                      <w:b/>
                      <w:color w:val="000000" w:themeColor="text1"/>
                      <w:kern w:val="0"/>
                      <w:sz w:val="21"/>
                      <w:szCs w:val="21"/>
                    </w:rPr>
                  </w:pPr>
                  <w:r>
                    <w:rPr>
                      <w:rFonts w:eastAsia="仿宋_GB2312"/>
                      <w:b/>
                      <w:color w:val="000000" w:themeColor="text1"/>
                      <w:kern w:val="0"/>
                      <w:sz w:val="21"/>
                      <w:szCs w:val="21"/>
                    </w:rPr>
                    <w:t>主要成分</w:t>
                  </w:r>
                </w:p>
              </w:tc>
              <w:tc>
                <w:tcPr>
                  <w:tcW w:w="1141" w:type="pct"/>
                  <w:vAlign w:val="center"/>
                </w:tcPr>
                <w:p w14:paraId="439B387C">
                  <w:pPr>
                    <w:adjustRightInd w:val="0"/>
                    <w:snapToGrid w:val="0"/>
                    <w:jc w:val="center"/>
                    <w:rPr>
                      <w:rFonts w:eastAsia="仿宋_GB2312"/>
                      <w:b/>
                      <w:color w:val="000000" w:themeColor="text1"/>
                      <w:kern w:val="0"/>
                      <w:sz w:val="21"/>
                      <w:szCs w:val="21"/>
                    </w:rPr>
                  </w:pPr>
                  <w:r>
                    <w:rPr>
                      <w:rFonts w:eastAsia="仿宋_GB2312"/>
                      <w:b/>
                      <w:color w:val="000000" w:themeColor="text1"/>
                      <w:kern w:val="0"/>
                      <w:sz w:val="21"/>
                      <w:szCs w:val="21"/>
                    </w:rPr>
                    <w:t>危险特性鉴别方法</w:t>
                  </w:r>
                </w:p>
              </w:tc>
              <w:tc>
                <w:tcPr>
                  <w:tcW w:w="587" w:type="pct"/>
                  <w:vAlign w:val="center"/>
                </w:tcPr>
                <w:p w14:paraId="2A60F7F5">
                  <w:pPr>
                    <w:adjustRightInd w:val="0"/>
                    <w:snapToGrid w:val="0"/>
                    <w:jc w:val="center"/>
                    <w:rPr>
                      <w:rFonts w:eastAsia="仿宋_GB2312"/>
                      <w:b/>
                      <w:color w:val="000000" w:themeColor="text1"/>
                      <w:kern w:val="0"/>
                      <w:sz w:val="21"/>
                      <w:szCs w:val="21"/>
                    </w:rPr>
                  </w:pPr>
                  <w:r>
                    <w:rPr>
                      <w:rFonts w:eastAsia="仿宋_GB2312"/>
                      <w:b/>
                      <w:color w:val="000000" w:themeColor="text1"/>
                      <w:kern w:val="0"/>
                      <w:sz w:val="21"/>
                      <w:szCs w:val="21"/>
                    </w:rPr>
                    <w:t>废物</w:t>
                  </w:r>
                </w:p>
                <w:p w14:paraId="52E6CA96">
                  <w:pPr>
                    <w:adjustRightInd w:val="0"/>
                    <w:snapToGrid w:val="0"/>
                    <w:jc w:val="center"/>
                    <w:rPr>
                      <w:rFonts w:eastAsia="仿宋_GB2312"/>
                      <w:b/>
                      <w:color w:val="000000" w:themeColor="text1"/>
                      <w:kern w:val="0"/>
                      <w:sz w:val="21"/>
                      <w:szCs w:val="21"/>
                    </w:rPr>
                  </w:pPr>
                  <w:r>
                    <w:rPr>
                      <w:rFonts w:eastAsia="仿宋_GB2312"/>
                      <w:b/>
                      <w:color w:val="000000" w:themeColor="text1"/>
                      <w:kern w:val="0"/>
                      <w:sz w:val="21"/>
                      <w:szCs w:val="21"/>
                    </w:rPr>
                    <w:t>代码</w:t>
                  </w:r>
                </w:p>
              </w:tc>
              <w:tc>
                <w:tcPr>
                  <w:tcW w:w="522" w:type="pct"/>
                  <w:vAlign w:val="center"/>
                </w:tcPr>
                <w:p w14:paraId="63F97D67">
                  <w:pPr>
                    <w:adjustRightInd w:val="0"/>
                    <w:snapToGrid w:val="0"/>
                    <w:jc w:val="center"/>
                    <w:rPr>
                      <w:rFonts w:eastAsia="仿宋_GB2312"/>
                      <w:b/>
                      <w:color w:val="000000" w:themeColor="text1"/>
                      <w:kern w:val="0"/>
                      <w:sz w:val="21"/>
                      <w:szCs w:val="21"/>
                    </w:rPr>
                  </w:pPr>
                  <w:r>
                    <w:rPr>
                      <w:rFonts w:eastAsia="仿宋_GB2312"/>
                      <w:b/>
                      <w:color w:val="000000" w:themeColor="text1"/>
                      <w:kern w:val="0"/>
                      <w:sz w:val="21"/>
                      <w:szCs w:val="21"/>
                    </w:rPr>
                    <w:t>估算产生量（吨/年）</w:t>
                  </w:r>
                </w:p>
              </w:tc>
              <w:tc>
                <w:tcPr>
                  <w:tcW w:w="515" w:type="pct"/>
                  <w:vAlign w:val="center"/>
                </w:tcPr>
                <w:p w14:paraId="61959D17">
                  <w:pPr>
                    <w:adjustRightInd w:val="0"/>
                    <w:snapToGrid w:val="0"/>
                    <w:jc w:val="center"/>
                    <w:rPr>
                      <w:rFonts w:eastAsia="仿宋_GB2312"/>
                      <w:b/>
                      <w:color w:val="000000" w:themeColor="text1"/>
                      <w:kern w:val="0"/>
                      <w:sz w:val="21"/>
                      <w:szCs w:val="21"/>
                    </w:rPr>
                  </w:pPr>
                  <w:r>
                    <w:rPr>
                      <w:rFonts w:eastAsia="仿宋_GB2312"/>
                      <w:b/>
                      <w:color w:val="000000" w:themeColor="text1"/>
                      <w:kern w:val="0"/>
                      <w:sz w:val="21"/>
                      <w:szCs w:val="21"/>
                    </w:rPr>
                    <w:t>处置方式</w:t>
                  </w:r>
                </w:p>
              </w:tc>
            </w:tr>
            <w:tr w14:paraId="2A84C17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280" w:type="pct"/>
                  <w:vAlign w:val="center"/>
                </w:tcPr>
                <w:p w14:paraId="7307E101">
                  <w:pPr>
                    <w:adjustRightInd w:val="0"/>
                    <w:snapToGrid w:val="0"/>
                    <w:jc w:val="center"/>
                    <w:rPr>
                      <w:rFonts w:eastAsia="仿宋_GB2312"/>
                      <w:color w:val="000000" w:themeColor="text1"/>
                      <w:kern w:val="0"/>
                      <w:sz w:val="21"/>
                      <w:szCs w:val="21"/>
                    </w:rPr>
                  </w:pPr>
                  <w:r>
                    <w:rPr>
                      <w:rFonts w:eastAsia="仿宋_GB2312"/>
                      <w:color w:val="000000" w:themeColor="text1"/>
                      <w:kern w:val="0"/>
                      <w:sz w:val="21"/>
                      <w:szCs w:val="21"/>
                    </w:rPr>
                    <w:t>1</w:t>
                  </w:r>
                </w:p>
              </w:tc>
              <w:tc>
                <w:tcPr>
                  <w:tcW w:w="554" w:type="pct"/>
                  <w:vAlign w:val="center"/>
                </w:tcPr>
                <w:p w14:paraId="05FCC18C">
                  <w:pPr>
                    <w:adjustRightInd w:val="0"/>
                    <w:snapToGrid w:val="0"/>
                    <w:jc w:val="center"/>
                    <w:rPr>
                      <w:rFonts w:eastAsia="仿宋_GB2312"/>
                      <w:color w:val="000000" w:themeColor="text1"/>
                      <w:sz w:val="21"/>
                      <w:szCs w:val="21"/>
                    </w:rPr>
                  </w:pPr>
                  <w:r>
                    <w:rPr>
                      <w:rFonts w:eastAsia="仿宋_GB2312"/>
                      <w:color w:val="000000" w:themeColor="text1"/>
                      <w:sz w:val="21"/>
                      <w:szCs w:val="21"/>
                    </w:rPr>
                    <w:t>平板膜过滤盐泥</w:t>
                  </w:r>
                </w:p>
              </w:tc>
              <w:tc>
                <w:tcPr>
                  <w:tcW w:w="552" w:type="pct"/>
                  <w:vAlign w:val="center"/>
                </w:tcPr>
                <w:p w14:paraId="42A64A5E">
                  <w:pPr>
                    <w:adjustRightInd w:val="0"/>
                    <w:snapToGrid w:val="0"/>
                    <w:jc w:val="center"/>
                    <w:rPr>
                      <w:rFonts w:eastAsia="仿宋_GB2312"/>
                      <w:color w:val="000000" w:themeColor="text1"/>
                      <w:kern w:val="0"/>
                      <w:sz w:val="21"/>
                      <w:szCs w:val="21"/>
                    </w:rPr>
                  </w:pPr>
                  <w:r>
                    <w:rPr>
                      <w:rFonts w:eastAsia="仿宋_GB2312"/>
                      <w:color w:val="000000" w:themeColor="text1"/>
                      <w:kern w:val="0"/>
                      <w:sz w:val="21"/>
                      <w:szCs w:val="21"/>
                    </w:rPr>
                    <w:t>平板膜过滤</w:t>
                  </w:r>
                </w:p>
              </w:tc>
              <w:tc>
                <w:tcPr>
                  <w:tcW w:w="292" w:type="pct"/>
                  <w:vAlign w:val="center"/>
                </w:tcPr>
                <w:p w14:paraId="52D6D364">
                  <w:pPr>
                    <w:adjustRightInd w:val="0"/>
                    <w:snapToGrid w:val="0"/>
                    <w:jc w:val="center"/>
                    <w:rPr>
                      <w:rFonts w:eastAsia="仿宋_GB2312"/>
                      <w:color w:val="000000" w:themeColor="text1"/>
                      <w:sz w:val="21"/>
                      <w:szCs w:val="21"/>
                    </w:rPr>
                  </w:pPr>
                  <w:r>
                    <w:rPr>
                      <w:rFonts w:eastAsia="仿宋_GB2312"/>
                      <w:color w:val="000000" w:themeColor="text1"/>
                      <w:sz w:val="21"/>
                      <w:szCs w:val="21"/>
                    </w:rPr>
                    <w:t>固</w:t>
                  </w:r>
                </w:p>
              </w:tc>
              <w:tc>
                <w:tcPr>
                  <w:tcW w:w="554" w:type="pct"/>
                  <w:vAlign w:val="center"/>
                </w:tcPr>
                <w:p w14:paraId="4FB62941">
                  <w:pPr>
                    <w:widowControl/>
                    <w:adjustRightInd w:val="0"/>
                    <w:snapToGrid w:val="0"/>
                    <w:jc w:val="center"/>
                    <w:textAlignment w:val="center"/>
                    <w:rPr>
                      <w:rFonts w:eastAsia="仿宋_GB2312"/>
                      <w:color w:val="000000" w:themeColor="text1"/>
                      <w:kern w:val="0"/>
                      <w:sz w:val="21"/>
                      <w:szCs w:val="21"/>
                    </w:rPr>
                  </w:pPr>
                  <w:r>
                    <w:rPr>
                      <w:rFonts w:eastAsia="仿宋_GB2312"/>
                      <w:color w:val="000000" w:themeColor="text1"/>
                      <w:kern w:val="0"/>
                      <w:sz w:val="21"/>
                      <w:szCs w:val="21"/>
                    </w:rPr>
                    <w:t>Mg(OH)₂、CaCO₃等</w:t>
                  </w:r>
                </w:p>
              </w:tc>
              <w:tc>
                <w:tcPr>
                  <w:tcW w:w="1141" w:type="pct"/>
                  <w:vMerge w:val="restart"/>
                  <w:vAlign w:val="center"/>
                </w:tcPr>
                <w:p w14:paraId="05019888">
                  <w:pPr>
                    <w:adjustRightInd w:val="0"/>
                    <w:snapToGrid w:val="0"/>
                    <w:jc w:val="center"/>
                    <w:rPr>
                      <w:rFonts w:eastAsia="仿宋_GB2312"/>
                      <w:color w:val="000000" w:themeColor="text1"/>
                      <w:kern w:val="0"/>
                      <w:sz w:val="21"/>
                      <w:szCs w:val="21"/>
                    </w:rPr>
                  </w:pPr>
                  <w:r>
                    <w:rPr>
                      <w:rFonts w:eastAsia="仿宋_GB2312"/>
                      <w:color w:val="000000" w:themeColor="text1"/>
                      <w:kern w:val="0"/>
                      <w:sz w:val="21"/>
                      <w:szCs w:val="21"/>
                    </w:rPr>
                    <w:t>参照《固体废物鉴别标准 通则</w:t>
                  </w:r>
                  <w:r>
                    <w:rPr>
                      <w:rFonts w:hint="eastAsia" w:eastAsia="仿宋_GB2312"/>
                      <w:color w:val="000000" w:themeColor="text1"/>
                      <w:kern w:val="0"/>
                      <w:sz w:val="21"/>
                      <w:szCs w:val="21"/>
                      <w:lang w:eastAsia="zh-CN"/>
                    </w:rPr>
                    <w:t>》</w:t>
                  </w:r>
                  <w:r>
                    <w:rPr>
                      <w:rFonts w:eastAsia="仿宋_GB2312"/>
                      <w:color w:val="000000" w:themeColor="text1"/>
                      <w:kern w:val="0"/>
                      <w:sz w:val="21"/>
                      <w:szCs w:val="21"/>
                    </w:rPr>
                    <w:t>（GB34330-20</w:t>
                  </w:r>
                  <w:r>
                    <w:rPr>
                      <w:rFonts w:hint="eastAsia" w:eastAsia="仿宋_GB2312"/>
                      <w:color w:val="000000" w:themeColor="text1"/>
                      <w:kern w:val="0"/>
                      <w:sz w:val="21"/>
                      <w:szCs w:val="21"/>
                      <w:lang w:val="en-US" w:eastAsia="zh-CN"/>
                    </w:rPr>
                    <w:t>25</w:t>
                  </w:r>
                  <w:r>
                    <w:rPr>
                      <w:rFonts w:eastAsia="仿宋_GB2312"/>
                      <w:color w:val="000000" w:themeColor="text1"/>
                      <w:kern w:val="0"/>
                      <w:sz w:val="21"/>
                      <w:szCs w:val="21"/>
                    </w:rPr>
                    <w:t>）、《国家危险废物名录》（2025）和《一般固体废物分类与代码》（GB/T39198-2020）</w:t>
                  </w:r>
                </w:p>
              </w:tc>
              <w:tc>
                <w:tcPr>
                  <w:tcW w:w="587" w:type="pct"/>
                  <w:vAlign w:val="center"/>
                </w:tcPr>
                <w:p w14:paraId="33F36017">
                  <w:pPr>
                    <w:adjustRightInd w:val="0"/>
                    <w:snapToGrid w:val="0"/>
                    <w:jc w:val="center"/>
                    <w:rPr>
                      <w:rFonts w:eastAsia="仿宋_GB2312"/>
                      <w:color w:val="000000" w:themeColor="text1"/>
                      <w:kern w:val="0"/>
                      <w:sz w:val="21"/>
                      <w:szCs w:val="21"/>
                    </w:rPr>
                  </w:pPr>
                  <w:r>
                    <w:rPr>
                      <w:rFonts w:eastAsia="仿宋_GB2312"/>
                      <w:color w:val="000000" w:themeColor="text1"/>
                      <w:kern w:val="0"/>
                      <w:sz w:val="21"/>
                      <w:szCs w:val="21"/>
                    </w:rPr>
                    <w:t>900-099-S59</w:t>
                  </w:r>
                </w:p>
              </w:tc>
              <w:tc>
                <w:tcPr>
                  <w:tcW w:w="522" w:type="pct"/>
                  <w:vAlign w:val="center"/>
                </w:tcPr>
                <w:p w14:paraId="1A6DFC12">
                  <w:pPr>
                    <w:adjustRightInd w:val="0"/>
                    <w:snapToGrid w:val="0"/>
                    <w:jc w:val="center"/>
                    <w:rPr>
                      <w:rFonts w:eastAsia="仿宋_GB2312"/>
                      <w:color w:val="000000" w:themeColor="text1"/>
                      <w:kern w:val="0"/>
                      <w:sz w:val="21"/>
                      <w:szCs w:val="21"/>
                    </w:rPr>
                  </w:pPr>
                  <w:r>
                    <w:rPr>
                      <w:rFonts w:eastAsia="仿宋_GB2312"/>
                      <w:color w:val="000000" w:themeColor="text1"/>
                      <w:kern w:val="0"/>
                      <w:sz w:val="21"/>
                      <w:szCs w:val="21"/>
                    </w:rPr>
                    <w:t>5000</w:t>
                  </w:r>
                </w:p>
              </w:tc>
              <w:tc>
                <w:tcPr>
                  <w:tcW w:w="515" w:type="pct"/>
                  <w:vAlign w:val="center"/>
                </w:tcPr>
                <w:p w14:paraId="2614789D">
                  <w:pPr>
                    <w:widowControl/>
                    <w:adjustRightInd w:val="0"/>
                    <w:snapToGrid w:val="0"/>
                    <w:jc w:val="center"/>
                    <w:textAlignment w:val="center"/>
                    <w:rPr>
                      <w:rFonts w:hint="default" w:eastAsia="仿宋_GB2312"/>
                      <w:color w:val="000000" w:themeColor="text1"/>
                      <w:sz w:val="21"/>
                      <w:szCs w:val="21"/>
                      <w:lang w:val="en-US"/>
                    </w:rPr>
                  </w:pPr>
                  <w:r>
                    <w:rPr>
                      <w:rFonts w:hint="eastAsia" w:eastAsia="仿宋_GB2312"/>
                      <w:sz w:val="21"/>
                      <w:szCs w:val="21"/>
                      <w:lang w:val="en-US" w:eastAsia="zh-CN"/>
                    </w:rPr>
                    <w:t>回用于生产</w:t>
                  </w:r>
                </w:p>
              </w:tc>
            </w:tr>
            <w:tr w14:paraId="153EAB8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280" w:type="pct"/>
                  <w:vAlign w:val="center"/>
                </w:tcPr>
                <w:p w14:paraId="2C645D84">
                  <w:pPr>
                    <w:adjustRightInd w:val="0"/>
                    <w:snapToGrid w:val="0"/>
                    <w:jc w:val="center"/>
                    <w:rPr>
                      <w:rFonts w:eastAsia="仿宋_GB2312"/>
                      <w:color w:val="000000" w:themeColor="text1"/>
                      <w:kern w:val="0"/>
                      <w:sz w:val="21"/>
                      <w:szCs w:val="21"/>
                    </w:rPr>
                  </w:pPr>
                  <w:r>
                    <w:rPr>
                      <w:rFonts w:eastAsia="仿宋_GB2312"/>
                      <w:color w:val="000000" w:themeColor="text1"/>
                      <w:kern w:val="0"/>
                      <w:sz w:val="21"/>
                      <w:szCs w:val="21"/>
                    </w:rPr>
                    <w:t>2</w:t>
                  </w:r>
                </w:p>
              </w:tc>
              <w:tc>
                <w:tcPr>
                  <w:tcW w:w="554" w:type="pct"/>
                  <w:vAlign w:val="center"/>
                </w:tcPr>
                <w:p w14:paraId="768D6F65">
                  <w:pPr>
                    <w:adjustRightInd w:val="0"/>
                    <w:snapToGrid w:val="0"/>
                    <w:jc w:val="center"/>
                    <w:rPr>
                      <w:rFonts w:eastAsia="仿宋_GB2312"/>
                      <w:color w:val="000000" w:themeColor="text1"/>
                      <w:sz w:val="21"/>
                      <w:szCs w:val="21"/>
                    </w:rPr>
                  </w:pPr>
                  <w:r>
                    <w:rPr>
                      <w:rFonts w:eastAsia="仿宋_GB2312"/>
                      <w:color w:val="000000" w:themeColor="text1"/>
                      <w:sz w:val="21"/>
                      <w:szCs w:val="21"/>
                    </w:rPr>
                    <w:t>废保安过滤器滤芯</w:t>
                  </w:r>
                </w:p>
              </w:tc>
              <w:tc>
                <w:tcPr>
                  <w:tcW w:w="552" w:type="pct"/>
                  <w:vAlign w:val="center"/>
                </w:tcPr>
                <w:p w14:paraId="7D65C65B">
                  <w:pPr>
                    <w:adjustRightInd w:val="0"/>
                    <w:snapToGrid w:val="0"/>
                    <w:jc w:val="center"/>
                    <w:rPr>
                      <w:rFonts w:eastAsia="仿宋_GB2312"/>
                      <w:color w:val="000000" w:themeColor="text1"/>
                      <w:kern w:val="0"/>
                      <w:sz w:val="21"/>
                      <w:szCs w:val="21"/>
                    </w:rPr>
                  </w:pPr>
                  <w:r>
                    <w:rPr>
                      <w:rFonts w:eastAsia="仿宋_GB2312"/>
                      <w:color w:val="000000" w:themeColor="text1"/>
                      <w:kern w:val="0"/>
                      <w:sz w:val="21"/>
                      <w:szCs w:val="21"/>
                    </w:rPr>
                    <w:t>保安过滤器滤芯更换</w:t>
                  </w:r>
                </w:p>
              </w:tc>
              <w:tc>
                <w:tcPr>
                  <w:tcW w:w="292" w:type="pct"/>
                  <w:vAlign w:val="center"/>
                </w:tcPr>
                <w:p w14:paraId="765739BB">
                  <w:pPr>
                    <w:adjustRightInd w:val="0"/>
                    <w:snapToGrid w:val="0"/>
                    <w:jc w:val="center"/>
                    <w:rPr>
                      <w:rFonts w:eastAsia="仿宋_GB2312"/>
                      <w:color w:val="000000" w:themeColor="text1"/>
                      <w:sz w:val="21"/>
                      <w:szCs w:val="21"/>
                    </w:rPr>
                  </w:pPr>
                  <w:r>
                    <w:rPr>
                      <w:rFonts w:eastAsia="仿宋_GB2312"/>
                      <w:color w:val="000000" w:themeColor="text1"/>
                      <w:sz w:val="21"/>
                      <w:szCs w:val="21"/>
                    </w:rPr>
                    <w:t>固</w:t>
                  </w:r>
                </w:p>
              </w:tc>
              <w:tc>
                <w:tcPr>
                  <w:tcW w:w="554" w:type="pct"/>
                  <w:vAlign w:val="center"/>
                </w:tcPr>
                <w:p w14:paraId="41B3F89C">
                  <w:pPr>
                    <w:widowControl/>
                    <w:adjustRightInd w:val="0"/>
                    <w:snapToGrid w:val="0"/>
                    <w:jc w:val="center"/>
                    <w:textAlignment w:val="center"/>
                    <w:rPr>
                      <w:rFonts w:eastAsia="仿宋_GB2312"/>
                      <w:color w:val="000000" w:themeColor="text1"/>
                      <w:kern w:val="0"/>
                      <w:sz w:val="21"/>
                      <w:szCs w:val="21"/>
                    </w:rPr>
                  </w:pPr>
                  <w:r>
                    <w:rPr>
                      <w:rFonts w:eastAsia="仿宋_GB2312"/>
                      <w:color w:val="000000" w:themeColor="text1"/>
                      <w:kern w:val="0"/>
                      <w:sz w:val="21"/>
                      <w:szCs w:val="21"/>
                    </w:rPr>
                    <w:t>PP材质</w:t>
                  </w:r>
                </w:p>
              </w:tc>
              <w:tc>
                <w:tcPr>
                  <w:tcW w:w="1141" w:type="pct"/>
                  <w:vMerge w:val="continue"/>
                  <w:vAlign w:val="center"/>
                </w:tcPr>
                <w:p w14:paraId="76FE5D6C">
                  <w:pPr>
                    <w:adjustRightInd w:val="0"/>
                    <w:snapToGrid w:val="0"/>
                    <w:jc w:val="center"/>
                    <w:rPr>
                      <w:rFonts w:eastAsia="仿宋_GB2312"/>
                      <w:color w:val="000000" w:themeColor="text1"/>
                      <w:kern w:val="0"/>
                      <w:sz w:val="21"/>
                      <w:szCs w:val="21"/>
                    </w:rPr>
                  </w:pPr>
                </w:p>
              </w:tc>
              <w:tc>
                <w:tcPr>
                  <w:tcW w:w="587" w:type="pct"/>
                  <w:vAlign w:val="center"/>
                </w:tcPr>
                <w:p w14:paraId="03A118E1">
                  <w:pPr>
                    <w:adjustRightInd w:val="0"/>
                    <w:snapToGrid w:val="0"/>
                    <w:jc w:val="center"/>
                    <w:rPr>
                      <w:rFonts w:eastAsia="仿宋_GB2312"/>
                      <w:color w:val="000000" w:themeColor="text1"/>
                      <w:kern w:val="0"/>
                      <w:sz w:val="21"/>
                      <w:szCs w:val="21"/>
                    </w:rPr>
                  </w:pPr>
                  <w:r>
                    <w:rPr>
                      <w:rFonts w:eastAsia="仿宋_GB2312"/>
                      <w:color w:val="000000" w:themeColor="text1"/>
                      <w:kern w:val="0"/>
                      <w:sz w:val="21"/>
                      <w:szCs w:val="21"/>
                    </w:rPr>
                    <w:t>900-099-S59</w:t>
                  </w:r>
                </w:p>
              </w:tc>
              <w:tc>
                <w:tcPr>
                  <w:tcW w:w="522" w:type="pct"/>
                  <w:vAlign w:val="center"/>
                </w:tcPr>
                <w:p w14:paraId="0B14F976">
                  <w:pPr>
                    <w:adjustRightInd w:val="0"/>
                    <w:snapToGrid w:val="0"/>
                    <w:jc w:val="center"/>
                    <w:rPr>
                      <w:rFonts w:hint="default" w:eastAsia="仿宋_GB2312"/>
                      <w:color w:val="000000" w:themeColor="text1"/>
                      <w:kern w:val="0"/>
                      <w:sz w:val="21"/>
                      <w:szCs w:val="21"/>
                      <w:lang w:val="en-US" w:eastAsia="zh-CN"/>
                    </w:rPr>
                  </w:pPr>
                  <w:r>
                    <w:rPr>
                      <w:rFonts w:hint="eastAsia" w:eastAsia="仿宋_GB2312"/>
                      <w:color w:val="000000" w:themeColor="text1"/>
                      <w:kern w:val="0"/>
                      <w:sz w:val="21"/>
                      <w:szCs w:val="21"/>
                      <w:lang w:val="en-US" w:eastAsia="zh-CN"/>
                    </w:rPr>
                    <w:t>3.05</w:t>
                  </w:r>
                </w:p>
              </w:tc>
              <w:tc>
                <w:tcPr>
                  <w:tcW w:w="515" w:type="pct"/>
                  <w:vAlign w:val="center"/>
                </w:tcPr>
                <w:p w14:paraId="3F71EC04">
                  <w:pPr>
                    <w:widowControl/>
                    <w:adjustRightInd w:val="0"/>
                    <w:snapToGrid w:val="0"/>
                    <w:jc w:val="center"/>
                    <w:textAlignment w:val="center"/>
                    <w:rPr>
                      <w:rFonts w:eastAsia="仿宋_GB2312"/>
                      <w:color w:val="000000" w:themeColor="text1"/>
                      <w:sz w:val="21"/>
                      <w:szCs w:val="21"/>
                    </w:rPr>
                  </w:pPr>
                  <w:r>
                    <w:rPr>
                      <w:rFonts w:eastAsia="仿宋_GB2312"/>
                      <w:color w:val="000000" w:themeColor="text1"/>
                      <w:sz w:val="21"/>
                      <w:szCs w:val="21"/>
                    </w:rPr>
                    <w:t>厂家回收</w:t>
                  </w:r>
                </w:p>
              </w:tc>
            </w:tr>
            <w:tr w14:paraId="2608E55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280" w:type="pct"/>
                  <w:vAlign w:val="center"/>
                </w:tcPr>
                <w:p w14:paraId="73EC8B01">
                  <w:pPr>
                    <w:adjustRightInd w:val="0"/>
                    <w:snapToGrid w:val="0"/>
                    <w:jc w:val="center"/>
                    <w:rPr>
                      <w:rFonts w:eastAsia="仿宋_GB2312"/>
                      <w:color w:val="000000" w:themeColor="text1"/>
                      <w:kern w:val="0"/>
                      <w:sz w:val="21"/>
                      <w:szCs w:val="21"/>
                    </w:rPr>
                  </w:pPr>
                  <w:r>
                    <w:rPr>
                      <w:rFonts w:eastAsia="仿宋_GB2312"/>
                      <w:color w:val="000000" w:themeColor="text1"/>
                      <w:kern w:val="0"/>
                      <w:sz w:val="21"/>
                      <w:szCs w:val="21"/>
                    </w:rPr>
                    <w:t>3</w:t>
                  </w:r>
                </w:p>
              </w:tc>
              <w:tc>
                <w:tcPr>
                  <w:tcW w:w="554" w:type="pct"/>
                  <w:vAlign w:val="center"/>
                </w:tcPr>
                <w:p w14:paraId="1D4337C1">
                  <w:pPr>
                    <w:adjustRightInd w:val="0"/>
                    <w:snapToGrid w:val="0"/>
                    <w:jc w:val="center"/>
                    <w:rPr>
                      <w:rFonts w:eastAsia="仿宋_GB2312"/>
                      <w:color w:val="000000" w:themeColor="text1"/>
                      <w:sz w:val="21"/>
                      <w:szCs w:val="21"/>
                    </w:rPr>
                  </w:pPr>
                  <w:r>
                    <w:rPr>
                      <w:rFonts w:eastAsia="仿宋_GB2312"/>
                      <w:color w:val="000000" w:themeColor="text1"/>
                      <w:sz w:val="21"/>
                      <w:szCs w:val="21"/>
                    </w:rPr>
                    <w:t>废粗过滤器滤芯</w:t>
                  </w:r>
                </w:p>
              </w:tc>
              <w:tc>
                <w:tcPr>
                  <w:tcW w:w="552" w:type="pct"/>
                  <w:vAlign w:val="center"/>
                </w:tcPr>
                <w:p w14:paraId="5F42A9DC">
                  <w:pPr>
                    <w:adjustRightInd w:val="0"/>
                    <w:snapToGrid w:val="0"/>
                    <w:jc w:val="center"/>
                    <w:rPr>
                      <w:rFonts w:eastAsia="仿宋_GB2312"/>
                      <w:color w:val="000000" w:themeColor="text1"/>
                      <w:kern w:val="0"/>
                      <w:sz w:val="21"/>
                      <w:szCs w:val="21"/>
                    </w:rPr>
                  </w:pPr>
                  <w:r>
                    <w:rPr>
                      <w:rFonts w:eastAsia="仿宋_GB2312"/>
                      <w:color w:val="000000" w:themeColor="text1"/>
                      <w:kern w:val="0"/>
                      <w:sz w:val="21"/>
                      <w:szCs w:val="21"/>
                    </w:rPr>
                    <w:t>粗过</w:t>
                  </w:r>
                </w:p>
                <w:p w14:paraId="20EFCCE9">
                  <w:pPr>
                    <w:adjustRightInd w:val="0"/>
                    <w:snapToGrid w:val="0"/>
                    <w:jc w:val="center"/>
                    <w:rPr>
                      <w:rFonts w:eastAsia="仿宋_GB2312"/>
                      <w:color w:val="000000" w:themeColor="text1"/>
                      <w:kern w:val="0"/>
                      <w:sz w:val="21"/>
                      <w:szCs w:val="21"/>
                    </w:rPr>
                  </w:pPr>
                  <w:r>
                    <w:rPr>
                      <w:rFonts w:eastAsia="仿宋_GB2312"/>
                      <w:color w:val="000000" w:themeColor="text1"/>
                      <w:kern w:val="0"/>
                      <w:sz w:val="21"/>
                      <w:szCs w:val="21"/>
                    </w:rPr>
                    <w:t>滤器滤芯更换</w:t>
                  </w:r>
                </w:p>
              </w:tc>
              <w:tc>
                <w:tcPr>
                  <w:tcW w:w="292" w:type="pct"/>
                  <w:vAlign w:val="center"/>
                </w:tcPr>
                <w:p w14:paraId="46FBAA0B">
                  <w:pPr>
                    <w:adjustRightInd w:val="0"/>
                    <w:snapToGrid w:val="0"/>
                    <w:jc w:val="center"/>
                    <w:rPr>
                      <w:rFonts w:eastAsia="仿宋_GB2312"/>
                      <w:color w:val="000000" w:themeColor="text1"/>
                      <w:sz w:val="21"/>
                      <w:szCs w:val="21"/>
                    </w:rPr>
                  </w:pPr>
                  <w:r>
                    <w:rPr>
                      <w:rFonts w:eastAsia="仿宋_GB2312"/>
                      <w:color w:val="000000" w:themeColor="text1"/>
                      <w:sz w:val="21"/>
                      <w:szCs w:val="21"/>
                    </w:rPr>
                    <w:t>固</w:t>
                  </w:r>
                </w:p>
              </w:tc>
              <w:tc>
                <w:tcPr>
                  <w:tcW w:w="554" w:type="pct"/>
                  <w:vAlign w:val="center"/>
                </w:tcPr>
                <w:p w14:paraId="7749692D">
                  <w:pPr>
                    <w:widowControl/>
                    <w:adjustRightInd w:val="0"/>
                    <w:snapToGrid w:val="0"/>
                    <w:jc w:val="center"/>
                    <w:textAlignment w:val="center"/>
                    <w:rPr>
                      <w:rFonts w:eastAsia="仿宋_GB2312"/>
                      <w:color w:val="000000" w:themeColor="text1"/>
                      <w:kern w:val="0"/>
                      <w:sz w:val="21"/>
                      <w:szCs w:val="21"/>
                    </w:rPr>
                  </w:pPr>
                  <w:r>
                    <w:rPr>
                      <w:rFonts w:eastAsia="仿宋_GB2312"/>
                      <w:color w:val="000000" w:themeColor="text1"/>
                      <w:kern w:val="0"/>
                      <w:sz w:val="21"/>
                      <w:szCs w:val="21"/>
                    </w:rPr>
                    <w:t>TA2材质</w:t>
                  </w:r>
                </w:p>
              </w:tc>
              <w:tc>
                <w:tcPr>
                  <w:tcW w:w="1141" w:type="pct"/>
                  <w:vMerge w:val="continue"/>
                  <w:vAlign w:val="center"/>
                </w:tcPr>
                <w:p w14:paraId="72F2EA23">
                  <w:pPr>
                    <w:adjustRightInd w:val="0"/>
                    <w:snapToGrid w:val="0"/>
                    <w:jc w:val="center"/>
                    <w:rPr>
                      <w:rFonts w:eastAsia="仿宋_GB2312"/>
                      <w:color w:val="000000" w:themeColor="text1"/>
                      <w:kern w:val="0"/>
                      <w:sz w:val="21"/>
                      <w:szCs w:val="21"/>
                    </w:rPr>
                  </w:pPr>
                </w:p>
              </w:tc>
              <w:tc>
                <w:tcPr>
                  <w:tcW w:w="587" w:type="pct"/>
                  <w:vAlign w:val="center"/>
                </w:tcPr>
                <w:p w14:paraId="4CDFB8F2">
                  <w:pPr>
                    <w:adjustRightInd w:val="0"/>
                    <w:snapToGrid w:val="0"/>
                    <w:jc w:val="center"/>
                    <w:rPr>
                      <w:rFonts w:eastAsia="仿宋_GB2312"/>
                      <w:color w:val="000000" w:themeColor="text1"/>
                      <w:kern w:val="0"/>
                      <w:sz w:val="21"/>
                      <w:szCs w:val="21"/>
                    </w:rPr>
                  </w:pPr>
                  <w:r>
                    <w:rPr>
                      <w:rFonts w:eastAsia="仿宋_GB2312"/>
                      <w:color w:val="000000" w:themeColor="text1"/>
                      <w:kern w:val="0"/>
                      <w:sz w:val="21"/>
                      <w:szCs w:val="21"/>
                    </w:rPr>
                    <w:t>900-099-S59</w:t>
                  </w:r>
                </w:p>
              </w:tc>
              <w:tc>
                <w:tcPr>
                  <w:tcW w:w="522" w:type="pct"/>
                  <w:vAlign w:val="center"/>
                </w:tcPr>
                <w:p w14:paraId="60D1AFE4">
                  <w:pPr>
                    <w:adjustRightInd w:val="0"/>
                    <w:snapToGrid w:val="0"/>
                    <w:jc w:val="center"/>
                    <w:rPr>
                      <w:rFonts w:eastAsia="仿宋_GB2312"/>
                      <w:color w:val="000000" w:themeColor="text1"/>
                      <w:kern w:val="0"/>
                      <w:sz w:val="21"/>
                      <w:szCs w:val="21"/>
                    </w:rPr>
                  </w:pPr>
                  <w:r>
                    <w:rPr>
                      <w:rFonts w:eastAsia="仿宋_GB2312"/>
                      <w:color w:val="000000" w:themeColor="text1"/>
                      <w:kern w:val="0"/>
                      <w:sz w:val="21"/>
                      <w:szCs w:val="21"/>
                    </w:rPr>
                    <w:t>0.15</w:t>
                  </w:r>
                </w:p>
              </w:tc>
              <w:tc>
                <w:tcPr>
                  <w:tcW w:w="515" w:type="pct"/>
                  <w:vAlign w:val="center"/>
                </w:tcPr>
                <w:p w14:paraId="75883F40">
                  <w:pPr>
                    <w:widowControl/>
                    <w:adjustRightInd w:val="0"/>
                    <w:snapToGrid w:val="0"/>
                    <w:jc w:val="center"/>
                    <w:textAlignment w:val="center"/>
                    <w:rPr>
                      <w:rFonts w:eastAsia="仿宋_GB2312"/>
                      <w:color w:val="000000" w:themeColor="text1"/>
                      <w:sz w:val="21"/>
                      <w:szCs w:val="21"/>
                    </w:rPr>
                  </w:pPr>
                  <w:r>
                    <w:rPr>
                      <w:rFonts w:eastAsia="仿宋_GB2312"/>
                      <w:color w:val="000000" w:themeColor="text1"/>
                      <w:sz w:val="21"/>
                      <w:szCs w:val="21"/>
                    </w:rPr>
                    <w:t>厂家回收</w:t>
                  </w:r>
                </w:p>
              </w:tc>
            </w:tr>
            <w:tr w14:paraId="631E35B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280" w:type="pct"/>
                  <w:vAlign w:val="center"/>
                </w:tcPr>
                <w:p w14:paraId="5F86168E">
                  <w:pPr>
                    <w:adjustRightInd w:val="0"/>
                    <w:snapToGrid w:val="0"/>
                    <w:jc w:val="center"/>
                    <w:rPr>
                      <w:rFonts w:eastAsia="仿宋_GB2312"/>
                      <w:color w:val="000000" w:themeColor="text1"/>
                      <w:kern w:val="0"/>
                      <w:sz w:val="21"/>
                      <w:szCs w:val="21"/>
                    </w:rPr>
                  </w:pPr>
                  <w:r>
                    <w:rPr>
                      <w:rFonts w:eastAsia="仿宋_GB2312"/>
                      <w:color w:val="000000" w:themeColor="text1"/>
                      <w:kern w:val="0"/>
                      <w:sz w:val="21"/>
                      <w:szCs w:val="21"/>
                    </w:rPr>
                    <w:t>4</w:t>
                  </w:r>
                </w:p>
              </w:tc>
              <w:tc>
                <w:tcPr>
                  <w:tcW w:w="554" w:type="pct"/>
                  <w:vAlign w:val="center"/>
                </w:tcPr>
                <w:p w14:paraId="61D83566">
                  <w:pPr>
                    <w:adjustRightInd w:val="0"/>
                    <w:snapToGrid w:val="0"/>
                    <w:jc w:val="center"/>
                    <w:rPr>
                      <w:rFonts w:eastAsia="仿宋_GB2312"/>
                      <w:color w:val="000000" w:themeColor="text1"/>
                      <w:sz w:val="21"/>
                      <w:szCs w:val="21"/>
                    </w:rPr>
                  </w:pPr>
                  <w:r>
                    <w:rPr>
                      <w:rFonts w:eastAsia="仿宋_GB2312"/>
                      <w:color w:val="000000" w:themeColor="text1"/>
                      <w:sz w:val="21"/>
                      <w:szCs w:val="21"/>
                    </w:rPr>
                    <w:t>废活性炭</w:t>
                  </w:r>
                </w:p>
              </w:tc>
              <w:tc>
                <w:tcPr>
                  <w:tcW w:w="552" w:type="pct"/>
                  <w:vAlign w:val="center"/>
                </w:tcPr>
                <w:p w14:paraId="7745A6F8">
                  <w:pPr>
                    <w:adjustRightInd w:val="0"/>
                    <w:snapToGrid w:val="0"/>
                    <w:jc w:val="center"/>
                    <w:rPr>
                      <w:rFonts w:eastAsia="仿宋_GB2312"/>
                      <w:color w:val="000000" w:themeColor="text1"/>
                      <w:kern w:val="0"/>
                      <w:sz w:val="21"/>
                      <w:szCs w:val="21"/>
                    </w:rPr>
                  </w:pPr>
                  <w:r>
                    <w:rPr>
                      <w:rFonts w:eastAsia="仿宋_GB2312"/>
                      <w:color w:val="000000" w:themeColor="text1"/>
                      <w:kern w:val="0"/>
                      <w:sz w:val="21"/>
                      <w:szCs w:val="21"/>
                    </w:rPr>
                    <w:t>活性炭塔活性炭更换</w:t>
                  </w:r>
                </w:p>
              </w:tc>
              <w:tc>
                <w:tcPr>
                  <w:tcW w:w="292" w:type="pct"/>
                  <w:vAlign w:val="center"/>
                </w:tcPr>
                <w:p w14:paraId="071EFC68">
                  <w:pPr>
                    <w:adjustRightInd w:val="0"/>
                    <w:snapToGrid w:val="0"/>
                    <w:jc w:val="center"/>
                    <w:rPr>
                      <w:rFonts w:eastAsia="仿宋_GB2312"/>
                      <w:color w:val="000000" w:themeColor="text1"/>
                      <w:sz w:val="21"/>
                      <w:szCs w:val="21"/>
                    </w:rPr>
                  </w:pPr>
                  <w:r>
                    <w:rPr>
                      <w:rFonts w:eastAsia="仿宋_GB2312"/>
                      <w:color w:val="000000" w:themeColor="text1"/>
                      <w:sz w:val="21"/>
                      <w:szCs w:val="21"/>
                    </w:rPr>
                    <w:t>固</w:t>
                  </w:r>
                </w:p>
              </w:tc>
              <w:tc>
                <w:tcPr>
                  <w:tcW w:w="554" w:type="pct"/>
                  <w:vAlign w:val="center"/>
                </w:tcPr>
                <w:p w14:paraId="44B6F6CB">
                  <w:pPr>
                    <w:widowControl/>
                    <w:adjustRightInd w:val="0"/>
                    <w:snapToGrid w:val="0"/>
                    <w:jc w:val="center"/>
                    <w:textAlignment w:val="center"/>
                    <w:rPr>
                      <w:rFonts w:eastAsia="仿宋_GB2312"/>
                      <w:color w:val="000000" w:themeColor="text1"/>
                      <w:kern w:val="0"/>
                      <w:sz w:val="21"/>
                      <w:szCs w:val="21"/>
                    </w:rPr>
                  </w:pPr>
                  <w:r>
                    <w:rPr>
                      <w:rFonts w:eastAsia="仿宋_GB2312"/>
                      <w:color w:val="000000" w:themeColor="text1"/>
                      <w:kern w:val="0"/>
                      <w:sz w:val="21"/>
                      <w:szCs w:val="21"/>
                    </w:rPr>
                    <w:t>活性炭</w:t>
                  </w:r>
                </w:p>
              </w:tc>
              <w:tc>
                <w:tcPr>
                  <w:tcW w:w="1141" w:type="pct"/>
                  <w:vMerge w:val="continue"/>
                  <w:vAlign w:val="center"/>
                </w:tcPr>
                <w:p w14:paraId="102F22E6">
                  <w:pPr>
                    <w:adjustRightInd w:val="0"/>
                    <w:snapToGrid w:val="0"/>
                    <w:jc w:val="center"/>
                    <w:rPr>
                      <w:rFonts w:eastAsia="仿宋_GB2312"/>
                      <w:color w:val="000000" w:themeColor="text1"/>
                      <w:kern w:val="0"/>
                      <w:sz w:val="21"/>
                      <w:szCs w:val="21"/>
                    </w:rPr>
                  </w:pPr>
                </w:p>
              </w:tc>
              <w:tc>
                <w:tcPr>
                  <w:tcW w:w="587" w:type="pct"/>
                  <w:vAlign w:val="center"/>
                </w:tcPr>
                <w:p w14:paraId="2F9709DD">
                  <w:pPr>
                    <w:adjustRightInd w:val="0"/>
                    <w:snapToGrid w:val="0"/>
                    <w:jc w:val="center"/>
                    <w:rPr>
                      <w:rFonts w:eastAsia="仿宋_GB2312"/>
                      <w:color w:val="000000" w:themeColor="text1"/>
                      <w:kern w:val="0"/>
                      <w:sz w:val="21"/>
                      <w:szCs w:val="21"/>
                    </w:rPr>
                  </w:pPr>
                  <w:r>
                    <w:rPr>
                      <w:rFonts w:eastAsia="仿宋_GB2312"/>
                      <w:color w:val="000000" w:themeColor="text1"/>
                      <w:kern w:val="0"/>
                      <w:sz w:val="21"/>
                      <w:szCs w:val="21"/>
                    </w:rPr>
                    <w:t>900-008-S59</w:t>
                  </w:r>
                </w:p>
              </w:tc>
              <w:tc>
                <w:tcPr>
                  <w:tcW w:w="522" w:type="pct"/>
                  <w:vAlign w:val="center"/>
                </w:tcPr>
                <w:p w14:paraId="0578A954">
                  <w:pPr>
                    <w:adjustRightInd w:val="0"/>
                    <w:snapToGrid w:val="0"/>
                    <w:jc w:val="center"/>
                    <w:rPr>
                      <w:rFonts w:eastAsia="仿宋_GB2312"/>
                      <w:color w:val="000000" w:themeColor="text1"/>
                      <w:kern w:val="0"/>
                      <w:sz w:val="21"/>
                      <w:szCs w:val="21"/>
                    </w:rPr>
                  </w:pPr>
                  <w:r>
                    <w:rPr>
                      <w:rFonts w:eastAsia="仿宋_GB2312"/>
                      <w:color w:val="000000" w:themeColor="text1"/>
                      <w:kern w:val="0"/>
                      <w:sz w:val="21"/>
                      <w:szCs w:val="21"/>
                    </w:rPr>
                    <w:t>4.5</w:t>
                  </w:r>
                </w:p>
              </w:tc>
              <w:tc>
                <w:tcPr>
                  <w:tcW w:w="515" w:type="pct"/>
                  <w:vAlign w:val="center"/>
                </w:tcPr>
                <w:p w14:paraId="449E7050">
                  <w:pPr>
                    <w:widowControl/>
                    <w:adjustRightInd w:val="0"/>
                    <w:snapToGrid w:val="0"/>
                    <w:jc w:val="center"/>
                    <w:textAlignment w:val="center"/>
                    <w:rPr>
                      <w:rFonts w:eastAsia="仿宋_GB2312"/>
                      <w:color w:val="000000" w:themeColor="text1"/>
                      <w:sz w:val="21"/>
                      <w:szCs w:val="21"/>
                    </w:rPr>
                  </w:pPr>
                  <w:r>
                    <w:rPr>
                      <w:rFonts w:eastAsia="仿宋_GB2312"/>
                      <w:color w:val="000000" w:themeColor="text1"/>
                      <w:sz w:val="21"/>
                      <w:szCs w:val="21"/>
                    </w:rPr>
                    <w:t>厂家回收</w:t>
                  </w:r>
                </w:p>
              </w:tc>
            </w:tr>
          </w:tbl>
          <w:p w14:paraId="322B7A14">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jc w:val="center"/>
              <w:textAlignment w:val="auto"/>
              <w:rPr>
                <w:rFonts w:eastAsia="仿宋_GB2312"/>
                <w:b/>
                <w:bCs/>
                <w:kern w:val="0"/>
              </w:rPr>
            </w:pPr>
            <w:r>
              <w:rPr>
                <w:rFonts w:eastAsia="仿宋_GB2312"/>
                <w:b/>
                <w:bCs/>
                <w:kern w:val="0"/>
              </w:rPr>
              <w:t>表4-</w:t>
            </w:r>
            <w:r>
              <w:rPr>
                <w:rFonts w:hint="eastAsia" w:eastAsia="仿宋_GB2312"/>
                <w:b/>
                <w:bCs/>
                <w:kern w:val="0"/>
                <w:lang w:val="en-US" w:eastAsia="zh-CN"/>
              </w:rPr>
              <w:t xml:space="preserve">30  </w:t>
            </w:r>
            <w:r>
              <w:rPr>
                <w:rFonts w:eastAsia="仿宋_GB2312"/>
                <w:b/>
                <w:bCs/>
                <w:kern w:val="0"/>
              </w:rPr>
              <w:t>营运期危险废物分析结果汇总表</w:t>
            </w:r>
          </w:p>
          <w:tbl>
            <w:tblPr>
              <w:tblStyle w:val="31"/>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18"/>
              <w:gridCol w:w="607"/>
              <w:gridCol w:w="735"/>
              <w:gridCol w:w="1152"/>
              <w:gridCol w:w="874"/>
              <w:gridCol w:w="980"/>
              <w:gridCol w:w="481"/>
              <w:gridCol w:w="694"/>
              <w:gridCol w:w="881"/>
              <w:gridCol w:w="502"/>
              <w:gridCol w:w="596"/>
              <w:gridCol w:w="468"/>
            </w:tblGrid>
            <w:tr w14:paraId="669C0E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5" w:type="pct"/>
                  <w:vAlign w:val="center"/>
                </w:tcPr>
                <w:p w14:paraId="49E98268">
                  <w:pPr>
                    <w:autoSpaceDE w:val="0"/>
                    <w:autoSpaceDN w:val="0"/>
                    <w:adjustRightInd w:val="0"/>
                    <w:snapToGrid w:val="0"/>
                    <w:jc w:val="center"/>
                    <w:rPr>
                      <w:rFonts w:eastAsia="仿宋_GB2312"/>
                      <w:b/>
                      <w:bCs/>
                      <w:kern w:val="0"/>
                      <w:sz w:val="21"/>
                      <w:szCs w:val="21"/>
                    </w:rPr>
                  </w:pPr>
                  <w:r>
                    <w:rPr>
                      <w:rFonts w:eastAsia="仿宋_GB2312"/>
                      <w:b/>
                      <w:bCs/>
                      <w:kern w:val="0"/>
                      <w:sz w:val="21"/>
                      <w:szCs w:val="21"/>
                    </w:rPr>
                    <w:t>序号</w:t>
                  </w:r>
                </w:p>
              </w:tc>
              <w:tc>
                <w:tcPr>
                  <w:tcW w:w="357" w:type="pct"/>
                  <w:vAlign w:val="center"/>
                </w:tcPr>
                <w:p w14:paraId="29E1DA20">
                  <w:pPr>
                    <w:autoSpaceDE w:val="0"/>
                    <w:autoSpaceDN w:val="0"/>
                    <w:adjustRightInd w:val="0"/>
                    <w:snapToGrid w:val="0"/>
                    <w:jc w:val="center"/>
                    <w:rPr>
                      <w:rFonts w:eastAsia="仿宋_GB2312"/>
                      <w:b/>
                      <w:bCs/>
                      <w:kern w:val="0"/>
                      <w:sz w:val="21"/>
                      <w:szCs w:val="21"/>
                    </w:rPr>
                  </w:pPr>
                  <w:r>
                    <w:rPr>
                      <w:rFonts w:eastAsia="仿宋_GB2312"/>
                      <w:b/>
                      <w:bCs/>
                      <w:kern w:val="0"/>
                      <w:sz w:val="21"/>
                      <w:szCs w:val="21"/>
                    </w:rPr>
                    <w:t>危险废物名称</w:t>
                  </w:r>
                </w:p>
              </w:tc>
              <w:tc>
                <w:tcPr>
                  <w:tcW w:w="433" w:type="pct"/>
                  <w:vAlign w:val="center"/>
                </w:tcPr>
                <w:p w14:paraId="4ED214EA">
                  <w:pPr>
                    <w:autoSpaceDE w:val="0"/>
                    <w:autoSpaceDN w:val="0"/>
                    <w:adjustRightInd w:val="0"/>
                    <w:snapToGrid w:val="0"/>
                    <w:jc w:val="center"/>
                    <w:rPr>
                      <w:rFonts w:eastAsia="仿宋_GB2312"/>
                      <w:b/>
                      <w:bCs/>
                      <w:kern w:val="0"/>
                      <w:sz w:val="21"/>
                      <w:szCs w:val="21"/>
                    </w:rPr>
                  </w:pPr>
                  <w:r>
                    <w:rPr>
                      <w:rFonts w:eastAsia="仿宋_GB2312"/>
                      <w:b/>
                      <w:bCs/>
                      <w:kern w:val="0"/>
                      <w:sz w:val="21"/>
                      <w:szCs w:val="21"/>
                    </w:rPr>
                    <w:t>危险废物类别</w:t>
                  </w:r>
                </w:p>
              </w:tc>
              <w:tc>
                <w:tcPr>
                  <w:tcW w:w="678" w:type="pct"/>
                  <w:vAlign w:val="center"/>
                </w:tcPr>
                <w:p w14:paraId="6188C75A">
                  <w:pPr>
                    <w:autoSpaceDE w:val="0"/>
                    <w:autoSpaceDN w:val="0"/>
                    <w:adjustRightInd w:val="0"/>
                    <w:snapToGrid w:val="0"/>
                    <w:jc w:val="center"/>
                    <w:rPr>
                      <w:rFonts w:eastAsia="仿宋_GB2312"/>
                      <w:b/>
                      <w:bCs/>
                      <w:kern w:val="0"/>
                      <w:sz w:val="21"/>
                      <w:szCs w:val="21"/>
                    </w:rPr>
                  </w:pPr>
                  <w:r>
                    <w:rPr>
                      <w:rFonts w:eastAsia="仿宋_GB2312"/>
                      <w:b/>
                      <w:bCs/>
                      <w:kern w:val="0"/>
                      <w:sz w:val="21"/>
                      <w:szCs w:val="21"/>
                    </w:rPr>
                    <w:t>危险废物代码</w:t>
                  </w:r>
                </w:p>
              </w:tc>
              <w:tc>
                <w:tcPr>
                  <w:tcW w:w="514" w:type="pct"/>
                  <w:vAlign w:val="center"/>
                </w:tcPr>
                <w:p w14:paraId="654C656A">
                  <w:pPr>
                    <w:autoSpaceDE w:val="0"/>
                    <w:autoSpaceDN w:val="0"/>
                    <w:adjustRightInd w:val="0"/>
                    <w:snapToGrid w:val="0"/>
                    <w:jc w:val="center"/>
                    <w:rPr>
                      <w:rFonts w:eastAsia="仿宋_GB2312"/>
                      <w:b/>
                      <w:bCs/>
                      <w:kern w:val="0"/>
                      <w:sz w:val="21"/>
                      <w:szCs w:val="21"/>
                    </w:rPr>
                  </w:pPr>
                  <w:r>
                    <w:rPr>
                      <w:rFonts w:eastAsia="仿宋_GB2312"/>
                      <w:b/>
                      <w:bCs/>
                      <w:kern w:val="0"/>
                      <w:sz w:val="21"/>
                      <w:szCs w:val="21"/>
                    </w:rPr>
                    <w:t>产生量(t/a)</w:t>
                  </w:r>
                </w:p>
              </w:tc>
              <w:tc>
                <w:tcPr>
                  <w:tcW w:w="577" w:type="pct"/>
                  <w:vAlign w:val="center"/>
                </w:tcPr>
                <w:p w14:paraId="5F5308FF">
                  <w:pPr>
                    <w:autoSpaceDE w:val="0"/>
                    <w:autoSpaceDN w:val="0"/>
                    <w:adjustRightInd w:val="0"/>
                    <w:snapToGrid w:val="0"/>
                    <w:jc w:val="center"/>
                    <w:rPr>
                      <w:rFonts w:eastAsia="仿宋_GB2312"/>
                      <w:b/>
                      <w:bCs/>
                      <w:kern w:val="0"/>
                      <w:sz w:val="21"/>
                      <w:szCs w:val="21"/>
                    </w:rPr>
                  </w:pPr>
                  <w:r>
                    <w:rPr>
                      <w:rFonts w:eastAsia="仿宋_GB2312"/>
                      <w:b/>
                      <w:bCs/>
                      <w:kern w:val="0"/>
                      <w:sz w:val="21"/>
                      <w:szCs w:val="21"/>
                    </w:rPr>
                    <w:t>产生工序及装置</w:t>
                  </w:r>
                </w:p>
              </w:tc>
              <w:tc>
                <w:tcPr>
                  <w:tcW w:w="283" w:type="pct"/>
                  <w:vAlign w:val="center"/>
                </w:tcPr>
                <w:p w14:paraId="441C0055">
                  <w:pPr>
                    <w:autoSpaceDE w:val="0"/>
                    <w:autoSpaceDN w:val="0"/>
                    <w:adjustRightInd w:val="0"/>
                    <w:snapToGrid w:val="0"/>
                    <w:jc w:val="center"/>
                    <w:rPr>
                      <w:rFonts w:eastAsia="仿宋_GB2312"/>
                      <w:b/>
                      <w:bCs/>
                      <w:kern w:val="0"/>
                      <w:sz w:val="21"/>
                      <w:szCs w:val="21"/>
                    </w:rPr>
                  </w:pPr>
                  <w:r>
                    <w:rPr>
                      <w:rFonts w:eastAsia="仿宋_GB2312"/>
                      <w:b/>
                      <w:bCs/>
                      <w:kern w:val="0"/>
                      <w:sz w:val="21"/>
                      <w:szCs w:val="21"/>
                    </w:rPr>
                    <w:t>形态</w:t>
                  </w:r>
                </w:p>
              </w:tc>
              <w:tc>
                <w:tcPr>
                  <w:tcW w:w="408" w:type="pct"/>
                  <w:vAlign w:val="center"/>
                </w:tcPr>
                <w:p w14:paraId="0D2CF3DC">
                  <w:pPr>
                    <w:autoSpaceDE w:val="0"/>
                    <w:autoSpaceDN w:val="0"/>
                    <w:adjustRightInd w:val="0"/>
                    <w:snapToGrid w:val="0"/>
                    <w:jc w:val="center"/>
                    <w:rPr>
                      <w:rFonts w:eastAsia="仿宋_GB2312"/>
                      <w:b/>
                      <w:bCs/>
                      <w:kern w:val="0"/>
                      <w:sz w:val="21"/>
                      <w:szCs w:val="21"/>
                    </w:rPr>
                  </w:pPr>
                  <w:r>
                    <w:rPr>
                      <w:rFonts w:eastAsia="仿宋_GB2312"/>
                      <w:b/>
                      <w:bCs/>
                      <w:kern w:val="0"/>
                      <w:sz w:val="21"/>
                      <w:szCs w:val="21"/>
                    </w:rPr>
                    <w:t>主要成分</w:t>
                  </w:r>
                </w:p>
              </w:tc>
              <w:tc>
                <w:tcPr>
                  <w:tcW w:w="518" w:type="pct"/>
                  <w:vAlign w:val="center"/>
                </w:tcPr>
                <w:p w14:paraId="24B4FCF1">
                  <w:pPr>
                    <w:autoSpaceDE w:val="0"/>
                    <w:autoSpaceDN w:val="0"/>
                    <w:adjustRightInd w:val="0"/>
                    <w:snapToGrid w:val="0"/>
                    <w:jc w:val="center"/>
                    <w:rPr>
                      <w:rFonts w:eastAsia="仿宋_GB2312"/>
                      <w:b/>
                      <w:bCs/>
                      <w:kern w:val="0"/>
                      <w:sz w:val="21"/>
                      <w:szCs w:val="21"/>
                    </w:rPr>
                  </w:pPr>
                  <w:r>
                    <w:rPr>
                      <w:rFonts w:eastAsia="仿宋_GB2312"/>
                      <w:b/>
                      <w:bCs/>
                      <w:kern w:val="0"/>
                      <w:sz w:val="21"/>
                      <w:szCs w:val="21"/>
                    </w:rPr>
                    <w:t>有害成分</w:t>
                  </w:r>
                </w:p>
              </w:tc>
              <w:tc>
                <w:tcPr>
                  <w:tcW w:w="295" w:type="pct"/>
                  <w:vAlign w:val="center"/>
                </w:tcPr>
                <w:p w14:paraId="3D3DC927">
                  <w:pPr>
                    <w:autoSpaceDE w:val="0"/>
                    <w:autoSpaceDN w:val="0"/>
                    <w:adjustRightInd w:val="0"/>
                    <w:snapToGrid w:val="0"/>
                    <w:jc w:val="center"/>
                    <w:rPr>
                      <w:rFonts w:eastAsia="仿宋_GB2312"/>
                      <w:b/>
                      <w:bCs/>
                      <w:kern w:val="0"/>
                      <w:sz w:val="21"/>
                      <w:szCs w:val="21"/>
                    </w:rPr>
                  </w:pPr>
                  <w:r>
                    <w:rPr>
                      <w:rFonts w:eastAsia="仿宋_GB2312"/>
                      <w:b/>
                      <w:bCs/>
                      <w:kern w:val="0"/>
                      <w:sz w:val="21"/>
                      <w:szCs w:val="21"/>
                    </w:rPr>
                    <w:t>产废周期</w:t>
                  </w:r>
                </w:p>
              </w:tc>
              <w:tc>
                <w:tcPr>
                  <w:tcW w:w="351" w:type="pct"/>
                  <w:vAlign w:val="center"/>
                </w:tcPr>
                <w:p w14:paraId="2D4B0CA1">
                  <w:pPr>
                    <w:autoSpaceDE w:val="0"/>
                    <w:autoSpaceDN w:val="0"/>
                    <w:adjustRightInd w:val="0"/>
                    <w:snapToGrid w:val="0"/>
                    <w:jc w:val="center"/>
                    <w:rPr>
                      <w:rFonts w:eastAsia="仿宋_GB2312"/>
                      <w:b/>
                      <w:bCs/>
                      <w:kern w:val="0"/>
                      <w:sz w:val="21"/>
                      <w:szCs w:val="21"/>
                    </w:rPr>
                  </w:pPr>
                  <w:r>
                    <w:rPr>
                      <w:rFonts w:eastAsia="仿宋_GB2312"/>
                      <w:b/>
                      <w:bCs/>
                      <w:kern w:val="0"/>
                      <w:sz w:val="21"/>
                      <w:szCs w:val="21"/>
                    </w:rPr>
                    <w:t>危险</w:t>
                  </w:r>
                </w:p>
                <w:p w14:paraId="40EAEF96">
                  <w:pPr>
                    <w:autoSpaceDE w:val="0"/>
                    <w:autoSpaceDN w:val="0"/>
                    <w:adjustRightInd w:val="0"/>
                    <w:snapToGrid w:val="0"/>
                    <w:jc w:val="center"/>
                    <w:rPr>
                      <w:rFonts w:eastAsia="仿宋_GB2312"/>
                      <w:b/>
                      <w:bCs/>
                      <w:kern w:val="0"/>
                      <w:sz w:val="21"/>
                      <w:szCs w:val="21"/>
                    </w:rPr>
                  </w:pPr>
                  <w:r>
                    <w:rPr>
                      <w:rFonts w:eastAsia="仿宋_GB2312"/>
                      <w:b/>
                      <w:bCs/>
                      <w:kern w:val="0"/>
                      <w:sz w:val="21"/>
                      <w:szCs w:val="21"/>
                    </w:rPr>
                    <w:t>特性</w:t>
                  </w:r>
                </w:p>
              </w:tc>
              <w:tc>
                <w:tcPr>
                  <w:tcW w:w="275" w:type="pct"/>
                  <w:vAlign w:val="center"/>
                </w:tcPr>
                <w:p w14:paraId="11FDC6F4">
                  <w:pPr>
                    <w:autoSpaceDE w:val="0"/>
                    <w:autoSpaceDN w:val="0"/>
                    <w:adjustRightInd w:val="0"/>
                    <w:snapToGrid w:val="0"/>
                    <w:jc w:val="center"/>
                    <w:rPr>
                      <w:rFonts w:eastAsia="仿宋_GB2312"/>
                      <w:b/>
                      <w:bCs/>
                      <w:kern w:val="0"/>
                      <w:sz w:val="21"/>
                      <w:szCs w:val="21"/>
                    </w:rPr>
                  </w:pPr>
                  <w:r>
                    <w:rPr>
                      <w:rFonts w:eastAsia="仿宋_GB2312"/>
                      <w:b/>
                      <w:bCs/>
                      <w:kern w:val="0"/>
                      <w:sz w:val="21"/>
                      <w:szCs w:val="21"/>
                    </w:rPr>
                    <w:t>污染防治措施</w:t>
                  </w:r>
                </w:p>
              </w:tc>
            </w:tr>
            <w:tr w14:paraId="783B4F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5" w:type="pct"/>
                  <w:vAlign w:val="center"/>
                </w:tcPr>
                <w:p w14:paraId="5E2F83C4">
                  <w:pPr>
                    <w:autoSpaceDE w:val="0"/>
                    <w:autoSpaceDN w:val="0"/>
                    <w:adjustRightInd w:val="0"/>
                    <w:snapToGrid w:val="0"/>
                    <w:jc w:val="center"/>
                    <w:rPr>
                      <w:rFonts w:eastAsia="仿宋_GB2312"/>
                      <w:kern w:val="0"/>
                      <w:sz w:val="21"/>
                      <w:szCs w:val="21"/>
                    </w:rPr>
                  </w:pPr>
                  <w:r>
                    <w:rPr>
                      <w:rFonts w:eastAsia="仿宋_GB2312"/>
                      <w:kern w:val="0"/>
                      <w:sz w:val="21"/>
                      <w:szCs w:val="21"/>
                    </w:rPr>
                    <w:t>1</w:t>
                  </w:r>
                </w:p>
              </w:tc>
              <w:tc>
                <w:tcPr>
                  <w:tcW w:w="357" w:type="pct"/>
                  <w:vAlign w:val="center"/>
                </w:tcPr>
                <w:p w14:paraId="1E06D6E7">
                  <w:pPr>
                    <w:autoSpaceDE w:val="0"/>
                    <w:autoSpaceDN w:val="0"/>
                    <w:adjustRightInd w:val="0"/>
                    <w:snapToGrid w:val="0"/>
                    <w:jc w:val="center"/>
                    <w:rPr>
                      <w:rFonts w:eastAsia="仿宋_GB2312"/>
                      <w:kern w:val="0"/>
                      <w:sz w:val="21"/>
                      <w:szCs w:val="21"/>
                    </w:rPr>
                  </w:pPr>
                  <w:r>
                    <w:rPr>
                      <w:rFonts w:eastAsia="仿宋_GB2312"/>
                      <w:kern w:val="0"/>
                      <w:sz w:val="21"/>
                      <w:szCs w:val="21"/>
                    </w:rPr>
                    <w:t>废机油</w:t>
                  </w:r>
                </w:p>
              </w:tc>
              <w:tc>
                <w:tcPr>
                  <w:tcW w:w="433" w:type="pct"/>
                  <w:vAlign w:val="center"/>
                </w:tcPr>
                <w:p w14:paraId="7B539C9C">
                  <w:pPr>
                    <w:autoSpaceDE w:val="0"/>
                    <w:autoSpaceDN w:val="0"/>
                    <w:adjustRightInd w:val="0"/>
                    <w:snapToGrid w:val="0"/>
                    <w:jc w:val="center"/>
                    <w:rPr>
                      <w:rFonts w:eastAsia="仿宋_GB2312"/>
                      <w:kern w:val="0"/>
                      <w:sz w:val="21"/>
                      <w:szCs w:val="21"/>
                    </w:rPr>
                  </w:pPr>
                  <w:r>
                    <w:rPr>
                      <w:rFonts w:eastAsia="仿宋_GB2312"/>
                      <w:kern w:val="0"/>
                      <w:sz w:val="21"/>
                      <w:szCs w:val="21"/>
                    </w:rPr>
                    <w:t>HW08</w:t>
                  </w:r>
                </w:p>
              </w:tc>
              <w:tc>
                <w:tcPr>
                  <w:tcW w:w="678" w:type="pct"/>
                  <w:vAlign w:val="center"/>
                </w:tcPr>
                <w:p w14:paraId="22808560">
                  <w:pPr>
                    <w:autoSpaceDE w:val="0"/>
                    <w:autoSpaceDN w:val="0"/>
                    <w:adjustRightInd w:val="0"/>
                    <w:snapToGrid w:val="0"/>
                    <w:jc w:val="center"/>
                    <w:rPr>
                      <w:rFonts w:eastAsia="仿宋_GB2312"/>
                      <w:kern w:val="0"/>
                      <w:sz w:val="21"/>
                      <w:szCs w:val="21"/>
                    </w:rPr>
                  </w:pPr>
                  <w:r>
                    <w:rPr>
                      <w:rFonts w:eastAsia="仿宋_GB2312"/>
                      <w:kern w:val="0"/>
                      <w:sz w:val="21"/>
                      <w:szCs w:val="21"/>
                    </w:rPr>
                    <w:t>900-214-08</w:t>
                  </w:r>
                </w:p>
              </w:tc>
              <w:tc>
                <w:tcPr>
                  <w:tcW w:w="514" w:type="pct"/>
                  <w:vAlign w:val="center"/>
                </w:tcPr>
                <w:p w14:paraId="4C780C93">
                  <w:pPr>
                    <w:autoSpaceDE w:val="0"/>
                    <w:autoSpaceDN w:val="0"/>
                    <w:adjustRightInd w:val="0"/>
                    <w:snapToGrid w:val="0"/>
                    <w:jc w:val="center"/>
                    <w:rPr>
                      <w:rFonts w:eastAsia="仿宋_GB2312"/>
                      <w:kern w:val="0"/>
                      <w:sz w:val="21"/>
                      <w:szCs w:val="21"/>
                    </w:rPr>
                  </w:pPr>
                  <w:r>
                    <w:rPr>
                      <w:rFonts w:eastAsia="仿宋_GB2312"/>
                      <w:kern w:val="0"/>
                      <w:sz w:val="21"/>
                      <w:szCs w:val="21"/>
                    </w:rPr>
                    <w:t>4.5</w:t>
                  </w:r>
                </w:p>
              </w:tc>
              <w:tc>
                <w:tcPr>
                  <w:tcW w:w="577" w:type="pct"/>
                  <w:vAlign w:val="center"/>
                </w:tcPr>
                <w:p w14:paraId="02E89C83">
                  <w:pPr>
                    <w:autoSpaceDE w:val="0"/>
                    <w:autoSpaceDN w:val="0"/>
                    <w:adjustRightInd w:val="0"/>
                    <w:snapToGrid w:val="0"/>
                    <w:jc w:val="center"/>
                    <w:rPr>
                      <w:rFonts w:eastAsia="仿宋_GB2312"/>
                      <w:kern w:val="0"/>
                      <w:sz w:val="21"/>
                      <w:szCs w:val="21"/>
                    </w:rPr>
                  </w:pPr>
                  <w:r>
                    <w:rPr>
                      <w:rFonts w:eastAsia="仿宋_GB2312"/>
                      <w:kern w:val="0"/>
                      <w:sz w:val="21"/>
                      <w:szCs w:val="21"/>
                    </w:rPr>
                    <w:t>设备维护</w:t>
                  </w:r>
                </w:p>
              </w:tc>
              <w:tc>
                <w:tcPr>
                  <w:tcW w:w="283" w:type="pct"/>
                  <w:vAlign w:val="center"/>
                </w:tcPr>
                <w:p w14:paraId="2B5E83B7">
                  <w:pPr>
                    <w:autoSpaceDE w:val="0"/>
                    <w:autoSpaceDN w:val="0"/>
                    <w:adjustRightInd w:val="0"/>
                    <w:snapToGrid w:val="0"/>
                    <w:jc w:val="center"/>
                    <w:rPr>
                      <w:rFonts w:eastAsia="仿宋_GB2312"/>
                      <w:kern w:val="0"/>
                      <w:sz w:val="21"/>
                      <w:szCs w:val="21"/>
                    </w:rPr>
                  </w:pPr>
                  <w:r>
                    <w:rPr>
                      <w:rFonts w:eastAsia="仿宋_GB2312"/>
                      <w:sz w:val="21"/>
                      <w:szCs w:val="21"/>
                    </w:rPr>
                    <w:t>液</w:t>
                  </w:r>
                </w:p>
              </w:tc>
              <w:tc>
                <w:tcPr>
                  <w:tcW w:w="408" w:type="pct"/>
                  <w:vAlign w:val="center"/>
                </w:tcPr>
                <w:p w14:paraId="154B6F62">
                  <w:pPr>
                    <w:autoSpaceDE w:val="0"/>
                    <w:autoSpaceDN w:val="0"/>
                    <w:adjustRightInd w:val="0"/>
                    <w:snapToGrid w:val="0"/>
                    <w:jc w:val="center"/>
                    <w:rPr>
                      <w:rFonts w:eastAsia="仿宋_GB2312"/>
                      <w:kern w:val="0"/>
                      <w:sz w:val="21"/>
                      <w:szCs w:val="21"/>
                    </w:rPr>
                  </w:pPr>
                  <w:r>
                    <w:rPr>
                      <w:rFonts w:eastAsia="仿宋_GB2312"/>
                      <w:sz w:val="21"/>
                      <w:szCs w:val="21"/>
                    </w:rPr>
                    <w:t>废机油</w:t>
                  </w:r>
                </w:p>
              </w:tc>
              <w:tc>
                <w:tcPr>
                  <w:tcW w:w="518" w:type="pct"/>
                  <w:vAlign w:val="center"/>
                </w:tcPr>
                <w:p w14:paraId="5EC6633C">
                  <w:pPr>
                    <w:autoSpaceDE w:val="0"/>
                    <w:autoSpaceDN w:val="0"/>
                    <w:adjustRightInd w:val="0"/>
                    <w:snapToGrid w:val="0"/>
                    <w:jc w:val="center"/>
                    <w:rPr>
                      <w:rFonts w:eastAsia="仿宋_GB2312"/>
                      <w:sz w:val="21"/>
                      <w:szCs w:val="21"/>
                    </w:rPr>
                  </w:pPr>
                  <w:r>
                    <w:rPr>
                      <w:rFonts w:eastAsia="仿宋_GB2312"/>
                      <w:sz w:val="21"/>
                      <w:szCs w:val="21"/>
                    </w:rPr>
                    <w:t>苯系物和多环芳烃等</w:t>
                  </w:r>
                </w:p>
              </w:tc>
              <w:tc>
                <w:tcPr>
                  <w:tcW w:w="295" w:type="pct"/>
                  <w:vAlign w:val="center"/>
                </w:tcPr>
                <w:p w14:paraId="5FA57189">
                  <w:pPr>
                    <w:autoSpaceDE w:val="0"/>
                    <w:autoSpaceDN w:val="0"/>
                    <w:adjustRightInd w:val="0"/>
                    <w:snapToGrid w:val="0"/>
                    <w:jc w:val="center"/>
                    <w:rPr>
                      <w:rFonts w:eastAsia="仿宋_GB2312"/>
                      <w:kern w:val="0"/>
                      <w:sz w:val="21"/>
                      <w:szCs w:val="21"/>
                    </w:rPr>
                  </w:pPr>
                  <w:r>
                    <w:rPr>
                      <w:rFonts w:eastAsia="仿宋_GB2312"/>
                      <w:kern w:val="0"/>
                      <w:sz w:val="21"/>
                      <w:szCs w:val="21"/>
                    </w:rPr>
                    <w:t>一个月</w:t>
                  </w:r>
                </w:p>
              </w:tc>
              <w:tc>
                <w:tcPr>
                  <w:tcW w:w="351" w:type="pct"/>
                  <w:vAlign w:val="center"/>
                </w:tcPr>
                <w:p w14:paraId="29EBCE08">
                  <w:pPr>
                    <w:autoSpaceDE w:val="0"/>
                    <w:autoSpaceDN w:val="0"/>
                    <w:adjustRightInd w:val="0"/>
                    <w:snapToGrid w:val="0"/>
                    <w:jc w:val="center"/>
                    <w:rPr>
                      <w:rFonts w:eastAsia="仿宋_GB2312"/>
                      <w:kern w:val="0"/>
                      <w:sz w:val="21"/>
                      <w:szCs w:val="21"/>
                    </w:rPr>
                  </w:pPr>
                  <w:r>
                    <w:rPr>
                      <w:rFonts w:eastAsia="仿宋_GB2312"/>
                      <w:kern w:val="0"/>
                      <w:sz w:val="21"/>
                      <w:szCs w:val="21"/>
                    </w:rPr>
                    <w:t>T，I</w:t>
                  </w:r>
                </w:p>
              </w:tc>
              <w:tc>
                <w:tcPr>
                  <w:tcW w:w="275" w:type="pct"/>
                  <w:vMerge w:val="restart"/>
                  <w:vAlign w:val="center"/>
                </w:tcPr>
                <w:p w14:paraId="386AA5F8">
                  <w:pPr>
                    <w:autoSpaceDE w:val="0"/>
                    <w:autoSpaceDN w:val="0"/>
                    <w:adjustRightInd w:val="0"/>
                    <w:snapToGrid w:val="0"/>
                    <w:jc w:val="center"/>
                    <w:rPr>
                      <w:rFonts w:eastAsia="仿宋_GB2312"/>
                      <w:b/>
                      <w:bCs/>
                      <w:kern w:val="0"/>
                      <w:sz w:val="21"/>
                      <w:szCs w:val="21"/>
                    </w:rPr>
                  </w:pPr>
                  <w:r>
                    <w:rPr>
                      <w:rFonts w:eastAsia="仿宋_GB2312"/>
                      <w:kern w:val="0"/>
                      <w:sz w:val="21"/>
                      <w:szCs w:val="21"/>
                    </w:rPr>
                    <w:t>委托有资质单位处理</w:t>
                  </w:r>
                </w:p>
              </w:tc>
            </w:tr>
            <w:tr w14:paraId="7475C9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5" w:type="pct"/>
                  <w:vAlign w:val="center"/>
                </w:tcPr>
                <w:p w14:paraId="10680DEC">
                  <w:pPr>
                    <w:autoSpaceDE w:val="0"/>
                    <w:autoSpaceDN w:val="0"/>
                    <w:adjustRightInd w:val="0"/>
                    <w:snapToGrid w:val="0"/>
                    <w:jc w:val="center"/>
                    <w:rPr>
                      <w:rFonts w:eastAsia="仿宋_GB2312"/>
                      <w:kern w:val="0"/>
                      <w:sz w:val="21"/>
                      <w:szCs w:val="21"/>
                    </w:rPr>
                  </w:pPr>
                  <w:r>
                    <w:rPr>
                      <w:rFonts w:eastAsia="仿宋_GB2312"/>
                      <w:kern w:val="0"/>
                      <w:sz w:val="21"/>
                      <w:szCs w:val="21"/>
                    </w:rPr>
                    <w:t>2</w:t>
                  </w:r>
                </w:p>
              </w:tc>
              <w:tc>
                <w:tcPr>
                  <w:tcW w:w="357" w:type="pct"/>
                  <w:vAlign w:val="center"/>
                </w:tcPr>
                <w:p w14:paraId="70498859">
                  <w:pPr>
                    <w:autoSpaceDE w:val="0"/>
                    <w:autoSpaceDN w:val="0"/>
                    <w:adjustRightInd w:val="0"/>
                    <w:snapToGrid w:val="0"/>
                    <w:jc w:val="center"/>
                    <w:rPr>
                      <w:rFonts w:eastAsia="仿宋_GB2312"/>
                      <w:kern w:val="0"/>
                      <w:sz w:val="21"/>
                      <w:szCs w:val="21"/>
                    </w:rPr>
                  </w:pPr>
                  <w:r>
                    <w:rPr>
                      <w:rFonts w:eastAsia="仿宋_GB2312"/>
                      <w:kern w:val="0"/>
                      <w:sz w:val="21"/>
                      <w:szCs w:val="21"/>
                    </w:rPr>
                    <w:t>废油桶</w:t>
                  </w:r>
                </w:p>
              </w:tc>
              <w:tc>
                <w:tcPr>
                  <w:tcW w:w="433" w:type="pct"/>
                  <w:vAlign w:val="center"/>
                </w:tcPr>
                <w:p w14:paraId="078CB21D">
                  <w:pPr>
                    <w:autoSpaceDE w:val="0"/>
                    <w:autoSpaceDN w:val="0"/>
                    <w:adjustRightInd w:val="0"/>
                    <w:snapToGrid w:val="0"/>
                    <w:jc w:val="center"/>
                    <w:rPr>
                      <w:rFonts w:eastAsia="仿宋_GB2312"/>
                      <w:kern w:val="0"/>
                      <w:sz w:val="21"/>
                      <w:szCs w:val="21"/>
                    </w:rPr>
                  </w:pPr>
                  <w:r>
                    <w:rPr>
                      <w:rFonts w:eastAsia="仿宋_GB2312"/>
                      <w:kern w:val="0"/>
                      <w:sz w:val="21"/>
                      <w:szCs w:val="21"/>
                    </w:rPr>
                    <w:t>HW08</w:t>
                  </w:r>
                </w:p>
              </w:tc>
              <w:tc>
                <w:tcPr>
                  <w:tcW w:w="678" w:type="pct"/>
                  <w:vAlign w:val="center"/>
                </w:tcPr>
                <w:p w14:paraId="34085A21">
                  <w:pPr>
                    <w:autoSpaceDE w:val="0"/>
                    <w:autoSpaceDN w:val="0"/>
                    <w:adjustRightInd w:val="0"/>
                    <w:snapToGrid w:val="0"/>
                    <w:jc w:val="center"/>
                    <w:rPr>
                      <w:rFonts w:eastAsia="仿宋_GB2312"/>
                      <w:kern w:val="0"/>
                      <w:sz w:val="21"/>
                      <w:szCs w:val="21"/>
                    </w:rPr>
                  </w:pPr>
                  <w:r>
                    <w:rPr>
                      <w:rFonts w:eastAsia="仿宋_GB2312"/>
                      <w:kern w:val="0"/>
                      <w:sz w:val="21"/>
                      <w:szCs w:val="21"/>
                    </w:rPr>
                    <w:t>900-249-08</w:t>
                  </w:r>
                </w:p>
              </w:tc>
              <w:tc>
                <w:tcPr>
                  <w:tcW w:w="514" w:type="pct"/>
                  <w:vAlign w:val="center"/>
                </w:tcPr>
                <w:p w14:paraId="3EFCB51B">
                  <w:pPr>
                    <w:autoSpaceDE w:val="0"/>
                    <w:autoSpaceDN w:val="0"/>
                    <w:adjustRightInd w:val="0"/>
                    <w:snapToGrid w:val="0"/>
                    <w:jc w:val="center"/>
                    <w:rPr>
                      <w:rFonts w:eastAsia="仿宋_GB2312"/>
                      <w:kern w:val="0"/>
                      <w:sz w:val="21"/>
                      <w:szCs w:val="21"/>
                    </w:rPr>
                  </w:pPr>
                  <w:r>
                    <w:rPr>
                      <w:rFonts w:hint="eastAsia" w:eastAsia="仿宋_GB2312"/>
                      <w:sz w:val="21"/>
                      <w:szCs w:val="21"/>
                    </w:rPr>
                    <w:t>0.5</w:t>
                  </w:r>
                </w:p>
              </w:tc>
              <w:tc>
                <w:tcPr>
                  <w:tcW w:w="577" w:type="pct"/>
                  <w:vAlign w:val="center"/>
                </w:tcPr>
                <w:p w14:paraId="2D210B34">
                  <w:pPr>
                    <w:autoSpaceDE w:val="0"/>
                    <w:autoSpaceDN w:val="0"/>
                    <w:adjustRightInd w:val="0"/>
                    <w:snapToGrid w:val="0"/>
                    <w:jc w:val="center"/>
                    <w:rPr>
                      <w:rFonts w:eastAsia="仿宋_GB2312"/>
                      <w:kern w:val="0"/>
                      <w:sz w:val="21"/>
                      <w:szCs w:val="21"/>
                    </w:rPr>
                  </w:pPr>
                  <w:r>
                    <w:rPr>
                      <w:rFonts w:eastAsia="仿宋_GB2312"/>
                      <w:kern w:val="0"/>
                      <w:sz w:val="21"/>
                      <w:szCs w:val="21"/>
                    </w:rPr>
                    <w:t>设备维护</w:t>
                  </w:r>
                </w:p>
              </w:tc>
              <w:tc>
                <w:tcPr>
                  <w:tcW w:w="283" w:type="pct"/>
                  <w:vAlign w:val="center"/>
                </w:tcPr>
                <w:p w14:paraId="18F23AA3">
                  <w:pPr>
                    <w:autoSpaceDE w:val="0"/>
                    <w:autoSpaceDN w:val="0"/>
                    <w:adjustRightInd w:val="0"/>
                    <w:snapToGrid w:val="0"/>
                    <w:jc w:val="center"/>
                    <w:rPr>
                      <w:rFonts w:eastAsia="仿宋_GB2312"/>
                      <w:kern w:val="0"/>
                      <w:sz w:val="21"/>
                      <w:szCs w:val="21"/>
                    </w:rPr>
                  </w:pPr>
                  <w:r>
                    <w:rPr>
                      <w:rFonts w:eastAsia="仿宋_GB2312"/>
                      <w:sz w:val="21"/>
                      <w:szCs w:val="21"/>
                    </w:rPr>
                    <w:t>固</w:t>
                  </w:r>
                </w:p>
              </w:tc>
              <w:tc>
                <w:tcPr>
                  <w:tcW w:w="408" w:type="pct"/>
                  <w:vAlign w:val="center"/>
                </w:tcPr>
                <w:p w14:paraId="36346804">
                  <w:pPr>
                    <w:autoSpaceDE w:val="0"/>
                    <w:autoSpaceDN w:val="0"/>
                    <w:adjustRightInd w:val="0"/>
                    <w:snapToGrid w:val="0"/>
                    <w:jc w:val="center"/>
                    <w:rPr>
                      <w:rFonts w:eastAsia="仿宋_GB2312"/>
                      <w:kern w:val="0"/>
                      <w:sz w:val="21"/>
                      <w:szCs w:val="21"/>
                    </w:rPr>
                  </w:pPr>
                  <w:r>
                    <w:rPr>
                      <w:rFonts w:eastAsia="仿宋_GB2312"/>
                      <w:sz w:val="21"/>
                      <w:szCs w:val="21"/>
                    </w:rPr>
                    <w:t>铁桶、有机物</w:t>
                  </w:r>
                </w:p>
              </w:tc>
              <w:tc>
                <w:tcPr>
                  <w:tcW w:w="518" w:type="pct"/>
                  <w:vAlign w:val="center"/>
                </w:tcPr>
                <w:p w14:paraId="2BCF1A79">
                  <w:pPr>
                    <w:autoSpaceDE w:val="0"/>
                    <w:autoSpaceDN w:val="0"/>
                    <w:adjustRightInd w:val="0"/>
                    <w:snapToGrid w:val="0"/>
                    <w:jc w:val="center"/>
                    <w:rPr>
                      <w:rFonts w:eastAsia="仿宋_GB2312"/>
                      <w:kern w:val="0"/>
                      <w:sz w:val="21"/>
                      <w:szCs w:val="21"/>
                    </w:rPr>
                  </w:pPr>
                  <w:r>
                    <w:rPr>
                      <w:rFonts w:eastAsia="仿宋_GB2312"/>
                      <w:sz w:val="21"/>
                      <w:szCs w:val="21"/>
                    </w:rPr>
                    <w:t>苯系物和多环芳烃等</w:t>
                  </w:r>
                </w:p>
              </w:tc>
              <w:tc>
                <w:tcPr>
                  <w:tcW w:w="295" w:type="pct"/>
                  <w:vAlign w:val="center"/>
                </w:tcPr>
                <w:p w14:paraId="32F94D25">
                  <w:pPr>
                    <w:autoSpaceDE w:val="0"/>
                    <w:autoSpaceDN w:val="0"/>
                    <w:adjustRightInd w:val="0"/>
                    <w:snapToGrid w:val="0"/>
                    <w:jc w:val="center"/>
                    <w:rPr>
                      <w:rFonts w:eastAsia="仿宋_GB2312"/>
                      <w:kern w:val="0"/>
                      <w:sz w:val="21"/>
                      <w:szCs w:val="21"/>
                    </w:rPr>
                  </w:pPr>
                  <w:r>
                    <w:rPr>
                      <w:rFonts w:eastAsia="仿宋_GB2312"/>
                      <w:kern w:val="0"/>
                      <w:sz w:val="21"/>
                      <w:szCs w:val="21"/>
                    </w:rPr>
                    <w:t>一个月</w:t>
                  </w:r>
                </w:p>
              </w:tc>
              <w:tc>
                <w:tcPr>
                  <w:tcW w:w="351" w:type="pct"/>
                  <w:vAlign w:val="center"/>
                </w:tcPr>
                <w:p w14:paraId="39E50196">
                  <w:pPr>
                    <w:autoSpaceDE w:val="0"/>
                    <w:autoSpaceDN w:val="0"/>
                    <w:adjustRightInd w:val="0"/>
                    <w:snapToGrid w:val="0"/>
                    <w:jc w:val="center"/>
                    <w:rPr>
                      <w:rFonts w:eastAsia="仿宋_GB2312"/>
                      <w:kern w:val="0"/>
                      <w:sz w:val="21"/>
                      <w:szCs w:val="21"/>
                    </w:rPr>
                  </w:pPr>
                  <w:r>
                    <w:rPr>
                      <w:rFonts w:eastAsia="仿宋_GB2312"/>
                      <w:kern w:val="0"/>
                      <w:sz w:val="21"/>
                      <w:szCs w:val="21"/>
                    </w:rPr>
                    <w:t>T，I</w:t>
                  </w:r>
                </w:p>
              </w:tc>
              <w:tc>
                <w:tcPr>
                  <w:tcW w:w="275" w:type="pct"/>
                  <w:vMerge w:val="continue"/>
                  <w:vAlign w:val="center"/>
                </w:tcPr>
                <w:p w14:paraId="43CEF10E">
                  <w:pPr>
                    <w:autoSpaceDE w:val="0"/>
                    <w:autoSpaceDN w:val="0"/>
                    <w:adjustRightInd w:val="0"/>
                    <w:snapToGrid w:val="0"/>
                    <w:jc w:val="center"/>
                    <w:rPr>
                      <w:rFonts w:eastAsia="仿宋_GB2312"/>
                      <w:b/>
                      <w:bCs/>
                      <w:kern w:val="0"/>
                      <w:sz w:val="21"/>
                      <w:szCs w:val="21"/>
                    </w:rPr>
                  </w:pPr>
                </w:p>
              </w:tc>
            </w:tr>
            <w:tr w14:paraId="69803F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5" w:type="pct"/>
                  <w:vAlign w:val="center"/>
                </w:tcPr>
                <w:p w14:paraId="5CD1D8E2">
                  <w:pPr>
                    <w:autoSpaceDE w:val="0"/>
                    <w:autoSpaceDN w:val="0"/>
                    <w:adjustRightInd w:val="0"/>
                    <w:snapToGrid w:val="0"/>
                    <w:jc w:val="center"/>
                    <w:rPr>
                      <w:rFonts w:eastAsia="仿宋_GB2312"/>
                      <w:kern w:val="0"/>
                      <w:sz w:val="21"/>
                      <w:szCs w:val="21"/>
                    </w:rPr>
                  </w:pPr>
                  <w:r>
                    <w:rPr>
                      <w:rFonts w:eastAsia="仿宋_GB2312"/>
                      <w:kern w:val="0"/>
                      <w:sz w:val="21"/>
                      <w:szCs w:val="21"/>
                    </w:rPr>
                    <w:t>3</w:t>
                  </w:r>
                </w:p>
              </w:tc>
              <w:tc>
                <w:tcPr>
                  <w:tcW w:w="357" w:type="pct"/>
                  <w:vAlign w:val="center"/>
                </w:tcPr>
                <w:p w14:paraId="63D191B4">
                  <w:pPr>
                    <w:autoSpaceDE w:val="0"/>
                    <w:autoSpaceDN w:val="0"/>
                    <w:adjustRightInd w:val="0"/>
                    <w:snapToGrid w:val="0"/>
                    <w:jc w:val="center"/>
                    <w:rPr>
                      <w:rFonts w:eastAsia="仿宋_GB2312"/>
                      <w:kern w:val="0"/>
                      <w:sz w:val="21"/>
                      <w:szCs w:val="21"/>
                    </w:rPr>
                  </w:pPr>
                  <w:r>
                    <w:rPr>
                      <w:rFonts w:eastAsia="仿宋_GB2312"/>
                      <w:kern w:val="0"/>
                      <w:sz w:val="21"/>
                      <w:szCs w:val="21"/>
                    </w:rPr>
                    <w:t>废漆桶</w:t>
                  </w:r>
                </w:p>
              </w:tc>
              <w:tc>
                <w:tcPr>
                  <w:tcW w:w="433" w:type="pct"/>
                  <w:vAlign w:val="center"/>
                </w:tcPr>
                <w:p w14:paraId="4E25FD34">
                  <w:pPr>
                    <w:autoSpaceDE w:val="0"/>
                    <w:autoSpaceDN w:val="0"/>
                    <w:adjustRightInd w:val="0"/>
                    <w:snapToGrid w:val="0"/>
                    <w:jc w:val="center"/>
                    <w:rPr>
                      <w:rFonts w:eastAsia="仿宋_GB2312"/>
                      <w:kern w:val="0"/>
                      <w:sz w:val="21"/>
                      <w:szCs w:val="21"/>
                    </w:rPr>
                  </w:pPr>
                  <w:r>
                    <w:rPr>
                      <w:rFonts w:eastAsia="仿宋_GB2312"/>
                      <w:kern w:val="0"/>
                      <w:sz w:val="21"/>
                      <w:szCs w:val="21"/>
                    </w:rPr>
                    <w:t xml:space="preserve">HW49 </w:t>
                  </w:r>
                </w:p>
              </w:tc>
              <w:tc>
                <w:tcPr>
                  <w:tcW w:w="678" w:type="pct"/>
                  <w:vAlign w:val="center"/>
                </w:tcPr>
                <w:p w14:paraId="06C1066B">
                  <w:pPr>
                    <w:autoSpaceDE w:val="0"/>
                    <w:autoSpaceDN w:val="0"/>
                    <w:adjustRightInd w:val="0"/>
                    <w:snapToGrid w:val="0"/>
                    <w:jc w:val="center"/>
                    <w:rPr>
                      <w:rFonts w:eastAsia="仿宋_GB2312"/>
                      <w:kern w:val="0"/>
                      <w:sz w:val="21"/>
                      <w:szCs w:val="21"/>
                    </w:rPr>
                  </w:pPr>
                  <w:r>
                    <w:rPr>
                      <w:rFonts w:eastAsia="仿宋_GB2312"/>
                      <w:kern w:val="0"/>
                      <w:sz w:val="21"/>
                      <w:szCs w:val="21"/>
                    </w:rPr>
                    <w:t>900-041-49</w:t>
                  </w:r>
                </w:p>
              </w:tc>
              <w:tc>
                <w:tcPr>
                  <w:tcW w:w="514" w:type="pct"/>
                  <w:vAlign w:val="center"/>
                </w:tcPr>
                <w:p w14:paraId="49016DC5">
                  <w:pPr>
                    <w:autoSpaceDE w:val="0"/>
                    <w:autoSpaceDN w:val="0"/>
                    <w:adjustRightInd w:val="0"/>
                    <w:snapToGrid w:val="0"/>
                    <w:jc w:val="center"/>
                    <w:rPr>
                      <w:rFonts w:eastAsia="仿宋_GB2312"/>
                      <w:kern w:val="0"/>
                      <w:sz w:val="21"/>
                      <w:szCs w:val="21"/>
                    </w:rPr>
                  </w:pPr>
                  <w:r>
                    <w:rPr>
                      <w:rFonts w:hint="eastAsia" w:eastAsia="仿宋_GB2312"/>
                      <w:sz w:val="21"/>
                      <w:szCs w:val="21"/>
                    </w:rPr>
                    <w:t>0.5</w:t>
                  </w:r>
                </w:p>
              </w:tc>
              <w:tc>
                <w:tcPr>
                  <w:tcW w:w="577" w:type="pct"/>
                  <w:vAlign w:val="center"/>
                </w:tcPr>
                <w:p w14:paraId="7A4BD7E5">
                  <w:pPr>
                    <w:autoSpaceDE w:val="0"/>
                    <w:autoSpaceDN w:val="0"/>
                    <w:adjustRightInd w:val="0"/>
                    <w:snapToGrid w:val="0"/>
                    <w:jc w:val="center"/>
                    <w:rPr>
                      <w:rFonts w:eastAsia="仿宋_GB2312"/>
                      <w:kern w:val="0"/>
                      <w:sz w:val="21"/>
                      <w:szCs w:val="21"/>
                    </w:rPr>
                  </w:pPr>
                  <w:r>
                    <w:rPr>
                      <w:rFonts w:eastAsia="仿宋_GB2312"/>
                      <w:kern w:val="0"/>
                      <w:sz w:val="21"/>
                      <w:szCs w:val="21"/>
                    </w:rPr>
                    <w:t>设备维护</w:t>
                  </w:r>
                </w:p>
              </w:tc>
              <w:tc>
                <w:tcPr>
                  <w:tcW w:w="283" w:type="pct"/>
                  <w:vAlign w:val="center"/>
                </w:tcPr>
                <w:p w14:paraId="49B40FD3">
                  <w:pPr>
                    <w:autoSpaceDE w:val="0"/>
                    <w:autoSpaceDN w:val="0"/>
                    <w:adjustRightInd w:val="0"/>
                    <w:snapToGrid w:val="0"/>
                    <w:jc w:val="center"/>
                    <w:rPr>
                      <w:rFonts w:eastAsia="仿宋_GB2312"/>
                      <w:kern w:val="0"/>
                      <w:sz w:val="21"/>
                      <w:szCs w:val="21"/>
                    </w:rPr>
                  </w:pPr>
                  <w:r>
                    <w:rPr>
                      <w:rFonts w:eastAsia="仿宋_GB2312"/>
                      <w:kern w:val="0"/>
                      <w:sz w:val="21"/>
                      <w:szCs w:val="21"/>
                      <w:lang w:val="zh-CN"/>
                    </w:rPr>
                    <w:t>固</w:t>
                  </w:r>
                </w:p>
              </w:tc>
              <w:tc>
                <w:tcPr>
                  <w:tcW w:w="408" w:type="pct"/>
                  <w:vAlign w:val="center"/>
                </w:tcPr>
                <w:p w14:paraId="6814CAE9">
                  <w:pPr>
                    <w:autoSpaceDE w:val="0"/>
                    <w:autoSpaceDN w:val="0"/>
                    <w:adjustRightInd w:val="0"/>
                    <w:snapToGrid w:val="0"/>
                    <w:jc w:val="center"/>
                    <w:rPr>
                      <w:rFonts w:eastAsia="仿宋_GB2312"/>
                      <w:kern w:val="0"/>
                      <w:sz w:val="21"/>
                      <w:szCs w:val="21"/>
                    </w:rPr>
                  </w:pPr>
                  <w:r>
                    <w:rPr>
                      <w:rFonts w:eastAsia="仿宋_GB2312"/>
                      <w:kern w:val="0"/>
                      <w:sz w:val="21"/>
                      <w:szCs w:val="21"/>
                    </w:rPr>
                    <w:t>废漆桶</w:t>
                  </w:r>
                </w:p>
              </w:tc>
              <w:tc>
                <w:tcPr>
                  <w:tcW w:w="518" w:type="pct"/>
                  <w:vAlign w:val="center"/>
                </w:tcPr>
                <w:p w14:paraId="409F8D1E">
                  <w:pPr>
                    <w:autoSpaceDE w:val="0"/>
                    <w:autoSpaceDN w:val="0"/>
                    <w:adjustRightInd w:val="0"/>
                    <w:snapToGrid w:val="0"/>
                    <w:jc w:val="center"/>
                    <w:rPr>
                      <w:rFonts w:eastAsia="仿宋_GB2312"/>
                      <w:kern w:val="0"/>
                      <w:sz w:val="21"/>
                      <w:szCs w:val="21"/>
                    </w:rPr>
                  </w:pPr>
                  <w:r>
                    <w:rPr>
                      <w:rFonts w:eastAsia="仿宋_GB2312"/>
                      <w:kern w:val="0"/>
                      <w:sz w:val="21"/>
                      <w:szCs w:val="21"/>
                    </w:rPr>
                    <w:t>VOCs、苯系物等</w:t>
                  </w:r>
                </w:p>
              </w:tc>
              <w:tc>
                <w:tcPr>
                  <w:tcW w:w="295" w:type="pct"/>
                  <w:vAlign w:val="center"/>
                </w:tcPr>
                <w:p w14:paraId="3AC19CBD">
                  <w:pPr>
                    <w:autoSpaceDE w:val="0"/>
                    <w:autoSpaceDN w:val="0"/>
                    <w:adjustRightInd w:val="0"/>
                    <w:snapToGrid w:val="0"/>
                    <w:jc w:val="center"/>
                    <w:rPr>
                      <w:rFonts w:eastAsia="仿宋_GB2312"/>
                      <w:kern w:val="0"/>
                      <w:sz w:val="21"/>
                      <w:szCs w:val="21"/>
                    </w:rPr>
                  </w:pPr>
                  <w:r>
                    <w:rPr>
                      <w:rFonts w:eastAsia="仿宋_GB2312"/>
                      <w:kern w:val="0"/>
                      <w:sz w:val="21"/>
                      <w:szCs w:val="21"/>
                    </w:rPr>
                    <w:t>一个月</w:t>
                  </w:r>
                </w:p>
              </w:tc>
              <w:tc>
                <w:tcPr>
                  <w:tcW w:w="351" w:type="pct"/>
                  <w:vAlign w:val="center"/>
                </w:tcPr>
                <w:p w14:paraId="3B332848">
                  <w:pPr>
                    <w:autoSpaceDE w:val="0"/>
                    <w:autoSpaceDN w:val="0"/>
                    <w:adjustRightInd w:val="0"/>
                    <w:snapToGrid w:val="0"/>
                    <w:jc w:val="center"/>
                    <w:rPr>
                      <w:rFonts w:eastAsia="仿宋_GB2312"/>
                      <w:kern w:val="0"/>
                      <w:sz w:val="21"/>
                      <w:szCs w:val="21"/>
                    </w:rPr>
                  </w:pPr>
                  <w:r>
                    <w:rPr>
                      <w:rFonts w:eastAsia="仿宋_GB2312"/>
                      <w:kern w:val="0"/>
                      <w:sz w:val="21"/>
                      <w:szCs w:val="21"/>
                    </w:rPr>
                    <w:t>T/In</w:t>
                  </w:r>
                </w:p>
              </w:tc>
              <w:tc>
                <w:tcPr>
                  <w:tcW w:w="275" w:type="pct"/>
                  <w:vMerge w:val="continue"/>
                  <w:vAlign w:val="center"/>
                </w:tcPr>
                <w:p w14:paraId="5E22F901">
                  <w:pPr>
                    <w:autoSpaceDE w:val="0"/>
                    <w:autoSpaceDN w:val="0"/>
                    <w:adjustRightInd w:val="0"/>
                    <w:snapToGrid w:val="0"/>
                    <w:jc w:val="center"/>
                    <w:rPr>
                      <w:rFonts w:eastAsia="仿宋_GB2312"/>
                      <w:b/>
                      <w:bCs/>
                      <w:kern w:val="0"/>
                      <w:sz w:val="21"/>
                      <w:szCs w:val="21"/>
                    </w:rPr>
                  </w:pPr>
                </w:p>
              </w:tc>
            </w:tr>
            <w:tr w14:paraId="43A4FD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5" w:type="pct"/>
                  <w:vAlign w:val="center"/>
                </w:tcPr>
                <w:p w14:paraId="50C09032">
                  <w:pPr>
                    <w:autoSpaceDE w:val="0"/>
                    <w:autoSpaceDN w:val="0"/>
                    <w:adjustRightInd w:val="0"/>
                    <w:snapToGrid w:val="0"/>
                    <w:jc w:val="center"/>
                    <w:rPr>
                      <w:rFonts w:eastAsia="仿宋_GB2312"/>
                      <w:kern w:val="0"/>
                      <w:sz w:val="21"/>
                      <w:szCs w:val="21"/>
                    </w:rPr>
                  </w:pPr>
                  <w:r>
                    <w:rPr>
                      <w:rFonts w:eastAsia="仿宋_GB2312"/>
                      <w:kern w:val="0"/>
                      <w:sz w:val="21"/>
                      <w:szCs w:val="21"/>
                    </w:rPr>
                    <w:t>4</w:t>
                  </w:r>
                </w:p>
              </w:tc>
              <w:tc>
                <w:tcPr>
                  <w:tcW w:w="357" w:type="pct"/>
                  <w:vAlign w:val="center"/>
                </w:tcPr>
                <w:p w14:paraId="30EBF361">
                  <w:pPr>
                    <w:autoSpaceDE w:val="0"/>
                    <w:autoSpaceDN w:val="0"/>
                    <w:adjustRightInd w:val="0"/>
                    <w:snapToGrid w:val="0"/>
                    <w:jc w:val="center"/>
                    <w:rPr>
                      <w:rFonts w:eastAsia="仿宋_GB2312"/>
                      <w:kern w:val="0"/>
                      <w:sz w:val="21"/>
                      <w:szCs w:val="21"/>
                    </w:rPr>
                  </w:pPr>
                  <w:r>
                    <w:rPr>
                      <w:rFonts w:eastAsia="仿宋_GB2312"/>
                      <w:kern w:val="0"/>
                      <w:sz w:val="21"/>
                      <w:szCs w:val="21"/>
                    </w:rPr>
                    <w:t>废漆刷</w:t>
                  </w:r>
                </w:p>
              </w:tc>
              <w:tc>
                <w:tcPr>
                  <w:tcW w:w="433" w:type="pct"/>
                  <w:vAlign w:val="center"/>
                </w:tcPr>
                <w:p w14:paraId="670A3F8F">
                  <w:pPr>
                    <w:autoSpaceDE w:val="0"/>
                    <w:autoSpaceDN w:val="0"/>
                    <w:adjustRightInd w:val="0"/>
                    <w:snapToGrid w:val="0"/>
                    <w:jc w:val="center"/>
                    <w:rPr>
                      <w:rFonts w:eastAsia="仿宋_GB2312"/>
                      <w:kern w:val="0"/>
                      <w:sz w:val="21"/>
                      <w:szCs w:val="21"/>
                    </w:rPr>
                  </w:pPr>
                  <w:r>
                    <w:rPr>
                      <w:rFonts w:eastAsia="仿宋_GB2312"/>
                      <w:kern w:val="0"/>
                      <w:sz w:val="21"/>
                      <w:szCs w:val="21"/>
                    </w:rPr>
                    <w:t xml:space="preserve">HW49 </w:t>
                  </w:r>
                </w:p>
              </w:tc>
              <w:tc>
                <w:tcPr>
                  <w:tcW w:w="678" w:type="pct"/>
                  <w:vAlign w:val="center"/>
                </w:tcPr>
                <w:p w14:paraId="465213C5">
                  <w:pPr>
                    <w:autoSpaceDE w:val="0"/>
                    <w:autoSpaceDN w:val="0"/>
                    <w:adjustRightInd w:val="0"/>
                    <w:snapToGrid w:val="0"/>
                    <w:jc w:val="center"/>
                    <w:rPr>
                      <w:rFonts w:eastAsia="仿宋_GB2312"/>
                      <w:kern w:val="0"/>
                      <w:sz w:val="21"/>
                      <w:szCs w:val="21"/>
                    </w:rPr>
                  </w:pPr>
                  <w:r>
                    <w:rPr>
                      <w:rFonts w:eastAsia="仿宋_GB2312"/>
                      <w:kern w:val="0"/>
                      <w:sz w:val="21"/>
                      <w:szCs w:val="21"/>
                    </w:rPr>
                    <w:t>900-041-49</w:t>
                  </w:r>
                </w:p>
              </w:tc>
              <w:tc>
                <w:tcPr>
                  <w:tcW w:w="514" w:type="pct"/>
                  <w:vAlign w:val="center"/>
                </w:tcPr>
                <w:p w14:paraId="0B18A144">
                  <w:pPr>
                    <w:autoSpaceDE w:val="0"/>
                    <w:autoSpaceDN w:val="0"/>
                    <w:adjustRightInd w:val="0"/>
                    <w:snapToGrid w:val="0"/>
                    <w:jc w:val="center"/>
                    <w:rPr>
                      <w:rFonts w:eastAsia="仿宋_GB2312"/>
                      <w:kern w:val="0"/>
                      <w:sz w:val="21"/>
                      <w:szCs w:val="21"/>
                    </w:rPr>
                  </w:pPr>
                  <w:r>
                    <w:rPr>
                      <w:rFonts w:eastAsia="仿宋_GB2312"/>
                      <w:kern w:val="0"/>
                      <w:sz w:val="21"/>
                      <w:szCs w:val="21"/>
                    </w:rPr>
                    <w:t>0.01</w:t>
                  </w:r>
                </w:p>
              </w:tc>
              <w:tc>
                <w:tcPr>
                  <w:tcW w:w="577" w:type="pct"/>
                  <w:vAlign w:val="center"/>
                </w:tcPr>
                <w:p w14:paraId="31E926F0">
                  <w:pPr>
                    <w:autoSpaceDE w:val="0"/>
                    <w:autoSpaceDN w:val="0"/>
                    <w:adjustRightInd w:val="0"/>
                    <w:snapToGrid w:val="0"/>
                    <w:jc w:val="center"/>
                    <w:rPr>
                      <w:rFonts w:eastAsia="仿宋_GB2312"/>
                      <w:kern w:val="0"/>
                      <w:sz w:val="21"/>
                      <w:szCs w:val="21"/>
                    </w:rPr>
                  </w:pPr>
                  <w:r>
                    <w:rPr>
                      <w:rFonts w:eastAsia="仿宋_GB2312"/>
                      <w:kern w:val="0"/>
                      <w:sz w:val="21"/>
                      <w:szCs w:val="21"/>
                    </w:rPr>
                    <w:t>设备维护</w:t>
                  </w:r>
                </w:p>
              </w:tc>
              <w:tc>
                <w:tcPr>
                  <w:tcW w:w="283" w:type="pct"/>
                  <w:vAlign w:val="center"/>
                </w:tcPr>
                <w:p w14:paraId="4EAA33EE">
                  <w:pPr>
                    <w:autoSpaceDE w:val="0"/>
                    <w:autoSpaceDN w:val="0"/>
                    <w:adjustRightInd w:val="0"/>
                    <w:snapToGrid w:val="0"/>
                    <w:jc w:val="center"/>
                    <w:rPr>
                      <w:rFonts w:eastAsia="仿宋_GB2312"/>
                      <w:kern w:val="0"/>
                      <w:sz w:val="21"/>
                      <w:szCs w:val="21"/>
                    </w:rPr>
                  </w:pPr>
                  <w:r>
                    <w:rPr>
                      <w:rFonts w:eastAsia="仿宋_GB2312"/>
                      <w:kern w:val="0"/>
                      <w:sz w:val="21"/>
                      <w:szCs w:val="21"/>
                      <w:lang w:val="zh-CN"/>
                    </w:rPr>
                    <w:t>固</w:t>
                  </w:r>
                </w:p>
              </w:tc>
              <w:tc>
                <w:tcPr>
                  <w:tcW w:w="408" w:type="pct"/>
                  <w:vAlign w:val="center"/>
                </w:tcPr>
                <w:p w14:paraId="0C35A9D1">
                  <w:pPr>
                    <w:autoSpaceDE w:val="0"/>
                    <w:autoSpaceDN w:val="0"/>
                    <w:adjustRightInd w:val="0"/>
                    <w:snapToGrid w:val="0"/>
                    <w:jc w:val="center"/>
                    <w:rPr>
                      <w:rFonts w:eastAsia="仿宋_GB2312"/>
                      <w:kern w:val="0"/>
                      <w:sz w:val="21"/>
                      <w:szCs w:val="21"/>
                    </w:rPr>
                  </w:pPr>
                  <w:r>
                    <w:rPr>
                      <w:rFonts w:eastAsia="仿宋_GB2312"/>
                      <w:kern w:val="0"/>
                      <w:sz w:val="21"/>
                      <w:szCs w:val="21"/>
                    </w:rPr>
                    <w:t>废漆刷</w:t>
                  </w:r>
                </w:p>
              </w:tc>
              <w:tc>
                <w:tcPr>
                  <w:tcW w:w="518" w:type="pct"/>
                  <w:vAlign w:val="center"/>
                </w:tcPr>
                <w:p w14:paraId="0F87139D">
                  <w:pPr>
                    <w:autoSpaceDE w:val="0"/>
                    <w:autoSpaceDN w:val="0"/>
                    <w:adjustRightInd w:val="0"/>
                    <w:snapToGrid w:val="0"/>
                    <w:jc w:val="center"/>
                    <w:rPr>
                      <w:rFonts w:eastAsia="仿宋_GB2312"/>
                      <w:kern w:val="0"/>
                      <w:sz w:val="21"/>
                      <w:szCs w:val="21"/>
                    </w:rPr>
                  </w:pPr>
                  <w:r>
                    <w:rPr>
                      <w:rFonts w:eastAsia="仿宋_GB2312"/>
                      <w:kern w:val="0"/>
                      <w:sz w:val="21"/>
                      <w:szCs w:val="21"/>
                    </w:rPr>
                    <w:t>VOCs、苯系物等</w:t>
                  </w:r>
                </w:p>
              </w:tc>
              <w:tc>
                <w:tcPr>
                  <w:tcW w:w="295" w:type="pct"/>
                  <w:vAlign w:val="center"/>
                </w:tcPr>
                <w:p w14:paraId="4876525D">
                  <w:pPr>
                    <w:autoSpaceDE w:val="0"/>
                    <w:autoSpaceDN w:val="0"/>
                    <w:adjustRightInd w:val="0"/>
                    <w:snapToGrid w:val="0"/>
                    <w:jc w:val="center"/>
                    <w:rPr>
                      <w:rFonts w:eastAsia="仿宋_GB2312"/>
                      <w:kern w:val="0"/>
                      <w:sz w:val="21"/>
                      <w:szCs w:val="21"/>
                    </w:rPr>
                  </w:pPr>
                  <w:r>
                    <w:rPr>
                      <w:rFonts w:eastAsia="仿宋_GB2312"/>
                      <w:kern w:val="0"/>
                      <w:sz w:val="21"/>
                      <w:szCs w:val="21"/>
                    </w:rPr>
                    <w:t>一个月</w:t>
                  </w:r>
                </w:p>
              </w:tc>
              <w:tc>
                <w:tcPr>
                  <w:tcW w:w="351" w:type="pct"/>
                  <w:vAlign w:val="center"/>
                </w:tcPr>
                <w:p w14:paraId="6A1CEBD5">
                  <w:pPr>
                    <w:autoSpaceDE w:val="0"/>
                    <w:autoSpaceDN w:val="0"/>
                    <w:adjustRightInd w:val="0"/>
                    <w:snapToGrid w:val="0"/>
                    <w:jc w:val="center"/>
                    <w:rPr>
                      <w:rFonts w:eastAsia="仿宋_GB2312"/>
                      <w:kern w:val="0"/>
                      <w:sz w:val="21"/>
                      <w:szCs w:val="21"/>
                    </w:rPr>
                  </w:pPr>
                  <w:r>
                    <w:rPr>
                      <w:rFonts w:eastAsia="仿宋_GB2312"/>
                      <w:kern w:val="0"/>
                      <w:sz w:val="21"/>
                      <w:szCs w:val="21"/>
                    </w:rPr>
                    <w:t>T/In</w:t>
                  </w:r>
                </w:p>
              </w:tc>
              <w:tc>
                <w:tcPr>
                  <w:tcW w:w="275" w:type="pct"/>
                  <w:vMerge w:val="continue"/>
                  <w:vAlign w:val="center"/>
                </w:tcPr>
                <w:p w14:paraId="1EFCCFC9">
                  <w:pPr>
                    <w:autoSpaceDE w:val="0"/>
                    <w:autoSpaceDN w:val="0"/>
                    <w:adjustRightInd w:val="0"/>
                    <w:snapToGrid w:val="0"/>
                    <w:jc w:val="center"/>
                    <w:rPr>
                      <w:rFonts w:eastAsia="仿宋_GB2312"/>
                      <w:b/>
                      <w:bCs/>
                      <w:kern w:val="0"/>
                      <w:sz w:val="21"/>
                      <w:szCs w:val="21"/>
                    </w:rPr>
                  </w:pPr>
                </w:p>
              </w:tc>
            </w:tr>
            <w:tr w14:paraId="11A9C1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5" w:type="pct"/>
                  <w:vAlign w:val="center"/>
                </w:tcPr>
                <w:p w14:paraId="4A040333">
                  <w:pPr>
                    <w:autoSpaceDE w:val="0"/>
                    <w:autoSpaceDN w:val="0"/>
                    <w:adjustRightInd w:val="0"/>
                    <w:snapToGrid w:val="0"/>
                    <w:jc w:val="center"/>
                    <w:rPr>
                      <w:rFonts w:eastAsia="仿宋_GB2312"/>
                      <w:kern w:val="0"/>
                      <w:sz w:val="21"/>
                      <w:szCs w:val="21"/>
                    </w:rPr>
                  </w:pPr>
                  <w:r>
                    <w:rPr>
                      <w:rFonts w:hint="eastAsia" w:eastAsia="仿宋_GB2312"/>
                      <w:kern w:val="0"/>
                      <w:sz w:val="21"/>
                      <w:szCs w:val="21"/>
                    </w:rPr>
                    <w:t>5</w:t>
                  </w:r>
                </w:p>
              </w:tc>
              <w:tc>
                <w:tcPr>
                  <w:tcW w:w="357" w:type="pct"/>
                  <w:vAlign w:val="center"/>
                </w:tcPr>
                <w:p w14:paraId="383144BE">
                  <w:pPr>
                    <w:autoSpaceDE w:val="0"/>
                    <w:autoSpaceDN w:val="0"/>
                    <w:adjustRightInd w:val="0"/>
                    <w:snapToGrid w:val="0"/>
                    <w:jc w:val="center"/>
                    <w:rPr>
                      <w:rFonts w:eastAsia="仿宋_GB2312"/>
                      <w:kern w:val="0"/>
                      <w:sz w:val="21"/>
                      <w:szCs w:val="21"/>
                    </w:rPr>
                  </w:pPr>
                  <w:r>
                    <w:rPr>
                      <w:rFonts w:eastAsia="仿宋_GB2312"/>
                      <w:kern w:val="0"/>
                      <w:sz w:val="21"/>
                      <w:szCs w:val="21"/>
                    </w:rPr>
                    <w:t>实验室废液</w:t>
                  </w:r>
                </w:p>
              </w:tc>
              <w:tc>
                <w:tcPr>
                  <w:tcW w:w="433" w:type="pct"/>
                  <w:vAlign w:val="center"/>
                </w:tcPr>
                <w:p w14:paraId="3EEA60FC">
                  <w:pPr>
                    <w:autoSpaceDE w:val="0"/>
                    <w:autoSpaceDN w:val="0"/>
                    <w:adjustRightInd w:val="0"/>
                    <w:snapToGrid w:val="0"/>
                    <w:jc w:val="center"/>
                    <w:rPr>
                      <w:rFonts w:eastAsia="仿宋_GB2312"/>
                      <w:kern w:val="0"/>
                      <w:sz w:val="21"/>
                      <w:szCs w:val="21"/>
                    </w:rPr>
                  </w:pPr>
                  <w:r>
                    <w:rPr>
                      <w:rFonts w:eastAsia="仿宋_GB2312"/>
                      <w:kern w:val="0"/>
                      <w:sz w:val="21"/>
                      <w:szCs w:val="21"/>
                    </w:rPr>
                    <w:t>HW06</w:t>
                  </w:r>
                </w:p>
              </w:tc>
              <w:tc>
                <w:tcPr>
                  <w:tcW w:w="678" w:type="pct"/>
                  <w:vAlign w:val="center"/>
                </w:tcPr>
                <w:p w14:paraId="45BC8094">
                  <w:pPr>
                    <w:autoSpaceDE w:val="0"/>
                    <w:autoSpaceDN w:val="0"/>
                    <w:adjustRightInd w:val="0"/>
                    <w:snapToGrid w:val="0"/>
                    <w:jc w:val="center"/>
                    <w:rPr>
                      <w:rFonts w:eastAsia="仿宋_GB2312"/>
                      <w:kern w:val="0"/>
                      <w:sz w:val="21"/>
                      <w:szCs w:val="21"/>
                    </w:rPr>
                  </w:pPr>
                  <w:r>
                    <w:rPr>
                      <w:rFonts w:eastAsia="仿宋_GB2312"/>
                      <w:kern w:val="0"/>
                      <w:sz w:val="21"/>
                      <w:szCs w:val="21"/>
                    </w:rPr>
                    <w:t>900-404-06</w:t>
                  </w:r>
                </w:p>
              </w:tc>
              <w:tc>
                <w:tcPr>
                  <w:tcW w:w="514" w:type="pct"/>
                  <w:vAlign w:val="center"/>
                </w:tcPr>
                <w:p w14:paraId="6261BAC2">
                  <w:pPr>
                    <w:autoSpaceDE w:val="0"/>
                    <w:autoSpaceDN w:val="0"/>
                    <w:adjustRightInd w:val="0"/>
                    <w:snapToGrid w:val="0"/>
                    <w:jc w:val="center"/>
                    <w:rPr>
                      <w:rFonts w:eastAsia="仿宋_GB2312"/>
                      <w:kern w:val="0"/>
                      <w:sz w:val="21"/>
                      <w:szCs w:val="21"/>
                    </w:rPr>
                  </w:pPr>
                  <w:r>
                    <w:rPr>
                      <w:rFonts w:eastAsia="仿宋_GB2312"/>
                      <w:kern w:val="0"/>
                      <w:sz w:val="21"/>
                      <w:szCs w:val="21"/>
                    </w:rPr>
                    <w:t>1.5</w:t>
                  </w:r>
                </w:p>
              </w:tc>
              <w:tc>
                <w:tcPr>
                  <w:tcW w:w="577" w:type="pct"/>
                  <w:vAlign w:val="center"/>
                </w:tcPr>
                <w:p w14:paraId="07090F63">
                  <w:pPr>
                    <w:autoSpaceDE w:val="0"/>
                    <w:autoSpaceDN w:val="0"/>
                    <w:adjustRightInd w:val="0"/>
                    <w:snapToGrid w:val="0"/>
                    <w:jc w:val="center"/>
                    <w:rPr>
                      <w:rFonts w:eastAsia="仿宋_GB2312"/>
                      <w:kern w:val="0"/>
                      <w:sz w:val="21"/>
                      <w:szCs w:val="21"/>
                    </w:rPr>
                  </w:pPr>
                  <w:r>
                    <w:rPr>
                      <w:rFonts w:eastAsia="仿宋_GB2312"/>
                      <w:kern w:val="0"/>
                      <w:sz w:val="21"/>
                      <w:szCs w:val="21"/>
                    </w:rPr>
                    <w:t>实验室检测</w:t>
                  </w:r>
                </w:p>
              </w:tc>
              <w:tc>
                <w:tcPr>
                  <w:tcW w:w="283" w:type="pct"/>
                  <w:vAlign w:val="center"/>
                </w:tcPr>
                <w:p w14:paraId="15B9BC6E">
                  <w:pPr>
                    <w:autoSpaceDE w:val="0"/>
                    <w:autoSpaceDN w:val="0"/>
                    <w:adjustRightInd w:val="0"/>
                    <w:snapToGrid w:val="0"/>
                    <w:jc w:val="center"/>
                    <w:rPr>
                      <w:rFonts w:eastAsia="仿宋_GB2312"/>
                      <w:kern w:val="0"/>
                      <w:sz w:val="21"/>
                      <w:szCs w:val="21"/>
                    </w:rPr>
                  </w:pPr>
                  <w:r>
                    <w:rPr>
                      <w:rFonts w:eastAsia="仿宋_GB2312"/>
                      <w:kern w:val="0"/>
                      <w:sz w:val="21"/>
                      <w:szCs w:val="21"/>
                    </w:rPr>
                    <w:t>液</w:t>
                  </w:r>
                </w:p>
              </w:tc>
              <w:tc>
                <w:tcPr>
                  <w:tcW w:w="408" w:type="pct"/>
                  <w:vAlign w:val="center"/>
                </w:tcPr>
                <w:p w14:paraId="566D4059">
                  <w:pPr>
                    <w:autoSpaceDE w:val="0"/>
                    <w:autoSpaceDN w:val="0"/>
                    <w:adjustRightInd w:val="0"/>
                    <w:snapToGrid w:val="0"/>
                    <w:jc w:val="center"/>
                    <w:rPr>
                      <w:rFonts w:eastAsia="仿宋_GB2312"/>
                      <w:kern w:val="0"/>
                      <w:sz w:val="21"/>
                      <w:szCs w:val="21"/>
                    </w:rPr>
                  </w:pPr>
                  <w:r>
                    <w:rPr>
                      <w:rFonts w:eastAsia="仿宋_GB2312"/>
                      <w:kern w:val="0"/>
                      <w:sz w:val="21"/>
                      <w:szCs w:val="21"/>
                    </w:rPr>
                    <w:t>有机溶剂</w:t>
                  </w:r>
                </w:p>
              </w:tc>
              <w:tc>
                <w:tcPr>
                  <w:tcW w:w="518" w:type="pct"/>
                  <w:vAlign w:val="center"/>
                </w:tcPr>
                <w:p w14:paraId="2BA6607D">
                  <w:pPr>
                    <w:autoSpaceDE w:val="0"/>
                    <w:autoSpaceDN w:val="0"/>
                    <w:adjustRightInd w:val="0"/>
                    <w:snapToGrid w:val="0"/>
                    <w:jc w:val="center"/>
                    <w:rPr>
                      <w:rFonts w:eastAsia="仿宋_GB2312"/>
                      <w:kern w:val="0"/>
                      <w:sz w:val="21"/>
                      <w:szCs w:val="21"/>
                    </w:rPr>
                  </w:pPr>
                  <w:r>
                    <w:rPr>
                      <w:rFonts w:eastAsia="仿宋_GB2312"/>
                      <w:kern w:val="0"/>
                      <w:sz w:val="21"/>
                      <w:szCs w:val="21"/>
                    </w:rPr>
                    <w:t>有机物等</w:t>
                  </w:r>
                </w:p>
              </w:tc>
              <w:tc>
                <w:tcPr>
                  <w:tcW w:w="295" w:type="pct"/>
                  <w:vAlign w:val="center"/>
                </w:tcPr>
                <w:p w14:paraId="07B00319">
                  <w:pPr>
                    <w:autoSpaceDE w:val="0"/>
                    <w:autoSpaceDN w:val="0"/>
                    <w:adjustRightInd w:val="0"/>
                    <w:snapToGrid w:val="0"/>
                    <w:jc w:val="center"/>
                    <w:rPr>
                      <w:rFonts w:eastAsia="仿宋_GB2312"/>
                      <w:kern w:val="0"/>
                      <w:sz w:val="21"/>
                      <w:szCs w:val="21"/>
                    </w:rPr>
                  </w:pPr>
                  <w:r>
                    <w:rPr>
                      <w:rFonts w:eastAsia="仿宋_GB2312"/>
                      <w:kern w:val="0"/>
                      <w:sz w:val="21"/>
                      <w:szCs w:val="21"/>
                    </w:rPr>
                    <w:t>一个月</w:t>
                  </w:r>
                </w:p>
              </w:tc>
              <w:tc>
                <w:tcPr>
                  <w:tcW w:w="351" w:type="pct"/>
                  <w:vAlign w:val="center"/>
                </w:tcPr>
                <w:p w14:paraId="5B1C6B16">
                  <w:pPr>
                    <w:autoSpaceDE w:val="0"/>
                    <w:autoSpaceDN w:val="0"/>
                    <w:adjustRightInd w:val="0"/>
                    <w:snapToGrid w:val="0"/>
                    <w:jc w:val="center"/>
                    <w:rPr>
                      <w:rFonts w:eastAsia="仿宋_GB2312"/>
                      <w:kern w:val="0"/>
                      <w:sz w:val="21"/>
                      <w:szCs w:val="21"/>
                    </w:rPr>
                  </w:pPr>
                  <w:r>
                    <w:rPr>
                      <w:rFonts w:eastAsia="仿宋_GB2312"/>
                      <w:kern w:val="0"/>
                      <w:sz w:val="21"/>
                      <w:szCs w:val="21"/>
                    </w:rPr>
                    <w:t>T、I、R</w:t>
                  </w:r>
                </w:p>
              </w:tc>
              <w:tc>
                <w:tcPr>
                  <w:tcW w:w="275" w:type="pct"/>
                  <w:vMerge w:val="continue"/>
                  <w:vAlign w:val="center"/>
                </w:tcPr>
                <w:p w14:paraId="046A2430">
                  <w:pPr>
                    <w:autoSpaceDE w:val="0"/>
                    <w:autoSpaceDN w:val="0"/>
                    <w:adjustRightInd w:val="0"/>
                    <w:snapToGrid w:val="0"/>
                    <w:jc w:val="center"/>
                    <w:rPr>
                      <w:rFonts w:eastAsia="仿宋_GB2312"/>
                      <w:b/>
                      <w:bCs/>
                      <w:kern w:val="0"/>
                      <w:sz w:val="21"/>
                      <w:szCs w:val="21"/>
                    </w:rPr>
                  </w:pPr>
                </w:p>
              </w:tc>
            </w:tr>
          </w:tbl>
          <w:p w14:paraId="7A74490C">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jc w:val="center"/>
              <w:textAlignment w:val="auto"/>
              <w:rPr>
                <w:rFonts w:eastAsia="仿宋_GB2312"/>
                <w:b/>
                <w:bCs/>
                <w:kern w:val="0"/>
              </w:rPr>
            </w:pPr>
            <w:r>
              <w:rPr>
                <w:rFonts w:eastAsia="仿宋_GB2312"/>
                <w:b/>
                <w:bCs/>
                <w:kern w:val="0"/>
              </w:rPr>
              <w:t>表4-</w:t>
            </w:r>
            <w:r>
              <w:rPr>
                <w:rFonts w:hint="eastAsia" w:eastAsia="仿宋_GB2312"/>
                <w:b/>
                <w:bCs/>
                <w:kern w:val="0"/>
                <w:lang w:val="en-US" w:eastAsia="zh-CN"/>
              </w:rPr>
              <w:t xml:space="preserve">31  </w:t>
            </w:r>
            <w:r>
              <w:rPr>
                <w:rFonts w:eastAsia="仿宋_GB2312"/>
                <w:b/>
                <w:bCs/>
                <w:kern w:val="0"/>
              </w:rPr>
              <w:t>固体废物污染源源强核算结果及相关参数一览表</w:t>
            </w:r>
          </w:p>
          <w:tbl>
            <w:tblPr>
              <w:tblStyle w:val="31"/>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19"/>
              <w:gridCol w:w="1600"/>
              <w:gridCol w:w="1450"/>
              <w:gridCol w:w="903"/>
              <w:gridCol w:w="893"/>
              <w:gridCol w:w="895"/>
              <w:gridCol w:w="1041"/>
              <w:gridCol w:w="1192"/>
            </w:tblGrid>
            <w:tr w14:paraId="68D03D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306" w:type="pct"/>
                  <w:vMerge w:val="restart"/>
                  <w:vAlign w:val="center"/>
                </w:tcPr>
                <w:p w14:paraId="116278B7">
                  <w:pPr>
                    <w:adjustRightInd w:val="0"/>
                    <w:snapToGrid w:val="0"/>
                    <w:jc w:val="center"/>
                    <w:rPr>
                      <w:rFonts w:eastAsia="仿宋_GB2312"/>
                      <w:b/>
                      <w:kern w:val="0"/>
                      <w:sz w:val="21"/>
                      <w:szCs w:val="21"/>
                    </w:rPr>
                  </w:pPr>
                  <w:r>
                    <w:rPr>
                      <w:rFonts w:eastAsia="仿宋_GB2312"/>
                      <w:b/>
                      <w:kern w:val="0"/>
                      <w:sz w:val="21"/>
                      <w:szCs w:val="21"/>
                    </w:rPr>
                    <w:t>工序/生产线</w:t>
                  </w:r>
                </w:p>
              </w:tc>
              <w:tc>
                <w:tcPr>
                  <w:tcW w:w="941" w:type="pct"/>
                  <w:vMerge w:val="restart"/>
                  <w:vAlign w:val="center"/>
                </w:tcPr>
                <w:p w14:paraId="612C5035">
                  <w:pPr>
                    <w:adjustRightInd w:val="0"/>
                    <w:snapToGrid w:val="0"/>
                    <w:jc w:val="center"/>
                    <w:rPr>
                      <w:rFonts w:eastAsia="仿宋_GB2312"/>
                      <w:b/>
                      <w:color w:val="000000" w:themeColor="text1"/>
                      <w:kern w:val="0"/>
                      <w:sz w:val="21"/>
                      <w:szCs w:val="21"/>
                    </w:rPr>
                  </w:pPr>
                  <w:r>
                    <w:rPr>
                      <w:rFonts w:eastAsia="仿宋_GB2312"/>
                      <w:b/>
                      <w:color w:val="000000" w:themeColor="text1"/>
                      <w:kern w:val="0"/>
                      <w:sz w:val="21"/>
                      <w:szCs w:val="21"/>
                    </w:rPr>
                    <w:t>装置</w:t>
                  </w:r>
                </w:p>
              </w:tc>
              <w:tc>
                <w:tcPr>
                  <w:tcW w:w="853" w:type="pct"/>
                  <w:vMerge w:val="restart"/>
                  <w:vAlign w:val="center"/>
                </w:tcPr>
                <w:p w14:paraId="07D338CD">
                  <w:pPr>
                    <w:adjustRightInd w:val="0"/>
                    <w:snapToGrid w:val="0"/>
                    <w:jc w:val="center"/>
                    <w:rPr>
                      <w:rFonts w:eastAsia="仿宋_GB2312"/>
                      <w:b/>
                      <w:color w:val="000000" w:themeColor="text1"/>
                      <w:kern w:val="0"/>
                      <w:sz w:val="21"/>
                      <w:szCs w:val="21"/>
                    </w:rPr>
                  </w:pPr>
                  <w:r>
                    <w:rPr>
                      <w:rFonts w:eastAsia="仿宋_GB2312"/>
                      <w:b/>
                      <w:color w:val="000000" w:themeColor="text1"/>
                      <w:kern w:val="0"/>
                      <w:sz w:val="21"/>
                      <w:szCs w:val="21"/>
                    </w:rPr>
                    <w:t>固体废物名称</w:t>
                  </w:r>
                </w:p>
              </w:tc>
              <w:tc>
                <w:tcPr>
                  <w:tcW w:w="531" w:type="pct"/>
                  <w:vMerge w:val="restart"/>
                  <w:vAlign w:val="center"/>
                </w:tcPr>
                <w:p w14:paraId="6B98CCEB">
                  <w:pPr>
                    <w:adjustRightInd w:val="0"/>
                    <w:snapToGrid w:val="0"/>
                    <w:jc w:val="center"/>
                    <w:rPr>
                      <w:rFonts w:eastAsia="仿宋_GB2312"/>
                      <w:b/>
                      <w:color w:val="000000" w:themeColor="text1"/>
                      <w:kern w:val="0"/>
                      <w:sz w:val="21"/>
                      <w:szCs w:val="21"/>
                    </w:rPr>
                  </w:pPr>
                  <w:r>
                    <w:rPr>
                      <w:rFonts w:eastAsia="仿宋_GB2312"/>
                      <w:b/>
                      <w:color w:val="000000" w:themeColor="text1"/>
                      <w:kern w:val="0"/>
                      <w:sz w:val="21"/>
                      <w:szCs w:val="21"/>
                    </w:rPr>
                    <w:t>固废属性</w:t>
                  </w:r>
                </w:p>
              </w:tc>
              <w:tc>
                <w:tcPr>
                  <w:tcW w:w="1051" w:type="pct"/>
                  <w:gridSpan w:val="2"/>
                  <w:vAlign w:val="center"/>
                </w:tcPr>
                <w:p w14:paraId="0CB18236">
                  <w:pPr>
                    <w:adjustRightInd w:val="0"/>
                    <w:snapToGrid w:val="0"/>
                    <w:jc w:val="center"/>
                    <w:rPr>
                      <w:rFonts w:eastAsia="仿宋_GB2312"/>
                      <w:b/>
                      <w:color w:val="000000" w:themeColor="text1"/>
                      <w:kern w:val="0"/>
                      <w:sz w:val="21"/>
                      <w:szCs w:val="21"/>
                    </w:rPr>
                  </w:pPr>
                  <w:r>
                    <w:rPr>
                      <w:rFonts w:eastAsia="仿宋_GB2312"/>
                      <w:b/>
                      <w:color w:val="000000" w:themeColor="text1"/>
                      <w:kern w:val="0"/>
                      <w:sz w:val="21"/>
                      <w:szCs w:val="21"/>
                    </w:rPr>
                    <w:t>产生情况</w:t>
                  </w:r>
                </w:p>
              </w:tc>
              <w:tc>
                <w:tcPr>
                  <w:tcW w:w="1314" w:type="pct"/>
                  <w:gridSpan w:val="2"/>
                  <w:vAlign w:val="center"/>
                </w:tcPr>
                <w:p w14:paraId="7CCE6F45">
                  <w:pPr>
                    <w:adjustRightInd w:val="0"/>
                    <w:snapToGrid w:val="0"/>
                    <w:jc w:val="center"/>
                    <w:rPr>
                      <w:rFonts w:eastAsia="仿宋_GB2312"/>
                      <w:b/>
                      <w:color w:val="000000" w:themeColor="text1"/>
                      <w:kern w:val="0"/>
                      <w:sz w:val="21"/>
                      <w:szCs w:val="21"/>
                    </w:rPr>
                  </w:pPr>
                  <w:r>
                    <w:rPr>
                      <w:rFonts w:eastAsia="仿宋_GB2312"/>
                      <w:b/>
                      <w:color w:val="000000" w:themeColor="text1"/>
                      <w:kern w:val="0"/>
                      <w:sz w:val="21"/>
                      <w:szCs w:val="21"/>
                    </w:rPr>
                    <w:t>处置措施</w:t>
                  </w:r>
                </w:p>
              </w:tc>
            </w:tr>
            <w:tr w14:paraId="4BD8AC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306" w:type="pct"/>
                  <w:vMerge w:val="continue"/>
                  <w:vAlign w:val="center"/>
                </w:tcPr>
                <w:p w14:paraId="036C8A5D">
                  <w:pPr>
                    <w:adjustRightInd w:val="0"/>
                    <w:snapToGrid w:val="0"/>
                    <w:jc w:val="center"/>
                    <w:rPr>
                      <w:rFonts w:eastAsia="仿宋_GB2312"/>
                      <w:kern w:val="0"/>
                      <w:sz w:val="21"/>
                      <w:szCs w:val="21"/>
                    </w:rPr>
                  </w:pPr>
                </w:p>
              </w:tc>
              <w:tc>
                <w:tcPr>
                  <w:tcW w:w="941" w:type="pct"/>
                  <w:vMerge w:val="continue"/>
                  <w:vAlign w:val="center"/>
                </w:tcPr>
                <w:p w14:paraId="4D9F36BD">
                  <w:pPr>
                    <w:adjustRightInd w:val="0"/>
                    <w:snapToGrid w:val="0"/>
                    <w:jc w:val="center"/>
                    <w:rPr>
                      <w:rFonts w:eastAsia="仿宋_GB2312"/>
                      <w:color w:val="000000" w:themeColor="text1"/>
                      <w:kern w:val="0"/>
                      <w:sz w:val="21"/>
                      <w:szCs w:val="21"/>
                    </w:rPr>
                  </w:pPr>
                </w:p>
              </w:tc>
              <w:tc>
                <w:tcPr>
                  <w:tcW w:w="853" w:type="pct"/>
                  <w:vMerge w:val="continue"/>
                  <w:vAlign w:val="center"/>
                </w:tcPr>
                <w:p w14:paraId="0904C954">
                  <w:pPr>
                    <w:adjustRightInd w:val="0"/>
                    <w:snapToGrid w:val="0"/>
                    <w:jc w:val="center"/>
                    <w:rPr>
                      <w:rFonts w:eastAsia="仿宋_GB2312"/>
                      <w:color w:val="000000" w:themeColor="text1"/>
                      <w:kern w:val="0"/>
                      <w:sz w:val="21"/>
                      <w:szCs w:val="21"/>
                    </w:rPr>
                  </w:pPr>
                </w:p>
              </w:tc>
              <w:tc>
                <w:tcPr>
                  <w:tcW w:w="531" w:type="pct"/>
                  <w:vMerge w:val="continue"/>
                  <w:vAlign w:val="center"/>
                </w:tcPr>
                <w:p w14:paraId="1D69B5A6">
                  <w:pPr>
                    <w:adjustRightInd w:val="0"/>
                    <w:snapToGrid w:val="0"/>
                    <w:jc w:val="center"/>
                    <w:rPr>
                      <w:rFonts w:eastAsia="仿宋_GB2312"/>
                      <w:color w:val="000000" w:themeColor="text1"/>
                      <w:kern w:val="0"/>
                      <w:sz w:val="21"/>
                      <w:szCs w:val="21"/>
                    </w:rPr>
                  </w:pPr>
                </w:p>
              </w:tc>
              <w:tc>
                <w:tcPr>
                  <w:tcW w:w="525" w:type="pct"/>
                  <w:vAlign w:val="center"/>
                </w:tcPr>
                <w:p w14:paraId="17F07980">
                  <w:pPr>
                    <w:adjustRightInd w:val="0"/>
                    <w:snapToGrid w:val="0"/>
                    <w:jc w:val="center"/>
                    <w:rPr>
                      <w:rFonts w:eastAsia="仿宋_GB2312"/>
                      <w:b/>
                      <w:color w:val="000000" w:themeColor="text1"/>
                      <w:kern w:val="0"/>
                      <w:sz w:val="21"/>
                      <w:szCs w:val="21"/>
                    </w:rPr>
                  </w:pPr>
                  <w:r>
                    <w:rPr>
                      <w:rFonts w:eastAsia="仿宋_GB2312"/>
                      <w:b/>
                      <w:color w:val="000000" w:themeColor="text1"/>
                      <w:kern w:val="0"/>
                      <w:sz w:val="21"/>
                      <w:szCs w:val="21"/>
                    </w:rPr>
                    <w:t>核算</w:t>
                  </w:r>
                </w:p>
                <w:p w14:paraId="703CDDA8">
                  <w:pPr>
                    <w:adjustRightInd w:val="0"/>
                    <w:snapToGrid w:val="0"/>
                    <w:jc w:val="center"/>
                    <w:rPr>
                      <w:rFonts w:eastAsia="仿宋_GB2312"/>
                      <w:b/>
                      <w:color w:val="000000" w:themeColor="text1"/>
                      <w:kern w:val="0"/>
                      <w:sz w:val="21"/>
                      <w:szCs w:val="21"/>
                    </w:rPr>
                  </w:pPr>
                  <w:r>
                    <w:rPr>
                      <w:rFonts w:eastAsia="仿宋_GB2312"/>
                      <w:b/>
                      <w:color w:val="000000" w:themeColor="text1"/>
                      <w:kern w:val="0"/>
                      <w:sz w:val="21"/>
                      <w:szCs w:val="21"/>
                    </w:rPr>
                    <w:t>方法</w:t>
                  </w:r>
                </w:p>
              </w:tc>
              <w:tc>
                <w:tcPr>
                  <w:tcW w:w="526" w:type="pct"/>
                  <w:vAlign w:val="center"/>
                </w:tcPr>
                <w:p w14:paraId="25E4A8F1">
                  <w:pPr>
                    <w:adjustRightInd w:val="0"/>
                    <w:snapToGrid w:val="0"/>
                    <w:jc w:val="center"/>
                    <w:rPr>
                      <w:rFonts w:eastAsia="仿宋_GB2312"/>
                      <w:b/>
                      <w:color w:val="000000" w:themeColor="text1"/>
                      <w:kern w:val="0"/>
                      <w:sz w:val="21"/>
                      <w:szCs w:val="21"/>
                    </w:rPr>
                  </w:pPr>
                  <w:r>
                    <w:rPr>
                      <w:rFonts w:eastAsia="仿宋_GB2312"/>
                      <w:b/>
                      <w:color w:val="000000" w:themeColor="text1"/>
                      <w:kern w:val="0"/>
                      <w:sz w:val="21"/>
                      <w:szCs w:val="21"/>
                    </w:rPr>
                    <w:t>产生量/（t/a）</w:t>
                  </w:r>
                </w:p>
              </w:tc>
              <w:tc>
                <w:tcPr>
                  <w:tcW w:w="613" w:type="pct"/>
                  <w:vAlign w:val="center"/>
                </w:tcPr>
                <w:p w14:paraId="0EFB6EE7">
                  <w:pPr>
                    <w:adjustRightInd w:val="0"/>
                    <w:snapToGrid w:val="0"/>
                    <w:jc w:val="center"/>
                    <w:rPr>
                      <w:rFonts w:eastAsia="仿宋_GB2312"/>
                      <w:b/>
                      <w:color w:val="000000" w:themeColor="text1"/>
                      <w:kern w:val="0"/>
                      <w:sz w:val="21"/>
                      <w:szCs w:val="21"/>
                    </w:rPr>
                  </w:pPr>
                  <w:r>
                    <w:rPr>
                      <w:rFonts w:eastAsia="仿宋_GB2312"/>
                      <w:b/>
                      <w:color w:val="000000" w:themeColor="text1"/>
                      <w:kern w:val="0"/>
                      <w:sz w:val="21"/>
                      <w:szCs w:val="21"/>
                    </w:rPr>
                    <w:t>工艺</w:t>
                  </w:r>
                </w:p>
              </w:tc>
              <w:tc>
                <w:tcPr>
                  <w:tcW w:w="701" w:type="pct"/>
                  <w:vAlign w:val="center"/>
                </w:tcPr>
                <w:p w14:paraId="6717F4F6">
                  <w:pPr>
                    <w:adjustRightInd w:val="0"/>
                    <w:snapToGrid w:val="0"/>
                    <w:jc w:val="center"/>
                    <w:rPr>
                      <w:rFonts w:eastAsia="仿宋_GB2312"/>
                      <w:b/>
                      <w:color w:val="000000" w:themeColor="text1"/>
                      <w:kern w:val="0"/>
                      <w:sz w:val="21"/>
                      <w:szCs w:val="21"/>
                    </w:rPr>
                  </w:pPr>
                  <w:r>
                    <w:rPr>
                      <w:rFonts w:eastAsia="仿宋_GB2312"/>
                      <w:b/>
                      <w:color w:val="000000" w:themeColor="text1"/>
                      <w:kern w:val="0"/>
                      <w:sz w:val="21"/>
                      <w:szCs w:val="21"/>
                    </w:rPr>
                    <w:t>处置量/（t/a）</w:t>
                  </w:r>
                </w:p>
              </w:tc>
            </w:tr>
            <w:tr w14:paraId="563AB4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306" w:type="pct"/>
                  <w:vMerge w:val="continue"/>
                  <w:vAlign w:val="center"/>
                </w:tcPr>
                <w:p w14:paraId="5C87195B">
                  <w:pPr>
                    <w:adjustRightInd w:val="0"/>
                    <w:snapToGrid w:val="0"/>
                    <w:jc w:val="center"/>
                    <w:rPr>
                      <w:rFonts w:eastAsia="仿宋_GB2312"/>
                      <w:kern w:val="0"/>
                      <w:sz w:val="21"/>
                      <w:szCs w:val="21"/>
                    </w:rPr>
                  </w:pPr>
                </w:p>
              </w:tc>
              <w:tc>
                <w:tcPr>
                  <w:tcW w:w="941" w:type="pct"/>
                  <w:vAlign w:val="center"/>
                </w:tcPr>
                <w:p w14:paraId="060A0F2D">
                  <w:pPr>
                    <w:adjustRightInd w:val="0"/>
                    <w:snapToGrid w:val="0"/>
                    <w:jc w:val="center"/>
                    <w:rPr>
                      <w:rFonts w:eastAsia="仿宋_GB2312"/>
                      <w:color w:val="000000" w:themeColor="text1"/>
                      <w:kern w:val="0"/>
                      <w:sz w:val="21"/>
                      <w:szCs w:val="21"/>
                    </w:rPr>
                  </w:pPr>
                  <w:r>
                    <w:rPr>
                      <w:rFonts w:eastAsia="仿宋_GB2312"/>
                      <w:color w:val="000000" w:themeColor="text1"/>
                      <w:kern w:val="0"/>
                      <w:sz w:val="21"/>
                      <w:szCs w:val="21"/>
                    </w:rPr>
                    <w:t>平板膜过滤器</w:t>
                  </w:r>
                </w:p>
              </w:tc>
              <w:tc>
                <w:tcPr>
                  <w:tcW w:w="853" w:type="pct"/>
                  <w:vAlign w:val="center"/>
                </w:tcPr>
                <w:p w14:paraId="7F29848D">
                  <w:pPr>
                    <w:adjustRightInd w:val="0"/>
                    <w:snapToGrid w:val="0"/>
                    <w:jc w:val="center"/>
                    <w:rPr>
                      <w:rFonts w:eastAsia="仿宋_GB2312"/>
                      <w:color w:val="000000" w:themeColor="text1"/>
                      <w:sz w:val="21"/>
                      <w:szCs w:val="21"/>
                    </w:rPr>
                  </w:pPr>
                  <w:r>
                    <w:rPr>
                      <w:rFonts w:eastAsia="仿宋_GB2312"/>
                      <w:color w:val="000000" w:themeColor="text1"/>
                      <w:sz w:val="21"/>
                      <w:szCs w:val="21"/>
                    </w:rPr>
                    <w:t>盐泥</w:t>
                  </w:r>
                </w:p>
              </w:tc>
              <w:tc>
                <w:tcPr>
                  <w:tcW w:w="531" w:type="pct"/>
                  <w:vAlign w:val="center"/>
                </w:tcPr>
                <w:p w14:paraId="3CDA4BC4">
                  <w:pPr>
                    <w:adjustRightInd w:val="0"/>
                    <w:snapToGrid w:val="0"/>
                    <w:jc w:val="center"/>
                    <w:rPr>
                      <w:rFonts w:eastAsia="仿宋_GB2312"/>
                      <w:color w:val="000000" w:themeColor="text1"/>
                      <w:kern w:val="0"/>
                      <w:sz w:val="21"/>
                      <w:szCs w:val="21"/>
                    </w:rPr>
                  </w:pPr>
                  <w:r>
                    <w:rPr>
                      <w:rFonts w:eastAsia="仿宋_GB2312"/>
                      <w:color w:val="000000" w:themeColor="text1"/>
                      <w:kern w:val="0"/>
                      <w:sz w:val="21"/>
                      <w:szCs w:val="21"/>
                    </w:rPr>
                    <w:t>一般工业固废</w:t>
                  </w:r>
                </w:p>
              </w:tc>
              <w:tc>
                <w:tcPr>
                  <w:tcW w:w="525" w:type="pct"/>
                  <w:vAlign w:val="center"/>
                </w:tcPr>
                <w:p w14:paraId="7DD593C1">
                  <w:pPr>
                    <w:adjustRightInd w:val="0"/>
                    <w:snapToGrid w:val="0"/>
                    <w:jc w:val="center"/>
                    <w:rPr>
                      <w:rFonts w:eastAsia="仿宋_GB2312"/>
                      <w:color w:val="000000" w:themeColor="text1"/>
                      <w:kern w:val="0"/>
                      <w:sz w:val="21"/>
                      <w:szCs w:val="21"/>
                    </w:rPr>
                  </w:pPr>
                  <w:r>
                    <w:rPr>
                      <w:rFonts w:eastAsia="仿宋_GB2312"/>
                      <w:color w:val="000000" w:themeColor="text1"/>
                      <w:kern w:val="0"/>
                      <w:sz w:val="21"/>
                      <w:szCs w:val="21"/>
                    </w:rPr>
                    <w:t>类比法</w:t>
                  </w:r>
                </w:p>
              </w:tc>
              <w:tc>
                <w:tcPr>
                  <w:tcW w:w="526" w:type="pct"/>
                  <w:vAlign w:val="center"/>
                </w:tcPr>
                <w:p w14:paraId="11AD741B">
                  <w:pPr>
                    <w:adjustRightInd w:val="0"/>
                    <w:snapToGrid w:val="0"/>
                    <w:jc w:val="center"/>
                    <w:rPr>
                      <w:rFonts w:eastAsia="仿宋_GB2312"/>
                      <w:color w:val="000000" w:themeColor="text1"/>
                      <w:kern w:val="0"/>
                      <w:sz w:val="21"/>
                      <w:szCs w:val="21"/>
                    </w:rPr>
                  </w:pPr>
                  <w:r>
                    <w:rPr>
                      <w:rFonts w:eastAsia="仿宋_GB2312"/>
                      <w:color w:val="000000" w:themeColor="text1"/>
                      <w:kern w:val="0"/>
                      <w:sz w:val="21"/>
                      <w:szCs w:val="21"/>
                    </w:rPr>
                    <w:t>5000</w:t>
                  </w:r>
                </w:p>
              </w:tc>
              <w:tc>
                <w:tcPr>
                  <w:tcW w:w="613" w:type="pct"/>
                  <w:vAlign w:val="center"/>
                </w:tcPr>
                <w:p w14:paraId="1721ECBF">
                  <w:pPr>
                    <w:adjustRightInd w:val="0"/>
                    <w:snapToGrid w:val="0"/>
                    <w:jc w:val="center"/>
                    <w:rPr>
                      <w:rFonts w:hint="default" w:eastAsia="仿宋_GB2312"/>
                      <w:color w:val="000000" w:themeColor="text1"/>
                      <w:kern w:val="0"/>
                      <w:sz w:val="21"/>
                      <w:szCs w:val="21"/>
                      <w:lang w:val="en-US" w:eastAsia="zh-CN"/>
                    </w:rPr>
                  </w:pPr>
                  <w:r>
                    <w:rPr>
                      <w:rFonts w:hint="eastAsia" w:eastAsia="仿宋_GB2312"/>
                      <w:color w:val="000000" w:themeColor="text1"/>
                      <w:kern w:val="0"/>
                      <w:sz w:val="21"/>
                      <w:szCs w:val="21"/>
                      <w:lang w:val="en-US" w:eastAsia="zh-CN"/>
                    </w:rPr>
                    <w:t>回用于生产</w:t>
                  </w:r>
                </w:p>
              </w:tc>
              <w:tc>
                <w:tcPr>
                  <w:tcW w:w="701" w:type="pct"/>
                  <w:vAlign w:val="center"/>
                </w:tcPr>
                <w:p w14:paraId="297ECF8A">
                  <w:pPr>
                    <w:adjustRightInd w:val="0"/>
                    <w:snapToGrid w:val="0"/>
                    <w:jc w:val="center"/>
                    <w:rPr>
                      <w:rFonts w:eastAsia="仿宋_GB2312"/>
                      <w:color w:val="000000" w:themeColor="text1"/>
                      <w:kern w:val="0"/>
                      <w:sz w:val="21"/>
                      <w:szCs w:val="21"/>
                    </w:rPr>
                  </w:pPr>
                  <w:r>
                    <w:rPr>
                      <w:rFonts w:eastAsia="仿宋_GB2312"/>
                      <w:color w:val="000000" w:themeColor="text1"/>
                      <w:kern w:val="0"/>
                      <w:sz w:val="21"/>
                      <w:szCs w:val="21"/>
                    </w:rPr>
                    <w:t>5000</w:t>
                  </w:r>
                </w:p>
              </w:tc>
            </w:tr>
            <w:tr w14:paraId="19F761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306" w:type="pct"/>
                  <w:vMerge w:val="continue"/>
                  <w:vAlign w:val="center"/>
                </w:tcPr>
                <w:p w14:paraId="1CFB3050">
                  <w:pPr>
                    <w:adjustRightInd w:val="0"/>
                    <w:snapToGrid w:val="0"/>
                    <w:jc w:val="center"/>
                    <w:rPr>
                      <w:rFonts w:eastAsia="仿宋_GB2312"/>
                      <w:kern w:val="0"/>
                      <w:sz w:val="21"/>
                      <w:szCs w:val="21"/>
                    </w:rPr>
                  </w:pPr>
                </w:p>
              </w:tc>
              <w:tc>
                <w:tcPr>
                  <w:tcW w:w="941" w:type="pct"/>
                  <w:vAlign w:val="center"/>
                </w:tcPr>
                <w:p w14:paraId="74A11D3D">
                  <w:pPr>
                    <w:adjustRightInd w:val="0"/>
                    <w:snapToGrid w:val="0"/>
                    <w:jc w:val="center"/>
                    <w:rPr>
                      <w:rFonts w:eastAsia="仿宋_GB2312"/>
                      <w:color w:val="000000" w:themeColor="text1"/>
                      <w:kern w:val="0"/>
                      <w:sz w:val="21"/>
                      <w:szCs w:val="21"/>
                    </w:rPr>
                  </w:pPr>
                  <w:r>
                    <w:rPr>
                      <w:rFonts w:eastAsia="仿宋_GB2312"/>
                      <w:color w:val="000000" w:themeColor="text1"/>
                      <w:kern w:val="0"/>
                      <w:sz w:val="21"/>
                      <w:szCs w:val="21"/>
                    </w:rPr>
                    <w:t>保安过滤器</w:t>
                  </w:r>
                </w:p>
              </w:tc>
              <w:tc>
                <w:tcPr>
                  <w:tcW w:w="853" w:type="pct"/>
                  <w:vAlign w:val="center"/>
                </w:tcPr>
                <w:p w14:paraId="263DC661">
                  <w:pPr>
                    <w:adjustRightInd w:val="0"/>
                    <w:snapToGrid w:val="0"/>
                    <w:jc w:val="center"/>
                    <w:rPr>
                      <w:rFonts w:eastAsia="仿宋_GB2312"/>
                      <w:color w:val="000000" w:themeColor="text1"/>
                      <w:sz w:val="21"/>
                      <w:szCs w:val="21"/>
                    </w:rPr>
                  </w:pPr>
                  <w:r>
                    <w:rPr>
                      <w:rFonts w:eastAsia="仿宋_GB2312"/>
                      <w:color w:val="000000" w:themeColor="text1"/>
                      <w:sz w:val="21"/>
                      <w:szCs w:val="21"/>
                    </w:rPr>
                    <w:t>废保安过滤器滤芯</w:t>
                  </w:r>
                </w:p>
              </w:tc>
              <w:tc>
                <w:tcPr>
                  <w:tcW w:w="531" w:type="pct"/>
                  <w:vAlign w:val="center"/>
                </w:tcPr>
                <w:p w14:paraId="2922E5EC">
                  <w:pPr>
                    <w:adjustRightInd w:val="0"/>
                    <w:snapToGrid w:val="0"/>
                    <w:jc w:val="center"/>
                    <w:rPr>
                      <w:rFonts w:eastAsia="仿宋_GB2312"/>
                      <w:color w:val="000000" w:themeColor="text1"/>
                      <w:kern w:val="0"/>
                      <w:sz w:val="21"/>
                      <w:szCs w:val="21"/>
                    </w:rPr>
                  </w:pPr>
                  <w:r>
                    <w:rPr>
                      <w:rFonts w:eastAsia="仿宋_GB2312"/>
                      <w:color w:val="000000" w:themeColor="text1"/>
                      <w:kern w:val="0"/>
                      <w:sz w:val="21"/>
                      <w:szCs w:val="21"/>
                    </w:rPr>
                    <w:t>一般工业固废</w:t>
                  </w:r>
                </w:p>
              </w:tc>
              <w:tc>
                <w:tcPr>
                  <w:tcW w:w="525" w:type="pct"/>
                  <w:vAlign w:val="center"/>
                </w:tcPr>
                <w:p w14:paraId="203A91D0">
                  <w:pPr>
                    <w:adjustRightInd w:val="0"/>
                    <w:snapToGrid w:val="0"/>
                    <w:jc w:val="center"/>
                    <w:rPr>
                      <w:rFonts w:eastAsia="仿宋_GB2312"/>
                      <w:color w:val="000000" w:themeColor="text1"/>
                      <w:kern w:val="0"/>
                      <w:sz w:val="21"/>
                      <w:szCs w:val="21"/>
                    </w:rPr>
                  </w:pPr>
                  <w:r>
                    <w:rPr>
                      <w:rFonts w:eastAsia="仿宋_GB2312"/>
                      <w:color w:val="000000" w:themeColor="text1"/>
                      <w:kern w:val="0"/>
                      <w:sz w:val="21"/>
                      <w:szCs w:val="21"/>
                    </w:rPr>
                    <w:t>类比法</w:t>
                  </w:r>
                </w:p>
              </w:tc>
              <w:tc>
                <w:tcPr>
                  <w:tcW w:w="526" w:type="pct"/>
                  <w:vAlign w:val="center"/>
                </w:tcPr>
                <w:p w14:paraId="27476087">
                  <w:pPr>
                    <w:adjustRightInd w:val="0"/>
                    <w:snapToGrid w:val="0"/>
                    <w:jc w:val="center"/>
                    <w:rPr>
                      <w:rFonts w:hint="default" w:eastAsia="仿宋_GB2312"/>
                      <w:color w:val="000000" w:themeColor="text1"/>
                      <w:kern w:val="0"/>
                      <w:sz w:val="21"/>
                      <w:szCs w:val="21"/>
                      <w:lang w:val="en-US" w:eastAsia="zh-CN"/>
                    </w:rPr>
                  </w:pPr>
                  <w:r>
                    <w:rPr>
                      <w:rFonts w:hint="eastAsia" w:eastAsia="仿宋_GB2312"/>
                      <w:color w:val="000000" w:themeColor="text1"/>
                      <w:kern w:val="0"/>
                      <w:sz w:val="21"/>
                      <w:szCs w:val="21"/>
                      <w:lang w:val="en-US" w:eastAsia="zh-CN"/>
                    </w:rPr>
                    <w:t>3.05</w:t>
                  </w:r>
                </w:p>
              </w:tc>
              <w:tc>
                <w:tcPr>
                  <w:tcW w:w="613" w:type="pct"/>
                  <w:vAlign w:val="center"/>
                </w:tcPr>
                <w:p w14:paraId="1E6D2D14">
                  <w:pPr>
                    <w:adjustRightInd w:val="0"/>
                    <w:snapToGrid w:val="0"/>
                    <w:jc w:val="center"/>
                    <w:rPr>
                      <w:rFonts w:eastAsia="仿宋_GB2312"/>
                      <w:color w:val="000000" w:themeColor="text1"/>
                      <w:kern w:val="0"/>
                      <w:sz w:val="21"/>
                      <w:szCs w:val="21"/>
                    </w:rPr>
                  </w:pPr>
                  <w:r>
                    <w:rPr>
                      <w:rFonts w:eastAsia="仿宋_GB2312"/>
                      <w:color w:val="000000" w:themeColor="text1"/>
                      <w:kern w:val="0"/>
                      <w:sz w:val="21"/>
                      <w:szCs w:val="21"/>
                    </w:rPr>
                    <w:t>厂家回收</w:t>
                  </w:r>
                </w:p>
              </w:tc>
              <w:tc>
                <w:tcPr>
                  <w:tcW w:w="701" w:type="pct"/>
                  <w:vAlign w:val="center"/>
                </w:tcPr>
                <w:p w14:paraId="5A12F016">
                  <w:pPr>
                    <w:adjustRightInd w:val="0"/>
                    <w:snapToGrid w:val="0"/>
                    <w:jc w:val="center"/>
                    <w:rPr>
                      <w:rFonts w:hint="default" w:eastAsia="仿宋_GB2312"/>
                      <w:color w:val="000000" w:themeColor="text1"/>
                      <w:kern w:val="0"/>
                      <w:sz w:val="21"/>
                      <w:szCs w:val="21"/>
                      <w:lang w:val="en-US" w:eastAsia="zh-CN"/>
                    </w:rPr>
                  </w:pPr>
                  <w:r>
                    <w:rPr>
                      <w:rFonts w:hint="eastAsia" w:eastAsia="仿宋_GB2312"/>
                      <w:color w:val="000000" w:themeColor="text1"/>
                      <w:kern w:val="0"/>
                      <w:sz w:val="21"/>
                      <w:szCs w:val="21"/>
                      <w:lang w:val="en-US" w:eastAsia="zh-CN"/>
                    </w:rPr>
                    <w:t>3.05</w:t>
                  </w:r>
                </w:p>
              </w:tc>
            </w:tr>
            <w:tr w14:paraId="03B20F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306" w:type="pct"/>
                  <w:vMerge w:val="continue"/>
                  <w:vAlign w:val="center"/>
                </w:tcPr>
                <w:p w14:paraId="497B5B3B">
                  <w:pPr>
                    <w:adjustRightInd w:val="0"/>
                    <w:snapToGrid w:val="0"/>
                    <w:jc w:val="center"/>
                    <w:rPr>
                      <w:rFonts w:eastAsia="仿宋_GB2312"/>
                      <w:kern w:val="0"/>
                      <w:sz w:val="21"/>
                      <w:szCs w:val="21"/>
                    </w:rPr>
                  </w:pPr>
                </w:p>
              </w:tc>
              <w:tc>
                <w:tcPr>
                  <w:tcW w:w="941" w:type="pct"/>
                  <w:vAlign w:val="center"/>
                </w:tcPr>
                <w:p w14:paraId="06EE7550">
                  <w:pPr>
                    <w:adjustRightInd w:val="0"/>
                    <w:snapToGrid w:val="0"/>
                    <w:jc w:val="center"/>
                    <w:rPr>
                      <w:rFonts w:eastAsia="仿宋_GB2312"/>
                      <w:color w:val="000000" w:themeColor="text1"/>
                      <w:kern w:val="0"/>
                      <w:sz w:val="21"/>
                      <w:szCs w:val="21"/>
                    </w:rPr>
                  </w:pPr>
                  <w:r>
                    <w:rPr>
                      <w:rFonts w:eastAsia="仿宋_GB2312"/>
                      <w:color w:val="000000" w:themeColor="text1"/>
                      <w:kern w:val="0"/>
                      <w:sz w:val="21"/>
                      <w:szCs w:val="21"/>
                    </w:rPr>
                    <w:t>粗过滤器</w:t>
                  </w:r>
                </w:p>
              </w:tc>
              <w:tc>
                <w:tcPr>
                  <w:tcW w:w="853" w:type="pct"/>
                  <w:vAlign w:val="center"/>
                </w:tcPr>
                <w:p w14:paraId="63FF7746">
                  <w:pPr>
                    <w:adjustRightInd w:val="0"/>
                    <w:snapToGrid w:val="0"/>
                    <w:jc w:val="center"/>
                    <w:rPr>
                      <w:rFonts w:eastAsia="仿宋_GB2312"/>
                      <w:color w:val="000000" w:themeColor="text1"/>
                      <w:sz w:val="21"/>
                      <w:szCs w:val="21"/>
                    </w:rPr>
                  </w:pPr>
                  <w:r>
                    <w:rPr>
                      <w:rFonts w:eastAsia="仿宋_GB2312"/>
                      <w:color w:val="000000" w:themeColor="text1"/>
                      <w:sz w:val="21"/>
                      <w:szCs w:val="21"/>
                    </w:rPr>
                    <w:t>废粗过滤器滤芯</w:t>
                  </w:r>
                </w:p>
              </w:tc>
              <w:tc>
                <w:tcPr>
                  <w:tcW w:w="531" w:type="pct"/>
                  <w:vAlign w:val="center"/>
                </w:tcPr>
                <w:p w14:paraId="1D530032">
                  <w:pPr>
                    <w:adjustRightInd w:val="0"/>
                    <w:snapToGrid w:val="0"/>
                    <w:jc w:val="center"/>
                    <w:rPr>
                      <w:rFonts w:eastAsia="仿宋_GB2312"/>
                      <w:color w:val="000000" w:themeColor="text1"/>
                      <w:kern w:val="0"/>
                      <w:sz w:val="21"/>
                      <w:szCs w:val="21"/>
                    </w:rPr>
                  </w:pPr>
                  <w:r>
                    <w:rPr>
                      <w:rFonts w:eastAsia="仿宋_GB2312"/>
                      <w:color w:val="000000" w:themeColor="text1"/>
                      <w:kern w:val="0"/>
                      <w:sz w:val="21"/>
                      <w:szCs w:val="21"/>
                    </w:rPr>
                    <w:t>一般工业固废</w:t>
                  </w:r>
                </w:p>
              </w:tc>
              <w:tc>
                <w:tcPr>
                  <w:tcW w:w="525" w:type="pct"/>
                  <w:vAlign w:val="center"/>
                </w:tcPr>
                <w:p w14:paraId="3749EEBC">
                  <w:pPr>
                    <w:adjustRightInd w:val="0"/>
                    <w:snapToGrid w:val="0"/>
                    <w:jc w:val="center"/>
                    <w:rPr>
                      <w:rFonts w:eastAsia="仿宋_GB2312"/>
                      <w:color w:val="000000" w:themeColor="text1"/>
                      <w:kern w:val="0"/>
                      <w:sz w:val="21"/>
                      <w:szCs w:val="21"/>
                    </w:rPr>
                  </w:pPr>
                  <w:r>
                    <w:rPr>
                      <w:rFonts w:eastAsia="仿宋_GB2312"/>
                      <w:color w:val="000000" w:themeColor="text1"/>
                      <w:kern w:val="0"/>
                      <w:sz w:val="21"/>
                      <w:szCs w:val="21"/>
                    </w:rPr>
                    <w:t>类比法</w:t>
                  </w:r>
                </w:p>
              </w:tc>
              <w:tc>
                <w:tcPr>
                  <w:tcW w:w="526" w:type="pct"/>
                  <w:vAlign w:val="center"/>
                </w:tcPr>
                <w:p w14:paraId="547079C4">
                  <w:pPr>
                    <w:adjustRightInd w:val="0"/>
                    <w:snapToGrid w:val="0"/>
                    <w:jc w:val="center"/>
                    <w:rPr>
                      <w:rFonts w:eastAsia="仿宋_GB2312"/>
                      <w:color w:val="000000" w:themeColor="text1"/>
                      <w:kern w:val="0"/>
                      <w:sz w:val="21"/>
                      <w:szCs w:val="21"/>
                    </w:rPr>
                  </w:pPr>
                  <w:r>
                    <w:rPr>
                      <w:rFonts w:eastAsia="仿宋_GB2312"/>
                      <w:color w:val="000000" w:themeColor="text1"/>
                      <w:kern w:val="0"/>
                      <w:sz w:val="21"/>
                      <w:szCs w:val="21"/>
                    </w:rPr>
                    <w:t>0.15</w:t>
                  </w:r>
                </w:p>
              </w:tc>
              <w:tc>
                <w:tcPr>
                  <w:tcW w:w="613" w:type="pct"/>
                  <w:vAlign w:val="center"/>
                </w:tcPr>
                <w:p w14:paraId="682234B8">
                  <w:pPr>
                    <w:adjustRightInd w:val="0"/>
                    <w:snapToGrid w:val="0"/>
                    <w:jc w:val="center"/>
                    <w:rPr>
                      <w:rFonts w:eastAsia="仿宋_GB2312"/>
                      <w:color w:val="000000" w:themeColor="text1"/>
                      <w:kern w:val="0"/>
                      <w:sz w:val="21"/>
                      <w:szCs w:val="21"/>
                    </w:rPr>
                  </w:pPr>
                  <w:r>
                    <w:rPr>
                      <w:rFonts w:eastAsia="仿宋_GB2312"/>
                      <w:color w:val="000000" w:themeColor="text1"/>
                      <w:kern w:val="0"/>
                      <w:sz w:val="21"/>
                      <w:szCs w:val="21"/>
                    </w:rPr>
                    <w:t>厂家回收</w:t>
                  </w:r>
                </w:p>
              </w:tc>
              <w:tc>
                <w:tcPr>
                  <w:tcW w:w="701" w:type="pct"/>
                  <w:vAlign w:val="center"/>
                </w:tcPr>
                <w:p w14:paraId="62B6DB21">
                  <w:pPr>
                    <w:adjustRightInd w:val="0"/>
                    <w:snapToGrid w:val="0"/>
                    <w:jc w:val="center"/>
                    <w:rPr>
                      <w:rFonts w:eastAsia="仿宋_GB2312"/>
                      <w:color w:val="000000" w:themeColor="text1"/>
                      <w:kern w:val="0"/>
                      <w:sz w:val="21"/>
                      <w:szCs w:val="21"/>
                    </w:rPr>
                  </w:pPr>
                  <w:r>
                    <w:rPr>
                      <w:rFonts w:eastAsia="仿宋_GB2312"/>
                      <w:color w:val="000000" w:themeColor="text1"/>
                      <w:kern w:val="0"/>
                      <w:sz w:val="21"/>
                      <w:szCs w:val="21"/>
                    </w:rPr>
                    <w:t>0.15</w:t>
                  </w:r>
                </w:p>
              </w:tc>
            </w:tr>
            <w:tr w14:paraId="4F6DE4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306" w:type="pct"/>
                  <w:vMerge w:val="continue"/>
                  <w:vAlign w:val="center"/>
                </w:tcPr>
                <w:p w14:paraId="2E3AAED5">
                  <w:pPr>
                    <w:adjustRightInd w:val="0"/>
                    <w:snapToGrid w:val="0"/>
                    <w:jc w:val="center"/>
                    <w:rPr>
                      <w:rFonts w:eastAsia="仿宋_GB2312"/>
                      <w:kern w:val="0"/>
                      <w:sz w:val="21"/>
                      <w:szCs w:val="21"/>
                    </w:rPr>
                  </w:pPr>
                </w:p>
              </w:tc>
              <w:tc>
                <w:tcPr>
                  <w:tcW w:w="941" w:type="pct"/>
                  <w:shd w:val="clear" w:color="auto" w:fill="auto"/>
                  <w:vAlign w:val="center"/>
                </w:tcPr>
                <w:p w14:paraId="3F18A6BF">
                  <w:pPr>
                    <w:adjustRightInd w:val="0"/>
                    <w:snapToGrid w:val="0"/>
                    <w:jc w:val="center"/>
                    <w:rPr>
                      <w:rFonts w:eastAsia="仿宋_GB2312"/>
                      <w:color w:val="000000" w:themeColor="text1"/>
                      <w:kern w:val="0"/>
                      <w:sz w:val="21"/>
                      <w:szCs w:val="21"/>
                    </w:rPr>
                  </w:pPr>
                  <w:r>
                    <w:rPr>
                      <w:rFonts w:eastAsia="仿宋_GB2312"/>
                      <w:color w:val="000000" w:themeColor="text1"/>
                      <w:kern w:val="0"/>
                      <w:sz w:val="21"/>
                      <w:szCs w:val="21"/>
                    </w:rPr>
                    <w:t>活性炭塔</w:t>
                  </w:r>
                </w:p>
              </w:tc>
              <w:tc>
                <w:tcPr>
                  <w:tcW w:w="853" w:type="pct"/>
                  <w:shd w:val="clear" w:color="auto" w:fill="auto"/>
                  <w:vAlign w:val="center"/>
                </w:tcPr>
                <w:p w14:paraId="6136AE31">
                  <w:pPr>
                    <w:adjustRightInd w:val="0"/>
                    <w:snapToGrid w:val="0"/>
                    <w:jc w:val="center"/>
                    <w:rPr>
                      <w:rFonts w:eastAsia="仿宋_GB2312"/>
                      <w:color w:val="000000" w:themeColor="text1"/>
                      <w:kern w:val="0"/>
                      <w:sz w:val="21"/>
                      <w:szCs w:val="21"/>
                    </w:rPr>
                  </w:pPr>
                  <w:r>
                    <w:rPr>
                      <w:rFonts w:eastAsia="仿宋_GB2312"/>
                      <w:color w:val="000000" w:themeColor="text1"/>
                      <w:kern w:val="0"/>
                      <w:sz w:val="21"/>
                      <w:szCs w:val="21"/>
                    </w:rPr>
                    <w:t>废活性炭</w:t>
                  </w:r>
                </w:p>
              </w:tc>
              <w:tc>
                <w:tcPr>
                  <w:tcW w:w="531" w:type="pct"/>
                  <w:shd w:val="clear" w:color="auto" w:fill="auto"/>
                  <w:vAlign w:val="center"/>
                </w:tcPr>
                <w:p w14:paraId="3A34ABF0">
                  <w:pPr>
                    <w:adjustRightInd w:val="0"/>
                    <w:snapToGrid w:val="0"/>
                    <w:jc w:val="center"/>
                    <w:rPr>
                      <w:rFonts w:eastAsia="仿宋_GB2312"/>
                      <w:color w:val="000000" w:themeColor="text1"/>
                      <w:kern w:val="0"/>
                      <w:sz w:val="21"/>
                      <w:szCs w:val="21"/>
                    </w:rPr>
                  </w:pPr>
                  <w:r>
                    <w:rPr>
                      <w:rFonts w:eastAsia="仿宋_GB2312"/>
                      <w:color w:val="000000" w:themeColor="text1"/>
                      <w:kern w:val="0"/>
                      <w:sz w:val="21"/>
                      <w:szCs w:val="21"/>
                    </w:rPr>
                    <w:t>一般工业固废</w:t>
                  </w:r>
                </w:p>
              </w:tc>
              <w:tc>
                <w:tcPr>
                  <w:tcW w:w="525" w:type="pct"/>
                  <w:shd w:val="clear" w:color="auto" w:fill="auto"/>
                  <w:vAlign w:val="center"/>
                </w:tcPr>
                <w:p w14:paraId="4EDDF24C">
                  <w:pPr>
                    <w:adjustRightInd w:val="0"/>
                    <w:snapToGrid w:val="0"/>
                    <w:jc w:val="center"/>
                    <w:rPr>
                      <w:rFonts w:eastAsia="仿宋_GB2312"/>
                      <w:color w:val="000000" w:themeColor="text1"/>
                      <w:kern w:val="0"/>
                      <w:sz w:val="21"/>
                      <w:szCs w:val="21"/>
                    </w:rPr>
                  </w:pPr>
                  <w:r>
                    <w:rPr>
                      <w:rFonts w:eastAsia="仿宋_GB2312"/>
                      <w:color w:val="000000" w:themeColor="text1"/>
                      <w:kern w:val="0"/>
                      <w:sz w:val="21"/>
                      <w:szCs w:val="21"/>
                    </w:rPr>
                    <w:t>类比法</w:t>
                  </w:r>
                </w:p>
              </w:tc>
              <w:tc>
                <w:tcPr>
                  <w:tcW w:w="526" w:type="pct"/>
                  <w:shd w:val="clear" w:color="auto" w:fill="auto"/>
                  <w:vAlign w:val="center"/>
                </w:tcPr>
                <w:p w14:paraId="42D55886">
                  <w:pPr>
                    <w:adjustRightInd w:val="0"/>
                    <w:snapToGrid w:val="0"/>
                    <w:jc w:val="center"/>
                    <w:rPr>
                      <w:rFonts w:eastAsia="仿宋_GB2312"/>
                      <w:color w:val="000000" w:themeColor="text1"/>
                      <w:kern w:val="0"/>
                      <w:sz w:val="21"/>
                      <w:szCs w:val="21"/>
                    </w:rPr>
                  </w:pPr>
                  <w:r>
                    <w:rPr>
                      <w:rFonts w:eastAsia="仿宋_GB2312"/>
                      <w:color w:val="000000" w:themeColor="text1"/>
                      <w:kern w:val="0"/>
                      <w:sz w:val="21"/>
                      <w:szCs w:val="21"/>
                    </w:rPr>
                    <w:t>4.5</w:t>
                  </w:r>
                </w:p>
              </w:tc>
              <w:tc>
                <w:tcPr>
                  <w:tcW w:w="613" w:type="pct"/>
                  <w:shd w:val="clear" w:color="auto" w:fill="auto"/>
                  <w:vAlign w:val="center"/>
                </w:tcPr>
                <w:p w14:paraId="4CB7A7F7">
                  <w:pPr>
                    <w:adjustRightInd w:val="0"/>
                    <w:snapToGrid w:val="0"/>
                    <w:jc w:val="center"/>
                    <w:rPr>
                      <w:rFonts w:eastAsia="仿宋_GB2312"/>
                      <w:color w:val="000000" w:themeColor="text1"/>
                      <w:kern w:val="0"/>
                      <w:sz w:val="21"/>
                      <w:szCs w:val="21"/>
                    </w:rPr>
                  </w:pPr>
                  <w:r>
                    <w:rPr>
                      <w:rFonts w:eastAsia="仿宋_GB2312"/>
                      <w:color w:val="000000" w:themeColor="text1"/>
                      <w:kern w:val="0"/>
                      <w:sz w:val="21"/>
                      <w:szCs w:val="21"/>
                    </w:rPr>
                    <w:t>厂家回收</w:t>
                  </w:r>
                </w:p>
              </w:tc>
              <w:tc>
                <w:tcPr>
                  <w:tcW w:w="701" w:type="pct"/>
                  <w:shd w:val="clear" w:color="auto" w:fill="auto"/>
                  <w:vAlign w:val="center"/>
                </w:tcPr>
                <w:p w14:paraId="31E890F1">
                  <w:pPr>
                    <w:adjustRightInd w:val="0"/>
                    <w:snapToGrid w:val="0"/>
                    <w:jc w:val="center"/>
                    <w:rPr>
                      <w:rFonts w:eastAsia="仿宋_GB2312"/>
                      <w:color w:val="000000" w:themeColor="text1"/>
                      <w:kern w:val="0"/>
                      <w:sz w:val="21"/>
                      <w:szCs w:val="21"/>
                    </w:rPr>
                  </w:pPr>
                  <w:r>
                    <w:rPr>
                      <w:rFonts w:eastAsia="仿宋_GB2312"/>
                      <w:color w:val="000000" w:themeColor="text1"/>
                      <w:kern w:val="0"/>
                      <w:sz w:val="21"/>
                      <w:szCs w:val="21"/>
                    </w:rPr>
                    <w:t>4.5</w:t>
                  </w:r>
                </w:p>
              </w:tc>
            </w:tr>
            <w:tr w14:paraId="1BA6DB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306" w:type="pct"/>
                  <w:vMerge w:val="continue"/>
                  <w:vAlign w:val="center"/>
                </w:tcPr>
                <w:p w14:paraId="5CA62A5B">
                  <w:pPr>
                    <w:adjustRightInd w:val="0"/>
                    <w:snapToGrid w:val="0"/>
                    <w:jc w:val="center"/>
                    <w:rPr>
                      <w:rFonts w:eastAsia="仿宋_GB2312"/>
                      <w:kern w:val="0"/>
                      <w:sz w:val="21"/>
                      <w:szCs w:val="21"/>
                    </w:rPr>
                  </w:pPr>
                </w:p>
              </w:tc>
              <w:tc>
                <w:tcPr>
                  <w:tcW w:w="941" w:type="pct"/>
                  <w:vMerge w:val="restart"/>
                  <w:vAlign w:val="center"/>
                </w:tcPr>
                <w:p w14:paraId="6DB2346C">
                  <w:pPr>
                    <w:adjustRightInd w:val="0"/>
                    <w:snapToGrid w:val="0"/>
                    <w:jc w:val="center"/>
                    <w:rPr>
                      <w:rFonts w:eastAsia="仿宋_GB2312"/>
                      <w:color w:val="000000" w:themeColor="text1"/>
                      <w:kern w:val="0"/>
                      <w:sz w:val="21"/>
                      <w:szCs w:val="21"/>
                    </w:rPr>
                  </w:pPr>
                  <w:r>
                    <w:rPr>
                      <w:rFonts w:eastAsia="仿宋_GB2312"/>
                      <w:color w:val="000000" w:themeColor="text1"/>
                      <w:kern w:val="0"/>
                      <w:sz w:val="21"/>
                      <w:szCs w:val="21"/>
                    </w:rPr>
                    <w:t>设备维护</w:t>
                  </w:r>
                </w:p>
              </w:tc>
              <w:tc>
                <w:tcPr>
                  <w:tcW w:w="853" w:type="pct"/>
                  <w:vAlign w:val="center"/>
                </w:tcPr>
                <w:p w14:paraId="2B013317">
                  <w:pPr>
                    <w:adjustRightInd w:val="0"/>
                    <w:snapToGrid w:val="0"/>
                    <w:jc w:val="center"/>
                    <w:rPr>
                      <w:rFonts w:eastAsia="仿宋_GB2312"/>
                      <w:color w:val="000000" w:themeColor="text1"/>
                      <w:sz w:val="21"/>
                      <w:szCs w:val="21"/>
                    </w:rPr>
                  </w:pPr>
                  <w:r>
                    <w:rPr>
                      <w:rFonts w:eastAsia="仿宋_GB2312"/>
                      <w:color w:val="000000" w:themeColor="text1"/>
                      <w:sz w:val="21"/>
                      <w:szCs w:val="21"/>
                    </w:rPr>
                    <w:t>废机油</w:t>
                  </w:r>
                </w:p>
              </w:tc>
              <w:tc>
                <w:tcPr>
                  <w:tcW w:w="531" w:type="pct"/>
                  <w:vMerge w:val="restart"/>
                  <w:vAlign w:val="center"/>
                </w:tcPr>
                <w:p w14:paraId="6437A848">
                  <w:pPr>
                    <w:adjustRightInd w:val="0"/>
                    <w:snapToGrid w:val="0"/>
                    <w:jc w:val="center"/>
                    <w:rPr>
                      <w:rFonts w:eastAsia="仿宋_GB2312"/>
                      <w:color w:val="000000" w:themeColor="text1"/>
                      <w:kern w:val="0"/>
                      <w:sz w:val="21"/>
                      <w:szCs w:val="21"/>
                    </w:rPr>
                  </w:pPr>
                  <w:r>
                    <w:rPr>
                      <w:rFonts w:eastAsia="仿宋_GB2312"/>
                      <w:color w:val="000000" w:themeColor="text1"/>
                      <w:kern w:val="0"/>
                      <w:sz w:val="21"/>
                      <w:szCs w:val="21"/>
                    </w:rPr>
                    <w:t>危险废物</w:t>
                  </w:r>
                </w:p>
              </w:tc>
              <w:tc>
                <w:tcPr>
                  <w:tcW w:w="525" w:type="pct"/>
                  <w:vAlign w:val="center"/>
                </w:tcPr>
                <w:p w14:paraId="1C5D4338">
                  <w:pPr>
                    <w:adjustRightInd w:val="0"/>
                    <w:snapToGrid w:val="0"/>
                    <w:jc w:val="center"/>
                    <w:rPr>
                      <w:rFonts w:eastAsia="仿宋_GB2312"/>
                      <w:color w:val="000000" w:themeColor="text1"/>
                      <w:kern w:val="0"/>
                      <w:sz w:val="21"/>
                      <w:szCs w:val="21"/>
                    </w:rPr>
                  </w:pPr>
                  <w:r>
                    <w:rPr>
                      <w:rFonts w:eastAsia="仿宋_GB2312"/>
                      <w:color w:val="000000" w:themeColor="text1"/>
                      <w:kern w:val="0"/>
                      <w:sz w:val="21"/>
                      <w:szCs w:val="21"/>
                    </w:rPr>
                    <w:t>类比法</w:t>
                  </w:r>
                </w:p>
              </w:tc>
              <w:tc>
                <w:tcPr>
                  <w:tcW w:w="526" w:type="pct"/>
                  <w:vAlign w:val="center"/>
                </w:tcPr>
                <w:p w14:paraId="32399A52">
                  <w:pPr>
                    <w:adjustRightInd w:val="0"/>
                    <w:snapToGrid w:val="0"/>
                    <w:jc w:val="center"/>
                    <w:rPr>
                      <w:rFonts w:eastAsia="仿宋_GB2312"/>
                      <w:color w:val="000000" w:themeColor="text1"/>
                      <w:kern w:val="0"/>
                      <w:sz w:val="21"/>
                      <w:szCs w:val="21"/>
                    </w:rPr>
                  </w:pPr>
                  <w:r>
                    <w:rPr>
                      <w:rFonts w:eastAsia="仿宋_GB2312"/>
                      <w:color w:val="000000" w:themeColor="text1"/>
                      <w:kern w:val="0"/>
                      <w:sz w:val="21"/>
                      <w:szCs w:val="21"/>
                    </w:rPr>
                    <w:t>4.5</w:t>
                  </w:r>
                </w:p>
              </w:tc>
              <w:tc>
                <w:tcPr>
                  <w:tcW w:w="613" w:type="pct"/>
                  <w:vMerge w:val="restart"/>
                  <w:vAlign w:val="center"/>
                </w:tcPr>
                <w:p w14:paraId="44744B86">
                  <w:pPr>
                    <w:adjustRightInd w:val="0"/>
                    <w:snapToGrid w:val="0"/>
                    <w:jc w:val="center"/>
                    <w:rPr>
                      <w:rFonts w:eastAsia="仿宋_GB2312"/>
                      <w:color w:val="000000" w:themeColor="text1"/>
                      <w:kern w:val="0"/>
                      <w:sz w:val="21"/>
                      <w:szCs w:val="21"/>
                    </w:rPr>
                  </w:pPr>
                  <w:r>
                    <w:rPr>
                      <w:rFonts w:eastAsia="仿宋_GB2312"/>
                      <w:color w:val="000000" w:themeColor="text1"/>
                      <w:kern w:val="0"/>
                      <w:sz w:val="21"/>
                      <w:szCs w:val="21"/>
                    </w:rPr>
                    <w:t>委托有资质单位进行处置</w:t>
                  </w:r>
                </w:p>
              </w:tc>
              <w:tc>
                <w:tcPr>
                  <w:tcW w:w="701" w:type="pct"/>
                  <w:vAlign w:val="center"/>
                </w:tcPr>
                <w:p w14:paraId="7687C084">
                  <w:pPr>
                    <w:adjustRightInd w:val="0"/>
                    <w:snapToGrid w:val="0"/>
                    <w:jc w:val="center"/>
                    <w:rPr>
                      <w:rFonts w:eastAsia="仿宋_GB2312"/>
                      <w:color w:val="000000" w:themeColor="text1"/>
                      <w:kern w:val="0"/>
                      <w:sz w:val="21"/>
                      <w:szCs w:val="21"/>
                    </w:rPr>
                  </w:pPr>
                  <w:r>
                    <w:rPr>
                      <w:rFonts w:eastAsia="仿宋_GB2312"/>
                      <w:color w:val="000000" w:themeColor="text1"/>
                      <w:kern w:val="0"/>
                      <w:sz w:val="21"/>
                      <w:szCs w:val="21"/>
                    </w:rPr>
                    <w:t>4.5</w:t>
                  </w:r>
                </w:p>
              </w:tc>
            </w:tr>
            <w:tr w14:paraId="26B876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306" w:type="pct"/>
                  <w:vMerge w:val="continue"/>
                  <w:vAlign w:val="center"/>
                </w:tcPr>
                <w:p w14:paraId="2174193F">
                  <w:pPr>
                    <w:adjustRightInd w:val="0"/>
                    <w:snapToGrid w:val="0"/>
                    <w:jc w:val="center"/>
                    <w:rPr>
                      <w:rFonts w:eastAsia="仿宋_GB2312"/>
                      <w:kern w:val="0"/>
                      <w:sz w:val="21"/>
                      <w:szCs w:val="21"/>
                    </w:rPr>
                  </w:pPr>
                </w:p>
              </w:tc>
              <w:tc>
                <w:tcPr>
                  <w:tcW w:w="941" w:type="pct"/>
                  <w:vMerge w:val="continue"/>
                  <w:vAlign w:val="center"/>
                </w:tcPr>
                <w:p w14:paraId="4355B554">
                  <w:pPr>
                    <w:adjustRightInd w:val="0"/>
                    <w:snapToGrid w:val="0"/>
                    <w:jc w:val="center"/>
                    <w:rPr>
                      <w:rFonts w:eastAsia="仿宋_GB2312"/>
                      <w:color w:val="000000" w:themeColor="text1"/>
                      <w:kern w:val="0"/>
                      <w:sz w:val="21"/>
                      <w:szCs w:val="21"/>
                    </w:rPr>
                  </w:pPr>
                </w:p>
              </w:tc>
              <w:tc>
                <w:tcPr>
                  <w:tcW w:w="853" w:type="pct"/>
                  <w:vAlign w:val="center"/>
                </w:tcPr>
                <w:p w14:paraId="603292AB">
                  <w:pPr>
                    <w:adjustRightInd w:val="0"/>
                    <w:snapToGrid w:val="0"/>
                    <w:jc w:val="center"/>
                    <w:rPr>
                      <w:rFonts w:eastAsia="仿宋_GB2312"/>
                      <w:color w:val="000000" w:themeColor="text1"/>
                      <w:sz w:val="21"/>
                      <w:szCs w:val="21"/>
                    </w:rPr>
                  </w:pPr>
                  <w:r>
                    <w:rPr>
                      <w:rFonts w:eastAsia="仿宋_GB2312"/>
                      <w:color w:val="000000" w:themeColor="text1"/>
                      <w:sz w:val="21"/>
                      <w:szCs w:val="21"/>
                    </w:rPr>
                    <w:t>废油桶</w:t>
                  </w:r>
                </w:p>
              </w:tc>
              <w:tc>
                <w:tcPr>
                  <w:tcW w:w="531" w:type="pct"/>
                  <w:vMerge w:val="continue"/>
                  <w:vAlign w:val="center"/>
                </w:tcPr>
                <w:p w14:paraId="597B0578">
                  <w:pPr>
                    <w:adjustRightInd w:val="0"/>
                    <w:snapToGrid w:val="0"/>
                    <w:jc w:val="center"/>
                    <w:rPr>
                      <w:rFonts w:eastAsia="仿宋_GB2312"/>
                      <w:color w:val="000000" w:themeColor="text1"/>
                      <w:kern w:val="0"/>
                      <w:sz w:val="21"/>
                      <w:szCs w:val="21"/>
                    </w:rPr>
                  </w:pPr>
                </w:p>
              </w:tc>
              <w:tc>
                <w:tcPr>
                  <w:tcW w:w="525" w:type="pct"/>
                  <w:vAlign w:val="center"/>
                </w:tcPr>
                <w:p w14:paraId="34CA636B">
                  <w:pPr>
                    <w:adjustRightInd w:val="0"/>
                    <w:snapToGrid w:val="0"/>
                    <w:jc w:val="center"/>
                    <w:rPr>
                      <w:rFonts w:eastAsia="仿宋_GB2312"/>
                      <w:color w:val="000000" w:themeColor="text1"/>
                      <w:kern w:val="0"/>
                      <w:sz w:val="21"/>
                      <w:szCs w:val="21"/>
                    </w:rPr>
                  </w:pPr>
                  <w:r>
                    <w:rPr>
                      <w:rFonts w:eastAsia="仿宋_GB2312"/>
                      <w:color w:val="000000" w:themeColor="text1"/>
                      <w:kern w:val="0"/>
                      <w:sz w:val="21"/>
                      <w:szCs w:val="21"/>
                    </w:rPr>
                    <w:t>类比法</w:t>
                  </w:r>
                </w:p>
              </w:tc>
              <w:tc>
                <w:tcPr>
                  <w:tcW w:w="526" w:type="pct"/>
                  <w:vAlign w:val="center"/>
                </w:tcPr>
                <w:p w14:paraId="24580DDB">
                  <w:pPr>
                    <w:adjustRightInd w:val="0"/>
                    <w:snapToGrid w:val="0"/>
                    <w:jc w:val="center"/>
                    <w:rPr>
                      <w:rFonts w:eastAsia="仿宋_GB2312"/>
                      <w:color w:val="000000" w:themeColor="text1"/>
                      <w:kern w:val="0"/>
                      <w:sz w:val="21"/>
                      <w:szCs w:val="21"/>
                    </w:rPr>
                  </w:pPr>
                  <w:r>
                    <w:rPr>
                      <w:rFonts w:hint="eastAsia" w:eastAsia="仿宋_GB2312"/>
                      <w:sz w:val="21"/>
                      <w:szCs w:val="21"/>
                    </w:rPr>
                    <w:t>0.5</w:t>
                  </w:r>
                </w:p>
              </w:tc>
              <w:tc>
                <w:tcPr>
                  <w:tcW w:w="613" w:type="pct"/>
                  <w:vMerge w:val="continue"/>
                  <w:vAlign w:val="center"/>
                </w:tcPr>
                <w:p w14:paraId="713A3BC0">
                  <w:pPr>
                    <w:adjustRightInd w:val="0"/>
                    <w:snapToGrid w:val="0"/>
                    <w:jc w:val="center"/>
                    <w:rPr>
                      <w:rFonts w:eastAsia="仿宋_GB2312"/>
                      <w:color w:val="000000" w:themeColor="text1"/>
                      <w:kern w:val="0"/>
                      <w:sz w:val="21"/>
                      <w:szCs w:val="21"/>
                    </w:rPr>
                  </w:pPr>
                </w:p>
              </w:tc>
              <w:tc>
                <w:tcPr>
                  <w:tcW w:w="701" w:type="pct"/>
                  <w:vAlign w:val="center"/>
                </w:tcPr>
                <w:p w14:paraId="17C585E3">
                  <w:pPr>
                    <w:adjustRightInd w:val="0"/>
                    <w:snapToGrid w:val="0"/>
                    <w:jc w:val="center"/>
                    <w:rPr>
                      <w:rFonts w:eastAsia="仿宋_GB2312"/>
                      <w:color w:val="000000" w:themeColor="text1"/>
                      <w:kern w:val="0"/>
                      <w:sz w:val="21"/>
                      <w:szCs w:val="21"/>
                    </w:rPr>
                  </w:pPr>
                  <w:r>
                    <w:rPr>
                      <w:rFonts w:hint="eastAsia" w:eastAsia="仿宋_GB2312"/>
                      <w:sz w:val="21"/>
                      <w:szCs w:val="21"/>
                    </w:rPr>
                    <w:t>0.5</w:t>
                  </w:r>
                </w:p>
              </w:tc>
            </w:tr>
            <w:tr w14:paraId="5CE866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306" w:type="pct"/>
                  <w:vMerge w:val="continue"/>
                  <w:vAlign w:val="center"/>
                </w:tcPr>
                <w:p w14:paraId="230986F5">
                  <w:pPr>
                    <w:adjustRightInd w:val="0"/>
                    <w:snapToGrid w:val="0"/>
                    <w:jc w:val="center"/>
                    <w:rPr>
                      <w:rFonts w:eastAsia="仿宋_GB2312"/>
                      <w:kern w:val="0"/>
                      <w:sz w:val="21"/>
                      <w:szCs w:val="21"/>
                    </w:rPr>
                  </w:pPr>
                </w:p>
              </w:tc>
              <w:tc>
                <w:tcPr>
                  <w:tcW w:w="941" w:type="pct"/>
                  <w:vMerge w:val="continue"/>
                  <w:vAlign w:val="center"/>
                </w:tcPr>
                <w:p w14:paraId="516C8DA0">
                  <w:pPr>
                    <w:adjustRightInd w:val="0"/>
                    <w:snapToGrid w:val="0"/>
                    <w:jc w:val="center"/>
                    <w:rPr>
                      <w:rFonts w:eastAsia="仿宋_GB2312"/>
                      <w:color w:val="000000" w:themeColor="text1"/>
                      <w:kern w:val="0"/>
                      <w:sz w:val="21"/>
                      <w:szCs w:val="21"/>
                    </w:rPr>
                  </w:pPr>
                </w:p>
              </w:tc>
              <w:tc>
                <w:tcPr>
                  <w:tcW w:w="853" w:type="pct"/>
                  <w:vAlign w:val="center"/>
                </w:tcPr>
                <w:p w14:paraId="3B20A2B3">
                  <w:pPr>
                    <w:adjustRightInd w:val="0"/>
                    <w:snapToGrid w:val="0"/>
                    <w:jc w:val="center"/>
                    <w:rPr>
                      <w:rFonts w:eastAsia="仿宋_GB2312"/>
                      <w:color w:val="000000" w:themeColor="text1"/>
                      <w:kern w:val="0"/>
                      <w:sz w:val="21"/>
                      <w:szCs w:val="21"/>
                    </w:rPr>
                  </w:pPr>
                  <w:r>
                    <w:rPr>
                      <w:rFonts w:eastAsia="仿宋_GB2312"/>
                      <w:color w:val="000000" w:themeColor="text1"/>
                      <w:kern w:val="0"/>
                      <w:sz w:val="21"/>
                      <w:szCs w:val="21"/>
                    </w:rPr>
                    <w:t>废漆桶</w:t>
                  </w:r>
                </w:p>
              </w:tc>
              <w:tc>
                <w:tcPr>
                  <w:tcW w:w="531" w:type="pct"/>
                  <w:vMerge w:val="continue"/>
                  <w:vAlign w:val="center"/>
                </w:tcPr>
                <w:p w14:paraId="749A88FD">
                  <w:pPr>
                    <w:adjustRightInd w:val="0"/>
                    <w:snapToGrid w:val="0"/>
                    <w:jc w:val="center"/>
                    <w:rPr>
                      <w:rFonts w:eastAsia="仿宋_GB2312"/>
                      <w:color w:val="000000" w:themeColor="text1"/>
                      <w:kern w:val="0"/>
                      <w:sz w:val="21"/>
                      <w:szCs w:val="21"/>
                    </w:rPr>
                  </w:pPr>
                </w:p>
              </w:tc>
              <w:tc>
                <w:tcPr>
                  <w:tcW w:w="525" w:type="pct"/>
                  <w:vAlign w:val="center"/>
                </w:tcPr>
                <w:p w14:paraId="79DB6060">
                  <w:pPr>
                    <w:adjustRightInd w:val="0"/>
                    <w:snapToGrid w:val="0"/>
                    <w:jc w:val="center"/>
                    <w:rPr>
                      <w:rFonts w:eastAsia="仿宋_GB2312"/>
                      <w:color w:val="000000" w:themeColor="text1"/>
                      <w:kern w:val="0"/>
                      <w:sz w:val="21"/>
                      <w:szCs w:val="21"/>
                    </w:rPr>
                  </w:pPr>
                  <w:r>
                    <w:rPr>
                      <w:rFonts w:eastAsia="仿宋_GB2312"/>
                      <w:color w:val="000000" w:themeColor="text1"/>
                      <w:kern w:val="0"/>
                      <w:sz w:val="21"/>
                      <w:szCs w:val="21"/>
                    </w:rPr>
                    <w:t>类比法</w:t>
                  </w:r>
                </w:p>
              </w:tc>
              <w:tc>
                <w:tcPr>
                  <w:tcW w:w="526" w:type="pct"/>
                  <w:vAlign w:val="center"/>
                </w:tcPr>
                <w:p w14:paraId="44E100FD">
                  <w:pPr>
                    <w:adjustRightInd w:val="0"/>
                    <w:snapToGrid w:val="0"/>
                    <w:jc w:val="center"/>
                    <w:rPr>
                      <w:rFonts w:eastAsia="仿宋_GB2312"/>
                      <w:color w:val="000000" w:themeColor="text1"/>
                      <w:kern w:val="0"/>
                      <w:sz w:val="21"/>
                      <w:szCs w:val="21"/>
                    </w:rPr>
                  </w:pPr>
                  <w:r>
                    <w:rPr>
                      <w:rFonts w:hint="eastAsia" w:eastAsia="仿宋_GB2312"/>
                      <w:sz w:val="21"/>
                      <w:szCs w:val="21"/>
                    </w:rPr>
                    <w:t>0.5</w:t>
                  </w:r>
                </w:p>
              </w:tc>
              <w:tc>
                <w:tcPr>
                  <w:tcW w:w="613" w:type="pct"/>
                  <w:vMerge w:val="continue"/>
                  <w:vAlign w:val="center"/>
                </w:tcPr>
                <w:p w14:paraId="2CAE56FD">
                  <w:pPr>
                    <w:adjustRightInd w:val="0"/>
                    <w:snapToGrid w:val="0"/>
                    <w:jc w:val="center"/>
                    <w:rPr>
                      <w:rFonts w:eastAsia="仿宋_GB2312"/>
                      <w:color w:val="000000" w:themeColor="text1"/>
                      <w:kern w:val="0"/>
                      <w:sz w:val="21"/>
                      <w:szCs w:val="21"/>
                    </w:rPr>
                  </w:pPr>
                </w:p>
              </w:tc>
              <w:tc>
                <w:tcPr>
                  <w:tcW w:w="701" w:type="pct"/>
                  <w:vAlign w:val="center"/>
                </w:tcPr>
                <w:p w14:paraId="586EC07D">
                  <w:pPr>
                    <w:adjustRightInd w:val="0"/>
                    <w:snapToGrid w:val="0"/>
                    <w:jc w:val="center"/>
                    <w:rPr>
                      <w:rFonts w:eastAsia="仿宋_GB2312"/>
                      <w:color w:val="000000" w:themeColor="text1"/>
                      <w:kern w:val="0"/>
                      <w:sz w:val="21"/>
                      <w:szCs w:val="21"/>
                    </w:rPr>
                  </w:pPr>
                  <w:r>
                    <w:rPr>
                      <w:rFonts w:hint="eastAsia" w:eastAsia="仿宋_GB2312"/>
                      <w:sz w:val="21"/>
                      <w:szCs w:val="21"/>
                    </w:rPr>
                    <w:t>0.5</w:t>
                  </w:r>
                </w:p>
              </w:tc>
            </w:tr>
            <w:tr w14:paraId="0395BC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306" w:type="pct"/>
                  <w:vMerge w:val="continue"/>
                  <w:vAlign w:val="center"/>
                </w:tcPr>
                <w:p w14:paraId="52EFC7FA">
                  <w:pPr>
                    <w:adjustRightInd w:val="0"/>
                    <w:snapToGrid w:val="0"/>
                    <w:jc w:val="center"/>
                    <w:rPr>
                      <w:rFonts w:eastAsia="仿宋_GB2312"/>
                      <w:kern w:val="0"/>
                      <w:sz w:val="21"/>
                      <w:szCs w:val="21"/>
                    </w:rPr>
                  </w:pPr>
                </w:p>
              </w:tc>
              <w:tc>
                <w:tcPr>
                  <w:tcW w:w="941" w:type="pct"/>
                  <w:vMerge w:val="continue"/>
                  <w:vAlign w:val="center"/>
                </w:tcPr>
                <w:p w14:paraId="3485E963">
                  <w:pPr>
                    <w:adjustRightInd w:val="0"/>
                    <w:snapToGrid w:val="0"/>
                    <w:jc w:val="center"/>
                    <w:rPr>
                      <w:rFonts w:eastAsia="仿宋_GB2312"/>
                      <w:color w:val="000000" w:themeColor="text1"/>
                      <w:kern w:val="0"/>
                      <w:sz w:val="21"/>
                      <w:szCs w:val="21"/>
                    </w:rPr>
                  </w:pPr>
                </w:p>
              </w:tc>
              <w:tc>
                <w:tcPr>
                  <w:tcW w:w="853" w:type="pct"/>
                  <w:vAlign w:val="center"/>
                </w:tcPr>
                <w:p w14:paraId="576657B1">
                  <w:pPr>
                    <w:adjustRightInd w:val="0"/>
                    <w:snapToGrid w:val="0"/>
                    <w:jc w:val="center"/>
                    <w:rPr>
                      <w:rFonts w:eastAsia="仿宋_GB2312"/>
                      <w:color w:val="000000" w:themeColor="text1"/>
                      <w:kern w:val="0"/>
                      <w:sz w:val="21"/>
                      <w:szCs w:val="21"/>
                    </w:rPr>
                  </w:pPr>
                  <w:r>
                    <w:rPr>
                      <w:rFonts w:eastAsia="仿宋_GB2312"/>
                      <w:color w:val="000000" w:themeColor="text1"/>
                      <w:kern w:val="0"/>
                      <w:sz w:val="21"/>
                      <w:szCs w:val="21"/>
                    </w:rPr>
                    <w:t>废漆刷</w:t>
                  </w:r>
                </w:p>
              </w:tc>
              <w:tc>
                <w:tcPr>
                  <w:tcW w:w="531" w:type="pct"/>
                  <w:vMerge w:val="continue"/>
                  <w:vAlign w:val="center"/>
                </w:tcPr>
                <w:p w14:paraId="7159FB95">
                  <w:pPr>
                    <w:adjustRightInd w:val="0"/>
                    <w:snapToGrid w:val="0"/>
                    <w:jc w:val="center"/>
                    <w:rPr>
                      <w:rFonts w:eastAsia="仿宋_GB2312"/>
                      <w:color w:val="000000" w:themeColor="text1"/>
                      <w:kern w:val="0"/>
                      <w:sz w:val="21"/>
                      <w:szCs w:val="21"/>
                    </w:rPr>
                  </w:pPr>
                </w:p>
              </w:tc>
              <w:tc>
                <w:tcPr>
                  <w:tcW w:w="525" w:type="pct"/>
                  <w:vAlign w:val="center"/>
                </w:tcPr>
                <w:p w14:paraId="580A453E">
                  <w:pPr>
                    <w:adjustRightInd w:val="0"/>
                    <w:snapToGrid w:val="0"/>
                    <w:jc w:val="center"/>
                    <w:rPr>
                      <w:rFonts w:eastAsia="仿宋_GB2312"/>
                      <w:color w:val="000000" w:themeColor="text1"/>
                      <w:kern w:val="0"/>
                      <w:sz w:val="21"/>
                      <w:szCs w:val="21"/>
                    </w:rPr>
                  </w:pPr>
                  <w:r>
                    <w:rPr>
                      <w:rFonts w:eastAsia="仿宋_GB2312"/>
                      <w:color w:val="000000" w:themeColor="text1"/>
                      <w:kern w:val="0"/>
                      <w:sz w:val="21"/>
                      <w:szCs w:val="21"/>
                    </w:rPr>
                    <w:t>类比法</w:t>
                  </w:r>
                </w:p>
              </w:tc>
              <w:tc>
                <w:tcPr>
                  <w:tcW w:w="526" w:type="pct"/>
                  <w:vAlign w:val="center"/>
                </w:tcPr>
                <w:p w14:paraId="4918ED1E">
                  <w:pPr>
                    <w:adjustRightInd w:val="0"/>
                    <w:snapToGrid w:val="0"/>
                    <w:jc w:val="center"/>
                    <w:rPr>
                      <w:rFonts w:eastAsia="仿宋_GB2312"/>
                      <w:color w:val="000000" w:themeColor="text1"/>
                      <w:kern w:val="0"/>
                      <w:sz w:val="21"/>
                      <w:szCs w:val="21"/>
                    </w:rPr>
                  </w:pPr>
                  <w:r>
                    <w:rPr>
                      <w:rFonts w:eastAsia="仿宋_GB2312"/>
                      <w:color w:val="000000" w:themeColor="text1"/>
                      <w:kern w:val="0"/>
                      <w:sz w:val="21"/>
                      <w:szCs w:val="21"/>
                    </w:rPr>
                    <w:t>0.01</w:t>
                  </w:r>
                </w:p>
              </w:tc>
              <w:tc>
                <w:tcPr>
                  <w:tcW w:w="613" w:type="pct"/>
                  <w:vMerge w:val="continue"/>
                  <w:vAlign w:val="center"/>
                </w:tcPr>
                <w:p w14:paraId="1BD1B9EB">
                  <w:pPr>
                    <w:adjustRightInd w:val="0"/>
                    <w:snapToGrid w:val="0"/>
                    <w:jc w:val="center"/>
                    <w:rPr>
                      <w:rFonts w:eastAsia="仿宋_GB2312"/>
                      <w:color w:val="000000" w:themeColor="text1"/>
                      <w:kern w:val="0"/>
                      <w:sz w:val="21"/>
                      <w:szCs w:val="21"/>
                    </w:rPr>
                  </w:pPr>
                </w:p>
              </w:tc>
              <w:tc>
                <w:tcPr>
                  <w:tcW w:w="701" w:type="pct"/>
                  <w:vAlign w:val="center"/>
                </w:tcPr>
                <w:p w14:paraId="56A75B59">
                  <w:pPr>
                    <w:adjustRightInd w:val="0"/>
                    <w:snapToGrid w:val="0"/>
                    <w:jc w:val="center"/>
                    <w:rPr>
                      <w:rFonts w:eastAsia="仿宋_GB2312"/>
                      <w:color w:val="000000" w:themeColor="text1"/>
                      <w:kern w:val="0"/>
                      <w:sz w:val="21"/>
                      <w:szCs w:val="21"/>
                    </w:rPr>
                  </w:pPr>
                  <w:r>
                    <w:rPr>
                      <w:rFonts w:eastAsia="仿宋_GB2312"/>
                      <w:color w:val="000000" w:themeColor="text1"/>
                      <w:kern w:val="0"/>
                      <w:sz w:val="21"/>
                      <w:szCs w:val="21"/>
                    </w:rPr>
                    <w:t>0.01</w:t>
                  </w:r>
                </w:p>
              </w:tc>
            </w:tr>
            <w:tr w14:paraId="2EA44F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306" w:type="pct"/>
                  <w:vMerge w:val="continue"/>
                  <w:vAlign w:val="center"/>
                </w:tcPr>
                <w:p w14:paraId="053DAA0A">
                  <w:pPr>
                    <w:adjustRightInd w:val="0"/>
                    <w:snapToGrid w:val="0"/>
                    <w:jc w:val="center"/>
                    <w:rPr>
                      <w:rFonts w:eastAsia="仿宋_GB2312"/>
                      <w:kern w:val="0"/>
                      <w:sz w:val="21"/>
                      <w:szCs w:val="21"/>
                    </w:rPr>
                  </w:pPr>
                </w:p>
              </w:tc>
              <w:tc>
                <w:tcPr>
                  <w:tcW w:w="941" w:type="pct"/>
                  <w:vAlign w:val="center"/>
                </w:tcPr>
                <w:p w14:paraId="2B597BD8">
                  <w:pPr>
                    <w:adjustRightInd w:val="0"/>
                    <w:snapToGrid w:val="0"/>
                    <w:jc w:val="center"/>
                    <w:rPr>
                      <w:rFonts w:eastAsia="仿宋_GB2312"/>
                      <w:color w:val="000000" w:themeColor="text1"/>
                      <w:kern w:val="0"/>
                      <w:sz w:val="21"/>
                      <w:szCs w:val="21"/>
                    </w:rPr>
                  </w:pPr>
                  <w:r>
                    <w:rPr>
                      <w:rFonts w:eastAsia="仿宋_GB2312"/>
                      <w:color w:val="000000" w:themeColor="text1"/>
                      <w:kern w:val="0"/>
                      <w:sz w:val="21"/>
                      <w:szCs w:val="21"/>
                    </w:rPr>
                    <w:t>实验室</w:t>
                  </w:r>
                </w:p>
              </w:tc>
              <w:tc>
                <w:tcPr>
                  <w:tcW w:w="853" w:type="pct"/>
                  <w:vAlign w:val="center"/>
                </w:tcPr>
                <w:p w14:paraId="5ADD8200">
                  <w:pPr>
                    <w:adjustRightInd w:val="0"/>
                    <w:snapToGrid w:val="0"/>
                    <w:jc w:val="center"/>
                    <w:rPr>
                      <w:rFonts w:eastAsia="仿宋_GB2312"/>
                      <w:color w:val="000000" w:themeColor="text1"/>
                      <w:kern w:val="0"/>
                      <w:sz w:val="21"/>
                      <w:szCs w:val="21"/>
                    </w:rPr>
                  </w:pPr>
                  <w:r>
                    <w:rPr>
                      <w:rFonts w:eastAsia="仿宋_GB2312"/>
                      <w:kern w:val="0"/>
                      <w:sz w:val="21"/>
                      <w:szCs w:val="21"/>
                    </w:rPr>
                    <w:t>实验室废液</w:t>
                  </w:r>
                </w:p>
              </w:tc>
              <w:tc>
                <w:tcPr>
                  <w:tcW w:w="531" w:type="pct"/>
                  <w:vAlign w:val="center"/>
                </w:tcPr>
                <w:p w14:paraId="3E635DC8">
                  <w:pPr>
                    <w:adjustRightInd w:val="0"/>
                    <w:snapToGrid w:val="0"/>
                    <w:jc w:val="center"/>
                    <w:rPr>
                      <w:rFonts w:eastAsia="仿宋_GB2312"/>
                      <w:color w:val="000000" w:themeColor="text1"/>
                      <w:kern w:val="0"/>
                      <w:sz w:val="21"/>
                      <w:szCs w:val="21"/>
                    </w:rPr>
                  </w:pPr>
                  <w:r>
                    <w:rPr>
                      <w:rFonts w:eastAsia="仿宋_GB2312"/>
                      <w:color w:val="000000" w:themeColor="text1"/>
                      <w:kern w:val="0"/>
                      <w:sz w:val="21"/>
                      <w:szCs w:val="21"/>
                    </w:rPr>
                    <w:t>危险废物</w:t>
                  </w:r>
                </w:p>
              </w:tc>
              <w:tc>
                <w:tcPr>
                  <w:tcW w:w="525" w:type="pct"/>
                  <w:vAlign w:val="center"/>
                </w:tcPr>
                <w:p w14:paraId="17A1E70E">
                  <w:pPr>
                    <w:adjustRightInd w:val="0"/>
                    <w:snapToGrid w:val="0"/>
                    <w:jc w:val="center"/>
                    <w:rPr>
                      <w:rFonts w:eastAsia="仿宋_GB2312"/>
                      <w:color w:val="000000" w:themeColor="text1"/>
                      <w:kern w:val="0"/>
                      <w:sz w:val="21"/>
                      <w:szCs w:val="21"/>
                    </w:rPr>
                  </w:pPr>
                  <w:r>
                    <w:rPr>
                      <w:rFonts w:eastAsia="仿宋_GB2312"/>
                      <w:color w:val="000000" w:themeColor="text1"/>
                      <w:kern w:val="0"/>
                      <w:sz w:val="21"/>
                      <w:szCs w:val="21"/>
                    </w:rPr>
                    <w:t>类比法</w:t>
                  </w:r>
                </w:p>
              </w:tc>
              <w:tc>
                <w:tcPr>
                  <w:tcW w:w="526" w:type="pct"/>
                  <w:vAlign w:val="center"/>
                </w:tcPr>
                <w:p w14:paraId="5BC024E1">
                  <w:pPr>
                    <w:adjustRightInd w:val="0"/>
                    <w:snapToGrid w:val="0"/>
                    <w:jc w:val="center"/>
                    <w:rPr>
                      <w:rFonts w:eastAsia="仿宋_GB2312"/>
                      <w:color w:val="000000" w:themeColor="text1"/>
                      <w:kern w:val="0"/>
                      <w:sz w:val="21"/>
                      <w:szCs w:val="21"/>
                    </w:rPr>
                  </w:pPr>
                  <w:r>
                    <w:rPr>
                      <w:rFonts w:eastAsia="仿宋_GB2312"/>
                      <w:color w:val="000000" w:themeColor="text1"/>
                      <w:kern w:val="0"/>
                      <w:sz w:val="21"/>
                      <w:szCs w:val="21"/>
                    </w:rPr>
                    <w:t>1.5</w:t>
                  </w:r>
                </w:p>
              </w:tc>
              <w:tc>
                <w:tcPr>
                  <w:tcW w:w="613" w:type="pct"/>
                  <w:vMerge w:val="continue"/>
                  <w:vAlign w:val="center"/>
                </w:tcPr>
                <w:p w14:paraId="3F5B556A">
                  <w:pPr>
                    <w:adjustRightInd w:val="0"/>
                    <w:snapToGrid w:val="0"/>
                    <w:jc w:val="center"/>
                    <w:rPr>
                      <w:rFonts w:eastAsia="仿宋_GB2312"/>
                      <w:color w:val="000000" w:themeColor="text1"/>
                      <w:kern w:val="0"/>
                      <w:sz w:val="21"/>
                      <w:szCs w:val="21"/>
                    </w:rPr>
                  </w:pPr>
                </w:p>
              </w:tc>
              <w:tc>
                <w:tcPr>
                  <w:tcW w:w="701" w:type="pct"/>
                  <w:vAlign w:val="center"/>
                </w:tcPr>
                <w:p w14:paraId="43B760AA">
                  <w:pPr>
                    <w:adjustRightInd w:val="0"/>
                    <w:snapToGrid w:val="0"/>
                    <w:jc w:val="center"/>
                    <w:rPr>
                      <w:rFonts w:eastAsia="仿宋_GB2312"/>
                      <w:color w:val="000000" w:themeColor="text1"/>
                      <w:kern w:val="0"/>
                      <w:sz w:val="21"/>
                      <w:szCs w:val="21"/>
                    </w:rPr>
                  </w:pPr>
                  <w:r>
                    <w:rPr>
                      <w:rFonts w:eastAsia="仿宋_GB2312"/>
                      <w:color w:val="000000" w:themeColor="text1"/>
                      <w:kern w:val="0"/>
                      <w:sz w:val="21"/>
                      <w:szCs w:val="21"/>
                    </w:rPr>
                    <w:t>1.5</w:t>
                  </w:r>
                </w:p>
              </w:tc>
            </w:tr>
          </w:tbl>
          <w:p w14:paraId="6071FC7B">
            <w:pPr>
              <w:adjustRightInd w:val="0"/>
              <w:snapToGrid w:val="0"/>
              <w:spacing w:line="360" w:lineRule="auto"/>
              <w:ind w:firstLine="422" w:firstLineChars="200"/>
              <w:rPr>
                <w:rFonts w:eastAsia="仿宋_GB2312"/>
                <w:b/>
                <w:bCs/>
                <w:kern w:val="0"/>
              </w:rPr>
            </w:pPr>
            <w:r>
              <w:rPr>
                <w:rFonts w:eastAsia="仿宋_GB2312"/>
                <w:b/>
                <w:bCs/>
                <w:kern w:val="0"/>
              </w:rPr>
              <w:t>（2）固废处置方法及可行性分析</w:t>
            </w:r>
          </w:p>
          <w:p w14:paraId="34170094">
            <w:pPr>
              <w:adjustRightInd w:val="0"/>
              <w:snapToGrid w:val="0"/>
              <w:spacing w:line="360" w:lineRule="auto"/>
              <w:ind w:firstLine="420" w:firstLineChars="200"/>
              <w:rPr>
                <w:rFonts w:eastAsia="仿宋_GB2312"/>
                <w:kern w:val="0"/>
              </w:rPr>
            </w:pPr>
            <w:r>
              <w:rPr>
                <w:rFonts w:eastAsia="仿宋_GB2312"/>
                <w:kern w:val="0"/>
              </w:rPr>
              <w:t>1）危险废物处置方式</w:t>
            </w:r>
          </w:p>
          <w:p w14:paraId="01A77473">
            <w:pPr>
              <w:adjustRightInd w:val="0"/>
              <w:snapToGrid w:val="0"/>
              <w:spacing w:line="360" w:lineRule="auto"/>
              <w:ind w:firstLine="420" w:firstLineChars="200"/>
              <w:rPr>
                <w:rFonts w:eastAsia="仿宋_GB2312"/>
                <w:color w:val="000000"/>
                <w:kern w:val="0"/>
              </w:rPr>
            </w:pPr>
            <w:r>
              <w:rPr>
                <w:rFonts w:eastAsia="仿宋_GB2312"/>
                <w:color w:val="000000"/>
              </w:rPr>
              <w:t>废机油、废油桶、废漆桶、废漆刷及</w:t>
            </w:r>
            <w:r>
              <w:rPr>
                <w:rFonts w:hint="eastAsia" w:eastAsia="仿宋_GB2312"/>
                <w:color w:val="000000"/>
              </w:rPr>
              <w:t>实验室废液</w:t>
            </w:r>
            <w:r>
              <w:rPr>
                <w:rFonts w:eastAsia="仿宋_GB2312"/>
                <w:color w:val="000000"/>
                <w:kern w:val="0"/>
              </w:rPr>
              <w:t>收集后交由有资质单位处理。</w:t>
            </w:r>
          </w:p>
          <w:p w14:paraId="74ECEAF8">
            <w:pPr>
              <w:adjustRightInd w:val="0"/>
              <w:snapToGrid w:val="0"/>
              <w:spacing w:line="360" w:lineRule="auto"/>
              <w:ind w:firstLine="420" w:firstLineChars="200"/>
              <w:rPr>
                <w:rFonts w:eastAsia="仿宋_GB2312"/>
                <w:kern w:val="0"/>
              </w:rPr>
            </w:pPr>
            <w:r>
              <w:rPr>
                <w:rFonts w:eastAsia="仿宋_GB2312"/>
                <w:kern w:val="0"/>
              </w:rPr>
              <w:t>2）一般固废处理方法</w:t>
            </w:r>
          </w:p>
          <w:p w14:paraId="083CD51B">
            <w:pPr>
              <w:adjustRightInd w:val="0"/>
              <w:snapToGrid w:val="0"/>
              <w:spacing w:line="360" w:lineRule="auto"/>
              <w:ind w:firstLine="420" w:firstLineChars="200"/>
              <w:rPr>
                <w:rFonts w:eastAsia="仿宋_GB2312"/>
                <w:kern w:val="0"/>
              </w:rPr>
            </w:pPr>
            <w:r>
              <w:rPr>
                <w:rFonts w:eastAsia="仿宋_GB2312"/>
                <w:kern w:val="0"/>
              </w:rPr>
              <w:t>盐泥收集后</w:t>
            </w:r>
            <w:r>
              <w:rPr>
                <w:rFonts w:hint="eastAsia" w:eastAsia="仿宋_GB2312"/>
                <w:sz w:val="21"/>
                <w:szCs w:val="21"/>
                <w:lang w:val="en-US" w:eastAsia="zh-CN"/>
              </w:rPr>
              <w:t>作为原料回用于盐泥综合利用项目</w:t>
            </w:r>
            <w:r>
              <w:rPr>
                <w:rFonts w:eastAsia="仿宋_GB2312"/>
                <w:kern w:val="0"/>
              </w:rPr>
              <w:t>，废保安过滤器滤芯</w:t>
            </w:r>
            <w:r>
              <w:rPr>
                <w:rFonts w:hint="eastAsia" w:eastAsia="仿宋_GB2312"/>
                <w:kern w:val="0"/>
                <w:lang w:eastAsia="zh-CN"/>
              </w:rPr>
              <w:t>、</w:t>
            </w:r>
            <w:r>
              <w:rPr>
                <w:rFonts w:eastAsia="仿宋_GB2312"/>
                <w:kern w:val="0"/>
              </w:rPr>
              <w:t>废粗过滤器滤芯</w:t>
            </w:r>
            <w:r>
              <w:rPr>
                <w:rFonts w:hint="eastAsia" w:eastAsia="仿宋_GB2312"/>
                <w:kern w:val="0"/>
                <w:lang w:eastAsia="zh-CN"/>
              </w:rPr>
              <w:t>、</w:t>
            </w:r>
            <w:r>
              <w:rPr>
                <w:rFonts w:hint="eastAsia" w:eastAsia="仿宋_GB2312"/>
                <w:kern w:val="0"/>
                <w:lang w:val="en-US" w:eastAsia="zh-CN"/>
              </w:rPr>
              <w:t>废活性炭</w:t>
            </w:r>
            <w:r>
              <w:rPr>
                <w:rFonts w:eastAsia="仿宋_GB2312"/>
                <w:kern w:val="0"/>
              </w:rPr>
              <w:t>更换后由厂家回收。</w:t>
            </w:r>
          </w:p>
          <w:p w14:paraId="1D13D7D9">
            <w:pPr>
              <w:adjustRightInd w:val="0"/>
              <w:snapToGrid w:val="0"/>
              <w:spacing w:line="360" w:lineRule="auto"/>
              <w:ind w:firstLine="420" w:firstLineChars="200"/>
              <w:rPr>
                <w:rFonts w:eastAsia="仿宋_GB2312"/>
                <w:kern w:val="0"/>
              </w:rPr>
            </w:pPr>
            <w:r>
              <w:rPr>
                <w:rFonts w:eastAsia="仿宋_GB2312"/>
                <w:kern w:val="0"/>
              </w:rPr>
              <w:t>3）危险废物收集污染防治措施分析</w:t>
            </w:r>
          </w:p>
          <w:p w14:paraId="126E5BDF">
            <w:pPr>
              <w:adjustRightInd w:val="0"/>
              <w:snapToGrid w:val="0"/>
              <w:spacing w:line="360" w:lineRule="auto"/>
              <w:ind w:firstLine="420" w:firstLineChars="200"/>
              <w:rPr>
                <w:rFonts w:eastAsia="仿宋_GB2312"/>
                <w:kern w:val="0"/>
              </w:rPr>
            </w:pPr>
            <w:r>
              <w:rPr>
                <w:rFonts w:eastAsia="仿宋_GB2312"/>
                <w:kern w:val="0"/>
              </w:rPr>
              <w:t>危险废物在收集时，应清楚废物的类别及主要成分，以方便委托有资质处理单位处理。根据危险废物的性质和形态，可采用不同大小和不同材质的容器进行包装，所有包装容器应足够安全，并经过周密检查，严防在装载、搬移或运输途中出现渗漏、溢出、抛洒或挥发等情况。最后按照江苏省环保厅相关要求，对危险废物进行安全包装，并在包装的明显位置附上危险废物标签。</w:t>
            </w:r>
          </w:p>
          <w:p w14:paraId="5EB1B4BE">
            <w:pPr>
              <w:adjustRightInd w:val="0"/>
              <w:snapToGrid w:val="0"/>
              <w:spacing w:line="360" w:lineRule="auto"/>
              <w:ind w:firstLine="420" w:firstLineChars="200"/>
              <w:rPr>
                <w:rFonts w:eastAsia="仿宋_GB2312"/>
                <w:kern w:val="0"/>
              </w:rPr>
            </w:pPr>
            <w:r>
              <w:rPr>
                <w:rFonts w:eastAsia="仿宋_GB2312"/>
                <w:kern w:val="0"/>
              </w:rPr>
              <w:t>4）危险废物暂存污染防治措施分析</w:t>
            </w:r>
          </w:p>
          <w:p w14:paraId="49CBB99D">
            <w:pPr>
              <w:adjustRightInd w:val="0"/>
              <w:snapToGrid w:val="0"/>
              <w:spacing w:line="360" w:lineRule="auto"/>
              <w:ind w:firstLine="420" w:firstLineChars="200"/>
              <w:rPr>
                <w:rFonts w:eastAsia="仿宋_GB2312"/>
                <w:kern w:val="0"/>
              </w:rPr>
            </w:pPr>
            <w:r>
              <w:rPr>
                <w:rFonts w:eastAsia="仿宋_GB2312"/>
                <w:kern w:val="0"/>
              </w:rPr>
              <w:t>本项目运营后，危险废物应尽快送往委托单位处理，不宜存放过长时间；若由于危废处置单位暂时无法转移固废，需将固废暂时存储在本项目厂区内，则需修建临时贮存场所，建设项目危险废物暂存场地的设置按《危险废物贮存污染控制标准》（GB 18597-2023）要求设置，并做到以下几点：</w:t>
            </w:r>
          </w:p>
          <w:p w14:paraId="22306E0D">
            <w:pPr>
              <w:pStyle w:val="81"/>
              <w:widowControl/>
              <w:ind w:firstLine="420"/>
              <w:rPr>
                <w:rFonts w:eastAsia="仿宋_GB2312"/>
                <w:sz w:val="21"/>
                <w:szCs w:val="21"/>
              </w:rPr>
            </w:pPr>
            <w:r>
              <w:rPr>
                <w:rFonts w:eastAsia="仿宋_GB2312"/>
                <w:sz w:val="21"/>
                <w:szCs w:val="21"/>
              </w:rPr>
              <w:t>Ⅰ、贮存物质相容性要求：在常温常压下不水解、不挥发的固体危险废物可在贮存场所内分别堆放，除此之外的其他危险废物必须存放于容器中，存放用容器也需符合（GB 18597-2023）标准的相关规定；禁止将不相容（相互反应）的危险废物在同一容器中存放；无法装入常用容器的危险废物可用防漏胶袋等盛装。</w:t>
            </w:r>
          </w:p>
          <w:p w14:paraId="410AAD42">
            <w:pPr>
              <w:pStyle w:val="81"/>
              <w:widowControl/>
              <w:ind w:firstLine="420"/>
              <w:rPr>
                <w:rFonts w:eastAsia="仿宋_GB2312"/>
                <w:sz w:val="21"/>
                <w:szCs w:val="21"/>
              </w:rPr>
            </w:pPr>
            <w:r>
              <w:rPr>
                <w:rFonts w:eastAsia="仿宋_GB2312"/>
                <w:sz w:val="21"/>
                <w:szCs w:val="21"/>
              </w:rPr>
              <w:t>Ⅱ、包装容器要求：危险废物贮存容器应当使用符合标准的容器盛装危险废物，装载危险废物的容器及材质要满足相应的强度要求，完好无损，盛装危险废物的容器材质和衬里要与危险废物相容。</w:t>
            </w:r>
          </w:p>
          <w:p w14:paraId="3190FCEB">
            <w:pPr>
              <w:pStyle w:val="81"/>
              <w:widowControl/>
              <w:ind w:firstLine="420"/>
              <w:rPr>
                <w:rFonts w:eastAsia="仿宋_GB2312"/>
                <w:sz w:val="21"/>
                <w:szCs w:val="21"/>
              </w:rPr>
            </w:pPr>
            <w:r>
              <w:rPr>
                <w:rFonts w:eastAsia="仿宋_GB2312"/>
                <w:sz w:val="21"/>
                <w:szCs w:val="21"/>
              </w:rPr>
              <w:t>Ⅲ、危险废物贮存场所要求：对于危险废物暂存区域应严格按照《危险废物贮存污染控制标准》（GB 18597- 2023）及其修改单中的相关规定，地面进行耐腐蚀硬化处理，地基须防渗，地面表面无裂缝；不相容的危险废物需分类存放，并设置隔离间隔断；满足（防风、防雨、防晒、防渗漏），具备警示标识等方面内容。</w:t>
            </w:r>
          </w:p>
          <w:p w14:paraId="7B79908D">
            <w:pPr>
              <w:pStyle w:val="81"/>
              <w:widowControl/>
              <w:ind w:firstLine="420"/>
              <w:rPr>
                <w:rFonts w:eastAsia="仿宋_GB2312"/>
                <w:sz w:val="21"/>
                <w:szCs w:val="21"/>
              </w:rPr>
            </w:pPr>
            <w:r>
              <w:rPr>
                <w:rFonts w:eastAsia="仿宋_GB2312"/>
                <w:sz w:val="21"/>
                <w:szCs w:val="21"/>
              </w:rPr>
              <w:t>Ⅳ、危险废物贮存设施应配备通讯设备、照明设施、安全防护服装及工具，并设有应急防护设施。</w:t>
            </w:r>
          </w:p>
          <w:p w14:paraId="21FC328D">
            <w:pPr>
              <w:pStyle w:val="81"/>
              <w:widowControl/>
              <w:ind w:firstLine="420"/>
              <w:rPr>
                <w:rFonts w:eastAsia="仿宋_GB2312"/>
                <w:sz w:val="21"/>
                <w:szCs w:val="21"/>
              </w:rPr>
            </w:pPr>
            <w:r>
              <w:rPr>
                <w:rFonts w:eastAsia="仿宋_GB2312"/>
                <w:sz w:val="21"/>
                <w:szCs w:val="21"/>
              </w:rPr>
              <w:t>Ⅴ、在危险废物仓库出入口、设施内部、危险废物运输车辆通道等关键位置按照危险废物贮存设施视频监控布设要求设置视频监控，并与中控室联网。</w:t>
            </w:r>
          </w:p>
          <w:p w14:paraId="10E8D4CD">
            <w:pPr>
              <w:adjustRightInd w:val="0"/>
              <w:snapToGrid w:val="0"/>
              <w:spacing w:line="360" w:lineRule="auto"/>
              <w:ind w:firstLine="420" w:firstLineChars="200"/>
              <w:rPr>
                <w:rFonts w:eastAsia="仿宋_GB2312"/>
                <w:kern w:val="0"/>
              </w:rPr>
            </w:pPr>
            <w:r>
              <w:rPr>
                <w:rFonts w:eastAsia="仿宋_GB2312"/>
              </w:rPr>
              <w:t>Ⅵ、</w:t>
            </w:r>
            <w:r>
              <w:rPr>
                <w:rFonts w:hint="eastAsia" w:eastAsia="仿宋_GB2312"/>
                <w:lang w:val="en-US" w:eastAsia="zh-CN"/>
              </w:rPr>
              <w:t>落实</w:t>
            </w:r>
            <w:r>
              <w:rPr>
                <w:rFonts w:hint="eastAsia" w:eastAsia="仿宋_GB2312"/>
                <w:lang w:eastAsia="zh-CN"/>
              </w:rPr>
              <w:t>《江苏省固体废物全过程环境监管工作意见》（苏环办〔2024〕16号）</w:t>
            </w:r>
            <w:r>
              <w:rPr>
                <w:rFonts w:hint="eastAsia" w:eastAsia="仿宋_GB2312"/>
                <w:lang w:val="en-US" w:eastAsia="zh-CN"/>
              </w:rPr>
              <w:t>的工作要求</w:t>
            </w:r>
            <w:r>
              <w:rPr>
                <w:rFonts w:eastAsia="仿宋_GB2312"/>
                <w:kern w:val="0"/>
              </w:rPr>
              <w:t>。</w:t>
            </w:r>
          </w:p>
          <w:p w14:paraId="0E2A1487">
            <w:pPr>
              <w:pStyle w:val="81"/>
              <w:widowControl/>
              <w:ind w:firstLine="420"/>
              <w:rPr>
                <w:rFonts w:eastAsia="仿宋_GB2312"/>
                <w:sz w:val="21"/>
                <w:szCs w:val="21"/>
              </w:rPr>
            </w:pPr>
            <w:r>
              <w:rPr>
                <w:rFonts w:eastAsia="仿宋_GB2312"/>
                <w:sz w:val="21"/>
                <w:szCs w:val="21"/>
              </w:rPr>
              <w:t>危废暂存场所建设要求见表4-</w:t>
            </w:r>
            <w:r>
              <w:rPr>
                <w:rFonts w:hint="eastAsia" w:eastAsia="仿宋_GB2312"/>
                <w:sz w:val="21"/>
                <w:szCs w:val="21"/>
                <w:lang w:val="en-US" w:eastAsia="zh-CN"/>
              </w:rPr>
              <w:t>32</w:t>
            </w:r>
            <w:r>
              <w:rPr>
                <w:rFonts w:eastAsia="仿宋_GB2312"/>
                <w:sz w:val="21"/>
                <w:szCs w:val="21"/>
              </w:rPr>
              <w:t>；危废暂存场所“三防”措施要求见表4-</w:t>
            </w:r>
            <w:r>
              <w:rPr>
                <w:rFonts w:hint="eastAsia" w:eastAsia="仿宋_GB2312"/>
                <w:sz w:val="21"/>
                <w:szCs w:val="21"/>
                <w:lang w:val="en-US" w:eastAsia="zh-CN"/>
              </w:rPr>
              <w:t>33</w:t>
            </w:r>
            <w:r>
              <w:rPr>
                <w:rFonts w:eastAsia="仿宋_GB2312"/>
                <w:sz w:val="21"/>
                <w:szCs w:val="21"/>
              </w:rPr>
              <w:t>。</w:t>
            </w:r>
          </w:p>
          <w:p w14:paraId="6FD74CEE">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eastAsia="仿宋_GB2312"/>
                <w:b/>
                <w:kern w:val="0"/>
              </w:rPr>
            </w:pPr>
          </w:p>
          <w:p w14:paraId="054463B2">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eastAsia="仿宋_GB2312"/>
                <w:b/>
                <w:kern w:val="0"/>
              </w:rPr>
            </w:pPr>
            <w:r>
              <w:rPr>
                <w:rFonts w:eastAsia="仿宋_GB2312"/>
                <w:b/>
                <w:kern w:val="0"/>
              </w:rPr>
              <w:t>表4-</w:t>
            </w:r>
            <w:r>
              <w:rPr>
                <w:rFonts w:hint="eastAsia" w:eastAsia="仿宋_GB2312"/>
                <w:b/>
                <w:kern w:val="0"/>
                <w:lang w:val="en-US" w:eastAsia="zh-CN"/>
              </w:rPr>
              <w:t xml:space="preserve">32  </w:t>
            </w:r>
            <w:r>
              <w:rPr>
                <w:rFonts w:eastAsia="仿宋_GB2312"/>
                <w:b/>
                <w:kern w:val="0"/>
              </w:rPr>
              <w:t>危废暂存场所建设要求</w:t>
            </w:r>
          </w:p>
          <w:tbl>
            <w:tblPr>
              <w:tblStyle w:val="31"/>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47"/>
              <w:gridCol w:w="3714"/>
              <w:gridCol w:w="3433"/>
            </w:tblGrid>
            <w:tr w14:paraId="40FACA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3" w:type="pct"/>
                </w:tcPr>
                <w:p w14:paraId="4698D8C6">
                  <w:pPr>
                    <w:adjustRightInd w:val="0"/>
                    <w:snapToGrid w:val="0"/>
                    <w:jc w:val="center"/>
                    <w:rPr>
                      <w:rFonts w:eastAsia="仿宋_GB2312"/>
                      <w:b/>
                      <w:bCs/>
                      <w:sz w:val="21"/>
                      <w:szCs w:val="21"/>
                    </w:rPr>
                  </w:pPr>
                  <w:r>
                    <w:rPr>
                      <w:rFonts w:eastAsia="仿宋_GB2312"/>
                      <w:b/>
                      <w:bCs/>
                      <w:sz w:val="21"/>
                      <w:szCs w:val="21"/>
                    </w:rPr>
                    <w:t>项目</w:t>
                  </w:r>
                </w:p>
              </w:tc>
              <w:tc>
                <w:tcPr>
                  <w:tcW w:w="2185" w:type="pct"/>
                </w:tcPr>
                <w:p w14:paraId="4BF71839">
                  <w:pPr>
                    <w:adjustRightInd w:val="0"/>
                    <w:snapToGrid w:val="0"/>
                    <w:jc w:val="center"/>
                    <w:rPr>
                      <w:rFonts w:eastAsia="仿宋_GB2312"/>
                      <w:b/>
                      <w:bCs/>
                      <w:sz w:val="21"/>
                      <w:szCs w:val="21"/>
                    </w:rPr>
                  </w:pPr>
                  <w:r>
                    <w:rPr>
                      <w:rFonts w:eastAsia="仿宋_GB2312"/>
                      <w:b/>
                      <w:bCs/>
                      <w:sz w:val="21"/>
                      <w:szCs w:val="21"/>
                    </w:rPr>
                    <w:t>具体要求</w:t>
                  </w:r>
                </w:p>
              </w:tc>
              <w:tc>
                <w:tcPr>
                  <w:tcW w:w="2020" w:type="pct"/>
                </w:tcPr>
                <w:p w14:paraId="3CA6F646">
                  <w:pPr>
                    <w:adjustRightInd w:val="0"/>
                    <w:snapToGrid w:val="0"/>
                    <w:jc w:val="center"/>
                    <w:rPr>
                      <w:rFonts w:eastAsia="仿宋_GB2312"/>
                      <w:b/>
                      <w:bCs/>
                      <w:sz w:val="21"/>
                      <w:szCs w:val="21"/>
                    </w:rPr>
                  </w:pPr>
                  <w:r>
                    <w:rPr>
                      <w:rFonts w:eastAsia="仿宋_GB2312"/>
                      <w:b/>
                      <w:bCs/>
                      <w:sz w:val="21"/>
                      <w:szCs w:val="21"/>
                    </w:rPr>
                    <w:t>简要说明</w:t>
                  </w:r>
                </w:p>
              </w:tc>
            </w:tr>
            <w:tr w14:paraId="48FB0B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3" w:type="pct"/>
                  <w:vMerge w:val="restart"/>
                  <w:vAlign w:val="center"/>
                </w:tcPr>
                <w:p w14:paraId="5BEBD18E">
                  <w:pPr>
                    <w:adjustRightInd w:val="0"/>
                    <w:snapToGrid w:val="0"/>
                    <w:jc w:val="center"/>
                    <w:rPr>
                      <w:rFonts w:eastAsia="仿宋_GB2312"/>
                      <w:sz w:val="21"/>
                      <w:szCs w:val="21"/>
                    </w:rPr>
                  </w:pPr>
                  <w:r>
                    <w:rPr>
                      <w:rFonts w:eastAsia="仿宋_GB2312"/>
                      <w:sz w:val="21"/>
                      <w:szCs w:val="21"/>
                    </w:rPr>
                    <w:t>收集、贮存、运输、利用、处置固危废的单位</w:t>
                  </w:r>
                </w:p>
              </w:tc>
              <w:tc>
                <w:tcPr>
                  <w:tcW w:w="2185" w:type="pct"/>
                  <w:vAlign w:val="center"/>
                </w:tcPr>
                <w:p w14:paraId="504D9B07">
                  <w:pPr>
                    <w:adjustRightInd w:val="0"/>
                    <w:snapToGrid w:val="0"/>
                    <w:rPr>
                      <w:rFonts w:eastAsia="仿宋_GB2312"/>
                      <w:sz w:val="21"/>
                      <w:szCs w:val="21"/>
                    </w:rPr>
                  </w:pPr>
                  <w:r>
                    <w:rPr>
                      <w:rFonts w:eastAsia="仿宋_GB2312"/>
                      <w:sz w:val="21"/>
                      <w:szCs w:val="21"/>
                    </w:rPr>
                    <w:t>A.贮存场所地面硬化及防渗处理；</w:t>
                  </w:r>
                </w:p>
              </w:tc>
              <w:tc>
                <w:tcPr>
                  <w:tcW w:w="2020" w:type="pct"/>
                  <w:vAlign w:val="center"/>
                </w:tcPr>
                <w:p w14:paraId="4EFC718C">
                  <w:pPr>
                    <w:adjustRightInd w:val="0"/>
                    <w:snapToGrid w:val="0"/>
                    <w:jc w:val="center"/>
                    <w:rPr>
                      <w:rFonts w:eastAsia="仿宋_GB2312"/>
                      <w:sz w:val="21"/>
                      <w:szCs w:val="21"/>
                    </w:rPr>
                  </w:pPr>
                  <w:r>
                    <w:rPr>
                      <w:rFonts w:eastAsia="仿宋_GB2312"/>
                      <w:sz w:val="21"/>
                      <w:szCs w:val="21"/>
                    </w:rPr>
                    <w:t>地面硬化+环氧地坪</w:t>
                  </w:r>
                </w:p>
              </w:tc>
            </w:tr>
            <w:tr w14:paraId="640CCA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3" w:type="pct"/>
                  <w:vMerge w:val="continue"/>
                  <w:vAlign w:val="center"/>
                </w:tcPr>
                <w:p w14:paraId="2CEF09EE">
                  <w:pPr>
                    <w:widowControl/>
                    <w:adjustRightInd w:val="0"/>
                    <w:snapToGrid w:val="0"/>
                    <w:jc w:val="left"/>
                    <w:rPr>
                      <w:rFonts w:eastAsia="仿宋_GB2312"/>
                      <w:sz w:val="21"/>
                      <w:szCs w:val="21"/>
                    </w:rPr>
                  </w:pPr>
                </w:p>
              </w:tc>
              <w:tc>
                <w:tcPr>
                  <w:tcW w:w="2185" w:type="pct"/>
                  <w:vAlign w:val="center"/>
                </w:tcPr>
                <w:p w14:paraId="03E9B5A1">
                  <w:pPr>
                    <w:adjustRightInd w:val="0"/>
                    <w:snapToGrid w:val="0"/>
                    <w:rPr>
                      <w:rFonts w:eastAsia="仿宋_GB2312"/>
                      <w:sz w:val="21"/>
                      <w:szCs w:val="21"/>
                    </w:rPr>
                  </w:pPr>
                  <w:r>
                    <w:rPr>
                      <w:rFonts w:eastAsia="仿宋_GB2312"/>
                      <w:sz w:val="21"/>
                      <w:szCs w:val="21"/>
                    </w:rPr>
                    <w:t>B.场所应有雨棚、围堰或围墙，并采取措施禁止无关人员进入；</w:t>
                  </w:r>
                </w:p>
              </w:tc>
              <w:tc>
                <w:tcPr>
                  <w:tcW w:w="2020" w:type="pct"/>
                  <w:vAlign w:val="center"/>
                </w:tcPr>
                <w:p w14:paraId="2F1815C7">
                  <w:pPr>
                    <w:adjustRightInd w:val="0"/>
                    <w:snapToGrid w:val="0"/>
                    <w:jc w:val="center"/>
                    <w:rPr>
                      <w:rFonts w:eastAsia="仿宋_GB2312"/>
                      <w:sz w:val="21"/>
                      <w:szCs w:val="21"/>
                    </w:rPr>
                  </w:pPr>
                  <w:r>
                    <w:rPr>
                      <w:rFonts w:eastAsia="仿宋_GB2312"/>
                      <w:sz w:val="21"/>
                      <w:szCs w:val="21"/>
                    </w:rPr>
                    <w:t>防流失</w:t>
                  </w:r>
                </w:p>
              </w:tc>
            </w:tr>
            <w:tr w14:paraId="23D108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3" w:type="pct"/>
                  <w:vMerge w:val="continue"/>
                  <w:vAlign w:val="center"/>
                </w:tcPr>
                <w:p w14:paraId="37CBD568">
                  <w:pPr>
                    <w:widowControl/>
                    <w:adjustRightInd w:val="0"/>
                    <w:snapToGrid w:val="0"/>
                    <w:jc w:val="left"/>
                    <w:rPr>
                      <w:rFonts w:eastAsia="仿宋_GB2312"/>
                      <w:sz w:val="21"/>
                      <w:szCs w:val="21"/>
                    </w:rPr>
                  </w:pPr>
                </w:p>
              </w:tc>
              <w:tc>
                <w:tcPr>
                  <w:tcW w:w="2185" w:type="pct"/>
                  <w:vAlign w:val="center"/>
                </w:tcPr>
                <w:p w14:paraId="51C51D0C">
                  <w:pPr>
                    <w:adjustRightInd w:val="0"/>
                    <w:snapToGrid w:val="0"/>
                    <w:rPr>
                      <w:rFonts w:eastAsia="仿宋_GB2312"/>
                      <w:sz w:val="21"/>
                      <w:szCs w:val="21"/>
                    </w:rPr>
                  </w:pPr>
                  <w:r>
                    <w:rPr>
                      <w:rFonts w:eastAsia="仿宋_GB2312"/>
                      <w:sz w:val="21"/>
                      <w:szCs w:val="21"/>
                    </w:rPr>
                    <w:t>C.设置废水导排管道或渠道；</w:t>
                  </w:r>
                </w:p>
              </w:tc>
              <w:tc>
                <w:tcPr>
                  <w:tcW w:w="2020" w:type="pct"/>
                  <w:vAlign w:val="center"/>
                </w:tcPr>
                <w:p w14:paraId="7A8BF03C">
                  <w:pPr>
                    <w:adjustRightInd w:val="0"/>
                    <w:snapToGrid w:val="0"/>
                    <w:jc w:val="center"/>
                    <w:rPr>
                      <w:rFonts w:eastAsia="仿宋_GB2312"/>
                      <w:sz w:val="21"/>
                      <w:szCs w:val="21"/>
                    </w:rPr>
                  </w:pPr>
                  <w:r>
                    <w:rPr>
                      <w:rFonts w:eastAsia="仿宋_GB2312"/>
                      <w:sz w:val="21"/>
                      <w:szCs w:val="21"/>
                    </w:rPr>
                    <w:t>场所四周建设收集槽（仓库四周有格栅盖板），并汇集到收集池</w:t>
                  </w:r>
                </w:p>
              </w:tc>
            </w:tr>
            <w:tr w14:paraId="5C41F3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3" w:type="pct"/>
                  <w:vMerge w:val="continue"/>
                  <w:vAlign w:val="center"/>
                </w:tcPr>
                <w:p w14:paraId="7ACD24DB">
                  <w:pPr>
                    <w:widowControl/>
                    <w:adjustRightInd w:val="0"/>
                    <w:snapToGrid w:val="0"/>
                    <w:jc w:val="left"/>
                    <w:rPr>
                      <w:rFonts w:eastAsia="仿宋_GB2312"/>
                      <w:sz w:val="21"/>
                      <w:szCs w:val="21"/>
                    </w:rPr>
                  </w:pPr>
                </w:p>
              </w:tc>
              <w:tc>
                <w:tcPr>
                  <w:tcW w:w="2185" w:type="pct"/>
                  <w:vAlign w:val="center"/>
                </w:tcPr>
                <w:p w14:paraId="3E8929D6">
                  <w:pPr>
                    <w:adjustRightInd w:val="0"/>
                    <w:snapToGrid w:val="0"/>
                    <w:rPr>
                      <w:rFonts w:eastAsia="仿宋_GB2312"/>
                      <w:sz w:val="21"/>
                      <w:szCs w:val="21"/>
                    </w:rPr>
                  </w:pPr>
                  <w:r>
                    <w:rPr>
                      <w:rFonts w:eastAsia="仿宋_GB2312"/>
                      <w:sz w:val="21"/>
                      <w:szCs w:val="21"/>
                    </w:rPr>
                    <w:t>D.将冲洗废水纳入企业废水处理设施处理或危险废物管理；</w:t>
                  </w:r>
                </w:p>
              </w:tc>
              <w:tc>
                <w:tcPr>
                  <w:tcW w:w="2020" w:type="pct"/>
                  <w:vAlign w:val="center"/>
                </w:tcPr>
                <w:p w14:paraId="6DB816DB">
                  <w:pPr>
                    <w:adjustRightInd w:val="0"/>
                    <w:snapToGrid w:val="0"/>
                    <w:jc w:val="center"/>
                    <w:rPr>
                      <w:rFonts w:eastAsia="仿宋_GB2312"/>
                      <w:sz w:val="21"/>
                      <w:szCs w:val="21"/>
                    </w:rPr>
                  </w:pPr>
                  <w:r>
                    <w:rPr>
                      <w:rFonts w:eastAsia="仿宋_GB2312"/>
                      <w:sz w:val="21"/>
                      <w:szCs w:val="21"/>
                    </w:rPr>
                    <w:t>冲洗废水、渗滤液、泄漏物一律作为危废管理</w:t>
                  </w:r>
                </w:p>
              </w:tc>
            </w:tr>
            <w:tr w14:paraId="20D09A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3" w:type="pct"/>
                  <w:vMerge w:val="continue"/>
                  <w:vAlign w:val="center"/>
                </w:tcPr>
                <w:p w14:paraId="407D9869">
                  <w:pPr>
                    <w:widowControl/>
                    <w:adjustRightInd w:val="0"/>
                    <w:snapToGrid w:val="0"/>
                    <w:jc w:val="left"/>
                    <w:rPr>
                      <w:rFonts w:eastAsia="仿宋_GB2312"/>
                      <w:sz w:val="21"/>
                      <w:szCs w:val="21"/>
                    </w:rPr>
                  </w:pPr>
                </w:p>
              </w:tc>
              <w:tc>
                <w:tcPr>
                  <w:tcW w:w="2185" w:type="pct"/>
                  <w:vAlign w:val="center"/>
                </w:tcPr>
                <w:p w14:paraId="43674A6B">
                  <w:pPr>
                    <w:adjustRightInd w:val="0"/>
                    <w:snapToGrid w:val="0"/>
                    <w:rPr>
                      <w:rFonts w:eastAsia="仿宋_GB2312"/>
                      <w:sz w:val="21"/>
                      <w:szCs w:val="21"/>
                    </w:rPr>
                  </w:pPr>
                  <w:r>
                    <w:rPr>
                      <w:rFonts w:eastAsia="仿宋_GB2312"/>
                      <w:sz w:val="21"/>
                      <w:szCs w:val="21"/>
                    </w:rPr>
                    <w:t>E.贮存液态或半固态废物的，需设置</w:t>
                  </w:r>
                  <w:r>
                    <w:rPr>
                      <w:rFonts w:hint="eastAsia" w:eastAsia="仿宋_GB2312"/>
                      <w:sz w:val="21"/>
                      <w:szCs w:val="21"/>
                      <w:lang w:eastAsia="zh-CN"/>
                    </w:rPr>
                    <w:t>泄漏</w:t>
                  </w:r>
                  <w:r>
                    <w:rPr>
                      <w:rFonts w:eastAsia="仿宋_GB2312"/>
                      <w:sz w:val="21"/>
                      <w:szCs w:val="21"/>
                    </w:rPr>
                    <w:t>液体收集装置；</w:t>
                  </w:r>
                </w:p>
              </w:tc>
              <w:tc>
                <w:tcPr>
                  <w:tcW w:w="2020" w:type="pct"/>
                  <w:vAlign w:val="center"/>
                </w:tcPr>
                <w:p w14:paraId="2F0FEA0F">
                  <w:pPr>
                    <w:adjustRightInd w:val="0"/>
                    <w:snapToGrid w:val="0"/>
                    <w:jc w:val="center"/>
                    <w:rPr>
                      <w:rFonts w:eastAsia="仿宋_GB2312"/>
                      <w:sz w:val="21"/>
                      <w:szCs w:val="21"/>
                    </w:rPr>
                  </w:pPr>
                  <w:r>
                    <w:rPr>
                      <w:rFonts w:eastAsia="仿宋_GB2312"/>
                      <w:sz w:val="21"/>
                      <w:szCs w:val="21"/>
                    </w:rPr>
                    <w:t>托盘</w:t>
                  </w:r>
                </w:p>
              </w:tc>
            </w:tr>
            <w:tr w14:paraId="2E6C8F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3" w:type="pct"/>
                  <w:vMerge w:val="continue"/>
                  <w:vAlign w:val="center"/>
                </w:tcPr>
                <w:p w14:paraId="4E0C5A6E">
                  <w:pPr>
                    <w:widowControl/>
                    <w:adjustRightInd w:val="0"/>
                    <w:snapToGrid w:val="0"/>
                    <w:jc w:val="left"/>
                    <w:rPr>
                      <w:rFonts w:eastAsia="仿宋_GB2312"/>
                      <w:sz w:val="21"/>
                      <w:szCs w:val="21"/>
                    </w:rPr>
                  </w:pPr>
                </w:p>
              </w:tc>
              <w:tc>
                <w:tcPr>
                  <w:tcW w:w="2185" w:type="pct"/>
                  <w:vAlign w:val="center"/>
                </w:tcPr>
                <w:p w14:paraId="4154D4EE">
                  <w:pPr>
                    <w:adjustRightInd w:val="0"/>
                    <w:snapToGrid w:val="0"/>
                    <w:rPr>
                      <w:rFonts w:eastAsia="仿宋_GB2312"/>
                      <w:sz w:val="21"/>
                      <w:szCs w:val="21"/>
                    </w:rPr>
                  </w:pPr>
                  <w:r>
                    <w:rPr>
                      <w:rFonts w:eastAsia="仿宋_GB2312"/>
                      <w:sz w:val="21"/>
                      <w:szCs w:val="21"/>
                    </w:rPr>
                    <w:t>F.装载危险废物的容器完好无损。</w:t>
                  </w:r>
                </w:p>
              </w:tc>
              <w:tc>
                <w:tcPr>
                  <w:tcW w:w="2020" w:type="pct"/>
                  <w:vAlign w:val="center"/>
                </w:tcPr>
                <w:p w14:paraId="1EC7D075">
                  <w:pPr>
                    <w:adjustRightInd w:val="0"/>
                    <w:snapToGrid w:val="0"/>
                    <w:jc w:val="center"/>
                    <w:rPr>
                      <w:rFonts w:eastAsia="仿宋_GB2312"/>
                      <w:sz w:val="21"/>
                      <w:szCs w:val="21"/>
                    </w:rPr>
                  </w:pPr>
                  <w:r>
                    <w:rPr>
                      <w:rFonts w:eastAsia="仿宋_GB2312"/>
                      <w:sz w:val="21"/>
                      <w:szCs w:val="21"/>
                    </w:rPr>
                    <w:t>-</w:t>
                  </w:r>
                </w:p>
              </w:tc>
            </w:tr>
          </w:tbl>
          <w:p w14:paraId="43C01488">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center"/>
              <w:textAlignment w:val="auto"/>
              <w:rPr>
                <w:rFonts w:eastAsia="仿宋_GB2312"/>
                <w:b/>
                <w:kern w:val="0"/>
              </w:rPr>
            </w:pPr>
            <w:r>
              <w:rPr>
                <w:rFonts w:eastAsia="仿宋_GB2312"/>
                <w:b/>
                <w:kern w:val="0"/>
              </w:rPr>
              <w:t>表4-</w:t>
            </w:r>
            <w:r>
              <w:rPr>
                <w:rFonts w:hint="eastAsia" w:eastAsia="仿宋_GB2312"/>
                <w:b/>
                <w:kern w:val="0"/>
                <w:lang w:val="en-US" w:eastAsia="zh-CN"/>
              </w:rPr>
              <w:t xml:space="preserve">33  </w:t>
            </w:r>
            <w:r>
              <w:rPr>
                <w:rFonts w:eastAsia="仿宋_GB2312"/>
                <w:b/>
                <w:kern w:val="0"/>
              </w:rPr>
              <w:t>危废暂存场所“三防”措施要求</w:t>
            </w:r>
          </w:p>
          <w:tbl>
            <w:tblPr>
              <w:tblStyle w:val="31"/>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28"/>
              <w:gridCol w:w="3098"/>
              <w:gridCol w:w="3768"/>
            </w:tblGrid>
            <w:tr w14:paraId="7EBE20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8" w:type="pct"/>
                  <w:noWrap/>
                  <w:vAlign w:val="center"/>
                </w:tcPr>
                <w:p w14:paraId="2570640C">
                  <w:pPr>
                    <w:adjustRightInd w:val="0"/>
                    <w:snapToGrid w:val="0"/>
                    <w:jc w:val="center"/>
                    <w:rPr>
                      <w:rFonts w:eastAsia="仿宋_GB2312"/>
                      <w:b/>
                      <w:bCs/>
                      <w:kern w:val="0"/>
                      <w:sz w:val="21"/>
                      <w:szCs w:val="21"/>
                    </w:rPr>
                  </w:pPr>
                  <w:r>
                    <w:rPr>
                      <w:rFonts w:eastAsia="仿宋_GB2312"/>
                      <w:b/>
                      <w:bCs/>
                      <w:kern w:val="0"/>
                      <w:sz w:val="21"/>
                      <w:szCs w:val="21"/>
                    </w:rPr>
                    <w:t>“三防”</w:t>
                  </w:r>
                </w:p>
              </w:tc>
              <w:tc>
                <w:tcPr>
                  <w:tcW w:w="1823" w:type="pct"/>
                  <w:noWrap/>
                  <w:vAlign w:val="center"/>
                </w:tcPr>
                <w:p w14:paraId="51578C6A">
                  <w:pPr>
                    <w:adjustRightInd w:val="0"/>
                    <w:snapToGrid w:val="0"/>
                    <w:jc w:val="center"/>
                    <w:rPr>
                      <w:rFonts w:eastAsia="仿宋_GB2312"/>
                      <w:b/>
                      <w:bCs/>
                      <w:kern w:val="0"/>
                      <w:sz w:val="21"/>
                      <w:szCs w:val="21"/>
                    </w:rPr>
                  </w:pPr>
                  <w:r>
                    <w:rPr>
                      <w:rFonts w:eastAsia="仿宋_GB2312"/>
                      <w:b/>
                      <w:bCs/>
                      <w:kern w:val="0"/>
                      <w:sz w:val="21"/>
                      <w:szCs w:val="21"/>
                    </w:rPr>
                    <w:t>主要具体要求</w:t>
                  </w:r>
                </w:p>
              </w:tc>
              <w:tc>
                <w:tcPr>
                  <w:tcW w:w="2218" w:type="pct"/>
                  <w:noWrap/>
                  <w:vAlign w:val="center"/>
                </w:tcPr>
                <w:p w14:paraId="6C3C7E6A">
                  <w:pPr>
                    <w:adjustRightInd w:val="0"/>
                    <w:snapToGrid w:val="0"/>
                    <w:jc w:val="center"/>
                    <w:rPr>
                      <w:rFonts w:eastAsia="仿宋_GB2312"/>
                      <w:b/>
                      <w:bCs/>
                      <w:kern w:val="0"/>
                      <w:sz w:val="21"/>
                      <w:szCs w:val="21"/>
                    </w:rPr>
                  </w:pPr>
                  <w:r>
                    <w:rPr>
                      <w:rFonts w:eastAsia="仿宋_GB2312"/>
                      <w:b/>
                      <w:bCs/>
                      <w:kern w:val="0"/>
                      <w:sz w:val="21"/>
                      <w:szCs w:val="21"/>
                    </w:rPr>
                    <w:t>危废对象</w:t>
                  </w:r>
                </w:p>
              </w:tc>
            </w:tr>
            <w:tr w14:paraId="3E3D00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8" w:type="pct"/>
                  <w:vMerge w:val="restart"/>
                  <w:noWrap/>
                  <w:vAlign w:val="center"/>
                </w:tcPr>
                <w:p w14:paraId="2F2B09F3">
                  <w:pPr>
                    <w:adjustRightInd w:val="0"/>
                    <w:snapToGrid w:val="0"/>
                    <w:jc w:val="center"/>
                    <w:rPr>
                      <w:rFonts w:eastAsia="仿宋_GB2312"/>
                      <w:kern w:val="0"/>
                      <w:sz w:val="21"/>
                      <w:szCs w:val="21"/>
                    </w:rPr>
                  </w:pPr>
                  <w:r>
                    <w:rPr>
                      <w:rFonts w:eastAsia="仿宋_GB2312"/>
                      <w:kern w:val="0"/>
                      <w:sz w:val="21"/>
                      <w:szCs w:val="21"/>
                    </w:rPr>
                    <w:t>防扬散</w:t>
                  </w:r>
                </w:p>
              </w:tc>
              <w:tc>
                <w:tcPr>
                  <w:tcW w:w="1823" w:type="pct"/>
                  <w:noWrap/>
                  <w:vAlign w:val="center"/>
                </w:tcPr>
                <w:p w14:paraId="25D33CF9">
                  <w:pPr>
                    <w:adjustRightInd w:val="0"/>
                    <w:snapToGrid w:val="0"/>
                    <w:jc w:val="center"/>
                    <w:rPr>
                      <w:rFonts w:eastAsia="仿宋_GB2312"/>
                      <w:kern w:val="0"/>
                      <w:sz w:val="21"/>
                      <w:szCs w:val="21"/>
                    </w:rPr>
                  </w:pPr>
                  <w:r>
                    <w:rPr>
                      <w:rFonts w:eastAsia="仿宋_GB2312"/>
                      <w:kern w:val="0"/>
                      <w:sz w:val="21"/>
                      <w:szCs w:val="21"/>
                    </w:rPr>
                    <w:t>全封闭</w:t>
                  </w:r>
                </w:p>
              </w:tc>
              <w:tc>
                <w:tcPr>
                  <w:tcW w:w="2218" w:type="pct"/>
                  <w:vMerge w:val="restart"/>
                  <w:noWrap/>
                  <w:vAlign w:val="center"/>
                </w:tcPr>
                <w:p w14:paraId="384D1CA8">
                  <w:pPr>
                    <w:adjustRightInd w:val="0"/>
                    <w:snapToGrid w:val="0"/>
                    <w:jc w:val="center"/>
                    <w:rPr>
                      <w:rFonts w:eastAsia="仿宋_GB2312"/>
                      <w:kern w:val="0"/>
                      <w:sz w:val="21"/>
                      <w:szCs w:val="21"/>
                    </w:rPr>
                  </w:pPr>
                  <w:r>
                    <w:rPr>
                      <w:rFonts w:eastAsia="仿宋_GB2312"/>
                      <w:kern w:val="0"/>
                      <w:sz w:val="21"/>
                      <w:szCs w:val="21"/>
                    </w:rPr>
                    <w:t>易挥发类</w:t>
                  </w:r>
                </w:p>
              </w:tc>
            </w:tr>
            <w:tr w14:paraId="644A6F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8" w:type="pct"/>
                  <w:vMerge w:val="continue"/>
                  <w:vAlign w:val="center"/>
                </w:tcPr>
                <w:p w14:paraId="75EF2CAF">
                  <w:pPr>
                    <w:widowControl/>
                    <w:adjustRightInd w:val="0"/>
                    <w:snapToGrid w:val="0"/>
                    <w:jc w:val="center"/>
                    <w:rPr>
                      <w:rFonts w:eastAsia="仿宋_GB2312"/>
                      <w:kern w:val="0"/>
                      <w:sz w:val="21"/>
                      <w:szCs w:val="21"/>
                    </w:rPr>
                  </w:pPr>
                </w:p>
              </w:tc>
              <w:tc>
                <w:tcPr>
                  <w:tcW w:w="1823" w:type="pct"/>
                  <w:noWrap/>
                  <w:vAlign w:val="center"/>
                </w:tcPr>
                <w:p w14:paraId="457B04B4">
                  <w:pPr>
                    <w:adjustRightInd w:val="0"/>
                    <w:snapToGrid w:val="0"/>
                    <w:jc w:val="center"/>
                    <w:rPr>
                      <w:rFonts w:eastAsia="仿宋_GB2312"/>
                      <w:kern w:val="0"/>
                      <w:sz w:val="21"/>
                      <w:szCs w:val="21"/>
                    </w:rPr>
                  </w:pPr>
                  <w:r>
                    <w:rPr>
                      <w:rFonts w:eastAsia="仿宋_GB2312"/>
                      <w:kern w:val="0"/>
                      <w:sz w:val="21"/>
                      <w:szCs w:val="21"/>
                    </w:rPr>
                    <w:t>负压集气处理系统</w:t>
                  </w:r>
                </w:p>
              </w:tc>
              <w:tc>
                <w:tcPr>
                  <w:tcW w:w="2218" w:type="pct"/>
                  <w:vMerge w:val="continue"/>
                  <w:vAlign w:val="center"/>
                </w:tcPr>
                <w:p w14:paraId="67B16BB9">
                  <w:pPr>
                    <w:widowControl/>
                    <w:adjustRightInd w:val="0"/>
                    <w:snapToGrid w:val="0"/>
                    <w:jc w:val="center"/>
                    <w:rPr>
                      <w:rFonts w:eastAsia="仿宋_GB2312"/>
                      <w:kern w:val="0"/>
                      <w:sz w:val="21"/>
                      <w:szCs w:val="21"/>
                    </w:rPr>
                  </w:pPr>
                </w:p>
              </w:tc>
            </w:tr>
            <w:tr w14:paraId="0EAB35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8" w:type="pct"/>
                  <w:vMerge w:val="continue"/>
                  <w:vAlign w:val="center"/>
                </w:tcPr>
                <w:p w14:paraId="6D51BC7E">
                  <w:pPr>
                    <w:widowControl/>
                    <w:adjustRightInd w:val="0"/>
                    <w:snapToGrid w:val="0"/>
                    <w:jc w:val="center"/>
                    <w:rPr>
                      <w:rFonts w:eastAsia="仿宋_GB2312"/>
                      <w:kern w:val="0"/>
                      <w:sz w:val="21"/>
                      <w:szCs w:val="21"/>
                    </w:rPr>
                  </w:pPr>
                </w:p>
              </w:tc>
              <w:tc>
                <w:tcPr>
                  <w:tcW w:w="1823" w:type="pct"/>
                  <w:noWrap/>
                  <w:vAlign w:val="center"/>
                </w:tcPr>
                <w:p w14:paraId="4C8B46F3">
                  <w:pPr>
                    <w:adjustRightInd w:val="0"/>
                    <w:snapToGrid w:val="0"/>
                    <w:jc w:val="center"/>
                    <w:rPr>
                      <w:rFonts w:eastAsia="仿宋_GB2312"/>
                      <w:kern w:val="0"/>
                      <w:sz w:val="21"/>
                      <w:szCs w:val="21"/>
                    </w:rPr>
                  </w:pPr>
                  <w:r>
                    <w:rPr>
                      <w:rFonts w:eastAsia="仿宋_GB2312"/>
                      <w:kern w:val="0"/>
                      <w:sz w:val="21"/>
                      <w:szCs w:val="21"/>
                    </w:rPr>
                    <w:t>遮阳</w:t>
                  </w:r>
                </w:p>
              </w:tc>
              <w:tc>
                <w:tcPr>
                  <w:tcW w:w="2218" w:type="pct"/>
                  <w:noWrap/>
                  <w:vAlign w:val="center"/>
                </w:tcPr>
                <w:p w14:paraId="3D31BBCA">
                  <w:pPr>
                    <w:adjustRightInd w:val="0"/>
                    <w:snapToGrid w:val="0"/>
                    <w:jc w:val="center"/>
                    <w:rPr>
                      <w:rFonts w:eastAsia="仿宋_GB2312"/>
                      <w:kern w:val="0"/>
                      <w:sz w:val="21"/>
                      <w:szCs w:val="21"/>
                    </w:rPr>
                  </w:pPr>
                  <w:r>
                    <w:rPr>
                      <w:rFonts w:eastAsia="仿宋_GB2312"/>
                      <w:kern w:val="0"/>
                      <w:sz w:val="21"/>
                      <w:szCs w:val="21"/>
                    </w:rPr>
                    <w:t>高温照射下易分解、挥发类</w:t>
                  </w:r>
                </w:p>
              </w:tc>
            </w:tr>
            <w:tr w14:paraId="36C59D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8" w:type="pct"/>
                  <w:vMerge w:val="continue"/>
                  <w:vAlign w:val="center"/>
                </w:tcPr>
                <w:p w14:paraId="21DB7836">
                  <w:pPr>
                    <w:widowControl/>
                    <w:adjustRightInd w:val="0"/>
                    <w:snapToGrid w:val="0"/>
                    <w:jc w:val="center"/>
                    <w:rPr>
                      <w:rFonts w:eastAsia="仿宋_GB2312"/>
                      <w:kern w:val="0"/>
                      <w:sz w:val="21"/>
                      <w:szCs w:val="21"/>
                    </w:rPr>
                  </w:pPr>
                </w:p>
              </w:tc>
              <w:tc>
                <w:tcPr>
                  <w:tcW w:w="1823" w:type="pct"/>
                  <w:noWrap/>
                  <w:vAlign w:val="center"/>
                </w:tcPr>
                <w:p w14:paraId="38027A5D">
                  <w:pPr>
                    <w:adjustRightInd w:val="0"/>
                    <w:snapToGrid w:val="0"/>
                    <w:jc w:val="center"/>
                    <w:rPr>
                      <w:rFonts w:eastAsia="仿宋_GB2312"/>
                      <w:kern w:val="0"/>
                      <w:sz w:val="21"/>
                      <w:szCs w:val="21"/>
                    </w:rPr>
                  </w:pPr>
                  <w:r>
                    <w:rPr>
                      <w:rFonts w:eastAsia="仿宋_GB2312"/>
                      <w:kern w:val="0"/>
                      <w:sz w:val="21"/>
                      <w:szCs w:val="21"/>
                    </w:rPr>
                    <w:t>防风、覆盖</w:t>
                  </w:r>
                </w:p>
              </w:tc>
              <w:tc>
                <w:tcPr>
                  <w:tcW w:w="2218" w:type="pct"/>
                  <w:noWrap/>
                  <w:vAlign w:val="center"/>
                </w:tcPr>
                <w:p w14:paraId="20B9F368">
                  <w:pPr>
                    <w:adjustRightInd w:val="0"/>
                    <w:snapToGrid w:val="0"/>
                    <w:jc w:val="center"/>
                    <w:rPr>
                      <w:rFonts w:eastAsia="仿宋_GB2312"/>
                      <w:kern w:val="0"/>
                      <w:sz w:val="21"/>
                      <w:szCs w:val="21"/>
                    </w:rPr>
                  </w:pPr>
                  <w:r>
                    <w:rPr>
                      <w:rFonts w:eastAsia="仿宋_GB2312"/>
                      <w:kern w:val="0"/>
                      <w:sz w:val="21"/>
                      <w:szCs w:val="21"/>
                    </w:rPr>
                    <w:t>粉末状</w:t>
                  </w:r>
                </w:p>
              </w:tc>
            </w:tr>
            <w:tr w14:paraId="63B71D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8" w:type="pct"/>
                  <w:vMerge w:val="restart"/>
                  <w:noWrap/>
                  <w:vAlign w:val="center"/>
                </w:tcPr>
                <w:p w14:paraId="4DD9F0AD">
                  <w:pPr>
                    <w:adjustRightInd w:val="0"/>
                    <w:snapToGrid w:val="0"/>
                    <w:jc w:val="center"/>
                    <w:rPr>
                      <w:rFonts w:eastAsia="仿宋_GB2312"/>
                      <w:kern w:val="0"/>
                      <w:sz w:val="21"/>
                      <w:szCs w:val="21"/>
                    </w:rPr>
                  </w:pPr>
                  <w:r>
                    <w:rPr>
                      <w:rFonts w:eastAsia="仿宋_GB2312"/>
                      <w:kern w:val="0"/>
                      <w:sz w:val="21"/>
                      <w:szCs w:val="21"/>
                    </w:rPr>
                    <w:t>防流失</w:t>
                  </w:r>
                </w:p>
              </w:tc>
              <w:tc>
                <w:tcPr>
                  <w:tcW w:w="1823" w:type="pct"/>
                  <w:noWrap/>
                  <w:vAlign w:val="center"/>
                </w:tcPr>
                <w:p w14:paraId="60E17225">
                  <w:pPr>
                    <w:adjustRightInd w:val="0"/>
                    <w:snapToGrid w:val="0"/>
                    <w:jc w:val="center"/>
                    <w:rPr>
                      <w:rFonts w:eastAsia="仿宋_GB2312"/>
                      <w:kern w:val="0"/>
                      <w:sz w:val="21"/>
                      <w:szCs w:val="21"/>
                    </w:rPr>
                  </w:pPr>
                  <w:r>
                    <w:rPr>
                      <w:rFonts w:eastAsia="仿宋_GB2312"/>
                      <w:kern w:val="0"/>
                      <w:sz w:val="21"/>
                      <w:szCs w:val="21"/>
                    </w:rPr>
                    <w:t>室内仓库或雨棚</w:t>
                  </w:r>
                </w:p>
              </w:tc>
              <w:tc>
                <w:tcPr>
                  <w:tcW w:w="2218" w:type="pct"/>
                  <w:vMerge w:val="restart"/>
                  <w:noWrap/>
                  <w:vAlign w:val="center"/>
                </w:tcPr>
                <w:p w14:paraId="0B279105">
                  <w:pPr>
                    <w:adjustRightInd w:val="0"/>
                    <w:snapToGrid w:val="0"/>
                    <w:jc w:val="center"/>
                    <w:rPr>
                      <w:rFonts w:eastAsia="仿宋_GB2312"/>
                      <w:kern w:val="0"/>
                      <w:sz w:val="21"/>
                      <w:szCs w:val="21"/>
                    </w:rPr>
                  </w:pPr>
                  <w:r>
                    <w:rPr>
                      <w:rFonts w:eastAsia="仿宋_GB2312"/>
                      <w:kern w:val="0"/>
                      <w:sz w:val="21"/>
                      <w:szCs w:val="21"/>
                    </w:rPr>
                    <w:t>所有</w:t>
                  </w:r>
                </w:p>
              </w:tc>
            </w:tr>
            <w:tr w14:paraId="050CB4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8" w:type="pct"/>
                  <w:vMerge w:val="continue"/>
                  <w:vAlign w:val="center"/>
                </w:tcPr>
                <w:p w14:paraId="4C86E454">
                  <w:pPr>
                    <w:widowControl/>
                    <w:adjustRightInd w:val="0"/>
                    <w:snapToGrid w:val="0"/>
                    <w:jc w:val="center"/>
                    <w:rPr>
                      <w:rFonts w:eastAsia="仿宋_GB2312"/>
                      <w:kern w:val="0"/>
                      <w:sz w:val="21"/>
                      <w:szCs w:val="21"/>
                    </w:rPr>
                  </w:pPr>
                </w:p>
              </w:tc>
              <w:tc>
                <w:tcPr>
                  <w:tcW w:w="1823" w:type="pct"/>
                  <w:noWrap/>
                  <w:vAlign w:val="center"/>
                </w:tcPr>
                <w:p w14:paraId="07CEBF5C">
                  <w:pPr>
                    <w:adjustRightInd w:val="0"/>
                    <w:snapToGrid w:val="0"/>
                    <w:jc w:val="center"/>
                    <w:rPr>
                      <w:rFonts w:eastAsia="仿宋_GB2312"/>
                      <w:kern w:val="0"/>
                      <w:sz w:val="21"/>
                      <w:szCs w:val="21"/>
                    </w:rPr>
                  </w:pPr>
                  <w:r>
                    <w:rPr>
                      <w:rFonts w:eastAsia="仿宋_GB2312"/>
                      <w:kern w:val="0"/>
                      <w:sz w:val="21"/>
                      <w:szCs w:val="21"/>
                    </w:rPr>
                    <w:t>围墙或围堰，大门上锁</w:t>
                  </w:r>
                </w:p>
              </w:tc>
              <w:tc>
                <w:tcPr>
                  <w:tcW w:w="2218" w:type="pct"/>
                  <w:vMerge w:val="continue"/>
                  <w:vAlign w:val="center"/>
                </w:tcPr>
                <w:p w14:paraId="24F5A703">
                  <w:pPr>
                    <w:widowControl/>
                    <w:adjustRightInd w:val="0"/>
                    <w:snapToGrid w:val="0"/>
                    <w:jc w:val="center"/>
                    <w:rPr>
                      <w:rFonts w:eastAsia="仿宋_GB2312"/>
                      <w:kern w:val="0"/>
                      <w:sz w:val="21"/>
                      <w:szCs w:val="21"/>
                    </w:rPr>
                  </w:pPr>
                </w:p>
              </w:tc>
            </w:tr>
            <w:tr w14:paraId="7FA5AA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8" w:type="pct"/>
                  <w:vMerge w:val="continue"/>
                  <w:vAlign w:val="center"/>
                </w:tcPr>
                <w:p w14:paraId="0445C3F2">
                  <w:pPr>
                    <w:widowControl/>
                    <w:adjustRightInd w:val="0"/>
                    <w:snapToGrid w:val="0"/>
                    <w:jc w:val="center"/>
                    <w:rPr>
                      <w:rFonts w:eastAsia="仿宋_GB2312"/>
                      <w:kern w:val="0"/>
                      <w:sz w:val="21"/>
                      <w:szCs w:val="21"/>
                    </w:rPr>
                  </w:pPr>
                </w:p>
              </w:tc>
              <w:tc>
                <w:tcPr>
                  <w:tcW w:w="1823" w:type="pct"/>
                  <w:noWrap/>
                  <w:vAlign w:val="center"/>
                </w:tcPr>
                <w:p w14:paraId="7730B5F9">
                  <w:pPr>
                    <w:adjustRightInd w:val="0"/>
                    <w:snapToGrid w:val="0"/>
                    <w:jc w:val="center"/>
                    <w:rPr>
                      <w:rFonts w:eastAsia="仿宋_GB2312"/>
                      <w:kern w:val="0"/>
                      <w:sz w:val="21"/>
                      <w:szCs w:val="21"/>
                    </w:rPr>
                  </w:pPr>
                  <w:r>
                    <w:rPr>
                      <w:rFonts w:eastAsia="仿宋_GB2312"/>
                      <w:kern w:val="0"/>
                      <w:sz w:val="21"/>
                      <w:szCs w:val="21"/>
                    </w:rPr>
                    <w:t>出入口缓坡</w:t>
                  </w:r>
                </w:p>
              </w:tc>
              <w:tc>
                <w:tcPr>
                  <w:tcW w:w="2218" w:type="pct"/>
                  <w:vMerge w:val="continue"/>
                  <w:vAlign w:val="center"/>
                </w:tcPr>
                <w:p w14:paraId="3C91A379">
                  <w:pPr>
                    <w:widowControl/>
                    <w:adjustRightInd w:val="0"/>
                    <w:snapToGrid w:val="0"/>
                    <w:jc w:val="center"/>
                    <w:rPr>
                      <w:rFonts w:eastAsia="仿宋_GB2312"/>
                      <w:kern w:val="0"/>
                      <w:sz w:val="21"/>
                      <w:szCs w:val="21"/>
                    </w:rPr>
                  </w:pPr>
                </w:p>
              </w:tc>
            </w:tr>
            <w:tr w14:paraId="71E52F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8" w:type="pct"/>
                  <w:vMerge w:val="continue"/>
                  <w:vAlign w:val="center"/>
                </w:tcPr>
                <w:p w14:paraId="585C0D0A">
                  <w:pPr>
                    <w:widowControl/>
                    <w:adjustRightInd w:val="0"/>
                    <w:snapToGrid w:val="0"/>
                    <w:jc w:val="center"/>
                    <w:rPr>
                      <w:rFonts w:eastAsia="仿宋_GB2312"/>
                      <w:kern w:val="0"/>
                      <w:sz w:val="21"/>
                      <w:szCs w:val="21"/>
                    </w:rPr>
                  </w:pPr>
                </w:p>
              </w:tc>
              <w:tc>
                <w:tcPr>
                  <w:tcW w:w="1823" w:type="pct"/>
                  <w:noWrap/>
                  <w:vAlign w:val="center"/>
                </w:tcPr>
                <w:p w14:paraId="300AAA05">
                  <w:pPr>
                    <w:adjustRightInd w:val="0"/>
                    <w:snapToGrid w:val="0"/>
                    <w:jc w:val="center"/>
                    <w:rPr>
                      <w:rFonts w:eastAsia="仿宋_GB2312"/>
                      <w:kern w:val="0"/>
                      <w:sz w:val="21"/>
                      <w:szCs w:val="21"/>
                    </w:rPr>
                  </w:pPr>
                  <w:r>
                    <w:rPr>
                      <w:rFonts w:eastAsia="仿宋_GB2312"/>
                      <w:kern w:val="0"/>
                      <w:sz w:val="21"/>
                      <w:szCs w:val="21"/>
                    </w:rPr>
                    <w:t>单独封闭仓库，双锁</w:t>
                  </w:r>
                </w:p>
              </w:tc>
              <w:tc>
                <w:tcPr>
                  <w:tcW w:w="2218" w:type="pct"/>
                  <w:noWrap/>
                  <w:vAlign w:val="center"/>
                </w:tcPr>
                <w:p w14:paraId="7ED27DA8">
                  <w:pPr>
                    <w:adjustRightInd w:val="0"/>
                    <w:snapToGrid w:val="0"/>
                    <w:jc w:val="center"/>
                    <w:rPr>
                      <w:rFonts w:eastAsia="仿宋_GB2312"/>
                      <w:kern w:val="0"/>
                      <w:sz w:val="21"/>
                      <w:szCs w:val="21"/>
                    </w:rPr>
                  </w:pPr>
                  <w:r>
                    <w:rPr>
                      <w:rFonts w:eastAsia="仿宋_GB2312"/>
                      <w:kern w:val="0"/>
                      <w:sz w:val="21"/>
                      <w:szCs w:val="21"/>
                    </w:rPr>
                    <w:t>剧毒</w:t>
                  </w:r>
                </w:p>
              </w:tc>
            </w:tr>
            <w:tr w14:paraId="353962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8" w:type="pct"/>
                  <w:vMerge w:val="restart"/>
                  <w:noWrap/>
                  <w:vAlign w:val="center"/>
                </w:tcPr>
                <w:p w14:paraId="442C8F89">
                  <w:pPr>
                    <w:adjustRightInd w:val="0"/>
                    <w:snapToGrid w:val="0"/>
                    <w:jc w:val="center"/>
                    <w:rPr>
                      <w:rFonts w:eastAsia="仿宋_GB2312"/>
                      <w:kern w:val="0"/>
                      <w:sz w:val="21"/>
                      <w:szCs w:val="21"/>
                    </w:rPr>
                  </w:pPr>
                  <w:r>
                    <w:rPr>
                      <w:rFonts w:eastAsia="仿宋_GB2312"/>
                      <w:kern w:val="0"/>
                      <w:sz w:val="21"/>
                      <w:szCs w:val="21"/>
                    </w:rPr>
                    <w:t>防渗漏</w:t>
                  </w:r>
                </w:p>
              </w:tc>
              <w:tc>
                <w:tcPr>
                  <w:tcW w:w="1823" w:type="pct"/>
                  <w:noWrap/>
                  <w:vAlign w:val="center"/>
                </w:tcPr>
                <w:p w14:paraId="5DB0A26F">
                  <w:pPr>
                    <w:adjustRightInd w:val="0"/>
                    <w:snapToGrid w:val="0"/>
                    <w:jc w:val="center"/>
                    <w:rPr>
                      <w:rFonts w:eastAsia="仿宋_GB2312"/>
                      <w:kern w:val="0"/>
                      <w:sz w:val="21"/>
                      <w:szCs w:val="21"/>
                    </w:rPr>
                  </w:pPr>
                  <w:r>
                    <w:rPr>
                      <w:rFonts w:eastAsia="仿宋_GB2312"/>
                      <w:kern w:val="0"/>
                      <w:sz w:val="21"/>
                      <w:szCs w:val="21"/>
                    </w:rPr>
                    <w:t>包装容器须完好无损</w:t>
                  </w:r>
                </w:p>
              </w:tc>
              <w:tc>
                <w:tcPr>
                  <w:tcW w:w="2218" w:type="pct"/>
                  <w:vMerge w:val="restart"/>
                  <w:noWrap/>
                  <w:vAlign w:val="center"/>
                </w:tcPr>
                <w:p w14:paraId="4F00A65D">
                  <w:pPr>
                    <w:adjustRightInd w:val="0"/>
                    <w:snapToGrid w:val="0"/>
                    <w:jc w:val="center"/>
                    <w:rPr>
                      <w:rFonts w:eastAsia="仿宋_GB2312"/>
                      <w:kern w:val="0"/>
                      <w:sz w:val="21"/>
                      <w:szCs w:val="21"/>
                    </w:rPr>
                  </w:pPr>
                  <w:r>
                    <w:rPr>
                      <w:rFonts w:eastAsia="仿宋_GB2312"/>
                      <w:kern w:val="0"/>
                      <w:sz w:val="21"/>
                      <w:szCs w:val="21"/>
                    </w:rPr>
                    <w:t>液体、半固体类危废</w:t>
                  </w:r>
                </w:p>
              </w:tc>
            </w:tr>
            <w:tr w14:paraId="47B496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8" w:type="pct"/>
                  <w:vMerge w:val="continue"/>
                  <w:vAlign w:val="center"/>
                </w:tcPr>
                <w:p w14:paraId="69EC2EBB">
                  <w:pPr>
                    <w:widowControl/>
                    <w:adjustRightInd w:val="0"/>
                    <w:snapToGrid w:val="0"/>
                    <w:jc w:val="center"/>
                    <w:rPr>
                      <w:rFonts w:eastAsia="仿宋_GB2312"/>
                      <w:kern w:val="0"/>
                      <w:sz w:val="21"/>
                      <w:szCs w:val="21"/>
                    </w:rPr>
                  </w:pPr>
                </w:p>
              </w:tc>
              <w:tc>
                <w:tcPr>
                  <w:tcW w:w="1823" w:type="pct"/>
                  <w:noWrap/>
                  <w:vAlign w:val="center"/>
                </w:tcPr>
                <w:p w14:paraId="55EDB52E">
                  <w:pPr>
                    <w:adjustRightInd w:val="0"/>
                    <w:snapToGrid w:val="0"/>
                    <w:jc w:val="center"/>
                    <w:rPr>
                      <w:rFonts w:eastAsia="仿宋_GB2312"/>
                      <w:kern w:val="0"/>
                      <w:sz w:val="21"/>
                      <w:szCs w:val="21"/>
                    </w:rPr>
                  </w:pPr>
                  <w:r>
                    <w:rPr>
                      <w:rFonts w:eastAsia="仿宋_GB2312"/>
                      <w:kern w:val="0"/>
                      <w:sz w:val="21"/>
                      <w:szCs w:val="21"/>
                    </w:rPr>
                    <w:t>地面硬化、防渗防腐</w:t>
                  </w:r>
                </w:p>
              </w:tc>
              <w:tc>
                <w:tcPr>
                  <w:tcW w:w="2218" w:type="pct"/>
                  <w:vMerge w:val="continue"/>
                  <w:vAlign w:val="center"/>
                </w:tcPr>
                <w:p w14:paraId="7945F1B9">
                  <w:pPr>
                    <w:widowControl/>
                    <w:adjustRightInd w:val="0"/>
                    <w:snapToGrid w:val="0"/>
                    <w:jc w:val="center"/>
                    <w:rPr>
                      <w:rFonts w:eastAsia="仿宋_GB2312"/>
                      <w:kern w:val="0"/>
                      <w:sz w:val="21"/>
                      <w:szCs w:val="21"/>
                    </w:rPr>
                  </w:pPr>
                </w:p>
              </w:tc>
            </w:tr>
            <w:tr w14:paraId="75096C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8" w:type="pct"/>
                  <w:vMerge w:val="continue"/>
                  <w:vAlign w:val="center"/>
                </w:tcPr>
                <w:p w14:paraId="68072897">
                  <w:pPr>
                    <w:widowControl/>
                    <w:adjustRightInd w:val="0"/>
                    <w:snapToGrid w:val="0"/>
                    <w:jc w:val="center"/>
                    <w:rPr>
                      <w:rFonts w:eastAsia="仿宋_GB2312"/>
                      <w:kern w:val="0"/>
                      <w:sz w:val="21"/>
                      <w:szCs w:val="21"/>
                    </w:rPr>
                  </w:pPr>
                </w:p>
              </w:tc>
              <w:tc>
                <w:tcPr>
                  <w:tcW w:w="1823" w:type="pct"/>
                  <w:noWrap/>
                  <w:vAlign w:val="center"/>
                </w:tcPr>
                <w:p w14:paraId="6179DD6D">
                  <w:pPr>
                    <w:adjustRightInd w:val="0"/>
                    <w:snapToGrid w:val="0"/>
                    <w:jc w:val="center"/>
                    <w:rPr>
                      <w:rFonts w:eastAsia="仿宋_GB2312"/>
                      <w:kern w:val="0"/>
                      <w:sz w:val="21"/>
                      <w:szCs w:val="21"/>
                    </w:rPr>
                  </w:pPr>
                  <w:r>
                    <w:rPr>
                      <w:rFonts w:eastAsia="仿宋_GB2312"/>
                      <w:kern w:val="0"/>
                      <w:sz w:val="21"/>
                      <w:szCs w:val="21"/>
                    </w:rPr>
                    <w:t>渗漏液体收集系统</w:t>
                  </w:r>
                </w:p>
              </w:tc>
              <w:tc>
                <w:tcPr>
                  <w:tcW w:w="2218" w:type="pct"/>
                  <w:vMerge w:val="continue"/>
                  <w:vAlign w:val="center"/>
                </w:tcPr>
                <w:p w14:paraId="02E54F65">
                  <w:pPr>
                    <w:widowControl/>
                    <w:adjustRightInd w:val="0"/>
                    <w:snapToGrid w:val="0"/>
                    <w:jc w:val="center"/>
                    <w:rPr>
                      <w:rFonts w:eastAsia="仿宋_GB2312"/>
                      <w:kern w:val="0"/>
                      <w:sz w:val="21"/>
                      <w:szCs w:val="21"/>
                    </w:rPr>
                  </w:pPr>
                </w:p>
              </w:tc>
            </w:tr>
          </w:tbl>
          <w:p w14:paraId="2A4D1EDA">
            <w:pPr>
              <w:adjustRightInd w:val="0"/>
              <w:snapToGrid w:val="0"/>
              <w:spacing w:line="360" w:lineRule="auto"/>
              <w:ind w:firstLine="420" w:firstLineChars="200"/>
              <w:rPr>
                <w:rFonts w:eastAsia="仿宋_GB2312"/>
              </w:rPr>
            </w:pPr>
            <w:r>
              <w:rPr>
                <w:rFonts w:eastAsia="仿宋_GB2312"/>
              </w:rPr>
              <w:t>Ⅶ、危险废物暂存管理要求</w:t>
            </w:r>
          </w:p>
          <w:p w14:paraId="4DDDE334">
            <w:pPr>
              <w:adjustRightInd w:val="0"/>
              <w:snapToGrid w:val="0"/>
              <w:spacing w:line="360" w:lineRule="auto"/>
              <w:ind w:firstLine="420" w:firstLineChars="200"/>
              <w:rPr>
                <w:rFonts w:eastAsia="仿宋_GB2312"/>
              </w:rPr>
            </w:pPr>
            <w:r>
              <w:rPr>
                <w:rFonts w:eastAsia="仿宋_GB2312"/>
              </w:rPr>
              <w:t>危废暂存间设立危险废物进出入台账登记管理制度，记录每次运送流程和处置去向，严格执行危险废物电子联单制度，实行对危险废物从源头到终端处理的全过程监管，确保危险废物100%得到安全处置。</w:t>
            </w:r>
          </w:p>
          <w:p w14:paraId="13ADA4B7">
            <w:pPr>
              <w:adjustRightInd w:val="0"/>
              <w:snapToGrid w:val="0"/>
              <w:spacing w:line="360" w:lineRule="auto"/>
              <w:ind w:firstLine="420" w:firstLineChars="200"/>
              <w:rPr>
                <w:rFonts w:eastAsia="仿宋_GB2312"/>
                <w:kern w:val="0"/>
              </w:rPr>
            </w:pPr>
            <w:r>
              <w:rPr>
                <w:rFonts w:eastAsia="仿宋_GB2312"/>
                <w:kern w:val="0"/>
              </w:rPr>
              <w:t>5</w:t>
            </w:r>
            <w:r>
              <w:rPr>
                <w:rFonts w:hint="eastAsia" w:eastAsia="仿宋_GB2312"/>
                <w:kern w:val="0"/>
                <w:lang w:eastAsia="zh-CN"/>
              </w:rPr>
              <w:t>）</w:t>
            </w:r>
            <w:r>
              <w:rPr>
                <w:rFonts w:eastAsia="仿宋_GB2312"/>
                <w:kern w:val="0"/>
              </w:rPr>
              <w:t>危险废物运输污染防治措施分析</w:t>
            </w:r>
          </w:p>
          <w:p w14:paraId="321B9D51">
            <w:pPr>
              <w:adjustRightInd w:val="0"/>
              <w:snapToGrid w:val="0"/>
              <w:spacing w:line="360" w:lineRule="auto"/>
              <w:ind w:firstLine="420" w:firstLineChars="200"/>
              <w:rPr>
                <w:rFonts w:eastAsia="仿宋_GB2312"/>
                <w:kern w:val="0"/>
              </w:rPr>
            </w:pPr>
            <w:r>
              <w:rPr>
                <w:rFonts w:eastAsia="仿宋_GB2312"/>
                <w:kern w:val="0"/>
              </w:rPr>
              <w:t>危险废物运输中应做到以下几点：</w:t>
            </w:r>
          </w:p>
          <w:p w14:paraId="5B563058">
            <w:pPr>
              <w:adjustRightInd w:val="0"/>
              <w:snapToGrid w:val="0"/>
              <w:spacing w:line="360" w:lineRule="auto"/>
              <w:ind w:firstLine="420" w:firstLineChars="200"/>
              <w:rPr>
                <w:rFonts w:eastAsia="仿宋_GB2312"/>
                <w:kern w:val="0"/>
              </w:rPr>
            </w:pPr>
            <w:r>
              <w:rPr>
                <w:rFonts w:eastAsia="仿宋_GB2312"/>
                <w:kern w:val="0"/>
              </w:rPr>
              <w:t>①危险废物的运输车辆须经主管单位检查，并持有有关单位签发的许可证，负责运输的司机应通过培训，持有证明文件。</w:t>
            </w:r>
          </w:p>
          <w:p w14:paraId="4C02A517">
            <w:pPr>
              <w:adjustRightInd w:val="0"/>
              <w:snapToGrid w:val="0"/>
              <w:spacing w:line="360" w:lineRule="auto"/>
              <w:ind w:firstLine="420" w:firstLineChars="200"/>
              <w:rPr>
                <w:rFonts w:eastAsia="仿宋_GB2312"/>
                <w:kern w:val="0"/>
              </w:rPr>
            </w:pPr>
            <w:r>
              <w:rPr>
                <w:rFonts w:eastAsia="仿宋_GB2312"/>
                <w:kern w:val="0"/>
              </w:rPr>
              <w:t>②承载危险废物的车辆须有明显的标志或适当的危险符号，以引起注意。</w:t>
            </w:r>
          </w:p>
          <w:p w14:paraId="2CFBF514">
            <w:pPr>
              <w:adjustRightInd w:val="0"/>
              <w:snapToGrid w:val="0"/>
              <w:spacing w:line="360" w:lineRule="auto"/>
              <w:ind w:firstLine="420" w:firstLineChars="200"/>
              <w:rPr>
                <w:rFonts w:eastAsia="仿宋_GB2312"/>
                <w:kern w:val="0"/>
              </w:rPr>
            </w:pPr>
            <w:r>
              <w:rPr>
                <w:rFonts w:eastAsia="仿宋_GB2312"/>
                <w:kern w:val="0"/>
              </w:rPr>
              <w:t>③载有危险废物的车辆在公路上行驶时，需持有运输许可证，其上应注明废物来源、性质和运往地点。</w:t>
            </w:r>
          </w:p>
          <w:p w14:paraId="24D16BFB">
            <w:pPr>
              <w:adjustRightInd w:val="0"/>
              <w:snapToGrid w:val="0"/>
              <w:spacing w:line="360" w:lineRule="auto"/>
              <w:ind w:firstLine="420" w:firstLineChars="200"/>
              <w:rPr>
                <w:rFonts w:eastAsia="仿宋_GB2312"/>
                <w:kern w:val="0"/>
              </w:rPr>
            </w:pPr>
            <w:r>
              <w:rPr>
                <w:rFonts w:eastAsia="仿宋_GB2312"/>
                <w:kern w:val="0"/>
              </w:rPr>
              <w:t>④组织危险废物的运输单位，在事先需</w:t>
            </w:r>
            <w:r>
              <w:rPr>
                <w:rFonts w:hint="eastAsia" w:eastAsia="仿宋_GB2312"/>
                <w:kern w:val="0"/>
                <w:lang w:eastAsia="zh-CN"/>
              </w:rPr>
              <w:t>做出</w:t>
            </w:r>
            <w:r>
              <w:rPr>
                <w:rFonts w:eastAsia="仿宋_GB2312"/>
                <w:kern w:val="0"/>
              </w:rPr>
              <w:t>周密的运输计划和行驶路线，其中包括有效的废物泄漏情况下的应急措施。</w:t>
            </w:r>
          </w:p>
          <w:p w14:paraId="1D29CFD1">
            <w:pPr>
              <w:adjustRightInd w:val="0"/>
              <w:snapToGrid w:val="0"/>
              <w:spacing w:line="360" w:lineRule="auto"/>
              <w:ind w:firstLine="420" w:firstLineChars="200"/>
              <w:rPr>
                <w:rFonts w:eastAsia="仿宋_GB2312"/>
                <w:kern w:val="0"/>
              </w:rPr>
            </w:pPr>
            <w:r>
              <w:rPr>
                <w:rFonts w:eastAsia="仿宋_GB2312"/>
                <w:kern w:val="0"/>
              </w:rPr>
              <w:t>6</w:t>
            </w:r>
            <w:r>
              <w:rPr>
                <w:rFonts w:hint="eastAsia" w:eastAsia="仿宋_GB2312"/>
                <w:kern w:val="0"/>
                <w:lang w:eastAsia="zh-CN"/>
              </w:rPr>
              <w:t>）</w:t>
            </w:r>
            <w:r>
              <w:rPr>
                <w:rFonts w:eastAsia="仿宋_GB2312"/>
                <w:kern w:val="0"/>
              </w:rPr>
              <w:t>危险废物贮存场所的面积能否满足贮存需求的分析</w:t>
            </w:r>
          </w:p>
          <w:p w14:paraId="24C7B3F9">
            <w:pPr>
              <w:adjustRightInd w:val="0"/>
              <w:snapToGrid w:val="0"/>
              <w:spacing w:line="360" w:lineRule="auto"/>
              <w:ind w:firstLine="420" w:firstLineChars="200"/>
              <w:rPr>
                <w:rFonts w:eastAsia="仿宋_GB2312"/>
                <w:kern w:val="0"/>
              </w:rPr>
            </w:pPr>
            <w:r>
              <w:rPr>
                <w:rFonts w:eastAsia="仿宋_GB2312"/>
                <w:kern w:val="0"/>
              </w:rPr>
              <w:t>本项目危险废物贮存场所基本情况见表4-</w:t>
            </w:r>
            <w:r>
              <w:rPr>
                <w:rFonts w:hint="eastAsia" w:eastAsia="仿宋_GB2312"/>
                <w:kern w:val="0"/>
                <w:lang w:val="en-US" w:eastAsia="zh-CN"/>
              </w:rPr>
              <w:t>34</w:t>
            </w:r>
            <w:r>
              <w:rPr>
                <w:rFonts w:eastAsia="仿宋_GB2312"/>
                <w:kern w:val="0"/>
              </w:rPr>
              <w:t>。</w:t>
            </w:r>
          </w:p>
          <w:p w14:paraId="603388F0">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eastAsia="仿宋_GB2312"/>
                <w:b/>
                <w:kern w:val="0"/>
              </w:rPr>
            </w:pPr>
            <w:r>
              <w:rPr>
                <w:rFonts w:eastAsia="仿宋_GB2312"/>
                <w:b/>
                <w:kern w:val="0"/>
              </w:rPr>
              <w:t>表4-</w:t>
            </w:r>
            <w:r>
              <w:rPr>
                <w:rFonts w:hint="eastAsia" w:eastAsia="仿宋_GB2312"/>
                <w:b/>
                <w:kern w:val="0"/>
                <w:lang w:val="en-US" w:eastAsia="zh-CN"/>
              </w:rPr>
              <w:t xml:space="preserve">34  </w:t>
            </w:r>
            <w:r>
              <w:rPr>
                <w:rFonts w:eastAsia="仿宋_GB2312"/>
                <w:b/>
                <w:kern w:val="0"/>
              </w:rPr>
              <w:t>建设项目危险废物贮存场所基本情况一览表</w:t>
            </w:r>
          </w:p>
          <w:tbl>
            <w:tblPr>
              <w:tblStyle w:val="31"/>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5"/>
              <w:gridCol w:w="713"/>
              <w:gridCol w:w="1122"/>
              <w:gridCol w:w="835"/>
              <w:gridCol w:w="1336"/>
              <w:gridCol w:w="515"/>
              <w:gridCol w:w="692"/>
              <w:gridCol w:w="627"/>
              <w:gridCol w:w="989"/>
              <w:gridCol w:w="515"/>
              <w:gridCol w:w="702"/>
            </w:tblGrid>
            <w:tr w14:paraId="443549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2" w:type="pct"/>
                  <w:vAlign w:val="center"/>
                </w:tcPr>
                <w:p w14:paraId="69AC9E87">
                  <w:pPr>
                    <w:topLinePunct/>
                    <w:adjustRightInd w:val="0"/>
                    <w:snapToGrid w:val="0"/>
                    <w:jc w:val="center"/>
                    <w:rPr>
                      <w:rFonts w:eastAsia="仿宋_GB2312"/>
                      <w:b/>
                      <w:kern w:val="0"/>
                      <w:sz w:val="21"/>
                      <w:szCs w:val="21"/>
                    </w:rPr>
                  </w:pPr>
                  <w:r>
                    <w:rPr>
                      <w:rFonts w:eastAsia="仿宋_GB2312"/>
                      <w:b/>
                      <w:kern w:val="0"/>
                      <w:sz w:val="21"/>
                      <w:szCs w:val="21"/>
                    </w:rPr>
                    <w:t>序号</w:t>
                  </w:r>
                </w:p>
              </w:tc>
              <w:tc>
                <w:tcPr>
                  <w:tcW w:w="420" w:type="pct"/>
                  <w:vAlign w:val="center"/>
                </w:tcPr>
                <w:p w14:paraId="1CBD9921">
                  <w:pPr>
                    <w:topLinePunct/>
                    <w:adjustRightInd w:val="0"/>
                    <w:snapToGrid w:val="0"/>
                    <w:jc w:val="center"/>
                    <w:rPr>
                      <w:rFonts w:eastAsia="仿宋_GB2312"/>
                      <w:b/>
                      <w:kern w:val="0"/>
                      <w:sz w:val="21"/>
                      <w:szCs w:val="21"/>
                    </w:rPr>
                  </w:pPr>
                  <w:r>
                    <w:rPr>
                      <w:rFonts w:eastAsia="仿宋_GB2312"/>
                      <w:b/>
                      <w:kern w:val="0"/>
                      <w:sz w:val="21"/>
                      <w:szCs w:val="21"/>
                    </w:rPr>
                    <w:t>贮存场所（设施）名称</w:t>
                  </w:r>
                </w:p>
              </w:tc>
              <w:tc>
                <w:tcPr>
                  <w:tcW w:w="660" w:type="pct"/>
                  <w:vAlign w:val="center"/>
                </w:tcPr>
                <w:p w14:paraId="0BF03BCE">
                  <w:pPr>
                    <w:topLinePunct/>
                    <w:adjustRightInd w:val="0"/>
                    <w:snapToGrid w:val="0"/>
                    <w:jc w:val="center"/>
                    <w:rPr>
                      <w:rFonts w:eastAsia="仿宋_GB2312"/>
                      <w:b/>
                      <w:kern w:val="0"/>
                      <w:sz w:val="21"/>
                      <w:szCs w:val="21"/>
                    </w:rPr>
                  </w:pPr>
                  <w:r>
                    <w:rPr>
                      <w:rFonts w:eastAsia="仿宋_GB2312"/>
                      <w:b/>
                      <w:kern w:val="0"/>
                      <w:sz w:val="21"/>
                      <w:szCs w:val="21"/>
                    </w:rPr>
                    <w:t>危险废物名称</w:t>
                  </w:r>
                </w:p>
              </w:tc>
              <w:tc>
                <w:tcPr>
                  <w:tcW w:w="491" w:type="pct"/>
                  <w:vAlign w:val="center"/>
                </w:tcPr>
                <w:p w14:paraId="0F0C7683">
                  <w:pPr>
                    <w:topLinePunct/>
                    <w:adjustRightInd w:val="0"/>
                    <w:snapToGrid w:val="0"/>
                    <w:jc w:val="center"/>
                    <w:rPr>
                      <w:rFonts w:eastAsia="仿宋_GB2312"/>
                      <w:b/>
                      <w:kern w:val="0"/>
                      <w:sz w:val="21"/>
                      <w:szCs w:val="21"/>
                    </w:rPr>
                  </w:pPr>
                  <w:r>
                    <w:rPr>
                      <w:rFonts w:eastAsia="仿宋_GB2312"/>
                      <w:b/>
                      <w:kern w:val="0"/>
                      <w:sz w:val="21"/>
                      <w:szCs w:val="21"/>
                    </w:rPr>
                    <w:t>危险废物类别</w:t>
                  </w:r>
                </w:p>
              </w:tc>
              <w:tc>
                <w:tcPr>
                  <w:tcW w:w="786" w:type="pct"/>
                  <w:vAlign w:val="center"/>
                </w:tcPr>
                <w:p w14:paraId="0C3FE5B8">
                  <w:pPr>
                    <w:topLinePunct/>
                    <w:adjustRightInd w:val="0"/>
                    <w:snapToGrid w:val="0"/>
                    <w:jc w:val="center"/>
                    <w:rPr>
                      <w:rFonts w:eastAsia="仿宋_GB2312"/>
                      <w:b/>
                      <w:kern w:val="0"/>
                      <w:sz w:val="21"/>
                      <w:szCs w:val="21"/>
                    </w:rPr>
                  </w:pPr>
                  <w:r>
                    <w:rPr>
                      <w:rFonts w:eastAsia="仿宋_GB2312"/>
                      <w:b/>
                      <w:kern w:val="0"/>
                      <w:sz w:val="21"/>
                      <w:szCs w:val="21"/>
                    </w:rPr>
                    <w:t>代码</w:t>
                  </w:r>
                </w:p>
              </w:tc>
              <w:tc>
                <w:tcPr>
                  <w:tcW w:w="303" w:type="pct"/>
                  <w:vAlign w:val="center"/>
                </w:tcPr>
                <w:p w14:paraId="70BD9030">
                  <w:pPr>
                    <w:topLinePunct/>
                    <w:adjustRightInd w:val="0"/>
                    <w:snapToGrid w:val="0"/>
                    <w:jc w:val="center"/>
                    <w:rPr>
                      <w:rFonts w:eastAsia="仿宋_GB2312"/>
                      <w:b/>
                      <w:kern w:val="0"/>
                      <w:sz w:val="21"/>
                      <w:szCs w:val="21"/>
                    </w:rPr>
                  </w:pPr>
                  <w:r>
                    <w:rPr>
                      <w:rFonts w:eastAsia="仿宋_GB2312"/>
                      <w:b/>
                      <w:kern w:val="0"/>
                      <w:sz w:val="21"/>
                      <w:szCs w:val="21"/>
                    </w:rPr>
                    <w:t>位置</w:t>
                  </w:r>
                </w:p>
              </w:tc>
              <w:tc>
                <w:tcPr>
                  <w:tcW w:w="407" w:type="pct"/>
                  <w:vAlign w:val="center"/>
                </w:tcPr>
                <w:p w14:paraId="76A18BA0">
                  <w:pPr>
                    <w:topLinePunct/>
                    <w:adjustRightInd w:val="0"/>
                    <w:snapToGrid w:val="0"/>
                    <w:jc w:val="center"/>
                    <w:rPr>
                      <w:rFonts w:eastAsia="仿宋_GB2312"/>
                      <w:b/>
                      <w:kern w:val="0"/>
                      <w:sz w:val="21"/>
                      <w:szCs w:val="21"/>
                    </w:rPr>
                  </w:pPr>
                  <w:r>
                    <w:rPr>
                      <w:rFonts w:eastAsia="仿宋_GB2312"/>
                      <w:b/>
                      <w:kern w:val="0"/>
                      <w:sz w:val="21"/>
                      <w:szCs w:val="21"/>
                    </w:rPr>
                    <w:t>占地面积</w:t>
                  </w:r>
                </w:p>
              </w:tc>
              <w:tc>
                <w:tcPr>
                  <w:tcW w:w="951" w:type="pct"/>
                  <w:gridSpan w:val="2"/>
                  <w:vAlign w:val="center"/>
                </w:tcPr>
                <w:p w14:paraId="01B19E33">
                  <w:pPr>
                    <w:topLinePunct/>
                    <w:adjustRightInd w:val="0"/>
                    <w:snapToGrid w:val="0"/>
                    <w:jc w:val="center"/>
                    <w:rPr>
                      <w:rFonts w:eastAsia="仿宋_GB2312"/>
                      <w:b/>
                      <w:kern w:val="0"/>
                      <w:sz w:val="21"/>
                      <w:szCs w:val="21"/>
                    </w:rPr>
                  </w:pPr>
                  <w:r>
                    <w:rPr>
                      <w:rFonts w:eastAsia="仿宋_GB2312"/>
                      <w:b/>
                      <w:kern w:val="0"/>
                      <w:sz w:val="21"/>
                      <w:szCs w:val="21"/>
                    </w:rPr>
                    <w:t>贮存方式</w:t>
                  </w:r>
                </w:p>
              </w:tc>
              <w:tc>
                <w:tcPr>
                  <w:tcW w:w="303" w:type="pct"/>
                  <w:vAlign w:val="center"/>
                </w:tcPr>
                <w:p w14:paraId="73BC9393">
                  <w:pPr>
                    <w:topLinePunct/>
                    <w:adjustRightInd w:val="0"/>
                    <w:snapToGrid w:val="0"/>
                    <w:jc w:val="center"/>
                    <w:rPr>
                      <w:rFonts w:eastAsia="仿宋_GB2312"/>
                      <w:b/>
                      <w:kern w:val="0"/>
                      <w:sz w:val="21"/>
                      <w:szCs w:val="21"/>
                    </w:rPr>
                  </w:pPr>
                  <w:r>
                    <w:rPr>
                      <w:rFonts w:eastAsia="仿宋_GB2312"/>
                      <w:b/>
                      <w:kern w:val="0"/>
                      <w:sz w:val="21"/>
                      <w:szCs w:val="21"/>
                    </w:rPr>
                    <w:t>贮存能力</w:t>
                  </w:r>
                </w:p>
              </w:tc>
              <w:tc>
                <w:tcPr>
                  <w:tcW w:w="412" w:type="pct"/>
                  <w:vAlign w:val="center"/>
                </w:tcPr>
                <w:p w14:paraId="404DB5AA">
                  <w:pPr>
                    <w:topLinePunct/>
                    <w:adjustRightInd w:val="0"/>
                    <w:snapToGrid w:val="0"/>
                    <w:jc w:val="center"/>
                    <w:rPr>
                      <w:rFonts w:eastAsia="仿宋_GB2312"/>
                      <w:b/>
                      <w:kern w:val="0"/>
                      <w:sz w:val="21"/>
                      <w:szCs w:val="21"/>
                    </w:rPr>
                  </w:pPr>
                  <w:r>
                    <w:rPr>
                      <w:rFonts w:eastAsia="仿宋_GB2312"/>
                      <w:b/>
                      <w:kern w:val="0"/>
                      <w:sz w:val="21"/>
                      <w:szCs w:val="21"/>
                    </w:rPr>
                    <w:t>贮存周期</w:t>
                  </w:r>
                </w:p>
              </w:tc>
            </w:tr>
            <w:tr w14:paraId="21C3A9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2" w:type="pct"/>
                  <w:vAlign w:val="center"/>
                </w:tcPr>
                <w:p w14:paraId="30739A00">
                  <w:pPr>
                    <w:numPr>
                      <w:ilvl w:val="0"/>
                      <w:numId w:val="0"/>
                    </w:numPr>
                    <w:topLinePunct/>
                    <w:adjustRightInd w:val="0"/>
                    <w:snapToGrid w:val="0"/>
                    <w:ind w:left="0" w:leftChars="0" w:firstLine="0" w:firstLineChars="0"/>
                    <w:jc w:val="center"/>
                    <w:rPr>
                      <w:rFonts w:eastAsia="仿宋_GB2312"/>
                      <w:kern w:val="0"/>
                      <w:sz w:val="21"/>
                      <w:szCs w:val="21"/>
                    </w:rPr>
                  </w:pPr>
                  <w:r>
                    <w:rPr>
                      <w:rFonts w:hint="eastAsia" w:eastAsia="仿宋_GB2312" w:cs="Times New Roman"/>
                      <w:kern w:val="0"/>
                      <w:sz w:val="21"/>
                      <w:szCs w:val="21"/>
                      <w:lang w:val="en-US" w:eastAsia="zh-CN" w:bidi="ar-SA"/>
                    </w:rPr>
                    <w:t>1</w:t>
                  </w:r>
                </w:p>
              </w:tc>
              <w:tc>
                <w:tcPr>
                  <w:tcW w:w="420" w:type="pct"/>
                  <w:vMerge w:val="restart"/>
                  <w:vAlign w:val="center"/>
                </w:tcPr>
                <w:p w14:paraId="09F836F2">
                  <w:pPr>
                    <w:topLinePunct/>
                    <w:adjustRightInd w:val="0"/>
                    <w:snapToGrid w:val="0"/>
                    <w:jc w:val="center"/>
                    <w:rPr>
                      <w:rFonts w:eastAsia="仿宋_GB2312"/>
                      <w:kern w:val="0"/>
                      <w:sz w:val="21"/>
                      <w:szCs w:val="21"/>
                    </w:rPr>
                  </w:pPr>
                  <w:r>
                    <w:rPr>
                      <w:rFonts w:eastAsia="仿宋_GB2312"/>
                      <w:snapToGrid w:val="0"/>
                      <w:kern w:val="0"/>
                      <w:sz w:val="21"/>
                      <w:szCs w:val="21"/>
                    </w:rPr>
                    <w:t>危废仓库</w:t>
                  </w:r>
                </w:p>
              </w:tc>
              <w:tc>
                <w:tcPr>
                  <w:tcW w:w="660" w:type="pct"/>
                  <w:vAlign w:val="center"/>
                </w:tcPr>
                <w:p w14:paraId="6FCB8AC1">
                  <w:pPr>
                    <w:adjustRightInd w:val="0"/>
                    <w:snapToGrid w:val="0"/>
                    <w:jc w:val="center"/>
                    <w:rPr>
                      <w:rFonts w:eastAsia="仿宋_GB2312"/>
                      <w:sz w:val="21"/>
                      <w:szCs w:val="21"/>
                    </w:rPr>
                  </w:pPr>
                  <w:r>
                    <w:rPr>
                      <w:rFonts w:eastAsia="仿宋_GB2312"/>
                      <w:color w:val="000000" w:themeColor="text1"/>
                      <w:sz w:val="21"/>
                      <w:szCs w:val="21"/>
                    </w:rPr>
                    <w:t>废机油</w:t>
                  </w:r>
                </w:p>
              </w:tc>
              <w:tc>
                <w:tcPr>
                  <w:tcW w:w="491" w:type="pct"/>
                  <w:vAlign w:val="center"/>
                </w:tcPr>
                <w:p w14:paraId="00BFAD4A">
                  <w:pPr>
                    <w:adjustRightInd w:val="0"/>
                    <w:snapToGrid w:val="0"/>
                    <w:jc w:val="center"/>
                    <w:rPr>
                      <w:rFonts w:eastAsia="仿宋_GB2312"/>
                      <w:kern w:val="0"/>
                      <w:sz w:val="21"/>
                      <w:szCs w:val="21"/>
                    </w:rPr>
                  </w:pPr>
                  <w:r>
                    <w:rPr>
                      <w:rFonts w:eastAsia="仿宋_GB2312"/>
                      <w:kern w:val="0"/>
                      <w:sz w:val="21"/>
                      <w:szCs w:val="21"/>
                    </w:rPr>
                    <w:t>HW08</w:t>
                  </w:r>
                </w:p>
              </w:tc>
              <w:tc>
                <w:tcPr>
                  <w:tcW w:w="786" w:type="pct"/>
                  <w:vAlign w:val="center"/>
                </w:tcPr>
                <w:p w14:paraId="2F369C60">
                  <w:pPr>
                    <w:adjustRightInd w:val="0"/>
                    <w:snapToGrid w:val="0"/>
                    <w:jc w:val="center"/>
                    <w:rPr>
                      <w:rFonts w:eastAsia="仿宋_GB2312"/>
                      <w:kern w:val="0"/>
                      <w:sz w:val="21"/>
                      <w:szCs w:val="21"/>
                    </w:rPr>
                  </w:pPr>
                  <w:r>
                    <w:rPr>
                      <w:rFonts w:eastAsia="仿宋_GB2312"/>
                      <w:kern w:val="0"/>
                      <w:sz w:val="21"/>
                      <w:szCs w:val="21"/>
                    </w:rPr>
                    <w:t>900-214-08</w:t>
                  </w:r>
                </w:p>
              </w:tc>
              <w:tc>
                <w:tcPr>
                  <w:tcW w:w="303" w:type="pct"/>
                  <w:vMerge w:val="restart"/>
                  <w:vAlign w:val="center"/>
                </w:tcPr>
                <w:p w14:paraId="30E674D1">
                  <w:pPr>
                    <w:topLinePunct/>
                    <w:adjustRightInd w:val="0"/>
                    <w:snapToGrid w:val="0"/>
                    <w:jc w:val="center"/>
                    <w:rPr>
                      <w:rFonts w:eastAsia="仿宋_GB2312"/>
                      <w:kern w:val="0"/>
                      <w:sz w:val="21"/>
                      <w:szCs w:val="21"/>
                    </w:rPr>
                  </w:pPr>
                  <w:r>
                    <w:rPr>
                      <w:rFonts w:eastAsia="仿宋_GB2312"/>
                      <w:kern w:val="0"/>
                      <w:sz w:val="21"/>
                      <w:szCs w:val="21"/>
                    </w:rPr>
                    <w:t>车间西北</w:t>
                  </w:r>
                </w:p>
              </w:tc>
              <w:tc>
                <w:tcPr>
                  <w:tcW w:w="407" w:type="pct"/>
                  <w:vMerge w:val="restart"/>
                  <w:vAlign w:val="center"/>
                </w:tcPr>
                <w:p w14:paraId="38E80FAB">
                  <w:pPr>
                    <w:topLinePunct/>
                    <w:adjustRightInd w:val="0"/>
                    <w:snapToGrid w:val="0"/>
                    <w:jc w:val="center"/>
                    <w:rPr>
                      <w:rFonts w:eastAsia="仿宋_GB2312"/>
                      <w:color w:val="000000"/>
                      <w:kern w:val="0"/>
                      <w:sz w:val="21"/>
                      <w:szCs w:val="21"/>
                    </w:rPr>
                  </w:pPr>
                  <w:r>
                    <w:rPr>
                      <w:rFonts w:eastAsia="仿宋_GB2312"/>
                      <w:color w:val="000000"/>
                      <w:kern w:val="0"/>
                      <w:sz w:val="21"/>
                      <w:szCs w:val="21"/>
                    </w:rPr>
                    <w:t>90m</w:t>
                  </w:r>
                  <w:r>
                    <w:rPr>
                      <w:rFonts w:eastAsia="仿宋_GB2312"/>
                      <w:color w:val="000000"/>
                      <w:kern w:val="0"/>
                      <w:sz w:val="21"/>
                      <w:szCs w:val="21"/>
                      <w:vertAlign w:val="superscript"/>
                    </w:rPr>
                    <w:t>2</w:t>
                  </w:r>
                </w:p>
              </w:tc>
              <w:tc>
                <w:tcPr>
                  <w:tcW w:w="369" w:type="pct"/>
                  <w:vAlign w:val="center"/>
                </w:tcPr>
                <w:p w14:paraId="66C278E7">
                  <w:pPr>
                    <w:topLinePunct/>
                    <w:adjustRightInd w:val="0"/>
                    <w:snapToGrid w:val="0"/>
                    <w:jc w:val="center"/>
                    <w:rPr>
                      <w:rFonts w:eastAsia="仿宋_GB2312"/>
                      <w:kern w:val="0"/>
                      <w:sz w:val="21"/>
                      <w:szCs w:val="21"/>
                    </w:rPr>
                  </w:pPr>
                  <w:r>
                    <w:rPr>
                      <w:rFonts w:eastAsia="仿宋_GB2312"/>
                      <w:kern w:val="0"/>
                      <w:sz w:val="21"/>
                      <w:szCs w:val="21"/>
                    </w:rPr>
                    <w:t>桶装</w:t>
                  </w:r>
                </w:p>
              </w:tc>
              <w:tc>
                <w:tcPr>
                  <w:tcW w:w="581" w:type="pct"/>
                  <w:vMerge w:val="restart"/>
                  <w:vAlign w:val="center"/>
                </w:tcPr>
                <w:p w14:paraId="2127DF9C">
                  <w:pPr>
                    <w:topLinePunct/>
                    <w:adjustRightInd w:val="0"/>
                    <w:snapToGrid w:val="0"/>
                    <w:jc w:val="center"/>
                    <w:rPr>
                      <w:rFonts w:eastAsia="仿宋_GB2312"/>
                      <w:kern w:val="0"/>
                      <w:sz w:val="21"/>
                      <w:szCs w:val="21"/>
                    </w:rPr>
                  </w:pPr>
                  <w:r>
                    <w:rPr>
                      <w:rFonts w:eastAsia="仿宋_GB2312"/>
                      <w:kern w:val="0"/>
                      <w:sz w:val="21"/>
                      <w:szCs w:val="21"/>
                    </w:rPr>
                    <w:t>应根据危险废物的种类和特性进行分区、分类贮存</w:t>
                  </w:r>
                </w:p>
              </w:tc>
              <w:tc>
                <w:tcPr>
                  <w:tcW w:w="303" w:type="pct"/>
                  <w:vAlign w:val="center"/>
                </w:tcPr>
                <w:p w14:paraId="02C61205">
                  <w:pPr>
                    <w:topLinePunct/>
                    <w:adjustRightInd w:val="0"/>
                    <w:snapToGrid w:val="0"/>
                    <w:jc w:val="center"/>
                    <w:rPr>
                      <w:rFonts w:eastAsia="仿宋_GB2312"/>
                      <w:kern w:val="0"/>
                      <w:sz w:val="21"/>
                      <w:szCs w:val="21"/>
                    </w:rPr>
                  </w:pPr>
                  <w:r>
                    <w:rPr>
                      <w:rFonts w:eastAsia="仿宋_GB2312"/>
                      <w:kern w:val="0"/>
                      <w:sz w:val="21"/>
                      <w:szCs w:val="21"/>
                    </w:rPr>
                    <w:t>1t</w:t>
                  </w:r>
                </w:p>
              </w:tc>
              <w:tc>
                <w:tcPr>
                  <w:tcW w:w="412" w:type="pct"/>
                  <w:vAlign w:val="center"/>
                </w:tcPr>
                <w:p w14:paraId="2C93ED1E">
                  <w:pPr>
                    <w:adjustRightInd w:val="0"/>
                    <w:snapToGrid w:val="0"/>
                    <w:jc w:val="center"/>
                    <w:rPr>
                      <w:rFonts w:eastAsia="仿宋_GB2312"/>
                      <w:kern w:val="0"/>
                      <w:sz w:val="21"/>
                      <w:szCs w:val="21"/>
                    </w:rPr>
                  </w:pPr>
                  <w:r>
                    <w:rPr>
                      <w:rFonts w:eastAsia="仿宋_GB2312"/>
                      <w:kern w:val="0"/>
                      <w:sz w:val="21"/>
                      <w:szCs w:val="21"/>
                    </w:rPr>
                    <w:t>90天</w:t>
                  </w:r>
                </w:p>
              </w:tc>
            </w:tr>
            <w:tr w14:paraId="48C769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2" w:type="pct"/>
                  <w:vAlign w:val="center"/>
                </w:tcPr>
                <w:p w14:paraId="20BC0882">
                  <w:pPr>
                    <w:numPr>
                      <w:ilvl w:val="0"/>
                      <w:numId w:val="0"/>
                    </w:numPr>
                    <w:topLinePunct/>
                    <w:adjustRightInd w:val="0"/>
                    <w:snapToGrid w:val="0"/>
                    <w:ind w:left="0" w:leftChars="0" w:firstLine="0" w:firstLineChars="0"/>
                    <w:jc w:val="center"/>
                    <w:rPr>
                      <w:rFonts w:hint="default" w:eastAsia="仿宋_GB2312"/>
                      <w:kern w:val="0"/>
                      <w:sz w:val="21"/>
                      <w:szCs w:val="21"/>
                      <w:lang w:val="en-US"/>
                    </w:rPr>
                  </w:pPr>
                  <w:r>
                    <w:rPr>
                      <w:rFonts w:hint="eastAsia" w:eastAsia="仿宋_GB2312" w:cs="Times New Roman"/>
                      <w:kern w:val="0"/>
                      <w:sz w:val="21"/>
                      <w:szCs w:val="21"/>
                      <w:lang w:val="en-US" w:eastAsia="zh-CN" w:bidi="ar-SA"/>
                    </w:rPr>
                    <w:t>2</w:t>
                  </w:r>
                </w:p>
              </w:tc>
              <w:tc>
                <w:tcPr>
                  <w:tcW w:w="420" w:type="pct"/>
                  <w:vMerge w:val="continue"/>
                  <w:vAlign w:val="center"/>
                </w:tcPr>
                <w:p w14:paraId="5171EE89">
                  <w:pPr>
                    <w:topLinePunct/>
                    <w:adjustRightInd w:val="0"/>
                    <w:snapToGrid w:val="0"/>
                    <w:jc w:val="center"/>
                    <w:rPr>
                      <w:rFonts w:eastAsia="仿宋_GB2312"/>
                      <w:snapToGrid w:val="0"/>
                      <w:kern w:val="0"/>
                      <w:sz w:val="21"/>
                      <w:szCs w:val="21"/>
                    </w:rPr>
                  </w:pPr>
                </w:p>
              </w:tc>
              <w:tc>
                <w:tcPr>
                  <w:tcW w:w="660" w:type="pct"/>
                  <w:vAlign w:val="center"/>
                </w:tcPr>
                <w:p w14:paraId="326F48D6">
                  <w:pPr>
                    <w:adjustRightInd w:val="0"/>
                    <w:snapToGrid w:val="0"/>
                    <w:jc w:val="center"/>
                    <w:rPr>
                      <w:rFonts w:eastAsia="仿宋_GB2312"/>
                      <w:sz w:val="21"/>
                      <w:szCs w:val="21"/>
                    </w:rPr>
                  </w:pPr>
                  <w:r>
                    <w:rPr>
                      <w:rFonts w:eastAsia="仿宋_GB2312"/>
                      <w:color w:val="000000" w:themeColor="text1"/>
                      <w:sz w:val="21"/>
                      <w:szCs w:val="21"/>
                    </w:rPr>
                    <w:t>废油桶</w:t>
                  </w:r>
                </w:p>
              </w:tc>
              <w:tc>
                <w:tcPr>
                  <w:tcW w:w="491" w:type="pct"/>
                  <w:vAlign w:val="center"/>
                </w:tcPr>
                <w:p w14:paraId="67478080">
                  <w:pPr>
                    <w:adjustRightInd w:val="0"/>
                    <w:snapToGrid w:val="0"/>
                    <w:jc w:val="center"/>
                    <w:rPr>
                      <w:rFonts w:eastAsia="仿宋_GB2312"/>
                      <w:kern w:val="0"/>
                      <w:sz w:val="21"/>
                      <w:szCs w:val="21"/>
                    </w:rPr>
                  </w:pPr>
                  <w:r>
                    <w:rPr>
                      <w:rFonts w:eastAsia="仿宋_GB2312"/>
                      <w:kern w:val="0"/>
                      <w:sz w:val="21"/>
                      <w:szCs w:val="21"/>
                    </w:rPr>
                    <w:t>HW08</w:t>
                  </w:r>
                </w:p>
              </w:tc>
              <w:tc>
                <w:tcPr>
                  <w:tcW w:w="786" w:type="pct"/>
                  <w:vAlign w:val="center"/>
                </w:tcPr>
                <w:p w14:paraId="1EF18421">
                  <w:pPr>
                    <w:adjustRightInd w:val="0"/>
                    <w:snapToGrid w:val="0"/>
                    <w:jc w:val="center"/>
                    <w:rPr>
                      <w:rFonts w:eastAsia="仿宋_GB2312"/>
                      <w:kern w:val="0"/>
                      <w:sz w:val="21"/>
                      <w:szCs w:val="21"/>
                    </w:rPr>
                  </w:pPr>
                  <w:r>
                    <w:rPr>
                      <w:rFonts w:eastAsia="仿宋_GB2312"/>
                      <w:kern w:val="0"/>
                      <w:sz w:val="21"/>
                      <w:szCs w:val="21"/>
                    </w:rPr>
                    <w:t>900-249-08</w:t>
                  </w:r>
                </w:p>
              </w:tc>
              <w:tc>
                <w:tcPr>
                  <w:tcW w:w="303" w:type="pct"/>
                  <w:vMerge w:val="continue"/>
                  <w:vAlign w:val="center"/>
                </w:tcPr>
                <w:p w14:paraId="0F37B3EB">
                  <w:pPr>
                    <w:topLinePunct/>
                    <w:adjustRightInd w:val="0"/>
                    <w:snapToGrid w:val="0"/>
                    <w:jc w:val="center"/>
                    <w:rPr>
                      <w:rFonts w:eastAsia="仿宋_GB2312"/>
                      <w:kern w:val="0"/>
                      <w:sz w:val="21"/>
                      <w:szCs w:val="21"/>
                    </w:rPr>
                  </w:pPr>
                </w:p>
              </w:tc>
              <w:tc>
                <w:tcPr>
                  <w:tcW w:w="407" w:type="pct"/>
                  <w:vMerge w:val="continue"/>
                  <w:vAlign w:val="center"/>
                </w:tcPr>
                <w:p w14:paraId="0451BDBA">
                  <w:pPr>
                    <w:topLinePunct/>
                    <w:adjustRightInd w:val="0"/>
                    <w:snapToGrid w:val="0"/>
                    <w:jc w:val="center"/>
                    <w:rPr>
                      <w:rFonts w:eastAsia="仿宋_GB2312"/>
                      <w:kern w:val="0"/>
                      <w:sz w:val="21"/>
                      <w:szCs w:val="21"/>
                    </w:rPr>
                  </w:pPr>
                </w:p>
              </w:tc>
              <w:tc>
                <w:tcPr>
                  <w:tcW w:w="369" w:type="pct"/>
                  <w:vAlign w:val="center"/>
                </w:tcPr>
                <w:p w14:paraId="2808DF99">
                  <w:pPr>
                    <w:topLinePunct/>
                    <w:adjustRightInd w:val="0"/>
                    <w:snapToGrid w:val="0"/>
                    <w:jc w:val="center"/>
                    <w:rPr>
                      <w:rFonts w:eastAsia="仿宋_GB2312"/>
                      <w:kern w:val="0"/>
                      <w:sz w:val="21"/>
                      <w:szCs w:val="21"/>
                    </w:rPr>
                  </w:pPr>
                  <w:r>
                    <w:rPr>
                      <w:rFonts w:eastAsia="仿宋_GB2312"/>
                      <w:kern w:val="0"/>
                      <w:sz w:val="21"/>
                      <w:szCs w:val="21"/>
                    </w:rPr>
                    <w:t>桶装</w:t>
                  </w:r>
                </w:p>
              </w:tc>
              <w:tc>
                <w:tcPr>
                  <w:tcW w:w="581" w:type="pct"/>
                  <w:vMerge w:val="continue"/>
                  <w:vAlign w:val="center"/>
                </w:tcPr>
                <w:p w14:paraId="4CD0062C">
                  <w:pPr>
                    <w:topLinePunct/>
                    <w:adjustRightInd w:val="0"/>
                    <w:snapToGrid w:val="0"/>
                    <w:jc w:val="center"/>
                    <w:rPr>
                      <w:rFonts w:eastAsia="仿宋_GB2312"/>
                      <w:kern w:val="0"/>
                      <w:sz w:val="21"/>
                      <w:szCs w:val="21"/>
                    </w:rPr>
                  </w:pPr>
                </w:p>
              </w:tc>
              <w:tc>
                <w:tcPr>
                  <w:tcW w:w="303" w:type="pct"/>
                  <w:vAlign w:val="center"/>
                </w:tcPr>
                <w:p w14:paraId="7AA068C0">
                  <w:pPr>
                    <w:topLinePunct/>
                    <w:adjustRightInd w:val="0"/>
                    <w:snapToGrid w:val="0"/>
                    <w:jc w:val="center"/>
                    <w:rPr>
                      <w:rFonts w:eastAsia="仿宋_GB2312"/>
                      <w:kern w:val="0"/>
                      <w:sz w:val="21"/>
                      <w:szCs w:val="21"/>
                    </w:rPr>
                  </w:pPr>
                  <w:r>
                    <w:rPr>
                      <w:rFonts w:eastAsia="仿宋_GB2312"/>
                      <w:kern w:val="0"/>
                      <w:sz w:val="21"/>
                      <w:szCs w:val="21"/>
                    </w:rPr>
                    <w:t>1t</w:t>
                  </w:r>
                </w:p>
              </w:tc>
              <w:tc>
                <w:tcPr>
                  <w:tcW w:w="412" w:type="pct"/>
                  <w:vAlign w:val="center"/>
                </w:tcPr>
                <w:p w14:paraId="768D9C88">
                  <w:pPr>
                    <w:adjustRightInd w:val="0"/>
                    <w:snapToGrid w:val="0"/>
                    <w:jc w:val="center"/>
                    <w:rPr>
                      <w:rFonts w:eastAsia="仿宋_GB2312"/>
                      <w:kern w:val="0"/>
                      <w:sz w:val="21"/>
                      <w:szCs w:val="21"/>
                    </w:rPr>
                  </w:pPr>
                  <w:r>
                    <w:rPr>
                      <w:rFonts w:eastAsia="仿宋_GB2312"/>
                      <w:kern w:val="0"/>
                      <w:sz w:val="21"/>
                      <w:szCs w:val="21"/>
                    </w:rPr>
                    <w:t>90天</w:t>
                  </w:r>
                </w:p>
              </w:tc>
            </w:tr>
            <w:tr w14:paraId="259CCB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2" w:type="pct"/>
                  <w:vAlign w:val="center"/>
                </w:tcPr>
                <w:p w14:paraId="142DD37E">
                  <w:pPr>
                    <w:numPr>
                      <w:ilvl w:val="0"/>
                      <w:numId w:val="0"/>
                    </w:numPr>
                    <w:topLinePunct/>
                    <w:adjustRightInd w:val="0"/>
                    <w:snapToGrid w:val="0"/>
                    <w:ind w:left="0" w:leftChars="0" w:firstLine="0" w:firstLineChars="0"/>
                    <w:jc w:val="center"/>
                    <w:rPr>
                      <w:rFonts w:eastAsia="仿宋_GB2312"/>
                      <w:kern w:val="0"/>
                      <w:sz w:val="21"/>
                      <w:szCs w:val="21"/>
                    </w:rPr>
                  </w:pPr>
                  <w:r>
                    <w:rPr>
                      <w:rFonts w:hint="eastAsia" w:eastAsia="仿宋_GB2312" w:cs="Times New Roman"/>
                      <w:kern w:val="0"/>
                      <w:sz w:val="21"/>
                      <w:szCs w:val="21"/>
                      <w:lang w:val="en-US" w:eastAsia="zh-CN" w:bidi="ar-SA"/>
                    </w:rPr>
                    <w:t>3</w:t>
                  </w:r>
                </w:p>
              </w:tc>
              <w:tc>
                <w:tcPr>
                  <w:tcW w:w="420" w:type="pct"/>
                  <w:vMerge w:val="continue"/>
                  <w:vAlign w:val="center"/>
                </w:tcPr>
                <w:p w14:paraId="47B9BD6B">
                  <w:pPr>
                    <w:topLinePunct/>
                    <w:adjustRightInd w:val="0"/>
                    <w:snapToGrid w:val="0"/>
                    <w:jc w:val="center"/>
                    <w:rPr>
                      <w:rFonts w:eastAsia="仿宋_GB2312"/>
                      <w:snapToGrid w:val="0"/>
                      <w:kern w:val="0"/>
                      <w:sz w:val="21"/>
                      <w:szCs w:val="21"/>
                    </w:rPr>
                  </w:pPr>
                </w:p>
              </w:tc>
              <w:tc>
                <w:tcPr>
                  <w:tcW w:w="660" w:type="pct"/>
                  <w:vAlign w:val="center"/>
                </w:tcPr>
                <w:p w14:paraId="34E74D81">
                  <w:pPr>
                    <w:adjustRightInd w:val="0"/>
                    <w:snapToGrid w:val="0"/>
                    <w:jc w:val="center"/>
                    <w:rPr>
                      <w:rFonts w:eastAsia="仿宋_GB2312"/>
                      <w:kern w:val="0"/>
                      <w:sz w:val="21"/>
                      <w:szCs w:val="21"/>
                    </w:rPr>
                  </w:pPr>
                  <w:r>
                    <w:rPr>
                      <w:rFonts w:eastAsia="仿宋_GB2312"/>
                      <w:color w:val="000000" w:themeColor="text1"/>
                      <w:kern w:val="0"/>
                      <w:sz w:val="21"/>
                      <w:szCs w:val="21"/>
                    </w:rPr>
                    <w:t>废漆桶</w:t>
                  </w:r>
                </w:p>
              </w:tc>
              <w:tc>
                <w:tcPr>
                  <w:tcW w:w="491" w:type="pct"/>
                  <w:vAlign w:val="center"/>
                </w:tcPr>
                <w:p w14:paraId="03F77DBB">
                  <w:pPr>
                    <w:adjustRightInd w:val="0"/>
                    <w:snapToGrid w:val="0"/>
                    <w:jc w:val="center"/>
                    <w:rPr>
                      <w:rFonts w:eastAsia="仿宋_GB2312"/>
                      <w:kern w:val="0"/>
                      <w:sz w:val="21"/>
                      <w:szCs w:val="21"/>
                    </w:rPr>
                  </w:pPr>
                  <w:r>
                    <w:rPr>
                      <w:rFonts w:eastAsia="仿宋_GB2312"/>
                      <w:kern w:val="0"/>
                      <w:sz w:val="21"/>
                      <w:szCs w:val="21"/>
                    </w:rPr>
                    <w:t xml:space="preserve">HW49 </w:t>
                  </w:r>
                </w:p>
              </w:tc>
              <w:tc>
                <w:tcPr>
                  <w:tcW w:w="786" w:type="pct"/>
                  <w:vAlign w:val="center"/>
                </w:tcPr>
                <w:p w14:paraId="4E4D47D5">
                  <w:pPr>
                    <w:adjustRightInd w:val="0"/>
                    <w:snapToGrid w:val="0"/>
                    <w:jc w:val="center"/>
                    <w:rPr>
                      <w:rFonts w:eastAsia="仿宋_GB2312"/>
                      <w:kern w:val="0"/>
                      <w:sz w:val="21"/>
                      <w:szCs w:val="21"/>
                    </w:rPr>
                  </w:pPr>
                  <w:r>
                    <w:rPr>
                      <w:rFonts w:eastAsia="仿宋_GB2312"/>
                      <w:kern w:val="0"/>
                      <w:sz w:val="21"/>
                      <w:szCs w:val="21"/>
                    </w:rPr>
                    <w:t>900-041-49</w:t>
                  </w:r>
                </w:p>
              </w:tc>
              <w:tc>
                <w:tcPr>
                  <w:tcW w:w="303" w:type="pct"/>
                  <w:vMerge w:val="continue"/>
                  <w:vAlign w:val="center"/>
                </w:tcPr>
                <w:p w14:paraId="2B6BE178">
                  <w:pPr>
                    <w:topLinePunct/>
                    <w:adjustRightInd w:val="0"/>
                    <w:snapToGrid w:val="0"/>
                    <w:jc w:val="center"/>
                    <w:rPr>
                      <w:rFonts w:eastAsia="仿宋_GB2312"/>
                      <w:kern w:val="0"/>
                      <w:sz w:val="21"/>
                      <w:szCs w:val="21"/>
                    </w:rPr>
                  </w:pPr>
                </w:p>
              </w:tc>
              <w:tc>
                <w:tcPr>
                  <w:tcW w:w="407" w:type="pct"/>
                  <w:vMerge w:val="continue"/>
                  <w:vAlign w:val="center"/>
                </w:tcPr>
                <w:p w14:paraId="4EBBED67">
                  <w:pPr>
                    <w:topLinePunct/>
                    <w:adjustRightInd w:val="0"/>
                    <w:snapToGrid w:val="0"/>
                    <w:jc w:val="center"/>
                    <w:rPr>
                      <w:rFonts w:eastAsia="仿宋_GB2312"/>
                      <w:kern w:val="0"/>
                      <w:sz w:val="21"/>
                      <w:szCs w:val="21"/>
                    </w:rPr>
                  </w:pPr>
                </w:p>
              </w:tc>
              <w:tc>
                <w:tcPr>
                  <w:tcW w:w="369" w:type="pct"/>
                  <w:vAlign w:val="center"/>
                </w:tcPr>
                <w:p w14:paraId="3DAACCAF">
                  <w:pPr>
                    <w:topLinePunct/>
                    <w:adjustRightInd w:val="0"/>
                    <w:snapToGrid w:val="0"/>
                    <w:jc w:val="center"/>
                    <w:rPr>
                      <w:rFonts w:eastAsia="仿宋_GB2312"/>
                      <w:kern w:val="0"/>
                      <w:sz w:val="21"/>
                      <w:szCs w:val="21"/>
                    </w:rPr>
                  </w:pPr>
                  <w:r>
                    <w:rPr>
                      <w:rFonts w:eastAsia="仿宋_GB2312"/>
                      <w:kern w:val="0"/>
                      <w:sz w:val="21"/>
                      <w:szCs w:val="21"/>
                    </w:rPr>
                    <w:t>桶装</w:t>
                  </w:r>
                </w:p>
              </w:tc>
              <w:tc>
                <w:tcPr>
                  <w:tcW w:w="581" w:type="pct"/>
                  <w:vMerge w:val="continue"/>
                  <w:vAlign w:val="center"/>
                </w:tcPr>
                <w:p w14:paraId="5B48F3B8">
                  <w:pPr>
                    <w:topLinePunct/>
                    <w:adjustRightInd w:val="0"/>
                    <w:snapToGrid w:val="0"/>
                    <w:jc w:val="center"/>
                    <w:rPr>
                      <w:rFonts w:eastAsia="仿宋_GB2312"/>
                      <w:kern w:val="0"/>
                      <w:sz w:val="21"/>
                      <w:szCs w:val="21"/>
                    </w:rPr>
                  </w:pPr>
                </w:p>
              </w:tc>
              <w:tc>
                <w:tcPr>
                  <w:tcW w:w="303" w:type="pct"/>
                  <w:vAlign w:val="center"/>
                </w:tcPr>
                <w:p w14:paraId="0C45DF74">
                  <w:pPr>
                    <w:topLinePunct/>
                    <w:adjustRightInd w:val="0"/>
                    <w:snapToGrid w:val="0"/>
                    <w:jc w:val="center"/>
                    <w:rPr>
                      <w:rFonts w:eastAsia="仿宋_GB2312"/>
                      <w:kern w:val="0"/>
                      <w:sz w:val="21"/>
                      <w:szCs w:val="21"/>
                    </w:rPr>
                  </w:pPr>
                  <w:r>
                    <w:rPr>
                      <w:rFonts w:eastAsia="仿宋_GB2312"/>
                      <w:kern w:val="0"/>
                      <w:sz w:val="21"/>
                      <w:szCs w:val="21"/>
                    </w:rPr>
                    <w:t>1t</w:t>
                  </w:r>
                </w:p>
              </w:tc>
              <w:tc>
                <w:tcPr>
                  <w:tcW w:w="412" w:type="pct"/>
                  <w:vAlign w:val="center"/>
                </w:tcPr>
                <w:p w14:paraId="3683FC09">
                  <w:pPr>
                    <w:adjustRightInd w:val="0"/>
                    <w:snapToGrid w:val="0"/>
                    <w:jc w:val="center"/>
                    <w:rPr>
                      <w:rFonts w:eastAsia="仿宋_GB2312"/>
                      <w:kern w:val="0"/>
                      <w:sz w:val="21"/>
                      <w:szCs w:val="21"/>
                    </w:rPr>
                  </w:pPr>
                  <w:r>
                    <w:rPr>
                      <w:rFonts w:eastAsia="仿宋_GB2312"/>
                      <w:kern w:val="0"/>
                      <w:sz w:val="21"/>
                      <w:szCs w:val="21"/>
                    </w:rPr>
                    <w:t>90天</w:t>
                  </w:r>
                </w:p>
              </w:tc>
            </w:tr>
            <w:tr w14:paraId="4B5869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2" w:type="pct"/>
                  <w:vAlign w:val="center"/>
                </w:tcPr>
                <w:p w14:paraId="27B5CAB9">
                  <w:pPr>
                    <w:numPr>
                      <w:ilvl w:val="0"/>
                      <w:numId w:val="0"/>
                    </w:numPr>
                    <w:topLinePunct/>
                    <w:adjustRightInd w:val="0"/>
                    <w:snapToGrid w:val="0"/>
                    <w:ind w:left="0" w:leftChars="0" w:firstLine="0" w:firstLineChars="0"/>
                    <w:jc w:val="center"/>
                    <w:rPr>
                      <w:rFonts w:eastAsia="仿宋_GB2312"/>
                      <w:kern w:val="0"/>
                      <w:sz w:val="21"/>
                      <w:szCs w:val="21"/>
                    </w:rPr>
                  </w:pPr>
                  <w:r>
                    <w:rPr>
                      <w:rFonts w:hint="eastAsia" w:eastAsia="仿宋_GB2312" w:cs="Times New Roman"/>
                      <w:kern w:val="0"/>
                      <w:sz w:val="21"/>
                      <w:szCs w:val="21"/>
                      <w:lang w:val="en-US" w:eastAsia="zh-CN" w:bidi="ar-SA"/>
                    </w:rPr>
                    <w:t>4</w:t>
                  </w:r>
                </w:p>
              </w:tc>
              <w:tc>
                <w:tcPr>
                  <w:tcW w:w="420" w:type="pct"/>
                  <w:vMerge w:val="continue"/>
                  <w:vAlign w:val="center"/>
                </w:tcPr>
                <w:p w14:paraId="13460C00">
                  <w:pPr>
                    <w:topLinePunct/>
                    <w:adjustRightInd w:val="0"/>
                    <w:snapToGrid w:val="0"/>
                    <w:jc w:val="center"/>
                    <w:rPr>
                      <w:rFonts w:eastAsia="仿宋_GB2312"/>
                      <w:kern w:val="0"/>
                      <w:sz w:val="21"/>
                      <w:szCs w:val="21"/>
                    </w:rPr>
                  </w:pPr>
                </w:p>
              </w:tc>
              <w:tc>
                <w:tcPr>
                  <w:tcW w:w="660" w:type="pct"/>
                  <w:vAlign w:val="center"/>
                </w:tcPr>
                <w:p w14:paraId="230C7A7A">
                  <w:pPr>
                    <w:adjustRightInd w:val="0"/>
                    <w:snapToGrid w:val="0"/>
                    <w:jc w:val="center"/>
                    <w:rPr>
                      <w:rFonts w:eastAsia="仿宋_GB2312"/>
                      <w:kern w:val="0"/>
                      <w:sz w:val="21"/>
                      <w:szCs w:val="21"/>
                    </w:rPr>
                  </w:pPr>
                  <w:r>
                    <w:rPr>
                      <w:rFonts w:eastAsia="仿宋_GB2312"/>
                      <w:color w:val="000000" w:themeColor="text1"/>
                      <w:kern w:val="0"/>
                      <w:sz w:val="21"/>
                      <w:szCs w:val="21"/>
                    </w:rPr>
                    <w:t>废漆刷</w:t>
                  </w:r>
                </w:p>
              </w:tc>
              <w:tc>
                <w:tcPr>
                  <w:tcW w:w="491" w:type="pct"/>
                  <w:vAlign w:val="center"/>
                </w:tcPr>
                <w:p w14:paraId="493EF451">
                  <w:pPr>
                    <w:adjustRightInd w:val="0"/>
                    <w:snapToGrid w:val="0"/>
                    <w:jc w:val="center"/>
                    <w:rPr>
                      <w:rFonts w:eastAsia="仿宋_GB2312"/>
                      <w:kern w:val="0"/>
                      <w:sz w:val="21"/>
                      <w:szCs w:val="21"/>
                    </w:rPr>
                  </w:pPr>
                  <w:r>
                    <w:rPr>
                      <w:rFonts w:eastAsia="仿宋_GB2312"/>
                      <w:kern w:val="0"/>
                      <w:sz w:val="21"/>
                      <w:szCs w:val="21"/>
                    </w:rPr>
                    <w:t xml:space="preserve">HW49 </w:t>
                  </w:r>
                </w:p>
              </w:tc>
              <w:tc>
                <w:tcPr>
                  <w:tcW w:w="786" w:type="pct"/>
                  <w:vAlign w:val="center"/>
                </w:tcPr>
                <w:p w14:paraId="149AC989">
                  <w:pPr>
                    <w:adjustRightInd w:val="0"/>
                    <w:snapToGrid w:val="0"/>
                    <w:jc w:val="center"/>
                    <w:rPr>
                      <w:rFonts w:eastAsia="仿宋_GB2312"/>
                      <w:kern w:val="0"/>
                      <w:sz w:val="21"/>
                      <w:szCs w:val="21"/>
                    </w:rPr>
                  </w:pPr>
                  <w:r>
                    <w:rPr>
                      <w:rFonts w:eastAsia="仿宋_GB2312"/>
                      <w:kern w:val="0"/>
                      <w:sz w:val="21"/>
                      <w:szCs w:val="21"/>
                    </w:rPr>
                    <w:t>900-041-49</w:t>
                  </w:r>
                </w:p>
              </w:tc>
              <w:tc>
                <w:tcPr>
                  <w:tcW w:w="303" w:type="pct"/>
                  <w:vMerge w:val="continue"/>
                  <w:vAlign w:val="center"/>
                </w:tcPr>
                <w:p w14:paraId="477334A3">
                  <w:pPr>
                    <w:topLinePunct/>
                    <w:adjustRightInd w:val="0"/>
                    <w:snapToGrid w:val="0"/>
                    <w:jc w:val="center"/>
                    <w:rPr>
                      <w:rFonts w:eastAsia="仿宋_GB2312"/>
                      <w:kern w:val="0"/>
                      <w:sz w:val="21"/>
                      <w:szCs w:val="21"/>
                    </w:rPr>
                  </w:pPr>
                </w:p>
              </w:tc>
              <w:tc>
                <w:tcPr>
                  <w:tcW w:w="407" w:type="pct"/>
                  <w:vMerge w:val="continue"/>
                  <w:vAlign w:val="center"/>
                </w:tcPr>
                <w:p w14:paraId="197551EC">
                  <w:pPr>
                    <w:topLinePunct/>
                    <w:adjustRightInd w:val="0"/>
                    <w:snapToGrid w:val="0"/>
                    <w:jc w:val="center"/>
                    <w:rPr>
                      <w:rFonts w:eastAsia="仿宋_GB2312"/>
                      <w:kern w:val="0"/>
                      <w:sz w:val="21"/>
                      <w:szCs w:val="21"/>
                    </w:rPr>
                  </w:pPr>
                </w:p>
              </w:tc>
              <w:tc>
                <w:tcPr>
                  <w:tcW w:w="369" w:type="pct"/>
                  <w:vAlign w:val="center"/>
                </w:tcPr>
                <w:p w14:paraId="2DBDCBCD">
                  <w:pPr>
                    <w:topLinePunct/>
                    <w:adjustRightInd w:val="0"/>
                    <w:snapToGrid w:val="0"/>
                    <w:jc w:val="center"/>
                    <w:rPr>
                      <w:rFonts w:eastAsia="仿宋_GB2312"/>
                      <w:kern w:val="0"/>
                      <w:sz w:val="21"/>
                      <w:szCs w:val="21"/>
                    </w:rPr>
                  </w:pPr>
                  <w:r>
                    <w:rPr>
                      <w:rFonts w:eastAsia="仿宋_GB2312"/>
                      <w:kern w:val="0"/>
                      <w:sz w:val="21"/>
                      <w:szCs w:val="21"/>
                    </w:rPr>
                    <w:t>袋装</w:t>
                  </w:r>
                </w:p>
              </w:tc>
              <w:tc>
                <w:tcPr>
                  <w:tcW w:w="581" w:type="pct"/>
                  <w:vMerge w:val="continue"/>
                  <w:vAlign w:val="center"/>
                </w:tcPr>
                <w:p w14:paraId="5AD61C13">
                  <w:pPr>
                    <w:topLinePunct/>
                    <w:adjustRightInd w:val="0"/>
                    <w:snapToGrid w:val="0"/>
                    <w:jc w:val="center"/>
                    <w:rPr>
                      <w:rFonts w:eastAsia="仿宋_GB2312"/>
                      <w:kern w:val="0"/>
                      <w:sz w:val="21"/>
                      <w:szCs w:val="21"/>
                    </w:rPr>
                  </w:pPr>
                </w:p>
              </w:tc>
              <w:tc>
                <w:tcPr>
                  <w:tcW w:w="303" w:type="pct"/>
                  <w:vAlign w:val="center"/>
                </w:tcPr>
                <w:p w14:paraId="5854A0C0">
                  <w:pPr>
                    <w:topLinePunct/>
                    <w:adjustRightInd w:val="0"/>
                    <w:snapToGrid w:val="0"/>
                    <w:jc w:val="center"/>
                    <w:rPr>
                      <w:rFonts w:eastAsia="仿宋_GB2312"/>
                      <w:kern w:val="0"/>
                      <w:sz w:val="21"/>
                      <w:szCs w:val="21"/>
                    </w:rPr>
                  </w:pPr>
                  <w:r>
                    <w:rPr>
                      <w:rFonts w:eastAsia="仿宋_GB2312"/>
                      <w:kern w:val="0"/>
                      <w:sz w:val="21"/>
                      <w:szCs w:val="21"/>
                    </w:rPr>
                    <w:t>1t</w:t>
                  </w:r>
                </w:p>
              </w:tc>
              <w:tc>
                <w:tcPr>
                  <w:tcW w:w="412" w:type="pct"/>
                  <w:vAlign w:val="center"/>
                </w:tcPr>
                <w:p w14:paraId="7AA03C0B">
                  <w:pPr>
                    <w:adjustRightInd w:val="0"/>
                    <w:snapToGrid w:val="0"/>
                    <w:jc w:val="center"/>
                    <w:rPr>
                      <w:rFonts w:eastAsia="仿宋_GB2312"/>
                      <w:kern w:val="0"/>
                      <w:sz w:val="21"/>
                      <w:szCs w:val="21"/>
                    </w:rPr>
                  </w:pPr>
                  <w:r>
                    <w:rPr>
                      <w:rFonts w:eastAsia="仿宋_GB2312"/>
                      <w:kern w:val="0"/>
                      <w:sz w:val="21"/>
                      <w:szCs w:val="21"/>
                    </w:rPr>
                    <w:t>90天</w:t>
                  </w:r>
                </w:p>
              </w:tc>
            </w:tr>
            <w:tr w14:paraId="7DBD7F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2" w:type="pct"/>
                  <w:vAlign w:val="center"/>
                </w:tcPr>
                <w:p w14:paraId="267E6A7E">
                  <w:pPr>
                    <w:numPr>
                      <w:ilvl w:val="0"/>
                      <w:numId w:val="0"/>
                    </w:numPr>
                    <w:topLinePunct/>
                    <w:adjustRightInd w:val="0"/>
                    <w:snapToGrid w:val="0"/>
                    <w:ind w:leftChars="0"/>
                    <w:jc w:val="center"/>
                    <w:rPr>
                      <w:rFonts w:hint="eastAsia" w:eastAsia="仿宋_GB2312"/>
                      <w:kern w:val="0"/>
                      <w:sz w:val="21"/>
                      <w:szCs w:val="21"/>
                      <w:lang w:val="en-US" w:eastAsia="zh-CN"/>
                    </w:rPr>
                  </w:pPr>
                  <w:r>
                    <w:rPr>
                      <w:rFonts w:hint="eastAsia" w:eastAsia="仿宋_GB2312"/>
                      <w:kern w:val="0"/>
                      <w:sz w:val="21"/>
                      <w:szCs w:val="21"/>
                      <w:lang w:val="en-US" w:eastAsia="zh-CN"/>
                    </w:rPr>
                    <w:t>5</w:t>
                  </w:r>
                </w:p>
              </w:tc>
              <w:tc>
                <w:tcPr>
                  <w:tcW w:w="420" w:type="pct"/>
                  <w:vMerge w:val="continue"/>
                  <w:vAlign w:val="center"/>
                </w:tcPr>
                <w:p w14:paraId="7D084764">
                  <w:pPr>
                    <w:topLinePunct/>
                    <w:adjustRightInd w:val="0"/>
                    <w:snapToGrid w:val="0"/>
                    <w:jc w:val="center"/>
                    <w:rPr>
                      <w:rFonts w:eastAsia="仿宋_GB2312"/>
                      <w:kern w:val="0"/>
                      <w:sz w:val="21"/>
                      <w:szCs w:val="21"/>
                    </w:rPr>
                  </w:pPr>
                </w:p>
              </w:tc>
              <w:tc>
                <w:tcPr>
                  <w:tcW w:w="660" w:type="pct"/>
                  <w:vAlign w:val="center"/>
                </w:tcPr>
                <w:p w14:paraId="5D7BB141">
                  <w:pPr>
                    <w:adjustRightInd w:val="0"/>
                    <w:snapToGrid w:val="0"/>
                    <w:jc w:val="center"/>
                    <w:rPr>
                      <w:rFonts w:eastAsia="仿宋_GB2312"/>
                      <w:kern w:val="0"/>
                      <w:sz w:val="21"/>
                      <w:szCs w:val="21"/>
                    </w:rPr>
                  </w:pPr>
                  <w:r>
                    <w:rPr>
                      <w:rFonts w:eastAsia="仿宋_GB2312"/>
                      <w:kern w:val="0"/>
                      <w:sz w:val="21"/>
                      <w:szCs w:val="21"/>
                    </w:rPr>
                    <w:t>实验室废液</w:t>
                  </w:r>
                </w:p>
              </w:tc>
              <w:tc>
                <w:tcPr>
                  <w:tcW w:w="491" w:type="pct"/>
                  <w:vAlign w:val="center"/>
                </w:tcPr>
                <w:p w14:paraId="7DD3A9EB">
                  <w:pPr>
                    <w:adjustRightInd w:val="0"/>
                    <w:snapToGrid w:val="0"/>
                    <w:jc w:val="center"/>
                    <w:rPr>
                      <w:rFonts w:eastAsia="仿宋_GB2312"/>
                      <w:kern w:val="0"/>
                      <w:sz w:val="21"/>
                      <w:szCs w:val="21"/>
                    </w:rPr>
                  </w:pPr>
                  <w:r>
                    <w:rPr>
                      <w:rFonts w:eastAsia="仿宋_GB2312"/>
                      <w:kern w:val="0"/>
                      <w:sz w:val="21"/>
                      <w:szCs w:val="21"/>
                    </w:rPr>
                    <w:t>HW06</w:t>
                  </w:r>
                </w:p>
              </w:tc>
              <w:tc>
                <w:tcPr>
                  <w:tcW w:w="786" w:type="pct"/>
                  <w:vAlign w:val="center"/>
                </w:tcPr>
                <w:p w14:paraId="6FC6FD58">
                  <w:pPr>
                    <w:adjustRightInd w:val="0"/>
                    <w:snapToGrid w:val="0"/>
                    <w:jc w:val="center"/>
                    <w:rPr>
                      <w:rFonts w:eastAsia="仿宋_GB2312"/>
                      <w:kern w:val="0"/>
                      <w:sz w:val="21"/>
                      <w:szCs w:val="21"/>
                    </w:rPr>
                  </w:pPr>
                  <w:r>
                    <w:rPr>
                      <w:rFonts w:eastAsia="仿宋_GB2312"/>
                      <w:kern w:val="0"/>
                      <w:sz w:val="21"/>
                      <w:szCs w:val="21"/>
                    </w:rPr>
                    <w:t>900-404-06</w:t>
                  </w:r>
                </w:p>
              </w:tc>
              <w:tc>
                <w:tcPr>
                  <w:tcW w:w="303" w:type="pct"/>
                  <w:vMerge w:val="continue"/>
                  <w:vAlign w:val="center"/>
                </w:tcPr>
                <w:p w14:paraId="52C098CA">
                  <w:pPr>
                    <w:topLinePunct/>
                    <w:adjustRightInd w:val="0"/>
                    <w:snapToGrid w:val="0"/>
                    <w:jc w:val="center"/>
                    <w:rPr>
                      <w:rFonts w:eastAsia="仿宋_GB2312"/>
                      <w:kern w:val="0"/>
                      <w:sz w:val="21"/>
                      <w:szCs w:val="21"/>
                    </w:rPr>
                  </w:pPr>
                </w:p>
              </w:tc>
              <w:tc>
                <w:tcPr>
                  <w:tcW w:w="407" w:type="pct"/>
                  <w:vMerge w:val="continue"/>
                  <w:vAlign w:val="center"/>
                </w:tcPr>
                <w:p w14:paraId="72E13B65">
                  <w:pPr>
                    <w:topLinePunct/>
                    <w:adjustRightInd w:val="0"/>
                    <w:snapToGrid w:val="0"/>
                    <w:jc w:val="center"/>
                    <w:rPr>
                      <w:rFonts w:eastAsia="仿宋_GB2312"/>
                      <w:kern w:val="0"/>
                      <w:sz w:val="21"/>
                      <w:szCs w:val="21"/>
                    </w:rPr>
                  </w:pPr>
                </w:p>
              </w:tc>
              <w:tc>
                <w:tcPr>
                  <w:tcW w:w="369" w:type="pct"/>
                  <w:vAlign w:val="center"/>
                </w:tcPr>
                <w:p w14:paraId="50517CEC">
                  <w:pPr>
                    <w:topLinePunct/>
                    <w:adjustRightInd w:val="0"/>
                    <w:snapToGrid w:val="0"/>
                    <w:jc w:val="center"/>
                    <w:rPr>
                      <w:rFonts w:eastAsia="仿宋_GB2312"/>
                      <w:kern w:val="0"/>
                      <w:sz w:val="21"/>
                      <w:szCs w:val="21"/>
                    </w:rPr>
                  </w:pPr>
                  <w:r>
                    <w:rPr>
                      <w:rFonts w:eastAsia="仿宋_GB2312"/>
                      <w:kern w:val="0"/>
                      <w:sz w:val="21"/>
                      <w:szCs w:val="21"/>
                    </w:rPr>
                    <w:t>桶装</w:t>
                  </w:r>
                </w:p>
              </w:tc>
              <w:tc>
                <w:tcPr>
                  <w:tcW w:w="581" w:type="pct"/>
                  <w:vMerge w:val="continue"/>
                  <w:vAlign w:val="center"/>
                </w:tcPr>
                <w:p w14:paraId="02AB4CD5">
                  <w:pPr>
                    <w:topLinePunct/>
                    <w:adjustRightInd w:val="0"/>
                    <w:snapToGrid w:val="0"/>
                    <w:jc w:val="center"/>
                    <w:rPr>
                      <w:rFonts w:eastAsia="仿宋_GB2312"/>
                      <w:kern w:val="0"/>
                      <w:sz w:val="21"/>
                      <w:szCs w:val="21"/>
                    </w:rPr>
                  </w:pPr>
                </w:p>
              </w:tc>
              <w:tc>
                <w:tcPr>
                  <w:tcW w:w="303" w:type="pct"/>
                  <w:vAlign w:val="center"/>
                </w:tcPr>
                <w:p w14:paraId="4DEE3311">
                  <w:pPr>
                    <w:topLinePunct/>
                    <w:adjustRightInd w:val="0"/>
                    <w:snapToGrid w:val="0"/>
                    <w:jc w:val="center"/>
                    <w:rPr>
                      <w:rFonts w:eastAsia="仿宋_GB2312"/>
                      <w:kern w:val="0"/>
                      <w:sz w:val="21"/>
                      <w:szCs w:val="21"/>
                    </w:rPr>
                  </w:pPr>
                  <w:r>
                    <w:rPr>
                      <w:rFonts w:eastAsia="仿宋_GB2312"/>
                      <w:kern w:val="0"/>
                      <w:sz w:val="21"/>
                      <w:szCs w:val="21"/>
                    </w:rPr>
                    <w:t>1t</w:t>
                  </w:r>
                </w:p>
              </w:tc>
              <w:tc>
                <w:tcPr>
                  <w:tcW w:w="412" w:type="pct"/>
                  <w:vAlign w:val="center"/>
                </w:tcPr>
                <w:p w14:paraId="282483E8">
                  <w:pPr>
                    <w:adjustRightInd w:val="0"/>
                    <w:snapToGrid w:val="0"/>
                    <w:jc w:val="center"/>
                    <w:rPr>
                      <w:rFonts w:eastAsia="仿宋_GB2312"/>
                      <w:kern w:val="0"/>
                      <w:sz w:val="21"/>
                      <w:szCs w:val="21"/>
                    </w:rPr>
                  </w:pPr>
                  <w:r>
                    <w:rPr>
                      <w:rFonts w:eastAsia="仿宋_GB2312"/>
                      <w:kern w:val="0"/>
                      <w:sz w:val="21"/>
                      <w:szCs w:val="21"/>
                    </w:rPr>
                    <w:t>90天</w:t>
                  </w:r>
                </w:p>
              </w:tc>
            </w:tr>
          </w:tbl>
          <w:p w14:paraId="492483A4">
            <w:pPr>
              <w:keepNext w:val="0"/>
              <w:keepLines w:val="0"/>
              <w:pageBreakBefore w:val="0"/>
              <w:kinsoku/>
              <w:wordWrap/>
              <w:overflowPunct/>
              <w:topLinePunct w:val="0"/>
              <w:autoSpaceDE/>
              <w:autoSpaceDN/>
              <w:bidi w:val="0"/>
              <w:adjustRightInd w:val="0"/>
              <w:snapToGrid w:val="0"/>
              <w:spacing w:line="360" w:lineRule="auto"/>
              <w:ind w:left="0" w:leftChars="0" w:firstLine="420" w:firstLineChars="200"/>
              <w:jc w:val="both"/>
              <w:rPr>
                <w:rFonts w:eastAsia="仿宋_GB2312"/>
                <w:color w:val="auto"/>
                <w:kern w:val="0"/>
              </w:rPr>
            </w:pPr>
            <w:r>
              <w:rPr>
                <w:rFonts w:eastAsia="仿宋_GB2312"/>
                <w:color w:val="auto"/>
                <w:kern w:val="0"/>
              </w:rPr>
              <w:t>本项目利用已建危废仓库为90m</w:t>
            </w:r>
            <w:r>
              <w:rPr>
                <w:rFonts w:eastAsia="仿宋_GB2312"/>
                <w:color w:val="auto"/>
                <w:kern w:val="0"/>
                <w:vertAlign w:val="superscript"/>
              </w:rPr>
              <w:t>2</w:t>
            </w:r>
            <w:r>
              <w:rPr>
                <w:rFonts w:eastAsia="仿宋_GB2312"/>
                <w:color w:val="auto"/>
                <w:kern w:val="0"/>
              </w:rPr>
              <w:t>，高约2m，容积为180m</w:t>
            </w:r>
            <w:r>
              <w:rPr>
                <w:rFonts w:eastAsia="仿宋_GB2312"/>
                <w:color w:val="auto"/>
                <w:kern w:val="0"/>
                <w:vertAlign w:val="superscript"/>
              </w:rPr>
              <w:t>3</w:t>
            </w:r>
            <w:r>
              <w:rPr>
                <w:rFonts w:eastAsia="仿宋_GB2312"/>
                <w:color w:val="auto"/>
                <w:kern w:val="0"/>
              </w:rPr>
              <w:t>，现有项目危废产生量约为7.68t/a。本项目危废产生量约为</w:t>
            </w:r>
            <w:r>
              <w:rPr>
                <w:rFonts w:hint="eastAsia" w:eastAsia="仿宋_GB2312"/>
                <w:color w:val="auto"/>
                <w:kern w:val="0"/>
              </w:rPr>
              <w:t>7.0</w:t>
            </w:r>
            <w:r>
              <w:rPr>
                <w:rFonts w:eastAsia="仿宋_GB2312"/>
                <w:color w:val="auto"/>
                <w:kern w:val="0"/>
              </w:rPr>
              <w:t>1t/a，每三个月转运一次，每次暂存量约</w:t>
            </w:r>
            <w:r>
              <w:rPr>
                <w:rFonts w:hint="eastAsia" w:eastAsia="仿宋_GB2312"/>
                <w:color w:val="auto"/>
                <w:kern w:val="0"/>
              </w:rPr>
              <w:t>1.753</w:t>
            </w:r>
            <w:r>
              <w:rPr>
                <w:rFonts w:eastAsia="仿宋_GB2312"/>
                <w:color w:val="auto"/>
                <w:kern w:val="0"/>
              </w:rPr>
              <w:t>t/a，有足够的空间储存本项目危废，本项目固废均不易燃易爆，无需进行预处理，各类危废可安全存放。</w:t>
            </w:r>
          </w:p>
          <w:p w14:paraId="117450FF">
            <w:pPr>
              <w:keepNext w:val="0"/>
              <w:keepLines w:val="0"/>
              <w:pageBreakBefore w:val="0"/>
              <w:kinsoku/>
              <w:wordWrap/>
              <w:overflowPunct/>
              <w:topLinePunct w:val="0"/>
              <w:autoSpaceDE/>
              <w:autoSpaceDN/>
              <w:bidi w:val="0"/>
              <w:adjustRightInd w:val="0"/>
              <w:snapToGrid w:val="0"/>
              <w:spacing w:line="360" w:lineRule="auto"/>
              <w:ind w:left="0" w:leftChars="0" w:firstLine="420" w:firstLineChars="200"/>
              <w:jc w:val="both"/>
              <w:rPr>
                <w:rFonts w:eastAsia="仿宋_GB2312"/>
                <w:kern w:val="0"/>
              </w:rPr>
            </w:pPr>
            <w:r>
              <w:rPr>
                <w:rFonts w:eastAsia="仿宋_GB2312"/>
                <w:kern w:val="0"/>
              </w:rPr>
              <w:t>7）危险废物运输污染防治措施分析</w:t>
            </w:r>
          </w:p>
          <w:p w14:paraId="3260A612">
            <w:pPr>
              <w:keepNext w:val="0"/>
              <w:keepLines w:val="0"/>
              <w:pageBreakBefore w:val="0"/>
              <w:kinsoku/>
              <w:wordWrap/>
              <w:overflowPunct/>
              <w:topLinePunct w:val="0"/>
              <w:autoSpaceDE/>
              <w:autoSpaceDN/>
              <w:bidi w:val="0"/>
              <w:adjustRightInd w:val="0"/>
              <w:snapToGrid w:val="0"/>
              <w:spacing w:line="360" w:lineRule="auto"/>
              <w:ind w:left="0" w:leftChars="0" w:firstLine="420" w:firstLineChars="200"/>
              <w:jc w:val="both"/>
              <w:rPr>
                <w:rFonts w:hint="default" w:ascii="Times New Roman" w:hAnsi="Times New Roman" w:eastAsia="仿宋_GB2312" w:cs="Times New Roman"/>
                <w:kern w:val="0"/>
              </w:rPr>
            </w:pPr>
            <w:r>
              <w:rPr>
                <w:rFonts w:eastAsia="仿宋_GB2312"/>
                <w:kern w:val="0"/>
              </w:rPr>
              <w:t>危险废物运输必须按照《危险废物收集 贮存 运输技术规范》（HJ2025-2012）的要求并</w:t>
            </w:r>
            <w:r>
              <w:rPr>
                <w:rFonts w:hint="default" w:ascii="Times New Roman" w:hAnsi="Times New Roman" w:eastAsia="仿宋_GB2312" w:cs="Times New Roman"/>
                <w:kern w:val="0"/>
              </w:rPr>
              <w:t>做到以下几点：</w:t>
            </w:r>
          </w:p>
          <w:p w14:paraId="6EC74370">
            <w:pPr>
              <w:keepNext w:val="0"/>
              <w:keepLines w:val="0"/>
              <w:pageBreakBefore w:val="0"/>
              <w:kinsoku/>
              <w:wordWrap/>
              <w:overflowPunct/>
              <w:topLinePunct w:val="0"/>
              <w:autoSpaceDE/>
              <w:autoSpaceDN/>
              <w:bidi w:val="0"/>
              <w:adjustRightInd w:val="0"/>
              <w:snapToGrid w:val="0"/>
              <w:spacing w:line="360" w:lineRule="auto"/>
              <w:ind w:left="0" w:leftChars="0" w:firstLine="420" w:firstLineChars="200"/>
              <w:jc w:val="both"/>
              <w:rPr>
                <w:rFonts w:hint="default" w:ascii="Times New Roman" w:hAnsi="Times New Roman" w:eastAsia="仿宋_GB2312" w:cs="Times New Roman"/>
                <w:kern w:val="0"/>
              </w:rPr>
            </w:pPr>
            <w:r>
              <w:rPr>
                <w:rFonts w:hint="default" w:ascii="Times New Roman" w:hAnsi="Times New Roman" w:eastAsia="仿宋_GB2312" w:cs="Times New Roman"/>
                <w:kern w:val="0"/>
              </w:rPr>
              <w:t>①危险废物运输应由持有危险废物经营许可证的单位按照其许可证的经营范围组织实施，承担危险废物运输的单位应获得交通运输部门颁发的危险货物运输资质。</w:t>
            </w:r>
          </w:p>
          <w:p w14:paraId="68AE666D">
            <w:pPr>
              <w:keepNext w:val="0"/>
              <w:keepLines w:val="0"/>
              <w:pageBreakBefore w:val="0"/>
              <w:kinsoku/>
              <w:wordWrap/>
              <w:overflowPunct/>
              <w:topLinePunct w:val="0"/>
              <w:autoSpaceDE/>
              <w:autoSpaceDN/>
              <w:bidi w:val="0"/>
              <w:adjustRightInd w:val="0"/>
              <w:snapToGrid w:val="0"/>
              <w:spacing w:line="360" w:lineRule="auto"/>
              <w:ind w:left="0" w:leftChars="0" w:firstLine="420" w:firstLineChars="200"/>
              <w:jc w:val="both"/>
              <w:rPr>
                <w:rFonts w:hint="default" w:ascii="Times New Roman" w:hAnsi="Times New Roman" w:eastAsia="仿宋_GB2312" w:cs="Times New Roman"/>
                <w:kern w:val="0"/>
              </w:rPr>
            </w:pPr>
            <w:r>
              <w:rPr>
                <w:rFonts w:hint="default" w:ascii="Times New Roman" w:hAnsi="Times New Roman" w:eastAsia="仿宋_GB2312" w:cs="Times New Roman"/>
                <w:kern w:val="0"/>
              </w:rPr>
              <w:t>②危险废物公路运输应按照《道路危险货物运输管理规定》（交通部令[2015年]第9号）、JT 617-2018以及JT 618-2019执行。</w:t>
            </w:r>
          </w:p>
          <w:p w14:paraId="6A7C2E87">
            <w:pPr>
              <w:keepNext w:val="0"/>
              <w:keepLines w:val="0"/>
              <w:pageBreakBefore w:val="0"/>
              <w:kinsoku/>
              <w:wordWrap/>
              <w:overflowPunct/>
              <w:topLinePunct w:val="0"/>
              <w:autoSpaceDE/>
              <w:autoSpaceDN/>
              <w:bidi w:val="0"/>
              <w:adjustRightInd w:val="0"/>
              <w:snapToGrid w:val="0"/>
              <w:spacing w:line="360" w:lineRule="auto"/>
              <w:ind w:left="0" w:leftChars="0" w:firstLine="420" w:firstLineChars="200"/>
              <w:jc w:val="both"/>
              <w:rPr>
                <w:rFonts w:hint="default" w:ascii="Times New Roman" w:hAnsi="Times New Roman" w:eastAsia="仿宋_GB2312" w:cs="Times New Roman"/>
                <w:kern w:val="0"/>
              </w:rPr>
            </w:pPr>
            <w:r>
              <w:rPr>
                <w:rFonts w:hint="default" w:ascii="Times New Roman" w:hAnsi="Times New Roman" w:eastAsia="仿宋_GB2312" w:cs="Times New Roman"/>
                <w:kern w:val="0"/>
              </w:rPr>
              <w:t>③运输单位在承运危险废物时，应在危险废物包装上按照GB 18597-2023附录A设置标志。</w:t>
            </w:r>
          </w:p>
          <w:p w14:paraId="058E3D2C">
            <w:pPr>
              <w:keepNext w:val="0"/>
              <w:keepLines w:val="0"/>
              <w:pageBreakBefore w:val="0"/>
              <w:kinsoku/>
              <w:wordWrap/>
              <w:overflowPunct/>
              <w:topLinePunct w:val="0"/>
              <w:autoSpaceDE/>
              <w:autoSpaceDN/>
              <w:bidi w:val="0"/>
              <w:adjustRightInd w:val="0"/>
              <w:snapToGrid w:val="0"/>
              <w:spacing w:line="360" w:lineRule="auto"/>
              <w:ind w:left="0" w:leftChars="0" w:firstLine="420" w:firstLineChars="200"/>
              <w:jc w:val="both"/>
              <w:rPr>
                <w:rFonts w:hint="default" w:ascii="Times New Roman" w:hAnsi="Times New Roman" w:eastAsia="仿宋_GB2312" w:cs="Times New Roman"/>
                <w:kern w:val="0"/>
              </w:rPr>
            </w:pPr>
            <w:r>
              <w:rPr>
                <w:rFonts w:hint="default" w:ascii="Times New Roman" w:hAnsi="Times New Roman" w:eastAsia="仿宋_GB2312" w:cs="Times New Roman"/>
                <w:kern w:val="0"/>
              </w:rPr>
              <w:t>④危险废物公路运输时，运输车辆按GB 13392-2023设置车辆标志。铁路运输和水路运输危险废物时应在集装箱外按GB 190-2009规定悬挂标志。</w:t>
            </w:r>
          </w:p>
          <w:p w14:paraId="5629A79C">
            <w:pPr>
              <w:keepNext w:val="0"/>
              <w:keepLines w:val="0"/>
              <w:pageBreakBefore w:val="0"/>
              <w:kinsoku/>
              <w:wordWrap/>
              <w:overflowPunct/>
              <w:topLinePunct w:val="0"/>
              <w:autoSpaceDE/>
              <w:autoSpaceDN/>
              <w:bidi w:val="0"/>
              <w:adjustRightInd w:val="0"/>
              <w:snapToGrid w:val="0"/>
              <w:spacing w:line="360" w:lineRule="auto"/>
              <w:ind w:left="0" w:leftChars="0" w:firstLine="420" w:firstLineChars="200"/>
              <w:jc w:val="both"/>
              <w:rPr>
                <w:rFonts w:eastAsia="仿宋_GB2312"/>
                <w:kern w:val="0"/>
              </w:rPr>
            </w:pPr>
            <w:r>
              <w:rPr>
                <w:rFonts w:hint="default" w:ascii="Times New Roman" w:hAnsi="Times New Roman" w:eastAsia="仿宋_GB2312" w:cs="Times New Roman"/>
                <w:kern w:val="0"/>
              </w:rPr>
              <w:t>⑤危险废物运输时的中转、装卸过程应遵守如下技术要求：装卸区的工作人员应熟悉废物的危险特性，并配备适当的个人防护装备，装卸剧毒废物应配备特殊的防护装备；装卸</w:t>
            </w:r>
            <w:r>
              <w:rPr>
                <w:rFonts w:eastAsia="仿宋_GB2312"/>
                <w:kern w:val="0"/>
              </w:rPr>
              <w:t>区应配备必要的消防设备和设施，并设置明显的指示标志；危险废物装卸区应设置隔离设施，液态废物装卸区应设置收集槽和缓冲罐。</w:t>
            </w:r>
          </w:p>
          <w:p w14:paraId="4C4BAEC0">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200"/>
              <w:jc w:val="both"/>
              <w:rPr>
                <w:rFonts w:eastAsia="仿宋_GB2312"/>
                <w:b/>
              </w:rPr>
            </w:pPr>
            <w:r>
              <w:rPr>
                <w:rFonts w:hint="eastAsia" w:eastAsia="仿宋_GB2312"/>
                <w:b/>
                <w:lang w:val="en-US" w:eastAsia="zh-CN"/>
              </w:rPr>
              <w:t>5、</w:t>
            </w:r>
            <w:r>
              <w:rPr>
                <w:rFonts w:eastAsia="仿宋_GB2312"/>
                <w:b/>
              </w:rPr>
              <w:t>地下水及土壤</w:t>
            </w:r>
          </w:p>
          <w:p w14:paraId="47BFA7D1">
            <w:pPr>
              <w:keepNext w:val="0"/>
              <w:keepLines w:val="0"/>
              <w:pageBreakBefore w:val="0"/>
              <w:kinsoku/>
              <w:wordWrap/>
              <w:overflowPunct/>
              <w:topLinePunct w:val="0"/>
              <w:autoSpaceDE/>
              <w:autoSpaceDN/>
              <w:bidi w:val="0"/>
              <w:adjustRightInd w:val="0"/>
              <w:snapToGrid w:val="0"/>
              <w:spacing w:line="360" w:lineRule="auto"/>
              <w:ind w:left="0" w:leftChars="0" w:firstLine="420" w:firstLineChars="200"/>
              <w:jc w:val="both"/>
              <w:rPr>
                <w:rFonts w:eastAsia="仿宋_GB2312"/>
              </w:rPr>
            </w:pPr>
            <w:bookmarkStart w:id="52" w:name="_Toc7746"/>
            <w:r>
              <w:rPr>
                <w:rFonts w:eastAsia="仿宋_GB2312"/>
              </w:rPr>
              <w:t>（1）地下水污染防治措施评述</w:t>
            </w:r>
            <w:bookmarkEnd w:id="52"/>
          </w:p>
          <w:p w14:paraId="4A8E9206">
            <w:pPr>
              <w:pStyle w:val="68"/>
              <w:keepNext w:val="0"/>
              <w:keepLines w:val="0"/>
              <w:pageBreakBefore w:val="0"/>
              <w:tabs>
                <w:tab w:val="left" w:pos="5187"/>
                <w:tab w:val="clear" w:pos="5094"/>
              </w:tabs>
              <w:kinsoku/>
              <w:wordWrap/>
              <w:overflowPunct/>
              <w:topLinePunct w:val="0"/>
              <w:autoSpaceDE/>
              <w:autoSpaceDN/>
              <w:bidi w:val="0"/>
              <w:adjustRightInd w:val="0"/>
              <w:snapToGrid w:val="0"/>
              <w:ind w:left="0" w:leftChars="0" w:firstLine="420" w:firstLineChars="200"/>
              <w:jc w:val="both"/>
              <w:rPr>
                <w:rFonts w:ascii="Times New Roman" w:hAnsi="Times New Roman" w:eastAsia="仿宋_GB2312"/>
                <w:color w:val="auto"/>
                <w:kern w:val="0"/>
              </w:rPr>
            </w:pPr>
            <w:r>
              <w:rPr>
                <w:rFonts w:ascii="Times New Roman" w:hAnsi="Times New Roman" w:eastAsia="仿宋_GB2312"/>
                <w:color w:val="auto"/>
                <w:kern w:val="0"/>
              </w:rPr>
              <w:t>本项目营运期可能对地下水和土壤造成影响的环节主要包括：原料仓库、</w:t>
            </w:r>
            <w:r>
              <w:rPr>
                <w:rFonts w:hint="eastAsia" w:ascii="Times New Roman" w:hAnsi="Times New Roman" w:eastAsia="仿宋_GB2312"/>
                <w:color w:val="auto"/>
                <w:kern w:val="0"/>
                <w:lang w:val="en-US" w:eastAsia="zh-CN"/>
              </w:rPr>
              <w:t>储罐装卸、</w:t>
            </w:r>
            <w:r>
              <w:rPr>
                <w:rFonts w:ascii="Times New Roman" w:hAnsi="Times New Roman" w:eastAsia="仿宋_GB2312"/>
                <w:color w:val="auto"/>
                <w:kern w:val="0"/>
              </w:rPr>
              <w:t>危废仓库及废水收集和治理过程中的跑、冒、滴、漏等下渗对地下水和土壤的影响。</w:t>
            </w:r>
          </w:p>
          <w:p w14:paraId="3799304F">
            <w:pPr>
              <w:pStyle w:val="68"/>
              <w:keepNext w:val="0"/>
              <w:keepLines w:val="0"/>
              <w:pageBreakBefore w:val="0"/>
              <w:tabs>
                <w:tab w:val="left" w:pos="5187"/>
                <w:tab w:val="clear" w:pos="5094"/>
              </w:tabs>
              <w:kinsoku/>
              <w:wordWrap/>
              <w:overflowPunct/>
              <w:topLinePunct w:val="0"/>
              <w:autoSpaceDE/>
              <w:autoSpaceDN/>
              <w:bidi w:val="0"/>
              <w:adjustRightInd w:val="0"/>
              <w:snapToGrid w:val="0"/>
              <w:ind w:left="0" w:leftChars="0" w:firstLine="420" w:firstLineChars="200"/>
              <w:jc w:val="both"/>
              <w:rPr>
                <w:rFonts w:ascii="Times New Roman" w:hAnsi="Times New Roman" w:eastAsia="仿宋_GB2312" w:cs="Times New Roman"/>
                <w:color w:val="auto"/>
                <w:kern w:val="0"/>
              </w:rPr>
            </w:pPr>
            <w:r>
              <w:rPr>
                <w:rFonts w:ascii="Times New Roman" w:hAnsi="Times New Roman" w:eastAsia="仿宋_GB2312" w:cs="Times New Roman"/>
                <w:color w:val="auto"/>
                <w:kern w:val="0"/>
              </w:rPr>
              <w:t>针对可能对地下水和土壤造成影响的各环节，按照“考虑重点，辐射全面”的防腐防渗原则，一般区域采用水泥硬化地面，污水管线采取重点防腐防渗。</w:t>
            </w:r>
          </w:p>
          <w:p w14:paraId="10B59444">
            <w:pPr>
              <w:pStyle w:val="68"/>
              <w:keepNext w:val="0"/>
              <w:keepLines w:val="0"/>
              <w:pageBreakBefore w:val="0"/>
              <w:tabs>
                <w:tab w:val="left" w:pos="5187"/>
                <w:tab w:val="clear" w:pos="5094"/>
              </w:tabs>
              <w:kinsoku/>
              <w:wordWrap/>
              <w:overflowPunct/>
              <w:topLinePunct w:val="0"/>
              <w:autoSpaceDE/>
              <w:autoSpaceDN/>
              <w:bidi w:val="0"/>
              <w:adjustRightInd w:val="0"/>
              <w:snapToGrid w:val="0"/>
              <w:ind w:left="0" w:leftChars="0" w:firstLine="420" w:firstLineChars="200"/>
              <w:jc w:val="both"/>
              <w:rPr>
                <w:rFonts w:hint="eastAsia" w:ascii="Times New Roman" w:hAnsi="Times New Roman" w:eastAsia="仿宋_GB2312" w:cs="Times New Roman"/>
                <w:color w:val="auto"/>
                <w:kern w:val="0"/>
              </w:rPr>
            </w:pPr>
            <w:r>
              <w:rPr>
                <w:rFonts w:hint="eastAsia" w:ascii="Times New Roman" w:hAnsi="Times New Roman" w:eastAsia="仿宋_GB2312" w:cs="Times New Roman"/>
                <w:color w:val="auto"/>
                <w:kern w:val="0"/>
              </w:rPr>
              <w:t>① 源头控制措施</w:t>
            </w:r>
          </w:p>
          <w:p w14:paraId="71D1FCA9">
            <w:pPr>
              <w:pStyle w:val="68"/>
              <w:keepNext w:val="0"/>
              <w:keepLines w:val="0"/>
              <w:pageBreakBefore w:val="0"/>
              <w:tabs>
                <w:tab w:val="left" w:pos="5187"/>
                <w:tab w:val="clear" w:pos="5094"/>
              </w:tabs>
              <w:kinsoku/>
              <w:wordWrap/>
              <w:overflowPunct/>
              <w:topLinePunct w:val="0"/>
              <w:autoSpaceDE/>
              <w:autoSpaceDN/>
              <w:bidi w:val="0"/>
              <w:adjustRightInd w:val="0"/>
              <w:snapToGrid w:val="0"/>
              <w:ind w:left="0" w:leftChars="0" w:firstLine="420" w:firstLineChars="200"/>
              <w:jc w:val="both"/>
              <w:rPr>
                <w:rFonts w:hint="eastAsia" w:ascii="Times New Roman" w:hAnsi="Times New Roman" w:eastAsia="仿宋_GB2312" w:cs="Times New Roman"/>
                <w:color w:val="auto"/>
                <w:kern w:val="0"/>
              </w:rPr>
            </w:pPr>
            <w:r>
              <w:rPr>
                <w:rFonts w:hint="eastAsia" w:ascii="Times New Roman" w:hAnsi="Times New Roman" w:eastAsia="仿宋_GB2312" w:cs="Times New Roman"/>
                <w:color w:val="auto"/>
                <w:kern w:val="0"/>
              </w:rPr>
              <w:t>积极推行实施清洁生产，实现各类废物循环利用，减少污染物的排放量；</w:t>
            </w:r>
          </w:p>
          <w:p w14:paraId="79D8DE77">
            <w:pPr>
              <w:pStyle w:val="68"/>
              <w:keepNext w:val="0"/>
              <w:keepLines w:val="0"/>
              <w:pageBreakBefore w:val="0"/>
              <w:tabs>
                <w:tab w:val="left" w:pos="5187"/>
                <w:tab w:val="clear" w:pos="5094"/>
              </w:tabs>
              <w:kinsoku/>
              <w:wordWrap/>
              <w:overflowPunct/>
              <w:topLinePunct w:val="0"/>
              <w:autoSpaceDE/>
              <w:autoSpaceDN/>
              <w:bidi w:val="0"/>
              <w:adjustRightInd w:val="0"/>
              <w:snapToGrid w:val="0"/>
              <w:ind w:left="0" w:leftChars="0" w:firstLine="420" w:firstLineChars="200"/>
              <w:jc w:val="both"/>
              <w:rPr>
                <w:rFonts w:hint="eastAsia" w:ascii="Times New Roman" w:hAnsi="Times New Roman" w:eastAsia="仿宋_GB2312" w:cs="Times New Roman"/>
                <w:color w:val="auto"/>
                <w:kern w:val="0"/>
              </w:rPr>
            </w:pPr>
            <w:r>
              <w:rPr>
                <w:rFonts w:hint="eastAsia" w:ascii="Times New Roman" w:hAnsi="Times New Roman" w:eastAsia="仿宋_GB2312" w:cs="Times New Roman"/>
                <w:color w:val="auto"/>
                <w:kern w:val="0"/>
              </w:rPr>
              <w:t>加强环境管理，防止和降低污染物的跑、冒、滴、漏，若发现防渗密封材料老化或损坏，应及时维修更换。</w:t>
            </w:r>
          </w:p>
          <w:p w14:paraId="0503D8EC">
            <w:pPr>
              <w:pStyle w:val="68"/>
              <w:keepNext w:val="0"/>
              <w:keepLines w:val="0"/>
              <w:pageBreakBefore w:val="0"/>
              <w:tabs>
                <w:tab w:val="left" w:pos="5187"/>
                <w:tab w:val="clear" w:pos="5094"/>
              </w:tabs>
              <w:kinsoku/>
              <w:wordWrap/>
              <w:overflowPunct/>
              <w:topLinePunct w:val="0"/>
              <w:autoSpaceDE/>
              <w:autoSpaceDN/>
              <w:bidi w:val="0"/>
              <w:adjustRightInd w:val="0"/>
              <w:snapToGrid w:val="0"/>
              <w:ind w:left="0" w:leftChars="0" w:firstLine="420" w:firstLineChars="200"/>
              <w:jc w:val="both"/>
              <w:rPr>
                <w:rFonts w:hint="eastAsia" w:ascii="Times New Roman" w:hAnsi="Times New Roman" w:eastAsia="仿宋_GB2312" w:cs="Times New Roman"/>
                <w:color w:val="auto"/>
                <w:kern w:val="0"/>
              </w:rPr>
            </w:pPr>
            <w:r>
              <w:rPr>
                <w:rFonts w:hint="eastAsia" w:ascii="Times New Roman" w:hAnsi="Times New Roman" w:eastAsia="仿宋_GB2312" w:cs="Times New Roman"/>
                <w:color w:val="auto"/>
                <w:kern w:val="0"/>
              </w:rPr>
              <w:t>②在装卸物料时，要严格按章操作，尽量避免事故的发生；储罐周围设围堰、收集池及导排系统，满足《储罐区防火堤设计规范》（GB50351-2014）要求，一旦储罐发生泄漏时，先汇入围堰和收集池内贮存，然后泵入备用</w:t>
            </w:r>
            <w:r>
              <w:rPr>
                <w:rFonts w:hint="eastAsia" w:ascii="Times New Roman" w:hAnsi="Times New Roman" w:eastAsia="仿宋_GB2312" w:cs="Times New Roman"/>
                <w:color w:val="auto"/>
                <w:kern w:val="0"/>
                <w:lang w:val="en-US" w:eastAsia="zh-CN"/>
              </w:rPr>
              <w:t>事故应急池</w:t>
            </w:r>
            <w:r>
              <w:rPr>
                <w:rFonts w:hint="eastAsia" w:ascii="Times New Roman" w:hAnsi="Times New Roman" w:eastAsia="仿宋_GB2312" w:cs="Times New Roman"/>
                <w:color w:val="auto"/>
                <w:kern w:val="0"/>
              </w:rPr>
              <w:t>。围堰、收集池及导排系统均采取防腐、防渗处理。</w:t>
            </w:r>
          </w:p>
          <w:p w14:paraId="3479E685">
            <w:pPr>
              <w:pStyle w:val="68"/>
              <w:keepNext w:val="0"/>
              <w:keepLines w:val="0"/>
              <w:pageBreakBefore w:val="0"/>
              <w:tabs>
                <w:tab w:val="left" w:pos="5187"/>
                <w:tab w:val="clear" w:pos="5094"/>
              </w:tabs>
              <w:kinsoku/>
              <w:wordWrap/>
              <w:overflowPunct/>
              <w:topLinePunct w:val="0"/>
              <w:autoSpaceDE/>
              <w:autoSpaceDN/>
              <w:bidi w:val="0"/>
              <w:adjustRightInd w:val="0"/>
              <w:snapToGrid w:val="0"/>
              <w:ind w:left="0" w:leftChars="0" w:firstLine="420" w:firstLineChars="200"/>
              <w:jc w:val="both"/>
              <w:rPr>
                <w:rFonts w:hint="eastAsia" w:ascii="Times New Roman" w:hAnsi="Times New Roman" w:eastAsia="仿宋_GB2312" w:cs="Times New Roman"/>
                <w:color w:val="auto"/>
                <w:kern w:val="0"/>
                <w:lang w:val="en-US" w:eastAsia="zh-CN"/>
              </w:rPr>
            </w:pPr>
            <w:r>
              <w:rPr>
                <w:rFonts w:hint="eastAsia" w:ascii="Times New Roman" w:hAnsi="Times New Roman" w:eastAsia="仿宋_GB2312" w:cs="Times New Roman"/>
                <w:color w:val="auto"/>
                <w:kern w:val="0"/>
              </w:rPr>
              <w:t>围堰设计上应比堰区地面的高出150～200mm，并设有排水设施，排水设施内应设有阀门控制体系，以便于在发生泄漏事故时通过阀门调控将有害废液引向事故水收集池，围堰内地面应坡向排水设施，坡度不宜小于3‰，围堰内应有硬化地面并同样设置防渗材料。</w:t>
            </w:r>
          </w:p>
          <w:p w14:paraId="1FCC785D">
            <w:pPr>
              <w:pStyle w:val="68"/>
              <w:keepNext w:val="0"/>
              <w:keepLines w:val="0"/>
              <w:pageBreakBefore w:val="0"/>
              <w:tabs>
                <w:tab w:val="left" w:pos="5187"/>
                <w:tab w:val="clear" w:pos="5094"/>
              </w:tabs>
              <w:kinsoku/>
              <w:wordWrap/>
              <w:overflowPunct/>
              <w:topLinePunct w:val="0"/>
              <w:autoSpaceDE/>
              <w:autoSpaceDN/>
              <w:bidi w:val="0"/>
              <w:adjustRightInd w:val="0"/>
              <w:snapToGrid w:val="0"/>
              <w:ind w:left="0" w:leftChars="0" w:firstLine="420" w:firstLineChars="200"/>
              <w:jc w:val="both"/>
              <w:rPr>
                <w:rFonts w:hint="eastAsia" w:ascii="Times New Roman" w:hAnsi="Times New Roman" w:eastAsia="仿宋_GB2312" w:cs="Times New Roman"/>
                <w:color w:val="auto"/>
                <w:kern w:val="0"/>
              </w:rPr>
            </w:pPr>
            <w:r>
              <w:rPr>
                <w:rFonts w:hint="eastAsia" w:ascii="Times New Roman" w:hAnsi="Times New Roman" w:eastAsia="仿宋_GB2312" w:cs="Times New Roman"/>
                <w:color w:val="auto"/>
                <w:kern w:val="0"/>
                <w:lang w:val="en-US" w:eastAsia="zh-CN"/>
              </w:rPr>
              <w:t>③</w:t>
            </w:r>
            <w:r>
              <w:rPr>
                <w:rFonts w:hint="eastAsia" w:ascii="Times New Roman" w:hAnsi="Times New Roman" w:eastAsia="仿宋_GB2312" w:cs="Times New Roman"/>
                <w:color w:val="auto"/>
                <w:kern w:val="0"/>
              </w:rPr>
              <w:t xml:space="preserve"> 分区防治措施</w:t>
            </w:r>
          </w:p>
          <w:p w14:paraId="450395B9">
            <w:pPr>
              <w:pStyle w:val="68"/>
              <w:keepNext w:val="0"/>
              <w:keepLines w:val="0"/>
              <w:pageBreakBefore w:val="0"/>
              <w:tabs>
                <w:tab w:val="left" w:pos="5187"/>
                <w:tab w:val="clear" w:pos="5094"/>
              </w:tabs>
              <w:kinsoku/>
              <w:wordWrap/>
              <w:overflowPunct/>
              <w:topLinePunct w:val="0"/>
              <w:autoSpaceDE/>
              <w:autoSpaceDN/>
              <w:bidi w:val="0"/>
              <w:adjustRightInd w:val="0"/>
              <w:snapToGrid w:val="0"/>
              <w:ind w:left="0" w:leftChars="0" w:firstLine="420" w:firstLineChars="200"/>
              <w:jc w:val="both"/>
              <w:rPr>
                <w:rFonts w:hint="eastAsia" w:ascii="Times New Roman" w:hAnsi="Times New Roman" w:eastAsia="仿宋_GB2312" w:cs="Times New Roman"/>
                <w:color w:val="auto"/>
                <w:kern w:val="0"/>
              </w:rPr>
            </w:pPr>
            <w:r>
              <w:rPr>
                <w:rFonts w:hint="eastAsia" w:ascii="Times New Roman" w:hAnsi="Times New Roman" w:eastAsia="仿宋_GB2312" w:cs="Times New Roman"/>
                <w:color w:val="auto"/>
                <w:kern w:val="0"/>
              </w:rPr>
              <w:t>根据本项目各生产环节及构筑物污染防控难易程度，环评要求本项目设置重点防渗</w:t>
            </w:r>
            <w:r>
              <w:rPr>
                <w:rFonts w:hint="eastAsia" w:ascii="Times New Roman" w:hAnsi="Times New Roman" w:eastAsia="仿宋_GB2312" w:cs="Times New Roman"/>
                <w:color w:val="auto"/>
                <w:kern w:val="0"/>
                <w:lang w:eastAsia="zh-CN"/>
              </w:rPr>
              <w:t>区、</w:t>
            </w:r>
            <w:r>
              <w:rPr>
                <w:rFonts w:hint="eastAsia" w:ascii="Times New Roman" w:hAnsi="Times New Roman" w:eastAsia="仿宋_GB2312" w:cs="Times New Roman"/>
                <w:color w:val="auto"/>
                <w:kern w:val="0"/>
              </w:rPr>
              <w:t>一般防渗区和简单防渗区。</w:t>
            </w:r>
          </w:p>
          <w:p w14:paraId="72B819C4">
            <w:pPr>
              <w:pStyle w:val="68"/>
              <w:keepNext w:val="0"/>
              <w:keepLines w:val="0"/>
              <w:pageBreakBefore w:val="0"/>
              <w:tabs>
                <w:tab w:val="left" w:pos="5187"/>
                <w:tab w:val="clear" w:pos="5094"/>
              </w:tabs>
              <w:kinsoku/>
              <w:wordWrap/>
              <w:overflowPunct/>
              <w:topLinePunct w:val="0"/>
              <w:autoSpaceDE/>
              <w:autoSpaceDN/>
              <w:bidi w:val="0"/>
              <w:adjustRightInd w:val="0"/>
              <w:snapToGrid w:val="0"/>
              <w:ind w:left="0" w:leftChars="0" w:firstLine="420" w:firstLineChars="200"/>
              <w:jc w:val="both"/>
              <w:rPr>
                <w:rFonts w:hint="eastAsia" w:ascii="Times New Roman" w:hAnsi="Times New Roman" w:eastAsia="仿宋_GB2312" w:cs="Times New Roman"/>
                <w:color w:val="auto"/>
                <w:kern w:val="0"/>
              </w:rPr>
            </w:pPr>
            <w:r>
              <w:rPr>
                <w:rFonts w:hint="eastAsia" w:ascii="Times New Roman" w:hAnsi="Times New Roman" w:eastAsia="仿宋_GB2312" w:cs="Times New Roman"/>
                <w:color w:val="auto"/>
                <w:kern w:val="0"/>
              </w:rPr>
              <w:t>重点防渗区：危险废物暂存间、</w:t>
            </w:r>
            <w:r>
              <w:rPr>
                <w:rFonts w:hint="eastAsia" w:ascii="Times New Roman" w:hAnsi="Times New Roman" w:eastAsia="仿宋_GB2312" w:cs="Times New Roman"/>
                <w:color w:val="auto"/>
                <w:kern w:val="0"/>
                <w:lang w:val="en-US" w:eastAsia="zh-CN"/>
              </w:rPr>
              <w:t>原料储罐、污水管网</w:t>
            </w:r>
            <w:r>
              <w:rPr>
                <w:rFonts w:hint="eastAsia" w:ascii="Times New Roman" w:hAnsi="Times New Roman" w:eastAsia="仿宋_GB2312" w:cs="Times New Roman"/>
                <w:color w:val="auto"/>
                <w:kern w:val="0"/>
              </w:rPr>
              <w:t>、</w:t>
            </w:r>
            <w:r>
              <w:rPr>
                <w:rFonts w:hint="eastAsia" w:ascii="Times New Roman" w:hAnsi="Times New Roman" w:eastAsia="仿宋_GB2312" w:cs="Times New Roman"/>
                <w:color w:val="auto"/>
                <w:kern w:val="0"/>
                <w:lang w:val="en-US" w:eastAsia="zh-CN"/>
              </w:rPr>
              <w:t>中和水池</w:t>
            </w:r>
            <w:r>
              <w:rPr>
                <w:rFonts w:hint="eastAsia" w:ascii="Times New Roman" w:hAnsi="Times New Roman" w:eastAsia="仿宋_GB2312" w:cs="Times New Roman"/>
                <w:color w:val="auto"/>
                <w:kern w:val="0"/>
              </w:rPr>
              <w:t>。</w:t>
            </w:r>
          </w:p>
          <w:p w14:paraId="0799CD6C">
            <w:pPr>
              <w:pStyle w:val="68"/>
              <w:keepNext w:val="0"/>
              <w:keepLines w:val="0"/>
              <w:pageBreakBefore w:val="0"/>
              <w:tabs>
                <w:tab w:val="left" w:pos="5187"/>
                <w:tab w:val="clear" w:pos="5094"/>
              </w:tabs>
              <w:kinsoku/>
              <w:wordWrap/>
              <w:overflowPunct/>
              <w:topLinePunct w:val="0"/>
              <w:autoSpaceDE/>
              <w:autoSpaceDN/>
              <w:bidi w:val="0"/>
              <w:adjustRightInd w:val="0"/>
              <w:snapToGrid w:val="0"/>
              <w:ind w:left="0" w:leftChars="0" w:firstLine="420" w:firstLineChars="200"/>
              <w:jc w:val="both"/>
              <w:rPr>
                <w:rFonts w:hint="eastAsia" w:ascii="Times New Roman" w:hAnsi="Times New Roman" w:eastAsia="仿宋_GB2312" w:cs="Times New Roman"/>
                <w:color w:val="auto"/>
                <w:kern w:val="0"/>
              </w:rPr>
            </w:pPr>
            <w:r>
              <w:rPr>
                <w:rFonts w:hint="eastAsia" w:ascii="Times New Roman" w:hAnsi="Times New Roman" w:eastAsia="仿宋_GB2312" w:cs="Times New Roman"/>
                <w:color w:val="auto"/>
                <w:kern w:val="0"/>
              </w:rPr>
              <w:t>一般防渗区：生产线、生产车间、</w:t>
            </w:r>
            <w:r>
              <w:rPr>
                <w:rFonts w:hint="eastAsia" w:ascii="Times New Roman" w:hAnsi="Times New Roman" w:eastAsia="仿宋_GB2312" w:cs="Times New Roman"/>
                <w:color w:val="auto"/>
                <w:kern w:val="0"/>
                <w:lang w:val="en-US" w:eastAsia="zh-CN"/>
              </w:rPr>
              <w:t>泛水池</w:t>
            </w:r>
            <w:r>
              <w:rPr>
                <w:rFonts w:hint="eastAsia" w:ascii="Times New Roman" w:hAnsi="Times New Roman" w:eastAsia="仿宋_GB2312" w:cs="Times New Roman"/>
                <w:color w:val="auto"/>
                <w:kern w:val="0"/>
              </w:rPr>
              <w:t>、</w:t>
            </w:r>
            <w:r>
              <w:rPr>
                <w:rFonts w:hint="eastAsia" w:ascii="Times New Roman" w:hAnsi="Times New Roman" w:eastAsia="仿宋_GB2312" w:cs="Times New Roman"/>
                <w:color w:val="auto"/>
                <w:kern w:val="0"/>
                <w:lang w:val="en-US" w:eastAsia="zh-CN"/>
              </w:rPr>
              <w:t>初期雨水池、</w:t>
            </w:r>
            <w:r>
              <w:rPr>
                <w:rFonts w:hint="eastAsia" w:ascii="Times New Roman" w:hAnsi="Times New Roman" w:eastAsia="仿宋_GB2312" w:cs="Times New Roman"/>
                <w:color w:val="auto"/>
                <w:kern w:val="0"/>
              </w:rPr>
              <w:t>一般固废暂存库。</w:t>
            </w:r>
          </w:p>
          <w:p w14:paraId="523210AA">
            <w:pPr>
              <w:pStyle w:val="68"/>
              <w:keepNext w:val="0"/>
              <w:keepLines w:val="0"/>
              <w:pageBreakBefore w:val="0"/>
              <w:tabs>
                <w:tab w:val="left" w:pos="5187"/>
                <w:tab w:val="clear" w:pos="5094"/>
              </w:tabs>
              <w:kinsoku/>
              <w:wordWrap/>
              <w:overflowPunct/>
              <w:topLinePunct w:val="0"/>
              <w:autoSpaceDE/>
              <w:autoSpaceDN/>
              <w:bidi w:val="0"/>
              <w:adjustRightInd w:val="0"/>
              <w:snapToGrid w:val="0"/>
              <w:ind w:left="0" w:leftChars="0" w:firstLine="420" w:firstLineChars="200"/>
              <w:jc w:val="both"/>
              <w:rPr>
                <w:rFonts w:hint="eastAsia" w:ascii="Times New Roman" w:hAnsi="Times New Roman" w:eastAsia="仿宋_GB2312" w:cs="Times New Roman"/>
                <w:color w:val="auto"/>
                <w:kern w:val="0"/>
              </w:rPr>
            </w:pPr>
            <w:r>
              <w:rPr>
                <w:rFonts w:hint="eastAsia" w:ascii="Times New Roman" w:hAnsi="Times New Roman" w:eastAsia="仿宋_GB2312" w:cs="Times New Roman"/>
                <w:color w:val="auto"/>
                <w:kern w:val="0"/>
              </w:rPr>
              <w:t>简单防渗区：除上述区域外的其他区域。项目防渗等级及采取的防渗措施汇总如下：</w:t>
            </w:r>
          </w:p>
          <w:p w14:paraId="291D7DE6">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eastAsia="仿宋_GB2312"/>
                <w:b/>
                <w:kern w:val="0"/>
              </w:rPr>
            </w:pPr>
            <w:r>
              <w:rPr>
                <w:rFonts w:eastAsia="仿宋_GB2312"/>
                <w:b/>
                <w:kern w:val="0"/>
              </w:rPr>
              <w:t>表4-3</w:t>
            </w:r>
            <w:r>
              <w:rPr>
                <w:rFonts w:hint="eastAsia" w:eastAsia="仿宋_GB2312"/>
                <w:b/>
                <w:kern w:val="0"/>
                <w:lang w:val="en-US" w:eastAsia="zh-CN"/>
              </w:rPr>
              <w:t xml:space="preserve">5  </w:t>
            </w:r>
            <w:r>
              <w:rPr>
                <w:rFonts w:eastAsia="仿宋_GB2312"/>
                <w:b/>
                <w:kern w:val="0"/>
              </w:rPr>
              <w:t>各污染区防渗措施</w:t>
            </w:r>
          </w:p>
          <w:tbl>
            <w:tblPr>
              <w:tblStyle w:val="3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15"/>
              <w:gridCol w:w="1078"/>
              <w:gridCol w:w="6800"/>
            </w:tblGrid>
            <w:tr w14:paraId="755628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62" w:type="pct"/>
                  <w:vAlign w:val="center"/>
                </w:tcPr>
                <w:p w14:paraId="0F448B3C">
                  <w:pPr>
                    <w:tabs>
                      <w:tab w:val="left" w:pos="5670"/>
                    </w:tabs>
                    <w:adjustRightInd w:val="0"/>
                    <w:snapToGrid w:val="0"/>
                    <w:jc w:val="center"/>
                    <w:rPr>
                      <w:rFonts w:eastAsia="仿宋_GB2312"/>
                      <w:b/>
                      <w:kern w:val="0"/>
                      <w:sz w:val="21"/>
                      <w:szCs w:val="21"/>
                    </w:rPr>
                  </w:pPr>
                  <w:r>
                    <w:rPr>
                      <w:rFonts w:eastAsia="仿宋_GB2312"/>
                      <w:b/>
                      <w:kern w:val="0"/>
                      <w:sz w:val="21"/>
                      <w:szCs w:val="21"/>
                    </w:rPr>
                    <w:t>序号</w:t>
                  </w:r>
                </w:p>
              </w:tc>
              <w:tc>
                <w:tcPr>
                  <w:tcW w:w="634" w:type="pct"/>
                  <w:vAlign w:val="center"/>
                </w:tcPr>
                <w:p w14:paraId="58FDF5CD">
                  <w:pPr>
                    <w:tabs>
                      <w:tab w:val="left" w:pos="5670"/>
                    </w:tabs>
                    <w:adjustRightInd w:val="0"/>
                    <w:snapToGrid w:val="0"/>
                    <w:jc w:val="center"/>
                    <w:rPr>
                      <w:rFonts w:eastAsia="仿宋_GB2312"/>
                      <w:b/>
                      <w:kern w:val="0"/>
                      <w:sz w:val="21"/>
                      <w:szCs w:val="21"/>
                    </w:rPr>
                  </w:pPr>
                  <w:r>
                    <w:rPr>
                      <w:rFonts w:eastAsia="仿宋_GB2312"/>
                      <w:b/>
                      <w:kern w:val="0"/>
                      <w:sz w:val="21"/>
                      <w:szCs w:val="21"/>
                    </w:rPr>
                    <w:t>主要环节</w:t>
                  </w:r>
                </w:p>
              </w:tc>
              <w:tc>
                <w:tcPr>
                  <w:tcW w:w="4002" w:type="pct"/>
                  <w:vAlign w:val="center"/>
                </w:tcPr>
                <w:p w14:paraId="34328355">
                  <w:pPr>
                    <w:tabs>
                      <w:tab w:val="left" w:pos="5670"/>
                    </w:tabs>
                    <w:adjustRightInd w:val="0"/>
                    <w:snapToGrid w:val="0"/>
                    <w:jc w:val="center"/>
                    <w:rPr>
                      <w:rFonts w:eastAsia="仿宋_GB2312"/>
                      <w:b/>
                      <w:kern w:val="0"/>
                      <w:sz w:val="21"/>
                      <w:szCs w:val="21"/>
                    </w:rPr>
                  </w:pPr>
                  <w:r>
                    <w:rPr>
                      <w:rFonts w:eastAsia="仿宋_GB2312"/>
                      <w:b/>
                      <w:kern w:val="0"/>
                      <w:sz w:val="21"/>
                      <w:szCs w:val="21"/>
                    </w:rPr>
                    <w:t>防渗处理措施</w:t>
                  </w:r>
                </w:p>
              </w:tc>
            </w:tr>
            <w:tr w14:paraId="4ACA16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62" w:type="pct"/>
                  <w:vAlign w:val="center"/>
                </w:tcPr>
                <w:p w14:paraId="47AC0DDF">
                  <w:pPr>
                    <w:tabs>
                      <w:tab w:val="left" w:pos="5670"/>
                    </w:tabs>
                    <w:adjustRightInd w:val="0"/>
                    <w:snapToGrid w:val="0"/>
                    <w:jc w:val="center"/>
                    <w:rPr>
                      <w:rFonts w:eastAsia="仿宋_GB2312"/>
                      <w:kern w:val="0"/>
                      <w:sz w:val="21"/>
                      <w:szCs w:val="21"/>
                    </w:rPr>
                  </w:pPr>
                  <w:r>
                    <w:rPr>
                      <w:rFonts w:eastAsia="仿宋_GB2312"/>
                      <w:kern w:val="0"/>
                      <w:sz w:val="21"/>
                      <w:szCs w:val="21"/>
                    </w:rPr>
                    <w:t>1</w:t>
                  </w:r>
                </w:p>
              </w:tc>
              <w:tc>
                <w:tcPr>
                  <w:tcW w:w="634" w:type="pct"/>
                  <w:vAlign w:val="center"/>
                </w:tcPr>
                <w:p w14:paraId="0548941A">
                  <w:pPr>
                    <w:tabs>
                      <w:tab w:val="left" w:pos="5670"/>
                    </w:tabs>
                    <w:adjustRightInd w:val="0"/>
                    <w:snapToGrid w:val="0"/>
                    <w:jc w:val="center"/>
                    <w:rPr>
                      <w:rFonts w:eastAsia="仿宋_GB2312"/>
                      <w:kern w:val="0"/>
                      <w:sz w:val="21"/>
                      <w:szCs w:val="21"/>
                    </w:rPr>
                  </w:pPr>
                  <w:r>
                    <w:rPr>
                      <w:rFonts w:eastAsia="仿宋_GB2312"/>
                      <w:kern w:val="0"/>
                      <w:sz w:val="21"/>
                      <w:szCs w:val="21"/>
                    </w:rPr>
                    <w:t>原料仓库</w:t>
                  </w:r>
                </w:p>
              </w:tc>
              <w:tc>
                <w:tcPr>
                  <w:tcW w:w="4002" w:type="pct"/>
                  <w:vAlign w:val="center"/>
                </w:tcPr>
                <w:p w14:paraId="30BFF9B9">
                  <w:pPr>
                    <w:tabs>
                      <w:tab w:val="left" w:pos="5670"/>
                    </w:tabs>
                    <w:adjustRightInd w:val="0"/>
                    <w:snapToGrid w:val="0"/>
                    <w:jc w:val="center"/>
                    <w:rPr>
                      <w:rFonts w:eastAsia="仿宋_GB2312"/>
                      <w:kern w:val="0"/>
                      <w:sz w:val="21"/>
                      <w:szCs w:val="21"/>
                    </w:rPr>
                  </w:pPr>
                  <w:r>
                    <w:rPr>
                      <w:rFonts w:eastAsia="仿宋_GB2312"/>
                      <w:kern w:val="0"/>
                      <w:sz w:val="21"/>
                      <w:szCs w:val="21"/>
                    </w:rPr>
                    <w:t>依据国家危险贮存标准要求设计、施工，采用200mm厚C15砼垫层随打随抹光，并设置钢筋混凝土围堰，并采用底部加设土工膜进行防渗，是渗透系数1.0×10</w:t>
                  </w:r>
                  <w:r>
                    <w:rPr>
                      <w:rFonts w:eastAsia="仿宋_GB2312"/>
                      <w:kern w:val="0"/>
                      <w:sz w:val="21"/>
                      <w:szCs w:val="21"/>
                      <w:vertAlign w:val="superscript"/>
                    </w:rPr>
                    <w:t>-10</w:t>
                  </w:r>
                  <w:r>
                    <w:rPr>
                      <w:rFonts w:eastAsia="仿宋_GB2312"/>
                      <w:kern w:val="0"/>
                      <w:sz w:val="21"/>
                      <w:szCs w:val="21"/>
                    </w:rPr>
                    <w:t>cm/s，且防雨防晒</w:t>
                  </w:r>
                </w:p>
              </w:tc>
            </w:tr>
            <w:tr w14:paraId="52C1D6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62" w:type="pct"/>
                  <w:vAlign w:val="center"/>
                </w:tcPr>
                <w:p w14:paraId="29BA7768">
                  <w:pPr>
                    <w:tabs>
                      <w:tab w:val="left" w:pos="5670"/>
                    </w:tabs>
                    <w:adjustRightInd w:val="0"/>
                    <w:snapToGrid w:val="0"/>
                    <w:jc w:val="center"/>
                    <w:rPr>
                      <w:rFonts w:eastAsia="仿宋_GB2312"/>
                      <w:kern w:val="0"/>
                      <w:sz w:val="21"/>
                      <w:szCs w:val="21"/>
                    </w:rPr>
                  </w:pPr>
                  <w:r>
                    <w:rPr>
                      <w:rFonts w:eastAsia="仿宋_GB2312"/>
                      <w:kern w:val="0"/>
                      <w:sz w:val="21"/>
                      <w:szCs w:val="21"/>
                    </w:rPr>
                    <w:t>2</w:t>
                  </w:r>
                </w:p>
              </w:tc>
              <w:tc>
                <w:tcPr>
                  <w:tcW w:w="634" w:type="pct"/>
                  <w:vAlign w:val="center"/>
                </w:tcPr>
                <w:p w14:paraId="6E461601">
                  <w:pPr>
                    <w:tabs>
                      <w:tab w:val="left" w:pos="5670"/>
                    </w:tabs>
                    <w:adjustRightInd w:val="0"/>
                    <w:snapToGrid w:val="0"/>
                    <w:jc w:val="center"/>
                    <w:rPr>
                      <w:rFonts w:eastAsia="仿宋_GB2312"/>
                      <w:kern w:val="0"/>
                      <w:sz w:val="21"/>
                      <w:szCs w:val="21"/>
                    </w:rPr>
                  </w:pPr>
                  <w:r>
                    <w:rPr>
                      <w:rFonts w:eastAsia="仿宋_GB2312"/>
                      <w:kern w:val="0"/>
                      <w:sz w:val="21"/>
                      <w:szCs w:val="21"/>
                    </w:rPr>
                    <w:t>生产区</w:t>
                  </w:r>
                </w:p>
              </w:tc>
              <w:tc>
                <w:tcPr>
                  <w:tcW w:w="4002" w:type="pct"/>
                  <w:vAlign w:val="center"/>
                </w:tcPr>
                <w:p w14:paraId="13687D72">
                  <w:pPr>
                    <w:tabs>
                      <w:tab w:val="left" w:pos="5670"/>
                    </w:tabs>
                    <w:adjustRightInd w:val="0"/>
                    <w:snapToGrid w:val="0"/>
                    <w:jc w:val="center"/>
                    <w:rPr>
                      <w:rFonts w:eastAsia="仿宋_GB2312"/>
                      <w:kern w:val="0"/>
                      <w:sz w:val="21"/>
                      <w:szCs w:val="21"/>
                    </w:rPr>
                  </w:pPr>
                  <w:r>
                    <w:rPr>
                      <w:rFonts w:eastAsia="仿宋_GB2312"/>
                      <w:kern w:val="0"/>
                      <w:sz w:val="21"/>
                      <w:szCs w:val="21"/>
                    </w:rPr>
                    <w:t>水泥基渗透结晶型抗渗混凝土(厚度不宜小于150mm)+水泥基渗透结晶型防渗涂层(厚度不宜小于0.8mm)结构形式，防渗结构层渗透系数不应大于1.0×10</w:t>
                  </w:r>
                  <w:r>
                    <w:rPr>
                      <w:rFonts w:eastAsia="仿宋_GB2312"/>
                      <w:kern w:val="0"/>
                      <w:sz w:val="21"/>
                      <w:szCs w:val="21"/>
                      <w:vertAlign w:val="superscript"/>
                    </w:rPr>
                    <w:t>-16</w:t>
                  </w:r>
                  <w:r>
                    <w:rPr>
                      <w:rFonts w:eastAsia="仿宋_GB2312"/>
                      <w:kern w:val="0"/>
                      <w:sz w:val="21"/>
                      <w:szCs w:val="21"/>
                    </w:rPr>
                    <w:t>cm/s</w:t>
                  </w:r>
                </w:p>
              </w:tc>
            </w:tr>
            <w:tr w14:paraId="4999CE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62" w:type="pct"/>
                  <w:vAlign w:val="center"/>
                </w:tcPr>
                <w:p w14:paraId="20D59F62">
                  <w:pPr>
                    <w:tabs>
                      <w:tab w:val="left" w:pos="5670"/>
                    </w:tabs>
                    <w:adjustRightInd w:val="0"/>
                    <w:snapToGrid w:val="0"/>
                    <w:jc w:val="center"/>
                    <w:rPr>
                      <w:rFonts w:eastAsia="仿宋_GB2312"/>
                      <w:kern w:val="0"/>
                      <w:sz w:val="21"/>
                      <w:szCs w:val="21"/>
                    </w:rPr>
                  </w:pPr>
                  <w:r>
                    <w:rPr>
                      <w:rFonts w:eastAsia="仿宋_GB2312"/>
                      <w:kern w:val="0"/>
                      <w:sz w:val="21"/>
                      <w:szCs w:val="21"/>
                    </w:rPr>
                    <w:t>3</w:t>
                  </w:r>
                </w:p>
              </w:tc>
              <w:tc>
                <w:tcPr>
                  <w:tcW w:w="634" w:type="pct"/>
                  <w:vAlign w:val="center"/>
                </w:tcPr>
                <w:p w14:paraId="63F44076">
                  <w:pPr>
                    <w:tabs>
                      <w:tab w:val="left" w:pos="5670"/>
                    </w:tabs>
                    <w:adjustRightInd w:val="0"/>
                    <w:snapToGrid w:val="0"/>
                    <w:jc w:val="center"/>
                    <w:rPr>
                      <w:rFonts w:eastAsia="仿宋_GB2312"/>
                      <w:kern w:val="0"/>
                      <w:sz w:val="21"/>
                      <w:szCs w:val="21"/>
                    </w:rPr>
                  </w:pPr>
                  <w:r>
                    <w:rPr>
                      <w:rFonts w:eastAsia="仿宋_GB2312"/>
                      <w:kern w:val="0"/>
                      <w:sz w:val="21"/>
                      <w:szCs w:val="21"/>
                    </w:rPr>
                    <w:t>固废堆场</w:t>
                  </w:r>
                </w:p>
              </w:tc>
              <w:tc>
                <w:tcPr>
                  <w:tcW w:w="4002" w:type="pct"/>
                  <w:vAlign w:val="center"/>
                </w:tcPr>
                <w:p w14:paraId="52CC7740">
                  <w:pPr>
                    <w:tabs>
                      <w:tab w:val="left" w:pos="5670"/>
                    </w:tabs>
                    <w:adjustRightInd w:val="0"/>
                    <w:snapToGrid w:val="0"/>
                    <w:jc w:val="center"/>
                    <w:rPr>
                      <w:rFonts w:eastAsia="仿宋_GB2312"/>
                      <w:kern w:val="0"/>
                      <w:sz w:val="21"/>
                      <w:szCs w:val="21"/>
                    </w:rPr>
                  </w:pPr>
                  <w:r>
                    <w:rPr>
                      <w:rFonts w:eastAsia="仿宋_GB2312"/>
                      <w:kern w:val="0"/>
                      <w:sz w:val="21"/>
                      <w:szCs w:val="21"/>
                    </w:rPr>
                    <w:t>固废分类收集、包装；地面采用HDPE土工膜防渗处理；固废及时处理，避免厂区内长期存放</w:t>
                  </w:r>
                </w:p>
              </w:tc>
            </w:tr>
            <w:tr w14:paraId="520DC5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62" w:type="pct"/>
                  <w:vAlign w:val="center"/>
                </w:tcPr>
                <w:p w14:paraId="1C68D15A">
                  <w:pPr>
                    <w:tabs>
                      <w:tab w:val="left" w:pos="5670"/>
                    </w:tabs>
                    <w:adjustRightInd w:val="0"/>
                    <w:snapToGrid w:val="0"/>
                    <w:jc w:val="center"/>
                    <w:rPr>
                      <w:rFonts w:eastAsia="仿宋_GB2312"/>
                      <w:kern w:val="0"/>
                      <w:sz w:val="21"/>
                      <w:szCs w:val="21"/>
                    </w:rPr>
                  </w:pPr>
                  <w:r>
                    <w:rPr>
                      <w:rFonts w:eastAsia="仿宋_GB2312"/>
                      <w:kern w:val="0"/>
                      <w:sz w:val="21"/>
                      <w:szCs w:val="21"/>
                    </w:rPr>
                    <w:t>4</w:t>
                  </w:r>
                </w:p>
              </w:tc>
              <w:tc>
                <w:tcPr>
                  <w:tcW w:w="634" w:type="pct"/>
                  <w:vAlign w:val="center"/>
                </w:tcPr>
                <w:p w14:paraId="5DDA612B">
                  <w:pPr>
                    <w:tabs>
                      <w:tab w:val="left" w:pos="5670"/>
                    </w:tabs>
                    <w:adjustRightInd w:val="0"/>
                    <w:snapToGrid w:val="0"/>
                    <w:jc w:val="center"/>
                    <w:rPr>
                      <w:rFonts w:hint="default" w:eastAsia="仿宋_GB2312"/>
                      <w:kern w:val="0"/>
                      <w:sz w:val="21"/>
                      <w:szCs w:val="21"/>
                      <w:lang w:val="en-US" w:eastAsia="zh-CN"/>
                    </w:rPr>
                  </w:pPr>
                  <w:r>
                    <w:rPr>
                      <w:rFonts w:eastAsia="仿宋_GB2312"/>
                      <w:kern w:val="0"/>
                      <w:sz w:val="21"/>
                      <w:szCs w:val="21"/>
                    </w:rPr>
                    <w:t>危废仓库</w:t>
                  </w:r>
                  <w:r>
                    <w:rPr>
                      <w:rFonts w:hint="eastAsia" w:eastAsia="仿宋_GB2312"/>
                      <w:kern w:val="0"/>
                      <w:sz w:val="21"/>
                      <w:szCs w:val="21"/>
                      <w:lang w:eastAsia="zh-CN"/>
                    </w:rPr>
                    <w:t>、</w:t>
                  </w:r>
                  <w:r>
                    <w:rPr>
                      <w:rFonts w:hint="eastAsia" w:eastAsia="仿宋_GB2312"/>
                      <w:kern w:val="0"/>
                      <w:sz w:val="21"/>
                      <w:szCs w:val="21"/>
                      <w:lang w:val="en-US" w:eastAsia="zh-CN"/>
                    </w:rPr>
                    <w:t>中和水池、储罐</w:t>
                  </w:r>
                </w:p>
              </w:tc>
              <w:tc>
                <w:tcPr>
                  <w:tcW w:w="4002" w:type="pct"/>
                  <w:vAlign w:val="center"/>
                </w:tcPr>
                <w:p w14:paraId="206BA123">
                  <w:pPr>
                    <w:tabs>
                      <w:tab w:val="left" w:pos="5670"/>
                    </w:tabs>
                    <w:adjustRightInd w:val="0"/>
                    <w:snapToGrid w:val="0"/>
                    <w:jc w:val="center"/>
                    <w:rPr>
                      <w:rFonts w:eastAsia="仿宋_GB2312"/>
                      <w:kern w:val="0"/>
                      <w:sz w:val="21"/>
                      <w:szCs w:val="21"/>
                    </w:rPr>
                  </w:pPr>
                  <w:r>
                    <w:rPr>
                      <w:rFonts w:eastAsia="仿宋_GB2312"/>
                      <w:kern w:val="0"/>
                      <w:sz w:val="21"/>
                      <w:szCs w:val="21"/>
                    </w:rPr>
                    <w:t>依据国家危险贮存标准要求设计、施工，采用200mm厚C15砼垫层随打随抹光，并设置钢筋混凝土围堰，并采用底部加设土工膜进行防渗，是渗透系数1.0×10</w:t>
                  </w:r>
                  <w:r>
                    <w:rPr>
                      <w:rFonts w:eastAsia="仿宋_GB2312"/>
                      <w:kern w:val="0"/>
                      <w:sz w:val="21"/>
                      <w:szCs w:val="21"/>
                      <w:vertAlign w:val="superscript"/>
                    </w:rPr>
                    <w:t>-10</w:t>
                  </w:r>
                  <w:r>
                    <w:rPr>
                      <w:rFonts w:eastAsia="仿宋_GB2312"/>
                      <w:kern w:val="0"/>
                      <w:sz w:val="21"/>
                      <w:szCs w:val="21"/>
                    </w:rPr>
                    <w:t>cm/s，且防雨防晒</w:t>
                  </w:r>
                </w:p>
              </w:tc>
            </w:tr>
          </w:tbl>
          <w:p w14:paraId="5837C564">
            <w:pPr>
              <w:pStyle w:val="68"/>
              <w:keepNext w:val="0"/>
              <w:keepLines w:val="0"/>
              <w:pageBreakBefore w:val="0"/>
              <w:tabs>
                <w:tab w:val="left" w:pos="5187"/>
                <w:tab w:val="clear" w:pos="5094"/>
              </w:tabs>
              <w:kinsoku/>
              <w:wordWrap/>
              <w:overflowPunct/>
              <w:topLinePunct w:val="0"/>
              <w:autoSpaceDE/>
              <w:autoSpaceDN/>
              <w:bidi w:val="0"/>
              <w:adjustRightInd w:val="0"/>
              <w:snapToGrid w:val="0"/>
              <w:ind w:left="0" w:leftChars="0" w:firstLine="420" w:firstLineChars="200"/>
              <w:jc w:val="both"/>
              <w:rPr>
                <w:rFonts w:ascii="Times New Roman" w:hAnsi="Times New Roman" w:eastAsia="仿宋_GB2312" w:cs="Times New Roman"/>
                <w:color w:val="auto"/>
                <w:kern w:val="0"/>
              </w:rPr>
            </w:pPr>
            <w:r>
              <w:rPr>
                <w:rFonts w:ascii="Times New Roman" w:hAnsi="Times New Roman" w:eastAsia="仿宋_GB2312" w:cs="Times New Roman"/>
                <w:color w:val="auto"/>
                <w:kern w:val="0"/>
              </w:rPr>
              <w:t xml:space="preserve">④ 建立污染监控体系 </w:t>
            </w:r>
          </w:p>
          <w:p w14:paraId="1CFB54F4">
            <w:pPr>
              <w:pStyle w:val="68"/>
              <w:keepNext w:val="0"/>
              <w:keepLines w:val="0"/>
              <w:pageBreakBefore w:val="0"/>
              <w:tabs>
                <w:tab w:val="left" w:pos="5187"/>
                <w:tab w:val="clear" w:pos="5094"/>
              </w:tabs>
              <w:kinsoku/>
              <w:wordWrap/>
              <w:overflowPunct/>
              <w:topLinePunct w:val="0"/>
              <w:autoSpaceDE/>
              <w:autoSpaceDN/>
              <w:bidi w:val="0"/>
              <w:adjustRightInd w:val="0"/>
              <w:snapToGrid w:val="0"/>
              <w:ind w:left="0" w:leftChars="0" w:firstLine="420" w:firstLineChars="200"/>
              <w:jc w:val="both"/>
              <w:rPr>
                <w:rFonts w:ascii="Times New Roman" w:hAnsi="Times New Roman" w:eastAsia="仿宋_GB2312" w:cs="Times New Roman"/>
                <w:color w:val="auto"/>
                <w:kern w:val="0"/>
              </w:rPr>
            </w:pPr>
            <w:r>
              <w:rPr>
                <w:rFonts w:ascii="Times New Roman" w:hAnsi="Times New Roman" w:eastAsia="仿宋_GB2312" w:cs="Times New Roman"/>
                <w:color w:val="auto"/>
                <w:kern w:val="0"/>
              </w:rPr>
              <w:t>结合基地内的地下水污染监控计划，加强对项目区域的日常检查，以便及时发现污染，及时控制。</w:t>
            </w:r>
          </w:p>
          <w:p w14:paraId="0CF0D817">
            <w:pPr>
              <w:pStyle w:val="68"/>
              <w:keepNext w:val="0"/>
              <w:keepLines w:val="0"/>
              <w:pageBreakBefore w:val="0"/>
              <w:tabs>
                <w:tab w:val="left" w:pos="5187"/>
                <w:tab w:val="clear" w:pos="5094"/>
              </w:tabs>
              <w:kinsoku/>
              <w:wordWrap/>
              <w:overflowPunct/>
              <w:topLinePunct w:val="0"/>
              <w:autoSpaceDE/>
              <w:autoSpaceDN/>
              <w:bidi w:val="0"/>
              <w:adjustRightInd w:val="0"/>
              <w:snapToGrid w:val="0"/>
              <w:ind w:left="0" w:leftChars="0" w:firstLine="420" w:firstLineChars="200"/>
              <w:jc w:val="both"/>
              <w:rPr>
                <w:rFonts w:ascii="Times New Roman" w:hAnsi="Times New Roman" w:eastAsia="仿宋_GB2312" w:cs="Times New Roman"/>
                <w:color w:val="auto"/>
                <w:kern w:val="0"/>
              </w:rPr>
            </w:pPr>
            <w:r>
              <w:rPr>
                <w:rFonts w:hint="eastAsia" w:ascii="Times New Roman" w:hAnsi="Times New Roman" w:eastAsia="仿宋_GB2312" w:cs="Times New Roman"/>
                <w:color w:val="auto"/>
                <w:kern w:val="0"/>
                <w:lang w:val="en-US" w:eastAsia="zh-CN"/>
              </w:rPr>
              <w:t>⑤</w:t>
            </w:r>
            <w:r>
              <w:rPr>
                <w:rFonts w:ascii="Times New Roman" w:hAnsi="Times New Roman" w:eastAsia="仿宋_GB2312" w:cs="Times New Roman"/>
                <w:color w:val="auto"/>
                <w:kern w:val="0"/>
              </w:rPr>
              <w:t xml:space="preserve"> 应急响应措施</w:t>
            </w:r>
          </w:p>
          <w:p w14:paraId="33AB1421">
            <w:pPr>
              <w:pStyle w:val="68"/>
              <w:keepNext w:val="0"/>
              <w:keepLines w:val="0"/>
              <w:pageBreakBefore w:val="0"/>
              <w:tabs>
                <w:tab w:val="left" w:pos="5187"/>
                <w:tab w:val="clear" w:pos="5094"/>
              </w:tabs>
              <w:kinsoku/>
              <w:wordWrap/>
              <w:overflowPunct/>
              <w:topLinePunct w:val="0"/>
              <w:autoSpaceDE/>
              <w:autoSpaceDN/>
              <w:bidi w:val="0"/>
              <w:adjustRightInd w:val="0"/>
              <w:snapToGrid w:val="0"/>
              <w:ind w:left="0" w:leftChars="0" w:firstLine="420" w:firstLineChars="200"/>
              <w:jc w:val="both"/>
              <w:rPr>
                <w:rFonts w:hint="default" w:ascii="Times New Roman" w:hAnsi="Times New Roman" w:eastAsia="仿宋_GB2312" w:cs="Times New Roman"/>
                <w:color w:val="auto"/>
                <w:kern w:val="0"/>
                <w:lang w:val="en-US" w:eastAsia="zh-CN"/>
              </w:rPr>
            </w:pPr>
            <w:r>
              <w:rPr>
                <w:rFonts w:ascii="Times New Roman" w:hAnsi="Times New Roman" w:eastAsia="仿宋_GB2312" w:cs="Times New Roman"/>
                <w:color w:val="auto"/>
                <w:kern w:val="0"/>
              </w:rPr>
              <w:t>一旦发现地下水污染事故，采取应急措施控制地下水污染，并使污染得到治理。</w:t>
            </w:r>
            <w:r>
              <w:rPr>
                <w:rFonts w:hint="eastAsia" w:ascii="Times New Roman" w:hAnsi="Times New Roman" w:eastAsia="仿宋_GB2312" w:cs="Times New Roman"/>
                <w:color w:val="auto"/>
                <w:kern w:val="0"/>
                <w:lang w:val="en-US" w:eastAsia="zh-CN"/>
              </w:rPr>
              <w:t>应急处置流程如下：</w:t>
            </w:r>
          </w:p>
          <w:p w14:paraId="21623EAF">
            <w:pPr>
              <w:pStyle w:val="68"/>
              <w:keepNext w:val="0"/>
              <w:keepLines w:val="0"/>
              <w:pageBreakBefore w:val="0"/>
              <w:tabs>
                <w:tab w:val="left" w:pos="5187"/>
                <w:tab w:val="clear" w:pos="5094"/>
              </w:tabs>
              <w:kinsoku/>
              <w:wordWrap/>
              <w:overflowPunct/>
              <w:topLinePunct w:val="0"/>
              <w:autoSpaceDE/>
              <w:autoSpaceDN/>
              <w:bidi w:val="0"/>
              <w:adjustRightInd w:val="0"/>
              <w:snapToGrid w:val="0"/>
              <w:ind w:left="0" w:leftChars="0" w:firstLine="420" w:firstLineChars="200"/>
              <w:jc w:val="both"/>
              <w:rPr>
                <w:rFonts w:ascii="Times New Roman" w:hAnsi="Times New Roman" w:eastAsia="仿宋_GB2312" w:cs="Times New Roman"/>
                <w:color w:val="auto"/>
                <w:kern w:val="0"/>
                <w:lang w:eastAsia="zh-CN"/>
              </w:rPr>
            </w:pPr>
            <w:r>
              <w:rPr>
                <w:rFonts w:hint="eastAsia" w:ascii="Times New Roman" w:hAnsi="Times New Roman" w:eastAsia="仿宋_GB2312" w:cs="Times New Roman"/>
                <w:color w:val="auto"/>
                <w:kern w:val="0"/>
                <w:lang w:val="en-US" w:eastAsia="zh-CN"/>
              </w:rPr>
              <w:t>a.</w:t>
            </w:r>
            <w:r>
              <w:rPr>
                <w:rFonts w:ascii="Times New Roman" w:hAnsi="Times New Roman" w:eastAsia="仿宋_GB2312" w:cs="Times New Roman"/>
                <w:color w:val="auto"/>
                <w:kern w:val="0"/>
                <w:lang w:eastAsia="zh-CN"/>
              </w:rPr>
              <w:t>当发生异常情况，需要马上采取紧急措施</w:t>
            </w:r>
            <w:r>
              <w:rPr>
                <w:rFonts w:hint="eastAsia" w:ascii="Times New Roman" w:hAnsi="Times New Roman" w:eastAsia="仿宋_GB2312" w:cs="Times New Roman"/>
                <w:color w:val="auto"/>
                <w:kern w:val="0"/>
                <w:lang w:val="en-US" w:eastAsia="zh-CN"/>
              </w:rPr>
              <w:t>；</w:t>
            </w:r>
          </w:p>
          <w:p w14:paraId="510B7F90">
            <w:pPr>
              <w:pStyle w:val="68"/>
              <w:keepNext w:val="0"/>
              <w:keepLines w:val="0"/>
              <w:pageBreakBefore w:val="0"/>
              <w:tabs>
                <w:tab w:val="left" w:pos="5187"/>
                <w:tab w:val="clear" w:pos="5094"/>
              </w:tabs>
              <w:kinsoku/>
              <w:wordWrap/>
              <w:overflowPunct/>
              <w:topLinePunct w:val="0"/>
              <w:autoSpaceDE/>
              <w:autoSpaceDN/>
              <w:bidi w:val="0"/>
              <w:adjustRightInd w:val="0"/>
              <w:snapToGrid w:val="0"/>
              <w:ind w:left="0" w:leftChars="0" w:firstLine="420" w:firstLineChars="200"/>
              <w:jc w:val="both"/>
              <w:rPr>
                <w:rFonts w:ascii="Times New Roman" w:hAnsi="Times New Roman" w:eastAsia="仿宋_GB2312" w:cs="Times New Roman"/>
                <w:color w:val="auto"/>
                <w:kern w:val="0"/>
                <w:lang w:eastAsia="zh-CN"/>
              </w:rPr>
            </w:pPr>
            <w:r>
              <w:rPr>
                <w:rFonts w:hint="eastAsia" w:ascii="Times New Roman" w:hAnsi="Times New Roman" w:eastAsia="仿宋_GB2312" w:cs="Times New Roman"/>
                <w:color w:val="auto"/>
                <w:kern w:val="0"/>
                <w:lang w:val="en-US" w:eastAsia="zh-CN"/>
              </w:rPr>
              <w:t>b.</w:t>
            </w:r>
            <w:r>
              <w:rPr>
                <w:rFonts w:ascii="Times New Roman" w:hAnsi="Times New Roman" w:eastAsia="仿宋_GB2312" w:cs="Times New Roman"/>
                <w:color w:val="auto"/>
                <w:kern w:val="0"/>
                <w:lang w:eastAsia="zh-CN"/>
              </w:rPr>
              <w:t>当发生异常情况时，按照装置制定的环境事故应急预案，启动应急预案。在第一时间内尽快上报主管领导，启动周围社会预案，密切关注地下水水质变化情况</w:t>
            </w:r>
            <w:r>
              <w:rPr>
                <w:rFonts w:hint="eastAsia" w:ascii="Times New Roman" w:hAnsi="Times New Roman" w:eastAsia="仿宋_GB2312" w:cs="Times New Roman"/>
                <w:color w:val="auto"/>
                <w:kern w:val="0"/>
                <w:lang w:val="en-US" w:eastAsia="zh-CN"/>
              </w:rPr>
              <w:t>；</w:t>
            </w:r>
          </w:p>
          <w:p w14:paraId="412995CC">
            <w:pPr>
              <w:pStyle w:val="68"/>
              <w:keepNext w:val="0"/>
              <w:keepLines w:val="0"/>
              <w:pageBreakBefore w:val="0"/>
              <w:tabs>
                <w:tab w:val="left" w:pos="5187"/>
                <w:tab w:val="clear" w:pos="5094"/>
              </w:tabs>
              <w:kinsoku/>
              <w:wordWrap/>
              <w:overflowPunct/>
              <w:topLinePunct w:val="0"/>
              <w:autoSpaceDE/>
              <w:autoSpaceDN/>
              <w:bidi w:val="0"/>
              <w:adjustRightInd w:val="0"/>
              <w:snapToGrid w:val="0"/>
              <w:ind w:left="0" w:leftChars="0" w:firstLine="420" w:firstLineChars="200"/>
              <w:jc w:val="both"/>
              <w:rPr>
                <w:rFonts w:ascii="Times New Roman" w:hAnsi="Times New Roman" w:eastAsia="仿宋_GB2312" w:cs="Times New Roman"/>
                <w:color w:val="auto"/>
                <w:kern w:val="0"/>
                <w:lang w:eastAsia="zh-CN"/>
              </w:rPr>
            </w:pPr>
            <w:r>
              <w:rPr>
                <w:rFonts w:hint="eastAsia" w:ascii="Times New Roman" w:hAnsi="Times New Roman" w:eastAsia="仿宋_GB2312" w:cs="Times New Roman"/>
                <w:color w:val="auto"/>
                <w:kern w:val="0"/>
                <w:lang w:val="en-US" w:eastAsia="zh-CN"/>
              </w:rPr>
              <w:t>c.</w:t>
            </w:r>
            <w:r>
              <w:rPr>
                <w:rFonts w:ascii="Times New Roman" w:hAnsi="Times New Roman" w:eastAsia="仿宋_GB2312" w:cs="Times New Roman"/>
                <w:color w:val="auto"/>
                <w:kern w:val="0"/>
                <w:lang w:eastAsia="zh-CN"/>
              </w:rPr>
              <w:t>组织专业队伍负责查找环境事故发生地点，分析事故原因，尽量将</w:t>
            </w:r>
            <w:r>
              <w:rPr>
                <w:rFonts w:hint="eastAsia" w:ascii="Times New Roman" w:hAnsi="Times New Roman" w:eastAsia="仿宋_GB2312" w:cs="Times New Roman"/>
                <w:color w:val="auto"/>
                <w:kern w:val="0"/>
                <w:lang w:eastAsia="zh-CN"/>
              </w:rPr>
              <w:t>紧急事件</w:t>
            </w:r>
            <w:r>
              <w:rPr>
                <w:rFonts w:ascii="Times New Roman" w:hAnsi="Times New Roman" w:eastAsia="仿宋_GB2312" w:cs="Times New Roman"/>
                <w:color w:val="auto"/>
                <w:kern w:val="0"/>
                <w:lang w:eastAsia="zh-CN"/>
              </w:rPr>
              <w:t>局部化，如可能应予以消除，尽量缩小环境事故对人和财产的影响。减低事故后果的手段，包括切断生产装置或设施</w:t>
            </w:r>
            <w:r>
              <w:rPr>
                <w:rFonts w:hint="eastAsia" w:ascii="Times New Roman" w:hAnsi="Times New Roman" w:eastAsia="仿宋_GB2312" w:cs="Times New Roman"/>
                <w:color w:val="auto"/>
                <w:kern w:val="0"/>
                <w:lang w:eastAsia="zh-CN"/>
              </w:rPr>
              <w:t>；</w:t>
            </w:r>
          </w:p>
          <w:p w14:paraId="73648ED2">
            <w:pPr>
              <w:pStyle w:val="68"/>
              <w:keepNext w:val="0"/>
              <w:keepLines w:val="0"/>
              <w:pageBreakBefore w:val="0"/>
              <w:tabs>
                <w:tab w:val="left" w:pos="5187"/>
                <w:tab w:val="clear" w:pos="5094"/>
              </w:tabs>
              <w:kinsoku/>
              <w:wordWrap/>
              <w:overflowPunct/>
              <w:topLinePunct w:val="0"/>
              <w:autoSpaceDE/>
              <w:autoSpaceDN/>
              <w:bidi w:val="0"/>
              <w:adjustRightInd w:val="0"/>
              <w:snapToGrid w:val="0"/>
              <w:ind w:left="0" w:leftChars="0" w:firstLine="420" w:firstLineChars="200"/>
              <w:jc w:val="both"/>
              <w:rPr>
                <w:rFonts w:ascii="Times New Roman" w:hAnsi="Times New Roman" w:eastAsia="仿宋_GB2312" w:cs="Times New Roman"/>
                <w:color w:val="auto"/>
                <w:kern w:val="0"/>
                <w:lang w:eastAsia="zh-CN"/>
              </w:rPr>
            </w:pPr>
            <w:r>
              <w:rPr>
                <w:rFonts w:hint="eastAsia" w:ascii="Times New Roman" w:hAnsi="Times New Roman" w:eastAsia="仿宋_GB2312" w:cs="Times New Roman"/>
                <w:color w:val="auto"/>
                <w:kern w:val="0"/>
                <w:lang w:val="en-US" w:eastAsia="zh-CN"/>
              </w:rPr>
              <w:t>d.</w:t>
            </w:r>
            <w:r>
              <w:rPr>
                <w:rFonts w:ascii="Times New Roman" w:hAnsi="Times New Roman" w:eastAsia="仿宋_GB2312" w:cs="Times New Roman"/>
                <w:color w:val="auto"/>
                <w:kern w:val="0"/>
                <w:lang w:eastAsia="zh-CN"/>
              </w:rPr>
              <w:t>对事故现场进行调查，监测，处理。对事故后果进行评估，采取紧急措施制止事故的扩散、扩大，并制定防止类似事件发生的措施</w:t>
            </w:r>
            <w:r>
              <w:rPr>
                <w:rFonts w:hint="eastAsia" w:ascii="Times New Roman" w:hAnsi="Times New Roman" w:eastAsia="仿宋_GB2312" w:cs="Times New Roman"/>
                <w:color w:val="auto"/>
                <w:kern w:val="0"/>
                <w:lang w:eastAsia="zh-CN"/>
              </w:rPr>
              <w:t>；</w:t>
            </w:r>
          </w:p>
          <w:p w14:paraId="13CF69CC">
            <w:pPr>
              <w:pStyle w:val="68"/>
              <w:keepNext w:val="0"/>
              <w:keepLines w:val="0"/>
              <w:pageBreakBefore w:val="0"/>
              <w:tabs>
                <w:tab w:val="left" w:pos="5187"/>
                <w:tab w:val="clear" w:pos="5094"/>
              </w:tabs>
              <w:kinsoku/>
              <w:wordWrap/>
              <w:overflowPunct/>
              <w:topLinePunct w:val="0"/>
              <w:autoSpaceDE/>
              <w:autoSpaceDN/>
              <w:bidi w:val="0"/>
              <w:adjustRightInd w:val="0"/>
              <w:snapToGrid w:val="0"/>
              <w:ind w:left="0" w:leftChars="0" w:firstLine="420" w:firstLineChars="200"/>
              <w:jc w:val="both"/>
              <w:rPr>
                <w:rFonts w:ascii="Times New Roman" w:hAnsi="Times New Roman" w:eastAsia="仿宋_GB2312" w:cs="Times New Roman"/>
                <w:color w:val="auto"/>
                <w:kern w:val="0"/>
              </w:rPr>
            </w:pPr>
            <w:r>
              <w:rPr>
                <w:rFonts w:hint="eastAsia" w:ascii="Times New Roman" w:hAnsi="Times New Roman" w:eastAsia="仿宋_GB2312" w:cs="Times New Roman"/>
                <w:color w:val="auto"/>
                <w:kern w:val="0"/>
                <w:lang w:val="en-US" w:eastAsia="zh-CN"/>
              </w:rPr>
              <w:t>e.</w:t>
            </w:r>
            <w:r>
              <w:rPr>
                <w:rFonts w:ascii="Times New Roman" w:hAnsi="Times New Roman" w:eastAsia="仿宋_GB2312" w:cs="Times New Roman"/>
                <w:color w:val="auto"/>
                <w:kern w:val="0"/>
                <w:lang w:eastAsia="zh-CN"/>
              </w:rPr>
              <w:t>如果本公司力量不足，需要请求社会应急力量协助。</w:t>
            </w:r>
          </w:p>
          <w:p w14:paraId="402892CF">
            <w:pPr>
              <w:pStyle w:val="68"/>
              <w:tabs>
                <w:tab w:val="left" w:pos="5187"/>
                <w:tab w:val="clear" w:pos="5094"/>
              </w:tabs>
              <w:snapToGrid w:val="0"/>
              <w:ind w:firstLine="420" w:firstLineChars="200"/>
              <w:jc w:val="both"/>
              <w:rPr>
                <w:rFonts w:ascii="Times New Roman" w:hAnsi="Times New Roman" w:eastAsia="仿宋_GB2312"/>
                <w:color w:val="auto"/>
                <w:kern w:val="0"/>
              </w:rPr>
            </w:pPr>
            <w:r>
              <w:rPr>
                <w:rFonts w:ascii="Times New Roman" w:hAnsi="Times New Roman" w:eastAsia="仿宋_GB2312"/>
                <w:color w:val="auto"/>
                <w:kern w:val="0"/>
              </w:rPr>
              <w:t>生产区地坪防渗结构示意图见图4-3，危废仓房防渗结构示意图见图4-4，化粪池防渗层示意图见图4-5，项目采取的防渗处理措施见表4-3</w:t>
            </w:r>
            <w:r>
              <w:rPr>
                <w:rFonts w:hint="eastAsia" w:ascii="Times New Roman" w:hAnsi="Times New Roman" w:eastAsia="仿宋_GB2312"/>
                <w:color w:val="auto"/>
                <w:kern w:val="0"/>
                <w:lang w:val="en-US" w:eastAsia="zh-CN"/>
              </w:rPr>
              <w:t>6</w:t>
            </w:r>
            <w:r>
              <w:rPr>
                <w:rFonts w:ascii="Times New Roman" w:hAnsi="Times New Roman" w:eastAsia="仿宋_GB2312"/>
                <w:color w:val="auto"/>
                <w:kern w:val="0"/>
              </w:rPr>
              <w:t>。</w:t>
            </w:r>
          </w:p>
          <w:p w14:paraId="05E10423">
            <w:pPr>
              <w:adjustRightInd w:val="0"/>
              <w:snapToGrid w:val="0"/>
              <w:jc w:val="center"/>
              <w:rPr>
                <w:rFonts w:eastAsia="仿宋_GB2312"/>
                <w:b/>
                <w:kern w:val="0"/>
              </w:rPr>
            </w:pPr>
            <w:r>
              <w:rPr>
                <w:rFonts w:eastAsia="仿宋_GB2312"/>
                <w:kern w:val="0"/>
              </w:rPr>
              <w:drawing>
                <wp:inline distT="0" distB="0" distL="0" distR="0">
                  <wp:extent cx="2884805" cy="2160270"/>
                  <wp:effectExtent l="0" t="0" r="10795" b="11430"/>
                  <wp:docPr id="1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2884805" cy="2160270"/>
                          </a:xfrm>
                          <a:prstGeom prst="rect">
                            <a:avLst/>
                          </a:prstGeom>
                          <a:noFill/>
                          <a:ln>
                            <a:noFill/>
                          </a:ln>
                        </pic:spPr>
                      </pic:pic>
                    </a:graphicData>
                  </a:graphic>
                </wp:inline>
              </w:drawing>
            </w:r>
          </w:p>
          <w:p w14:paraId="12F09DFC">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center"/>
              <w:textAlignment w:val="auto"/>
              <w:rPr>
                <w:rFonts w:eastAsia="仿宋_GB2312"/>
                <w:b/>
                <w:kern w:val="0"/>
              </w:rPr>
            </w:pPr>
            <w:r>
              <w:rPr>
                <w:rFonts w:eastAsia="仿宋_GB2312"/>
                <w:b/>
                <w:kern w:val="0"/>
              </w:rPr>
              <w:t>图4-3</w:t>
            </w:r>
            <w:r>
              <w:rPr>
                <w:rFonts w:hint="eastAsia" w:eastAsia="仿宋_GB2312"/>
                <w:b/>
                <w:kern w:val="0"/>
                <w:lang w:val="en-US" w:eastAsia="zh-CN"/>
              </w:rPr>
              <w:t xml:space="preserve">  </w:t>
            </w:r>
            <w:r>
              <w:rPr>
                <w:rFonts w:eastAsia="仿宋_GB2312"/>
                <w:b/>
                <w:kern w:val="0"/>
              </w:rPr>
              <w:t>生产区地坪防渗结构示意图</w:t>
            </w:r>
          </w:p>
          <w:p w14:paraId="27489949">
            <w:pPr>
              <w:pStyle w:val="7"/>
              <w:rPr>
                <w:rFonts w:eastAsia="仿宋_GB2312"/>
                <w:b/>
                <w:kern w:val="0"/>
              </w:rPr>
            </w:pPr>
          </w:p>
          <w:p w14:paraId="272A5D4F">
            <w:pPr>
              <w:rPr>
                <w:rFonts w:eastAsia="仿宋_GB2312"/>
                <w:b/>
                <w:kern w:val="0"/>
              </w:rPr>
            </w:pPr>
          </w:p>
          <w:p w14:paraId="433275C1">
            <w:pPr>
              <w:pStyle w:val="7"/>
              <w:rPr>
                <w:rFonts w:eastAsia="仿宋_GB2312"/>
                <w:b/>
                <w:kern w:val="0"/>
              </w:rPr>
            </w:pPr>
          </w:p>
          <w:p w14:paraId="3BCEDB48">
            <w:pPr>
              <w:rPr>
                <w:rFonts w:eastAsia="仿宋_GB2312"/>
                <w:b/>
                <w:kern w:val="0"/>
              </w:rPr>
            </w:pPr>
          </w:p>
          <w:p w14:paraId="24A1D1CF">
            <w:pPr>
              <w:pStyle w:val="7"/>
              <w:rPr>
                <w:rFonts w:eastAsia="仿宋_GB2312"/>
                <w:b/>
                <w:kern w:val="0"/>
              </w:rPr>
            </w:pPr>
          </w:p>
          <w:p w14:paraId="4860DD89">
            <w:pPr>
              <w:pStyle w:val="7"/>
              <w:rPr>
                <w:rFonts w:eastAsia="仿宋_GB2312"/>
                <w:b/>
                <w:kern w:val="0"/>
              </w:rPr>
            </w:pPr>
          </w:p>
          <w:p w14:paraId="709AFC7B"/>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631"/>
              <w:gridCol w:w="3463"/>
            </w:tblGrid>
            <w:tr w14:paraId="0B97D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1" w:hRule="atLeast"/>
              </w:trPr>
              <w:tc>
                <w:tcPr>
                  <w:tcW w:w="4631" w:type="dxa"/>
                  <w:vMerge w:val="restart"/>
                  <w:vAlign w:val="center"/>
                </w:tcPr>
                <w:p w14:paraId="1AEBF718">
                  <w:pPr>
                    <w:pStyle w:val="68"/>
                    <w:tabs>
                      <w:tab w:val="left" w:pos="5187"/>
                      <w:tab w:val="clear" w:pos="5094"/>
                    </w:tabs>
                    <w:snapToGrid w:val="0"/>
                    <w:spacing w:line="240" w:lineRule="auto"/>
                    <w:ind w:firstLine="0" w:firstLineChars="0"/>
                    <w:jc w:val="center"/>
                    <w:rPr>
                      <w:rFonts w:ascii="Times New Roman" w:hAnsi="Times New Roman" w:eastAsia="仿宋_GB2312"/>
                      <w:color w:val="auto"/>
                      <w:kern w:val="0"/>
                      <w:sz w:val="21"/>
                      <w:szCs w:val="21"/>
                    </w:rPr>
                  </w:pPr>
                  <w:r>
                    <w:rPr>
                      <w:rFonts w:ascii="Times New Roman" w:hAnsi="Times New Roman" w:eastAsia="仿宋_GB2312"/>
                      <w:color w:val="auto"/>
                      <w:kern w:val="0"/>
                      <w:sz w:val="21"/>
                      <w:szCs w:val="21"/>
                    </w:rPr>
                    <w:drawing>
                      <wp:inline distT="0" distB="0" distL="0" distR="0">
                        <wp:extent cx="2934335" cy="1415415"/>
                        <wp:effectExtent l="0" t="0" r="18415" b="13335"/>
                        <wp:docPr id="13"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2934335" cy="1415415"/>
                                </a:xfrm>
                                <a:prstGeom prst="rect">
                                  <a:avLst/>
                                </a:prstGeom>
                                <a:noFill/>
                                <a:ln>
                                  <a:noFill/>
                                </a:ln>
                              </pic:spPr>
                            </pic:pic>
                          </a:graphicData>
                        </a:graphic>
                      </wp:inline>
                    </w:drawing>
                  </w:r>
                </w:p>
              </w:tc>
              <w:tc>
                <w:tcPr>
                  <w:tcW w:w="3463" w:type="dxa"/>
                  <w:vAlign w:val="center"/>
                </w:tcPr>
                <w:p w14:paraId="36131651">
                  <w:pPr>
                    <w:adjustRightInd w:val="0"/>
                    <w:snapToGrid w:val="0"/>
                    <w:jc w:val="center"/>
                    <w:rPr>
                      <w:rFonts w:eastAsia="仿宋_GB2312"/>
                      <w:kern w:val="0"/>
                      <w:sz w:val="21"/>
                      <w:szCs w:val="21"/>
                    </w:rPr>
                  </w:pPr>
                  <w:r>
                    <w:rPr>
                      <w:rFonts w:eastAsia="仿宋_GB2312"/>
                      <w:kern w:val="0"/>
                      <w:sz w:val="21"/>
                      <w:szCs w:val="21"/>
                    </w:rPr>
                    <w:t>聚氯乙烯薄膜</w:t>
                  </w:r>
                </w:p>
              </w:tc>
            </w:tr>
            <w:tr w14:paraId="65782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8" w:hRule="atLeast"/>
              </w:trPr>
              <w:tc>
                <w:tcPr>
                  <w:tcW w:w="4631" w:type="dxa"/>
                  <w:vMerge w:val="continue"/>
                  <w:vAlign w:val="center"/>
                </w:tcPr>
                <w:p w14:paraId="42FF5D57">
                  <w:pPr>
                    <w:pStyle w:val="68"/>
                    <w:tabs>
                      <w:tab w:val="left" w:pos="5187"/>
                      <w:tab w:val="clear" w:pos="5094"/>
                    </w:tabs>
                    <w:snapToGrid w:val="0"/>
                    <w:spacing w:line="240" w:lineRule="auto"/>
                    <w:ind w:firstLine="680"/>
                    <w:rPr>
                      <w:rFonts w:ascii="Times New Roman" w:hAnsi="Times New Roman" w:eastAsia="仿宋_GB2312"/>
                      <w:color w:val="auto"/>
                      <w:kern w:val="0"/>
                      <w:sz w:val="21"/>
                      <w:szCs w:val="21"/>
                    </w:rPr>
                  </w:pPr>
                </w:p>
              </w:tc>
              <w:tc>
                <w:tcPr>
                  <w:tcW w:w="3463" w:type="dxa"/>
                  <w:vAlign w:val="center"/>
                </w:tcPr>
                <w:p w14:paraId="7CA4F9DE">
                  <w:pPr>
                    <w:adjustRightInd w:val="0"/>
                    <w:snapToGrid w:val="0"/>
                    <w:jc w:val="center"/>
                    <w:rPr>
                      <w:rFonts w:eastAsia="仿宋_GB2312"/>
                      <w:kern w:val="0"/>
                      <w:sz w:val="21"/>
                      <w:szCs w:val="21"/>
                    </w:rPr>
                  </w:pPr>
                  <w:r>
                    <w:rPr>
                      <w:rFonts w:eastAsia="仿宋_GB2312"/>
                      <w:kern w:val="0"/>
                      <w:sz w:val="21"/>
                      <w:szCs w:val="21"/>
                    </w:rPr>
                    <w:t>50mm厚水泥面随打随抹光</w:t>
                  </w:r>
                </w:p>
              </w:tc>
            </w:tr>
            <w:tr w14:paraId="3ACEE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9" w:hRule="atLeast"/>
              </w:trPr>
              <w:tc>
                <w:tcPr>
                  <w:tcW w:w="4631" w:type="dxa"/>
                  <w:vMerge w:val="continue"/>
                  <w:vAlign w:val="center"/>
                </w:tcPr>
                <w:p w14:paraId="5F3628D5">
                  <w:pPr>
                    <w:pStyle w:val="68"/>
                    <w:tabs>
                      <w:tab w:val="left" w:pos="5187"/>
                      <w:tab w:val="clear" w:pos="5094"/>
                    </w:tabs>
                    <w:snapToGrid w:val="0"/>
                    <w:spacing w:line="240" w:lineRule="auto"/>
                    <w:ind w:firstLine="680"/>
                    <w:rPr>
                      <w:rFonts w:ascii="Times New Roman" w:hAnsi="Times New Roman" w:eastAsia="仿宋_GB2312"/>
                      <w:color w:val="auto"/>
                      <w:kern w:val="0"/>
                      <w:sz w:val="21"/>
                      <w:szCs w:val="21"/>
                    </w:rPr>
                  </w:pPr>
                </w:p>
              </w:tc>
              <w:tc>
                <w:tcPr>
                  <w:tcW w:w="3463" w:type="dxa"/>
                  <w:vAlign w:val="center"/>
                </w:tcPr>
                <w:p w14:paraId="770D0894">
                  <w:pPr>
                    <w:adjustRightInd w:val="0"/>
                    <w:snapToGrid w:val="0"/>
                    <w:jc w:val="center"/>
                    <w:rPr>
                      <w:rFonts w:eastAsia="仿宋_GB2312"/>
                      <w:kern w:val="0"/>
                      <w:sz w:val="21"/>
                      <w:szCs w:val="21"/>
                    </w:rPr>
                  </w:pPr>
                  <w:r>
                    <w:rPr>
                      <w:rFonts w:eastAsia="仿宋_GB2312"/>
                      <w:kern w:val="0"/>
                      <w:sz w:val="21"/>
                      <w:szCs w:val="21"/>
                    </w:rPr>
                    <w:t>50mm厚C15砼垫层随打随抹光</w:t>
                  </w:r>
                </w:p>
              </w:tc>
            </w:tr>
            <w:tr w14:paraId="2F567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1" w:hRule="atLeast"/>
              </w:trPr>
              <w:tc>
                <w:tcPr>
                  <w:tcW w:w="4631" w:type="dxa"/>
                  <w:vMerge w:val="continue"/>
                  <w:vAlign w:val="center"/>
                </w:tcPr>
                <w:p w14:paraId="27A50770">
                  <w:pPr>
                    <w:pStyle w:val="68"/>
                    <w:tabs>
                      <w:tab w:val="left" w:pos="5187"/>
                      <w:tab w:val="clear" w:pos="5094"/>
                    </w:tabs>
                    <w:snapToGrid w:val="0"/>
                    <w:spacing w:line="240" w:lineRule="auto"/>
                    <w:ind w:firstLine="680"/>
                    <w:rPr>
                      <w:rFonts w:ascii="Times New Roman" w:hAnsi="Times New Roman" w:eastAsia="仿宋_GB2312"/>
                      <w:color w:val="auto"/>
                      <w:kern w:val="0"/>
                      <w:sz w:val="21"/>
                      <w:szCs w:val="21"/>
                    </w:rPr>
                  </w:pPr>
                </w:p>
              </w:tc>
              <w:tc>
                <w:tcPr>
                  <w:tcW w:w="3463" w:type="dxa"/>
                  <w:vAlign w:val="center"/>
                </w:tcPr>
                <w:p w14:paraId="7C9E0BA8">
                  <w:pPr>
                    <w:adjustRightInd w:val="0"/>
                    <w:snapToGrid w:val="0"/>
                    <w:jc w:val="center"/>
                    <w:rPr>
                      <w:rFonts w:eastAsia="仿宋_GB2312"/>
                      <w:kern w:val="0"/>
                      <w:sz w:val="21"/>
                      <w:szCs w:val="21"/>
                    </w:rPr>
                  </w:pPr>
                  <w:r>
                    <w:rPr>
                      <w:rFonts w:eastAsia="仿宋_GB2312"/>
                      <w:kern w:val="0"/>
                      <w:sz w:val="21"/>
                      <w:szCs w:val="21"/>
                    </w:rPr>
                    <w:t>50mm厚C15混凝土随打随抹光</w:t>
                  </w:r>
                </w:p>
              </w:tc>
            </w:tr>
            <w:tr w14:paraId="3F424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1" w:hRule="atLeast"/>
              </w:trPr>
              <w:tc>
                <w:tcPr>
                  <w:tcW w:w="4631" w:type="dxa"/>
                  <w:vMerge w:val="continue"/>
                  <w:vAlign w:val="center"/>
                </w:tcPr>
                <w:p w14:paraId="164E88D0">
                  <w:pPr>
                    <w:pStyle w:val="68"/>
                    <w:tabs>
                      <w:tab w:val="left" w:pos="5187"/>
                      <w:tab w:val="clear" w:pos="5094"/>
                    </w:tabs>
                    <w:snapToGrid w:val="0"/>
                    <w:spacing w:line="240" w:lineRule="auto"/>
                    <w:ind w:firstLine="680"/>
                    <w:rPr>
                      <w:rFonts w:ascii="Times New Roman" w:hAnsi="Times New Roman" w:eastAsia="仿宋_GB2312"/>
                      <w:color w:val="auto"/>
                      <w:kern w:val="0"/>
                      <w:sz w:val="21"/>
                      <w:szCs w:val="21"/>
                    </w:rPr>
                  </w:pPr>
                </w:p>
              </w:tc>
              <w:tc>
                <w:tcPr>
                  <w:tcW w:w="3463" w:type="dxa"/>
                  <w:vAlign w:val="center"/>
                </w:tcPr>
                <w:p w14:paraId="07DD3355">
                  <w:pPr>
                    <w:adjustRightInd w:val="0"/>
                    <w:snapToGrid w:val="0"/>
                    <w:jc w:val="center"/>
                    <w:rPr>
                      <w:rFonts w:eastAsia="仿宋_GB2312"/>
                      <w:kern w:val="0"/>
                      <w:sz w:val="21"/>
                      <w:szCs w:val="21"/>
                    </w:rPr>
                  </w:pPr>
                  <w:r>
                    <w:rPr>
                      <w:rFonts w:eastAsia="仿宋_GB2312"/>
                      <w:kern w:val="0"/>
                      <w:sz w:val="21"/>
                      <w:szCs w:val="21"/>
                    </w:rPr>
                    <w:t>50mm厚级配砂石垫层</w:t>
                  </w:r>
                </w:p>
              </w:tc>
            </w:tr>
            <w:tr w14:paraId="1FB6B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631" w:type="dxa"/>
                  <w:vMerge w:val="continue"/>
                  <w:vAlign w:val="center"/>
                </w:tcPr>
                <w:p w14:paraId="067F109E">
                  <w:pPr>
                    <w:pStyle w:val="68"/>
                    <w:tabs>
                      <w:tab w:val="left" w:pos="5187"/>
                      <w:tab w:val="clear" w:pos="5094"/>
                    </w:tabs>
                    <w:snapToGrid w:val="0"/>
                    <w:spacing w:line="240" w:lineRule="auto"/>
                    <w:ind w:firstLine="680"/>
                    <w:rPr>
                      <w:rFonts w:ascii="Times New Roman" w:hAnsi="Times New Roman" w:eastAsia="仿宋_GB2312"/>
                      <w:color w:val="auto"/>
                      <w:kern w:val="0"/>
                      <w:sz w:val="21"/>
                      <w:szCs w:val="21"/>
                    </w:rPr>
                  </w:pPr>
                </w:p>
              </w:tc>
              <w:tc>
                <w:tcPr>
                  <w:tcW w:w="3463" w:type="dxa"/>
                  <w:vAlign w:val="center"/>
                </w:tcPr>
                <w:p w14:paraId="720B7E2E">
                  <w:pPr>
                    <w:adjustRightInd w:val="0"/>
                    <w:snapToGrid w:val="0"/>
                    <w:jc w:val="center"/>
                    <w:rPr>
                      <w:rFonts w:eastAsia="仿宋_GB2312"/>
                      <w:kern w:val="0"/>
                      <w:sz w:val="21"/>
                      <w:szCs w:val="21"/>
                    </w:rPr>
                  </w:pPr>
                  <w:r>
                    <w:rPr>
                      <w:rFonts w:eastAsia="仿宋_GB2312"/>
                      <w:kern w:val="0"/>
                      <w:sz w:val="21"/>
                      <w:szCs w:val="21"/>
                    </w:rPr>
                    <w:t>3:7水泥土夯实</w:t>
                  </w:r>
                </w:p>
              </w:tc>
            </w:tr>
          </w:tbl>
          <w:p w14:paraId="054A4776">
            <w:pPr>
              <w:adjustRightInd w:val="0"/>
              <w:snapToGrid w:val="0"/>
              <w:jc w:val="center"/>
              <w:rPr>
                <w:rFonts w:eastAsia="仿宋_GB2312"/>
                <w:b/>
                <w:kern w:val="0"/>
              </w:rPr>
            </w:pPr>
            <w:r>
              <w:rPr>
                <w:rFonts w:eastAsia="仿宋_GB2312"/>
                <w:b/>
                <w:kern w:val="0"/>
              </w:rPr>
              <w:t>图4-4</w:t>
            </w:r>
            <w:r>
              <w:rPr>
                <w:rFonts w:hint="eastAsia" w:eastAsia="仿宋_GB2312"/>
                <w:b/>
                <w:kern w:val="0"/>
                <w:lang w:val="en-US" w:eastAsia="zh-CN"/>
              </w:rPr>
              <w:t xml:space="preserve">  </w:t>
            </w:r>
            <w:r>
              <w:rPr>
                <w:rFonts w:eastAsia="仿宋_GB2312"/>
                <w:b/>
                <w:kern w:val="0"/>
              </w:rPr>
              <w:t>危废暂存防渗结构示意图</w:t>
            </w:r>
          </w:p>
          <w:p w14:paraId="233866B5">
            <w:pPr>
              <w:adjustRightInd w:val="0"/>
              <w:snapToGrid w:val="0"/>
              <w:spacing w:beforeLines="50"/>
              <w:jc w:val="center"/>
              <w:rPr>
                <w:rFonts w:eastAsia="仿宋_GB2312"/>
                <w:kern w:val="0"/>
              </w:rPr>
            </w:pPr>
            <w:r>
              <w:rPr>
                <w:rFonts w:eastAsia="仿宋_GB2312"/>
                <w:kern w:val="0"/>
              </w:rPr>
              <w:drawing>
                <wp:inline distT="0" distB="0" distL="0" distR="0">
                  <wp:extent cx="3395345" cy="2337435"/>
                  <wp:effectExtent l="0" t="0" r="14605" b="5715"/>
                  <wp:docPr id="14"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3395345" cy="2337435"/>
                          </a:xfrm>
                          <a:prstGeom prst="rect">
                            <a:avLst/>
                          </a:prstGeom>
                          <a:noFill/>
                          <a:ln>
                            <a:noFill/>
                          </a:ln>
                        </pic:spPr>
                      </pic:pic>
                    </a:graphicData>
                  </a:graphic>
                </wp:inline>
              </w:drawing>
            </w:r>
          </w:p>
          <w:p w14:paraId="5B108B61">
            <w:pPr>
              <w:adjustRightInd w:val="0"/>
              <w:snapToGrid w:val="0"/>
              <w:spacing w:afterLines="50"/>
              <w:jc w:val="center"/>
              <w:rPr>
                <w:rFonts w:eastAsia="仿宋_GB2312"/>
                <w:b/>
                <w:kern w:val="0"/>
              </w:rPr>
            </w:pPr>
            <w:r>
              <w:rPr>
                <w:rFonts w:eastAsia="仿宋_GB2312"/>
                <w:b/>
                <w:kern w:val="0"/>
              </w:rPr>
              <w:t>图4-5</w:t>
            </w:r>
            <w:r>
              <w:rPr>
                <w:rFonts w:hint="eastAsia" w:eastAsia="仿宋_GB2312"/>
                <w:b/>
                <w:kern w:val="0"/>
                <w:lang w:val="en-US" w:eastAsia="zh-CN"/>
              </w:rPr>
              <w:t xml:space="preserve">  </w:t>
            </w:r>
            <w:r>
              <w:rPr>
                <w:rFonts w:eastAsia="仿宋_GB2312"/>
                <w:b/>
                <w:kern w:val="0"/>
              </w:rPr>
              <w:t>化粪池防渗层示意图</w:t>
            </w:r>
          </w:p>
          <w:p w14:paraId="5DBF1A3A">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eastAsia="仿宋_GB2312"/>
                <w:b/>
                <w:kern w:val="0"/>
              </w:rPr>
            </w:pPr>
            <w:r>
              <w:rPr>
                <w:rFonts w:eastAsia="仿宋_GB2312"/>
                <w:b/>
                <w:kern w:val="0"/>
              </w:rPr>
              <w:t>表4-3</w:t>
            </w:r>
            <w:r>
              <w:rPr>
                <w:rFonts w:hint="eastAsia" w:eastAsia="仿宋_GB2312"/>
                <w:b/>
                <w:kern w:val="0"/>
                <w:lang w:val="en-US" w:eastAsia="zh-CN"/>
              </w:rPr>
              <w:t xml:space="preserve">6  </w:t>
            </w:r>
            <w:r>
              <w:rPr>
                <w:rFonts w:eastAsia="仿宋_GB2312"/>
                <w:b/>
                <w:kern w:val="0"/>
              </w:rPr>
              <w:t>项目采取的防渗处理措施一览表</w:t>
            </w:r>
          </w:p>
          <w:tbl>
            <w:tblPr>
              <w:tblStyle w:val="3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246"/>
              <w:gridCol w:w="6597"/>
            </w:tblGrid>
            <w:tr w14:paraId="74563F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Align w:val="center"/>
                </w:tcPr>
                <w:p w14:paraId="52FCF58E">
                  <w:pPr>
                    <w:adjustRightInd w:val="0"/>
                    <w:snapToGrid w:val="0"/>
                    <w:jc w:val="center"/>
                    <w:rPr>
                      <w:rFonts w:eastAsia="仿宋_GB2312"/>
                      <w:b/>
                      <w:bCs/>
                      <w:kern w:val="0"/>
                      <w:sz w:val="21"/>
                      <w:szCs w:val="21"/>
                    </w:rPr>
                  </w:pPr>
                  <w:r>
                    <w:rPr>
                      <w:rFonts w:eastAsia="仿宋_GB2312"/>
                      <w:b/>
                      <w:bCs/>
                      <w:kern w:val="0"/>
                      <w:sz w:val="21"/>
                      <w:szCs w:val="21"/>
                    </w:rPr>
                    <w:t>序号</w:t>
                  </w:r>
                </w:p>
              </w:tc>
              <w:tc>
                <w:tcPr>
                  <w:tcW w:w="733" w:type="pct"/>
                  <w:vAlign w:val="center"/>
                </w:tcPr>
                <w:p w14:paraId="561B6A64">
                  <w:pPr>
                    <w:adjustRightInd w:val="0"/>
                    <w:snapToGrid w:val="0"/>
                    <w:jc w:val="center"/>
                    <w:rPr>
                      <w:rFonts w:eastAsia="仿宋_GB2312"/>
                      <w:b/>
                      <w:bCs/>
                      <w:kern w:val="0"/>
                      <w:sz w:val="21"/>
                      <w:szCs w:val="21"/>
                    </w:rPr>
                  </w:pPr>
                  <w:r>
                    <w:rPr>
                      <w:rFonts w:eastAsia="仿宋_GB2312"/>
                      <w:b/>
                      <w:bCs/>
                      <w:kern w:val="0"/>
                      <w:sz w:val="21"/>
                      <w:szCs w:val="21"/>
                    </w:rPr>
                    <w:t>主要环节</w:t>
                  </w:r>
                </w:p>
              </w:tc>
              <w:tc>
                <w:tcPr>
                  <w:tcW w:w="3883" w:type="pct"/>
                  <w:vAlign w:val="center"/>
                </w:tcPr>
                <w:p w14:paraId="7922AF5A">
                  <w:pPr>
                    <w:adjustRightInd w:val="0"/>
                    <w:snapToGrid w:val="0"/>
                    <w:jc w:val="center"/>
                    <w:rPr>
                      <w:rFonts w:eastAsia="仿宋_GB2312"/>
                      <w:b/>
                      <w:bCs/>
                      <w:kern w:val="0"/>
                      <w:sz w:val="21"/>
                      <w:szCs w:val="21"/>
                    </w:rPr>
                  </w:pPr>
                  <w:r>
                    <w:rPr>
                      <w:rFonts w:eastAsia="仿宋_GB2312"/>
                      <w:b/>
                      <w:bCs/>
                      <w:kern w:val="0"/>
                      <w:sz w:val="21"/>
                      <w:szCs w:val="21"/>
                    </w:rPr>
                    <w:t>防渗处理措施</w:t>
                  </w:r>
                </w:p>
              </w:tc>
            </w:tr>
            <w:tr w14:paraId="08F5C5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Align w:val="center"/>
                </w:tcPr>
                <w:p w14:paraId="796960FC">
                  <w:pPr>
                    <w:adjustRightInd w:val="0"/>
                    <w:snapToGrid w:val="0"/>
                    <w:jc w:val="center"/>
                    <w:rPr>
                      <w:rFonts w:eastAsia="仿宋_GB2312"/>
                      <w:kern w:val="0"/>
                      <w:sz w:val="21"/>
                      <w:szCs w:val="21"/>
                    </w:rPr>
                  </w:pPr>
                  <w:r>
                    <w:rPr>
                      <w:rFonts w:eastAsia="仿宋_GB2312"/>
                      <w:kern w:val="0"/>
                      <w:sz w:val="21"/>
                      <w:szCs w:val="21"/>
                    </w:rPr>
                    <w:t>1</w:t>
                  </w:r>
                </w:p>
              </w:tc>
              <w:tc>
                <w:tcPr>
                  <w:tcW w:w="733" w:type="pct"/>
                  <w:vAlign w:val="center"/>
                </w:tcPr>
                <w:p w14:paraId="08025F43">
                  <w:pPr>
                    <w:adjustRightInd w:val="0"/>
                    <w:snapToGrid w:val="0"/>
                    <w:jc w:val="center"/>
                    <w:rPr>
                      <w:rFonts w:eastAsia="仿宋_GB2312"/>
                      <w:kern w:val="0"/>
                      <w:sz w:val="21"/>
                      <w:szCs w:val="21"/>
                    </w:rPr>
                  </w:pPr>
                  <w:r>
                    <w:rPr>
                      <w:rFonts w:eastAsia="仿宋_GB2312"/>
                      <w:kern w:val="0"/>
                      <w:sz w:val="21"/>
                      <w:szCs w:val="21"/>
                    </w:rPr>
                    <w:t>重点防渗区</w:t>
                  </w:r>
                </w:p>
              </w:tc>
              <w:tc>
                <w:tcPr>
                  <w:tcW w:w="3883" w:type="pct"/>
                  <w:vAlign w:val="center"/>
                </w:tcPr>
                <w:p w14:paraId="1A69FC40">
                  <w:pPr>
                    <w:adjustRightInd w:val="0"/>
                    <w:snapToGrid w:val="0"/>
                    <w:rPr>
                      <w:rFonts w:eastAsia="仿宋_GB2312"/>
                      <w:color w:val="000000"/>
                      <w:kern w:val="0"/>
                      <w:sz w:val="21"/>
                      <w:szCs w:val="21"/>
                    </w:rPr>
                  </w:pPr>
                  <w:r>
                    <w:rPr>
                      <w:rFonts w:eastAsia="仿宋_GB2312"/>
                      <w:color w:val="000000"/>
                      <w:kern w:val="0"/>
                      <w:sz w:val="21"/>
                      <w:szCs w:val="21"/>
                    </w:rPr>
                    <w:t>对各环节(包括事故池、污水站、化粪池、危废库等)进行特殊防渗处理，参照国家《危险废物填埋污染控制标准》(GB 18598—2019)中的防渗设计要求，进行天然基础层、复合衬层或双人工衬层设计建设，采取高标准的防渗处理措施。</w:t>
                  </w:r>
                </w:p>
              </w:tc>
            </w:tr>
            <w:tr w14:paraId="3623B4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Align w:val="center"/>
                </w:tcPr>
                <w:p w14:paraId="6F6A428D">
                  <w:pPr>
                    <w:adjustRightInd w:val="0"/>
                    <w:snapToGrid w:val="0"/>
                    <w:jc w:val="center"/>
                    <w:rPr>
                      <w:rFonts w:eastAsia="仿宋_GB2312"/>
                      <w:kern w:val="0"/>
                      <w:sz w:val="21"/>
                      <w:szCs w:val="21"/>
                    </w:rPr>
                  </w:pPr>
                  <w:r>
                    <w:rPr>
                      <w:rFonts w:eastAsia="仿宋_GB2312"/>
                      <w:kern w:val="0"/>
                      <w:sz w:val="21"/>
                      <w:szCs w:val="21"/>
                    </w:rPr>
                    <w:t>2</w:t>
                  </w:r>
                </w:p>
              </w:tc>
              <w:tc>
                <w:tcPr>
                  <w:tcW w:w="733" w:type="pct"/>
                  <w:vAlign w:val="center"/>
                </w:tcPr>
                <w:p w14:paraId="59B76661">
                  <w:pPr>
                    <w:adjustRightInd w:val="0"/>
                    <w:snapToGrid w:val="0"/>
                    <w:jc w:val="center"/>
                    <w:rPr>
                      <w:rFonts w:eastAsia="仿宋_GB2312"/>
                      <w:kern w:val="0"/>
                      <w:sz w:val="21"/>
                      <w:szCs w:val="21"/>
                    </w:rPr>
                  </w:pPr>
                  <w:r>
                    <w:rPr>
                      <w:rFonts w:eastAsia="仿宋_GB2312"/>
                      <w:kern w:val="0"/>
                      <w:sz w:val="21"/>
                      <w:szCs w:val="21"/>
                    </w:rPr>
                    <w:t>一般防渗区</w:t>
                  </w:r>
                </w:p>
              </w:tc>
              <w:tc>
                <w:tcPr>
                  <w:tcW w:w="3883" w:type="pct"/>
                  <w:vAlign w:val="center"/>
                </w:tcPr>
                <w:p w14:paraId="2AFF83C4">
                  <w:pPr>
                    <w:adjustRightInd w:val="0"/>
                    <w:snapToGrid w:val="0"/>
                    <w:rPr>
                      <w:rFonts w:eastAsia="仿宋_GB2312"/>
                      <w:color w:val="000000"/>
                      <w:kern w:val="0"/>
                      <w:sz w:val="21"/>
                      <w:szCs w:val="21"/>
                    </w:rPr>
                  </w:pPr>
                  <w:r>
                    <w:rPr>
                      <w:rFonts w:eastAsia="仿宋_GB2312"/>
                      <w:color w:val="000000"/>
                      <w:kern w:val="0"/>
                      <w:sz w:val="21"/>
                      <w:szCs w:val="21"/>
                    </w:rPr>
                    <w:t>对各环节(包括其它生产车间、研发中心等)进行防渗处理，参照国家《一般工业固体废物贮存、处置场污染控制标准》(GB18599—2001)中的防渗设计要求，地坪混凝土防渗层抗渗等级不应小于P6，其厚度不宜小于100mm，其防渗层性能与1.5m厚粘土层（渗透系数1.0×10</w:t>
                  </w:r>
                  <w:r>
                    <w:rPr>
                      <w:rFonts w:eastAsia="仿宋_GB2312"/>
                      <w:color w:val="000000"/>
                      <w:kern w:val="0"/>
                      <w:sz w:val="21"/>
                      <w:szCs w:val="21"/>
                      <w:vertAlign w:val="superscript"/>
                    </w:rPr>
                    <w:t>-7</w:t>
                  </w:r>
                  <w:r>
                    <w:rPr>
                      <w:rFonts w:eastAsia="仿宋_GB2312"/>
                      <w:color w:val="000000"/>
                      <w:kern w:val="0"/>
                      <w:sz w:val="21"/>
                      <w:szCs w:val="21"/>
                    </w:rPr>
                    <w:t xml:space="preserve"> cm/s）等效。</w:t>
                  </w:r>
                </w:p>
              </w:tc>
            </w:tr>
            <w:tr w14:paraId="5FB96C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Align w:val="center"/>
                </w:tcPr>
                <w:p w14:paraId="742FEAD1">
                  <w:pPr>
                    <w:adjustRightInd w:val="0"/>
                    <w:snapToGrid w:val="0"/>
                    <w:jc w:val="center"/>
                    <w:rPr>
                      <w:rFonts w:eastAsia="仿宋_GB2312"/>
                      <w:kern w:val="0"/>
                      <w:sz w:val="21"/>
                      <w:szCs w:val="21"/>
                    </w:rPr>
                  </w:pPr>
                  <w:r>
                    <w:rPr>
                      <w:rFonts w:eastAsia="仿宋_GB2312"/>
                      <w:kern w:val="0"/>
                      <w:sz w:val="21"/>
                      <w:szCs w:val="21"/>
                    </w:rPr>
                    <w:t>3</w:t>
                  </w:r>
                </w:p>
              </w:tc>
              <w:tc>
                <w:tcPr>
                  <w:tcW w:w="733" w:type="pct"/>
                  <w:vAlign w:val="center"/>
                </w:tcPr>
                <w:p w14:paraId="07058388">
                  <w:pPr>
                    <w:adjustRightInd w:val="0"/>
                    <w:snapToGrid w:val="0"/>
                    <w:jc w:val="center"/>
                    <w:rPr>
                      <w:rFonts w:eastAsia="仿宋_GB2312"/>
                      <w:kern w:val="0"/>
                      <w:sz w:val="21"/>
                      <w:szCs w:val="21"/>
                    </w:rPr>
                  </w:pPr>
                  <w:r>
                    <w:rPr>
                      <w:rFonts w:eastAsia="仿宋_GB2312"/>
                      <w:kern w:val="0"/>
                      <w:sz w:val="21"/>
                      <w:szCs w:val="21"/>
                    </w:rPr>
                    <w:t>简单防渗区</w:t>
                  </w:r>
                </w:p>
              </w:tc>
              <w:tc>
                <w:tcPr>
                  <w:tcW w:w="3883" w:type="pct"/>
                  <w:vAlign w:val="center"/>
                </w:tcPr>
                <w:p w14:paraId="420DA73B">
                  <w:pPr>
                    <w:adjustRightInd w:val="0"/>
                    <w:snapToGrid w:val="0"/>
                    <w:rPr>
                      <w:rFonts w:eastAsia="仿宋_GB2312"/>
                      <w:kern w:val="0"/>
                      <w:sz w:val="21"/>
                      <w:szCs w:val="21"/>
                    </w:rPr>
                  </w:pPr>
                  <w:r>
                    <w:rPr>
                      <w:rFonts w:eastAsia="仿宋_GB2312"/>
                      <w:kern w:val="0"/>
                      <w:sz w:val="21"/>
                      <w:szCs w:val="21"/>
                    </w:rPr>
                    <w:t>自上而下采用人工大理石+水泥防渗结构，路面全部进行粘土夯实、混凝硬化。</w:t>
                  </w:r>
                </w:p>
              </w:tc>
            </w:tr>
          </w:tbl>
          <w:p w14:paraId="183E296C">
            <w:pPr>
              <w:pStyle w:val="2"/>
              <w:adjustRightInd w:val="0"/>
              <w:snapToGrid w:val="0"/>
              <w:spacing w:before="0" w:after="0" w:line="360" w:lineRule="auto"/>
              <w:ind w:left="420" w:leftChars="200"/>
              <w:rPr>
                <w:rFonts w:eastAsia="仿宋_GB2312"/>
                <w:sz w:val="21"/>
                <w:szCs w:val="21"/>
              </w:rPr>
            </w:pPr>
            <w:bookmarkStart w:id="53" w:name="_Toc28104"/>
            <w:bookmarkStart w:id="54" w:name="_Toc19764"/>
            <w:bookmarkStart w:id="55" w:name="_Toc24002"/>
            <w:r>
              <w:rPr>
                <w:rFonts w:eastAsia="仿宋_GB2312"/>
                <w:sz w:val="21"/>
                <w:szCs w:val="21"/>
              </w:rPr>
              <w:t>（2）土壤污染防治措施评述</w:t>
            </w:r>
            <w:bookmarkEnd w:id="53"/>
            <w:bookmarkEnd w:id="54"/>
            <w:bookmarkEnd w:id="55"/>
          </w:p>
          <w:p w14:paraId="27D52526">
            <w:pPr>
              <w:adjustRightInd w:val="0"/>
              <w:snapToGrid w:val="0"/>
              <w:spacing w:line="360" w:lineRule="auto"/>
              <w:ind w:firstLine="420" w:firstLineChars="200"/>
              <w:rPr>
                <w:rFonts w:ascii="Times New Roman" w:hAnsi="Times New Roman" w:eastAsia="仿宋_GB2312" w:cs="Times New Roman"/>
              </w:rPr>
            </w:pPr>
            <w:r>
              <w:rPr>
                <w:rFonts w:ascii="Times New Roman" w:hAnsi="Times New Roman" w:eastAsia="仿宋_GB2312" w:cs="Times New Roman"/>
              </w:rPr>
              <w:t xml:space="preserve">1、源头控制措施 </w:t>
            </w:r>
          </w:p>
          <w:p w14:paraId="00531D28">
            <w:pPr>
              <w:adjustRightInd w:val="0"/>
              <w:snapToGrid w:val="0"/>
              <w:spacing w:line="360" w:lineRule="auto"/>
              <w:ind w:firstLine="420" w:firstLineChars="200"/>
              <w:rPr>
                <w:rFonts w:ascii="Times New Roman" w:hAnsi="Times New Roman" w:eastAsia="仿宋_GB2312" w:cs="Times New Roman"/>
              </w:rPr>
            </w:pPr>
            <w:r>
              <w:rPr>
                <w:rFonts w:ascii="Times New Roman" w:hAnsi="Times New Roman" w:eastAsia="仿宋_GB2312" w:cs="Times New Roman"/>
              </w:rPr>
              <w:t>本项目土壤污染源头控制措施主要是减少项目废气、固体废物等污染物的产生及排放量。本环评报告主要提出如下措施：</w:t>
            </w:r>
          </w:p>
          <w:p w14:paraId="1662ACBD">
            <w:pPr>
              <w:adjustRightInd w:val="0"/>
              <w:snapToGrid w:val="0"/>
              <w:spacing w:line="360" w:lineRule="auto"/>
              <w:ind w:firstLine="420" w:firstLineChars="200"/>
              <w:rPr>
                <w:rFonts w:hint="default" w:ascii="Times New Roman" w:hAnsi="Times New Roman" w:eastAsia="仿宋_GB2312" w:cs="Times New Roman"/>
              </w:rPr>
            </w:pPr>
            <w:r>
              <w:rPr>
                <w:rFonts w:hint="default" w:ascii="Times New Roman" w:hAnsi="Times New Roman" w:eastAsia="仿宋_GB2312" w:cs="Times New Roman"/>
              </w:rPr>
              <w:t>①企业应加强对废气治理措施的管理和维护，确保各污染物达标排放，有效减少废气污染物通过沉降或降水进入土壤的量。</w:t>
            </w:r>
          </w:p>
          <w:p w14:paraId="234B3254">
            <w:pPr>
              <w:adjustRightInd w:val="0"/>
              <w:snapToGrid w:val="0"/>
              <w:spacing w:line="360" w:lineRule="auto"/>
              <w:ind w:firstLine="420" w:firstLineChars="200"/>
              <w:rPr>
                <w:rFonts w:hint="default" w:ascii="Times New Roman" w:hAnsi="Times New Roman" w:eastAsia="仿宋_GB2312" w:cs="Times New Roman"/>
              </w:rPr>
            </w:pPr>
            <w:r>
              <w:rPr>
                <w:rFonts w:hint="default" w:ascii="Times New Roman" w:hAnsi="Times New Roman" w:eastAsia="仿宋_GB2312" w:cs="Times New Roman"/>
              </w:rPr>
              <w:t>②选用先进、高效的污染治理工艺，保证污染防治设施稳定运行，减少污染物排放。</w:t>
            </w:r>
          </w:p>
          <w:p w14:paraId="685FCF50">
            <w:pPr>
              <w:adjustRightInd w:val="0"/>
              <w:snapToGrid w:val="0"/>
              <w:spacing w:line="360" w:lineRule="auto"/>
              <w:ind w:firstLine="420" w:firstLineChars="200"/>
              <w:rPr>
                <w:rFonts w:hint="default" w:ascii="Times New Roman" w:hAnsi="Times New Roman" w:eastAsia="仿宋_GB2312" w:cs="Times New Roman"/>
              </w:rPr>
            </w:pPr>
            <w:r>
              <w:rPr>
                <w:rFonts w:hint="default" w:ascii="Times New Roman" w:hAnsi="Times New Roman" w:eastAsia="仿宋_GB2312" w:cs="Times New Roman"/>
                <w:lang w:val="en-US" w:eastAsia="zh-CN"/>
              </w:rPr>
              <w:t>③</w:t>
            </w:r>
            <w:r>
              <w:rPr>
                <w:rFonts w:hint="default" w:ascii="Times New Roman" w:hAnsi="Times New Roman" w:eastAsia="仿宋_GB2312" w:cs="Times New Roman"/>
              </w:rPr>
              <w:t>确保固体废物合理处置。</w:t>
            </w:r>
          </w:p>
          <w:p w14:paraId="44F0AF32">
            <w:pPr>
              <w:adjustRightInd w:val="0"/>
              <w:snapToGrid w:val="0"/>
              <w:spacing w:line="360" w:lineRule="auto"/>
              <w:ind w:firstLine="420" w:firstLineChars="200"/>
              <w:rPr>
                <w:rFonts w:hint="eastAsia" w:ascii="Times New Roman" w:hAnsi="Times New Roman" w:eastAsia="仿宋_GB2312" w:cs="Times New Roman"/>
                <w:lang w:val="en-US" w:eastAsia="zh-CN"/>
              </w:rPr>
            </w:pPr>
            <w:r>
              <w:rPr>
                <w:rFonts w:hint="default" w:ascii="Times New Roman" w:hAnsi="Times New Roman" w:eastAsia="仿宋_GB2312" w:cs="Times New Roman"/>
                <w:lang w:val="en-US" w:eastAsia="zh-CN"/>
              </w:rPr>
              <w:t>④</w:t>
            </w:r>
            <w:r>
              <w:rPr>
                <w:rFonts w:ascii="Times New Roman" w:hAnsi="Times New Roman" w:eastAsia="仿宋_GB2312" w:cs="Times New Roman"/>
              </w:rPr>
              <w:t>工艺管道、设备、污水处理设施均采取防腐、防渗漏措施，定期检查管道、</w:t>
            </w:r>
            <w:r>
              <w:rPr>
                <w:rFonts w:hint="eastAsia" w:ascii="Times New Roman" w:hAnsi="Times New Roman" w:eastAsia="仿宋_GB2312" w:cs="Times New Roman"/>
                <w:lang w:val="en-US" w:eastAsia="zh-CN"/>
              </w:rPr>
              <w:t>储罐、</w:t>
            </w:r>
            <w:r>
              <w:rPr>
                <w:rFonts w:ascii="Times New Roman" w:hAnsi="Times New Roman" w:eastAsia="仿宋_GB2312" w:cs="Times New Roman"/>
              </w:rPr>
              <w:t>构筑物状态，防止污染物“跑、冒、滴、漏”。</w:t>
            </w:r>
          </w:p>
          <w:p w14:paraId="4A4B5C8F">
            <w:pPr>
              <w:adjustRightInd w:val="0"/>
              <w:snapToGrid w:val="0"/>
              <w:spacing w:line="360" w:lineRule="auto"/>
              <w:ind w:firstLine="420" w:firstLineChars="200"/>
              <w:rPr>
                <w:rFonts w:ascii="Times New Roman" w:hAnsi="Times New Roman" w:eastAsia="仿宋_GB2312" w:cs="Times New Roman"/>
              </w:rPr>
            </w:pPr>
            <w:r>
              <w:rPr>
                <w:rFonts w:hint="eastAsia" w:ascii="Times New Roman" w:hAnsi="Times New Roman" w:eastAsia="仿宋_GB2312" w:cs="Times New Roman"/>
                <w:lang w:val="en-US" w:eastAsia="zh-CN"/>
              </w:rPr>
              <w:t>2、</w:t>
            </w:r>
            <w:r>
              <w:rPr>
                <w:rFonts w:ascii="Times New Roman" w:hAnsi="Times New Roman" w:eastAsia="仿宋_GB2312" w:cs="Times New Roman"/>
              </w:rPr>
              <w:t>过程控制措施</w:t>
            </w:r>
          </w:p>
          <w:p w14:paraId="3D7E946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textAlignment w:val="auto"/>
              <w:rPr>
                <w:rFonts w:ascii="Times New Roman" w:hAnsi="Times New Roman" w:eastAsia="仿宋_GB2312" w:cs="Times New Roman"/>
              </w:rPr>
            </w:pPr>
            <w:r>
              <w:rPr>
                <w:rFonts w:hint="default" w:ascii="Times New Roman" w:hAnsi="Times New Roman" w:eastAsia="仿宋_GB2312" w:cs="Times New Roman"/>
              </w:rPr>
              <w:t>①</w:t>
            </w:r>
            <w:r>
              <w:rPr>
                <w:rFonts w:ascii="Times New Roman" w:hAnsi="Times New Roman" w:eastAsia="仿宋_GB2312" w:cs="Times New Roman"/>
              </w:rPr>
              <w:t>项目建设单位在占地范围内采取绿化措施，以种植具有较强吸附能力的植物为主，加大对废气污染物的吸附量，减少最终进入土壤的污染物量，从而</w:t>
            </w:r>
            <w:r>
              <w:rPr>
                <w:rFonts w:hint="eastAsia" w:eastAsia="仿宋_GB2312" w:cs="Times New Roman"/>
                <w:lang w:eastAsia="zh-CN"/>
              </w:rPr>
              <w:t>减少</w:t>
            </w:r>
            <w:r>
              <w:rPr>
                <w:rFonts w:ascii="Times New Roman" w:hAnsi="Times New Roman" w:eastAsia="仿宋_GB2312" w:cs="Times New Roman"/>
              </w:rPr>
              <w:t>对土壤的污染；</w:t>
            </w:r>
          </w:p>
          <w:p w14:paraId="48982835">
            <w:pPr>
              <w:adjustRightInd w:val="0"/>
              <w:snapToGrid w:val="0"/>
              <w:spacing w:line="360" w:lineRule="auto"/>
              <w:ind w:firstLine="420" w:firstLineChars="200"/>
              <w:rPr>
                <w:rFonts w:ascii="Times New Roman" w:hAnsi="Times New Roman" w:eastAsia="仿宋_GB2312" w:cs="Times New Roman"/>
              </w:rPr>
            </w:pPr>
            <w:r>
              <w:rPr>
                <w:rFonts w:hint="default" w:ascii="Times New Roman" w:hAnsi="Times New Roman" w:eastAsia="仿宋_GB2312" w:cs="Times New Roman"/>
              </w:rPr>
              <w:t>②</w:t>
            </w:r>
            <w:r>
              <w:rPr>
                <w:rFonts w:eastAsia="仿宋_GB2312"/>
              </w:rPr>
              <w:t>对生产车间、</w:t>
            </w:r>
            <w:r>
              <w:rPr>
                <w:rFonts w:hint="eastAsia" w:eastAsia="仿宋_GB2312"/>
                <w:lang w:val="en-US" w:eastAsia="zh-CN"/>
              </w:rPr>
              <w:t>储罐、</w:t>
            </w:r>
            <w:r>
              <w:rPr>
                <w:rFonts w:eastAsia="仿宋_GB2312"/>
              </w:rPr>
              <w:t>污水处理设施底部须采取防渗措施，建设防渗地坪。固废暂存场所要做的防渗、防漏、防雨淋、防晒等，避免固废中的有毒物质渗入土壤。设置的固废仓库要符合规范要求，渗滤液要收集，防止其泄漏。另外，仓库等地面也要具有防渗功能。</w:t>
            </w:r>
          </w:p>
          <w:p w14:paraId="1C478E9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textAlignment w:val="auto"/>
              <w:rPr>
                <w:rFonts w:ascii="Times New Roman" w:hAnsi="Times New Roman" w:eastAsia="仿宋_GB2312" w:cs="Times New Roman"/>
              </w:rPr>
            </w:pPr>
            <w:r>
              <w:rPr>
                <w:rFonts w:hint="default" w:ascii="Times New Roman" w:hAnsi="Times New Roman" w:eastAsia="仿宋_GB2312" w:cs="Times New Roman"/>
                <w:lang w:val="en-US" w:eastAsia="zh-CN"/>
              </w:rPr>
              <w:t>③</w:t>
            </w:r>
            <w:r>
              <w:rPr>
                <w:rFonts w:ascii="Times New Roman" w:hAnsi="Times New Roman" w:eastAsia="仿宋_GB2312" w:cs="Times New Roman"/>
              </w:rPr>
              <w:t>在管理方面严加管理，并采取相应的防渗措施可有效</w:t>
            </w:r>
            <w:r>
              <w:rPr>
                <w:rFonts w:hint="eastAsia" w:eastAsia="仿宋_GB2312" w:cs="Times New Roman"/>
                <w:lang w:eastAsia="zh-CN"/>
              </w:rPr>
              <w:t>防止</w:t>
            </w:r>
            <w:r>
              <w:rPr>
                <w:rFonts w:ascii="Times New Roman" w:hAnsi="Times New Roman" w:eastAsia="仿宋_GB2312" w:cs="Times New Roman"/>
              </w:rPr>
              <w:t>生产过程中因废水泄漏造成对区域土壤环境的污染。在全面落实分区防渗措施的情况下，物料或污染物的垂直入渗对地下水、土壤影响较小。</w:t>
            </w:r>
          </w:p>
          <w:p w14:paraId="5538859A">
            <w:pPr>
              <w:widowControl/>
              <w:autoSpaceDE w:val="0"/>
              <w:autoSpaceDN w:val="0"/>
              <w:adjustRightInd w:val="0"/>
              <w:snapToGrid w:val="0"/>
              <w:spacing w:line="360" w:lineRule="auto"/>
              <w:ind w:firstLine="422" w:firstLineChars="200"/>
              <w:rPr>
                <w:rFonts w:eastAsia="仿宋_GB2312"/>
                <w:b/>
                <w:kern w:val="0"/>
              </w:rPr>
            </w:pPr>
            <w:r>
              <w:rPr>
                <w:rFonts w:eastAsia="仿宋_GB2312"/>
                <w:b/>
                <w:kern w:val="0"/>
              </w:rPr>
              <w:t>（3）跟踪监测计划</w:t>
            </w:r>
          </w:p>
          <w:p w14:paraId="55013133">
            <w:pPr>
              <w:widowControl/>
              <w:adjustRightInd w:val="0"/>
              <w:snapToGrid w:val="0"/>
              <w:spacing w:line="360" w:lineRule="auto"/>
              <w:ind w:firstLine="420" w:firstLineChars="200"/>
              <w:rPr>
                <w:rFonts w:eastAsia="仿宋_GB2312"/>
                <w:kern w:val="0"/>
              </w:rPr>
            </w:pPr>
            <w:r>
              <w:rPr>
                <w:rFonts w:eastAsia="仿宋_GB2312"/>
                <w:kern w:val="0"/>
              </w:rPr>
              <w:t>企业应根据实际情况，开展地下水、土壤环境跟踪监测与信息公开计划，落实跟踪监测报告编制的责任主体，明确跟踪监测报告的内容，根据《工业企业土壤和地下水自行监测技术指南（试行）》（HJ 1209—2021），具体监测点位、监测指标、监测频次见下表。</w:t>
            </w:r>
          </w:p>
          <w:p w14:paraId="76622C8D">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eastAsia="仿宋_GB2312"/>
                <w:b/>
                <w:kern w:val="0"/>
              </w:rPr>
            </w:pPr>
            <w:r>
              <w:rPr>
                <w:rFonts w:eastAsia="仿宋_GB2312"/>
                <w:b/>
                <w:kern w:val="0"/>
              </w:rPr>
              <w:t>表4-3</w:t>
            </w:r>
            <w:r>
              <w:rPr>
                <w:rFonts w:hint="eastAsia" w:eastAsia="仿宋_GB2312"/>
                <w:b/>
                <w:kern w:val="0"/>
                <w:lang w:val="en-US" w:eastAsia="zh-CN"/>
              </w:rPr>
              <w:t xml:space="preserve">7  </w:t>
            </w:r>
            <w:r>
              <w:rPr>
                <w:rFonts w:eastAsia="仿宋_GB2312"/>
                <w:b/>
                <w:kern w:val="0"/>
              </w:rPr>
              <w:t>地下水环境质量跟踪监测方案</w:t>
            </w:r>
          </w:p>
          <w:tbl>
            <w:tblPr>
              <w:tblStyle w:val="3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2679"/>
              <w:gridCol w:w="2817"/>
              <w:gridCol w:w="1023"/>
              <w:gridCol w:w="1974"/>
            </w:tblGrid>
            <w:tr w14:paraId="2D4D97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77" w:type="pct"/>
                  <w:vAlign w:val="center"/>
                </w:tcPr>
                <w:p w14:paraId="1B5994F5">
                  <w:pPr>
                    <w:widowControl/>
                    <w:adjustRightInd w:val="0"/>
                    <w:snapToGrid w:val="0"/>
                    <w:jc w:val="center"/>
                    <w:rPr>
                      <w:rFonts w:eastAsia="仿宋_GB2312"/>
                      <w:b/>
                      <w:kern w:val="0"/>
                      <w:sz w:val="21"/>
                      <w:szCs w:val="21"/>
                    </w:rPr>
                  </w:pPr>
                  <w:r>
                    <w:rPr>
                      <w:rFonts w:eastAsia="仿宋_GB2312"/>
                      <w:b/>
                      <w:kern w:val="0"/>
                      <w:sz w:val="21"/>
                      <w:szCs w:val="21"/>
                    </w:rPr>
                    <w:t>监测点位</w:t>
                  </w:r>
                </w:p>
              </w:tc>
              <w:tc>
                <w:tcPr>
                  <w:tcW w:w="1658" w:type="pct"/>
                  <w:vAlign w:val="center"/>
                </w:tcPr>
                <w:p w14:paraId="43E1F11A">
                  <w:pPr>
                    <w:widowControl/>
                    <w:adjustRightInd w:val="0"/>
                    <w:snapToGrid w:val="0"/>
                    <w:jc w:val="center"/>
                    <w:rPr>
                      <w:rFonts w:eastAsia="仿宋_GB2312"/>
                      <w:b/>
                      <w:kern w:val="0"/>
                      <w:sz w:val="21"/>
                      <w:szCs w:val="21"/>
                    </w:rPr>
                  </w:pPr>
                  <w:r>
                    <w:rPr>
                      <w:rFonts w:eastAsia="仿宋_GB2312"/>
                      <w:b/>
                      <w:kern w:val="0"/>
                      <w:sz w:val="21"/>
                      <w:szCs w:val="21"/>
                    </w:rPr>
                    <w:t>监测指标</w:t>
                  </w:r>
                </w:p>
              </w:tc>
              <w:tc>
                <w:tcPr>
                  <w:tcW w:w="602" w:type="pct"/>
                  <w:vAlign w:val="center"/>
                </w:tcPr>
                <w:p w14:paraId="1D522962">
                  <w:pPr>
                    <w:widowControl/>
                    <w:adjustRightInd w:val="0"/>
                    <w:snapToGrid w:val="0"/>
                    <w:jc w:val="center"/>
                    <w:rPr>
                      <w:rFonts w:eastAsia="仿宋_GB2312"/>
                      <w:b/>
                      <w:kern w:val="0"/>
                      <w:sz w:val="21"/>
                      <w:szCs w:val="21"/>
                    </w:rPr>
                  </w:pPr>
                  <w:r>
                    <w:rPr>
                      <w:rFonts w:eastAsia="仿宋_GB2312"/>
                      <w:b/>
                      <w:kern w:val="0"/>
                      <w:sz w:val="21"/>
                      <w:szCs w:val="21"/>
                    </w:rPr>
                    <w:t>监测频次</w:t>
                  </w:r>
                </w:p>
              </w:tc>
              <w:tc>
                <w:tcPr>
                  <w:tcW w:w="1162" w:type="pct"/>
                  <w:vAlign w:val="center"/>
                </w:tcPr>
                <w:p w14:paraId="632C61F9">
                  <w:pPr>
                    <w:widowControl/>
                    <w:adjustRightInd w:val="0"/>
                    <w:snapToGrid w:val="0"/>
                    <w:jc w:val="center"/>
                    <w:rPr>
                      <w:rFonts w:eastAsia="仿宋_GB2312"/>
                      <w:b/>
                      <w:kern w:val="0"/>
                      <w:sz w:val="21"/>
                      <w:szCs w:val="21"/>
                    </w:rPr>
                  </w:pPr>
                  <w:r>
                    <w:rPr>
                      <w:rFonts w:eastAsia="仿宋_GB2312"/>
                      <w:b/>
                      <w:kern w:val="0"/>
                      <w:sz w:val="21"/>
                      <w:szCs w:val="21"/>
                    </w:rPr>
                    <w:t>执行环境质量标准</w:t>
                  </w:r>
                </w:p>
              </w:tc>
            </w:tr>
            <w:tr w14:paraId="3066C1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77" w:type="pct"/>
                  <w:vAlign w:val="center"/>
                </w:tcPr>
                <w:p w14:paraId="3B95F6C6">
                  <w:pPr>
                    <w:widowControl/>
                    <w:adjustRightInd w:val="0"/>
                    <w:snapToGrid w:val="0"/>
                    <w:jc w:val="center"/>
                    <w:rPr>
                      <w:rFonts w:eastAsia="仿宋_GB2312"/>
                      <w:b/>
                      <w:kern w:val="0"/>
                      <w:sz w:val="21"/>
                      <w:szCs w:val="21"/>
                    </w:rPr>
                  </w:pPr>
                  <w:r>
                    <w:rPr>
                      <w:rFonts w:eastAsia="仿宋_GB2312"/>
                      <w:bCs/>
                      <w:kern w:val="0"/>
                      <w:sz w:val="21"/>
                      <w:szCs w:val="21"/>
                    </w:rPr>
                    <w:t>企业上游设置对照监测点布设1个</w:t>
                  </w:r>
                </w:p>
              </w:tc>
              <w:tc>
                <w:tcPr>
                  <w:tcW w:w="1658" w:type="pct"/>
                  <w:vMerge w:val="restart"/>
                  <w:vAlign w:val="center"/>
                </w:tcPr>
                <w:p w14:paraId="441F5167">
                  <w:pPr>
                    <w:widowControl/>
                    <w:adjustRightInd w:val="0"/>
                    <w:snapToGrid w:val="0"/>
                    <w:jc w:val="center"/>
                    <w:rPr>
                      <w:rFonts w:eastAsia="仿宋_GB2312"/>
                      <w:bCs/>
                      <w:kern w:val="0"/>
                      <w:sz w:val="21"/>
                      <w:szCs w:val="21"/>
                    </w:rPr>
                  </w:pPr>
                  <w:r>
                    <w:rPr>
                      <w:rFonts w:eastAsia="仿宋_GB2312"/>
                      <w:snapToGrid w:val="0"/>
                      <w:kern w:val="0"/>
                      <w:sz w:val="21"/>
                      <w:szCs w:val="21"/>
                    </w:rPr>
                    <w:t>水位、pH值、K</w:t>
                  </w:r>
                  <w:r>
                    <w:rPr>
                      <w:rFonts w:eastAsia="仿宋_GB2312"/>
                      <w:snapToGrid w:val="0"/>
                      <w:kern w:val="0"/>
                      <w:sz w:val="21"/>
                      <w:szCs w:val="21"/>
                      <w:vertAlign w:val="superscript"/>
                    </w:rPr>
                    <w:t>+</w:t>
                  </w:r>
                  <w:r>
                    <w:rPr>
                      <w:rFonts w:eastAsia="仿宋_GB2312"/>
                      <w:snapToGrid w:val="0"/>
                      <w:kern w:val="0"/>
                      <w:sz w:val="21"/>
                      <w:szCs w:val="21"/>
                    </w:rPr>
                    <w:t>、Na</w:t>
                  </w:r>
                  <w:r>
                    <w:rPr>
                      <w:rFonts w:eastAsia="仿宋_GB2312"/>
                      <w:snapToGrid w:val="0"/>
                      <w:kern w:val="0"/>
                      <w:sz w:val="21"/>
                      <w:szCs w:val="21"/>
                      <w:vertAlign w:val="superscript"/>
                    </w:rPr>
                    <w:t>+</w:t>
                  </w:r>
                  <w:r>
                    <w:rPr>
                      <w:rFonts w:eastAsia="仿宋_GB2312"/>
                      <w:snapToGrid w:val="0"/>
                      <w:kern w:val="0"/>
                      <w:sz w:val="21"/>
                      <w:szCs w:val="21"/>
                    </w:rPr>
                    <w:t>、Ca</w:t>
                  </w:r>
                  <w:r>
                    <w:rPr>
                      <w:rFonts w:eastAsia="仿宋_GB2312"/>
                      <w:snapToGrid w:val="0"/>
                      <w:kern w:val="0"/>
                      <w:sz w:val="21"/>
                      <w:szCs w:val="21"/>
                      <w:vertAlign w:val="superscript"/>
                    </w:rPr>
                    <w:t>2+</w:t>
                  </w:r>
                  <w:r>
                    <w:rPr>
                      <w:rFonts w:eastAsia="仿宋_GB2312"/>
                      <w:snapToGrid w:val="0"/>
                      <w:kern w:val="0"/>
                      <w:sz w:val="21"/>
                      <w:szCs w:val="21"/>
                    </w:rPr>
                    <w:t>、Mg</w:t>
                  </w:r>
                  <w:r>
                    <w:rPr>
                      <w:rFonts w:eastAsia="仿宋_GB2312"/>
                      <w:snapToGrid w:val="0"/>
                      <w:kern w:val="0"/>
                      <w:sz w:val="21"/>
                      <w:szCs w:val="21"/>
                      <w:vertAlign w:val="superscript"/>
                    </w:rPr>
                    <w:t>2+</w:t>
                  </w:r>
                  <w:r>
                    <w:rPr>
                      <w:rFonts w:eastAsia="仿宋_GB2312"/>
                      <w:snapToGrid w:val="0"/>
                      <w:kern w:val="0"/>
                      <w:sz w:val="21"/>
                      <w:szCs w:val="21"/>
                    </w:rPr>
                    <w:t>、CO</w:t>
                  </w:r>
                  <w:r>
                    <w:rPr>
                      <w:rFonts w:eastAsia="仿宋_GB2312"/>
                      <w:snapToGrid w:val="0"/>
                      <w:kern w:val="0"/>
                      <w:sz w:val="21"/>
                      <w:szCs w:val="21"/>
                      <w:vertAlign w:val="subscript"/>
                    </w:rPr>
                    <w:t>3</w:t>
                  </w:r>
                  <w:r>
                    <w:rPr>
                      <w:rFonts w:eastAsia="仿宋_GB2312"/>
                      <w:snapToGrid w:val="0"/>
                      <w:kern w:val="0"/>
                      <w:sz w:val="21"/>
                      <w:szCs w:val="21"/>
                      <w:vertAlign w:val="superscript"/>
                    </w:rPr>
                    <w:t>2-</w:t>
                  </w:r>
                  <w:r>
                    <w:rPr>
                      <w:rFonts w:eastAsia="仿宋_GB2312"/>
                      <w:snapToGrid w:val="0"/>
                      <w:kern w:val="0"/>
                      <w:sz w:val="21"/>
                      <w:szCs w:val="21"/>
                    </w:rPr>
                    <w:t>、HCO</w:t>
                  </w:r>
                  <w:r>
                    <w:rPr>
                      <w:rFonts w:eastAsia="仿宋_GB2312"/>
                      <w:snapToGrid w:val="0"/>
                      <w:kern w:val="0"/>
                      <w:sz w:val="21"/>
                      <w:szCs w:val="21"/>
                      <w:vertAlign w:val="subscript"/>
                    </w:rPr>
                    <w:t>3</w:t>
                  </w:r>
                  <w:r>
                    <w:rPr>
                      <w:rFonts w:eastAsia="仿宋_GB2312"/>
                      <w:snapToGrid w:val="0"/>
                      <w:kern w:val="0"/>
                      <w:sz w:val="21"/>
                      <w:szCs w:val="21"/>
                      <w:vertAlign w:val="superscript"/>
                    </w:rPr>
                    <w:t>-</w:t>
                  </w:r>
                  <w:r>
                    <w:rPr>
                      <w:rFonts w:eastAsia="仿宋_GB2312"/>
                      <w:snapToGrid w:val="0"/>
                      <w:kern w:val="0"/>
                      <w:sz w:val="21"/>
                      <w:szCs w:val="21"/>
                    </w:rPr>
                    <w:t>、Cl</w:t>
                  </w:r>
                  <w:r>
                    <w:rPr>
                      <w:rFonts w:eastAsia="仿宋_GB2312"/>
                      <w:snapToGrid w:val="0"/>
                      <w:kern w:val="0"/>
                      <w:sz w:val="21"/>
                      <w:szCs w:val="21"/>
                      <w:vertAlign w:val="superscript"/>
                    </w:rPr>
                    <w:t>-</w:t>
                  </w:r>
                  <w:r>
                    <w:rPr>
                      <w:rFonts w:eastAsia="仿宋_GB2312"/>
                      <w:snapToGrid w:val="0"/>
                      <w:kern w:val="0"/>
                      <w:sz w:val="21"/>
                      <w:szCs w:val="21"/>
                    </w:rPr>
                    <w:t>、SO</w:t>
                  </w:r>
                  <w:r>
                    <w:rPr>
                      <w:rFonts w:eastAsia="仿宋_GB2312"/>
                      <w:snapToGrid w:val="0"/>
                      <w:kern w:val="0"/>
                      <w:sz w:val="21"/>
                      <w:szCs w:val="21"/>
                      <w:vertAlign w:val="subscript"/>
                    </w:rPr>
                    <w:t>4</w:t>
                  </w:r>
                  <w:r>
                    <w:rPr>
                      <w:rFonts w:eastAsia="仿宋_GB2312"/>
                      <w:snapToGrid w:val="0"/>
                      <w:kern w:val="0"/>
                      <w:sz w:val="21"/>
                      <w:szCs w:val="21"/>
                      <w:vertAlign w:val="superscript"/>
                    </w:rPr>
                    <w:t>2-</w:t>
                  </w:r>
                  <w:r>
                    <w:rPr>
                      <w:rFonts w:eastAsia="仿宋_GB2312"/>
                      <w:snapToGrid w:val="0"/>
                      <w:kern w:val="0"/>
                      <w:sz w:val="21"/>
                      <w:szCs w:val="21"/>
                    </w:rPr>
                    <w:t>、氨氮、硝酸盐、亚硝酸盐、挥发性酚类、砷、汞、铬（六价）、总硬度、铅、氟、镉、铁、锰、溶解性总固体、硫酸盐、氯化物、总大肠菌群、细菌总数</w:t>
                  </w:r>
                </w:p>
              </w:tc>
              <w:tc>
                <w:tcPr>
                  <w:tcW w:w="602" w:type="pct"/>
                  <w:vMerge w:val="restart"/>
                  <w:vAlign w:val="center"/>
                </w:tcPr>
                <w:p w14:paraId="4C7041F7">
                  <w:pPr>
                    <w:widowControl/>
                    <w:adjustRightInd w:val="0"/>
                    <w:snapToGrid w:val="0"/>
                    <w:jc w:val="center"/>
                    <w:rPr>
                      <w:rFonts w:eastAsia="仿宋_GB2312"/>
                      <w:bCs/>
                      <w:kern w:val="0"/>
                      <w:sz w:val="21"/>
                      <w:szCs w:val="21"/>
                    </w:rPr>
                  </w:pPr>
                  <w:r>
                    <w:rPr>
                      <w:rFonts w:eastAsia="仿宋_GB2312"/>
                      <w:kern w:val="0"/>
                      <w:sz w:val="21"/>
                      <w:szCs w:val="21"/>
                    </w:rPr>
                    <w:t>1次/1年</w:t>
                  </w:r>
                </w:p>
              </w:tc>
              <w:tc>
                <w:tcPr>
                  <w:tcW w:w="1162" w:type="pct"/>
                  <w:vMerge w:val="restart"/>
                  <w:vAlign w:val="center"/>
                </w:tcPr>
                <w:p w14:paraId="08A025FA">
                  <w:pPr>
                    <w:widowControl/>
                    <w:adjustRightInd w:val="0"/>
                    <w:snapToGrid w:val="0"/>
                    <w:jc w:val="center"/>
                    <w:rPr>
                      <w:rFonts w:eastAsia="仿宋_GB2312"/>
                      <w:kern w:val="0"/>
                      <w:sz w:val="21"/>
                      <w:szCs w:val="21"/>
                    </w:rPr>
                  </w:pPr>
                  <w:r>
                    <w:rPr>
                      <w:rFonts w:eastAsia="仿宋_GB2312"/>
                      <w:kern w:val="0"/>
                      <w:sz w:val="21"/>
                      <w:szCs w:val="21"/>
                    </w:rPr>
                    <w:t>《地下水质量标准》（GB/T14848-2017）</w:t>
                  </w:r>
                </w:p>
              </w:tc>
            </w:tr>
            <w:tr w14:paraId="5C0205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137" w:hRule="atLeast"/>
                <w:jc w:val="center"/>
              </w:trPr>
              <w:tc>
                <w:tcPr>
                  <w:tcW w:w="1577" w:type="pct"/>
                  <w:vAlign w:val="center"/>
                </w:tcPr>
                <w:p w14:paraId="1523C5F6">
                  <w:pPr>
                    <w:widowControl/>
                    <w:adjustRightInd w:val="0"/>
                    <w:snapToGrid w:val="0"/>
                    <w:jc w:val="center"/>
                    <w:rPr>
                      <w:rFonts w:eastAsia="仿宋_GB2312"/>
                      <w:kern w:val="0"/>
                      <w:sz w:val="21"/>
                      <w:szCs w:val="21"/>
                    </w:rPr>
                  </w:pPr>
                  <w:r>
                    <w:rPr>
                      <w:rFonts w:eastAsia="仿宋_GB2312"/>
                      <w:kern w:val="0"/>
                      <w:sz w:val="21"/>
                      <w:szCs w:val="21"/>
                    </w:rPr>
                    <w:t>布设不少于2个地下水监测点</w:t>
                  </w:r>
                </w:p>
              </w:tc>
              <w:tc>
                <w:tcPr>
                  <w:tcW w:w="1658" w:type="pct"/>
                  <w:vMerge w:val="continue"/>
                  <w:vAlign w:val="center"/>
                </w:tcPr>
                <w:p w14:paraId="7F17545A">
                  <w:pPr>
                    <w:widowControl/>
                    <w:adjustRightInd w:val="0"/>
                    <w:snapToGrid w:val="0"/>
                    <w:jc w:val="center"/>
                    <w:rPr>
                      <w:rFonts w:eastAsia="仿宋_GB2312"/>
                      <w:kern w:val="0"/>
                      <w:sz w:val="21"/>
                      <w:szCs w:val="21"/>
                    </w:rPr>
                  </w:pPr>
                </w:p>
              </w:tc>
              <w:tc>
                <w:tcPr>
                  <w:tcW w:w="602" w:type="pct"/>
                  <w:vMerge w:val="continue"/>
                  <w:vAlign w:val="center"/>
                </w:tcPr>
                <w:p w14:paraId="50291949">
                  <w:pPr>
                    <w:widowControl/>
                    <w:adjustRightInd w:val="0"/>
                    <w:snapToGrid w:val="0"/>
                    <w:jc w:val="center"/>
                    <w:rPr>
                      <w:rFonts w:eastAsia="仿宋_GB2312"/>
                      <w:kern w:val="0"/>
                      <w:sz w:val="21"/>
                      <w:szCs w:val="21"/>
                    </w:rPr>
                  </w:pPr>
                </w:p>
              </w:tc>
              <w:tc>
                <w:tcPr>
                  <w:tcW w:w="1162" w:type="pct"/>
                  <w:vMerge w:val="continue"/>
                  <w:vAlign w:val="center"/>
                </w:tcPr>
                <w:p w14:paraId="4FFE41E7">
                  <w:pPr>
                    <w:widowControl/>
                    <w:adjustRightInd w:val="0"/>
                    <w:snapToGrid w:val="0"/>
                    <w:jc w:val="center"/>
                    <w:rPr>
                      <w:rFonts w:eastAsia="仿宋_GB2312"/>
                      <w:kern w:val="0"/>
                      <w:sz w:val="21"/>
                      <w:szCs w:val="21"/>
                    </w:rPr>
                  </w:pPr>
                </w:p>
              </w:tc>
            </w:tr>
          </w:tbl>
          <w:p w14:paraId="33D16C80">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center"/>
              <w:textAlignment w:val="auto"/>
              <w:rPr>
                <w:rFonts w:eastAsia="仿宋_GB2312"/>
                <w:b/>
                <w:kern w:val="0"/>
              </w:rPr>
            </w:pPr>
            <w:r>
              <w:rPr>
                <w:rFonts w:eastAsia="仿宋_GB2312"/>
                <w:b/>
                <w:kern w:val="0"/>
              </w:rPr>
              <w:t>表4-3</w:t>
            </w:r>
            <w:r>
              <w:rPr>
                <w:rFonts w:hint="eastAsia" w:eastAsia="仿宋_GB2312"/>
                <w:b/>
                <w:kern w:val="0"/>
                <w:lang w:val="en-US" w:eastAsia="zh-CN"/>
              </w:rPr>
              <w:t xml:space="preserve">8  </w:t>
            </w:r>
            <w:r>
              <w:rPr>
                <w:rFonts w:eastAsia="仿宋_GB2312"/>
                <w:b/>
                <w:kern w:val="0"/>
              </w:rPr>
              <w:t>土壤环境质量跟踪监测方案</w:t>
            </w:r>
          </w:p>
          <w:tbl>
            <w:tblPr>
              <w:tblStyle w:val="3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619"/>
              <w:gridCol w:w="1095"/>
              <w:gridCol w:w="1169"/>
              <w:gridCol w:w="1290"/>
              <w:gridCol w:w="1049"/>
              <w:gridCol w:w="3271"/>
            </w:tblGrid>
            <w:tr w14:paraId="406E4F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64" w:type="pct"/>
                  <w:vAlign w:val="center"/>
                </w:tcPr>
                <w:p w14:paraId="13DCF990">
                  <w:pPr>
                    <w:adjustRightInd w:val="0"/>
                    <w:snapToGrid w:val="0"/>
                    <w:jc w:val="center"/>
                    <w:rPr>
                      <w:rFonts w:eastAsia="仿宋_GB2312"/>
                      <w:b/>
                      <w:kern w:val="0"/>
                      <w:sz w:val="21"/>
                      <w:szCs w:val="21"/>
                    </w:rPr>
                  </w:pPr>
                  <w:r>
                    <w:rPr>
                      <w:rFonts w:eastAsia="仿宋_GB2312"/>
                      <w:b/>
                      <w:kern w:val="0"/>
                      <w:sz w:val="21"/>
                      <w:szCs w:val="21"/>
                    </w:rPr>
                    <w:t>序号</w:t>
                  </w:r>
                </w:p>
              </w:tc>
              <w:tc>
                <w:tcPr>
                  <w:tcW w:w="644" w:type="pct"/>
                  <w:vAlign w:val="center"/>
                </w:tcPr>
                <w:p w14:paraId="6C551B96">
                  <w:pPr>
                    <w:adjustRightInd w:val="0"/>
                    <w:snapToGrid w:val="0"/>
                    <w:jc w:val="center"/>
                    <w:rPr>
                      <w:rFonts w:eastAsia="仿宋_GB2312"/>
                      <w:b/>
                      <w:kern w:val="0"/>
                      <w:sz w:val="21"/>
                      <w:szCs w:val="21"/>
                    </w:rPr>
                  </w:pPr>
                  <w:r>
                    <w:rPr>
                      <w:rFonts w:eastAsia="仿宋_GB2312"/>
                      <w:b/>
                      <w:kern w:val="0"/>
                      <w:sz w:val="21"/>
                      <w:szCs w:val="21"/>
                    </w:rPr>
                    <w:t>监测点位</w:t>
                  </w:r>
                </w:p>
              </w:tc>
              <w:tc>
                <w:tcPr>
                  <w:tcW w:w="688" w:type="pct"/>
                  <w:vAlign w:val="center"/>
                </w:tcPr>
                <w:p w14:paraId="68CCFF5E">
                  <w:pPr>
                    <w:adjustRightInd w:val="0"/>
                    <w:snapToGrid w:val="0"/>
                    <w:jc w:val="center"/>
                    <w:rPr>
                      <w:rFonts w:eastAsia="仿宋_GB2312"/>
                      <w:b/>
                      <w:kern w:val="0"/>
                      <w:sz w:val="21"/>
                      <w:szCs w:val="21"/>
                    </w:rPr>
                  </w:pPr>
                  <w:r>
                    <w:rPr>
                      <w:rFonts w:eastAsia="仿宋_GB2312"/>
                      <w:b/>
                      <w:kern w:val="0"/>
                      <w:sz w:val="21"/>
                      <w:szCs w:val="21"/>
                    </w:rPr>
                    <w:t>监测因子</w:t>
                  </w:r>
                </w:p>
              </w:tc>
              <w:tc>
                <w:tcPr>
                  <w:tcW w:w="759" w:type="pct"/>
                  <w:vAlign w:val="center"/>
                </w:tcPr>
                <w:p w14:paraId="58E477EC">
                  <w:pPr>
                    <w:adjustRightInd w:val="0"/>
                    <w:snapToGrid w:val="0"/>
                    <w:jc w:val="center"/>
                    <w:rPr>
                      <w:rFonts w:eastAsia="仿宋_GB2312"/>
                      <w:b/>
                      <w:kern w:val="0"/>
                      <w:sz w:val="21"/>
                      <w:szCs w:val="21"/>
                    </w:rPr>
                  </w:pPr>
                  <w:r>
                    <w:rPr>
                      <w:rFonts w:eastAsia="仿宋_GB2312"/>
                      <w:b/>
                      <w:kern w:val="0"/>
                      <w:sz w:val="21"/>
                      <w:szCs w:val="21"/>
                    </w:rPr>
                    <w:t>监测层位</w:t>
                  </w:r>
                </w:p>
              </w:tc>
              <w:tc>
                <w:tcPr>
                  <w:tcW w:w="617" w:type="pct"/>
                  <w:vAlign w:val="center"/>
                </w:tcPr>
                <w:p w14:paraId="5D31FE01">
                  <w:pPr>
                    <w:adjustRightInd w:val="0"/>
                    <w:snapToGrid w:val="0"/>
                    <w:jc w:val="center"/>
                    <w:rPr>
                      <w:rFonts w:eastAsia="仿宋_GB2312"/>
                      <w:b/>
                      <w:kern w:val="0"/>
                      <w:sz w:val="21"/>
                      <w:szCs w:val="21"/>
                    </w:rPr>
                  </w:pPr>
                  <w:r>
                    <w:rPr>
                      <w:rFonts w:eastAsia="仿宋_GB2312"/>
                      <w:b/>
                      <w:kern w:val="0"/>
                      <w:sz w:val="21"/>
                      <w:szCs w:val="21"/>
                    </w:rPr>
                    <w:t>监测频次</w:t>
                  </w:r>
                </w:p>
              </w:tc>
              <w:tc>
                <w:tcPr>
                  <w:tcW w:w="1925" w:type="pct"/>
                  <w:vAlign w:val="center"/>
                </w:tcPr>
                <w:p w14:paraId="7E25388B">
                  <w:pPr>
                    <w:adjustRightInd w:val="0"/>
                    <w:snapToGrid w:val="0"/>
                    <w:jc w:val="center"/>
                    <w:rPr>
                      <w:rFonts w:eastAsia="仿宋_GB2312"/>
                      <w:b/>
                      <w:kern w:val="0"/>
                      <w:sz w:val="21"/>
                      <w:szCs w:val="21"/>
                    </w:rPr>
                  </w:pPr>
                  <w:r>
                    <w:rPr>
                      <w:rFonts w:eastAsia="仿宋_GB2312"/>
                      <w:b/>
                      <w:kern w:val="0"/>
                      <w:sz w:val="21"/>
                      <w:szCs w:val="21"/>
                    </w:rPr>
                    <w:t>执行标准</w:t>
                  </w:r>
                </w:p>
              </w:tc>
            </w:tr>
            <w:tr w14:paraId="31D482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64" w:type="pct"/>
                  <w:vAlign w:val="center"/>
                </w:tcPr>
                <w:p w14:paraId="2588BFEE">
                  <w:pPr>
                    <w:adjustRightInd w:val="0"/>
                    <w:snapToGrid w:val="0"/>
                    <w:jc w:val="center"/>
                    <w:rPr>
                      <w:rFonts w:eastAsia="仿宋_GB2312"/>
                      <w:kern w:val="0"/>
                      <w:sz w:val="21"/>
                      <w:szCs w:val="21"/>
                    </w:rPr>
                  </w:pPr>
                  <w:r>
                    <w:rPr>
                      <w:rFonts w:eastAsia="仿宋_GB2312"/>
                      <w:kern w:val="0"/>
                      <w:sz w:val="21"/>
                      <w:szCs w:val="21"/>
                    </w:rPr>
                    <w:t>1</w:t>
                  </w:r>
                </w:p>
              </w:tc>
              <w:tc>
                <w:tcPr>
                  <w:tcW w:w="644" w:type="pct"/>
                  <w:vAlign w:val="center"/>
                </w:tcPr>
                <w:p w14:paraId="714C155F">
                  <w:pPr>
                    <w:adjustRightInd w:val="0"/>
                    <w:snapToGrid w:val="0"/>
                    <w:jc w:val="center"/>
                    <w:rPr>
                      <w:rFonts w:eastAsia="仿宋_GB2312"/>
                      <w:color w:val="000000"/>
                      <w:kern w:val="0"/>
                      <w:sz w:val="21"/>
                      <w:szCs w:val="21"/>
                    </w:rPr>
                  </w:pPr>
                  <w:r>
                    <w:rPr>
                      <w:rFonts w:eastAsia="仿宋_GB2312"/>
                      <w:color w:val="000000"/>
                      <w:kern w:val="0"/>
                      <w:sz w:val="21"/>
                      <w:szCs w:val="21"/>
                    </w:rPr>
                    <w:t>生产车间附近</w:t>
                  </w:r>
                </w:p>
              </w:tc>
              <w:tc>
                <w:tcPr>
                  <w:tcW w:w="688" w:type="pct"/>
                  <w:vAlign w:val="center"/>
                </w:tcPr>
                <w:p w14:paraId="27E24530">
                  <w:pPr>
                    <w:adjustRightInd w:val="0"/>
                    <w:snapToGrid w:val="0"/>
                    <w:jc w:val="center"/>
                    <w:rPr>
                      <w:rFonts w:eastAsia="仿宋_GB2312"/>
                      <w:kern w:val="0"/>
                      <w:sz w:val="21"/>
                      <w:szCs w:val="21"/>
                    </w:rPr>
                  </w:pPr>
                  <w:r>
                    <w:rPr>
                      <w:rFonts w:eastAsia="仿宋_GB2312"/>
                      <w:kern w:val="0"/>
                      <w:sz w:val="21"/>
                      <w:szCs w:val="21"/>
                    </w:rPr>
                    <w:t>土壤45项常规因子、石油烃、pH</w:t>
                  </w:r>
                </w:p>
              </w:tc>
              <w:tc>
                <w:tcPr>
                  <w:tcW w:w="759" w:type="pct"/>
                  <w:vAlign w:val="center"/>
                </w:tcPr>
                <w:p w14:paraId="1096D3A2">
                  <w:pPr>
                    <w:adjustRightInd w:val="0"/>
                    <w:snapToGrid w:val="0"/>
                    <w:jc w:val="center"/>
                    <w:rPr>
                      <w:rFonts w:eastAsia="仿宋_GB2312"/>
                      <w:kern w:val="0"/>
                      <w:sz w:val="21"/>
                      <w:szCs w:val="21"/>
                    </w:rPr>
                  </w:pPr>
                  <w:r>
                    <w:rPr>
                      <w:rFonts w:eastAsia="仿宋_GB2312"/>
                      <w:kern w:val="0"/>
                      <w:sz w:val="21"/>
                      <w:szCs w:val="21"/>
                    </w:rPr>
                    <w:t>柱状样，采用深度至水洗槽底部与土壤接触面</w:t>
                  </w:r>
                </w:p>
              </w:tc>
              <w:tc>
                <w:tcPr>
                  <w:tcW w:w="617" w:type="pct"/>
                  <w:vAlign w:val="center"/>
                </w:tcPr>
                <w:p w14:paraId="3030F349">
                  <w:pPr>
                    <w:adjustRightInd w:val="0"/>
                    <w:snapToGrid w:val="0"/>
                    <w:jc w:val="center"/>
                    <w:rPr>
                      <w:rFonts w:eastAsia="仿宋_GB2312"/>
                      <w:kern w:val="0"/>
                      <w:sz w:val="21"/>
                      <w:szCs w:val="21"/>
                    </w:rPr>
                  </w:pPr>
                  <w:r>
                    <w:rPr>
                      <w:rFonts w:eastAsia="仿宋_GB2312"/>
                      <w:kern w:val="0"/>
                      <w:sz w:val="21"/>
                      <w:szCs w:val="21"/>
                    </w:rPr>
                    <w:t>表层土壤1年1次</w:t>
                  </w:r>
                </w:p>
              </w:tc>
              <w:tc>
                <w:tcPr>
                  <w:tcW w:w="1925" w:type="pct"/>
                  <w:vAlign w:val="center"/>
                </w:tcPr>
                <w:p w14:paraId="42003A11">
                  <w:pPr>
                    <w:adjustRightInd w:val="0"/>
                    <w:snapToGrid w:val="0"/>
                    <w:jc w:val="center"/>
                    <w:rPr>
                      <w:rFonts w:eastAsia="仿宋_GB2312"/>
                      <w:kern w:val="0"/>
                      <w:sz w:val="21"/>
                      <w:szCs w:val="21"/>
                    </w:rPr>
                  </w:pPr>
                  <w:r>
                    <w:rPr>
                      <w:rFonts w:eastAsia="仿宋_GB2312"/>
                      <w:kern w:val="0"/>
                      <w:sz w:val="21"/>
                      <w:szCs w:val="21"/>
                    </w:rPr>
                    <w:t>《土壤环境质量建设用地土壤污染风险管控标准(试行)》（GB36600-2018） 中表1、表2中第二类用地标准</w:t>
                  </w:r>
                </w:p>
              </w:tc>
            </w:tr>
          </w:tbl>
          <w:p w14:paraId="710AFCB1">
            <w:pPr>
              <w:adjustRightInd w:val="0"/>
              <w:snapToGrid w:val="0"/>
              <w:spacing w:line="360" w:lineRule="auto"/>
              <w:ind w:firstLine="422" w:firstLineChars="200"/>
              <w:rPr>
                <w:rFonts w:eastAsia="仿宋_GB2312"/>
                <w:b/>
              </w:rPr>
            </w:pPr>
            <w:r>
              <w:rPr>
                <w:rFonts w:eastAsia="仿宋_GB2312"/>
                <w:b/>
              </w:rPr>
              <w:t>6、生态</w:t>
            </w:r>
          </w:p>
          <w:p w14:paraId="2EEBD6AB">
            <w:pPr>
              <w:adjustRightInd w:val="0"/>
              <w:snapToGrid w:val="0"/>
              <w:spacing w:line="360" w:lineRule="auto"/>
              <w:ind w:firstLine="420" w:firstLineChars="200"/>
              <w:rPr>
                <w:rFonts w:eastAsia="仿宋_GB2312"/>
              </w:rPr>
            </w:pPr>
            <w:r>
              <w:rPr>
                <w:rFonts w:eastAsia="仿宋_GB2312"/>
              </w:rPr>
              <w:t>本项目位于常</w:t>
            </w:r>
            <w:r>
              <w:rPr>
                <w:rFonts w:hint="eastAsia" w:eastAsia="仿宋_GB2312"/>
                <w:lang w:eastAsia="zh-CN"/>
              </w:rPr>
              <w:t>州市</w:t>
            </w:r>
            <w:r>
              <w:rPr>
                <w:rFonts w:eastAsia="仿宋_GB2312"/>
              </w:rPr>
              <w:t>金坛经济开发区盐厂路1号，结合项目地理位置和《省政府关于印发江苏省生态空间管控区域规划的通知》（苏政发〔2020〕1号）》和《江苏省国家级生态保护红线规划》（苏政发〔2018〕74号），</w:t>
            </w:r>
            <w:r>
              <w:rPr>
                <w:rFonts w:eastAsia="仿宋_GB2312"/>
                <w:kern w:val="0"/>
              </w:rPr>
              <w:t>本项目与最近的生态空间管控区域丹金溧漕河（金坛区）洪水调蓄区相距1.</w:t>
            </w:r>
            <w:r>
              <w:rPr>
                <w:rFonts w:hint="eastAsia" w:eastAsia="仿宋_GB2312"/>
                <w:kern w:val="0"/>
                <w:lang w:val="en-US" w:eastAsia="zh-CN"/>
              </w:rPr>
              <w:t>98</w:t>
            </w:r>
            <w:r>
              <w:rPr>
                <w:rFonts w:eastAsia="仿宋_GB2312"/>
                <w:kern w:val="0"/>
              </w:rPr>
              <w:t>km，</w:t>
            </w:r>
            <w:r>
              <w:rPr>
                <w:rFonts w:eastAsia="仿宋_GB2312"/>
              </w:rPr>
              <w:t>项目不在管控区内。</w:t>
            </w:r>
          </w:p>
          <w:p w14:paraId="147E406D">
            <w:pPr>
              <w:adjustRightInd w:val="0"/>
              <w:snapToGrid w:val="0"/>
              <w:spacing w:line="360" w:lineRule="auto"/>
              <w:ind w:firstLine="422" w:firstLineChars="200"/>
              <w:rPr>
                <w:rFonts w:eastAsia="仿宋_GB2312"/>
                <w:b/>
                <w:kern w:val="0"/>
              </w:rPr>
            </w:pPr>
            <w:r>
              <w:rPr>
                <w:rFonts w:eastAsia="仿宋_GB2312"/>
                <w:b/>
              </w:rPr>
              <w:t>7环境风险</w:t>
            </w:r>
          </w:p>
          <w:p w14:paraId="2BCD3EB9">
            <w:pPr>
              <w:widowControl/>
              <w:autoSpaceDE w:val="0"/>
              <w:autoSpaceDN w:val="0"/>
              <w:adjustRightInd w:val="0"/>
              <w:snapToGrid w:val="0"/>
              <w:spacing w:line="360" w:lineRule="auto"/>
              <w:ind w:firstLine="422" w:firstLineChars="200"/>
              <w:rPr>
                <w:rFonts w:eastAsia="仿宋_GB2312"/>
                <w:b/>
                <w:kern w:val="0"/>
              </w:rPr>
            </w:pPr>
            <w:r>
              <w:rPr>
                <w:rFonts w:eastAsia="仿宋_GB2312"/>
                <w:b/>
                <w:kern w:val="0"/>
              </w:rPr>
              <w:t>（1）风险源调查</w:t>
            </w:r>
          </w:p>
          <w:p w14:paraId="1E41150B">
            <w:pPr>
              <w:widowControl/>
              <w:autoSpaceDE w:val="0"/>
              <w:autoSpaceDN w:val="0"/>
              <w:adjustRightInd w:val="0"/>
              <w:snapToGrid w:val="0"/>
              <w:spacing w:line="360" w:lineRule="auto"/>
              <w:ind w:firstLine="420" w:firstLineChars="200"/>
              <w:rPr>
                <w:rFonts w:eastAsia="仿宋_GB2312"/>
                <w:kern w:val="0"/>
              </w:rPr>
            </w:pPr>
            <w:r>
              <w:rPr>
                <w:rFonts w:eastAsia="仿宋_GB2312"/>
                <w:kern w:val="0"/>
              </w:rPr>
              <w:t>①危险物质数量及分布情况</w:t>
            </w:r>
          </w:p>
          <w:p w14:paraId="309973DE">
            <w:pPr>
              <w:pStyle w:val="12"/>
              <w:spacing w:before="0" w:after="0" w:line="360" w:lineRule="auto"/>
              <w:ind w:right="0" w:firstLine="420" w:firstLineChars="200"/>
              <w:rPr>
                <w:rFonts w:eastAsia="仿宋_GB2312"/>
                <w:sz w:val="21"/>
                <w:szCs w:val="21"/>
              </w:rPr>
            </w:pPr>
            <w:r>
              <w:rPr>
                <w:rFonts w:eastAsia="仿宋_GB2312"/>
                <w:sz w:val="21"/>
                <w:szCs w:val="21"/>
              </w:rPr>
              <w:t>环境风险评价主要是针对有毒有害和易燃易爆危险物质生产、使用、储存</w:t>
            </w:r>
            <w:r>
              <w:rPr>
                <w:rFonts w:hint="eastAsia" w:eastAsia="仿宋_GB2312"/>
                <w:sz w:val="21"/>
                <w:szCs w:val="21"/>
                <w:lang w:eastAsia="zh-CN"/>
              </w:rPr>
              <w:t>（</w:t>
            </w:r>
            <w:r>
              <w:rPr>
                <w:rFonts w:eastAsia="仿宋_GB2312"/>
                <w:sz w:val="21"/>
                <w:szCs w:val="21"/>
              </w:rPr>
              <w:t>包括使用管线输运</w:t>
            </w:r>
            <w:r>
              <w:rPr>
                <w:rFonts w:hint="eastAsia" w:eastAsia="仿宋_GB2312"/>
                <w:sz w:val="21"/>
                <w:szCs w:val="21"/>
                <w:lang w:eastAsia="zh-CN"/>
              </w:rPr>
              <w:t>）</w:t>
            </w:r>
            <w:r>
              <w:rPr>
                <w:rFonts w:eastAsia="仿宋_GB2312"/>
                <w:sz w:val="21"/>
                <w:szCs w:val="21"/>
              </w:rPr>
              <w:t>的建设项目可能发生的突发性事故</w:t>
            </w:r>
            <w:r>
              <w:rPr>
                <w:rFonts w:hint="eastAsia" w:eastAsia="仿宋_GB2312"/>
                <w:sz w:val="21"/>
                <w:szCs w:val="21"/>
                <w:lang w:eastAsia="zh-CN"/>
              </w:rPr>
              <w:t>（</w:t>
            </w:r>
            <w:r>
              <w:rPr>
                <w:rFonts w:eastAsia="仿宋_GB2312"/>
                <w:sz w:val="21"/>
                <w:szCs w:val="21"/>
              </w:rPr>
              <w:t>不包括人为破坏及自然灾害引发的事故</w:t>
            </w:r>
            <w:r>
              <w:rPr>
                <w:rFonts w:hint="eastAsia" w:eastAsia="仿宋_GB2312"/>
                <w:sz w:val="21"/>
                <w:szCs w:val="21"/>
                <w:lang w:eastAsia="zh-CN"/>
              </w:rPr>
              <w:t>）</w:t>
            </w:r>
            <w:r>
              <w:rPr>
                <w:rFonts w:eastAsia="仿宋_GB2312"/>
                <w:sz w:val="21"/>
                <w:szCs w:val="21"/>
              </w:rPr>
              <w:t>的环境风险评价。</w:t>
            </w:r>
          </w:p>
          <w:p w14:paraId="459845DF">
            <w:pPr>
              <w:pStyle w:val="12"/>
              <w:spacing w:before="0" w:after="0" w:line="360" w:lineRule="auto"/>
              <w:ind w:right="0" w:firstLine="420" w:firstLineChars="200"/>
              <w:rPr>
                <w:rFonts w:eastAsia="仿宋_GB2312"/>
                <w:sz w:val="21"/>
                <w:szCs w:val="21"/>
              </w:rPr>
            </w:pPr>
            <w:r>
              <w:rPr>
                <w:rFonts w:eastAsia="仿宋_GB2312"/>
                <w:sz w:val="21"/>
                <w:szCs w:val="21"/>
              </w:rPr>
              <w:t>本项目配套输卤工程不涉及有毒有害和易燃易爆等风险物质。对照《建设项目环境风险评价技术导则》（HJ169-2018）附录B和附录B中表B.2健康危险急性毒性物质（类别2，类别3），项目卤水品质优化工程涉及使用</w:t>
            </w:r>
            <w:r>
              <w:rPr>
                <w:rFonts w:eastAsia="仿宋_GB2312"/>
                <w:color w:val="auto"/>
                <w:sz w:val="21"/>
                <w:szCs w:val="21"/>
              </w:rPr>
              <w:t>3</w:t>
            </w:r>
            <w:r>
              <w:rPr>
                <w:rFonts w:hint="eastAsia" w:eastAsia="仿宋_GB2312"/>
                <w:color w:val="auto"/>
                <w:sz w:val="21"/>
                <w:szCs w:val="21"/>
                <w:lang w:val="en-US" w:eastAsia="zh-CN"/>
              </w:rPr>
              <w:t>0</w:t>
            </w:r>
            <w:r>
              <w:rPr>
                <w:rFonts w:eastAsia="仿宋_GB2312"/>
                <w:color w:val="auto"/>
                <w:sz w:val="21"/>
                <w:szCs w:val="21"/>
              </w:rPr>
              <w:t>%盐</w:t>
            </w:r>
            <w:r>
              <w:rPr>
                <w:rFonts w:eastAsia="仿宋_GB2312"/>
                <w:sz w:val="21"/>
                <w:szCs w:val="21"/>
              </w:rPr>
              <w:t>酸</w:t>
            </w:r>
            <w:r>
              <w:rPr>
                <w:rFonts w:hint="eastAsia" w:eastAsia="仿宋_GB2312"/>
                <w:sz w:val="21"/>
                <w:szCs w:val="21"/>
                <w:lang w:eastAsia="zh-CN"/>
              </w:rPr>
              <w:t>、</w:t>
            </w:r>
            <w:r>
              <w:rPr>
                <w:rFonts w:hint="eastAsia" w:eastAsia="仿宋_GB2312"/>
                <w:sz w:val="21"/>
                <w:szCs w:val="21"/>
                <w:lang w:val="en-US" w:eastAsia="zh-CN"/>
              </w:rPr>
              <w:t>液碱、次氯酸钠等</w:t>
            </w:r>
            <w:r>
              <w:rPr>
                <w:rFonts w:eastAsia="仿宋_GB2312"/>
                <w:sz w:val="21"/>
                <w:szCs w:val="21"/>
              </w:rPr>
              <w:t>，为风险物质。主要风险源为盐酸储罐</w:t>
            </w:r>
            <w:r>
              <w:rPr>
                <w:rFonts w:hint="eastAsia" w:eastAsia="仿宋_GB2312"/>
                <w:sz w:val="21"/>
                <w:szCs w:val="21"/>
                <w:lang w:eastAsia="zh-CN"/>
              </w:rPr>
              <w:t>、</w:t>
            </w:r>
            <w:r>
              <w:rPr>
                <w:rFonts w:hint="eastAsia" w:eastAsia="仿宋_GB2312"/>
                <w:sz w:val="21"/>
                <w:szCs w:val="21"/>
                <w:lang w:val="en-US" w:eastAsia="zh-CN"/>
              </w:rPr>
              <w:t>液碱储罐、次氯酸钠储罐</w:t>
            </w:r>
            <w:r>
              <w:rPr>
                <w:rFonts w:eastAsia="仿宋_GB2312"/>
                <w:sz w:val="21"/>
                <w:szCs w:val="21"/>
              </w:rPr>
              <w:t>，运营期可能产生的环境风险事故类型主要为</w:t>
            </w:r>
            <w:r>
              <w:rPr>
                <w:rFonts w:hint="eastAsia" w:eastAsia="仿宋_GB2312"/>
                <w:sz w:val="21"/>
                <w:szCs w:val="21"/>
                <w:lang w:val="en-US" w:eastAsia="zh-CN"/>
              </w:rPr>
              <w:t>原料</w:t>
            </w:r>
            <w:r>
              <w:rPr>
                <w:rFonts w:eastAsia="仿宋_GB2312"/>
                <w:sz w:val="21"/>
                <w:szCs w:val="21"/>
              </w:rPr>
              <w:t>储罐发生泄漏。此外，本项目涉及危废包括废机油、废油桶、废漆桶、废漆刷、废活性炭和</w:t>
            </w:r>
            <w:r>
              <w:rPr>
                <w:rFonts w:hint="eastAsia" w:eastAsia="仿宋_GB2312"/>
                <w:sz w:val="21"/>
                <w:szCs w:val="21"/>
                <w:lang w:val="en-US" w:eastAsia="zh-CN"/>
              </w:rPr>
              <w:t>实验室废液等</w:t>
            </w:r>
            <w:r>
              <w:rPr>
                <w:rFonts w:eastAsia="仿宋_GB2312"/>
                <w:sz w:val="21"/>
                <w:szCs w:val="21"/>
              </w:rPr>
              <w:t>，运营期可能发生的环境风险事故类型主要为火灾和泄漏。</w:t>
            </w:r>
          </w:p>
          <w:p w14:paraId="2FBAF5C4">
            <w:pPr>
              <w:widowControl/>
              <w:autoSpaceDE w:val="0"/>
              <w:autoSpaceDN w:val="0"/>
              <w:adjustRightInd w:val="0"/>
              <w:snapToGrid w:val="0"/>
              <w:spacing w:line="360" w:lineRule="auto"/>
              <w:ind w:firstLine="422" w:firstLineChars="200"/>
              <w:rPr>
                <w:rFonts w:eastAsia="仿宋_GB2312"/>
                <w:b/>
                <w:kern w:val="0"/>
              </w:rPr>
            </w:pPr>
            <w:r>
              <w:rPr>
                <w:rFonts w:eastAsia="仿宋_GB2312"/>
                <w:b/>
                <w:kern w:val="0"/>
              </w:rPr>
              <w:t>（2）环境风险潜势初判</w:t>
            </w:r>
          </w:p>
          <w:p w14:paraId="4C422D9A">
            <w:pPr>
              <w:adjustRightInd w:val="0"/>
              <w:snapToGrid w:val="0"/>
              <w:spacing w:line="360" w:lineRule="auto"/>
              <w:ind w:firstLine="420" w:firstLineChars="200"/>
              <w:rPr>
                <w:rFonts w:eastAsia="仿宋_GB2312"/>
              </w:rPr>
            </w:pPr>
            <w:r>
              <w:rPr>
                <w:rFonts w:eastAsia="仿宋_GB2312"/>
              </w:rPr>
              <w:t>计算所涉及的每种危险物质在厂界内的最大存在总量与其在附录B中对应临界量的比值Q。在不同厂区的同一种物质，按其在厂界内的最大存在总量计算。对于长输管线项目，按照两个截断阀室之间管段危险物质最大存在总量计算。</w:t>
            </w:r>
          </w:p>
          <w:p w14:paraId="3ED1582E">
            <w:pPr>
              <w:adjustRightInd w:val="0"/>
              <w:snapToGrid w:val="0"/>
              <w:spacing w:line="360" w:lineRule="auto"/>
              <w:ind w:firstLine="420" w:firstLineChars="200"/>
              <w:rPr>
                <w:rFonts w:eastAsia="仿宋_GB2312"/>
              </w:rPr>
            </w:pPr>
            <w:r>
              <w:rPr>
                <w:rFonts w:eastAsia="仿宋_GB2312"/>
              </w:rPr>
              <w:t>当只涉及一种危险物质时，计算该物质的总量与其临界量比值，即为Q；</w:t>
            </w:r>
          </w:p>
          <w:p w14:paraId="627E7298">
            <w:pPr>
              <w:adjustRightInd w:val="0"/>
              <w:snapToGrid w:val="0"/>
              <w:spacing w:line="360" w:lineRule="auto"/>
              <w:ind w:firstLine="420" w:firstLineChars="200"/>
              <w:rPr>
                <w:rFonts w:eastAsia="仿宋_GB2312"/>
              </w:rPr>
            </w:pPr>
            <w:r>
              <w:rPr>
                <w:rFonts w:eastAsia="仿宋_GB2312"/>
              </w:rPr>
              <w:t>当存在多种危险物质时，则按式（C.1）计算物质总量与其临界量比值（Q）：</w:t>
            </w:r>
          </w:p>
          <w:p w14:paraId="6782A394">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eastAsia="仿宋_GB2312"/>
              </w:rPr>
            </w:pPr>
            <w:r>
              <w:rPr>
                <w:rFonts w:eastAsia="仿宋_GB2312"/>
              </w:rPr>
              <w:drawing>
                <wp:inline distT="0" distB="0" distL="0" distR="0">
                  <wp:extent cx="1960880" cy="523240"/>
                  <wp:effectExtent l="0" t="0" r="1270" b="10160"/>
                  <wp:docPr id="8"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1960880" cy="523240"/>
                          </a:xfrm>
                          <a:prstGeom prst="rect">
                            <a:avLst/>
                          </a:prstGeom>
                          <a:noFill/>
                          <a:ln>
                            <a:noFill/>
                          </a:ln>
                        </pic:spPr>
                      </pic:pic>
                    </a:graphicData>
                  </a:graphic>
                </wp:inline>
              </w:drawing>
            </w:r>
            <w:r>
              <w:rPr>
                <w:rFonts w:eastAsia="仿宋_GB2312"/>
              </w:rPr>
              <w:drawing>
                <wp:anchor distT="0" distB="0" distL="114300" distR="114300" simplePos="0" relativeHeight="251660288" behindDoc="0" locked="0" layoutInCell="1" hidden="1" allowOverlap="1">
                  <wp:simplePos x="0" y="0"/>
                  <wp:positionH relativeFrom="column">
                    <wp:posOffset>1804035</wp:posOffset>
                  </wp:positionH>
                  <wp:positionV relativeFrom="paragraph">
                    <wp:posOffset>136525</wp:posOffset>
                  </wp:positionV>
                  <wp:extent cx="1966595" cy="520700"/>
                  <wp:effectExtent l="0" t="0" r="0" b="0"/>
                  <wp:wrapSquare wrapText="bothSides"/>
                  <wp:docPr id="1329027244" name="图片 1053"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027244" name="图片 1053" hidden="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1966595" cy="520700"/>
                          </a:xfrm>
                          <a:prstGeom prst="rect">
                            <a:avLst/>
                          </a:prstGeom>
                          <a:noFill/>
                          <a:ln>
                            <a:noFill/>
                          </a:ln>
                        </pic:spPr>
                      </pic:pic>
                    </a:graphicData>
                  </a:graphic>
                </wp:anchor>
              </w:drawing>
            </w:r>
          </w:p>
          <w:p w14:paraId="0B75046A">
            <w:pPr>
              <w:adjustRightInd w:val="0"/>
              <w:snapToGrid w:val="0"/>
              <w:spacing w:line="360" w:lineRule="auto"/>
              <w:ind w:firstLine="440" w:firstLineChars="200"/>
              <w:rPr>
                <w:rFonts w:eastAsia="仿宋_GB2312"/>
                <w:spacing w:val="5"/>
              </w:rPr>
            </w:pPr>
            <w:r>
              <w:rPr>
                <w:rFonts w:eastAsia="仿宋_GB2312"/>
                <w:spacing w:val="5"/>
              </w:rPr>
              <w:t>式中：q</w:t>
            </w:r>
            <w:r>
              <w:rPr>
                <w:rFonts w:eastAsia="仿宋_GB2312"/>
                <w:spacing w:val="5"/>
                <w:vertAlign w:val="subscript"/>
              </w:rPr>
              <w:t>1</w:t>
            </w:r>
            <w:r>
              <w:rPr>
                <w:rFonts w:eastAsia="仿宋_GB2312"/>
                <w:spacing w:val="5"/>
              </w:rPr>
              <w:t>，q</w:t>
            </w:r>
            <w:r>
              <w:rPr>
                <w:rFonts w:eastAsia="仿宋_GB2312"/>
                <w:spacing w:val="5"/>
                <w:vertAlign w:val="subscript"/>
              </w:rPr>
              <w:t>2</w:t>
            </w:r>
            <w:r>
              <w:rPr>
                <w:rFonts w:eastAsia="仿宋_GB2312"/>
                <w:spacing w:val="5"/>
              </w:rPr>
              <w:t>…q</w:t>
            </w:r>
            <w:r>
              <w:rPr>
                <w:rFonts w:eastAsia="仿宋_GB2312"/>
                <w:spacing w:val="5"/>
                <w:vertAlign w:val="subscript"/>
              </w:rPr>
              <w:t>n</w:t>
            </w:r>
            <w:r>
              <w:rPr>
                <w:rFonts w:eastAsia="仿宋_GB2312"/>
                <w:spacing w:val="5"/>
              </w:rPr>
              <w:t>——每种危险物质的最大存在总量，t。</w:t>
            </w:r>
          </w:p>
          <w:p w14:paraId="102B4669">
            <w:pPr>
              <w:adjustRightInd w:val="0"/>
              <w:snapToGrid w:val="0"/>
              <w:spacing w:line="360" w:lineRule="auto"/>
              <w:ind w:firstLine="440" w:firstLineChars="200"/>
              <w:rPr>
                <w:rFonts w:eastAsia="仿宋_GB2312"/>
                <w:spacing w:val="5"/>
              </w:rPr>
            </w:pPr>
            <w:r>
              <w:rPr>
                <w:rFonts w:eastAsia="仿宋_GB2312"/>
                <w:spacing w:val="5"/>
              </w:rPr>
              <w:t>Q</w:t>
            </w:r>
            <w:r>
              <w:rPr>
                <w:rFonts w:eastAsia="仿宋_GB2312"/>
                <w:spacing w:val="5"/>
                <w:vertAlign w:val="subscript"/>
              </w:rPr>
              <w:t>1</w:t>
            </w:r>
            <w:r>
              <w:rPr>
                <w:rFonts w:eastAsia="仿宋_GB2312"/>
                <w:spacing w:val="5"/>
              </w:rPr>
              <w:t>，Q</w:t>
            </w:r>
            <w:r>
              <w:rPr>
                <w:rFonts w:eastAsia="仿宋_GB2312"/>
                <w:spacing w:val="5"/>
                <w:vertAlign w:val="subscript"/>
              </w:rPr>
              <w:t>2</w:t>
            </w:r>
            <w:r>
              <w:rPr>
                <w:rFonts w:eastAsia="仿宋_GB2312"/>
                <w:spacing w:val="5"/>
              </w:rPr>
              <w:t>…Q</w:t>
            </w:r>
            <w:r>
              <w:rPr>
                <w:rFonts w:eastAsia="仿宋_GB2312"/>
                <w:spacing w:val="5"/>
                <w:vertAlign w:val="subscript"/>
              </w:rPr>
              <w:t>n</w:t>
            </w:r>
            <w:r>
              <w:rPr>
                <w:rFonts w:eastAsia="仿宋_GB2312"/>
                <w:spacing w:val="5"/>
              </w:rPr>
              <w:t>——每种危险物质的临界量，t。</w:t>
            </w:r>
          </w:p>
          <w:p w14:paraId="782FF6F6">
            <w:pPr>
              <w:adjustRightInd w:val="0"/>
              <w:snapToGrid w:val="0"/>
              <w:spacing w:line="360" w:lineRule="auto"/>
              <w:ind w:firstLine="440" w:firstLineChars="200"/>
              <w:rPr>
                <w:rFonts w:eastAsia="仿宋_GB2312"/>
                <w:spacing w:val="5"/>
              </w:rPr>
            </w:pPr>
            <w:r>
              <w:rPr>
                <w:rFonts w:eastAsia="仿宋_GB2312"/>
                <w:spacing w:val="5"/>
              </w:rPr>
              <w:t>当Q＜1时，该项目环境风险潜势为</w:t>
            </w:r>
            <w:r>
              <w:rPr>
                <w:rFonts w:eastAsia="仿宋_GB2312"/>
                <w:spacing w:val="5"/>
              </w:rPr>
              <w:fldChar w:fldCharType="begin"/>
            </w:r>
            <w:r>
              <w:rPr>
                <w:rFonts w:eastAsia="仿宋_GB2312"/>
                <w:spacing w:val="5"/>
              </w:rPr>
              <w:instrText xml:space="preserve"> = 1 \* ROMAN \* MERGEFORMAT </w:instrText>
            </w:r>
            <w:r>
              <w:rPr>
                <w:rFonts w:eastAsia="仿宋_GB2312"/>
                <w:spacing w:val="5"/>
              </w:rPr>
              <w:fldChar w:fldCharType="separate"/>
            </w:r>
            <w:r>
              <w:rPr>
                <w:rFonts w:eastAsia="仿宋_GB2312"/>
                <w:spacing w:val="5"/>
              </w:rPr>
              <w:t>I</w:t>
            </w:r>
            <w:r>
              <w:rPr>
                <w:rFonts w:eastAsia="仿宋_GB2312"/>
                <w:spacing w:val="5"/>
              </w:rPr>
              <w:fldChar w:fldCharType="end"/>
            </w:r>
            <w:r>
              <w:rPr>
                <w:rFonts w:eastAsia="仿宋_GB2312"/>
                <w:spacing w:val="5"/>
              </w:rPr>
              <w:t>。当Q≥1时，将Q值划分为1≤Q＜10；10≤Q＜100；Q≥100。</w:t>
            </w:r>
          </w:p>
          <w:p w14:paraId="72F0DF0C">
            <w:pPr>
              <w:widowControl/>
              <w:autoSpaceDE w:val="0"/>
              <w:autoSpaceDN w:val="0"/>
              <w:adjustRightInd w:val="0"/>
              <w:snapToGrid w:val="0"/>
              <w:spacing w:line="360" w:lineRule="auto"/>
              <w:ind w:firstLine="420" w:firstLineChars="200"/>
              <w:rPr>
                <w:rFonts w:eastAsia="仿宋_GB2312"/>
                <w:kern w:val="0"/>
              </w:rPr>
            </w:pPr>
            <w:r>
              <w:rPr>
                <w:rFonts w:eastAsia="仿宋_GB2312"/>
                <w:bCs/>
                <w:kern w:val="0"/>
              </w:rPr>
              <w:t>具体详见表4-3</w:t>
            </w:r>
            <w:r>
              <w:rPr>
                <w:rFonts w:hint="eastAsia" w:eastAsia="仿宋_GB2312"/>
                <w:bCs/>
                <w:kern w:val="0"/>
                <w:lang w:val="en-US" w:eastAsia="zh-CN"/>
              </w:rPr>
              <w:t>9</w:t>
            </w:r>
            <w:r>
              <w:rPr>
                <w:rFonts w:eastAsia="仿宋_GB2312"/>
                <w:bCs/>
                <w:kern w:val="0"/>
              </w:rPr>
              <w:t>。</w:t>
            </w:r>
          </w:p>
          <w:p w14:paraId="712263E5">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eastAsia="仿宋_GB2312"/>
                <w:b/>
                <w:bCs/>
                <w:color w:val="000000"/>
                <w:kern w:val="0"/>
              </w:rPr>
            </w:pPr>
            <w:r>
              <w:rPr>
                <w:rFonts w:eastAsia="仿宋_GB2312"/>
                <w:b/>
                <w:bCs/>
                <w:color w:val="000000"/>
                <w:kern w:val="0"/>
              </w:rPr>
              <w:t>表</w:t>
            </w:r>
            <w:r>
              <w:rPr>
                <w:rFonts w:eastAsia="仿宋_GB2312"/>
                <w:b/>
                <w:bCs/>
                <w:color w:val="000000"/>
                <w:kern w:val="0"/>
                <w:lang w:bidi="en-US"/>
              </w:rPr>
              <w:t>4-3</w:t>
            </w:r>
            <w:r>
              <w:rPr>
                <w:rFonts w:hint="eastAsia" w:eastAsia="仿宋_GB2312"/>
                <w:b/>
                <w:bCs/>
                <w:color w:val="000000"/>
                <w:kern w:val="0"/>
                <w:lang w:val="en-US" w:eastAsia="zh-CN" w:bidi="en-US"/>
              </w:rPr>
              <w:t xml:space="preserve">9  </w:t>
            </w:r>
            <w:r>
              <w:rPr>
                <w:rFonts w:eastAsia="仿宋_GB2312"/>
                <w:b/>
                <w:bCs/>
                <w:color w:val="000000"/>
                <w:kern w:val="0"/>
              </w:rPr>
              <w:t>本项目危险物质数量及分布情况一览表</w:t>
            </w:r>
          </w:p>
          <w:tbl>
            <w:tblPr>
              <w:tblStyle w:val="31"/>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946"/>
              <w:gridCol w:w="1412"/>
              <w:gridCol w:w="1485"/>
              <w:gridCol w:w="1177"/>
              <w:gridCol w:w="1181"/>
              <w:gridCol w:w="1153"/>
              <w:gridCol w:w="1136"/>
            </w:tblGrid>
            <w:tr w14:paraId="2A2E82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57" w:type="pct"/>
                  <w:vAlign w:val="center"/>
                </w:tcPr>
                <w:p w14:paraId="648E35A9">
                  <w:pPr>
                    <w:widowControl/>
                    <w:adjustRightInd w:val="0"/>
                    <w:snapToGrid w:val="0"/>
                    <w:jc w:val="center"/>
                    <w:rPr>
                      <w:rFonts w:eastAsia="仿宋_GB2312"/>
                      <w:b/>
                      <w:sz w:val="21"/>
                      <w:szCs w:val="21"/>
                    </w:rPr>
                  </w:pPr>
                  <w:r>
                    <w:rPr>
                      <w:rFonts w:eastAsia="仿宋_GB2312"/>
                      <w:b/>
                      <w:sz w:val="21"/>
                      <w:szCs w:val="21"/>
                    </w:rPr>
                    <w:t>名称</w:t>
                  </w:r>
                </w:p>
              </w:tc>
              <w:tc>
                <w:tcPr>
                  <w:tcW w:w="831" w:type="pct"/>
                  <w:vAlign w:val="center"/>
                </w:tcPr>
                <w:p w14:paraId="5C64BD1C">
                  <w:pPr>
                    <w:widowControl/>
                    <w:adjustRightInd w:val="0"/>
                    <w:snapToGrid w:val="0"/>
                    <w:jc w:val="center"/>
                    <w:rPr>
                      <w:rFonts w:eastAsia="仿宋_GB2312"/>
                      <w:b/>
                      <w:sz w:val="21"/>
                      <w:szCs w:val="21"/>
                    </w:rPr>
                  </w:pPr>
                  <w:r>
                    <w:rPr>
                      <w:rFonts w:eastAsia="仿宋_GB2312"/>
                      <w:b/>
                      <w:sz w:val="21"/>
                      <w:szCs w:val="21"/>
                    </w:rPr>
                    <w:t>主要规格/成分</w:t>
                  </w:r>
                </w:p>
              </w:tc>
              <w:tc>
                <w:tcPr>
                  <w:tcW w:w="874" w:type="pct"/>
                  <w:vAlign w:val="center"/>
                </w:tcPr>
                <w:p w14:paraId="4917CEB7">
                  <w:pPr>
                    <w:widowControl/>
                    <w:adjustRightInd w:val="0"/>
                    <w:snapToGrid w:val="0"/>
                    <w:jc w:val="center"/>
                    <w:rPr>
                      <w:rFonts w:eastAsia="仿宋_GB2312"/>
                      <w:b/>
                      <w:sz w:val="21"/>
                      <w:szCs w:val="21"/>
                    </w:rPr>
                  </w:pPr>
                  <w:r>
                    <w:rPr>
                      <w:rFonts w:eastAsia="仿宋_GB2312"/>
                      <w:b/>
                      <w:sz w:val="21"/>
                      <w:szCs w:val="21"/>
                    </w:rPr>
                    <w:t>最大贮存量q(t)</w:t>
                  </w:r>
                </w:p>
              </w:tc>
              <w:tc>
                <w:tcPr>
                  <w:tcW w:w="693" w:type="pct"/>
                  <w:vAlign w:val="center"/>
                </w:tcPr>
                <w:p w14:paraId="574C0892">
                  <w:pPr>
                    <w:kinsoku w:val="0"/>
                    <w:overflowPunct w:val="0"/>
                    <w:adjustRightInd w:val="0"/>
                    <w:snapToGrid w:val="0"/>
                    <w:jc w:val="center"/>
                    <w:rPr>
                      <w:rFonts w:eastAsia="仿宋_GB2312"/>
                      <w:b/>
                      <w:kern w:val="0"/>
                      <w:sz w:val="21"/>
                      <w:szCs w:val="21"/>
                    </w:rPr>
                  </w:pPr>
                  <w:r>
                    <w:rPr>
                      <w:rFonts w:eastAsia="仿宋_GB2312"/>
                      <w:b/>
                      <w:kern w:val="0"/>
                      <w:sz w:val="21"/>
                      <w:szCs w:val="21"/>
                    </w:rPr>
                    <w:t>纯物质当量/t</w:t>
                  </w:r>
                </w:p>
              </w:tc>
              <w:tc>
                <w:tcPr>
                  <w:tcW w:w="695" w:type="pct"/>
                  <w:vAlign w:val="center"/>
                </w:tcPr>
                <w:p w14:paraId="02227413">
                  <w:pPr>
                    <w:kinsoku w:val="0"/>
                    <w:overflowPunct w:val="0"/>
                    <w:adjustRightInd w:val="0"/>
                    <w:snapToGrid w:val="0"/>
                    <w:jc w:val="center"/>
                    <w:rPr>
                      <w:rFonts w:eastAsia="仿宋_GB2312"/>
                      <w:b/>
                      <w:kern w:val="0"/>
                      <w:sz w:val="21"/>
                      <w:szCs w:val="21"/>
                    </w:rPr>
                  </w:pPr>
                  <w:r>
                    <w:rPr>
                      <w:rFonts w:eastAsia="仿宋_GB2312"/>
                      <w:b/>
                      <w:kern w:val="0"/>
                      <w:sz w:val="21"/>
                      <w:szCs w:val="21"/>
                    </w:rPr>
                    <w:t>纯物质临界量</w:t>
                  </w:r>
                  <w:r>
                    <w:rPr>
                      <w:rFonts w:eastAsia="仿宋_GB2312"/>
                      <w:b/>
                      <w:iCs/>
                      <w:kern w:val="0"/>
                      <w:sz w:val="21"/>
                      <w:szCs w:val="21"/>
                    </w:rPr>
                    <w:t>Q</w:t>
                  </w:r>
                  <w:r>
                    <w:rPr>
                      <w:rFonts w:eastAsia="仿宋_GB2312"/>
                      <w:b/>
                      <w:iCs/>
                      <w:kern w:val="0"/>
                      <w:sz w:val="21"/>
                      <w:szCs w:val="21"/>
                      <w:vertAlign w:val="subscript"/>
                    </w:rPr>
                    <w:t>n</w:t>
                  </w:r>
                  <w:r>
                    <w:rPr>
                      <w:rFonts w:eastAsia="仿宋_GB2312"/>
                      <w:b/>
                      <w:iCs/>
                      <w:kern w:val="0"/>
                      <w:sz w:val="21"/>
                      <w:szCs w:val="21"/>
                    </w:rPr>
                    <w:t>/</w:t>
                  </w:r>
                  <w:r>
                    <w:rPr>
                      <w:rFonts w:eastAsia="仿宋_GB2312"/>
                      <w:b/>
                      <w:kern w:val="0"/>
                      <w:sz w:val="21"/>
                      <w:szCs w:val="21"/>
                    </w:rPr>
                    <w:t>t</w:t>
                  </w:r>
                </w:p>
              </w:tc>
              <w:tc>
                <w:tcPr>
                  <w:tcW w:w="679" w:type="pct"/>
                  <w:vAlign w:val="center"/>
                </w:tcPr>
                <w:p w14:paraId="11514CF7">
                  <w:pPr>
                    <w:kinsoku w:val="0"/>
                    <w:overflowPunct w:val="0"/>
                    <w:adjustRightInd w:val="0"/>
                    <w:snapToGrid w:val="0"/>
                    <w:jc w:val="center"/>
                    <w:rPr>
                      <w:rFonts w:eastAsia="仿宋_GB2312"/>
                      <w:b/>
                      <w:kern w:val="0"/>
                      <w:sz w:val="21"/>
                      <w:szCs w:val="21"/>
                    </w:rPr>
                  </w:pPr>
                  <w:r>
                    <w:rPr>
                      <w:rFonts w:eastAsia="仿宋_GB2312"/>
                      <w:b/>
                      <w:kern w:val="0"/>
                      <w:sz w:val="21"/>
                      <w:szCs w:val="21"/>
                    </w:rPr>
                    <w:t>该种危险物质</w:t>
                  </w:r>
                  <w:r>
                    <w:rPr>
                      <w:rFonts w:eastAsia="仿宋_GB2312"/>
                      <w:b/>
                      <w:iCs/>
                      <w:kern w:val="0"/>
                      <w:sz w:val="21"/>
                      <w:szCs w:val="21"/>
                    </w:rPr>
                    <w:t>Q</w:t>
                  </w:r>
                  <w:r>
                    <w:rPr>
                      <w:rFonts w:eastAsia="仿宋_GB2312"/>
                      <w:b/>
                      <w:kern w:val="0"/>
                      <w:sz w:val="21"/>
                      <w:szCs w:val="21"/>
                    </w:rPr>
                    <w:t>值</w:t>
                  </w:r>
                </w:p>
              </w:tc>
              <w:tc>
                <w:tcPr>
                  <w:tcW w:w="669" w:type="pct"/>
                  <w:vAlign w:val="center"/>
                </w:tcPr>
                <w:p w14:paraId="40BE1A27">
                  <w:pPr>
                    <w:widowControl/>
                    <w:adjustRightInd w:val="0"/>
                    <w:snapToGrid w:val="0"/>
                    <w:jc w:val="center"/>
                    <w:rPr>
                      <w:rFonts w:eastAsia="仿宋_GB2312"/>
                      <w:b/>
                      <w:sz w:val="21"/>
                      <w:szCs w:val="21"/>
                    </w:rPr>
                  </w:pPr>
                  <w:r>
                    <w:rPr>
                      <w:rFonts w:eastAsia="仿宋_GB2312"/>
                      <w:b/>
                      <w:sz w:val="21"/>
                      <w:szCs w:val="21"/>
                    </w:rPr>
                    <w:t>分布</w:t>
                  </w:r>
                </w:p>
              </w:tc>
            </w:tr>
            <w:tr w14:paraId="5087A3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57" w:type="pct"/>
                  <w:vAlign w:val="center"/>
                </w:tcPr>
                <w:p w14:paraId="7DFD0B39">
                  <w:pPr>
                    <w:adjustRightInd w:val="0"/>
                    <w:snapToGrid w:val="0"/>
                    <w:jc w:val="center"/>
                    <w:rPr>
                      <w:rFonts w:eastAsia="仿宋_GB2312"/>
                      <w:color w:val="auto"/>
                      <w:sz w:val="21"/>
                      <w:szCs w:val="21"/>
                    </w:rPr>
                  </w:pPr>
                  <w:r>
                    <w:rPr>
                      <w:rFonts w:eastAsia="仿宋_GB2312"/>
                      <w:color w:val="auto"/>
                      <w:sz w:val="21"/>
                      <w:szCs w:val="21"/>
                    </w:rPr>
                    <w:t>液碱</w:t>
                  </w:r>
                </w:p>
              </w:tc>
              <w:tc>
                <w:tcPr>
                  <w:tcW w:w="831" w:type="pct"/>
                  <w:vAlign w:val="center"/>
                </w:tcPr>
                <w:p w14:paraId="52D35A08">
                  <w:pPr>
                    <w:adjustRightInd w:val="0"/>
                    <w:snapToGrid w:val="0"/>
                    <w:jc w:val="center"/>
                    <w:rPr>
                      <w:rFonts w:eastAsia="仿宋_GB2312"/>
                      <w:color w:val="auto"/>
                      <w:sz w:val="21"/>
                      <w:szCs w:val="21"/>
                    </w:rPr>
                  </w:pPr>
                  <w:r>
                    <w:rPr>
                      <w:rFonts w:eastAsia="仿宋_GB2312"/>
                      <w:color w:val="auto"/>
                      <w:sz w:val="21"/>
                      <w:szCs w:val="21"/>
                    </w:rPr>
                    <w:t>30%Na(OH)</w:t>
                  </w:r>
                </w:p>
              </w:tc>
              <w:tc>
                <w:tcPr>
                  <w:tcW w:w="874" w:type="pct"/>
                  <w:vAlign w:val="center"/>
                </w:tcPr>
                <w:p w14:paraId="258F859E">
                  <w:pPr>
                    <w:widowControl/>
                    <w:jc w:val="center"/>
                    <w:textAlignment w:val="center"/>
                    <w:rPr>
                      <w:rFonts w:eastAsia="仿宋_GB2312"/>
                      <w:color w:val="auto"/>
                      <w:kern w:val="0"/>
                      <w:sz w:val="21"/>
                      <w:szCs w:val="21"/>
                    </w:rPr>
                  </w:pPr>
                  <w:r>
                    <w:rPr>
                      <w:rFonts w:hint="eastAsia" w:eastAsia="仿宋_GB2312"/>
                      <w:color w:val="auto"/>
                      <w:kern w:val="0"/>
                      <w:sz w:val="21"/>
                      <w:szCs w:val="21"/>
                      <w:lang w:val="en-US" w:eastAsia="zh-CN"/>
                    </w:rPr>
                    <w:t>6</w:t>
                  </w:r>
                  <w:r>
                    <w:rPr>
                      <w:rFonts w:hint="eastAsia" w:eastAsia="仿宋_GB2312"/>
                      <w:color w:val="auto"/>
                      <w:kern w:val="0"/>
                      <w:sz w:val="21"/>
                      <w:szCs w:val="21"/>
                    </w:rPr>
                    <w:t>0</w:t>
                  </w:r>
                </w:p>
              </w:tc>
              <w:tc>
                <w:tcPr>
                  <w:tcW w:w="693" w:type="pct"/>
                  <w:vAlign w:val="center"/>
                </w:tcPr>
                <w:p w14:paraId="1DE8B288">
                  <w:pPr>
                    <w:widowControl/>
                    <w:jc w:val="center"/>
                    <w:textAlignment w:val="center"/>
                    <w:rPr>
                      <w:rFonts w:hint="default" w:eastAsia="仿宋_GB2312"/>
                      <w:color w:val="FF0000"/>
                      <w:kern w:val="0"/>
                      <w:sz w:val="21"/>
                      <w:szCs w:val="21"/>
                      <w:lang w:val="en-US" w:eastAsia="zh-CN"/>
                    </w:rPr>
                  </w:pPr>
                  <w:r>
                    <w:rPr>
                      <w:rFonts w:hint="eastAsia" w:eastAsia="仿宋_GB2312"/>
                      <w:color w:val="auto"/>
                      <w:kern w:val="0"/>
                      <w:sz w:val="21"/>
                      <w:szCs w:val="21"/>
                      <w:lang w:val="en-US" w:eastAsia="zh-CN"/>
                    </w:rPr>
                    <w:t>18</w:t>
                  </w:r>
                </w:p>
              </w:tc>
              <w:tc>
                <w:tcPr>
                  <w:tcW w:w="695" w:type="pct"/>
                  <w:vAlign w:val="center"/>
                </w:tcPr>
                <w:p w14:paraId="4E23964F">
                  <w:pPr>
                    <w:widowControl/>
                    <w:jc w:val="center"/>
                    <w:textAlignment w:val="center"/>
                    <w:rPr>
                      <w:rFonts w:hint="default" w:eastAsia="仿宋_GB2312"/>
                      <w:color w:val="FF0000"/>
                      <w:kern w:val="0"/>
                      <w:sz w:val="21"/>
                      <w:szCs w:val="21"/>
                      <w:lang w:val="en-US" w:eastAsia="zh-CN"/>
                    </w:rPr>
                  </w:pPr>
                  <w:r>
                    <w:rPr>
                      <w:rFonts w:hint="eastAsia" w:eastAsia="仿宋_GB2312"/>
                      <w:color w:val="auto"/>
                      <w:kern w:val="0"/>
                      <w:sz w:val="21"/>
                      <w:szCs w:val="21"/>
                      <w:lang w:val="en-US" w:eastAsia="zh-CN"/>
                    </w:rPr>
                    <w:t>100</w:t>
                  </w:r>
                </w:p>
              </w:tc>
              <w:tc>
                <w:tcPr>
                  <w:tcW w:w="679" w:type="pct"/>
                  <w:vAlign w:val="center"/>
                </w:tcPr>
                <w:p w14:paraId="2F44B2CB">
                  <w:pPr>
                    <w:widowControl/>
                    <w:jc w:val="center"/>
                    <w:textAlignment w:val="center"/>
                    <w:rPr>
                      <w:rFonts w:hint="default" w:eastAsia="仿宋_GB2312"/>
                      <w:color w:val="FF0000"/>
                      <w:kern w:val="0"/>
                      <w:sz w:val="21"/>
                      <w:szCs w:val="21"/>
                      <w:lang w:val="en-US" w:eastAsia="zh-CN"/>
                    </w:rPr>
                  </w:pPr>
                  <w:r>
                    <w:rPr>
                      <w:rFonts w:hint="eastAsia" w:eastAsia="仿宋_GB2312"/>
                      <w:color w:val="auto"/>
                      <w:kern w:val="0"/>
                      <w:sz w:val="21"/>
                      <w:szCs w:val="21"/>
                      <w:lang w:val="en-US" w:eastAsia="zh-CN"/>
                    </w:rPr>
                    <w:t>0.18</w:t>
                  </w:r>
                </w:p>
              </w:tc>
              <w:tc>
                <w:tcPr>
                  <w:tcW w:w="669" w:type="pct"/>
                  <w:vAlign w:val="center"/>
                </w:tcPr>
                <w:p w14:paraId="2D79B62B">
                  <w:pPr>
                    <w:widowControl/>
                    <w:adjustRightInd w:val="0"/>
                    <w:snapToGrid w:val="0"/>
                    <w:jc w:val="center"/>
                    <w:rPr>
                      <w:rFonts w:eastAsia="仿宋_GB2312"/>
                      <w:sz w:val="21"/>
                      <w:szCs w:val="21"/>
                    </w:rPr>
                  </w:pPr>
                  <w:r>
                    <w:rPr>
                      <w:rFonts w:eastAsia="仿宋_GB2312"/>
                      <w:sz w:val="21"/>
                      <w:szCs w:val="21"/>
                    </w:rPr>
                    <w:t>液碱储罐</w:t>
                  </w:r>
                </w:p>
              </w:tc>
            </w:tr>
            <w:tr w14:paraId="441CBA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57" w:type="pct"/>
                  <w:vAlign w:val="center"/>
                </w:tcPr>
                <w:p w14:paraId="7856AB84">
                  <w:pPr>
                    <w:adjustRightInd w:val="0"/>
                    <w:snapToGrid w:val="0"/>
                    <w:jc w:val="center"/>
                    <w:rPr>
                      <w:rFonts w:eastAsia="仿宋_GB2312"/>
                      <w:color w:val="auto"/>
                      <w:sz w:val="21"/>
                      <w:szCs w:val="21"/>
                    </w:rPr>
                  </w:pPr>
                  <w:r>
                    <w:rPr>
                      <w:rFonts w:eastAsia="仿宋_GB2312"/>
                      <w:color w:val="auto"/>
                      <w:sz w:val="21"/>
                      <w:szCs w:val="21"/>
                    </w:rPr>
                    <w:t>盐酸</w:t>
                  </w:r>
                </w:p>
              </w:tc>
              <w:tc>
                <w:tcPr>
                  <w:tcW w:w="831" w:type="pct"/>
                  <w:vAlign w:val="center"/>
                </w:tcPr>
                <w:p w14:paraId="1375DFC4">
                  <w:pPr>
                    <w:adjustRightInd w:val="0"/>
                    <w:snapToGrid w:val="0"/>
                    <w:jc w:val="center"/>
                    <w:rPr>
                      <w:rFonts w:eastAsia="仿宋_GB2312"/>
                      <w:color w:val="auto"/>
                      <w:sz w:val="21"/>
                      <w:szCs w:val="21"/>
                    </w:rPr>
                  </w:pPr>
                  <w:r>
                    <w:rPr>
                      <w:rFonts w:eastAsia="仿宋_GB2312"/>
                      <w:color w:val="auto"/>
                      <w:sz w:val="21"/>
                      <w:szCs w:val="21"/>
                    </w:rPr>
                    <w:t>30%HCl</w:t>
                  </w:r>
                </w:p>
              </w:tc>
              <w:tc>
                <w:tcPr>
                  <w:tcW w:w="874" w:type="pct"/>
                  <w:vAlign w:val="center"/>
                </w:tcPr>
                <w:p w14:paraId="47C8D63E">
                  <w:pPr>
                    <w:widowControl/>
                    <w:jc w:val="center"/>
                    <w:textAlignment w:val="center"/>
                    <w:rPr>
                      <w:rFonts w:hint="default" w:eastAsia="仿宋_GB2312"/>
                      <w:color w:val="auto"/>
                      <w:kern w:val="0"/>
                      <w:sz w:val="21"/>
                      <w:szCs w:val="21"/>
                      <w:lang w:val="en-US" w:eastAsia="zh-CN"/>
                    </w:rPr>
                  </w:pPr>
                  <w:r>
                    <w:rPr>
                      <w:rFonts w:hint="eastAsia" w:eastAsia="仿宋_GB2312"/>
                      <w:color w:val="auto"/>
                      <w:kern w:val="0"/>
                      <w:sz w:val="21"/>
                      <w:szCs w:val="21"/>
                      <w:lang w:val="en-US" w:eastAsia="zh-CN"/>
                    </w:rPr>
                    <w:t>30</w:t>
                  </w:r>
                </w:p>
              </w:tc>
              <w:tc>
                <w:tcPr>
                  <w:tcW w:w="693" w:type="pct"/>
                  <w:vAlign w:val="center"/>
                </w:tcPr>
                <w:p w14:paraId="4EC4B2E8">
                  <w:pPr>
                    <w:widowControl/>
                    <w:jc w:val="center"/>
                    <w:textAlignment w:val="center"/>
                    <w:rPr>
                      <w:rFonts w:hint="default" w:eastAsia="仿宋_GB2312"/>
                      <w:color w:val="auto"/>
                      <w:kern w:val="0"/>
                      <w:sz w:val="21"/>
                      <w:szCs w:val="21"/>
                      <w:lang w:val="en-US" w:eastAsia="zh-CN"/>
                    </w:rPr>
                  </w:pPr>
                  <w:r>
                    <w:rPr>
                      <w:rFonts w:hint="eastAsia" w:eastAsia="仿宋_GB2312"/>
                      <w:color w:val="auto"/>
                      <w:kern w:val="0"/>
                      <w:sz w:val="21"/>
                      <w:szCs w:val="21"/>
                      <w:lang w:val="en-US" w:eastAsia="zh-CN"/>
                    </w:rPr>
                    <w:t>9</w:t>
                  </w:r>
                </w:p>
              </w:tc>
              <w:tc>
                <w:tcPr>
                  <w:tcW w:w="695" w:type="pct"/>
                  <w:vAlign w:val="center"/>
                </w:tcPr>
                <w:p w14:paraId="70EA86A8">
                  <w:pPr>
                    <w:widowControl/>
                    <w:jc w:val="center"/>
                    <w:textAlignment w:val="center"/>
                    <w:rPr>
                      <w:rFonts w:eastAsia="仿宋_GB2312"/>
                      <w:color w:val="auto"/>
                      <w:kern w:val="0"/>
                      <w:sz w:val="21"/>
                      <w:szCs w:val="21"/>
                    </w:rPr>
                  </w:pPr>
                  <w:r>
                    <w:rPr>
                      <w:rFonts w:eastAsia="仿宋_GB2312"/>
                      <w:color w:val="auto"/>
                      <w:kern w:val="0"/>
                      <w:sz w:val="21"/>
                      <w:szCs w:val="21"/>
                    </w:rPr>
                    <w:t>7.5</w:t>
                  </w:r>
                </w:p>
              </w:tc>
              <w:tc>
                <w:tcPr>
                  <w:tcW w:w="679" w:type="pct"/>
                  <w:vAlign w:val="center"/>
                </w:tcPr>
                <w:p w14:paraId="70D22906">
                  <w:pPr>
                    <w:widowControl/>
                    <w:jc w:val="center"/>
                    <w:textAlignment w:val="center"/>
                    <w:rPr>
                      <w:rFonts w:hint="default" w:eastAsia="仿宋_GB2312"/>
                      <w:color w:val="auto"/>
                      <w:kern w:val="0"/>
                      <w:sz w:val="21"/>
                      <w:szCs w:val="21"/>
                      <w:lang w:val="en-US" w:eastAsia="zh-CN"/>
                    </w:rPr>
                  </w:pPr>
                  <w:r>
                    <w:rPr>
                      <w:rFonts w:hint="eastAsia" w:eastAsia="仿宋_GB2312"/>
                      <w:color w:val="auto"/>
                      <w:kern w:val="0"/>
                      <w:sz w:val="21"/>
                      <w:szCs w:val="21"/>
                      <w:lang w:val="en-US" w:eastAsia="zh-CN"/>
                    </w:rPr>
                    <w:t>1.2</w:t>
                  </w:r>
                </w:p>
              </w:tc>
              <w:tc>
                <w:tcPr>
                  <w:tcW w:w="669" w:type="pct"/>
                  <w:vAlign w:val="center"/>
                </w:tcPr>
                <w:p w14:paraId="51FC877B">
                  <w:pPr>
                    <w:widowControl/>
                    <w:adjustRightInd w:val="0"/>
                    <w:snapToGrid w:val="0"/>
                    <w:jc w:val="center"/>
                    <w:rPr>
                      <w:rFonts w:eastAsia="仿宋_GB2312"/>
                      <w:sz w:val="21"/>
                      <w:szCs w:val="21"/>
                    </w:rPr>
                  </w:pPr>
                  <w:r>
                    <w:rPr>
                      <w:rFonts w:eastAsia="仿宋_GB2312"/>
                      <w:sz w:val="21"/>
                      <w:szCs w:val="21"/>
                    </w:rPr>
                    <w:t>盐酸储罐</w:t>
                  </w:r>
                </w:p>
              </w:tc>
            </w:tr>
            <w:tr w14:paraId="0760FF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57" w:type="pct"/>
                  <w:vAlign w:val="center"/>
                </w:tcPr>
                <w:p w14:paraId="631C70D6">
                  <w:pPr>
                    <w:adjustRightInd w:val="0"/>
                    <w:snapToGrid w:val="0"/>
                    <w:jc w:val="center"/>
                    <w:rPr>
                      <w:rFonts w:eastAsia="仿宋_GB2312"/>
                      <w:color w:val="auto"/>
                      <w:sz w:val="21"/>
                      <w:szCs w:val="21"/>
                    </w:rPr>
                  </w:pPr>
                  <w:r>
                    <w:rPr>
                      <w:rFonts w:eastAsia="仿宋_GB2312"/>
                      <w:color w:val="auto"/>
                      <w:sz w:val="21"/>
                      <w:szCs w:val="21"/>
                    </w:rPr>
                    <w:t>次氯酸钠</w:t>
                  </w:r>
                </w:p>
              </w:tc>
              <w:tc>
                <w:tcPr>
                  <w:tcW w:w="831" w:type="pct"/>
                  <w:vAlign w:val="center"/>
                </w:tcPr>
                <w:p w14:paraId="29E19AAE">
                  <w:pPr>
                    <w:adjustRightInd w:val="0"/>
                    <w:snapToGrid w:val="0"/>
                    <w:jc w:val="center"/>
                    <w:rPr>
                      <w:rFonts w:eastAsia="仿宋_GB2312"/>
                      <w:color w:val="auto"/>
                      <w:sz w:val="21"/>
                      <w:szCs w:val="21"/>
                    </w:rPr>
                  </w:pPr>
                  <w:r>
                    <w:rPr>
                      <w:rFonts w:eastAsia="仿宋_GB2312"/>
                      <w:color w:val="auto"/>
                      <w:sz w:val="21"/>
                      <w:szCs w:val="21"/>
                    </w:rPr>
                    <w:t>10%NaClO</w:t>
                  </w:r>
                </w:p>
              </w:tc>
              <w:tc>
                <w:tcPr>
                  <w:tcW w:w="874" w:type="pct"/>
                  <w:vAlign w:val="center"/>
                </w:tcPr>
                <w:p w14:paraId="4F7700AE">
                  <w:pPr>
                    <w:widowControl/>
                    <w:jc w:val="center"/>
                    <w:textAlignment w:val="center"/>
                    <w:rPr>
                      <w:rFonts w:hint="default" w:eastAsia="仿宋_GB2312"/>
                      <w:color w:val="auto"/>
                      <w:kern w:val="0"/>
                      <w:sz w:val="21"/>
                      <w:szCs w:val="21"/>
                      <w:lang w:val="en-US"/>
                    </w:rPr>
                  </w:pPr>
                  <w:r>
                    <w:rPr>
                      <w:rFonts w:hint="eastAsia" w:eastAsia="仿宋_GB2312"/>
                      <w:color w:val="auto"/>
                      <w:kern w:val="0"/>
                      <w:sz w:val="21"/>
                      <w:szCs w:val="21"/>
                      <w:lang w:val="en-US" w:eastAsia="zh-CN"/>
                    </w:rPr>
                    <w:t>33</w:t>
                  </w:r>
                </w:p>
              </w:tc>
              <w:tc>
                <w:tcPr>
                  <w:tcW w:w="693" w:type="pct"/>
                  <w:vAlign w:val="center"/>
                </w:tcPr>
                <w:p w14:paraId="56F813DB">
                  <w:pPr>
                    <w:widowControl/>
                    <w:jc w:val="center"/>
                    <w:textAlignment w:val="center"/>
                    <w:rPr>
                      <w:rFonts w:hint="default" w:eastAsia="仿宋_GB2312"/>
                      <w:kern w:val="0"/>
                      <w:sz w:val="21"/>
                      <w:szCs w:val="21"/>
                      <w:lang w:val="en-US" w:eastAsia="zh-CN"/>
                    </w:rPr>
                  </w:pPr>
                  <w:r>
                    <w:rPr>
                      <w:rFonts w:hint="eastAsia" w:eastAsia="仿宋_GB2312"/>
                      <w:kern w:val="0"/>
                      <w:sz w:val="21"/>
                      <w:szCs w:val="21"/>
                      <w:lang w:val="en-US" w:eastAsia="zh-CN"/>
                    </w:rPr>
                    <w:t>3.3</w:t>
                  </w:r>
                </w:p>
              </w:tc>
              <w:tc>
                <w:tcPr>
                  <w:tcW w:w="695" w:type="pct"/>
                  <w:vAlign w:val="center"/>
                </w:tcPr>
                <w:p w14:paraId="04E980C0">
                  <w:pPr>
                    <w:widowControl/>
                    <w:jc w:val="center"/>
                    <w:textAlignment w:val="center"/>
                    <w:rPr>
                      <w:rFonts w:eastAsia="仿宋_GB2312"/>
                      <w:kern w:val="0"/>
                      <w:sz w:val="21"/>
                      <w:szCs w:val="21"/>
                    </w:rPr>
                  </w:pPr>
                  <w:r>
                    <w:rPr>
                      <w:rFonts w:eastAsia="仿宋_GB2312"/>
                      <w:kern w:val="0"/>
                      <w:sz w:val="21"/>
                      <w:szCs w:val="21"/>
                    </w:rPr>
                    <w:t>5</w:t>
                  </w:r>
                </w:p>
              </w:tc>
              <w:tc>
                <w:tcPr>
                  <w:tcW w:w="679" w:type="pct"/>
                  <w:vAlign w:val="center"/>
                </w:tcPr>
                <w:p w14:paraId="23E1ECD7">
                  <w:pPr>
                    <w:widowControl/>
                    <w:jc w:val="center"/>
                    <w:textAlignment w:val="center"/>
                    <w:rPr>
                      <w:rFonts w:hint="default" w:eastAsia="仿宋_GB2312"/>
                      <w:kern w:val="0"/>
                      <w:sz w:val="21"/>
                      <w:szCs w:val="21"/>
                      <w:lang w:val="en-US" w:eastAsia="zh-CN"/>
                    </w:rPr>
                  </w:pPr>
                  <w:r>
                    <w:rPr>
                      <w:rFonts w:hint="eastAsia" w:eastAsia="仿宋_GB2312"/>
                      <w:kern w:val="0"/>
                      <w:sz w:val="21"/>
                      <w:szCs w:val="21"/>
                      <w:lang w:val="en-US" w:eastAsia="zh-CN"/>
                    </w:rPr>
                    <w:t>0.66</w:t>
                  </w:r>
                </w:p>
              </w:tc>
              <w:tc>
                <w:tcPr>
                  <w:tcW w:w="669" w:type="pct"/>
                  <w:vAlign w:val="center"/>
                </w:tcPr>
                <w:p w14:paraId="575209AB">
                  <w:pPr>
                    <w:widowControl/>
                    <w:adjustRightInd w:val="0"/>
                    <w:snapToGrid w:val="0"/>
                    <w:jc w:val="center"/>
                    <w:rPr>
                      <w:rFonts w:eastAsia="仿宋_GB2312"/>
                      <w:sz w:val="21"/>
                      <w:szCs w:val="21"/>
                    </w:rPr>
                  </w:pPr>
                  <w:r>
                    <w:rPr>
                      <w:rFonts w:eastAsia="仿宋_GB2312"/>
                      <w:sz w:val="21"/>
                      <w:szCs w:val="21"/>
                    </w:rPr>
                    <w:t>次氯酸钠储罐</w:t>
                  </w:r>
                </w:p>
              </w:tc>
            </w:tr>
            <w:tr w14:paraId="7B95E8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57" w:type="pct"/>
                  <w:vAlign w:val="center"/>
                </w:tcPr>
                <w:p w14:paraId="030AD444">
                  <w:pPr>
                    <w:adjustRightInd w:val="0"/>
                    <w:snapToGrid w:val="0"/>
                    <w:jc w:val="center"/>
                    <w:rPr>
                      <w:rFonts w:eastAsia="仿宋_GB2312"/>
                      <w:sz w:val="21"/>
                      <w:szCs w:val="21"/>
                    </w:rPr>
                  </w:pPr>
                  <w:r>
                    <w:rPr>
                      <w:rFonts w:eastAsia="仿宋_GB2312"/>
                      <w:sz w:val="21"/>
                      <w:szCs w:val="21"/>
                    </w:rPr>
                    <w:t>废机油</w:t>
                  </w:r>
                </w:p>
              </w:tc>
              <w:tc>
                <w:tcPr>
                  <w:tcW w:w="831" w:type="pct"/>
                  <w:vAlign w:val="center"/>
                </w:tcPr>
                <w:p w14:paraId="4A82121A">
                  <w:pPr>
                    <w:adjustRightInd w:val="0"/>
                    <w:snapToGrid w:val="0"/>
                    <w:jc w:val="center"/>
                    <w:rPr>
                      <w:rFonts w:eastAsia="仿宋_GB2312"/>
                      <w:sz w:val="21"/>
                      <w:szCs w:val="21"/>
                    </w:rPr>
                  </w:pPr>
                  <w:r>
                    <w:rPr>
                      <w:rFonts w:eastAsia="仿宋_GB2312"/>
                      <w:sz w:val="21"/>
                      <w:szCs w:val="21"/>
                    </w:rPr>
                    <w:t>废机油</w:t>
                  </w:r>
                </w:p>
              </w:tc>
              <w:tc>
                <w:tcPr>
                  <w:tcW w:w="874" w:type="pct"/>
                  <w:vAlign w:val="center"/>
                </w:tcPr>
                <w:p w14:paraId="3D91362E">
                  <w:pPr>
                    <w:widowControl/>
                    <w:jc w:val="center"/>
                    <w:textAlignment w:val="center"/>
                    <w:rPr>
                      <w:rFonts w:eastAsia="仿宋_GB2312"/>
                      <w:kern w:val="0"/>
                      <w:sz w:val="21"/>
                      <w:szCs w:val="21"/>
                    </w:rPr>
                  </w:pPr>
                  <w:r>
                    <w:rPr>
                      <w:rFonts w:hint="eastAsia" w:eastAsia="仿宋_GB2312"/>
                      <w:kern w:val="0"/>
                      <w:sz w:val="21"/>
                      <w:szCs w:val="21"/>
                    </w:rPr>
                    <w:t>1.125</w:t>
                  </w:r>
                </w:p>
              </w:tc>
              <w:tc>
                <w:tcPr>
                  <w:tcW w:w="693" w:type="pct"/>
                  <w:vAlign w:val="center"/>
                </w:tcPr>
                <w:p w14:paraId="04F9950A">
                  <w:pPr>
                    <w:widowControl/>
                    <w:jc w:val="center"/>
                    <w:textAlignment w:val="center"/>
                    <w:rPr>
                      <w:rFonts w:eastAsia="仿宋_GB2312"/>
                      <w:kern w:val="0"/>
                      <w:sz w:val="21"/>
                      <w:szCs w:val="21"/>
                    </w:rPr>
                  </w:pPr>
                  <w:r>
                    <w:rPr>
                      <w:rFonts w:hint="eastAsia" w:eastAsia="仿宋_GB2312"/>
                      <w:kern w:val="0"/>
                      <w:sz w:val="21"/>
                      <w:szCs w:val="21"/>
                    </w:rPr>
                    <w:t>/</w:t>
                  </w:r>
                </w:p>
              </w:tc>
              <w:tc>
                <w:tcPr>
                  <w:tcW w:w="695" w:type="pct"/>
                  <w:vAlign w:val="center"/>
                </w:tcPr>
                <w:p w14:paraId="1C19C3D3">
                  <w:pPr>
                    <w:widowControl/>
                    <w:jc w:val="center"/>
                    <w:textAlignment w:val="center"/>
                    <w:rPr>
                      <w:rFonts w:eastAsia="仿宋_GB2312"/>
                      <w:sz w:val="21"/>
                      <w:szCs w:val="21"/>
                    </w:rPr>
                  </w:pPr>
                  <w:r>
                    <w:rPr>
                      <w:rFonts w:eastAsia="仿宋_GB2312"/>
                      <w:kern w:val="0"/>
                      <w:sz w:val="21"/>
                      <w:szCs w:val="21"/>
                    </w:rPr>
                    <w:t>50</w:t>
                  </w:r>
                </w:p>
              </w:tc>
              <w:tc>
                <w:tcPr>
                  <w:tcW w:w="679" w:type="pct"/>
                  <w:vAlign w:val="center"/>
                </w:tcPr>
                <w:p w14:paraId="3CC4E136">
                  <w:pPr>
                    <w:widowControl/>
                    <w:jc w:val="center"/>
                    <w:textAlignment w:val="center"/>
                    <w:rPr>
                      <w:rFonts w:eastAsia="仿宋_GB2312"/>
                      <w:kern w:val="0"/>
                      <w:sz w:val="21"/>
                      <w:szCs w:val="21"/>
                    </w:rPr>
                  </w:pPr>
                  <w:r>
                    <w:rPr>
                      <w:rFonts w:hint="eastAsia" w:eastAsia="仿宋_GB2312"/>
                      <w:kern w:val="0"/>
                      <w:sz w:val="21"/>
                      <w:szCs w:val="21"/>
                    </w:rPr>
                    <w:t>0.0225</w:t>
                  </w:r>
                </w:p>
              </w:tc>
              <w:tc>
                <w:tcPr>
                  <w:tcW w:w="669" w:type="pct"/>
                  <w:vMerge w:val="restart"/>
                  <w:vAlign w:val="center"/>
                </w:tcPr>
                <w:p w14:paraId="34A92E83">
                  <w:pPr>
                    <w:widowControl/>
                    <w:adjustRightInd w:val="0"/>
                    <w:snapToGrid w:val="0"/>
                    <w:jc w:val="center"/>
                    <w:rPr>
                      <w:rFonts w:eastAsia="仿宋_GB2312"/>
                      <w:sz w:val="21"/>
                      <w:szCs w:val="21"/>
                    </w:rPr>
                  </w:pPr>
                  <w:r>
                    <w:rPr>
                      <w:rFonts w:eastAsia="仿宋_GB2312"/>
                      <w:sz w:val="21"/>
                      <w:szCs w:val="21"/>
                    </w:rPr>
                    <w:t>危险废物暂存场所</w:t>
                  </w:r>
                </w:p>
              </w:tc>
            </w:tr>
            <w:tr w14:paraId="53A178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57" w:type="pct"/>
                  <w:vAlign w:val="center"/>
                </w:tcPr>
                <w:p w14:paraId="461B184A">
                  <w:pPr>
                    <w:adjustRightInd w:val="0"/>
                    <w:snapToGrid w:val="0"/>
                    <w:jc w:val="center"/>
                    <w:rPr>
                      <w:rFonts w:eastAsia="仿宋_GB2312"/>
                      <w:sz w:val="21"/>
                      <w:szCs w:val="21"/>
                    </w:rPr>
                  </w:pPr>
                  <w:r>
                    <w:rPr>
                      <w:rFonts w:eastAsia="仿宋_GB2312"/>
                      <w:sz w:val="21"/>
                      <w:szCs w:val="21"/>
                    </w:rPr>
                    <w:t>废油桶</w:t>
                  </w:r>
                </w:p>
              </w:tc>
              <w:tc>
                <w:tcPr>
                  <w:tcW w:w="831" w:type="pct"/>
                  <w:vAlign w:val="center"/>
                </w:tcPr>
                <w:p w14:paraId="5FC6E4E7">
                  <w:pPr>
                    <w:adjustRightInd w:val="0"/>
                    <w:snapToGrid w:val="0"/>
                    <w:jc w:val="center"/>
                    <w:rPr>
                      <w:rFonts w:eastAsia="仿宋_GB2312"/>
                      <w:sz w:val="21"/>
                      <w:szCs w:val="21"/>
                    </w:rPr>
                  </w:pPr>
                  <w:r>
                    <w:rPr>
                      <w:rFonts w:eastAsia="仿宋_GB2312"/>
                      <w:sz w:val="21"/>
                      <w:szCs w:val="21"/>
                    </w:rPr>
                    <w:t>废油桶</w:t>
                  </w:r>
                </w:p>
              </w:tc>
              <w:tc>
                <w:tcPr>
                  <w:tcW w:w="874" w:type="pct"/>
                  <w:vAlign w:val="center"/>
                </w:tcPr>
                <w:p w14:paraId="6ADAE5E0">
                  <w:pPr>
                    <w:widowControl/>
                    <w:jc w:val="center"/>
                    <w:textAlignment w:val="center"/>
                    <w:rPr>
                      <w:rFonts w:eastAsia="仿宋_GB2312"/>
                      <w:kern w:val="0"/>
                      <w:sz w:val="21"/>
                      <w:szCs w:val="21"/>
                    </w:rPr>
                  </w:pPr>
                  <w:r>
                    <w:rPr>
                      <w:rFonts w:hint="eastAsia" w:eastAsia="仿宋_GB2312"/>
                      <w:kern w:val="0"/>
                      <w:sz w:val="21"/>
                      <w:szCs w:val="21"/>
                    </w:rPr>
                    <w:t>0.125</w:t>
                  </w:r>
                </w:p>
              </w:tc>
              <w:tc>
                <w:tcPr>
                  <w:tcW w:w="693" w:type="pct"/>
                  <w:vAlign w:val="center"/>
                </w:tcPr>
                <w:p w14:paraId="63987CF0">
                  <w:pPr>
                    <w:widowControl/>
                    <w:jc w:val="center"/>
                    <w:textAlignment w:val="center"/>
                    <w:rPr>
                      <w:rFonts w:eastAsia="仿宋_GB2312"/>
                      <w:kern w:val="0"/>
                      <w:sz w:val="21"/>
                      <w:szCs w:val="21"/>
                    </w:rPr>
                  </w:pPr>
                  <w:r>
                    <w:rPr>
                      <w:rFonts w:hint="eastAsia" w:eastAsia="仿宋_GB2312"/>
                      <w:kern w:val="0"/>
                      <w:sz w:val="21"/>
                      <w:szCs w:val="21"/>
                    </w:rPr>
                    <w:t>/</w:t>
                  </w:r>
                </w:p>
              </w:tc>
              <w:tc>
                <w:tcPr>
                  <w:tcW w:w="695" w:type="pct"/>
                  <w:vAlign w:val="center"/>
                </w:tcPr>
                <w:p w14:paraId="13FD3023">
                  <w:pPr>
                    <w:widowControl/>
                    <w:jc w:val="center"/>
                    <w:textAlignment w:val="center"/>
                    <w:rPr>
                      <w:rFonts w:eastAsia="仿宋_GB2312"/>
                      <w:sz w:val="21"/>
                      <w:szCs w:val="21"/>
                    </w:rPr>
                  </w:pPr>
                  <w:r>
                    <w:rPr>
                      <w:rFonts w:eastAsia="仿宋_GB2312"/>
                      <w:kern w:val="0"/>
                      <w:sz w:val="21"/>
                      <w:szCs w:val="21"/>
                    </w:rPr>
                    <w:t>50</w:t>
                  </w:r>
                </w:p>
              </w:tc>
              <w:tc>
                <w:tcPr>
                  <w:tcW w:w="679" w:type="pct"/>
                  <w:vAlign w:val="center"/>
                </w:tcPr>
                <w:p w14:paraId="58EDCD7E">
                  <w:pPr>
                    <w:widowControl/>
                    <w:jc w:val="center"/>
                    <w:textAlignment w:val="center"/>
                    <w:rPr>
                      <w:rFonts w:eastAsia="仿宋_GB2312"/>
                      <w:kern w:val="0"/>
                      <w:sz w:val="21"/>
                      <w:szCs w:val="21"/>
                    </w:rPr>
                  </w:pPr>
                  <w:r>
                    <w:rPr>
                      <w:rFonts w:hint="eastAsia" w:eastAsia="仿宋_GB2312"/>
                      <w:kern w:val="0"/>
                      <w:sz w:val="21"/>
                      <w:szCs w:val="21"/>
                    </w:rPr>
                    <w:t>0.0025</w:t>
                  </w:r>
                </w:p>
              </w:tc>
              <w:tc>
                <w:tcPr>
                  <w:tcW w:w="669" w:type="pct"/>
                  <w:vMerge w:val="continue"/>
                  <w:vAlign w:val="center"/>
                </w:tcPr>
                <w:p w14:paraId="0A8E0A3E">
                  <w:pPr>
                    <w:widowControl/>
                    <w:adjustRightInd w:val="0"/>
                    <w:snapToGrid w:val="0"/>
                    <w:jc w:val="center"/>
                    <w:rPr>
                      <w:rFonts w:eastAsia="仿宋_GB2312"/>
                      <w:sz w:val="21"/>
                      <w:szCs w:val="21"/>
                    </w:rPr>
                  </w:pPr>
                </w:p>
              </w:tc>
            </w:tr>
            <w:tr w14:paraId="7A680B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57" w:type="pct"/>
                  <w:vAlign w:val="center"/>
                </w:tcPr>
                <w:p w14:paraId="56128BF9">
                  <w:pPr>
                    <w:adjustRightInd w:val="0"/>
                    <w:snapToGrid w:val="0"/>
                    <w:jc w:val="center"/>
                    <w:rPr>
                      <w:rFonts w:eastAsia="仿宋_GB2312"/>
                      <w:kern w:val="0"/>
                      <w:sz w:val="21"/>
                      <w:szCs w:val="21"/>
                    </w:rPr>
                  </w:pPr>
                  <w:r>
                    <w:rPr>
                      <w:rFonts w:eastAsia="仿宋_GB2312"/>
                      <w:kern w:val="0"/>
                      <w:sz w:val="21"/>
                      <w:szCs w:val="21"/>
                    </w:rPr>
                    <w:t>废漆桶</w:t>
                  </w:r>
                </w:p>
              </w:tc>
              <w:tc>
                <w:tcPr>
                  <w:tcW w:w="831" w:type="pct"/>
                  <w:vAlign w:val="center"/>
                </w:tcPr>
                <w:p w14:paraId="6E4EB5E1">
                  <w:pPr>
                    <w:adjustRightInd w:val="0"/>
                    <w:snapToGrid w:val="0"/>
                    <w:jc w:val="center"/>
                    <w:rPr>
                      <w:rFonts w:eastAsia="仿宋_GB2312"/>
                      <w:kern w:val="0"/>
                      <w:sz w:val="21"/>
                      <w:szCs w:val="21"/>
                    </w:rPr>
                  </w:pPr>
                  <w:r>
                    <w:rPr>
                      <w:rFonts w:eastAsia="仿宋_GB2312"/>
                      <w:kern w:val="0"/>
                      <w:sz w:val="21"/>
                      <w:szCs w:val="21"/>
                    </w:rPr>
                    <w:t>废漆桶</w:t>
                  </w:r>
                </w:p>
              </w:tc>
              <w:tc>
                <w:tcPr>
                  <w:tcW w:w="874" w:type="pct"/>
                  <w:vAlign w:val="center"/>
                </w:tcPr>
                <w:p w14:paraId="7E113665">
                  <w:pPr>
                    <w:widowControl/>
                    <w:jc w:val="center"/>
                    <w:textAlignment w:val="center"/>
                    <w:rPr>
                      <w:rFonts w:eastAsia="仿宋_GB2312"/>
                      <w:kern w:val="0"/>
                      <w:sz w:val="21"/>
                      <w:szCs w:val="21"/>
                    </w:rPr>
                  </w:pPr>
                  <w:r>
                    <w:rPr>
                      <w:rFonts w:hint="eastAsia" w:eastAsia="仿宋_GB2312"/>
                      <w:kern w:val="0"/>
                      <w:sz w:val="21"/>
                      <w:szCs w:val="21"/>
                    </w:rPr>
                    <w:t>0.125</w:t>
                  </w:r>
                </w:p>
              </w:tc>
              <w:tc>
                <w:tcPr>
                  <w:tcW w:w="693" w:type="pct"/>
                  <w:vAlign w:val="center"/>
                </w:tcPr>
                <w:p w14:paraId="46531ADD">
                  <w:pPr>
                    <w:widowControl/>
                    <w:jc w:val="center"/>
                    <w:textAlignment w:val="center"/>
                    <w:rPr>
                      <w:rFonts w:eastAsia="仿宋_GB2312"/>
                      <w:kern w:val="0"/>
                      <w:sz w:val="21"/>
                      <w:szCs w:val="21"/>
                    </w:rPr>
                  </w:pPr>
                  <w:r>
                    <w:rPr>
                      <w:rFonts w:hint="eastAsia" w:eastAsia="仿宋_GB2312"/>
                      <w:kern w:val="0"/>
                      <w:sz w:val="21"/>
                      <w:szCs w:val="21"/>
                    </w:rPr>
                    <w:t>/</w:t>
                  </w:r>
                </w:p>
              </w:tc>
              <w:tc>
                <w:tcPr>
                  <w:tcW w:w="695" w:type="pct"/>
                  <w:vAlign w:val="center"/>
                </w:tcPr>
                <w:p w14:paraId="7B375626">
                  <w:pPr>
                    <w:widowControl/>
                    <w:jc w:val="center"/>
                    <w:textAlignment w:val="center"/>
                    <w:rPr>
                      <w:rFonts w:eastAsia="仿宋_GB2312"/>
                      <w:sz w:val="21"/>
                      <w:szCs w:val="21"/>
                    </w:rPr>
                  </w:pPr>
                  <w:r>
                    <w:rPr>
                      <w:rFonts w:eastAsia="仿宋_GB2312"/>
                      <w:kern w:val="0"/>
                      <w:sz w:val="21"/>
                      <w:szCs w:val="21"/>
                    </w:rPr>
                    <w:t>50</w:t>
                  </w:r>
                </w:p>
              </w:tc>
              <w:tc>
                <w:tcPr>
                  <w:tcW w:w="679" w:type="pct"/>
                  <w:vAlign w:val="center"/>
                </w:tcPr>
                <w:p w14:paraId="3269D4CF">
                  <w:pPr>
                    <w:widowControl/>
                    <w:jc w:val="center"/>
                    <w:textAlignment w:val="center"/>
                    <w:rPr>
                      <w:rFonts w:eastAsia="仿宋_GB2312"/>
                      <w:kern w:val="0"/>
                      <w:sz w:val="21"/>
                      <w:szCs w:val="21"/>
                    </w:rPr>
                  </w:pPr>
                  <w:r>
                    <w:rPr>
                      <w:rFonts w:hint="eastAsia" w:eastAsia="仿宋_GB2312"/>
                      <w:kern w:val="0"/>
                      <w:sz w:val="21"/>
                      <w:szCs w:val="21"/>
                    </w:rPr>
                    <w:t>0.0025</w:t>
                  </w:r>
                </w:p>
              </w:tc>
              <w:tc>
                <w:tcPr>
                  <w:tcW w:w="669" w:type="pct"/>
                  <w:vMerge w:val="continue"/>
                  <w:vAlign w:val="center"/>
                </w:tcPr>
                <w:p w14:paraId="0646EC6B">
                  <w:pPr>
                    <w:widowControl/>
                    <w:adjustRightInd w:val="0"/>
                    <w:snapToGrid w:val="0"/>
                    <w:jc w:val="center"/>
                    <w:rPr>
                      <w:rFonts w:eastAsia="仿宋_GB2312"/>
                      <w:sz w:val="21"/>
                      <w:szCs w:val="21"/>
                    </w:rPr>
                  </w:pPr>
                </w:p>
              </w:tc>
            </w:tr>
            <w:tr w14:paraId="158DFF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57" w:type="pct"/>
                  <w:vAlign w:val="center"/>
                </w:tcPr>
                <w:p w14:paraId="21A91093">
                  <w:pPr>
                    <w:adjustRightInd w:val="0"/>
                    <w:snapToGrid w:val="0"/>
                    <w:jc w:val="center"/>
                    <w:rPr>
                      <w:rFonts w:eastAsia="仿宋_GB2312"/>
                      <w:kern w:val="0"/>
                      <w:sz w:val="21"/>
                      <w:szCs w:val="21"/>
                    </w:rPr>
                  </w:pPr>
                  <w:r>
                    <w:rPr>
                      <w:rFonts w:eastAsia="仿宋_GB2312"/>
                      <w:kern w:val="0"/>
                      <w:sz w:val="21"/>
                      <w:szCs w:val="21"/>
                    </w:rPr>
                    <w:t>废漆刷</w:t>
                  </w:r>
                </w:p>
              </w:tc>
              <w:tc>
                <w:tcPr>
                  <w:tcW w:w="831" w:type="pct"/>
                  <w:vAlign w:val="center"/>
                </w:tcPr>
                <w:p w14:paraId="4D4AF240">
                  <w:pPr>
                    <w:adjustRightInd w:val="0"/>
                    <w:snapToGrid w:val="0"/>
                    <w:jc w:val="center"/>
                    <w:rPr>
                      <w:rFonts w:eastAsia="仿宋_GB2312"/>
                      <w:kern w:val="0"/>
                      <w:sz w:val="21"/>
                      <w:szCs w:val="21"/>
                    </w:rPr>
                  </w:pPr>
                  <w:r>
                    <w:rPr>
                      <w:rFonts w:eastAsia="仿宋_GB2312"/>
                      <w:kern w:val="0"/>
                      <w:sz w:val="21"/>
                      <w:szCs w:val="21"/>
                    </w:rPr>
                    <w:t>废漆刷</w:t>
                  </w:r>
                </w:p>
              </w:tc>
              <w:tc>
                <w:tcPr>
                  <w:tcW w:w="874" w:type="pct"/>
                  <w:vAlign w:val="center"/>
                </w:tcPr>
                <w:p w14:paraId="6273FC07">
                  <w:pPr>
                    <w:widowControl/>
                    <w:jc w:val="center"/>
                    <w:textAlignment w:val="center"/>
                    <w:rPr>
                      <w:rFonts w:eastAsia="仿宋_GB2312"/>
                      <w:kern w:val="0"/>
                      <w:sz w:val="21"/>
                      <w:szCs w:val="21"/>
                    </w:rPr>
                  </w:pPr>
                  <w:r>
                    <w:rPr>
                      <w:rFonts w:hint="eastAsia" w:eastAsia="仿宋_GB2312"/>
                      <w:kern w:val="0"/>
                      <w:sz w:val="21"/>
                      <w:szCs w:val="21"/>
                    </w:rPr>
                    <w:t>0.0025</w:t>
                  </w:r>
                </w:p>
              </w:tc>
              <w:tc>
                <w:tcPr>
                  <w:tcW w:w="693" w:type="pct"/>
                  <w:vAlign w:val="center"/>
                </w:tcPr>
                <w:p w14:paraId="77582561">
                  <w:pPr>
                    <w:widowControl/>
                    <w:jc w:val="center"/>
                    <w:textAlignment w:val="center"/>
                    <w:rPr>
                      <w:rFonts w:eastAsia="仿宋_GB2312"/>
                      <w:kern w:val="0"/>
                      <w:sz w:val="21"/>
                      <w:szCs w:val="21"/>
                    </w:rPr>
                  </w:pPr>
                  <w:r>
                    <w:rPr>
                      <w:rFonts w:hint="eastAsia" w:eastAsia="仿宋_GB2312"/>
                      <w:kern w:val="0"/>
                      <w:sz w:val="21"/>
                      <w:szCs w:val="21"/>
                    </w:rPr>
                    <w:t>/</w:t>
                  </w:r>
                </w:p>
              </w:tc>
              <w:tc>
                <w:tcPr>
                  <w:tcW w:w="695" w:type="pct"/>
                  <w:vAlign w:val="center"/>
                </w:tcPr>
                <w:p w14:paraId="344BD40F">
                  <w:pPr>
                    <w:widowControl/>
                    <w:jc w:val="center"/>
                    <w:textAlignment w:val="center"/>
                    <w:rPr>
                      <w:rFonts w:eastAsia="仿宋_GB2312"/>
                      <w:sz w:val="21"/>
                      <w:szCs w:val="21"/>
                    </w:rPr>
                  </w:pPr>
                  <w:r>
                    <w:rPr>
                      <w:rFonts w:eastAsia="仿宋_GB2312"/>
                      <w:kern w:val="0"/>
                      <w:sz w:val="21"/>
                      <w:szCs w:val="21"/>
                    </w:rPr>
                    <w:t>50</w:t>
                  </w:r>
                </w:p>
              </w:tc>
              <w:tc>
                <w:tcPr>
                  <w:tcW w:w="679" w:type="pct"/>
                  <w:vAlign w:val="center"/>
                </w:tcPr>
                <w:p w14:paraId="772850AC">
                  <w:pPr>
                    <w:widowControl/>
                    <w:jc w:val="center"/>
                    <w:textAlignment w:val="center"/>
                    <w:rPr>
                      <w:rFonts w:eastAsia="仿宋_GB2312"/>
                      <w:kern w:val="0"/>
                      <w:sz w:val="21"/>
                      <w:szCs w:val="21"/>
                    </w:rPr>
                  </w:pPr>
                  <w:r>
                    <w:rPr>
                      <w:rFonts w:hint="eastAsia" w:eastAsia="仿宋_GB2312"/>
                      <w:kern w:val="0"/>
                      <w:sz w:val="21"/>
                      <w:szCs w:val="21"/>
                    </w:rPr>
                    <w:t>0.00005</w:t>
                  </w:r>
                </w:p>
              </w:tc>
              <w:tc>
                <w:tcPr>
                  <w:tcW w:w="669" w:type="pct"/>
                  <w:vMerge w:val="continue"/>
                  <w:vAlign w:val="center"/>
                </w:tcPr>
                <w:p w14:paraId="39227424">
                  <w:pPr>
                    <w:widowControl/>
                    <w:adjustRightInd w:val="0"/>
                    <w:snapToGrid w:val="0"/>
                    <w:jc w:val="center"/>
                    <w:rPr>
                      <w:rFonts w:eastAsia="仿宋_GB2312"/>
                      <w:sz w:val="21"/>
                      <w:szCs w:val="21"/>
                    </w:rPr>
                  </w:pPr>
                </w:p>
              </w:tc>
            </w:tr>
            <w:tr w14:paraId="657BE4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557" w:type="pct"/>
                  <w:vAlign w:val="center"/>
                </w:tcPr>
                <w:p w14:paraId="759E6988">
                  <w:pPr>
                    <w:adjustRightInd w:val="0"/>
                    <w:snapToGrid w:val="0"/>
                    <w:jc w:val="center"/>
                    <w:rPr>
                      <w:rFonts w:eastAsia="仿宋_GB2312"/>
                      <w:kern w:val="0"/>
                      <w:sz w:val="21"/>
                      <w:szCs w:val="21"/>
                    </w:rPr>
                  </w:pPr>
                  <w:r>
                    <w:rPr>
                      <w:rFonts w:hint="eastAsia" w:eastAsia="仿宋_GB2312"/>
                      <w:kern w:val="0"/>
                      <w:sz w:val="21"/>
                      <w:szCs w:val="21"/>
                    </w:rPr>
                    <w:t>实验室废液</w:t>
                  </w:r>
                </w:p>
              </w:tc>
              <w:tc>
                <w:tcPr>
                  <w:tcW w:w="831" w:type="pct"/>
                  <w:vAlign w:val="center"/>
                </w:tcPr>
                <w:p w14:paraId="65616A73">
                  <w:pPr>
                    <w:adjustRightInd w:val="0"/>
                    <w:snapToGrid w:val="0"/>
                    <w:jc w:val="center"/>
                    <w:rPr>
                      <w:rFonts w:eastAsia="仿宋_GB2312"/>
                      <w:kern w:val="0"/>
                      <w:sz w:val="21"/>
                      <w:szCs w:val="21"/>
                    </w:rPr>
                  </w:pPr>
                  <w:r>
                    <w:rPr>
                      <w:rFonts w:hint="eastAsia" w:eastAsia="仿宋_GB2312"/>
                      <w:kern w:val="0"/>
                      <w:sz w:val="21"/>
                      <w:szCs w:val="21"/>
                    </w:rPr>
                    <w:t>实验室废液</w:t>
                  </w:r>
                </w:p>
              </w:tc>
              <w:tc>
                <w:tcPr>
                  <w:tcW w:w="874" w:type="pct"/>
                  <w:vAlign w:val="center"/>
                </w:tcPr>
                <w:p w14:paraId="2C57FD63">
                  <w:pPr>
                    <w:widowControl/>
                    <w:jc w:val="center"/>
                    <w:textAlignment w:val="center"/>
                    <w:rPr>
                      <w:rFonts w:eastAsia="仿宋_GB2312"/>
                      <w:kern w:val="0"/>
                      <w:sz w:val="21"/>
                      <w:szCs w:val="21"/>
                    </w:rPr>
                  </w:pPr>
                  <w:r>
                    <w:rPr>
                      <w:rFonts w:hint="eastAsia" w:eastAsia="仿宋_GB2312"/>
                      <w:kern w:val="0"/>
                      <w:sz w:val="21"/>
                      <w:szCs w:val="21"/>
                    </w:rPr>
                    <w:t>0.375</w:t>
                  </w:r>
                </w:p>
              </w:tc>
              <w:tc>
                <w:tcPr>
                  <w:tcW w:w="693" w:type="pct"/>
                  <w:vAlign w:val="center"/>
                </w:tcPr>
                <w:p w14:paraId="0C62AA04">
                  <w:pPr>
                    <w:widowControl/>
                    <w:jc w:val="center"/>
                    <w:textAlignment w:val="center"/>
                    <w:rPr>
                      <w:rFonts w:eastAsia="仿宋_GB2312"/>
                      <w:kern w:val="0"/>
                      <w:sz w:val="21"/>
                      <w:szCs w:val="21"/>
                    </w:rPr>
                  </w:pPr>
                  <w:r>
                    <w:rPr>
                      <w:rFonts w:hint="eastAsia" w:eastAsia="仿宋_GB2312"/>
                      <w:kern w:val="0"/>
                      <w:sz w:val="21"/>
                      <w:szCs w:val="21"/>
                    </w:rPr>
                    <w:t>/</w:t>
                  </w:r>
                </w:p>
              </w:tc>
              <w:tc>
                <w:tcPr>
                  <w:tcW w:w="695" w:type="pct"/>
                  <w:vAlign w:val="center"/>
                </w:tcPr>
                <w:p w14:paraId="740E031F">
                  <w:pPr>
                    <w:widowControl/>
                    <w:jc w:val="center"/>
                    <w:textAlignment w:val="center"/>
                    <w:rPr>
                      <w:rFonts w:eastAsia="仿宋_GB2312"/>
                      <w:kern w:val="0"/>
                      <w:sz w:val="21"/>
                      <w:szCs w:val="21"/>
                    </w:rPr>
                  </w:pPr>
                  <w:r>
                    <w:rPr>
                      <w:rFonts w:eastAsia="仿宋_GB2312"/>
                      <w:kern w:val="0"/>
                      <w:sz w:val="21"/>
                      <w:szCs w:val="21"/>
                    </w:rPr>
                    <w:t>50</w:t>
                  </w:r>
                </w:p>
              </w:tc>
              <w:tc>
                <w:tcPr>
                  <w:tcW w:w="679" w:type="pct"/>
                  <w:vAlign w:val="center"/>
                </w:tcPr>
                <w:p w14:paraId="5357C3A8">
                  <w:pPr>
                    <w:widowControl/>
                    <w:jc w:val="center"/>
                    <w:textAlignment w:val="center"/>
                    <w:rPr>
                      <w:rFonts w:hint="eastAsia" w:ascii="Times New Roman" w:hAnsi="Times New Roman" w:eastAsia="仿宋_GB2312" w:cs="Times New Roman"/>
                      <w:kern w:val="0"/>
                      <w:sz w:val="21"/>
                      <w:szCs w:val="21"/>
                    </w:rPr>
                  </w:pPr>
                  <w:r>
                    <w:rPr>
                      <w:rFonts w:hint="eastAsia" w:ascii="Times New Roman" w:hAnsi="Times New Roman" w:eastAsia="仿宋_GB2312" w:cs="Times New Roman"/>
                      <w:kern w:val="0"/>
                      <w:sz w:val="21"/>
                      <w:szCs w:val="21"/>
                    </w:rPr>
                    <w:t>0.0075</w:t>
                  </w:r>
                </w:p>
              </w:tc>
              <w:tc>
                <w:tcPr>
                  <w:tcW w:w="669" w:type="pct"/>
                  <w:vMerge w:val="continue"/>
                  <w:vAlign w:val="center"/>
                </w:tcPr>
                <w:p w14:paraId="0B2B07CF">
                  <w:pPr>
                    <w:widowControl/>
                    <w:adjustRightInd w:val="0"/>
                    <w:snapToGrid w:val="0"/>
                    <w:jc w:val="center"/>
                    <w:rPr>
                      <w:rFonts w:eastAsia="仿宋_GB2312"/>
                      <w:sz w:val="21"/>
                      <w:szCs w:val="21"/>
                    </w:rPr>
                  </w:pPr>
                </w:p>
              </w:tc>
            </w:tr>
            <w:tr w14:paraId="3C1B51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3651" w:type="pct"/>
                  <w:gridSpan w:val="5"/>
                </w:tcPr>
                <w:p w14:paraId="66FE72AF">
                  <w:pPr>
                    <w:kinsoku w:val="0"/>
                    <w:overflowPunct w:val="0"/>
                    <w:adjustRightInd w:val="0"/>
                    <w:snapToGrid w:val="0"/>
                    <w:jc w:val="center"/>
                    <w:rPr>
                      <w:rFonts w:eastAsia="仿宋_GB2312"/>
                      <w:kern w:val="0"/>
                      <w:sz w:val="21"/>
                      <w:szCs w:val="21"/>
                    </w:rPr>
                  </w:pPr>
                  <w:r>
                    <w:rPr>
                      <w:rFonts w:eastAsia="仿宋_GB2312"/>
                      <w:kern w:val="0"/>
                      <w:sz w:val="21"/>
                      <w:szCs w:val="21"/>
                    </w:rPr>
                    <w:t>项目Q值Σ</w:t>
                  </w:r>
                </w:p>
              </w:tc>
              <w:tc>
                <w:tcPr>
                  <w:tcW w:w="679" w:type="pct"/>
                  <w:shd w:val="clear" w:color="auto" w:fill="auto"/>
                  <w:vAlign w:val="center"/>
                </w:tcPr>
                <w:p w14:paraId="0CE02789">
                  <w:pPr>
                    <w:widowControl/>
                    <w:jc w:val="center"/>
                    <w:textAlignment w:val="center"/>
                    <w:rPr>
                      <w:rFonts w:hint="eastAsia" w:ascii="Times New Roman" w:hAnsi="Times New Roman" w:eastAsia="仿宋_GB2312" w:cs="Times New Roman"/>
                      <w:kern w:val="0"/>
                      <w:sz w:val="21"/>
                      <w:szCs w:val="21"/>
                      <w:lang w:val="en-US" w:eastAsia="zh-CN"/>
                    </w:rPr>
                  </w:pPr>
                  <w:r>
                    <w:rPr>
                      <w:rFonts w:hint="eastAsia" w:ascii="Times New Roman" w:hAnsi="Times New Roman" w:eastAsia="仿宋_GB2312" w:cs="Times New Roman"/>
                      <w:kern w:val="0"/>
                      <w:sz w:val="21"/>
                      <w:szCs w:val="21"/>
                      <w:lang w:val="en-US" w:eastAsia="zh-CN"/>
                    </w:rPr>
                    <w:t>2.07505</w:t>
                  </w:r>
                </w:p>
              </w:tc>
              <w:tc>
                <w:tcPr>
                  <w:tcW w:w="669" w:type="pct"/>
                  <w:vAlign w:val="center"/>
                </w:tcPr>
                <w:p w14:paraId="2023F0E6">
                  <w:pPr>
                    <w:kinsoku w:val="0"/>
                    <w:overflowPunct w:val="0"/>
                    <w:adjustRightInd w:val="0"/>
                    <w:snapToGrid w:val="0"/>
                    <w:jc w:val="center"/>
                    <w:rPr>
                      <w:rFonts w:eastAsia="仿宋_GB2312"/>
                      <w:kern w:val="0"/>
                      <w:sz w:val="21"/>
                      <w:szCs w:val="21"/>
                    </w:rPr>
                  </w:pPr>
                  <w:r>
                    <w:rPr>
                      <w:rFonts w:eastAsia="仿宋_GB2312"/>
                      <w:kern w:val="0"/>
                      <w:sz w:val="21"/>
                      <w:szCs w:val="21"/>
                    </w:rPr>
                    <w:t>/</w:t>
                  </w:r>
                </w:p>
              </w:tc>
            </w:tr>
          </w:tbl>
          <w:p w14:paraId="08D7082A">
            <w:pPr>
              <w:widowControl/>
              <w:autoSpaceDE w:val="0"/>
              <w:autoSpaceDN w:val="0"/>
              <w:adjustRightInd w:val="0"/>
              <w:snapToGrid w:val="0"/>
              <w:spacing w:line="360" w:lineRule="auto"/>
              <w:ind w:firstLine="422" w:firstLineChars="200"/>
              <w:rPr>
                <w:rFonts w:eastAsia="仿宋_GB2312"/>
                <w:b/>
                <w:kern w:val="0"/>
              </w:rPr>
            </w:pPr>
            <w:r>
              <w:rPr>
                <w:rFonts w:eastAsia="仿宋_GB2312"/>
                <w:b/>
                <w:kern w:val="0"/>
              </w:rPr>
              <w:t>（2）环境风险识别</w:t>
            </w:r>
          </w:p>
          <w:p w14:paraId="6A91EA57">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center"/>
              <w:textAlignment w:val="auto"/>
              <w:rPr>
                <w:rFonts w:eastAsia="仿宋_GB2312"/>
                <w:b/>
                <w:bCs/>
                <w:kern w:val="0"/>
              </w:rPr>
            </w:pPr>
            <w:r>
              <w:rPr>
                <w:rFonts w:eastAsia="仿宋_GB2312"/>
                <w:b/>
                <w:bCs/>
                <w:kern w:val="0"/>
              </w:rPr>
              <w:t>表</w:t>
            </w:r>
            <w:r>
              <w:rPr>
                <w:rFonts w:eastAsia="仿宋_GB2312"/>
                <w:b/>
                <w:bCs/>
                <w:kern w:val="0"/>
                <w:lang w:bidi="en-US"/>
              </w:rPr>
              <w:t>4-</w:t>
            </w:r>
            <w:r>
              <w:rPr>
                <w:rFonts w:hint="eastAsia" w:eastAsia="仿宋_GB2312"/>
                <w:b/>
                <w:bCs/>
                <w:kern w:val="0"/>
                <w:lang w:val="en-US" w:eastAsia="zh-CN" w:bidi="en-US"/>
              </w:rPr>
              <w:t xml:space="preserve">40  </w:t>
            </w:r>
            <w:r>
              <w:rPr>
                <w:rFonts w:eastAsia="仿宋_GB2312"/>
                <w:b/>
                <w:bCs/>
                <w:kern w:val="0"/>
              </w:rPr>
              <w:t>报批项目环境风险识别汇总表</w:t>
            </w:r>
          </w:p>
          <w:tbl>
            <w:tblPr>
              <w:tblStyle w:val="31"/>
              <w:tblW w:w="847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1"/>
              <w:gridCol w:w="1086"/>
              <w:gridCol w:w="1627"/>
              <w:gridCol w:w="1346"/>
              <w:gridCol w:w="1460"/>
              <w:gridCol w:w="2253"/>
            </w:tblGrid>
            <w:tr w14:paraId="12D9EA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tcBorders>
                    <w:tl2br w:val="nil"/>
                    <w:tr2bl w:val="nil"/>
                  </w:tcBorders>
                  <w:noWrap w:val="0"/>
                  <w:vAlign w:val="center"/>
                </w:tcPr>
                <w:p w14:paraId="2B930704">
                  <w:pPr>
                    <w:widowControl/>
                    <w:adjustRightInd w:val="0"/>
                    <w:snapToGrid w:val="0"/>
                    <w:jc w:val="center"/>
                    <w:rPr>
                      <w:rFonts w:ascii="Times New Roman" w:hAnsi="Times New Roman" w:eastAsia="仿宋_GB2312" w:cs="Times New Roman"/>
                      <w:b/>
                      <w:snapToGrid w:val="0"/>
                      <w:kern w:val="0"/>
                      <w:sz w:val="21"/>
                      <w:szCs w:val="21"/>
                    </w:rPr>
                  </w:pPr>
                  <w:r>
                    <w:rPr>
                      <w:rFonts w:ascii="Times New Roman" w:hAnsi="Times New Roman" w:eastAsia="仿宋_GB2312" w:cs="Times New Roman"/>
                      <w:b/>
                      <w:snapToGrid w:val="0"/>
                      <w:kern w:val="0"/>
                      <w:sz w:val="21"/>
                      <w:szCs w:val="21"/>
                    </w:rPr>
                    <w:t>装置</w:t>
                  </w:r>
                </w:p>
              </w:tc>
              <w:tc>
                <w:tcPr>
                  <w:tcW w:w="1086" w:type="dxa"/>
                  <w:tcBorders>
                    <w:tl2br w:val="nil"/>
                    <w:tr2bl w:val="nil"/>
                  </w:tcBorders>
                  <w:noWrap w:val="0"/>
                  <w:vAlign w:val="center"/>
                </w:tcPr>
                <w:p w14:paraId="4B66B1C5">
                  <w:pPr>
                    <w:widowControl/>
                    <w:adjustRightInd w:val="0"/>
                    <w:snapToGrid w:val="0"/>
                    <w:jc w:val="center"/>
                    <w:rPr>
                      <w:rFonts w:ascii="Times New Roman" w:hAnsi="Times New Roman" w:eastAsia="仿宋_GB2312" w:cs="Times New Roman"/>
                      <w:b/>
                      <w:snapToGrid w:val="0"/>
                      <w:kern w:val="0"/>
                      <w:sz w:val="21"/>
                      <w:szCs w:val="21"/>
                    </w:rPr>
                  </w:pPr>
                  <w:r>
                    <w:rPr>
                      <w:rFonts w:ascii="Times New Roman" w:hAnsi="Times New Roman" w:eastAsia="仿宋_GB2312" w:cs="Times New Roman"/>
                      <w:b/>
                      <w:snapToGrid w:val="0"/>
                      <w:kern w:val="0"/>
                      <w:sz w:val="21"/>
                      <w:szCs w:val="21"/>
                    </w:rPr>
                    <w:t>生产单元</w:t>
                  </w:r>
                </w:p>
              </w:tc>
              <w:tc>
                <w:tcPr>
                  <w:tcW w:w="1627" w:type="dxa"/>
                  <w:tcBorders>
                    <w:tl2br w:val="nil"/>
                    <w:tr2bl w:val="nil"/>
                  </w:tcBorders>
                  <w:noWrap w:val="0"/>
                  <w:vAlign w:val="center"/>
                </w:tcPr>
                <w:p w14:paraId="2D1ED8A7">
                  <w:pPr>
                    <w:widowControl/>
                    <w:adjustRightInd w:val="0"/>
                    <w:snapToGrid w:val="0"/>
                    <w:jc w:val="center"/>
                    <w:rPr>
                      <w:rFonts w:ascii="Times New Roman" w:hAnsi="Times New Roman" w:eastAsia="仿宋_GB2312" w:cs="Times New Roman"/>
                      <w:b/>
                      <w:snapToGrid w:val="0"/>
                      <w:kern w:val="0"/>
                      <w:sz w:val="21"/>
                      <w:szCs w:val="21"/>
                    </w:rPr>
                  </w:pPr>
                  <w:r>
                    <w:rPr>
                      <w:rFonts w:ascii="Times New Roman" w:hAnsi="Times New Roman" w:eastAsia="仿宋_GB2312" w:cs="Times New Roman"/>
                      <w:b/>
                      <w:snapToGrid w:val="0"/>
                      <w:kern w:val="0"/>
                      <w:sz w:val="21"/>
                      <w:szCs w:val="21"/>
                    </w:rPr>
                    <w:t>主要危险部位</w:t>
                  </w:r>
                </w:p>
              </w:tc>
              <w:tc>
                <w:tcPr>
                  <w:tcW w:w="1346" w:type="dxa"/>
                  <w:tcBorders>
                    <w:tl2br w:val="nil"/>
                    <w:tr2bl w:val="nil"/>
                  </w:tcBorders>
                  <w:noWrap w:val="0"/>
                  <w:vAlign w:val="center"/>
                </w:tcPr>
                <w:p w14:paraId="370E4AED">
                  <w:pPr>
                    <w:widowControl/>
                    <w:adjustRightInd w:val="0"/>
                    <w:snapToGrid w:val="0"/>
                    <w:jc w:val="center"/>
                    <w:rPr>
                      <w:rFonts w:ascii="Times New Roman" w:hAnsi="Times New Roman" w:eastAsia="仿宋_GB2312" w:cs="Times New Roman"/>
                      <w:b/>
                      <w:snapToGrid w:val="0"/>
                      <w:kern w:val="0"/>
                      <w:sz w:val="21"/>
                      <w:szCs w:val="21"/>
                    </w:rPr>
                  </w:pPr>
                  <w:r>
                    <w:rPr>
                      <w:rFonts w:ascii="Times New Roman" w:hAnsi="Times New Roman" w:eastAsia="仿宋_GB2312" w:cs="Times New Roman"/>
                      <w:b/>
                      <w:snapToGrid w:val="0"/>
                      <w:kern w:val="0"/>
                      <w:sz w:val="21"/>
                      <w:szCs w:val="21"/>
                    </w:rPr>
                    <w:t>主要危险物质</w:t>
                  </w:r>
                </w:p>
              </w:tc>
              <w:tc>
                <w:tcPr>
                  <w:tcW w:w="1460" w:type="dxa"/>
                  <w:tcBorders>
                    <w:tl2br w:val="nil"/>
                    <w:tr2bl w:val="nil"/>
                  </w:tcBorders>
                  <w:noWrap w:val="0"/>
                  <w:vAlign w:val="center"/>
                </w:tcPr>
                <w:p w14:paraId="54F1547F">
                  <w:pPr>
                    <w:widowControl/>
                    <w:adjustRightInd w:val="0"/>
                    <w:snapToGrid w:val="0"/>
                    <w:jc w:val="center"/>
                    <w:rPr>
                      <w:rFonts w:ascii="Times New Roman" w:hAnsi="Times New Roman" w:eastAsia="仿宋_GB2312" w:cs="Times New Roman"/>
                      <w:b/>
                      <w:snapToGrid w:val="0"/>
                      <w:kern w:val="0"/>
                      <w:sz w:val="21"/>
                      <w:szCs w:val="21"/>
                    </w:rPr>
                  </w:pPr>
                  <w:r>
                    <w:rPr>
                      <w:rFonts w:ascii="Times New Roman" w:hAnsi="Times New Roman" w:eastAsia="仿宋_GB2312" w:cs="Times New Roman"/>
                      <w:b/>
                      <w:snapToGrid w:val="0"/>
                      <w:kern w:val="0"/>
                      <w:sz w:val="21"/>
                      <w:szCs w:val="21"/>
                    </w:rPr>
                    <w:t>事故类型</w:t>
                  </w:r>
                </w:p>
              </w:tc>
              <w:tc>
                <w:tcPr>
                  <w:tcW w:w="2253" w:type="dxa"/>
                  <w:tcBorders>
                    <w:tl2br w:val="nil"/>
                    <w:tr2bl w:val="nil"/>
                  </w:tcBorders>
                  <w:noWrap w:val="0"/>
                  <w:vAlign w:val="center"/>
                </w:tcPr>
                <w:p w14:paraId="329CB837">
                  <w:pPr>
                    <w:widowControl/>
                    <w:adjustRightInd w:val="0"/>
                    <w:snapToGrid w:val="0"/>
                    <w:jc w:val="center"/>
                    <w:rPr>
                      <w:rFonts w:ascii="Times New Roman" w:hAnsi="Times New Roman" w:eastAsia="仿宋_GB2312" w:cs="Times New Roman"/>
                      <w:b/>
                      <w:snapToGrid w:val="0"/>
                      <w:kern w:val="0"/>
                      <w:sz w:val="21"/>
                      <w:szCs w:val="21"/>
                    </w:rPr>
                  </w:pPr>
                  <w:r>
                    <w:rPr>
                      <w:rFonts w:ascii="Times New Roman" w:hAnsi="Times New Roman" w:eastAsia="仿宋_GB2312" w:cs="Times New Roman"/>
                      <w:b/>
                      <w:snapToGrid w:val="0"/>
                      <w:kern w:val="0"/>
                      <w:sz w:val="21"/>
                      <w:szCs w:val="21"/>
                    </w:rPr>
                    <w:t>原因</w:t>
                  </w:r>
                </w:p>
              </w:tc>
            </w:tr>
            <w:tr w14:paraId="71750A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vMerge w:val="restart"/>
                  <w:tcBorders>
                    <w:tl2br w:val="nil"/>
                    <w:tr2bl w:val="nil"/>
                  </w:tcBorders>
                  <w:noWrap w:val="0"/>
                  <w:vAlign w:val="center"/>
                </w:tcPr>
                <w:p w14:paraId="69528309">
                  <w:pPr>
                    <w:widowControl/>
                    <w:adjustRightInd w:val="0"/>
                    <w:snapToGrid w:val="0"/>
                    <w:jc w:val="center"/>
                    <w:rPr>
                      <w:rFonts w:ascii="Times New Roman" w:hAnsi="Times New Roman" w:eastAsia="仿宋_GB2312" w:cs="Times New Roman"/>
                      <w:snapToGrid w:val="0"/>
                      <w:kern w:val="0"/>
                      <w:sz w:val="21"/>
                      <w:szCs w:val="21"/>
                    </w:rPr>
                  </w:pPr>
                  <w:r>
                    <w:rPr>
                      <w:rFonts w:ascii="Times New Roman" w:hAnsi="Times New Roman" w:eastAsia="仿宋_GB2312" w:cs="Times New Roman"/>
                      <w:snapToGrid w:val="0"/>
                      <w:kern w:val="0"/>
                      <w:sz w:val="21"/>
                      <w:szCs w:val="21"/>
                    </w:rPr>
                    <w:t>环保设施系统</w:t>
                  </w:r>
                </w:p>
              </w:tc>
              <w:tc>
                <w:tcPr>
                  <w:tcW w:w="1086" w:type="dxa"/>
                  <w:tcBorders>
                    <w:tl2br w:val="nil"/>
                    <w:tr2bl w:val="nil"/>
                  </w:tcBorders>
                  <w:noWrap w:val="0"/>
                  <w:vAlign w:val="center"/>
                </w:tcPr>
                <w:p w14:paraId="4BC4A26F">
                  <w:pPr>
                    <w:widowControl/>
                    <w:adjustRightInd w:val="0"/>
                    <w:snapToGrid w:val="0"/>
                    <w:jc w:val="center"/>
                    <w:rPr>
                      <w:rFonts w:ascii="Times New Roman" w:hAnsi="Times New Roman" w:eastAsia="仿宋_GB2312" w:cs="Times New Roman"/>
                      <w:snapToGrid w:val="0"/>
                      <w:kern w:val="0"/>
                      <w:sz w:val="21"/>
                      <w:szCs w:val="21"/>
                    </w:rPr>
                  </w:pPr>
                  <w:r>
                    <w:rPr>
                      <w:rFonts w:ascii="Times New Roman" w:hAnsi="Times New Roman" w:eastAsia="仿宋_GB2312" w:cs="Times New Roman"/>
                      <w:snapToGrid w:val="0"/>
                      <w:kern w:val="0"/>
                      <w:sz w:val="21"/>
                      <w:szCs w:val="21"/>
                    </w:rPr>
                    <w:t>废气处理系统</w:t>
                  </w:r>
                </w:p>
              </w:tc>
              <w:tc>
                <w:tcPr>
                  <w:tcW w:w="1627" w:type="dxa"/>
                  <w:tcBorders>
                    <w:tl2br w:val="nil"/>
                    <w:tr2bl w:val="nil"/>
                  </w:tcBorders>
                  <w:noWrap w:val="0"/>
                  <w:vAlign w:val="center"/>
                </w:tcPr>
                <w:p w14:paraId="6E677414">
                  <w:pPr>
                    <w:widowControl/>
                    <w:adjustRightInd w:val="0"/>
                    <w:snapToGrid w:val="0"/>
                    <w:jc w:val="center"/>
                    <w:rPr>
                      <w:rFonts w:hint="default" w:ascii="Times New Roman" w:hAnsi="Times New Roman" w:eastAsia="仿宋_GB2312" w:cs="Times New Roman"/>
                      <w:snapToGrid w:val="0"/>
                      <w:kern w:val="0"/>
                      <w:sz w:val="21"/>
                      <w:szCs w:val="21"/>
                      <w:lang w:val="en-US" w:eastAsia="zh-CN"/>
                    </w:rPr>
                  </w:pPr>
                  <w:r>
                    <w:rPr>
                      <w:rFonts w:hint="eastAsia" w:ascii="Times New Roman" w:hAnsi="Times New Roman" w:eastAsia="仿宋_GB2312" w:cs="Times New Roman"/>
                      <w:snapToGrid w:val="0"/>
                      <w:kern w:val="0"/>
                      <w:sz w:val="21"/>
                      <w:szCs w:val="21"/>
                      <w:lang w:val="en-US" w:eastAsia="zh-CN"/>
                    </w:rPr>
                    <w:t>喷淋装置</w:t>
                  </w:r>
                </w:p>
              </w:tc>
              <w:tc>
                <w:tcPr>
                  <w:tcW w:w="1346" w:type="dxa"/>
                  <w:tcBorders>
                    <w:tl2br w:val="nil"/>
                    <w:tr2bl w:val="nil"/>
                  </w:tcBorders>
                  <w:noWrap w:val="0"/>
                  <w:vAlign w:val="center"/>
                </w:tcPr>
                <w:p w14:paraId="0A13F8F0">
                  <w:pPr>
                    <w:widowControl/>
                    <w:adjustRightInd w:val="0"/>
                    <w:snapToGrid w:val="0"/>
                    <w:jc w:val="center"/>
                    <w:rPr>
                      <w:rFonts w:hint="default" w:ascii="Times New Roman" w:hAnsi="Times New Roman" w:eastAsia="仿宋_GB2312" w:cs="Times New Roman"/>
                      <w:snapToGrid w:val="0"/>
                      <w:kern w:val="0"/>
                      <w:sz w:val="21"/>
                      <w:szCs w:val="21"/>
                      <w:lang w:val="en-US" w:eastAsia="zh-CN"/>
                    </w:rPr>
                  </w:pPr>
                  <w:r>
                    <w:rPr>
                      <w:rFonts w:hint="eastAsia" w:ascii="Times New Roman" w:hAnsi="Times New Roman" w:eastAsia="仿宋_GB2312" w:cs="Times New Roman"/>
                      <w:snapToGrid w:val="0"/>
                      <w:kern w:val="0"/>
                      <w:sz w:val="21"/>
                      <w:szCs w:val="21"/>
                      <w:lang w:val="en-US" w:eastAsia="zh-CN"/>
                    </w:rPr>
                    <w:t>酸性废气</w:t>
                  </w:r>
                </w:p>
              </w:tc>
              <w:tc>
                <w:tcPr>
                  <w:tcW w:w="1460" w:type="dxa"/>
                  <w:tcBorders>
                    <w:tl2br w:val="nil"/>
                    <w:tr2bl w:val="nil"/>
                  </w:tcBorders>
                  <w:noWrap w:val="0"/>
                  <w:vAlign w:val="center"/>
                </w:tcPr>
                <w:p w14:paraId="6CCA1CEB">
                  <w:pPr>
                    <w:widowControl/>
                    <w:adjustRightInd w:val="0"/>
                    <w:snapToGrid w:val="0"/>
                    <w:jc w:val="center"/>
                    <w:rPr>
                      <w:rFonts w:ascii="Times New Roman" w:hAnsi="Times New Roman" w:eastAsia="仿宋_GB2312" w:cs="Times New Roman"/>
                      <w:snapToGrid w:val="0"/>
                      <w:kern w:val="0"/>
                      <w:sz w:val="21"/>
                      <w:szCs w:val="21"/>
                    </w:rPr>
                  </w:pPr>
                  <w:r>
                    <w:rPr>
                      <w:rFonts w:ascii="Times New Roman" w:hAnsi="Times New Roman" w:eastAsia="仿宋_GB2312" w:cs="Times New Roman"/>
                      <w:snapToGrid w:val="0"/>
                      <w:kern w:val="0"/>
                      <w:sz w:val="21"/>
                      <w:szCs w:val="21"/>
                    </w:rPr>
                    <w:t>事故排放</w:t>
                  </w:r>
                </w:p>
              </w:tc>
              <w:tc>
                <w:tcPr>
                  <w:tcW w:w="2253" w:type="dxa"/>
                  <w:tcBorders>
                    <w:tl2br w:val="nil"/>
                    <w:tr2bl w:val="nil"/>
                  </w:tcBorders>
                  <w:noWrap w:val="0"/>
                  <w:vAlign w:val="center"/>
                </w:tcPr>
                <w:p w14:paraId="23AA5ACF">
                  <w:pPr>
                    <w:widowControl/>
                    <w:adjustRightInd w:val="0"/>
                    <w:snapToGrid w:val="0"/>
                    <w:jc w:val="center"/>
                    <w:rPr>
                      <w:rFonts w:ascii="Times New Roman" w:hAnsi="Times New Roman" w:eastAsia="仿宋_GB2312" w:cs="Times New Roman"/>
                      <w:snapToGrid w:val="0"/>
                      <w:kern w:val="0"/>
                      <w:sz w:val="21"/>
                      <w:szCs w:val="21"/>
                    </w:rPr>
                  </w:pPr>
                  <w:r>
                    <w:rPr>
                      <w:rFonts w:ascii="Times New Roman" w:hAnsi="Times New Roman" w:eastAsia="仿宋_GB2312" w:cs="Times New Roman"/>
                      <w:snapToGrid w:val="0"/>
                      <w:kern w:val="0"/>
                      <w:sz w:val="21"/>
                      <w:szCs w:val="21"/>
                    </w:rPr>
                    <w:t>废气处理设施发生故障</w:t>
                  </w:r>
                </w:p>
              </w:tc>
            </w:tr>
            <w:tr w14:paraId="6A1B3F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1" w:type="dxa"/>
                  <w:vMerge w:val="continue"/>
                  <w:tcBorders>
                    <w:tl2br w:val="nil"/>
                    <w:tr2bl w:val="nil"/>
                  </w:tcBorders>
                  <w:noWrap w:val="0"/>
                  <w:vAlign w:val="center"/>
                </w:tcPr>
                <w:p w14:paraId="475B1BA6">
                  <w:pPr>
                    <w:widowControl/>
                    <w:adjustRightInd w:val="0"/>
                    <w:snapToGrid w:val="0"/>
                    <w:jc w:val="center"/>
                    <w:rPr>
                      <w:rFonts w:ascii="Times New Roman" w:hAnsi="Times New Roman" w:eastAsia="仿宋_GB2312" w:cs="Times New Roman"/>
                      <w:snapToGrid w:val="0"/>
                      <w:kern w:val="0"/>
                      <w:sz w:val="21"/>
                      <w:szCs w:val="21"/>
                    </w:rPr>
                  </w:pPr>
                </w:p>
              </w:tc>
              <w:tc>
                <w:tcPr>
                  <w:tcW w:w="1086" w:type="dxa"/>
                  <w:tcBorders>
                    <w:tl2br w:val="nil"/>
                    <w:tr2bl w:val="nil"/>
                  </w:tcBorders>
                  <w:noWrap w:val="0"/>
                  <w:vAlign w:val="center"/>
                </w:tcPr>
                <w:p w14:paraId="7BD9CA83">
                  <w:pPr>
                    <w:widowControl/>
                    <w:adjustRightInd w:val="0"/>
                    <w:snapToGrid w:val="0"/>
                    <w:jc w:val="center"/>
                    <w:rPr>
                      <w:rFonts w:ascii="Times New Roman" w:hAnsi="Times New Roman" w:eastAsia="仿宋_GB2312" w:cs="Times New Roman"/>
                      <w:snapToGrid w:val="0"/>
                      <w:kern w:val="0"/>
                      <w:sz w:val="21"/>
                      <w:szCs w:val="21"/>
                    </w:rPr>
                  </w:pPr>
                  <w:r>
                    <w:rPr>
                      <w:rFonts w:ascii="Times New Roman" w:hAnsi="Times New Roman" w:eastAsia="仿宋_GB2312" w:cs="Times New Roman"/>
                      <w:snapToGrid w:val="0"/>
                      <w:kern w:val="0"/>
                      <w:sz w:val="21"/>
                      <w:szCs w:val="21"/>
                    </w:rPr>
                    <w:t>固废暂存系统</w:t>
                  </w:r>
                </w:p>
              </w:tc>
              <w:tc>
                <w:tcPr>
                  <w:tcW w:w="1627" w:type="dxa"/>
                  <w:tcBorders>
                    <w:tl2br w:val="nil"/>
                    <w:tr2bl w:val="nil"/>
                  </w:tcBorders>
                  <w:noWrap w:val="0"/>
                  <w:vAlign w:val="center"/>
                </w:tcPr>
                <w:p w14:paraId="7A1A2B47">
                  <w:pPr>
                    <w:widowControl/>
                    <w:adjustRightInd w:val="0"/>
                    <w:snapToGrid w:val="0"/>
                    <w:jc w:val="center"/>
                    <w:rPr>
                      <w:rFonts w:hint="eastAsia" w:ascii="Times New Roman" w:hAnsi="Times New Roman" w:eastAsia="仿宋_GB2312" w:cs="Times New Roman"/>
                      <w:snapToGrid w:val="0"/>
                      <w:kern w:val="0"/>
                      <w:sz w:val="21"/>
                      <w:szCs w:val="21"/>
                      <w:lang w:eastAsia="zh-CN"/>
                    </w:rPr>
                  </w:pPr>
                  <w:r>
                    <w:rPr>
                      <w:rFonts w:ascii="Times New Roman" w:hAnsi="Times New Roman" w:eastAsia="仿宋_GB2312" w:cs="Times New Roman"/>
                      <w:snapToGrid w:val="0"/>
                      <w:kern w:val="0"/>
                      <w:sz w:val="21"/>
                      <w:szCs w:val="21"/>
                    </w:rPr>
                    <w:t>危废</w:t>
                  </w:r>
                  <w:r>
                    <w:rPr>
                      <w:rFonts w:hint="eastAsia" w:ascii="Times New Roman" w:hAnsi="Times New Roman" w:eastAsia="仿宋_GB2312" w:cs="Times New Roman"/>
                      <w:snapToGrid w:val="0"/>
                      <w:kern w:val="0"/>
                      <w:sz w:val="21"/>
                      <w:szCs w:val="21"/>
                      <w:lang w:eastAsia="zh-CN"/>
                    </w:rPr>
                    <w:t>仓库</w:t>
                  </w:r>
                </w:p>
              </w:tc>
              <w:tc>
                <w:tcPr>
                  <w:tcW w:w="1346" w:type="dxa"/>
                  <w:tcBorders>
                    <w:tl2br w:val="nil"/>
                    <w:tr2bl w:val="nil"/>
                  </w:tcBorders>
                  <w:noWrap w:val="0"/>
                  <w:vAlign w:val="center"/>
                </w:tcPr>
                <w:p w14:paraId="198B1DDC">
                  <w:pPr>
                    <w:widowControl/>
                    <w:adjustRightInd w:val="0"/>
                    <w:snapToGrid w:val="0"/>
                    <w:jc w:val="center"/>
                    <w:rPr>
                      <w:rFonts w:ascii="Times New Roman" w:hAnsi="Times New Roman" w:eastAsia="仿宋_GB2312" w:cs="Times New Roman"/>
                      <w:snapToGrid w:val="0"/>
                      <w:kern w:val="0"/>
                      <w:sz w:val="21"/>
                      <w:szCs w:val="21"/>
                    </w:rPr>
                  </w:pPr>
                  <w:r>
                    <w:rPr>
                      <w:rFonts w:ascii="Times New Roman" w:hAnsi="Times New Roman" w:eastAsia="仿宋_GB2312" w:cs="Times New Roman"/>
                      <w:snapToGrid w:val="0"/>
                      <w:kern w:val="0"/>
                      <w:sz w:val="21"/>
                      <w:szCs w:val="21"/>
                    </w:rPr>
                    <w:t>各类危废</w:t>
                  </w:r>
                </w:p>
              </w:tc>
              <w:tc>
                <w:tcPr>
                  <w:tcW w:w="1460" w:type="dxa"/>
                  <w:tcBorders>
                    <w:tl2br w:val="nil"/>
                    <w:tr2bl w:val="nil"/>
                  </w:tcBorders>
                  <w:noWrap w:val="0"/>
                  <w:vAlign w:val="center"/>
                </w:tcPr>
                <w:p w14:paraId="38B050B1">
                  <w:pPr>
                    <w:widowControl/>
                    <w:adjustRightInd w:val="0"/>
                    <w:snapToGrid w:val="0"/>
                    <w:jc w:val="center"/>
                    <w:rPr>
                      <w:rFonts w:ascii="Times New Roman" w:hAnsi="Times New Roman" w:eastAsia="仿宋_GB2312" w:cs="Times New Roman"/>
                      <w:snapToGrid w:val="0"/>
                      <w:kern w:val="0"/>
                      <w:sz w:val="21"/>
                      <w:szCs w:val="21"/>
                    </w:rPr>
                  </w:pPr>
                  <w:r>
                    <w:rPr>
                      <w:rFonts w:hint="eastAsia" w:ascii="Times New Roman" w:hAnsi="Times New Roman" w:eastAsia="仿宋_GB2312" w:cs="Times New Roman"/>
                      <w:snapToGrid w:val="0"/>
                      <w:kern w:val="0"/>
                      <w:sz w:val="21"/>
                      <w:szCs w:val="21"/>
                      <w:lang w:eastAsia="zh-CN"/>
                    </w:rPr>
                    <w:t>泄漏</w:t>
                  </w:r>
                  <w:r>
                    <w:rPr>
                      <w:rFonts w:ascii="Times New Roman" w:hAnsi="Times New Roman" w:eastAsia="仿宋_GB2312" w:cs="Times New Roman"/>
                      <w:snapToGrid w:val="0"/>
                      <w:kern w:val="0"/>
                      <w:sz w:val="21"/>
                      <w:szCs w:val="21"/>
                    </w:rPr>
                    <w:t>、腐蚀、火灾、爆炸</w:t>
                  </w:r>
                </w:p>
              </w:tc>
              <w:tc>
                <w:tcPr>
                  <w:tcW w:w="2253" w:type="dxa"/>
                  <w:tcBorders>
                    <w:tl2br w:val="nil"/>
                    <w:tr2bl w:val="nil"/>
                  </w:tcBorders>
                  <w:noWrap w:val="0"/>
                  <w:vAlign w:val="center"/>
                </w:tcPr>
                <w:p w14:paraId="524ABF76">
                  <w:pPr>
                    <w:widowControl/>
                    <w:adjustRightInd w:val="0"/>
                    <w:snapToGrid w:val="0"/>
                    <w:jc w:val="center"/>
                    <w:rPr>
                      <w:rFonts w:ascii="Times New Roman" w:hAnsi="Times New Roman" w:eastAsia="仿宋_GB2312" w:cs="Times New Roman"/>
                      <w:snapToGrid w:val="0"/>
                      <w:kern w:val="0"/>
                      <w:sz w:val="21"/>
                      <w:szCs w:val="21"/>
                    </w:rPr>
                  </w:pPr>
                  <w:r>
                    <w:rPr>
                      <w:rFonts w:ascii="Times New Roman" w:hAnsi="Times New Roman" w:eastAsia="仿宋_GB2312" w:cs="Times New Roman"/>
                      <w:snapToGrid w:val="0"/>
                      <w:kern w:val="0"/>
                      <w:sz w:val="21"/>
                      <w:szCs w:val="21"/>
                    </w:rPr>
                    <w:t>包装破损导致</w:t>
                  </w:r>
                  <w:r>
                    <w:rPr>
                      <w:rFonts w:hint="eastAsia" w:ascii="Times New Roman" w:hAnsi="Times New Roman" w:eastAsia="仿宋_GB2312" w:cs="Times New Roman"/>
                      <w:snapToGrid w:val="0"/>
                      <w:kern w:val="0"/>
                      <w:sz w:val="21"/>
                      <w:szCs w:val="21"/>
                      <w:lang w:eastAsia="zh-CN"/>
                    </w:rPr>
                    <w:t>泄漏</w:t>
                  </w:r>
                  <w:r>
                    <w:rPr>
                      <w:rFonts w:ascii="Times New Roman" w:hAnsi="Times New Roman" w:eastAsia="仿宋_GB2312" w:cs="Times New Roman"/>
                      <w:snapToGrid w:val="0"/>
                      <w:kern w:val="0"/>
                      <w:sz w:val="21"/>
                      <w:szCs w:val="21"/>
                    </w:rPr>
                    <w:t>，遇明火引发火灾、爆炸</w:t>
                  </w:r>
                </w:p>
              </w:tc>
            </w:tr>
            <w:tr w14:paraId="2081C4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01" w:type="dxa"/>
                  <w:tcBorders>
                    <w:tl2br w:val="nil"/>
                    <w:tr2bl w:val="nil"/>
                  </w:tcBorders>
                  <w:noWrap w:val="0"/>
                  <w:vAlign w:val="center"/>
                </w:tcPr>
                <w:p w14:paraId="46C785F8">
                  <w:pPr>
                    <w:widowControl/>
                    <w:adjustRightInd w:val="0"/>
                    <w:snapToGrid w:val="0"/>
                    <w:jc w:val="center"/>
                    <w:rPr>
                      <w:rFonts w:hint="eastAsia" w:ascii="Times New Roman" w:hAnsi="Times New Roman" w:eastAsia="仿宋_GB2312" w:cs="Times New Roman"/>
                      <w:snapToGrid w:val="0"/>
                      <w:kern w:val="0"/>
                      <w:sz w:val="21"/>
                      <w:szCs w:val="21"/>
                      <w:lang w:val="en-US" w:eastAsia="zh-CN"/>
                    </w:rPr>
                  </w:pPr>
                  <w:r>
                    <w:rPr>
                      <w:rFonts w:hint="eastAsia" w:ascii="Times New Roman" w:hAnsi="Times New Roman" w:eastAsia="仿宋_GB2312" w:cs="Times New Roman"/>
                      <w:snapToGrid w:val="0"/>
                      <w:kern w:val="0"/>
                      <w:sz w:val="21"/>
                      <w:szCs w:val="21"/>
                      <w:lang w:val="en-US" w:eastAsia="zh-CN"/>
                    </w:rPr>
                    <w:t>储运系统</w:t>
                  </w:r>
                </w:p>
              </w:tc>
              <w:tc>
                <w:tcPr>
                  <w:tcW w:w="1086" w:type="dxa"/>
                  <w:tcBorders>
                    <w:tl2br w:val="nil"/>
                    <w:tr2bl w:val="nil"/>
                  </w:tcBorders>
                  <w:noWrap w:val="0"/>
                  <w:vAlign w:val="center"/>
                </w:tcPr>
                <w:p w14:paraId="08268822">
                  <w:pPr>
                    <w:widowControl/>
                    <w:adjustRightInd w:val="0"/>
                    <w:snapToGrid w:val="0"/>
                    <w:jc w:val="center"/>
                    <w:rPr>
                      <w:rFonts w:hint="default" w:ascii="Times New Roman" w:hAnsi="Times New Roman" w:eastAsia="仿宋_GB2312" w:cs="Times New Roman"/>
                      <w:snapToGrid w:val="0"/>
                      <w:kern w:val="0"/>
                      <w:sz w:val="21"/>
                      <w:szCs w:val="21"/>
                      <w:lang w:val="en-US" w:eastAsia="zh-CN"/>
                    </w:rPr>
                  </w:pPr>
                  <w:r>
                    <w:rPr>
                      <w:rFonts w:hint="eastAsia" w:ascii="Times New Roman" w:hAnsi="Times New Roman" w:eastAsia="仿宋_GB2312" w:cs="Times New Roman"/>
                      <w:snapToGrid w:val="0"/>
                      <w:kern w:val="0"/>
                      <w:sz w:val="21"/>
                      <w:szCs w:val="21"/>
                      <w:lang w:val="en-US" w:eastAsia="zh-CN"/>
                    </w:rPr>
                    <w:t>原料储罐</w:t>
                  </w:r>
                </w:p>
              </w:tc>
              <w:tc>
                <w:tcPr>
                  <w:tcW w:w="1627" w:type="dxa"/>
                  <w:tcBorders>
                    <w:tl2br w:val="nil"/>
                    <w:tr2bl w:val="nil"/>
                  </w:tcBorders>
                  <w:noWrap w:val="0"/>
                  <w:vAlign w:val="center"/>
                </w:tcPr>
                <w:p w14:paraId="1153B880">
                  <w:pPr>
                    <w:widowControl/>
                    <w:adjustRightInd w:val="0"/>
                    <w:snapToGrid w:val="0"/>
                    <w:jc w:val="center"/>
                    <w:rPr>
                      <w:rFonts w:hint="eastAsia" w:ascii="Times New Roman" w:hAnsi="Times New Roman" w:eastAsia="仿宋_GB2312" w:cs="Times New Roman"/>
                      <w:snapToGrid w:val="0"/>
                      <w:kern w:val="0"/>
                      <w:sz w:val="21"/>
                      <w:szCs w:val="21"/>
                      <w:lang w:val="en-US" w:eastAsia="zh-CN"/>
                    </w:rPr>
                  </w:pPr>
                  <w:r>
                    <w:rPr>
                      <w:rFonts w:hint="eastAsia" w:ascii="Times New Roman" w:hAnsi="Times New Roman" w:eastAsia="仿宋_GB2312" w:cs="Times New Roman"/>
                      <w:snapToGrid w:val="0"/>
                      <w:kern w:val="0"/>
                      <w:sz w:val="21"/>
                      <w:szCs w:val="21"/>
                      <w:lang w:val="en-US" w:eastAsia="zh-CN"/>
                    </w:rPr>
                    <w:t>储罐</w:t>
                  </w:r>
                </w:p>
              </w:tc>
              <w:tc>
                <w:tcPr>
                  <w:tcW w:w="1346" w:type="dxa"/>
                  <w:tcBorders>
                    <w:tl2br w:val="nil"/>
                    <w:tr2bl w:val="nil"/>
                  </w:tcBorders>
                  <w:noWrap w:val="0"/>
                  <w:vAlign w:val="center"/>
                </w:tcPr>
                <w:p w14:paraId="45D24547">
                  <w:pPr>
                    <w:widowControl/>
                    <w:adjustRightInd w:val="0"/>
                    <w:snapToGrid w:val="0"/>
                    <w:jc w:val="center"/>
                    <w:rPr>
                      <w:rFonts w:hint="default" w:ascii="Times New Roman" w:hAnsi="Times New Roman" w:eastAsia="仿宋_GB2312" w:cs="Times New Roman"/>
                      <w:snapToGrid w:val="0"/>
                      <w:kern w:val="0"/>
                      <w:sz w:val="21"/>
                      <w:szCs w:val="21"/>
                      <w:lang w:val="en-US" w:eastAsia="zh-CN"/>
                    </w:rPr>
                  </w:pPr>
                  <w:r>
                    <w:rPr>
                      <w:rFonts w:eastAsia="仿宋_GB2312"/>
                      <w:sz w:val="21"/>
                      <w:szCs w:val="21"/>
                    </w:rPr>
                    <w:t>液碱</w:t>
                  </w:r>
                  <w:r>
                    <w:rPr>
                      <w:rFonts w:hint="eastAsia" w:eastAsia="仿宋_GB2312"/>
                      <w:sz w:val="21"/>
                      <w:szCs w:val="21"/>
                      <w:lang w:eastAsia="zh-CN"/>
                    </w:rPr>
                    <w:t>、</w:t>
                  </w:r>
                  <w:r>
                    <w:rPr>
                      <w:rFonts w:eastAsia="仿宋_GB2312"/>
                      <w:sz w:val="21"/>
                      <w:szCs w:val="21"/>
                    </w:rPr>
                    <w:t>盐酸</w:t>
                  </w:r>
                  <w:r>
                    <w:rPr>
                      <w:rFonts w:hint="eastAsia" w:eastAsia="仿宋_GB2312"/>
                      <w:sz w:val="21"/>
                      <w:szCs w:val="21"/>
                      <w:lang w:eastAsia="zh-CN"/>
                    </w:rPr>
                    <w:t>、</w:t>
                  </w:r>
                  <w:r>
                    <w:rPr>
                      <w:rFonts w:eastAsia="仿宋_GB2312"/>
                      <w:sz w:val="21"/>
                      <w:szCs w:val="21"/>
                    </w:rPr>
                    <w:t>次氯酸钠</w:t>
                  </w:r>
                  <w:r>
                    <w:rPr>
                      <w:rFonts w:hint="eastAsia" w:eastAsia="仿宋_GB2312"/>
                      <w:sz w:val="21"/>
                      <w:szCs w:val="21"/>
                      <w:lang w:val="en-US" w:eastAsia="zh-CN"/>
                    </w:rPr>
                    <w:t>等</w:t>
                  </w:r>
                </w:p>
              </w:tc>
              <w:tc>
                <w:tcPr>
                  <w:tcW w:w="1460" w:type="dxa"/>
                  <w:tcBorders>
                    <w:tl2br w:val="nil"/>
                    <w:tr2bl w:val="nil"/>
                  </w:tcBorders>
                  <w:noWrap w:val="0"/>
                  <w:vAlign w:val="center"/>
                </w:tcPr>
                <w:p w14:paraId="597DEEFA">
                  <w:pPr>
                    <w:widowControl/>
                    <w:adjustRightInd w:val="0"/>
                    <w:snapToGrid w:val="0"/>
                    <w:jc w:val="center"/>
                    <w:rPr>
                      <w:rFonts w:hint="eastAsia" w:ascii="Times New Roman" w:hAnsi="Times New Roman" w:eastAsia="仿宋_GB2312" w:cs="Times New Roman"/>
                      <w:snapToGrid w:val="0"/>
                      <w:kern w:val="0"/>
                      <w:sz w:val="21"/>
                      <w:szCs w:val="21"/>
                      <w:lang w:eastAsia="zh-CN"/>
                    </w:rPr>
                  </w:pPr>
                  <w:r>
                    <w:rPr>
                      <w:rFonts w:hint="eastAsia" w:eastAsia="仿宋_GB2312"/>
                      <w:snapToGrid w:val="0"/>
                      <w:kern w:val="0"/>
                      <w:sz w:val="21"/>
                      <w:szCs w:val="21"/>
                      <w:lang w:val="en-US" w:eastAsia="zh-CN"/>
                    </w:rPr>
                    <w:t>泄漏</w:t>
                  </w:r>
                </w:p>
              </w:tc>
              <w:tc>
                <w:tcPr>
                  <w:tcW w:w="2253" w:type="dxa"/>
                  <w:tcBorders>
                    <w:tl2br w:val="nil"/>
                    <w:tr2bl w:val="nil"/>
                  </w:tcBorders>
                  <w:noWrap w:val="0"/>
                  <w:vAlign w:val="center"/>
                </w:tcPr>
                <w:p w14:paraId="298E0D4F">
                  <w:pPr>
                    <w:widowControl/>
                    <w:adjustRightInd w:val="0"/>
                    <w:snapToGrid w:val="0"/>
                    <w:jc w:val="center"/>
                    <w:rPr>
                      <w:rFonts w:ascii="Times New Roman" w:hAnsi="Times New Roman" w:eastAsia="仿宋_GB2312" w:cs="Times New Roman"/>
                      <w:snapToGrid w:val="0"/>
                      <w:kern w:val="0"/>
                      <w:sz w:val="21"/>
                      <w:szCs w:val="21"/>
                    </w:rPr>
                  </w:pPr>
                  <w:r>
                    <w:rPr>
                      <w:rFonts w:hint="eastAsia" w:ascii="Times New Roman" w:hAnsi="Times New Roman" w:eastAsia="仿宋_GB2312" w:cs="Times New Roman"/>
                      <w:snapToGrid w:val="0"/>
                      <w:kern w:val="0"/>
                      <w:sz w:val="21"/>
                      <w:szCs w:val="21"/>
                      <w:lang w:val="en-US" w:eastAsia="zh-CN"/>
                    </w:rPr>
                    <w:t>储罐</w:t>
                  </w:r>
                  <w:r>
                    <w:rPr>
                      <w:rFonts w:ascii="Times New Roman" w:hAnsi="Times New Roman" w:eastAsia="仿宋_GB2312" w:cs="Times New Roman"/>
                      <w:snapToGrid w:val="0"/>
                      <w:kern w:val="0"/>
                      <w:sz w:val="21"/>
                      <w:szCs w:val="21"/>
                    </w:rPr>
                    <w:t>破损导致</w:t>
                  </w:r>
                  <w:r>
                    <w:rPr>
                      <w:rFonts w:hint="eastAsia" w:ascii="Times New Roman" w:hAnsi="Times New Roman" w:eastAsia="仿宋_GB2312" w:cs="Times New Roman"/>
                      <w:snapToGrid w:val="0"/>
                      <w:kern w:val="0"/>
                      <w:sz w:val="21"/>
                      <w:szCs w:val="21"/>
                      <w:lang w:eastAsia="zh-CN"/>
                    </w:rPr>
                    <w:t>泄漏</w:t>
                  </w:r>
                </w:p>
              </w:tc>
            </w:tr>
          </w:tbl>
          <w:p w14:paraId="4EA6464A">
            <w:pPr>
              <w:keepNext w:val="0"/>
              <w:keepLines w:val="0"/>
              <w:pageBreakBefore w:val="0"/>
              <w:widowControl/>
              <w:kinsoku/>
              <w:wordWrap/>
              <w:overflowPunct/>
              <w:topLinePunct w:val="0"/>
              <w:autoSpaceDE w:val="0"/>
              <w:autoSpaceDN w:val="0"/>
              <w:bidi w:val="0"/>
              <w:adjustRightInd w:val="0"/>
              <w:snapToGrid w:val="0"/>
              <w:spacing w:line="360" w:lineRule="auto"/>
              <w:ind w:right="0" w:firstLine="422" w:firstLineChars="200"/>
              <w:textAlignment w:val="auto"/>
              <w:rPr>
                <w:rFonts w:eastAsia="仿宋_GB2312"/>
                <w:b/>
                <w:kern w:val="0"/>
              </w:rPr>
            </w:pPr>
            <w:r>
              <w:rPr>
                <w:rFonts w:eastAsia="仿宋_GB2312"/>
                <w:b/>
                <w:kern w:val="0"/>
              </w:rPr>
              <w:t>（3）环境风险防范措施</w:t>
            </w:r>
          </w:p>
          <w:p w14:paraId="4DBE786D">
            <w:pPr>
              <w:keepNext w:val="0"/>
              <w:keepLines w:val="0"/>
              <w:pageBreakBefore w:val="0"/>
              <w:widowControl/>
              <w:kinsoku/>
              <w:wordWrap/>
              <w:overflowPunct/>
              <w:topLinePunct w:val="0"/>
              <w:autoSpaceDE w:val="0"/>
              <w:autoSpaceDN w:val="0"/>
              <w:bidi w:val="0"/>
              <w:adjustRightInd w:val="0"/>
              <w:snapToGrid w:val="0"/>
              <w:spacing w:line="360" w:lineRule="auto"/>
              <w:ind w:right="0" w:firstLine="420" w:firstLineChars="200"/>
              <w:textAlignment w:val="auto"/>
              <w:rPr>
                <w:rFonts w:eastAsia="仿宋_GB2312"/>
                <w:kern w:val="0"/>
              </w:rPr>
            </w:pPr>
            <w:r>
              <w:rPr>
                <w:rFonts w:eastAsia="仿宋_GB2312"/>
                <w:kern w:val="0"/>
              </w:rPr>
              <w:t>①使用防爆、防火电缆，电气设施进行了触电保护，爆炸危险区域的划分、防爆电器（气）的安装和布防必须符合《爆炸和火灾环境电力装置设计规范(GB50058)》要求。各装置防静电设计应符合《防止静电事故通用导则》（GB12518）以及《工业企业静电接地设计规程》（HGJ28）；各装置防静电设计应根据生产工艺要求，作业环境特点和物料性质采取相应的防静电措施；各生产装置在防爆区域内的所有金属设备、管道等都必须设计静电接地装置，且接地电阻符合规范要求：不大于10Ω；非导电设备、管道等应设计间接接地或采用屏蔽方法，屏蔽体必须可靠接地；根据生产特点配置必要的静电检测仪器、仪表。</w:t>
            </w:r>
          </w:p>
          <w:p w14:paraId="5AAB0EE0">
            <w:pPr>
              <w:keepNext w:val="0"/>
              <w:keepLines w:val="0"/>
              <w:pageBreakBefore w:val="0"/>
              <w:widowControl/>
              <w:kinsoku/>
              <w:wordWrap/>
              <w:overflowPunct/>
              <w:topLinePunct w:val="0"/>
              <w:autoSpaceDE w:val="0"/>
              <w:autoSpaceDN w:val="0"/>
              <w:bidi w:val="0"/>
              <w:adjustRightInd w:val="0"/>
              <w:snapToGrid w:val="0"/>
              <w:spacing w:line="360" w:lineRule="auto"/>
              <w:ind w:right="0" w:firstLine="420" w:firstLineChars="200"/>
              <w:textAlignment w:val="auto"/>
              <w:rPr>
                <w:rFonts w:eastAsia="仿宋_GB2312"/>
                <w:kern w:val="0"/>
              </w:rPr>
            </w:pPr>
            <w:r>
              <w:rPr>
                <w:rFonts w:eastAsia="仿宋_GB2312"/>
                <w:kern w:val="0"/>
              </w:rPr>
              <w:t>②采用国家推荐的相应先进的安全生产技术和方法，生产工艺、生产设备和各类三废处理设备均要符合国家相关标准和规范要求。所有管道系统均必需按有关标准进行良好设计、制作及安装，必需由当地有关质检监部门进行验收并通过后方能投入使用。</w:t>
            </w:r>
          </w:p>
          <w:p w14:paraId="28812D66">
            <w:pPr>
              <w:keepNext w:val="0"/>
              <w:keepLines w:val="0"/>
              <w:pageBreakBefore w:val="0"/>
              <w:widowControl/>
              <w:kinsoku/>
              <w:wordWrap/>
              <w:overflowPunct/>
              <w:topLinePunct w:val="0"/>
              <w:autoSpaceDE w:val="0"/>
              <w:autoSpaceDN w:val="0"/>
              <w:bidi w:val="0"/>
              <w:adjustRightInd w:val="0"/>
              <w:snapToGrid w:val="0"/>
              <w:spacing w:line="360" w:lineRule="auto"/>
              <w:ind w:right="0" w:firstLine="420" w:firstLineChars="200"/>
              <w:textAlignment w:val="auto"/>
              <w:rPr>
                <w:rFonts w:eastAsia="仿宋_GB2312"/>
                <w:kern w:val="0"/>
              </w:rPr>
            </w:pPr>
            <w:r>
              <w:rPr>
                <w:rFonts w:eastAsia="仿宋_GB2312"/>
                <w:kern w:val="0"/>
              </w:rPr>
              <w:t>③定期检查、维护生产中使用的设备、仓库，确保各设施、设备正常运行。</w:t>
            </w:r>
          </w:p>
          <w:p w14:paraId="65F35970">
            <w:pPr>
              <w:keepNext w:val="0"/>
              <w:keepLines w:val="0"/>
              <w:pageBreakBefore w:val="0"/>
              <w:widowControl/>
              <w:kinsoku/>
              <w:wordWrap/>
              <w:overflowPunct/>
              <w:topLinePunct w:val="0"/>
              <w:autoSpaceDE w:val="0"/>
              <w:autoSpaceDN w:val="0"/>
              <w:bidi w:val="0"/>
              <w:adjustRightInd w:val="0"/>
              <w:snapToGrid w:val="0"/>
              <w:spacing w:line="360" w:lineRule="auto"/>
              <w:ind w:right="0" w:firstLine="420" w:firstLineChars="200"/>
              <w:textAlignment w:val="auto"/>
              <w:rPr>
                <w:rFonts w:eastAsia="仿宋_GB2312"/>
                <w:kern w:val="0"/>
              </w:rPr>
            </w:pPr>
            <w:r>
              <w:rPr>
                <w:rFonts w:eastAsia="仿宋_GB2312"/>
                <w:kern w:val="0"/>
              </w:rPr>
              <w:t>④定期清理废水处理池等，确保污水处理设施正常运行，以保障污水达标排放。</w:t>
            </w:r>
          </w:p>
          <w:p w14:paraId="14E5D7F9">
            <w:pPr>
              <w:keepNext w:val="0"/>
              <w:keepLines w:val="0"/>
              <w:pageBreakBefore w:val="0"/>
              <w:widowControl/>
              <w:kinsoku/>
              <w:wordWrap/>
              <w:overflowPunct/>
              <w:topLinePunct w:val="0"/>
              <w:autoSpaceDE w:val="0"/>
              <w:autoSpaceDN w:val="0"/>
              <w:bidi w:val="0"/>
              <w:adjustRightInd w:val="0"/>
              <w:snapToGrid w:val="0"/>
              <w:spacing w:line="360" w:lineRule="auto"/>
              <w:ind w:right="0" w:firstLine="420" w:firstLineChars="200"/>
              <w:textAlignment w:val="auto"/>
              <w:rPr>
                <w:rFonts w:eastAsia="仿宋_GB2312"/>
                <w:kern w:val="0"/>
              </w:rPr>
            </w:pPr>
            <w:r>
              <w:rPr>
                <w:rFonts w:eastAsia="仿宋_GB2312"/>
                <w:kern w:val="0"/>
              </w:rPr>
              <w:t>⑤生产现场设置各种安全标志。按照规范对凡需要迅速发现并引起注意以防发生事故的场所、部位均按要求涂安全色。</w:t>
            </w:r>
          </w:p>
          <w:p w14:paraId="73912FF2">
            <w:pPr>
              <w:keepNext w:val="0"/>
              <w:keepLines w:val="0"/>
              <w:pageBreakBefore w:val="0"/>
              <w:widowControl/>
              <w:kinsoku/>
              <w:wordWrap/>
              <w:overflowPunct/>
              <w:topLinePunct w:val="0"/>
              <w:autoSpaceDE w:val="0"/>
              <w:autoSpaceDN w:val="0"/>
              <w:bidi w:val="0"/>
              <w:adjustRightInd w:val="0"/>
              <w:snapToGrid w:val="0"/>
              <w:spacing w:line="360" w:lineRule="auto"/>
              <w:ind w:right="0" w:firstLine="420" w:firstLineChars="200"/>
              <w:textAlignment w:val="auto"/>
              <w:rPr>
                <w:rFonts w:eastAsia="仿宋_GB2312"/>
                <w:kern w:val="0"/>
              </w:rPr>
            </w:pPr>
            <w:r>
              <w:rPr>
                <w:rFonts w:eastAsia="仿宋_GB2312"/>
                <w:kern w:val="0"/>
              </w:rPr>
              <w:t>⑥建立健全的组织管理网络。管理人员和操作人员在事故预防中应通力合作，每个生产岗位配备必要的安全管理和责任人员。</w:t>
            </w:r>
          </w:p>
          <w:p w14:paraId="07E5216C">
            <w:pPr>
              <w:keepNext w:val="0"/>
              <w:keepLines w:val="0"/>
              <w:pageBreakBefore w:val="0"/>
              <w:widowControl/>
              <w:kinsoku/>
              <w:wordWrap/>
              <w:overflowPunct/>
              <w:topLinePunct w:val="0"/>
              <w:autoSpaceDE w:val="0"/>
              <w:autoSpaceDN w:val="0"/>
              <w:bidi w:val="0"/>
              <w:adjustRightInd w:val="0"/>
              <w:snapToGrid w:val="0"/>
              <w:spacing w:line="360" w:lineRule="auto"/>
              <w:ind w:right="0" w:firstLine="420" w:firstLineChars="200"/>
              <w:textAlignment w:val="auto"/>
              <w:rPr>
                <w:rFonts w:eastAsia="仿宋_GB2312"/>
                <w:kern w:val="0"/>
              </w:rPr>
            </w:pPr>
            <w:r>
              <w:rPr>
                <w:rFonts w:eastAsia="仿宋_GB2312"/>
                <w:kern w:val="0"/>
              </w:rPr>
              <w:t>⑦运输过程中的事故防范措施</w:t>
            </w:r>
          </w:p>
          <w:p w14:paraId="74DE3C51">
            <w:pPr>
              <w:keepNext w:val="0"/>
              <w:keepLines w:val="0"/>
              <w:pageBreakBefore w:val="0"/>
              <w:widowControl/>
              <w:kinsoku/>
              <w:wordWrap/>
              <w:overflowPunct/>
              <w:topLinePunct w:val="0"/>
              <w:autoSpaceDE w:val="0"/>
              <w:autoSpaceDN w:val="0"/>
              <w:bidi w:val="0"/>
              <w:adjustRightInd w:val="0"/>
              <w:snapToGrid w:val="0"/>
              <w:spacing w:line="360" w:lineRule="auto"/>
              <w:ind w:right="0" w:firstLine="420" w:firstLineChars="200"/>
              <w:textAlignment w:val="auto"/>
              <w:rPr>
                <w:rFonts w:eastAsia="仿宋_GB2312"/>
                <w:kern w:val="0"/>
              </w:rPr>
            </w:pPr>
            <w:r>
              <w:rPr>
                <w:rFonts w:eastAsia="仿宋_GB2312"/>
                <w:kern w:val="0"/>
              </w:rPr>
              <w:t>运输有毒和腐蚀性物品汽车的驾驶员和押运人员，在出车前必须检查防毒、防护用品和检查是否携带齐全有效，在运输途中发现泄漏时应主动采取处理措施，防止事态进一步扩大，在切断泄漏源后，应将情况及时向当地公安机关和有关部门报告，若处理不了，应立即报告当地公安机关和有关部门，请求支援。</w:t>
            </w:r>
          </w:p>
          <w:p w14:paraId="6246CAA1">
            <w:pPr>
              <w:keepNext w:val="0"/>
              <w:keepLines w:val="0"/>
              <w:pageBreakBefore w:val="0"/>
              <w:widowControl/>
              <w:kinsoku/>
              <w:wordWrap/>
              <w:overflowPunct/>
              <w:topLinePunct w:val="0"/>
              <w:autoSpaceDE w:val="0"/>
              <w:autoSpaceDN w:val="0"/>
              <w:bidi w:val="0"/>
              <w:adjustRightInd w:val="0"/>
              <w:snapToGrid w:val="0"/>
              <w:spacing w:line="360" w:lineRule="auto"/>
              <w:ind w:right="0" w:firstLine="420" w:firstLineChars="200"/>
              <w:textAlignment w:val="auto"/>
              <w:rPr>
                <w:rFonts w:eastAsia="仿宋_GB2312"/>
                <w:b/>
                <w:bCs/>
                <w:kern w:val="0"/>
              </w:rPr>
            </w:pPr>
            <w:r>
              <w:rPr>
                <w:rFonts w:eastAsia="仿宋_GB2312"/>
                <w:kern w:val="0"/>
              </w:rPr>
              <w:t>⑧一旦发生火灾，应立即停止生产，迅速使用厂内灭火器材，同时，通知市、县消防支队；并迅速疏散厂内职工和周围群众撤离现场。</w:t>
            </w:r>
          </w:p>
          <w:p w14:paraId="6CE44C12">
            <w:pPr>
              <w:keepNext w:val="0"/>
              <w:keepLines w:val="0"/>
              <w:pageBreakBefore w:val="0"/>
              <w:widowControl/>
              <w:kinsoku/>
              <w:wordWrap/>
              <w:overflowPunct/>
              <w:topLinePunct w:val="0"/>
              <w:autoSpaceDE w:val="0"/>
              <w:autoSpaceDN w:val="0"/>
              <w:bidi w:val="0"/>
              <w:adjustRightInd w:val="0"/>
              <w:snapToGrid w:val="0"/>
              <w:spacing w:line="360" w:lineRule="auto"/>
              <w:ind w:right="0" w:firstLine="420" w:firstLineChars="200"/>
              <w:textAlignment w:val="auto"/>
              <w:rPr>
                <w:rFonts w:eastAsia="仿宋_GB2312"/>
                <w:kern w:val="0"/>
              </w:rPr>
            </w:pPr>
            <w:r>
              <w:rPr>
                <w:rFonts w:eastAsia="仿宋_GB2312"/>
                <w:kern w:val="0"/>
                <w:lang w:val="en-US" w:eastAsia="zh-CN"/>
              </w:rPr>
              <w:t>本项目新增</w:t>
            </w:r>
            <w:r>
              <w:rPr>
                <w:rFonts w:hint="eastAsia" w:eastAsia="仿宋_GB2312"/>
                <w:kern w:val="0"/>
                <w:lang w:val="en-US" w:eastAsia="zh-CN"/>
              </w:rPr>
              <w:t>部分</w:t>
            </w:r>
            <w:r>
              <w:rPr>
                <w:rFonts w:eastAsia="仿宋_GB2312"/>
                <w:kern w:val="0"/>
                <w:lang w:val="en-US" w:eastAsia="zh-CN"/>
              </w:rPr>
              <w:t>储罐</w:t>
            </w:r>
            <w:r>
              <w:rPr>
                <w:rFonts w:hint="eastAsia" w:eastAsia="仿宋_GB2312"/>
                <w:kern w:val="0"/>
                <w:lang w:val="en-US" w:eastAsia="zh-CN"/>
              </w:rPr>
              <w:t>（液碱、盐酸、次氯酸钠等）</w:t>
            </w:r>
            <w:r>
              <w:rPr>
                <w:rFonts w:eastAsia="仿宋_GB2312"/>
                <w:kern w:val="0"/>
                <w:lang w:val="en-US" w:eastAsia="zh-CN"/>
              </w:rPr>
              <w:t>，相应区域的部分环境风险防范设施新增，其余区域均可依托该厂区现有的应急装置和措施，详见下表：</w:t>
            </w:r>
          </w:p>
          <w:p w14:paraId="3EFA193E">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center"/>
              <w:textAlignment w:val="auto"/>
              <w:rPr>
                <w:rFonts w:hint="eastAsia" w:eastAsia="仿宋_GB2312"/>
                <w:b/>
                <w:bCs/>
                <w:kern w:val="0"/>
                <w:lang w:val="en-US" w:eastAsia="zh-CN"/>
              </w:rPr>
            </w:pPr>
            <w:r>
              <w:rPr>
                <w:rFonts w:eastAsia="仿宋_GB2312"/>
                <w:b/>
                <w:bCs/>
                <w:kern w:val="0"/>
                <w:lang w:val="en-US" w:eastAsia="zh-CN"/>
              </w:rPr>
              <w:t>表 4-</w:t>
            </w:r>
            <w:r>
              <w:rPr>
                <w:rFonts w:hint="eastAsia" w:eastAsia="仿宋_GB2312"/>
                <w:b/>
                <w:bCs/>
                <w:kern w:val="0"/>
                <w:lang w:val="en-US" w:eastAsia="zh-CN"/>
              </w:rPr>
              <w:t>41</w:t>
            </w:r>
            <w:r>
              <w:rPr>
                <w:rFonts w:eastAsia="仿宋_GB2312"/>
                <w:b/>
                <w:bCs/>
                <w:kern w:val="0"/>
                <w:lang w:val="en-US" w:eastAsia="zh-CN"/>
              </w:rPr>
              <w:t xml:space="preserve"> </w:t>
            </w:r>
            <w:r>
              <w:rPr>
                <w:rFonts w:hint="eastAsia" w:eastAsia="仿宋_GB2312"/>
                <w:b/>
                <w:bCs/>
                <w:kern w:val="0"/>
                <w:lang w:val="en-US" w:eastAsia="zh-CN"/>
              </w:rPr>
              <w:t xml:space="preserve"> </w:t>
            </w:r>
            <w:r>
              <w:rPr>
                <w:rFonts w:eastAsia="仿宋_GB2312"/>
                <w:b/>
                <w:bCs/>
                <w:kern w:val="0"/>
                <w:lang w:val="en-US" w:eastAsia="zh-CN"/>
              </w:rPr>
              <w:t>环境风险防范及应急处置措施新增和依托情况一览表</w:t>
            </w:r>
          </w:p>
          <w:tbl>
            <w:tblPr>
              <w:tblStyle w:val="32"/>
              <w:tblW w:w="852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72"/>
              <w:gridCol w:w="5675"/>
              <w:gridCol w:w="875"/>
            </w:tblGrid>
            <w:tr w14:paraId="271CB4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72" w:type="dxa"/>
                  <w:tcBorders>
                    <w:tl2br w:val="nil"/>
                    <w:tr2bl w:val="nil"/>
                  </w:tcBorders>
                  <w:vAlign w:val="center"/>
                </w:tcPr>
                <w:p w14:paraId="4D8ED6F7">
                  <w:pPr>
                    <w:widowControl/>
                    <w:adjustRightInd w:val="0"/>
                    <w:snapToGrid w:val="0"/>
                    <w:jc w:val="center"/>
                    <w:rPr>
                      <w:rFonts w:hint="eastAsia" w:ascii="Times New Roman" w:hAnsi="Times New Roman" w:eastAsia="仿宋_GB2312" w:cs="Times New Roman"/>
                      <w:b/>
                      <w:bCs/>
                      <w:snapToGrid w:val="0"/>
                      <w:kern w:val="0"/>
                      <w:sz w:val="21"/>
                      <w:szCs w:val="21"/>
                      <w:lang w:val="en-US" w:eastAsia="zh-CN"/>
                    </w:rPr>
                  </w:pPr>
                  <w:r>
                    <w:rPr>
                      <w:rFonts w:hint="eastAsia" w:ascii="Times New Roman" w:hAnsi="Times New Roman" w:eastAsia="仿宋_GB2312" w:cs="Times New Roman"/>
                      <w:b/>
                      <w:bCs/>
                      <w:snapToGrid w:val="0"/>
                      <w:kern w:val="0"/>
                      <w:sz w:val="21"/>
                      <w:szCs w:val="21"/>
                      <w:lang w:val="en-US" w:eastAsia="zh-CN"/>
                    </w:rPr>
                    <w:t>涉及主要风险区域</w:t>
                  </w:r>
                </w:p>
              </w:tc>
              <w:tc>
                <w:tcPr>
                  <w:tcW w:w="5675" w:type="dxa"/>
                  <w:tcBorders>
                    <w:tl2br w:val="nil"/>
                    <w:tr2bl w:val="nil"/>
                  </w:tcBorders>
                  <w:vAlign w:val="center"/>
                </w:tcPr>
                <w:p w14:paraId="1CF29F61">
                  <w:pPr>
                    <w:widowControl/>
                    <w:adjustRightInd w:val="0"/>
                    <w:snapToGrid w:val="0"/>
                    <w:jc w:val="center"/>
                    <w:rPr>
                      <w:rFonts w:hint="eastAsia" w:ascii="Times New Roman" w:hAnsi="Times New Roman" w:eastAsia="仿宋_GB2312" w:cs="Times New Roman"/>
                      <w:b/>
                      <w:bCs/>
                      <w:snapToGrid w:val="0"/>
                      <w:kern w:val="0"/>
                      <w:sz w:val="21"/>
                      <w:szCs w:val="21"/>
                      <w:lang w:val="en-US" w:eastAsia="zh-CN"/>
                    </w:rPr>
                  </w:pPr>
                  <w:r>
                    <w:rPr>
                      <w:rFonts w:hint="eastAsia" w:ascii="Times New Roman" w:hAnsi="Times New Roman" w:eastAsia="仿宋_GB2312" w:cs="Times New Roman"/>
                      <w:b/>
                      <w:bCs/>
                      <w:snapToGrid w:val="0"/>
                      <w:kern w:val="0"/>
                      <w:sz w:val="21"/>
                      <w:szCs w:val="21"/>
                      <w:lang w:val="en-US" w:eastAsia="zh-CN"/>
                    </w:rPr>
                    <w:t>主要风险防范和应急措施</w:t>
                  </w:r>
                </w:p>
              </w:tc>
              <w:tc>
                <w:tcPr>
                  <w:tcW w:w="875" w:type="dxa"/>
                  <w:tcBorders>
                    <w:tl2br w:val="nil"/>
                    <w:tr2bl w:val="nil"/>
                  </w:tcBorders>
                  <w:vAlign w:val="center"/>
                </w:tcPr>
                <w:p w14:paraId="4D3877FE">
                  <w:pPr>
                    <w:widowControl/>
                    <w:adjustRightInd w:val="0"/>
                    <w:snapToGrid w:val="0"/>
                    <w:jc w:val="center"/>
                    <w:rPr>
                      <w:rFonts w:hint="eastAsia" w:ascii="Times New Roman" w:hAnsi="Times New Roman" w:eastAsia="仿宋_GB2312" w:cs="Times New Roman"/>
                      <w:b/>
                      <w:bCs/>
                      <w:snapToGrid w:val="0"/>
                      <w:kern w:val="0"/>
                      <w:sz w:val="21"/>
                      <w:szCs w:val="21"/>
                      <w:lang w:val="en-US" w:eastAsia="zh-CN"/>
                    </w:rPr>
                  </w:pPr>
                  <w:r>
                    <w:rPr>
                      <w:rFonts w:hint="eastAsia" w:ascii="Times New Roman" w:hAnsi="Times New Roman" w:eastAsia="仿宋_GB2312" w:cs="Times New Roman"/>
                      <w:b/>
                      <w:bCs/>
                      <w:snapToGrid w:val="0"/>
                      <w:kern w:val="0"/>
                      <w:sz w:val="21"/>
                      <w:szCs w:val="21"/>
                      <w:lang w:val="en-US" w:eastAsia="zh-CN"/>
                    </w:rPr>
                    <w:t>备注</w:t>
                  </w:r>
                </w:p>
              </w:tc>
            </w:tr>
            <w:tr w14:paraId="19ED0E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72" w:type="dxa"/>
                  <w:tcBorders>
                    <w:tl2br w:val="nil"/>
                    <w:tr2bl w:val="nil"/>
                  </w:tcBorders>
                  <w:vAlign w:val="center"/>
                </w:tcPr>
                <w:p w14:paraId="21B18A29">
                  <w:pPr>
                    <w:widowControl/>
                    <w:adjustRightInd w:val="0"/>
                    <w:snapToGrid w:val="0"/>
                    <w:jc w:val="center"/>
                    <w:rPr>
                      <w:rFonts w:hint="eastAsia" w:ascii="Times New Roman" w:hAnsi="Times New Roman" w:eastAsia="仿宋_GB2312" w:cs="Times New Roman"/>
                      <w:snapToGrid w:val="0"/>
                      <w:kern w:val="0"/>
                      <w:sz w:val="21"/>
                      <w:szCs w:val="21"/>
                      <w:lang w:val="en-US" w:eastAsia="zh-CN"/>
                    </w:rPr>
                  </w:pPr>
                  <w:r>
                    <w:rPr>
                      <w:rFonts w:hint="eastAsia" w:ascii="Times New Roman" w:hAnsi="Times New Roman" w:eastAsia="仿宋_GB2312" w:cs="Times New Roman"/>
                      <w:snapToGrid w:val="0"/>
                      <w:kern w:val="0"/>
                      <w:sz w:val="21"/>
                      <w:szCs w:val="21"/>
                      <w:lang w:val="en-US" w:eastAsia="zh-CN"/>
                    </w:rPr>
                    <w:t>罐区（</w:t>
                  </w:r>
                  <w:r>
                    <w:rPr>
                      <w:rFonts w:hint="eastAsia" w:eastAsia="仿宋_GB2312" w:cs="Times New Roman"/>
                      <w:snapToGrid w:val="0"/>
                      <w:kern w:val="0"/>
                      <w:sz w:val="21"/>
                      <w:szCs w:val="21"/>
                      <w:lang w:val="en-US" w:eastAsia="zh-CN"/>
                    </w:rPr>
                    <w:t>新增</w:t>
                  </w:r>
                  <w:r>
                    <w:rPr>
                      <w:rFonts w:hint="eastAsia" w:ascii="Times New Roman" w:hAnsi="Times New Roman" w:eastAsia="仿宋_GB2312" w:cs="Times New Roman"/>
                      <w:snapToGrid w:val="0"/>
                      <w:kern w:val="0"/>
                      <w:sz w:val="21"/>
                      <w:szCs w:val="21"/>
                      <w:lang w:val="en-US" w:eastAsia="zh-CN"/>
                    </w:rPr>
                    <w:t>）</w:t>
                  </w:r>
                </w:p>
              </w:tc>
              <w:tc>
                <w:tcPr>
                  <w:tcW w:w="5675" w:type="dxa"/>
                  <w:tcBorders>
                    <w:tl2br w:val="nil"/>
                    <w:tr2bl w:val="nil"/>
                  </w:tcBorders>
                  <w:vAlign w:val="center"/>
                </w:tcPr>
                <w:p w14:paraId="2431F9D4">
                  <w:pPr>
                    <w:widowControl/>
                    <w:adjustRightInd w:val="0"/>
                    <w:snapToGrid w:val="0"/>
                    <w:jc w:val="center"/>
                    <w:rPr>
                      <w:rFonts w:hint="eastAsia" w:ascii="Times New Roman" w:hAnsi="Times New Roman" w:eastAsia="仿宋_GB2312" w:cs="Times New Roman"/>
                      <w:snapToGrid w:val="0"/>
                      <w:kern w:val="0"/>
                      <w:sz w:val="21"/>
                      <w:szCs w:val="21"/>
                      <w:lang w:val="en-US" w:eastAsia="zh-CN"/>
                    </w:rPr>
                  </w:pPr>
                  <w:r>
                    <w:rPr>
                      <w:rFonts w:hint="eastAsia" w:ascii="Times New Roman" w:hAnsi="Times New Roman" w:eastAsia="仿宋_GB2312" w:cs="Times New Roman"/>
                      <w:snapToGrid w:val="0"/>
                      <w:kern w:val="0"/>
                      <w:sz w:val="21"/>
                      <w:szCs w:val="21"/>
                      <w:lang w:val="en-US" w:eastAsia="zh-CN"/>
                    </w:rPr>
                    <w:t>1.对其按照危废暂存区要求进行管理：具备防风、防雨、防晒的基本功能；已设置耐腐蚀的硬化地面，并保证表面无裂隙；已刷环氧地坪进行防腐防渗；保证储罐放置区域地面平坦、牢固，避免罐体变形或倾斜导致泄漏事故的发生；2.储罐周边已设置围堰，可对泄漏的</w:t>
                  </w:r>
                  <w:r>
                    <w:rPr>
                      <w:rFonts w:hint="eastAsia" w:eastAsia="仿宋_GB2312" w:cs="Times New Roman"/>
                      <w:snapToGrid w:val="0"/>
                      <w:kern w:val="0"/>
                      <w:sz w:val="21"/>
                      <w:szCs w:val="21"/>
                      <w:lang w:val="en-US" w:eastAsia="zh-CN"/>
                    </w:rPr>
                    <w:t>化学品</w:t>
                  </w:r>
                  <w:r>
                    <w:rPr>
                      <w:rFonts w:hint="eastAsia" w:ascii="Times New Roman" w:hAnsi="Times New Roman" w:eastAsia="仿宋_GB2312" w:cs="Times New Roman"/>
                      <w:snapToGrid w:val="0"/>
                      <w:kern w:val="0"/>
                      <w:sz w:val="21"/>
                      <w:szCs w:val="21"/>
                      <w:lang w:val="en-US" w:eastAsia="zh-CN"/>
                    </w:rPr>
                    <w:t>进行有效收集；3.已设置视频监控；4.已配备通讯设备、照明设施、应急物资（如灭火器、消防沙）等；5.确保储罐不会满负荷暂存，其内部留有一定的空间；6.定期检查，关注罐体是否出现腐蚀现象，检查阀门、管道及接头处的密封性；检查罐体是否变形或倾斜；7.已在储罐附近张贴安全警示标志及化学品技术说明书；8.已建立巡检制度，定期安排专人对应急防护设施、照明设施、监控设施等进行检查；负责储罐检查维护的人员必须接受专业的安全培训，了解</w:t>
                  </w:r>
                  <w:r>
                    <w:rPr>
                      <w:rFonts w:hint="eastAsia" w:eastAsia="仿宋_GB2312" w:cs="Times New Roman"/>
                      <w:snapToGrid w:val="0"/>
                      <w:kern w:val="0"/>
                      <w:sz w:val="21"/>
                      <w:szCs w:val="21"/>
                      <w:lang w:val="en-US" w:eastAsia="zh-CN"/>
                    </w:rPr>
                    <w:t>化学品</w:t>
                  </w:r>
                  <w:r>
                    <w:rPr>
                      <w:rFonts w:hint="eastAsia" w:ascii="Times New Roman" w:hAnsi="Times New Roman" w:eastAsia="仿宋_GB2312" w:cs="Times New Roman"/>
                      <w:snapToGrid w:val="0"/>
                      <w:kern w:val="0"/>
                      <w:sz w:val="21"/>
                      <w:szCs w:val="21"/>
                      <w:lang w:val="en-US" w:eastAsia="zh-CN"/>
                    </w:rPr>
                    <w:t>的性质、危害及应急处理方法，做好自我防护，确保安全无事故。</w:t>
                  </w:r>
                </w:p>
              </w:tc>
              <w:tc>
                <w:tcPr>
                  <w:tcW w:w="875" w:type="dxa"/>
                  <w:tcBorders>
                    <w:tl2br w:val="nil"/>
                    <w:tr2bl w:val="nil"/>
                  </w:tcBorders>
                  <w:vAlign w:val="center"/>
                </w:tcPr>
                <w:p w14:paraId="79758186">
                  <w:pPr>
                    <w:widowControl/>
                    <w:adjustRightInd w:val="0"/>
                    <w:snapToGrid w:val="0"/>
                    <w:jc w:val="center"/>
                    <w:rPr>
                      <w:rFonts w:hint="eastAsia" w:ascii="Times New Roman" w:hAnsi="Times New Roman" w:eastAsia="仿宋_GB2312" w:cs="Times New Roman"/>
                      <w:snapToGrid w:val="0"/>
                      <w:kern w:val="0"/>
                      <w:sz w:val="21"/>
                      <w:szCs w:val="21"/>
                      <w:lang w:val="en-US" w:eastAsia="zh-CN"/>
                    </w:rPr>
                  </w:pPr>
                  <w:r>
                    <w:rPr>
                      <w:rFonts w:hint="eastAsia" w:ascii="Times New Roman" w:hAnsi="Times New Roman" w:eastAsia="仿宋_GB2312" w:cs="Times New Roman"/>
                      <w:snapToGrid w:val="0"/>
                      <w:kern w:val="0"/>
                      <w:sz w:val="21"/>
                      <w:szCs w:val="21"/>
                      <w:lang w:val="en-US" w:eastAsia="zh-CN"/>
                    </w:rPr>
                    <w:t>新增</w:t>
                  </w:r>
                </w:p>
              </w:tc>
            </w:tr>
            <w:tr w14:paraId="4D1B0E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72" w:type="dxa"/>
                  <w:tcBorders>
                    <w:tl2br w:val="nil"/>
                    <w:tr2bl w:val="nil"/>
                  </w:tcBorders>
                  <w:vAlign w:val="center"/>
                </w:tcPr>
                <w:p w14:paraId="3A40651C">
                  <w:pPr>
                    <w:widowControl/>
                    <w:adjustRightInd w:val="0"/>
                    <w:snapToGrid w:val="0"/>
                    <w:jc w:val="center"/>
                    <w:rPr>
                      <w:rFonts w:hint="eastAsia" w:eastAsia="仿宋_GB2312" w:cs="Times New Roman"/>
                      <w:snapToGrid w:val="0"/>
                      <w:kern w:val="0"/>
                      <w:sz w:val="21"/>
                      <w:szCs w:val="21"/>
                      <w:lang w:val="en-US" w:eastAsia="zh-CN"/>
                    </w:rPr>
                  </w:pPr>
                  <w:r>
                    <w:rPr>
                      <w:rFonts w:hint="eastAsia" w:eastAsia="仿宋_GB2312" w:cs="Times New Roman"/>
                      <w:snapToGrid w:val="0"/>
                      <w:kern w:val="0"/>
                      <w:sz w:val="21"/>
                      <w:szCs w:val="21"/>
                      <w:lang w:val="en-US" w:eastAsia="zh-CN"/>
                    </w:rPr>
                    <w:t>环保应急罐</w:t>
                  </w:r>
                </w:p>
                <w:p w14:paraId="79BF13E8">
                  <w:pPr>
                    <w:widowControl/>
                    <w:adjustRightInd w:val="0"/>
                    <w:snapToGrid w:val="0"/>
                    <w:jc w:val="center"/>
                    <w:rPr>
                      <w:rFonts w:hint="default" w:ascii="Times New Roman" w:hAnsi="Times New Roman" w:eastAsia="仿宋_GB2312" w:cs="Times New Roman"/>
                      <w:snapToGrid w:val="0"/>
                      <w:kern w:val="0"/>
                      <w:sz w:val="21"/>
                      <w:szCs w:val="21"/>
                      <w:lang w:val="en-US" w:eastAsia="zh-CN"/>
                    </w:rPr>
                  </w:pPr>
                  <w:r>
                    <w:rPr>
                      <w:rFonts w:hint="eastAsia" w:ascii="Times New Roman" w:hAnsi="Times New Roman" w:eastAsia="仿宋_GB2312" w:cs="Times New Roman"/>
                      <w:snapToGrid w:val="0"/>
                      <w:kern w:val="0"/>
                      <w:sz w:val="21"/>
                      <w:szCs w:val="21"/>
                      <w:lang w:val="en-US" w:eastAsia="zh-CN"/>
                    </w:rPr>
                    <w:t>（</w:t>
                  </w:r>
                  <w:r>
                    <w:rPr>
                      <w:rFonts w:hint="eastAsia" w:eastAsia="仿宋_GB2312" w:cs="Times New Roman"/>
                      <w:snapToGrid w:val="0"/>
                      <w:kern w:val="0"/>
                      <w:sz w:val="21"/>
                      <w:szCs w:val="21"/>
                      <w:lang w:val="en-US" w:eastAsia="zh-CN"/>
                    </w:rPr>
                    <w:t>新增，</w:t>
                  </w:r>
                  <w:r>
                    <w:rPr>
                      <w:rFonts w:hint="eastAsia" w:eastAsia="仿宋_GB2312"/>
                      <w:kern w:val="0"/>
                      <w:sz w:val="21"/>
                      <w:szCs w:val="21"/>
                      <w:lang w:val="en-US" w:eastAsia="zh-CN"/>
                    </w:rPr>
                    <w:t>3217</w:t>
                  </w:r>
                  <w:r>
                    <w:rPr>
                      <w:rFonts w:hint="eastAsia" w:eastAsia="仿宋_GB2312" w:cs="Times New Roman"/>
                      <w:snapToGrid w:val="0"/>
                      <w:kern w:val="0"/>
                      <w:sz w:val="21"/>
                      <w:szCs w:val="21"/>
                      <w:lang w:val="en-US" w:eastAsia="zh-CN"/>
                    </w:rPr>
                    <w:t>m</w:t>
                  </w:r>
                  <w:r>
                    <w:rPr>
                      <w:rFonts w:hint="eastAsia" w:eastAsia="仿宋_GB2312" w:cs="Times New Roman"/>
                      <w:snapToGrid w:val="0"/>
                      <w:kern w:val="0"/>
                      <w:sz w:val="21"/>
                      <w:szCs w:val="21"/>
                      <w:vertAlign w:val="superscript"/>
                      <w:lang w:val="en-US" w:eastAsia="zh-CN"/>
                    </w:rPr>
                    <w:t>3</w:t>
                  </w:r>
                  <w:r>
                    <w:rPr>
                      <w:rFonts w:hint="eastAsia" w:ascii="Times New Roman" w:hAnsi="Times New Roman" w:eastAsia="仿宋_GB2312" w:cs="Times New Roman"/>
                      <w:snapToGrid w:val="0"/>
                      <w:kern w:val="0"/>
                      <w:sz w:val="21"/>
                      <w:szCs w:val="21"/>
                      <w:lang w:val="en-US" w:eastAsia="zh-CN"/>
                    </w:rPr>
                    <w:t>）</w:t>
                  </w:r>
                </w:p>
              </w:tc>
              <w:tc>
                <w:tcPr>
                  <w:tcW w:w="5675" w:type="dxa"/>
                  <w:tcBorders>
                    <w:tl2br w:val="nil"/>
                    <w:tr2bl w:val="nil"/>
                  </w:tcBorders>
                  <w:vAlign w:val="center"/>
                </w:tcPr>
                <w:p w14:paraId="75F5910E">
                  <w:pPr>
                    <w:widowControl/>
                    <w:adjustRightInd w:val="0"/>
                    <w:snapToGrid w:val="0"/>
                    <w:jc w:val="center"/>
                    <w:rPr>
                      <w:rFonts w:hint="eastAsia" w:ascii="Times New Roman" w:hAnsi="Times New Roman" w:eastAsia="仿宋_GB2312" w:cs="Times New Roman"/>
                      <w:snapToGrid w:val="0"/>
                      <w:kern w:val="0"/>
                      <w:sz w:val="21"/>
                      <w:szCs w:val="21"/>
                      <w:lang w:val="en-US" w:eastAsia="zh-CN"/>
                    </w:rPr>
                  </w:pPr>
                  <w:r>
                    <w:rPr>
                      <w:rFonts w:hint="eastAsia" w:ascii="Times New Roman" w:hAnsi="Times New Roman" w:eastAsia="仿宋_GB2312" w:cs="Times New Roman"/>
                      <w:snapToGrid w:val="0"/>
                      <w:kern w:val="0"/>
                      <w:sz w:val="21"/>
                      <w:szCs w:val="21"/>
                      <w:lang w:val="en-US" w:eastAsia="zh-CN"/>
                    </w:rPr>
                    <w:t>1.对其按照危废暂存区要求进行管理：具备防风、防雨、防晒的基本功能；已设置耐腐蚀的硬化地面，并保证表面无裂隙；已刷环氧地坪进行防腐防渗；保证储罐放置区域地面平坦、牢固，避免罐体变形或倾斜导致泄漏事故的发生；2.储罐周边已设置围堰，可对泄漏的</w:t>
                  </w:r>
                  <w:r>
                    <w:rPr>
                      <w:rFonts w:hint="eastAsia" w:eastAsia="仿宋_GB2312" w:cs="Times New Roman"/>
                      <w:snapToGrid w:val="0"/>
                      <w:kern w:val="0"/>
                      <w:sz w:val="21"/>
                      <w:szCs w:val="21"/>
                      <w:lang w:val="en-US" w:eastAsia="zh-CN"/>
                    </w:rPr>
                    <w:t>化学品</w:t>
                  </w:r>
                  <w:r>
                    <w:rPr>
                      <w:rFonts w:hint="eastAsia" w:ascii="Times New Roman" w:hAnsi="Times New Roman" w:eastAsia="仿宋_GB2312" w:cs="Times New Roman"/>
                      <w:snapToGrid w:val="0"/>
                      <w:kern w:val="0"/>
                      <w:sz w:val="21"/>
                      <w:szCs w:val="21"/>
                      <w:lang w:val="en-US" w:eastAsia="zh-CN"/>
                    </w:rPr>
                    <w:t>进行有效收集；3.已设置视频监控；4.已配备通讯设备、照明设施、应急物资（如灭火器、消防沙</w:t>
                  </w:r>
                  <w:r>
                    <w:rPr>
                      <w:rFonts w:hint="eastAsia" w:eastAsia="仿宋_GB2312" w:cs="Times New Roman"/>
                      <w:snapToGrid w:val="0"/>
                      <w:kern w:val="0"/>
                      <w:sz w:val="21"/>
                      <w:szCs w:val="21"/>
                      <w:lang w:val="en-US" w:eastAsia="zh-CN"/>
                    </w:rPr>
                    <w:t>、应急泵</w:t>
                  </w:r>
                  <w:r>
                    <w:rPr>
                      <w:rFonts w:hint="eastAsia" w:ascii="Times New Roman" w:hAnsi="Times New Roman" w:eastAsia="仿宋_GB2312" w:cs="Times New Roman"/>
                      <w:snapToGrid w:val="0"/>
                      <w:kern w:val="0"/>
                      <w:sz w:val="21"/>
                      <w:szCs w:val="21"/>
                      <w:lang w:val="en-US" w:eastAsia="zh-CN"/>
                    </w:rPr>
                    <w:t>）等；5.确保储罐不会满负荷暂存，其内部留有一定的空间；6.定期检查，关注罐体是否出现腐蚀现象，检查阀门、管道及接头处的密封性；检查罐体是否变形或倾斜；7.已在储罐附近张贴安全警示标志及化学品技术说明书；8.已建立巡检制度，定期安排专人对应急防护设施、照明设施、监控设施等进行检查；负责储罐检查维护的人员必须接受专业的安全培训，了解</w:t>
                  </w:r>
                  <w:r>
                    <w:rPr>
                      <w:rFonts w:hint="eastAsia" w:eastAsia="仿宋_GB2312" w:cs="Times New Roman"/>
                      <w:snapToGrid w:val="0"/>
                      <w:kern w:val="0"/>
                      <w:sz w:val="21"/>
                      <w:szCs w:val="21"/>
                      <w:lang w:val="en-US" w:eastAsia="zh-CN"/>
                    </w:rPr>
                    <w:t>化学品</w:t>
                  </w:r>
                  <w:r>
                    <w:rPr>
                      <w:rFonts w:hint="eastAsia" w:ascii="Times New Roman" w:hAnsi="Times New Roman" w:eastAsia="仿宋_GB2312" w:cs="Times New Roman"/>
                      <w:snapToGrid w:val="0"/>
                      <w:kern w:val="0"/>
                      <w:sz w:val="21"/>
                      <w:szCs w:val="21"/>
                      <w:lang w:val="en-US" w:eastAsia="zh-CN"/>
                    </w:rPr>
                    <w:t>的性质、危害及应急处理方法，做好自我防护，确保安全无事故。</w:t>
                  </w:r>
                </w:p>
              </w:tc>
              <w:tc>
                <w:tcPr>
                  <w:tcW w:w="875" w:type="dxa"/>
                  <w:tcBorders>
                    <w:tl2br w:val="nil"/>
                    <w:tr2bl w:val="nil"/>
                  </w:tcBorders>
                  <w:vAlign w:val="center"/>
                </w:tcPr>
                <w:p w14:paraId="271287DC">
                  <w:pPr>
                    <w:widowControl/>
                    <w:adjustRightInd w:val="0"/>
                    <w:snapToGrid w:val="0"/>
                    <w:jc w:val="center"/>
                    <w:rPr>
                      <w:rFonts w:hint="default" w:ascii="Times New Roman" w:hAnsi="Times New Roman" w:eastAsia="仿宋_GB2312" w:cs="Times New Roman"/>
                      <w:snapToGrid w:val="0"/>
                      <w:kern w:val="0"/>
                      <w:sz w:val="21"/>
                      <w:szCs w:val="21"/>
                      <w:lang w:val="en-US" w:eastAsia="zh-CN"/>
                    </w:rPr>
                  </w:pPr>
                  <w:r>
                    <w:rPr>
                      <w:rFonts w:hint="eastAsia" w:eastAsia="仿宋_GB2312" w:cs="Times New Roman"/>
                      <w:snapToGrid w:val="0"/>
                      <w:kern w:val="0"/>
                      <w:sz w:val="21"/>
                      <w:szCs w:val="21"/>
                      <w:lang w:val="en-US" w:eastAsia="zh-CN"/>
                    </w:rPr>
                    <w:t>新增</w:t>
                  </w:r>
                </w:p>
              </w:tc>
            </w:tr>
            <w:tr w14:paraId="1452AC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72" w:type="dxa"/>
                  <w:tcBorders>
                    <w:tl2br w:val="nil"/>
                    <w:tr2bl w:val="nil"/>
                  </w:tcBorders>
                  <w:shd w:val="clear" w:color="auto" w:fill="auto"/>
                  <w:vAlign w:val="center"/>
                </w:tcPr>
                <w:p w14:paraId="4A377FE4">
                  <w:pPr>
                    <w:widowControl/>
                    <w:adjustRightInd w:val="0"/>
                    <w:snapToGrid w:val="0"/>
                    <w:jc w:val="center"/>
                    <w:rPr>
                      <w:rFonts w:hint="eastAsia" w:eastAsia="仿宋_GB2312" w:cs="Times New Roman"/>
                      <w:snapToGrid w:val="0"/>
                      <w:kern w:val="0"/>
                      <w:sz w:val="21"/>
                      <w:szCs w:val="21"/>
                      <w:lang w:val="en-US" w:eastAsia="zh-CN"/>
                    </w:rPr>
                  </w:pPr>
                  <w:r>
                    <w:rPr>
                      <w:rFonts w:hint="eastAsia" w:ascii="Times New Roman" w:hAnsi="Times New Roman" w:eastAsia="仿宋_GB2312" w:cs="Times New Roman"/>
                      <w:snapToGrid w:val="0"/>
                      <w:kern w:val="0"/>
                      <w:sz w:val="21"/>
                      <w:szCs w:val="21"/>
                      <w:lang w:val="en-US" w:eastAsia="zh-CN"/>
                    </w:rPr>
                    <w:t>污水处理</w:t>
                  </w:r>
                  <w:r>
                    <w:rPr>
                      <w:rFonts w:hint="eastAsia" w:eastAsia="仿宋_GB2312" w:cs="Times New Roman"/>
                      <w:snapToGrid w:val="0"/>
                      <w:kern w:val="0"/>
                      <w:sz w:val="21"/>
                      <w:szCs w:val="21"/>
                      <w:lang w:val="en-US" w:eastAsia="zh-CN"/>
                    </w:rPr>
                    <w:t>系统</w:t>
                  </w:r>
                </w:p>
                <w:p w14:paraId="76DA58C1">
                  <w:pPr>
                    <w:widowControl/>
                    <w:adjustRightInd w:val="0"/>
                    <w:snapToGrid w:val="0"/>
                    <w:jc w:val="center"/>
                    <w:rPr>
                      <w:rFonts w:hint="default" w:eastAsia="仿宋_GB2312" w:cs="Times New Roman"/>
                      <w:snapToGrid w:val="0"/>
                      <w:kern w:val="0"/>
                      <w:sz w:val="21"/>
                      <w:szCs w:val="21"/>
                      <w:lang w:val="en-US" w:eastAsia="zh-CN"/>
                    </w:rPr>
                  </w:pPr>
                  <w:r>
                    <w:rPr>
                      <w:rFonts w:hint="eastAsia" w:eastAsia="仿宋_GB2312" w:cs="Times New Roman"/>
                      <w:snapToGrid w:val="0"/>
                      <w:kern w:val="0"/>
                      <w:sz w:val="21"/>
                      <w:szCs w:val="21"/>
                      <w:lang w:val="en-US" w:eastAsia="zh-CN"/>
                    </w:rPr>
                    <w:t>（泛水池3000m</w:t>
                  </w:r>
                  <w:r>
                    <w:rPr>
                      <w:rFonts w:hint="eastAsia" w:eastAsia="仿宋_GB2312" w:cs="Times New Roman"/>
                      <w:snapToGrid w:val="0"/>
                      <w:kern w:val="0"/>
                      <w:sz w:val="21"/>
                      <w:szCs w:val="21"/>
                      <w:vertAlign w:val="superscript"/>
                      <w:lang w:val="en-US" w:eastAsia="zh-CN"/>
                    </w:rPr>
                    <w:t>3</w:t>
                  </w:r>
                  <w:r>
                    <w:rPr>
                      <w:rFonts w:hint="eastAsia" w:eastAsia="仿宋_GB2312" w:cs="Times New Roman"/>
                      <w:snapToGrid w:val="0"/>
                      <w:kern w:val="0"/>
                      <w:sz w:val="21"/>
                      <w:szCs w:val="21"/>
                      <w:lang w:val="en-US" w:eastAsia="zh-CN"/>
                    </w:rPr>
                    <w:t>）</w:t>
                  </w:r>
                </w:p>
              </w:tc>
              <w:tc>
                <w:tcPr>
                  <w:tcW w:w="5675" w:type="dxa"/>
                  <w:tcBorders>
                    <w:tl2br w:val="nil"/>
                    <w:tr2bl w:val="nil"/>
                  </w:tcBorders>
                  <w:shd w:val="clear" w:color="auto" w:fill="auto"/>
                  <w:vAlign w:val="center"/>
                </w:tcPr>
                <w:p w14:paraId="27C8BEEF">
                  <w:pPr>
                    <w:widowControl/>
                    <w:adjustRightInd w:val="0"/>
                    <w:snapToGrid w:val="0"/>
                    <w:jc w:val="center"/>
                    <w:rPr>
                      <w:rFonts w:hint="eastAsia" w:ascii="Times New Roman" w:hAnsi="Times New Roman" w:eastAsia="仿宋_GB2312" w:cs="Times New Roman"/>
                      <w:snapToGrid w:val="0"/>
                      <w:kern w:val="0"/>
                      <w:sz w:val="21"/>
                      <w:szCs w:val="21"/>
                      <w:lang w:val="en-US" w:eastAsia="zh-CN" w:bidi="ar-SA"/>
                    </w:rPr>
                  </w:pPr>
                  <w:r>
                    <w:rPr>
                      <w:rFonts w:hint="eastAsia" w:ascii="Times New Roman" w:hAnsi="Times New Roman" w:eastAsia="仿宋_GB2312" w:cs="Times New Roman"/>
                      <w:snapToGrid w:val="0"/>
                      <w:kern w:val="0"/>
                      <w:sz w:val="21"/>
                      <w:szCs w:val="21"/>
                      <w:lang w:val="en-US" w:eastAsia="zh-CN"/>
                    </w:rPr>
                    <w:t>1.已设置切断阀；2.污水输送管道采用耐腐蚀材料，定期检查维护确保管道连接处的密封性；3.污水收集池采用混凝土浇筑，并已采取防腐蚀、防渗漏措施；4.已建立巡检制度，定期安排专人检查</w:t>
                  </w:r>
                  <w:r>
                    <w:rPr>
                      <w:rFonts w:hint="eastAsia" w:eastAsia="仿宋_GB2312" w:cs="Times New Roman"/>
                      <w:snapToGrid w:val="0"/>
                      <w:kern w:val="0"/>
                      <w:sz w:val="21"/>
                      <w:szCs w:val="21"/>
                      <w:lang w:val="en-US" w:eastAsia="zh-CN"/>
                    </w:rPr>
                    <w:t>泛水池的</w:t>
                  </w:r>
                  <w:r>
                    <w:rPr>
                      <w:rFonts w:hint="eastAsia" w:ascii="Times New Roman" w:hAnsi="Times New Roman" w:eastAsia="仿宋_GB2312" w:cs="Times New Roman"/>
                      <w:snapToGrid w:val="0"/>
                      <w:kern w:val="0"/>
                      <w:sz w:val="21"/>
                      <w:szCs w:val="21"/>
                      <w:lang w:val="en-US" w:eastAsia="zh-CN"/>
                    </w:rPr>
                    <w:t>满溢情况，以及污水输送管道及污水池的渗漏情况等。</w:t>
                  </w:r>
                </w:p>
              </w:tc>
              <w:tc>
                <w:tcPr>
                  <w:tcW w:w="875" w:type="dxa"/>
                  <w:tcBorders>
                    <w:tl2br w:val="nil"/>
                    <w:tr2bl w:val="nil"/>
                  </w:tcBorders>
                  <w:shd w:val="clear" w:color="auto" w:fill="auto"/>
                  <w:vAlign w:val="center"/>
                </w:tcPr>
                <w:p w14:paraId="3B30F57B">
                  <w:pPr>
                    <w:widowControl/>
                    <w:adjustRightInd w:val="0"/>
                    <w:snapToGrid w:val="0"/>
                    <w:jc w:val="center"/>
                    <w:rPr>
                      <w:rFonts w:hint="eastAsia" w:ascii="Times New Roman" w:hAnsi="Times New Roman" w:eastAsia="仿宋_GB2312" w:cs="Times New Roman"/>
                      <w:snapToGrid w:val="0"/>
                      <w:kern w:val="0"/>
                      <w:sz w:val="21"/>
                      <w:szCs w:val="21"/>
                      <w:lang w:val="en-US" w:eastAsia="zh-CN" w:bidi="ar-SA"/>
                    </w:rPr>
                  </w:pPr>
                  <w:r>
                    <w:rPr>
                      <w:rFonts w:hint="eastAsia" w:ascii="Times New Roman" w:hAnsi="Times New Roman" w:eastAsia="仿宋_GB2312" w:cs="Times New Roman"/>
                      <w:snapToGrid w:val="0"/>
                      <w:kern w:val="0"/>
                      <w:sz w:val="21"/>
                      <w:szCs w:val="21"/>
                      <w:lang w:val="en-US" w:eastAsia="zh-CN"/>
                    </w:rPr>
                    <w:t>可依托</w:t>
                  </w:r>
                </w:p>
              </w:tc>
            </w:tr>
            <w:tr w14:paraId="70C4C6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72" w:type="dxa"/>
                  <w:tcBorders>
                    <w:tl2br w:val="nil"/>
                    <w:tr2bl w:val="nil"/>
                  </w:tcBorders>
                  <w:shd w:val="clear" w:color="auto" w:fill="auto"/>
                  <w:vAlign w:val="center"/>
                </w:tcPr>
                <w:p w14:paraId="03D86BBA">
                  <w:pPr>
                    <w:widowControl/>
                    <w:adjustRightInd w:val="0"/>
                    <w:snapToGrid w:val="0"/>
                    <w:jc w:val="center"/>
                    <w:rPr>
                      <w:rFonts w:hint="eastAsia" w:ascii="Times New Roman" w:hAnsi="Times New Roman" w:eastAsia="仿宋_GB2312" w:cs="Times New Roman"/>
                      <w:snapToGrid w:val="0"/>
                      <w:kern w:val="0"/>
                      <w:sz w:val="21"/>
                      <w:szCs w:val="21"/>
                      <w:lang w:val="en-US" w:eastAsia="zh-CN" w:bidi="ar-SA"/>
                    </w:rPr>
                  </w:pPr>
                  <w:r>
                    <w:rPr>
                      <w:rFonts w:hint="eastAsia" w:ascii="Times New Roman" w:hAnsi="Times New Roman" w:eastAsia="仿宋_GB2312" w:cs="Times New Roman"/>
                      <w:snapToGrid w:val="0"/>
                      <w:kern w:val="0"/>
                      <w:sz w:val="21"/>
                      <w:szCs w:val="21"/>
                      <w:lang w:val="en-US" w:eastAsia="zh-CN"/>
                    </w:rPr>
                    <w:t>环境风险应急</w:t>
                  </w:r>
                </w:p>
              </w:tc>
              <w:tc>
                <w:tcPr>
                  <w:tcW w:w="5675" w:type="dxa"/>
                  <w:tcBorders>
                    <w:tl2br w:val="nil"/>
                    <w:tr2bl w:val="nil"/>
                  </w:tcBorders>
                  <w:shd w:val="clear" w:color="auto" w:fill="auto"/>
                  <w:vAlign w:val="center"/>
                </w:tcPr>
                <w:p w14:paraId="799B8662">
                  <w:pPr>
                    <w:widowControl/>
                    <w:adjustRightInd w:val="0"/>
                    <w:snapToGrid w:val="0"/>
                    <w:jc w:val="center"/>
                    <w:rPr>
                      <w:rFonts w:hint="eastAsia" w:ascii="Times New Roman" w:hAnsi="Times New Roman" w:eastAsia="仿宋_GB2312" w:cs="Times New Roman"/>
                      <w:snapToGrid w:val="0"/>
                      <w:kern w:val="0"/>
                      <w:sz w:val="21"/>
                      <w:szCs w:val="21"/>
                      <w:lang w:val="en-US" w:eastAsia="zh-CN" w:bidi="ar-SA"/>
                    </w:rPr>
                  </w:pPr>
                  <w:r>
                    <w:rPr>
                      <w:rFonts w:hint="eastAsia" w:ascii="Times New Roman" w:hAnsi="Times New Roman" w:eastAsia="仿宋_GB2312" w:cs="Times New Roman"/>
                      <w:snapToGrid w:val="0"/>
                      <w:kern w:val="0"/>
                      <w:sz w:val="21"/>
                      <w:szCs w:val="21"/>
                      <w:lang w:val="en-US" w:eastAsia="zh-CN"/>
                    </w:rPr>
                    <w:t>1.已编制突发环境事件应急预案并获得备案；2.已成立应急指挥部及应急救援队伍，已明确其主要职责；3.已开展应急演练，演练内容包括突发事件的应急处置、通信及报警信号的联络、急救及医疗、人员疏散及撤离等；4.已配备应急物资并定期进行检查和补充；5.已与邻近</w:t>
                  </w:r>
                  <w:r>
                    <w:rPr>
                      <w:rFonts w:hint="eastAsia" w:eastAsia="仿宋_GB2312" w:cs="Times New Roman"/>
                      <w:snapToGrid w:val="0"/>
                      <w:kern w:val="0"/>
                      <w:sz w:val="21"/>
                      <w:szCs w:val="21"/>
                      <w:lang w:val="en-US" w:eastAsia="zh-CN"/>
                    </w:rPr>
                    <w:t>单位</w:t>
                  </w:r>
                  <w:r>
                    <w:rPr>
                      <w:rFonts w:hint="eastAsia" w:ascii="Times New Roman" w:hAnsi="Times New Roman" w:eastAsia="仿宋_GB2312" w:cs="Times New Roman"/>
                      <w:snapToGrid w:val="0"/>
                      <w:kern w:val="0"/>
                      <w:sz w:val="21"/>
                      <w:szCs w:val="21"/>
                      <w:lang w:val="en-US" w:eastAsia="zh-CN"/>
                    </w:rPr>
                    <w:t>签订了互助协议；6.已制定火灾爆炸事故、物料泄漏、废气事故排放等各项突发环境事件现场处置预案，可有效处理突发环境事件；7.已定期开展应急响应培训，应急人员熟悉应急处理流程；8.已设置 3</w:t>
                  </w:r>
                  <w:r>
                    <w:rPr>
                      <w:rFonts w:hint="eastAsia" w:eastAsia="仿宋_GB2312" w:cs="Times New Roman"/>
                      <w:snapToGrid w:val="0"/>
                      <w:kern w:val="0"/>
                      <w:sz w:val="21"/>
                      <w:szCs w:val="21"/>
                      <w:lang w:val="en-US" w:eastAsia="zh-CN"/>
                    </w:rPr>
                    <w:t>00</w:t>
                  </w:r>
                  <w:r>
                    <w:rPr>
                      <w:rFonts w:hint="eastAsia" w:ascii="Times New Roman" w:hAnsi="Times New Roman" w:eastAsia="仿宋_GB2312" w:cs="Times New Roman"/>
                      <w:snapToGrid w:val="0"/>
                      <w:kern w:val="0"/>
                      <w:sz w:val="21"/>
                      <w:szCs w:val="21"/>
                      <w:lang w:val="en-US" w:eastAsia="zh-CN"/>
                    </w:rPr>
                    <w:t>0m</w:t>
                  </w:r>
                  <w:r>
                    <w:rPr>
                      <w:rFonts w:hint="eastAsia" w:ascii="Times New Roman" w:hAnsi="Times New Roman" w:eastAsia="仿宋_GB2312" w:cs="Times New Roman"/>
                      <w:snapToGrid w:val="0"/>
                      <w:kern w:val="0"/>
                      <w:sz w:val="21"/>
                      <w:szCs w:val="21"/>
                      <w:vertAlign w:val="superscript"/>
                      <w:lang w:val="en-US" w:eastAsia="zh-CN"/>
                    </w:rPr>
                    <w:t>3</w:t>
                  </w:r>
                  <w:r>
                    <w:rPr>
                      <w:rFonts w:hint="eastAsia" w:ascii="Times New Roman" w:hAnsi="Times New Roman" w:eastAsia="仿宋_GB2312" w:cs="Times New Roman"/>
                      <w:snapToGrid w:val="0"/>
                      <w:kern w:val="0"/>
                      <w:sz w:val="21"/>
                      <w:szCs w:val="21"/>
                      <w:lang w:val="en-US" w:eastAsia="zh-CN"/>
                    </w:rPr>
                    <w:t>应急事故池用于应急处置等。</w:t>
                  </w:r>
                </w:p>
              </w:tc>
              <w:tc>
                <w:tcPr>
                  <w:tcW w:w="875" w:type="dxa"/>
                  <w:tcBorders>
                    <w:tl2br w:val="nil"/>
                    <w:tr2bl w:val="nil"/>
                  </w:tcBorders>
                  <w:shd w:val="clear" w:color="auto" w:fill="auto"/>
                  <w:vAlign w:val="center"/>
                </w:tcPr>
                <w:p w14:paraId="4866F4A6">
                  <w:pPr>
                    <w:widowControl/>
                    <w:adjustRightInd w:val="0"/>
                    <w:snapToGrid w:val="0"/>
                    <w:jc w:val="center"/>
                    <w:rPr>
                      <w:rFonts w:hint="eastAsia" w:ascii="Times New Roman" w:hAnsi="Times New Roman" w:eastAsia="仿宋_GB2312" w:cs="Times New Roman"/>
                      <w:snapToGrid w:val="0"/>
                      <w:kern w:val="0"/>
                      <w:sz w:val="21"/>
                      <w:szCs w:val="21"/>
                      <w:lang w:val="en-US" w:eastAsia="zh-CN" w:bidi="ar-SA"/>
                    </w:rPr>
                  </w:pPr>
                  <w:r>
                    <w:rPr>
                      <w:rFonts w:hint="eastAsia" w:ascii="Times New Roman" w:hAnsi="Times New Roman" w:eastAsia="仿宋_GB2312" w:cs="Times New Roman"/>
                      <w:snapToGrid w:val="0"/>
                      <w:kern w:val="0"/>
                      <w:sz w:val="21"/>
                      <w:szCs w:val="21"/>
                      <w:lang w:val="en-US" w:eastAsia="zh-CN"/>
                    </w:rPr>
                    <w:t xml:space="preserve">可依托 </w:t>
                  </w:r>
                </w:p>
              </w:tc>
            </w:tr>
          </w:tbl>
          <w:p w14:paraId="717CD652">
            <w:pPr>
              <w:pStyle w:val="50"/>
              <w:keepNext w:val="0"/>
              <w:keepLines w:val="0"/>
              <w:pageBreakBefore w:val="0"/>
              <w:widowControl/>
              <w:kinsoku/>
              <w:wordWrap/>
              <w:overflowPunct/>
              <w:topLinePunct w:val="0"/>
              <w:autoSpaceDE/>
              <w:autoSpaceDN/>
              <w:bidi w:val="0"/>
              <w:adjustRightInd/>
              <w:snapToGrid/>
              <w:spacing w:line="360" w:lineRule="auto"/>
              <w:ind w:firstLine="480"/>
              <w:jc w:val="both"/>
              <w:textAlignment w:val="auto"/>
              <w:rPr>
                <w:rFonts w:hint="default" w:ascii="Times New Roman" w:hAnsi="Times New Roman" w:eastAsia="仿宋_GB2312" w:cs="Times New Roman"/>
                <w:b/>
                <w:bCs/>
                <w:szCs w:val="24"/>
                <w:lang w:val="en-US" w:eastAsia="zh-CN"/>
              </w:rPr>
            </w:pPr>
            <w:r>
              <w:rPr>
                <w:rFonts w:hint="eastAsia" w:ascii="Times New Roman" w:hAnsi="Times New Roman" w:eastAsia="仿宋_GB2312" w:cs="Times New Roman"/>
                <w:b/>
                <w:bCs/>
                <w:szCs w:val="24"/>
                <w:lang w:val="en-US" w:eastAsia="zh-CN"/>
              </w:rPr>
              <w:t>（4）</w:t>
            </w:r>
            <w:r>
              <w:rPr>
                <w:rFonts w:hint="default" w:ascii="Times New Roman" w:hAnsi="Times New Roman" w:eastAsia="仿宋_GB2312" w:cs="Times New Roman"/>
                <w:b/>
                <w:bCs/>
                <w:szCs w:val="24"/>
                <w:lang w:val="en-US" w:eastAsia="zh-CN"/>
              </w:rPr>
              <w:t>与园区风险防范体系的衔接</w:t>
            </w:r>
          </w:p>
          <w:p w14:paraId="2EBA1D41">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仿宋_GB2312" w:cs="Times New Roman"/>
                <w:kern w:val="2"/>
                <w:sz w:val="21"/>
                <w:szCs w:val="24"/>
                <w:lang w:val="en-US" w:eastAsia="zh-CN" w:bidi="ar-SA"/>
              </w:rPr>
            </w:pPr>
            <w:r>
              <w:rPr>
                <w:rFonts w:hint="default" w:ascii="Times New Roman" w:hAnsi="Times New Roman" w:eastAsia="仿宋_GB2312" w:cs="Times New Roman"/>
                <w:kern w:val="2"/>
                <w:sz w:val="21"/>
                <w:szCs w:val="24"/>
                <w:lang w:val="en-US" w:eastAsia="zh-CN" w:bidi="ar-SA"/>
              </w:rPr>
              <w:t>1）建立“企业-园区-政府”三级联动机制：</w:t>
            </w:r>
          </w:p>
          <w:p w14:paraId="48EB2130">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仿宋_GB2312" w:cs="Times New Roman"/>
                <w:kern w:val="2"/>
                <w:sz w:val="21"/>
                <w:szCs w:val="24"/>
                <w:lang w:val="en-US" w:eastAsia="zh-CN" w:bidi="ar-SA"/>
              </w:rPr>
            </w:pPr>
            <w:r>
              <w:rPr>
                <w:rFonts w:hint="default" w:ascii="Times New Roman" w:hAnsi="Times New Roman" w:eastAsia="仿宋_GB2312" w:cs="Times New Roman"/>
                <w:kern w:val="2"/>
                <w:sz w:val="21"/>
                <w:szCs w:val="24"/>
                <w:lang w:val="en-US" w:eastAsia="zh-CN" w:bidi="ar-SA"/>
              </w:rPr>
              <w:t>企业：负责第一时间发现并控制事故，启动企业内部应急预案，进行初步处置。</w:t>
            </w:r>
          </w:p>
          <w:p w14:paraId="6963BB23">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仿宋_GB2312" w:cs="Times New Roman"/>
                <w:kern w:val="2"/>
                <w:sz w:val="21"/>
                <w:szCs w:val="24"/>
                <w:lang w:val="en-US" w:eastAsia="zh-CN" w:bidi="ar-SA"/>
              </w:rPr>
            </w:pPr>
            <w:r>
              <w:rPr>
                <w:rFonts w:hint="default" w:ascii="Times New Roman" w:hAnsi="Times New Roman" w:eastAsia="仿宋_GB2312" w:cs="Times New Roman"/>
                <w:kern w:val="2"/>
                <w:sz w:val="21"/>
                <w:szCs w:val="24"/>
                <w:lang w:val="en-US" w:eastAsia="zh-CN" w:bidi="ar-SA"/>
              </w:rPr>
              <w:t>园区：负责调配园区级应急资源（如消防车辆、危险品处置队伍），并与周边企业联防联控。</w:t>
            </w:r>
          </w:p>
          <w:p w14:paraId="4A6A3711">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仿宋_GB2312" w:cs="Times New Roman"/>
                <w:kern w:val="2"/>
                <w:sz w:val="21"/>
                <w:szCs w:val="24"/>
                <w:lang w:val="en-US" w:eastAsia="zh-CN" w:bidi="ar-SA"/>
              </w:rPr>
            </w:pPr>
            <w:r>
              <w:rPr>
                <w:rFonts w:hint="default" w:ascii="Times New Roman" w:hAnsi="Times New Roman" w:eastAsia="仿宋_GB2312" w:cs="Times New Roman"/>
                <w:kern w:val="2"/>
                <w:sz w:val="21"/>
                <w:szCs w:val="24"/>
                <w:lang w:val="en-US" w:eastAsia="zh-CN" w:bidi="ar-SA"/>
              </w:rPr>
              <w:t>政府：负责启动公共资源（如武警、消防支队、医疗救援），发布预警信息。</w:t>
            </w:r>
          </w:p>
          <w:p w14:paraId="12786881">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仿宋_GB2312" w:cs="Times New Roman"/>
                <w:kern w:val="2"/>
                <w:sz w:val="21"/>
                <w:szCs w:val="24"/>
                <w:lang w:val="en-US" w:eastAsia="zh-CN" w:bidi="ar-SA"/>
              </w:rPr>
            </w:pPr>
            <w:r>
              <w:rPr>
                <w:rFonts w:hint="default" w:ascii="Times New Roman" w:hAnsi="Times New Roman" w:eastAsia="仿宋_GB2312" w:cs="Times New Roman"/>
                <w:kern w:val="2"/>
                <w:sz w:val="21"/>
                <w:szCs w:val="24"/>
                <w:lang w:val="en-US" w:eastAsia="zh-CN" w:bidi="ar-SA"/>
              </w:rPr>
              <w:t>2）在项目投入运营后，从以下几个方面做好项目应急预案和园区风险防范体系的衔接及应急响应联动。</w:t>
            </w:r>
          </w:p>
          <w:p w14:paraId="06FFBC11">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仿宋_GB2312" w:cs="Times New Roman"/>
                <w:kern w:val="2"/>
                <w:sz w:val="21"/>
                <w:szCs w:val="24"/>
                <w:lang w:val="en-US" w:eastAsia="zh-CN" w:bidi="ar-SA"/>
              </w:rPr>
            </w:pPr>
            <w:r>
              <w:rPr>
                <w:rFonts w:hint="default" w:ascii="Times New Roman" w:hAnsi="Times New Roman" w:eastAsia="仿宋_GB2312" w:cs="Times New Roman"/>
                <w:kern w:val="2"/>
                <w:sz w:val="21"/>
                <w:szCs w:val="24"/>
                <w:lang w:val="en-US" w:eastAsia="zh-CN" w:bidi="ar-SA"/>
              </w:rPr>
              <w:t>①应急组织指挥体系的衔接</w:t>
            </w:r>
          </w:p>
          <w:p w14:paraId="3E536D6E">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仿宋_GB2312" w:cs="Times New Roman"/>
                <w:kern w:val="2"/>
                <w:sz w:val="21"/>
                <w:szCs w:val="24"/>
                <w:lang w:val="en-US" w:eastAsia="zh-CN" w:bidi="ar-SA"/>
              </w:rPr>
            </w:pPr>
            <w:r>
              <w:rPr>
                <w:rFonts w:hint="default" w:ascii="Times New Roman" w:hAnsi="Times New Roman" w:eastAsia="仿宋_GB2312" w:cs="Times New Roman"/>
                <w:kern w:val="2"/>
                <w:sz w:val="21"/>
                <w:szCs w:val="24"/>
                <w:lang w:val="en-US" w:eastAsia="zh-CN" w:bidi="ar-SA"/>
              </w:rPr>
              <w:t>在应急预案体系中，企业指挥体系应考虑与园区指挥体系形成衔接，企业应急预案中应增加园区相关部门及其负责人的联系方式，以便及时联系。同时，园区也应建立突发环境事件时可提供救援装备的企业单位负责人员及其联系方式。在突发环境事件发生时，方便园区和企业应急指挥机构衔接，统一进行指挥调度。</w:t>
            </w:r>
          </w:p>
          <w:p w14:paraId="43CA6700">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仿宋_GB2312" w:cs="Times New Roman"/>
                <w:kern w:val="2"/>
                <w:sz w:val="21"/>
                <w:szCs w:val="24"/>
                <w:lang w:val="en-US" w:eastAsia="zh-CN" w:bidi="ar-SA"/>
              </w:rPr>
            </w:pPr>
            <w:r>
              <w:rPr>
                <w:rFonts w:hint="default" w:ascii="Times New Roman" w:hAnsi="Times New Roman" w:eastAsia="仿宋_GB2312" w:cs="Times New Roman"/>
                <w:kern w:val="2"/>
                <w:sz w:val="21"/>
                <w:szCs w:val="24"/>
                <w:lang w:val="en-US" w:eastAsia="zh-CN" w:bidi="ar-SA"/>
              </w:rPr>
              <w:t>②应急资源和装备的衔接</w:t>
            </w:r>
          </w:p>
          <w:p w14:paraId="75AE46B5">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仿宋_GB2312" w:cs="Times New Roman"/>
                <w:kern w:val="2"/>
                <w:sz w:val="21"/>
                <w:szCs w:val="24"/>
                <w:lang w:val="en-US" w:eastAsia="zh-CN" w:bidi="ar-SA"/>
              </w:rPr>
            </w:pPr>
            <w:r>
              <w:rPr>
                <w:rFonts w:hint="default" w:ascii="Times New Roman" w:hAnsi="Times New Roman" w:eastAsia="仿宋_GB2312" w:cs="Times New Roman"/>
                <w:kern w:val="2"/>
                <w:sz w:val="21"/>
                <w:szCs w:val="24"/>
                <w:lang w:val="en-US" w:eastAsia="zh-CN" w:bidi="ar-SA"/>
              </w:rPr>
              <w:t>园区和企业在应急资源和装备等的调度与配置方面形成有效的衔接。园区应急指挥机构应当掌握企业具备的应急资源和装备，并有权在突发环境事件发生后，对其进行组 织调度与配置。</w:t>
            </w:r>
          </w:p>
          <w:p w14:paraId="7D18B7D2">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仿宋_GB2312" w:cs="Times New Roman"/>
                <w:kern w:val="2"/>
                <w:sz w:val="21"/>
                <w:szCs w:val="24"/>
                <w:lang w:val="en-US" w:eastAsia="zh-CN" w:bidi="ar-SA"/>
              </w:rPr>
            </w:pPr>
            <w:r>
              <w:rPr>
                <w:rFonts w:hint="default" w:ascii="Times New Roman" w:hAnsi="Times New Roman" w:eastAsia="仿宋_GB2312" w:cs="Times New Roman"/>
                <w:kern w:val="2"/>
                <w:sz w:val="21"/>
                <w:szCs w:val="24"/>
                <w:lang w:val="en-US" w:eastAsia="zh-CN" w:bidi="ar-SA"/>
              </w:rPr>
              <w:t>③应急救援队伍的衔接</w:t>
            </w:r>
          </w:p>
          <w:p w14:paraId="4BA2CF7A">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仿宋_GB2312" w:cs="Times New Roman"/>
                <w:kern w:val="2"/>
                <w:sz w:val="21"/>
                <w:szCs w:val="24"/>
                <w:lang w:val="en-US" w:eastAsia="zh-CN" w:bidi="ar-SA"/>
              </w:rPr>
            </w:pPr>
            <w:r>
              <w:rPr>
                <w:rFonts w:hint="default" w:ascii="Times New Roman" w:hAnsi="Times New Roman" w:eastAsia="仿宋_GB2312" w:cs="Times New Roman"/>
                <w:kern w:val="2"/>
                <w:sz w:val="21"/>
                <w:szCs w:val="24"/>
                <w:lang w:val="en-US" w:eastAsia="zh-CN" w:bidi="ar-SA"/>
              </w:rPr>
              <w:t>园区和企业在应急救援队伍方面形成衔接。园区应负责检查并掌握企业应急救援队伍的建设、培训和演练情况。同时园区应当提出规划，确保园区救援队伍符合园区的风险特点。</w:t>
            </w:r>
          </w:p>
          <w:p w14:paraId="0A700970">
            <w:pPr>
              <w:pStyle w:val="50"/>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仿宋_GB2312" w:cs="Times New Roman"/>
                <w:kern w:val="2"/>
                <w:sz w:val="21"/>
                <w:szCs w:val="24"/>
                <w:lang w:val="en-US" w:eastAsia="zh-CN" w:bidi="ar-SA"/>
              </w:rPr>
            </w:pPr>
            <w:r>
              <w:rPr>
                <w:rFonts w:hint="default" w:ascii="Times New Roman" w:hAnsi="Times New Roman" w:eastAsia="仿宋_GB2312" w:cs="Times New Roman"/>
                <w:kern w:val="2"/>
                <w:sz w:val="21"/>
                <w:szCs w:val="24"/>
                <w:lang w:val="en-US" w:eastAsia="zh-CN" w:bidi="ar-SA"/>
              </w:rPr>
              <w:t xml:space="preserve">④应急措施的衔接 </w:t>
            </w:r>
          </w:p>
          <w:p w14:paraId="163A1932">
            <w:pPr>
              <w:pStyle w:val="50"/>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仿宋_GB2312" w:cs="Times New Roman"/>
                <w:kern w:val="2"/>
                <w:sz w:val="21"/>
                <w:szCs w:val="24"/>
                <w:lang w:val="en-US" w:eastAsia="zh-CN" w:bidi="ar-SA"/>
              </w:rPr>
            </w:pPr>
            <w:r>
              <w:rPr>
                <w:rFonts w:hint="default" w:ascii="Times New Roman" w:hAnsi="Times New Roman" w:eastAsia="仿宋_GB2312" w:cs="Times New Roman"/>
                <w:kern w:val="2"/>
                <w:sz w:val="21"/>
                <w:szCs w:val="24"/>
                <w:lang w:val="en-US" w:eastAsia="zh-CN" w:bidi="ar-SA"/>
              </w:rPr>
              <w:t>项目风险防范措施主要依托园区现有风险防范措施，园区和企业在应急措施方面形成衔接，园区设有专人日常巡检事故废水收集系统，包括事故废水管网、雨污切换阀、事故池、闸阀等，并设有应急办公联系电话，发生事故时保证能够及时联系园区应急管理人员，启动相应的片区级、经开区级、河流级风险防范措施。</w:t>
            </w:r>
          </w:p>
          <w:p w14:paraId="7DA91B1F">
            <w:pPr>
              <w:pStyle w:val="50"/>
              <w:keepNext w:val="0"/>
              <w:keepLines w:val="0"/>
              <w:pageBreakBefore w:val="0"/>
              <w:widowControl/>
              <w:kinsoku/>
              <w:wordWrap/>
              <w:overflowPunct/>
              <w:topLinePunct w:val="0"/>
              <w:autoSpaceDE/>
              <w:autoSpaceDN/>
              <w:bidi w:val="0"/>
              <w:adjustRightInd/>
              <w:snapToGrid/>
              <w:spacing w:line="360" w:lineRule="auto"/>
              <w:ind w:firstLine="480"/>
              <w:jc w:val="both"/>
              <w:textAlignment w:val="auto"/>
              <w:rPr>
                <w:rFonts w:hint="default" w:ascii="Times New Roman" w:hAnsi="Times New Roman" w:eastAsia="仿宋_GB2312" w:cs="Times New Roman"/>
                <w:b/>
                <w:bCs/>
                <w:szCs w:val="24"/>
                <w:lang w:val="en-US" w:eastAsia="zh-CN"/>
              </w:rPr>
            </w:pPr>
            <w:r>
              <w:rPr>
                <w:rFonts w:hint="default" w:ascii="Times New Roman" w:hAnsi="Times New Roman" w:eastAsia="仿宋_GB2312" w:cs="Times New Roman"/>
                <w:b/>
                <w:bCs/>
                <w:szCs w:val="24"/>
                <w:lang w:val="en-US" w:eastAsia="zh-CN"/>
              </w:rPr>
              <w:t>（</w:t>
            </w:r>
            <w:r>
              <w:rPr>
                <w:rFonts w:hint="eastAsia" w:eastAsia="仿宋_GB2312" w:cs="Times New Roman"/>
                <w:b/>
                <w:bCs/>
                <w:szCs w:val="24"/>
                <w:lang w:val="en-US" w:eastAsia="zh-CN"/>
              </w:rPr>
              <w:t>5</w:t>
            </w:r>
            <w:r>
              <w:rPr>
                <w:rFonts w:hint="default" w:ascii="Times New Roman" w:hAnsi="Times New Roman" w:eastAsia="仿宋_GB2312" w:cs="Times New Roman"/>
                <w:b/>
                <w:bCs/>
                <w:szCs w:val="24"/>
                <w:lang w:val="en-US" w:eastAsia="zh-CN"/>
              </w:rPr>
              <w:t xml:space="preserve">）构筑环境风险三级应急防范体系 </w:t>
            </w:r>
          </w:p>
          <w:p w14:paraId="3C0CD847">
            <w:pPr>
              <w:pStyle w:val="50"/>
              <w:keepNext w:val="0"/>
              <w:keepLines w:val="0"/>
              <w:pageBreakBefore w:val="0"/>
              <w:widowControl/>
              <w:kinsoku/>
              <w:wordWrap/>
              <w:overflowPunct/>
              <w:topLinePunct w:val="0"/>
              <w:autoSpaceDE/>
              <w:autoSpaceDN/>
              <w:bidi w:val="0"/>
              <w:adjustRightInd/>
              <w:snapToGrid/>
              <w:spacing w:line="360" w:lineRule="auto"/>
              <w:ind w:firstLine="480"/>
              <w:jc w:val="both"/>
              <w:textAlignment w:val="auto"/>
              <w:rPr>
                <w:rFonts w:hint="default" w:ascii="Times New Roman" w:hAnsi="Times New Roman" w:eastAsia="仿宋_GB2312" w:cs="Times New Roman"/>
                <w:szCs w:val="24"/>
              </w:rPr>
            </w:pPr>
            <w:r>
              <w:rPr>
                <w:rFonts w:hint="default" w:ascii="Times New Roman" w:hAnsi="Times New Roman" w:eastAsia="仿宋_GB2312" w:cs="Times New Roman"/>
                <w:szCs w:val="24"/>
              </w:rPr>
              <w:t>本项目雨水经雨水管网</w:t>
            </w:r>
            <w:r>
              <w:rPr>
                <w:rFonts w:hint="eastAsia" w:ascii="Times New Roman" w:hAnsi="Times New Roman" w:eastAsia="仿宋_GB2312" w:cs="Times New Roman"/>
                <w:szCs w:val="24"/>
                <w:lang w:val="en-US" w:eastAsia="zh-CN"/>
              </w:rPr>
              <w:t>收集后排放至丹金溧漕河</w:t>
            </w:r>
            <w:r>
              <w:rPr>
                <w:rFonts w:hint="default" w:ascii="Times New Roman" w:hAnsi="Times New Roman" w:eastAsia="仿宋_GB2312" w:cs="Times New Roman"/>
                <w:szCs w:val="24"/>
              </w:rPr>
              <w:t>，正常情况下，本项目雨水不会对丹金溧漕河水环境产生影响。当发生事故情况，如突降暴雨，导致</w:t>
            </w:r>
            <w:r>
              <w:rPr>
                <w:rFonts w:hint="eastAsia" w:ascii="Times New Roman" w:hAnsi="Times New Roman" w:eastAsia="仿宋_GB2312" w:cs="Times New Roman"/>
                <w:szCs w:val="24"/>
                <w:lang w:val="en-US" w:eastAsia="zh-CN"/>
              </w:rPr>
              <w:t>消防废水、事故废水等</w:t>
            </w:r>
            <w:r>
              <w:rPr>
                <w:rFonts w:hint="default" w:ascii="Times New Roman" w:hAnsi="Times New Roman" w:eastAsia="仿宋_GB2312" w:cs="Times New Roman"/>
                <w:szCs w:val="24"/>
              </w:rPr>
              <w:t>，随着雨水外泄进入丹金溧漕河，对丹金溧漕河水质产生一定的影响。为了最大程度减低建设项目事故发生时对水环境的影响，对建设项目的事故废水将采取三级拦截措施。</w:t>
            </w:r>
          </w:p>
          <w:p w14:paraId="13E42AFF">
            <w:pPr>
              <w:pStyle w:val="50"/>
              <w:keepNext w:val="0"/>
              <w:keepLines w:val="0"/>
              <w:pageBreakBefore w:val="0"/>
              <w:widowControl/>
              <w:kinsoku/>
              <w:wordWrap/>
              <w:overflowPunct/>
              <w:topLinePunct w:val="0"/>
              <w:autoSpaceDE/>
              <w:autoSpaceDN/>
              <w:bidi w:val="0"/>
              <w:adjustRightInd/>
              <w:snapToGrid/>
              <w:spacing w:line="360" w:lineRule="auto"/>
              <w:ind w:firstLine="480"/>
              <w:jc w:val="both"/>
              <w:textAlignment w:val="auto"/>
              <w:rPr>
                <w:rFonts w:hint="default" w:ascii="Times New Roman" w:hAnsi="Times New Roman" w:eastAsia="仿宋_GB2312" w:cs="Times New Roman"/>
                <w:szCs w:val="24"/>
              </w:rPr>
            </w:pPr>
            <w:r>
              <w:rPr>
                <w:rFonts w:hint="eastAsia" w:ascii="Times New Roman" w:hAnsi="Times New Roman" w:cs="Times New Roman"/>
                <w:szCs w:val="24"/>
                <w:lang w:val="en-US" w:eastAsia="zh-CN"/>
              </w:rPr>
              <w:t>一</w:t>
            </w:r>
            <w:r>
              <w:rPr>
                <w:rFonts w:hint="default" w:ascii="Times New Roman" w:hAnsi="Times New Roman" w:eastAsia="仿宋_GB2312" w:cs="Times New Roman"/>
                <w:szCs w:val="24"/>
              </w:rPr>
              <w:t>级拦截措施:对固废临时堆场地面进行硬化处理。</w:t>
            </w:r>
          </w:p>
          <w:p w14:paraId="4A6787A4">
            <w:pPr>
              <w:pStyle w:val="50"/>
              <w:keepNext w:val="0"/>
              <w:keepLines w:val="0"/>
              <w:pageBreakBefore w:val="0"/>
              <w:widowControl/>
              <w:kinsoku/>
              <w:wordWrap/>
              <w:overflowPunct/>
              <w:topLinePunct w:val="0"/>
              <w:autoSpaceDE/>
              <w:autoSpaceDN/>
              <w:bidi w:val="0"/>
              <w:adjustRightInd/>
              <w:snapToGrid/>
              <w:spacing w:line="360" w:lineRule="auto"/>
              <w:ind w:firstLine="480"/>
              <w:jc w:val="both"/>
              <w:textAlignment w:val="auto"/>
              <w:rPr>
                <w:rFonts w:hint="default" w:ascii="Times New Roman" w:hAnsi="Times New Roman" w:eastAsia="仿宋_GB2312" w:cs="Times New Roman"/>
                <w:szCs w:val="24"/>
              </w:rPr>
            </w:pPr>
            <w:r>
              <w:rPr>
                <w:rFonts w:hint="default" w:ascii="Times New Roman" w:hAnsi="Times New Roman" w:eastAsia="仿宋_GB2312" w:cs="Times New Roman"/>
                <w:szCs w:val="24"/>
              </w:rPr>
              <w:t>二级拦截措施:本项目应设置足够容量的废水事故池用于贮存事故消防废水等。</w:t>
            </w:r>
          </w:p>
          <w:p w14:paraId="38947076">
            <w:pPr>
              <w:keepNext w:val="0"/>
              <w:keepLines w:val="0"/>
              <w:pageBreakBefore w:val="0"/>
              <w:kinsoku/>
              <w:wordWrap/>
              <w:overflowPunct/>
              <w:topLinePunct w:val="0"/>
              <w:bidi w:val="0"/>
              <w:adjustRightInd w:val="0"/>
              <w:snapToGrid w:val="0"/>
              <w:spacing w:line="360" w:lineRule="auto"/>
              <w:ind w:right="0" w:firstLine="420" w:firstLineChars="200"/>
              <w:textAlignment w:val="auto"/>
              <w:rPr>
                <w:rFonts w:eastAsia="仿宋_GB2312"/>
                <w:b/>
              </w:rPr>
            </w:pPr>
            <w:r>
              <w:rPr>
                <w:rFonts w:hint="default" w:ascii="Times New Roman" w:hAnsi="Times New Roman" w:eastAsia="仿宋_GB2312" w:cs="Times New Roman"/>
                <w:szCs w:val="24"/>
              </w:rPr>
              <w:t>三级拦截措施:在厂区内集、排水系统管网中设置排污闸板。事故废水一旦冲出厂界，应及时通报当地政府，对周边河流进行拦截，关闭</w:t>
            </w:r>
            <w:r>
              <w:rPr>
                <w:rFonts w:hint="eastAsia" w:ascii="Times New Roman" w:hAnsi="Times New Roman" w:eastAsia="仿宋_GB2312" w:cs="Times New Roman"/>
                <w:szCs w:val="24"/>
                <w:lang w:val="en-US" w:eastAsia="zh-CN"/>
              </w:rPr>
              <w:t>雨水截止阀</w:t>
            </w:r>
            <w:r>
              <w:rPr>
                <w:rFonts w:hint="default" w:ascii="Times New Roman" w:hAnsi="Times New Roman" w:eastAsia="仿宋_GB2312" w:cs="Times New Roman"/>
                <w:szCs w:val="24"/>
              </w:rPr>
              <w:t>闸口，及时有效控制水污染范围。当公司发生大量泄漏物、消防废水、事故废水进入雨水管网，雨水井阀门故障未正常关闭导致泄漏物外排，可能进入周边河道，污染地表水。为尽量避免对水环境保护目标的污染，事故发生后，公司应采取以下应急措施：雨水排口阀门常闭，出现环境污染事件，可将泄漏物、事故废水控制在厂区范围内将其收集送入污水处理设施进行处理；暴雨时泄漏量较大或消防废水未得到及时的收集，未将污染控制在厂区内时，事故废水进入雨水管网，可能进入</w:t>
            </w:r>
            <w:r>
              <w:rPr>
                <w:rFonts w:hint="eastAsia" w:ascii="Times New Roman" w:hAnsi="Times New Roman" w:eastAsia="仿宋_GB2312" w:cs="Times New Roman"/>
                <w:szCs w:val="24"/>
                <w:lang w:val="en-US" w:eastAsia="zh-CN"/>
              </w:rPr>
              <w:t>丹金溧漕河</w:t>
            </w:r>
            <w:r>
              <w:rPr>
                <w:rFonts w:hint="default" w:ascii="Times New Roman" w:hAnsi="Times New Roman" w:eastAsia="仿宋_GB2312" w:cs="Times New Roman"/>
                <w:szCs w:val="24"/>
              </w:rPr>
              <w:t>。若发生事故废水外排，须及时向当地镇区汇报情况，由相关部门指令停泵拦截应急处置。在政府部门组成的应急中心的指挥下安排应急监测人员对</w:t>
            </w:r>
            <w:r>
              <w:rPr>
                <w:rFonts w:hint="eastAsia" w:ascii="Times New Roman" w:hAnsi="Times New Roman" w:eastAsia="仿宋_GB2312" w:cs="Times New Roman"/>
                <w:szCs w:val="24"/>
                <w:lang w:val="en-US" w:eastAsia="zh-CN"/>
              </w:rPr>
              <w:t>丹金溧漕河</w:t>
            </w:r>
            <w:r>
              <w:rPr>
                <w:rFonts w:hint="default" w:ascii="Times New Roman" w:hAnsi="Times New Roman" w:eastAsia="仿宋_GB2312" w:cs="Times New Roman"/>
                <w:szCs w:val="24"/>
              </w:rPr>
              <w:t>进行监测，应急指挥部根据监测结果进行应急处置。</w:t>
            </w:r>
          </w:p>
          <w:p w14:paraId="75811AA5">
            <w:pPr>
              <w:pStyle w:val="50"/>
              <w:keepNext w:val="0"/>
              <w:keepLines w:val="0"/>
              <w:pageBreakBefore w:val="0"/>
              <w:widowControl/>
              <w:kinsoku/>
              <w:wordWrap/>
              <w:overflowPunct/>
              <w:topLinePunct w:val="0"/>
              <w:autoSpaceDE/>
              <w:autoSpaceDN/>
              <w:bidi w:val="0"/>
              <w:adjustRightInd/>
              <w:snapToGrid/>
              <w:spacing w:line="360" w:lineRule="auto"/>
              <w:ind w:firstLine="480"/>
              <w:jc w:val="both"/>
              <w:textAlignment w:val="auto"/>
              <w:rPr>
                <w:rFonts w:hint="default" w:ascii="Times New Roman" w:hAnsi="Times New Roman" w:eastAsia="仿宋_GB2312" w:cs="Times New Roman"/>
                <w:szCs w:val="24"/>
              </w:rPr>
            </w:pPr>
            <w:r>
              <w:rPr>
                <w:rFonts w:hint="default" w:ascii="Times New Roman" w:hAnsi="Times New Roman" w:eastAsia="仿宋_GB2312" w:cs="Times New Roman"/>
                <w:szCs w:val="24"/>
              </w:rPr>
              <w:t>事故废水防范和处理具体见图</w:t>
            </w:r>
            <w:r>
              <w:rPr>
                <w:rFonts w:hint="eastAsia" w:ascii="Times New Roman" w:hAnsi="Times New Roman" w:eastAsia="仿宋_GB2312" w:cs="Times New Roman"/>
                <w:szCs w:val="24"/>
                <w:lang w:val="en-US" w:eastAsia="zh-CN"/>
              </w:rPr>
              <w:t>4-6</w:t>
            </w:r>
            <w:r>
              <w:rPr>
                <w:rFonts w:hint="default" w:ascii="Times New Roman" w:hAnsi="Times New Roman" w:eastAsia="仿宋_GB2312" w:cs="Times New Roman"/>
                <w:szCs w:val="24"/>
              </w:rPr>
              <w:t>。</w:t>
            </w:r>
          </w:p>
          <w:p w14:paraId="39E4F884">
            <w:pPr>
              <w:pStyle w:val="50"/>
              <w:keepNext w:val="0"/>
              <w:keepLines w:val="0"/>
              <w:pageBreakBefore w:val="0"/>
              <w:widowControl/>
              <w:kinsoku/>
              <w:wordWrap/>
              <w:overflowPunct/>
              <w:topLinePunct w:val="0"/>
              <w:autoSpaceDE/>
              <w:autoSpaceDN/>
              <w:bidi w:val="0"/>
              <w:adjustRightInd/>
              <w:snapToGrid/>
              <w:spacing w:line="360" w:lineRule="auto"/>
              <w:ind w:firstLine="480"/>
              <w:jc w:val="both"/>
              <w:textAlignment w:val="auto"/>
              <w:rPr>
                <w:rFonts w:hint="default" w:ascii="Times New Roman" w:hAnsi="Times New Roman" w:eastAsia="仿宋_GB2312" w:cs="Times New Roman"/>
                <w:szCs w:val="24"/>
              </w:rPr>
            </w:pPr>
            <w:r>
              <w:rPr>
                <w:rFonts w:hint="default" w:ascii="Times New Roman" w:hAnsi="Times New Roman" w:eastAsia="宋体" w:cs="Times New Roman"/>
                <w:color w:val="auto"/>
                <w:spacing w:val="0"/>
                <w:kern w:val="0"/>
                <w:position w:val="0"/>
              </w:rPr>
              <w:object>
                <v:shape id="_x0000_i1034" o:spt="75" type="#_x0000_t75" style="height:280.65pt;width:368.4pt;" o:ole="t" filled="f" o:preferrelative="t" stroked="f" coordsize="21600,21600">
                  <v:path/>
                  <v:fill on="f" focussize="0,0"/>
                  <v:stroke on="f"/>
                  <v:imagedata r:id="rId60" o:title=""/>
                  <o:lock v:ext="edit" aspectratio="t"/>
                  <w10:wrap type="none"/>
                  <w10:anchorlock/>
                </v:shape>
                <o:OLEObject Type="Embed" ProgID="Visio.Drawing.11" ShapeID="_x0000_i1034" DrawAspect="Content" ObjectID="_1468075737" r:id="rId59">
                  <o:LockedField>false</o:LockedField>
                </o:OLEObject>
              </w:object>
            </w:r>
          </w:p>
          <w:p w14:paraId="470135C0">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jc w:val="center"/>
              <w:textAlignment w:val="auto"/>
              <w:rPr>
                <w:rFonts w:hint="default" w:ascii="Times New Roman" w:hAnsi="Times New Roman" w:eastAsia="宋体" w:cs="Times New Roman"/>
                <w:color w:val="auto"/>
                <w:spacing w:val="0"/>
                <w:kern w:val="0"/>
                <w:position w:val="0"/>
                <w:sz w:val="24"/>
                <w:szCs w:val="24"/>
              </w:rPr>
            </w:pPr>
            <w:r>
              <w:rPr>
                <w:rFonts w:hint="default" w:ascii="Times New Roman" w:hAnsi="Times New Roman" w:eastAsia="仿宋_GB2312" w:cs="Times New Roman"/>
                <w:b/>
                <w:color w:val="auto"/>
                <w:spacing w:val="0"/>
                <w:kern w:val="0"/>
                <w:position w:val="0"/>
                <w:sz w:val="24"/>
                <w:szCs w:val="24"/>
              </w:rPr>
              <w:t>图</w:t>
            </w:r>
            <w:r>
              <w:rPr>
                <w:rFonts w:hint="eastAsia" w:eastAsia="仿宋_GB2312" w:cs="Times New Roman"/>
                <w:b/>
                <w:color w:val="auto"/>
                <w:spacing w:val="0"/>
                <w:kern w:val="0"/>
                <w:position w:val="0"/>
                <w:sz w:val="24"/>
                <w:szCs w:val="24"/>
                <w:lang w:val="en-US" w:eastAsia="zh-CN"/>
              </w:rPr>
              <w:t xml:space="preserve">4-6 </w:t>
            </w:r>
            <w:r>
              <w:rPr>
                <w:rFonts w:hint="default" w:ascii="Times New Roman" w:hAnsi="Times New Roman" w:eastAsia="仿宋_GB2312" w:cs="Times New Roman"/>
                <w:b/>
                <w:color w:val="auto"/>
                <w:spacing w:val="0"/>
                <w:kern w:val="0"/>
                <w:position w:val="0"/>
                <w:sz w:val="24"/>
                <w:szCs w:val="24"/>
              </w:rPr>
              <w:t xml:space="preserve"> 事故废水防范和处理流程示意图</w:t>
            </w:r>
          </w:p>
          <w:p w14:paraId="63D7603F">
            <w:pPr>
              <w:pageBreakBefore w:val="0"/>
              <w:kinsoku/>
              <w:wordWrap/>
              <w:bidi w:val="0"/>
              <w:adjustRightInd w:val="0"/>
              <w:snapToGrid w:val="0"/>
              <w:spacing w:beforeAutospacing="0" w:afterAutospacing="0" w:line="360" w:lineRule="auto"/>
              <w:ind w:left="0" w:leftChars="0" w:right="0" w:firstLine="420" w:firstLineChars="200"/>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废水收集流程说明：</w:t>
            </w:r>
          </w:p>
          <w:p w14:paraId="24BC75F6">
            <w:pPr>
              <w:pageBreakBefore w:val="0"/>
              <w:kinsoku/>
              <w:wordWrap/>
              <w:bidi w:val="0"/>
              <w:adjustRightInd w:val="0"/>
              <w:snapToGrid w:val="0"/>
              <w:spacing w:beforeAutospacing="0" w:afterAutospacing="0" w:line="360" w:lineRule="auto"/>
              <w:ind w:left="0" w:leftChars="0" w:right="0" w:firstLine="420" w:firstLineChars="200"/>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正常情况下，阀门1、4、5开启，阀门2、3关闭，对于初期雨水的收集可通过关闭阀门1，开启阀门2进行收集。初期雨水收集结束后，开启阀门1，关闭阀门2。</w:t>
            </w:r>
          </w:p>
          <w:p w14:paraId="5B50B06B">
            <w:pPr>
              <w:pageBreakBefore w:val="0"/>
              <w:kinsoku/>
              <w:wordWrap/>
              <w:bidi w:val="0"/>
              <w:adjustRightInd w:val="0"/>
              <w:snapToGrid w:val="0"/>
              <w:spacing w:beforeAutospacing="0" w:afterAutospacing="0" w:line="360" w:lineRule="auto"/>
              <w:ind w:left="0" w:leftChars="0" w:right="0" w:firstLine="420" w:firstLineChars="200"/>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事故状况下，阀门1、4、5关闭，阀门2、3开启，对消防污水和事故废水进行收集，收集的污水分批分次送污水处理站处理，处理达标后排入</w:t>
            </w:r>
            <w:r>
              <w:rPr>
                <w:rFonts w:hint="eastAsia" w:ascii="Times New Roman" w:hAnsi="Times New Roman" w:eastAsia="仿宋_GB2312" w:cs="Times New Roman"/>
                <w:kern w:val="2"/>
                <w:sz w:val="21"/>
                <w:szCs w:val="21"/>
                <w:lang w:val="en-US" w:eastAsia="zh-CN" w:bidi="ar-SA"/>
              </w:rPr>
              <w:t>金坛第二污水处理厂</w:t>
            </w:r>
            <w:r>
              <w:rPr>
                <w:rFonts w:hint="default" w:ascii="Times New Roman" w:hAnsi="Times New Roman" w:eastAsia="仿宋_GB2312" w:cs="Times New Roman"/>
                <w:kern w:val="2"/>
                <w:sz w:val="21"/>
                <w:szCs w:val="21"/>
                <w:lang w:val="en-US" w:eastAsia="zh-CN" w:bidi="ar-SA"/>
              </w:rPr>
              <w:t>。</w:t>
            </w:r>
          </w:p>
          <w:p w14:paraId="21D61BA1">
            <w:pPr>
              <w:pStyle w:val="50"/>
              <w:keepNext w:val="0"/>
              <w:keepLines w:val="0"/>
              <w:pageBreakBefore w:val="0"/>
              <w:widowControl/>
              <w:kinsoku/>
              <w:wordWrap/>
              <w:overflowPunct/>
              <w:topLinePunct w:val="0"/>
              <w:autoSpaceDE/>
              <w:autoSpaceDN/>
              <w:bidi w:val="0"/>
              <w:adjustRightInd/>
              <w:snapToGrid/>
              <w:spacing w:line="360" w:lineRule="auto"/>
              <w:ind w:firstLine="480"/>
              <w:jc w:val="both"/>
              <w:textAlignment w:val="auto"/>
              <w:rPr>
                <w:rFonts w:hint="eastAsia" w:eastAsia="仿宋_GB2312"/>
                <w:b/>
                <w:sz w:val="21"/>
                <w:szCs w:val="21"/>
                <w:lang w:eastAsia="zh-CN"/>
              </w:rPr>
            </w:pPr>
            <w:r>
              <w:rPr>
                <w:rFonts w:hint="default" w:ascii="Times New Roman" w:hAnsi="Times New Roman" w:eastAsia="仿宋_GB2312" w:cs="Times New Roman"/>
                <w:kern w:val="2"/>
                <w:sz w:val="21"/>
                <w:szCs w:val="21"/>
                <w:lang w:val="en-US" w:eastAsia="zh-CN" w:bidi="ar-SA"/>
              </w:rPr>
              <w:t>采取上述措施后，因</w:t>
            </w:r>
            <w:r>
              <w:rPr>
                <w:rFonts w:hint="eastAsia" w:ascii="Times New Roman" w:hAnsi="Times New Roman" w:eastAsia="仿宋_GB2312" w:cs="Times New Roman"/>
                <w:kern w:val="2"/>
                <w:sz w:val="21"/>
                <w:szCs w:val="21"/>
                <w:lang w:val="en-US" w:eastAsia="zh-CN" w:bidi="ar-SA"/>
              </w:rPr>
              <w:t>事故废水</w:t>
            </w:r>
            <w:r>
              <w:rPr>
                <w:rFonts w:hint="default" w:ascii="Times New Roman" w:hAnsi="Times New Roman" w:eastAsia="仿宋_GB2312" w:cs="Times New Roman"/>
                <w:kern w:val="2"/>
                <w:sz w:val="21"/>
                <w:szCs w:val="21"/>
                <w:lang w:val="en-US" w:eastAsia="zh-CN" w:bidi="ar-SA"/>
              </w:rPr>
              <w:t>排放而发生周围地表水污染事故的可能性极小。</w:t>
            </w:r>
          </w:p>
          <w:p w14:paraId="316BA1EA">
            <w:pPr>
              <w:pStyle w:val="50"/>
              <w:keepNext w:val="0"/>
              <w:keepLines w:val="0"/>
              <w:pageBreakBefore w:val="0"/>
              <w:widowControl/>
              <w:kinsoku/>
              <w:wordWrap/>
              <w:overflowPunct/>
              <w:topLinePunct w:val="0"/>
              <w:autoSpaceDE/>
              <w:autoSpaceDN/>
              <w:bidi w:val="0"/>
              <w:adjustRightInd/>
              <w:snapToGrid/>
              <w:spacing w:line="360" w:lineRule="auto"/>
              <w:ind w:firstLine="480"/>
              <w:jc w:val="both"/>
              <w:textAlignment w:val="auto"/>
              <w:rPr>
                <w:rFonts w:hint="default" w:ascii="Times New Roman" w:hAnsi="Times New Roman" w:eastAsia="仿宋_GB2312" w:cs="Times New Roman"/>
                <w:b/>
                <w:bCs/>
                <w:szCs w:val="24"/>
              </w:rPr>
            </w:pPr>
            <w:r>
              <w:rPr>
                <w:rFonts w:hint="eastAsia" w:eastAsia="仿宋_GB2312"/>
                <w:b/>
                <w:lang w:eastAsia="zh-CN"/>
              </w:rPr>
              <w:t>（</w:t>
            </w:r>
            <w:r>
              <w:rPr>
                <w:rFonts w:hint="eastAsia" w:eastAsia="仿宋_GB2312"/>
                <w:b/>
                <w:lang w:val="en-US" w:eastAsia="zh-CN"/>
              </w:rPr>
              <w:t>6</w:t>
            </w:r>
            <w:r>
              <w:rPr>
                <w:rFonts w:hint="eastAsia" w:eastAsia="仿宋_GB2312"/>
                <w:b/>
                <w:lang w:eastAsia="zh-CN"/>
              </w:rPr>
              <w:t>）</w:t>
            </w:r>
            <w:r>
              <w:rPr>
                <w:rFonts w:hint="default" w:ascii="Times New Roman" w:hAnsi="Times New Roman" w:eastAsia="仿宋_GB2312" w:cs="Times New Roman"/>
                <w:b/>
                <w:bCs/>
                <w:szCs w:val="24"/>
              </w:rPr>
              <w:t>事故应急池</w:t>
            </w:r>
          </w:p>
          <w:p w14:paraId="183A2EB3">
            <w:pPr>
              <w:pStyle w:val="50"/>
              <w:keepNext w:val="0"/>
              <w:keepLines w:val="0"/>
              <w:pageBreakBefore w:val="0"/>
              <w:widowControl/>
              <w:kinsoku/>
              <w:wordWrap/>
              <w:overflowPunct/>
              <w:topLinePunct w:val="0"/>
              <w:autoSpaceDE/>
              <w:autoSpaceDN/>
              <w:bidi w:val="0"/>
              <w:adjustRightInd/>
              <w:snapToGrid/>
              <w:spacing w:line="360" w:lineRule="auto"/>
              <w:ind w:firstLine="480"/>
              <w:jc w:val="both"/>
              <w:textAlignment w:val="auto"/>
              <w:rPr>
                <w:rFonts w:hint="default" w:ascii="Times New Roman" w:hAnsi="Times New Roman" w:eastAsia="仿宋_GB2312" w:cs="Times New Roman"/>
                <w:szCs w:val="24"/>
              </w:rPr>
            </w:pPr>
            <w:r>
              <w:rPr>
                <w:rFonts w:hint="default" w:ascii="Times New Roman" w:hAnsi="Times New Roman" w:eastAsia="仿宋_GB2312" w:cs="Times New Roman"/>
                <w:szCs w:val="24"/>
              </w:rPr>
              <w:t>事故应急池容量计算：参照《化工建设项目环境保护工程设计标准》（GB50483-2019）和</w:t>
            </w:r>
            <w:r>
              <w:rPr>
                <w:rFonts w:hint="default" w:ascii="Times New Roman" w:hAnsi="Times New Roman" w:eastAsia="仿宋_GB2312" w:cs="Times New Roman"/>
                <w:szCs w:val="24"/>
                <w:lang w:val="en-US" w:eastAsia="zh-CN"/>
              </w:rPr>
              <w:t>《事故状态下水体污染的预防与控制技术要求》（Q/SY08190-2019）</w:t>
            </w:r>
            <w:r>
              <w:rPr>
                <w:rFonts w:hint="default" w:ascii="Times New Roman" w:hAnsi="Times New Roman" w:eastAsia="仿宋_GB2312" w:cs="Times New Roman"/>
                <w:szCs w:val="24"/>
              </w:rPr>
              <w:t>要求。明确事故存储设施总有效容积的计算公式如下：</w:t>
            </w:r>
          </w:p>
          <w:p w14:paraId="49AD9DB9">
            <w:pPr>
              <w:pStyle w:val="50"/>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hint="default" w:ascii="Times New Roman" w:hAnsi="Times New Roman" w:eastAsia="仿宋_GB2312" w:cs="Times New Roman"/>
                <w:szCs w:val="24"/>
              </w:rPr>
            </w:pPr>
            <w:r>
              <w:rPr>
                <w:rFonts w:hint="default" w:ascii="Times New Roman" w:hAnsi="Times New Roman" w:eastAsia="仿宋_GB2312" w:cs="Times New Roman"/>
                <w:szCs w:val="24"/>
              </w:rPr>
              <w:t>V</w:t>
            </w:r>
            <w:r>
              <w:rPr>
                <w:rFonts w:hint="default" w:ascii="Times New Roman" w:hAnsi="Times New Roman" w:eastAsia="仿宋_GB2312" w:cs="Times New Roman"/>
                <w:b w:val="0"/>
                <w:bCs w:val="0"/>
                <w:szCs w:val="24"/>
                <w:vertAlign w:val="subscript"/>
              </w:rPr>
              <w:t>总</w:t>
            </w:r>
            <w:r>
              <w:rPr>
                <w:rFonts w:hint="default" w:ascii="Times New Roman" w:hAnsi="Times New Roman" w:eastAsia="仿宋_GB2312" w:cs="Times New Roman"/>
                <w:szCs w:val="24"/>
              </w:rPr>
              <w:t>＝（V</w:t>
            </w:r>
            <w:r>
              <w:rPr>
                <w:rFonts w:hint="default" w:ascii="Times New Roman" w:hAnsi="Times New Roman" w:eastAsia="仿宋_GB2312" w:cs="Times New Roman"/>
                <w:szCs w:val="24"/>
                <w:vertAlign w:val="subscript"/>
              </w:rPr>
              <w:t>1</w:t>
            </w:r>
            <w:r>
              <w:rPr>
                <w:rFonts w:hint="default" w:ascii="Times New Roman" w:hAnsi="Times New Roman" w:eastAsia="仿宋_GB2312" w:cs="Times New Roman"/>
                <w:szCs w:val="24"/>
              </w:rPr>
              <w:t>＋V</w:t>
            </w:r>
            <w:r>
              <w:rPr>
                <w:rFonts w:hint="default" w:ascii="Times New Roman" w:hAnsi="Times New Roman" w:eastAsia="仿宋_GB2312" w:cs="Times New Roman"/>
                <w:szCs w:val="24"/>
                <w:vertAlign w:val="subscript"/>
              </w:rPr>
              <w:t>2</w:t>
            </w:r>
            <w:r>
              <w:rPr>
                <w:rFonts w:hint="default" w:ascii="Times New Roman" w:hAnsi="Times New Roman" w:eastAsia="仿宋_GB2312" w:cs="Times New Roman"/>
                <w:szCs w:val="24"/>
              </w:rPr>
              <w:t>－V</w:t>
            </w:r>
            <w:r>
              <w:rPr>
                <w:rFonts w:hint="default" w:ascii="Times New Roman" w:hAnsi="Times New Roman" w:eastAsia="仿宋_GB2312" w:cs="Times New Roman"/>
                <w:szCs w:val="24"/>
                <w:vertAlign w:val="subscript"/>
              </w:rPr>
              <w:t>3</w:t>
            </w:r>
            <w:r>
              <w:rPr>
                <w:rFonts w:hint="default" w:ascii="Times New Roman" w:hAnsi="Times New Roman" w:eastAsia="仿宋_GB2312" w:cs="Times New Roman"/>
                <w:szCs w:val="24"/>
              </w:rPr>
              <w:t>）</w:t>
            </w:r>
            <w:r>
              <w:rPr>
                <w:rFonts w:hint="default" w:ascii="Times New Roman" w:hAnsi="Times New Roman" w:eastAsia="仿宋_GB2312" w:cs="Times New Roman"/>
                <w:szCs w:val="24"/>
                <w:vertAlign w:val="subscript"/>
              </w:rPr>
              <w:t>max</w:t>
            </w:r>
            <w:r>
              <w:rPr>
                <w:rFonts w:hint="default" w:ascii="Times New Roman" w:hAnsi="Times New Roman" w:eastAsia="仿宋_GB2312" w:cs="Times New Roman"/>
                <w:szCs w:val="24"/>
              </w:rPr>
              <w:t>＋V</w:t>
            </w:r>
            <w:r>
              <w:rPr>
                <w:rFonts w:hint="default" w:ascii="Times New Roman" w:hAnsi="Times New Roman" w:eastAsia="仿宋_GB2312" w:cs="Times New Roman"/>
                <w:szCs w:val="24"/>
                <w:vertAlign w:val="subscript"/>
              </w:rPr>
              <w:t>4</w:t>
            </w:r>
            <w:r>
              <w:rPr>
                <w:rFonts w:hint="default" w:ascii="Times New Roman" w:hAnsi="Times New Roman" w:eastAsia="仿宋_GB2312" w:cs="Times New Roman"/>
                <w:szCs w:val="24"/>
              </w:rPr>
              <w:t>+V</w:t>
            </w:r>
            <w:r>
              <w:rPr>
                <w:rFonts w:hint="default" w:ascii="Times New Roman" w:hAnsi="Times New Roman" w:eastAsia="仿宋_GB2312" w:cs="Times New Roman"/>
                <w:szCs w:val="24"/>
                <w:vertAlign w:val="subscript"/>
              </w:rPr>
              <w:t>5</w:t>
            </w:r>
          </w:p>
          <w:p w14:paraId="250B1495">
            <w:pPr>
              <w:pStyle w:val="50"/>
              <w:keepNext w:val="0"/>
              <w:keepLines w:val="0"/>
              <w:pageBreakBefore w:val="0"/>
              <w:kinsoku/>
              <w:wordWrap/>
              <w:overflowPunct/>
              <w:topLinePunct w:val="0"/>
              <w:autoSpaceDE/>
              <w:autoSpaceDN/>
              <w:bidi w:val="0"/>
              <w:adjustRightInd/>
              <w:spacing w:line="360" w:lineRule="auto"/>
              <w:ind w:firstLine="480"/>
              <w:textAlignment w:val="auto"/>
              <w:rPr>
                <w:rFonts w:hint="default" w:ascii="Times New Roman" w:hAnsi="Times New Roman" w:eastAsia="仿宋_GB2312" w:cs="Times New Roman"/>
                <w:szCs w:val="24"/>
              </w:rPr>
            </w:pPr>
            <w:r>
              <w:rPr>
                <w:rFonts w:hint="default" w:ascii="Times New Roman" w:hAnsi="Times New Roman" w:eastAsia="仿宋_GB2312" w:cs="Times New Roman"/>
                <w:szCs w:val="24"/>
              </w:rPr>
              <w:t>注：（V</w:t>
            </w:r>
            <w:r>
              <w:rPr>
                <w:rFonts w:hint="default" w:ascii="Times New Roman" w:hAnsi="Times New Roman" w:eastAsia="仿宋_GB2312" w:cs="Times New Roman"/>
                <w:szCs w:val="24"/>
                <w:vertAlign w:val="subscript"/>
              </w:rPr>
              <w:t>1</w:t>
            </w:r>
            <w:r>
              <w:rPr>
                <w:rFonts w:hint="default" w:ascii="Times New Roman" w:hAnsi="Times New Roman" w:eastAsia="仿宋_GB2312" w:cs="Times New Roman"/>
                <w:szCs w:val="24"/>
              </w:rPr>
              <w:t>＋V</w:t>
            </w:r>
            <w:r>
              <w:rPr>
                <w:rFonts w:hint="default" w:ascii="Times New Roman" w:hAnsi="Times New Roman" w:eastAsia="仿宋_GB2312" w:cs="Times New Roman"/>
                <w:szCs w:val="24"/>
                <w:vertAlign w:val="subscript"/>
              </w:rPr>
              <w:t>2</w:t>
            </w:r>
            <w:r>
              <w:rPr>
                <w:rFonts w:hint="default" w:ascii="Times New Roman" w:hAnsi="Times New Roman" w:eastAsia="仿宋_GB2312" w:cs="Times New Roman"/>
                <w:szCs w:val="24"/>
              </w:rPr>
              <w:t>-V</w:t>
            </w:r>
            <w:r>
              <w:rPr>
                <w:rFonts w:hint="default" w:ascii="Times New Roman" w:hAnsi="Times New Roman" w:eastAsia="仿宋_GB2312" w:cs="Times New Roman"/>
                <w:szCs w:val="24"/>
                <w:vertAlign w:val="subscript"/>
              </w:rPr>
              <w:t>3</w:t>
            </w:r>
            <w:r>
              <w:rPr>
                <w:rFonts w:hint="default" w:ascii="Times New Roman" w:hAnsi="Times New Roman" w:eastAsia="仿宋_GB2312" w:cs="Times New Roman"/>
                <w:szCs w:val="24"/>
              </w:rPr>
              <w:t>）</w:t>
            </w:r>
            <w:r>
              <w:rPr>
                <w:rFonts w:hint="default" w:ascii="Times New Roman" w:hAnsi="Times New Roman" w:eastAsia="仿宋_GB2312" w:cs="Times New Roman"/>
                <w:szCs w:val="24"/>
                <w:vertAlign w:val="subscript"/>
              </w:rPr>
              <w:t>max</w:t>
            </w:r>
            <w:r>
              <w:rPr>
                <w:rFonts w:hint="default" w:ascii="Times New Roman" w:hAnsi="Times New Roman" w:eastAsia="仿宋_GB2312" w:cs="Times New Roman"/>
                <w:szCs w:val="24"/>
              </w:rPr>
              <w:t>是指对收集系统范围内不同罐组或装置分别计算</w:t>
            </w:r>
          </w:p>
          <w:p w14:paraId="7BD09974">
            <w:pPr>
              <w:pStyle w:val="50"/>
              <w:keepNext w:val="0"/>
              <w:keepLines w:val="0"/>
              <w:pageBreakBefore w:val="0"/>
              <w:kinsoku/>
              <w:wordWrap/>
              <w:overflowPunct/>
              <w:topLinePunct w:val="0"/>
              <w:autoSpaceDE/>
              <w:autoSpaceDN/>
              <w:bidi w:val="0"/>
              <w:adjustRightInd/>
              <w:spacing w:line="360" w:lineRule="auto"/>
              <w:ind w:firstLine="480"/>
              <w:textAlignment w:val="auto"/>
              <w:rPr>
                <w:rFonts w:hint="default" w:ascii="Times New Roman" w:hAnsi="Times New Roman" w:eastAsia="仿宋_GB2312" w:cs="Times New Roman"/>
                <w:szCs w:val="24"/>
              </w:rPr>
            </w:pPr>
            <w:r>
              <w:rPr>
                <w:rFonts w:hint="default" w:ascii="Times New Roman" w:hAnsi="Times New Roman" w:eastAsia="仿宋_GB2312" w:cs="Times New Roman"/>
                <w:szCs w:val="24"/>
              </w:rPr>
              <w:t>V</w:t>
            </w:r>
            <w:r>
              <w:rPr>
                <w:rFonts w:hint="default" w:ascii="Times New Roman" w:hAnsi="Times New Roman" w:eastAsia="仿宋_GB2312" w:cs="Times New Roman"/>
                <w:szCs w:val="24"/>
                <w:vertAlign w:val="subscript"/>
              </w:rPr>
              <w:t>1</w:t>
            </w:r>
            <w:r>
              <w:rPr>
                <w:rFonts w:hint="default" w:ascii="Times New Roman" w:hAnsi="Times New Roman" w:eastAsia="仿宋_GB2312" w:cs="Times New Roman"/>
                <w:szCs w:val="24"/>
              </w:rPr>
              <w:t>＋V</w:t>
            </w:r>
            <w:r>
              <w:rPr>
                <w:rFonts w:hint="default" w:ascii="Times New Roman" w:hAnsi="Times New Roman" w:eastAsia="仿宋_GB2312" w:cs="Times New Roman"/>
                <w:szCs w:val="24"/>
                <w:vertAlign w:val="subscript"/>
              </w:rPr>
              <w:t>2</w:t>
            </w:r>
            <w:r>
              <w:rPr>
                <w:rFonts w:hint="default" w:ascii="Times New Roman" w:hAnsi="Times New Roman" w:eastAsia="仿宋_GB2312" w:cs="Times New Roman"/>
                <w:szCs w:val="24"/>
              </w:rPr>
              <w:t>－V</w:t>
            </w:r>
            <w:r>
              <w:rPr>
                <w:rFonts w:hint="default" w:ascii="Times New Roman" w:hAnsi="Times New Roman" w:eastAsia="仿宋_GB2312" w:cs="Times New Roman"/>
                <w:szCs w:val="24"/>
                <w:vertAlign w:val="subscript"/>
              </w:rPr>
              <w:t>3</w:t>
            </w:r>
            <w:r>
              <w:rPr>
                <w:rFonts w:hint="default" w:ascii="Times New Roman" w:hAnsi="Times New Roman" w:eastAsia="仿宋_GB2312" w:cs="Times New Roman"/>
                <w:szCs w:val="24"/>
              </w:rPr>
              <w:t>，取其中最大值。</w:t>
            </w:r>
          </w:p>
          <w:p w14:paraId="1164A457">
            <w:pPr>
              <w:pStyle w:val="50"/>
              <w:keepNext w:val="0"/>
              <w:keepLines w:val="0"/>
              <w:pageBreakBefore w:val="0"/>
              <w:kinsoku/>
              <w:wordWrap/>
              <w:overflowPunct/>
              <w:topLinePunct w:val="0"/>
              <w:autoSpaceDE/>
              <w:autoSpaceDN/>
              <w:bidi w:val="0"/>
              <w:adjustRightInd/>
              <w:spacing w:line="360" w:lineRule="auto"/>
              <w:ind w:firstLine="480"/>
              <w:textAlignment w:val="auto"/>
              <w:rPr>
                <w:rFonts w:hint="default" w:ascii="Times New Roman" w:hAnsi="Times New Roman" w:eastAsia="仿宋_GB2312" w:cs="Times New Roman"/>
                <w:szCs w:val="24"/>
              </w:rPr>
            </w:pPr>
            <w:r>
              <w:rPr>
                <w:rFonts w:hint="default" w:ascii="Times New Roman" w:hAnsi="Times New Roman" w:eastAsia="仿宋_GB2312" w:cs="Times New Roman"/>
                <w:szCs w:val="24"/>
              </w:rPr>
              <w:t>V</w:t>
            </w:r>
            <w:r>
              <w:rPr>
                <w:rFonts w:hint="default" w:ascii="Times New Roman" w:hAnsi="Times New Roman" w:eastAsia="仿宋_GB2312" w:cs="Times New Roman"/>
                <w:szCs w:val="24"/>
                <w:vertAlign w:val="subscript"/>
              </w:rPr>
              <w:t>1</w:t>
            </w:r>
            <w:r>
              <w:rPr>
                <w:rFonts w:hint="default" w:ascii="Times New Roman" w:hAnsi="Times New Roman" w:eastAsia="仿宋_GB2312" w:cs="Times New Roman"/>
                <w:szCs w:val="24"/>
              </w:rPr>
              <w:t>——收集系统范围内发生事故的一个罐组或一套装置的物料量，本项目无储存的储罐。</w:t>
            </w:r>
          </w:p>
          <w:p w14:paraId="2E85CC14">
            <w:pPr>
              <w:pStyle w:val="50"/>
              <w:keepNext w:val="0"/>
              <w:keepLines w:val="0"/>
              <w:pageBreakBefore w:val="0"/>
              <w:kinsoku/>
              <w:wordWrap/>
              <w:overflowPunct/>
              <w:topLinePunct w:val="0"/>
              <w:autoSpaceDE/>
              <w:autoSpaceDN/>
              <w:bidi w:val="0"/>
              <w:adjustRightInd/>
              <w:spacing w:line="360" w:lineRule="auto"/>
              <w:ind w:firstLine="480"/>
              <w:textAlignment w:val="auto"/>
              <w:rPr>
                <w:rFonts w:hint="default" w:ascii="Times New Roman" w:hAnsi="Times New Roman" w:eastAsia="仿宋_GB2312" w:cs="Times New Roman"/>
                <w:szCs w:val="24"/>
              </w:rPr>
            </w:pPr>
            <w:r>
              <w:rPr>
                <w:rFonts w:hint="default" w:ascii="Times New Roman" w:hAnsi="Times New Roman" w:eastAsia="仿宋_GB2312" w:cs="Times New Roman"/>
                <w:szCs w:val="24"/>
              </w:rPr>
              <w:t>V</w:t>
            </w:r>
            <w:r>
              <w:rPr>
                <w:rFonts w:hint="default" w:ascii="Times New Roman" w:hAnsi="Times New Roman" w:eastAsia="仿宋_GB2312" w:cs="Times New Roman"/>
                <w:szCs w:val="24"/>
                <w:vertAlign w:val="subscript"/>
              </w:rPr>
              <w:t>2</w:t>
            </w:r>
            <w:r>
              <w:rPr>
                <w:rFonts w:hint="default" w:ascii="Times New Roman" w:hAnsi="Times New Roman" w:eastAsia="仿宋_GB2312" w:cs="Times New Roman"/>
                <w:szCs w:val="24"/>
              </w:rPr>
              <w:t>——发生事故的储罐或装置的消防水量，m</w:t>
            </w:r>
            <w:r>
              <w:rPr>
                <w:rFonts w:hint="default" w:ascii="Times New Roman" w:hAnsi="Times New Roman" w:eastAsia="仿宋_GB2312" w:cs="Times New Roman"/>
                <w:szCs w:val="24"/>
                <w:vertAlign w:val="superscript"/>
              </w:rPr>
              <w:t>3</w:t>
            </w:r>
            <w:r>
              <w:rPr>
                <w:rFonts w:hint="default" w:ascii="Times New Roman" w:hAnsi="Times New Roman" w:eastAsia="仿宋_GB2312" w:cs="Times New Roman"/>
                <w:szCs w:val="24"/>
              </w:rPr>
              <w:t>；</w:t>
            </w:r>
          </w:p>
          <w:p w14:paraId="3D85256A">
            <w:pPr>
              <w:pStyle w:val="50"/>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hint="default" w:ascii="Times New Roman" w:hAnsi="Times New Roman" w:eastAsia="仿宋_GB2312" w:cs="Times New Roman"/>
                <w:szCs w:val="24"/>
              </w:rPr>
            </w:pPr>
            <w:r>
              <w:rPr>
                <w:rFonts w:hint="default" w:ascii="Times New Roman" w:hAnsi="Times New Roman" w:eastAsia="仿宋_GB2312" w:cs="Times New Roman"/>
                <w:szCs w:val="24"/>
              </w:rPr>
              <w:t>V</w:t>
            </w:r>
            <w:r>
              <w:rPr>
                <w:rFonts w:hint="default" w:ascii="Times New Roman" w:hAnsi="Times New Roman" w:eastAsia="仿宋_GB2312" w:cs="Times New Roman"/>
                <w:szCs w:val="24"/>
                <w:vertAlign w:val="subscript"/>
              </w:rPr>
              <w:t>2</w:t>
            </w:r>
            <w:r>
              <w:rPr>
                <w:rFonts w:hint="default" w:ascii="Times New Roman" w:hAnsi="Times New Roman" w:eastAsia="仿宋_GB2312" w:cs="Times New Roman"/>
                <w:szCs w:val="24"/>
              </w:rPr>
              <w:t>=∑Q</w:t>
            </w:r>
            <w:r>
              <w:rPr>
                <w:rFonts w:hint="default" w:ascii="Times New Roman" w:hAnsi="Times New Roman" w:eastAsia="仿宋_GB2312" w:cs="Times New Roman"/>
                <w:szCs w:val="24"/>
                <w:vertAlign w:val="subscript"/>
              </w:rPr>
              <w:t>消</w:t>
            </w:r>
            <w:r>
              <w:rPr>
                <w:rFonts w:hint="default" w:ascii="Times New Roman" w:hAnsi="Times New Roman" w:eastAsia="仿宋_GB2312" w:cs="Times New Roman"/>
                <w:szCs w:val="24"/>
              </w:rPr>
              <w:t>t</w:t>
            </w:r>
            <w:r>
              <w:rPr>
                <w:rFonts w:hint="default" w:ascii="Times New Roman" w:hAnsi="Times New Roman" w:eastAsia="仿宋_GB2312" w:cs="Times New Roman"/>
                <w:szCs w:val="24"/>
                <w:vertAlign w:val="subscript"/>
              </w:rPr>
              <w:t>消</w:t>
            </w:r>
          </w:p>
          <w:p w14:paraId="0C0F69A8">
            <w:pPr>
              <w:pStyle w:val="50"/>
              <w:keepNext w:val="0"/>
              <w:keepLines w:val="0"/>
              <w:pageBreakBefore w:val="0"/>
              <w:kinsoku/>
              <w:wordWrap/>
              <w:overflowPunct/>
              <w:topLinePunct w:val="0"/>
              <w:autoSpaceDE/>
              <w:autoSpaceDN/>
              <w:bidi w:val="0"/>
              <w:adjustRightInd/>
              <w:spacing w:line="360" w:lineRule="auto"/>
              <w:ind w:firstLine="480"/>
              <w:textAlignment w:val="auto"/>
              <w:rPr>
                <w:rFonts w:hint="default" w:ascii="Times New Roman" w:hAnsi="Times New Roman" w:eastAsia="仿宋_GB2312" w:cs="Times New Roman"/>
                <w:szCs w:val="24"/>
              </w:rPr>
            </w:pPr>
            <w:r>
              <w:rPr>
                <w:rFonts w:hint="default" w:ascii="Times New Roman" w:hAnsi="Times New Roman" w:eastAsia="仿宋_GB2312" w:cs="Times New Roman"/>
                <w:szCs w:val="24"/>
              </w:rPr>
              <w:t>Q</w:t>
            </w:r>
            <w:r>
              <w:rPr>
                <w:rFonts w:hint="default" w:ascii="Times New Roman" w:hAnsi="Times New Roman" w:eastAsia="仿宋_GB2312" w:cs="Times New Roman"/>
                <w:szCs w:val="24"/>
                <w:vertAlign w:val="subscript"/>
              </w:rPr>
              <w:t>消</w:t>
            </w:r>
            <w:r>
              <w:rPr>
                <w:rFonts w:hint="default" w:ascii="Times New Roman" w:hAnsi="Times New Roman" w:eastAsia="仿宋_GB2312" w:cs="Times New Roman"/>
                <w:szCs w:val="24"/>
              </w:rPr>
              <w:t>——发生事故的储罐或装置的同时使用的消防设施给水流量，参考《建筑设计防火规范》及《消防给水及消火栓系统技术规范》：消防用水量按不低于30L/s计，持续时间不低于1h，则消防总水量约</w:t>
            </w:r>
            <w:r>
              <w:rPr>
                <w:rFonts w:hint="eastAsia" w:cs="Times New Roman"/>
                <w:szCs w:val="24"/>
                <w:lang w:val="en-US" w:eastAsia="zh-CN"/>
              </w:rPr>
              <w:t>108</w:t>
            </w:r>
            <w:r>
              <w:rPr>
                <w:rFonts w:hint="default" w:ascii="Times New Roman" w:hAnsi="Times New Roman" w:eastAsia="仿宋_GB2312" w:cs="Times New Roman"/>
                <w:szCs w:val="24"/>
              </w:rPr>
              <w:t>m</w:t>
            </w:r>
            <w:r>
              <w:rPr>
                <w:rFonts w:hint="default" w:ascii="Times New Roman" w:hAnsi="Times New Roman" w:eastAsia="仿宋_GB2312" w:cs="Times New Roman"/>
                <w:szCs w:val="24"/>
                <w:vertAlign w:val="superscript"/>
              </w:rPr>
              <w:t>3</w:t>
            </w:r>
            <w:r>
              <w:rPr>
                <w:rFonts w:hint="default" w:ascii="Times New Roman" w:hAnsi="Times New Roman" w:eastAsia="仿宋_GB2312" w:cs="Times New Roman"/>
                <w:szCs w:val="24"/>
              </w:rPr>
              <w:t>；</w:t>
            </w:r>
          </w:p>
          <w:p w14:paraId="13EBB8C6">
            <w:pPr>
              <w:pStyle w:val="50"/>
              <w:keepNext w:val="0"/>
              <w:keepLines w:val="0"/>
              <w:pageBreakBefore w:val="0"/>
              <w:kinsoku/>
              <w:wordWrap/>
              <w:overflowPunct/>
              <w:topLinePunct w:val="0"/>
              <w:autoSpaceDE/>
              <w:autoSpaceDN/>
              <w:bidi w:val="0"/>
              <w:adjustRightInd/>
              <w:spacing w:line="360" w:lineRule="auto"/>
              <w:ind w:firstLine="480"/>
              <w:textAlignment w:val="auto"/>
              <w:rPr>
                <w:rFonts w:hint="default" w:ascii="Times New Roman" w:hAnsi="Times New Roman" w:eastAsia="仿宋_GB2312" w:cs="Times New Roman"/>
                <w:szCs w:val="24"/>
              </w:rPr>
            </w:pPr>
            <w:r>
              <w:rPr>
                <w:rFonts w:hint="default" w:ascii="Times New Roman" w:hAnsi="Times New Roman" w:eastAsia="仿宋_GB2312" w:cs="Times New Roman"/>
                <w:szCs w:val="24"/>
              </w:rPr>
              <w:t>t</w:t>
            </w:r>
            <w:r>
              <w:rPr>
                <w:rFonts w:hint="default" w:ascii="Times New Roman" w:hAnsi="Times New Roman" w:eastAsia="仿宋_GB2312" w:cs="Times New Roman"/>
                <w:szCs w:val="24"/>
                <w:vertAlign w:val="subscript"/>
              </w:rPr>
              <w:t>消</w:t>
            </w:r>
            <w:r>
              <w:rPr>
                <w:rFonts w:hint="default" w:ascii="Times New Roman" w:hAnsi="Times New Roman" w:eastAsia="仿宋_GB2312" w:cs="Times New Roman"/>
                <w:szCs w:val="24"/>
              </w:rPr>
              <w:t>——消防设施对应的设计消防历时，取值</w:t>
            </w:r>
            <w:r>
              <w:rPr>
                <w:rFonts w:hint="eastAsia" w:ascii="Times New Roman" w:hAnsi="Times New Roman" w:cs="Times New Roman"/>
                <w:szCs w:val="24"/>
                <w:lang w:val="en-US" w:eastAsia="zh-CN"/>
              </w:rPr>
              <w:t>2</w:t>
            </w:r>
            <w:r>
              <w:rPr>
                <w:rFonts w:hint="default" w:ascii="Times New Roman" w:hAnsi="Times New Roman" w:eastAsia="仿宋_GB2312" w:cs="Times New Roman"/>
                <w:szCs w:val="24"/>
              </w:rPr>
              <w:t>h；</w:t>
            </w:r>
          </w:p>
          <w:p w14:paraId="73F2855D">
            <w:pPr>
              <w:pStyle w:val="50"/>
              <w:keepNext w:val="0"/>
              <w:keepLines w:val="0"/>
              <w:pageBreakBefore w:val="0"/>
              <w:kinsoku/>
              <w:wordWrap/>
              <w:overflowPunct/>
              <w:topLinePunct w:val="0"/>
              <w:autoSpaceDE/>
              <w:autoSpaceDN/>
              <w:bidi w:val="0"/>
              <w:adjustRightInd/>
              <w:spacing w:line="360" w:lineRule="auto"/>
              <w:ind w:firstLine="480"/>
              <w:textAlignment w:val="auto"/>
              <w:rPr>
                <w:rFonts w:hint="default" w:ascii="Times New Roman" w:hAnsi="Times New Roman" w:eastAsia="仿宋_GB2312" w:cs="Times New Roman"/>
                <w:szCs w:val="24"/>
              </w:rPr>
            </w:pPr>
            <w:r>
              <w:rPr>
                <w:rFonts w:hint="default" w:ascii="Times New Roman" w:hAnsi="Times New Roman" w:eastAsia="仿宋_GB2312" w:cs="Times New Roman"/>
                <w:szCs w:val="24"/>
              </w:rPr>
              <w:t>V</w:t>
            </w:r>
            <w:r>
              <w:rPr>
                <w:rFonts w:hint="default" w:ascii="Times New Roman" w:hAnsi="Times New Roman" w:eastAsia="仿宋_GB2312" w:cs="Times New Roman"/>
                <w:szCs w:val="24"/>
                <w:vertAlign w:val="subscript"/>
              </w:rPr>
              <w:t>3</w:t>
            </w:r>
            <w:r>
              <w:rPr>
                <w:rFonts w:hint="default" w:ascii="Times New Roman" w:hAnsi="Times New Roman" w:eastAsia="仿宋_GB2312" w:cs="Times New Roman"/>
                <w:szCs w:val="24"/>
              </w:rPr>
              <w:t>——发生事故时可以转输到其他储存或处理设施的物料量，0m</w:t>
            </w:r>
            <w:r>
              <w:rPr>
                <w:rFonts w:hint="default" w:ascii="Times New Roman" w:hAnsi="Times New Roman" w:eastAsia="仿宋_GB2312" w:cs="Times New Roman"/>
                <w:szCs w:val="24"/>
                <w:vertAlign w:val="superscript"/>
              </w:rPr>
              <w:t>3</w:t>
            </w:r>
            <w:r>
              <w:rPr>
                <w:rFonts w:hint="default" w:ascii="Times New Roman" w:hAnsi="Times New Roman" w:eastAsia="仿宋_GB2312" w:cs="Times New Roman"/>
                <w:szCs w:val="24"/>
              </w:rPr>
              <w:t>；</w:t>
            </w:r>
          </w:p>
          <w:p w14:paraId="45FB059F">
            <w:pPr>
              <w:pStyle w:val="50"/>
              <w:keepNext w:val="0"/>
              <w:keepLines w:val="0"/>
              <w:pageBreakBefore w:val="0"/>
              <w:kinsoku/>
              <w:wordWrap/>
              <w:overflowPunct/>
              <w:topLinePunct w:val="0"/>
              <w:autoSpaceDE/>
              <w:autoSpaceDN/>
              <w:bidi w:val="0"/>
              <w:adjustRightInd/>
              <w:spacing w:line="360" w:lineRule="auto"/>
              <w:ind w:firstLine="480"/>
              <w:textAlignment w:val="auto"/>
              <w:rPr>
                <w:rFonts w:hint="default" w:ascii="Times New Roman" w:hAnsi="Times New Roman" w:eastAsia="仿宋_GB2312" w:cs="Times New Roman"/>
                <w:szCs w:val="24"/>
              </w:rPr>
            </w:pPr>
            <w:r>
              <w:rPr>
                <w:rFonts w:hint="default" w:ascii="Times New Roman" w:hAnsi="Times New Roman" w:eastAsia="仿宋_GB2312" w:cs="Times New Roman"/>
                <w:szCs w:val="24"/>
              </w:rPr>
              <w:t>V</w:t>
            </w:r>
            <w:r>
              <w:rPr>
                <w:rFonts w:hint="default" w:ascii="Times New Roman" w:hAnsi="Times New Roman" w:eastAsia="仿宋_GB2312" w:cs="Times New Roman"/>
                <w:szCs w:val="24"/>
                <w:vertAlign w:val="subscript"/>
              </w:rPr>
              <w:t>4</w:t>
            </w:r>
            <w:r>
              <w:rPr>
                <w:rFonts w:hint="default" w:ascii="Times New Roman" w:hAnsi="Times New Roman" w:eastAsia="仿宋_GB2312" w:cs="Times New Roman"/>
                <w:szCs w:val="24"/>
              </w:rPr>
              <w:t>——发生事故时仍必须进入该收集系统的生产废水量，0m</w:t>
            </w:r>
            <w:r>
              <w:rPr>
                <w:rFonts w:hint="default" w:ascii="Times New Roman" w:hAnsi="Times New Roman" w:eastAsia="仿宋_GB2312" w:cs="Times New Roman"/>
                <w:szCs w:val="24"/>
                <w:vertAlign w:val="superscript"/>
              </w:rPr>
              <w:t>3</w:t>
            </w:r>
            <w:r>
              <w:rPr>
                <w:rFonts w:hint="default" w:ascii="Times New Roman" w:hAnsi="Times New Roman" w:eastAsia="仿宋_GB2312" w:cs="Times New Roman"/>
                <w:szCs w:val="24"/>
              </w:rPr>
              <w:t>；</w:t>
            </w:r>
          </w:p>
          <w:p w14:paraId="70F9E3FB">
            <w:pPr>
              <w:pStyle w:val="50"/>
              <w:keepNext w:val="0"/>
              <w:keepLines w:val="0"/>
              <w:pageBreakBefore w:val="0"/>
              <w:kinsoku/>
              <w:wordWrap/>
              <w:overflowPunct/>
              <w:topLinePunct w:val="0"/>
              <w:autoSpaceDE/>
              <w:autoSpaceDN/>
              <w:bidi w:val="0"/>
              <w:adjustRightInd/>
              <w:spacing w:line="360" w:lineRule="auto"/>
              <w:ind w:firstLine="480"/>
              <w:textAlignment w:val="auto"/>
              <w:rPr>
                <w:rFonts w:hint="default" w:ascii="Times New Roman" w:hAnsi="Times New Roman" w:eastAsia="仿宋_GB2312" w:cs="Times New Roman"/>
                <w:szCs w:val="24"/>
              </w:rPr>
            </w:pPr>
            <w:r>
              <w:rPr>
                <w:rFonts w:hint="default" w:ascii="Times New Roman" w:hAnsi="Times New Roman" w:eastAsia="仿宋_GB2312" w:cs="Times New Roman"/>
                <w:szCs w:val="24"/>
              </w:rPr>
              <w:t>V</w:t>
            </w:r>
            <w:r>
              <w:rPr>
                <w:rFonts w:hint="default" w:ascii="Times New Roman" w:hAnsi="Times New Roman" w:eastAsia="仿宋_GB2312" w:cs="Times New Roman"/>
                <w:szCs w:val="24"/>
                <w:vertAlign w:val="subscript"/>
              </w:rPr>
              <w:t>5</w:t>
            </w:r>
            <w:r>
              <w:rPr>
                <w:rFonts w:hint="default" w:ascii="Times New Roman" w:hAnsi="Times New Roman" w:eastAsia="仿宋_GB2312" w:cs="Times New Roman"/>
                <w:szCs w:val="24"/>
              </w:rPr>
              <w:t>——发生事故时可能进入该收集系统的降雨量，m</w:t>
            </w:r>
            <w:r>
              <w:rPr>
                <w:rFonts w:hint="default" w:ascii="Times New Roman" w:hAnsi="Times New Roman" w:eastAsia="仿宋_GB2312" w:cs="Times New Roman"/>
                <w:szCs w:val="24"/>
                <w:vertAlign w:val="superscript"/>
              </w:rPr>
              <w:t>3</w:t>
            </w:r>
            <w:r>
              <w:rPr>
                <w:rFonts w:hint="default" w:ascii="Times New Roman" w:hAnsi="Times New Roman" w:eastAsia="仿宋_GB2312" w:cs="Times New Roman"/>
                <w:szCs w:val="24"/>
              </w:rPr>
              <w:t>；</w:t>
            </w:r>
          </w:p>
          <w:p w14:paraId="01966A1C">
            <w:pPr>
              <w:pStyle w:val="50"/>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仿宋_GB2312" w:cs="Times New Roman"/>
                <w:szCs w:val="24"/>
              </w:rPr>
            </w:pPr>
            <w:r>
              <w:rPr>
                <w:rFonts w:hint="default" w:ascii="Times New Roman" w:hAnsi="Times New Roman" w:eastAsia="仿宋_GB2312" w:cs="Times New Roman"/>
                <w:szCs w:val="24"/>
              </w:rPr>
              <w:t>V</w:t>
            </w:r>
            <w:r>
              <w:rPr>
                <w:rFonts w:hint="default" w:ascii="Times New Roman" w:hAnsi="Times New Roman" w:eastAsia="仿宋_GB2312" w:cs="Times New Roman"/>
                <w:szCs w:val="24"/>
                <w:vertAlign w:val="subscript"/>
              </w:rPr>
              <w:t>5</w:t>
            </w:r>
            <w:r>
              <w:rPr>
                <w:rFonts w:hint="default" w:ascii="Times New Roman" w:hAnsi="Times New Roman" w:eastAsia="仿宋_GB2312" w:cs="Times New Roman"/>
                <w:szCs w:val="24"/>
              </w:rPr>
              <w:t>=10qF</w:t>
            </w:r>
          </w:p>
          <w:p w14:paraId="1358F46A">
            <w:pPr>
              <w:pStyle w:val="50"/>
              <w:keepNext w:val="0"/>
              <w:keepLines w:val="0"/>
              <w:pageBreakBefore w:val="0"/>
              <w:kinsoku/>
              <w:wordWrap/>
              <w:overflowPunct/>
              <w:topLinePunct w:val="0"/>
              <w:autoSpaceDE/>
              <w:autoSpaceDN/>
              <w:bidi w:val="0"/>
              <w:adjustRightInd/>
              <w:spacing w:line="360" w:lineRule="auto"/>
              <w:ind w:firstLine="480"/>
              <w:textAlignment w:val="auto"/>
              <w:rPr>
                <w:rFonts w:hint="default" w:ascii="Times New Roman" w:hAnsi="Times New Roman" w:eastAsia="仿宋_GB2312" w:cs="Times New Roman"/>
                <w:szCs w:val="24"/>
              </w:rPr>
            </w:pPr>
            <w:r>
              <w:rPr>
                <w:rFonts w:hint="default" w:ascii="Times New Roman" w:hAnsi="Times New Roman" w:eastAsia="仿宋_GB2312" w:cs="Times New Roman"/>
                <w:szCs w:val="24"/>
              </w:rPr>
              <w:t>q——降雨强度，mm；按平均日降雨量；</w:t>
            </w:r>
          </w:p>
          <w:p w14:paraId="5D950070">
            <w:pPr>
              <w:pStyle w:val="50"/>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仿宋_GB2312" w:cs="Times New Roman"/>
                <w:szCs w:val="24"/>
              </w:rPr>
            </w:pPr>
            <w:r>
              <w:rPr>
                <w:rFonts w:hint="default" w:ascii="Times New Roman" w:hAnsi="Times New Roman" w:eastAsia="仿宋_GB2312" w:cs="Times New Roman"/>
                <w:szCs w:val="24"/>
              </w:rPr>
              <w:t>q=qa/n</w:t>
            </w:r>
          </w:p>
          <w:p w14:paraId="056004AF">
            <w:pPr>
              <w:pStyle w:val="50"/>
              <w:keepNext w:val="0"/>
              <w:keepLines w:val="0"/>
              <w:pageBreakBefore w:val="0"/>
              <w:kinsoku/>
              <w:wordWrap/>
              <w:overflowPunct/>
              <w:topLinePunct w:val="0"/>
              <w:autoSpaceDE/>
              <w:autoSpaceDN/>
              <w:bidi w:val="0"/>
              <w:adjustRightInd/>
              <w:spacing w:line="360" w:lineRule="auto"/>
              <w:ind w:firstLine="480"/>
              <w:textAlignment w:val="auto"/>
              <w:rPr>
                <w:rFonts w:hint="default" w:ascii="Times New Roman" w:hAnsi="Times New Roman" w:eastAsia="仿宋_GB2312" w:cs="Times New Roman"/>
                <w:szCs w:val="24"/>
              </w:rPr>
            </w:pPr>
            <w:r>
              <w:rPr>
                <w:rFonts w:hint="default" w:ascii="Times New Roman" w:hAnsi="Times New Roman" w:eastAsia="仿宋_GB2312" w:cs="Times New Roman"/>
                <w:szCs w:val="24"/>
              </w:rPr>
              <w:t>qa——年平均降雨量，mm，根据多年气象资料取</w:t>
            </w:r>
            <w:r>
              <w:rPr>
                <w:rFonts w:hint="eastAsia" w:ascii="Times New Roman" w:hAnsi="Times New Roman" w:cs="Times New Roman"/>
                <w:szCs w:val="24"/>
                <w:lang w:val="en-US" w:eastAsia="zh-CN"/>
              </w:rPr>
              <w:t>1074</w:t>
            </w:r>
            <w:r>
              <w:rPr>
                <w:rFonts w:hint="default" w:ascii="Times New Roman" w:hAnsi="Times New Roman" w:eastAsia="仿宋_GB2312" w:cs="Times New Roman"/>
                <w:szCs w:val="24"/>
              </w:rPr>
              <w:t>；</w:t>
            </w:r>
          </w:p>
          <w:p w14:paraId="149F040B">
            <w:pPr>
              <w:pStyle w:val="50"/>
              <w:keepNext w:val="0"/>
              <w:keepLines w:val="0"/>
              <w:pageBreakBefore w:val="0"/>
              <w:kinsoku/>
              <w:wordWrap/>
              <w:overflowPunct/>
              <w:topLinePunct w:val="0"/>
              <w:autoSpaceDE/>
              <w:autoSpaceDN/>
              <w:bidi w:val="0"/>
              <w:adjustRightInd/>
              <w:spacing w:line="360" w:lineRule="auto"/>
              <w:ind w:firstLine="480"/>
              <w:textAlignment w:val="auto"/>
              <w:rPr>
                <w:rFonts w:hint="default" w:ascii="Times New Roman" w:hAnsi="Times New Roman" w:eastAsia="仿宋_GB2312" w:cs="Times New Roman"/>
                <w:color w:val="auto"/>
                <w:szCs w:val="24"/>
              </w:rPr>
            </w:pPr>
            <w:r>
              <w:rPr>
                <w:rFonts w:hint="default" w:ascii="Times New Roman" w:hAnsi="Times New Roman" w:eastAsia="仿宋_GB2312" w:cs="Times New Roman"/>
                <w:szCs w:val="24"/>
              </w:rPr>
              <w:t>n——年平均降</w:t>
            </w:r>
            <w:r>
              <w:rPr>
                <w:rFonts w:hint="default" w:ascii="Times New Roman" w:hAnsi="Times New Roman" w:eastAsia="仿宋_GB2312" w:cs="Times New Roman"/>
                <w:color w:val="auto"/>
                <w:szCs w:val="24"/>
              </w:rPr>
              <w:t>雨日数，根据多年气象资料取1</w:t>
            </w:r>
            <w:r>
              <w:rPr>
                <w:rFonts w:hint="eastAsia" w:ascii="Times New Roman" w:hAnsi="Times New Roman" w:cs="Times New Roman"/>
                <w:color w:val="auto"/>
                <w:szCs w:val="24"/>
                <w:lang w:val="en-US" w:eastAsia="zh-CN"/>
              </w:rPr>
              <w:t>02.3</w:t>
            </w:r>
            <w:r>
              <w:rPr>
                <w:rFonts w:hint="default" w:ascii="Times New Roman" w:hAnsi="Times New Roman" w:eastAsia="仿宋_GB2312" w:cs="Times New Roman"/>
                <w:color w:val="auto"/>
                <w:szCs w:val="24"/>
              </w:rPr>
              <w:t>。</w:t>
            </w:r>
          </w:p>
          <w:p w14:paraId="01F4786F">
            <w:pPr>
              <w:pStyle w:val="50"/>
              <w:keepNext w:val="0"/>
              <w:keepLines w:val="0"/>
              <w:pageBreakBefore w:val="0"/>
              <w:kinsoku/>
              <w:wordWrap/>
              <w:overflowPunct/>
              <w:topLinePunct w:val="0"/>
              <w:autoSpaceDE/>
              <w:autoSpaceDN/>
              <w:bidi w:val="0"/>
              <w:adjustRightInd/>
              <w:spacing w:line="360" w:lineRule="auto"/>
              <w:ind w:firstLine="480"/>
              <w:textAlignment w:val="auto"/>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F——必须进入事故废水收集系统的雨水汇水面积，ha，取车间周边的汇水面积约取值</w:t>
            </w:r>
            <w:r>
              <w:rPr>
                <w:rFonts w:hint="eastAsia" w:ascii="Times New Roman" w:hAnsi="Times New Roman" w:eastAsia="仿宋_GB2312" w:cs="Times New Roman"/>
                <w:color w:val="auto"/>
                <w:szCs w:val="24"/>
                <w:lang w:val="en-US" w:eastAsia="zh-CN"/>
              </w:rPr>
              <w:t>11.5925</w:t>
            </w:r>
            <w:r>
              <w:rPr>
                <w:rFonts w:hint="eastAsia" w:ascii="Times New Roman" w:hAnsi="Times New Roman" w:cs="Times New Roman"/>
                <w:color w:val="auto"/>
                <w:szCs w:val="24"/>
                <w:lang w:val="en-US" w:eastAsia="zh-CN"/>
              </w:rPr>
              <w:t xml:space="preserve"> </w:t>
            </w:r>
            <w:r>
              <w:rPr>
                <w:rFonts w:hint="default" w:ascii="Times New Roman" w:hAnsi="Times New Roman" w:eastAsia="仿宋_GB2312" w:cs="Times New Roman"/>
                <w:color w:val="auto"/>
                <w:szCs w:val="24"/>
              </w:rPr>
              <w:t>ha；</w:t>
            </w:r>
          </w:p>
          <w:p w14:paraId="43527C0C">
            <w:pPr>
              <w:pStyle w:val="50"/>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V</w:t>
            </w:r>
            <w:r>
              <w:rPr>
                <w:rFonts w:hint="default" w:ascii="Times New Roman" w:hAnsi="Times New Roman" w:eastAsia="仿宋_GB2312" w:cs="Times New Roman"/>
                <w:color w:val="auto"/>
                <w:szCs w:val="24"/>
                <w:vertAlign w:val="subscript"/>
              </w:rPr>
              <w:t>2</w:t>
            </w:r>
            <w:r>
              <w:rPr>
                <w:rFonts w:hint="default" w:ascii="Times New Roman" w:hAnsi="Times New Roman" w:eastAsia="仿宋_GB2312" w:cs="Times New Roman"/>
                <w:color w:val="auto"/>
                <w:szCs w:val="24"/>
              </w:rPr>
              <w:t>=∑Q</w:t>
            </w:r>
            <w:r>
              <w:rPr>
                <w:rFonts w:hint="default" w:ascii="Times New Roman" w:hAnsi="Times New Roman" w:eastAsia="仿宋_GB2312" w:cs="Times New Roman"/>
                <w:color w:val="auto"/>
                <w:szCs w:val="24"/>
                <w:vertAlign w:val="subscript"/>
              </w:rPr>
              <w:t>消</w:t>
            </w:r>
            <w:r>
              <w:rPr>
                <w:rFonts w:hint="default" w:ascii="Times New Roman" w:hAnsi="Times New Roman" w:eastAsia="仿宋_GB2312" w:cs="Times New Roman"/>
                <w:color w:val="auto"/>
                <w:szCs w:val="24"/>
              </w:rPr>
              <w:t>t</w:t>
            </w:r>
            <w:r>
              <w:rPr>
                <w:rFonts w:hint="default" w:ascii="Times New Roman" w:hAnsi="Times New Roman" w:eastAsia="仿宋_GB2312" w:cs="Times New Roman"/>
                <w:color w:val="auto"/>
                <w:szCs w:val="24"/>
                <w:vertAlign w:val="subscript"/>
              </w:rPr>
              <w:t>消</w:t>
            </w:r>
            <w:r>
              <w:rPr>
                <w:rFonts w:hint="default" w:ascii="Times New Roman" w:hAnsi="Times New Roman" w:eastAsia="仿宋_GB2312" w:cs="Times New Roman"/>
                <w:color w:val="auto"/>
                <w:szCs w:val="24"/>
              </w:rPr>
              <w:t>=</w:t>
            </w:r>
            <w:r>
              <w:rPr>
                <w:rFonts w:hint="eastAsia" w:cs="Times New Roman"/>
                <w:color w:val="auto"/>
                <w:szCs w:val="24"/>
                <w:lang w:val="en-US" w:eastAsia="zh-CN"/>
              </w:rPr>
              <w:t>108</w:t>
            </w:r>
            <w:r>
              <w:rPr>
                <w:rFonts w:hint="default" w:ascii="Times New Roman" w:hAnsi="Times New Roman" w:eastAsia="仿宋_GB2312" w:cs="Times New Roman"/>
                <w:color w:val="auto"/>
                <w:szCs w:val="24"/>
              </w:rPr>
              <w:t>*</w:t>
            </w:r>
            <w:r>
              <w:rPr>
                <w:rFonts w:hint="eastAsia" w:eastAsia="仿宋_GB2312" w:cs="Times New Roman"/>
                <w:color w:val="auto"/>
                <w:szCs w:val="24"/>
                <w:lang w:val="en-US" w:eastAsia="zh-CN"/>
              </w:rPr>
              <w:t>2</w:t>
            </w:r>
            <w:r>
              <w:rPr>
                <w:rFonts w:hint="default" w:ascii="Times New Roman" w:hAnsi="Times New Roman" w:eastAsia="仿宋_GB2312" w:cs="Times New Roman"/>
                <w:color w:val="auto"/>
                <w:szCs w:val="24"/>
              </w:rPr>
              <w:t>=</w:t>
            </w:r>
            <w:r>
              <w:rPr>
                <w:rFonts w:hint="eastAsia" w:cs="Times New Roman"/>
                <w:color w:val="auto"/>
                <w:szCs w:val="24"/>
                <w:lang w:val="en-US" w:eastAsia="zh-CN"/>
              </w:rPr>
              <w:t>216</w:t>
            </w:r>
            <w:r>
              <w:rPr>
                <w:rFonts w:hint="default" w:ascii="Times New Roman" w:hAnsi="Times New Roman" w:eastAsia="仿宋_GB2312" w:cs="Times New Roman"/>
                <w:color w:val="auto"/>
                <w:szCs w:val="24"/>
              </w:rPr>
              <w:t>m</w:t>
            </w:r>
            <w:r>
              <w:rPr>
                <w:rFonts w:hint="default" w:ascii="Times New Roman" w:hAnsi="Times New Roman" w:eastAsia="仿宋_GB2312" w:cs="Times New Roman"/>
                <w:color w:val="auto"/>
                <w:szCs w:val="24"/>
                <w:vertAlign w:val="superscript"/>
              </w:rPr>
              <w:t>3</w:t>
            </w:r>
            <w:r>
              <w:rPr>
                <w:rFonts w:hint="default" w:ascii="Times New Roman" w:hAnsi="Times New Roman" w:eastAsia="仿宋_GB2312" w:cs="Times New Roman"/>
                <w:color w:val="auto"/>
                <w:szCs w:val="24"/>
              </w:rPr>
              <w:t>；</w:t>
            </w:r>
          </w:p>
          <w:p w14:paraId="5C96E02B">
            <w:pPr>
              <w:pStyle w:val="50"/>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（V</w:t>
            </w:r>
            <w:r>
              <w:rPr>
                <w:rFonts w:hint="default" w:ascii="Times New Roman" w:hAnsi="Times New Roman" w:eastAsia="仿宋_GB2312" w:cs="Times New Roman"/>
                <w:color w:val="auto"/>
                <w:szCs w:val="24"/>
                <w:vertAlign w:val="subscript"/>
              </w:rPr>
              <w:t>1</w:t>
            </w:r>
            <w:r>
              <w:rPr>
                <w:rFonts w:hint="default" w:ascii="Times New Roman" w:hAnsi="Times New Roman" w:eastAsia="仿宋_GB2312" w:cs="Times New Roman"/>
                <w:color w:val="auto"/>
                <w:szCs w:val="24"/>
              </w:rPr>
              <w:t>＋V</w:t>
            </w:r>
            <w:r>
              <w:rPr>
                <w:rFonts w:hint="default" w:ascii="Times New Roman" w:hAnsi="Times New Roman" w:eastAsia="仿宋_GB2312" w:cs="Times New Roman"/>
                <w:color w:val="auto"/>
                <w:szCs w:val="24"/>
                <w:vertAlign w:val="subscript"/>
              </w:rPr>
              <w:t>2</w:t>
            </w:r>
            <w:r>
              <w:rPr>
                <w:rFonts w:hint="default" w:ascii="Times New Roman" w:hAnsi="Times New Roman" w:eastAsia="仿宋_GB2312" w:cs="Times New Roman"/>
                <w:color w:val="auto"/>
                <w:szCs w:val="24"/>
              </w:rPr>
              <w:t>-V</w:t>
            </w:r>
            <w:r>
              <w:rPr>
                <w:rFonts w:hint="default" w:ascii="Times New Roman" w:hAnsi="Times New Roman" w:eastAsia="仿宋_GB2312" w:cs="Times New Roman"/>
                <w:color w:val="auto"/>
                <w:szCs w:val="24"/>
                <w:vertAlign w:val="subscript"/>
              </w:rPr>
              <w:t>3</w:t>
            </w:r>
            <w:r>
              <w:rPr>
                <w:rFonts w:hint="default" w:ascii="Times New Roman" w:hAnsi="Times New Roman" w:eastAsia="仿宋_GB2312" w:cs="Times New Roman"/>
                <w:color w:val="auto"/>
                <w:szCs w:val="24"/>
              </w:rPr>
              <w:t>）</w:t>
            </w:r>
            <w:r>
              <w:rPr>
                <w:rFonts w:hint="default" w:ascii="Times New Roman" w:hAnsi="Times New Roman" w:eastAsia="仿宋_GB2312" w:cs="Times New Roman"/>
                <w:color w:val="auto"/>
                <w:szCs w:val="24"/>
                <w:vertAlign w:val="subscript"/>
              </w:rPr>
              <w:t>max</w:t>
            </w:r>
            <w:r>
              <w:rPr>
                <w:rFonts w:hint="default" w:ascii="Times New Roman" w:hAnsi="Times New Roman" w:eastAsia="仿宋_GB2312" w:cs="Times New Roman"/>
                <w:color w:val="auto"/>
                <w:szCs w:val="24"/>
              </w:rPr>
              <w:t>=（0+</w:t>
            </w:r>
            <w:r>
              <w:rPr>
                <w:rFonts w:hint="eastAsia" w:cs="Times New Roman"/>
                <w:color w:val="auto"/>
                <w:szCs w:val="24"/>
                <w:lang w:val="en-US" w:eastAsia="zh-CN"/>
              </w:rPr>
              <w:t>216</w:t>
            </w:r>
            <w:r>
              <w:rPr>
                <w:rFonts w:hint="default" w:ascii="Times New Roman" w:hAnsi="Times New Roman" w:eastAsia="仿宋_GB2312" w:cs="Times New Roman"/>
                <w:color w:val="auto"/>
                <w:szCs w:val="24"/>
              </w:rPr>
              <w:t>－0）=</w:t>
            </w:r>
            <w:r>
              <w:rPr>
                <w:rFonts w:hint="eastAsia" w:cs="Times New Roman"/>
                <w:color w:val="auto"/>
                <w:szCs w:val="24"/>
                <w:lang w:val="en-US" w:eastAsia="zh-CN"/>
              </w:rPr>
              <w:t>216</w:t>
            </w:r>
            <w:r>
              <w:rPr>
                <w:rFonts w:hint="default" w:ascii="Times New Roman" w:hAnsi="Times New Roman" w:eastAsia="仿宋_GB2312" w:cs="Times New Roman"/>
                <w:color w:val="auto"/>
                <w:szCs w:val="24"/>
              </w:rPr>
              <w:t>m</w:t>
            </w:r>
            <w:r>
              <w:rPr>
                <w:rFonts w:hint="default" w:ascii="Times New Roman" w:hAnsi="Times New Roman" w:eastAsia="仿宋_GB2312" w:cs="Times New Roman"/>
                <w:color w:val="auto"/>
                <w:szCs w:val="24"/>
                <w:vertAlign w:val="superscript"/>
              </w:rPr>
              <w:t>3</w:t>
            </w:r>
            <w:r>
              <w:rPr>
                <w:rFonts w:hint="default" w:ascii="Times New Roman" w:hAnsi="Times New Roman" w:eastAsia="仿宋_GB2312" w:cs="Times New Roman"/>
                <w:color w:val="auto"/>
                <w:szCs w:val="24"/>
              </w:rPr>
              <w:t>；</w:t>
            </w:r>
          </w:p>
          <w:p w14:paraId="7AF80E5D">
            <w:pPr>
              <w:pStyle w:val="50"/>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V</w:t>
            </w:r>
            <w:r>
              <w:rPr>
                <w:rFonts w:hint="default" w:ascii="Times New Roman" w:hAnsi="Times New Roman" w:eastAsia="仿宋_GB2312" w:cs="Times New Roman"/>
                <w:color w:val="auto"/>
                <w:szCs w:val="24"/>
                <w:vertAlign w:val="subscript"/>
              </w:rPr>
              <w:t>5</w:t>
            </w:r>
            <w:r>
              <w:rPr>
                <w:rFonts w:hint="default" w:ascii="Times New Roman" w:hAnsi="Times New Roman" w:eastAsia="仿宋_GB2312" w:cs="Times New Roman"/>
                <w:color w:val="auto"/>
                <w:szCs w:val="24"/>
              </w:rPr>
              <w:t>=10qF=10*</w:t>
            </w:r>
            <w:r>
              <w:rPr>
                <w:rFonts w:hint="eastAsia" w:ascii="Times New Roman" w:hAnsi="Times New Roman" w:cs="Times New Roman"/>
                <w:color w:val="auto"/>
                <w:szCs w:val="24"/>
                <w:lang w:val="en-US" w:eastAsia="zh-CN"/>
              </w:rPr>
              <w:t>1074</w:t>
            </w:r>
            <w:r>
              <w:rPr>
                <w:rFonts w:hint="default" w:ascii="Times New Roman" w:hAnsi="Times New Roman" w:eastAsia="仿宋_GB2312" w:cs="Times New Roman"/>
                <w:color w:val="auto"/>
                <w:szCs w:val="24"/>
              </w:rPr>
              <w:t>/1</w:t>
            </w:r>
            <w:r>
              <w:rPr>
                <w:rFonts w:hint="eastAsia" w:ascii="Times New Roman" w:hAnsi="Times New Roman" w:cs="Times New Roman"/>
                <w:color w:val="auto"/>
                <w:szCs w:val="24"/>
                <w:lang w:val="en-US" w:eastAsia="zh-CN"/>
              </w:rPr>
              <w:t>02.3</w:t>
            </w:r>
            <w:r>
              <w:rPr>
                <w:rFonts w:hint="default" w:ascii="Times New Roman" w:hAnsi="Times New Roman" w:eastAsia="仿宋_GB2312" w:cs="Times New Roman"/>
                <w:color w:val="auto"/>
                <w:szCs w:val="24"/>
              </w:rPr>
              <w:t>*</w:t>
            </w:r>
            <w:r>
              <w:rPr>
                <w:rFonts w:hint="eastAsia" w:ascii="Times New Roman" w:hAnsi="Times New Roman" w:eastAsia="宋体" w:cs="Times New Roman"/>
                <w:color w:val="auto"/>
                <w:szCs w:val="24"/>
                <w:lang w:val="en-US" w:eastAsia="zh-CN"/>
              </w:rPr>
              <w:t>11.5925</w:t>
            </w:r>
            <w:r>
              <w:rPr>
                <w:rFonts w:hint="default" w:ascii="Times New Roman" w:hAnsi="Times New Roman" w:eastAsia="宋体" w:cs="Times New Roman"/>
                <w:color w:val="auto"/>
                <w:szCs w:val="24"/>
                <w:lang w:val="en-US" w:eastAsia="zh-CN"/>
              </w:rPr>
              <w:t>≈</w:t>
            </w:r>
            <w:r>
              <w:rPr>
                <w:rFonts w:hint="eastAsia" w:ascii="Times New Roman" w:hAnsi="Times New Roman" w:cs="Times New Roman"/>
                <w:color w:val="auto"/>
                <w:szCs w:val="24"/>
                <w:lang w:val="en-US" w:eastAsia="zh-CN"/>
              </w:rPr>
              <w:t>1217</w:t>
            </w:r>
            <w:r>
              <w:rPr>
                <w:rFonts w:hint="default" w:ascii="Times New Roman" w:hAnsi="Times New Roman" w:eastAsia="仿宋_GB2312" w:cs="Times New Roman"/>
                <w:color w:val="auto"/>
                <w:szCs w:val="24"/>
              </w:rPr>
              <w:t>m</w:t>
            </w:r>
            <w:r>
              <w:rPr>
                <w:rFonts w:hint="default" w:ascii="Times New Roman" w:hAnsi="Times New Roman" w:eastAsia="仿宋_GB2312" w:cs="Times New Roman"/>
                <w:color w:val="auto"/>
                <w:szCs w:val="24"/>
                <w:vertAlign w:val="superscript"/>
              </w:rPr>
              <w:t>3</w:t>
            </w:r>
            <w:r>
              <w:rPr>
                <w:rFonts w:hint="default" w:ascii="Times New Roman" w:hAnsi="Times New Roman" w:eastAsia="仿宋_GB2312" w:cs="Times New Roman"/>
                <w:color w:val="auto"/>
                <w:szCs w:val="24"/>
              </w:rPr>
              <w:t>；</w:t>
            </w:r>
          </w:p>
          <w:p w14:paraId="52B4EDD4">
            <w:pPr>
              <w:pStyle w:val="50"/>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V</w:t>
            </w:r>
            <w:r>
              <w:rPr>
                <w:rFonts w:hint="default" w:ascii="Times New Roman" w:hAnsi="Times New Roman" w:eastAsia="仿宋_GB2312" w:cs="Times New Roman"/>
                <w:color w:val="auto"/>
                <w:szCs w:val="24"/>
                <w:vertAlign w:val="subscript"/>
              </w:rPr>
              <w:t>总</w:t>
            </w:r>
            <w:r>
              <w:rPr>
                <w:rFonts w:hint="default" w:ascii="Times New Roman" w:hAnsi="Times New Roman" w:eastAsia="仿宋_GB2312" w:cs="Times New Roman"/>
                <w:color w:val="auto"/>
                <w:szCs w:val="24"/>
              </w:rPr>
              <w:t>＝（V</w:t>
            </w:r>
            <w:r>
              <w:rPr>
                <w:rFonts w:hint="default" w:ascii="Times New Roman" w:hAnsi="Times New Roman" w:eastAsia="仿宋_GB2312" w:cs="Times New Roman"/>
                <w:color w:val="auto"/>
                <w:szCs w:val="24"/>
                <w:vertAlign w:val="subscript"/>
              </w:rPr>
              <w:t>1</w:t>
            </w:r>
            <w:r>
              <w:rPr>
                <w:rFonts w:hint="default" w:ascii="Times New Roman" w:hAnsi="Times New Roman" w:eastAsia="仿宋_GB2312" w:cs="Times New Roman"/>
                <w:color w:val="auto"/>
                <w:szCs w:val="24"/>
              </w:rPr>
              <w:t>＋V</w:t>
            </w:r>
            <w:r>
              <w:rPr>
                <w:rFonts w:hint="default" w:ascii="Times New Roman" w:hAnsi="Times New Roman" w:eastAsia="仿宋_GB2312" w:cs="Times New Roman"/>
                <w:color w:val="auto"/>
                <w:szCs w:val="24"/>
                <w:vertAlign w:val="subscript"/>
              </w:rPr>
              <w:t>2</w:t>
            </w:r>
            <w:r>
              <w:rPr>
                <w:rFonts w:hint="default" w:ascii="Times New Roman" w:hAnsi="Times New Roman" w:eastAsia="仿宋_GB2312" w:cs="Times New Roman"/>
                <w:color w:val="auto"/>
                <w:szCs w:val="24"/>
              </w:rPr>
              <w:t>－V</w:t>
            </w:r>
            <w:r>
              <w:rPr>
                <w:rFonts w:hint="default" w:ascii="Times New Roman" w:hAnsi="Times New Roman" w:eastAsia="仿宋_GB2312" w:cs="Times New Roman"/>
                <w:color w:val="auto"/>
                <w:szCs w:val="24"/>
                <w:vertAlign w:val="subscript"/>
              </w:rPr>
              <w:t>3</w:t>
            </w:r>
            <w:r>
              <w:rPr>
                <w:rFonts w:hint="default" w:ascii="Times New Roman" w:hAnsi="Times New Roman" w:eastAsia="仿宋_GB2312" w:cs="Times New Roman"/>
                <w:color w:val="auto"/>
                <w:szCs w:val="24"/>
              </w:rPr>
              <w:t>）</w:t>
            </w:r>
            <w:r>
              <w:rPr>
                <w:rFonts w:hint="default" w:ascii="Times New Roman" w:hAnsi="Times New Roman" w:eastAsia="仿宋_GB2312" w:cs="Times New Roman"/>
                <w:color w:val="auto"/>
                <w:szCs w:val="24"/>
                <w:vertAlign w:val="subscript"/>
              </w:rPr>
              <w:t>max</w:t>
            </w:r>
            <w:r>
              <w:rPr>
                <w:rFonts w:hint="default" w:ascii="Times New Roman" w:hAnsi="Times New Roman" w:eastAsia="仿宋_GB2312" w:cs="Times New Roman"/>
                <w:color w:val="auto"/>
                <w:szCs w:val="24"/>
              </w:rPr>
              <w:t>＋V</w:t>
            </w:r>
            <w:r>
              <w:rPr>
                <w:rFonts w:hint="default" w:ascii="Times New Roman" w:hAnsi="Times New Roman" w:eastAsia="仿宋_GB2312" w:cs="Times New Roman"/>
                <w:color w:val="auto"/>
                <w:szCs w:val="24"/>
                <w:vertAlign w:val="subscript"/>
              </w:rPr>
              <w:t>4</w:t>
            </w:r>
            <w:r>
              <w:rPr>
                <w:rFonts w:hint="default" w:ascii="Times New Roman" w:hAnsi="Times New Roman" w:eastAsia="仿宋_GB2312" w:cs="Times New Roman"/>
                <w:color w:val="auto"/>
                <w:szCs w:val="24"/>
              </w:rPr>
              <w:t>+V</w:t>
            </w:r>
            <w:r>
              <w:rPr>
                <w:rFonts w:hint="default" w:ascii="Times New Roman" w:hAnsi="Times New Roman" w:eastAsia="仿宋_GB2312" w:cs="Times New Roman"/>
                <w:color w:val="auto"/>
                <w:szCs w:val="24"/>
                <w:vertAlign w:val="subscript"/>
              </w:rPr>
              <w:t>5</w:t>
            </w:r>
            <w:r>
              <w:rPr>
                <w:rFonts w:hint="default" w:ascii="Times New Roman" w:hAnsi="Times New Roman" w:eastAsia="仿宋_GB2312" w:cs="Times New Roman"/>
                <w:color w:val="auto"/>
                <w:szCs w:val="24"/>
              </w:rPr>
              <w:t>=</w:t>
            </w:r>
            <w:r>
              <w:rPr>
                <w:rFonts w:hint="eastAsia" w:eastAsia="仿宋_GB2312" w:cs="Times New Roman"/>
                <w:color w:val="auto"/>
                <w:szCs w:val="24"/>
                <w:lang w:val="en-US" w:eastAsia="zh-CN"/>
              </w:rPr>
              <w:t>216</w:t>
            </w:r>
            <w:r>
              <w:rPr>
                <w:rFonts w:hint="default" w:ascii="Times New Roman" w:hAnsi="Times New Roman" w:eastAsia="仿宋_GB2312" w:cs="Times New Roman"/>
                <w:color w:val="auto"/>
                <w:szCs w:val="24"/>
              </w:rPr>
              <w:t>+</w:t>
            </w:r>
            <w:r>
              <w:rPr>
                <w:rFonts w:hint="eastAsia" w:ascii="Times New Roman" w:hAnsi="Times New Roman" w:eastAsia="仿宋_GB2312" w:cs="Times New Roman"/>
                <w:color w:val="auto"/>
                <w:szCs w:val="24"/>
                <w:lang w:val="en-US" w:eastAsia="zh-CN"/>
              </w:rPr>
              <w:t>0+</w:t>
            </w:r>
            <w:r>
              <w:rPr>
                <w:rFonts w:hint="eastAsia" w:ascii="Times New Roman" w:hAnsi="Times New Roman" w:cs="Times New Roman"/>
                <w:color w:val="auto"/>
                <w:szCs w:val="24"/>
                <w:lang w:val="en-US" w:eastAsia="zh-CN"/>
              </w:rPr>
              <w:t>1217</w:t>
            </w:r>
            <w:r>
              <w:rPr>
                <w:rFonts w:hint="default" w:ascii="Times New Roman" w:hAnsi="Times New Roman" w:eastAsia="仿宋_GB2312" w:cs="Times New Roman"/>
                <w:color w:val="auto"/>
                <w:szCs w:val="24"/>
              </w:rPr>
              <w:t>=</w:t>
            </w:r>
            <w:r>
              <w:rPr>
                <w:rFonts w:hint="eastAsia" w:eastAsia="仿宋_GB2312" w:cs="Times New Roman"/>
                <w:color w:val="auto"/>
                <w:szCs w:val="24"/>
                <w:lang w:val="en-US" w:eastAsia="zh-CN"/>
              </w:rPr>
              <w:t>1433</w:t>
            </w:r>
            <w:r>
              <w:rPr>
                <w:rFonts w:hint="default" w:ascii="Times New Roman" w:hAnsi="Times New Roman" w:eastAsia="仿宋_GB2312" w:cs="Times New Roman"/>
                <w:color w:val="auto"/>
                <w:szCs w:val="24"/>
              </w:rPr>
              <w:t>m</w:t>
            </w:r>
            <w:r>
              <w:rPr>
                <w:rFonts w:hint="default" w:ascii="Times New Roman" w:hAnsi="Times New Roman" w:eastAsia="仿宋_GB2312" w:cs="Times New Roman"/>
                <w:color w:val="auto"/>
                <w:szCs w:val="24"/>
                <w:vertAlign w:val="superscript"/>
              </w:rPr>
              <w:t>3</w:t>
            </w:r>
            <w:r>
              <w:rPr>
                <w:rFonts w:hint="default" w:ascii="Times New Roman" w:hAnsi="Times New Roman" w:eastAsia="仿宋_GB2312" w:cs="Times New Roman"/>
                <w:color w:val="auto"/>
                <w:szCs w:val="24"/>
              </w:rPr>
              <w:t>；</w:t>
            </w:r>
          </w:p>
          <w:p w14:paraId="217576D7">
            <w:pPr>
              <w:pStyle w:val="50"/>
              <w:keepNext w:val="0"/>
              <w:keepLines w:val="0"/>
              <w:pageBreakBefore w:val="0"/>
              <w:kinsoku/>
              <w:wordWrap/>
              <w:overflowPunct/>
              <w:topLinePunct w:val="0"/>
              <w:autoSpaceDE/>
              <w:autoSpaceDN/>
              <w:bidi w:val="0"/>
              <w:adjustRightInd/>
              <w:spacing w:line="360" w:lineRule="auto"/>
              <w:ind w:firstLine="480"/>
              <w:jc w:val="both"/>
              <w:textAlignment w:val="auto"/>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企业需要建设一个</w:t>
            </w:r>
            <w:r>
              <w:rPr>
                <w:rFonts w:hint="eastAsia" w:cs="Times New Roman"/>
                <w:color w:val="auto"/>
                <w:szCs w:val="24"/>
                <w:lang w:val="en-US" w:eastAsia="zh-CN"/>
              </w:rPr>
              <w:t>1433</w:t>
            </w:r>
            <w:r>
              <w:rPr>
                <w:rFonts w:hint="eastAsia" w:ascii="Times New Roman" w:hAnsi="Times New Roman" w:cs="Times New Roman"/>
                <w:color w:val="auto"/>
                <w:szCs w:val="24"/>
                <w:lang w:val="en-US" w:eastAsia="zh-CN"/>
              </w:rPr>
              <w:t xml:space="preserve"> </w:t>
            </w:r>
            <w:r>
              <w:rPr>
                <w:rFonts w:hint="default" w:ascii="Times New Roman" w:hAnsi="Times New Roman" w:eastAsia="仿宋_GB2312" w:cs="Times New Roman"/>
                <w:color w:val="auto"/>
                <w:szCs w:val="24"/>
              </w:rPr>
              <w:t>m</w:t>
            </w:r>
            <w:r>
              <w:rPr>
                <w:rFonts w:hint="default" w:ascii="Times New Roman" w:hAnsi="Times New Roman" w:eastAsia="仿宋_GB2312" w:cs="Times New Roman"/>
                <w:color w:val="auto"/>
                <w:szCs w:val="24"/>
                <w:vertAlign w:val="superscript"/>
              </w:rPr>
              <w:t>3</w:t>
            </w:r>
            <w:r>
              <w:rPr>
                <w:rFonts w:hint="default" w:ascii="Times New Roman" w:hAnsi="Times New Roman" w:eastAsia="仿宋_GB2312" w:cs="Times New Roman"/>
                <w:color w:val="auto"/>
                <w:szCs w:val="24"/>
              </w:rPr>
              <w:t>事故应急池；</w:t>
            </w:r>
          </w:p>
          <w:p w14:paraId="2CF80128">
            <w:pPr>
              <w:pStyle w:val="50"/>
              <w:keepNext w:val="0"/>
              <w:keepLines w:val="0"/>
              <w:pageBreakBefore w:val="0"/>
              <w:kinsoku/>
              <w:wordWrap/>
              <w:overflowPunct/>
              <w:topLinePunct w:val="0"/>
              <w:autoSpaceDE/>
              <w:autoSpaceDN/>
              <w:bidi w:val="0"/>
              <w:adjustRightInd/>
              <w:spacing w:line="360" w:lineRule="auto"/>
              <w:ind w:firstLine="480"/>
              <w:jc w:val="both"/>
              <w:textAlignment w:val="auto"/>
              <w:rPr>
                <w:rFonts w:hint="default" w:ascii="Times New Roman" w:hAnsi="Times New Roman" w:eastAsia="仿宋_GB2312" w:cs="Times New Roman"/>
                <w:szCs w:val="24"/>
              </w:rPr>
            </w:pPr>
            <w:r>
              <w:rPr>
                <w:rFonts w:hint="default" w:ascii="Times New Roman" w:hAnsi="Times New Roman" w:eastAsia="仿宋_GB2312" w:cs="Times New Roman"/>
                <w:color w:val="auto"/>
                <w:szCs w:val="24"/>
              </w:rPr>
              <w:t>按照上述公式计算：V</w:t>
            </w:r>
            <w:r>
              <w:rPr>
                <w:rFonts w:hint="default" w:ascii="Times New Roman" w:hAnsi="Times New Roman" w:eastAsia="仿宋_GB2312" w:cs="Times New Roman"/>
                <w:color w:val="auto"/>
                <w:szCs w:val="24"/>
                <w:vertAlign w:val="subscript"/>
              </w:rPr>
              <w:t>总</w:t>
            </w:r>
            <w:r>
              <w:rPr>
                <w:rFonts w:hint="default" w:ascii="Times New Roman" w:hAnsi="Times New Roman" w:eastAsia="仿宋_GB2312" w:cs="Times New Roman"/>
                <w:color w:val="auto"/>
                <w:szCs w:val="24"/>
              </w:rPr>
              <w:t>=</w:t>
            </w:r>
            <w:r>
              <w:rPr>
                <w:rFonts w:hint="eastAsia" w:cs="Times New Roman"/>
                <w:color w:val="auto"/>
                <w:szCs w:val="24"/>
                <w:lang w:val="en-US" w:eastAsia="zh-CN"/>
              </w:rPr>
              <w:t>1433</w:t>
            </w:r>
            <w:r>
              <w:rPr>
                <w:rFonts w:hint="eastAsia" w:ascii="Times New Roman" w:hAnsi="Times New Roman" w:cs="Times New Roman"/>
                <w:color w:val="auto"/>
                <w:szCs w:val="24"/>
                <w:lang w:val="en-US" w:eastAsia="zh-CN"/>
              </w:rPr>
              <w:t xml:space="preserve"> </w:t>
            </w:r>
            <w:r>
              <w:rPr>
                <w:rFonts w:hint="default" w:ascii="Times New Roman" w:hAnsi="Times New Roman" w:eastAsia="仿宋_GB2312" w:cs="Times New Roman"/>
                <w:color w:val="auto"/>
                <w:szCs w:val="24"/>
              </w:rPr>
              <w:t>m</w:t>
            </w:r>
            <w:r>
              <w:rPr>
                <w:rFonts w:hint="default" w:ascii="Times New Roman" w:hAnsi="Times New Roman" w:eastAsia="仿宋_GB2312" w:cs="Times New Roman"/>
                <w:color w:val="auto"/>
                <w:szCs w:val="24"/>
                <w:vertAlign w:val="superscript"/>
              </w:rPr>
              <w:t>3</w:t>
            </w:r>
            <w:r>
              <w:rPr>
                <w:rFonts w:hint="default" w:ascii="Times New Roman" w:hAnsi="Times New Roman" w:eastAsia="仿宋_GB2312" w:cs="Times New Roman"/>
                <w:color w:val="auto"/>
                <w:szCs w:val="24"/>
              </w:rPr>
              <w:t>，</w:t>
            </w:r>
            <w:r>
              <w:rPr>
                <w:rFonts w:hint="eastAsia" w:eastAsia="仿宋_GB2312" w:cs="Times New Roman"/>
                <w:color w:val="auto"/>
                <w:szCs w:val="24"/>
                <w:lang w:val="en-US" w:eastAsia="zh-CN"/>
              </w:rPr>
              <w:t>企业已在</w:t>
            </w:r>
            <w:r>
              <w:rPr>
                <w:rFonts w:hint="default" w:ascii="Times New Roman" w:hAnsi="Times New Roman" w:eastAsia="仿宋_GB2312" w:cs="Times New Roman"/>
                <w:szCs w:val="24"/>
              </w:rPr>
              <w:t>厂区内设置</w:t>
            </w:r>
            <w:r>
              <w:rPr>
                <w:rFonts w:hint="eastAsia" w:eastAsia="仿宋_GB2312" w:cs="Times New Roman"/>
                <w:szCs w:val="24"/>
                <w:lang w:val="en-US" w:eastAsia="zh-CN"/>
              </w:rPr>
              <w:t>了</w:t>
            </w:r>
            <w:r>
              <w:rPr>
                <w:rFonts w:hint="eastAsia" w:ascii="Times New Roman" w:hAnsi="Times New Roman" w:cs="Times New Roman"/>
                <w:szCs w:val="24"/>
                <w:lang w:val="en-US" w:eastAsia="zh-CN"/>
              </w:rPr>
              <w:t>300</w:t>
            </w:r>
            <w:r>
              <w:rPr>
                <w:rFonts w:hint="default" w:ascii="Times New Roman" w:hAnsi="Times New Roman" w:eastAsia="仿宋_GB2312" w:cs="Times New Roman"/>
                <w:szCs w:val="24"/>
              </w:rPr>
              <w:t>0</w:t>
            </w:r>
            <w:r>
              <w:rPr>
                <w:rFonts w:hint="eastAsia" w:ascii="Times New Roman" w:hAnsi="Times New Roman" w:cs="Times New Roman"/>
                <w:szCs w:val="24"/>
                <w:lang w:val="en-US" w:eastAsia="zh-CN"/>
              </w:rPr>
              <w:t xml:space="preserve"> </w:t>
            </w:r>
            <w:r>
              <w:rPr>
                <w:rFonts w:hint="default" w:ascii="Times New Roman" w:hAnsi="Times New Roman" w:eastAsia="仿宋_GB2312" w:cs="Times New Roman"/>
                <w:szCs w:val="24"/>
              </w:rPr>
              <w:t>m</w:t>
            </w:r>
            <w:r>
              <w:rPr>
                <w:rFonts w:hint="default" w:ascii="Times New Roman" w:hAnsi="Times New Roman" w:eastAsia="仿宋_GB2312" w:cs="Times New Roman"/>
                <w:szCs w:val="24"/>
                <w:vertAlign w:val="superscript"/>
              </w:rPr>
              <w:t>3</w:t>
            </w:r>
            <w:r>
              <w:rPr>
                <w:rFonts w:hint="default" w:ascii="Times New Roman" w:hAnsi="Times New Roman" w:eastAsia="仿宋_GB2312" w:cs="Times New Roman"/>
                <w:szCs w:val="24"/>
              </w:rPr>
              <w:t>事故池，</w:t>
            </w:r>
            <w:r>
              <w:rPr>
                <w:rFonts w:hint="eastAsia" w:eastAsia="仿宋_GB2312" w:cs="Times New Roman"/>
                <w:szCs w:val="24"/>
                <w:lang w:val="en-US" w:eastAsia="zh-CN"/>
              </w:rPr>
              <w:t>可</w:t>
            </w:r>
            <w:r>
              <w:rPr>
                <w:rFonts w:hint="default" w:ascii="Times New Roman" w:hAnsi="Times New Roman" w:eastAsia="仿宋_GB2312" w:cs="Times New Roman"/>
                <w:szCs w:val="24"/>
              </w:rPr>
              <w:t>满足事故排水储存的要求，事故池</w:t>
            </w:r>
            <w:r>
              <w:rPr>
                <w:rFonts w:hint="eastAsia" w:eastAsia="仿宋_GB2312" w:cs="Times New Roman"/>
                <w:szCs w:val="24"/>
                <w:lang w:val="en-US" w:eastAsia="zh-CN"/>
              </w:rPr>
              <w:t>已</w:t>
            </w:r>
            <w:r>
              <w:rPr>
                <w:rFonts w:hint="default" w:ascii="Times New Roman" w:hAnsi="Times New Roman" w:eastAsia="仿宋_GB2312" w:cs="Times New Roman"/>
                <w:szCs w:val="24"/>
              </w:rPr>
              <w:t>配备提升泵等相关措施，当发生泄漏等事故时，事故废水等无动力自流进入事故池中，可以起到有效的环境风险事故应急措施使用。</w:t>
            </w:r>
          </w:p>
          <w:p w14:paraId="02E6F2EC">
            <w:pPr>
              <w:pStyle w:val="50"/>
              <w:keepNext w:val="0"/>
              <w:keepLines w:val="0"/>
              <w:pageBreakBefore w:val="0"/>
              <w:kinsoku/>
              <w:wordWrap/>
              <w:overflowPunct/>
              <w:topLinePunct w:val="0"/>
              <w:autoSpaceDE/>
              <w:autoSpaceDN/>
              <w:bidi w:val="0"/>
              <w:adjustRightInd/>
              <w:spacing w:line="360" w:lineRule="auto"/>
              <w:ind w:firstLine="480"/>
              <w:jc w:val="both"/>
              <w:textAlignment w:val="auto"/>
              <w:rPr>
                <w:rFonts w:hint="default" w:ascii="Times New Roman" w:hAnsi="Times New Roman" w:eastAsia="仿宋_GB2312" w:cs="Times New Roman"/>
                <w:szCs w:val="24"/>
              </w:rPr>
            </w:pPr>
            <w:r>
              <w:rPr>
                <w:rFonts w:hint="default" w:ascii="Times New Roman" w:hAnsi="Times New Roman" w:eastAsia="仿宋_GB2312" w:cs="Times New Roman"/>
                <w:szCs w:val="24"/>
              </w:rPr>
              <w:t>设置事故池收集系统时，应严格执行《储罐区防火堤设计规范》、</w:t>
            </w:r>
            <w:r>
              <w:rPr>
                <w:rFonts w:hint="default" w:ascii="Times New Roman" w:hAnsi="Times New Roman" w:eastAsia="仿宋_GB2312" w:cs="Times New Roman"/>
                <w:szCs w:val="24"/>
                <w:lang w:val="en-US" w:eastAsia="zh-CN"/>
              </w:rPr>
              <w:t>《事故状态下水体污染的预防与控制技术要求》</w:t>
            </w:r>
            <w:r>
              <w:rPr>
                <w:rFonts w:hint="default" w:ascii="Times New Roman" w:hAnsi="Times New Roman" w:eastAsia="仿宋_GB2312" w:cs="Times New Roman"/>
                <w:szCs w:val="24"/>
              </w:rPr>
              <w:t>等规范，科学合理设置废水事故池和管线。各管线铺设过程应考虑一定的坡度，确保废水废液应能够全部自流进入，对于部分区域地势确实过高的，应提前配置输送设施；事故池外排口除了设置电动控制阀外，应考虑电动控制阀失效状态下的应急准备，设置备用人工控制阀。</w:t>
            </w:r>
          </w:p>
          <w:p w14:paraId="4E886612">
            <w:pPr>
              <w:pStyle w:val="50"/>
              <w:keepNext w:val="0"/>
              <w:keepLines w:val="0"/>
              <w:pageBreakBefore w:val="0"/>
              <w:widowControl/>
              <w:kinsoku/>
              <w:wordWrap/>
              <w:overflowPunct/>
              <w:topLinePunct w:val="0"/>
              <w:autoSpaceDE/>
              <w:autoSpaceDN/>
              <w:bidi w:val="0"/>
              <w:adjustRightInd/>
              <w:snapToGrid/>
              <w:spacing w:line="360" w:lineRule="auto"/>
              <w:ind w:firstLine="480"/>
              <w:jc w:val="both"/>
              <w:textAlignment w:val="auto"/>
              <w:rPr>
                <w:rFonts w:hint="eastAsia" w:ascii="Times New Roman" w:hAnsi="Times New Roman" w:eastAsia="仿宋_GB2312" w:cs="Times New Roman"/>
                <w:b/>
                <w:lang w:eastAsia="zh-CN"/>
              </w:rPr>
            </w:pPr>
            <w:r>
              <w:rPr>
                <w:rFonts w:hint="eastAsia" w:ascii="Times New Roman" w:hAnsi="Times New Roman" w:eastAsia="仿宋_GB2312" w:cs="Times New Roman"/>
                <w:b/>
                <w:lang w:val="en-US" w:eastAsia="zh-CN"/>
              </w:rPr>
              <w:t>（</w:t>
            </w:r>
            <w:r>
              <w:rPr>
                <w:rFonts w:hint="eastAsia" w:eastAsia="仿宋_GB2312" w:cs="Times New Roman"/>
                <w:b/>
                <w:lang w:val="en-US" w:eastAsia="zh-CN"/>
              </w:rPr>
              <w:t>7</w:t>
            </w:r>
            <w:r>
              <w:rPr>
                <w:rFonts w:hint="eastAsia" w:ascii="Times New Roman" w:hAnsi="Times New Roman" w:eastAsia="仿宋_GB2312" w:cs="Times New Roman"/>
                <w:b/>
                <w:lang w:val="en-US" w:eastAsia="zh-CN"/>
              </w:rPr>
              <w:t>）</w:t>
            </w:r>
            <w:r>
              <w:rPr>
                <w:rFonts w:hint="eastAsia" w:ascii="Times New Roman" w:hAnsi="Times New Roman" w:eastAsia="仿宋_GB2312" w:cs="Times New Roman"/>
                <w:b/>
                <w:lang w:eastAsia="zh-CN"/>
              </w:rPr>
              <w:t>应急预案</w:t>
            </w:r>
          </w:p>
          <w:p w14:paraId="0D60C00E">
            <w:pPr>
              <w:pStyle w:val="99"/>
              <w:keepNext w:val="0"/>
              <w:keepLines w:val="0"/>
              <w:pageBreakBefore w:val="0"/>
              <w:widowControl/>
              <w:kinsoku/>
              <w:wordWrap/>
              <w:overflowPunct w:val="0"/>
              <w:topLinePunct w:val="0"/>
              <w:autoSpaceDE w:val="0"/>
              <w:autoSpaceDN w:val="0"/>
              <w:bidi w:val="0"/>
              <w:adjustRightInd w:val="0"/>
              <w:snapToGrid w:val="0"/>
              <w:spacing w:line="360" w:lineRule="auto"/>
              <w:ind w:left="0" w:right="0" w:firstLine="420" w:firstLineChars="200"/>
              <w:jc w:val="left"/>
              <w:textAlignment w:val="baseline"/>
              <w:rPr>
                <w:rFonts w:hint="default" w:ascii="Times New Roman" w:hAnsi="Times New Roman" w:eastAsia="仿宋_GB2312" w:cs="Times New Roman"/>
                <w:kern w:val="2"/>
                <w:sz w:val="21"/>
                <w:szCs w:val="24"/>
                <w:lang w:val="en-US" w:eastAsia="zh-CN" w:bidi="ar-SA"/>
              </w:rPr>
            </w:pPr>
            <w:r>
              <w:rPr>
                <w:rFonts w:hint="default" w:ascii="Times New Roman" w:hAnsi="Times New Roman" w:eastAsia="仿宋_GB2312" w:cs="Times New Roman"/>
                <w:kern w:val="2"/>
                <w:sz w:val="21"/>
                <w:szCs w:val="24"/>
                <w:lang w:val="en-US" w:eastAsia="zh-CN" w:bidi="ar-SA"/>
              </w:rPr>
              <w:t>建设单位应根据《企业事业单位突发环境事件应急预案备案管理办法（试行）》（环发〔2015〕4号）、《企事业单位和工业园区突发环境事件应急预案编制导则（DB32/T3795-2020）》等要求</w:t>
            </w:r>
            <w:r>
              <w:rPr>
                <w:rFonts w:hint="eastAsia" w:ascii="Times New Roman" w:hAnsi="Times New Roman" w:eastAsia="仿宋_GB2312" w:cs="Times New Roman"/>
                <w:kern w:val="2"/>
                <w:sz w:val="21"/>
                <w:szCs w:val="24"/>
                <w:lang w:val="en-US" w:eastAsia="zh-CN" w:bidi="ar-SA"/>
              </w:rPr>
              <w:t>更新</w:t>
            </w:r>
            <w:r>
              <w:rPr>
                <w:rFonts w:hint="default" w:ascii="Times New Roman" w:hAnsi="Times New Roman" w:eastAsia="仿宋_GB2312" w:cs="Times New Roman"/>
                <w:kern w:val="2"/>
                <w:sz w:val="21"/>
                <w:szCs w:val="24"/>
                <w:lang w:val="en-US" w:eastAsia="zh-CN" w:bidi="ar-SA"/>
              </w:rPr>
              <w:t>突发环境事件应急预案，应充分利用区域安全、环境保护等资源，不断完善应急救援体系，确保应急预案具有针对性和可操作性，编制过程注意厂内应急预案与园区应急预案相衔接。突发环境事件应急预案应包括综合</w:t>
            </w:r>
            <w:r>
              <w:rPr>
                <w:rFonts w:hint="eastAsia" w:ascii="Times New Roman" w:hAnsi="Times New Roman" w:eastAsia="仿宋_GB2312" w:cs="Times New Roman"/>
                <w:kern w:val="2"/>
                <w:sz w:val="21"/>
                <w:szCs w:val="24"/>
                <w:lang w:val="en-US" w:eastAsia="zh-CN" w:bidi="ar-SA"/>
              </w:rPr>
              <w:t>预案</w:t>
            </w:r>
            <w:r>
              <w:rPr>
                <w:rFonts w:hint="default" w:ascii="Times New Roman" w:hAnsi="Times New Roman" w:eastAsia="仿宋_GB2312" w:cs="Times New Roman"/>
                <w:kern w:val="2"/>
                <w:sz w:val="21"/>
                <w:szCs w:val="24"/>
                <w:lang w:val="en-US" w:eastAsia="zh-CN" w:bidi="ar-SA"/>
              </w:rPr>
              <w:t>、专项预案及现场应急处置卡，详见表4-</w:t>
            </w:r>
            <w:r>
              <w:rPr>
                <w:rFonts w:hint="eastAsia" w:ascii="Times New Roman" w:hAnsi="Times New Roman" w:eastAsia="仿宋_GB2312" w:cs="Times New Roman"/>
                <w:kern w:val="2"/>
                <w:sz w:val="21"/>
                <w:szCs w:val="24"/>
                <w:lang w:val="en-US" w:eastAsia="zh-CN" w:bidi="ar-SA"/>
              </w:rPr>
              <w:t>42</w:t>
            </w:r>
            <w:r>
              <w:rPr>
                <w:rFonts w:hint="default" w:ascii="Times New Roman" w:hAnsi="Times New Roman" w:eastAsia="仿宋_GB2312" w:cs="Times New Roman"/>
                <w:kern w:val="2"/>
                <w:sz w:val="21"/>
                <w:szCs w:val="24"/>
                <w:lang w:val="en-US" w:eastAsia="zh-CN" w:bidi="ar-SA"/>
              </w:rPr>
              <w:t>。</w:t>
            </w:r>
          </w:p>
          <w:p w14:paraId="763F08D3">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jc w:val="center"/>
              <w:textAlignment w:val="auto"/>
              <w:rPr>
                <w:rFonts w:hint="default" w:ascii="Times New Roman" w:hAnsi="Times New Roman" w:eastAsia="仿宋_GB2312" w:cs="Times New Roman"/>
                <w:b/>
                <w:color w:val="auto"/>
                <w:spacing w:val="0"/>
                <w:kern w:val="0"/>
                <w:position w:val="0"/>
                <w:sz w:val="21"/>
                <w:szCs w:val="21"/>
              </w:rPr>
            </w:pPr>
            <w:r>
              <w:rPr>
                <w:rFonts w:hint="default" w:ascii="Times New Roman" w:hAnsi="Times New Roman" w:eastAsia="仿宋_GB2312" w:cs="Times New Roman"/>
                <w:b/>
                <w:color w:val="auto"/>
                <w:spacing w:val="0"/>
                <w:kern w:val="0"/>
                <w:position w:val="0"/>
                <w:sz w:val="21"/>
                <w:szCs w:val="21"/>
              </w:rPr>
              <w:t>表4-</w:t>
            </w:r>
            <w:r>
              <w:rPr>
                <w:rFonts w:hint="eastAsia" w:eastAsia="仿宋_GB2312" w:cs="Times New Roman"/>
                <w:b/>
                <w:color w:val="auto"/>
                <w:spacing w:val="0"/>
                <w:kern w:val="0"/>
                <w:position w:val="0"/>
                <w:sz w:val="21"/>
                <w:szCs w:val="21"/>
                <w:lang w:val="en-US" w:eastAsia="zh-CN"/>
              </w:rPr>
              <w:t>42</w:t>
            </w:r>
            <w:r>
              <w:rPr>
                <w:rFonts w:hint="eastAsia" w:ascii="Times New Roman" w:hAnsi="Times New Roman" w:eastAsia="仿宋_GB2312" w:cs="Times New Roman"/>
                <w:b/>
                <w:color w:val="auto"/>
                <w:spacing w:val="0"/>
                <w:kern w:val="0"/>
                <w:position w:val="0"/>
                <w:sz w:val="21"/>
                <w:szCs w:val="21"/>
                <w:lang w:val="en-US" w:eastAsia="zh-CN"/>
              </w:rPr>
              <w:t xml:space="preserve">  </w:t>
            </w:r>
            <w:r>
              <w:rPr>
                <w:rFonts w:hint="default" w:ascii="Times New Roman" w:hAnsi="Times New Roman" w:eastAsia="仿宋_GB2312" w:cs="Times New Roman"/>
                <w:b/>
                <w:color w:val="auto"/>
                <w:spacing w:val="0"/>
                <w:kern w:val="0"/>
                <w:position w:val="0"/>
                <w:sz w:val="21"/>
                <w:szCs w:val="21"/>
              </w:rPr>
              <w:t>应急预案内容</w:t>
            </w:r>
          </w:p>
          <w:tbl>
            <w:tblPr>
              <w:tblStyle w:val="98"/>
              <w:tblW w:w="8403"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705"/>
              <w:gridCol w:w="1726"/>
              <w:gridCol w:w="5972"/>
            </w:tblGrid>
            <w:tr w14:paraId="407A450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05" w:type="dxa"/>
                  <w:tcBorders>
                    <w:tl2br w:val="nil"/>
                    <w:tr2bl w:val="nil"/>
                  </w:tcBorders>
                  <w:vAlign w:val="center"/>
                </w:tcPr>
                <w:p w14:paraId="603EC673">
                  <w:pPr>
                    <w:pStyle w:val="99"/>
                    <w:keepNext w:val="0"/>
                    <w:keepLines w:val="0"/>
                    <w:pageBreakBefore w:val="0"/>
                    <w:widowControl/>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仿宋_GB2312" w:cs="Times New Roman"/>
                      <w:b/>
                      <w:bCs/>
                      <w:snapToGrid w:val="0"/>
                      <w:color w:val="auto"/>
                      <w:spacing w:val="0"/>
                      <w:w w:val="100"/>
                      <w:kern w:val="0"/>
                      <w:position w:val="0"/>
                      <w:sz w:val="21"/>
                      <w:szCs w:val="21"/>
                      <w:lang w:val="en-US" w:eastAsia="en-US" w:bidi="ar-SA"/>
                    </w:rPr>
                  </w:pPr>
                  <w:r>
                    <w:rPr>
                      <w:rFonts w:hint="default" w:ascii="Times New Roman" w:hAnsi="Times New Roman" w:eastAsia="仿宋_GB2312" w:cs="Times New Roman"/>
                      <w:b/>
                      <w:bCs/>
                      <w:snapToGrid w:val="0"/>
                      <w:color w:val="auto"/>
                      <w:spacing w:val="0"/>
                      <w:w w:val="100"/>
                      <w:kern w:val="0"/>
                      <w:position w:val="0"/>
                      <w:sz w:val="21"/>
                      <w:szCs w:val="21"/>
                      <w:lang w:val="en-US" w:eastAsia="en-US" w:bidi="ar-SA"/>
                    </w:rPr>
                    <w:t>序号</w:t>
                  </w:r>
                </w:p>
              </w:tc>
              <w:tc>
                <w:tcPr>
                  <w:tcW w:w="1726" w:type="dxa"/>
                  <w:tcBorders>
                    <w:tl2br w:val="nil"/>
                    <w:tr2bl w:val="nil"/>
                  </w:tcBorders>
                  <w:vAlign w:val="center"/>
                </w:tcPr>
                <w:p w14:paraId="720555E4">
                  <w:pPr>
                    <w:pStyle w:val="99"/>
                    <w:keepNext w:val="0"/>
                    <w:keepLines w:val="0"/>
                    <w:pageBreakBefore w:val="0"/>
                    <w:widowControl/>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仿宋_GB2312" w:cs="Times New Roman"/>
                      <w:b/>
                      <w:bCs/>
                      <w:snapToGrid w:val="0"/>
                      <w:color w:val="auto"/>
                      <w:spacing w:val="0"/>
                      <w:w w:val="100"/>
                      <w:kern w:val="0"/>
                      <w:position w:val="0"/>
                      <w:sz w:val="21"/>
                      <w:szCs w:val="21"/>
                      <w:lang w:val="en-US" w:eastAsia="en-US" w:bidi="ar-SA"/>
                    </w:rPr>
                  </w:pPr>
                  <w:r>
                    <w:rPr>
                      <w:rFonts w:hint="default" w:ascii="Times New Roman" w:hAnsi="Times New Roman" w:eastAsia="仿宋_GB2312" w:cs="Times New Roman"/>
                      <w:b/>
                      <w:bCs/>
                      <w:snapToGrid w:val="0"/>
                      <w:color w:val="auto"/>
                      <w:spacing w:val="0"/>
                      <w:w w:val="100"/>
                      <w:kern w:val="0"/>
                      <w:position w:val="0"/>
                      <w:sz w:val="21"/>
                      <w:szCs w:val="21"/>
                      <w:lang w:val="en-US" w:eastAsia="en-US" w:bidi="ar-SA"/>
                    </w:rPr>
                    <w:t>项目</w:t>
                  </w:r>
                </w:p>
              </w:tc>
              <w:tc>
                <w:tcPr>
                  <w:tcW w:w="5972" w:type="dxa"/>
                  <w:tcBorders>
                    <w:tl2br w:val="nil"/>
                    <w:tr2bl w:val="nil"/>
                  </w:tcBorders>
                  <w:vAlign w:val="center"/>
                </w:tcPr>
                <w:p w14:paraId="1834ACB6">
                  <w:pPr>
                    <w:pStyle w:val="99"/>
                    <w:keepNext w:val="0"/>
                    <w:keepLines w:val="0"/>
                    <w:pageBreakBefore w:val="0"/>
                    <w:widowControl/>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仿宋_GB2312" w:cs="Times New Roman"/>
                      <w:b/>
                      <w:bCs/>
                      <w:snapToGrid w:val="0"/>
                      <w:color w:val="auto"/>
                      <w:spacing w:val="0"/>
                      <w:w w:val="100"/>
                      <w:kern w:val="0"/>
                      <w:position w:val="0"/>
                      <w:sz w:val="21"/>
                      <w:szCs w:val="21"/>
                      <w:lang w:val="en-US" w:eastAsia="en-US" w:bidi="ar-SA"/>
                    </w:rPr>
                  </w:pPr>
                  <w:r>
                    <w:rPr>
                      <w:rFonts w:hint="default" w:ascii="Times New Roman" w:hAnsi="Times New Roman" w:eastAsia="仿宋_GB2312" w:cs="Times New Roman"/>
                      <w:b/>
                      <w:bCs/>
                      <w:snapToGrid w:val="0"/>
                      <w:color w:val="auto"/>
                      <w:spacing w:val="0"/>
                      <w:w w:val="100"/>
                      <w:kern w:val="0"/>
                      <w:position w:val="0"/>
                      <w:sz w:val="21"/>
                      <w:szCs w:val="21"/>
                      <w:lang w:val="en-US" w:eastAsia="en-US" w:bidi="ar-SA"/>
                    </w:rPr>
                    <w:t>内容及要求</w:t>
                  </w:r>
                </w:p>
              </w:tc>
            </w:tr>
            <w:tr w14:paraId="2482662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05" w:type="dxa"/>
                  <w:tcBorders>
                    <w:tl2br w:val="nil"/>
                    <w:tr2bl w:val="nil"/>
                  </w:tcBorders>
                  <w:vAlign w:val="center"/>
                </w:tcPr>
                <w:p w14:paraId="126322C2">
                  <w:pPr>
                    <w:pStyle w:val="99"/>
                    <w:keepNext w:val="0"/>
                    <w:keepLines w:val="0"/>
                    <w:pageBreakBefore w:val="0"/>
                    <w:widowControl/>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仿宋_GB2312" w:cs="Times New Roman"/>
                      <w:snapToGrid w:val="0"/>
                      <w:color w:val="auto"/>
                      <w:spacing w:val="0"/>
                      <w:w w:val="100"/>
                      <w:kern w:val="0"/>
                      <w:position w:val="0"/>
                      <w:sz w:val="21"/>
                      <w:szCs w:val="21"/>
                      <w:lang w:val="en-US" w:eastAsia="en-US" w:bidi="ar-SA"/>
                    </w:rPr>
                  </w:pPr>
                  <w:r>
                    <w:rPr>
                      <w:rFonts w:hint="default" w:ascii="Times New Roman" w:hAnsi="Times New Roman" w:eastAsia="仿宋_GB2312" w:cs="Times New Roman"/>
                      <w:snapToGrid w:val="0"/>
                      <w:color w:val="auto"/>
                      <w:spacing w:val="0"/>
                      <w:w w:val="100"/>
                      <w:kern w:val="0"/>
                      <w:position w:val="0"/>
                      <w:sz w:val="21"/>
                      <w:szCs w:val="21"/>
                      <w:lang w:val="en-US" w:eastAsia="en-US" w:bidi="ar-SA"/>
                    </w:rPr>
                    <w:t>1</w:t>
                  </w:r>
                </w:p>
              </w:tc>
              <w:tc>
                <w:tcPr>
                  <w:tcW w:w="1726" w:type="dxa"/>
                  <w:tcBorders>
                    <w:tl2br w:val="nil"/>
                    <w:tr2bl w:val="nil"/>
                  </w:tcBorders>
                  <w:vAlign w:val="center"/>
                </w:tcPr>
                <w:p w14:paraId="72EBF8AF">
                  <w:pPr>
                    <w:pStyle w:val="99"/>
                    <w:keepNext w:val="0"/>
                    <w:keepLines w:val="0"/>
                    <w:pageBreakBefore w:val="0"/>
                    <w:widowControl/>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仿宋_GB2312" w:cs="Times New Roman"/>
                      <w:snapToGrid w:val="0"/>
                      <w:color w:val="auto"/>
                      <w:spacing w:val="0"/>
                      <w:w w:val="100"/>
                      <w:kern w:val="0"/>
                      <w:position w:val="0"/>
                      <w:sz w:val="21"/>
                      <w:szCs w:val="21"/>
                      <w:lang w:val="en-US" w:eastAsia="en-US" w:bidi="ar-SA"/>
                    </w:rPr>
                  </w:pPr>
                  <w:r>
                    <w:rPr>
                      <w:rFonts w:hint="default" w:ascii="Times New Roman" w:hAnsi="Times New Roman" w:eastAsia="仿宋_GB2312" w:cs="Times New Roman"/>
                      <w:snapToGrid w:val="0"/>
                      <w:color w:val="auto"/>
                      <w:spacing w:val="0"/>
                      <w:w w:val="100"/>
                      <w:kern w:val="0"/>
                      <w:position w:val="0"/>
                      <w:sz w:val="21"/>
                      <w:szCs w:val="21"/>
                      <w:lang w:val="en-US" w:eastAsia="en-US" w:bidi="ar-SA"/>
                    </w:rPr>
                    <w:t>总则</w:t>
                  </w:r>
                </w:p>
              </w:tc>
              <w:tc>
                <w:tcPr>
                  <w:tcW w:w="5972" w:type="dxa"/>
                  <w:tcBorders>
                    <w:tl2br w:val="nil"/>
                    <w:tr2bl w:val="nil"/>
                  </w:tcBorders>
                  <w:vAlign w:val="center"/>
                </w:tcPr>
                <w:p w14:paraId="669D50D9">
                  <w:pPr>
                    <w:pStyle w:val="99"/>
                    <w:keepNext w:val="0"/>
                    <w:keepLines w:val="0"/>
                    <w:pageBreakBefore w:val="0"/>
                    <w:widowControl/>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仿宋_GB2312" w:cs="Times New Roman"/>
                      <w:snapToGrid w:val="0"/>
                      <w:color w:val="auto"/>
                      <w:spacing w:val="0"/>
                      <w:w w:val="100"/>
                      <w:kern w:val="0"/>
                      <w:position w:val="0"/>
                      <w:sz w:val="21"/>
                      <w:szCs w:val="21"/>
                      <w:lang w:val="en-US" w:eastAsia="en-US" w:bidi="ar-SA"/>
                    </w:rPr>
                  </w:pPr>
                  <w:r>
                    <w:rPr>
                      <w:rFonts w:hint="default" w:ascii="Times New Roman" w:hAnsi="Times New Roman" w:eastAsia="仿宋_GB2312" w:cs="Times New Roman"/>
                      <w:snapToGrid w:val="0"/>
                      <w:color w:val="auto"/>
                      <w:spacing w:val="0"/>
                      <w:w w:val="100"/>
                      <w:kern w:val="0"/>
                      <w:position w:val="0"/>
                      <w:sz w:val="21"/>
                      <w:szCs w:val="21"/>
                      <w:lang w:val="en-US" w:eastAsia="en-US" w:bidi="ar-SA"/>
                    </w:rPr>
                    <w:t>明确编制目的、编制依据、适用范围、工作原则等。</w:t>
                  </w:r>
                </w:p>
              </w:tc>
            </w:tr>
            <w:tr w14:paraId="5E6A104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05" w:type="dxa"/>
                  <w:tcBorders>
                    <w:tl2br w:val="nil"/>
                    <w:tr2bl w:val="nil"/>
                  </w:tcBorders>
                  <w:vAlign w:val="center"/>
                </w:tcPr>
                <w:p w14:paraId="4773FC74">
                  <w:pPr>
                    <w:pStyle w:val="99"/>
                    <w:keepNext w:val="0"/>
                    <w:keepLines w:val="0"/>
                    <w:pageBreakBefore w:val="0"/>
                    <w:widowControl/>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仿宋_GB2312" w:cs="Times New Roman"/>
                      <w:snapToGrid w:val="0"/>
                      <w:color w:val="auto"/>
                      <w:spacing w:val="0"/>
                      <w:w w:val="100"/>
                      <w:kern w:val="0"/>
                      <w:position w:val="0"/>
                      <w:sz w:val="21"/>
                      <w:szCs w:val="21"/>
                      <w:lang w:val="en-US" w:eastAsia="en-US" w:bidi="ar-SA"/>
                    </w:rPr>
                  </w:pPr>
                  <w:r>
                    <w:rPr>
                      <w:rFonts w:hint="default" w:ascii="Times New Roman" w:hAnsi="Times New Roman" w:eastAsia="仿宋_GB2312" w:cs="Times New Roman"/>
                      <w:snapToGrid w:val="0"/>
                      <w:color w:val="auto"/>
                      <w:spacing w:val="0"/>
                      <w:w w:val="100"/>
                      <w:kern w:val="0"/>
                      <w:position w:val="0"/>
                      <w:sz w:val="21"/>
                      <w:szCs w:val="21"/>
                      <w:lang w:val="en-US" w:eastAsia="en-US" w:bidi="ar-SA"/>
                    </w:rPr>
                    <w:t>2</w:t>
                  </w:r>
                </w:p>
              </w:tc>
              <w:tc>
                <w:tcPr>
                  <w:tcW w:w="1726" w:type="dxa"/>
                  <w:tcBorders>
                    <w:tl2br w:val="nil"/>
                    <w:tr2bl w:val="nil"/>
                  </w:tcBorders>
                  <w:vAlign w:val="center"/>
                </w:tcPr>
                <w:p w14:paraId="010E215D">
                  <w:pPr>
                    <w:pStyle w:val="99"/>
                    <w:keepNext w:val="0"/>
                    <w:keepLines w:val="0"/>
                    <w:pageBreakBefore w:val="0"/>
                    <w:widowControl/>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仿宋_GB2312" w:cs="Times New Roman"/>
                      <w:snapToGrid w:val="0"/>
                      <w:color w:val="auto"/>
                      <w:spacing w:val="0"/>
                      <w:w w:val="100"/>
                      <w:kern w:val="0"/>
                      <w:position w:val="0"/>
                      <w:sz w:val="21"/>
                      <w:szCs w:val="21"/>
                      <w:lang w:val="en-US" w:eastAsia="en-US" w:bidi="ar-SA"/>
                    </w:rPr>
                  </w:pPr>
                  <w:r>
                    <w:rPr>
                      <w:rFonts w:hint="default" w:ascii="Times New Roman" w:hAnsi="Times New Roman" w:eastAsia="仿宋_GB2312" w:cs="Times New Roman"/>
                      <w:snapToGrid w:val="0"/>
                      <w:color w:val="auto"/>
                      <w:spacing w:val="0"/>
                      <w:w w:val="100"/>
                      <w:kern w:val="0"/>
                      <w:position w:val="0"/>
                      <w:sz w:val="21"/>
                      <w:szCs w:val="21"/>
                      <w:lang w:val="en-US" w:eastAsia="en-US" w:bidi="ar-SA"/>
                    </w:rPr>
                    <w:t>环境事件分类与分级</w:t>
                  </w:r>
                </w:p>
              </w:tc>
              <w:tc>
                <w:tcPr>
                  <w:tcW w:w="5972" w:type="dxa"/>
                  <w:tcBorders>
                    <w:tl2br w:val="nil"/>
                    <w:tr2bl w:val="nil"/>
                  </w:tcBorders>
                  <w:vAlign w:val="center"/>
                </w:tcPr>
                <w:p w14:paraId="36433CBC">
                  <w:pPr>
                    <w:pStyle w:val="99"/>
                    <w:keepNext w:val="0"/>
                    <w:keepLines w:val="0"/>
                    <w:pageBreakBefore w:val="0"/>
                    <w:widowControl/>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仿宋_GB2312" w:cs="Times New Roman"/>
                      <w:snapToGrid w:val="0"/>
                      <w:color w:val="auto"/>
                      <w:spacing w:val="0"/>
                      <w:w w:val="100"/>
                      <w:kern w:val="0"/>
                      <w:position w:val="0"/>
                      <w:sz w:val="21"/>
                      <w:szCs w:val="21"/>
                      <w:lang w:val="en-US" w:eastAsia="en-US" w:bidi="ar-SA"/>
                    </w:rPr>
                  </w:pPr>
                  <w:r>
                    <w:rPr>
                      <w:rFonts w:hint="default" w:ascii="Times New Roman" w:hAnsi="Times New Roman" w:eastAsia="仿宋_GB2312" w:cs="Times New Roman"/>
                      <w:snapToGrid w:val="0"/>
                      <w:color w:val="auto"/>
                      <w:spacing w:val="0"/>
                      <w:w w:val="100"/>
                      <w:kern w:val="0"/>
                      <w:position w:val="0"/>
                      <w:sz w:val="21"/>
                      <w:szCs w:val="21"/>
                      <w:lang w:val="en-US" w:eastAsia="en-US" w:bidi="ar-SA"/>
                    </w:rPr>
                    <w:t>根据突发环境事件发生过程、性质和机理，对环境事件进行分类；按照突发环境事件严重性、紧急程度及危害程度，对不同环境事件进行分级。</w:t>
                  </w:r>
                </w:p>
              </w:tc>
            </w:tr>
            <w:tr w14:paraId="22C9F04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05" w:type="dxa"/>
                  <w:tcBorders>
                    <w:tl2br w:val="nil"/>
                    <w:tr2bl w:val="nil"/>
                  </w:tcBorders>
                  <w:vAlign w:val="center"/>
                </w:tcPr>
                <w:p w14:paraId="456E1D86">
                  <w:pPr>
                    <w:pStyle w:val="99"/>
                    <w:keepNext w:val="0"/>
                    <w:keepLines w:val="0"/>
                    <w:pageBreakBefore w:val="0"/>
                    <w:widowControl/>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仿宋_GB2312" w:cs="Times New Roman"/>
                      <w:snapToGrid w:val="0"/>
                      <w:color w:val="auto"/>
                      <w:spacing w:val="0"/>
                      <w:w w:val="100"/>
                      <w:kern w:val="0"/>
                      <w:position w:val="0"/>
                      <w:sz w:val="21"/>
                      <w:szCs w:val="21"/>
                      <w:lang w:val="en-US" w:eastAsia="en-US" w:bidi="ar-SA"/>
                    </w:rPr>
                  </w:pPr>
                  <w:r>
                    <w:rPr>
                      <w:rFonts w:hint="default" w:ascii="Times New Roman" w:hAnsi="Times New Roman" w:eastAsia="仿宋_GB2312" w:cs="Times New Roman"/>
                      <w:snapToGrid w:val="0"/>
                      <w:color w:val="auto"/>
                      <w:spacing w:val="0"/>
                      <w:w w:val="100"/>
                      <w:kern w:val="0"/>
                      <w:position w:val="0"/>
                      <w:sz w:val="21"/>
                      <w:szCs w:val="21"/>
                      <w:lang w:val="en-US" w:eastAsia="en-US" w:bidi="ar-SA"/>
                    </w:rPr>
                    <w:t>3</w:t>
                  </w:r>
                </w:p>
              </w:tc>
              <w:tc>
                <w:tcPr>
                  <w:tcW w:w="1726" w:type="dxa"/>
                  <w:tcBorders>
                    <w:tl2br w:val="nil"/>
                    <w:tr2bl w:val="nil"/>
                  </w:tcBorders>
                  <w:vAlign w:val="center"/>
                </w:tcPr>
                <w:p w14:paraId="3E929399">
                  <w:pPr>
                    <w:pStyle w:val="99"/>
                    <w:keepNext w:val="0"/>
                    <w:keepLines w:val="0"/>
                    <w:pageBreakBefore w:val="0"/>
                    <w:widowControl/>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仿宋_GB2312" w:cs="Times New Roman"/>
                      <w:snapToGrid w:val="0"/>
                      <w:color w:val="auto"/>
                      <w:spacing w:val="0"/>
                      <w:w w:val="100"/>
                      <w:kern w:val="0"/>
                      <w:position w:val="0"/>
                      <w:sz w:val="21"/>
                      <w:szCs w:val="21"/>
                      <w:lang w:val="en-US" w:eastAsia="en-US" w:bidi="ar-SA"/>
                    </w:rPr>
                  </w:pPr>
                  <w:r>
                    <w:rPr>
                      <w:rFonts w:hint="default" w:ascii="Times New Roman" w:hAnsi="Times New Roman" w:eastAsia="仿宋_GB2312" w:cs="Times New Roman"/>
                      <w:snapToGrid w:val="0"/>
                      <w:color w:val="auto"/>
                      <w:spacing w:val="0"/>
                      <w:w w:val="100"/>
                      <w:kern w:val="0"/>
                      <w:position w:val="0"/>
                      <w:sz w:val="21"/>
                      <w:szCs w:val="21"/>
                      <w:lang w:val="en-US" w:eastAsia="en-US" w:bidi="ar-SA"/>
                    </w:rPr>
                    <w:t>组织机构及职责</w:t>
                  </w:r>
                </w:p>
              </w:tc>
              <w:tc>
                <w:tcPr>
                  <w:tcW w:w="5972" w:type="dxa"/>
                  <w:tcBorders>
                    <w:tl2br w:val="nil"/>
                    <w:tr2bl w:val="nil"/>
                  </w:tcBorders>
                  <w:vAlign w:val="center"/>
                </w:tcPr>
                <w:p w14:paraId="6EB10B68">
                  <w:pPr>
                    <w:pStyle w:val="99"/>
                    <w:keepNext w:val="0"/>
                    <w:keepLines w:val="0"/>
                    <w:pageBreakBefore w:val="0"/>
                    <w:widowControl/>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仿宋_GB2312" w:cs="Times New Roman"/>
                      <w:snapToGrid w:val="0"/>
                      <w:color w:val="auto"/>
                      <w:spacing w:val="0"/>
                      <w:w w:val="100"/>
                      <w:kern w:val="0"/>
                      <w:position w:val="0"/>
                      <w:sz w:val="21"/>
                      <w:szCs w:val="21"/>
                      <w:lang w:val="en-US" w:eastAsia="en-US" w:bidi="ar-SA"/>
                    </w:rPr>
                  </w:pPr>
                  <w:r>
                    <w:rPr>
                      <w:rFonts w:hint="default" w:ascii="Times New Roman" w:hAnsi="Times New Roman" w:eastAsia="仿宋_GB2312" w:cs="Times New Roman"/>
                      <w:snapToGrid w:val="0"/>
                      <w:color w:val="auto"/>
                      <w:spacing w:val="0"/>
                      <w:w w:val="100"/>
                      <w:kern w:val="0"/>
                      <w:position w:val="0"/>
                      <w:sz w:val="21"/>
                      <w:szCs w:val="21"/>
                      <w:lang w:val="en-US" w:eastAsia="en-US" w:bidi="ar-SA"/>
                    </w:rPr>
                    <w:t>依据企业的规模大小和突发环境事件危害程度的级别，设置分级应急救援的组织机构。并明确各组及人员职责。</w:t>
                  </w:r>
                </w:p>
              </w:tc>
            </w:tr>
            <w:tr w14:paraId="2138631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05" w:type="dxa"/>
                  <w:tcBorders>
                    <w:tl2br w:val="nil"/>
                    <w:tr2bl w:val="nil"/>
                  </w:tcBorders>
                  <w:vAlign w:val="center"/>
                </w:tcPr>
                <w:p w14:paraId="4F0F88AD">
                  <w:pPr>
                    <w:pStyle w:val="99"/>
                    <w:keepNext w:val="0"/>
                    <w:keepLines w:val="0"/>
                    <w:pageBreakBefore w:val="0"/>
                    <w:widowControl/>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仿宋_GB2312" w:cs="Times New Roman"/>
                      <w:snapToGrid w:val="0"/>
                      <w:color w:val="auto"/>
                      <w:spacing w:val="0"/>
                      <w:w w:val="100"/>
                      <w:kern w:val="0"/>
                      <w:position w:val="0"/>
                      <w:sz w:val="21"/>
                      <w:szCs w:val="21"/>
                      <w:lang w:val="en-US" w:eastAsia="en-US" w:bidi="ar-SA"/>
                    </w:rPr>
                  </w:pPr>
                  <w:r>
                    <w:rPr>
                      <w:rFonts w:hint="default" w:ascii="Times New Roman" w:hAnsi="Times New Roman" w:eastAsia="仿宋_GB2312" w:cs="Times New Roman"/>
                      <w:snapToGrid w:val="0"/>
                      <w:color w:val="auto"/>
                      <w:spacing w:val="0"/>
                      <w:w w:val="100"/>
                      <w:kern w:val="0"/>
                      <w:position w:val="0"/>
                      <w:sz w:val="21"/>
                      <w:szCs w:val="21"/>
                      <w:lang w:val="en-US" w:eastAsia="en-US" w:bidi="ar-SA"/>
                    </w:rPr>
                    <w:t>4</w:t>
                  </w:r>
                </w:p>
              </w:tc>
              <w:tc>
                <w:tcPr>
                  <w:tcW w:w="1726" w:type="dxa"/>
                  <w:tcBorders>
                    <w:tl2br w:val="nil"/>
                    <w:tr2bl w:val="nil"/>
                  </w:tcBorders>
                  <w:vAlign w:val="center"/>
                </w:tcPr>
                <w:p w14:paraId="14724CB6">
                  <w:pPr>
                    <w:pStyle w:val="99"/>
                    <w:keepNext w:val="0"/>
                    <w:keepLines w:val="0"/>
                    <w:pageBreakBefore w:val="0"/>
                    <w:widowControl/>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仿宋_GB2312" w:cs="Times New Roman"/>
                      <w:snapToGrid w:val="0"/>
                      <w:color w:val="auto"/>
                      <w:spacing w:val="0"/>
                      <w:w w:val="100"/>
                      <w:kern w:val="0"/>
                      <w:position w:val="0"/>
                      <w:sz w:val="21"/>
                      <w:szCs w:val="21"/>
                      <w:lang w:val="en-US" w:eastAsia="en-US" w:bidi="ar-SA"/>
                    </w:rPr>
                  </w:pPr>
                  <w:r>
                    <w:rPr>
                      <w:rFonts w:hint="default" w:ascii="Times New Roman" w:hAnsi="Times New Roman" w:eastAsia="仿宋_GB2312" w:cs="Times New Roman"/>
                      <w:snapToGrid w:val="0"/>
                      <w:color w:val="auto"/>
                      <w:spacing w:val="0"/>
                      <w:w w:val="100"/>
                      <w:kern w:val="0"/>
                      <w:position w:val="0"/>
                      <w:sz w:val="21"/>
                      <w:szCs w:val="21"/>
                      <w:lang w:val="en-US" w:eastAsia="en-US" w:bidi="ar-SA"/>
                    </w:rPr>
                    <w:t>预防与预警</w:t>
                  </w:r>
                </w:p>
              </w:tc>
              <w:tc>
                <w:tcPr>
                  <w:tcW w:w="5972" w:type="dxa"/>
                  <w:tcBorders>
                    <w:tl2br w:val="nil"/>
                    <w:tr2bl w:val="nil"/>
                  </w:tcBorders>
                  <w:vAlign w:val="center"/>
                </w:tcPr>
                <w:p w14:paraId="4F2096D6">
                  <w:pPr>
                    <w:pStyle w:val="99"/>
                    <w:keepNext w:val="0"/>
                    <w:keepLines w:val="0"/>
                    <w:pageBreakBefore w:val="0"/>
                    <w:widowControl/>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仿宋_GB2312" w:cs="Times New Roman"/>
                      <w:snapToGrid w:val="0"/>
                      <w:color w:val="auto"/>
                      <w:spacing w:val="0"/>
                      <w:w w:val="100"/>
                      <w:kern w:val="0"/>
                      <w:position w:val="0"/>
                      <w:sz w:val="21"/>
                      <w:szCs w:val="21"/>
                      <w:lang w:val="en-US" w:eastAsia="en-US" w:bidi="ar-SA"/>
                    </w:rPr>
                  </w:pPr>
                  <w:r>
                    <w:rPr>
                      <w:rFonts w:hint="default" w:ascii="Times New Roman" w:hAnsi="Times New Roman" w:eastAsia="仿宋_GB2312" w:cs="Times New Roman"/>
                      <w:snapToGrid w:val="0"/>
                      <w:color w:val="auto"/>
                      <w:spacing w:val="0"/>
                      <w:w w:val="100"/>
                      <w:kern w:val="0"/>
                      <w:position w:val="0"/>
                      <w:sz w:val="21"/>
                      <w:szCs w:val="21"/>
                      <w:lang w:val="en-US" w:eastAsia="en-US" w:bidi="ar-SA"/>
                    </w:rPr>
                    <w:t>明确事件预警的条件、方式、方法。报警、通讯联络方式等。</w:t>
                  </w:r>
                </w:p>
              </w:tc>
            </w:tr>
            <w:tr w14:paraId="2A010B7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05" w:type="dxa"/>
                  <w:tcBorders>
                    <w:tl2br w:val="nil"/>
                    <w:tr2bl w:val="nil"/>
                  </w:tcBorders>
                  <w:vAlign w:val="center"/>
                </w:tcPr>
                <w:p w14:paraId="562A6963">
                  <w:pPr>
                    <w:pStyle w:val="99"/>
                    <w:keepNext w:val="0"/>
                    <w:keepLines w:val="0"/>
                    <w:pageBreakBefore w:val="0"/>
                    <w:widowControl/>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仿宋_GB2312" w:cs="Times New Roman"/>
                      <w:snapToGrid w:val="0"/>
                      <w:color w:val="auto"/>
                      <w:spacing w:val="0"/>
                      <w:w w:val="100"/>
                      <w:kern w:val="0"/>
                      <w:position w:val="0"/>
                      <w:sz w:val="21"/>
                      <w:szCs w:val="21"/>
                      <w:lang w:val="en-US" w:eastAsia="en-US" w:bidi="ar-SA"/>
                    </w:rPr>
                  </w:pPr>
                  <w:r>
                    <w:rPr>
                      <w:rFonts w:hint="default" w:ascii="Times New Roman" w:hAnsi="Times New Roman" w:eastAsia="仿宋_GB2312" w:cs="Times New Roman"/>
                      <w:snapToGrid w:val="0"/>
                      <w:color w:val="auto"/>
                      <w:spacing w:val="0"/>
                      <w:w w:val="100"/>
                      <w:kern w:val="0"/>
                      <w:position w:val="0"/>
                      <w:sz w:val="21"/>
                      <w:szCs w:val="21"/>
                      <w:lang w:val="en-US" w:eastAsia="en-US" w:bidi="ar-SA"/>
                    </w:rPr>
                    <w:t>5</w:t>
                  </w:r>
                </w:p>
              </w:tc>
              <w:tc>
                <w:tcPr>
                  <w:tcW w:w="1726" w:type="dxa"/>
                  <w:tcBorders>
                    <w:tl2br w:val="nil"/>
                    <w:tr2bl w:val="nil"/>
                  </w:tcBorders>
                  <w:vAlign w:val="center"/>
                </w:tcPr>
                <w:p w14:paraId="47E96C44">
                  <w:pPr>
                    <w:pStyle w:val="99"/>
                    <w:keepNext w:val="0"/>
                    <w:keepLines w:val="0"/>
                    <w:pageBreakBefore w:val="0"/>
                    <w:widowControl/>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仿宋_GB2312" w:cs="Times New Roman"/>
                      <w:snapToGrid w:val="0"/>
                      <w:color w:val="auto"/>
                      <w:spacing w:val="0"/>
                      <w:w w:val="100"/>
                      <w:kern w:val="0"/>
                      <w:position w:val="0"/>
                      <w:sz w:val="21"/>
                      <w:szCs w:val="21"/>
                      <w:lang w:val="en-US" w:eastAsia="en-US" w:bidi="ar-SA"/>
                    </w:rPr>
                  </w:pPr>
                  <w:r>
                    <w:rPr>
                      <w:rFonts w:hint="default" w:ascii="Times New Roman" w:hAnsi="Times New Roman" w:eastAsia="仿宋_GB2312" w:cs="Times New Roman"/>
                      <w:snapToGrid w:val="0"/>
                      <w:color w:val="auto"/>
                      <w:spacing w:val="0"/>
                      <w:w w:val="100"/>
                      <w:kern w:val="0"/>
                      <w:position w:val="0"/>
                      <w:sz w:val="21"/>
                      <w:szCs w:val="21"/>
                      <w:lang w:val="en-US" w:eastAsia="en-US" w:bidi="ar-SA"/>
                    </w:rPr>
                    <w:t>信息报告与通报</w:t>
                  </w:r>
                </w:p>
              </w:tc>
              <w:tc>
                <w:tcPr>
                  <w:tcW w:w="5972" w:type="dxa"/>
                  <w:tcBorders>
                    <w:tl2br w:val="nil"/>
                    <w:tr2bl w:val="nil"/>
                  </w:tcBorders>
                  <w:vAlign w:val="center"/>
                </w:tcPr>
                <w:p w14:paraId="4B1796D2">
                  <w:pPr>
                    <w:pStyle w:val="99"/>
                    <w:keepNext w:val="0"/>
                    <w:keepLines w:val="0"/>
                    <w:pageBreakBefore w:val="0"/>
                    <w:widowControl/>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仿宋_GB2312" w:cs="Times New Roman"/>
                      <w:snapToGrid w:val="0"/>
                      <w:color w:val="auto"/>
                      <w:spacing w:val="0"/>
                      <w:w w:val="100"/>
                      <w:kern w:val="0"/>
                      <w:position w:val="0"/>
                      <w:sz w:val="21"/>
                      <w:szCs w:val="21"/>
                      <w:lang w:val="en-US" w:eastAsia="en-US" w:bidi="ar-SA"/>
                    </w:rPr>
                  </w:pPr>
                  <w:r>
                    <w:rPr>
                      <w:rFonts w:hint="default" w:ascii="Times New Roman" w:hAnsi="Times New Roman" w:eastAsia="仿宋_GB2312" w:cs="Times New Roman"/>
                      <w:snapToGrid w:val="0"/>
                      <w:color w:val="auto"/>
                      <w:spacing w:val="0"/>
                      <w:w w:val="100"/>
                      <w:kern w:val="0"/>
                      <w:position w:val="0"/>
                      <w:sz w:val="21"/>
                      <w:szCs w:val="21"/>
                      <w:lang w:val="en-US" w:eastAsia="en-US" w:bidi="ar-SA"/>
                    </w:rPr>
                    <w:t>明确信息报告时限和发布的程序、内容和方式。</w:t>
                  </w:r>
                </w:p>
              </w:tc>
            </w:tr>
            <w:tr w14:paraId="752EE29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05" w:type="dxa"/>
                  <w:tcBorders>
                    <w:tl2br w:val="nil"/>
                    <w:tr2bl w:val="nil"/>
                  </w:tcBorders>
                  <w:vAlign w:val="center"/>
                </w:tcPr>
                <w:p w14:paraId="7180A0C6">
                  <w:pPr>
                    <w:pStyle w:val="99"/>
                    <w:keepNext w:val="0"/>
                    <w:keepLines w:val="0"/>
                    <w:pageBreakBefore w:val="0"/>
                    <w:widowControl/>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仿宋_GB2312" w:cs="Times New Roman"/>
                      <w:snapToGrid w:val="0"/>
                      <w:color w:val="auto"/>
                      <w:spacing w:val="0"/>
                      <w:w w:val="100"/>
                      <w:kern w:val="0"/>
                      <w:position w:val="0"/>
                      <w:sz w:val="21"/>
                      <w:szCs w:val="21"/>
                      <w:lang w:val="en-US" w:eastAsia="en-US" w:bidi="ar-SA"/>
                    </w:rPr>
                  </w:pPr>
                  <w:r>
                    <w:rPr>
                      <w:rFonts w:hint="default" w:ascii="Times New Roman" w:hAnsi="Times New Roman" w:eastAsia="仿宋_GB2312" w:cs="Times New Roman"/>
                      <w:snapToGrid w:val="0"/>
                      <w:color w:val="auto"/>
                      <w:spacing w:val="0"/>
                      <w:w w:val="100"/>
                      <w:kern w:val="0"/>
                      <w:position w:val="0"/>
                      <w:sz w:val="21"/>
                      <w:szCs w:val="21"/>
                      <w:lang w:val="en-US" w:eastAsia="en-US" w:bidi="ar-SA"/>
                    </w:rPr>
                    <w:t>6</w:t>
                  </w:r>
                </w:p>
              </w:tc>
              <w:tc>
                <w:tcPr>
                  <w:tcW w:w="1726" w:type="dxa"/>
                  <w:tcBorders>
                    <w:tl2br w:val="nil"/>
                    <w:tr2bl w:val="nil"/>
                  </w:tcBorders>
                  <w:vAlign w:val="center"/>
                </w:tcPr>
                <w:p w14:paraId="7112192E">
                  <w:pPr>
                    <w:pStyle w:val="99"/>
                    <w:keepNext w:val="0"/>
                    <w:keepLines w:val="0"/>
                    <w:pageBreakBefore w:val="0"/>
                    <w:widowControl/>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仿宋_GB2312" w:cs="Times New Roman"/>
                      <w:snapToGrid w:val="0"/>
                      <w:color w:val="auto"/>
                      <w:spacing w:val="0"/>
                      <w:w w:val="100"/>
                      <w:kern w:val="0"/>
                      <w:position w:val="0"/>
                      <w:sz w:val="21"/>
                      <w:szCs w:val="21"/>
                      <w:lang w:val="en-US" w:eastAsia="en-US" w:bidi="ar-SA"/>
                    </w:rPr>
                  </w:pPr>
                  <w:r>
                    <w:rPr>
                      <w:rFonts w:hint="default" w:ascii="Times New Roman" w:hAnsi="Times New Roman" w:eastAsia="仿宋_GB2312" w:cs="Times New Roman"/>
                      <w:snapToGrid w:val="0"/>
                      <w:color w:val="auto"/>
                      <w:spacing w:val="0"/>
                      <w:w w:val="100"/>
                      <w:kern w:val="0"/>
                      <w:position w:val="0"/>
                      <w:sz w:val="21"/>
                      <w:szCs w:val="21"/>
                      <w:lang w:val="en-US" w:eastAsia="en-US" w:bidi="ar-SA"/>
                    </w:rPr>
                    <w:t>应急响应与措施</w:t>
                  </w:r>
                </w:p>
              </w:tc>
              <w:tc>
                <w:tcPr>
                  <w:tcW w:w="5972" w:type="dxa"/>
                  <w:tcBorders>
                    <w:tl2br w:val="nil"/>
                    <w:tr2bl w:val="nil"/>
                  </w:tcBorders>
                  <w:vAlign w:val="center"/>
                </w:tcPr>
                <w:p w14:paraId="0E2DD95F">
                  <w:pPr>
                    <w:pStyle w:val="99"/>
                    <w:keepNext w:val="0"/>
                    <w:keepLines w:val="0"/>
                    <w:pageBreakBefore w:val="0"/>
                    <w:widowControl/>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仿宋_GB2312" w:cs="Times New Roman"/>
                      <w:snapToGrid w:val="0"/>
                      <w:color w:val="auto"/>
                      <w:spacing w:val="0"/>
                      <w:w w:val="100"/>
                      <w:kern w:val="0"/>
                      <w:position w:val="0"/>
                      <w:sz w:val="21"/>
                      <w:szCs w:val="21"/>
                      <w:lang w:val="en-US" w:eastAsia="en-US" w:bidi="ar-SA"/>
                    </w:rPr>
                  </w:pPr>
                  <w:r>
                    <w:rPr>
                      <w:rFonts w:hint="default" w:ascii="Times New Roman" w:hAnsi="Times New Roman" w:eastAsia="仿宋_GB2312" w:cs="Times New Roman"/>
                      <w:snapToGrid w:val="0"/>
                      <w:color w:val="auto"/>
                      <w:spacing w:val="0"/>
                      <w:w w:val="100"/>
                      <w:kern w:val="0"/>
                      <w:position w:val="0"/>
                      <w:sz w:val="21"/>
                      <w:szCs w:val="21"/>
                      <w:lang w:val="en-US" w:eastAsia="en-US" w:bidi="ar-SA"/>
                    </w:rPr>
                    <w:t>规定预案的级别和相应的分级响应程序，明确应急措施、应急监测相关内容、应急终止响应条件等，并考虑与区域应急预案的衔接。一级—装置区；二级—全厂；三级—社会（结合园区体系）</w:t>
                  </w:r>
                </w:p>
              </w:tc>
            </w:tr>
            <w:tr w14:paraId="4CE3B34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05" w:type="dxa"/>
                  <w:tcBorders>
                    <w:tl2br w:val="nil"/>
                    <w:tr2bl w:val="nil"/>
                  </w:tcBorders>
                  <w:vAlign w:val="center"/>
                </w:tcPr>
                <w:p w14:paraId="42B5567B">
                  <w:pPr>
                    <w:pStyle w:val="99"/>
                    <w:keepNext w:val="0"/>
                    <w:keepLines w:val="0"/>
                    <w:pageBreakBefore w:val="0"/>
                    <w:widowControl/>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仿宋_GB2312" w:cs="Times New Roman"/>
                      <w:snapToGrid w:val="0"/>
                      <w:color w:val="auto"/>
                      <w:spacing w:val="0"/>
                      <w:w w:val="100"/>
                      <w:kern w:val="0"/>
                      <w:position w:val="0"/>
                      <w:sz w:val="21"/>
                      <w:szCs w:val="21"/>
                      <w:lang w:val="en-US" w:eastAsia="en-US" w:bidi="ar-SA"/>
                    </w:rPr>
                  </w:pPr>
                  <w:r>
                    <w:rPr>
                      <w:rFonts w:hint="default" w:ascii="Times New Roman" w:hAnsi="Times New Roman" w:eastAsia="仿宋_GB2312" w:cs="Times New Roman"/>
                      <w:snapToGrid w:val="0"/>
                      <w:color w:val="auto"/>
                      <w:spacing w:val="0"/>
                      <w:w w:val="100"/>
                      <w:kern w:val="0"/>
                      <w:position w:val="0"/>
                      <w:sz w:val="21"/>
                      <w:szCs w:val="21"/>
                      <w:lang w:val="en-US" w:eastAsia="en-US" w:bidi="ar-SA"/>
                    </w:rPr>
                    <w:t>7</w:t>
                  </w:r>
                </w:p>
              </w:tc>
              <w:tc>
                <w:tcPr>
                  <w:tcW w:w="1726" w:type="dxa"/>
                  <w:tcBorders>
                    <w:tl2br w:val="nil"/>
                    <w:tr2bl w:val="nil"/>
                  </w:tcBorders>
                  <w:vAlign w:val="center"/>
                </w:tcPr>
                <w:p w14:paraId="599E12B4">
                  <w:pPr>
                    <w:pStyle w:val="99"/>
                    <w:keepNext w:val="0"/>
                    <w:keepLines w:val="0"/>
                    <w:pageBreakBefore w:val="0"/>
                    <w:widowControl/>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仿宋_GB2312" w:cs="Times New Roman"/>
                      <w:snapToGrid w:val="0"/>
                      <w:color w:val="auto"/>
                      <w:spacing w:val="0"/>
                      <w:w w:val="100"/>
                      <w:kern w:val="0"/>
                      <w:position w:val="0"/>
                      <w:sz w:val="21"/>
                      <w:szCs w:val="21"/>
                      <w:lang w:val="en-US" w:eastAsia="en-US" w:bidi="ar-SA"/>
                    </w:rPr>
                  </w:pPr>
                  <w:r>
                    <w:rPr>
                      <w:rFonts w:hint="default" w:ascii="Times New Roman" w:hAnsi="Times New Roman" w:eastAsia="仿宋_GB2312" w:cs="Times New Roman"/>
                      <w:snapToGrid w:val="0"/>
                      <w:color w:val="auto"/>
                      <w:spacing w:val="0"/>
                      <w:w w:val="100"/>
                      <w:kern w:val="0"/>
                      <w:position w:val="0"/>
                      <w:sz w:val="21"/>
                      <w:szCs w:val="21"/>
                      <w:lang w:val="en-US" w:eastAsia="en-US" w:bidi="ar-SA"/>
                    </w:rPr>
                    <w:t>应急救援保障</w:t>
                  </w:r>
                </w:p>
              </w:tc>
              <w:tc>
                <w:tcPr>
                  <w:tcW w:w="5972" w:type="dxa"/>
                  <w:tcBorders>
                    <w:tl2br w:val="nil"/>
                    <w:tr2bl w:val="nil"/>
                  </w:tcBorders>
                  <w:vAlign w:val="center"/>
                </w:tcPr>
                <w:p w14:paraId="6C71D199">
                  <w:pPr>
                    <w:pStyle w:val="99"/>
                    <w:keepNext w:val="0"/>
                    <w:keepLines w:val="0"/>
                    <w:pageBreakBefore w:val="0"/>
                    <w:widowControl/>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仿宋_GB2312" w:cs="Times New Roman"/>
                      <w:snapToGrid w:val="0"/>
                      <w:color w:val="auto"/>
                      <w:spacing w:val="0"/>
                      <w:w w:val="100"/>
                      <w:kern w:val="0"/>
                      <w:position w:val="0"/>
                      <w:sz w:val="21"/>
                      <w:szCs w:val="21"/>
                      <w:lang w:val="en-US" w:eastAsia="en-US" w:bidi="ar-SA"/>
                    </w:rPr>
                  </w:pPr>
                  <w:r>
                    <w:rPr>
                      <w:rFonts w:hint="default" w:ascii="Times New Roman" w:hAnsi="Times New Roman" w:eastAsia="仿宋_GB2312" w:cs="Times New Roman"/>
                      <w:snapToGrid w:val="0"/>
                      <w:color w:val="auto"/>
                      <w:spacing w:val="0"/>
                      <w:w w:val="100"/>
                      <w:kern w:val="0"/>
                      <w:position w:val="0"/>
                      <w:sz w:val="21"/>
                      <w:szCs w:val="21"/>
                      <w:lang w:val="en-US" w:eastAsia="en-US" w:bidi="ar-SA"/>
                    </w:rPr>
                    <w:t>应急设施、设备与器材等生产装置：（1）防火灾、爆炸事故应急设施、设备与材料，主要为消防器材（2）防有毒有害物质外溢、扩散、主要靠喷淋设施、水幕等罐区（3）防火灾、爆炸事故应急设施、设备与材料，主要为消防器材</w:t>
                  </w:r>
                </w:p>
              </w:tc>
            </w:tr>
            <w:tr w14:paraId="4EE6F45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05" w:type="dxa"/>
                  <w:tcBorders>
                    <w:tl2br w:val="nil"/>
                    <w:tr2bl w:val="nil"/>
                  </w:tcBorders>
                  <w:vAlign w:val="center"/>
                </w:tcPr>
                <w:p w14:paraId="092023F1">
                  <w:pPr>
                    <w:pStyle w:val="99"/>
                    <w:keepNext w:val="0"/>
                    <w:keepLines w:val="0"/>
                    <w:pageBreakBefore w:val="0"/>
                    <w:widowControl/>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仿宋_GB2312" w:cs="Times New Roman"/>
                      <w:snapToGrid w:val="0"/>
                      <w:color w:val="auto"/>
                      <w:spacing w:val="0"/>
                      <w:w w:val="100"/>
                      <w:kern w:val="0"/>
                      <w:position w:val="0"/>
                      <w:sz w:val="21"/>
                      <w:szCs w:val="21"/>
                      <w:lang w:val="en-US" w:eastAsia="en-US" w:bidi="ar-SA"/>
                    </w:rPr>
                  </w:pPr>
                  <w:r>
                    <w:rPr>
                      <w:rFonts w:hint="default" w:ascii="Times New Roman" w:hAnsi="Times New Roman" w:eastAsia="仿宋_GB2312" w:cs="Times New Roman"/>
                      <w:snapToGrid w:val="0"/>
                      <w:color w:val="auto"/>
                      <w:spacing w:val="0"/>
                      <w:w w:val="100"/>
                      <w:kern w:val="0"/>
                      <w:position w:val="0"/>
                      <w:sz w:val="21"/>
                      <w:szCs w:val="21"/>
                      <w:lang w:val="en-US" w:eastAsia="en-US" w:bidi="ar-SA"/>
                    </w:rPr>
                    <w:t>8</w:t>
                  </w:r>
                </w:p>
              </w:tc>
              <w:tc>
                <w:tcPr>
                  <w:tcW w:w="1726" w:type="dxa"/>
                  <w:tcBorders>
                    <w:tl2br w:val="nil"/>
                    <w:tr2bl w:val="nil"/>
                  </w:tcBorders>
                  <w:vAlign w:val="center"/>
                </w:tcPr>
                <w:p w14:paraId="06336A0B">
                  <w:pPr>
                    <w:pStyle w:val="99"/>
                    <w:keepNext w:val="0"/>
                    <w:keepLines w:val="0"/>
                    <w:pageBreakBefore w:val="0"/>
                    <w:widowControl/>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仿宋_GB2312" w:cs="Times New Roman"/>
                      <w:snapToGrid w:val="0"/>
                      <w:color w:val="auto"/>
                      <w:spacing w:val="0"/>
                      <w:w w:val="100"/>
                      <w:kern w:val="0"/>
                      <w:position w:val="0"/>
                      <w:sz w:val="21"/>
                      <w:szCs w:val="21"/>
                      <w:lang w:val="en-US" w:eastAsia="en-US" w:bidi="ar-SA"/>
                    </w:rPr>
                  </w:pPr>
                  <w:r>
                    <w:rPr>
                      <w:rFonts w:hint="default" w:ascii="Times New Roman" w:hAnsi="Times New Roman" w:eastAsia="仿宋_GB2312" w:cs="Times New Roman"/>
                      <w:snapToGrid w:val="0"/>
                      <w:color w:val="auto"/>
                      <w:spacing w:val="0"/>
                      <w:w w:val="100"/>
                      <w:kern w:val="0"/>
                      <w:position w:val="0"/>
                      <w:sz w:val="21"/>
                      <w:szCs w:val="21"/>
                      <w:lang w:val="en-US" w:eastAsia="en-US" w:bidi="ar-SA"/>
                    </w:rPr>
                    <w:t>后期处置</w:t>
                  </w:r>
                </w:p>
              </w:tc>
              <w:tc>
                <w:tcPr>
                  <w:tcW w:w="5972" w:type="dxa"/>
                  <w:tcBorders>
                    <w:tl2br w:val="nil"/>
                    <w:tr2bl w:val="nil"/>
                  </w:tcBorders>
                  <w:vAlign w:val="center"/>
                </w:tcPr>
                <w:p w14:paraId="652B0B59">
                  <w:pPr>
                    <w:pStyle w:val="99"/>
                    <w:keepNext w:val="0"/>
                    <w:keepLines w:val="0"/>
                    <w:pageBreakBefore w:val="0"/>
                    <w:widowControl/>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仿宋_GB2312" w:cs="Times New Roman"/>
                      <w:snapToGrid w:val="0"/>
                      <w:color w:val="auto"/>
                      <w:spacing w:val="0"/>
                      <w:w w:val="100"/>
                      <w:kern w:val="0"/>
                      <w:position w:val="0"/>
                      <w:sz w:val="21"/>
                      <w:szCs w:val="21"/>
                      <w:lang w:val="en-US" w:eastAsia="en-US" w:bidi="ar-SA"/>
                    </w:rPr>
                  </w:pPr>
                  <w:r>
                    <w:rPr>
                      <w:rFonts w:hint="default" w:ascii="Times New Roman" w:hAnsi="Times New Roman" w:eastAsia="仿宋_GB2312" w:cs="Times New Roman"/>
                      <w:snapToGrid w:val="0"/>
                      <w:color w:val="auto"/>
                      <w:spacing w:val="0"/>
                      <w:w w:val="100"/>
                      <w:kern w:val="0"/>
                      <w:position w:val="0"/>
                      <w:sz w:val="21"/>
                      <w:szCs w:val="21"/>
                      <w:lang w:val="en-US" w:eastAsia="en-US" w:bidi="ar-SA"/>
                    </w:rPr>
                    <w:t>明确受灾人员的安置及损失赔偿。组织专家对突发环境事件中长期环境影响进行评估，明确修复方案。</w:t>
                  </w:r>
                </w:p>
              </w:tc>
            </w:tr>
            <w:tr w14:paraId="06E286E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05" w:type="dxa"/>
                  <w:tcBorders>
                    <w:tl2br w:val="nil"/>
                    <w:tr2bl w:val="nil"/>
                  </w:tcBorders>
                  <w:vAlign w:val="center"/>
                </w:tcPr>
                <w:p w14:paraId="21CF76F6">
                  <w:pPr>
                    <w:pStyle w:val="99"/>
                    <w:keepNext w:val="0"/>
                    <w:keepLines w:val="0"/>
                    <w:pageBreakBefore w:val="0"/>
                    <w:widowControl/>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仿宋_GB2312" w:cs="Times New Roman"/>
                      <w:snapToGrid w:val="0"/>
                      <w:color w:val="auto"/>
                      <w:spacing w:val="0"/>
                      <w:w w:val="100"/>
                      <w:kern w:val="0"/>
                      <w:position w:val="0"/>
                      <w:sz w:val="21"/>
                      <w:szCs w:val="21"/>
                      <w:lang w:val="en-US" w:eastAsia="en-US" w:bidi="ar-SA"/>
                    </w:rPr>
                  </w:pPr>
                  <w:r>
                    <w:rPr>
                      <w:rFonts w:hint="default" w:ascii="Times New Roman" w:hAnsi="Times New Roman" w:eastAsia="仿宋_GB2312" w:cs="Times New Roman"/>
                      <w:snapToGrid w:val="0"/>
                      <w:color w:val="auto"/>
                      <w:spacing w:val="0"/>
                      <w:w w:val="100"/>
                      <w:kern w:val="0"/>
                      <w:position w:val="0"/>
                      <w:sz w:val="21"/>
                      <w:szCs w:val="21"/>
                      <w:lang w:val="en-US" w:eastAsia="en-US" w:bidi="ar-SA"/>
                    </w:rPr>
                    <w:t>9</w:t>
                  </w:r>
                </w:p>
              </w:tc>
              <w:tc>
                <w:tcPr>
                  <w:tcW w:w="1726" w:type="dxa"/>
                  <w:tcBorders>
                    <w:tl2br w:val="nil"/>
                    <w:tr2bl w:val="nil"/>
                  </w:tcBorders>
                  <w:vAlign w:val="center"/>
                </w:tcPr>
                <w:p w14:paraId="0C5568D3">
                  <w:pPr>
                    <w:pStyle w:val="99"/>
                    <w:keepNext w:val="0"/>
                    <w:keepLines w:val="0"/>
                    <w:pageBreakBefore w:val="0"/>
                    <w:widowControl/>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仿宋_GB2312" w:cs="Times New Roman"/>
                      <w:snapToGrid w:val="0"/>
                      <w:color w:val="auto"/>
                      <w:spacing w:val="0"/>
                      <w:w w:val="100"/>
                      <w:kern w:val="0"/>
                      <w:position w:val="0"/>
                      <w:sz w:val="21"/>
                      <w:szCs w:val="21"/>
                      <w:lang w:val="en-US" w:eastAsia="en-US" w:bidi="ar-SA"/>
                    </w:rPr>
                  </w:pPr>
                  <w:r>
                    <w:rPr>
                      <w:rFonts w:hint="default" w:ascii="Times New Roman" w:hAnsi="Times New Roman" w:eastAsia="仿宋_GB2312" w:cs="Times New Roman"/>
                      <w:snapToGrid w:val="0"/>
                      <w:color w:val="auto"/>
                      <w:spacing w:val="0"/>
                      <w:w w:val="100"/>
                      <w:kern w:val="0"/>
                      <w:position w:val="0"/>
                      <w:sz w:val="21"/>
                      <w:szCs w:val="21"/>
                      <w:lang w:val="en-US" w:eastAsia="en-US" w:bidi="ar-SA"/>
                    </w:rPr>
                    <w:t>应急培训和演练</w:t>
                  </w:r>
                </w:p>
              </w:tc>
              <w:tc>
                <w:tcPr>
                  <w:tcW w:w="5972" w:type="dxa"/>
                  <w:tcBorders>
                    <w:tl2br w:val="nil"/>
                    <w:tr2bl w:val="nil"/>
                  </w:tcBorders>
                  <w:vAlign w:val="center"/>
                </w:tcPr>
                <w:p w14:paraId="0BA35229">
                  <w:pPr>
                    <w:pStyle w:val="99"/>
                    <w:keepNext w:val="0"/>
                    <w:keepLines w:val="0"/>
                    <w:pageBreakBefore w:val="0"/>
                    <w:widowControl/>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仿宋_GB2312" w:cs="Times New Roman"/>
                      <w:snapToGrid w:val="0"/>
                      <w:color w:val="auto"/>
                      <w:spacing w:val="0"/>
                      <w:w w:val="100"/>
                      <w:kern w:val="0"/>
                      <w:position w:val="0"/>
                      <w:sz w:val="21"/>
                      <w:szCs w:val="21"/>
                      <w:lang w:val="en-US" w:eastAsia="en-US" w:bidi="ar-SA"/>
                    </w:rPr>
                  </w:pPr>
                  <w:r>
                    <w:rPr>
                      <w:rFonts w:hint="default" w:ascii="Times New Roman" w:hAnsi="Times New Roman" w:eastAsia="仿宋_GB2312" w:cs="Times New Roman"/>
                      <w:snapToGrid w:val="0"/>
                      <w:color w:val="auto"/>
                      <w:spacing w:val="0"/>
                      <w:w w:val="100"/>
                      <w:kern w:val="0"/>
                      <w:position w:val="0"/>
                      <w:sz w:val="21"/>
                      <w:szCs w:val="21"/>
                      <w:lang w:val="en-US" w:eastAsia="en-US" w:bidi="ar-SA"/>
                    </w:rPr>
                    <w:t>对工厂及邻近地区开展公众教育、培训和发布有关信息。</w:t>
                  </w:r>
                </w:p>
              </w:tc>
            </w:tr>
            <w:tr w14:paraId="256C8D2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05" w:type="dxa"/>
                  <w:tcBorders>
                    <w:tl2br w:val="nil"/>
                    <w:tr2bl w:val="nil"/>
                  </w:tcBorders>
                  <w:vAlign w:val="center"/>
                </w:tcPr>
                <w:p w14:paraId="6A8BE8ED">
                  <w:pPr>
                    <w:pStyle w:val="99"/>
                    <w:keepNext w:val="0"/>
                    <w:keepLines w:val="0"/>
                    <w:pageBreakBefore w:val="0"/>
                    <w:widowControl/>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仿宋_GB2312" w:cs="Times New Roman"/>
                      <w:snapToGrid w:val="0"/>
                      <w:color w:val="auto"/>
                      <w:spacing w:val="0"/>
                      <w:w w:val="100"/>
                      <w:kern w:val="0"/>
                      <w:position w:val="0"/>
                      <w:sz w:val="21"/>
                      <w:szCs w:val="21"/>
                      <w:lang w:val="en-US" w:eastAsia="en-US" w:bidi="ar-SA"/>
                    </w:rPr>
                  </w:pPr>
                  <w:r>
                    <w:rPr>
                      <w:rFonts w:hint="default" w:ascii="Times New Roman" w:hAnsi="Times New Roman" w:eastAsia="仿宋_GB2312" w:cs="Times New Roman"/>
                      <w:snapToGrid w:val="0"/>
                      <w:color w:val="auto"/>
                      <w:spacing w:val="0"/>
                      <w:w w:val="100"/>
                      <w:kern w:val="0"/>
                      <w:position w:val="0"/>
                      <w:sz w:val="21"/>
                      <w:szCs w:val="21"/>
                      <w:lang w:val="en-US" w:eastAsia="en-US" w:bidi="ar-SA"/>
                    </w:rPr>
                    <w:t>10</w:t>
                  </w:r>
                </w:p>
              </w:tc>
              <w:tc>
                <w:tcPr>
                  <w:tcW w:w="1726" w:type="dxa"/>
                  <w:tcBorders>
                    <w:tl2br w:val="nil"/>
                    <w:tr2bl w:val="nil"/>
                  </w:tcBorders>
                  <w:vAlign w:val="center"/>
                </w:tcPr>
                <w:p w14:paraId="73DFD8A2">
                  <w:pPr>
                    <w:pStyle w:val="99"/>
                    <w:keepNext w:val="0"/>
                    <w:keepLines w:val="0"/>
                    <w:pageBreakBefore w:val="0"/>
                    <w:widowControl/>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仿宋_GB2312" w:cs="Times New Roman"/>
                      <w:snapToGrid w:val="0"/>
                      <w:color w:val="auto"/>
                      <w:spacing w:val="0"/>
                      <w:w w:val="100"/>
                      <w:kern w:val="0"/>
                      <w:position w:val="0"/>
                      <w:sz w:val="21"/>
                      <w:szCs w:val="21"/>
                      <w:lang w:val="en-US" w:eastAsia="en-US" w:bidi="ar-SA"/>
                    </w:rPr>
                  </w:pPr>
                  <w:r>
                    <w:rPr>
                      <w:rFonts w:hint="default" w:ascii="Times New Roman" w:hAnsi="Times New Roman" w:eastAsia="仿宋_GB2312" w:cs="Times New Roman"/>
                      <w:snapToGrid w:val="0"/>
                      <w:color w:val="auto"/>
                      <w:spacing w:val="0"/>
                      <w:w w:val="100"/>
                      <w:kern w:val="0"/>
                      <w:position w:val="0"/>
                      <w:sz w:val="21"/>
                      <w:szCs w:val="21"/>
                      <w:lang w:val="en-US" w:eastAsia="en-US" w:bidi="ar-SA"/>
                    </w:rPr>
                    <w:t>奖惩</w:t>
                  </w:r>
                </w:p>
              </w:tc>
              <w:tc>
                <w:tcPr>
                  <w:tcW w:w="5972" w:type="dxa"/>
                  <w:tcBorders>
                    <w:tl2br w:val="nil"/>
                    <w:tr2bl w:val="nil"/>
                  </w:tcBorders>
                  <w:vAlign w:val="center"/>
                </w:tcPr>
                <w:p w14:paraId="0C1951AD">
                  <w:pPr>
                    <w:pStyle w:val="99"/>
                    <w:keepNext w:val="0"/>
                    <w:keepLines w:val="0"/>
                    <w:pageBreakBefore w:val="0"/>
                    <w:widowControl/>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仿宋_GB2312" w:cs="Times New Roman"/>
                      <w:snapToGrid w:val="0"/>
                      <w:color w:val="auto"/>
                      <w:spacing w:val="0"/>
                      <w:w w:val="100"/>
                      <w:kern w:val="0"/>
                      <w:position w:val="0"/>
                      <w:sz w:val="21"/>
                      <w:szCs w:val="21"/>
                      <w:lang w:val="en-US" w:eastAsia="en-US" w:bidi="ar-SA"/>
                    </w:rPr>
                  </w:pPr>
                  <w:r>
                    <w:rPr>
                      <w:rFonts w:hint="default" w:ascii="Times New Roman" w:hAnsi="Times New Roman" w:eastAsia="仿宋_GB2312" w:cs="Times New Roman"/>
                      <w:snapToGrid w:val="0"/>
                      <w:color w:val="auto"/>
                      <w:spacing w:val="0"/>
                      <w:w w:val="100"/>
                      <w:kern w:val="0"/>
                      <w:position w:val="0"/>
                      <w:sz w:val="21"/>
                      <w:szCs w:val="21"/>
                      <w:lang w:val="en-US" w:eastAsia="en-US" w:bidi="ar-SA"/>
                    </w:rPr>
                    <w:t>明确突发环境事件应急救援工作中奖励和处罚的条件和内容。</w:t>
                  </w:r>
                </w:p>
              </w:tc>
            </w:tr>
            <w:tr w14:paraId="7879008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05" w:type="dxa"/>
                  <w:tcBorders>
                    <w:tl2br w:val="nil"/>
                    <w:tr2bl w:val="nil"/>
                  </w:tcBorders>
                  <w:vAlign w:val="center"/>
                </w:tcPr>
                <w:p w14:paraId="48B0EDB5">
                  <w:pPr>
                    <w:pStyle w:val="99"/>
                    <w:keepNext w:val="0"/>
                    <w:keepLines w:val="0"/>
                    <w:pageBreakBefore w:val="0"/>
                    <w:widowControl/>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仿宋_GB2312" w:cs="Times New Roman"/>
                      <w:snapToGrid w:val="0"/>
                      <w:color w:val="auto"/>
                      <w:spacing w:val="0"/>
                      <w:w w:val="100"/>
                      <w:kern w:val="0"/>
                      <w:position w:val="0"/>
                      <w:sz w:val="21"/>
                      <w:szCs w:val="21"/>
                      <w:lang w:val="en-US" w:eastAsia="en-US" w:bidi="ar-SA"/>
                    </w:rPr>
                  </w:pPr>
                  <w:r>
                    <w:rPr>
                      <w:rFonts w:hint="default" w:ascii="Times New Roman" w:hAnsi="Times New Roman" w:eastAsia="仿宋_GB2312" w:cs="Times New Roman"/>
                      <w:snapToGrid w:val="0"/>
                      <w:color w:val="auto"/>
                      <w:spacing w:val="0"/>
                      <w:w w:val="100"/>
                      <w:kern w:val="0"/>
                      <w:position w:val="0"/>
                      <w:sz w:val="21"/>
                      <w:szCs w:val="21"/>
                      <w:lang w:val="en-US" w:eastAsia="en-US" w:bidi="ar-SA"/>
                    </w:rPr>
                    <w:t>11</w:t>
                  </w:r>
                </w:p>
              </w:tc>
              <w:tc>
                <w:tcPr>
                  <w:tcW w:w="1726" w:type="dxa"/>
                  <w:tcBorders>
                    <w:tl2br w:val="nil"/>
                    <w:tr2bl w:val="nil"/>
                  </w:tcBorders>
                  <w:vAlign w:val="center"/>
                </w:tcPr>
                <w:p w14:paraId="0D9C8114">
                  <w:pPr>
                    <w:pStyle w:val="99"/>
                    <w:keepNext w:val="0"/>
                    <w:keepLines w:val="0"/>
                    <w:pageBreakBefore w:val="0"/>
                    <w:widowControl/>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仿宋_GB2312" w:cs="Times New Roman"/>
                      <w:snapToGrid w:val="0"/>
                      <w:color w:val="auto"/>
                      <w:spacing w:val="0"/>
                      <w:w w:val="100"/>
                      <w:kern w:val="0"/>
                      <w:position w:val="0"/>
                      <w:sz w:val="21"/>
                      <w:szCs w:val="21"/>
                      <w:lang w:val="en-US" w:eastAsia="en-US" w:bidi="ar-SA"/>
                    </w:rPr>
                  </w:pPr>
                  <w:r>
                    <w:rPr>
                      <w:rFonts w:hint="default" w:ascii="Times New Roman" w:hAnsi="Times New Roman" w:eastAsia="仿宋_GB2312" w:cs="Times New Roman"/>
                      <w:snapToGrid w:val="0"/>
                      <w:color w:val="auto"/>
                      <w:spacing w:val="0"/>
                      <w:w w:val="100"/>
                      <w:kern w:val="0"/>
                      <w:position w:val="0"/>
                      <w:sz w:val="21"/>
                      <w:szCs w:val="21"/>
                      <w:lang w:val="en-US" w:eastAsia="en-US" w:bidi="ar-SA"/>
                    </w:rPr>
                    <w:t>保障措施</w:t>
                  </w:r>
                </w:p>
              </w:tc>
              <w:tc>
                <w:tcPr>
                  <w:tcW w:w="5972" w:type="dxa"/>
                  <w:tcBorders>
                    <w:tl2br w:val="nil"/>
                    <w:tr2bl w:val="nil"/>
                  </w:tcBorders>
                  <w:vAlign w:val="center"/>
                </w:tcPr>
                <w:p w14:paraId="08D6B349">
                  <w:pPr>
                    <w:pStyle w:val="99"/>
                    <w:keepNext w:val="0"/>
                    <w:keepLines w:val="0"/>
                    <w:pageBreakBefore w:val="0"/>
                    <w:widowControl/>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仿宋_GB2312" w:cs="Times New Roman"/>
                      <w:snapToGrid w:val="0"/>
                      <w:color w:val="auto"/>
                      <w:spacing w:val="0"/>
                      <w:w w:val="100"/>
                      <w:kern w:val="0"/>
                      <w:position w:val="0"/>
                      <w:sz w:val="21"/>
                      <w:szCs w:val="21"/>
                      <w:lang w:val="en-US" w:eastAsia="en-US" w:bidi="ar-SA"/>
                    </w:rPr>
                  </w:pPr>
                  <w:r>
                    <w:rPr>
                      <w:rFonts w:hint="default" w:ascii="Times New Roman" w:hAnsi="Times New Roman" w:eastAsia="仿宋_GB2312" w:cs="Times New Roman"/>
                      <w:snapToGrid w:val="0"/>
                      <w:color w:val="auto"/>
                      <w:spacing w:val="0"/>
                      <w:w w:val="100"/>
                      <w:kern w:val="0"/>
                      <w:position w:val="0"/>
                      <w:sz w:val="21"/>
                      <w:szCs w:val="21"/>
                      <w:lang w:val="en-US" w:eastAsia="en-US" w:bidi="ar-SA"/>
                    </w:rPr>
                    <w:t>明确应急专项经费、应急救援需要使用的应急物资及装备、应急队伍的组成、通信与信息保障等内容。</w:t>
                  </w:r>
                </w:p>
              </w:tc>
            </w:tr>
            <w:tr w14:paraId="26D6912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05" w:type="dxa"/>
                  <w:tcBorders>
                    <w:tl2br w:val="nil"/>
                    <w:tr2bl w:val="nil"/>
                  </w:tcBorders>
                  <w:vAlign w:val="center"/>
                </w:tcPr>
                <w:p w14:paraId="3869AB0F">
                  <w:pPr>
                    <w:pStyle w:val="99"/>
                    <w:keepNext w:val="0"/>
                    <w:keepLines w:val="0"/>
                    <w:pageBreakBefore w:val="0"/>
                    <w:widowControl/>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仿宋_GB2312" w:cs="Times New Roman"/>
                      <w:snapToGrid w:val="0"/>
                      <w:color w:val="auto"/>
                      <w:spacing w:val="0"/>
                      <w:w w:val="100"/>
                      <w:kern w:val="0"/>
                      <w:position w:val="0"/>
                      <w:sz w:val="21"/>
                      <w:szCs w:val="21"/>
                      <w:lang w:val="en-US" w:eastAsia="en-US" w:bidi="ar-SA"/>
                    </w:rPr>
                  </w:pPr>
                  <w:r>
                    <w:rPr>
                      <w:rFonts w:hint="default" w:ascii="Times New Roman" w:hAnsi="Times New Roman" w:eastAsia="仿宋_GB2312" w:cs="Times New Roman"/>
                      <w:snapToGrid w:val="0"/>
                      <w:color w:val="auto"/>
                      <w:spacing w:val="0"/>
                      <w:w w:val="100"/>
                      <w:kern w:val="0"/>
                      <w:position w:val="0"/>
                      <w:sz w:val="21"/>
                      <w:szCs w:val="21"/>
                      <w:lang w:val="en-US" w:eastAsia="en-US" w:bidi="ar-SA"/>
                    </w:rPr>
                    <w:t>12</w:t>
                  </w:r>
                </w:p>
              </w:tc>
              <w:tc>
                <w:tcPr>
                  <w:tcW w:w="1726" w:type="dxa"/>
                  <w:tcBorders>
                    <w:tl2br w:val="nil"/>
                    <w:tr2bl w:val="nil"/>
                  </w:tcBorders>
                  <w:vAlign w:val="center"/>
                </w:tcPr>
                <w:p w14:paraId="3AAD6FEA">
                  <w:pPr>
                    <w:pStyle w:val="99"/>
                    <w:keepNext w:val="0"/>
                    <w:keepLines w:val="0"/>
                    <w:pageBreakBefore w:val="0"/>
                    <w:widowControl/>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仿宋_GB2312" w:cs="Times New Roman"/>
                      <w:snapToGrid w:val="0"/>
                      <w:color w:val="auto"/>
                      <w:spacing w:val="0"/>
                      <w:w w:val="100"/>
                      <w:kern w:val="0"/>
                      <w:position w:val="0"/>
                      <w:sz w:val="21"/>
                      <w:szCs w:val="21"/>
                      <w:lang w:val="en-US" w:eastAsia="en-US" w:bidi="ar-SA"/>
                    </w:rPr>
                  </w:pPr>
                  <w:r>
                    <w:rPr>
                      <w:rFonts w:hint="default" w:ascii="Times New Roman" w:hAnsi="Times New Roman" w:eastAsia="仿宋_GB2312" w:cs="Times New Roman"/>
                      <w:snapToGrid w:val="0"/>
                      <w:color w:val="auto"/>
                      <w:spacing w:val="0"/>
                      <w:w w:val="100"/>
                      <w:kern w:val="0"/>
                      <w:position w:val="0"/>
                      <w:sz w:val="21"/>
                      <w:szCs w:val="21"/>
                      <w:lang w:val="en-US" w:eastAsia="en-US" w:bidi="ar-SA"/>
                    </w:rPr>
                    <w:t>附件</w:t>
                  </w:r>
                </w:p>
              </w:tc>
              <w:tc>
                <w:tcPr>
                  <w:tcW w:w="5972" w:type="dxa"/>
                  <w:tcBorders>
                    <w:tl2br w:val="nil"/>
                    <w:tr2bl w:val="nil"/>
                  </w:tcBorders>
                  <w:vAlign w:val="center"/>
                </w:tcPr>
                <w:p w14:paraId="04CF213E">
                  <w:pPr>
                    <w:pStyle w:val="99"/>
                    <w:keepNext w:val="0"/>
                    <w:keepLines w:val="0"/>
                    <w:pageBreakBefore w:val="0"/>
                    <w:widowControl/>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仿宋_GB2312" w:cs="Times New Roman"/>
                      <w:snapToGrid w:val="0"/>
                      <w:color w:val="auto"/>
                      <w:spacing w:val="0"/>
                      <w:w w:val="100"/>
                      <w:kern w:val="0"/>
                      <w:position w:val="0"/>
                      <w:sz w:val="21"/>
                      <w:szCs w:val="21"/>
                      <w:lang w:val="en-US" w:eastAsia="en-US" w:bidi="ar-SA"/>
                    </w:rPr>
                  </w:pPr>
                  <w:r>
                    <w:rPr>
                      <w:rFonts w:hint="default" w:ascii="Times New Roman" w:hAnsi="Times New Roman" w:eastAsia="仿宋_GB2312" w:cs="Times New Roman"/>
                      <w:snapToGrid w:val="0"/>
                      <w:color w:val="auto"/>
                      <w:spacing w:val="0"/>
                      <w:w w:val="100"/>
                      <w:kern w:val="0"/>
                      <w:position w:val="0"/>
                      <w:sz w:val="21"/>
                      <w:szCs w:val="21"/>
                      <w:lang w:val="en-US" w:eastAsia="en-US" w:bidi="ar-SA"/>
                    </w:rPr>
                    <w:t>与应急事故有关的多种附件材料的准备和形成。</w:t>
                  </w:r>
                </w:p>
              </w:tc>
            </w:tr>
            <w:tr w14:paraId="59929E2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05" w:type="dxa"/>
                  <w:tcBorders>
                    <w:tl2br w:val="nil"/>
                    <w:tr2bl w:val="nil"/>
                  </w:tcBorders>
                  <w:vAlign w:val="center"/>
                </w:tcPr>
                <w:p w14:paraId="6ECB3087">
                  <w:pPr>
                    <w:pStyle w:val="99"/>
                    <w:keepNext w:val="0"/>
                    <w:keepLines w:val="0"/>
                    <w:pageBreakBefore w:val="0"/>
                    <w:widowControl/>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仿宋_GB2312" w:cs="Times New Roman"/>
                      <w:snapToGrid w:val="0"/>
                      <w:color w:val="auto"/>
                      <w:spacing w:val="0"/>
                      <w:w w:val="100"/>
                      <w:kern w:val="0"/>
                      <w:position w:val="0"/>
                      <w:sz w:val="21"/>
                      <w:szCs w:val="21"/>
                      <w:lang w:val="en-US" w:eastAsia="en-US" w:bidi="ar-SA"/>
                    </w:rPr>
                  </w:pPr>
                  <w:r>
                    <w:rPr>
                      <w:rFonts w:hint="default" w:ascii="Times New Roman" w:hAnsi="Times New Roman" w:eastAsia="仿宋_GB2312" w:cs="Times New Roman"/>
                      <w:snapToGrid w:val="0"/>
                      <w:color w:val="auto"/>
                      <w:spacing w:val="0"/>
                      <w:w w:val="100"/>
                      <w:kern w:val="0"/>
                      <w:position w:val="0"/>
                      <w:sz w:val="21"/>
                      <w:szCs w:val="21"/>
                      <w:lang w:val="en-US" w:eastAsia="en-US" w:bidi="ar-SA"/>
                    </w:rPr>
                    <w:t>13</w:t>
                  </w:r>
                </w:p>
              </w:tc>
              <w:tc>
                <w:tcPr>
                  <w:tcW w:w="1726" w:type="dxa"/>
                  <w:tcBorders>
                    <w:tl2br w:val="nil"/>
                    <w:tr2bl w:val="nil"/>
                  </w:tcBorders>
                  <w:vAlign w:val="center"/>
                </w:tcPr>
                <w:p w14:paraId="11F0CD2F">
                  <w:pPr>
                    <w:pStyle w:val="99"/>
                    <w:keepNext w:val="0"/>
                    <w:keepLines w:val="0"/>
                    <w:pageBreakBefore w:val="0"/>
                    <w:widowControl/>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仿宋_GB2312" w:cs="Times New Roman"/>
                      <w:snapToGrid w:val="0"/>
                      <w:color w:val="auto"/>
                      <w:spacing w:val="0"/>
                      <w:w w:val="100"/>
                      <w:kern w:val="0"/>
                      <w:position w:val="0"/>
                      <w:sz w:val="21"/>
                      <w:szCs w:val="21"/>
                      <w:lang w:val="en-US" w:eastAsia="en-US" w:bidi="ar-SA"/>
                    </w:rPr>
                  </w:pPr>
                  <w:r>
                    <w:rPr>
                      <w:rFonts w:hint="default" w:ascii="Times New Roman" w:hAnsi="Times New Roman" w:eastAsia="仿宋_GB2312" w:cs="Times New Roman"/>
                      <w:snapToGrid w:val="0"/>
                      <w:color w:val="auto"/>
                      <w:spacing w:val="0"/>
                      <w:w w:val="100"/>
                      <w:kern w:val="0"/>
                      <w:position w:val="0"/>
                      <w:sz w:val="21"/>
                      <w:szCs w:val="21"/>
                      <w:lang w:val="en-US" w:eastAsia="en-US" w:bidi="ar-SA"/>
                    </w:rPr>
                    <w:t>区域联动</w:t>
                  </w:r>
                </w:p>
              </w:tc>
              <w:tc>
                <w:tcPr>
                  <w:tcW w:w="5972" w:type="dxa"/>
                  <w:tcBorders>
                    <w:tl2br w:val="nil"/>
                    <w:tr2bl w:val="nil"/>
                  </w:tcBorders>
                  <w:vAlign w:val="center"/>
                </w:tcPr>
                <w:p w14:paraId="67784066">
                  <w:pPr>
                    <w:pStyle w:val="99"/>
                    <w:keepNext w:val="0"/>
                    <w:keepLines w:val="0"/>
                    <w:pageBreakBefore w:val="0"/>
                    <w:widowControl/>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仿宋_GB2312" w:cs="Times New Roman"/>
                      <w:snapToGrid w:val="0"/>
                      <w:color w:val="auto"/>
                      <w:spacing w:val="0"/>
                      <w:w w:val="100"/>
                      <w:kern w:val="0"/>
                      <w:position w:val="0"/>
                      <w:sz w:val="21"/>
                      <w:szCs w:val="21"/>
                      <w:lang w:val="en-US" w:eastAsia="en-US" w:bidi="ar-SA"/>
                    </w:rPr>
                  </w:pPr>
                  <w:r>
                    <w:rPr>
                      <w:rFonts w:hint="default" w:ascii="Times New Roman" w:hAnsi="Times New Roman" w:eastAsia="仿宋_GB2312" w:cs="Times New Roman"/>
                      <w:snapToGrid w:val="0"/>
                      <w:color w:val="auto"/>
                      <w:spacing w:val="0"/>
                      <w:w w:val="100"/>
                      <w:kern w:val="0"/>
                      <w:position w:val="0"/>
                      <w:sz w:val="21"/>
                      <w:szCs w:val="21"/>
                      <w:lang w:val="en-US" w:eastAsia="en-US" w:bidi="ar-SA"/>
                    </w:rPr>
                    <w:t>明确分级响应，企业预案与园区/区域应急预案的衔接、联动。</w:t>
                  </w:r>
                </w:p>
              </w:tc>
            </w:tr>
          </w:tbl>
          <w:p w14:paraId="71768551">
            <w:pPr>
              <w:pStyle w:val="99"/>
              <w:keepNext w:val="0"/>
              <w:keepLines w:val="0"/>
              <w:pageBreakBefore w:val="0"/>
              <w:widowControl/>
              <w:kinsoku/>
              <w:wordWrap/>
              <w:overflowPunct w:val="0"/>
              <w:topLinePunct w:val="0"/>
              <w:autoSpaceDE w:val="0"/>
              <w:autoSpaceDN w:val="0"/>
              <w:bidi w:val="0"/>
              <w:adjustRightInd w:val="0"/>
              <w:snapToGrid w:val="0"/>
              <w:spacing w:line="360" w:lineRule="auto"/>
              <w:ind w:left="0" w:right="0" w:firstLine="420" w:firstLineChars="200"/>
              <w:jc w:val="left"/>
              <w:textAlignment w:val="baseline"/>
              <w:rPr>
                <w:rFonts w:hint="default" w:ascii="Times New Roman" w:hAnsi="Times New Roman" w:eastAsia="仿宋_GB2312" w:cs="Times New Roman"/>
                <w:kern w:val="2"/>
                <w:sz w:val="21"/>
                <w:szCs w:val="24"/>
                <w:lang w:val="en-US" w:eastAsia="zh-CN" w:bidi="ar-SA"/>
              </w:rPr>
            </w:pPr>
            <w:r>
              <w:rPr>
                <w:rFonts w:hint="default" w:ascii="Times New Roman" w:hAnsi="Times New Roman" w:eastAsia="仿宋_GB2312" w:cs="Times New Roman"/>
                <w:kern w:val="2"/>
                <w:sz w:val="21"/>
                <w:szCs w:val="24"/>
                <w:lang w:val="en-US" w:eastAsia="zh-CN" w:bidi="ar-SA"/>
              </w:rPr>
              <w:t>公司应组织对员工应急预案的培训与宣传教育，培训应形成详细台账记录，记录培训时间、地点、内容、参加人员、考试评估等情况。公司至少每年组织一次应急救援方面的培训考核，包括：应急响应人员的培训、员工应急响应的培训和周边人员应急响应知识的宣传。</w:t>
            </w:r>
          </w:p>
          <w:p w14:paraId="07F532AF">
            <w:pPr>
              <w:pStyle w:val="99"/>
              <w:keepNext w:val="0"/>
              <w:keepLines w:val="0"/>
              <w:pageBreakBefore w:val="0"/>
              <w:widowControl/>
              <w:kinsoku/>
              <w:wordWrap/>
              <w:overflowPunct w:val="0"/>
              <w:topLinePunct w:val="0"/>
              <w:autoSpaceDE w:val="0"/>
              <w:autoSpaceDN w:val="0"/>
              <w:bidi w:val="0"/>
              <w:adjustRightInd w:val="0"/>
              <w:snapToGrid w:val="0"/>
              <w:spacing w:line="360" w:lineRule="auto"/>
              <w:ind w:left="0" w:right="0" w:firstLine="420" w:firstLineChars="200"/>
              <w:jc w:val="left"/>
              <w:textAlignment w:val="baseline"/>
              <w:rPr>
                <w:rFonts w:hint="default" w:ascii="Times New Roman" w:hAnsi="Times New Roman" w:eastAsia="仿宋_GB2312" w:cs="Times New Roman"/>
                <w:kern w:val="2"/>
                <w:sz w:val="21"/>
                <w:szCs w:val="24"/>
                <w:lang w:val="en-US" w:eastAsia="zh-CN" w:bidi="ar-SA"/>
              </w:rPr>
            </w:pPr>
            <w:r>
              <w:rPr>
                <w:rFonts w:hint="default" w:ascii="Times New Roman" w:hAnsi="Times New Roman" w:eastAsia="仿宋_GB2312" w:cs="Times New Roman"/>
                <w:kern w:val="2"/>
                <w:sz w:val="21"/>
                <w:szCs w:val="24"/>
                <w:lang w:val="en-US" w:eastAsia="zh-CN" w:bidi="ar-SA"/>
              </w:rPr>
              <w:t>应急指挥部和各专业应急小组负责人分别按突发环境事件应急预案要求，以组织指挥的形式组织实施应急救援任务的演练。单项演练，由各专业应急小组各自开展的环境应急任务中的单项科目的演练；综合演练；由应急指挥部按突发环境事件应急救援小组开展综合演练。</w:t>
            </w:r>
          </w:p>
          <w:p w14:paraId="14C4DEED">
            <w:pPr>
              <w:pStyle w:val="99"/>
              <w:keepNext w:val="0"/>
              <w:keepLines w:val="0"/>
              <w:pageBreakBefore w:val="0"/>
              <w:widowControl/>
              <w:kinsoku/>
              <w:wordWrap/>
              <w:overflowPunct w:val="0"/>
              <w:topLinePunct w:val="0"/>
              <w:autoSpaceDE w:val="0"/>
              <w:autoSpaceDN w:val="0"/>
              <w:bidi w:val="0"/>
              <w:adjustRightInd w:val="0"/>
              <w:snapToGrid w:val="0"/>
              <w:spacing w:line="360" w:lineRule="auto"/>
              <w:ind w:left="0" w:right="0" w:firstLine="422" w:firstLineChars="200"/>
              <w:jc w:val="left"/>
              <w:textAlignment w:val="baseline"/>
              <w:rPr>
                <w:rFonts w:hint="default" w:ascii="Times New Roman" w:hAnsi="Times New Roman" w:eastAsia="仿宋_GB2312" w:cs="Times New Roman"/>
                <w:b/>
                <w:bCs/>
                <w:kern w:val="2"/>
                <w:sz w:val="21"/>
                <w:szCs w:val="24"/>
                <w:lang w:val="en-US" w:eastAsia="zh-CN" w:bidi="ar-SA"/>
              </w:rPr>
            </w:pPr>
            <w:r>
              <w:rPr>
                <w:rFonts w:hint="default" w:ascii="Times New Roman" w:hAnsi="Times New Roman" w:eastAsia="仿宋_GB2312" w:cs="Times New Roman"/>
                <w:b/>
                <w:bCs/>
                <w:kern w:val="2"/>
                <w:sz w:val="21"/>
                <w:szCs w:val="24"/>
                <w:lang w:val="en-US" w:eastAsia="zh-CN" w:bidi="ar-SA"/>
              </w:rPr>
              <w:t>环境应急物资装备的配备</w:t>
            </w:r>
          </w:p>
          <w:p w14:paraId="5B7BE38C">
            <w:pPr>
              <w:pStyle w:val="99"/>
              <w:keepNext w:val="0"/>
              <w:keepLines w:val="0"/>
              <w:pageBreakBefore w:val="0"/>
              <w:widowControl/>
              <w:kinsoku/>
              <w:wordWrap/>
              <w:overflowPunct w:val="0"/>
              <w:topLinePunct w:val="0"/>
              <w:autoSpaceDE w:val="0"/>
              <w:autoSpaceDN w:val="0"/>
              <w:bidi w:val="0"/>
              <w:adjustRightInd w:val="0"/>
              <w:snapToGrid w:val="0"/>
              <w:spacing w:line="360" w:lineRule="auto"/>
              <w:ind w:left="0" w:right="0" w:firstLine="420" w:firstLineChars="200"/>
              <w:jc w:val="left"/>
              <w:textAlignment w:val="baseline"/>
              <w:rPr>
                <w:rFonts w:hint="default" w:ascii="Times New Roman" w:hAnsi="Times New Roman" w:eastAsia="仿宋_GB2312" w:cs="Times New Roman"/>
                <w:kern w:val="2"/>
                <w:sz w:val="21"/>
                <w:szCs w:val="24"/>
                <w:lang w:val="en-US" w:eastAsia="zh-CN" w:bidi="ar-SA"/>
              </w:rPr>
            </w:pPr>
            <w:r>
              <w:rPr>
                <w:rFonts w:hint="default" w:ascii="Times New Roman" w:hAnsi="Times New Roman" w:eastAsia="仿宋_GB2312" w:cs="Times New Roman"/>
                <w:kern w:val="2"/>
                <w:sz w:val="21"/>
                <w:szCs w:val="24"/>
                <w:lang w:val="en-US" w:eastAsia="zh-CN" w:bidi="ar-SA"/>
              </w:rPr>
              <w:t>根据事故应急抢险救援需要，配备消防、堵漏、通讯、交通、工具、应急照明、防护、急救等各类所需应急抢险装备器材。建立健全厂区环境污染事故应急物资装备的储存、调拨和紧急配送系统，确保应急物资、设备性能完好，随时备用。应急结束后，加强对应急物资、设备的维护、保养以及补充。加强对储备物资的管理，防止储备物资被盗用、挪用、流散和失效。</w:t>
            </w:r>
          </w:p>
          <w:p w14:paraId="2920F90B">
            <w:pPr>
              <w:keepNext w:val="0"/>
              <w:keepLines w:val="0"/>
              <w:pageBreakBefore w:val="0"/>
              <w:widowControl/>
              <w:kinsoku/>
              <w:wordWrap/>
              <w:overflowPunct/>
              <w:topLinePunct w:val="0"/>
              <w:autoSpaceDE w:val="0"/>
              <w:autoSpaceDN w:val="0"/>
              <w:bidi w:val="0"/>
              <w:adjustRightInd w:val="0"/>
              <w:snapToGrid w:val="0"/>
              <w:spacing w:line="360" w:lineRule="auto"/>
              <w:ind w:right="0" w:firstLine="422" w:firstLineChars="200"/>
              <w:textAlignment w:val="auto"/>
              <w:rPr>
                <w:rFonts w:eastAsia="仿宋_GB2312"/>
                <w:b/>
                <w:bCs/>
                <w:kern w:val="0"/>
              </w:rPr>
            </w:pPr>
            <w:r>
              <w:rPr>
                <w:rFonts w:eastAsia="仿宋_GB2312"/>
                <w:b/>
                <w:bCs/>
                <w:kern w:val="0"/>
              </w:rPr>
              <w:t>（</w:t>
            </w:r>
            <w:r>
              <w:rPr>
                <w:rFonts w:hint="eastAsia" w:eastAsia="仿宋_GB2312"/>
                <w:b/>
                <w:bCs/>
                <w:kern w:val="0"/>
                <w:lang w:val="en-US" w:eastAsia="zh-CN"/>
              </w:rPr>
              <w:t>8</w:t>
            </w:r>
            <w:r>
              <w:rPr>
                <w:rFonts w:eastAsia="仿宋_GB2312"/>
                <w:b/>
                <w:bCs/>
                <w:kern w:val="0"/>
              </w:rPr>
              <w:t>）建立健全安全环境管理制度</w:t>
            </w:r>
          </w:p>
          <w:p w14:paraId="44D5D36A">
            <w:pPr>
              <w:keepNext w:val="0"/>
              <w:keepLines w:val="0"/>
              <w:pageBreakBefore w:val="0"/>
              <w:widowControl/>
              <w:kinsoku/>
              <w:wordWrap/>
              <w:overflowPunct/>
              <w:topLinePunct w:val="0"/>
              <w:autoSpaceDE w:val="0"/>
              <w:autoSpaceDN w:val="0"/>
              <w:bidi w:val="0"/>
              <w:adjustRightInd w:val="0"/>
              <w:snapToGrid w:val="0"/>
              <w:spacing w:line="360" w:lineRule="auto"/>
              <w:ind w:right="0" w:firstLine="420" w:firstLineChars="200"/>
              <w:textAlignment w:val="auto"/>
              <w:rPr>
                <w:rFonts w:eastAsia="仿宋_GB2312"/>
                <w:kern w:val="0"/>
              </w:rPr>
            </w:pPr>
            <w:r>
              <w:rPr>
                <w:rFonts w:eastAsia="仿宋_GB2312"/>
                <w:kern w:val="0"/>
              </w:rPr>
              <w:t>①公司应建立健全的健康/安全/环境管理制度，并严格予以执行；</w:t>
            </w:r>
          </w:p>
          <w:p w14:paraId="77BC1C18">
            <w:pPr>
              <w:keepNext w:val="0"/>
              <w:keepLines w:val="0"/>
              <w:pageBreakBefore w:val="0"/>
              <w:widowControl/>
              <w:kinsoku/>
              <w:wordWrap/>
              <w:overflowPunct/>
              <w:topLinePunct w:val="0"/>
              <w:autoSpaceDE w:val="0"/>
              <w:autoSpaceDN w:val="0"/>
              <w:bidi w:val="0"/>
              <w:adjustRightInd w:val="0"/>
              <w:snapToGrid w:val="0"/>
              <w:spacing w:line="360" w:lineRule="auto"/>
              <w:ind w:right="0" w:firstLine="420" w:firstLineChars="200"/>
              <w:textAlignment w:val="auto"/>
              <w:rPr>
                <w:rFonts w:eastAsia="仿宋_GB2312"/>
                <w:kern w:val="0"/>
              </w:rPr>
            </w:pPr>
            <w:r>
              <w:rPr>
                <w:rFonts w:eastAsia="仿宋_GB2312"/>
                <w:kern w:val="0"/>
              </w:rPr>
              <w:t>②严格执行我国有关的劳动安全、环境保护、工业卫生的规范和标准，最低限度的清除事故隐患，一旦发生事故应采取有效措施，降低因事故引起的损失和对环境的污染；</w:t>
            </w:r>
          </w:p>
          <w:p w14:paraId="27C26F8F">
            <w:pPr>
              <w:keepNext w:val="0"/>
              <w:keepLines w:val="0"/>
              <w:pageBreakBefore w:val="0"/>
              <w:widowControl/>
              <w:kinsoku/>
              <w:wordWrap/>
              <w:overflowPunct/>
              <w:topLinePunct w:val="0"/>
              <w:autoSpaceDE w:val="0"/>
              <w:autoSpaceDN w:val="0"/>
              <w:bidi w:val="0"/>
              <w:adjustRightInd w:val="0"/>
              <w:snapToGrid w:val="0"/>
              <w:spacing w:line="360" w:lineRule="auto"/>
              <w:ind w:right="0" w:firstLine="420" w:firstLineChars="200"/>
              <w:textAlignment w:val="auto"/>
              <w:rPr>
                <w:rFonts w:eastAsia="仿宋_GB2312"/>
                <w:kern w:val="0"/>
              </w:rPr>
            </w:pPr>
            <w:r>
              <w:rPr>
                <w:rFonts w:eastAsia="仿宋_GB2312"/>
                <w:kern w:val="0"/>
              </w:rPr>
              <w:t>③加强工厂、车间的安全环保管理，对全厂职工进行安全环保的教育和培训，实行上岗证制度；</w:t>
            </w:r>
          </w:p>
          <w:p w14:paraId="273B5923">
            <w:pPr>
              <w:keepNext w:val="0"/>
              <w:keepLines w:val="0"/>
              <w:pageBreakBefore w:val="0"/>
              <w:widowControl/>
              <w:kinsoku/>
              <w:wordWrap/>
              <w:overflowPunct/>
              <w:topLinePunct w:val="0"/>
              <w:autoSpaceDE w:val="0"/>
              <w:autoSpaceDN w:val="0"/>
              <w:bidi w:val="0"/>
              <w:adjustRightInd w:val="0"/>
              <w:snapToGrid w:val="0"/>
              <w:spacing w:line="360" w:lineRule="auto"/>
              <w:ind w:right="0" w:firstLine="420" w:firstLineChars="200"/>
              <w:textAlignment w:val="auto"/>
              <w:rPr>
                <w:rFonts w:eastAsia="仿宋_GB2312"/>
                <w:kern w:val="0"/>
              </w:rPr>
            </w:pPr>
            <w:r>
              <w:rPr>
                <w:rFonts w:eastAsia="仿宋_GB2312"/>
                <w:kern w:val="0"/>
              </w:rPr>
              <w:t>④定期检查生产和原料贮存区，杜绝事故隐患，降低事故发生概率；</w:t>
            </w:r>
          </w:p>
          <w:p w14:paraId="16C32365">
            <w:pPr>
              <w:keepNext w:val="0"/>
              <w:keepLines w:val="0"/>
              <w:pageBreakBefore w:val="0"/>
              <w:widowControl/>
              <w:kinsoku/>
              <w:wordWrap/>
              <w:overflowPunct/>
              <w:topLinePunct w:val="0"/>
              <w:autoSpaceDE w:val="0"/>
              <w:autoSpaceDN w:val="0"/>
              <w:bidi w:val="0"/>
              <w:adjustRightInd w:val="0"/>
              <w:snapToGrid w:val="0"/>
              <w:spacing w:line="360" w:lineRule="auto"/>
              <w:ind w:right="0" w:firstLine="420" w:firstLineChars="200"/>
              <w:textAlignment w:val="auto"/>
              <w:rPr>
                <w:rFonts w:eastAsia="仿宋_GB2312"/>
                <w:kern w:val="0"/>
              </w:rPr>
            </w:pPr>
            <w:r>
              <w:rPr>
                <w:rFonts w:eastAsia="仿宋_GB2312"/>
                <w:kern w:val="0"/>
              </w:rPr>
              <w:t>⑤配备24小时有效的报警装置；</w:t>
            </w:r>
          </w:p>
          <w:p w14:paraId="47B15508">
            <w:pPr>
              <w:keepNext w:val="0"/>
              <w:keepLines w:val="0"/>
              <w:pageBreakBefore w:val="0"/>
              <w:widowControl/>
              <w:kinsoku/>
              <w:wordWrap/>
              <w:overflowPunct/>
              <w:topLinePunct w:val="0"/>
              <w:autoSpaceDE w:val="0"/>
              <w:autoSpaceDN w:val="0"/>
              <w:bidi w:val="0"/>
              <w:adjustRightInd w:val="0"/>
              <w:snapToGrid w:val="0"/>
              <w:spacing w:line="360" w:lineRule="auto"/>
              <w:ind w:right="0" w:firstLine="420" w:firstLineChars="200"/>
              <w:textAlignment w:val="auto"/>
              <w:rPr>
                <w:rFonts w:eastAsia="仿宋_GB2312"/>
                <w:kern w:val="0"/>
              </w:rPr>
            </w:pPr>
            <w:r>
              <w:rPr>
                <w:rFonts w:eastAsia="仿宋_GB2312"/>
                <w:kern w:val="0"/>
              </w:rPr>
              <w:t>⑥应明确24小时有效的内部、外部通讯联络手段。</w:t>
            </w:r>
          </w:p>
          <w:p w14:paraId="55073802">
            <w:pPr>
              <w:keepNext w:val="0"/>
              <w:keepLines w:val="0"/>
              <w:pageBreakBefore w:val="0"/>
              <w:kinsoku/>
              <w:wordWrap/>
              <w:overflowPunct/>
              <w:topLinePunct w:val="0"/>
              <w:bidi w:val="0"/>
              <w:adjustRightInd w:val="0"/>
              <w:snapToGrid w:val="0"/>
              <w:spacing w:line="360" w:lineRule="auto"/>
              <w:ind w:right="0" w:firstLine="420" w:firstLineChars="200"/>
              <w:textAlignment w:val="auto"/>
              <w:rPr>
                <w:rFonts w:eastAsia="仿宋_GB2312"/>
                <w:bCs/>
              </w:rPr>
            </w:pPr>
            <w:r>
              <w:rPr>
                <w:rFonts w:eastAsia="仿宋_GB2312"/>
                <w:bCs/>
              </w:rPr>
              <w:t>⑦依据《突发环境事件应急预案管理暂行办法》（环发[2010]113号）和《环境风险评价技术导则》（H/T169-2018）及相关的法律法规，本项目需制定应急预案。</w:t>
            </w:r>
          </w:p>
          <w:p w14:paraId="043EB80E">
            <w:pPr>
              <w:keepNext w:val="0"/>
              <w:keepLines w:val="0"/>
              <w:pageBreakBefore w:val="0"/>
              <w:kinsoku/>
              <w:wordWrap/>
              <w:overflowPunct/>
              <w:topLinePunct w:val="0"/>
              <w:bidi w:val="0"/>
              <w:adjustRightInd w:val="0"/>
              <w:snapToGrid w:val="0"/>
              <w:spacing w:line="360" w:lineRule="auto"/>
              <w:ind w:right="0" w:firstLine="420" w:firstLineChars="200"/>
              <w:textAlignment w:val="auto"/>
              <w:rPr>
                <w:rFonts w:eastAsia="仿宋_GB2312"/>
                <w:b/>
              </w:rPr>
            </w:pPr>
            <w:r>
              <w:rPr>
                <w:rFonts w:eastAsia="仿宋_GB2312"/>
                <w:bCs/>
              </w:rPr>
              <w:t>编制目的和依据为能有效预防突发事故发生，并能做到在事故发生后能迅速有效地实现控制和处理，最大程度地减少事故所带来的损失，本公司按照“预防为主、自救为主、统一指挥、分工负责”的原则成立了应急救援小组。当发生突发事故时，应急救援小组能尽快的采取有效的措施，第一时间投入紧急事故的处理，以防事态进一步扩大</w:t>
            </w:r>
            <w:r>
              <w:rPr>
                <w:rFonts w:eastAsia="仿宋_GB2312"/>
                <w:b/>
              </w:rPr>
              <w:t>。</w:t>
            </w:r>
          </w:p>
          <w:p w14:paraId="6814C190">
            <w:pPr>
              <w:pStyle w:val="50"/>
              <w:keepNext w:val="0"/>
              <w:keepLines w:val="0"/>
              <w:pageBreakBefore w:val="0"/>
              <w:widowControl/>
              <w:kinsoku/>
              <w:wordWrap/>
              <w:overflowPunct/>
              <w:topLinePunct w:val="0"/>
              <w:autoSpaceDE/>
              <w:autoSpaceDN/>
              <w:bidi w:val="0"/>
              <w:adjustRightInd/>
              <w:snapToGrid/>
              <w:spacing w:line="360" w:lineRule="auto"/>
              <w:ind w:firstLine="480"/>
              <w:jc w:val="both"/>
              <w:textAlignment w:val="auto"/>
              <w:rPr>
                <w:rFonts w:hint="default" w:ascii="Times New Roman" w:hAnsi="Times New Roman" w:eastAsia="仿宋_GB2312" w:cs="Times New Roman"/>
                <w:b/>
                <w:bCs/>
                <w:szCs w:val="24"/>
              </w:rPr>
            </w:pPr>
            <w:r>
              <w:rPr>
                <w:rFonts w:hint="eastAsia" w:ascii="Times New Roman" w:hAnsi="Times New Roman" w:cs="Times New Roman"/>
                <w:b/>
                <w:bCs/>
                <w:szCs w:val="24"/>
                <w:lang w:val="en-US" w:eastAsia="zh-CN"/>
              </w:rPr>
              <w:t>（</w:t>
            </w:r>
            <w:r>
              <w:rPr>
                <w:rFonts w:hint="eastAsia" w:cs="Times New Roman"/>
                <w:b/>
                <w:bCs/>
                <w:szCs w:val="24"/>
                <w:lang w:val="en-US" w:eastAsia="zh-CN"/>
              </w:rPr>
              <w:t>9</w:t>
            </w:r>
            <w:r>
              <w:rPr>
                <w:rFonts w:hint="eastAsia" w:ascii="Times New Roman" w:hAnsi="Times New Roman" w:cs="Times New Roman"/>
                <w:b/>
                <w:bCs/>
                <w:szCs w:val="24"/>
                <w:lang w:val="en-US" w:eastAsia="zh-CN"/>
              </w:rPr>
              <w:t>）</w:t>
            </w:r>
            <w:r>
              <w:rPr>
                <w:rFonts w:hint="default" w:ascii="Times New Roman" w:hAnsi="Times New Roman" w:eastAsia="仿宋_GB2312" w:cs="Times New Roman"/>
                <w:b/>
                <w:bCs/>
                <w:szCs w:val="24"/>
              </w:rPr>
              <w:t>安全风险辨识要求</w:t>
            </w:r>
          </w:p>
          <w:p w14:paraId="64A266E1">
            <w:pPr>
              <w:pStyle w:val="99"/>
              <w:keepNext w:val="0"/>
              <w:keepLines w:val="0"/>
              <w:pageBreakBefore w:val="0"/>
              <w:widowControl/>
              <w:kinsoku/>
              <w:wordWrap/>
              <w:overflowPunct w:val="0"/>
              <w:topLinePunct w:val="0"/>
              <w:autoSpaceDE w:val="0"/>
              <w:autoSpaceDN w:val="0"/>
              <w:bidi w:val="0"/>
              <w:adjustRightInd w:val="0"/>
              <w:snapToGrid w:val="0"/>
              <w:spacing w:line="360" w:lineRule="auto"/>
              <w:ind w:left="0" w:right="0" w:firstLine="420" w:firstLineChars="200"/>
              <w:jc w:val="left"/>
              <w:textAlignment w:val="baseline"/>
              <w:rPr>
                <w:rFonts w:hint="default" w:ascii="Times New Roman" w:hAnsi="Times New Roman" w:eastAsia="仿宋_GB2312" w:cs="Times New Roman"/>
                <w:bCs/>
                <w:kern w:val="2"/>
                <w:sz w:val="21"/>
                <w:szCs w:val="21"/>
                <w:lang w:val="en-US" w:eastAsia="zh-CN" w:bidi="ar-SA"/>
              </w:rPr>
            </w:pPr>
            <w:r>
              <w:rPr>
                <w:rFonts w:hint="default" w:ascii="Times New Roman" w:hAnsi="Times New Roman" w:eastAsia="仿宋_GB2312" w:cs="Times New Roman"/>
                <w:bCs/>
                <w:kern w:val="2"/>
                <w:sz w:val="21"/>
                <w:szCs w:val="21"/>
                <w:lang w:val="en-US" w:eastAsia="zh-CN" w:bidi="ar-SA"/>
              </w:rPr>
              <w:t>根据《关于做好生态环境和应急管理部门联动工作的意见（苏环办〔2020〕101号），企业是各类环境治理设施建设、运行、维护、拆除的责任主体。企业要对脱硫脱硝、煤改气、挥发性有机物回收、污水处理、粉尘治理、废气治理、固体危废治理、噪声治理、放射性治理等环境治理设施开展全风险辨识管控。对照苏环办〔2020〕101号文的要求，本项目要对</w:t>
            </w:r>
            <w:r>
              <w:rPr>
                <w:rFonts w:hint="eastAsia" w:ascii="Times New Roman" w:hAnsi="Times New Roman" w:eastAsia="仿宋_GB2312" w:cs="Times New Roman"/>
                <w:bCs/>
                <w:kern w:val="2"/>
                <w:sz w:val="21"/>
                <w:szCs w:val="21"/>
                <w:lang w:val="en-US" w:eastAsia="zh-CN" w:bidi="ar-SA"/>
              </w:rPr>
              <w:t>废气</w:t>
            </w:r>
            <w:r>
              <w:rPr>
                <w:rFonts w:hint="default" w:ascii="Times New Roman" w:hAnsi="Times New Roman" w:eastAsia="仿宋_GB2312" w:cs="Times New Roman"/>
                <w:bCs/>
                <w:kern w:val="2"/>
                <w:sz w:val="21"/>
                <w:szCs w:val="21"/>
                <w:lang w:val="en-US" w:eastAsia="zh-CN" w:bidi="ar-SA"/>
              </w:rPr>
              <w:t>治理设施、危废仓库等环保设施开展安全风险辨识管控。</w:t>
            </w:r>
          </w:p>
          <w:p w14:paraId="708E7ED0">
            <w:pPr>
              <w:keepNext w:val="0"/>
              <w:keepLines w:val="0"/>
              <w:pageBreakBefore w:val="0"/>
              <w:kinsoku/>
              <w:wordWrap/>
              <w:overflowPunct/>
              <w:topLinePunct w:val="0"/>
              <w:bidi w:val="0"/>
              <w:adjustRightInd w:val="0"/>
              <w:snapToGrid w:val="0"/>
              <w:spacing w:line="360" w:lineRule="auto"/>
              <w:ind w:right="0" w:firstLine="422" w:firstLineChars="200"/>
              <w:textAlignment w:val="auto"/>
              <w:rPr>
                <w:rFonts w:eastAsia="仿宋_GB2312"/>
                <w:b/>
              </w:rPr>
            </w:pPr>
            <w:r>
              <w:rPr>
                <w:rFonts w:eastAsia="仿宋_GB2312"/>
                <w:b/>
              </w:rPr>
              <w:t>8、电磁辐射</w:t>
            </w:r>
          </w:p>
          <w:p w14:paraId="41359B91">
            <w:pPr>
              <w:pStyle w:val="12"/>
              <w:keepNext w:val="0"/>
              <w:keepLines w:val="0"/>
              <w:pageBreakBefore w:val="0"/>
              <w:kinsoku/>
              <w:wordWrap/>
              <w:overflowPunct/>
              <w:topLinePunct w:val="0"/>
              <w:bidi w:val="0"/>
              <w:snapToGrid w:val="0"/>
              <w:spacing w:before="0" w:after="0" w:line="360" w:lineRule="auto"/>
              <w:ind w:right="0" w:firstLine="420" w:firstLineChars="200"/>
              <w:textAlignment w:val="auto"/>
              <w:rPr>
                <w:rFonts w:eastAsia="仿宋_GB2312"/>
              </w:rPr>
            </w:pPr>
            <w:r>
              <w:rPr>
                <w:rFonts w:ascii="Times New Roman" w:hAnsi="Times New Roman" w:eastAsia="仿宋_GB2312" w:cs="Times New Roman"/>
                <w:bCs/>
                <w:kern w:val="2"/>
                <w:sz w:val="21"/>
                <w:szCs w:val="21"/>
                <w:lang w:val="en-US" w:eastAsia="zh-CN" w:bidi="ar-SA"/>
              </w:rPr>
              <w:t>本项目不涉及电磁辐射内容。</w:t>
            </w:r>
          </w:p>
        </w:tc>
      </w:tr>
    </w:tbl>
    <w:p w14:paraId="7A25CCD0">
      <w:pPr>
        <w:rPr>
          <w:rFonts w:eastAsia="仿宋_GB2312"/>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3A581B57">
      <w:pPr>
        <w:pStyle w:val="28"/>
        <w:jc w:val="center"/>
        <w:outlineLvl w:val="0"/>
        <w:rPr>
          <w:rFonts w:ascii="Times New Roman" w:hAnsi="Times New Roman" w:eastAsia="仿宋_GB2312"/>
          <w:b/>
          <w:bCs/>
          <w:snapToGrid w:val="0"/>
          <w:sz w:val="30"/>
          <w:szCs w:val="30"/>
        </w:rPr>
      </w:pPr>
      <w:bookmarkStart w:id="56" w:name="_Toc2210"/>
      <w:bookmarkStart w:id="57" w:name="_Toc6781"/>
      <w:bookmarkStart w:id="58" w:name="_Toc1165"/>
      <w:r>
        <w:rPr>
          <w:rFonts w:ascii="Times New Roman" w:hAnsi="Times New Roman" w:eastAsia="仿宋_GB2312"/>
          <w:b/>
          <w:bCs/>
          <w:snapToGrid w:val="0"/>
          <w:sz w:val="30"/>
          <w:szCs w:val="30"/>
        </w:rPr>
        <w:t>五、</w:t>
      </w:r>
      <w:bookmarkStart w:id="59" w:name="_Hlk54167917"/>
      <w:r>
        <w:rPr>
          <w:rFonts w:ascii="Times New Roman" w:hAnsi="Times New Roman" w:eastAsia="仿宋_GB2312"/>
          <w:b/>
          <w:bCs/>
          <w:snapToGrid w:val="0"/>
          <w:sz w:val="30"/>
          <w:szCs w:val="30"/>
        </w:rPr>
        <w:t>环境保护措施监督检查清单</w:t>
      </w:r>
      <w:bookmarkEnd w:id="56"/>
      <w:bookmarkEnd w:id="57"/>
      <w:bookmarkEnd w:id="58"/>
      <w:bookmarkEnd w:id="59"/>
    </w:p>
    <w:tbl>
      <w:tblPr>
        <w:tblStyle w:val="3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68"/>
        <w:gridCol w:w="858"/>
        <w:gridCol w:w="1669"/>
        <w:gridCol w:w="1690"/>
        <w:gridCol w:w="1664"/>
        <w:gridCol w:w="2106"/>
      </w:tblGrid>
      <w:tr w14:paraId="1A1448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26" w:type="dxa"/>
            <w:gridSpan w:val="2"/>
            <w:tcBorders>
              <w:tl2br w:val="single" w:color="auto" w:sz="4" w:space="0"/>
            </w:tcBorders>
          </w:tcPr>
          <w:p w14:paraId="6EDA8DEE">
            <w:pPr>
              <w:adjustRightInd w:val="0"/>
              <w:snapToGrid w:val="0"/>
              <w:ind w:firstLine="840"/>
              <w:rPr>
                <w:rFonts w:eastAsia="仿宋_GB2312"/>
              </w:rPr>
            </w:pPr>
            <w:r>
              <w:rPr>
                <w:rFonts w:eastAsia="仿宋_GB2312"/>
              </w:rPr>
              <w:t>内容</w:t>
            </w:r>
          </w:p>
          <w:p w14:paraId="67CC764F">
            <w:pPr>
              <w:adjustRightInd w:val="0"/>
              <w:snapToGrid w:val="0"/>
              <w:rPr>
                <w:rFonts w:eastAsia="仿宋_GB2312"/>
              </w:rPr>
            </w:pPr>
            <w:r>
              <w:rPr>
                <w:rFonts w:eastAsia="仿宋_GB2312"/>
              </w:rPr>
              <w:t>要素</w:t>
            </w:r>
          </w:p>
        </w:tc>
        <w:tc>
          <w:tcPr>
            <w:tcW w:w="1669" w:type="dxa"/>
            <w:vAlign w:val="center"/>
          </w:tcPr>
          <w:p w14:paraId="3A3AE74E">
            <w:pPr>
              <w:adjustRightInd w:val="0"/>
              <w:snapToGrid w:val="0"/>
              <w:jc w:val="center"/>
              <w:rPr>
                <w:rFonts w:eastAsia="仿宋_GB2312"/>
              </w:rPr>
            </w:pPr>
            <w:r>
              <w:rPr>
                <w:rFonts w:eastAsia="仿宋_GB2312"/>
              </w:rPr>
              <w:t>排放口</w:t>
            </w:r>
            <w:r>
              <w:rPr>
                <w:rFonts w:hint="eastAsia" w:eastAsia="仿宋_GB2312"/>
                <w:lang w:eastAsia="zh-CN"/>
              </w:rPr>
              <w:t>（</w:t>
            </w:r>
            <w:r>
              <w:rPr>
                <w:rFonts w:eastAsia="仿宋_GB2312"/>
              </w:rPr>
              <w:t>编号、名称</w:t>
            </w:r>
            <w:r>
              <w:rPr>
                <w:rFonts w:hint="eastAsia" w:eastAsia="仿宋_GB2312"/>
                <w:lang w:eastAsia="zh-CN"/>
              </w:rPr>
              <w:t>）</w:t>
            </w:r>
            <w:r>
              <w:rPr>
                <w:rFonts w:eastAsia="仿宋_GB2312"/>
              </w:rPr>
              <w:t>/污染源</w:t>
            </w:r>
          </w:p>
        </w:tc>
        <w:tc>
          <w:tcPr>
            <w:tcW w:w="1690" w:type="dxa"/>
            <w:vAlign w:val="center"/>
          </w:tcPr>
          <w:p w14:paraId="34B91591">
            <w:pPr>
              <w:adjustRightInd w:val="0"/>
              <w:snapToGrid w:val="0"/>
              <w:jc w:val="center"/>
              <w:rPr>
                <w:rFonts w:eastAsia="仿宋_GB2312"/>
              </w:rPr>
            </w:pPr>
            <w:r>
              <w:rPr>
                <w:rFonts w:eastAsia="仿宋_GB2312"/>
              </w:rPr>
              <w:t>污染物项目</w:t>
            </w:r>
          </w:p>
        </w:tc>
        <w:tc>
          <w:tcPr>
            <w:tcW w:w="1664" w:type="dxa"/>
            <w:vAlign w:val="center"/>
          </w:tcPr>
          <w:p w14:paraId="09011E9E">
            <w:pPr>
              <w:adjustRightInd w:val="0"/>
              <w:snapToGrid w:val="0"/>
              <w:jc w:val="center"/>
              <w:rPr>
                <w:rFonts w:eastAsia="仿宋_GB2312"/>
              </w:rPr>
            </w:pPr>
            <w:r>
              <w:rPr>
                <w:rFonts w:eastAsia="仿宋_GB2312"/>
              </w:rPr>
              <w:t>环境保护措施</w:t>
            </w:r>
          </w:p>
        </w:tc>
        <w:tc>
          <w:tcPr>
            <w:tcW w:w="2106" w:type="dxa"/>
            <w:vAlign w:val="center"/>
          </w:tcPr>
          <w:p w14:paraId="6D79498F">
            <w:pPr>
              <w:adjustRightInd w:val="0"/>
              <w:snapToGrid w:val="0"/>
              <w:jc w:val="center"/>
              <w:rPr>
                <w:rFonts w:eastAsia="仿宋_GB2312"/>
              </w:rPr>
            </w:pPr>
            <w:r>
              <w:rPr>
                <w:rFonts w:eastAsia="仿宋_GB2312"/>
              </w:rPr>
              <w:t>执行标准</w:t>
            </w:r>
          </w:p>
        </w:tc>
      </w:tr>
      <w:tr w14:paraId="57C2A2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868" w:type="dxa"/>
            <w:vMerge w:val="restart"/>
            <w:vAlign w:val="center"/>
          </w:tcPr>
          <w:p w14:paraId="58212516">
            <w:pPr>
              <w:adjustRightInd w:val="0"/>
              <w:snapToGrid w:val="0"/>
              <w:jc w:val="center"/>
              <w:rPr>
                <w:rFonts w:eastAsia="仿宋_GB2312"/>
              </w:rPr>
            </w:pPr>
            <w:r>
              <w:rPr>
                <w:rFonts w:eastAsia="仿宋_GB2312"/>
              </w:rPr>
              <w:t>大气环境</w:t>
            </w:r>
          </w:p>
        </w:tc>
        <w:tc>
          <w:tcPr>
            <w:tcW w:w="858" w:type="dxa"/>
            <w:vMerge w:val="restart"/>
            <w:vAlign w:val="center"/>
          </w:tcPr>
          <w:p w14:paraId="3FF7CC82">
            <w:pPr>
              <w:adjustRightInd w:val="0"/>
              <w:snapToGrid w:val="0"/>
              <w:jc w:val="center"/>
              <w:rPr>
                <w:rFonts w:eastAsia="仿宋_GB2312"/>
              </w:rPr>
            </w:pPr>
            <w:r>
              <w:rPr>
                <w:rFonts w:eastAsia="仿宋_GB2312"/>
              </w:rPr>
              <w:t>无组织</w:t>
            </w:r>
          </w:p>
        </w:tc>
        <w:tc>
          <w:tcPr>
            <w:tcW w:w="1669" w:type="dxa"/>
            <w:vAlign w:val="center"/>
          </w:tcPr>
          <w:p w14:paraId="10B7ADC2">
            <w:pPr>
              <w:adjustRightInd w:val="0"/>
              <w:snapToGrid w:val="0"/>
              <w:jc w:val="center"/>
              <w:rPr>
                <w:rFonts w:eastAsia="仿宋_GB2312"/>
              </w:rPr>
            </w:pPr>
            <w:r>
              <w:rPr>
                <w:rFonts w:hint="eastAsia" w:eastAsia="仿宋_GB2312"/>
              </w:rPr>
              <w:t>平板膜过滤废气</w:t>
            </w:r>
          </w:p>
        </w:tc>
        <w:tc>
          <w:tcPr>
            <w:tcW w:w="1690" w:type="dxa"/>
            <w:vAlign w:val="center"/>
          </w:tcPr>
          <w:p w14:paraId="40B1B78D">
            <w:pPr>
              <w:adjustRightInd w:val="0"/>
              <w:snapToGrid w:val="0"/>
              <w:jc w:val="center"/>
              <w:rPr>
                <w:rFonts w:eastAsia="仿宋_GB2312"/>
                <w:kern w:val="0"/>
              </w:rPr>
            </w:pPr>
            <w:r>
              <w:rPr>
                <w:rFonts w:hint="eastAsia" w:eastAsia="仿宋_GB2312"/>
                <w:kern w:val="0"/>
              </w:rPr>
              <w:t>颗粒物</w:t>
            </w:r>
          </w:p>
        </w:tc>
        <w:tc>
          <w:tcPr>
            <w:tcW w:w="1664" w:type="dxa"/>
            <w:vAlign w:val="center"/>
          </w:tcPr>
          <w:p w14:paraId="2FE0BBA1">
            <w:pPr>
              <w:adjustRightInd w:val="0"/>
              <w:snapToGrid w:val="0"/>
              <w:jc w:val="center"/>
              <w:rPr>
                <w:rFonts w:eastAsia="仿宋_GB2312"/>
              </w:rPr>
            </w:pPr>
            <w:r>
              <w:rPr>
                <w:rFonts w:hint="eastAsia" w:eastAsia="仿宋_GB2312"/>
              </w:rPr>
              <w:t>盐雾尾气收集塔</w:t>
            </w:r>
          </w:p>
        </w:tc>
        <w:tc>
          <w:tcPr>
            <w:tcW w:w="2106" w:type="dxa"/>
            <w:vMerge w:val="restart"/>
            <w:vAlign w:val="center"/>
          </w:tcPr>
          <w:p w14:paraId="23EA0218">
            <w:pPr>
              <w:adjustRightInd w:val="0"/>
              <w:snapToGrid w:val="0"/>
              <w:jc w:val="center"/>
              <w:rPr>
                <w:rFonts w:eastAsia="仿宋_GB2312"/>
                <w:bCs/>
                <w:kern w:val="0"/>
              </w:rPr>
            </w:pPr>
            <w:r>
              <w:rPr>
                <w:rFonts w:hint="eastAsia" w:eastAsia="仿宋_GB2312"/>
                <w:bCs/>
                <w:kern w:val="0"/>
              </w:rPr>
              <w:t>《大气污染物综合排放标准》（DB32/4041-2021）表2、表3中标准</w:t>
            </w:r>
          </w:p>
        </w:tc>
      </w:tr>
      <w:tr w14:paraId="07A279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868" w:type="dxa"/>
            <w:vMerge w:val="continue"/>
            <w:vAlign w:val="center"/>
          </w:tcPr>
          <w:p w14:paraId="6395017F">
            <w:pPr>
              <w:adjustRightInd w:val="0"/>
              <w:snapToGrid w:val="0"/>
              <w:jc w:val="center"/>
              <w:rPr>
                <w:rFonts w:eastAsia="仿宋_GB2312"/>
              </w:rPr>
            </w:pPr>
          </w:p>
        </w:tc>
        <w:tc>
          <w:tcPr>
            <w:tcW w:w="858" w:type="dxa"/>
            <w:vMerge w:val="continue"/>
            <w:vAlign w:val="center"/>
          </w:tcPr>
          <w:p w14:paraId="04900C13">
            <w:pPr>
              <w:adjustRightInd w:val="0"/>
              <w:snapToGrid w:val="0"/>
              <w:jc w:val="center"/>
              <w:rPr>
                <w:rFonts w:eastAsia="仿宋_GB2312"/>
              </w:rPr>
            </w:pPr>
          </w:p>
        </w:tc>
        <w:tc>
          <w:tcPr>
            <w:tcW w:w="1669" w:type="dxa"/>
            <w:vAlign w:val="center"/>
          </w:tcPr>
          <w:p w14:paraId="60DFE613">
            <w:pPr>
              <w:adjustRightInd w:val="0"/>
              <w:snapToGrid w:val="0"/>
              <w:jc w:val="center"/>
              <w:rPr>
                <w:rFonts w:eastAsia="仿宋_GB2312"/>
              </w:rPr>
            </w:pPr>
            <w:r>
              <w:rPr>
                <w:rFonts w:hint="eastAsia" w:eastAsia="仿宋_GB2312"/>
              </w:rPr>
              <w:t>盐酸储罐呼吸废气</w:t>
            </w:r>
          </w:p>
        </w:tc>
        <w:tc>
          <w:tcPr>
            <w:tcW w:w="1690" w:type="dxa"/>
            <w:vAlign w:val="center"/>
          </w:tcPr>
          <w:p w14:paraId="5F040FF1">
            <w:pPr>
              <w:adjustRightInd w:val="0"/>
              <w:snapToGrid w:val="0"/>
              <w:jc w:val="center"/>
              <w:rPr>
                <w:rFonts w:eastAsia="仿宋_GB2312"/>
                <w:kern w:val="0"/>
              </w:rPr>
            </w:pPr>
            <w:r>
              <w:rPr>
                <w:rFonts w:hint="eastAsia" w:eastAsia="仿宋_GB2312"/>
                <w:kern w:val="0"/>
              </w:rPr>
              <w:t>HCl</w:t>
            </w:r>
          </w:p>
        </w:tc>
        <w:tc>
          <w:tcPr>
            <w:tcW w:w="1664" w:type="dxa"/>
            <w:vAlign w:val="center"/>
          </w:tcPr>
          <w:p w14:paraId="1C512197">
            <w:pPr>
              <w:adjustRightInd w:val="0"/>
              <w:snapToGrid w:val="0"/>
              <w:jc w:val="center"/>
              <w:rPr>
                <w:rFonts w:eastAsia="仿宋_GB2312"/>
              </w:rPr>
            </w:pPr>
            <w:r>
              <w:rPr>
                <w:rFonts w:hint="eastAsia" w:eastAsia="仿宋_GB2312"/>
              </w:rPr>
              <w:t>酸雾尾气收集塔</w:t>
            </w:r>
          </w:p>
        </w:tc>
        <w:tc>
          <w:tcPr>
            <w:tcW w:w="2106" w:type="dxa"/>
            <w:vMerge w:val="continue"/>
            <w:vAlign w:val="center"/>
          </w:tcPr>
          <w:p w14:paraId="07AA84AC">
            <w:pPr>
              <w:adjustRightInd w:val="0"/>
              <w:snapToGrid w:val="0"/>
              <w:jc w:val="center"/>
              <w:rPr>
                <w:rFonts w:eastAsia="仿宋_GB2312"/>
                <w:bCs/>
                <w:kern w:val="0"/>
              </w:rPr>
            </w:pPr>
          </w:p>
        </w:tc>
      </w:tr>
      <w:tr w14:paraId="0E01E3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68" w:type="dxa"/>
            <w:vMerge w:val="continue"/>
            <w:vAlign w:val="center"/>
          </w:tcPr>
          <w:p w14:paraId="36C1E450">
            <w:pPr>
              <w:adjustRightInd w:val="0"/>
              <w:snapToGrid w:val="0"/>
              <w:jc w:val="center"/>
              <w:rPr>
                <w:rFonts w:eastAsia="仿宋_GB2312"/>
              </w:rPr>
            </w:pPr>
          </w:p>
        </w:tc>
        <w:tc>
          <w:tcPr>
            <w:tcW w:w="858" w:type="dxa"/>
            <w:vMerge w:val="continue"/>
            <w:vAlign w:val="center"/>
          </w:tcPr>
          <w:p w14:paraId="45770F85">
            <w:pPr>
              <w:adjustRightInd w:val="0"/>
              <w:snapToGrid w:val="0"/>
              <w:jc w:val="center"/>
              <w:rPr>
                <w:rFonts w:eastAsia="仿宋_GB2312"/>
              </w:rPr>
            </w:pPr>
          </w:p>
        </w:tc>
        <w:tc>
          <w:tcPr>
            <w:tcW w:w="1669" w:type="dxa"/>
            <w:vAlign w:val="center"/>
          </w:tcPr>
          <w:p w14:paraId="709F063F">
            <w:pPr>
              <w:adjustRightInd w:val="0"/>
              <w:snapToGrid w:val="0"/>
              <w:jc w:val="center"/>
              <w:rPr>
                <w:rFonts w:eastAsia="仿宋_GB2312"/>
              </w:rPr>
            </w:pPr>
            <w:r>
              <w:rPr>
                <w:rFonts w:eastAsia="仿宋_GB2312"/>
              </w:rPr>
              <w:t>生产车间</w:t>
            </w:r>
          </w:p>
        </w:tc>
        <w:tc>
          <w:tcPr>
            <w:tcW w:w="1690" w:type="dxa"/>
            <w:vAlign w:val="center"/>
          </w:tcPr>
          <w:p w14:paraId="4CDB50B5">
            <w:pPr>
              <w:adjustRightInd w:val="0"/>
              <w:snapToGrid w:val="0"/>
              <w:jc w:val="center"/>
              <w:rPr>
                <w:rFonts w:eastAsia="仿宋_GB2312"/>
              </w:rPr>
            </w:pPr>
            <w:r>
              <w:rPr>
                <w:rFonts w:eastAsia="仿宋_GB2312"/>
                <w:kern w:val="0"/>
              </w:rPr>
              <w:t>非甲烷总烃</w:t>
            </w:r>
          </w:p>
        </w:tc>
        <w:tc>
          <w:tcPr>
            <w:tcW w:w="1664" w:type="dxa"/>
            <w:vAlign w:val="center"/>
          </w:tcPr>
          <w:p w14:paraId="7A79C72C">
            <w:pPr>
              <w:adjustRightInd w:val="0"/>
              <w:snapToGrid w:val="0"/>
              <w:jc w:val="center"/>
              <w:rPr>
                <w:rFonts w:eastAsia="仿宋_GB2312"/>
              </w:rPr>
            </w:pPr>
            <w:r>
              <w:rPr>
                <w:rFonts w:eastAsia="仿宋_GB2312"/>
              </w:rPr>
              <w:t>通风换气</w:t>
            </w:r>
          </w:p>
        </w:tc>
        <w:tc>
          <w:tcPr>
            <w:tcW w:w="2106" w:type="dxa"/>
            <w:vMerge w:val="continue"/>
            <w:vAlign w:val="center"/>
          </w:tcPr>
          <w:p w14:paraId="0C8D3569">
            <w:pPr>
              <w:adjustRightInd w:val="0"/>
              <w:snapToGrid w:val="0"/>
              <w:jc w:val="center"/>
              <w:rPr>
                <w:rFonts w:eastAsia="仿宋_GB2312"/>
              </w:rPr>
            </w:pPr>
          </w:p>
        </w:tc>
      </w:tr>
      <w:tr w14:paraId="228E86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26" w:type="dxa"/>
            <w:gridSpan w:val="2"/>
            <w:vMerge w:val="restart"/>
            <w:vAlign w:val="center"/>
          </w:tcPr>
          <w:p w14:paraId="2B25F691">
            <w:pPr>
              <w:adjustRightInd w:val="0"/>
              <w:snapToGrid w:val="0"/>
              <w:jc w:val="center"/>
              <w:rPr>
                <w:rFonts w:eastAsia="仿宋_GB2312"/>
                <w:color w:val="000000"/>
              </w:rPr>
            </w:pPr>
            <w:r>
              <w:rPr>
                <w:rFonts w:hint="eastAsia" w:eastAsia="仿宋_GB2312"/>
                <w:color w:val="000000"/>
              </w:rPr>
              <w:t>地表水环境</w:t>
            </w:r>
          </w:p>
        </w:tc>
        <w:tc>
          <w:tcPr>
            <w:tcW w:w="1669" w:type="dxa"/>
            <w:vAlign w:val="center"/>
          </w:tcPr>
          <w:p w14:paraId="59080B3A">
            <w:pPr>
              <w:adjustRightInd w:val="0"/>
              <w:snapToGrid w:val="0"/>
              <w:jc w:val="center"/>
              <w:rPr>
                <w:rFonts w:eastAsia="仿宋_GB2312"/>
                <w:color w:val="000000"/>
              </w:rPr>
            </w:pPr>
            <w:r>
              <w:rPr>
                <w:rFonts w:hint="eastAsia" w:eastAsia="仿宋_GB2312"/>
                <w:color w:val="000000"/>
              </w:rPr>
              <w:t>平板膜反冲洗废水</w:t>
            </w:r>
          </w:p>
        </w:tc>
        <w:tc>
          <w:tcPr>
            <w:tcW w:w="1690" w:type="dxa"/>
            <w:vAlign w:val="center"/>
          </w:tcPr>
          <w:p w14:paraId="41D6EB44">
            <w:pPr>
              <w:adjustRightInd w:val="0"/>
              <w:snapToGrid w:val="0"/>
              <w:jc w:val="center"/>
              <w:rPr>
                <w:rFonts w:eastAsia="仿宋_GB2312"/>
              </w:rPr>
            </w:pPr>
            <w:r>
              <w:rPr>
                <w:rFonts w:hint="eastAsia" w:eastAsia="仿宋_GB2312"/>
              </w:rPr>
              <w:t>氯化物、SS等</w:t>
            </w:r>
          </w:p>
        </w:tc>
        <w:tc>
          <w:tcPr>
            <w:tcW w:w="1664" w:type="dxa"/>
            <w:vAlign w:val="center"/>
          </w:tcPr>
          <w:p w14:paraId="77317C9E">
            <w:pPr>
              <w:adjustRightInd w:val="0"/>
              <w:snapToGrid w:val="0"/>
              <w:jc w:val="center"/>
              <w:rPr>
                <w:rFonts w:eastAsia="仿宋_GB2312"/>
                <w:kern w:val="0"/>
              </w:rPr>
            </w:pPr>
            <w:r>
              <w:rPr>
                <w:rFonts w:hint="eastAsia" w:eastAsia="仿宋_GB2312"/>
                <w:kern w:val="0"/>
              </w:rPr>
              <w:t>/</w:t>
            </w:r>
          </w:p>
        </w:tc>
        <w:tc>
          <w:tcPr>
            <w:tcW w:w="2106" w:type="dxa"/>
            <w:vMerge w:val="restart"/>
            <w:vAlign w:val="center"/>
          </w:tcPr>
          <w:p w14:paraId="432C1F6E">
            <w:pPr>
              <w:adjustRightInd w:val="0"/>
              <w:snapToGrid w:val="0"/>
              <w:jc w:val="center"/>
              <w:rPr>
                <w:rFonts w:eastAsia="仿宋_GB2312"/>
                <w:snapToGrid w:val="0"/>
                <w:kern w:val="0"/>
              </w:rPr>
            </w:pPr>
            <w:r>
              <w:rPr>
                <w:rFonts w:hint="eastAsia" w:eastAsia="仿宋_GB2312"/>
                <w:snapToGrid w:val="0"/>
                <w:kern w:val="0"/>
              </w:rPr>
              <w:t>经含盐废水专用管网打入反冲洗池后，通过回用管道回用至矿区采卤</w:t>
            </w:r>
          </w:p>
        </w:tc>
      </w:tr>
      <w:tr w14:paraId="37077B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26" w:type="dxa"/>
            <w:gridSpan w:val="2"/>
            <w:vMerge w:val="continue"/>
            <w:vAlign w:val="center"/>
          </w:tcPr>
          <w:p w14:paraId="1E28B878">
            <w:pPr>
              <w:adjustRightInd w:val="0"/>
              <w:snapToGrid w:val="0"/>
              <w:jc w:val="center"/>
              <w:rPr>
                <w:rFonts w:eastAsia="仿宋_GB2312"/>
                <w:color w:val="000000"/>
              </w:rPr>
            </w:pPr>
          </w:p>
        </w:tc>
        <w:tc>
          <w:tcPr>
            <w:tcW w:w="1669" w:type="dxa"/>
            <w:vAlign w:val="center"/>
          </w:tcPr>
          <w:p w14:paraId="1B1F9ABB">
            <w:pPr>
              <w:adjustRightInd w:val="0"/>
              <w:snapToGrid w:val="0"/>
              <w:jc w:val="center"/>
              <w:rPr>
                <w:rFonts w:eastAsia="仿宋_GB2312"/>
                <w:color w:val="000000"/>
              </w:rPr>
            </w:pPr>
            <w:r>
              <w:rPr>
                <w:rFonts w:hint="eastAsia" w:eastAsia="仿宋_GB2312"/>
                <w:color w:val="000000"/>
              </w:rPr>
              <w:t>平板膜化学清洗水洗排水</w:t>
            </w:r>
          </w:p>
        </w:tc>
        <w:tc>
          <w:tcPr>
            <w:tcW w:w="1690" w:type="dxa"/>
            <w:vAlign w:val="center"/>
          </w:tcPr>
          <w:p w14:paraId="0747F315">
            <w:pPr>
              <w:adjustRightInd w:val="0"/>
              <w:snapToGrid w:val="0"/>
              <w:jc w:val="center"/>
              <w:rPr>
                <w:rFonts w:eastAsia="仿宋_GB2312"/>
              </w:rPr>
            </w:pPr>
            <w:r>
              <w:rPr>
                <w:rFonts w:hint="eastAsia" w:eastAsia="仿宋_GB2312"/>
              </w:rPr>
              <w:t>氯化物、SS、</w:t>
            </w:r>
            <w:r>
              <w:rPr>
                <w:rFonts w:eastAsia="仿宋_GB2312"/>
              </w:rPr>
              <w:t>HCl</w:t>
            </w:r>
            <w:r>
              <w:rPr>
                <w:rFonts w:hint="eastAsia" w:eastAsia="仿宋_GB2312"/>
              </w:rPr>
              <w:t>等</w:t>
            </w:r>
          </w:p>
        </w:tc>
        <w:tc>
          <w:tcPr>
            <w:tcW w:w="1664" w:type="dxa"/>
            <w:vAlign w:val="center"/>
          </w:tcPr>
          <w:p w14:paraId="0905E236">
            <w:pPr>
              <w:adjustRightInd w:val="0"/>
              <w:snapToGrid w:val="0"/>
              <w:jc w:val="center"/>
              <w:rPr>
                <w:rFonts w:eastAsia="仿宋_GB2312"/>
                <w:kern w:val="0"/>
              </w:rPr>
            </w:pPr>
            <w:r>
              <w:rPr>
                <w:rFonts w:hint="eastAsia" w:eastAsia="仿宋_GB2312"/>
                <w:kern w:val="0"/>
              </w:rPr>
              <w:t>/</w:t>
            </w:r>
          </w:p>
        </w:tc>
        <w:tc>
          <w:tcPr>
            <w:tcW w:w="2106" w:type="dxa"/>
            <w:vMerge w:val="continue"/>
            <w:vAlign w:val="center"/>
          </w:tcPr>
          <w:p w14:paraId="3A389EBB">
            <w:pPr>
              <w:adjustRightInd w:val="0"/>
              <w:snapToGrid w:val="0"/>
              <w:jc w:val="center"/>
              <w:rPr>
                <w:rFonts w:eastAsia="仿宋_GB2312"/>
                <w:snapToGrid w:val="0"/>
                <w:kern w:val="0"/>
              </w:rPr>
            </w:pPr>
          </w:p>
        </w:tc>
      </w:tr>
      <w:tr w14:paraId="524B1E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26" w:type="dxa"/>
            <w:gridSpan w:val="2"/>
            <w:vMerge w:val="continue"/>
            <w:vAlign w:val="center"/>
          </w:tcPr>
          <w:p w14:paraId="5EE3FBE8">
            <w:pPr>
              <w:adjustRightInd w:val="0"/>
              <w:snapToGrid w:val="0"/>
              <w:jc w:val="center"/>
              <w:rPr>
                <w:rFonts w:eastAsia="仿宋_GB2312"/>
                <w:color w:val="000000"/>
              </w:rPr>
            </w:pPr>
          </w:p>
        </w:tc>
        <w:tc>
          <w:tcPr>
            <w:tcW w:w="1669" w:type="dxa"/>
            <w:vAlign w:val="center"/>
          </w:tcPr>
          <w:p w14:paraId="2E70EFCF">
            <w:pPr>
              <w:adjustRightInd w:val="0"/>
              <w:snapToGrid w:val="0"/>
              <w:jc w:val="center"/>
              <w:rPr>
                <w:rFonts w:eastAsia="仿宋_GB2312"/>
                <w:color w:val="000000"/>
              </w:rPr>
            </w:pPr>
            <w:r>
              <w:rPr>
                <w:rFonts w:hint="eastAsia" w:eastAsia="仿宋_GB2312"/>
                <w:color w:val="000000"/>
              </w:rPr>
              <w:t>超滤膜反冲洗废水</w:t>
            </w:r>
          </w:p>
        </w:tc>
        <w:tc>
          <w:tcPr>
            <w:tcW w:w="1690" w:type="dxa"/>
            <w:vAlign w:val="center"/>
          </w:tcPr>
          <w:p w14:paraId="38AE5FDF">
            <w:pPr>
              <w:adjustRightInd w:val="0"/>
              <w:snapToGrid w:val="0"/>
              <w:jc w:val="center"/>
              <w:rPr>
                <w:rFonts w:eastAsia="仿宋_GB2312"/>
              </w:rPr>
            </w:pPr>
            <w:r>
              <w:rPr>
                <w:rFonts w:hint="eastAsia" w:eastAsia="仿宋_GB2312"/>
              </w:rPr>
              <w:t>氯化物、SS等</w:t>
            </w:r>
          </w:p>
        </w:tc>
        <w:tc>
          <w:tcPr>
            <w:tcW w:w="1664" w:type="dxa"/>
            <w:vAlign w:val="center"/>
          </w:tcPr>
          <w:p w14:paraId="7FB7B2B6">
            <w:pPr>
              <w:adjustRightInd w:val="0"/>
              <w:snapToGrid w:val="0"/>
              <w:jc w:val="center"/>
              <w:rPr>
                <w:rFonts w:eastAsia="仿宋_GB2312"/>
                <w:kern w:val="0"/>
              </w:rPr>
            </w:pPr>
            <w:r>
              <w:rPr>
                <w:rFonts w:hint="eastAsia" w:eastAsia="仿宋_GB2312"/>
                <w:kern w:val="0"/>
              </w:rPr>
              <w:t>/</w:t>
            </w:r>
          </w:p>
        </w:tc>
        <w:tc>
          <w:tcPr>
            <w:tcW w:w="2106" w:type="dxa"/>
            <w:vMerge w:val="continue"/>
            <w:vAlign w:val="center"/>
          </w:tcPr>
          <w:p w14:paraId="7C791837">
            <w:pPr>
              <w:adjustRightInd w:val="0"/>
              <w:snapToGrid w:val="0"/>
              <w:jc w:val="center"/>
              <w:rPr>
                <w:rFonts w:eastAsia="仿宋_GB2312"/>
                <w:snapToGrid w:val="0"/>
                <w:kern w:val="0"/>
              </w:rPr>
            </w:pPr>
          </w:p>
        </w:tc>
      </w:tr>
      <w:tr w14:paraId="7E79B2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26" w:type="dxa"/>
            <w:gridSpan w:val="2"/>
            <w:vMerge w:val="continue"/>
            <w:vAlign w:val="center"/>
          </w:tcPr>
          <w:p w14:paraId="4357247B">
            <w:pPr>
              <w:adjustRightInd w:val="0"/>
              <w:snapToGrid w:val="0"/>
              <w:jc w:val="center"/>
              <w:rPr>
                <w:rFonts w:eastAsia="仿宋_GB2312"/>
                <w:color w:val="000000"/>
              </w:rPr>
            </w:pPr>
          </w:p>
        </w:tc>
        <w:tc>
          <w:tcPr>
            <w:tcW w:w="1669" w:type="dxa"/>
            <w:vAlign w:val="center"/>
          </w:tcPr>
          <w:p w14:paraId="08131430">
            <w:pPr>
              <w:adjustRightInd w:val="0"/>
              <w:snapToGrid w:val="0"/>
              <w:jc w:val="center"/>
              <w:rPr>
                <w:rFonts w:eastAsia="仿宋_GB2312"/>
                <w:color w:val="000000"/>
              </w:rPr>
            </w:pPr>
            <w:r>
              <w:rPr>
                <w:rFonts w:hint="eastAsia" w:eastAsia="仿宋_GB2312"/>
                <w:color w:val="000000"/>
              </w:rPr>
              <w:t>超滤膜化学清洗水洗排水</w:t>
            </w:r>
          </w:p>
        </w:tc>
        <w:tc>
          <w:tcPr>
            <w:tcW w:w="1690" w:type="dxa"/>
            <w:vAlign w:val="center"/>
          </w:tcPr>
          <w:p w14:paraId="6B10FF9D">
            <w:pPr>
              <w:adjustRightInd w:val="0"/>
              <w:snapToGrid w:val="0"/>
              <w:jc w:val="center"/>
              <w:rPr>
                <w:rFonts w:eastAsia="仿宋_GB2312"/>
              </w:rPr>
            </w:pPr>
            <w:r>
              <w:rPr>
                <w:rFonts w:hint="eastAsia" w:eastAsia="仿宋_GB2312"/>
              </w:rPr>
              <w:t>氯化物、SS、</w:t>
            </w:r>
            <w:r>
              <w:rPr>
                <w:rFonts w:eastAsia="仿宋_GB2312"/>
              </w:rPr>
              <w:t>HCl</w:t>
            </w:r>
            <w:r>
              <w:rPr>
                <w:rFonts w:hint="eastAsia" w:eastAsia="仿宋_GB2312"/>
              </w:rPr>
              <w:t>等</w:t>
            </w:r>
          </w:p>
        </w:tc>
        <w:tc>
          <w:tcPr>
            <w:tcW w:w="1664" w:type="dxa"/>
            <w:vAlign w:val="center"/>
          </w:tcPr>
          <w:p w14:paraId="52C88E3E">
            <w:pPr>
              <w:adjustRightInd w:val="0"/>
              <w:snapToGrid w:val="0"/>
              <w:jc w:val="center"/>
              <w:rPr>
                <w:rFonts w:hint="default" w:eastAsia="仿宋_GB2312"/>
                <w:kern w:val="0"/>
                <w:lang w:val="en-US" w:eastAsia="zh-CN"/>
              </w:rPr>
            </w:pPr>
            <w:r>
              <w:rPr>
                <w:rFonts w:hint="eastAsia" w:eastAsia="仿宋_GB2312"/>
                <w:kern w:val="0"/>
                <w:lang w:val="en-US" w:eastAsia="zh-CN"/>
              </w:rPr>
              <w:t>20m</w:t>
            </w:r>
            <w:r>
              <w:rPr>
                <w:rFonts w:hint="eastAsia" w:eastAsia="仿宋_GB2312"/>
                <w:kern w:val="0"/>
                <w:vertAlign w:val="superscript"/>
                <w:lang w:val="en-US" w:eastAsia="zh-CN"/>
              </w:rPr>
              <w:t>3</w:t>
            </w:r>
            <w:r>
              <w:rPr>
                <w:rFonts w:hint="eastAsia" w:eastAsia="仿宋_GB2312"/>
                <w:kern w:val="0"/>
                <w:lang w:val="en-US" w:eastAsia="zh-CN"/>
              </w:rPr>
              <w:t>中和水池</w:t>
            </w:r>
          </w:p>
        </w:tc>
        <w:tc>
          <w:tcPr>
            <w:tcW w:w="2106" w:type="dxa"/>
            <w:vMerge w:val="continue"/>
            <w:vAlign w:val="center"/>
          </w:tcPr>
          <w:p w14:paraId="523E7064">
            <w:pPr>
              <w:adjustRightInd w:val="0"/>
              <w:snapToGrid w:val="0"/>
              <w:jc w:val="center"/>
              <w:rPr>
                <w:rFonts w:eastAsia="仿宋_GB2312"/>
                <w:snapToGrid w:val="0"/>
                <w:kern w:val="0"/>
              </w:rPr>
            </w:pPr>
          </w:p>
        </w:tc>
      </w:tr>
      <w:tr w14:paraId="1035F1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26" w:type="dxa"/>
            <w:gridSpan w:val="2"/>
            <w:vMerge w:val="continue"/>
            <w:vAlign w:val="center"/>
          </w:tcPr>
          <w:p w14:paraId="0F8E66DA">
            <w:pPr>
              <w:adjustRightInd w:val="0"/>
              <w:snapToGrid w:val="0"/>
              <w:jc w:val="center"/>
              <w:rPr>
                <w:rFonts w:eastAsia="仿宋_GB2312"/>
                <w:color w:val="000000"/>
              </w:rPr>
            </w:pPr>
          </w:p>
        </w:tc>
        <w:tc>
          <w:tcPr>
            <w:tcW w:w="1669" w:type="dxa"/>
            <w:vAlign w:val="center"/>
          </w:tcPr>
          <w:p w14:paraId="1479FEC6">
            <w:pPr>
              <w:adjustRightInd w:val="0"/>
              <w:snapToGrid w:val="0"/>
              <w:jc w:val="center"/>
              <w:rPr>
                <w:rFonts w:eastAsia="仿宋_GB2312"/>
                <w:color w:val="000000"/>
              </w:rPr>
            </w:pPr>
            <w:r>
              <w:rPr>
                <w:rFonts w:hint="eastAsia" w:eastAsia="仿宋_GB2312"/>
                <w:color w:val="000000"/>
              </w:rPr>
              <w:t>膜过滤器化学清洗液定期排污水</w:t>
            </w:r>
          </w:p>
        </w:tc>
        <w:tc>
          <w:tcPr>
            <w:tcW w:w="1690" w:type="dxa"/>
            <w:vAlign w:val="center"/>
          </w:tcPr>
          <w:p w14:paraId="702FDF20">
            <w:pPr>
              <w:adjustRightInd w:val="0"/>
              <w:snapToGrid w:val="0"/>
              <w:jc w:val="center"/>
              <w:rPr>
                <w:rFonts w:eastAsia="仿宋_GB2312"/>
              </w:rPr>
            </w:pPr>
            <w:r>
              <w:rPr>
                <w:rFonts w:hint="eastAsia" w:eastAsia="仿宋_GB2312"/>
              </w:rPr>
              <w:t>氯化物、SS、HCl等</w:t>
            </w:r>
          </w:p>
        </w:tc>
        <w:tc>
          <w:tcPr>
            <w:tcW w:w="1664" w:type="dxa"/>
            <w:vAlign w:val="center"/>
          </w:tcPr>
          <w:p w14:paraId="407EDD57">
            <w:pPr>
              <w:adjustRightInd w:val="0"/>
              <w:snapToGrid w:val="0"/>
              <w:jc w:val="center"/>
              <w:rPr>
                <w:rFonts w:eastAsia="仿宋_GB2312"/>
                <w:kern w:val="0"/>
              </w:rPr>
            </w:pPr>
            <w:r>
              <w:rPr>
                <w:rFonts w:hint="eastAsia" w:eastAsia="仿宋_GB2312"/>
                <w:kern w:val="0"/>
                <w:lang w:val="en-US" w:eastAsia="zh-CN"/>
              </w:rPr>
              <w:t>20m</w:t>
            </w:r>
            <w:r>
              <w:rPr>
                <w:rFonts w:hint="eastAsia" w:eastAsia="仿宋_GB2312"/>
                <w:kern w:val="0"/>
                <w:vertAlign w:val="superscript"/>
                <w:lang w:val="en-US" w:eastAsia="zh-CN"/>
              </w:rPr>
              <w:t>3</w:t>
            </w:r>
            <w:r>
              <w:rPr>
                <w:rFonts w:hint="eastAsia" w:eastAsia="仿宋_GB2312"/>
                <w:kern w:val="0"/>
                <w:lang w:val="en-US" w:eastAsia="zh-CN"/>
              </w:rPr>
              <w:t>中和水池</w:t>
            </w:r>
          </w:p>
        </w:tc>
        <w:tc>
          <w:tcPr>
            <w:tcW w:w="2106" w:type="dxa"/>
            <w:vMerge w:val="continue"/>
            <w:vAlign w:val="center"/>
          </w:tcPr>
          <w:p w14:paraId="3DC80B12">
            <w:pPr>
              <w:adjustRightInd w:val="0"/>
              <w:snapToGrid w:val="0"/>
              <w:jc w:val="center"/>
              <w:rPr>
                <w:rFonts w:eastAsia="仿宋_GB2312"/>
                <w:snapToGrid w:val="0"/>
                <w:kern w:val="0"/>
              </w:rPr>
            </w:pPr>
          </w:p>
        </w:tc>
      </w:tr>
      <w:tr w14:paraId="117366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26" w:type="dxa"/>
            <w:gridSpan w:val="2"/>
            <w:vMerge w:val="continue"/>
            <w:vAlign w:val="center"/>
          </w:tcPr>
          <w:p w14:paraId="64030BC7">
            <w:pPr>
              <w:adjustRightInd w:val="0"/>
              <w:snapToGrid w:val="0"/>
              <w:jc w:val="center"/>
              <w:rPr>
                <w:rFonts w:eastAsia="仿宋_GB2312"/>
                <w:color w:val="000000"/>
              </w:rPr>
            </w:pPr>
          </w:p>
        </w:tc>
        <w:tc>
          <w:tcPr>
            <w:tcW w:w="1669" w:type="dxa"/>
            <w:vAlign w:val="center"/>
          </w:tcPr>
          <w:p w14:paraId="04800F0E">
            <w:pPr>
              <w:adjustRightInd w:val="0"/>
              <w:snapToGrid w:val="0"/>
              <w:jc w:val="center"/>
              <w:rPr>
                <w:rFonts w:eastAsia="仿宋_GB2312"/>
                <w:color w:val="000000"/>
              </w:rPr>
            </w:pPr>
            <w:r>
              <w:rPr>
                <w:rFonts w:hint="eastAsia" w:eastAsia="仿宋_GB2312"/>
                <w:color w:val="000000"/>
              </w:rPr>
              <w:t>酸雾尾气吸收塔废水</w:t>
            </w:r>
          </w:p>
        </w:tc>
        <w:tc>
          <w:tcPr>
            <w:tcW w:w="1690" w:type="dxa"/>
            <w:vAlign w:val="center"/>
          </w:tcPr>
          <w:p w14:paraId="2698258F">
            <w:pPr>
              <w:adjustRightInd w:val="0"/>
              <w:snapToGrid w:val="0"/>
              <w:jc w:val="center"/>
              <w:rPr>
                <w:rFonts w:eastAsia="仿宋_GB2312"/>
              </w:rPr>
            </w:pPr>
            <w:r>
              <w:rPr>
                <w:rFonts w:eastAsia="仿宋_GB2312"/>
              </w:rPr>
              <w:t>HCl</w:t>
            </w:r>
          </w:p>
        </w:tc>
        <w:tc>
          <w:tcPr>
            <w:tcW w:w="1664" w:type="dxa"/>
            <w:vAlign w:val="center"/>
          </w:tcPr>
          <w:p w14:paraId="1BCDC11B">
            <w:pPr>
              <w:adjustRightInd w:val="0"/>
              <w:snapToGrid w:val="0"/>
              <w:jc w:val="center"/>
              <w:rPr>
                <w:rFonts w:hint="default" w:eastAsia="仿宋_GB2312"/>
                <w:kern w:val="0"/>
                <w:lang w:val="en-US" w:eastAsia="zh-CN"/>
              </w:rPr>
            </w:pPr>
            <w:r>
              <w:rPr>
                <w:rFonts w:hint="eastAsia" w:eastAsia="仿宋_GB2312"/>
                <w:kern w:val="0"/>
                <w:lang w:val="en-US" w:eastAsia="zh-CN"/>
              </w:rPr>
              <w:t>20m</w:t>
            </w:r>
            <w:r>
              <w:rPr>
                <w:rFonts w:hint="eastAsia" w:eastAsia="仿宋_GB2312"/>
                <w:kern w:val="0"/>
                <w:vertAlign w:val="superscript"/>
                <w:lang w:val="en-US" w:eastAsia="zh-CN"/>
              </w:rPr>
              <w:t>3</w:t>
            </w:r>
            <w:r>
              <w:rPr>
                <w:rFonts w:hint="eastAsia" w:eastAsia="仿宋_GB2312"/>
                <w:kern w:val="0"/>
                <w:lang w:val="en-US" w:eastAsia="zh-CN"/>
              </w:rPr>
              <w:t>中和水池</w:t>
            </w:r>
          </w:p>
        </w:tc>
        <w:tc>
          <w:tcPr>
            <w:tcW w:w="2106" w:type="dxa"/>
            <w:vMerge w:val="continue"/>
            <w:vAlign w:val="center"/>
          </w:tcPr>
          <w:p w14:paraId="36673039">
            <w:pPr>
              <w:adjustRightInd w:val="0"/>
              <w:snapToGrid w:val="0"/>
              <w:jc w:val="center"/>
              <w:rPr>
                <w:rFonts w:eastAsia="仿宋_GB2312"/>
                <w:snapToGrid w:val="0"/>
                <w:kern w:val="0"/>
              </w:rPr>
            </w:pPr>
          </w:p>
        </w:tc>
      </w:tr>
      <w:tr w14:paraId="1495C8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26" w:type="dxa"/>
            <w:gridSpan w:val="2"/>
            <w:vMerge w:val="continue"/>
            <w:vAlign w:val="center"/>
          </w:tcPr>
          <w:p w14:paraId="0ED228A9">
            <w:pPr>
              <w:adjustRightInd w:val="0"/>
              <w:snapToGrid w:val="0"/>
              <w:jc w:val="center"/>
              <w:rPr>
                <w:rFonts w:eastAsia="仿宋_GB2312"/>
                <w:color w:val="000000"/>
              </w:rPr>
            </w:pPr>
          </w:p>
        </w:tc>
        <w:tc>
          <w:tcPr>
            <w:tcW w:w="1669" w:type="dxa"/>
            <w:vAlign w:val="center"/>
          </w:tcPr>
          <w:p w14:paraId="2BC192FB">
            <w:pPr>
              <w:adjustRightInd w:val="0"/>
              <w:snapToGrid w:val="0"/>
              <w:jc w:val="center"/>
              <w:rPr>
                <w:rFonts w:eastAsia="仿宋_GB2312"/>
                <w:color w:val="000000"/>
              </w:rPr>
            </w:pPr>
            <w:r>
              <w:rPr>
                <w:rFonts w:hint="eastAsia" w:eastAsia="仿宋_GB2312"/>
                <w:color w:val="000000"/>
              </w:rPr>
              <w:t>盐雾尾气吸收塔废水</w:t>
            </w:r>
          </w:p>
        </w:tc>
        <w:tc>
          <w:tcPr>
            <w:tcW w:w="1690" w:type="dxa"/>
            <w:vAlign w:val="center"/>
          </w:tcPr>
          <w:p w14:paraId="65CCBB4E">
            <w:pPr>
              <w:adjustRightInd w:val="0"/>
              <w:snapToGrid w:val="0"/>
              <w:jc w:val="center"/>
              <w:rPr>
                <w:rFonts w:eastAsia="仿宋_GB2312"/>
              </w:rPr>
            </w:pPr>
            <w:r>
              <w:rPr>
                <w:rFonts w:hint="eastAsia" w:eastAsia="仿宋_GB2312"/>
              </w:rPr>
              <w:t>氯化物、SS</w:t>
            </w:r>
          </w:p>
        </w:tc>
        <w:tc>
          <w:tcPr>
            <w:tcW w:w="1664" w:type="dxa"/>
            <w:vAlign w:val="center"/>
          </w:tcPr>
          <w:p w14:paraId="4AB67DC6">
            <w:pPr>
              <w:adjustRightInd w:val="0"/>
              <w:snapToGrid w:val="0"/>
              <w:jc w:val="center"/>
              <w:rPr>
                <w:rFonts w:eastAsia="仿宋_GB2312"/>
                <w:kern w:val="0"/>
              </w:rPr>
            </w:pPr>
            <w:r>
              <w:rPr>
                <w:rFonts w:hint="eastAsia" w:eastAsia="仿宋_GB2312"/>
                <w:kern w:val="0"/>
              </w:rPr>
              <w:t>/</w:t>
            </w:r>
          </w:p>
        </w:tc>
        <w:tc>
          <w:tcPr>
            <w:tcW w:w="2106" w:type="dxa"/>
            <w:vMerge w:val="continue"/>
            <w:vAlign w:val="center"/>
          </w:tcPr>
          <w:p w14:paraId="4E20D396">
            <w:pPr>
              <w:adjustRightInd w:val="0"/>
              <w:snapToGrid w:val="0"/>
              <w:jc w:val="center"/>
              <w:rPr>
                <w:rFonts w:eastAsia="仿宋_GB2312"/>
                <w:snapToGrid w:val="0"/>
                <w:kern w:val="0"/>
              </w:rPr>
            </w:pPr>
          </w:p>
        </w:tc>
      </w:tr>
      <w:tr w14:paraId="1C0427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26" w:type="dxa"/>
            <w:gridSpan w:val="2"/>
            <w:vMerge w:val="continue"/>
            <w:vAlign w:val="center"/>
          </w:tcPr>
          <w:p w14:paraId="7F756175">
            <w:pPr>
              <w:adjustRightInd w:val="0"/>
              <w:snapToGrid w:val="0"/>
              <w:jc w:val="center"/>
              <w:rPr>
                <w:rFonts w:eastAsia="仿宋_GB2312"/>
                <w:color w:val="000000"/>
              </w:rPr>
            </w:pPr>
          </w:p>
        </w:tc>
        <w:tc>
          <w:tcPr>
            <w:tcW w:w="1669" w:type="dxa"/>
            <w:vAlign w:val="center"/>
          </w:tcPr>
          <w:p w14:paraId="1EBA5BFE">
            <w:pPr>
              <w:adjustRightInd w:val="0"/>
              <w:snapToGrid w:val="0"/>
              <w:jc w:val="center"/>
              <w:rPr>
                <w:rFonts w:eastAsia="仿宋_GB2312"/>
                <w:color w:val="000000"/>
              </w:rPr>
            </w:pPr>
            <w:r>
              <w:rPr>
                <w:rFonts w:hint="eastAsia" w:eastAsia="仿宋_GB2312"/>
                <w:color w:val="000000"/>
              </w:rPr>
              <w:t>密封水</w:t>
            </w:r>
          </w:p>
        </w:tc>
        <w:tc>
          <w:tcPr>
            <w:tcW w:w="1690" w:type="dxa"/>
            <w:vAlign w:val="center"/>
          </w:tcPr>
          <w:p w14:paraId="0C1B3CB7">
            <w:pPr>
              <w:adjustRightInd w:val="0"/>
              <w:snapToGrid w:val="0"/>
              <w:jc w:val="center"/>
              <w:rPr>
                <w:rFonts w:eastAsia="仿宋_GB2312"/>
              </w:rPr>
            </w:pPr>
            <w:r>
              <w:rPr>
                <w:rFonts w:hint="eastAsia" w:eastAsia="仿宋_GB2312"/>
              </w:rPr>
              <w:t>氯化物、SS</w:t>
            </w:r>
          </w:p>
        </w:tc>
        <w:tc>
          <w:tcPr>
            <w:tcW w:w="1664" w:type="dxa"/>
            <w:vAlign w:val="center"/>
          </w:tcPr>
          <w:p w14:paraId="54FA63F4">
            <w:pPr>
              <w:adjustRightInd w:val="0"/>
              <w:snapToGrid w:val="0"/>
              <w:jc w:val="center"/>
              <w:rPr>
                <w:rFonts w:eastAsia="仿宋_GB2312"/>
                <w:kern w:val="0"/>
              </w:rPr>
            </w:pPr>
            <w:r>
              <w:rPr>
                <w:rFonts w:hint="eastAsia" w:eastAsia="仿宋_GB2312"/>
                <w:kern w:val="0"/>
              </w:rPr>
              <w:t>/</w:t>
            </w:r>
          </w:p>
        </w:tc>
        <w:tc>
          <w:tcPr>
            <w:tcW w:w="2106" w:type="dxa"/>
            <w:vMerge w:val="continue"/>
            <w:vAlign w:val="center"/>
          </w:tcPr>
          <w:p w14:paraId="67F59281">
            <w:pPr>
              <w:adjustRightInd w:val="0"/>
              <w:snapToGrid w:val="0"/>
              <w:jc w:val="center"/>
              <w:rPr>
                <w:rFonts w:eastAsia="仿宋_GB2312"/>
                <w:snapToGrid w:val="0"/>
                <w:kern w:val="0"/>
              </w:rPr>
            </w:pPr>
          </w:p>
        </w:tc>
      </w:tr>
      <w:tr w14:paraId="067707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26" w:type="dxa"/>
            <w:gridSpan w:val="2"/>
            <w:vMerge w:val="continue"/>
            <w:vAlign w:val="center"/>
          </w:tcPr>
          <w:p w14:paraId="5210247A">
            <w:pPr>
              <w:adjustRightInd w:val="0"/>
              <w:snapToGrid w:val="0"/>
              <w:jc w:val="center"/>
              <w:rPr>
                <w:rFonts w:eastAsia="仿宋_GB2312"/>
                <w:color w:val="000000"/>
              </w:rPr>
            </w:pPr>
          </w:p>
        </w:tc>
        <w:tc>
          <w:tcPr>
            <w:tcW w:w="1669" w:type="dxa"/>
            <w:vAlign w:val="center"/>
          </w:tcPr>
          <w:p w14:paraId="0A82C69D">
            <w:pPr>
              <w:adjustRightInd w:val="0"/>
              <w:snapToGrid w:val="0"/>
              <w:jc w:val="center"/>
              <w:rPr>
                <w:rFonts w:hint="eastAsia" w:eastAsia="仿宋_GB2312"/>
                <w:color w:val="000000"/>
              </w:rPr>
            </w:pPr>
            <w:r>
              <w:rPr>
                <w:rFonts w:hint="eastAsia" w:eastAsia="仿宋_GB2312"/>
                <w:lang w:val="en-US" w:eastAsia="zh-CN"/>
              </w:rPr>
              <w:t>初期雨水</w:t>
            </w:r>
          </w:p>
        </w:tc>
        <w:tc>
          <w:tcPr>
            <w:tcW w:w="1690" w:type="dxa"/>
            <w:vAlign w:val="center"/>
          </w:tcPr>
          <w:p w14:paraId="79DD4D8C">
            <w:pPr>
              <w:adjustRightInd w:val="0"/>
              <w:snapToGrid w:val="0"/>
              <w:jc w:val="center"/>
              <w:rPr>
                <w:rFonts w:hint="eastAsia" w:eastAsia="仿宋_GB2312"/>
              </w:rPr>
            </w:pPr>
            <w:r>
              <w:rPr>
                <w:rFonts w:hint="eastAsia" w:eastAsia="仿宋_GB2312"/>
                <w:lang w:val="en-US" w:eastAsia="zh-CN"/>
              </w:rPr>
              <w:t>COD、</w:t>
            </w:r>
            <w:r>
              <w:rPr>
                <w:rFonts w:hint="eastAsia" w:eastAsia="仿宋_GB2312"/>
              </w:rPr>
              <w:t>SS</w:t>
            </w:r>
          </w:p>
        </w:tc>
        <w:tc>
          <w:tcPr>
            <w:tcW w:w="1664" w:type="dxa"/>
            <w:vAlign w:val="center"/>
          </w:tcPr>
          <w:p w14:paraId="7EDF2CF7">
            <w:pPr>
              <w:adjustRightInd w:val="0"/>
              <w:snapToGrid w:val="0"/>
              <w:jc w:val="center"/>
              <w:rPr>
                <w:rFonts w:hint="default" w:eastAsia="仿宋_GB2312"/>
                <w:kern w:val="0"/>
                <w:lang w:val="en-US" w:eastAsia="zh-CN"/>
              </w:rPr>
            </w:pPr>
            <w:r>
              <w:rPr>
                <w:rFonts w:hint="eastAsia" w:eastAsia="仿宋_GB2312"/>
                <w:kern w:val="0"/>
                <w:lang w:val="en-US" w:eastAsia="zh-CN"/>
              </w:rPr>
              <w:t>初期雨水池</w:t>
            </w:r>
          </w:p>
        </w:tc>
        <w:tc>
          <w:tcPr>
            <w:tcW w:w="2106" w:type="dxa"/>
            <w:vAlign w:val="center"/>
          </w:tcPr>
          <w:p w14:paraId="36B43FC8">
            <w:pPr>
              <w:adjustRightInd w:val="0"/>
              <w:snapToGrid w:val="0"/>
              <w:jc w:val="center"/>
              <w:rPr>
                <w:rFonts w:eastAsia="仿宋_GB2312"/>
                <w:snapToGrid w:val="0"/>
                <w:kern w:val="0"/>
              </w:rPr>
            </w:pPr>
            <w:r>
              <w:rPr>
                <w:rFonts w:hint="eastAsia" w:eastAsia="仿宋_GB2312"/>
                <w:snapToGrid w:val="0"/>
                <w:kern w:val="0"/>
                <w:lang w:val="en-US" w:eastAsia="zh-CN"/>
              </w:rPr>
              <w:t>在初期雨水池暂存，</w:t>
            </w:r>
            <w:r>
              <w:rPr>
                <w:rFonts w:hint="eastAsia" w:eastAsia="仿宋_GB2312"/>
                <w:snapToGrid w:val="0"/>
                <w:kern w:val="0"/>
              </w:rPr>
              <w:t>通过回用管道回用至矿区采卤</w:t>
            </w:r>
          </w:p>
        </w:tc>
      </w:tr>
      <w:tr w14:paraId="304060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26" w:type="dxa"/>
            <w:gridSpan w:val="2"/>
            <w:vAlign w:val="center"/>
          </w:tcPr>
          <w:p w14:paraId="36ED6D8C">
            <w:pPr>
              <w:adjustRightInd w:val="0"/>
              <w:snapToGrid w:val="0"/>
              <w:jc w:val="center"/>
              <w:rPr>
                <w:rFonts w:eastAsia="仿宋_GB2312"/>
              </w:rPr>
            </w:pPr>
            <w:r>
              <w:rPr>
                <w:rFonts w:eastAsia="仿宋_GB2312"/>
              </w:rPr>
              <w:t>声环境</w:t>
            </w:r>
          </w:p>
        </w:tc>
        <w:tc>
          <w:tcPr>
            <w:tcW w:w="1669" w:type="dxa"/>
            <w:vAlign w:val="center"/>
          </w:tcPr>
          <w:p w14:paraId="6F0A97AB">
            <w:pPr>
              <w:adjustRightInd w:val="0"/>
              <w:snapToGrid w:val="0"/>
              <w:jc w:val="center"/>
              <w:rPr>
                <w:rFonts w:eastAsia="仿宋_GB2312"/>
              </w:rPr>
            </w:pPr>
            <w:r>
              <w:rPr>
                <w:rFonts w:eastAsia="仿宋_GB2312"/>
              </w:rPr>
              <w:t>生产车间</w:t>
            </w:r>
          </w:p>
        </w:tc>
        <w:tc>
          <w:tcPr>
            <w:tcW w:w="1690" w:type="dxa"/>
            <w:vAlign w:val="center"/>
          </w:tcPr>
          <w:p w14:paraId="655A27AE">
            <w:pPr>
              <w:adjustRightInd w:val="0"/>
              <w:snapToGrid w:val="0"/>
              <w:jc w:val="center"/>
              <w:rPr>
                <w:rFonts w:eastAsia="仿宋_GB2312"/>
              </w:rPr>
            </w:pPr>
            <w:r>
              <w:rPr>
                <w:rFonts w:eastAsia="仿宋_GB2312"/>
              </w:rPr>
              <w:t>噪声</w:t>
            </w:r>
          </w:p>
        </w:tc>
        <w:tc>
          <w:tcPr>
            <w:tcW w:w="1664" w:type="dxa"/>
            <w:vAlign w:val="center"/>
          </w:tcPr>
          <w:p w14:paraId="40CF07D2">
            <w:pPr>
              <w:adjustRightInd w:val="0"/>
              <w:snapToGrid w:val="0"/>
              <w:jc w:val="center"/>
              <w:rPr>
                <w:rFonts w:eastAsia="仿宋_GB2312"/>
              </w:rPr>
            </w:pPr>
            <w:r>
              <w:rPr>
                <w:rFonts w:eastAsia="仿宋_GB2312"/>
              </w:rPr>
              <w:t>低噪声设备，合理布局，采取隔声减振消声等措施</w:t>
            </w:r>
          </w:p>
        </w:tc>
        <w:tc>
          <w:tcPr>
            <w:tcW w:w="2106" w:type="dxa"/>
            <w:vAlign w:val="center"/>
          </w:tcPr>
          <w:p w14:paraId="4C98A93D">
            <w:pPr>
              <w:adjustRightInd w:val="0"/>
              <w:snapToGrid w:val="0"/>
              <w:jc w:val="center"/>
              <w:rPr>
                <w:rFonts w:eastAsia="仿宋_GB2312"/>
              </w:rPr>
            </w:pPr>
            <w:r>
              <w:rPr>
                <w:rFonts w:eastAsia="仿宋_GB2312"/>
              </w:rPr>
              <w:t>《工业企业厂界环境噪声排放标准》(GB12348-2008)3类</w:t>
            </w:r>
            <w:r>
              <w:rPr>
                <w:rFonts w:hint="eastAsia" w:eastAsia="仿宋_GB2312"/>
                <w:lang w:eastAsia="zh-CN"/>
              </w:rPr>
              <w:t>、</w:t>
            </w:r>
            <w:r>
              <w:rPr>
                <w:rFonts w:hint="eastAsia" w:eastAsia="仿宋_GB2312"/>
                <w:lang w:val="en-US" w:eastAsia="zh-CN"/>
              </w:rPr>
              <w:t>4a</w:t>
            </w:r>
            <w:r>
              <w:rPr>
                <w:rFonts w:eastAsia="仿宋_GB2312"/>
              </w:rPr>
              <w:t>标准</w:t>
            </w:r>
          </w:p>
        </w:tc>
      </w:tr>
      <w:tr w14:paraId="167134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26" w:type="dxa"/>
            <w:gridSpan w:val="2"/>
            <w:vAlign w:val="center"/>
          </w:tcPr>
          <w:p w14:paraId="03DBE530">
            <w:pPr>
              <w:adjustRightInd w:val="0"/>
              <w:snapToGrid w:val="0"/>
              <w:jc w:val="center"/>
              <w:rPr>
                <w:rFonts w:eastAsia="仿宋_GB2312"/>
              </w:rPr>
            </w:pPr>
            <w:r>
              <w:rPr>
                <w:rFonts w:eastAsia="仿宋_GB2312"/>
              </w:rPr>
              <w:t>电磁辐射</w:t>
            </w:r>
          </w:p>
        </w:tc>
        <w:tc>
          <w:tcPr>
            <w:tcW w:w="1669" w:type="dxa"/>
            <w:vAlign w:val="center"/>
          </w:tcPr>
          <w:p w14:paraId="2208DE7C">
            <w:pPr>
              <w:adjustRightInd w:val="0"/>
              <w:snapToGrid w:val="0"/>
              <w:jc w:val="center"/>
              <w:rPr>
                <w:rFonts w:eastAsia="仿宋_GB2312"/>
              </w:rPr>
            </w:pPr>
            <w:r>
              <w:rPr>
                <w:rFonts w:eastAsia="仿宋_GB2312"/>
              </w:rPr>
              <w:t>/</w:t>
            </w:r>
          </w:p>
        </w:tc>
        <w:tc>
          <w:tcPr>
            <w:tcW w:w="1690" w:type="dxa"/>
            <w:vAlign w:val="center"/>
          </w:tcPr>
          <w:p w14:paraId="6AFF7446">
            <w:pPr>
              <w:adjustRightInd w:val="0"/>
              <w:snapToGrid w:val="0"/>
              <w:jc w:val="center"/>
              <w:rPr>
                <w:rFonts w:eastAsia="仿宋_GB2312"/>
              </w:rPr>
            </w:pPr>
            <w:r>
              <w:rPr>
                <w:rFonts w:eastAsia="仿宋_GB2312"/>
              </w:rPr>
              <w:t>/</w:t>
            </w:r>
          </w:p>
        </w:tc>
        <w:tc>
          <w:tcPr>
            <w:tcW w:w="1664" w:type="dxa"/>
            <w:vAlign w:val="center"/>
          </w:tcPr>
          <w:p w14:paraId="2D9C4AFA">
            <w:pPr>
              <w:adjustRightInd w:val="0"/>
              <w:snapToGrid w:val="0"/>
              <w:jc w:val="center"/>
              <w:rPr>
                <w:rFonts w:eastAsia="仿宋_GB2312"/>
              </w:rPr>
            </w:pPr>
            <w:r>
              <w:rPr>
                <w:rFonts w:eastAsia="仿宋_GB2312"/>
              </w:rPr>
              <w:t>/</w:t>
            </w:r>
          </w:p>
        </w:tc>
        <w:tc>
          <w:tcPr>
            <w:tcW w:w="2106" w:type="dxa"/>
            <w:vAlign w:val="center"/>
          </w:tcPr>
          <w:p w14:paraId="2A2FC3C4">
            <w:pPr>
              <w:adjustRightInd w:val="0"/>
              <w:snapToGrid w:val="0"/>
              <w:jc w:val="center"/>
              <w:rPr>
                <w:rFonts w:eastAsia="仿宋_GB2312"/>
              </w:rPr>
            </w:pPr>
            <w:r>
              <w:rPr>
                <w:rFonts w:eastAsia="仿宋_GB2312"/>
              </w:rPr>
              <w:t>/</w:t>
            </w:r>
          </w:p>
        </w:tc>
      </w:tr>
      <w:tr w14:paraId="6099A3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30" w:hRule="atLeast"/>
          <w:jc w:val="center"/>
        </w:trPr>
        <w:tc>
          <w:tcPr>
            <w:tcW w:w="1726" w:type="dxa"/>
            <w:gridSpan w:val="2"/>
            <w:vAlign w:val="center"/>
          </w:tcPr>
          <w:p w14:paraId="76230218">
            <w:pPr>
              <w:adjustRightInd w:val="0"/>
              <w:snapToGrid w:val="0"/>
              <w:jc w:val="center"/>
              <w:rPr>
                <w:rFonts w:eastAsia="仿宋_GB2312"/>
              </w:rPr>
            </w:pPr>
            <w:r>
              <w:rPr>
                <w:rFonts w:eastAsia="仿宋_GB2312"/>
              </w:rPr>
              <w:t>固体废物</w:t>
            </w:r>
          </w:p>
        </w:tc>
        <w:tc>
          <w:tcPr>
            <w:tcW w:w="7129" w:type="dxa"/>
            <w:gridSpan w:val="4"/>
            <w:vAlign w:val="center"/>
          </w:tcPr>
          <w:tbl>
            <w:tblPr>
              <w:tblStyle w:val="31"/>
              <w:tblW w:w="4999"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350"/>
              <w:gridCol w:w="2562"/>
            </w:tblGrid>
            <w:tr w14:paraId="6C2EB05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3147" w:type="pct"/>
                  <w:vAlign w:val="center"/>
                </w:tcPr>
                <w:p w14:paraId="37BEE33F">
                  <w:pPr>
                    <w:adjustRightInd w:val="0"/>
                    <w:snapToGrid w:val="0"/>
                    <w:jc w:val="center"/>
                    <w:rPr>
                      <w:rFonts w:eastAsia="仿宋_GB2312"/>
                    </w:rPr>
                  </w:pPr>
                  <w:r>
                    <w:rPr>
                      <w:rFonts w:hint="eastAsia" w:eastAsia="仿宋_GB2312"/>
                    </w:rPr>
                    <w:t>盐泥</w:t>
                  </w:r>
                </w:p>
              </w:tc>
              <w:tc>
                <w:tcPr>
                  <w:tcW w:w="1853" w:type="pct"/>
                  <w:vAlign w:val="center"/>
                </w:tcPr>
                <w:p w14:paraId="01779B39">
                  <w:pPr>
                    <w:widowControl/>
                    <w:adjustRightInd w:val="0"/>
                    <w:snapToGrid w:val="0"/>
                    <w:jc w:val="center"/>
                    <w:textAlignment w:val="center"/>
                    <w:rPr>
                      <w:rFonts w:hint="default" w:eastAsia="仿宋_GB2312"/>
                      <w:kern w:val="0"/>
                      <w:lang w:val="en-US" w:eastAsia="zh-CN"/>
                    </w:rPr>
                  </w:pPr>
                  <w:r>
                    <w:rPr>
                      <w:rFonts w:hint="eastAsia" w:eastAsia="仿宋_GB2312"/>
                      <w:kern w:val="0"/>
                      <w:lang w:val="en-US" w:eastAsia="zh-CN"/>
                    </w:rPr>
                    <w:t>回用于生产</w:t>
                  </w:r>
                </w:p>
              </w:tc>
            </w:tr>
            <w:tr w14:paraId="097088B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3147" w:type="pct"/>
                  <w:vAlign w:val="center"/>
                </w:tcPr>
                <w:p w14:paraId="78AB5ED5">
                  <w:pPr>
                    <w:adjustRightInd w:val="0"/>
                    <w:snapToGrid w:val="0"/>
                    <w:jc w:val="center"/>
                    <w:rPr>
                      <w:rFonts w:eastAsia="仿宋_GB2312"/>
                    </w:rPr>
                  </w:pPr>
                  <w:r>
                    <w:rPr>
                      <w:rFonts w:hint="eastAsia" w:eastAsia="仿宋_GB2312"/>
                    </w:rPr>
                    <w:t>废活性炭</w:t>
                  </w:r>
                </w:p>
              </w:tc>
              <w:tc>
                <w:tcPr>
                  <w:tcW w:w="1853" w:type="pct"/>
                  <w:vMerge w:val="restart"/>
                  <w:vAlign w:val="center"/>
                </w:tcPr>
                <w:p w14:paraId="5015FB03">
                  <w:pPr>
                    <w:widowControl/>
                    <w:adjustRightInd w:val="0"/>
                    <w:snapToGrid w:val="0"/>
                    <w:jc w:val="center"/>
                    <w:textAlignment w:val="center"/>
                    <w:rPr>
                      <w:rFonts w:eastAsia="仿宋_GB2312"/>
                      <w:kern w:val="0"/>
                    </w:rPr>
                  </w:pPr>
                  <w:r>
                    <w:rPr>
                      <w:rFonts w:hint="eastAsia" w:eastAsia="仿宋_GB2312"/>
                      <w:kern w:val="0"/>
                    </w:rPr>
                    <w:t>厂家回收</w:t>
                  </w:r>
                </w:p>
              </w:tc>
            </w:tr>
            <w:tr w14:paraId="605EA12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3147" w:type="pct"/>
                  <w:vAlign w:val="center"/>
                </w:tcPr>
                <w:p w14:paraId="3DBA389D">
                  <w:pPr>
                    <w:adjustRightInd w:val="0"/>
                    <w:snapToGrid w:val="0"/>
                    <w:jc w:val="center"/>
                    <w:rPr>
                      <w:rFonts w:eastAsia="仿宋_GB2312"/>
                    </w:rPr>
                  </w:pPr>
                  <w:r>
                    <w:rPr>
                      <w:rFonts w:hint="eastAsia" w:eastAsia="仿宋_GB2312"/>
                    </w:rPr>
                    <w:t>废保安过滤器滤芯</w:t>
                  </w:r>
                </w:p>
              </w:tc>
              <w:tc>
                <w:tcPr>
                  <w:tcW w:w="1853" w:type="pct"/>
                  <w:vMerge w:val="continue"/>
                  <w:vAlign w:val="center"/>
                </w:tcPr>
                <w:p w14:paraId="592F4939">
                  <w:pPr>
                    <w:widowControl/>
                    <w:adjustRightInd w:val="0"/>
                    <w:snapToGrid w:val="0"/>
                    <w:jc w:val="center"/>
                    <w:textAlignment w:val="center"/>
                    <w:rPr>
                      <w:rFonts w:eastAsia="仿宋_GB2312"/>
                      <w:kern w:val="0"/>
                    </w:rPr>
                  </w:pPr>
                </w:p>
              </w:tc>
            </w:tr>
            <w:tr w14:paraId="27F7FCF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3147" w:type="pct"/>
                  <w:vAlign w:val="center"/>
                </w:tcPr>
                <w:p w14:paraId="7DEDB81A">
                  <w:pPr>
                    <w:adjustRightInd w:val="0"/>
                    <w:snapToGrid w:val="0"/>
                    <w:jc w:val="center"/>
                    <w:rPr>
                      <w:rFonts w:eastAsia="仿宋_GB2312"/>
                    </w:rPr>
                  </w:pPr>
                  <w:r>
                    <w:rPr>
                      <w:rFonts w:hint="eastAsia" w:eastAsia="仿宋_GB2312"/>
                    </w:rPr>
                    <w:t>废粗过滤器滤芯</w:t>
                  </w:r>
                </w:p>
              </w:tc>
              <w:tc>
                <w:tcPr>
                  <w:tcW w:w="1853" w:type="pct"/>
                  <w:vMerge w:val="continue"/>
                  <w:vAlign w:val="center"/>
                </w:tcPr>
                <w:p w14:paraId="0FB7B21F">
                  <w:pPr>
                    <w:widowControl/>
                    <w:adjustRightInd w:val="0"/>
                    <w:snapToGrid w:val="0"/>
                    <w:jc w:val="center"/>
                    <w:textAlignment w:val="center"/>
                    <w:rPr>
                      <w:rFonts w:eastAsia="仿宋_GB2312"/>
                      <w:kern w:val="0"/>
                    </w:rPr>
                  </w:pPr>
                </w:p>
              </w:tc>
            </w:tr>
            <w:tr w14:paraId="085DCA5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3147" w:type="pct"/>
                  <w:vAlign w:val="center"/>
                </w:tcPr>
                <w:p w14:paraId="317F86EF">
                  <w:pPr>
                    <w:adjustRightInd w:val="0"/>
                    <w:snapToGrid w:val="0"/>
                    <w:jc w:val="center"/>
                    <w:rPr>
                      <w:rFonts w:eastAsia="仿宋_GB2312"/>
                    </w:rPr>
                  </w:pPr>
                  <w:r>
                    <w:rPr>
                      <w:rFonts w:eastAsia="仿宋_GB2312"/>
                    </w:rPr>
                    <w:t>废机油</w:t>
                  </w:r>
                </w:p>
              </w:tc>
              <w:tc>
                <w:tcPr>
                  <w:tcW w:w="1853" w:type="pct"/>
                  <w:vMerge w:val="restart"/>
                  <w:vAlign w:val="center"/>
                </w:tcPr>
                <w:p w14:paraId="5B9E0AAB">
                  <w:pPr>
                    <w:adjustRightInd w:val="0"/>
                    <w:snapToGrid w:val="0"/>
                    <w:jc w:val="center"/>
                    <w:rPr>
                      <w:rFonts w:eastAsia="仿宋_GB2312"/>
                      <w:kern w:val="0"/>
                    </w:rPr>
                  </w:pPr>
                  <w:r>
                    <w:rPr>
                      <w:rFonts w:eastAsia="仿宋_GB2312"/>
                      <w:kern w:val="0"/>
                    </w:rPr>
                    <w:t>有资质单位</w:t>
                  </w:r>
                </w:p>
              </w:tc>
            </w:tr>
            <w:tr w14:paraId="54627CA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47" w:type="pct"/>
                  <w:vAlign w:val="center"/>
                </w:tcPr>
                <w:p w14:paraId="4AA5B27F">
                  <w:pPr>
                    <w:adjustRightInd w:val="0"/>
                    <w:snapToGrid w:val="0"/>
                    <w:jc w:val="center"/>
                    <w:rPr>
                      <w:rFonts w:eastAsia="仿宋_GB2312"/>
                    </w:rPr>
                  </w:pPr>
                  <w:r>
                    <w:rPr>
                      <w:rFonts w:eastAsia="仿宋_GB2312"/>
                    </w:rPr>
                    <w:t>废油桶</w:t>
                  </w:r>
                </w:p>
              </w:tc>
              <w:tc>
                <w:tcPr>
                  <w:tcW w:w="1853" w:type="pct"/>
                  <w:vMerge w:val="continue"/>
                  <w:vAlign w:val="center"/>
                </w:tcPr>
                <w:p w14:paraId="085BBA01">
                  <w:pPr>
                    <w:adjustRightInd w:val="0"/>
                    <w:snapToGrid w:val="0"/>
                    <w:jc w:val="center"/>
                    <w:rPr>
                      <w:rFonts w:eastAsia="仿宋_GB2312"/>
                      <w:kern w:val="0"/>
                    </w:rPr>
                  </w:pPr>
                </w:p>
              </w:tc>
            </w:tr>
            <w:tr w14:paraId="069BF13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3147" w:type="pct"/>
                  <w:vAlign w:val="center"/>
                </w:tcPr>
                <w:p w14:paraId="484D963B">
                  <w:pPr>
                    <w:adjustRightInd w:val="0"/>
                    <w:snapToGrid w:val="0"/>
                    <w:jc w:val="center"/>
                    <w:rPr>
                      <w:rFonts w:eastAsia="仿宋_GB2312"/>
                    </w:rPr>
                  </w:pPr>
                  <w:r>
                    <w:rPr>
                      <w:rFonts w:eastAsia="仿宋_GB2312"/>
                    </w:rPr>
                    <w:t>废漆桶</w:t>
                  </w:r>
                </w:p>
              </w:tc>
              <w:tc>
                <w:tcPr>
                  <w:tcW w:w="1853" w:type="pct"/>
                  <w:vMerge w:val="continue"/>
                  <w:vAlign w:val="center"/>
                </w:tcPr>
                <w:p w14:paraId="7D11E6CD">
                  <w:pPr>
                    <w:adjustRightInd w:val="0"/>
                    <w:snapToGrid w:val="0"/>
                    <w:jc w:val="center"/>
                    <w:rPr>
                      <w:rFonts w:eastAsia="仿宋_GB2312"/>
                      <w:kern w:val="0"/>
                    </w:rPr>
                  </w:pPr>
                </w:p>
              </w:tc>
            </w:tr>
            <w:tr w14:paraId="24BD6E8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3147" w:type="pct"/>
                  <w:vAlign w:val="center"/>
                </w:tcPr>
                <w:p w14:paraId="68B1AFD3">
                  <w:pPr>
                    <w:adjustRightInd w:val="0"/>
                    <w:snapToGrid w:val="0"/>
                    <w:jc w:val="center"/>
                    <w:rPr>
                      <w:rFonts w:eastAsia="仿宋_GB2312"/>
                    </w:rPr>
                  </w:pPr>
                  <w:r>
                    <w:rPr>
                      <w:rFonts w:eastAsia="仿宋_GB2312"/>
                    </w:rPr>
                    <w:t>废漆刷</w:t>
                  </w:r>
                </w:p>
              </w:tc>
              <w:tc>
                <w:tcPr>
                  <w:tcW w:w="1853" w:type="pct"/>
                  <w:vMerge w:val="continue"/>
                  <w:vAlign w:val="center"/>
                </w:tcPr>
                <w:p w14:paraId="06714401">
                  <w:pPr>
                    <w:adjustRightInd w:val="0"/>
                    <w:snapToGrid w:val="0"/>
                    <w:jc w:val="center"/>
                    <w:rPr>
                      <w:rFonts w:eastAsia="仿宋_GB2312"/>
                      <w:kern w:val="0"/>
                    </w:rPr>
                  </w:pPr>
                </w:p>
              </w:tc>
            </w:tr>
            <w:tr w14:paraId="0B12902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3147" w:type="pct"/>
                  <w:vAlign w:val="center"/>
                </w:tcPr>
                <w:p w14:paraId="0922FBE2">
                  <w:pPr>
                    <w:adjustRightInd w:val="0"/>
                    <w:snapToGrid w:val="0"/>
                    <w:jc w:val="center"/>
                    <w:rPr>
                      <w:rFonts w:eastAsia="仿宋_GB2312"/>
                    </w:rPr>
                  </w:pPr>
                  <w:r>
                    <w:rPr>
                      <w:rFonts w:eastAsia="仿宋_GB2312"/>
                    </w:rPr>
                    <w:t>实验室废液</w:t>
                  </w:r>
                </w:p>
              </w:tc>
              <w:tc>
                <w:tcPr>
                  <w:tcW w:w="1853" w:type="pct"/>
                  <w:vMerge w:val="continue"/>
                  <w:vAlign w:val="center"/>
                </w:tcPr>
                <w:p w14:paraId="14CFBF2E">
                  <w:pPr>
                    <w:adjustRightInd w:val="0"/>
                    <w:snapToGrid w:val="0"/>
                    <w:jc w:val="center"/>
                    <w:rPr>
                      <w:rFonts w:eastAsia="仿宋_GB2312"/>
                      <w:kern w:val="0"/>
                    </w:rPr>
                  </w:pPr>
                </w:p>
              </w:tc>
            </w:tr>
          </w:tbl>
          <w:p w14:paraId="69EF195F">
            <w:pPr>
              <w:pStyle w:val="12"/>
            </w:pPr>
          </w:p>
        </w:tc>
      </w:tr>
      <w:tr w14:paraId="344D63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08" w:hRule="atLeast"/>
          <w:jc w:val="center"/>
        </w:trPr>
        <w:tc>
          <w:tcPr>
            <w:tcW w:w="1726" w:type="dxa"/>
            <w:gridSpan w:val="2"/>
            <w:vAlign w:val="center"/>
          </w:tcPr>
          <w:p w14:paraId="5B033CEB">
            <w:pPr>
              <w:adjustRightInd w:val="0"/>
              <w:snapToGrid w:val="0"/>
              <w:jc w:val="center"/>
              <w:rPr>
                <w:rFonts w:eastAsia="仿宋_GB2312"/>
              </w:rPr>
            </w:pPr>
            <w:r>
              <w:rPr>
                <w:rFonts w:eastAsia="仿宋_GB2312"/>
              </w:rPr>
              <w:t>土壤及地下水</w:t>
            </w:r>
          </w:p>
          <w:p w14:paraId="0C157837">
            <w:pPr>
              <w:adjustRightInd w:val="0"/>
              <w:snapToGrid w:val="0"/>
              <w:jc w:val="center"/>
              <w:rPr>
                <w:rFonts w:eastAsia="仿宋_GB2312"/>
              </w:rPr>
            </w:pPr>
            <w:r>
              <w:rPr>
                <w:rFonts w:eastAsia="仿宋_GB2312"/>
              </w:rPr>
              <w:t>污染防治措施</w:t>
            </w:r>
          </w:p>
        </w:tc>
        <w:tc>
          <w:tcPr>
            <w:tcW w:w="7129" w:type="dxa"/>
            <w:gridSpan w:val="4"/>
            <w:vAlign w:val="center"/>
          </w:tcPr>
          <w:tbl>
            <w:tblPr>
              <w:tblStyle w:val="31"/>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05"/>
              <w:gridCol w:w="995"/>
              <w:gridCol w:w="5413"/>
            </w:tblGrid>
            <w:tr w14:paraId="1B88437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5" w:hRule="atLeast"/>
                <w:jc w:val="center"/>
              </w:trPr>
              <w:tc>
                <w:tcPr>
                  <w:tcW w:w="509" w:type="dxa"/>
                  <w:vAlign w:val="center"/>
                </w:tcPr>
                <w:p w14:paraId="3FD4F211">
                  <w:pPr>
                    <w:tabs>
                      <w:tab w:val="left" w:pos="5670"/>
                    </w:tabs>
                    <w:adjustRightInd w:val="0"/>
                    <w:snapToGrid w:val="0"/>
                    <w:jc w:val="center"/>
                    <w:rPr>
                      <w:rFonts w:eastAsia="仿宋_GB2312"/>
                      <w:b/>
                      <w:kern w:val="0"/>
                    </w:rPr>
                  </w:pPr>
                  <w:r>
                    <w:rPr>
                      <w:rFonts w:eastAsia="仿宋_GB2312"/>
                      <w:b/>
                      <w:kern w:val="0"/>
                    </w:rPr>
                    <w:t>序号</w:t>
                  </w:r>
                </w:p>
              </w:tc>
              <w:tc>
                <w:tcPr>
                  <w:tcW w:w="1007" w:type="dxa"/>
                  <w:vAlign w:val="center"/>
                </w:tcPr>
                <w:p w14:paraId="267B0746">
                  <w:pPr>
                    <w:tabs>
                      <w:tab w:val="left" w:pos="5670"/>
                    </w:tabs>
                    <w:adjustRightInd w:val="0"/>
                    <w:snapToGrid w:val="0"/>
                    <w:jc w:val="center"/>
                    <w:rPr>
                      <w:rFonts w:eastAsia="仿宋_GB2312"/>
                      <w:b/>
                      <w:kern w:val="0"/>
                    </w:rPr>
                  </w:pPr>
                  <w:r>
                    <w:rPr>
                      <w:rFonts w:eastAsia="仿宋_GB2312"/>
                      <w:b/>
                      <w:kern w:val="0"/>
                    </w:rPr>
                    <w:t>主要环节</w:t>
                  </w:r>
                </w:p>
              </w:tc>
              <w:tc>
                <w:tcPr>
                  <w:tcW w:w="5475" w:type="dxa"/>
                  <w:vAlign w:val="center"/>
                </w:tcPr>
                <w:p w14:paraId="55CFDFBA">
                  <w:pPr>
                    <w:tabs>
                      <w:tab w:val="left" w:pos="5670"/>
                    </w:tabs>
                    <w:adjustRightInd w:val="0"/>
                    <w:snapToGrid w:val="0"/>
                    <w:jc w:val="center"/>
                    <w:rPr>
                      <w:rFonts w:eastAsia="仿宋_GB2312"/>
                      <w:b/>
                      <w:kern w:val="0"/>
                    </w:rPr>
                  </w:pPr>
                  <w:r>
                    <w:rPr>
                      <w:rFonts w:eastAsia="仿宋_GB2312"/>
                      <w:b/>
                      <w:kern w:val="0"/>
                    </w:rPr>
                    <w:t>防渗处理措施</w:t>
                  </w:r>
                </w:p>
              </w:tc>
            </w:tr>
            <w:tr w14:paraId="063CD40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33" w:hRule="atLeast"/>
                <w:jc w:val="center"/>
              </w:trPr>
              <w:tc>
                <w:tcPr>
                  <w:tcW w:w="509" w:type="dxa"/>
                  <w:vAlign w:val="center"/>
                </w:tcPr>
                <w:p w14:paraId="712869C6">
                  <w:pPr>
                    <w:tabs>
                      <w:tab w:val="left" w:pos="5670"/>
                    </w:tabs>
                    <w:adjustRightInd w:val="0"/>
                    <w:snapToGrid w:val="0"/>
                    <w:jc w:val="center"/>
                    <w:rPr>
                      <w:rFonts w:eastAsia="仿宋_GB2312"/>
                      <w:kern w:val="0"/>
                    </w:rPr>
                  </w:pPr>
                  <w:r>
                    <w:rPr>
                      <w:rFonts w:eastAsia="仿宋_GB2312"/>
                      <w:kern w:val="0"/>
                    </w:rPr>
                    <w:t>1</w:t>
                  </w:r>
                </w:p>
              </w:tc>
              <w:tc>
                <w:tcPr>
                  <w:tcW w:w="1007" w:type="dxa"/>
                  <w:vAlign w:val="center"/>
                </w:tcPr>
                <w:p w14:paraId="3705447B">
                  <w:pPr>
                    <w:tabs>
                      <w:tab w:val="left" w:pos="5670"/>
                    </w:tabs>
                    <w:adjustRightInd w:val="0"/>
                    <w:snapToGrid w:val="0"/>
                    <w:jc w:val="center"/>
                    <w:rPr>
                      <w:rFonts w:eastAsia="仿宋_GB2312"/>
                      <w:kern w:val="0"/>
                    </w:rPr>
                  </w:pPr>
                  <w:r>
                    <w:rPr>
                      <w:rFonts w:eastAsia="仿宋_GB2312"/>
                      <w:kern w:val="0"/>
                    </w:rPr>
                    <w:t>原料仓库</w:t>
                  </w:r>
                </w:p>
              </w:tc>
              <w:tc>
                <w:tcPr>
                  <w:tcW w:w="5475" w:type="dxa"/>
                  <w:vAlign w:val="center"/>
                </w:tcPr>
                <w:p w14:paraId="1C8B9EE7">
                  <w:pPr>
                    <w:tabs>
                      <w:tab w:val="left" w:pos="5670"/>
                    </w:tabs>
                    <w:adjustRightInd w:val="0"/>
                    <w:snapToGrid w:val="0"/>
                    <w:jc w:val="center"/>
                    <w:rPr>
                      <w:rFonts w:eastAsia="仿宋_GB2312"/>
                      <w:kern w:val="0"/>
                    </w:rPr>
                  </w:pPr>
                  <w:r>
                    <w:rPr>
                      <w:rFonts w:eastAsia="仿宋_GB2312"/>
                      <w:kern w:val="0"/>
                    </w:rPr>
                    <w:t>依据国家危险贮存标准要求设计、施工，采用200mm厚C15砼垫层随打随抹光，并设置钢筋混凝土围堰，并采用底部加设土工膜进行防渗，是渗透系数1.0×10</w:t>
                  </w:r>
                  <w:r>
                    <w:rPr>
                      <w:rFonts w:eastAsia="仿宋_GB2312"/>
                      <w:kern w:val="0"/>
                      <w:vertAlign w:val="superscript"/>
                    </w:rPr>
                    <w:t>-10</w:t>
                  </w:r>
                  <w:r>
                    <w:rPr>
                      <w:rFonts w:eastAsia="仿宋_GB2312"/>
                      <w:kern w:val="0"/>
                    </w:rPr>
                    <w:t>cm/s，且防雨防晒</w:t>
                  </w:r>
                </w:p>
              </w:tc>
            </w:tr>
            <w:tr w14:paraId="61E0F8D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02" w:hRule="atLeast"/>
                <w:jc w:val="center"/>
              </w:trPr>
              <w:tc>
                <w:tcPr>
                  <w:tcW w:w="509" w:type="dxa"/>
                  <w:vAlign w:val="center"/>
                </w:tcPr>
                <w:p w14:paraId="2CFED37F">
                  <w:pPr>
                    <w:tabs>
                      <w:tab w:val="left" w:pos="5670"/>
                    </w:tabs>
                    <w:adjustRightInd w:val="0"/>
                    <w:snapToGrid w:val="0"/>
                    <w:jc w:val="center"/>
                    <w:rPr>
                      <w:rFonts w:eastAsia="仿宋_GB2312"/>
                      <w:kern w:val="0"/>
                    </w:rPr>
                  </w:pPr>
                  <w:r>
                    <w:rPr>
                      <w:rFonts w:eastAsia="仿宋_GB2312"/>
                      <w:kern w:val="0"/>
                    </w:rPr>
                    <w:t>2</w:t>
                  </w:r>
                </w:p>
              </w:tc>
              <w:tc>
                <w:tcPr>
                  <w:tcW w:w="1007" w:type="dxa"/>
                  <w:vAlign w:val="center"/>
                </w:tcPr>
                <w:p w14:paraId="59F0D934">
                  <w:pPr>
                    <w:tabs>
                      <w:tab w:val="left" w:pos="5670"/>
                    </w:tabs>
                    <w:adjustRightInd w:val="0"/>
                    <w:snapToGrid w:val="0"/>
                    <w:jc w:val="center"/>
                    <w:rPr>
                      <w:rFonts w:eastAsia="仿宋_GB2312"/>
                      <w:kern w:val="0"/>
                    </w:rPr>
                  </w:pPr>
                  <w:r>
                    <w:rPr>
                      <w:rFonts w:eastAsia="仿宋_GB2312"/>
                      <w:kern w:val="0"/>
                    </w:rPr>
                    <w:t>生产区</w:t>
                  </w:r>
                </w:p>
              </w:tc>
              <w:tc>
                <w:tcPr>
                  <w:tcW w:w="5475" w:type="dxa"/>
                  <w:vAlign w:val="center"/>
                </w:tcPr>
                <w:p w14:paraId="59D67E22">
                  <w:pPr>
                    <w:tabs>
                      <w:tab w:val="left" w:pos="5670"/>
                    </w:tabs>
                    <w:adjustRightInd w:val="0"/>
                    <w:snapToGrid w:val="0"/>
                    <w:jc w:val="center"/>
                    <w:rPr>
                      <w:rFonts w:eastAsia="仿宋_GB2312"/>
                      <w:kern w:val="0"/>
                    </w:rPr>
                  </w:pPr>
                  <w:r>
                    <w:rPr>
                      <w:rFonts w:eastAsia="仿宋_GB2312"/>
                      <w:kern w:val="0"/>
                    </w:rPr>
                    <w:t>水泥基渗透结晶型抗渗混凝土(厚度不宜小于150mm)+水泥基渗透结晶型防渗涂层(厚度不宜小于0.8mm)结构形式，防渗结构层渗透系数不应大于1.0×10</w:t>
                  </w:r>
                  <w:r>
                    <w:rPr>
                      <w:rFonts w:eastAsia="仿宋_GB2312"/>
                      <w:kern w:val="0"/>
                      <w:vertAlign w:val="superscript"/>
                    </w:rPr>
                    <w:t>-16</w:t>
                  </w:r>
                  <w:r>
                    <w:rPr>
                      <w:rFonts w:eastAsia="仿宋_GB2312"/>
                      <w:kern w:val="0"/>
                    </w:rPr>
                    <w:t>cm/s</w:t>
                  </w:r>
                </w:p>
              </w:tc>
            </w:tr>
            <w:tr w14:paraId="7793954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58" w:hRule="atLeast"/>
                <w:jc w:val="center"/>
              </w:trPr>
              <w:tc>
                <w:tcPr>
                  <w:tcW w:w="509" w:type="dxa"/>
                  <w:vAlign w:val="center"/>
                </w:tcPr>
                <w:p w14:paraId="5FA7E77C">
                  <w:pPr>
                    <w:tabs>
                      <w:tab w:val="left" w:pos="5670"/>
                    </w:tabs>
                    <w:adjustRightInd w:val="0"/>
                    <w:snapToGrid w:val="0"/>
                    <w:jc w:val="center"/>
                    <w:rPr>
                      <w:rFonts w:eastAsia="仿宋_GB2312"/>
                      <w:kern w:val="0"/>
                    </w:rPr>
                  </w:pPr>
                  <w:r>
                    <w:rPr>
                      <w:rFonts w:eastAsia="仿宋_GB2312"/>
                      <w:kern w:val="0"/>
                    </w:rPr>
                    <w:t>3</w:t>
                  </w:r>
                </w:p>
              </w:tc>
              <w:tc>
                <w:tcPr>
                  <w:tcW w:w="1007" w:type="dxa"/>
                  <w:vAlign w:val="center"/>
                </w:tcPr>
                <w:p w14:paraId="6A969B1F">
                  <w:pPr>
                    <w:tabs>
                      <w:tab w:val="left" w:pos="5670"/>
                    </w:tabs>
                    <w:adjustRightInd w:val="0"/>
                    <w:snapToGrid w:val="0"/>
                    <w:jc w:val="center"/>
                    <w:rPr>
                      <w:rFonts w:eastAsia="仿宋_GB2312"/>
                      <w:kern w:val="0"/>
                    </w:rPr>
                  </w:pPr>
                  <w:r>
                    <w:rPr>
                      <w:rFonts w:eastAsia="仿宋_GB2312"/>
                      <w:kern w:val="0"/>
                    </w:rPr>
                    <w:t>固废堆场</w:t>
                  </w:r>
                </w:p>
              </w:tc>
              <w:tc>
                <w:tcPr>
                  <w:tcW w:w="5475" w:type="dxa"/>
                  <w:vAlign w:val="center"/>
                </w:tcPr>
                <w:p w14:paraId="16639FDE">
                  <w:pPr>
                    <w:tabs>
                      <w:tab w:val="left" w:pos="5670"/>
                    </w:tabs>
                    <w:adjustRightInd w:val="0"/>
                    <w:snapToGrid w:val="0"/>
                    <w:jc w:val="center"/>
                    <w:rPr>
                      <w:rFonts w:eastAsia="仿宋_GB2312"/>
                      <w:kern w:val="0"/>
                    </w:rPr>
                  </w:pPr>
                  <w:r>
                    <w:rPr>
                      <w:rFonts w:eastAsia="仿宋_GB2312"/>
                      <w:kern w:val="0"/>
                    </w:rPr>
                    <w:t>固废分类收集、包装；地面采用HDPE土工膜防渗处理；固废及时处理，避免厂区内长期存放</w:t>
                  </w:r>
                </w:p>
              </w:tc>
            </w:tr>
            <w:tr w14:paraId="2D4A00C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33" w:hRule="atLeast"/>
                <w:jc w:val="center"/>
              </w:trPr>
              <w:tc>
                <w:tcPr>
                  <w:tcW w:w="509" w:type="dxa"/>
                  <w:vAlign w:val="center"/>
                </w:tcPr>
                <w:p w14:paraId="268345B1">
                  <w:pPr>
                    <w:tabs>
                      <w:tab w:val="left" w:pos="5670"/>
                    </w:tabs>
                    <w:adjustRightInd w:val="0"/>
                    <w:snapToGrid w:val="0"/>
                    <w:jc w:val="center"/>
                    <w:rPr>
                      <w:rFonts w:eastAsia="仿宋_GB2312"/>
                      <w:kern w:val="0"/>
                    </w:rPr>
                  </w:pPr>
                  <w:r>
                    <w:rPr>
                      <w:rFonts w:eastAsia="仿宋_GB2312"/>
                      <w:kern w:val="0"/>
                    </w:rPr>
                    <w:t>4</w:t>
                  </w:r>
                </w:p>
              </w:tc>
              <w:tc>
                <w:tcPr>
                  <w:tcW w:w="1007" w:type="dxa"/>
                  <w:vAlign w:val="center"/>
                </w:tcPr>
                <w:p w14:paraId="31EE3D3C">
                  <w:pPr>
                    <w:tabs>
                      <w:tab w:val="left" w:pos="5670"/>
                    </w:tabs>
                    <w:adjustRightInd w:val="0"/>
                    <w:snapToGrid w:val="0"/>
                    <w:jc w:val="center"/>
                    <w:rPr>
                      <w:rFonts w:eastAsia="仿宋_GB2312"/>
                      <w:kern w:val="0"/>
                    </w:rPr>
                  </w:pPr>
                  <w:r>
                    <w:rPr>
                      <w:rFonts w:eastAsia="仿宋_GB2312"/>
                      <w:kern w:val="0"/>
                    </w:rPr>
                    <w:t>危废仓库</w:t>
                  </w:r>
                </w:p>
              </w:tc>
              <w:tc>
                <w:tcPr>
                  <w:tcW w:w="5475" w:type="dxa"/>
                  <w:vAlign w:val="center"/>
                </w:tcPr>
                <w:p w14:paraId="6696FA18">
                  <w:pPr>
                    <w:tabs>
                      <w:tab w:val="left" w:pos="5670"/>
                    </w:tabs>
                    <w:adjustRightInd w:val="0"/>
                    <w:snapToGrid w:val="0"/>
                    <w:jc w:val="center"/>
                    <w:rPr>
                      <w:rFonts w:eastAsia="仿宋_GB2312"/>
                      <w:kern w:val="0"/>
                    </w:rPr>
                  </w:pPr>
                  <w:r>
                    <w:rPr>
                      <w:rFonts w:eastAsia="仿宋_GB2312"/>
                      <w:kern w:val="0"/>
                    </w:rPr>
                    <w:t>依据国家危险贮存标准要求设计、施工，采用200mm厚C15砼垫层随打随抹光，并设置钢筋混凝土围堰，并采用底部加设土工膜进行防渗，是渗透系数1.0×10</w:t>
                  </w:r>
                  <w:r>
                    <w:rPr>
                      <w:rFonts w:eastAsia="仿宋_GB2312"/>
                      <w:kern w:val="0"/>
                      <w:vertAlign w:val="superscript"/>
                    </w:rPr>
                    <w:t>-10</w:t>
                  </w:r>
                  <w:r>
                    <w:rPr>
                      <w:rFonts w:eastAsia="仿宋_GB2312"/>
                      <w:kern w:val="0"/>
                    </w:rPr>
                    <w:t>cm/s，且防雨防晒</w:t>
                  </w:r>
                </w:p>
              </w:tc>
            </w:tr>
          </w:tbl>
          <w:p w14:paraId="02620D36">
            <w:pPr>
              <w:adjustRightInd w:val="0"/>
              <w:snapToGrid w:val="0"/>
              <w:jc w:val="center"/>
              <w:rPr>
                <w:rFonts w:eastAsia="仿宋_GB2312"/>
              </w:rPr>
            </w:pPr>
          </w:p>
        </w:tc>
      </w:tr>
      <w:tr w14:paraId="1FBCE1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726" w:type="dxa"/>
            <w:gridSpan w:val="2"/>
            <w:vAlign w:val="center"/>
          </w:tcPr>
          <w:p w14:paraId="7F616682">
            <w:pPr>
              <w:adjustRightInd w:val="0"/>
              <w:snapToGrid w:val="0"/>
              <w:jc w:val="center"/>
              <w:rPr>
                <w:rFonts w:eastAsia="仿宋_GB2312"/>
              </w:rPr>
            </w:pPr>
            <w:r>
              <w:rPr>
                <w:rFonts w:eastAsia="仿宋_GB2312"/>
              </w:rPr>
              <w:t>生态保护措施</w:t>
            </w:r>
          </w:p>
        </w:tc>
        <w:tc>
          <w:tcPr>
            <w:tcW w:w="7129" w:type="dxa"/>
            <w:gridSpan w:val="4"/>
            <w:vAlign w:val="center"/>
          </w:tcPr>
          <w:p w14:paraId="63A06B4A">
            <w:pPr>
              <w:adjustRightInd w:val="0"/>
              <w:snapToGrid w:val="0"/>
              <w:jc w:val="center"/>
              <w:rPr>
                <w:rFonts w:eastAsia="仿宋_GB2312"/>
              </w:rPr>
            </w:pPr>
            <w:r>
              <w:rPr>
                <w:rFonts w:eastAsia="仿宋_GB2312"/>
                <w:kern w:val="0"/>
              </w:rPr>
              <w:t>项目建成后，产生的污染经采用适当的污染防治措施实现达标排放后，对区域的生态环境影响可以接受。</w:t>
            </w:r>
          </w:p>
        </w:tc>
      </w:tr>
      <w:tr w14:paraId="4667FD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26" w:type="dxa"/>
            <w:gridSpan w:val="2"/>
            <w:vAlign w:val="center"/>
          </w:tcPr>
          <w:p w14:paraId="54D17649">
            <w:pPr>
              <w:adjustRightInd w:val="0"/>
              <w:snapToGrid w:val="0"/>
              <w:jc w:val="center"/>
              <w:rPr>
                <w:rFonts w:eastAsia="仿宋_GB2312"/>
                <w:spacing w:val="-8"/>
              </w:rPr>
            </w:pPr>
            <w:r>
              <w:rPr>
                <w:rFonts w:eastAsia="仿宋_GB2312"/>
                <w:spacing w:val="-8"/>
              </w:rPr>
              <w:t>环境风险</w:t>
            </w:r>
          </w:p>
          <w:p w14:paraId="5A912005">
            <w:pPr>
              <w:adjustRightInd w:val="0"/>
              <w:snapToGrid w:val="0"/>
              <w:jc w:val="center"/>
              <w:rPr>
                <w:rFonts w:eastAsia="仿宋_GB2312"/>
                <w:spacing w:val="-8"/>
              </w:rPr>
            </w:pPr>
            <w:r>
              <w:rPr>
                <w:rFonts w:eastAsia="仿宋_GB2312"/>
                <w:spacing w:val="-8"/>
              </w:rPr>
              <w:t>防范措施</w:t>
            </w:r>
          </w:p>
        </w:tc>
        <w:tc>
          <w:tcPr>
            <w:tcW w:w="7129" w:type="dxa"/>
            <w:gridSpan w:val="4"/>
            <w:vAlign w:val="center"/>
          </w:tcPr>
          <w:p w14:paraId="5EE9EA43">
            <w:pPr>
              <w:adjustRightInd w:val="0"/>
              <w:snapToGrid w:val="0"/>
              <w:spacing w:line="360" w:lineRule="auto"/>
              <w:ind w:firstLine="420" w:firstLineChars="200"/>
              <w:rPr>
                <w:rFonts w:hint="eastAsia" w:ascii="Times New Roman" w:hAnsi="Times New Roman" w:eastAsia="仿宋_GB2312" w:cs="Times New Roman"/>
              </w:rPr>
            </w:pPr>
            <w:r>
              <w:rPr>
                <w:rFonts w:hint="eastAsia" w:ascii="Times New Roman" w:hAnsi="Times New Roman" w:eastAsia="仿宋_GB2312" w:cs="Times New Roman"/>
              </w:rPr>
              <w:t>1.车间严禁明火。生产车间、仓库等场所配置足量的泡沫、干粉等灭火器，并保持完好状态。</w:t>
            </w:r>
          </w:p>
          <w:p w14:paraId="6E768C77">
            <w:pPr>
              <w:adjustRightInd w:val="0"/>
              <w:snapToGrid w:val="0"/>
              <w:spacing w:line="360" w:lineRule="auto"/>
              <w:ind w:firstLine="420" w:firstLineChars="200"/>
              <w:rPr>
                <w:rFonts w:hint="eastAsia" w:ascii="Times New Roman" w:hAnsi="Times New Roman" w:eastAsia="仿宋_GB2312" w:cs="Times New Roman"/>
              </w:rPr>
            </w:pPr>
            <w:r>
              <w:rPr>
                <w:rFonts w:hint="eastAsia" w:ascii="Times New Roman" w:hAnsi="Times New Roman" w:eastAsia="仿宋_GB2312" w:cs="Times New Roman"/>
              </w:rPr>
              <w:t>2.厂区留有足够的消防通道。生产车间、仓库设置消防给水管道和消防栓。厂部要组织义务消防员，并进行定期的培训和训练。对有火灾危险的场所设置自动报警系统，一旦发生火灾，立即做出应急反应。</w:t>
            </w:r>
          </w:p>
          <w:p w14:paraId="49444F56">
            <w:pPr>
              <w:adjustRightInd w:val="0"/>
              <w:snapToGrid w:val="0"/>
              <w:spacing w:line="360" w:lineRule="auto"/>
              <w:ind w:firstLine="420" w:firstLineChars="200"/>
              <w:rPr>
                <w:rFonts w:hint="eastAsia" w:ascii="Times New Roman" w:hAnsi="Times New Roman" w:eastAsia="仿宋_GB2312" w:cs="Times New Roman"/>
              </w:rPr>
            </w:pPr>
            <w:r>
              <w:rPr>
                <w:rFonts w:hint="eastAsia" w:ascii="Times New Roman" w:hAnsi="Times New Roman" w:eastAsia="仿宋_GB2312" w:cs="Times New Roman"/>
              </w:rPr>
              <w:t>3、对于危废仓库，建设单位拟设置监控系统，主要在仓库出入口、仓库内、厂门口等关键位置安装视频监控设施，进行实时监控，并与中控室联网。</w:t>
            </w:r>
          </w:p>
          <w:p w14:paraId="2612CF35">
            <w:pPr>
              <w:adjustRightInd w:val="0"/>
              <w:snapToGrid w:val="0"/>
              <w:spacing w:line="360" w:lineRule="auto"/>
              <w:ind w:firstLine="420" w:firstLineChars="200"/>
              <w:rPr>
                <w:rFonts w:hint="eastAsia" w:ascii="Times New Roman" w:hAnsi="Times New Roman" w:eastAsia="仿宋_GB2312" w:cs="Times New Roman"/>
              </w:rPr>
            </w:pPr>
            <w:r>
              <w:rPr>
                <w:rFonts w:hint="eastAsia" w:ascii="Times New Roman" w:hAnsi="Times New Roman" w:eastAsia="仿宋_GB2312" w:cs="Times New Roman"/>
              </w:rPr>
              <w:t>贮存过程拟在液态危险废物贮存容器下方设置不锈钢托盘，或在危废暂存场所设置地沟等，发生少量泄漏立即将容器内剩余溶液转移，并收集托盘、地沟内泄漏液体，防止泄漏物料挥发到大气中。</w:t>
            </w:r>
          </w:p>
          <w:p w14:paraId="649CB782">
            <w:pPr>
              <w:adjustRightInd w:val="0"/>
              <w:snapToGrid w:val="0"/>
              <w:spacing w:line="360" w:lineRule="auto"/>
              <w:ind w:firstLine="420" w:firstLineChars="200"/>
              <w:rPr>
                <w:rFonts w:hint="eastAsia" w:ascii="Times New Roman" w:hAnsi="Times New Roman" w:eastAsia="仿宋_GB2312" w:cs="Times New Roman"/>
              </w:rPr>
            </w:pPr>
            <w:r>
              <w:rPr>
                <w:rFonts w:hint="eastAsia" w:ascii="Times New Roman" w:hAnsi="Times New Roman" w:eastAsia="仿宋_GB2312" w:cs="Times New Roman"/>
              </w:rPr>
              <w:t>4、厂区内的雨水管道、事故沟收集系统严格分开，雨水排放口、污水排放口均设置截流阀，当发生火灾事故产生消防废水时，及时关闭雨水、污水截流阀，用泵转移至</w:t>
            </w:r>
            <w:r>
              <w:rPr>
                <w:rFonts w:hint="eastAsia" w:ascii="Times New Roman" w:hAnsi="Times New Roman" w:eastAsia="仿宋_GB2312" w:cs="Times New Roman"/>
                <w:lang w:val="en-US" w:eastAsia="zh-CN"/>
              </w:rPr>
              <w:t>雨水管网进行</w:t>
            </w:r>
            <w:r>
              <w:rPr>
                <w:rFonts w:hint="eastAsia" w:ascii="Times New Roman" w:hAnsi="Times New Roman" w:eastAsia="仿宋_GB2312" w:cs="Times New Roman"/>
              </w:rPr>
              <w:t>收集</w:t>
            </w:r>
            <w:r>
              <w:rPr>
                <w:rFonts w:hint="eastAsia" w:ascii="Times New Roman" w:hAnsi="Times New Roman" w:eastAsia="仿宋_GB2312" w:cs="Times New Roman"/>
                <w:lang w:eastAsia="zh-CN"/>
              </w:rPr>
              <w:t>，</w:t>
            </w:r>
            <w:r>
              <w:rPr>
                <w:rFonts w:hint="eastAsia" w:ascii="Times New Roman" w:hAnsi="Times New Roman" w:eastAsia="仿宋_GB2312" w:cs="Times New Roman"/>
                <w:lang w:val="en-US" w:eastAsia="zh-CN"/>
              </w:rPr>
              <w:t>事故结束后将废水抽至吨桶内委外</w:t>
            </w:r>
            <w:r>
              <w:rPr>
                <w:rFonts w:hint="eastAsia" w:ascii="Times New Roman" w:hAnsi="Times New Roman" w:eastAsia="仿宋_GB2312" w:cs="Times New Roman"/>
              </w:rPr>
              <w:t>处置。</w:t>
            </w:r>
          </w:p>
          <w:p w14:paraId="7BFC7C1E">
            <w:pPr>
              <w:adjustRightInd w:val="0"/>
              <w:snapToGrid w:val="0"/>
              <w:spacing w:line="360" w:lineRule="auto"/>
              <w:ind w:firstLine="420" w:firstLineChars="200"/>
              <w:rPr>
                <w:rFonts w:eastAsia="仿宋_GB2312"/>
              </w:rPr>
            </w:pPr>
            <w:r>
              <w:rPr>
                <w:rFonts w:hint="eastAsia" w:ascii="Times New Roman" w:hAnsi="Times New Roman" w:eastAsia="仿宋_GB2312" w:cs="Times New Roman"/>
                <w:lang w:val="en-US" w:eastAsia="zh-CN"/>
              </w:rPr>
              <w:t>5、企业目前已配置消防水带、消防枪头、灭火毯、消防钳、消防栓扳手、消防斧、干粉灭火器、担架、急救箱、可燃气体检测器、</w:t>
            </w:r>
            <w:r>
              <w:rPr>
                <w:rFonts w:hint="eastAsia" w:eastAsia="仿宋_GB2312" w:cs="Times New Roman"/>
                <w:lang w:val="en-US" w:eastAsia="zh-CN"/>
              </w:rPr>
              <w:t>应急泵、</w:t>
            </w:r>
            <w:r>
              <w:rPr>
                <w:rFonts w:hint="eastAsia" w:ascii="Times New Roman" w:hAnsi="Times New Roman" w:eastAsia="仿宋_GB2312" w:cs="Times New Roman"/>
                <w:lang w:val="en-US" w:eastAsia="zh-CN"/>
              </w:rPr>
              <w:t>对讲机等应急物资。</w:t>
            </w:r>
          </w:p>
        </w:tc>
      </w:tr>
      <w:tr w14:paraId="6E8B69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726" w:type="dxa"/>
            <w:gridSpan w:val="2"/>
            <w:vAlign w:val="center"/>
          </w:tcPr>
          <w:p w14:paraId="782E5A14">
            <w:pPr>
              <w:adjustRightInd w:val="0"/>
              <w:snapToGrid w:val="0"/>
              <w:jc w:val="center"/>
              <w:rPr>
                <w:rFonts w:eastAsia="仿宋_GB2312"/>
                <w:spacing w:val="-8"/>
              </w:rPr>
            </w:pPr>
            <w:r>
              <w:rPr>
                <w:rFonts w:eastAsia="仿宋_GB2312"/>
                <w:spacing w:val="-8"/>
              </w:rPr>
              <w:t>其他环境</w:t>
            </w:r>
          </w:p>
          <w:p w14:paraId="4673941C">
            <w:pPr>
              <w:adjustRightInd w:val="0"/>
              <w:snapToGrid w:val="0"/>
              <w:jc w:val="center"/>
              <w:rPr>
                <w:rFonts w:eastAsia="仿宋_GB2312"/>
                <w:spacing w:val="-8"/>
              </w:rPr>
            </w:pPr>
            <w:r>
              <w:rPr>
                <w:rFonts w:eastAsia="仿宋_GB2312"/>
                <w:spacing w:val="-8"/>
              </w:rPr>
              <w:t>管理要求</w:t>
            </w:r>
          </w:p>
        </w:tc>
        <w:tc>
          <w:tcPr>
            <w:tcW w:w="7129" w:type="dxa"/>
            <w:gridSpan w:val="4"/>
            <w:vAlign w:val="center"/>
          </w:tcPr>
          <w:p w14:paraId="518405C5">
            <w:pPr>
              <w:adjustRightInd w:val="0"/>
              <w:snapToGrid w:val="0"/>
              <w:spacing w:line="360" w:lineRule="auto"/>
              <w:ind w:firstLine="420" w:firstLineChars="200"/>
              <w:rPr>
                <w:rFonts w:hint="default" w:ascii="Times New Roman" w:hAnsi="Times New Roman" w:eastAsia="仿宋_GB2312" w:cs="Times New Roman"/>
              </w:rPr>
            </w:pPr>
            <w:r>
              <w:rPr>
                <w:rFonts w:hint="default" w:ascii="Times New Roman" w:hAnsi="Times New Roman" w:eastAsia="仿宋_GB2312" w:cs="Times New Roman"/>
              </w:rPr>
              <w:t>（</w:t>
            </w:r>
            <w:r>
              <w:rPr>
                <w:rFonts w:hint="eastAsia" w:ascii="Times New Roman" w:hAnsi="Times New Roman" w:eastAsia="仿宋_GB2312" w:cs="Times New Roman"/>
                <w:lang w:val="en-US" w:eastAsia="zh-CN"/>
              </w:rPr>
              <w:t>1</w:t>
            </w:r>
            <w:r>
              <w:rPr>
                <w:rFonts w:hint="default" w:ascii="Times New Roman" w:hAnsi="Times New Roman" w:eastAsia="仿宋_GB2312" w:cs="Times New Roman"/>
              </w:rPr>
              <w:t>）环境管理</w:t>
            </w:r>
          </w:p>
          <w:p w14:paraId="2423CD9D">
            <w:pPr>
              <w:adjustRightInd w:val="0"/>
              <w:snapToGrid w:val="0"/>
              <w:spacing w:line="360" w:lineRule="auto"/>
              <w:ind w:firstLine="420" w:firstLineChars="200"/>
              <w:rPr>
                <w:rFonts w:hint="default" w:ascii="Times New Roman" w:hAnsi="Times New Roman" w:eastAsia="仿宋_GB2312" w:cs="Times New Roman"/>
              </w:rPr>
            </w:pPr>
            <w:r>
              <w:rPr>
                <w:rFonts w:hint="default" w:ascii="Times New Roman" w:hAnsi="Times New Roman" w:eastAsia="仿宋_GB2312" w:cs="Times New Roman"/>
              </w:rPr>
              <w:t>1</w:t>
            </w:r>
            <w:r>
              <w:rPr>
                <w:rFonts w:hint="eastAsia" w:ascii="Times New Roman" w:hAnsi="Times New Roman" w:eastAsia="仿宋_GB2312" w:cs="Times New Roman"/>
                <w:lang w:eastAsia="zh-CN"/>
              </w:rPr>
              <w:t>）</w:t>
            </w:r>
            <w:r>
              <w:rPr>
                <w:rFonts w:hint="default" w:ascii="Times New Roman" w:hAnsi="Times New Roman" w:eastAsia="仿宋_GB2312" w:cs="Times New Roman"/>
              </w:rPr>
              <w:t>环境管理机构设置</w:t>
            </w:r>
          </w:p>
          <w:p w14:paraId="344E7268">
            <w:pPr>
              <w:adjustRightInd w:val="0"/>
              <w:snapToGrid w:val="0"/>
              <w:spacing w:line="360" w:lineRule="auto"/>
              <w:ind w:firstLine="420" w:firstLineChars="200"/>
              <w:rPr>
                <w:rFonts w:hint="default" w:ascii="Times New Roman" w:hAnsi="Times New Roman" w:eastAsia="仿宋_GB2312" w:cs="Times New Roman"/>
              </w:rPr>
            </w:pPr>
            <w:r>
              <w:rPr>
                <w:rFonts w:hint="default" w:ascii="Times New Roman" w:hAnsi="Times New Roman" w:eastAsia="仿宋_GB2312" w:cs="Times New Roman"/>
              </w:rPr>
              <w:t>为了本项目在运营期能更好地执行和遵守国家、省及地方的有关环境保护法律、法规、政策及标准，接受地方生态环境主管部门的环境监督，调整和制订环境规划和目标，进行一切与改善环境有关的管理活动，同时对本项目运营期产生的污染物进行监测、分析，了解本项目对环境的影响状况，企业设置专职的环境管理人员，进行环境保护管理工作，负责产生污染防治设施运行管理。</w:t>
            </w:r>
          </w:p>
          <w:p w14:paraId="21F1848E">
            <w:pPr>
              <w:adjustRightInd w:val="0"/>
              <w:snapToGrid w:val="0"/>
              <w:spacing w:line="360" w:lineRule="auto"/>
              <w:ind w:firstLine="420" w:firstLineChars="200"/>
              <w:rPr>
                <w:rFonts w:hint="default" w:ascii="Times New Roman" w:hAnsi="Times New Roman" w:eastAsia="仿宋_GB2312" w:cs="Times New Roman"/>
              </w:rPr>
            </w:pPr>
            <w:r>
              <w:rPr>
                <w:rFonts w:hint="default" w:ascii="Times New Roman" w:hAnsi="Times New Roman" w:eastAsia="仿宋_GB2312" w:cs="Times New Roman"/>
              </w:rPr>
              <w:t>2</w:t>
            </w:r>
            <w:r>
              <w:rPr>
                <w:rFonts w:hint="eastAsia" w:ascii="Times New Roman" w:hAnsi="Times New Roman" w:eastAsia="仿宋_GB2312" w:cs="Times New Roman"/>
                <w:lang w:eastAsia="zh-CN"/>
              </w:rPr>
              <w:t>）</w:t>
            </w:r>
            <w:r>
              <w:rPr>
                <w:rFonts w:hint="default" w:ascii="Times New Roman" w:hAnsi="Times New Roman" w:eastAsia="仿宋_GB2312" w:cs="Times New Roman"/>
              </w:rPr>
              <w:t>环境管理制度</w:t>
            </w:r>
          </w:p>
          <w:p w14:paraId="197AC545">
            <w:pPr>
              <w:adjustRightInd w:val="0"/>
              <w:snapToGrid w:val="0"/>
              <w:spacing w:line="360" w:lineRule="auto"/>
              <w:ind w:firstLine="420" w:firstLineChars="200"/>
              <w:rPr>
                <w:rFonts w:hint="default" w:ascii="Times New Roman" w:hAnsi="Times New Roman" w:eastAsia="仿宋_GB2312" w:cs="Times New Roman"/>
              </w:rPr>
            </w:pPr>
            <w:r>
              <w:rPr>
                <w:rFonts w:hint="eastAsia" w:ascii="Times New Roman" w:hAnsi="Times New Roman" w:eastAsia="仿宋_GB2312" w:cs="Times New Roman"/>
                <w:lang w:val="en-US" w:eastAsia="zh-CN"/>
              </w:rPr>
              <w:t>①</w:t>
            </w:r>
            <w:r>
              <w:rPr>
                <w:rFonts w:hint="default" w:ascii="Times New Roman" w:hAnsi="Times New Roman" w:eastAsia="仿宋_GB2312" w:cs="Times New Roman"/>
              </w:rPr>
              <w:t>贯彻执行“三同时”制度：设计单位必须将环境保护设施与主体工程同时设计，工程建设单位必须保证污染防治污染及其它公用的设施与主体工程项目同时施工、同时投入运行。</w:t>
            </w:r>
          </w:p>
          <w:p w14:paraId="472AB78C">
            <w:pPr>
              <w:adjustRightInd w:val="0"/>
              <w:snapToGrid w:val="0"/>
              <w:spacing w:line="360" w:lineRule="auto"/>
              <w:ind w:firstLine="420" w:firstLineChars="200"/>
              <w:rPr>
                <w:rFonts w:hint="default" w:ascii="Times New Roman" w:hAnsi="Times New Roman" w:eastAsia="仿宋_GB2312" w:cs="Times New Roman"/>
              </w:rPr>
            </w:pPr>
            <w:r>
              <w:rPr>
                <w:rFonts w:hint="eastAsia" w:ascii="Times New Roman" w:hAnsi="Times New Roman" w:eastAsia="仿宋_GB2312" w:cs="Times New Roman"/>
                <w:lang w:val="en-US" w:eastAsia="zh-CN"/>
              </w:rPr>
              <w:t>②</w:t>
            </w:r>
            <w:r>
              <w:rPr>
                <w:rFonts w:hint="default" w:ascii="Times New Roman" w:hAnsi="Times New Roman" w:eastAsia="仿宋_GB2312" w:cs="Times New Roman"/>
              </w:rPr>
              <w:t>环保设施运行管理制度：建立环保设施定期检查制度和污染治理措施岗位责任制，实行污染治理岗位运行记录制度，以确保污染治理设施稳定高效运行。</w:t>
            </w:r>
          </w:p>
          <w:p w14:paraId="2CDDBE7E">
            <w:pPr>
              <w:adjustRightInd w:val="0"/>
              <w:snapToGrid w:val="0"/>
              <w:spacing w:line="360" w:lineRule="auto"/>
              <w:ind w:firstLine="420" w:firstLineChars="200"/>
              <w:rPr>
                <w:rFonts w:hint="default" w:ascii="Times New Roman" w:hAnsi="Times New Roman" w:eastAsia="仿宋_GB2312" w:cs="Times New Roman"/>
              </w:rPr>
            </w:pPr>
            <w:r>
              <w:rPr>
                <w:rFonts w:hint="default" w:ascii="Times New Roman" w:hAnsi="Times New Roman" w:eastAsia="仿宋_GB2312" w:cs="Times New Roman"/>
              </w:rPr>
              <w:t>当污染治理设施发生故障时，及时组织抢修，并根据实际情况采取相应措施，防止污染事故的发生。</w:t>
            </w:r>
          </w:p>
          <w:p w14:paraId="42D7B34A">
            <w:pPr>
              <w:adjustRightInd w:val="0"/>
              <w:snapToGrid w:val="0"/>
              <w:spacing w:line="360" w:lineRule="auto"/>
              <w:ind w:firstLine="420" w:firstLineChars="200"/>
              <w:rPr>
                <w:rFonts w:hint="default" w:ascii="Times New Roman" w:hAnsi="Times New Roman" w:eastAsia="仿宋_GB2312" w:cs="Times New Roman"/>
              </w:rPr>
            </w:pPr>
            <w:r>
              <w:rPr>
                <w:rFonts w:hint="eastAsia" w:ascii="Times New Roman" w:hAnsi="Times New Roman" w:eastAsia="仿宋_GB2312" w:cs="Times New Roman"/>
                <w:lang w:val="en-US" w:eastAsia="zh-CN"/>
              </w:rPr>
              <w:t>③</w:t>
            </w:r>
            <w:r>
              <w:rPr>
                <w:rFonts w:hint="default" w:ascii="Times New Roman" w:hAnsi="Times New Roman" w:eastAsia="仿宋_GB2312" w:cs="Times New Roman"/>
              </w:rPr>
              <w:t>建立企业环保档案：企业建立污染源档案，发现污染物非正常排放，分析原因并及时采取相应措施，以控制污染影响的范围和程度。</w:t>
            </w:r>
          </w:p>
          <w:p w14:paraId="49B3839C">
            <w:pPr>
              <w:adjustRightInd w:val="0"/>
              <w:snapToGrid w:val="0"/>
              <w:spacing w:line="360" w:lineRule="auto"/>
              <w:ind w:firstLine="420" w:firstLineChars="200"/>
              <w:rPr>
                <w:rFonts w:hint="default" w:ascii="Times New Roman" w:hAnsi="Times New Roman" w:eastAsia="仿宋_GB2312" w:cs="Times New Roman"/>
              </w:rPr>
            </w:pPr>
            <w:r>
              <w:rPr>
                <w:rFonts w:hint="eastAsia" w:ascii="Times New Roman" w:hAnsi="Times New Roman" w:eastAsia="仿宋_GB2312" w:cs="Times New Roman"/>
                <w:lang w:val="en-US" w:eastAsia="zh-CN"/>
              </w:rPr>
              <w:t>④</w:t>
            </w:r>
            <w:r>
              <w:rPr>
                <w:rFonts w:hint="default" w:ascii="Times New Roman" w:hAnsi="Times New Roman" w:eastAsia="仿宋_GB2312" w:cs="Times New Roman"/>
              </w:rPr>
              <w:t>风险管理：由于风险情况下发生大气或水环境污染时，对环境空气及地表水影响较大，特别是厂区周围存在居民点。因此环境管理的重点是建立风险防范及应急措施，并确保在风险发生时能迅速启动应急预案。</w:t>
            </w:r>
          </w:p>
          <w:p w14:paraId="6B18352C">
            <w:pPr>
              <w:adjustRightInd w:val="0"/>
              <w:snapToGrid w:val="0"/>
              <w:spacing w:line="360" w:lineRule="auto"/>
              <w:ind w:firstLine="420" w:firstLineChars="200"/>
              <w:rPr>
                <w:rFonts w:hint="default" w:ascii="Times New Roman" w:hAnsi="Times New Roman" w:eastAsia="仿宋_GB2312" w:cs="Times New Roman"/>
              </w:rPr>
            </w:pPr>
            <w:r>
              <w:rPr>
                <w:rFonts w:hint="default" w:ascii="Times New Roman" w:hAnsi="Times New Roman" w:eastAsia="仿宋_GB2312" w:cs="Times New Roman"/>
              </w:rPr>
              <w:t>（</w:t>
            </w:r>
            <w:r>
              <w:rPr>
                <w:rFonts w:hint="eastAsia" w:ascii="Times New Roman" w:hAnsi="Times New Roman" w:eastAsia="仿宋_GB2312" w:cs="Times New Roman"/>
                <w:lang w:val="en-US" w:eastAsia="zh-CN"/>
              </w:rPr>
              <w:t>2</w:t>
            </w:r>
            <w:r>
              <w:rPr>
                <w:rFonts w:hint="default" w:ascii="Times New Roman" w:hAnsi="Times New Roman" w:eastAsia="仿宋_GB2312" w:cs="Times New Roman"/>
              </w:rPr>
              <w:t>）排污口规范化整治</w:t>
            </w:r>
          </w:p>
          <w:p w14:paraId="4B5F2D32">
            <w:pPr>
              <w:adjustRightInd w:val="0"/>
              <w:snapToGrid w:val="0"/>
              <w:spacing w:line="360" w:lineRule="auto"/>
              <w:ind w:firstLine="420" w:firstLineChars="200"/>
              <w:rPr>
                <w:rFonts w:hint="default" w:ascii="Times New Roman" w:hAnsi="Times New Roman" w:eastAsia="仿宋_GB2312" w:cs="Times New Roman"/>
              </w:rPr>
            </w:pPr>
            <w:r>
              <w:rPr>
                <w:rFonts w:hint="default" w:ascii="Times New Roman" w:hAnsi="Times New Roman" w:eastAsia="仿宋_GB2312" w:cs="Times New Roman"/>
              </w:rPr>
              <w:t>根据《关于印发&lt;江苏省排污口设置及规范化整治管理办法&gt;的通知》（苏环控〔1997〕122号），废气排气筒、废水排污口、噪声污染源和固体废物贮存（处置）场所须规范化设置，企业需做到：</w:t>
            </w:r>
          </w:p>
          <w:p w14:paraId="6D093536">
            <w:pPr>
              <w:adjustRightInd w:val="0"/>
              <w:snapToGrid w:val="0"/>
              <w:spacing w:line="360" w:lineRule="auto"/>
              <w:ind w:firstLine="420" w:firstLineChars="200"/>
              <w:rPr>
                <w:rFonts w:hint="default" w:ascii="Times New Roman" w:hAnsi="Times New Roman" w:eastAsia="仿宋_GB2312" w:cs="Times New Roman"/>
              </w:rPr>
            </w:pPr>
            <w:r>
              <w:rPr>
                <w:rFonts w:hint="default" w:ascii="Times New Roman" w:hAnsi="Times New Roman" w:eastAsia="仿宋_GB2312" w:cs="Times New Roman"/>
                <w:lang w:val="en-US" w:eastAsia="zh-CN"/>
              </w:rPr>
              <w:t>1</w:t>
            </w:r>
            <w:r>
              <w:rPr>
                <w:rFonts w:hint="default" w:ascii="Times New Roman" w:hAnsi="Times New Roman" w:eastAsia="仿宋_GB2312" w:cs="Times New Roman"/>
                <w:lang w:eastAsia="zh-CN"/>
              </w:rPr>
              <w:t>）</w:t>
            </w:r>
            <w:r>
              <w:rPr>
                <w:rFonts w:hint="default" w:ascii="Times New Roman" w:hAnsi="Times New Roman" w:eastAsia="仿宋_GB2312" w:cs="Times New Roman"/>
              </w:rPr>
              <w:t>完善排污口档案</w:t>
            </w:r>
          </w:p>
          <w:p w14:paraId="0770A8ED">
            <w:pPr>
              <w:adjustRightInd w:val="0"/>
              <w:snapToGrid w:val="0"/>
              <w:spacing w:line="360" w:lineRule="auto"/>
              <w:ind w:firstLine="420" w:firstLineChars="200"/>
              <w:rPr>
                <w:rFonts w:hint="default" w:ascii="Times New Roman" w:hAnsi="Times New Roman" w:eastAsia="仿宋_GB2312" w:cs="Times New Roman"/>
              </w:rPr>
            </w:pPr>
            <w:r>
              <w:rPr>
                <w:rFonts w:hint="default" w:ascii="Times New Roman" w:hAnsi="Times New Roman" w:eastAsia="仿宋_GB2312" w:cs="Times New Roman"/>
              </w:rPr>
              <w:t>内容包括排污单位名称、排污口编号、适用的计量方式、排污口位置；所排污染物来源、种类、浓度及计量记录；排放去向、维护和更新记录。</w:t>
            </w:r>
          </w:p>
          <w:p w14:paraId="089BFC79">
            <w:pPr>
              <w:adjustRightInd w:val="0"/>
              <w:snapToGrid w:val="0"/>
              <w:spacing w:line="360" w:lineRule="auto"/>
              <w:ind w:firstLine="420" w:firstLineChars="200"/>
              <w:rPr>
                <w:rFonts w:hint="default" w:ascii="Times New Roman" w:hAnsi="Times New Roman" w:eastAsia="仿宋_GB2312" w:cs="Times New Roman"/>
              </w:rPr>
            </w:pPr>
            <w:r>
              <w:rPr>
                <w:rFonts w:hint="default" w:ascii="Times New Roman" w:hAnsi="Times New Roman" w:eastAsia="仿宋_GB2312" w:cs="Times New Roman"/>
                <w:lang w:val="en-US" w:eastAsia="zh-CN"/>
              </w:rPr>
              <w:t>2</w:t>
            </w:r>
            <w:r>
              <w:rPr>
                <w:rFonts w:hint="default" w:ascii="Times New Roman" w:hAnsi="Times New Roman" w:eastAsia="仿宋_GB2312" w:cs="Times New Roman"/>
                <w:lang w:eastAsia="zh-CN"/>
              </w:rPr>
              <w:t>）</w:t>
            </w:r>
            <w:r>
              <w:rPr>
                <w:rFonts w:hint="default" w:ascii="Times New Roman" w:hAnsi="Times New Roman" w:eastAsia="仿宋_GB2312" w:cs="Times New Roman"/>
              </w:rPr>
              <w:t>废气排气筒</w:t>
            </w:r>
          </w:p>
          <w:p w14:paraId="0D940F43">
            <w:pPr>
              <w:adjustRightInd w:val="0"/>
              <w:snapToGrid w:val="0"/>
              <w:spacing w:line="360" w:lineRule="auto"/>
              <w:ind w:firstLine="420" w:firstLineChars="200"/>
              <w:rPr>
                <w:rFonts w:hint="default" w:ascii="Times New Roman" w:hAnsi="Times New Roman" w:eastAsia="仿宋_GB2312" w:cs="Times New Roman"/>
              </w:rPr>
            </w:pPr>
            <w:r>
              <w:rPr>
                <w:rFonts w:hint="default" w:ascii="Times New Roman" w:hAnsi="Times New Roman" w:eastAsia="仿宋_GB2312" w:cs="Times New Roman"/>
              </w:rPr>
              <w:t>企业需设计、建设、维护永久性采样口和排污口标志。有净化设施的，在其进出口分别设置采样口。采样孔、点数目和位置按《固定污染源排气中颗粒物测定与气态污染物采样方法》（GB/T 16157-1996）和《污染源统一监测分析方法（废气部分）》（〔82〕城环监字第66号）的规定设置。环境保护图形标志牌设在排气筒附近地面醒目处。</w:t>
            </w:r>
          </w:p>
          <w:p w14:paraId="68467104">
            <w:pPr>
              <w:adjustRightInd w:val="0"/>
              <w:snapToGrid w:val="0"/>
              <w:spacing w:line="360" w:lineRule="auto"/>
              <w:ind w:firstLine="420" w:firstLineChars="200"/>
              <w:rPr>
                <w:rFonts w:hint="eastAsia" w:ascii="Times New Roman" w:hAnsi="Times New Roman" w:eastAsia="仿宋_GB2312" w:cs="Times New Roman"/>
              </w:rPr>
            </w:pPr>
            <w:r>
              <w:rPr>
                <w:rFonts w:hint="default" w:ascii="Times New Roman" w:hAnsi="Times New Roman" w:eastAsia="仿宋_GB2312" w:cs="Times New Roman"/>
                <w:lang w:val="en-US" w:eastAsia="zh-CN"/>
              </w:rPr>
              <w:t>3</w:t>
            </w:r>
            <w:r>
              <w:rPr>
                <w:rFonts w:hint="default" w:ascii="Times New Roman" w:hAnsi="Times New Roman" w:eastAsia="仿宋_GB2312" w:cs="Times New Roman"/>
                <w:lang w:eastAsia="zh-CN"/>
              </w:rPr>
              <w:t>）</w:t>
            </w:r>
            <w:r>
              <w:rPr>
                <w:rFonts w:hint="default" w:ascii="Times New Roman" w:hAnsi="Times New Roman" w:eastAsia="仿宋_GB2312" w:cs="Times New Roman"/>
              </w:rPr>
              <w:t>厂区车间、厂区总排口、贮存场所均分别统一编号，设立标志牌，标志牌按照《环境保护图形标志》固体废物（GB15562.1及GB15562.2）及《省生态环境厅&lt;关于印发江苏省固体废物全过程环境监管工作意见&gt;的通知》（苏环办〔2024〕16号）。</w:t>
            </w:r>
          </w:p>
          <w:p w14:paraId="135F43DC">
            <w:pPr>
              <w:adjustRightInd w:val="0"/>
              <w:snapToGrid w:val="0"/>
              <w:spacing w:line="360" w:lineRule="auto"/>
              <w:ind w:firstLine="420" w:firstLineChars="200"/>
              <w:rPr>
                <w:rFonts w:eastAsia="仿宋_GB2312"/>
              </w:rPr>
            </w:pPr>
            <w:r>
              <w:rPr>
                <w:rFonts w:hint="eastAsia" w:eastAsia="仿宋_GB2312"/>
              </w:rPr>
              <w:t>（</w:t>
            </w:r>
            <w:r>
              <w:rPr>
                <w:rFonts w:hint="eastAsia" w:eastAsia="仿宋_GB2312"/>
                <w:lang w:val="en-US" w:eastAsia="zh-CN"/>
              </w:rPr>
              <w:t>3</w:t>
            </w:r>
            <w:r>
              <w:rPr>
                <w:rFonts w:hint="eastAsia" w:eastAsia="仿宋_GB2312"/>
              </w:rPr>
              <w:t>）</w:t>
            </w:r>
            <w:r>
              <w:rPr>
                <w:rFonts w:eastAsia="仿宋_GB2312"/>
              </w:rPr>
              <w:t>排污许可</w:t>
            </w:r>
          </w:p>
          <w:p w14:paraId="3A9CBB63">
            <w:pPr>
              <w:adjustRightInd w:val="0"/>
              <w:snapToGrid w:val="0"/>
              <w:spacing w:line="360" w:lineRule="auto"/>
              <w:ind w:firstLine="420" w:firstLineChars="200"/>
              <w:rPr>
                <w:rFonts w:eastAsia="仿宋_GB2312"/>
              </w:rPr>
            </w:pPr>
            <w:r>
              <w:rPr>
                <w:rFonts w:eastAsia="仿宋_GB2312"/>
              </w:rPr>
              <w:t>本项目属于</w:t>
            </w:r>
            <w:r>
              <w:rPr>
                <w:rFonts w:hint="eastAsia" w:eastAsia="仿宋_GB2312"/>
                <w:bCs/>
                <w:kern w:val="44"/>
              </w:rPr>
              <w:t>C4220盐加工</w:t>
            </w:r>
            <w:r>
              <w:rPr>
                <w:rFonts w:eastAsia="仿宋_GB2312"/>
              </w:rPr>
              <w:t>，根据《固定污染源许可分类管理名录(2019版)》，本项目排污许可管理类别对照如下表所示。</w:t>
            </w:r>
          </w:p>
          <w:p w14:paraId="3EC87ED2">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eastAsia="仿宋_GB2312"/>
                <w:b/>
                <w:bCs/>
                <w:kern w:val="0"/>
                <w:lang w:val="zh-CN"/>
              </w:rPr>
            </w:pPr>
            <w:r>
              <w:rPr>
                <w:rFonts w:eastAsia="仿宋_GB2312"/>
                <w:b/>
                <w:bCs/>
                <w:kern w:val="0"/>
                <w:lang w:val="zh-CN"/>
              </w:rPr>
              <w:t>表</w:t>
            </w:r>
            <w:r>
              <w:rPr>
                <w:rFonts w:eastAsia="仿宋_GB2312"/>
                <w:b/>
                <w:bCs/>
                <w:kern w:val="0"/>
              </w:rPr>
              <w:t>5-1</w:t>
            </w:r>
            <w:r>
              <w:rPr>
                <w:rFonts w:hint="eastAsia" w:eastAsia="仿宋_GB2312"/>
                <w:b/>
                <w:bCs/>
                <w:kern w:val="0"/>
                <w:lang w:val="en-US" w:eastAsia="zh-CN"/>
              </w:rPr>
              <w:t xml:space="preserve">  </w:t>
            </w:r>
            <w:r>
              <w:rPr>
                <w:rFonts w:eastAsia="仿宋_GB2312"/>
                <w:b/>
                <w:bCs/>
                <w:kern w:val="0"/>
                <w:lang w:val="zh-CN"/>
              </w:rPr>
              <w:t>本项目排污许可对应名录表</w:t>
            </w:r>
          </w:p>
          <w:tbl>
            <w:tblPr>
              <w:tblStyle w:val="31"/>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364"/>
              <w:gridCol w:w="2360"/>
              <w:gridCol w:w="691"/>
              <w:gridCol w:w="790"/>
            </w:tblGrid>
            <w:tr w14:paraId="32ED4B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33" w:type="pct"/>
                  <w:vAlign w:val="center"/>
                </w:tcPr>
                <w:p w14:paraId="65F2EC73">
                  <w:pPr>
                    <w:adjustRightInd w:val="0"/>
                    <w:snapToGrid w:val="0"/>
                    <w:jc w:val="center"/>
                    <w:rPr>
                      <w:rFonts w:hint="default" w:ascii="Times New Roman" w:hAnsi="Times New Roman" w:eastAsia="仿宋_GB2312" w:cs="Times New Roman"/>
                      <w:b/>
                      <w:bCs/>
                      <w:sz w:val="21"/>
                      <w:szCs w:val="21"/>
                      <w:lang w:val="zh-CN"/>
                    </w:rPr>
                  </w:pPr>
                  <w:r>
                    <w:rPr>
                      <w:rFonts w:hint="default" w:ascii="Times New Roman" w:hAnsi="Times New Roman" w:eastAsia="仿宋_GB2312" w:cs="Times New Roman"/>
                      <w:b/>
                      <w:bCs/>
                      <w:sz w:val="21"/>
                      <w:szCs w:val="21"/>
                      <w:lang w:val="zh-CN"/>
                    </w:rPr>
                    <w:t>行业类别</w:t>
                  </w:r>
                </w:p>
              </w:tc>
              <w:tc>
                <w:tcPr>
                  <w:tcW w:w="987" w:type="pct"/>
                  <w:vAlign w:val="center"/>
                </w:tcPr>
                <w:p w14:paraId="27669779">
                  <w:pPr>
                    <w:adjustRightInd w:val="0"/>
                    <w:snapToGrid w:val="0"/>
                    <w:jc w:val="center"/>
                    <w:rPr>
                      <w:rFonts w:hint="default" w:ascii="Times New Roman" w:hAnsi="Times New Roman" w:eastAsia="仿宋_GB2312" w:cs="Times New Roman"/>
                      <w:b/>
                      <w:bCs/>
                      <w:sz w:val="21"/>
                      <w:szCs w:val="21"/>
                      <w:lang w:val="zh-CN"/>
                    </w:rPr>
                  </w:pPr>
                  <w:r>
                    <w:rPr>
                      <w:rFonts w:hint="default" w:ascii="Times New Roman" w:hAnsi="Times New Roman" w:eastAsia="仿宋_GB2312" w:cs="Times New Roman"/>
                      <w:b/>
                      <w:bCs/>
                      <w:sz w:val="21"/>
                      <w:szCs w:val="21"/>
                      <w:lang w:val="zh-CN"/>
                    </w:rPr>
                    <w:t>重点管理</w:t>
                  </w:r>
                </w:p>
              </w:tc>
              <w:tc>
                <w:tcPr>
                  <w:tcW w:w="1708" w:type="pct"/>
                  <w:vAlign w:val="center"/>
                </w:tcPr>
                <w:p w14:paraId="5D41414E">
                  <w:pPr>
                    <w:adjustRightInd w:val="0"/>
                    <w:snapToGrid w:val="0"/>
                    <w:jc w:val="center"/>
                    <w:rPr>
                      <w:rFonts w:hint="default" w:ascii="Times New Roman" w:hAnsi="Times New Roman" w:eastAsia="仿宋_GB2312" w:cs="Times New Roman"/>
                      <w:b/>
                      <w:bCs/>
                      <w:sz w:val="21"/>
                      <w:szCs w:val="21"/>
                      <w:lang w:val="zh-CN"/>
                    </w:rPr>
                  </w:pPr>
                  <w:r>
                    <w:rPr>
                      <w:rFonts w:hint="default" w:ascii="Times New Roman" w:hAnsi="Times New Roman" w:eastAsia="仿宋_GB2312" w:cs="Times New Roman"/>
                      <w:b/>
                      <w:bCs/>
                      <w:sz w:val="21"/>
                      <w:szCs w:val="21"/>
                      <w:lang w:val="zh-CN"/>
                    </w:rPr>
                    <w:t>简化管理</w:t>
                  </w:r>
                </w:p>
              </w:tc>
              <w:tc>
                <w:tcPr>
                  <w:tcW w:w="500" w:type="pct"/>
                  <w:vAlign w:val="center"/>
                </w:tcPr>
                <w:p w14:paraId="6918A1EE">
                  <w:pPr>
                    <w:adjustRightInd w:val="0"/>
                    <w:snapToGrid w:val="0"/>
                    <w:jc w:val="center"/>
                    <w:rPr>
                      <w:rFonts w:hint="default" w:ascii="Times New Roman" w:hAnsi="Times New Roman" w:eastAsia="仿宋_GB2312" w:cs="Times New Roman"/>
                      <w:b/>
                      <w:bCs/>
                      <w:sz w:val="21"/>
                      <w:szCs w:val="21"/>
                      <w:lang w:val="zh-CN"/>
                    </w:rPr>
                  </w:pPr>
                  <w:r>
                    <w:rPr>
                      <w:rFonts w:hint="default" w:ascii="Times New Roman" w:hAnsi="Times New Roman" w:eastAsia="仿宋_GB2312" w:cs="Times New Roman"/>
                      <w:b/>
                      <w:bCs/>
                      <w:sz w:val="21"/>
                      <w:szCs w:val="21"/>
                      <w:lang w:val="zh-CN"/>
                    </w:rPr>
                    <w:t>登记管理</w:t>
                  </w:r>
                </w:p>
              </w:tc>
              <w:tc>
                <w:tcPr>
                  <w:tcW w:w="569" w:type="pct"/>
                  <w:vAlign w:val="center"/>
                </w:tcPr>
                <w:p w14:paraId="2BD6C831">
                  <w:pPr>
                    <w:adjustRightInd w:val="0"/>
                    <w:snapToGrid w:val="0"/>
                    <w:jc w:val="center"/>
                    <w:rPr>
                      <w:rFonts w:hint="default" w:ascii="Times New Roman" w:hAnsi="Times New Roman" w:eastAsia="仿宋_GB2312" w:cs="Times New Roman"/>
                      <w:b/>
                      <w:bCs/>
                      <w:sz w:val="21"/>
                      <w:szCs w:val="21"/>
                      <w:lang w:val="zh-CN"/>
                    </w:rPr>
                  </w:pPr>
                  <w:r>
                    <w:rPr>
                      <w:rFonts w:hint="default" w:ascii="Times New Roman" w:hAnsi="Times New Roman" w:eastAsia="仿宋_GB2312" w:cs="Times New Roman"/>
                      <w:b/>
                      <w:bCs/>
                      <w:sz w:val="21"/>
                      <w:szCs w:val="21"/>
                      <w:lang w:val="zh-CN"/>
                    </w:rPr>
                    <w:t>本项目归类</w:t>
                  </w:r>
                </w:p>
              </w:tc>
            </w:tr>
            <w:tr w14:paraId="327D07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0" w:type="pct"/>
                  <w:gridSpan w:val="5"/>
                  <w:vAlign w:val="center"/>
                </w:tcPr>
                <w:p w14:paraId="6679DECB">
                  <w:pPr>
                    <w:adjustRightInd w:val="0"/>
                    <w:snapToGrid w:val="0"/>
                    <w:jc w:val="left"/>
                    <w:rPr>
                      <w:rFonts w:hint="default" w:ascii="Times New Roman" w:hAnsi="Times New Roman" w:eastAsia="仿宋_GB2312" w:cs="Times New Roman"/>
                      <w:b/>
                      <w:bCs/>
                      <w:sz w:val="21"/>
                      <w:szCs w:val="21"/>
                      <w:lang w:val="zh-CN"/>
                    </w:rPr>
                  </w:pPr>
                  <w:r>
                    <w:rPr>
                      <w:rFonts w:hint="default" w:ascii="Times New Roman" w:hAnsi="Times New Roman" w:eastAsia="仿宋_GB2312" w:cs="Times New Roman"/>
                      <w:sz w:val="21"/>
                      <w:szCs w:val="21"/>
                    </w:rPr>
                    <w:t>九、食品制造业14</w:t>
                  </w:r>
                </w:p>
              </w:tc>
            </w:tr>
            <w:tr w14:paraId="3F58F9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33" w:type="pct"/>
                  <w:vAlign w:val="center"/>
                </w:tcPr>
                <w:p w14:paraId="6AF37E42">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17 方便食品制造143，其他食品制造149</w:t>
                  </w:r>
                </w:p>
              </w:tc>
              <w:tc>
                <w:tcPr>
                  <w:tcW w:w="987" w:type="pct"/>
                  <w:vAlign w:val="center"/>
                </w:tcPr>
                <w:p w14:paraId="6DEDC091">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w:t>
                  </w:r>
                </w:p>
              </w:tc>
              <w:tc>
                <w:tcPr>
                  <w:tcW w:w="1708" w:type="pct"/>
                  <w:shd w:val="clear" w:color="auto" w:fill="auto"/>
                  <w:vAlign w:val="center"/>
                </w:tcPr>
                <w:p w14:paraId="73543D2A">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米、面制品制造1431*，速冻食品制造1432*，方便面制造1433*，其他方便食品制造1439*，食品及饲料添加剂制造1495*，以上均不含手工制作、单纯混合或者分装的</w:t>
                  </w:r>
                </w:p>
              </w:tc>
              <w:tc>
                <w:tcPr>
                  <w:tcW w:w="500" w:type="pct"/>
                  <w:shd w:val="clear" w:color="auto" w:fill="auto"/>
                  <w:vAlign w:val="center"/>
                </w:tcPr>
                <w:p w14:paraId="47E976E9">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其他</w:t>
                  </w:r>
                </w:p>
              </w:tc>
              <w:tc>
                <w:tcPr>
                  <w:tcW w:w="569" w:type="pct"/>
                  <w:shd w:val="clear" w:color="auto" w:fill="A4A4A4" w:themeFill="background1" w:themeFillShade="A5"/>
                  <w:vAlign w:val="center"/>
                </w:tcPr>
                <w:p w14:paraId="155469EF">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登记管理</w:t>
                  </w:r>
                </w:p>
              </w:tc>
            </w:tr>
          </w:tbl>
          <w:p w14:paraId="71958746">
            <w:pPr>
              <w:adjustRightInd w:val="0"/>
              <w:snapToGrid w:val="0"/>
              <w:spacing w:line="360" w:lineRule="auto"/>
              <w:ind w:firstLine="420" w:firstLineChars="200"/>
              <w:rPr>
                <w:rFonts w:eastAsia="仿宋_GB2312"/>
              </w:rPr>
            </w:pPr>
            <w:r>
              <w:rPr>
                <w:rFonts w:hint="eastAsia" w:eastAsia="仿宋_GB2312"/>
              </w:rPr>
              <w:t>（</w:t>
            </w:r>
            <w:r>
              <w:rPr>
                <w:rFonts w:hint="eastAsia" w:eastAsia="仿宋_GB2312"/>
                <w:lang w:val="en-US" w:eastAsia="zh-CN"/>
              </w:rPr>
              <w:t>4</w:t>
            </w:r>
            <w:r>
              <w:rPr>
                <w:rFonts w:hint="eastAsia" w:eastAsia="仿宋_GB2312"/>
              </w:rPr>
              <w:t>）</w:t>
            </w:r>
            <w:r>
              <w:rPr>
                <w:rFonts w:eastAsia="仿宋_GB2312"/>
              </w:rPr>
              <w:t>环保“三同时”竣工验收</w:t>
            </w:r>
          </w:p>
          <w:p w14:paraId="5832CB0E">
            <w:pPr>
              <w:adjustRightInd w:val="0"/>
              <w:snapToGrid w:val="0"/>
              <w:spacing w:line="360" w:lineRule="auto"/>
              <w:ind w:firstLine="420" w:firstLineChars="200"/>
              <w:rPr>
                <w:rFonts w:eastAsia="仿宋_GB2312"/>
              </w:rPr>
            </w:pPr>
            <w:r>
              <w:rPr>
                <w:rFonts w:eastAsia="仿宋_GB2312"/>
              </w:rPr>
              <w:t>建设方应依据《建设项目竣工环境保护验收暂行办法》</w:t>
            </w:r>
            <w:r>
              <w:rPr>
                <w:rFonts w:hint="eastAsia" w:eastAsia="仿宋_GB2312"/>
              </w:rPr>
              <w:t>（</w:t>
            </w:r>
            <w:r>
              <w:rPr>
                <w:rFonts w:eastAsia="仿宋_GB2312"/>
              </w:rPr>
              <w:t>国环规环评[2017]4号</w:t>
            </w:r>
            <w:r>
              <w:rPr>
                <w:rFonts w:hint="eastAsia" w:eastAsia="仿宋_GB2312"/>
              </w:rPr>
              <w:t>）</w:t>
            </w:r>
            <w:r>
              <w:rPr>
                <w:rFonts w:eastAsia="仿宋_GB2312"/>
              </w:rPr>
              <w:t>、《建设项目竣工环境保护验收技术指南 污染影响类》</w:t>
            </w:r>
            <w:r>
              <w:rPr>
                <w:rFonts w:hint="eastAsia" w:eastAsia="仿宋_GB2312"/>
              </w:rPr>
              <w:t>（</w:t>
            </w:r>
            <w:r>
              <w:rPr>
                <w:rFonts w:eastAsia="仿宋_GB2312"/>
              </w:rPr>
              <w:t>生态环境部2018年第9号公告</w:t>
            </w:r>
            <w:r>
              <w:rPr>
                <w:rFonts w:hint="eastAsia" w:eastAsia="仿宋_GB2312"/>
              </w:rPr>
              <w:t>）</w:t>
            </w:r>
            <w:r>
              <w:rPr>
                <w:rFonts w:eastAsia="仿宋_GB2312"/>
              </w:rPr>
              <w:t>、环评文件及其批复的要求，自主开展环境保护竣工验收相关工作。建设项目配套建设的环境保护设施经验收合格，方可投入生产或者使用，未经验收或者验收不合格的，不得投入生产或者使用。建设单位应主动向社会公开建设项目开工前信息、施工过程中信息、投产/投运信息、环保措施落实情况、验收监测和调查结果等。建设单位应通过公众平台统一发布建设项目的事中事后环境信息。</w:t>
            </w:r>
          </w:p>
          <w:p w14:paraId="32FCC0BF">
            <w:pPr>
              <w:adjustRightInd w:val="0"/>
              <w:snapToGrid w:val="0"/>
              <w:spacing w:line="360" w:lineRule="auto"/>
              <w:ind w:firstLine="420" w:firstLineChars="200"/>
              <w:rPr>
                <w:rFonts w:eastAsia="仿宋_GB2312"/>
              </w:rPr>
            </w:pPr>
            <w:r>
              <w:rPr>
                <w:rFonts w:eastAsia="仿宋_GB2312"/>
              </w:rPr>
              <w:t>建设单位是竣工环境保护验收工作的责任主体，对验收内容、结论和公开信息的真实性、准确性和完整性负责。</w:t>
            </w:r>
          </w:p>
          <w:p w14:paraId="3F9C3615">
            <w:pPr>
              <w:adjustRightInd w:val="0"/>
              <w:snapToGrid w:val="0"/>
              <w:spacing w:line="360" w:lineRule="auto"/>
              <w:ind w:firstLine="420" w:firstLineChars="200"/>
              <w:rPr>
                <w:rFonts w:eastAsia="仿宋_GB2312"/>
              </w:rPr>
            </w:pPr>
            <w:r>
              <w:rPr>
                <w:rFonts w:eastAsia="仿宋_GB2312"/>
              </w:rPr>
              <w:t>环境保护设施的验收期限一般不超过3个月，需要对环境保护设施进行调试或者整改的，验收期限可以适当延期，但最长不超过12个月。</w:t>
            </w:r>
          </w:p>
          <w:p w14:paraId="48FFECDD">
            <w:pPr>
              <w:adjustRightInd w:val="0"/>
              <w:snapToGrid w:val="0"/>
              <w:spacing w:line="360" w:lineRule="auto"/>
              <w:ind w:firstLine="420" w:firstLineChars="200"/>
              <w:jc w:val="left"/>
              <w:rPr>
                <w:rFonts w:eastAsia="仿宋_GB2312"/>
              </w:rPr>
            </w:pPr>
            <w:r>
              <w:rPr>
                <w:rFonts w:eastAsia="仿宋_GB2312"/>
              </w:rPr>
              <w:t>为便于跟踪本项目营运期污染治理效果，本项目将建议的项目污染治理环保验收项目列于下表。</w:t>
            </w:r>
          </w:p>
          <w:p w14:paraId="1C0F486B">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eastAsia="仿宋_GB2312"/>
                <w:b/>
                <w:bCs/>
                <w:color w:val="000000"/>
                <w:kern w:val="0"/>
                <w:lang w:val="zh-CN"/>
              </w:rPr>
            </w:pPr>
          </w:p>
          <w:p w14:paraId="6CCC40DA">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eastAsia="仿宋_GB2312"/>
                <w:b/>
                <w:bCs/>
                <w:color w:val="000000"/>
                <w:kern w:val="0"/>
                <w:lang w:val="zh-CN"/>
              </w:rPr>
            </w:pPr>
            <w:r>
              <w:rPr>
                <w:rFonts w:eastAsia="仿宋_GB2312"/>
                <w:b/>
                <w:bCs/>
                <w:color w:val="000000"/>
                <w:kern w:val="0"/>
                <w:lang w:val="zh-CN"/>
              </w:rPr>
              <w:t>表</w:t>
            </w:r>
            <w:r>
              <w:rPr>
                <w:rFonts w:eastAsia="仿宋_GB2312"/>
                <w:b/>
                <w:bCs/>
                <w:color w:val="000000"/>
                <w:kern w:val="0"/>
              </w:rPr>
              <w:t>5-2</w:t>
            </w:r>
            <w:r>
              <w:rPr>
                <w:rFonts w:hint="eastAsia" w:eastAsia="仿宋_GB2312"/>
                <w:b/>
                <w:bCs/>
                <w:color w:val="000000"/>
                <w:kern w:val="0"/>
                <w:lang w:val="en-US" w:eastAsia="zh-CN"/>
              </w:rPr>
              <w:t xml:space="preserve">  </w:t>
            </w:r>
            <w:r>
              <w:rPr>
                <w:rFonts w:eastAsia="仿宋_GB2312"/>
                <w:b/>
                <w:bCs/>
                <w:color w:val="000000"/>
                <w:kern w:val="0"/>
                <w:lang w:val="zh-CN"/>
              </w:rPr>
              <w:t>环保“三同时”验收情况一览表</w:t>
            </w:r>
          </w:p>
          <w:tbl>
            <w:tblPr>
              <w:tblStyle w:val="31"/>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60"/>
              <w:gridCol w:w="426"/>
              <w:gridCol w:w="879"/>
              <w:gridCol w:w="1272"/>
              <w:gridCol w:w="1775"/>
              <w:gridCol w:w="1055"/>
              <w:gridCol w:w="645"/>
            </w:tblGrid>
            <w:tr w14:paraId="16A6ED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2" w:type="pct"/>
                  <w:vAlign w:val="center"/>
                </w:tcPr>
                <w:p w14:paraId="3D52496F">
                  <w:pPr>
                    <w:adjustRightInd w:val="0"/>
                    <w:snapToGrid w:val="0"/>
                    <w:jc w:val="center"/>
                    <w:rPr>
                      <w:rFonts w:hint="default" w:ascii="Times New Roman" w:hAnsi="Times New Roman" w:eastAsia="仿宋_GB2312" w:cs="Times New Roman"/>
                      <w:b/>
                      <w:bCs/>
                      <w:sz w:val="21"/>
                      <w:szCs w:val="21"/>
                    </w:rPr>
                  </w:pPr>
                  <w:r>
                    <w:rPr>
                      <w:rFonts w:hint="default" w:ascii="Times New Roman" w:hAnsi="Times New Roman" w:eastAsia="仿宋_GB2312" w:cs="Times New Roman"/>
                      <w:b/>
                      <w:bCs/>
                      <w:sz w:val="21"/>
                      <w:szCs w:val="21"/>
                    </w:rPr>
                    <w:t>项目</w:t>
                  </w:r>
                </w:p>
                <w:p w14:paraId="381B3A2C">
                  <w:pPr>
                    <w:adjustRightInd w:val="0"/>
                    <w:snapToGrid w:val="0"/>
                    <w:jc w:val="center"/>
                    <w:rPr>
                      <w:rFonts w:hint="default" w:ascii="Times New Roman" w:hAnsi="Times New Roman" w:eastAsia="仿宋_GB2312" w:cs="Times New Roman"/>
                      <w:b/>
                      <w:bCs/>
                      <w:sz w:val="21"/>
                      <w:szCs w:val="21"/>
                    </w:rPr>
                  </w:pPr>
                  <w:r>
                    <w:rPr>
                      <w:rFonts w:hint="default" w:ascii="Times New Roman" w:hAnsi="Times New Roman" w:eastAsia="仿宋_GB2312" w:cs="Times New Roman"/>
                      <w:b/>
                      <w:bCs/>
                      <w:sz w:val="21"/>
                      <w:szCs w:val="21"/>
                    </w:rPr>
                    <w:t>名称</w:t>
                  </w:r>
                </w:p>
              </w:tc>
              <w:tc>
                <w:tcPr>
                  <w:tcW w:w="4377" w:type="pct"/>
                  <w:gridSpan w:val="6"/>
                  <w:vAlign w:val="center"/>
                </w:tcPr>
                <w:p w14:paraId="3C135C96">
                  <w:pPr>
                    <w:adjustRightInd w:val="0"/>
                    <w:snapToGrid w:val="0"/>
                    <w:jc w:val="center"/>
                    <w:rPr>
                      <w:rFonts w:hint="default" w:ascii="Times New Roman" w:hAnsi="Times New Roman" w:eastAsia="仿宋_GB2312" w:cs="Times New Roman"/>
                      <w:b/>
                      <w:bCs/>
                      <w:sz w:val="21"/>
                      <w:szCs w:val="21"/>
                    </w:rPr>
                  </w:pPr>
                  <w:r>
                    <w:rPr>
                      <w:rFonts w:hint="default" w:ascii="Times New Roman" w:hAnsi="Times New Roman" w:eastAsia="仿宋_GB2312" w:cs="Times New Roman"/>
                      <w:b/>
                      <w:bCs/>
                      <w:sz w:val="21"/>
                      <w:szCs w:val="21"/>
                    </w:rPr>
                    <w:t>食品工厂改造（一期）项目</w:t>
                  </w:r>
                </w:p>
              </w:tc>
            </w:tr>
            <w:tr w14:paraId="48F682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2" w:type="pct"/>
                  <w:vAlign w:val="center"/>
                </w:tcPr>
                <w:p w14:paraId="5D3FE786">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类别</w:t>
                  </w:r>
                </w:p>
              </w:tc>
              <w:tc>
                <w:tcPr>
                  <w:tcW w:w="944" w:type="pct"/>
                  <w:gridSpan w:val="2"/>
                  <w:vAlign w:val="center"/>
                </w:tcPr>
                <w:p w14:paraId="0E1D6CEB">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污染源</w:t>
                  </w:r>
                </w:p>
              </w:tc>
              <w:tc>
                <w:tcPr>
                  <w:tcW w:w="920" w:type="pct"/>
                  <w:vAlign w:val="center"/>
                </w:tcPr>
                <w:p w14:paraId="19850801">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污染物</w:t>
                  </w:r>
                </w:p>
              </w:tc>
              <w:tc>
                <w:tcPr>
                  <w:tcW w:w="1283" w:type="pct"/>
                  <w:vAlign w:val="center"/>
                </w:tcPr>
                <w:p w14:paraId="5D5718F0">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治理措施</w:t>
                  </w:r>
                </w:p>
              </w:tc>
              <w:tc>
                <w:tcPr>
                  <w:tcW w:w="763" w:type="pct"/>
                  <w:vAlign w:val="center"/>
                </w:tcPr>
                <w:p w14:paraId="193E9238">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拟达到的要求</w:t>
                  </w:r>
                </w:p>
              </w:tc>
              <w:tc>
                <w:tcPr>
                  <w:tcW w:w="466" w:type="pct"/>
                  <w:vAlign w:val="center"/>
                </w:tcPr>
                <w:p w14:paraId="5D4E4AC9">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完成</w:t>
                  </w:r>
                </w:p>
                <w:p w14:paraId="5BED335C">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时间</w:t>
                  </w:r>
                </w:p>
              </w:tc>
            </w:tr>
            <w:tr w14:paraId="2D60EB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2" w:type="pct"/>
                  <w:vMerge w:val="restart"/>
                  <w:vAlign w:val="center"/>
                </w:tcPr>
                <w:p w14:paraId="3858E1BD">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废气</w:t>
                  </w:r>
                </w:p>
              </w:tc>
              <w:tc>
                <w:tcPr>
                  <w:tcW w:w="944" w:type="pct"/>
                  <w:gridSpan w:val="2"/>
                  <w:vMerge w:val="restart"/>
                  <w:vAlign w:val="center"/>
                </w:tcPr>
                <w:p w14:paraId="1E114782">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生产车间</w:t>
                  </w:r>
                </w:p>
              </w:tc>
              <w:tc>
                <w:tcPr>
                  <w:tcW w:w="920" w:type="pct"/>
                  <w:vAlign w:val="center"/>
                </w:tcPr>
                <w:p w14:paraId="5A08E88B">
                  <w:pPr>
                    <w:adjustRightInd w:val="0"/>
                    <w:snapToGrid w:val="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颗粒物</w:t>
                  </w:r>
                </w:p>
              </w:tc>
              <w:tc>
                <w:tcPr>
                  <w:tcW w:w="1283" w:type="pct"/>
                  <w:vAlign w:val="center"/>
                </w:tcPr>
                <w:p w14:paraId="168408C8">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盐雾尾气吸收塔</w:t>
                  </w:r>
                </w:p>
              </w:tc>
              <w:tc>
                <w:tcPr>
                  <w:tcW w:w="763" w:type="pct"/>
                  <w:vMerge w:val="restart"/>
                  <w:vAlign w:val="center"/>
                </w:tcPr>
                <w:p w14:paraId="638158BA">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达标排放</w:t>
                  </w:r>
                </w:p>
              </w:tc>
              <w:tc>
                <w:tcPr>
                  <w:tcW w:w="466" w:type="pct"/>
                  <w:vMerge w:val="restart"/>
                  <w:vAlign w:val="center"/>
                </w:tcPr>
                <w:p w14:paraId="338C131F">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与建设项目主体工程同时设计、同时施工、同时投入使用</w:t>
                  </w:r>
                </w:p>
              </w:tc>
            </w:tr>
            <w:tr w14:paraId="1BFCED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2" w:type="pct"/>
                  <w:vMerge w:val="continue"/>
                  <w:vAlign w:val="center"/>
                </w:tcPr>
                <w:p w14:paraId="394C3824">
                  <w:pPr>
                    <w:adjustRightInd w:val="0"/>
                    <w:snapToGrid w:val="0"/>
                    <w:jc w:val="center"/>
                    <w:rPr>
                      <w:rFonts w:hint="default" w:ascii="Times New Roman" w:hAnsi="Times New Roman" w:eastAsia="仿宋_GB2312" w:cs="Times New Roman"/>
                      <w:sz w:val="21"/>
                      <w:szCs w:val="21"/>
                    </w:rPr>
                  </w:pPr>
                </w:p>
              </w:tc>
              <w:tc>
                <w:tcPr>
                  <w:tcW w:w="944" w:type="pct"/>
                  <w:gridSpan w:val="2"/>
                  <w:vMerge w:val="continue"/>
                  <w:vAlign w:val="center"/>
                </w:tcPr>
                <w:p w14:paraId="25E16732">
                  <w:pPr>
                    <w:adjustRightInd w:val="0"/>
                    <w:snapToGrid w:val="0"/>
                    <w:jc w:val="center"/>
                    <w:rPr>
                      <w:rFonts w:hint="default" w:ascii="Times New Roman" w:hAnsi="Times New Roman" w:eastAsia="仿宋_GB2312" w:cs="Times New Roman"/>
                      <w:sz w:val="21"/>
                      <w:szCs w:val="21"/>
                    </w:rPr>
                  </w:pPr>
                </w:p>
              </w:tc>
              <w:tc>
                <w:tcPr>
                  <w:tcW w:w="920" w:type="pct"/>
                  <w:vAlign w:val="center"/>
                </w:tcPr>
                <w:p w14:paraId="2A9C344D">
                  <w:pPr>
                    <w:adjustRightInd w:val="0"/>
                    <w:snapToGrid w:val="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HCl</w:t>
                  </w:r>
                </w:p>
              </w:tc>
              <w:tc>
                <w:tcPr>
                  <w:tcW w:w="1283" w:type="pct"/>
                  <w:vAlign w:val="center"/>
                </w:tcPr>
                <w:p w14:paraId="68D53A30">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酸雾尾气吸收塔</w:t>
                  </w:r>
                </w:p>
              </w:tc>
              <w:tc>
                <w:tcPr>
                  <w:tcW w:w="763" w:type="pct"/>
                  <w:vMerge w:val="continue"/>
                  <w:vAlign w:val="center"/>
                </w:tcPr>
                <w:p w14:paraId="0792FAC1">
                  <w:pPr>
                    <w:adjustRightInd w:val="0"/>
                    <w:snapToGrid w:val="0"/>
                    <w:jc w:val="center"/>
                    <w:rPr>
                      <w:rFonts w:hint="default" w:ascii="Times New Roman" w:hAnsi="Times New Roman" w:eastAsia="仿宋_GB2312" w:cs="Times New Roman"/>
                      <w:sz w:val="21"/>
                      <w:szCs w:val="21"/>
                    </w:rPr>
                  </w:pPr>
                </w:p>
              </w:tc>
              <w:tc>
                <w:tcPr>
                  <w:tcW w:w="466" w:type="pct"/>
                  <w:vMerge w:val="continue"/>
                  <w:vAlign w:val="center"/>
                </w:tcPr>
                <w:p w14:paraId="44FC5222">
                  <w:pPr>
                    <w:adjustRightInd w:val="0"/>
                    <w:snapToGrid w:val="0"/>
                    <w:jc w:val="center"/>
                    <w:rPr>
                      <w:rFonts w:hint="default" w:ascii="Times New Roman" w:hAnsi="Times New Roman" w:eastAsia="仿宋_GB2312" w:cs="Times New Roman"/>
                      <w:sz w:val="21"/>
                      <w:szCs w:val="21"/>
                    </w:rPr>
                  </w:pPr>
                </w:p>
              </w:tc>
            </w:tr>
            <w:tr w14:paraId="0D8D51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2" w:type="pct"/>
                  <w:vMerge w:val="continue"/>
                  <w:vAlign w:val="center"/>
                </w:tcPr>
                <w:p w14:paraId="3618592C">
                  <w:pPr>
                    <w:adjustRightInd w:val="0"/>
                    <w:snapToGrid w:val="0"/>
                    <w:jc w:val="center"/>
                    <w:rPr>
                      <w:rFonts w:hint="default" w:ascii="Times New Roman" w:hAnsi="Times New Roman" w:eastAsia="仿宋_GB2312" w:cs="Times New Roman"/>
                      <w:sz w:val="21"/>
                      <w:szCs w:val="21"/>
                      <w:highlight w:val="yellow"/>
                    </w:rPr>
                  </w:pPr>
                </w:p>
              </w:tc>
              <w:tc>
                <w:tcPr>
                  <w:tcW w:w="944" w:type="pct"/>
                  <w:gridSpan w:val="2"/>
                  <w:vMerge w:val="continue"/>
                  <w:vAlign w:val="center"/>
                </w:tcPr>
                <w:p w14:paraId="0DBD7FBB">
                  <w:pPr>
                    <w:adjustRightInd w:val="0"/>
                    <w:snapToGrid w:val="0"/>
                    <w:jc w:val="center"/>
                    <w:rPr>
                      <w:rFonts w:hint="default" w:ascii="Times New Roman" w:hAnsi="Times New Roman" w:eastAsia="仿宋_GB2312" w:cs="Times New Roman"/>
                      <w:sz w:val="21"/>
                      <w:szCs w:val="21"/>
                    </w:rPr>
                  </w:pPr>
                </w:p>
              </w:tc>
              <w:tc>
                <w:tcPr>
                  <w:tcW w:w="920" w:type="pct"/>
                  <w:vAlign w:val="center"/>
                </w:tcPr>
                <w:p w14:paraId="2FD03697">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非甲烷总烃</w:t>
                  </w:r>
                </w:p>
              </w:tc>
              <w:tc>
                <w:tcPr>
                  <w:tcW w:w="1283" w:type="pct"/>
                  <w:vAlign w:val="center"/>
                </w:tcPr>
                <w:p w14:paraId="4351A05A">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通风换气</w:t>
                  </w:r>
                </w:p>
              </w:tc>
              <w:tc>
                <w:tcPr>
                  <w:tcW w:w="763" w:type="pct"/>
                  <w:vMerge w:val="continue"/>
                  <w:vAlign w:val="center"/>
                </w:tcPr>
                <w:p w14:paraId="55BA13CB">
                  <w:pPr>
                    <w:adjustRightInd w:val="0"/>
                    <w:snapToGrid w:val="0"/>
                    <w:jc w:val="center"/>
                    <w:rPr>
                      <w:rFonts w:hint="default" w:ascii="Times New Roman" w:hAnsi="Times New Roman" w:eastAsia="仿宋_GB2312" w:cs="Times New Roman"/>
                      <w:sz w:val="21"/>
                      <w:szCs w:val="21"/>
                    </w:rPr>
                  </w:pPr>
                </w:p>
              </w:tc>
              <w:tc>
                <w:tcPr>
                  <w:tcW w:w="466" w:type="pct"/>
                  <w:vMerge w:val="continue"/>
                  <w:vAlign w:val="center"/>
                </w:tcPr>
                <w:p w14:paraId="1E0E021B">
                  <w:pPr>
                    <w:adjustRightInd w:val="0"/>
                    <w:snapToGrid w:val="0"/>
                    <w:jc w:val="center"/>
                    <w:rPr>
                      <w:rFonts w:hint="default" w:ascii="Times New Roman" w:hAnsi="Times New Roman" w:eastAsia="仿宋_GB2312" w:cs="Times New Roman"/>
                      <w:sz w:val="21"/>
                      <w:szCs w:val="21"/>
                    </w:rPr>
                  </w:pPr>
                </w:p>
              </w:tc>
            </w:tr>
            <w:tr w14:paraId="772D2E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622" w:type="pct"/>
                  <w:vMerge w:val="restart"/>
                  <w:vAlign w:val="center"/>
                </w:tcPr>
                <w:p w14:paraId="46ED6989">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地表水</w:t>
                  </w:r>
                </w:p>
              </w:tc>
              <w:tc>
                <w:tcPr>
                  <w:tcW w:w="944" w:type="pct"/>
                  <w:gridSpan w:val="2"/>
                  <w:vAlign w:val="center"/>
                </w:tcPr>
                <w:p w14:paraId="02E9E75F">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平板膜反冲洗废水</w:t>
                  </w:r>
                </w:p>
              </w:tc>
              <w:tc>
                <w:tcPr>
                  <w:tcW w:w="920" w:type="pct"/>
                  <w:vAlign w:val="center"/>
                </w:tcPr>
                <w:p w14:paraId="5410836B">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氯化物、SS等</w:t>
                  </w:r>
                </w:p>
              </w:tc>
              <w:tc>
                <w:tcPr>
                  <w:tcW w:w="1283" w:type="pct"/>
                  <w:vMerge w:val="restart"/>
                  <w:vAlign w:val="center"/>
                </w:tcPr>
                <w:p w14:paraId="2FD0FAB4">
                  <w:pPr>
                    <w:adjustRightInd w:val="0"/>
                    <w:snapToGrid w:val="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w:t>
                  </w:r>
                </w:p>
              </w:tc>
              <w:tc>
                <w:tcPr>
                  <w:tcW w:w="763" w:type="pct"/>
                  <w:vMerge w:val="restart"/>
                  <w:vAlign w:val="center"/>
                </w:tcPr>
                <w:p w14:paraId="4791F7B0">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经含盐废水专用管网打入泛水池后，通过回用管道回用至矿区采卤</w:t>
                  </w:r>
                </w:p>
              </w:tc>
              <w:tc>
                <w:tcPr>
                  <w:tcW w:w="466" w:type="pct"/>
                  <w:vMerge w:val="continue"/>
                  <w:vAlign w:val="center"/>
                </w:tcPr>
                <w:p w14:paraId="391DC339">
                  <w:pPr>
                    <w:adjustRightInd w:val="0"/>
                    <w:snapToGrid w:val="0"/>
                    <w:jc w:val="center"/>
                    <w:rPr>
                      <w:rFonts w:hint="default" w:ascii="Times New Roman" w:hAnsi="Times New Roman" w:eastAsia="仿宋_GB2312" w:cs="Times New Roman"/>
                      <w:sz w:val="21"/>
                      <w:szCs w:val="21"/>
                    </w:rPr>
                  </w:pPr>
                </w:p>
              </w:tc>
            </w:tr>
            <w:tr w14:paraId="2A6E37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622" w:type="pct"/>
                  <w:vMerge w:val="continue"/>
                  <w:vAlign w:val="center"/>
                </w:tcPr>
                <w:p w14:paraId="421302FB">
                  <w:pPr>
                    <w:adjustRightInd w:val="0"/>
                    <w:snapToGrid w:val="0"/>
                    <w:jc w:val="center"/>
                    <w:rPr>
                      <w:rFonts w:hint="default" w:ascii="Times New Roman" w:hAnsi="Times New Roman" w:eastAsia="仿宋_GB2312" w:cs="Times New Roman"/>
                      <w:sz w:val="21"/>
                      <w:szCs w:val="21"/>
                    </w:rPr>
                  </w:pPr>
                </w:p>
              </w:tc>
              <w:tc>
                <w:tcPr>
                  <w:tcW w:w="944" w:type="pct"/>
                  <w:gridSpan w:val="2"/>
                  <w:vAlign w:val="center"/>
                </w:tcPr>
                <w:p w14:paraId="286BFC43">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平板膜化学清洗水洗排水</w:t>
                  </w:r>
                </w:p>
              </w:tc>
              <w:tc>
                <w:tcPr>
                  <w:tcW w:w="920" w:type="pct"/>
                  <w:vAlign w:val="center"/>
                </w:tcPr>
                <w:p w14:paraId="5DEA2737">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氯化物、SS、HCl等</w:t>
                  </w:r>
                </w:p>
              </w:tc>
              <w:tc>
                <w:tcPr>
                  <w:tcW w:w="1283" w:type="pct"/>
                  <w:vMerge w:val="continue"/>
                  <w:vAlign w:val="center"/>
                </w:tcPr>
                <w:p w14:paraId="21ADFA9D">
                  <w:pPr>
                    <w:adjustRightInd w:val="0"/>
                    <w:snapToGrid w:val="0"/>
                    <w:jc w:val="center"/>
                    <w:rPr>
                      <w:rFonts w:hint="default" w:ascii="Times New Roman" w:hAnsi="Times New Roman" w:eastAsia="仿宋_GB2312" w:cs="Times New Roman"/>
                      <w:kern w:val="0"/>
                      <w:sz w:val="21"/>
                      <w:szCs w:val="21"/>
                    </w:rPr>
                  </w:pPr>
                </w:p>
              </w:tc>
              <w:tc>
                <w:tcPr>
                  <w:tcW w:w="763" w:type="pct"/>
                  <w:vMerge w:val="continue"/>
                  <w:vAlign w:val="center"/>
                </w:tcPr>
                <w:p w14:paraId="2A16438C">
                  <w:pPr>
                    <w:adjustRightInd w:val="0"/>
                    <w:snapToGrid w:val="0"/>
                    <w:jc w:val="center"/>
                    <w:rPr>
                      <w:rFonts w:hint="default" w:ascii="Times New Roman" w:hAnsi="Times New Roman" w:eastAsia="仿宋_GB2312" w:cs="Times New Roman"/>
                      <w:sz w:val="21"/>
                      <w:szCs w:val="21"/>
                    </w:rPr>
                  </w:pPr>
                </w:p>
              </w:tc>
              <w:tc>
                <w:tcPr>
                  <w:tcW w:w="466" w:type="pct"/>
                  <w:vMerge w:val="continue"/>
                  <w:vAlign w:val="center"/>
                </w:tcPr>
                <w:p w14:paraId="409CFB02">
                  <w:pPr>
                    <w:adjustRightInd w:val="0"/>
                    <w:snapToGrid w:val="0"/>
                    <w:jc w:val="center"/>
                    <w:rPr>
                      <w:rFonts w:hint="default" w:ascii="Times New Roman" w:hAnsi="Times New Roman" w:eastAsia="仿宋_GB2312" w:cs="Times New Roman"/>
                      <w:sz w:val="21"/>
                      <w:szCs w:val="21"/>
                    </w:rPr>
                  </w:pPr>
                </w:p>
              </w:tc>
            </w:tr>
            <w:tr w14:paraId="43D29A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622" w:type="pct"/>
                  <w:vMerge w:val="continue"/>
                  <w:vAlign w:val="center"/>
                </w:tcPr>
                <w:p w14:paraId="34DCA8D4">
                  <w:pPr>
                    <w:adjustRightInd w:val="0"/>
                    <w:snapToGrid w:val="0"/>
                    <w:jc w:val="center"/>
                    <w:rPr>
                      <w:rFonts w:hint="default" w:ascii="Times New Roman" w:hAnsi="Times New Roman" w:eastAsia="仿宋_GB2312" w:cs="Times New Roman"/>
                      <w:sz w:val="21"/>
                      <w:szCs w:val="21"/>
                    </w:rPr>
                  </w:pPr>
                </w:p>
              </w:tc>
              <w:tc>
                <w:tcPr>
                  <w:tcW w:w="944" w:type="pct"/>
                  <w:gridSpan w:val="2"/>
                  <w:vAlign w:val="center"/>
                </w:tcPr>
                <w:p w14:paraId="39FE29AA">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超滤膜反冲洗废水</w:t>
                  </w:r>
                </w:p>
              </w:tc>
              <w:tc>
                <w:tcPr>
                  <w:tcW w:w="920" w:type="pct"/>
                  <w:vAlign w:val="center"/>
                </w:tcPr>
                <w:p w14:paraId="4EFD6C5C">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氯化物、SS等</w:t>
                  </w:r>
                </w:p>
              </w:tc>
              <w:tc>
                <w:tcPr>
                  <w:tcW w:w="1283" w:type="pct"/>
                  <w:vMerge w:val="continue"/>
                  <w:vAlign w:val="center"/>
                </w:tcPr>
                <w:p w14:paraId="736B56F2">
                  <w:pPr>
                    <w:adjustRightInd w:val="0"/>
                    <w:snapToGrid w:val="0"/>
                    <w:jc w:val="center"/>
                    <w:rPr>
                      <w:rFonts w:hint="default" w:ascii="Times New Roman" w:hAnsi="Times New Roman" w:eastAsia="仿宋_GB2312" w:cs="Times New Roman"/>
                      <w:kern w:val="0"/>
                      <w:sz w:val="21"/>
                      <w:szCs w:val="21"/>
                    </w:rPr>
                  </w:pPr>
                </w:p>
              </w:tc>
              <w:tc>
                <w:tcPr>
                  <w:tcW w:w="763" w:type="pct"/>
                  <w:vMerge w:val="continue"/>
                  <w:vAlign w:val="center"/>
                </w:tcPr>
                <w:p w14:paraId="2286D16A">
                  <w:pPr>
                    <w:adjustRightInd w:val="0"/>
                    <w:snapToGrid w:val="0"/>
                    <w:jc w:val="center"/>
                    <w:rPr>
                      <w:rFonts w:hint="default" w:ascii="Times New Roman" w:hAnsi="Times New Roman" w:eastAsia="仿宋_GB2312" w:cs="Times New Roman"/>
                      <w:sz w:val="21"/>
                      <w:szCs w:val="21"/>
                    </w:rPr>
                  </w:pPr>
                </w:p>
              </w:tc>
              <w:tc>
                <w:tcPr>
                  <w:tcW w:w="466" w:type="pct"/>
                  <w:vMerge w:val="continue"/>
                  <w:vAlign w:val="center"/>
                </w:tcPr>
                <w:p w14:paraId="05905349">
                  <w:pPr>
                    <w:adjustRightInd w:val="0"/>
                    <w:snapToGrid w:val="0"/>
                    <w:jc w:val="center"/>
                    <w:rPr>
                      <w:rFonts w:hint="default" w:ascii="Times New Roman" w:hAnsi="Times New Roman" w:eastAsia="仿宋_GB2312" w:cs="Times New Roman"/>
                      <w:sz w:val="21"/>
                      <w:szCs w:val="21"/>
                    </w:rPr>
                  </w:pPr>
                </w:p>
              </w:tc>
            </w:tr>
            <w:tr w14:paraId="4A2621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622" w:type="pct"/>
                  <w:vMerge w:val="continue"/>
                  <w:vAlign w:val="center"/>
                </w:tcPr>
                <w:p w14:paraId="567F6A99">
                  <w:pPr>
                    <w:adjustRightInd w:val="0"/>
                    <w:snapToGrid w:val="0"/>
                    <w:jc w:val="center"/>
                    <w:rPr>
                      <w:rFonts w:hint="default" w:ascii="Times New Roman" w:hAnsi="Times New Roman" w:eastAsia="仿宋_GB2312" w:cs="Times New Roman"/>
                      <w:sz w:val="21"/>
                      <w:szCs w:val="21"/>
                    </w:rPr>
                  </w:pPr>
                </w:p>
              </w:tc>
              <w:tc>
                <w:tcPr>
                  <w:tcW w:w="944" w:type="pct"/>
                  <w:gridSpan w:val="2"/>
                  <w:vAlign w:val="center"/>
                </w:tcPr>
                <w:p w14:paraId="528F08F7">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超滤膜化学清洗水洗排水</w:t>
                  </w:r>
                </w:p>
              </w:tc>
              <w:tc>
                <w:tcPr>
                  <w:tcW w:w="920" w:type="pct"/>
                  <w:vAlign w:val="center"/>
                </w:tcPr>
                <w:p w14:paraId="4F19B12F">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氯化物、SS、HCl等</w:t>
                  </w:r>
                </w:p>
              </w:tc>
              <w:tc>
                <w:tcPr>
                  <w:tcW w:w="1283" w:type="pct"/>
                  <w:vMerge w:val="continue"/>
                  <w:vAlign w:val="center"/>
                </w:tcPr>
                <w:p w14:paraId="5EEFF67F">
                  <w:pPr>
                    <w:adjustRightInd w:val="0"/>
                    <w:snapToGrid w:val="0"/>
                    <w:jc w:val="center"/>
                    <w:rPr>
                      <w:rFonts w:hint="default" w:ascii="Times New Roman" w:hAnsi="Times New Roman" w:eastAsia="仿宋_GB2312" w:cs="Times New Roman"/>
                      <w:kern w:val="0"/>
                      <w:sz w:val="21"/>
                      <w:szCs w:val="21"/>
                    </w:rPr>
                  </w:pPr>
                </w:p>
              </w:tc>
              <w:tc>
                <w:tcPr>
                  <w:tcW w:w="763" w:type="pct"/>
                  <w:vMerge w:val="continue"/>
                  <w:vAlign w:val="center"/>
                </w:tcPr>
                <w:p w14:paraId="793F41E8">
                  <w:pPr>
                    <w:adjustRightInd w:val="0"/>
                    <w:snapToGrid w:val="0"/>
                    <w:jc w:val="center"/>
                    <w:rPr>
                      <w:rFonts w:hint="default" w:ascii="Times New Roman" w:hAnsi="Times New Roman" w:eastAsia="仿宋_GB2312" w:cs="Times New Roman"/>
                      <w:sz w:val="21"/>
                      <w:szCs w:val="21"/>
                    </w:rPr>
                  </w:pPr>
                </w:p>
              </w:tc>
              <w:tc>
                <w:tcPr>
                  <w:tcW w:w="466" w:type="pct"/>
                  <w:vMerge w:val="continue"/>
                  <w:vAlign w:val="center"/>
                </w:tcPr>
                <w:p w14:paraId="4D08B564">
                  <w:pPr>
                    <w:adjustRightInd w:val="0"/>
                    <w:snapToGrid w:val="0"/>
                    <w:jc w:val="center"/>
                    <w:rPr>
                      <w:rFonts w:hint="default" w:ascii="Times New Roman" w:hAnsi="Times New Roman" w:eastAsia="仿宋_GB2312" w:cs="Times New Roman"/>
                      <w:sz w:val="21"/>
                      <w:szCs w:val="21"/>
                    </w:rPr>
                  </w:pPr>
                </w:p>
              </w:tc>
            </w:tr>
            <w:tr w14:paraId="288469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622" w:type="pct"/>
                  <w:vMerge w:val="continue"/>
                  <w:vAlign w:val="center"/>
                </w:tcPr>
                <w:p w14:paraId="27E90DF9">
                  <w:pPr>
                    <w:adjustRightInd w:val="0"/>
                    <w:snapToGrid w:val="0"/>
                    <w:jc w:val="center"/>
                    <w:rPr>
                      <w:rFonts w:hint="default" w:ascii="Times New Roman" w:hAnsi="Times New Roman" w:eastAsia="仿宋_GB2312" w:cs="Times New Roman"/>
                      <w:sz w:val="21"/>
                      <w:szCs w:val="21"/>
                    </w:rPr>
                  </w:pPr>
                </w:p>
              </w:tc>
              <w:tc>
                <w:tcPr>
                  <w:tcW w:w="944" w:type="pct"/>
                  <w:gridSpan w:val="2"/>
                  <w:vAlign w:val="center"/>
                </w:tcPr>
                <w:p w14:paraId="480BDF08">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膜过滤器化学清洗液定期排污水</w:t>
                  </w:r>
                </w:p>
              </w:tc>
              <w:tc>
                <w:tcPr>
                  <w:tcW w:w="920" w:type="pct"/>
                  <w:vAlign w:val="center"/>
                </w:tcPr>
                <w:p w14:paraId="513B8181">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氯化物、SS、HCl等</w:t>
                  </w:r>
                </w:p>
              </w:tc>
              <w:tc>
                <w:tcPr>
                  <w:tcW w:w="1283" w:type="pct"/>
                  <w:vMerge w:val="continue"/>
                  <w:vAlign w:val="center"/>
                </w:tcPr>
                <w:p w14:paraId="0B377466">
                  <w:pPr>
                    <w:adjustRightInd w:val="0"/>
                    <w:snapToGrid w:val="0"/>
                    <w:jc w:val="center"/>
                    <w:rPr>
                      <w:rFonts w:hint="default" w:ascii="Times New Roman" w:hAnsi="Times New Roman" w:eastAsia="仿宋_GB2312" w:cs="Times New Roman"/>
                      <w:kern w:val="0"/>
                      <w:sz w:val="21"/>
                      <w:szCs w:val="21"/>
                    </w:rPr>
                  </w:pPr>
                </w:p>
              </w:tc>
              <w:tc>
                <w:tcPr>
                  <w:tcW w:w="763" w:type="pct"/>
                  <w:vMerge w:val="continue"/>
                  <w:vAlign w:val="center"/>
                </w:tcPr>
                <w:p w14:paraId="34F2040D">
                  <w:pPr>
                    <w:adjustRightInd w:val="0"/>
                    <w:snapToGrid w:val="0"/>
                    <w:jc w:val="center"/>
                    <w:rPr>
                      <w:rFonts w:hint="default" w:ascii="Times New Roman" w:hAnsi="Times New Roman" w:eastAsia="仿宋_GB2312" w:cs="Times New Roman"/>
                      <w:sz w:val="21"/>
                      <w:szCs w:val="21"/>
                    </w:rPr>
                  </w:pPr>
                </w:p>
              </w:tc>
              <w:tc>
                <w:tcPr>
                  <w:tcW w:w="466" w:type="pct"/>
                  <w:vMerge w:val="continue"/>
                  <w:vAlign w:val="center"/>
                </w:tcPr>
                <w:p w14:paraId="33AAB7AD">
                  <w:pPr>
                    <w:adjustRightInd w:val="0"/>
                    <w:snapToGrid w:val="0"/>
                    <w:jc w:val="center"/>
                    <w:rPr>
                      <w:rFonts w:hint="default" w:ascii="Times New Roman" w:hAnsi="Times New Roman" w:eastAsia="仿宋_GB2312" w:cs="Times New Roman"/>
                      <w:sz w:val="21"/>
                      <w:szCs w:val="21"/>
                    </w:rPr>
                  </w:pPr>
                </w:p>
              </w:tc>
            </w:tr>
            <w:tr w14:paraId="7AE462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622" w:type="pct"/>
                  <w:vMerge w:val="continue"/>
                  <w:vAlign w:val="center"/>
                </w:tcPr>
                <w:p w14:paraId="7611E61C">
                  <w:pPr>
                    <w:adjustRightInd w:val="0"/>
                    <w:snapToGrid w:val="0"/>
                    <w:jc w:val="center"/>
                    <w:rPr>
                      <w:rFonts w:hint="default" w:ascii="Times New Roman" w:hAnsi="Times New Roman" w:eastAsia="仿宋_GB2312" w:cs="Times New Roman"/>
                      <w:sz w:val="21"/>
                      <w:szCs w:val="21"/>
                    </w:rPr>
                  </w:pPr>
                </w:p>
              </w:tc>
              <w:tc>
                <w:tcPr>
                  <w:tcW w:w="944" w:type="pct"/>
                  <w:gridSpan w:val="2"/>
                  <w:vAlign w:val="center"/>
                </w:tcPr>
                <w:p w14:paraId="66E3DD6E">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酸雾尾气吸收塔废水</w:t>
                  </w:r>
                </w:p>
              </w:tc>
              <w:tc>
                <w:tcPr>
                  <w:tcW w:w="920" w:type="pct"/>
                  <w:vAlign w:val="center"/>
                </w:tcPr>
                <w:p w14:paraId="43A3491C">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HCl等</w:t>
                  </w:r>
                </w:p>
              </w:tc>
              <w:tc>
                <w:tcPr>
                  <w:tcW w:w="1283" w:type="pct"/>
                  <w:vMerge w:val="continue"/>
                  <w:vAlign w:val="center"/>
                </w:tcPr>
                <w:p w14:paraId="66DF8DE6">
                  <w:pPr>
                    <w:adjustRightInd w:val="0"/>
                    <w:snapToGrid w:val="0"/>
                    <w:jc w:val="center"/>
                    <w:rPr>
                      <w:rFonts w:hint="default" w:ascii="Times New Roman" w:hAnsi="Times New Roman" w:eastAsia="仿宋_GB2312" w:cs="Times New Roman"/>
                      <w:kern w:val="0"/>
                      <w:sz w:val="21"/>
                      <w:szCs w:val="21"/>
                    </w:rPr>
                  </w:pPr>
                </w:p>
              </w:tc>
              <w:tc>
                <w:tcPr>
                  <w:tcW w:w="763" w:type="pct"/>
                  <w:vMerge w:val="continue"/>
                  <w:vAlign w:val="center"/>
                </w:tcPr>
                <w:p w14:paraId="662B16C8">
                  <w:pPr>
                    <w:adjustRightInd w:val="0"/>
                    <w:snapToGrid w:val="0"/>
                    <w:jc w:val="center"/>
                    <w:rPr>
                      <w:rFonts w:hint="default" w:ascii="Times New Roman" w:hAnsi="Times New Roman" w:eastAsia="仿宋_GB2312" w:cs="Times New Roman"/>
                      <w:sz w:val="21"/>
                      <w:szCs w:val="21"/>
                    </w:rPr>
                  </w:pPr>
                </w:p>
              </w:tc>
              <w:tc>
                <w:tcPr>
                  <w:tcW w:w="466" w:type="pct"/>
                  <w:vMerge w:val="continue"/>
                  <w:vAlign w:val="center"/>
                </w:tcPr>
                <w:p w14:paraId="03DF9767">
                  <w:pPr>
                    <w:adjustRightInd w:val="0"/>
                    <w:snapToGrid w:val="0"/>
                    <w:jc w:val="center"/>
                    <w:rPr>
                      <w:rFonts w:hint="default" w:ascii="Times New Roman" w:hAnsi="Times New Roman" w:eastAsia="仿宋_GB2312" w:cs="Times New Roman"/>
                      <w:sz w:val="21"/>
                      <w:szCs w:val="21"/>
                    </w:rPr>
                  </w:pPr>
                </w:p>
              </w:tc>
            </w:tr>
            <w:tr w14:paraId="6011D2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622" w:type="pct"/>
                  <w:vMerge w:val="continue"/>
                  <w:vAlign w:val="center"/>
                </w:tcPr>
                <w:p w14:paraId="08797030">
                  <w:pPr>
                    <w:adjustRightInd w:val="0"/>
                    <w:snapToGrid w:val="0"/>
                    <w:jc w:val="center"/>
                    <w:rPr>
                      <w:rFonts w:hint="default" w:ascii="Times New Roman" w:hAnsi="Times New Roman" w:eastAsia="仿宋_GB2312" w:cs="Times New Roman"/>
                      <w:sz w:val="21"/>
                      <w:szCs w:val="21"/>
                    </w:rPr>
                  </w:pPr>
                </w:p>
              </w:tc>
              <w:tc>
                <w:tcPr>
                  <w:tcW w:w="944" w:type="pct"/>
                  <w:gridSpan w:val="2"/>
                  <w:vAlign w:val="center"/>
                </w:tcPr>
                <w:p w14:paraId="2B0F88ED">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盐雾尾气吸收塔废水</w:t>
                  </w:r>
                </w:p>
              </w:tc>
              <w:tc>
                <w:tcPr>
                  <w:tcW w:w="920" w:type="pct"/>
                  <w:vAlign w:val="center"/>
                </w:tcPr>
                <w:p w14:paraId="58134FA4">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氯化物、SS等</w:t>
                  </w:r>
                </w:p>
              </w:tc>
              <w:tc>
                <w:tcPr>
                  <w:tcW w:w="1283" w:type="pct"/>
                  <w:vMerge w:val="continue"/>
                  <w:vAlign w:val="center"/>
                </w:tcPr>
                <w:p w14:paraId="03E7C084">
                  <w:pPr>
                    <w:adjustRightInd w:val="0"/>
                    <w:snapToGrid w:val="0"/>
                    <w:jc w:val="center"/>
                    <w:rPr>
                      <w:rFonts w:hint="default" w:ascii="Times New Roman" w:hAnsi="Times New Roman" w:eastAsia="仿宋_GB2312" w:cs="Times New Roman"/>
                      <w:kern w:val="0"/>
                      <w:sz w:val="21"/>
                      <w:szCs w:val="21"/>
                    </w:rPr>
                  </w:pPr>
                </w:p>
              </w:tc>
              <w:tc>
                <w:tcPr>
                  <w:tcW w:w="763" w:type="pct"/>
                  <w:vMerge w:val="continue"/>
                  <w:vAlign w:val="center"/>
                </w:tcPr>
                <w:p w14:paraId="5CDEAAE2">
                  <w:pPr>
                    <w:adjustRightInd w:val="0"/>
                    <w:snapToGrid w:val="0"/>
                    <w:jc w:val="center"/>
                    <w:rPr>
                      <w:rFonts w:hint="default" w:ascii="Times New Roman" w:hAnsi="Times New Roman" w:eastAsia="仿宋_GB2312" w:cs="Times New Roman"/>
                      <w:sz w:val="21"/>
                      <w:szCs w:val="21"/>
                    </w:rPr>
                  </w:pPr>
                </w:p>
              </w:tc>
              <w:tc>
                <w:tcPr>
                  <w:tcW w:w="466" w:type="pct"/>
                  <w:vMerge w:val="continue"/>
                  <w:vAlign w:val="center"/>
                </w:tcPr>
                <w:p w14:paraId="0E0E4960">
                  <w:pPr>
                    <w:adjustRightInd w:val="0"/>
                    <w:snapToGrid w:val="0"/>
                    <w:jc w:val="center"/>
                    <w:rPr>
                      <w:rFonts w:hint="default" w:ascii="Times New Roman" w:hAnsi="Times New Roman" w:eastAsia="仿宋_GB2312" w:cs="Times New Roman"/>
                      <w:sz w:val="21"/>
                      <w:szCs w:val="21"/>
                    </w:rPr>
                  </w:pPr>
                </w:p>
              </w:tc>
            </w:tr>
            <w:tr w14:paraId="79AEE0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622" w:type="pct"/>
                  <w:vMerge w:val="continue"/>
                  <w:vAlign w:val="center"/>
                </w:tcPr>
                <w:p w14:paraId="18F4D9F4">
                  <w:pPr>
                    <w:adjustRightInd w:val="0"/>
                    <w:snapToGrid w:val="0"/>
                    <w:jc w:val="center"/>
                    <w:rPr>
                      <w:rFonts w:hint="default" w:ascii="Times New Roman" w:hAnsi="Times New Roman" w:eastAsia="仿宋_GB2312" w:cs="Times New Roman"/>
                      <w:sz w:val="21"/>
                      <w:szCs w:val="21"/>
                    </w:rPr>
                  </w:pPr>
                </w:p>
              </w:tc>
              <w:tc>
                <w:tcPr>
                  <w:tcW w:w="944" w:type="pct"/>
                  <w:gridSpan w:val="2"/>
                  <w:vAlign w:val="center"/>
                </w:tcPr>
                <w:p w14:paraId="012BB5CA">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密封水</w:t>
                  </w:r>
                </w:p>
              </w:tc>
              <w:tc>
                <w:tcPr>
                  <w:tcW w:w="920" w:type="pct"/>
                  <w:vAlign w:val="center"/>
                </w:tcPr>
                <w:p w14:paraId="2DC1A9CB">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氯化物、SS等</w:t>
                  </w:r>
                </w:p>
              </w:tc>
              <w:tc>
                <w:tcPr>
                  <w:tcW w:w="1283" w:type="pct"/>
                  <w:vMerge w:val="continue"/>
                  <w:vAlign w:val="center"/>
                </w:tcPr>
                <w:p w14:paraId="0054205B">
                  <w:pPr>
                    <w:adjustRightInd w:val="0"/>
                    <w:snapToGrid w:val="0"/>
                    <w:jc w:val="center"/>
                    <w:rPr>
                      <w:rFonts w:hint="default" w:ascii="Times New Roman" w:hAnsi="Times New Roman" w:eastAsia="仿宋_GB2312" w:cs="Times New Roman"/>
                      <w:kern w:val="0"/>
                      <w:sz w:val="21"/>
                      <w:szCs w:val="21"/>
                    </w:rPr>
                  </w:pPr>
                </w:p>
              </w:tc>
              <w:tc>
                <w:tcPr>
                  <w:tcW w:w="763" w:type="pct"/>
                  <w:vMerge w:val="continue"/>
                  <w:vAlign w:val="center"/>
                </w:tcPr>
                <w:p w14:paraId="2C3553F9">
                  <w:pPr>
                    <w:adjustRightInd w:val="0"/>
                    <w:snapToGrid w:val="0"/>
                    <w:jc w:val="center"/>
                    <w:rPr>
                      <w:rFonts w:hint="default" w:ascii="Times New Roman" w:hAnsi="Times New Roman" w:eastAsia="仿宋_GB2312" w:cs="Times New Roman"/>
                      <w:sz w:val="21"/>
                      <w:szCs w:val="21"/>
                    </w:rPr>
                  </w:pPr>
                </w:p>
              </w:tc>
              <w:tc>
                <w:tcPr>
                  <w:tcW w:w="466" w:type="pct"/>
                  <w:vMerge w:val="continue"/>
                  <w:vAlign w:val="center"/>
                </w:tcPr>
                <w:p w14:paraId="1E4505C9">
                  <w:pPr>
                    <w:adjustRightInd w:val="0"/>
                    <w:snapToGrid w:val="0"/>
                    <w:jc w:val="center"/>
                    <w:rPr>
                      <w:rFonts w:hint="default" w:ascii="Times New Roman" w:hAnsi="Times New Roman" w:eastAsia="仿宋_GB2312" w:cs="Times New Roman"/>
                      <w:sz w:val="21"/>
                      <w:szCs w:val="21"/>
                    </w:rPr>
                  </w:pPr>
                </w:p>
              </w:tc>
            </w:tr>
            <w:tr w14:paraId="10C04F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622" w:type="pct"/>
                  <w:vMerge w:val="continue"/>
                  <w:vAlign w:val="center"/>
                </w:tcPr>
                <w:p w14:paraId="51151C3F">
                  <w:pPr>
                    <w:adjustRightInd w:val="0"/>
                    <w:snapToGrid w:val="0"/>
                    <w:jc w:val="center"/>
                    <w:rPr>
                      <w:rFonts w:hint="default" w:ascii="Times New Roman" w:hAnsi="Times New Roman" w:eastAsia="仿宋_GB2312" w:cs="Times New Roman"/>
                      <w:sz w:val="21"/>
                      <w:szCs w:val="21"/>
                    </w:rPr>
                  </w:pPr>
                </w:p>
              </w:tc>
              <w:tc>
                <w:tcPr>
                  <w:tcW w:w="944" w:type="pct"/>
                  <w:gridSpan w:val="2"/>
                  <w:vAlign w:val="center"/>
                </w:tcPr>
                <w:p w14:paraId="284E33D4">
                  <w:pPr>
                    <w:adjustRightInd w:val="0"/>
                    <w:snapToGrid w:val="0"/>
                    <w:jc w:val="center"/>
                    <w:rPr>
                      <w:rFonts w:hint="default" w:ascii="Times New Roman" w:hAnsi="Times New Roman" w:eastAsia="仿宋_GB2312" w:cs="Times New Roman"/>
                      <w:sz w:val="21"/>
                      <w:szCs w:val="21"/>
                      <w:lang w:val="en-US" w:eastAsia="zh-CN"/>
                    </w:rPr>
                  </w:pPr>
                  <w:r>
                    <w:rPr>
                      <w:rFonts w:hint="eastAsia" w:eastAsia="仿宋_GB2312" w:cs="Times New Roman"/>
                      <w:sz w:val="21"/>
                      <w:szCs w:val="21"/>
                      <w:lang w:val="en-US" w:eastAsia="zh-CN"/>
                    </w:rPr>
                    <w:t>初期雨水</w:t>
                  </w:r>
                </w:p>
              </w:tc>
              <w:tc>
                <w:tcPr>
                  <w:tcW w:w="920" w:type="pct"/>
                  <w:vAlign w:val="center"/>
                </w:tcPr>
                <w:p w14:paraId="62209971">
                  <w:pPr>
                    <w:adjustRightInd w:val="0"/>
                    <w:snapToGrid w:val="0"/>
                    <w:jc w:val="center"/>
                    <w:rPr>
                      <w:rFonts w:hint="default" w:ascii="Times New Roman" w:hAnsi="Times New Roman" w:eastAsia="仿宋_GB2312" w:cs="Times New Roman"/>
                      <w:sz w:val="21"/>
                      <w:szCs w:val="21"/>
                      <w:lang w:val="en-US" w:eastAsia="zh-CN"/>
                    </w:rPr>
                  </w:pPr>
                  <w:r>
                    <w:rPr>
                      <w:rFonts w:hint="eastAsia" w:eastAsia="仿宋_GB2312" w:cs="Times New Roman"/>
                      <w:sz w:val="21"/>
                      <w:szCs w:val="21"/>
                      <w:lang w:val="en-US" w:eastAsia="zh-CN"/>
                    </w:rPr>
                    <w:t>COS、</w:t>
                  </w:r>
                  <w:r>
                    <w:rPr>
                      <w:rFonts w:hint="default" w:ascii="Times New Roman" w:hAnsi="Times New Roman" w:eastAsia="仿宋_GB2312" w:cs="Times New Roman"/>
                      <w:sz w:val="21"/>
                      <w:szCs w:val="21"/>
                    </w:rPr>
                    <w:t>SS等</w:t>
                  </w:r>
                </w:p>
              </w:tc>
              <w:tc>
                <w:tcPr>
                  <w:tcW w:w="1283" w:type="pct"/>
                  <w:vMerge w:val="continue"/>
                  <w:vAlign w:val="center"/>
                </w:tcPr>
                <w:p w14:paraId="1795C1BC">
                  <w:pPr>
                    <w:adjustRightInd w:val="0"/>
                    <w:snapToGrid w:val="0"/>
                    <w:jc w:val="center"/>
                    <w:rPr>
                      <w:rFonts w:hint="default" w:ascii="Times New Roman" w:hAnsi="Times New Roman" w:eastAsia="仿宋_GB2312" w:cs="Times New Roman"/>
                      <w:kern w:val="0"/>
                      <w:sz w:val="21"/>
                      <w:szCs w:val="21"/>
                    </w:rPr>
                  </w:pPr>
                </w:p>
              </w:tc>
              <w:tc>
                <w:tcPr>
                  <w:tcW w:w="763" w:type="pct"/>
                  <w:vAlign w:val="center"/>
                </w:tcPr>
                <w:p w14:paraId="590553B6">
                  <w:pPr>
                    <w:adjustRightInd w:val="0"/>
                    <w:snapToGrid w:val="0"/>
                    <w:jc w:val="center"/>
                    <w:rPr>
                      <w:rFonts w:hint="default" w:ascii="Times New Roman" w:hAnsi="Times New Roman" w:eastAsia="仿宋_GB2312" w:cs="Times New Roman"/>
                      <w:sz w:val="21"/>
                      <w:szCs w:val="21"/>
                    </w:rPr>
                  </w:pPr>
                  <w:r>
                    <w:rPr>
                      <w:rFonts w:hint="eastAsia" w:eastAsia="仿宋_GB2312" w:cs="Times New Roman"/>
                      <w:sz w:val="21"/>
                      <w:szCs w:val="21"/>
                      <w:lang w:val="en-US" w:eastAsia="zh-CN"/>
                    </w:rPr>
                    <w:t>暂存于初期雨水池，</w:t>
                  </w:r>
                  <w:r>
                    <w:rPr>
                      <w:rFonts w:hint="default" w:ascii="Times New Roman" w:hAnsi="Times New Roman" w:eastAsia="仿宋_GB2312" w:cs="Times New Roman"/>
                      <w:sz w:val="21"/>
                      <w:szCs w:val="21"/>
                    </w:rPr>
                    <w:t>通过回用管道回用至矿区采卤</w:t>
                  </w:r>
                </w:p>
              </w:tc>
              <w:tc>
                <w:tcPr>
                  <w:tcW w:w="466" w:type="pct"/>
                  <w:vMerge w:val="continue"/>
                  <w:vAlign w:val="center"/>
                </w:tcPr>
                <w:p w14:paraId="232230F9">
                  <w:pPr>
                    <w:adjustRightInd w:val="0"/>
                    <w:snapToGrid w:val="0"/>
                    <w:jc w:val="center"/>
                    <w:rPr>
                      <w:rFonts w:hint="default" w:ascii="Times New Roman" w:hAnsi="Times New Roman" w:eastAsia="仿宋_GB2312" w:cs="Times New Roman"/>
                      <w:sz w:val="21"/>
                      <w:szCs w:val="21"/>
                    </w:rPr>
                  </w:pPr>
                </w:p>
              </w:tc>
            </w:tr>
            <w:tr w14:paraId="262A20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2" w:type="pct"/>
                  <w:vAlign w:val="center"/>
                </w:tcPr>
                <w:p w14:paraId="368927D9">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噪声</w:t>
                  </w:r>
                </w:p>
              </w:tc>
              <w:tc>
                <w:tcPr>
                  <w:tcW w:w="944" w:type="pct"/>
                  <w:gridSpan w:val="2"/>
                  <w:vAlign w:val="center"/>
                </w:tcPr>
                <w:p w14:paraId="74A27B9C">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生产车间</w:t>
                  </w:r>
                </w:p>
              </w:tc>
              <w:tc>
                <w:tcPr>
                  <w:tcW w:w="920" w:type="pct"/>
                  <w:vAlign w:val="center"/>
                </w:tcPr>
                <w:p w14:paraId="6E3431B4">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工业噪声</w:t>
                  </w:r>
                </w:p>
              </w:tc>
              <w:tc>
                <w:tcPr>
                  <w:tcW w:w="1283" w:type="pct"/>
                  <w:vAlign w:val="center"/>
                </w:tcPr>
                <w:p w14:paraId="32205C82">
                  <w:pPr>
                    <w:adjustRightInd w:val="0"/>
                    <w:snapToGrid w:val="0"/>
                    <w:jc w:val="center"/>
                    <w:rPr>
                      <w:rFonts w:hint="default" w:ascii="Times New Roman" w:hAnsi="Times New Roman" w:eastAsia="仿宋_GB2312" w:cs="Times New Roman"/>
                      <w:b/>
                      <w:bCs/>
                      <w:sz w:val="21"/>
                      <w:szCs w:val="21"/>
                    </w:rPr>
                  </w:pPr>
                  <w:r>
                    <w:rPr>
                      <w:rFonts w:hint="default" w:ascii="Times New Roman" w:hAnsi="Times New Roman" w:eastAsia="仿宋_GB2312" w:cs="Times New Roman"/>
                      <w:sz w:val="21"/>
                      <w:szCs w:val="21"/>
                    </w:rPr>
                    <w:t>低噪声设备，合理布局，采取隔声减振消声等措施</w:t>
                  </w:r>
                </w:p>
              </w:tc>
              <w:tc>
                <w:tcPr>
                  <w:tcW w:w="763" w:type="pct"/>
                  <w:vAlign w:val="center"/>
                </w:tcPr>
                <w:p w14:paraId="7176BDBB">
                  <w:pPr>
                    <w:adjustRightInd w:val="0"/>
                    <w:snapToGrid w:val="0"/>
                    <w:jc w:val="center"/>
                    <w:rPr>
                      <w:rFonts w:hint="default" w:ascii="Times New Roman" w:hAnsi="Times New Roman" w:eastAsia="仿宋_GB2312" w:cs="Times New Roman"/>
                      <w:b/>
                      <w:bCs/>
                      <w:sz w:val="21"/>
                      <w:szCs w:val="21"/>
                    </w:rPr>
                  </w:pPr>
                  <w:r>
                    <w:rPr>
                      <w:rFonts w:hint="default" w:ascii="Times New Roman" w:hAnsi="Times New Roman" w:eastAsia="仿宋_GB2312" w:cs="Times New Roman"/>
                      <w:sz w:val="21"/>
                      <w:szCs w:val="21"/>
                    </w:rPr>
                    <w:t>达标排放</w:t>
                  </w:r>
                </w:p>
              </w:tc>
              <w:tc>
                <w:tcPr>
                  <w:tcW w:w="466" w:type="pct"/>
                  <w:vMerge w:val="continue"/>
                  <w:vAlign w:val="center"/>
                </w:tcPr>
                <w:p w14:paraId="11A6743B">
                  <w:pPr>
                    <w:adjustRightInd w:val="0"/>
                    <w:snapToGrid w:val="0"/>
                    <w:jc w:val="center"/>
                    <w:rPr>
                      <w:rFonts w:hint="default" w:ascii="Times New Roman" w:hAnsi="Times New Roman" w:eastAsia="仿宋_GB2312" w:cs="Times New Roman"/>
                      <w:sz w:val="21"/>
                      <w:szCs w:val="21"/>
                    </w:rPr>
                  </w:pPr>
                </w:p>
              </w:tc>
            </w:tr>
            <w:tr w14:paraId="3C6084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2" w:type="pct"/>
                  <w:vMerge w:val="restart"/>
                  <w:vAlign w:val="center"/>
                </w:tcPr>
                <w:p w14:paraId="187E4125">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固废</w:t>
                  </w:r>
                </w:p>
              </w:tc>
              <w:tc>
                <w:tcPr>
                  <w:tcW w:w="308" w:type="pct"/>
                  <w:vMerge w:val="restart"/>
                  <w:vAlign w:val="center"/>
                </w:tcPr>
                <w:p w14:paraId="76CBCBEF">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危险废物</w:t>
                  </w:r>
                </w:p>
              </w:tc>
              <w:tc>
                <w:tcPr>
                  <w:tcW w:w="635" w:type="pct"/>
                  <w:vMerge w:val="restart"/>
                  <w:vAlign w:val="center"/>
                </w:tcPr>
                <w:p w14:paraId="6A939E4E">
                  <w:pPr>
                    <w:adjustRightInd w:val="0"/>
                    <w:snapToGrid w:val="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设备维护</w:t>
                  </w:r>
                </w:p>
              </w:tc>
              <w:tc>
                <w:tcPr>
                  <w:tcW w:w="920" w:type="pct"/>
                  <w:vAlign w:val="center"/>
                </w:tcPr>
                <w:p w14:paraId="461B4CD7">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废机油</w:t>
                  </w:r>
                </w:p>
              </w:tc>
              <w:tc>
                <w:tcPr>
                  <w:tcW w:w="1283" w:type="pct"/>
                  <w:vMerge w:val="restart"/>
                  <w:vAlign w:val="center"/>
                </w:tcPr>
                <w:p w14:paraId="0B0379F1">
                  <w:pPr>
                    <w:pStyle w:val="70"/>
                    <w:snapToGrid w:val="0"/>
                    <w:spacing w:line="240" w:lineRule="auto"/>
                    <w:rPr>
                      <w:rFonts w:hint="default" w:ascii="Times New Roman" w:hAnsi="Times New Roman" w:eastAsia="仿宋_GB2312" w:cs="Times New Roman"/>
                      <w:kern w:val="2"/>
                      <w:sz w:val="21"/>
                      <w:szCs w:val="21"/>
                    </w:rPr>
                  </w:pPr>
                  <w:r>
                    <w:rPr>
                      <w:rFonts w:hint="default" w:ascii="Times New Roman" w:hAnsi="Times New Roman" w:eastAsia="仿宋_GB2312" w:cs="Times New Roman"/>
                      <w:kern w:val="2"/>
                      <w:sz w:val="21"/>
                      <w:szCs w:val="21"/>
                    </w:rPr>
                    <w:t>交由资质单位处理</w:t>
                  </w:r>
                </w:p>
              </w:tc>
              <w:tc>
                <w:tcPr>
                  <w:tcW w:w="763" w:type="pct"/>
                  <w:vMerge w:val="restart"/>
                  <w:vAlign w:val="center"/>
                </w:tcPr>
                <w:p w14:paraId="26A564B2">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均合理处置，不外排</w:t>
                  </w:r>
                </w:p>
              </w:tc>
              <w:tc>
                <w:tcPr>
                  <w:tcW w:w="466" w:type="pct"/>
                  <w:vMerge w:val="continue"/>
                  <w:vAlign w:val="center"/>
                </w:tcPr>
                <w:p w14:paraId="5E39A346">
                  <w:pPr>
                    <w:adjustRightInd w:val="0"/>
                    <w:snapToGrid w:val="0"/>
                    <w:jc w:val="center"/>
                    <w:rPr>
                      <w:rFonts w:hint="default" w:ascii="Times New Roman" w:hAnsi="Times New Roman" w:eastAsia="仿宋_GB2312" w:cs="Times New Roman"/>
                      <w:sz w:val="21"/>
                      <w:szCs w:val="21"/>
                    </w:rPr>
                  </w:pPr>
                </w:p>
              </w:tc>
            </w:tr>
            <w:tr w14:paraId="5CF051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2" w:type="pct"/>
                  <w:vMerge w:val="continue"/>
                  <w:vAlign w:val="center"/>
                </w:tcPr>
                <w:p w14:paraId="7DBBEA0E">
                  <w:pPr>
                    <w:adjustRightInd w:val="0"/>
                    <w:snapToGrid w:val="0"/>
                    <w:jc w:val="center"/>
                    <w:rPr>
                      <w:rFonts w:hint="default" w:ascii="Times New Roman" w:hAnsi="Times New Roman" w:eastAsia="仿宋_GB2312" w:cs="Times New Roman"/>
                      <w:sz w:val="21"/>
                      <w:szCs w:val="21"/>
                    </w:rPr>
                  </w:pPr>
                </w:p>
              </w:tc>
              <w:tc>
                <w:tcPr>
                  <w:tcW w:w="308" w:type="pct"/>
                  <w:vMerge w:val="continue"/>
                  <w:vAlign w:val="center"/>
                </w:tcPr>
                <w:p w14:paraId="5A4B58C7">
                  <w:pPr>
                    <w:adjustRightInd w:val="0"/>
                    <w:snapToGrid w:val="0"/>
                    <w:jc w:val="center"/>
                    <w:rPr>
                      <w:rFonts w:hint="default" w:ascii="Times New Roman" w:hAnsi="Times New Roman" w:eastAsia="仿宋_GB2312" w:cs="Times New Roman"/>
                      <w:sz w:val="21"/>
                      <w:szCs w:val="21"/>
                    </w:rPr>
                  </w:pPr>
                </w:p>
              </w:tc>
              <w:tc>
                <w:tcPr>
                  <w:tcW w:w="635" w:type="pct"/>
                  <w:vMerge w:val="continue"/>
                  <w:vAlign w:val="center"/>
                </w:tcPr>
                <w:p w14:paraId="5A21472F">
                  <w:pPr>
                    <w:adjustRightInd w:val="0"/>
                    <w:snapToGrid w:val="0"/>
                    <w:jc w:val="center"/>
                    <w:rPr>
                      <w:rFonts w:hint="default" w:ascii="Times New Roman" w:hAnsi="Times New Roman" w:eastAsia="仿宋_GB2312" w:cs="Times New Roman"/>
                      <w:kern w:val="0"/>
                      <w:sz w:val="21"/>
                      <w:szCs w:val="21"/>
                    </w:rPr>
                  </w:pPr>
                </w:p>
              </w:tc>
              <w:tc>
                <w:tcPr>
                  <w:tcW w:w="920" w:type="pct"/>
                  <w:vAlign w:val="center"/>
                </w:tcPr>
                <w:p w14:paraId="319F7801">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废油桶</w:t>
                  </w:r>
                </w:p>
              </w:tc>
              <w:tc>
                <w:tcPr>
                  <w:tcW w:w="1283" w:type="pct"/>
                  <w:vMerge w:val="continue"/>
                  <w:vAlign w:val="center"/>
                </w:tcPr>
                <w:p w14:paraId="5FCD465E">
                  <w:pPr>
                    <w:pStyle w:val="70"/>
                    <w:snapToGrid w:val="0"/>
                    <w:spacing w:line="240" w:lineRule="auto"/>
                    <w:rPr>
                      <w:rFonts w:hint="default" w:ascii="Times New Roman" w:hAnsi="Times New Roman" w:eastAsia="仿宋_GB2312" w:cs="Times New Roman"/>
                      <w:kern w:val="2"/>
                      <w:sz w:val="21"/>
                      <w:szCs w:val="21"/>
                    </w:rPr>
                  </w:pPr>
                </w:p>
              </w:tc>
              <w:tc>
                <w:tcPr>
                  <w:tcW w:w="763" w:type="pct"/>
                  <w:vMerge w:val="continue"/>
                  <w:vAlign w:val="center"/>
                </w:tcPr>
                <w:p w14:paraId="0B62BA44">
                  <w:pPr>
                    <w:adjustRightInd w:val="0"/>
                    <w:snapToGrid w:val="0"/>
                    <w:jc w:val="center"/>
                    <w:rPr>
                      <w:rFonts w:hint="default" w:ascii="Times New Roman" w:hAnsi="Times New Roman" w:eastAsia="仿宋_GB2312" w:cs="Times New Roman"/>
                      <w:sz w:val="21"/>
                      <w:szCs w:val="21"/>
                    </w:rPr>
                  </w:pPr>
                </w:p>
              </w:tc>
              <w:tc>
                <w:tcPr>
                  <w:tcW w:w="466" w:type="pct"/>
                  <w:vMerge w:val="continue"/>
                  <w:vAlign w:val="center"/>
                </w:tcPr>
                <w:p w14:paraId="6A7E97AA">
                  <w:pPr>
                    <w:adjustRightInd w:val="0"/>
                    <w:snapToGrid w:val="0"/>
                    <w:jc w:val="center"/>
                    <w:rPr>
                      <w:rFonts w:hint="default" w:ascii="Times New Roman" w:hAnsi="Times New Roman" w:eastAsia="仿宋_GB2312" w:cs="Times New Roman"/>
                      <w:sz w:val="21"/>
                      <w:szCs w:val="21"/>
                    </w:rPr>
                  </w:pPr>
                </w:p>
              </w:tc>
            </w:tr>
            <w:tr w14:paraId="2A3DD0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2" w:type="pct"/>
                  <w:vMerge w:val="continue"/>
                  <w:vAlign w:val="center"/>
                </w:tcPr>
                <w:p w14:paraId="5D170597">
                  <w:pPr>
                    <w:adjustRightInd w:val="0"/>
                    <w:snapToGrid w:val="0"/>
                    <w:jc w:val="center"/>
                    <w:rPr>
                      <w:rFonts w:hint="default" w:ascii="Times New Roman" w:hAnsi="Times New Roman" w:eastAsia="仿宋_GB2312" w:cs="Times New Roman"/>
                      <w:sz w:val="21"/>
                      <w:szCs w:val="21"/>
                    </w:rPr>
                  </w:pPr>
                </w:p>
              </w:tc>
              <w:tc>
                <w:tcPr>
                  <w:tcW w:w="308" w:type="pct"/>
                  <w:vMerge w:val="continue"/>
                  <w:vAlign w:val="center"/>
                </w:tcPr>
                <w:p w14:paraId="42830F74">
                  <w:pPr>
                    <w:adjustRightInd w:val="0"/>
                    <w:snapToGrid w:val="0"/>
                    <w:jc w:val="center"/>
                    <w:rPr>
                      <w:rFonts w:hint="default" w:ascii="Times New Roman" w:hAnsi="Times New Roman" w:eastAsia="仿宋_GB2312" w:cs="Times New Roman"/>
                      <w:sz w:val="21"/>
                      <w:szCs w:val="21"/>
                    </w:rPr>
                  </w:pPr>
                </w:p>
              </w:tc>
              <w:tc>
                <w:tcPr>
                  <w:tcW w:w="635" w:type="pct"/>
                  <w:vMerge w:val="continue"/>
                  <w:vAlign w:val="center"/>
                </w:tcPr>
                <w:p w14:paraId="29B6F5E1">
                  <w:pPr>
                    <w:adjustRightInd w:val="0"/>
                    <w:snapToGrid w:val="0"/>
                    <w:jc w:val="center"/>
                    <w:rPr>
                      <w:rFonts w:hint="default" w:ascii="Times New Roman" w:hAnsi="Times New Roman" w:eastAsia="仿宋_GB2312" w:cs="Times New Roman"/>
                      <w:kern w:val="0"/>
                      <w:sz w:val="21"/>
                      <w:szCs w:val="21"/>
                    </w:rPr>
                  </w:pPr>
                </w:p>
              </w:tc>
              <w:tc>
                <w:tcPr>
                  <w:tcW w:w="920" w:type="pct"/>
                  <w:vAlign w:val="center"/>
                </w:tcPr>
                <w:p w14:paraId="57AEAE40">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废漆桶</w:t>
                  </w:r>
                </w:p>
              </w:tc>
              <w:tc>
                <w:tcPr>
                  <w:tcW w:w="1283" w:type="pct"/>
                  <w:vMerge w:val="continue"/>
                  <w:vAlign w:val="center"/>
                </w:tcPr>
                <w:p w14:paraId="6E3658E9">
                  <w:pPr>
                    <w:pStyle w:val="70"/>
                    <w:snapToGrid w:val="0"/>
                    <w:spacing w:line="240" w:lineRule="auto"/>
                    <w:rPr>
                      <w:rFonts w:hint="default" w:ascii="Times New Roman" w:hAnsi="Times New Roman" w:eastAsia="仿宋_GB2312" w:cs="Times New Roman"/>
                      <w:kern w:val="2"/>
                      <w:sz w:val="21"/>
                      <w:szCs w:val="21"/>
                    </w:rPr>
                  </w:pPr>
                </w:p>
              </w:tc>
              <w:tc>
                <w:tcPr>
                  <w:tcW w:w="763" w:type="pct"/>
                  <w:vMerge w:val="continue"/>
                  <w:vAlign w:val="center"/>
                </w:tcPr>
                <w:p w14:paraId="2CB59E73">
                  <w:pPr>
                    <w:adjustRightInd w:val="0"/>
                    <w:snapToGrid w:val="0"/>
                    <w:jc w:val="center"/>
                    <w:rPr>
                      <w:rFonts w:hint="default" w:ascii="Times New Roman" w:hAnsi="Times New Roman" w:eastAsia="仿宋_GB2312" w:cs="Times New Roman"/>
                      <w:sz w:val="21"/>
                      <w:szCs w:val="21"/>
                    </w:rPr>
                  </w:pPr>
                </w:p>
              </w:tc>
              <w:tc>
                <w:tcPr>
                  <w:tcW w:w="466" w:type="pct"/>
                  <w:vMerge w:val="continue"/>
                  <w:vAlign w:val="center"/>
                </w:tcPr>
                <w:p w14:paraId="3361B97F">
                  <w:pPr>
                    <w:adjustRightInd w:val="0"/>
                    <w:snapToGrid w:val="0"/>
                    <w:jc w:val="center"/>
                    <w:rPr>
                      <w:rFonts w:hint="default" w:ascii="Times New Roman" w:hAnsi="Times New Roman" w:eastAsia="仿宋_GB2312" w:cs="Times New Roman"/>
                      <w:sz w:val="21"/>
                      <w:szCs w:val="21"/>
                    </w:rPr>
                  </w:pPr>
                </w:p>
              </w:tc>
            </w:tr>
            <w:tr w14:paraId="13D44A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2" w:type="pct"/>
                  <w:vMerge w:val="continue"/>
                  <w:vAlign w:val="center"/>
                </w:tcPr>
                <w:p w14:paraId="344D5E3D">
                  <w:pPr>
                    <w:adjustRightInd w:val="0"/>
                    <w:snapToGrid w:val="0"/>
                    <w:jc w:val="center"/>
                    <w:rPr>
                      <w:rFonts w:hint="default" w:ascii="Times New Roman" w:hAnsi="Times New Roman" w:eastAsia="仿宋_GB2312" w:cs="Times New Roman"/>
                      <w:sz w:val="21"/>
                      <w:szCs w:val="21"/>
                    </w:rPr>
                  </w:pPr>
                </w:p>
              </w:tc>
              <w:tc>
                <w:tcPr>
                  <w:tcW w:w="308" w:type="pct"/>
                  <w:vMerge w:val="continue"/>
                  <w:vAlign w:val="center"/>
                </w:tcPr>
                <w:p w14:paraId="026C272D">
                  <w:pPr>
                    <w:adjustRightInd w:val="0"/>
                    <w:snapToGrid w:val="0"/>
                    <w:jc w:val="center"/>
                    <w:rPr>
                      <w:rFonts w:hint="default" w:ascii="Times New Roman" w:hAnsi="Times New Roman" w:eastAsia="仿宋_GB2312" w:cs="Times New Roman"/>
                      <w:sz w:val="21"/>
                      <w:szCs w:val="21"/>
                    </w:rPr>
                  </w:pPr>
                </w:p>
              </w:tc>
              <w:tc>
                <w:tcPr>
                  <w:tcW w:w="635" w:type="pct"/>
                  <w:vMerge w:val="continue"/>
                  <w:vAlign w:val="center"/>
                </w:tcPr>
                <w:p w14:paraId="56107460">
                  <w:pPr>
                    <w:adjustRightInd w:val="0"/>
                    <w:snapToGrid w:val="0"/>
                    <w:jc w:val="center"/>
                    <w:rPr>
                      <w:rFonts w:hint="default" w:ascii="Times New Roman" w:hAnsi="Times New Roman" w:eastAsia="仿宋_GB2312" w:cs="Times New Roman"/>
                      <w:kern w:val="0"/>
                      <w:sz w:val="21"/>
                      <w:szCs w:val="21"/>
                    </w:rPr>
                  </w:pPr>
                </w:p>
              </w:tc>
              <w:tc>
                <w:tcPr>
                  <w:tcW w:w="920" w:type="pct"/>
                  <w:vAlign w:val="center"/>
                </w:tcPr>
                <w:p w14:paraId="3ADF63AB">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废漆刷</w:t>
                  </w:r>
                </w:p>
              </w:tc>
              <w:tc>
                <w:tcPr>
                  <w:tcW w:w="1283" w:type="pct"/>
                  <w:vMerge w:val="continue"/>
                  <w:vAlign w:val="center"/>
                </w:tcPr>
                <w:p w14:paraId="12B82DCD">
                  <w:pPr>
                    <w:pStyle w:val="70"/>
                    <w:snapToGrid w:val="0"/>
                    <w:spacing w:line="240" w:lineRule="auto"/>
                    <w:rPr>
                      <w:rFonts w:hint="default" w:ascii="Times New Roman" w:hAnsi="Times New Roman" w:eastAsia="仿宋_GB2312" w:cs="Times New Roman"/>
                      <w:kern w:val="2"/>
                      <w:sz w:val="21"/>
                      <w:szCs w:val="21"/>
                    </w:rPr>
                  </w:pPr>
                </w:p>
              </w:tc>
              <w:tc>
                <w:tcPr>
                  <w:tcW w:w="763" w:type="pct"/>
                  <w:vMerge w:val="continue"/>
                  <w:vAlign w:val="center"/>
                </w:tcPr>
                <w:p w14:paraId="0C9CAB5C">
                  <w:pPr>
                    <w:adjustRightInd w:val="0"/>
                    <w:snapToGrid w:val="0"/>
                    <w:jc w:val="center"/>
                    <w:rPr>
                      <w:rFonts w:hint="default" w:ascii="Times New Roman" w:hAnsi="Times New Roman" w:eastAsia="仿宋_GB2312" w:cs="Times New Roman"/>
                      <w:sz w:val="21"/>
                      <w:szCs w:val="21"/>
                    </w:rPr>
                  </w:pPr>
                </w:p>
              </w:tc>
              <w:tc>
                <w:tcPr>
                  <w:tcW w:w="466" w:type="pct"/>
                  <w:vMerge w:val="continue"/>
                  <w:vAlign w:val="center"/>
                </w:tcPr>
                <w:p w14:paraId="51BEDC96">
                  <w:pPr>
                    <w:adjustRightInd w:val="0"/>
                    <w:snapToGrid w:val="0"/>
                    <w:jc w:val="center"/>
                    <w:rPr>
                      <w:rFonts w:hint="default" w:ascii="Times New Roman" w:hAnsi="Times New Roman" w:eastAsia="仿宋_GB2312" w:cs="Times New Roman"/>
                      <w:sz w:val="21"/>
                      <w:szCs w:val="21"/>
                    </w:rPr>
                  </w:pPr>
                </w:p>
              </w:tc>
            </w:tr>
            <w:tr w14:paraId="674E84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2" w:type="pct"/>
                  <w:vMerge w:val="continue"/>
                  <w:vAlign w:val="center"/>
                </w:tcPr>
                <w:p w14:paraId="58300DA3">
                  <w:pPr>
                    <w:adjustRightInd w:val="0"/>
                    <w:snapToGrid w:val="0"/>
                    <w:jc w:val="center"/>
                    <w:rPr>
                      <w:rFonts w:hint="default" w:ascii="Times New Roman" w:hAnsi="Times New Roman" w:eastAsia="仿宋_GB2312" w:cs="Times New Roman"/>
                      <w:sz w:val="21"/>
                      <w:szCs w:val="21"/>
                    </w:rPr>
                  </w:pPr>
                </w:p>
              </w:tc>
              <w:tc>
                <w:tcPr>
                  <w:tcW w:w="308" w:type="pct"/>
                  <w:vMerge w:val="continue"/>
                  <w:vAlign w:val="center"/>
                </w:tcPr>
                <w:p w14:paraId="6B910AE3">
                  <w:pPr>
                    <w:adjustRightInd w:val="0"/>
                    <w:snapToGrid w:val="0"/>
                    <w:jc w:val="center"/>
                    <w:rPr>
                      <w:rFonts w:hint="default" w:ascii="Times New Roman" w:hAnsi="Times New Roman" w:eastAsia="仿宋_GB2312" w:cs="Times New Roman"/>
                      <w:sz w:val="21"/>
                      <w:szCs w:val="21"/>
                    </w:rPr>
                  </w:pPr>
                </w:p>
              </w:tc>
              <w:tc>
                <w:tcPr>
                  <w:tcW w:w="635" w:type="pct"/>
                  <w:vAlign w:val="center"/>
                </w:tcPr>
                <w:p w14:paraId="49836790">
                  <w:pPr>
                    <w:adjustRightInd w:val="0"/>
                    <w:snapToGrid w:val="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实验室检测</w:t>
                  </w:r>
                </w:p>
              </w:tc>
              <w:tc>
                <w:tcPr>
                  <w:tcW w:w="920" w:type="pct"/>
                  <w:vAlign w:val="center"/>
                </w:tcPr>
                <w:p w14:paraId="4080F036">
                  <w:pPr>
                    <w:adjustRightInd w:val="0"/>
                    <w:snapToGrid w:val="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实验室废液</w:t>
                  </w:r>
                </w:p>
              </w:tc>
              <w:tc>
                <w:tcPr>
                  <w:tcW w:w="1283" w:type="pct"/>
                  <w:vMerge w:val="continue"/>
                  <w:vAlign w:val="center"/>
                </w:tcPr>
                <w:p w14:paraId="7D0F7452">
                  <w:pPr>
                    <w:pStyle w:val="70"/>
                    <w:snapToGrid w:val="0"/>
                    <w:spacing w:line="240" w:lineRule="auto"/>
                    <w:rPr>
                      <w:rFonts w:hint="default" w:ascii="Times New Roman" w:hAnsi="Times New Roman" w:eastAsia="仿宋_GB2312" w:cs="Times New Roman"/>
                      <w:kern w:val="2"/>
                      <w:sz w:val="21"/>
                      <w:szCs w:val="21"/>
                    </w:rPr>
                  </w:pPr>
                </w:p>
              </w:tc>
              <w:tc>
                <w:tcPr>
                  <w:tcW w:w="763" w:type="pct"/>
                  <w:vMerge w:val="continue"/>
                  <w:vAlign w:val="center"/>
                </w:tcPr>
                <w:p w14:paraId="4EE279D4">
                  <w:pPr>
                    <w:adjustRightInd w:val="0"/>
                    <w:snapToGrid w:val="0"/>
                    <w:jc w:val="center"/>
                    <w:rPr>
                      <w:rFonts w:hint="default" w:ascii="Times New Roman" w:hAnsi="Times New Roman" w:eastAsia="仿宋_GB2312" w:cs="Times New Roman"/>
                      <w:sz w:val="21"/>
                      <w:szCs w:val="21"/>
                    </w:rPr>
                  </w:pPr>
                </w:p>
              </w:tc>
              <w:tc>
                <w:tcPr>
                  <w:tcW w:w="466" w:type="pct"/>
                  <w:vMerge w:val="continue"/>
                  <w:vAlign w:val="center"/>
                </w:tcPr>
                <w:p w14:paraId="0ACA891E">
                  <w:pPr>
                    <w:adjustRightInd w:val="0"/>
                    <w:snapToGrid w:val="0"/>
                    <w:jc w:val="center"/>
                    <w:rPr>
                      <w:rFonts w:hint="default" w:ascii="Times New Roman" w:hAnsi="Times New Roman" w:eastAsia="仿宋_GB2312" w:cs="Times New Roman"/>
                      <w:sz w:val="21"/>
                      <w:szCs w:val="21"/>
                    </w:rPr>
                  </w:pPr>
                </w:p>
              </w:tc>
            </w:tr>
            <w:tr w14:paraId="1C22D9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2" w:type="pct"/>
                  <w:vMerge w:val="continue"/>
                  <w:vAlign w:val="center"/>
                </w:tcPr>
                <w:p w14:paraId="2D6AB286">
                  <w:pPr>
                    <w:adjustRightInd w:val="0"/>
                    <w:snapToGrid w:val="0"/>
                    <w:jc w:val="center"/>
                    <w:rPr>
                      <w:rFonts w:hint="default" w:ascii="Times New Roman" w:hAnsi="Times New Roman" w:eastAsia="仿宋_GB2312" w:cs="Times New Roman"/>
                      <w:sz w:val="21"/>
                      <w:szCs w:val="21"/>
                    </w:rPr>
                  </w:pPr>
                </w:p>
              </w:tc>
              <w:tc>
                <w:tcPr>
                  <w:tcW w:w="308" w:type="pct"/>
                  <w:vMerge w:val="restart"/>
                  <w:vAlign w:val="center"/>
                </w:tcPr>
                <w:p w14:paraId="70575039">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一般工业固废</w:t>
                  </w:r>
                </w:p>
              </w:tc>
              <w:tc>
                <w:tcPr>
                  <w:tcW w:w="635" w:type="pct"/>
                  <w:vAlign w:val="center"/>
                </w:tcPr>
                <w:p w14:paraId="7C3A667B">
                  <w:pPr>
                    <w:adjustRightInd w:val="0"/>
                    <w:snapToGrid w:val="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活性炭塔活性炭更换</w:t>
                  </w:r>
                </w:p>
              </w:tc>
              <w:tc>
                <w:tcPr>
                  <w:tcW w:w="920" w:type="pct"/>
                  <w:vAlign w:val="center"/>
                </w:tcPr>
                <w:p w14:paraId="6A80B32B">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废活性炭</w:t>
                  </w:r>
                </w:p>
              </w:tc>
              <w:tc>
                <w:tcPr>
                  <w:tcW w:w="1283" w:type="pct"/>
                  <w:vAlign w:val="center"/>
                </w:tcPr>
                <w:p w14:paraId="24CF2362">
                  <w:pPr>
                    <w:pStyle w:val="70"/>
                    <w:snapToGrid w:val="0"/>
                    <w:spacing w:line="240" w:lineRule="auto"/>
                    <w:rPr>
                      <w:rFonts w:hint="default" w:ascii="Times New Roman" w:hAnsi="Times New Roman" w:eastAsia="仿宋_GB2312" w:cs="Times New Roman"/>
                      <w:kern w:val="2"/>
                      <w:sz w:val="21"/>
                      <w:szCs w:val="21"/>
                    </w:rPr>
                  </w:pPr>
                  <w:r>
                    <w:rPr>
                      <w:rFonts w:hint="default" w:ascii="Times New Roman" w:hAnsi="Times New Roman" w:eastAsia="仿宋_GB2312" w:cs="Times New Roman"/>
                      <w:kern w:val="2"/>
                      <w:sz w:val="21"/>
                      <w:szCs w:val="21"/>
                    </w:rPr>
                    <w:t>厂家回收</w:t>
                  </w:r>
                </w:p>
              </w:tc>
              <w:tc>
                <w:tcPr>
                  <w:tcW w:w="763" w:type="pct"/>
                  <w:vMerge w:val="continue"/>
                  <w:vAlign w:val="center"/>
                </w:tcPr>
                <w:p w14:paraId="2FDD5BE9">
                  <w:pPr>
                    <w:adjustRightInd w:val="0"/>
                    <w:snapToGrid w:val="0"/>
                    <w:jc w:val="center"/>
                    <w:rPr>
                      <w:rFonts w:hint="default" w:ascii="Times New Roman" w:hAnsi="Times New Roman" w:eastAsia="仿宋_GB2312" w:cs="Times New Roman"/>
                      <w:sz w:val="21"/>
                      <w:szCs w:val="21"/>
                    </w:rPr>
                  </w:pPr>
                </w:p>
              </w:tc>
              <w:tc>
                <w:tcPr>
                  <w:tcW w:w="466" w:type="pct"/>
                  <w:vMerge w:val="continue"/>
                  <w:vAlign w:val="center"/>
                </w:tcPr>
                <w:p w14:paraId="3F93A64A">
                  <w:pPr>
                    <w:adjustRightInd w:val="0"/>
                    <w:snapToGrid w:val="0"/>
                    <w:jc w:val="center"/>
                    <w:rPr>
                      <w:rFonts w:hint="default" w:ascii="Times New Roman" w:hAnsi="Times New Roman" w:eastAsia="仿宋_GB2312" w:cs="Times New Roman"/>
                      <w:sz w:val="21"/>
                      <w:szCs w:val="21"/>
                    </w:rPr>
                  </w:pPr>
                </w:p>
              </w:tc>
            </w:tr>
            <w:tr w14:paraId="2F87A0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2" w:type="pct"/>
                  <w:vMerge w:val="continue"/>
                  <w:vAlign w:val="center"/>
                </w:tcPr>
                <w:p w14:paraId="73DEEC2F">
                  <w:pPr>
                    <w:adjustRightInd w:val="0"/>
                    <w:snapToGrid w:val="0"/>
                    <w:jc w:val="center"/>
                    <w:rPr>
                      <w:rFonts w:hint="default" w:ascii="Times New Roman" w:hAnsi="Times New Roman" w:eastAsia="仿宋_GB2312" w:cs="Times New Roman"/>
                      <w:sz w:val="21"/>
                      <w:szCs w:val="21"/>
                    </w:rPr>
                  </w:pPr>
                </w:p>
              </w:tc>
              <w:tc>
                <w:tcPr>
                  <w:tcW w:w="308" w:type="pct"/>
                  <w:vMerge w:val="continue"/>
                  <w:vAlign w:val="center"/>
                </w:tcPr>
                <w:p w14:paraId="4BD3867E">
                  <w:pPr>
                    <w:adjustRightInd w:val="0"/>
                    <w:snapToGrid w:val="0"/>
                    <w:jc w:val="center"/>
                    <w:rPr>
                      <w:rFonts w:hint="default" w:ascii="Times New Roman" w:hAnsi="Times New Roman" w:eastAsia="仿宋_GB2312" w:cs="Times New Roman"/>
                      <w:sz w:val="21"/>
                      <w:szCs w:val="21"/>
                    </w:rPr>
                  </w:pPr>
                </w:p>
              </w:tc>
              <w:tc>
                <w:tcPr>
                  <w:tcW w:w="635" w:type="pct"/>
                  <w:vAlign w:val="center"/>
                </w:tcPr>
                <w:p w14:paraId="092AADB7">
                  <w:pPr>
                    <w:adjustRightInd w:val="0"/>
                    <w:snapToGrid w:val="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保安过滤器滤芯更换</w:t>
                  </w:r>
                </w:p>
              </w:tc>
              <w:tc>
                <w:tcPr>
                  <w:tcW w:w="920" w:type="pct"/>
                  <w:vAlign w:val="center"/>
                </w:tcPr>
                <w:p w14:paraId="0741EED2">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废保安过滤器滤芯</w:t>
                  </w:r>
                </w:p>
              </w:tc>
              <w:tc>
                <w:tcPr>
                  <w:tcW w:w="1283" w:type="pct"/>
                  <w:vAlign w:val="center"/>
                </w:tcPr>
                <w:p w14:paraId="1818691E">
                  <w:pPr>
                    <w:pStyle w:val="70"/>
                    <w:snapToGrid w:val="0"/>
                    <w:spacing w:line="240" w:lineRule="auto"/>
                    <w:rPr>
                      <w:rFonts w:hint="default" w:ascii="Times New Roman" w:hAnsi="Times New Roman" w:eastAsia="仿宋_GB2312" w:cs="Times New Roman"/>
                      <w:kern w:val="2"/>
                      <w:sz w:val="21"/>
                      <w:szCs w:val="21"/>
                    </w:rPr>
                  </w:pPr>
                  <w:r>
                    <w:rPr>
                      <w:rFonts w:hint="default" w:ascii="Times New Roman" w:hAnsi="Times New Roman" w:eastAsia="仿宋_GB2312" w:cs="Times New Roman"/>
                      <w:kern w:val="2"/>
                      <w:sz w:val="21"/>
                      <w:szCs w:val="21"/>
                    </w:rPr>
                    <w:t>厂家回收</w:t>
                  </w:r>
                </w:p>
              </w:tc>
              <w:tc>
                <w:tcPr>
                  <w:tcW w:w="763" w:type="pct"/>
                  <w:vMerge w:val="continue"/>
                  <w:vAlign w:val="center"/>
                </w:tcPr>
                <w:p w14:paraId="1BEDA392">
                  <w:pPr>
                    <w:adjustRightInd w:val="0"/>
                    <w:snapToGrid w:val="0"/>
                    <w:jc w:val="center"/>
                    <w:rPr>
                      <w:rFonts w:hint="default" w:ascii="Times New Roman" w:hAnsi="Times New Roman" w:eastAsia="仿宋_GB2312" w:cs="Times New Roman"/>
                      <w:sz w:val="21"/>
                      <w:szCs w:val="21"/>
                    </w:rPr>
                  </w:pPr>
                </w:p>
              </w:tc>
              <w:tc>
                <w:tcPr>
                  <w:tcW w:w="466" w:type="pct"/>
                  <w:vMerge w:val="continue"/>
                  <w:vAlign w:val="center"/>
                </w:tcPr>
                <w:p w14:paraId="4C98A597">
                  <w:pPr>
                    <w:adjustRightInd w:val="0"/>
                    <w:snapToGrid w:val="0"/>
                    <w:jc w:val="center"/>
                    <w:rPr>
                      <w:rFonts w:hint="default" w:ascii="Times New Roman" w:hAnsi="Times New Roman" w:eastAsia="仿宋_GB2312" w:cs="Times New Roman"/>
                      <w:sz w:val="21"/>
                      <w:szCs w:val="21"/>
                    </w:rPr>
                  </w:pPr>
                </w:p>
              </w:tc>
            </w:tr>
            <w:tr w14:paraId="52205B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2" w:type="pct"/>
                  <w:vMerge w:val="continue"/>
                  <w:vAlign w:val="center"/>
                </w:tcPr>
                <w:p w14:paraId="635E9722">
                  <w:pPr>
                    <w:adjustRightInd w:val="0"/>
                    <w:snapToGrid w:val="0"/>
                    <w:jc w:val="center"/>
                    <w:rPr>
                      <w:rFonts w:hint="default" w:ascii="Times New Roman" w:hAnsi="Times New Roman" w:eastAsia="仿宋_GB2312" w:cs="Times New Roman"/>
                      <w:sz w:val="21"/>
                      <w:szCs w:val="21"/>
                    </w:rPr>
                  </w:pPr>
                </w:p>
              </w:tc>
              <w:tc>
                <w:tcPr>
                  <w:tcW w:w="308" w:type="pct"/>
                  <w:vMerge w:val="continue"/>
                  <w:vAlign w:val="center"/>
                </w:tcPr>
                <w:p w14:paraId="5C35AF50">
                  <w:pPr>
                    <w:adjustRightInd w:val="0"/>
                    <w:snapToGrid w:val="0"/>
                    <w:jc w:val="center"/>
                    <w:rPr>
                      <w:rFonts w:hint="default" w:ascii="Times New Roman" w:hAnsi="Times New Roman" w:eastAsia="仿宋_GB2312" w:cs="Times New Roman"/>
                      <w:sz w:val="21"/>
                      <w:szCs w:val="21"/>
                    </w:rPr>
                  </w:pPr>
                </w:p>
              </w:tc>
              <w:tc>
                <w:tcPr>
                  <w:tcW w:w="635" w:type="pct"/>
                  <w:vAlign w:val="center"/>
                </w:tcPr>
                <w:p w14:paraId="659D4CFF">
                  <w:pPr>
                    <w:adjustRightInd w:val="0"/>
                    <w:snapToGrid w:val="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粗过滤器滤芯更换</w:t>
                  </w:r>
                </w:p>
              </w:tc>
              <w:tc>
                <w:tcPr>
                  <w:tcW w:w="920" w:type="pct"/>
                  <w:vAlign w:val="center"/>
                </w:tcPr>
                <w:p w14:paraId="00748DDF">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废粗过滤器滤芯</w:t>
                  </w:r>
                </w:p>
              </w:tc>
              <w:tc>
                <w:tcPr>
                  <w:tcW w:w="1283" w:type="pct"/>
                  <w:vAlign w:val="center"/>
                </w:tcPr>
                <w:p w14:paraId="556BE4A9">
                  <w:pPr>
                    <w:pStyle w:val="70"/>
                    <w:snapToGrid w:val="0"/>
                    <w:spacing w:line="240" w:lineRule="auto"/>
                    <w:rPr>
                      <w:rFonts w:hint="default" w:ascii="Times New Roman" w:hAnsi="Times New Roman" w:eastAsia="仿宋_GB2312" w:cs="Times New Roman"/>
                      <w:kern w:val="2"/>
                      <w:sz w:val="21"/>
                      <w:szCs w:val="21"/>
                    </w:rPr>
                  </w:pPr>
                  <w:r>
                    <w:rPr>
                      <w:rFonts w:hint="default" w:ascii="Times New Roman" w:hAnsi="Times New Roman" w:eastAsia="仿宋_GB2312" w:cs="Times New Roman"/>
                      <w:kern w:val="2"/>
                      <w:sz w:val="21"/>
                      <w:szCs w:val="21"/>
                    </w:rPr>
                    <w:t>厂家回收</w:t>
                  </w:r>
                </w:p>
              </w:tc>
              <w:tc>
                <w:tcPr>
                  <w:tcW w:w="763" w:type="pct"/>
                  <w:vMerge w:val="continue"/>
                  <w:vAlign w:val="center"/>
                </w:tcPr>
                <w:p w14:paraId="03419FC8">
                  <w:pPr>
                    <w:adjustRightInd w:val="0"/>
                    <w:snapToGrid w:val="0"/>
                    <w:jc w:val="center"/>
                    <w:rPr>
                      <w:rFonts w:hint="default" w:ascii="Times New Roman" w:hAnsi="Times New Roman" w:eastAsia="仿宋_GB2312" w:cs="Times New Roman"/>
                      <w:sz w:val="21"/>
                      <w:szCs w:val="21"/>
                    </w:rPr>
                  </w:pPr>
                </w:p>
              </w:tc>
              <w:tc>
                <w:tcPr>
                  <w:tcW w:w="466" w:type="pct"/>
                  <w:vMerge w:val="continue"/>
                  <w:vAlign w:val="center"/>
                </w:tcPr>
                <w:p w14:paraId="2CA01490">
                  <w:pPr>
                    <w:adjustRightInd w:val="0"/>
                    <w:snapToGrid w:val="0"/>
                    <w:jc w:val="center"/>
                    <w:rPr>
                      <w:rFonts w:hint="default" w:ascii="Times New Roman" w:hAnsi="Times New Roman" w:eastAsia="仿宋_GB2312" w:cs="Times New Roman"/>
                      <w:sz w:val="21"/>
                      <w:szCs w:val="21"/>
                    </w:rPr>
                  </w:pPr>
                </w:p>
              </w:tc>
            </w:tr>
            <w:tr w14:paraId="48E7AF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2" w:type="pct"/>
                  <w:vMerge w:val="continue"/>
                  <w:vAlign w:val="center"/>
                </w:tcPr>
                <w:p w14:paraId="744AE2EE">
                  <w:pPr>
                    <w:adjustRightInd w:val="0"/>
                    <w:snapToGrid w:val="0"/>
                    <w:jc w:val="center"/>
                    <w:rPr>
                      <w:rFonts w:hint="default" w:ascii="Times New Roman" w:hAnsi="Times New Roman" w:eastAsia="仿宋_GB2312" w:cs="Times New Roman"/>
                      <w:sz w:val="21"/>
                      <w:szCs w:val="21"/>
                    </w:rPr>
                  </w:pPr>
                </w:p>
              </w:tc>
              <w:tc>
                <w:tcPr>
                  <w:tcW w:w="308" w:type="pct"/>
                  <w:vMerge w:val="continue"/>
                  <w:vAlign w:val="center"/>
                </w:tcPr>
                <w:p w14:paraId="09F87129">
                  <w:pPr>
                    <w:adjustRightInd w:val="0"/>
                    <w:snapToGrid w:val="0"/>
                    <w:jc w:val="center"/>
                    <w:rPr>
                      <w:rFonts w:hint="default" w:ascii="Times New Roman" w:hAnsi="Times New Roman" w:eastAsia="仿宋_GB2312" w:cs="Times New Roman"/>
                      <w:sz w:val="21"/>
                      <w:szCs w:val="21"/>
                    </w:rPr>
                  </w:pPr>
                </w:p>
              </w:tc>
              <w:tc>
                <w:tcPr>
                  <w:tcW w:w="635" w:type="pct"/>
                  <w:vAlign w:val="center"/>
                </w:tcPr>
                <w:p w14:paraId="46D5E635">
                  <w:pPr>
                    <w:adjustRightInd w:val="0"/>
                    <w:snapToGrid w:val="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平板膜过滤</w:t>
                  </w:r>
                </w:p>
              </w:tc>
              <w:tc>
                <w:tcPr>
                  <w:tcW w:w="920" w:type="pct"/>
                  <w:vAlign w:val="center"/>
                </w:tcPr>
                <w:p w14:paraId="2AB8718E">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盐泥</w:t>
                  </w:r>
                </w:p>
              </w:tc>
              <w:tc>
                <w:tcPr>
                  <w:tcW w:w="1283" w:type="pct"/>
                  <w:vAlign w:val="center"/>
                </w:tcPr>
                <w:p w14:paraId="0B0F8890">
                  <w:pPr>
                    <w:pStyle w:val="70"/>
                    <w:snapToGrid w:val="0"/>
                    <w:spacing w:line="240" w:lineRule="auto"/>
                    <w:rPr>
                      <w:rFonts w:hint="default" w:ascii="Times New Roman" w:hAnsi="Times New Roman" w:eastAsia="仿宋_GB2312" w:cs="Times New Roman"/>
                      <w:kern w:val="2"/>
                      <w:sz w:val="21"/>
                      <w:szCs w:val="21"/>
                      <w:lang w:val="en-US" w:eastAsia="zh-CN"/>
                    </w:rPr>
                  </w:pPr>
                  <w:r>
                    <w:rPr>
                      <w:rFonts w:hint="eastAsia" w:eastAsia="仿宋_GB2312" w:cs="Times New Roman"/>
                      <w:kern w:val="2"/>
                      <w:sz w:val="21"/>
                      <w:szCs w:val="21"/>
                      <w:lang w:val="en-US" w:eastAsia="zh-CN"/>
                    </w:rPr>
                    <w:t>回用于生产</w:t>
                  </w:r>
                </w:p>
              </w:tc>
              <w:tc>
                <w:tcPr>
                  <w:tcW w:w="763" w:type="pct"/>
                  <w:vMerge w:val="continue"/>
                  <w:vAlign w:val="center"/>
                </w:tcPr>
                <w:p w14:paraId="0CA7DEDD">
                  <w:pPr>
                    <w:adjustRightInd w:val="0"/>
                    <w:snapToGrid w:val="0"/>
                    <w:jc w:val="center"/>
                    <w:rPr>
                      <w:rFonts w:hint="default" w:ascii="Times New Roman" w:hAnsi="Times New Roman" w:eastAsia="仿宋_GB2312" w:cs="Times New Roman"/>
                      <w:sz w:val="21"/>
                      <w:szCs w:val="21"/>
                    </w:rPr>
                  </w:pPr>
                </w:p>
              </w:tc>
              <w:tc>
                <w:tcPr>
                  <w:tcW w:w="466" w:type="pct"/>
                  <w:vMerge w:val="continue"/>
                  <w:vAlign w:val="center"/>
                </w:tcPr>
                <w:p w14:paraId="60DFF328">
                  <w:pPr>
                    <w:adjustRightInd w:val="0"/>
                    <w:snapToGrid w:val="0"/>
                    <w:jc w:val="center"/>
                    <w:rPr>
                      <w:rFonts w:hint="default" w:ascii="Times New Roman" w:hAnsi="Times New Roman" w:eastAsia="仿宋_GB2312" w:cs="Times New Roman"/>
                      <w:sz w:val="21"/>
                      <w:szCs w:val="21"/>
                    </w:rPr>
                  </w:pPr>
                </w:p>
              </w:tc>
            </w:tr>
            <w:tr w14:paraId="6EF5B6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2" w:type="pct"/>
                  <w:vAlign w:val="center"/>
                </w:tcPr>
                <w:p w14:paraId="3D405D6F">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地下水</w:t>
                  </w:r>
                </w:p>
              </w:tc>
              <w:tc>
                <w:tcPr>
                  <w:tcW w:w="3148" w:type="pct"/>
                  <w:gridSpan w:val="4"/>
                  <w:vAlign w:val="center"/>
                </w:tcPr>
                <w:p w14:paraId="6CCA6A9D">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做好生产区、固废堆场、危废仓库、事故池等处的防渗措施。</w:t>
                  </w:r>
                </w:p>
              </w:tc>
              <w:tc>
                <w:tcPr>
                  <w:tcW w:w="763" w:type="pct"/>
                  <w:vAlign w:val="center"/>
                </w:tcPr>
                <w:p w14:paraId="7AA27180">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w:t>
                  </w:r>
                </w:p>
              </w:tc>
              <w:tc>
                <w:tcPr>
                  <w:tcW w:w="466" w:type="pct"/>
                  <w:vMerge w:val="continue"/>
                  <w:vAlign w:val="center"/>
                </w:tcPr>
                <w:p w14:paraId="76825798">
                  <w:pPr>
                    <w:tabs>
                      <w:tab w:val="left" w:pos="3400"/>
                    </w:tabs>
                    <w:adjustRightInd w:val="0"/>
                    <w:snapToGrid w:val="0"/>
                    <w:ind w:firstLine="403"/>
                    <w:jc w:val="center"/>
                    <w:rPr>
                      <w:rFonts w:hint="default" w:ascii="Times New Roman" w:hAnsi="Times New Roman" w:eastAsia="仿宋_GB2312" w:cs="Times New Roman"/>
                      <w:sz w:val="21"/>
                      <w:szCs w:val="21"/>
                    </w:rPr>
                  </w:pPr>
                </w:p>
              </w:tc>
            </w:tr>
            <w:tr w14:paraId="342D21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2" w:type="pct"/>
                  <w:vAlign w:val="center"/>
                </w:tcPr>
                <w:p w14:paraId="551C4651">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环境风险</w:t>
                  </w:r>
                </w:p>
              </w:tc>
              <w:tc>
                <w:tcPr>
                  <w:tcW w:w="3148" w:type="pct"/>
                  <w:gridSpan w:val="4"/>
                  <w:vAlign w:val="center"/>
                </w:tcPr>
                <w:p w14:paraId="29A0C378">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消防器材和设备</w:t>
                  </w:r>
                </w:p>
              </w:tc>
              <w:tc>
                <w:tcPr>
                  <w:tcW w:w="763" w:type="pct"/>
                  <w:vAlign w:val="center"/>
                </w:tcPr>
                <w:p w14:paraId="47B4763B">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降低环境风险</w:t>
                  </w:r>
                </w:p>
              </w:tc>
              <w:tc>
                <w:tcPr>
                  <w:tcW w:w="466" w:type="pct"/>
                  <w:vMerge w:val="continue"/>
                  <w:vAlign w:val="center"/>
                </w:tcPr>
                <w:p w14:paraId="0F3D30B6">
                  <w:pPr>
                    <w:tabs>
                      <w:tab w:val="left" w:pos="3400"/>
                    </w:tabs>
                    <w:adjustRightInd w:val="0"/>
                    <w:snapToGrid w:val="0"/>
                    <w:ind w:firstLine="403"/>
                    <w:jc w:val="center"/>
                    <w:rPr>
                      <w:rFonts w:hint="default" w:ascii="Times New Roman" w:hAnsi="Times New Roman" w:eastAsia="仿宋_GB2312" w:cs="Times New Roman"/>
                      <w:sz w:val="21"/>
                      <w:szCs w:val="21"/>
                    </w:rPr>
                  </w:pPr>
                </w:p>
              </w:tc>
            </w:tr>
            <w:tr w14:paraId="644B70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2" w:type="pct"/>
                  <w:vAlign w:val="center"/>
                </w:tcPr>
                <w:p w14:paraId="571F17DC">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生态影响减缓措施</w:t>
                  </w:r>
                </w:p>
              </w:tc>
              <w:tc>
                <w:tcPr>
                  <w:tcW w:w="3148" w:type="pct"/>
                  <w:gridSpan w:val="4"/>
                  <w:vAlign w:val="center"/>
                </w:tcPr>
                <w:p w14:paraId="49AA08B1">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w:t>
                  </w:r>
                </w:p>
              </w:tc>
              <w:tc>
                <w:tcPr>
                  <w:tcW w:w="763" w:type="pct"/>
                  <w:vAlign w:val="center"/>
                </w:tcPr>
                <w:p w14:paraId="48D9AB62">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w:t>
                  </w:r>
                </w:p>
              </w:tc>
              <w:tc>
                <w:tcPr>
                  <w:tcW w:w="466" w:type="pct"/>
                  <w:vMerge w:val="continue"/>
                  <w:vAlign w:val="center"/>
                </w:tcPr>
                <w:p w14:paraId="418731DA">
                  <w:pPr>
                    <w:tabs>
                      <w:tab w:val="left" w:pos="3400"/>
                    </w:tabs>
                    <w:adjustRightInd w:val="0"/>
                    <w:snapToGrid w:val="0"/>
                    <w:ind w:firstLine="403"/>
                    <w:jc w:val="center"/>
                    <w:rPr>
                      <w:rFonts w:hint="default" w:ascii="Times New Roman" w:hAnsi="Times New Roman" w:eastAsia="仿宋_GB2312" w:cs="Times New Roman"/>
                      <w:sz w:val="21"/>
                      <w:szCs w:val="21"/>
                    </w:rPr>
                  </w:pPr>
                </w:p>
              </w:tc>
            </w:tr>
            <w:tr w14:paraId="159163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2" w:type="pct"/>
                  <w:vAlign w:val="center"/>
                </w:tcPr>
                <w:p w14:paraId="71E7C476">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绿化</w:t>
                  </w:r>
                </w:p>
                <w:p w14:paraId="74B4C9DA">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环境管理（机构、监测能力等）</w:t>
                  </w:r>
                </w:p>
              </w:tc>
              <w:tc>
                <w:tcPr>
                  <w:tcW w:w="3148" w:type="pct"/>
                  <w:gridSpan w:val="4"/>
                  <w:vAlign w:val="center"/>
                </w:tcPr>
                <w:p w14:paraId="7C59FD63">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利用现有</w:t>
                  </w:r>
                </w:p>
              </w:tc>
              <w:tc>
                <w:tcPr>
                  <w:tcW w:w="763" w:type="pct"/>
                  <w:vAlign w:val="center"/>
                </w:tcPr>
                <w:p w14:paraId="5E1C30CE">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美化环境，降尘降噪</w:t>
                  </w:r>
                </w:p>
              </w:tc>
              <w:tc>
                <w:tcPr>
                  <w:tcW w:w="466" w:type="pct"/>
                  <w:vMerge w:val="continue"/>
                  <w:vAlign w:val="center"/>
                </w:tcPr>
                <w:p w14:paraId="5F78044C">
                  <w:pPr>
                    <w:tabs>
                      <w:tab w:val="left" w:pos="3400"/>
                    </w:tabs>
                    <w:adjustRightInd w:val="0"/>
                    <w:snapToGrid w:val="0"/>
                    <w:ind w:firstLine="403"/>
                    <w:jc w:val="center"/>
                    <w:rPr>
                      <w:rFonts w:hint="default" w:ascii="Times New Roman" w:hAnsi="Times New Roman" w:eastAsia="仿宋_GB2312" w:cs="Times New Roman"/>
                      <w:sz w:val="21"/>
                      <w:szCs w:val="21"/>
                    </w:rPr>
                  </w:pPr>
                </w:p>
              </w:tc>
            </w:tr>
            <w:tr w14:paraId="3FDFA6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2" w:type="pct"/>
                  <w:vAlign w:val="center"/>
                </w:tcPr>
                <w:p w14:paraId="6774B185">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清污分流、排污口规范化设置</w:t>
                  </w:r>
                </w:p>
              </w:tc>
              <w:tc>
                <w:tcPr>
                  <w:tcW w:w="3148" w:type="pct"/>
                  <w:gridSpan w:val="4"/>
                  <w:vAlign w:val="center"/>
                </w:tcPr>
                <w:p w14:paraId="49FDFC4D">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醒目处树立环保图形标志牌；利用现有排污口</w:t>
                  </w:r>
                </w:p>
              </w:tc>
              <w:tc>
                <w:tcPr>
                  <w:tcW w:w="763" w:type="pct"/>
                  <w:vAlign w:val="center"/>
                </w:tcPr>
                <w:p w14:paraId="0C2FC4CC">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满足《江苏省排污设置及规范化整治管理办法》要求</w:t>
                  </w:r>
                </w:p>
              </w:tc>
              <w:tc>
                <w:tcPr>
                  <w:tcW w:w="466" w:type="pct"/>
                  <w:vMerge w:val="continue"/>
                  <w:vAlign w:val="center"/>
                </w:tcPr>
                <w:p w14:paraId="3F5744F4">
                  <w:pPr>
                    <w:tabs>
                      <w:tab w:val="left" w:pos="3400"/>
                    </w:tabs>
                    <w:adjustRightInd w:val="0"/>
                    <w:snapToGrid w:val="0"/>
                    <w:ind w:firstLine="403"/>
                    <w:jc w:val="center"/>
                    <w:rPr>
                      <w:rFonts w:hint="default" w:ascii="Times New Roman" w:hAnsi="Times New Roman" w:eastAsia="仿宋_GB2312" w:cs="Times New Roman"/>
                      <w:sz w:val="21"/>
                      <w:szCs w:val="21"/>
                    </w:rPr>
                  </w:pPr>
                </w:p>
              </w:tc>
            </w:tr>
            <w:tr w14:paraId="2BFA88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2" w:type="pct"/>
                  <w:vAlign w:val="center"/>
                </w:tcPr>
                <w:p w14:paraId="65B0AE92">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“以新带老”措施</w:t>
                  </w:r>
                </w:p>
              </w:tc>
              <w:tc>
                <w:tcPr>
                  <w:tcW w:w="3148" w:type="pct"/>
                  <w:gridSpan w:val="4"/>
                  <w:vAlign w:val="center"/>
                </w:tcPr>
                <w:p w14:paraId="584F8E35">
                  <w:pPr>
                    <w:pStyle w:val="12"/>
                    <w:widowControl w:val="0"/>
                    <w:adjustRightInd w:val="0"/>
                    <w:spacing w:before="0" w:after="0" w:line="240" w:lineRule="auto"/>
                    <w:ind w:right="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w:t>
                  </w:r>
                </w:p>
              </w:tc>
              <w:tc>
                <w:tcPr>
                  <w:tcW w:w="763" w:type="pct"/>
                  <w:vAlign w:val="center"/>
                </w:tcPr>
                <w:p w14:paraId="78995828">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w:t>
                  </w:r>
                </w:p>
              </w:tc>
              <w:tc>
                <w:tcPr>
                  <w:tcW w:w="466" w:type="pct"/>
                  <w:vMerge w:val="continue"/>
                  <w:vAlign w:val="center"/>
                </w:tcPr>
                <w:p w14:paraId="5641B075">
                  <w:pPr>
                    <w:tabs>
                      <w:tab w:val="left" w:pos="3400"/>
                    </w:tabs>
                    <w:adjustRightInd w:val="0"/>
                    <w:snapToGrid w:val="0"/>
                    <w:ind w:firstLine="403"/>
                    <w:jc w:val="center"/>
                    <w:rPr>
                      <w:rFonts w:hint="default" w:ascii="Times New Roman" w:hAnsi="Times New Roman" w:eastAsia="仿宋_GB2312" w:cs="Times New Roman"/>
                      <w:sz w:val="21"/>
                      <w:szCs w:val="21"/>
                    </w:rPr>
                  </w:pPr>
                </w:p>
              </w:tc>
            </w:tr>
            <w:tr w14:paraId="49EFC1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2" w:type="pct"/>
                  <w:vAlign w:val="center"/>
                </w:tcPr>
                <w:p w14:paraId="5D29891E">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区域解决问题</w:t>
                  </w:r>
                </w:p>
              </w:tc>
              <w:tc>
                <w:tcPr>
                  <w:tcW w:w="3148" w:type="pct"/>
                  <w:gridSpan w:val="4"/>
                  <w:vAlign w:val="center"/>
                </w:tcPr>
                <w:p w14:paraId="519FBEB7">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w:t>
                  </w:r>
                </w:p>
              </w:tc>
              <w:tc>
                <w:tcPr>
                  <w:tcW w:w="763" w:type="pct"/>
                  <w:vAlign w:val="center"/>
                </w:tcPr>
                <w:p w14:paraId="729F93FB">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w:t>
                  </w:r>
                </w:p>
              </w:tc>
              <w:tc>
                <w:tcPr>
                  <w:tcW w:w="466" w:type="pct"/>
                  <w:vMerge w:val="continue"/>
                  <w:vAlign w:val="center"/>
                </w:tcPr>
                <w:p w14:paraId="1DA6C795">
                  <w:pPr>
                    <w:tabs>
                      <w:tab w:val="left" w:pos="3400"/>
                    </w:tabs>
                    <w:adjustRightInd w:val="0"/>
                    <w:snapToGrid w:val="0"/>
                    <w:ind w:firstLine="403"/>
                    <w:jc w:val="center"/>
                    <w:rPr>
                      <w:rFonts w:hint="default" w:ascii="Times New Roman" w:hAnsi="Times New Roman" w:eastAsia="仿宋_GB2312" w:cs="Times New Roman"/>
                      <w:sz w:val="21"/>
                      <w:szCs w:val="21"/>
                    </w:rPr>
                  </w:pPr>
                </w:p>
              </w:tc>
            </w:tr>
            <w:tr w14:paraId="2B4D1F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2" w:type="pct"/>
                  <w:vAlign w:val="center"/>
                </w:tcPr>
                <w:p w14:paraId="2631F10F">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环境（卫生）防护距离设置</w:t>
                  </w:r>
                </w:p>
              </w:tc>
              <w:tc>
                <w:tcPr>
                  <w:tcW w:w="3148" w:type="pct"/>
                  <w:gridSpan w:val="4"/>
                  <w:vAlign w:val="center"/>
                </w:tcPr>
                <w:p w14:paraId="29F80A96">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本项目以生产车间设置50m卫生防护距离。</w:t>
                  </w:r>
                </w:p>
              </w:tc>
              <w:tc>
                <w:tcPr>
                  <w:tcW w:w="763" w:type="pct"/>
                  <w:vAlign w:val="center"/>
                </w:tcPr>
                <w:p w14:paraId="43AB0FD4">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w:t>
                  </w:r>
                </w:p>
              </w:tc>
              <w:tc>
                <w:tcPr>
                  <w:tcW w:w="466" w:type="pct"/>
                  <w:vMerge w:val="continue"/>
                  <w:vAlign w:val="center"/>
                </w:tcPr>
                <w:p w14:paraId="63885E3D">
                  <w:pPr>
                    <w:tabs>
                      <w:tab w:val="left" w:pos="3400"/>
                    </w:tabs>
                    <w:adjustRightInd w:val="0"/>
                    <w:snapToGrid w:val="0"/>
                    <w:ind w:firstLine="403"/>
                    <w:jc w:val="center"/>
                    <w:rPr>
                      <w:rFonts w:hint="default" w:ascii="Times New Roman" w:hAnsi="Times New Roman" w:eastAsia="仿宋_GB2312" w:cs="Times New Roman"/>
                      <w:sz w:val="21"/>
                      <w:szCs w:val="21"/>
                    </w:rPr>
                  </w:pPr>
                </w:p>
              </w:tc>
            </w:tr>
            <w:tr w14:paraId="44ABB8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2" w:type="pct"/>
                  <w:vAlign w:val="center"/>
                </w:tcPr>
                <w:p w14:paraId="79A1D77C">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其它</w:t>
                  </w:r>
                </w:p>
              </w:tc>
              <w:tc>
                <w:tcPr>
                  <w:tcW w:w="3148" w:type="pct"/>
                  <w:gridSpan w:val="4"/>
                  <w:vAlign w:val="center"/>
                </w:tcPr>
                <w:p w14:paraId="3B41EE67">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w:t>
                  </w:r>
                </w:p>
              </w:tc>
              <w:tc>
                <w:tcPr>
                  <w:tcW w:w="763" w:type="pct"/>
                  <w:vAlign w:val="center"/>
                </w:tcPr>
                <w:p w14:paraId="649E1050">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w:t>
                  </w:r>
                </w:p>
              </w:tc>
              <w:tc>
                <w:tcPr>
                  <w:tcW w:w="466" w:type="pct"/>
                  <w:vMerge w:val="continue"/>
                  <w:vAlign w:val="center"/>
                </w:tcPr>
                <w:p w14:paraId="390AB4ED">
                  <w:pPr>
                    <w:tabs>
                      <w:tab w:val="left" w:pos="3400"/>
                    </w:tabs>
                    <w:adjustRightInd w:val="0"/>
                    <w:snapToGrid w:val="0"/>
                    <w:ind w:firstLine="403"/>
                    <w:jc w:val="center"/>
                    <w:rPr>
                      <w:rFonts w:hint="default" w:ascii="Times New Roman" w:hAnsi="Times New Roman" w:eastAsia="仿宋_GB2312" w:cs="Times New Roman"/>
                      <w:sz w:val="21"/>
                      <w:szCs w:val="21"/>
                    </w:rPr>
                  </w:pPr>
                </w:p>
              </w:tc>
            </w:tr>
          </w:tbl>
          <w:p w14:paraId="015AFACA">
            <w:pPr>
              <w:adjustRightInd w:val="0"/>
              <w:snapToGrid w:val="0"/>
              <w:spacing w:line="500" w:lineRule="exact"/>
              <w:ind w:firstLine="420" w:firstLineChars="200"/>
              <w:rPr>
                <w:rFonts w:eastAsia="仿宋_GB2312"/>
                <w:kern w:val="0"/>
              </w:rPr>
            </w:pPr>
            <w:r>
              <w:rPr>
                <w:rFonts w:hint="eastAsia" w:eastAsia="仿宋_GB2312"/>
                <w:kern w:val="0"/>
              </w:rPr>
              <w:t>（</w:t>
            </w:r>
            <w:r>
              <w:rPr>
                <w:rFonts w:hint="eastAsia" w:eastAsia="仿宋_GB2312"/>
                <w:kern w:val="0"/>
                <w:lang w:val="en-US" w:eastAsia="zh-CN"/>
              </w:rPr>
              <w:t>5</w:t>
            </w:r>
            <w:r>
              <w:rPr>
                <w:rFonts w:hint="eastAsia" w:eastAsia="仿宋_GB2312"/>
                <w:kern w:val="0"/>
              </w:rPr>
              <w:t>）</w:t>
            </w:r>
            <w:r>
              <w:rPr>
                <w:rFonts w:eastAsia="仿宋_GB2312"/>
                <w:kern w:val="0"/>
              </w:rPr>
              <w:t>台账管理</w:t>
            </w:r>
          </w:p>
          <w:p w14:paraId="03446838">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eastAsia="仿宋_GB2312"/>
                <w:b/>
                <w:bCs/>
                <w:kern w:val="0"/>
              </w:rPr>
            </w:pPr>
            <w:r>
              <w:rPr>
                <w:rFonts w:eastAsia="仿宋_GB2312"/>
                <w:b/>
                <w:bCs/>
                <w:kern w:val="0"/>
              </w:rPr>
              <w:t>表5-3</w:t>
            </w:r>
            <w:r>
              <w:rPr>
                <w:rFonts w:hint="eastAsia" w:eastAsia="仿宋_GB2312"/>
                <w:b/>
                <w:bCs/>
                <w:kern w:val="0"/>
                <w:lang w:val="en-US" w:eastAsia="zh-CN"/>
              </w:rPr>
              <w:t xml:space="preserve">  </w:t>
            </w:r>
            <w:r>
              <w:rPr>
                <w:rFonts w:eastAsia="仿宋_GB2312"/>
                <w:b/>
                <w:bCs/>
                <w:kern w:val="0"/>
              </w:rPr>
              <w:t>台账管理</w:t>
            </w:r>
          </w:p>
          <w:tbl>
            <w:tblPr>
              <w:tblStyle w:val="31"/>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68"/>
              <w:gridCol w:w="4341"/>
              <w:gridCol w:w="1603"/>
            </w:tblGrid>
            <w:tr w14:paraId="5A8E94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0" w:type="pct"/>
                  <w:vAlign w:val="center"/>
                </w:tcPr>
                <w:p w14:paraId="1F8FB0C4">
                  <w:pPr>
                    <w:adjustRightInd w:val="0"/>
                    <w:snapToGrid w:val="0"/>
                    <w:jc w:val="center"/>
                    <w:rPr>
                      <w:rFonts w:hint="default" w:ascii="Times New Roman" w:hAnsi="Times New Roman" w:eastAsia="仿宋_GB2312" w:cs="Times New Roman"/>
                      <w:b/>
                      <w:bCs/>
                      <w:sz w:val="21"/>
                      <w:szCs w:val="21"/>
                    </w:rPr>
                  </w:pPr>
                  <w:r>
                    <w:rPr>
                      <w:rFonts w:hint="default" w:ascii="Times New Roman" w:hAnsi="Times New Roman" w:eastAsia="仿宋_GB2312" w:cs="Times New Roman"/>
                      <w:b/>
                      <w:bCs/>
                      <w:sz w:val="21"/>
                      <w:szCs w:val="21"/>
                    </w:rPr>
                    <w:t>类别</w:t>
                  </w:r>
                </w:p>
              </w:tc>
              <w:tc>
                <w:tcPr>
                  <w:tcW w:w="3139" w:type="pct"/>
                  <w:vAlign w:val="center"/>
                </w:tcPr>
                <w:p w14:paraId="0C628FD9">
                  <w:pPr>
                    <w:adjustRightInd w:val="0"/>
                    <w:snapToGrid w:val="0"/>
                    <w:jc w:val="center"/>
                    <w:rPr>
                      <w:rFonts w:hint="default" w:ascii="Times New Roman" w:hAnsi="Times New Roman" w:eastAsia="仿宋_GB2312" w:cs="Times New Roman"/>
                      <w:b/>
                      <w:bCs/>
                      <w:sz w:val="21"/>
                      <w:szCs w:val="21"/>
                    </w:rPr>
                  </w:pPr>
                  <w:r>
                    <w:rPr>
                      <w:rFonts w:hint="default" w:ascii="Times New Roman" w:hAnsi="Times New Roman" w:eastAsia="仿宋_GB2312" w:cs="Times New Roman"/>
                      <w:b/>
                      <w:bCs/>
                      <w:sz w:val="21"/>
                      <w:szCs w:val="21"/>
                    </w:rPr>
                    <w:t>记录内容</w:t>
                  </w:r>
                </w:p>
              </w:tc>
              <w:tc>
                <w:tcPr>
                  <w:tcW w:w="1159" w:type="pct"/>
                  <w:vAlign w:val="center"/>
                </w:tcPr>
                <w:p w14:paraId="236DF0EC">
                  <w:pPr>
                    <w:adjustRightInd w:val="0"/>
                    <w:snapToGrid w:val="0"/>
                    <w:jc w:val="center"/>
                    <w:rPr>
                      <w:rFonts w:hint="default" w:ascii="Times New Roman" w:hAnsi="Times New Roman" w:eastAsia="仿宋_GB2312" w:cs="Times New Roman"/>
                      <w:b/>
                      <w:bCs/>
                      <w:sz w:val="21"/>
                      <w:szCs w:val="21"/>
                    </w:rPr>
                  </w:pPr>
                  <w:r>
                    <w:rPr>
                      <w:rFonts w:hint="default" w:ascii="Times New Roman" w:hAnsi="Times New Roman" w:eastAsia="仿宋_GB2312" w:cs="Times New Roman"/>
                      <w:b/>
                      <w:bCs/>
                      <w:sz w:val="21"/>
                      <w:szCs w:val="21"/>
                    </w:rPr>
                    <w:t>记录频次</w:t>
                  </w:r>
                </w:p>
              </w:tc>
            </w:tr>
            <w:tr w14:paraId="21AED4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0" w:type="pct"/>
                  <w:vAlign w:val="center"/>
                </w:tcPr>
                <w:p w14:paraId="11FCD08A">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污染防治设施运行管理信息</w:t>
                  </w:r>
                </w:p>
              </w:tc>
              <w:tc>
                <w:tcPr>
                  <w:tcW w:w="3139" w:type="pct"/>
                  <w:vAlign w:val="center"/>
                </w:tcPr>
                <w:p w14:paraId="4626EAA2">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污染防治设施运行管理信息（正常情况）：</w:t>
                  </w:r>
                </w:p>
                <w:p w14:paraId="3CCE4590">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运行情况（是否正常运行；治理效率、副产物产生量等），主要药剂添加情况（添加（更换）时间、添加量等）等。</w:t>
                  </w:r>
                </w:p>
              </w:tc>
              <w:tc>
                <w:tcPr>
                  <w:tcW w:w="1159" w:type="pct"/>
                  <w:vAlign w:val="center"/>
                </w:tcPr>
                <w:p w14:paraId="39B0B0C8">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运行情况1次/周，主要药剂添加情况1次/周或批次。</w:t>
                  </w:r>
                </w:p>
              </w:tc>
            </w:tr>
            <w:tr w14:paraId="0E9DCC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0" w:type="pct"/>
                  <w:vAlign w:val="center"/>
                </w:tcPr>
                <w:p w14:paraId="66B2520E">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污染防治设施运行管理信息</w:t>
                  </w:r>
                </w:p>
              </w:tc>
              <w:tc>
                <w:tcPr>
                  <w:tcW w:w="3139" w:type="pct"/>
                  <w:vAlign w:val="center"/>
                </w:tcPr>
                <w:p w14:paraId="6ED8EC19">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污染防治设施运行管理信息（异常情况）：</w:t>
                  </w:r>
                </w:p>
                <w:p w14:paraId="61675D7C">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起止时间、污染物排放浓度、异常原因、应对措施、是否报告等。</w:t>
                  </w:r>
                </w:p>
              </w:tc>
              <w:tc>
                <w:tcPr>
                  <w:tcW w:w="1159" w:type="pct"/>
                  <w:vAlign w:val="center"/>
                </w:tcPr>
                <w:p w14:paraId="58A9539F">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1次/异常情况期。</w:t>
                  </w:r>
                </w:p>
              </w:tc>
            </w:tr>
            <w:tr w14:paraId="738E94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0" w:type="pct"/>
                  <w:vAlign w:val="center"/>
                </w:tcPr>
                <w:p w14:paraId="2C915839">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监测记录信息</w:t>
                  </w:r>
                </w:p>
              </w:tc>
              <w:tc>
                <w:tcPr>
                  <w:tcW w:w="3139" w:type="pct"/>
                  <w:vAlign w:val="center"/>
                </w:tcPr>
                <w:p w14:paraId="22B088F0">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监测记录信息：对手工监测记录、自动监测运行维护记录、信息报告、应急报告内容的要求进行台账记录。监测质量控制根据HJ/T 373、HJ/T 819要求执行，同时记录监测时的生产工况，系统校准、校验工作等必检项目和记录，以及仪器说明书及相关标准，规范中规定的手工监测应记录手工监测的日期、时间、污染物排放口和监测点位、监测内容、监测方法、监测频次、手工监测仪器及型号、采样方法及个数、监测结果、是否超标等。</w:t>
                  </w:r>
                </w:p>
              </w:tc>
              <w:tc>
                <w:tcPr>
                  <w:tcW w:w="1159" w:type="pct"/>
                  <w:vAlign w:val="center"/>
                </w:tcPr>
                <w:p w14:paraId="71814005">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按照HJ 819及各行业自行监测技术指南规定执行。</w:t>
                  </w:r>
                </w:p>
              </w:tc>
            </w:tr>
          </w:tbl>
          <w:p w14:paraId="0C048AC3">
            <w:pPr>
              <w:adjustRightInd w:val="0"/>
              <w:snapToGrid w:val="0"/>
              <w:ind w:firstLine="422" w:firstLineChars="200"/>
              <w:rPr>
                <w:rFonts w:eastAsia="仿宋_GB2312"/>
                <w:b/>
                <w:bCs/>
                <w:kern w:val="0"/>
              </w:rPr>
            </w:pPr>
            <w:r>
              <w:rPr>
                <w:rFonts w:eastAsia="仿宋_GB2312"/>
                <w:b/>
                <w:bCs/>
                <w:kern w:val="0"/>
              </w:rPr>
              <w:t>注：台账记录形式均采用电子台账和纸质台账，且台账保存期限不少于</w:t>
            </w:r>
            <w:r>
              <w:rPr>
                <w:rFonts w:hint="eastAsia" w:eastAsia="仿宋_GB2312"/>
                <w:b/>
                <w:bCs/>
                <w:kern w:val="0"/>
              </w:rPr>
              <w:t>5</w:t>
            </w:r>
            <w:r>
              <w:rPr>
                <w:rFonts w:eastAsia="仿宋_GB2312"/>
                <w:b/>
                <w:bCs/>
                <w:kern w:val="0"/>
              </w:rPr>
              <w:t>年。排污单位应按照相关行业排污许可证申请与核发技术规范规定补充完善上表内容。</w:t>
            </w:r>
          </w:p>
          <w:p w14:paraId="57DE8579">
            <w:pPr>
              <w:adjustRightInd w:val="0"/>
              <w:snapToGrid w:val="0"/>
              <w:spacing w:beforeLines="50" w:line="360" w:lineRule="auto"/>
              <w:ind w:firstLine="420" w:firstLineChars="200"/>
              <w:rPr>
                <w:rFonts w:eastAsia="仿宋_GB2312"/>
                <w:kern w:val="0"/>
              </w:rPr>
            </w:pPr>
            <w:r>
              <w:rPr>
                <w:rFonts w:eastAsia="仿宋_GB2312"/>
                <w:kern w:val="0"/>
              </w:rPr>
              <w:t>（</w:t>
            </w:r>
            <w:r>
              <w:rPr>
                <w:rFonts w:hint="eastAsia" w:eastAsia="仿宋_GB2312"/>
                <w:kern w:val="0"/>
                <w:lang w:val="en-US" w:eastAsia="zh-CN"/>
              </w:rPr>
              <w:t>6</w:t>
            </w:r>
            <w:r>
              <w:rPr>
                <w:rFonts w:eastAsia="仿宋_GB2312"/>
                <w:kern w:val="0"/>
              </w:rPr>
              <w:t>）危废管理计划</w:t>
            </w:r>
          </w:p>
          <w:p w14:paraId="7E5C304A">
            <w:pPr>
              <w:adjustRightInd w:val="0"/>
              <w:snapToGrid w:val="0"/>
              <w:spacing w:line="360" w:lineRule="auto"/>
              <w:ind w:firstLine="420" w:firstLineChars="200"/>
              <w:jc w:val="left"/>
              <w:rPr>
                <w:rFonts w:eastAsia="仿宋_GB2312"/>
                <w:kern w:val="0"/>
              </w:rPr>
            </w:pPr>
            <w:r>
              <w:rPr>
                <w:rFonts w:eastAsia="仿宋_GB2312"/>
                <w:kern w:val="0"/>
              </w:rPr>
              <w:t>企业应当根据《危险废物产生单位管理计划制定指南》定制危废管理计划。</w:t>
            </w:r>
          </w:p>
          <w:p w14:paraId="6B5C1DB3">
            <w:pPr>
              <w:adjustRightInd w:val="0"/>
              <w:snapToGrid w:val="0"/>
              <w:spacing w:line="360" w:lineRule="auto"/>
              <w:ind w:firstLine="420" w:firstLineChars="200"/>
              <w:rPr>
                <w:rFonts w:eastAsia="仿宋_GB2312"/>
                <w:kern w:val="0"/>
              </w:rPr>
            </w:pPr>
            <w:r>
              <w:rPr>
                <w:rFonts w:eastAsia="仿宋_GB2312"/>
                <w:kern w:val="0"/>
              </w:rPr>
              <w:t>（</w:t>
            </w:r>
            <w:r>
              <w:rPr>
                <w:rFonts w:hint="eastAsia" w:eastAsia="仿宋_GB2312"/>
                <w:kern w:val="0"/>
                <w:lang w:val="en-US" w:eastAsia="zh-CN"/>
              </w:rPr>
              <w:t>7</w:t>
            </w:r>
            <w:r>
              <w:rPr>
                <w:rFonts w:eastAsia="仿宋_GB2312"/>
                <w:kern w:val="0"/>
              </w:rPr>
              <w:t>）信息公开</w:t>
            </w:r>
          </w:p>
          <w:p w14:paraId="1DCBA717">
            <w:pPr>
              <w:adjustRightInd w:val="0"/>
              <w:snapToGrid w:val="0"/>
              <w:spacing w:line="360" w:lineRule="auto"/>
              <w:ind w:firstLine="420" w:firstLineChars="200"/>
              <w:jc w:val="left"/>
              <w:rPr>
                <w:rFonts w:eastAsia="仿宋_GB2312"/>
                <w:kern w:val="0"/>
              </w:rPr>
            </w:pPr>
            <w:r>
              <w:rPr>
                <w:rFonts w:eastAsia="仿宋_GB2312"/>
                <w:kern w:val="0"/>
              </w:rPr>
              <w:t>企业应当定期对以下信息进行公开：</w:t>
            </w:r>
          </w:p>
          <w:p w14:paraId="1D70A772">
            <w:pPr>
              <w:adjustRightInd w:val="0"/>
              <w:snapToGrid w:val="0"/>
              <w:spacing w:line="360" w:lineRule="auto"/>
              <w:ind w:firstLine="420" w:firstLineChars="200"/>
              <w:jc w:val="left"/>
              <w:rPr>
                <w:rFonts w:eastAsia="仿宋_GB2312"/>
                <w:kern w:val="0"/>
              </w:rPr>
            </w:pPr>
            <w:r>
              <w:rPr>
                <w:rFonts w:hint="eastAsia" w:eastAsia="仿宋_GB2312"/>
                <w:kern w:val="0"/>
              </w:rPr>
              <w:t>1</w:t>
            </w:r>
            <w:r>
              <w:rPr>
                <w:rFonts w:eastAsia="仿宋_GB2312"/>
                <w:kern w:val="0"/>
              </w:rPr>
              <w:t>）基础信息，包括单位名称、组织机构代码、法定代表人、生产地址、联系方式，以及生产经营和管理服务的主要内容、产品及规模；</w:t>
            </w:r>
          </w:p>
          <w:p w14:paraId="48D73F16">
            <w:pPr>
              <w:adjustRightInd w:val="0"/>
              <w:snapToGrid w:val="0"/>
              <w:spacing w:line="360" w:lineRule="auto"/>
              <w:ind w:firstLine="420" w:firstLineChars="200"/>
              <w:jc w:val="left"/>
              <w:rPr>
                <w:rFonts w:eastAsia="仿宋_GB2312"/>
                <w:kern w:val="0"/>
              </w:rPr>
            </w:pPr>
            <w:r>
              <w:rPr>
                <w:rFonts w:hint="eastAsia" w:eastAsia="仿宋_GB2312"/>
                <w:kern w:val="0"/>
              </w:rPr>
              <w:t>2</w:t>
            </w:r>
            <w:r>
              <w:rPr>
                <w:rFonts w:eastAsia="仿宋_GB2312"/>
                <w:kern w:val="0"/>
              </w:rPr>
              <w:t>）排污信息，包括主要污染物及特征污染物的名称、排放方式、排放口数量和分布情况、排放浓度和总量、超标情况，以及执行的污染物排放标准、核定的排放总量；</w:t>
            </w:r>
          </w:p>
          <w:p w14:paraId="72AFBC0C">
            <w:pPr>
              <w:adjustRightInd w:val="0"/>
              <w:snapToGrid w:val="0"/>
              <w:spacing w:line="360" w:lineRule="auto"/>
              <w:ind w:firstLine="420" w:firstLineChars="200"/>
              <w:jc w:val="left"/>
              <w:rPr>
                <w:rFonts w:eastAsia="仿宋_GB2312"/>
                <w:kern w:val="0"/>
              </w:rPr>
            </w:pPr>
            <w:r>
              <w:rPr>
                <w:rFonts w:hint="eastAsia" w:eastAsia="仿宋_GB2312"/>
                <w:kern w:val="0"/>
              </w:rPr>
              <w:t>3</w:t>
            </w:r>
            <w:r>
              <w:rPr>
                <w:rFonts w:eastAsia="仿宋_GB2312"/>
                <w:kern w:val="0"/>
              </w:rPr>
              <w:t>）防治污染设施的建设和运行情况；</w:t>
            </w:r>
          </w:p>
          <w:p w14:paraId="7993763B">
            <w:pPr>
              <w:adjustRightInd w:val="0"/>
              <w:snapToGrid w:val="0"/>
              <w:spacing w:line="360" w:lineRule="auto"/>
              <w:ind w:firstLine="420" w:firstLineChars="200"/>
              <w:jc w:val="left"/>
              <w:rPr>
                <w:rFonts w:eastAsia="仿宋_GB2312"/>
                <w:kern w:val="0"/>
              </w:rPr>
            </w:pPr>
            <w:r>
              <w:rPr>
                <w:rFonts w:hint="eastAsia" w:eastAsia="仿宋_GB2312"/>
                <w:kern w:val="0"/>
              </w:rPr>
              <w:t>4</w:t>
            </w:r>
            <w:r>
              <w:rPr>
                <w:rFonts w:eastAsia="仿宋_GB2312"/>
                <w:kern w:val="0"/>
              </w:rPr>
              <w:t>）建设项目环境影响评价及其他环境保护行政许可情况；</w:t>
            </w:r>
          </w:p>
          <w:p w14:paraId="2BA8A3F6">
            <w:pPr>
              <w:adjustRightInd w:val="0"/>
              <w:snapToGrid w:val="0"/>
              <w:spacing w:line="360" w:lineRule="auto"/>
              <w:ind w:firstLine="420" w:firstLineChars="200"/>
              <w:jc w:val="left"/>
              <w:rPr>
                <w:rFonts w:eastAsia="仿宋_GB2312"/>
                <w:kern w:val="0"/>
              </w:rPr>
            </w:pPr>
            <w:r>
              <w:rPr>
                <w:rFonts w:hint="eastAsia" w:eastAsia="仿宋_GB2312"/>
                <w:kern w:val="0"/>
              </w:rPr>
              <w:t>5</w:t>
            </w:r>
            <w:r>
              <w:rPr>
                <w:rFonts w:eastAsia="仿宋_GB2312"/>
                <w:kern w:val="0"/>
              </w:rPr>
              <w:t>）突发环境事件应急预案；</w:t>
            </w:r>
          </w:p>
          <w:p w14:paraId="3F4E0612">
            <w:pPr>
              <w:adjustRightInd w:val="0"/>
              <w:snapToGrid w:val="0"/>
              <w:spacing w:line="360" w:lineRule="auto"/>
              <w:ind w:firstLine="420" w:firstLineChars="200"/>
              <w:rPr>
                <w:rFonts w:eastAsia="仿宋_GB2312"/>
                <w:kern w:val="0"/>
              </w:rPr>
            </w:pPr>
            <w:r>
              <w:rPr>
                <w:rFonts w:hint="eastAsia" w:eastAsia="仿宋_GB2312"/>
                <w:kern w:val="0"/>
              </w:rPr>
              <w:t>6</w:t>
            </w:r>
            <w:r>
              <w:rPr>
                <w:rFonts w:eastAsia="仿宋_GB2312"/>
                <w:kern w:val="0"/>
              </w:rPr>
              <w:t>）其他应当公开的环境信息。</w:t>
            </w:r>
          </w:p>
          <w:p w14:paraId="353BFB3F">
            <w:pPr>
              <w:adjustRightInd w:val="0"/>
              <w:snapToGrid w:val="0"/>
              <w:spacing w:line="360" w:lineRule="auto"/>
              <w:ind w:firstLine="420" w:firstLineChars="200"/>
              <w:rPr>
                <w:rFonts w:eastAsia="仿宋_GB2312"/>
                <w:kern w:val="0"/>
              </w:rPr>
            </w:pPr>
            <w:r>
              <w:rPr>
                <w:rFonts w:hint="eastAsia" w:eastAsia="仿宋_GB2312"/>
                <w:kern w:val="0"/>
              </w:rPr>
              <w:t>（</w:t>
            </w:r>
            <w:r>
              <w:rPr>
                <w:rFonts w:hint="eastAsia" w:eastAsia="仿宋_GB2312"/>
                <w:kern w:val="0"/>
                <w:lang w:val="en-US" w:eastAsia="zh-CN"/>
              </w:rPr>
              <w:t>8</w:t>
            </w:r>
            <w:r>
              <w:rPr>
                <w:rFonts w:hint="eastAsia" w:eastAsia="仿宋_GB2312"/>
                <w:kern w:val="0"/>
              </w:rPr>
              <w:t>）例行监测</w:t>
            </w:r>
          </w:p>
          <w:p w14:paraId="47E82E2F">
            <w:pPr>
              <w:adjustRightInd w:val="0"/>
              <w:snapToGrid w:val="0"/>
              <w:spacing w:line="360" w:lineRule="auto"/>
              <w:ind w:firstLine="420" w:firstLineChars="200"/>
              <w:rPr>
                <w:rFonts w:eastAsia="仿宋_GB2312"/>
                <w:kern w:val="0"/>
              </w:rPr>
            </w:pPr>
            <w:r>
              <w:rPr>
                <w:rFonts w:hint="eastAsia" w:eastAsia="仿宋_GB2312"/>
                <w:kern w:val="0"/>
              </w:rPr>
              <w:t>为有效地了解企业的排污情况和环境现状，及时提醒有关车间引起重视，为保证企业排放的污染物在国家规定范围之内，确保企业实现可持续发展，保障职工的身体健康，必须对企业中各排污单位的排放口实行监测、监督。监测计划表详见第四章。若生产运行过程中发现问题应增加监测次数，同时对职工身体状况应定期进行检查，谨防职业病的发生。</w:t>
            </w:r>
          </w:p>
        </w:tc>
      </w:tr>
    </w:tbl>
    <w:p w14:paraId="750A0406">
      <w:pPr>
        <w:pStyle w:val="28"/>
        <w:jc w:val="center"/>
        <w:outlineLvl w:val="0"/>
        <w:rPr>
          <w:rFonts w:ascii="Times New Roman" w:hAnsi="Times New Roman" w:eastAsia="仿宋_GB2312"/>
          <w:snapToGrid w:val="0"/>
          <w:sz w:val="30"/>
          <w:szCs w:val="30"/>
        </w:rPr>
      </w:pPr>
      <w:r>
        <w:rPr>
          <w:rFonts w:ascii="Times New Roman" w:hAnsi="Times New Roman" w:eastAsia="仿宋_GB2312"/>
          <w:snapToGrid w:val="0"/>
        </w:rPr>
        <w:br w:type="page"/>
      </w:r>
      <w:bookmarkStart w:id="60" w:name="_Toc5992"/>
      <w:bookmarkStart w:id="61" w:name="_Toc484"/>
      <w:bookmarkStart w:id="62" w:name="_Toc6570"/>
      <w:r>
        <w:rPr>
          <w:rFonts w:ascii="Times New Roman" w:hAnsi="Times New Roman" w:eastAsia="仿宋_GB2312"/>
          <w:b/>
          <w:bCs/>
          <w:snapToGrid w:val="0"/>
          <w:sz w:val="30"/>
          <w:szCs w:val="30"/>
        </w:rPr>
        <w:t>六、结论</w:t>
      </w:r>
      <w:bookmarkEnd w:id="60"/>
      <w:bookmarkEnd w:id="61"/>
      <w:bookmarkEnd w:id="62"/>
    </w:p>
    <w:tbl>
      <w:tblPr>
        <w:tblStyle w:val="3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37FA99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42" w:hRule="atLeast"/>
          <w:jc w:val="center"/>
        </w:trPr>
        <w:tc>
          <w:tcPr>
            <w:tcW w:w="8865" w:type="dxa"/>
            <w:vAlign w:val="center"/>
          </w:tcPr>
          <w:p w14:paraId="0413E775">
            <w:pPr>
              <w:adjustRightInd w:val="0"/>
              <w:snapToGrid w:val="0"/>
              <w:spacing w:line="360" w:lineRule="auto"/>
              <w:ind w:firstLine="420" w:firstLineChars="200"/>
              <w:rPr>
                <w:rFonts w:eastAsia="仿宋_GB2312"/>
              </w:rPr>
            </w:pPr>
            <w:r>
              <w:rPr>
                <w:rFonts w:eastAsia="仿宋_GB2312"/>
              </w:rPr>
              <w:t>综合以上各方面分析评价，本项目符合“三线一单”要求，选址与该区域总体规划相符。经评价分析，本项目在采取严格的科学管理和有效的环保治理手段后，污染物能够做到达标排放，且对周边环境的影响较小，能基本维持周边环境质量现状，能够符合清洁生产的要求，满足该区域环境功能要求。本环评认为，在全面落实本报告提出的各项环保措施、切实做到“三同时”、运营期内持之以恒加强管理的基础上，从环境保护角度来看，本项目是可行的。</w:t>
            </w:r>
          </w:p>
          <w:p w14:paraId="68A3E5E7">
            <w:pPr>
              <w:adjustRightInd w:val="0"/>
              <w:snapToGrid w:val="0"/>
              <w:spacing w:line="360" w:lineRule="auto"/>
              <w:ind w:firstLine="420" w:firstLineChars="200"/>
              <w:rPr>
                <w:rFonts w:eastAsia="仿宋_GB2312"/>
              </w:rPr>
            </w:pPr>
            <w:r>
              <w:rPr>
                <w:rFonts w:eastAsia="仿宋_GB2312"/>
              </w:rPr>
              <w:t>上述评价结果是根据建设方提供的选址、规模、布局所做出的，如建设方另行选址、扩大规模、改变布局，建设方必须按照环保要求重新申报。</w:t>
            </w:r>
          </w:p>
          <w:p w14:paraId="500E9B4E">
            <w:pPr>
              <w:adjustRightInd w:val="0"/>
              <w:snapToGrid w:val="0"/>
              <w:spacing w:line="360" w:lineRule="auto"/>
              <w:ind w:firstLine="480" w:firstLineChars="200"/>
              <w:rPr>
                <w:rFonts w:eastAsia="仿宋_GB2312"/>
                <w:sz w:val="24"/>
              </w:rPr>
            </w:pPr>
          </w:p>
          <w:p w14:paraId="3E9EAE15">
            <w:pPr>
              <w:adjustRightInd w:val="0"/>
              <w:snapToGrid w:val="0"/>
              <w:spacing w:line="360" w:lineRule="auto"/>
              <w:ind w:firstLine="480" w:firstLineChars="200"/>
              <w:rPr>
                <w:rFonts w:eastAsia="仿宋_GB2312"/>
                <w:sz w:val="24"/>
              </w:rPr>
            </w:pPr>
          </w:p>
          <w:p w14:paraId="5D04C7D5">
            <w:pPr>
              <w:adjustRightInd w:val="0"/>
              <w:snapToGrid w:val="0"/>
              <w:spacing w:line="360" w:lineRule="auto"/>
              <w:ind w:firstLine="480" w:firstLineChars="200"/>
              <w:rPr>
                <w:rFonts w:eastAsia="仿宋_GB2312"/>
                <w:sz w:val="24"/>
              </w:rPr>
            </w:pPr>
          </w:p>
          <w:p w14:paraId="67B63289">
            <w:pPr>
              <w:adjustRightInd w:val="0"/>
              <w:snapToGrid w:val="0"/>
              <w:spacing w:line="360" w:lineRule="auto"/>
              <w:ind w:firstLine="480" w:firstLineChars="200"/>
              <w:rPr>
                <w:rFonts w:eastAsia="仿宋_GB2312"/>
                <w:sz w:val="24"/>
              </w:rPr>
            </w:pPr>
          </w:p>
          <w:p w14:paraId="400ADFE6">
            <w:pPr>
              <w:adjustRightInd w:val="0"/>
              <w:snapToGrid w:val="0"/>
              <w:spacing w:line="360" w:lineRule="auto"/>
              <w:ind w:firstLine="480" w:firstLineChars="200"/>
              <w:rPr>
                <w:rFonts w:eastAsia="仿宋_GB2312"/>
                <w:sz w:val="24"/>
              </w:rPr>
            </w:pPr>
          </w:p>
          <w:p w14:paraId="7647DAA1">
            <w:pPr>
              <w:adjustRightInd w:val="0"/>
              <w:snapToGrid w:val="0"/>
              <w:spacing w:line="360" w:lineRule="auto"/>
              <w:ind w:firstLine="480" w:firstLineChars="200"/>
              <w:rPr>
                <w:rFonts w:eastAsia="仿宋_GB2312"/>
                <w:sz w:val="24"/>
              </w:rPr>
            </w:pPr>
          </w:p>
          <w:p w14:paraId="73315B9E">
            <w:pPr>
              <w:adjustRightInd w:val="0"/>
              <w:snapToGrid w:val="0"/>
              <w:spacing w:line="360" w:lineRule="auto"/>
              <w:ind w:firstLine="480" w:firstLineChars="200"/>
              <w:rPr>
                <w:rFonts w:eastAsia="仿宋_GB2312"/>
                <w:sz w:val="24"/>
              </w:rPr>
            </w:pPr>
          </w:p>
          <w:p w14:paraId="21DA740E">
            <w:pPr>
              <w:adjustRightInd w:val="0"/>
              <w:snapToGrid w:val="0"/>
              <w:spacing w:line="360" w:lineRule="auto"/>
              <w:ind w:firstLine="480" w:firstLineChars="200"/>
              <w:rPr>
                <w:rFonts w:eastAsia="仿宋_GB2312"/>
                <w:sz w:val="24"/>
              </w:rPr>
            </w:pPr>
          </w:p>
          <w:p w14:paraId="62ABE800">
            <w:pPr>
              <w:adjustRightInd w:val="0"/>
              <w:snapToGrid w:val="0"/>
              <w:spacing w:line="360" w:lineRule="auto"/>
              <w:ind w:firstLine="480" w:firstLineChars="200"/>
              <w:rPr>
                <w:rFonts w:eastAsia="仿宋_GB2312"/>
                <w:sz w:val="24"/>
              </w:rPr>
            </w:pPr>
          </w:p>
          <w:p w14:paraId="00CF488D">
            <w:pPr>
              <w:adjustRightInd w:val="0"/>
              <w:snapToGrid w:val="0"/>
              <w:spacing w:line="360" w:lineRule="auto"/>
              <w:ind w:firstLine="480" w:firstLineChars="200"/>
              <w:rPr>
                <w:rFonts w:eastAsia="仿宋_GB2312"/>
                <w:sz w:val="24"/>
              </w:rPr>
            </w:pPr>
          </w:p>
          <w:p w14:paraId="2103C8F1">
            <w:pPr>
              <w:adjustRightInd w:val="0"/>
              <w:snapToGrid w:val="0"/>
              <w:spacing w:line="360" w:lineRule="auto"/>
              <w:ind w:firstLine="480" w:firstLineChars="200"/>
              <w:rPr>
                <w:rFonts w:eastAsia="仿宋_GB2312"/>
                <w:sz w:val="24"/>
              </w:rPr>
            </w:pPr>
          </w:p>
          <w:p w14:paraId="607C2545">
            <w:pPr>
              <w:adjustRightInd w:val="0"/>
              <w:snapToGrid w:val="0"/>
              <w:spacing w:line="360" w:lineRule="auto"/>
              <w:ind w:firstLine="480" w:firstLineChars="200"/>
              <w:rPr>
                <w:rFonts w:eastAsia="仿宋_GB2312"/>
                <w:sz w:val="24"/>
              </w:rPr>
            </w:pPr>
          </w:p>
          <w:p w14:paraId="130C78AF">
            <w:pPr>
              <w:adjustRightInd w:val="0"/>
              <w:snapToGrid w:val="0"/>
              <w:spacing w:line="360" w:lineRule="auto"/>
              <w:ind w:firstLine="480" w:firstLineChars="200"/>
              <w:rPr>
                <w:rFonts w:eastAsia="仿宋_GB2312"/>
                <w:sz w:val="24"/>
              </w:rPr>
            </w:pPr>
          </w:p>
          <w:p w14:paraId="028BA1EE">
            <w:pPr>
              <w:adjustRightInd w:val="0"/>
              <w:snapToGrid w:val="0"/>
              <w:spacing w:line="360" w:lineRule="auto"/>
              <w:ind w:firstLine="480" w:firstLineChars="200"/>
              <w:rPr>
                <w:rFonts w:eastAsia="仿宋_GB2312"/>
                <w:sz w:val="24"/>
              </w:rPr>
            </w:pPr>
          </w:p>
          <w:p w14:paraId="487470FE">
            <w:pPr>
              <w:adjustRightInd w:val="0"/>
              <w:snapToGrid w:val="0"/>
              <w:spacing w:line="360" w:lineRule="auto"/>
              <w:ind w:firstLine="480" w:firstLineChars="200"/>
              <w:rPr>
                <w:rFonts w:eastAsia="仿宋_GB2312"/>
                <w:sz w:val="24"/>
              </w:rPr>
            </w:pPr>
          </w:p>
          <w:p w14:paraId="22475DBE">
            <w:pPr>
              <w:adjustRightInd w:val="0"/>
              <w:snapToGrid w:val="0"/>
              <w:spacing w:line="360" w:lineRule="auto"/>
              <w:ind w:firstLine="480" w:firstLineChars="200"/>
              <w:rPr>
                <w:rFonts w:eastAsia="仿宋_GB2312"/>
                <w:sz w:val="24"/>
              </w:rPr>
            </w:pPr>
          </w:p>
          <w:p w14:paraId="3B58E6B9">
            <w:pPr>
              <w:adjustRightInd w:val="0"/>
              <w:snapToGrid w:val="0"/>
              <w:spacing w:line="360" w:lineRule="auto"/>
              <w:ind w:firstLine="480" w:firstLineChars="200"/>
              <w:rPr>
                <w:rFonts w:eastAsia="仿宋_GB2312"/>
                <w:sz w:val="24"/>
              </w:rPr>
            </w:pPr>
          </w:p>
          <w:p w14:paraId="6C23ADD7">
            <w:pPr>
              <w:adjustRightInd w:val="0"/>
              <w:snapToGrid w:val="0"/>
              <w:spacing w:line="360" w:lineRule="auto"/>
              <w:ind w:firstLine="480" w:firstLineChars="200"/>
              <w:rPr>
                <w:rFonts w:eastAsia="仿宋_GB2312"/>
                <w:sz w:val="24"/>
              </w:rPr>
            </w:pPr>
          </w:p>
          <w:p w14:paraId="3121872B">
            <w:pPr>
              <w:adjustRightInd w:val="0"/>
              <w:snapToGrid w:val="0"/>
              <w:spacing w:line="360" w:lineRule="auto"/>
              <w:ind w:firstLine="480" w:firstLineChars="200"/>
              <w:rPr>
                <w:rFonts w:eastAsia="仿宋_GB2312"/>
                <w:sz w:val="24"/>
              </w:rPr>
            </w:pPr>
          </w:p>
          <w:p w14:paraId="01A16BF7">
            <w:pPr>
              <w:adjustRightInd w:val="0"/>
              <w:snapToGrid w:val="0"/>
              <w:spacing w:line="360" w:lineRule="auto"/>
              <w:ind w:firstLine="480" w:firstLineChars="200"/>
              <w:rPr>
                <w:rFonts w:eastAsia="仿宋_GB2312"/>
                <w:sz w:val="24"/>
              </w:rPr>
            </w:pPr>
          </w:p>
          <w:p w14:paraId="15914BB0">
            <w:pPr>
              <w:adjustRightInd w:val="0"/>
              <w:snapToGrid w:val="0"/>
              <w:spacing w:line="360" w:lineRule="auto"/>
              <w:ind w:firstLine="480" w:firstLineChars="200"/>
              <w:rPr>
                <w:rFonts w:eastAsia="仿宋_GB2312"/>
                <w:sz w:val="24"/>
              </w:rPr>
            </w:pPr>
          </w:p>
          <w:p w14:paraId="4C076DD2">
            <w:pPr>
              <w:spacing w:line="360" w:lineRule="auto"/>
              <w:rPr>
                <w:rFonts w:eastAsia="仿宋_GB2312"/>
                <w:sz w:val="24"/>
              </w:rPr>
            </w:pPr>
          </w:p>
        </w:tc>
      </w:tr>
    </w:tbl>
    <w:p w14:paraId="35206A20">
      <w:pPr>
        <w:rPr>
          <w:rFonts w:eastAsia="仿宋_GB2312"/>
        </w:rPr>
        <w:sectPr>
          <w:footerReference r:id="rId8" w:type="default"/>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61E5F9BB">
      <w:pPr>
        <w:pStyle w:val="28"/>
        <w:adjustRightInd w:val="0"/>
        <w:snapToGrid w:val="0"/>
        <w:spacing w:before="0" w:beforeAutospacing="0" w:after="0" w:afterAutospacing="0" w:line="648" w:lineRule="auto"/>
        <w:outlineLvl w:val="0"/>
        <w:rPr>
          <w:rFonts w:ascii="Times New Roman" w:hAnsi="Times New Roman" w:eastAsia="仿宋_GB2312"/>
          <w:snapToGrid w:val="0"/>
          <w:sz w:val="32"/>
          <w:szCs w:val="32"/>
        </w:rPr>
      </w:pPr>
      <w:bookmarkStart w:id="63" w:name="_Toc29129"/>
      <w:bookmarkStart w:id="64" w:name="_Toc25860"/>
      <w:bookmarkStart w:id="65" w:name="_Toc18171"/>
      <w:bookmarkStart w:id="66" w:name="_Toc27"/>
      <w:r>
        <w:rPr>
          <w:rFonts w:ascii="Times New Roman" w:hAnsi="Times New Roman" w:eastAsia="仿宋_GB2312"/>
          <w:snapToGrid w:val="0"/>
          <w:sz w:val="32"/>
          <w:szCs w:val="32"/>
        </w:rPr>
        <w:t>附表</w:t>
      </w:r>
      <w:bookmarkEnd w:id="63"/>
      <w:bookmarkEnd w:id="64"/>
      <w:bookmarkEnd w:id="65"/>
      <w:bookmarkEnd w:id="66"/>
    </w:p>
    <w:p w14:paraId="4F9C0A38">
      <w:pPr>
        <w:pStyle w:val="28"/>
        <w:adjustRightInd w:val="0"/>
        <w:snapToGrid w:val="0"/>
        <w:spacing w:before="0" w:beforeAutospacing="0" w:after="0" w:afterAutospacing="0"/>
        <w:jc w:val="center"/>
        <w:rPr>
          <w:rFonts w:ascii="Times New Roman" w:hAnsi="Times New Roman" w:eastAsia="仿宋_GB2312"/>
          <w:snapToGrid w:val="0"/>
          <w:sz w:val="38"/>
          <w:szCs w:val="38"/>
        </w:rPr>
      </w:pPr>
      <w:bookmarkStart w:id="67" w:name="_Toc26228"/>
      <w:bookmarkStart w:id="68" w:name="_Toc7133"/>
      <w:r>
        <w:rPr>
          <w:rFonts w:ascii="Times New Roman" w:hAnsi="Times New Roman" w:eastAsia="仿宋_GB2312"/>
          <w:snapToGrid w:val="0"/>
          <w:sz w:val="38"/>
          <w:szCs w:val="38"/>
        </w:rPr>
        <w:t>建设项目污染物排放量汇总表</w:t>
      </w:r>
      <w:bookmarkEnd w:id="67"/>
      <w:bookmarkEnd w:id="68"/>
    </w:p>
    <w:tbl>
      <w:tblPr>
        <w:tblStyle w:val="31"/>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81"/>
        <w:gridCol w:w="907"/>
        <w:gridCol w:w="1417"/>
        <w:gridCol w:w="1701"/>
        <w:gridCol w:w="1276"/>
        <w:gridCol w:w="1701"/>
        <w:gridCol w:w="1559"/>
        <w:gridCol w:w="1761"/>
        <w:gridCol w:w="1588"/>
        <w:gridCol w:w="1197"/>
      </w:tblGrid>
      <w:tr w14:paraId="572971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gridSpan w:val="2"/>
            <w:tcBorders>
              <w:tl2br w:val="single" w:color="auto" w:sz="4" w:space="0"/>
            </w:tcBorders>
            <w:tcMar>
              <w:left w:w="28" w:type="dxa"/>
              <w:right w:w="28" w:type="dxa"/>
            </w:tcMar>
            <w:vAlign w:val="center"/>
          </w:tcPr>
          <w:p w14:paraId="067BF247">
            <w:pPr>
              <w:pStyle w:val="56"/>
              <w:spacing w:beforeLines="0" w:afterLines="0" w:line="240" w:lineRule="auto"/>
              <w:jc w:val="right"/>
              <w:rPr>
                <w:rFonts w:ascii="Times New Roman" w:eastAsia="仿宋_GB2312"/>
                <w:snapToGrid w:val="0"/>
                <w:spacing w:val="-6"/>
                <w:kern w:val="21"/>
                <w:szCs w:val="21"/>
              </w:rPr>
            </w:pPr>
            <w:r>
              <w:rPr>
                <w:rFonts w:ascii="Times New Roman" w:eastAsia="仿宋_GB2312"/>
                <w:snapToGrid w:val="0"/>
                <w:spacing w:val="-6"/>
                <w:kern w:val="21"/>
                <w:szCs w:val="21"/>
              </w:rPr>
              <w:t>项目</w:t>
            </w:r>
          </w:p>
          <w:p w14:paraId="173DC588">
            <w:pPr>
              <w:pStyle w:val="56"/>
              <w:spacing w:beforeLines="0" w:afterLines="0" w:line="240" w:lineRule="auto"/>
              <w:jc w:val="left"/>
              <w:rPr>
                <w:rFonts w:ascii="Times New Roman" w:eastAsia="仿宋_GB2312"/>
                <w:snapToGrid w:val="0"/>
                <w:spacing w:val="-6"/>
                <w:kern w:val="21"/>
                <w:szCs w:val="21"/>
              </w:rPr>
            </w:pPr>
            <w:r>
              <w:rPr>
                <w:rFonts w:ascii="Times New Roman" w:eastAsia="仿宋_GB2312"/>
                <w:snapToGrid w:val="0"/>
                <w:spacing w:val="-6"/>
                <w:kern w:val="21"/>
                <w:szCs w:val="21"/>
              </w:rPr>
              <w:t>分类</w:t>
            </w:r>
          </w:p>
        </w:tc>
        <w:tc>
          <w:tcPr>
            <w:tcW w:w="1417" w:type="dxa"/>
            <w:tcMar>
              <w:left w:w="28" w:type="dxa"/>
              <w:right w:w="28" w:type="dxa"/>
            </w:tcMar>
            <w:vAlign w:val="center"/>
          </w:tcPr>
          <w:p w14:paraId="28A0B386">
            <w:pPr>
              <w:pStyle w:val="56"/>
              <w:spacing w:beforeLines="0" w:afterLines="0" w:line="240" w:lineRule="auto"/>
              <w:rPr>
                <w:rFonts w:ascii="Times New Roman" w:eastAsia="仿宋_GB2312"/>
                <w:snapToGrid w:val="0"/>
                <w:spacing w:val="-6"/>
                <w:kern w:val="21"/>
                <w:szCs w:val="21"/>
              </w:rPr>
            </w:pPr>
            <w:r>
              <w:rPr>
                <w:rFonts w:ascii="Times New Roman" w:eastAsia="仿宋_GB2312"/>
                <w:snapToGrid w:val="0"/>
                <w:spacing w:val="-6"/>
                <w:kern w:val="21"/>
                <w:szCs w:val="21"/>
              </w:rPr>
              <w:t>污染物名称</w:t>
            </w:r>
          </w:p>
        </w:tc>
        <w:tc>
          <w:tcPr>
            <w:tcW w:w="1701" w:type="dxa"/>
            <w:tcMar>
              <w:left w:w="28" w:type="dxa"/>
              <w:right w:w="28" w:type="dxa"/>
            </w:tcMar>
            <w:vAlign w:val="center"/>
          </w:tcPr>
          <w:p w14:paraId="4EC58B2B">
            <w:pPr>
              <w:pStyle w:val="56"/>
              <w:spacing w:beforeLines="0" w:afterLines="0" w:line="240" w:lineRule="auto"/>
              <w:rPr>
                <w:rFonts w:ascii="Times New Roman" w:eastAsia="仿宋_GB2312"/>
                <w:snapToGrid w:val="0"/>
                <w:spacing w:val="-6"/>
                <w:kern w:val="21"/>
                <w:szCs w:val="21"/>
              </w:rPr>
            </w:pPr>
            <w:r>
              <w:rPr>
                <w:rFonts w:ascii="Times New Roman" w:eastAsia="仿宋_GB2312"/>
                <w:snapToGrid w:val="0"/>
                <w:spacing w:val="-6"/>
                <w:kern w:val="21"/>
                <w:szCs w:val="21"/>
              </w:rPr>
              <w:t>现有工程</w:t>
            </w:r>
          </w:p>
          <w:p w14:paraId="20A90DC7">
            <w:pPr>
              <w:pStyle w:val="56"/>
              <w:spacing w:beforeLines="0" w:afterLines="0" w:line="240" w:lineRule="auto"/>
              <w:rPr>
                <w:rFonts w:ascii="Times New Roman" w:eastAsia="仿宋_GB2312"/>
                <w:snapToGrid w:val="0"/>
                <w:spacing w:val="-6"/>
                <w:kern w:val="21"/>
                <w:szCs w:val="21"/>
              </w:rPr>
            </w:pPr>
            <w:r>
              <w:rPr>
                <w:rFonts w:ascii="Times New Roman" w:eastAsia="仿宋_GB2312"/>
                <w:snapToGrid w:val="0"/>
                <w:spacing w:val="-6"/>
                <w:kern w:val="21"/>
                <w:szCs w:val="21"/>
              </w:rPr>
              <w:t>排放量（固体废物产生量）</w:t>
            </w:r>
            <w:r>
              <w:rPr>
                <w:rFonts w:ascii="Times New Roman" w:eastAsia="仿宋_GB2312"/>
                <w:snapToGrid w:val="0"/>
                <w:spacing w:val="-6"/>
                <w:kern w:val="21"/>
                <w:szCs w:val="21"/>
              </w:rPr>
              <w:fldChar w:fldCharType="begin"/>
            </w:r>
            <w:r>
              <w:rPr>
                <w:rFonts w:ascii="Times New Roman" w:eastAsia="仿宋_GB2312"/>
                <w:snapToGrid w:val="0"/>
                <w:spacing w:val="-6"/>
                <w:kern w:val="21"/>
                <w:szCs w:val="21"/>
              </w:rPr>
              <w:instrText xml:space="preserve"> = 1 \* GB3 \* MERGEFORMAT </w:instrText>
            </w:r>
            <w:r>
              <w:rPr>
                <w:rFonts w:ascii="Times New Roman" w:eastAsia="仿宋_GB2312"/>
                <w:snapToGrid w:val="0"/>
                <w:spacing w:val="-6"/>
                <w:kern w:val="21"/>
                <w:szCs w:val="21"/>
              </w:rPr>
              <w:fldChar w:fldCharType="separate"/>
            </w:r>
            <w:r>
              <w:rPr>
                <w:rFonts w:ascii="Times New Roman" w:eastAsia="仿宋_GB2312"/>
                <w:kern w:val="2"/>
                <w:szCs w:val="21"/>
              </w:rPr>
              <w:t>①</w:t>
            </w:r>
            <w:r>
              <w:rPr>
                <w:rFonts w:ascii="Times New Roman" w:eastAsia="仿宋_GB2312"/>
                <w:snapToGrid w:val="0"/>
                <w:spacing w:val="-6"/>
                <w:kern w:val="21"/>
                <w:szCs w:val="21"/>
              </w:rPr>
              <w:fldChar w:fldCharType="end"/>
            </w:r>
          </w:p>
        </w:tc>
        <w:tc>
          <w:tcPr>
            <w:tcW w:w="1276" w:type="dxa"/>
            <w:tcMar>
              <w:left w:w="28" w:type="dxa"/>
              <w:right w:w="28" w:type="dxa"/>
            </w:tcMar>
            <w:vAlign w:val="center"/>
          </w:tcPr>
          <w:p w14:paraId="574CF53C">
            <w:pPr>
              <w:pStyle w:val="56"/>
              <w:spacing w:beforeLines="0" w:afterLines="0" w:line="240" w:lineRule="auto"/>
              <w:rPr>
                <w:rFonts w:ascii="Times New Roman" w:eastAsia="仿宋_GB2312"/>
                <w:snapToGrid w:val="0"/>
                <w:spacing w:val="-6"/>
                <w:kern w:val="21"/>
                <w:szCs w:val="21"/>
              </w:rPr>
            </w:pPr>
            <w:r>
              <w:rPr>
                <w:rFonts w:ascii="Times New Roman" w:eastAsia="仿宋_GB2312"/>
                <w:snapToGrid w:val="0"/>
                <w:spacing w:val="-6"/>
                <w:kern w:val="21"/>
                <w:szCs w:val="21"/>
              </w:rPr>
              <w:t>现有工程</w:t>
            </w:r>
          </w:p>
          <w:p w14:paraId="6E7226C8">
            <w:pPr>
              <w:pStyle w:val="56"/>
              <w:spacing w:beforeLines="0" w:afterLines="0" w:line="240" w:lineRule="auto"/>
              <w:rPr>
                <w:rFonts w:ascii="Times New Roman" w:eastAsia="仿宋_GB2312"/>
                <w:snapToGrid w:val="0"/>
                <w:spacing w:val="-6"/>
                <w:kern w:val="21"/>
                <w:szCs w:val="21"/>
              </w:rPr>
            </w:pPr>
            <w:r>
              <w:rPr>
                <w:rFonts w:ascii="Times New Roman" w:eastAsia="仿宋_GB2312"/>
                <w:snapToGrid w:val="0"/>
                <w:spacing w:val="-6"/>
                <w:kern w:val="21"/>
                <w:szCs w:val="21"/>
              </w:rPr>
              <w:t>许可排放量</w:t>
            </w:r>
          </w:p>
          <w:p w14:paraId="4A0307BB">
            <w:pPr>
              <w:pStyle w:val="56"/>
              <w:spacing w:beforeLines="0" w:afterLines="0"/>
              <w:rPr>
                <w:rFonts w:ascii="Times New Roman" w:eastAsia="仿宋_GB2312"/>
                <w:snapToGrid w:val="0"/>
                <w:spacing w:val="-6"/>
                <w:kern w:val="21"/>
                <w:szCs w:val="21"/>
              </w:rPr>
            </w:pPr>
            <w:r>
              <w:rPr>
                <w:rFonts w:ascii="Times New Roman" w:eastAsia="仿宋_GB2312"/>
                <w:snapToGrid w:val="0"/>
                <w:spacing w:val="-6"/>
                <w:kern w:val="21"/>
                <w:szCs w:val="21"/>
              </w:rPr>
              <w:fldChar w:fldCharType="begin"/>
            </w:r>
            <w:r>
              <w:rPr>
                <w:rFonts w:ascii="Times New Roman" w:eastAsia="仿宋_GB2312"/>
                <w:snapToGrid w:val="0"/>
                <w:spacing w:val="-6"/>
                <w:kern w:val="21"/>
                <w:szCs w:val="21"/>
              </w:rPr>
              <w:instrText xml:space="preserve"> = 2 \* GB3 \* MERGEFORMAT </w:instrText>
            </w:r>
            <w:r>
              <w:rPr>
                <w:rFonts w:ascii="Times New Roman" w:eastAsia="仿宋_GB2312"/>
                <w:snapToGrid w:val="0"/>
                <w:spacing w:val="-6"/>
                <w:kern w:val="21"/>
                <w:szCs w:val="21"/>
              </w:rPr>
              <w:fldChar w:fldCharType="separate"/>
            </w:r>
            <w:r>
              <w:rPr>
                <w:rFonts w:ascii="Times New Roman" w:eastAsia="仿宋_GB2312"/>
                <w:snapToGrid w:val="0"/>
                <w:spacing w:val="-6"/>
                <w:kern w:val="21"/>
                <w:szCs w:val="21"/>
              </w:rPr>
              <w:t>②</w:t>
            </w:r>
            <w:r>
              <w:rPr>
                <w:rFonts w:ascii="Times New Roman" w:eastAsia="仿宋_GB2312"/>
                <w:snapToGrid w:val="0"/>
                <w:spacing w:val="-6"/>
                <w:kern w:val="21"/>
                <w:szCs w:val="21"/>
              </w:rPr>
              <w:fldChar w:fldCharType="end"/>
            </w:r>
          </w:p>
        </w:tc>
        <w:tc>
          <w:tcPr>
            <w:tcW w:w="1701" w:type="dxa"/>
            <w:tcMar>
              <w:left w:w="28" w:type="dxa"/>
              <w:right w:w="28" w:type="dxa"/>
            </w:tcMar>
            <w:vAlign w:val="center"/>
          </w:tcPr>
          <w:p w14:paraId="294F555E">
            <w:pPr>
              <w:pStyle w:val="56"/>
              <w:spacing w:beforeLines="0" w:afterLines="0" w:line="240" w:lineRule="auto"/>
              <w:rPr>
                <w:rFonts w:ascii="Times New Roman" w:eastAsia="仿宋_GB2312"/>
                <w:snapToGrid w:val="0"/>
                <w:spacing w:val="-6"/>
                <w:kern w:val="21"/>
                <w:szCs w:val="21"/>
              </w:rPr>
            </w:pPr>
            <w:r>
              <w:rPr>
                <w:rFonts w:ascii="Times New Roman" w:eastAsia="仿宋_GB2312"/>
                <w:snapToGrid w:val="0"/>
                <w:spacing w:val="-6"/>
                <w:kern w:val="21"/>
                <w:szCs w:val="21"/>
              </w:rPr>
              <w:t>在建工程</w:t>
            </w:r>
          </w:p>
          <w:p w14:paraId="6F24E1C6">
            <w:pPr>
              <w:pStyle w:val="56"/>
              <w:spacing w:beforeLines="0" w:afterLines="0" w:line="240" w:lineRule="auto"/>
              <w:rPr>
                <w:rFonts w:ascii="Times New Roman" w:eastAsia="仿宋_GB2312"/>
                <w:snapToGrid w:val="0"/>
                <w:spacing w:val="-6"/>
                <w:kern w:val="21"/>
                <w:szCs w:val="21"/>
              </w:rPr>
            </w:pPr>
            <w:r>
              <w:rPr>
                <w:rFonts w:ascii="Times New Roman" w:eastAsia="仿宋_GB2312"/>
                <w:snapToGrid w:val="0"/>
                <w:spacing w:val="-6"/>
                <w:kern w:val="21"/>
                <w:szCs w:val="21"/>
              </w:rPr>
              <w:t>排放量（固体废物产生量）</w:t>
            </w:r>
            <w:r>
              <w:rPr>
                <w:rFonts w:ascii="Times New Roman" w:eastAsia="仿宋_GB2312"/>
                <w:snapToGrid w:val="0"/>
                <w:spacing w:val="-6"/>
                <w:kern w:val="21"/>
                <w:szCs w:val="21"/>
              </w:rPr>
              <w:fldChar w:fldCharType="begin"/>
            </w:r>
            <w:r>
              <w:rPr>
                <w:rFonts w:ascii="Times New Roman" w:eastAsia="仿宋_GB2312"/>
                <w:snapToGrid w:val="0"/>
                <w:spacing w:val="-6"/>
                <w:kern w:val="21"/>
                <w:szCs w:val="21"/>
              </w:rPr>
              <w:instrText xml:space="preserve"> = 3 \* GB3 \* MERGEFORMAT </w:instrText>
            </w:r>
            <w:r>
              <w:rPr>
                <w:rFonts w:ascii="Times New Roman" w:eastAsia="仿宋_GB2312"/>
                <w:snapToGrid w:val="0"/>
                <w:spacing w:val="-6"/>
                <w:kern w:val="21"/>
                <w:szCs w:val="21"/>
              </w:rPr>
              <w:fldChar w:fldCharType="separate"/>
            </w:r>
            <w:r>
              <w:rPr>
                <w:rFonts w:ascii="Times New Roman" w:eastAsia="仿宋_GB2312"/>
                <w:kern w:val="2"/>
                <w:szCs w:val="21"/>
              </w:rPr>
              <w:t>③</w:t>
            </w:r>
            <w:r>
              <w:rPr>
                <w:rFonts w:ascii="Times New Roman" w:eastAsia="仿宋_GB2312"/>
                <w:snapToGrid w:val="0"/>
                <w:spacing w:val="-6"/>
                <w:kern w:val="21"/>
                <w:szCs w:val="21"/>
              </w:rPr>
              <w:fldChar w:fldCharType="end"/>
            </w:r>
          </w:p>
        </w:tc>
        <w:tc>
          <w:tcPr>
            <w:tcW w:w="1559" w:type="dxa"/>
            <w:tcMar>
              <w:left w:w="28" w:type="dxa"/>
              <w:right w:w="28" w:type="dxa"/>
            </w:tcMar>
            <w:vAlign w:val="center"/>
          </w:tcPr>
          <w:p w14:paraId="617029E3">
            <w:pPr>
              <w:pStyle w:val="56"/>
              <w:spacing w:beforeLines="0" w:afterLines="0" w:line="240" w:lineRule="auto"/>
              <w:rPr>
                <w:rFonts w:ascii="Times New Roman" w:eastAsia="仿宋_GB2312"/>
                <w:snapToGrid w:val="0"/>
                <w:spacing w:val="-6"/>
                <w:kern w:val="21"/>
                <w:szCs w:val="21"/>
              </w:rPr>
            </w:pPr>
            <w:r>
              <w:rPr>
                <w:rFonts w:ascii="Times New Roman" w:eastAsia="仿宋_GB2312"/>
                <w:snapToGrid w:val="0"/>
                <w:spacing w:val="-6"/>
                <w:kern w:val="21"/>
                <w:szCs w:val="21"/>
              </w:rPr>
              <w:t>本项目</w:t>
            </w:r>
          </w:p>
          <w:p w14:paraId="6267868A">
            <w:pPr>
              <w:pStyle w:val="56"/>
              <w:spacing w:beforeLines="0" w:afterLines="0" w:line="240" w:lineRule="auto"/>
              <w:rPr>
                <w:rFonts w:ascii="Times New Roman" w:eastAsia="仿宋_GB2312"/>
                <w:snapToGrid w:val="0"/>
                <w:spacing w:val="-6"/>
                <w:kern w:val="21"/>
                <w:szCs w:val="21"/>
              </w:rPr>
            </w:pPr>
            <w:r>
              <w:rPr>
                <w:rFonts w:ascii="Times New Roman" w:eastAsia="仿宋_GB2312"/>
                <w:snapToGrid w:val="0"/>
                <w:spacing w:val="-6"/>
                <w:kern w:val="21"/>
                <w:szCs w:val="21"/>
              </w:rPr>
              <w:t>排放量（固体废物产生量）</w:t>
            </w:r>
            <w:r>
              <w:rPr>
                <w:rFonts w:ascii="Times New Roman" w:eastAsia="仿宋_GB2312"/>
                <w:snapToGrid w:val="0"/>
                <w:spacing w:val="-6"/>
                <w:kern w:val="21"/>
                <w:szCs w:val="21"/>
              </w:rPr>
              <w:fldChar w:fldCharType="begin"/>
            </w:r>
            <w:r>
              <w:rPr>
                <w:rFonts w:ascii="Times New Roman" w:eastAsia="仿宋_GB2312"/>
                <w:snapToGrid w:val="0"/>
                <w:spacing w:val="-6"/>
                <w:kern w:val="21"/>
                <w:szCs w:val="21"/>
              </w:rPr>
              <w:instrText xml:space="preserve"> = 4 \* GB3 \* MERGEFORMAT </w:instrText>
            </w:r>
            <w:r>
              <w:rPr>
                <w:rFonts w:ascii="Times New Roman" w:eastAsia="仿宋_GB2312"/>
                <w:snapToGrid w:val="0"/>
                <w:spacing w:val="-6"/>
                <w:kern w:val="21"/>
                <w:szCs w:val="21"/>
              </w:rPr>
              <w:fldChar w:fldCharType="separate"/>
            </w:r>
            <w:r>
              <w:rPr>
                <w:rFonts w:ascii="Times New Roman" w:eastAsia="仿宋_GB2312"/>
                <w:kern w:val="2"/>
                <w:szCs w:val="21"/>
              </w:rPr>
              <w:t>④</w:t>
            </w:r>
            <w:r>
              <w:rPr>
                <w:rFonts w:ascii="Times New Roman" w:eastAsia="仿宋_GB2312"/>
                <w:snapToGrid w:val="0"/>
                <w:spacing w:val="-6"/>
                <w:kern w:val="21"/>
                <w:szCs w:val="21"/>
              </w:rPr>
              <w:fldChar w:fldCharType="end"/>
            </w:r>
          </w:p>
        </w:tc>
        <w:tc>
          <w:tcPr>
            <w:tcW w:w="1761" w:type="dxa"/>
            <w:tcMar>
              <w:left w:w="28" w:type="dxa"/>
              <w:right w:w="28" w:type="dxa"/>
            </w:tcMar>
            <w:vAlign w:val="center"/>
          </w:tcPr>
          <w:p w14:paraId="205327A0">
            <w:pPr>
              <w:pStyle w:val="56"/>
              <w:spacing w:beforeLines="0" w:afterLines="0" w:line="240" w:lineRule="auto"/>
              <w:rPr>
                <w:rFonts w:ascii="Times New Roman" w:eastAsia="仿宋_GB2312"/>
                <w:snapToGrid w:val="0"/>
                <w:spacing w:val="-16"/>
                <w:kern w:val="21"/>
                <w:szCs w:val="21"/>
              </w:rPr>
            </w:pPr>
            <w:r>
              <w:rPr>
                <w:rFonts w:ascii="Times New Roman" w:eastAsia="仿宋_GB2312"/>
                <w:snapToGrid w:val="0"/>
                <w:spacing w:val="-16"/>
                <w:kern w:val="21"/>
                <w:szCs w:val="21"/>
              </w:rPr>
              <w:t>以新带老削减量</w:t>
            </w:r>
          </w:p>
          <w:p w14:paraId="199A6B04">
            <w:pPr>
              <w:pStyle w:val="56"/>
              <w:spacing w:beforeLines="0" w:afterLines="0" w:line="240" w:lineRule="auto"/>
              <w:rPr>
                <w:rFonts w:ascii="Times New Roman" w:eastAsia="仿宋_GB2312"/>
                <w:snapToGrid w:val="0"/>
                <w:spacing w:val="-16"/>
                <w:kern w:val="21"/>
                <w:szCs w:val="21"/>
              </w:rPr>
            </w:pPr>
            <w:r>
              <w:rPr>
                <w:rFonts w:ascii="Times New Roman" w:eastAsia="仿宋_GB2312"/>
                <w:snapToGrid w:val="0"/>
                <w:spacing w:val="-16"/>
                <w:kern w:val="21"/>
                <w:szCs w:val="21"/>
              </w:rPr>
              <w:t>（新建项目不填）</w:t>
            </w:r>
            <w:r>
              <w:rPr>
                <w:rFonts w:ascii="Times New Roman" w:eastAsia="仿宋_GB2312"/>
                <w:snapToGrid w:val="0"/>
                <w:spacing w:val="-16"/>
                <w:kern w:val="21"/>
                <w:szCs w:val="21"/>
              </w:rPr>
              <w:fldChar w:fldCharType="begin"/>
            </w:r>
            <w:r>
              <w:rPr>
                <w:rFonts w:ascii="Times New Roman" w:eastAsia="仿宋_GB2312"/>
                <w:snapToGrid w:val="0"/>
                <w:spacing w:val="-16"/>
                <w:kern w:val="21"/>
                <w:szCs w:val="21"/>
              </w:rPr>
              <w:instrText xml:space="preserve"> = 5 \* GB3 \* MERGEFORMAT </w:instrText>
            </w:r>
            <w:r>
              <w:rPr>
                <w:rFonts w:ascii="Times New Roman" w:eastAsia="仿宋_GB2312"/>
                <w:snapToGrid w:val="0"/>
                <w:spacing w:val="-16"/>
                <w:kern w:val="21"/>
                <w:szCs w:val="21"/>
              </w:rPr>
              <w:fldChar w:fldCharType="separate"/>
            </w:r>
            <w:r>
              <w:rPr>
                <w:rFonts w:ascii="Times New Roman" w:eastAsia="仿宋_GB2312"/>
                <w:kern w:val="2"/>
                <w:szCs w:val="21"/>
              </w:rPr>
              <w:t>⑤</w:t>
            </w:r>
            <w:r>
              <w:rPr>
                <w:rFonts w:ascii="Times New Roman" w:eastAsia="仿宋_GB2312"/>
                <w:snapToGrid w:val="0"/>
                <w:spacing w:val="-16"/>
                <w:kern w:val="21"/>
                <w:szCs w:val="21"/>
              </w:rPr>
              <w:fldChar w:fldCharType="end"/>
            </w:r>
          </w:p>
        </w:tc>
        <w:tc>
          <w:tcPr>
            <w:tcW w:w="1588" w:type="dxa"/>
            <w:tcMar>
              <w:left w:w="28" w:type="dxa"/>
              <w:right w:w="28" w:type="dxa"/>
            </w:tcMar>
            <w:vAlign w:val="center"/>
          </w:tcPr>
          <w:p w14:paraId="5B96832C">
            <w:pPr>
              <w:pStyle w:val="56"/>
              <w:spacing w:beforeLines="0" w:afterLines="0" w:line="240" w:lineRule="auto"/>
              <w:rPr>
                <w:rFonts w:ascii="Times New Roman" w:eastAsia="仿宋_GB2312"/>
                <w:snapToGrid w:val="0"/>
                <w:spacing w:val="-16"/>
                <w:kern w:val="21"/>
                <w:szCs w:val="21"/>
              </w:rPr>
            </w:pPr>
            <w:r>
              <w:rPr>
                <w:rFonts w:ascii="Times New Roman" w:eastAsia="仿宋_GB2312"/>
                <w:snapToGrid w:val="0"/>
                <w:spacing w:val="-16"/>
                <w:kern w:val="21"/>
                <w:szCs w:val="21"/>
              </w:rPr>
              <w:t>本项目建成后</w:t>
            </w:r>
          </w:p>
          <w:p w14:paraId="5EC1DA60">
            <w:pPr>
              <w:pStyle w:val="56"/>
              <w:spacing w:beforeLines="0" w:afterLines="0" w:line="240" w:lineRule="auto"/>
              <w:rPr>
                <w:rFonts w:ascii="Times New Roman" w:eastAsia="仿宋_GB2312"/>
                <w:snapToGrid w:val="0"/>
                <w:spacing w:val="-16"/>
                <w:kern w:val="21"/>
                <w:szCs w:val="21"/>
              </w:rPr>
            </w:pPr>
            <w:r>
              <w:rPr>
                <w:rFonts w:ascii="Times New Roman" w:eastAsia="仿宋_GB2312"/>
                <w:snapToGrid w:val="0"/>
                <w:spacing w:val="-16"/>
                <w:kern w:val="21"/>
                <w:szCs w:val="21"/>
              </w:rPr>
              <w:t>全厂排放量（固体废物产生量）</w:t>
            </w:r>
            <w:r>
              <w:rPr>
                <w:rFonts w:ascii="Times New Roman" w:eastAsia="仿宋_GB2312"/>
                <w:snapToGrid w:val="0"/>
                <w:spacing w:val="-16"/>
                <w:kern w:val="21"/>
                <w:szCs w:val="21"/>
              </w:rPr>
              <w:fldChar w:fldCharType="begin"/>
            </w:r>
            <w:r>
              <w:rPr>
                <w:rFonts w:ascii="Times New Roman" w:eastAsia="仿宋_GB2312"/>
                <w:snapToGrid w:val="0"/>
                <w:spacing w:val="-16"/>
                <w:kern w:val="21"/>
                <w:szCs w:val="21"/>
              </w:rPr>
              <w:instrText xml:space="preserve"> = 6 \* GB3 \* MERGEFORMAT </w:instrText>
            </w:r>
            <w:r>
              <w:rPr>
                <w:rFonts w:ascii="Times New Roman" w:eastAsia="仿宋_GB2312"/>
                <w:snapToGrid w:val="0"/>
                <w:spacing w:val="-16"/>
                <w:kern w:val="21"/>
                <w:szCs w:val="21"/>
              </w:rPr>
              <w:fldChar w:fldCharType="separate"/>
            </w:r>
            <w:r>
              <w:rPr>
                <w:rFonts w:ascii="Times New Roman" w:eastAsia="仿宋_GB2312"/>
                <w:kern w:val="2"/>
                <w:szCs w:val="21"/>
              </w:rPr>
              <w:t>⑥</w:t>
            </w:r>
            <w:r>
              <w:rPr>
                <w:rFonts w:ascii="Times New Roman" w:eastAsia="仿宋_GB2312"/>
                <w:snapToGrid w:val="0"/>
                <w:spacing w:val="-16"/>
                <w:kern w:val="21"/>
                <w:szCs w:val="21"/>
              </w:rPr>
              <w:fldChar w:fldCharType="end"/>
            </w:r>
          </w:p>
        </w:tc>
        <w:tc>
          <w:tcPr>
            <w:tcW w:w="1197" w:type="dxa"/>
            <w:tcMar>
              <w:left w:w="28" w:type="dxa"/>
              <w:right w:w="28" w:type="dxa"/>
            </w:tcMar>
            <w:vAlign w:val="center"/>
          </w:tcPr>
          <w:p w14:paraId="1F96B06D">
            <w:pPr>
              <w:pStyle w:val="56"/>
              <w:spacing w:beforeLines="0" w:afterLines="0" w:line="240" w:lineRule="auto"/>
              <w:rPr>
                <w:rFonts w:ascii="Times New Roman" w:eastAsia="仿宋_GB2312"/>
                <w:snapToGrid w:val="0"/>
                <w:spacing w:val="-6"/>
                <w:kern w:val="21"/>
                <w:szCs w:val="21"/>
              </w:rPr>
            </w:pPr>
            <w:r>
              <w:rPr>
                <w:rFonts w:ascii="Times New Roman" w:eastAsia="仿宋_GB2312"/>
                <w:snapToGrid w:val="0"/>
                <w:spacing w:val="-6"/>
                <w:kern w:val="21"/>
                <w:szCs w:val="21"/>
              </w:rPr>
              <w:t>变化量</w:t>
            </w:r>
          </w:p>
          <w:p w14:paraId="2DF917D9">
            <w:pPr>
              <w:pStyle w:val="56"/>
              <w:spacing w:beforeLines="0" w:afterLines="0" w:line="240" w:lineRule="auto"/>
              <w:rPr>
                <w:rFonts w:ascii="Times New Roman" w:eastAsia="仿宋_GB2312"/>
                <w:snapToGrid w:val="0"/>
                <w:spacing w:val="-6"/>
                <w:kern w:val="21"/>
                <w:szCs w:val="21"/>
              </w:rPr>
            </w:pPr>
            <w:r>
              <w:rPr>
                <w:rFonts w:ascii="Times New Roman" w:eastAsia="仿宋_GB2312"/>
                <w:snapToGrid w:val="0"/>
                <w:spacing w:val="-6"/>
                <w:kern w:val="21"/>
                <w:szCs w:val="21"/>
              </w:rPr>
              <w:fldChar w:fldCharType="begin"/>
            </w:r>
            <w:r>
              <w:rPr>
                <w:rFonts w:ascii="Times New Roman" w:eastAsia="仿宋_GB2312"/>
                <w:snapToGrid w:val="0"/>
                <w:spacing w:val="-6"/>
                <w:kern w:val="21"/>
                <w:szCs w:val="21"/>
              </w:rPr>
              <w:instrText xml:space="preserve"> = 7 \* GB3 \* MERGEFORMAT </w:instrText>
            </w:r>
            <w:r>
              <w:rPr>
                <w:rFonts w:ascii="Times New Roman" w:eastAsia="仿宋_GB2312"/>
                <w:snapToGrid w:val="0"/>
                <w:spacing w:val="-6"/>
                <w:kern w:val="21"/>
                <w:szCs w:val="21"/>
              </w:rPr>
              <w:fldChar w:fldCharType="separate"/>
            </w:r>
            <w:r>
              <w:rPr>
                <w:rFonts w:ascii="Times New Roman" w:eastAsia="仿宋_GB2312"/>
                <w:kern w:val="2"/>
                <w:szCs w:val="21"/>
              </w:rPr>
              <w:t>⑦</w:t>
            </w:r>
            <w:r>
              <w:rPr>
                <w:rFonts w:ascii="Times New Roman" w:eastAsia="仿宋_GB2312"/>
                <w:snapToGrid w:val="0"/>
                <w:spacing w:val="-6"/>
                <w:kern w:val="21"/>
                <w:szCs w:val="21"/>
              </w:rPr>
              <w:fldChar w:fldCharType="end"/>
            </w:r>
          </w:p>
        </w:tc>
      </w:tr>
      <w:tr w14:paraId="570E3F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681" w:type="dxa"/>
            <w:vMerge w:val="restart"/>
            <w:vAlign w:val="center"/>
          </w:tcPr>
          <w:p w14:paraId="5E40E180">
            <w:pPr>
              <w:pStyle w:val="56"/>
              <w:spacing w:beforeLines="0" w:afterLines="0" w:line="240" w:lineRule="auto"/>
              <w:rPr>
                <w:rFonts w:ascii="Times New Roman" w:eastAsia="仿宋_GB2312"/>
                <w:snapToGrid w:val="0"/>
                <w:kern w:val="21"/>
                <w:szCs w:val="21"/>
              </w:rPr>
            </w:pPr>
            <w:r>
              <w:rPr>
                <w:rFonts w:ascii="Times New Roman" w:eastAsia="仿宋_GB2312"/>
                <w:snapToGrid w:val="0"/>
                <w:kern w:val="21"/>
                <w:szCs w:val="21"/>
              </w:rPr>
              <w:t>废气</w:t>
            </w:r>
          </w:p>
        </w:tc>
        <w:tc>
          <w:tcPr>
            <w:tcW w:w="907" w:type="dxa"/>
            <w:vMerge w:val="restart"/>
            <w:vAlign w:val="center"/>
          </w:tcPr>
          <w:p w14:paraId="07EAF670">
            <w:pPr>
              <w:pStyle w:val="56"/>
              <w:spacing w:beforeLines="0" w:afterLines="0" w:line="240" w:lineRule="auto"/>
              <w:rPr>
                <w:rFonts w:hint="eastAsia" w:ascii="Times New Roman" w:eastAsia="仿宋_GB2312"/>
                <w:snapToGrid w:val="0"/>
                <w:kern w:val="21"/>
                <w:szCs w:val="21"/>
                <w:lang w:val="en-US" w:eastAsia="zh-CN"/>
              </w:rPr>
            </w:pPr>
            <w:r>
              <w:rPr>
                <w:rFonts w:hint="eastAsia" w:ascii="Times New Roman" w:eastAsia="仿宋_GB2312"/>
                <w:snapToGrid w:val="0"/>
                <w:kern w:val="21"/>
                <w:szCs w:val="21"/>
                <w:lang w:val="en-US" w:eastAsia="zh-CN"/>
              </w:rPr>
              <w:t>有组织</w:t>
            </w:r>
          </w:p>
        </w:tc>
        <w:tc>
          <w:tcPr>
            <w:tcW w:w="1417" w:type="dxa"/>
            <w:vAlign w:val="center"/>
          </w:tcPr>
          <w:p w14:paraId="2E6B042A">
            <w:pPr>
              <w:adjustRightInd w:val="0"/>
              <w:snapToGrid w:val="0"/>
              <w:jc w:val="center"/>
              <w:rPr>
                <w:rFonts w:eastAsia="仿宋_GB2312"/>
                <w:snapToGrid w:val="0"/>
                <w:kern w:val="21"/>
              </w:rPr>
            </w:pPr>
            <w:r>
              <w:rPr>
                <w:rFonts w:eastAsia="仿宋_GB2312"/>
                <w:snapToGrid w:val="0"/>
                <w:kern w:val="21"/>
              </w:rPr>
              <w:t>颗粒物</w:t>
            </w:r>
          </w:p>
        </w:tc>
        <w:tc>
          <w:tcPr>
            <w:tcW w:w="1701" w:type="dxa"/>
            <w:vAlign w:val="center"/>
          </w:tcPr>
          <w:p w14:paraId="3F43924A">
            <w:pPr>
              <w:widowControl/>
              <w:jc w:val="center"/>
              <w:textAlignment w:val="center"/>
              <w:rPr>
                <w:rFonts w:eastAsia="仿宋_GB2312"/>
                <w:snapToGrid w:val="0"/>
                <w:kern w:val="21"/>
              </w:rPr>
            </w:pPr>
            <w:r>
              <w:rPr>
                <w:rFonts w:eastAsia="仿宋_GB2312"/>
                <w:kern w:val="0"/>
                <w:sz w:val="21"/>
                <w:szCs w:val="21"/>
              </w:rPr>
              <w:t>23.889</w:t>
            </w:r>
          </w:p>
        </w:tc>
        <w:tc>
          <w:tcPr>
            <w:tcW w:w="1276" w:type="dxa"/>
            <w:vAlign w:val="center"/>
          </w:tcPr>
          <w:p w14:paraId="7EE36152">
            <w:pPr>
              <w:adjustRightInd w:val="0"/>
              <w:snapToGrid w:val="0"/>
              <w:jc w:val="center"/>
              <w:rPr>
                <w:rFonts w:eastAsia="仿宋_GB2312"/>
                <w:snapToGrid w:val="0"/>
                <w:kern w:val="21"/>
              </w:rPr>
            </w:pPr>
            <w:r>
              <w:rPr>
                <w:rFonts w:eastAsia="仿宋_GB2312"/>
                <w:snapToGrid w:val="0"/>
                <w:kern w:val="21"/>
              </w:rPr>
              <w:t>0</w:t>
            </w:r>
          </w:p>
        </w:tc>
        <w:tc>
          <w:tcPr>
            <w:tcW w:w="1701" w:type="dxa"/>
            <w:vAlign w:val="center"/>
          </w:tcPr>
          <w:p w14:paraId="2FA991E1">
            <w:pPr>
              <w:adjustRightInd w:val="0"/>
              <w:snapToGrid w:val="0"/>
              <w:jc w:val="center"/>
              <w:rPr>
                <w:rFonts w:eastAsia="仿宋_GB2312"/>
                <w:snapToGrid w:val="0"/>
                <w:kern w:val="21"/>
              </w:rPr>
            </w:pPr>
            <w:r>
              <w:rPr>
                <w:rFonts w:eastAsia="仿宋_GB2312"/>
                <w:snapToGrid w:val="0"/>
                <w:kern w:val="21"/>
              </w:rPr>
              <w:t>0</w:t>
            </w:r>
          </w:p>
        </w:tc>
        <w:tc>
          <w:tcPr>
            <w:tcW w:w="1559" w:type="dxa"/>
            <w:vAlign w:val="center"/>
          </w:tcPr>
          <w:p w14:paraId="57EF6B54">
            <w:pPr>
              <w:adjustRightInd w:val="0"/>
              <w:snapToGrid w:val="0"/>
              <w:jc w:val="center"/>
              <w:rPr>
                <w:rFonts w:hint="eastAsia" w:eastAsia="仿宋_GB2312"/>
                <w:snapToGrid w:val="0"/>
                <w:kern w:val="21"/>
                <w:lang w:eastAsia="zh-CN"/>
              </w:rPr>
            </w:pPr>
            <w:r>
              <w:rPr>
                <w:rFonts w:hint="eastAsia" w:eastAsia="仿宋_GB2312"/>
                <w:sz w:val="21"/>
                <w:szCs w:val="21"/>
                <w:lang w:val="en-US" w:eastAsia="zh-CN"/>
              </w:rPr>
              <w:t>0</w:t>
            </w:r>
          </w:p>
        </w:tc>
        <w:tc>
          <w:tcPr>
            <w:tcW w:w="1761" w:type="dxa"/>
            <w:vAlign w:val="center"/>
          </w:tcPr>
          <w:p w14:paraId="4F83E381">
            <w:pPr>
              <w:adjustRightInd w:val="0"/>
              <w:snapToGrid w:val="0"/>
              <w:jc w:val="center"/>
              <w:rPr>
                <w:rFonts w:eastAsia="仿宋_GB2312"/>
                <w:snapToGrid w:val="0"/>
                <w:kern w:val="21"/>
              </w:rPr>
            </w:pPr>
            <w:r>
              <w:rPr>
                <w:rFonts w:eastAsia="仿宋_GB2312"/>
                <w:snapToGrid w:val="0"/>
                <w:kern w:val="21"/>
              </w:rPr>
              <w:t>0</w:t>
            </w:r>
          </w:p>
        </w:tc>
        <w:tc>
          <w:tcPr>
            <w:tcW w:w="1588" w:type="dxa"/>
            <w:shd w:val="clear" w:color="auto" w:fill="auto"/>
            <w:vAlign w:val="center"/>
          </w:tcPr>
          <w:p w14:paraId="744F9420">
            <w:pPr>
              <w:widowControl/>
              <w:jc w:val="center"/>
              <w:textAlignment w:val="center"/>
              <w:rPr>
                <w:rFonts w:hint="eastAsia" w:eastAsia="仿宋_GB2312"/>
                <w:snapToGrid w:val="0"/>
                <w:color w:val="auto"/>
                <w:kern w:val="21"/>
                <w:lang w:eastAsia="zh-CN"/>
              </w:rPr>
            </w:pPr>
            <w:r>
              <w:rPr>
                <w:rFonts w:eastAsia="仿宋_GB2312"/>
                <w:kern w:val="0"/>
                <w:sz w:val="21"/>
                <w:szCs w:val="21"/>
              </w:rPr>
              <w:t>23.889</w:t>
            </w:r>
          </w:p>
        </w:tc>
        <w:tc>
          <w:tcPr>
            <w:tcW w:w="1197" w:type="dxa"/>
            <w:vAlign w:val="center"/>
          </w:tcPr>
          <w:p w14:paraId="2C11DE15">
            <w:pPr>
              <w:adjustRightInd w:val="0"/>
              <w:snapToGrid w:val="0"/>
              <w:jc w:val="center"/>
              <w:rPr>
                <w:rFonts w:eastAsia="仿宋_GB2312"/>
                <w:snapToGrid w:val="0"/>
                <w:color w:val="auto"/>
                <w:kern w:val="21"/>
              </w:rPr>
            </w:pPr>
            <w:r>
              <w:rPr>
                <w:rFonts w:hint="eastAsia" w:eastAsia="仿宋_GB2312"/>
                <w:snapToGrid w:val="0"/>
                <w:kern w:val="21"/>
              </w:rPr>
              <w:t>0</w:t>
            </w:r>
          </w:p>
        </w:tc>
      </w:tr>
      <w:tr w14:paraId="54525B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 w:hRule="atLeast"/>
        </w:trPr>
        <w:tc>
          <w:tcPr>
            <w:tcW w:w="681" w:type="dxa"/>
            <w:vMerge w:val="continue"/>
            <w:vAlign w:val="center"/>
          </w:tcPr>
          <w:p w14:paraId="7D3964E3">
            <w:pPr>
              <w:pStyle w:val="56"/>
              <w:spacing w:beforeLines="0" w:afterLines="0" w:line="240" w:lineRule="auto"/>
              <w:rPr>
                <w:rFonts w:ascii="Times New Roman" w:eastAsia="仿宋_GB2312"/>
                <w:snapToGrid w:val="0"/>
                <w:kern w:val="21"/>
                <w:szCs w:val="21"/>
              </w:rPr>
            </w:pPr>
          </w:p>
        </w:tc>
        <w:tc>
          <w:tcPr>
            <w:tcW w:w="907" w:type="dxa"/>
            <w:vMerge w:val="continue"/>
            <w:vAlign w:val="center"/>
          </w:tcPr>
          <w:p w14:paraId="2CEE7554">
            <w:pPr>
              <w:pStyle w:val="56"/>
              <w:spacing w:beforeLines="0" w:afterLines="0" w:line="240" w:lineRule="auto"/>
              <w:rPr>
                <w:rFonts w:ascii="Times New Roman" w:eastAsia="仿宋_GB2312"/>
                <w:snapToGrid w:val="0"/>
                <w:kern w:val="21"/>
                <w:szCs w:val="21"/>
              </w:rPr>
            </w:pPr>
          </w:p>
        </w:tc>
        <w:tc>
          <w:tcPr>
            <w:tcW w:w="1417" w:type="dxa"/>
            <w:vAlign w:val="center"/>
          </w:tcPr>
          <w:p w14:paraId="283F6796">
            <w:pPr>
              <w:adjustRightInd w:val="0"/>
              <w:snapToGrid w:val="0"/>
              <w:jc w:val="center"/>
              <w:rPr>
                <w:rFonts w:eastAsia="仿宋_GB2312"/>
                <w:snapToGrid w:val="0"/>
                <w:kern w:val="21"/>
              </w:rPr>
            </w:pPr>
            <w:r>
              <w:rPr>
                <w:rFonts w:eastAsia="仿宋_GB2312"/>
                <w:snapToGrid w:val="0"/>
                <w:kern w:val="21"/>
              </w:rPr>
              <w:t>SO</w:t>
            </w:r>
            <w:r>
              <w:rPr>
                <w:rFonts w:eastAsia="仿宋_GB2312"/>
                <w:snapToGrid w:val="0"/>
                <w:kern w:val="21"/>
                <w:vertAlign w:val="subscript"/>
              </w:rPr>
              <w:t>2</w:t>
            </w:r>
          </w:p>
        </w:tc>
        <w:tc>
          <w:tcPr>
            <w:tcW w:w="1701" w:type="dxa"/>
            <w:vAlign w:val="center"/>
          </w:tcPr>
          <w:p w14:paraId="47B7F1B2">
            <w:pPr>
              <w:widowControl/>
              <w:jc w:val="center"/>
              <w:textAlignment w:val="center"/>
              <w:rPr>
                <w:rFonts w:eastAsia="仿宋_GB2312"/>
                <w:snapToGrid w:val="0"/>
                <w:kern w:val="21"/>
              </w:rPr>
            </w:pPr>
            <w:r>
              <w:rPr>
                <w:rFonts w:eastAsia="仿宋_GB2312"/>
                <w:kern w:val="0"/>
                <w:sz w:val="21"/>
                <w:szCs w:val="21"/>
              </w:rPr>
              <w:t>5.6</w:t>
            </w:r>
          </w:p>
        </w:tc>
        <w:tc>
          <w:tcPr>
            <w:tcW w:w="1276" w:type="dxa"/>
            <w:vAlign w:val="center"/>
          </w:tcPr>
          <w:p w14:paraId="3C1B9FFA">
            <w:pPr>
              <w:adjustRightInd w:val="0"/>
              <w:snapToGrid w:val="0"/>
              <w:jc w:val="center"/>
              <w:rPr>
                <w:rFonts w:eastAsia="仿宋_GB2312"/>
                <w:snapToGrid w:val="0"/>
                <w:kern w:val="21"/>
              </w:rPr>
            </w:pPr>
            <w:r>
              <w:rPr>
                <w:rFonts w:eastAsia="仿宋_GB2312"/>
                <w:snapToGrid w:val="0"/>
                <w:kern w:val="21"/>
              </w:rPr>
              <w:t>0</w:t>
            </w:r>
          </w:p>
        </w:tc>
        <w:tc>
          <w:tcPr>
            <w:tcW w:w="1701" w:type="dxa"/>
            <w:vAlign w:val="center"/>
          </w:tcPr>
          <w:p w14:paraId="4782FE9F">
            <w:pPr>
              <w:adjustRightInd w:val="0"/>
              <w:snapToGrid w:val="0"/>
              <w:jc w:val="center"/>
              <w:rPr>
                <w:rFonts w:eastAsia="仿宋_GB2312"/>
                <w:snapToGrid w:val="0"/>
                <w:kern w:val="21"/>
              </w:rPr>
            </w:pPr>
            <w:r>
              <w:rPr>
                <w:rFonts w:eastAsia="仿宋_GB2312"/>
                <w:snapToGrid w:val="0"/>
                <w:kern w:val="21"/>
              </w:rPr>
              <w:t>0</w:t>
            </w:r>
          </w:p>
        </w:tc>
        <w:tc>
          <w:tcPr>
            <w:tcW w:w="1559" w:type="dxa"/>
            <w:vAlign w:val="center"/>
          </w:tcPr>
          <w:p w14:paraId="54FE88C5">
            <w:pPr>
              <w:adjustRightInd w:val="0"/>
              <w:snapToGrid w:val="0"/>
              <w:jc w:val="center"/>
              <w:rPr>
                <w:rFonts w:eastAsia="仿宋_GB2312"/>
                <w:snapToGrid w:val="0"/>
                <w:kern w:val="21"/>
              </w:rPr>
            </w:pPr>
            <w:r>
              <w:rPr>
                <w:rFonts w:eastAsia="仿宋_GB2312"/>
                <w:snapToGrid w:val="0"/>
                <w:kern w:val="21"/>
              </w:rPr>
              <w:t>0</w:t>
            </w:r>
          </w:p>
        </w:tc>
        <w:tc>
          <w:tcPr>
            <w:tcW w:w="1761" w:type="dxa"/>
            <w:vAlign w:val="center"/>
          </w:tcPr>
          <w:p w14:paraId="6E87B672">
            <w:pPr>
              <w:adjustRightInd w:val="0"/>
              <w:snapToGrid w:val="0"/>
              <w:jc w:val="center"/>
              <w:rPr>
                <w:rFonts w:eastAsia="仿宋_GB2312"/>
                <w:snapToGrid w:val="0"/>
                <w:kern w:val="21"/>
              </w:rPr>
            </w:pPr>
            <w:r>
              <w:rPr>
                <w:rFonts w:hint="eastAsia" w:eastAsia="仿宋_GB2312"/>
                <w:snapToGrid w:val="0"/>
                <w:kern w:val="21"/>
              </w:rPr>
              <w:t>0</w:t>
            </w:r>
          </w:p>
        </w:tc>
        <w:tc>
          <w:tcPr>
            <w:tcW w:w="1588" w:type="dxa"/>
            <w:vAlign w:val="center"/>
          </w:tcPr>
          <w:p w14:paraId="341CB7CE">
            <w:pPr>
              <w:widowControl/>
              <w:jc w:val="center"/>
              <w:textAlignment w:val="center"/>
              <w:rPr>
                <w:rFonts w:eastAsia="仿宋_GB2312"/>
                <w:snapToGrid w:val="0"/>
                <w:kern w:val="21"/>
              </w:rPr>
            </w:pPr>
            <w:r>
              <w:rPr>
                <w:rFonts w:eastAsia="仿宋_GB2312"/>
                <w:kern w:val="0"/>
                <w:sz w:val="21"/>
                <w:szCs w:val="21"/>
              </w:rPr>
              <w:t>5.6</w:t>
            </w:r>
          </w:p>
        </w:tc>
        <w:tc>
          <w:tcPr>
            <w:tcW w:w="1197" w:type="dxa"/>
            <w:vAlign w:val="center"/>
          </w:tcPr>
          <w:p w14:paraId="03D93F8E">
            <w:pPr>
              <w:adjustRightInd w:val="0"/>
              <w:snapToGrid w:val="0"/>
              <w:jc w:val="center"/>
              <w:rPr>
                <w:rFonts w:eastAsia="仿宋_GB2312"/>
                <w:snapToGrid w:val="0"/>
                <w:kern w:val="21"/>
              </w:rPr>
            </w:pPr>
            <w:r>
              <w:rPr>
                <w:rFonts w:hint="eastAsia" w:eastAsia="仿宋_GB2312"/>
                <w:snapToGrid w:val="0"/>
                <w:kern w:val="21"/>
              </w:rPr>
              <w:t>0</w:t>
            </w:r>
          </w:p>
        </w:tc>
      </w:tr>
      <w:tr w14:paraId="4279A8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 w:hRule="atLeast"/>
        </w:trPr>
        <w:tc>
          <w:tcPr>
            <w:tcW w:w="681" w:type="dxa"/>
            <w:vMerge w:val="continue"/>
            <w:vAlign w:val="center"/>
          </w:tcPr>
          <w:p w14:paraId="37838B7D">
            <w:pPr>
              <w:pStyle w:val="56"/>
              <w:spacing w:beforeLines="0" w:afterLines="0" w:line="240" w:lineRule="auto"/>
              <w:rPr>
                <w:rFonts w:ascii="Times New Roman" w:eastAsia="仿宋_GB2312"/>
                <w:snapToGrid w:val="0"/>
                <w:kern w:val="21"/>
                <w:szCs w:val="21"/>
              </w:rPr>
            </w:pPr>
          </w:p>
        </w:tc>
        <w:tc>
          <w:tcPr>
            <w:tcW w:w="907" w:type="dxa"/>
            <w:vMerge w:val="continue"/>
            <w:vAlign w:val="center"/>
          </w:tcPr>
          <w:p w14:paraId="545D3534">
            <w:pPr>
              <w:pStyle w:val="56"/>
              <w:spacing w:beforeLines="0" w:afterLines="0" w:line="240" w:lineRule="auto"/>
              <w:rPr>
                <w:rFonts w:ascii="Times New Roman" w:eastAsia="仿宋_GB2312"/>
                <w:snapToGrid w:val="0"/>
                <w:kern w:val="21"/>
                <w:szCs w:val="21"/>
              </w:rPr>
            </w:pPr>
          </w:p>
        </w:tc>
        <w:tc>
          <w:tcPr>
            <w:tcW w:w="1417" w:type="dxa"/>
            <w:vAlign w:val="center"/>
          </w:tcPr>
          <w:p w14:paraId="3D848E07">
            <w:pPr>
              <w:adjustRightInd w:val="0"/>
              <w:snapToGrid w:val="0"/>
              <w:jc w:val="center"/>
              <w:rPr>
                <w:rFonts w:eastAsia="仿宋_GB2312"/>
                <w:snapToGrid w:val="0"/>
                <w:kern w:val="21"/>
              </w:rPr>
            </w:pPr>
            <w:r>
              <w:rPr>
                <w:rFonts w:eastAsia="仿宋_GB2312"/>
                <w:snapToGrid w:val="0"/>
                <w:kern w:val="21"/>
              </w:rPr>
              <w:t>NO</w:t>
            </w:r>
            <w:r>
              <w:rPr>
                <w:rFonts w:eastAsia="仿宋_GB2312"/>
                <w:snapToGrid w:val="0"/>
                <w:kern w:val="21"/>
                <w:vertAlign w:val="subscript"/>
              </w:rPr>
              <w:t>X</w:t>
            </w:r>
          </w:p>
        </w:tc>
        <w:tc>
          <w:tcPr>
            <w:tcW w:w="1701" w:type="dxa"/>
            <w:vAlign w:val="center"/>
          </w:tcPr>
          <w:p w14:paraId="605D0EA8">
            <w:pPr>
              <w:widowControl/>
              <w:jc w:val="center"/>
              <w:textAlignment w:val="center"/>
              <w:rPr>
                <w:rFonts w:eastAsia="仿宋_GB2312"/>
                <w:snapToGrid w:val="0"/>
                <w:kern w:val="21"/>
              </w:rPr>
            </w:pPr>
            <w:r>
              <w:rPr>
                <w:rFonts w:eastAsia="仿宋_GB2312"/>
                <w:kern w:val="0"/>
                <w:sz w:val="21"/>
                <w:szCs w:val="21"/>
              </w:rPr>
              <w:t>2.6</w:t>
            </w:r>
          </w:p>
        </w:tc>
        <w:tc>
          <w:tcPr>
            <w:tcW w:w="1276" w:type="dxa"/>
            <w:vAlign w:val="center"/>
          </w:tcPr>
          <w:p w14:paraId="558324B9">
            <w:pPr>
              <w:adjustRightInd w:val="0"/>
              <w:snapToGrid w:val="0"/>
              <w:jc w:val="center"/>
              <w:rPr>
                <w:rFonts w:eastAsia="仿宋_GB2312"/>
                <w:snapToGrid w:val="0"/>
                <w:kern w:val="21"/>
              </w:rPr>
            </w:pPr>
            <w:r>
              <w:rPr>
                <w:rFonts w:eastAsia="仿宋_GB2312"/>
                <w:snapToGrid w:val="0"/>
                <w:kern w:val="21"/>
              </w:rPr>
              <w:t>0</w:t>
            </w:r>
          </w:p>
        </w:tc>
        <w:tc>
          <w:tcPr>
            <w:tcW w:w="1701" w:type="dxa"/>
            <w:vAlign w:val="center"/>
          </w:tcPr>
          <w:p w14:paraId="2C5B143E">
            <w:pPr>
              <w:adjustRightInd w:val="0"/>
              <w:snapToGrid w:val="0"/>
              <w:jc w:val="center"/>
              <w:rPr>
                <w:rFonts w:eastAsia="仿宋_GB2312"/>
                <w:snapToGrid w:val="0"/>
                <w:kern w:val="21"/>
              </w:rPr>
            </w:pPr>
            <w:r>
              <w:rPr>
                <w:rFonts w:eastAsia="仿宋_GB2312"/>
                <w:snapToGrid w:val="0"/>
                <w:kern w:val="21"/>
              </w:rPr>
              <w:t>0</w:t>
            </w:r>
          </w:p>
        </w:tc>
        <w:tc>
          <w:tcPr>
            <w:tcW w:w="1559" w:type="dxa"/>
            <w:vAlign w:val="center"/>
          </w:tcPr>
          <w:p w14:paraId="4B0A0AF8">
            <w:pPr>
              <w:adjustRightInd w:val="0"/>
              <w:snapToGrid w:val="0"/>
              <w:jc w:val="center"/>
              <w:rPr>
                <w:rFonts w:eastAsia="仿宋_GB2312"/>
                <w:snapToGrid w:val="0"/>
                <w:kern w:val="21"/>
              </w:rPr>
            </w:pPr>
            <w:r>
              <w:rPr>
                <w:rFonts w:eastAsia="仿宋_GB2312"/>
                <w:snapToGrid w:val="0"/>
                <w:kern w:val="21"/>
              </w:rPr>
              <w:t>0</w:t>
            </w:r>
          </w:p>
        </w:tc>
        <w:tc>
          <w:tcPr>
            <w:tcW w:w="1761" w:type="dxa"/>
            <w:vAlign w:val="center"/>
          </w:tcPr>
          <w:p w14:paraId="6B37E93B">
            <w:pPr>
              <w:adjustRightInd w:val="0"/>
              <w:snapToGrid w:val="0"/>
              <w:jc w:val="center"/>
              <w:rPr>
                <w:rFonts w:eastAsia="仿宋_GB2312"/>
                <w:snapToGrid w:val="0"/>
                <w:kern w:val="21"/>
              </w:rPr>
            </w:pPr>
            <w:r>
              <w:rPr>
                <w:rFonts w:hint="eastAsia" w:eastAsia="仿宋_GB2312"/>
                <w:snapToGrid w:val="0"/>
                <w:kern w:val="21"/>
              </w:rPr>
              <w:t>0</w:t>
            </w:r>
          </w:p>
        </w:tc>
        <w:tc>
          <w:tcPr>
            <w:tcW w:w="1588" w:type="dxa"/>
            <w:vAlign w:val="center"/>
          </w:tcPr>
          <w:p w14:paraId="58D5ED0A">
            <w:pPr>
              <w:widowControl/>
              <w:jc w:val="center"/>
              <w:textAlignment w:val="center"/>
              <w:rPr>
                <w:rFonts w:eastAsia="仿宋_GB2312"/>
                <w:snapToGrid w:val="0"/>
                <w:kern w:val="21"/>
              </w:rPr>
            </w:pPr>
            <w:r>
              <w:rPr>
                <w:rFonts w:eastAsia="仿宋_GB2312"/>
                <w:kern w:val="0"/>
                <w:sz w:val="21"/>
                <w:szCs w:val="21"/>
              </w:rPr>
              <w:t>2.6</w:t>
            </w:r>
          </w:p>
        </w:tc>
        <w:tc>
          <w:tcPr>
            <w:tcW w:w="1197" w:type="dxa"/>
            <w:vAlign w:val="center"/>
          </w:tcPr>
          <w:p w14:paraId="31BAC7CF">
            <w:pPr>
              <w:adjustRightInd w:val="0"/>
              <w:snapToGrid w:val="0"/>
              <w:jc w:val="center"/>
              <w:rPr>
                <w:rFonts w:eastAsia="仿宋_GB2312"/>
                <w:snapToGrid w:val="0"/>
                <w:kern w:val="21"/>
              </w:rPr>
            </w:pPr>
            <w:r>
              <w:rPr>
                <w:rFonts w:hint="eastAsia" w:eastAsia="仿宋_GB2312"/>
                <w:snapToGrid w:val="0"/>
                <w:kern w:val="21"/>
              </w:rPr>
              <w:t>0</w:t>
            </w:r>
          </w:p>
        </w:tc>
      </w:tr>
      <w:tr w14:paraId="762A22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 w:hRule="atLeast"/>
        </w:trPr>
        <w:tc>
          <w:tcPr>
            <w:tcW w:w="681" w:type="dxa"/>
            <w:vMerge w:val="continue"/>
            <w:vAlign w:val="center"/>
          </w:tcPr>
          <w:p w14:paraId="5E6AD8BC">
            <w:pPr>
              <w:pStyle w:val="56"/>
              <w:spacing w:beforeLines="0" w:afterLines="0" w:line="240" w:lineRule="auto"/>
              <w:rPr>
                <w:rFonts w:ascii="Times New Roman" w:eastAsia="仿宋_GB2312"/>
                <w:snapToGrid w:val="0"/>
                <w:kern w:val="21"/>
                <w:szCs w:val="21"/>
              </w:rPr>
            </w:pPr>
          </w:p>
        </w:tc>
        <w:tc>
          <w:tcPr>
            <w:tcW w:w="907" w:type="dxa"/>
            <w:vMerge w:val="continue"/>
            <w:vAlign w:val="center"/>
          </w:tcPr>
          <w:p w14:paraId="229DA47F">
            <w:pPr>
              <w:pStyle w:val="56"/>
              <w:spacing w:beforeLines="0" w:afterLines="0" w:line="240" w:lineRule="auto"/>
              <w:rPr>
                <w:rFonts w:ascii="Times New Roman" w:eastAsia="仿宋_GB2312"/>
                <w:snapToGrid w:val="0"/>
                <w:kern w:val="21"/>
                <w:szCs w:val="21"/>
              </w:rPr>
            </w:pPr>
          </w:p>
        </w:tc>
        <w:tc>
          <w:tcPr>
            <w:tcW w:w="1417" w:type="dxa"/>
            <w:vAlign w:val="center"/>
          </w:tcPr>
          <w:p w14:paraId="77C590D3">
            <w:pPr>
              <w:adjustRightInd w:val="0"/>
              <w:snapToGrid w:val="0"/>
              <w:jc w:val="center"/>
              <w:rPr>
                <w:rFonts w:eastAsia="仿宋_GB2312"/>
                <w:snapToGrid w:val="0"/>
                <w:kern w:val="21"/>
              </w:rPr>
            </w:pPr>
            <w:r>
              <w:rPr>
                <w:rFonts w:eastAsia="仿宋_GB2312"/>
                <w:snapToGrid w:val="0"/>
                <w:kern w:val="21"/>
              </w:rPr>
              <w:t>烟尘</w:t>
            </w:r>
          </w:p>
        </w:tc>
        <w:tc>
          <w:tcPr>
            <w:tcW w:w="1701" w:type="dxa"/>
            <w:vAlign w:val="center"/>
          </w:tcPr>
          <w:p w14:paraId="0F4B2EBF">
            <w:pPr>
              <w:widowControl/>
              <w:jc w:val="center"/>
              <w:textAlignment w:val="center"/>
              <w:rPr>
                <w:rFonts w:eastAsia="仿宋_GB2312"/>
                <w:snapToGrid w:val="0"/>
                <w:kern w:val="21"/>
              </w:rPr>
            </w:pPr>
            <w:r>
              <w:rPr>
                <w:rFonts w:eastAsia="仿宋_GB2312"/>
                <w:kern w:val="0"/>
                <w:sz w:val="21"/>
                <w:szCs w:val="21"/>
              </w:rPr>
              <w:t>0.133</w:t>
            </w:r>
          </w:p>
        </w:tc>
        <w:tc>
          <w:tcPr>
            <w:tcW w:w="1276" w:type="dxa"/>
            <w:vAlign w:val="center"/>
          </w:tcPr>
          <w:p w14:paraId="19DA1E17">
            <w:pPr>
              <w:adjustRightInd w:val="0"/>
              <w:snapToGrid w:val="0"/>
              <w:jc w:val="center"/>
              <w:rPr>
                <w:rFonts w:eastAsia="仿宋_GB2312"/>
                <w:snapToGrid w:val="0"/>
                <w:kern w:val="21"/>
              </w:rPr>
            </w:pPr>
            <w:r>
              <w:rPr>
                <w:rFonts w:eastAsia="仿宋_GB2312"/>
                <w:snapToGrid w:val="0"/>
                <w:kern w:val="21"/>
              </w:rPr>
              <w:t>0</w:t>
            </w:r>
          </w:p>
        </w:tc>
        <w:tc>
          <w:tcPr>
            <w:tcW w:w="1701" w:type="dxa"/>
            <w:vAlign w:val="center"/>
          </w:tcPr>
          <w:p w14:paraId="7415A713">
            <w:pPr>
              <w:adjustRightInd w:val="0"/>
              <w:snapToGrid w:val="0"/>
              <w:jc w:val="center"/>
              <w:rPr>
                <w:rFonts w:eastAsia="仿宋_GB2312"/>
                <w:snapToGrid w:val="0"/>
                <w:kern w:val="21"/>
              </w:rPr>
            </w:pPr>
            <w:r>
              <w:rPr>
                <w:rFonts w:eastAsia="仿宋_GB2312"/>
                <w:snapToGrid w:val="0"/>
                <w:kern w:val="21"/>
              </w:rPr>
              <w:t>0</w:t>
            </w:r>
          </w:p>
        </w:tc>
        <w:tc>
          <w:tcPr>
            <w:tcW w:w="1559" w:type="dxa"/>
            <w:vAlign w:val="center"/>
          </w:tcPr>
          <w:p w14:paraId="01441295">
            <w:pPr>
              <w:adjustRightInd w:val="0"/>
              <w:snapToGrid w:val="0"/>
              <w:jc w:val="center"/>
              <w:rPr>
                <w:rFonts w:eastAsia="仿宋_GB2312"/>
                <w:snapToGrid w:val="0"/>
                <w:kern w:val="21"/>
              </w:rPr>
            </w:pPr>
            <w:r>
              <w:rPr>
                <w:rFonts w:eastAsia="仿宋_GB2312"/>
                <w:snapToGrid w:val="0"/>
                <w:kern w:val="21"/>
              </w:rPr>
              <w:t>0</w:t>
            </w:r>
          </w:p>
        </w:tc>
        <w:tc>
          <w:tcPr>
            <w:tcW w:w="1761" w:type="dxa"/>
            <w:vAlign w:val="center"/>
          </w:tcPr>
          <w:p w14:paraId="27EA3142">
            <w:pPr>
              <w:adjustRightInd w:val="0"/>
              <w:snapToGrid w:val="0"/>
              <w:jc w:val="center"/>
              <w:rPr>
                <w:rFonts w:eastAsia="仿宋_GB2312"/>
                <w:snapToGrid w:val="0"/>
                <w:kern w:val="21"/>
              </w:rPr>
            </w:pPr>
            <w:r>
              <w:rPr>
                <w:rFonts w:hint="eastAsia" w:eastAsia="仿宋_GB2312"/>
                <w:snapToGrid w:val="0"/>
                <w:kern w:val="21"/>
              </w:rPr>
              <w:t>0</w:t>
            </w:r>
          </w:p>
        </w:tc>
        <w:tc>
          <w:tcPr>
            <w:tcW w:w="1588" w:type="dxa"/>
            <w:vAlign w:val="center"/>
          </w:tcPr>
          <w:p w14:paraId="756A405A">
            <w:pPr>
              <w:widowControl/>
              <w:jc w:val="center"/>
              <w:textAlignment w:val="center"/>
              <w:rPr>
                <w:rFonts w:eastAsia="仿宋_GB2312"/>
                <w:snapToGrid w:val="0"/>
                <w:kern w:val="21"/>
              </w:rPr>
            </w:pPr>
            <w:r>
              <w:rPr>
                <w:rFonts w:eastAsia="仿宋_GB2312"/>
                <w:kern w:val="0"/>
                <w:sz w:val="21"/>
                <w:szCs w:val="21"/>
              </w:rPr>
              <w:t>0.133</w:t>
            </w:r>
          </w:p>
        </w:tc>
        <w:tc>
          <w:tcPr>
            <w:tcW w:w="1197" w:type="dxa"/>
            <w:vAlign w:val="center"/>
          </w:tcPr>
          <w:p w14:paraId="7B2283E7">
            <w:pPr>
              <w:adjustRightInd w:val="0"/>
              <w:snapToGrid w:val="0"/>
              <w:jc w:val="center"/>
              <w:rPr>
                <w:rFonts w:eastAsia="仿宋_GB2312"/>
                <w:snapToGrid w:val="0"/>
                <w:kern w:val="21"/>
              </w:rPr>
            </w:pPr>
            <w:r>
              <w:rPr>
                <w:rFonts w:hint="eastAsia" w:eastAsia="仿宋_GB2312"/>
                <w:snapToGrid w:val="0"/>
                <w:kern w:val="21"/>
              </w:rPr>
              <w:t>0</w:t>
            </w:r>
          </w:p>
        </w:tc>
      </w:tr>
      <w:tr w14:paraId="7F2943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 w:hRule="atLeast"/>
        </w:trPr>
        <w:tc>
          <w:tcPr>
            <w:tcW w:w="681" w:type="dxa"/>
            <w:vMerge w:val="continue"/>
            <w:vAlign w:val="center"/>
          </w:tcPr>
          <w:p w14:paraId="6783B3A0">
            <w:pPr>
              <w:pStyle w:val="56"/>
              <w:spacing w:beforeLines="0" w:afterLines="0" w:line="240" w:lineRule="auto"/>
              <w:rPr>
                <w:rFonts w:ascii="Times New Roman" w:eastAsia="仿宋_GB2312"/>
                <w:snapToGrid w:val="0"/>
                <w:kern w:val="21"/>
                <w:szCs w:val="21"/>
              </w:rPr>
            </w:pPr>
          </w:p>
        </w:tc>
        <w:tc>
          <w:tcPr>
            <w:tcW w:w="907" w:type="dxa"/>
            <w:vMerge w:val="restart"/>
            <w:vAlign w:val="center"/>
          </w:tcPr>
          <w:p w14:paraId="0DBDFA98">
            <w:pPr>
              <w:pStyle w:val="56"/>
              <w:spacing w:beforeLines="0" w:afterLines="0" w:line="240" w:lineRule="auto"/>
              <w:rPr>
                <w:rFonts w:hint="eastAsia" w:ascii="Times New Roman" w:eastAsia="仿宋_GB2312"/>
                <w:snapToGrid w:val="0"/>
                <w:kern w:val="21"/>
                <w:szCs w:val="21"/>
                <w:lang w:val="en-US" w:eastAsia="zh-CN"/>
              </w:rPr>
            </w:pPr>
            <w:r>
              <w:rPr>
                <w:rFonts w:hint="eastAsia" w:ascii="Times New Roman" w:eastAsia="仿宋_GB2312"/>
                <w:snapToGrid w:val="0"/>
                <w:kern w:val="21"/>
                <w:szCs w:val="21"/>
                <w:lang w:val="en-US" w:eastAsia="zh-CN"/>
              </w:rPr>
              <w:t>无组织</w:t>
            </w:r>
          </w:p>
        </w:tc>
        <w:tc>
          <w:tcPr>
            <w:tcW w:w="1417" w:type="dxa"/>
            <w:shd w:val="clear" w:color="auto" w:fill="auto"/>
            <w:vAlign w:val="center"/>
          </w:tcPr>
          <w:p w14:paraId="6BF443C6">
            <w:pPr>
              <w:adjustRightInd w:val="0"/>
              <w:snapToGrid w:val="0"/>
              <w:jc w:val="center"/>
              <w:rPr>
                <w:rFonts w:hint="default" w:ascii="Times New Roman" w:hAnsi="Times New Roman" w:eastAsia="仿宋_GB2312" w:cs="Times New Roman"/>
                <w:snapToGrid w:val="0"/>
                <w:color w:val="FF0000"/>
                <w:kern w:val="21"/>
                <w:sz w:val="21"/>
                <w:szCs w:val="21"/>
                <w:lang w:val="en-US" w:eastAsia="zh-CN" w:bidi="ar-SA"/>
              </w:rPr>
            </w:pPr>
            <w:r>
              <w:rPr>
                <w:rFonts w:hint="eastAsia" w:eastAsia="仿宋_GB2312"/>
                <w:kern w:val="0"/>
                <w:lang w:val="en-US" w:eastAsia="zh-CN"/>
              </w:rPr>
              <w:t>非甲烷总烃</w:t>
            </w:r>
          </w:p>
        </w:tc>
        <w:tc>
          <w:tcPr>
            <w:tcW w:w="1701" w:type="dxa"/>
            <w:shd w:val="clear" w:color="auto" w:fill="auto"/>
            <w:vAlign w:val="center"/>
          </w:tcPr>
          <w:p w14:paraId="256AE186">
            <w:pPr>
              <w:adjustRightInd w:val="0"/>
              <w:snapToGrid w:val="0"/>
              <w:jc w:val="center"/>
              <w:rPr>
                <w:rFonts w:hint="eastAsia" w:ascii="Times New Roman" w:hAnsi="Times New Roman" w:eastAsia="仿宋_GB2312" w:cs="Times New Roman"/>
                <w:snapToGrid w:val="0"/>
                <w:kern w:val="21"/>
                <w:sz w:val="21"/>
                <w:szCs w:val="21"/>
                <w:lang w:val="en-US" w:eastAsia="zh-CN" w:bidi="ar-SA"/>
              </w:rPr>
            </w:pPr>
            <w:r>
              <w:rPr>
                <w:rFonts w:hint="eastAsia" w:eastAsia="仿宋_GB2312"/>
                <w:snapToGrid w:val="0"/>
                <w:kern w:val="21"/>
              </w:rPr>
              <w:t>0.7</w:t>
            </w:r>
            <w:r>
              <w:rPr>
                <w:rFonts w:hint="eastAsia" w:eastAsia="仿宋_GB2312"/>
                <w:snapToGrid w:val="0"/>
                <w:kern w:val="21"/>
                <w:lang w:val="en-US" w:eastAsia="zh-CN"/>
              </w:rPr>
              <w:t>6</w:t>
            </w:r>
          </w:p>
        </w:tc>
        <w:tc>
          <w:tcPr>
            <w:tcW w:w="1276" w:type="dxa"/>
            <w:shd w:val="clear" w:color="auto" w:fill="auto"/>
            <w:vAlign w:val="center"/>
          </w:tcPr>
          <w:p w14:paraId="14A827D4">
            <w:pPr>
              <w:adjustRightInd w:val="0"/>
              <w:snapToGrid w:val="0"/>
              <w:jc w:val="center"/>
              <w:rPr>
                <w:rFonts w:hint="eastAsia" w:ascii="Times New Roman" w:hAnsi="Times New Roman" w:eastAsia="仿宋_GB2312" w:cs="Times New Roman"/>
                <w:snapToGrid w:val="0"/>
                <w:kern w:val="21"/>
                <w:sz w:val="21"/>
                <w:szCs w:val="21"/>
                <w:lang w:val="en-US" w:eastAsia="zh-CN" w:bidi="ar-SA"/>
              </w:rPr>
            </w:pPr>
            <w:r>
              <w:rPr>
                <w:rFonts w:eastAsia="仿宋_GB2312"/>
                <w:snapToGrid w:val="0"/>
                <w:kern w:val="21"/>
              </w:rPr>
              <w:t>0</w:t>
            </w:r>
          </w:p>
        </w:tc>
        <w:tc>
          <w:tcPr>
            <w:tcW w:w="1701" w:type="dxa"/>
            <w:shd w:val="clear" w:color="auto" w:fill="auto"/>
            <w:vAlign w:val="center"/>
          </w:tcPr>
          <w:p w14:paraId="7C6D9BC7">
            <w:pPr>
              <w:adjustRightInd w:val="0"/>
              <w:snapToGrid w:val="0"/>
              <w:jc w:val="center"/>
              <w:rPr>
                <w:rFonts w:hint="eastAsia" w:ascii="Times New Roman" w:hAnsi="Times New Roman" w:eastAsia="仿宋_GB2312" w:cs="Times New Roman"/>
                <w:snapToGrid w:val="0"/>
                <w:kern w:val="21"/>
                <w:sz w:val="21"/>
                <w:szCs w:val="21"/>
                <w:lang w:val="en-US" w:eastAsia="zh-CN" w:bidi="ar-SA"/>
              </w:rPr>
            </w:pPr>
            <w:r>
              <w:rPr>
                <w:rFonts w:eastAsia="仿宋_GB2312"/>
                <w:snapToGrid w:val="0"/>
                <w:kern w:val="21"/>
              </w:rPr>
              <w:t>0</w:t>
            </w:r>
          </w:p>
        </w:tc>
        <w:tc>
          <w:tcPr>
            <w:tcW w:w="1559" w:type="dxa"/>
            <w:shd w:val="clear" w:color="auto" w:fill="auto"/>
            <w:vAlign w:val="center"/>
          </w:tcPr>
          <w:p w14:paraId="08BB61E5">
            <w:pPr>
              <w:adjustRightInd w:val="0"/>
              <w:snapToGrid w:val="0"/>
              <w:jc w:val="center"/>
              <w:rPr>
                <w:rFonts w:ascii="Times New Roman" w:hAnsi="Times New Roman" w:eastAsia="仿宋_GB2312" w:cs="Times New Roman"/>
                <w:snapToGrid w:val="0"/>
                <w:kern w:val="21"/>
                <w:sz w:val="21"/>
                <w:szCs w:val="21"/>
                <w:lang w:val="en-US" w:eastAsia="zh-CN" w:bidi="ar-SA"/>
              </w:rPr>
            </w:pPr>
            <w:r>
              <w:rPr>
                <w:rFonts w:hint="eastAsia" w:eastAsia="仿宋_GB2312"/>
                <w:snapToGrid w:val="0"/>
                <w:kern w:val="21"/>
              </w:rPr>
              <w:t>0.01</w:t>
            </w:r>
          </w:p>
        </w:tc>
        <w:tc>
          <w:tcPr>
            <w:tcW w:w="1761" w:type="dxa"/>
            <w:shd w:val="clear" w:color="auto" w:fill="auto"/>
            <w:vAlign w:val="center"/>
          </w:tcPr>
          <w:p w14:paraId="0D3B8671">
            <w:pPr>
              <w:adjustRightInd w:val="0"/>
              <w:snapToGrid w:val="0"/>
              <w:jc w:val="center"/>
              <w:rPr>
                <w:rFonts w:hint="eastAsia" w:ascii="Times New Roman" w:hAnsi="Times New Roman" w:eastAsia="仿宋_GB2312" w:cs="Times New Roman"/>
                <w:snapToGrid w:val="0"/>
                <w:kern w:val="21"/>
                <w:sz w:val="21"/>
                <w:szCs w:val="21"/>
                <w:lang w:val="en-US" w:eastAsia="zh-CN" w:bidi="ar-SA"/>
              </w:rPr>
            </w:pPr>
            <w:r>
              <w:rPr>
                <w:rFonts w:hint="eastAsia" w:eastAsia="仿宋_GB2312"/>
                <w:snapToGrid w:val="0"/>
                <w:kern w:val="21"/>
              </w:rPr>
              <w:t>0</w:t>
            </w:r>
          </w:p>
        </w:tc>
        <w:tc>
          <w:tcPr>
            <w:tcW w:w="1588" w:type="dxa"/>
            <w:shd w:val="clear" w:color="auto" w:fill="auto"/>
            <w:vAlign w:val="center"/>
          </w:tcPr>
          <w:p w14:paraId="45666FBA">
            <w:pPr>
              <w:adjustRightInd w:val="0"/>
              <w:snapToGrid w:val="0"/>
              <w:jc w:val="center"/>
              <w:rPr>
                <w:rFonts w:hint="eastAsia" w:ascii="Times New Roman" w:hAnsi="Times New Roman" w:eastAsia="仿宋_GB2312" w:cs="Times New Roman"/>
                <w:snapToGrid w:val="0"/>
                <w:kern w:val="21"/>
                <w:sz w:val="21"/>
                <w:szCs w:val="21"/>
                <w:lang w:val="en-US" w:eastAsia="zh-CN" w:bidi="ar-SA"/>
              </w:rPr>
            </w:pPr>
            <w:r>
              <w:rPr>
                <w:rFonts w:hint="eastAsia" w:eastAsia="仿宋_GB2312"/>
                <w:snapToGrid w:val="0"/>
                <w:kern w:val="21"/>
              </w:rPr>
              <w:t>0.7</w:t>
            </w:r>
            <w:r>
              <w:rPr>
                <w:rFonts w:hint="eastAsia" w:eastAsia="仿宋_GB2312"/>
                <w:snapToGrid w:val="0"/>
                <w:kern w:val="21"/>
                <w:lang w:val="en-US" w:eastAsia="zh-CN"/>
              </w:rPr>
              <w:t>7</w:t>
            </w:r>
          </w:p>
        </w:tc>
        <w:tc>
          <w:tcPr>
            <w:tcW w:w="1197" w:type="dxa"/>
            <w:shd w:val="clear" w:color="auto" w:fill="auto"/>
            <w:vAlign w:val="center"/>
          </w:tcPr>
          <w:p w14:paraId="6647813B">
            <w:pPr>
              <w:adjustRightInd w:val="0"/>
              <w:snapToGrid w:val="0"/>
              <w:jc w:val="center"/>
              <w:rPr>
                <w:rFonts w:hint="eastAsia" w:ascii="Times New Roman" w:hAnsi="Times New Roman" w:eastAsia="仿宋_GB2312" w:cs="Times New Roman"/>
                <w:snapToGrid w:val="0"/>
                <w:kern w:val="21"/>
                <w:sz w:val="21"/>
                <w:szCs w:val="21"/>
                <w:lang w:val="en-US" w:eastAsia="zh-CN" w:bidi="ar-SA"/>
              </w:rPr>
            </w:pPr>
            <w:r>
              <w:rPr>
                <w:rFonts w:hint="eastAsia" w:eastAsia="仿宋_GB2312"/>
                <w:snapToGrid w:val="0"/>
                <w:kern w:val="21"/>
              </w:rPr>
              <w:t>+</w:t>
            </w:r>
            <w:r>
              <w:rPr>
                <w:rFonts w:eastAsia="仿宋_GB2312"/>
                <w:snapToGrid w:val="0"/>
                <w:kern w:val="21"/>
              </w:rPr>
              <w:t>0.01</w:t>
            </w:r>
          </w:p>
        </w:tc>
      </w:tr>
      <w:tr w14:paraId="0E318C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 w:hRule="atLeast"/>
        </w:trPr>
        <w:tc>
          <w:tcPr>
            <w:tcW w:w="681" w:type="dxa"/>
            <w:vMerge w:val="continue"/>
            <w:vAlign w:val="center"/>
          </w:tcPr>
          <w:p w14:paraId="5BE00CCC">
            <w:pPr>
              <w:pStyle w:val="56"/>
              <w:spacing w:beforeLines="0" w:afterLines="0" w:line="240" w:lineRule="auto"/>
              <w:rPr>
                <w:rFonts w:ascii="Times New Roman" w:eastAsia="仿宋_GB2312"/>
                <w:snapToGrid w:val="0"/>
                <w:kern w:val="21"/>
                <w:szCs w:val="21"/>
              </w:rPr>
            </w:pPr>
          </w:p>
        </w:tc>
        <w:tc>
          <w:tcPr>
            <w:tcW w:w="907" w:type="dxa"/>
            <w:vMerge w:val="continue"/>
            <w:vAlign w:val="center"/>
          </w:tcPr>
          <w:p w14:paraId="65968026">
            <w:pPr>
              <w:pStyle w:val="56"/>
              <w:spacing w:beforeLines="0" w:afterLines="0" w:line="240" w:lineRule="auto"/>
              <w:rPr>
                <w:rFonts w:ascii="Times New Roman" w:eastAsia="仿宋_GB2312"/>
                <w:snapToGrid w:val="0"/>
                <w:kern w:val="21"/>
                <w:szCs w:val="21"/>
              </w:rPr>
            </w:pPr>
          </w:p>
        </w:tc>
        <w:tc>
          <w:tcPr>
            <w:tcW w:w="1417" w:type="dxa"/>
            <w:vAlign w:val="center"/>
          </w:tcPr>
          <w:p w14:paraId="3DFB6F91">
            <w:pPr>
              <w:adjustRightInd w:val="0"/>
              <w:snapToGrid w:val="0"/>
              <w:jc w:val="center"/>
              <w:rPr>
                <w:rFonts w:hint="eastAsia" w:eastAsia="仿宋_GB2312"/>
                <w:kern w:val="0"/>
              </w:rPr>
            </w:pPr>
            <w:r>
              <w:rPr>
                <w:rFonts w:eastAsia="仿宋_GB2312"/>
                <w:snapToGrid w:val="0"/>
                <w:kern w:val="21"/>
              </w:rPr>
              <w:t>颗粒物</w:t>
            </w:r>
          </w:p>
        </w:tc>
        <w:tc>
          <w:tcPr>
            <w:tcW w:w="1701" w:type="dxa"/>
            <w:vAlign w:val="center"/>
          </w:tcPr>
          <w:p w14:paraId="694524A9">
            <w:pPr>
              <w:adjustRightInd w:val="0"/>
              <w:snapToGrid w:val="0"/>
              <w:jc w:val="center"/>
              <w:rPr>
                <w:rFonts w:hint="eastAsia" w:eastAsia="仿宋_GB2312"/>
                <w:snapToGrid w:val="0"/>
                <w:kern w:val="21"/>
                <w:lang w:val="en-US" w:eastAsia="zh-CN"/>
              </w:rPr>
            </w:pPr>
            <w:r>
              <w:rPr>
                <w:rFonts w:hint="eastAsia" w:eastAsia="仿宋_GB2312"/>
                <w:snapToGrid w:val="0"/>
                <w:kern w:val="21"/>
                <w:lang w:val="en-US" w:eastAsia="zh-CN"/>
              </w:rPr>
              <w:t>0</w:t>
            </w:r>
          </w:p>
        </w:tc>
        <w:tc>
          <w:tcPr>
            <w:tcW w:w="1276" w:type="dxa"/>
            <w:vAlign w:val="center"/>
          </w:tcPr>
          <w:p w14:paraId="03485FBB">
            <w:pPr>
              <w:adjustRightInd w:val="0"/>
              <w:snapToGrid w:val="0"/>
              <w:jc w:val="center"/>
              <w:rPr>
                <w:rFonts w:hint="eastAsia" w:eastAsia="仿宋_GB2312"/>
                <w:snapToGrid w:val="0"/>
                <w:kern w:val="21"/>
                <w:lang w:val="en-US" w:eastAsia="zh-CN"/>
              </w:rPr>
            </w:pPr>
            <w:r>
              <w:rPr>
                <w:rFonts w:hint="eastAsia" w:eastAsia="仿宋_GB2312"/>
                <w:snapToGrid w:val="0"/>
                <w:kern w:val="21"/>
                <w:lang w:val="en-US" w:eastAsia="zh-CN"/>
              </w:rPr>
              <w:t>0</w:t>
            </w:r>
          </w:p>
        </w:tc>
        <w:tc>
          <w:tcPr>
            <w:tcW w:w="1701" w:type="dxa"/>
            <w:vAlign w:val="center"/>
          </w:tcPr>
          <w:p w14:paraId="588D7A9D">
            <w:pPr>
              <w:adjustRightInd w:val="0"/>
              <w:snapToGrid w:val="0"/>
              <w:jc w:val="center"/>
              <w:rPr>
                <w:rFonts w:hint="eastAsia" w:eastAsia="仿宋_GB2312"/>
                <w:snapToGrid w:val="0"/>
                <w:kern w:val="21"/>
                <w:lang w:val="en-US" w:eastAsia="zh-CN"/>
              </w:rPr>
            </w:pPr>
            <w:r>
              <w:rPr>
                <w:rFonts w:hint="eastAsia" w:eastAsia="仿宋_GB2312"/>
                <w:snapToGrid w:val="0"/>
                <w:kern w:val="21"/>
                <w:lang w:val="en-US" w:eastAsia="zh-CN"/>
              </w:rPr>
              <w:t>0</w:t>
            </w:r>
          </w:p>
        </w:tc>
        <w:tc>
          <w:tcPr>
            <w:tcW w:w="1559" w:type="dxa"/>
            <w:vAlign w:val="center"/>
          </w:tcPr>
          <w:p w14:paraId="644211D6">
            <w:pPr>
              <w:adjustRightInd w:val="0"/>
              <w:snapToGrid w:val="0"/>
              <w:jc w:val="center"/>
              <w:rPr>
                <w:rFonts w:eastAsia="仿宋_GB2312"/>
                <w:snapToGrid w:val="0"/>
                <w:kern w:val="21"/>
              </w:rPr>
            </w:pPr>
            <w:r>
              <w:rPr>
                <w:rFonts w:hint="eastAsia" w:eastAsia="仿宋_GB2312"/>
                <w:sz w:val="21"/>
                <w:szCs w:val="21"/>
              </w:rPr>
              <w:t>0.0</w:t>
            </w:r>
            <w:r>
              <w:rPr>
                <w:rFonts w:hint="eastAsia" w:eastAsia="仿宋_GB2312"/>
                <w:sz w:val="21"/>
                <w:szCs w:val="21"/>
                <w:lang w:val="en-US" w:eastAsia="zh-CN"/>
              </w:rPr>
              <w:t>719</w:t>
            </w:r>
          </w:p>
        </w:tc>
        <w:tc>
          <w:tcPr>
            <w:tcW w:w="1761" w:type="dxa"/>
            <w:vAlign w:val="center"/>
          </w:tcPr>
          <w:p w14:paraId="0D00BC52">
            <w:pPr>
              <w:adjustRightInd w:val="0"/>
              <w:snapToGrid w:val="0"/>
              <w:jc w:val="center"/>
              <w:rPr>
                <w:rFonts w:hint="eastAsia" w:eastAsia="仿宋_GB2312"/>
                <w:snapToGrid w:val="0"/>
                <w:kern w:val="21"/>
                <w:lang w:val="en-US" w:eastAsia="zh-CN"/>
              </w:rPr>
            </w:pPr>
            <w:r>
              <w:rPr>
                <w:rFonts w:hint="eastAsia" w:eastAsia="仿宋_GB2312"/>
                <w:snapToGrid w:val="0"/>
                <w:kern w:val="21"/>
                <w:lang w:val="en-US" w:eastAsia="zh-CN"/>
              </w:rPr>
              <w:t>0</w:t>
            </w:r>
          </w:p>
        </w:tc>
        <w:tc>
          <w:tcPr>
            <w:tcW w:w="1588" w:type="dxa"/>
            <w:vAlign w:val="center"/>
          </w:tcPr>
          <w:p w14:paraId="70952AD9">
            <w:pPr>
              <w:adjustRightInd w:val="0"/>
              <w:snapToGrid w:val="0"/>
              <w:jc w:val="center"/>
              <w:rPr>
                <w:rFonts w:hint="eastAsia" w:eastAsia="仿宋_GB2312"/>
                <w:snapToGrid w:val="0"/>
                <w:kern w:val="21"/>
              </w:rPr>
            </w:pPr>
            <w:r>
              <w:rPr>
                <w:rFonts w:hint="eastAsia" w:eastAsia="仿宋_GB2312"/>
                <w:sz w:val="21"/>
                <w:szCs w:val="21"/>
              </w:rPr>
              <w:t>0.0</w:t>
            </w:r>
            <w:r>
              <w:rPr>
                <w:rFonts w:hint="eastAsia" w:eastAsia="仿宋_GB2312"/>
                <w:sz w:val="21"/>
                <w:szCs w:val="21"/>
                <w:lang w:val="en-US" w:eastAsia="zh-CN"/>
              </w:rPr>
              <w:t>719</w:t>
            </w:r>
          </w:p>
        </w:tc>
        <w:tc>
          <w:tcPr>
            <w:tcW w:w="1197" w:type="dxa"/>
            <w:vAlign w:val="center"/>
          </w:tcPr>
          <w:p w14:paraId="21B561D9">
            <w:pPr>
              <w:adjustRightInd w:val="0"/>
              <w:snapToGrid w:val="0"/>
              <w:jc w:val="center"/>
              <w:rPr>
                <w:rFonts w:hint="eastAsia" w:eastAsia="仿宋_GB2312"/>
                <w:snapToGrid w:val="0"/>
                <w:kern w:val="21"/>
              </w:rPr>
            </w:pPr>
            <w:r>
              <w:rPr>
                <w:rFonts w:hint="eastAsia" w:eastAsia="仿宋_GB2312"/>
                <w:snapToGrid w:val="0"/>
                <w:color w:val="auto"/>
                <w:kern w:val="21"/>
              </w:rPr>
              <w:t>+</w:t>
            </w:r>
            <w:r>
              <w:rPr>
                <w:rFonts w:hint="eastAsia" w:eastAsia="仿宋_GB2312"/>
                <w:color w:val="auto"/>
                <w:sz w:val="21"/>
                <w:szCs w:val="21"/>
              </w:rPr>
              <w:t>0.0</w:t>
            </w:r>
            <w:r>
              <w:rPr>
                <w:rFonts w:hint="eastAsia" w:eastAsia="仿宋_GB2312"/>
                <w:color w:val="auto"/>
                <w:sz w:val="21"/>
                <w:szCs w:val="21"/>
                <w:lang w:val="en-US" w:eastAsia="zh-CN"/>
              </w:rPr>
              <w:t>719</w:t>
            </w:r>
          </w:p>
        </w:tc>
      </w:tr>
      <w:tr w14:paraId="028472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 w:hRule="atLeast"/>
        </w:trPr>
        <w:tc>
          <w:tcPr>
            <w:tcW w:w="681" w:type="dxa"/>
            <w:vMerge w:val="continue"/>
            <w:vAlign w:val="center"/>
          </w:tcPr>
          <w:p w14:paraId="5A45639B">
            <w:pPr>
              <w:pStyle w:val="56"/>
              <w:spacing w:beforeLines="0" w:afterLines="0" w:line="240" w:lineRule="auto"/>
              <w:rPr>
                <w:rFonts w:ascii="Times New Roman" w:eastAsia="仿宋_GB2312"/>
                <w:snapToGrid w:val="0"/>
                <w:kern w:val="21"/>
                <w:szCs w:val="21"/>
              </w:rPr>
            </w:pPr>
          </w:p>
        </w:tc>
        <w:tc>
          <w:tcPr>
            <w:tcW w:w="907" w:type="dxa"/>
            <w:vMerge w:val="continue"/>
            <w:vAlign w:val="center"/>
          </w:tcPr>
          <w:p w14:paraId="77339B46">
            <w:pPr>
              <w:pStyle w:val="56"/>
              <w:spacing w:beforeLines="0" w:afterLines="0" w:line="240" w:lineRule="auto"/>
              <w:rPr>
                <w:rFonts w:ascii="Times New Roman" w:eastAsia="仿宋_GB2312"/>
                <w:snapToGrid w:val="0"/>
                <w:kern w:val="21"/>
                <w:szCs w:val="21"/>
              </w:rPr>
            </w:pPr>
          </w:p>
        </w:tc>
        <w:tc>
          <w:tcPr>
            <w:tcW w:w="1417" w:type="dxa"/>
            <w:shd w:val="clear" w:color="auto" w:fill="auto"/>
            <w:vAlign w:val="center"/>
          </w:tcPr>
          <w:p w14:paraId="043C286F">
            <w:pPr>
              <w:adjustRightInd w:val="0"/>
              <w:snapToGrid w:val="0"/>
              <w:jc w:val="center"/>
              <w:rPr>
                <w:rFonts w:hint="eastAsia" w:ascii="Times New Roman" w:hAnsi="Times New Roman" w:eastAsia="仿宋_GB2312" w:cs="Times New Roman"/>
                <w:kern w:val="0"/>
                <w:sz w:val="21"/>
                <w:szCs w:val="21"/>
                <w:lang w:val="en-US" w:eastAsia="zh-CN" w:bidi="ar-SA"/>
              </w:rPr>
            </w:pPr>
            <w:r>
              <w:rPr>
                <w:rFonts w:hint="eastAsia" w:eastAsia="仿宋_GB2312"/>
                <w:kern w:val="0"/>
              </w:rPr>
              <w:t>氯化氢</w:t>
            </w:r>
          </w:p>
        </w:tc>
        <w:tc>
          <w:tcPr>
            <w:tcW w:w="1701" w:type="dxa"/>
            <w:shd w:val="clear" w:color="auto" w:fill="auto"/>
            <w:vAlign w:val="center"/>
          </w:tcPr>
          <w:p w14:paraId="63FFD4EC">
            <w:pPr>
              <w:adjustRightInd w:val="0"/>
              <w:snapToGrid w:val="0"/>
              <w:jc w:val="center"/>
              <w:rPr>
                <w:rFonts w:hint="eastAsia" w:ascii="Times New Roman" w:hAnsi="Times New Roman" w:eastAsia="仿宋_GB2312" w:cs="Times New Roman"/>
                <w:snapToGrid w:val="0"/>
                <w:kern w:val="21"/>
                <w:sz w:val="21"/>
                <w:szCs w:val="21"/>
                <w:lang w:val="en-US" w:eastAsia="zh-CN" w:bidi="ar-SA"/>
              </w:rPr>
            </w:pPr>
            <w:r>
              <w:rPr>
                <w:rFonts w:hint="eastAsia" w:eastAsia="仿宋_GB2312"/>
                <w:snapToGrid w:val="0"/>
                <w:kern w:val="21"/>
              </w:rPr>
              <w:t>0</w:t>
            </w:r>
          </w:p>
        </w:tc>
        <w:tc>
          <w:tcPr>
            <w:tcW w:w="1276" w:type="dxa"/>
            <w:shd w:val="clear" w:color="auto" w:fill="auto"/>
            <w:vAlign w:val="center"/>
          </w:tcPr>
          <w:p w14:paraId="7810967E">
            <w:pPr>
              <w:adjustRightInd w:val="0"/>
              <w:snapToGrid w:val="0"/>
              <w:jc w:val="center"/>
              <w:rPr>
                <w:rFonts w:hint="eastAsia" w:ascii="Times New Roman" w:hAnsi="Times New Roman" w:eastAsia="仿宋_GB2312" w:cs="Times New Roman"/>
                <w:snapToGrid w:val="0"/>
                <w:kern w:val="21"/>
                <w:sz w:val="21"/>
                <w:szCs w:val="21"/>
                <w:lang w:val="en-US" w:eastAsia="zh-CN" w:bidi="ar-SA"/>
              </w:rPr>
            </w:pPr>
            <w:r>
              <w:rPr>
                <w:rFonts w:hint="eastAsia" w:eastAsia="仿宋_GB2312"/>
                <w:snapToGrid w:val="0"/>
                <w:kern w:val="21"/>
              </w:rPr>
              <w:t>0</w:t>
            </w:r>
          </w:p>
        </w:tc>
        <w:tc>
          <w:tcPr>
            <w:tcW w:w="1701" w:type="dxa"/>
            <w:shd w:val="clear" w:color="auto" w:fill="auto"/>
            <w:vAlign w:val="center"/>
          </w:tcPr>
          <w:p w14:paraId="6B065A1B">
            <w:pPr>
              <w:adjustRightInd w:val="0"/>
              <w:snapToGrid w:val="0"/>
              <w:jc w:val="center"/>
              <w:rPr>
                <w:rFonts w:hint="eastAsia" w:ascii="Times New Roman" w:hAnsi="Times New Roman" w:eastAsia="仿宋_GB2312" w:cs="Times New Roman"/>
                <w:snapToGrid w:val="0"/>
                <w:kern w:val="21"/>
                <w:sz w:val="21"/>
                <w:szCs w:val="21"/>
                <w:lang w:val="en-US" w:eastAsia="zh-CN" w:bidi="ar-SA"/>
              </w:rPr>
            </w:pPr>
            <w:r>
              <w:rPr>
                <w:rFonts w:hint="eastAsia" w:eastAsia="仿宋_GB2312"/>
                <w:snapToGrid w:val="0"/>
                <w:kern w:val="21"/>
              </w:rPr>
              <w:t>0</w:t>
            </w:r>
          </w:p>
        </w:tc>
        <w:tc>
          <w:tcPr>
            <w:tcW w:w="1559" w:type="dxa"/>
            <w:shd w:val="clear" w:color="auto" w:fill="auto"/>
            <w:vAlign w:val="center"/>
          </w:tcPr>
          <w:p w14:paraId="36D6F4C0">
            <w:pPr>
              <w:adjustRightInd w:val="0"/>
              <w:snapToGrid w:val="0"/>
              <w:jc w:val="center"/>
              <w:rPr>
                <w:rFonts w:ascii="Times New Roman" w:hAnsi="Times New Roman" w:eastAsia="仿宋_GB2312" w:cs="Times New Roman"/>
                <w:snapToGrid w:val="0"/>
                <w:kern w:val="21"/>
                <w:sz w:val="21"/>
                <w:szCs w:val="21"/>
                <w:lang w:val="en-US" w:eastAsia="zh-CN" w:bidi="ar-SA"/>
              </w:rPr>
            </w:pPr>
            <w:r>
              <w:rPr>
                <w:rFonts w:eastAsia="仿宋_GB2312"/>
                <w:snapToGrid w:val="0"/>
                <w:kern w:val="21"/>
              </w:rPr>
              <w:t>0.01</w:t>
            </w:r>
          </w:p>
        </w:tc>
        <w:tc>
          <w:tcPr>
            <w:tcW w:w="1761" w:type="dxa"/>
            <w:shd w:val="clear" w:color="auto" w:fill="auto"/>
            <w:vAlign w:val="center"/>
          </w:tcPr>
          <w:p w14:paraId="612B3AE5">
            <w:pPr>
              <w:adjustRightInd w:val="0"/>
              <w:snapToGrid w:val="0"/>
              <w:jc w:val="center"/>
              <w:rPr>
                <w:rFonts w:hint="eastAsia" w:ascii="Times New Roman" w:hAnsi="Times New Roman" w:eastAsia="仿宋_GB2312" w:cs="Times New Roman"/>
                <w:snapToGrid w:val="0"/>
                <w:kern w:val="21"/>
                <w:sz w:val="21"/>
                <w:szCs w:val="21"/>
                <w:lang w:val="en-US" w:eastAsia="zh-CN" w:bidi="ar-SA"/>
              </w:rPr>
            </w:pPr>
            <w:r>
              <w:rPr>
                <w:rFonts w:hint="eastAsia" w:eastAsia="仿宋_GB2312"/>
                <w:snapToGrid w:val="0"/>
                <w:kern w:val="21"/>
              </w:rPr>
              <w:t>0</w:t>
            </w:r>
          </w:p>
        </w:tc>
        <w:tc>
          <w:tcPr>
            <w:tcW w:w="1588" w:type="dxa"/>
            <w:shd w:val="clear" w:color="auto" w:fill="auto"/>
            <w:vAlign w:val="center"/>
          </w:tcPr>
          <w:p w14:paraId="1514CDF3">
            <w:pPr>
              <w:adjustRightInd w:val="0"/>
              <w:snapToGrid w:val="0"/>
              <w:jc w:val="center"/>
              <w:rPr>
                <w:rFonts w:hint="eastAsia" w:ascii="Times New Roman" w:hAnsi="Times New Roman" w:eastAsia="仿宋_GB2312" w:cs="Times New Roman"/>
                <w:snapToGrid w:val="0"/>
                <w:kern w:val="21"/>
                <w:sz w:val="21"/>
                <w:szCs w:val="21"/>
                <w:lang w:val="en-US" w:eastAsia="zh-CN" w:bidi="ar-SA"/>
              </w:rPr>
            </w:pPr>
            <w:r>
              <w:rPr>
                <w:rFonts w:eastAsia="仿宋_GB2312"/>
                <w:snapToGrid w:val="0"/>
                <w:kern w:val="21"/>
              </w:rPr>
              <w:t>0.01</w:t>
            </w:r>
          </w:p>
        </w:tc>
        <w:tc>
          <w:tcPr>
            <w:tcW w:w="1197" w:type="dxa"/>
            <w:shd w:val="clear" w:color="auto" w:fill="auto"/>
            <w:vAlign w:val="center"/>
          </w:tcPr>
          <w:p w14:paraId="53FA2EF2">
            <w:pPr>
              <w:adjustRightInd w:val="0"/>
              <w:snapToGrid w:val="0"/>
              <w:jc w:val="center"/>
              <w:rPr>
                <w:rFonts w:hint="eastAsia" w:ascii="Times New Roman" w:hAnsi="Times New Roman" w:eastAsia="仿宋_GB2312" w:cs="Times New Roman"/>
                <w:snapToGrid w:val="0"/>
                <w:kern w:val="21"/>
                <w:sz w:val="21"/>
                <w:szCs w:val="21"/>
                <w:lang w:val="en-US" w:eastAsia="zh-CN" w:bidi="ar-SA"/>
              </w:rPr>
            </w:pPr>
            <w:r>
              <w:rPr>
                <w:rFonts w:hint="eastAsia" w:eastAsia="仿宋_GB2312"/>
                <w:snapToGrid w:val="0"/>
                <w:kern w:val="21"/>
              </w:rPr>
              <w:t>+</w:t>
            </w:r>
            <w:r>
              <w:rPr>
                <w:rFonts w:eastAsia="仿宋_GB2312"/>
                <w:snapToGrid w:val="0"/>
                <w:kern w:val="21"/>
              </w:rPr>
              <w:t>0.01</w:t>
            </w:r>
          </w:p>
        </w:tc>
      </w:tr>
      <w:tr w14:paraId="39E3C4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 w:hRule="atLeast"/>
        </w:trPr>
        <w:tc>
          <w:tcPr>
            <w:tcW w:w="1588" w:type="dxa"/>
            <w:gridSpan w:val="2"/>
            <w:vMerge w:val="restart"/>
            <w:vAlign w:val="center"/>
          </w:tcPr>
          <w:p w14:paraId="4ABDC41D">
            <w:pPr>
              <w:pStyle w:val="56"/>
              <w:spacing w:beforeLines="0" w:afterLines="0" w:line="240" w:lineRule="auto"/>
              <w:rPr>
                <w:rFonts w:ascii="Times New Roman" w:eastAsia="仿宋_GB2312"/>
                <w:snapToGrid w:val="0"/>
                <w:kern w:val="21"/>
                <w:szCs w:val="21"/>
              </w:rPr>
            </w:pPr>
            <w:r>
              <w:rPr>
                <w:rFonts w:ascii="Times New Roman" w:eastAsia="仿宋_GB2312"/>
                <w:snapToGrid w:val="0"/>
                <w:kern w:val="21"/>
                <w:szCs w:val="21"/>
              </w:rPr>
              <w:t>废水</w:t>
            </w:r>
          </w:p>
        </w:tc>
        <w:tc>
          <w:tcPr>
            <w:tcW w:w="1417" w:type="dxa"/>
            <w:vAlign w:val="center"/>
          </w:tcPr>
          <w:p w14:paraId="2333C8A0">
            <w:pPr>
              <w:adjustRightInd w:val="0"/>
              <w:snapToGrid w:val="0"/>
              <w:jc w:val="center"/>
              <w:rPr>
                <w:rFonts w:eastAsia="仿宋_GB2312"/>
                <w:snapToGrid w:val="0"/>
                <w:kern w:val="21"/>
              </w:rPr>
            </w:pPr>
            <w:r>
              <w:rPr>
                <w:rFonts w:eastAsia="仿宋_GB2312"/>
                <w:snapToGrid w:val="0"/>
                <w:kern w:val="21"/>
              </w:rPr>
              <w:t>COD</w:t>
            </w:r>
          </w:p>
        </w:tc>
        <w:tc>
          <w:tcPr>
            <w:tcW w:w="1701" w:type="dxa"/>
            <w:vAlign w:val="center"/>
          </w:tcPr>
          <w:p w14:paraId="0626982A">
            <w:pPr>
              <w:adjustRightInd w:val="0"/>
              <w:snapToGrid w:val="0"/>
              <w:jc w:val="center"/>
              <w:rPr>
                <w:rFonts w:eastAsia="仿宋_GB2312"/>
                <w:snapToGrid w:val="0"/>
                <w:kern w:val="21"/>
              </w:rPr>
            </w:pPr>
            <w:r>
              <w:rPr>
                <w:rFonts w:eastAsia="仿宋_GB2312"/>
                <w:snapToGrid w:val="0"/>
                <w:kern w:val="21"/>
              </w:rPr>
              <w:t>2.612</w:t>
            </w:r>
          </w:p>
        </w:tc>
        <w:tc>
          <w:tcPr>
            <w:tcW w:w="1276" w:type="dxa"/>
            <w:vAlign w:val="center"/>
          </w:tcPr>
          <w:p w14:paraId="756D6A9C">
            <w:pPr>
              <w:adjustRightInd w:val="0"/>
              <w:snapToGrid w:val="0"/>
              <w:jc w:val="center"/>
              <w:rPr>
                <w:rFonts w:eastAsia="仿宋_GB2312"/>
                <w:snapToGrid w:val="0"/>
                <w:kern w:val="21"/>
              </w:rPr>
            </w:pPr>
            <w:r>
              <w:rPr>
                <w:rFonts w:eastAsia="仿宋_GB2312"/>
                <w:snapToGrid w:val="0"/>
                <w:kern w:val="21"/>
              </w:rPr>
              <w:t>0</w:t>
            </w:r>
          </w:p>
        </w:tc>
        <w:tc>
          <w:tcPr>
            <w:tcW w:w="1701" w:type="dxa"/>
            <w:vAlign w:val="center"/>
          </w:tcPr>
          <w:p w14:paraId="06BBA6A0">
            <w:pPr>
              <w:adjustRightInd w:val="0"/>
              <w:snapToGrid w:val="0"/>
              <w:jc w:val="center"/>
              <w:rPr>
                <w:rFonts w:eastAsia="仿宋_GB2312"/>
                <w:snapToGrid w:val="0"/>
                <w:kern w:val="21"/>
              </w:rPr>
            </w:pPr>
            <w:r>
              <w:rPr>
                <w:rFonts w:eastAsia="仿宋_GB2312"/>
                <w:snapToGrid w:val="0"/>
                <w:kern w:val="21"/>
              </w:rPr>
              <w:t>0</w:t>
            </w:r>
          </w:p>
        </w:tc>
        <w:tc>
          <w:tcPr>
            <w:tcW w:w="1559" w:type="dxa"/>
            <w:vAlign w:val="center"/>
          </w:tcPr>
          <w:p w14:paraId="53B7478E">
            <w:pPr>
              <w:adjustRightInd w:val="0"/>
              <w:snapToGrid w:val="0"/>
              <w:jc w:val="center"/>
              <w:rPr>
                <w:rFonts w:eastAsia="仿宋_GB2312"/>
                <w:snapToGrid w:val="0"/>
                <w:kern w:val="21"/>
              </w:rPr>
            </w:pPr>
            <w:r>
              <w:rPr>
                <w:rFonts w:eastAsia="仿宋_GB2312"/>
                <w:snapToGrid w:val="0"/>
                <w:kern w:val="21"/>
              </w:rPr>
              <w:t>0</w:t>
            </w:r>
          </w:p>
        </w:tc>
        <w:tc>
          <w:tcPr>
            <w:tcW w:w="1761" w:type="dxa"/>
            <w:vAlign w:val="center"/>
          </w:tcPr>
          <w:p w14:paraId="03D2B51C">
            <w:pPr>
              <w:adjustRightInd w:val="0"/>
              <w:snapToGrid w:val="0"/>
              <w:jc w:val="center"/>
              <w:rPr>
                <w:rFonts w:eastAsia="仿宋_GB2312"/>
                <w:snapToGrid w:val="0"/>
                <w:kern w:val="21"/>
              </w:rPr>
            </w:pPr>
            <w:r>
              <w:rPr>
                <w:rFonts w:eastAsia="仿宋_GB2312"/>
                <w:snapToGrid w:val="0"/>
                <w:kern w:val="21"/>
              </w:rPr>
              <w:t>0</w:t>
            </w:r>
          </w:p>
        </w:tc>
        <w:tc>
          <w:tcPr>
            <w:tcW w:w="1588" w:type="dxa"/>
            <w:vAlign w:val="center"/>
          </w:tcPr>
          <w:p w14:paraId="7BD6856F">
            <w:pPr>
              <w:adjustRightInd w:val="0"/>
              <w:snapToGrid w:val="0"/>
              <w:jc w:val="center"/>
              <w:rPr>
                <w:rFonts w:eastAsia="仿宋_GB2312"/>
                <w:snapToGrid w:val="0"/>
                <w:kern w:val="21"/>
              </w:rPr>
            </w:pPr>
            <w:r>
              <w:rPr>
                <w:rFonts w:eastAsia="仿宋_GB2312"/>
                <w:snapToGrid w:val="0"/>
                <w:kern w:val="21"/>
              </w:rPr>
              <w:t>2.612</w:t>
            </w:r>
          </w:p>
        </w:tc>
        <w:tc>
          <w:tcPr>
            <w:tcW w:w="1197" w:type="dxa"/>
            <w:vAlign w:val="center"/>
          </w:tcPr>
          <w:p w14:paraId="416D0659">
            <w:pPr>
              <w:adjustRightInd w:val="0"/>
              <w:snapToGrid w:val="0"/>
              <w:jc w:val="center"/>
              <w:rPr>
                <w:rFonts w:eastAsia="仿宋_GB2312"/>
                <w:snapToGrid w:val="0"/>
                <w:kern w:val="21"/>
              </w:rPr>
            </w:pPr>
            <w:r>
              <w:rPr>
                <w:rFonts w:hint="eastAsia" w:eastAsia="仿宋_GB2312"/>
                <w:snapToGrid w:val="0"/>
                <w:kern w:val="21"/>
              </w:rPr>
              <w:t>0</w:t>
            </w:r>
          </w:p>
        </w:tc>
      </w:tr>
      <w:tr w14:paraId="69A23F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 w:hRule="atLeast"/>
        </w:trPr>
        <w:tc>
          <w:tcPr>
            <w:tcW w:w="1588" w:type="dxa"/>
            <w:gridSpan w:val="2"/>
            <w:vMerge w:val="continue"/>
            <w:vAlign w:val="center"/>
          </w:tcPr>
          <w:p w14:paraId="1AF3BF75">
            <w:pPr>
              <w:pStyle w:val="56"/>
              <w:spacing w:beforeLines="0" w:afterLines="0" w:line="240" w:lineRule="auto"/>
              <w:rPr>
                <w:rFonts w:ascii="Times New Roman" w:eastAsia="仿宋_GB2312"/>
              </w:rPr>
            </w:pPr>
          </w:p>
        </w:tc>
        <w:tc>
          <w:tcPr>
            <w:tcW w:w="1417" w:type="dxa"/>
            <w:vAlign w:val="center"/>
          </w:tcPr>
          <w:p w14:paraId="19CA42AD">
            <w:pPr>
              <w:adjustRightInd w:val="0"/>
              <w:snapToGrid w:val="0"/>
              <w:jc w:val="center"/>
              <w:rPr>
                <w:rFonts w:eastAsia="仿宋_GB2312"/>
                <w:snapToGrid w:val="0"/>
                <w:kern w:val="21"/>
              </w:rPr>
            </w:pPr>
            <w:r>
              <w:rPr>
                <w:rFonts w:eastAsia="仿宋_GB2312"/>
                <w:snapToGrid w:val="0"/>
                <w:kern w:val="21"/>
              </w:rPr>
              <w:t>SS</w:t>
            </w:r>
          </w:p>
        </w:tc>
        <w:tc>
          <w:tcPr>
            <w:tcW w:w="1701" w:type="dxa"/>
            <w:vAlign w:val="center"/>
          </w:tcPr>
          <w:p w14:paraId="3DCAEC43">
            <w:pPr>
              <w:adjustRightInd w:val="0"/>
              <w:snapToGrid w:val="0"/>
              <w:jc w:val="center"/>
              <w:rPr>
                <w:rFonts w:eastAsia="仿宋_GB2312"/>
                <w:snapToGrid w:val="0"/>
                <w:kern w:val="21"/>
              </w:rPr>
            </w:pPr>
            <w:r>
              <w:rPr>
                <w:rFonts w:eastAsia="仿宋_GB2312"/>
                <w:snapToGrid w:val="0"/>
                <w:kern w:val="21"/>
              </w:rPr>
              <w:t>1.726</w:t>
            </w:r>
          </w:p>
        </w:tc>
        <w:tc>
          <w:tcPr>
            <w:tcW w:w="1276" w:type="dxa"/>
            <w:vAlign w:val="center"/>
          </w:tcPr>
          <w:p w14:paraId="442E92B8">
            <w:pPr>
              <w:adjustRightInd w:val="0"/>
              <w:snapToGrid w:val="0"/>
              <w:jc w:val="center"/>
              <w:rPr>
                <w:rFonts w:eastAsia="仿宋_GB2312"/>
                <w:snapToGrid w:val="0"/>
                <w:kern w:val="21"/>
              </w:rPr>
            </w:pPr>
            <w:r>
              <w:rPr>
                <w:rFonts w:eastAsia="仿宋_GB2312"/>
                <w:snapToGrid w:val="0"/>
                <w:kern w:val="21"/>
              </w:rPr>
              <w:t>0</w:t>
            </w:r>
          </w:p>
        </w:tc>
        <w:tc>
          <w:tcPr>
            <w:tcW w:w="1701" w:type="dxa"/>
            <w:vAlign w:val="center"/>
          </w:tcPr>
          <w:p w14:paraId="7CB8AAB8">
            <w:pPr>
              <w:adjustRightInd w:val="0"/>
              <w:snapToGrid w:val="0"/>
              <w:jc w:val="center"/>
              <w:rPr>
                <w:rFonts w:eastAsia="仿宋_GB2312"/>
                <w:snapToGrid w:val="0"/>
                <w:kern w:val="21"/>
              </w:rPr>
            </w:pPr>
            <w:r>
              <w:rPr>
                <w:rFonts w:eastAsia="仿宋_GB2312"/>
                <w:snapToGrid w:val="0"/>
                <w:kern w:val="21"/>
              </w:rPr>
              <w:t>0</w:t>
            </w:r>
          </w:p>
        </w:tc>
        <w:tc>
          <w:tcPr>
            <w:tcW w:w="1559" w:type="dxa"/>
            <w:vAlign w:val="center"/>
          </w:tcPr>
          <w:p w14:paraId="1238F815">
            <w:pPr>
              <w:adjustRightInd w:val="0"/>
              <w:snapToGrid w:val="0"/>
              <w:jc w:val="center"/>
              <w:rPr>
                <w:rFonts w:eastAsia="仿宋_GB2312"/>
                <w:snapToGrid w:val="0"/>
                <w:kern w:val="21"/>
              </w:rPr>
            </w:pPr>
            <w:r>
              <w:rPr>
                <w:rFonts w:eastAsia="仿宋_GB2312"/>
                <w:snapToGrid w:val="0"/>
                <w:kern w:val="21"/>
              </w:rPr>
              <w:t>0</w:t>
            </w:r>
          </w:p>
        </w:tc>
        <w:tc>
          <w:tcPr>
            <w:tcW w:w="1761" w:type="dxa"/>
            <w:vAlign w:val="center"/>
          </w:tcPr>
          <w:p w14:paraId="250F3AD7">
            <w:pPr>
              <w:adjustRightInd w:val="0"/>
              <w:snapToGrid w:val="0"/>
              <w:jc w:val="center"/>
              <w:rPr>
                <w:rFonts w:eastAsia="仿宋_GB2312"/>
                <w:snapToGrid w:val="0"/>
                <w:kern w:val="21"/>
              </w:rPr>
            </w:pPr>
            <w:r>
              <w:rPr>
                <w:rFonts w:eastAsia="仿宋_GB2312"/>
                <w:snapToGrid w:val="0"/>
                <w:kern w:val="21"/>
              </w:rPr>
              <w:t>0</w:t>
            </w:r>
          </w:p>
        </w:tc>
        <w:tc>
          <w:tcPr>
            <w:tcW w:w="1588" w:type="dxa"/>
            <w:vAlign w:val="center"/>
          </w:tcPr>
          <w:p w14:paraId="3788E444">
            <w:pPr>
              <w:adjustRightInd w:val="0"/>
              <w:snapToGrid w:val="0"/>
              <w:jc w:val="center"/>
              <w:rPr>
                <w:rFonts w:eastAsia="仿宋_GB2312"/>
                <w:snapToGrid w:val="0"/>
                <w:kern w:val="21"/>
              </w:rPr>
            </w:pPr>
            <w:r>
              <w:rPr>
                <w:rFonts w:eastAsia="仿宋_GB2312"/>
                <w:snapToGrid w:val="0"/>
                <w:kern w:val="21"/>
              </w:rPr>
              <w:t>1.726</w:t>
            </w:r>
          </w:p>
        </w:tc>
        <w:tc>
          <w:tcPr>
            <w:tcW w:w="1197" w:type="dxa"/>
            <w:vAlign w:val="center"/>
          </w:tcPr>
          <w:p w14:paraId="453345D3">
            <w:pPr>
              <w:adjustRightInd w:val="0"/>
              <w:snapToGrid w:val="0"/>
              <w:jc w:val="center"/>
              <w:rPr>
                <w:rFonts w:eastAsia="仿宋_GB2312"/>
                <w:snapToGrid w:val="0"/>
                <w:kern w:val="21"/>
              </w:rPr>
            </w:pPr>
            <w:r>
              <w:rPr>
                <w:rFonts w:hint="eastAsia" w:eastAsia="仿宋_GB2312"/>
                <w:snapToGrid w:val="0"/>
                <w:kern w:val="21"/>
              </w:rPr>
              <w:t>0</w:t>
            </w:r>
          </w:p>
        </w:tc>
      </w:tr>
      <w:tr w14:paraId="01F919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 w:hRule="atLeast"/>
        </w:trPr>
        <w:tc>
          <w:tcPr>
            <w:tcW w:w="1588" w:type="dxa"/>
            <w:gridSpan w:val="2"/>
            <w:vMerge w:val="continue"/>
            <w:vAlign w:val="center"/>
          </w:tcPr>
          <w:p w14:paraId="210FF965">
            <w:pPr>
              <w:pStyle w:val="56"/>
              <w:spacing w:beforeLines="0" w:afterLines="0" w:line="240" w:lineRule="auto"/>
              <w:rPr>
                <w:rFonts w:ascii="Times New Roman" w:eastAsia="仿宋_GB2312"/>
                <w:snapToGrid w:val="0"/>
                <w:kern w:val="21"/>
                <w:szCs w:val="21"/>
              </w:rPr>
            </w:pPr>
          </w:p>
        </w:tc>
        <w:tc>
          <w:tcPr>
            <w:tcW w:w="1417" w:type="dxa"/>
            <w:vAlign w:val="center"/>
          </w:tcPr>
          <w:p w14:paraId="397CC551">
            <w:pPr>
              <w:adjustRightInd w:val="0"/>
              <w:snapToGrid w:val="0"/>
              <w:jc w:val="center"/>
              <w:rPr>
                <w:rFonts w:eastAsia="仿宋_GB2312"/>
                <w:snapToGrid w:val="0"/>
                <w:kern w:val="21"/>
              </w:rPr>
            </w:pPr>
            <w:r>
              <w:rPr>
                <w:rFonts w:eastAsia="仿宋_GB2312"/>
                <w:snapToGrid w:val="0"/>
                <w:kern w:val="21"/>
              </w:rPr>
              <w:t>氨氮</w:t>
            </w:r>
          </w:p>
        </w:tc>
        <w:tc>
          <w:tcPr>
            <w:tcW w:w="1701" w:type="dxa"/>
            <w:vAlign w:val="center"/>
          </w:tcPr>
          <w:p w14:paraId="5F7EEF1B">
            <w:pPr>
              <w:adjustRightInd w:val="0"/>
              <w:snapToGrid w:val="0"/>
              <w:jc w:val="center"/>
              <w:rPr>
                <w:rFonts w:eastAsia="仿宋_GB2312"/>
                <w:snapToGrid w:val="0"/>
                <w:kern w:val="21"/>
              </w:rPr>
            </w:pPr>
            <w:r>
              <w:rPr>
                <w:rFonts w:eastAsia="仿宋_GB2312"/>
                <w:snapToGrid w:val="0"/>
                <w:kern w:val="21"/>
              </w:rPr>
              <w:t>0.185</w:t>
            </w:r>
          </w:p>
        </w:tc>
        <w:tc>
          <w:tcPr>
            <w:tcW w:w="1276" w:type="dxa"/>
            <w:vAlign w:val="center"/>
          </w:tcPr>
          <w:p w14:paraId="6B4C9D92">
            <w:pPr>
              <w:adjustRightInd w:val="0"/>
              <w:snapToGrid w:val="0"/>
              <w:jc w:val="center"/>
              <w:rPr>
                <w:rFonts w:eastAsia="仿宋_GB2312"/>
                <w:snapToGrid w:val="0"/>
                <w:kern w:val="21"/>
              </w:rPr>
            </w:pPr>
            <w:r>
              <w:rPr>
                <w:rFonts w:eastAsia="仿宋_GB2312"/>
                <w:snapToGrid w:val="0"/>
                <w:kern w:val="21"/>
              </w:rPr>
              <w:t>0</w:t>
            </w:r>
          </w:p>
        </w:tc>
        <w:tc>
          <w:tcPr>
            <w:tcW w:w="1701" w:type="dxa"/>
            <w:vAlign w:val="center"/>
          </w:tcPr>
          <w:p w14:paraId="59F94057">
            <w:pPr>
              <w:adjustRightInd w:val="0"/>
              <w:snapToGrid w:val="0"/>
              <w:jc w:val="center"/>
              <w:rPr>
                <w:rFonts w:eastAsia="仿宋_GB2312"/>
                <w:snapToGrid w:val="0"/>
                <w:kern w:val="21"/>
              </w:rPr>
            </w:pPr>
            <w:r>
              <w:rPr>
                <w:rFonts w:eastAsia="仿宋_GB2312"/>
                <w:snapToGrid w:val="0"/>
                <w:kern w:val="21"/>
              </w:rPr>
              <w:t>0</w:t>
            </w:r>
          </w:p>
        </w:tc>
        <w:tc>
          <w:tcPr>
            <w:tcW w:w="1559" w:type="dxa"/>
            <w:vAlign w:val="center"/>
          </w:tcPr>
          <w:p w14:paraId="6426A3B3">
            <w:pPr>
              <w:adjustRightInd w:val="0"/>
              <w:snapToGrid w:val="0"/>
              <w:jc w:val="center"/>
              <w:rPr>
                <w:rFonts w:eastAsia="仿宋_GB2312"/>
                <w:snapToGrid w:val="0"/>
                <w:kern w:val="21"/>
              </w:rPr>
            </w:pPr>
            <w:r>
              <w:rPr>
                <w:rFonts w:eastAsia="仿宋_GB2312"/>
                <w:snapToGrid w:val="0"/>
                <w:kern w:val="21"/>
              </w:rPr>
              <w:t>0</w:t>
            </w:r>
          </w:p>
        </w:tc>
        <w:tc>
          <w:tcPr>
            <w:tcW w:w="1761" w:type="dxa"/>
            <w:vAlign w:val="center"/>
          </w:tcPr>
          <w:p w14:paraId="3B24CA61">
            <w:pPr>
              <w:adjustRightInd w:val="0"/>
              <w:snapToGrid w:val="0"/>
              <w:jc w:val="center"/>
              <w:rPr>
                <w:rFonts w:eastAsia="仿宋_GB2312"/>
                <w:snapToGrid w:val="0"/>
                <w:kern w:val="21"/>
              </w:rPr>
            </w:pPr>
            <w:r>
              <w:rPr>
                <w:rFonts w:eastAsia="仿宋_GB2312"/>
                <w:snapToGrid w:val="0"/>
                <w:kern w:val="21"/>
              </w:rPr>
              <w:t>0</w:t>
            </w:r>
          </w:p>
        </w:tc>
        <w:tc>
          <w:tcPr>
            <w:tcW w:w="1588" w:type="dxa"/>
            <w:vAlign w:val="center"/>
          </w:tcPr>
          <w:p w14:paraId="2EB51AA3">
            <w:pPr>
              <w:adjustRightInd w:val="0"/>
              <w:snapToGrid w:val="0"/>
              <w:jc w:val="center"/>
              <w:rPr>
                <w:rFonts w:eastAsia="仿宋_GB2312"/>
                <w:snapToGrid w:val="0"/>
                <w:kern w:val="21"/>
              </w:rPr>
            </w:pPr>
            <w:r>
              <w:rPr>
                <w:rFonts w:eastAsia="仿宋_GB2312"/>
                <w:snapToGrid w:val="0"/>
                <w:kern w:val="21"/>
              </w:rPr>
              <w:t>0.185</w:t>
            </w:r>
          </w:p>
        </w:tc>
        <w:tc>
          <w:tcPr>
            <w:tcW w:w="1197" w:type="dxa"/>
            <w:vAlign w:val="center"/>
          </w:tcPr>
          <w:p w14:paraId="6FE0AB53">
            <w:pPr>
              <w:adjustRightInd w:val="0"/>
              <w:snapToGrid w:val="0"/>
              <w:jc w:val="center"/>
              <w:rPr>
                <w:rFonts w:eastAsia="仿宋_GB2312"/>
                <w:snapToGrid w:val="0"/>
                <w:kern w:val="21"/>
              </w:rPr>
            </w:pPr>
            <w:r>
              <w:rPr>
                <w:rFonts w:hint="eastAsia" w:eastAsia="仿宋_GB2312"/>
                <w:snapToGrid w:val="0"/>
                <w:kern w:val="21"/>
              </w:rPr>
              <w:t>0</w:t>
            </w:r>
          </w:p>
        </w:tc>
      </w:tr>
      <w:tr w14:paraId="3AE7A5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 w:hRule="atLeast"/>
        </w:trPr>
        <w:tc>
          <w:tcPr>
            <w:tcW w:w="1588" w:type="dxa"/>
            <w:gridSpan w:val="2"/>
            <w:vMerge w:val="continue"/>
            <w:vAlign w:val="center"/>
          </w:tcPr>
          <w:p w14:paraId="4F1CCD92">
            <w:pPr>
              <w:pStyle w:val="56"/>
              <w:spacing w:beforeLines="0" w:afterLines="0" w:line="240" w:lineRule="auto"/>
              <w:rPr>
                <w:rFonts w:ascii="Times New Roman" w:eastAsia="仿宋_GB2312"/>
                <w:snapToGrid w:val="0"/>
                <w:kern w:val="21"/>
                <w:szCs w:val="21"/>
              </w:rPr>
            </w:pPr>
          </w:p>
        </w:tc>
        <w:tc>
          <w:tcPr>
            <w:tcW w:w="1417" w:type="dxa"/>
            <w:vAlign w:val="center"/>
          </w:tcPr>
          <w:p w14:paraId="3FE2080B">
            <w:pPr>
              <w:adjustRightInd w:val="0"/>
              <w:snapToGrid w:val="0"/>
              <w:jc w:val="center"/>
              <w:rPr>
                <w:rFonts w:eastAsia="仿宋_GB2312"/>
                <w:snapToGrid w:val="0"/>
                <w:kern w:val="21"/>
              </w:rPr>
            </w:pPr>
            <w:r>
              <w:rPr>
                <w:rFonts w:eastAsia="仿宋_GB2312"/>
                <w:snapToGrid w:val="0"/>
                <w:kern w:val="21"/>
              </w:rPr>
              <w:t>总氮</w:t>
            </w:r>
          </w:p>
        </w:tc>
        <w:tc>
          <w:tcPr>
            <w:tcW w:w="1701" w:type="dxa"/>
            <w:vAlign w:val="center"/>
          </w:tcPr>
          <w:p w14:paraId="7363ABC2">
            <w:pPr>
              <w:adjustRightInd w:val="0"/>
              <w:snapToGrid w:val="0"/>
              <w:jc w:val="center"/>
              <w:rPr>
                <w:rFonts w:eastAsia="仿宋_GB2312"/>
                <w:snapToGrid w:val="0"/>
                <w:kern w:val="21"/>
              </w:rPr>
            </w:pPr>
            <w:r>
              <w:rPr>
                <w:rFonts w:eastAsia="仿宋_GB2312"/>
                <w:snapToGrid w:val="0"/>
                <w:kern w:val="21"/>
              </w:rPr>
              <w:t>0.078</w:t>
            </w:r>
          </w:p>
        </w:tc>
        <w:tc>
          <w:tcPr>
            <w:tcW w:w="1276" w:type="dxa"/>
            <w:vAlign w:val="center"/>
          </w:tcPr>
          <w:p w14:paraId="618E40EF">
            <w:pPr>
              <w:adjustRightInd w:val="0"/>
              <w:snapToGrid w:val="0"/>
              <w:jc w:val="center"/>
              <w:rPr>
                <w:rFonts w:eastAsia="仿宋_GB2312"/>
                <w:snapToGrid w:val="0"/>
                <w:kern w:val="21"/>
              </w:rPr>
            </w:pPr>
            <w:r>
              <w:rPr>
                <w:rFonts w:eastAsia="仿宋_GB2312"/>
                <w:snapToGrid w:val="0"/>
                <w:kern w:val="21"/>
              </w:rPr>
              <w:t>0</w:t>
            </w:r>
          </w:p>
        </w:tc>
        <w:tc>
          <w:tcPr>
            <w:tcW w:w="1701" w:type="dxa"/>
            <w:vAlign w:val="center"/>
          </w:tcPr>
          <w:p w14:paraId="0ECC7E75">
            <w:pPr>
              <w:adjustRightInd w:val="0"/>
              <w:snapToGrid w:val="0"/>
              <w:jc w:val="center"/>
              <w:rPr>
                <w:rFonts w:eastAsia="仿宋_GB2312"/>
                <w:snapToGrid w:val="0"/>
                <w:kern w:val="21"/>
              </w:rPr>
            </w:pPr>
            <w:r>
              <w:rPr>
                <w:rFonts w:eastAsia="仿宋_GB2312"/>
                <w:snapToGrid w:val="0"/>
                <w:kern w:val="21"/>
              </w:rPr>
              <w:t>0</w:t>
            </w:r>
          </w:p>
        </w:tc>
        <w:tc>
          <w:tcPr>
            <w:tcW w:w="1559" w:type="dxa"/>
            <w:vAlign w:val="center"/>
          </w:tcPr>
          <w:p w14:paraId="71205FD6">
            <w:pPr>
              <w:adjustRightInd w:val="0"/>
              <w:snapToGrid w:val="0"/>
              <w:jc w:val="center"/>
              <w:rPr>
                <w:rFonts w:eastAsia="仿宋_GB2312"/>
                <w:snapToGrid w:val="0"/>
                <w:kern w:val="21"/>
              </w:rPr>
            </w:pPr>
            <w:r>
              <w:rPr>
                <w:rFonts w:eastAsia="仿宋_GB2312"/>
                <w:snapToGrid w:val="0"/>
                <w:kern w:val="21"/>
              </w:rPr>
              <w:t>0</w:t>
            </w:r>
          </w:p>
        </w:tc>
        <w:tc>
          <w:tcPr>
            <w:tcW w:w="1761" w:type="dxa"/>
            <w:vAlign w:val="center"/>
          </w:tcPr>
          <w:p w14:paraId="19C85613">
            <w:pPr>
              <w:adjustRightInd w:val="0"/>
              <w:snapToGrid w:val="0"/>
              <w:jc w:val="center"/>
              <w:rPr>
                <w:rFonts w:eastAsia="仿宋_GB2312"/>
                <w:snapToGrid w:val="0"/>
                <w:kern w:val="21"/>
              </w:rPr>
            </w:pPr>
            <w:r>
              <w:rPr>
                <w:rFonts w:eastAsia="仿宋_GB2312"/>
                <w:snapToGrid w:val="0"/>
                <w:kern w:val="21"/>
              </w:rPr>
              <w:t>0</w:t>
            </w:r>
          </w:p>
        </w:tc>
        <w:tc>
          <w:tcPr>
            <w:tcW w:w="1588" w:type="dxa"/>
            <w:vAlign w:val="center"/>
          </w:tcPr>
          <w:p w14:paraId="63295AA0">
            <w:pPr>
              <w:adjustRightInd w:val="0"/>
              <w:snapToGrid w:val="0"/>
              <w:jc w:val="center"/>
              <w:rPr>
                <w:rFonts w:eastAsia="仿宋_GB2312"/>
                <w:snapToGrid w:val="0"/>
                <w:kern w:val="21"/>
              </w:rPr>
            </w:pPr>
            <w:r>
              <w:rPr>
                <w:rFonts w:eastAsia="仿宋_GB2312"/>
                <w:snapToGrid w:val="0"/>
                <w:kern w:val="21"/>
              </w:rPr>
              <w:t>0.078</w:t>
            </w:r>
          </w:p>
        </w:tc>
        <w:tc>
          <w:tcPr>
            <w:tcW w:w="1197" w:type="dxa"/>
            <w:vAlign w:val="center"/>
          </w:tcPr>
          <w:p w14:paraId="7449676E">
            <w:pPr>
              <w:adjustRightInd w:val="0"/>
              <w:snapToGrid w:val="0"/>
              <w:jc w:val="center"/>
              <w:rPr>
                <w:rFonts w:eastAsia="仿宋_GB2312"/>
                <w:snapToGrid w:val="0"/>
                <w:kern w:val="21"/>
              </w:rPr>
            </w:pPr>
            <w:r>
              <w:rPr>
                <w:rFonts w:hint="eastAsia" w:eastAsia="仿宋_GB2312"/>
                <w:snapToGrid w:val="0"/>
                <w:kern w:val="21"/>
              </w:rPr>
              <w:t>0</w:t>
            </w:r>
          </w:p>
        </w:tc>
      </w:tr>
      <w:tr w14:paraId="52F2F2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 w:hRule="atLeast"/>
        </w:trPr>
        <w:tc>
          <w:tcPr>
            <w:tcW w:w="1588" w:type="dxa"/>
            <w:gridSpan w:val="2"/>
            <w:vMerge w:val="continue"/>
            <w:vAlign w:val="center"/>
          </w:tcPr>
          <w:p w14:paraId="6F0D7F69">
            <w:pPr>
              <w:pStyle w:val="56"/>
              <w:spacing w:beforeLines="0" w:afterLines="0" w:line="240" w:lineRule="auto"/>
              <w:rPr>
                <w:rFonts w:ascii="Times New Roman" w:eastAsia="仿宋_GB2312"/>
                <w:snapToGrid w:val="0"/>
                <w:kern w:val="21"/>
                <w:szCs w:val="21"/>
              </w:rPr>
            </w:pPr>
          </w:p>
        </w:tc>
        <w:tc>
          <w:tcPr>
            <w:tcW w:w="1417" w:type="dxa"/>
            <w:vAlign w:val="center"/>
          </w:tcPr>
          <w:p w14:paraId="17FB5613">
            <w:pPr>
              <w:adjustRightInd w:val="0"/>
              <w:snapToGrid w:val="0"/>
              <w:jc w:val="center"/>
              <w:rPr>
                <w:rFonts w:eastAsia="仿宋_GB2312"/>
                <w:snapToGrid w:val="0"/>
                <w:kern w:val="21"/>
              </w:rPr>
            </w:pPr>
            <w:r>
              <w:rPr>
                <w:rFonts w:eastAsia="仿宋_GB2312"/>
                <w:snapToGrid w:val="0"/>
                <w:kern w:val="21"/>
              </w:rPr>
              <w:t>总磷</w:t>
            </w:r>
          </w:p>
        </w:tc>
        <w:tc>
          <w:tcPr>
            <w:tcW w:w="1701" w:type="dxa"/>
            <w:vAlign w:val="center"/>
          </w:tcPr>
          <w:p w14:paraId="4B593DB2">
            <w:pPr>
              <w:adjustRightInd w:val="0"/>
              <w:snapToGrid w:val="0"/>
              <w:jc w:val="center"/>
              <w:rPr>
                <w:rFonts w:eastAsia="仿宋_GB2312"/>
                <w:snapToGrid w:val="0"/>
                <w:kern w:val="21"/>
              </w:rPr>
            </w:pPr>
            <w:r>
              <w:rPr>
                <w:rFonts w:eastAsia="仿宋_GB2312"/>
                <w:snapToGrid w:val="0"/>
                <w:kern w:val="21"/>
              </w:rPr>
              <w:t>0.0086</w:t>
            </w:r>
          </w:p>
        </w:tc>
        <w:tc>
          <w:tcPr>
            <w:tcW w:w="1276" w:type="dxa"/>
            <w:vAlign w:val="center"/>
          </w:tcPr>
          <w:p w14:paraId="746E0131">
            <w:pPr>
              <w:adjustRightInd w:val="0"/>
              <w:snapToGrid w:val="0"/>
              <w:jc w:val="center"/>
              <w:rPr>
                <w:rFonts w:eastAsia="仿宋_GB2312"/>
                <w:snapToGrid w:val="0"/>
                <w:kern w:val="21"/>
              </w:rPr>
            </w:pPr>
            <w:r>
              <w:rPr>
                <w:rFonts w:eastAsia="仿宋_GB2312"/>
                <w:snapToGrid w:val="0"/>
                <w:kern w:val="21"/>
              </w:rPr>
              <w:t>0</w:t>
            </w:r>
          </w:p>
        </w:tc>
        <w:tc>
          <w:tcPr>
            <w:tcW w:w="1701" w:type="dxa"/>
            <w:vAlign w:val="center"/>
          </w:tcPr>
          <w:p w14:paraId="5CD5FA60">
            <w:pPr>
              <w:adjustRightInd w:val="0"/>
              <w:snapToGrid w:val="0"/>
              <w:jc w:val="center"/>
              <w:rPr>
                <w:rFonts w:eastAsia="仿宋_GB2312"/>
                <w:snapToGrid w:val="0"/>
                <w:kern w:val="21"/>
              </w:rPr>
            </w:pPr>
            <w:r>
              <w:rPr>
                <w:rFonts w:eastAsia="仿宋_GB2312"/>
                <w:snapToGrid w:val="0"/>
                <w:kern w:val="21"/>
              </w:rPr>
              <w:t>0</w:t>
            </w:r>
          </w:p>
        </w:tc>
        <w:tc>
          <w:tcPr>
            <w:tcW w:w="1559" w:type="dxa"/>
            <w:vAlign w:val="center"/>
          </w:tcPr>
          <w:p w14:paraId="20F82234">
            <w:pPr>
              <w:adjustRightInd w:val="0"/>
              <w:snapToGrid w:val="0"/>
              <w:jc w:val="center"/>
              <w:rPr>
                <w:rFonts w:eastAsia="仿宋_GB2312"/>
                <w:snapToGrid w:val="0"/>
                <w:kern w:val="21"/>
              </w:rPr>
            </w:pPr>
            <w:r>
              <w:rPr>
                <w:rFonts w:eastAsia="仿宋_GB2312"/>
                <w:snapToGrid w:val="0"/>
                <w:kern w:val="21"/>
              </w:rPr>
              <w:t>0</w:t>
            </w:r>
          </w:p>
        </w:tc>
        <w:tc>
          <w:tcPr>
            <w:tcW w:w="1761" w:type="dxa"/>
            <w:vAlign w:val="center"/>
          </w:tcPr>
          <w:p w14:paraId="5F283FDF">
            <w:pPr>
              <w:adjustRightInd w:val="0"/>
              <w:snapToGrid w:val="0"/>
              <w:jc w:val="center"/>
              <w:rPr>
                <w:rFonts w:eastAsia="仿宋_GB2312"/>
                <w:snapToGrid w:val="0"/>
                <w:kern w:val="21"/>
              </w:rPr>
            </w:pPr>
            <w:r>
              <w:rPr>
                <w:rFonts w:eastAsia="仿宋_GB2312"/>
                <w:snapToGrid w:val="0"/>
                <w:kern w:val="21"/>
              </w:rPr>
              <w:t>0</w:t>
            </w:r>
          </w:p>
        </w:tc>
        <w:tc>
          <w:tcPr>
            <w:tcW w:w="1588" w:type="dxa"/>
            <w:vAlign w:val="center"/>
          </w:tcPr>
          <w:p w14:paraId="5942F16A">
            <w:pPr>
              <w:adjustRightInd w:val="0"/>
              <w:snapToGrid w:val="0"/>
              <w:jc w:val="center"/>
              <w:rPr>
                <w:rFonts w:eastAsia="仿宋_GB2312"/>
                <w:snapToGrid w:val="0"/>
                <w:kern w:val="21"/>
              </w:rPr>
            </w:pPr>
            <w:r>
              <w:rPr>
                <w:rFonts w:eastAsia="仿宋_GB2312"/>
                <w:snapToGrid w:val="0"/>
                <w:kern w:val="21"/>
              </w:rPr>
              <w:t>0.0086</w:t>
            </w:r>
          </w:p>
        </w:tc>
        <w:tc>
          <w:tcPr>
            <w:tcW w:w="1197" w:type="dxa"/>
            <w:vAlign w:val="center"/>
          </w:tcPr>
          <w:p w14:paraId="75C1E845">
            <w:pPr>
              <w:adjustRightInd w:val="0"/>
              <w:snapToGrid w:val="0"/>
              <w:jc w:val="center"/>
              <w:rPr>
                <w:rFonts w:eastAsia="仿宋_GB2312"/>
                <w:snapToGrid w:val="0"/>
                <w:kern w:val="21"/>
              </w:rPr>
            </w:pPr>
            <w:r>
              <w:rPr>
                <w:rFonts w:hint="eastAsia" w:eastAsia="仿宋_GB2312"/>
                <w:snapToGrid w:val="0"/>
                <w:kern w:val="21"/>
              </w:rPr>
              <w:t>0</w:t>
            </w:r>
          </w:p>
        </w:tc>
      </w:tr>
      <w:tr w14:paraId="2EE082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 w:hRule="atLeast"/>
        </w:trPr>
        <w:tc>
          <w:tcPr>
            <w:tcW w:w="1588" w:type="dxa"/>
            <w:gridSpan w:val="2"/>
            <w:vMerge w:val="continue"/>
            <w:vAlign w:val="center"/>
          </w:tcPr>
          <w:p w14:paraId="7F9A0CD2">
            <w:pPr>
              <w:pStyle w:val="56"/>
              <w:spacing w:beforeLines="0" w:afterLines="0" w:line="240" w:lineRule="auto"/>
              <w:rPr>
                <w:rFonts w:ascii="Times New Roman" w:eastAsia="仿宋_GB2312"/>
                <w:snapToGrid w:val="0"/>
                <w:kern w:val="21"/>
                <w:szCs w:val="21"/>
              </w:rPr>
            </w:pPr>
          </w:p>
        </w:tc>
        <w:tc>
          <w:tcPr>
            <w:tcW w:w="1417" w:type="dxa"/>
            <w:vAlign w:val="center"/>
          </w:tcPr>
          <w:p w14:paraId="311BA578">
            <w:pPr>
              <w:adjustRightInd w:val="0"/>
              <w:snapToGrid w:val="0"/>
              <w:jc w:val="center"/>
              <w:rPr>
                <w:rFonts w:eastAsia="仿宋_GB2312"/>
                <w:snapToGrid w:val="0"/>
                <w:kern w:val="21"/>
              </w:rPr>
            </w:pPr>
            <w:r>
              <w:rPr>
                <w:rFonts w:eastAsia="仿宋_GB2312"/>
                <w:snapToGrid w:val="0"/>
                <w:kern w:val="21"/>
              </w:rPr>
              <w:t>石油类</w:t>
            </w:r>
          </w:p>
        </w:tc>
        <w:tc>
          <w:tcPr>
            <w:tcW w:w="1701" w:type="dxa"/>
            <w:vAlign w:val="center"/>
          </w:tcPr>
          <w:p w14:paraId="7C1FCDDE">
            <w:pPr>
              <w:adjustRightInd w:val="0"/>
              <w:snapToGrid w:val="0"/>
              <w:jc w:val="center"/>
              <w:rPr>
                <w:rFonts w:eastAsia="仿宋_GB2312"/>
                <w:snapToGrid w:val="0"/>
                <w:kern w:val="21"/>
              </w:rPr>
            </w:pPr>
            <w:r>
              <w:rPr>
                <w:rFonts w:eastAsia="仿宋_GB2312"/>
                <w:snapToGrid w:val="0"/>
                <w:kern w:val="21"/>
              </w:rPr>
              <w:t>0.0063</w:t>
            </w:r>
          </w:p>
        </w:tc>
        <w:tc>
          <w:tcPr>
            <w:tcW w:w="1276" w:type="dxa"/>
            <w:vAlign w:val="center"/>
          </w:tcPr>
          <w:p w14:paraId="7184EB75">
            <w:pPr>
              <w:adjustRightInd w:val="0"/>
              <w:snapToGrid w:val="0"/>
              <w:jc w:val="center"/>
              <w:rPr>
                <w:rFonts w:eastAsia="仿宋_GB2312"/>
                <w:snapToGrid w:val="0"/>
                <w:kern w:val="21"/>
              </w:rPr>
            </w:pPr>
            <w:r>
              <w:rPr>
                <w:rFonts w:eastAsia="仿宋_GB2312"/>
                <w:snapToGrid w:val="0"/>
                <w:kern w:val="21"/>
              </w:rPr>
              <w:t>0</w:t>
            </w:r>
          </w:p>
        </w:tc>
        <w:tc>
          <w:tcPr>
            <w:tcW w:w="1701" w:type="dxa"/>
            <w:vAlign w:val="center"/>
          </w:tcPr>
          <w:p w14:paraId="70AE76F0">
            <w:pPr>
              <w:adjustRightInd w:val="0"/>
              <w:snapToGrid w:val="0"/>
              <w:jc w:val="center"/>
              <w:rPr>
                <w:rFonts w:eastAsia="仿宋_GB2312"/>
                <w:snapToGrid w:val="0"/>
                <w:kern w:val="21"/>
              </w:rPr>
            </w:pPr>
            <w:r>
              <w:rPr>
                <w:rFonts w:eastAsia="仿宋_GB2312"/>
                <w:snapToGrid w:val="0"/>
                <w:kern w:val="21"/>
              </w:rPr>
              <w:t>0</w:t>
            </w:r>
          </w:p>
        </w:tc>
        <w:tc>
          <w:tcPr>
            <w:tcW w:w="1559" w:type="dxa"/>
            <w:vAlign w:val="center"/>
          </w:tcPr>
          <w:p w14:paraId="1D097235">
            <w:pPr>
              <w:adjustRightInd w:val="0"/>
              <w:snapToGrid w:val="0"/>
              <w:jc w:val="center"/>
              <w:rPr>
                <w:rFonts w:eastAsia="仿宋_GB2312"/>
                <w:snapToGrid w:val="0"/>
                <w:kern w:val="21"/>
              </w:rPr>
            </w:pPr>
            <w:r>
              <w:rPr>
                <w:rFonts w:eastAsia="仿宋_GB2312"/>
                <w:snapToGrid w:val="0"/>
                <w:kern w:val="21"/>
              </w:rPr>
              <w:t>0</w:t>
            </w:r>
          </w:p>
        </w:tc>
        <w:tc>
          <w:tcPr>
            <w:tcW w:w="1761" w:type="dxa"/>
            <w:vAlign w:val="center"/>
          </w:tcPr>
          <w:p w14:paraId="3322F5F4">
            <w:pPr>
              <w:adjustRightInd w:val="0"/>
              <w:snapToGrid w:val="0"/>
              <w:jc w:val="center"/>
              <w:rPr>
                <w:rFonts w:eastAsia="仿宋_GB2312"/>
                <w:snapToGrid w:val="0"/>
                <w:kern w:val="21"/>
              </w:rPr>
            </w:pPr>
            <w:r>
              <w:rPr>
                <w:rFonts w:eastAsia="仿宋_GB2312"/>
                <w:snapToGrid w:val="0"/>
                <w:kern w:val="21"/>
              </w:rPr>
              <w:t>0</w:t>
            </w:r>
          </w:p>
        </w:tc>
        <w:tc>
          <w:tcPr>
            <w:tcW w:w="1588" w:type="dxa"/>
            <w:vAlign w:val="center"/>
          </w:tcPr>
          <w:p w14:paraId="29DC0700">
            <w:pPr>
              <w:adjustRightInd w:val="0"/>
              <w:snapToGrid w:val="0"/>
              <w:jc w:val="center"/>
              <w:rPr>
                <w:rFonts w:eastAsia="仿宋_GB2312"/>
                <w:snapToGrid w:val="0"/>
                <w:kern w:val="21"/>
              </w:rPr>
            </w:pPr>
            <w:r>
              <w:rPr>
                <w:rFonts w:eastAsia="仿宋_GB2312"/>
                <w:snapToGrid w:val="0"/>
                <w:kern w:val="21"/>
              </w:rPr>
              <w:t>0.0063</w:t>
            </w:r>
          </w:p>
        </w:tc>
        <w:tc>
          <w:tcPr>
            <w:tcW w:w="1197" w:type="dxa"/>
            <w:vAlign w:val="center"/>
          </w:tcPr>
          <w:p w14:paraId="59794087">
            <w:pPr>
              <w:adjustRightInd w:val="0"/>
              <w:snapToGrid w:val="0"/>
              <w:jc w:val="center"/>
              <w:rPr>
                <w:rFonts w:eastAsia="仿宋_GB2312"/>
                <w:snapToGrid w:val="0"/>
                <w:kern w:val="21"/>
              </w:rPr>
            </w:pPr>
            <w:r>
              <w:rPr>
                <w:rFonts w:hint="eastAsia" w:eastAsia="仿宋_GB2312"/>
                <w:snapToGrid w:val="0"/>
                <w:kern w:val="21"/>
              </w:rPr>
              <w:t>0</w:t>
            </w:r>
          </w:p>
        </w:tc>
      </w:tr>
      <w:tr w14:paraId="4AA939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 w:hRule="atLeast"/>
        </w:trPr>
        <w:tc>
          <w:tcPr>
            <w:tcW w:w="1588" w:type="dxa"/>
            <w:gridSpan w:val="2"/>
            <w:vMerge w:val="continue"/>
            <w:vAlign w:val="center"/>
          </w:tcPr>
          <w:p w14:paraId="34A772FC">
            <w:pPr>
              <w:pStyle w:val="56"/>
              <w:spacing w:beforeLines="0" w:afterLines="0" w:line="240" w:lineRule="auto"/>
              <w:rPr>
                <w:rFonts w:ascii="Times New Roman" w:eastAsia="仿宋_GB2312"/>
                <w:snapToGrid w:val="0"/>
                <w:kern w:val="21"/>
                <w:szCs w:val="21"/>
              </w:rPr>
            </w:pPr>
          </w:p>
        </w:tc>
        <w:tc>
          <w:tcPr>
            <w:tcW w:w="1417" w:type="dxa"/>
            <w:vAlign w:val="center"/>
          </w:tcPr>
          <w:p w14:paraId="6F8CC369">
            <w:pPr>
              <w:adjustRightInd w:val="0"/>
              <w:snapToGrid w:val="0"/>
              <w:jc w:val="center"/>
              <w:rPr>
                <w:rFonts w:eastAsia="仿宋_GB2312"/>
                <w:snapToGrid w:val="0"/>
                <w:kern w:val="21"/>
              </w:rPr>
            </w:pPr>
            <w:r>
              <w:rPr>
                <w:rFonts w:eastAsia="仿宋_GB2312"/>
                <w:snapToGrid w:val="0"/>
                <w:kern w:val="21"/>
              </w:rPr>
              <w:t>氯化物</w:t>
            </w:r>
          </w:p>
        </w:tc>
        <w:tc>
          <w:tcPr>
            <w:tcW w:w="1701" w:type="dxa"/>
            <w:vAlign w:val="center"/>
          </w:tcPr>
          <w:p w14:paraId="5A6D2BAF">
            <w:pPr>
              <w:adjustRightInd w:val="0"/>
              <w:snapToGrid w:val="0"/>
              <w:jc w:val="center"/>
              <w:rPr>
                <w:rFonts w:eastAsia="仿宋_GB2312"/>
                <w:snapToGrid w:val="0"/>
                <w:kern w:val="21"/>
              </w:rPr>
            </w:pPr>
            <w:r>
              <w:rPr>
                <w:rFonts w:eastAsia="仿宋_GB2312"/>
                <w:snapToGrid w:val="0"/>
                <w:kern w:val="21"/>
              </w:rPr>
              <w:t>0.132</w:t>
            </w:r>
          </w:p>
        </w:tc>
        <w:tc>
          <w:tcPr>
            <w:tcW w:w="1276" w:type="dxa"/>
            <w:vAlign w:val="center"/>
          </w:tcPr>
          <w:p w14:paraId="2EA9C80E">
            <w:pPr>
              <w:adjustRightInd w:val="0"/>
              <w:snapToGrid w:val="0"/>
              <w:jc w:val="center"/>
              <w:rPr>
                <w:rFonts w:eastAsia="仿宋_GB2312"/>
                <w:snapToGrid w:val="0"/>
                <w:kern w:val="21"/>
              </w:rPr>
            </w:pPr>
            <w:r>
              <w:rPr>
                <w:rFonts w:eastAsia="仿宋_GB2312"/>
                <w:snapToGrid w:val="0"/>
                <w:kern w:val="21"/>
              </w:rPr>
              <w:t>0</w:t>
            </w:r>
          </w:p>
        </w:tc>
        <w:tc>
          <w:tcPr>
            <w:tcW w:w="1701" w:type="dxa"/>
            <w:vAlign w:val="center"/>
          </w:tcPr>
          <w:p w14:paraId="02F076CA">
            <w:pPr>
              <w:adjustRightInd w:val="0"/>
              <w:snapToGrid w:val="0"/>
              <w:jc w:val="center"/>
              <w:rPr>
                <w:rFonts w:eastAsia="仿宋_GB2312"/>
                <w:snapToGrid w:val="0"/>
                <w:kern w:val="21"/>
              </w:rPr>
            </w:pPr>
            <w:r>
              <w:rPr>
                <w:rFonts w:eastAsia="仿宋_GB2312"/>
                <w:snapToGrid w:val="0"/>
                <w:kern w:val="21"/>
              </w:rPr>
              <w:t>0</w:t>
            </w:r>
          </w:p>
        </w:tc>
        <w:tc>
          <w:tcPr>
            <w:tcW w:w="1559" w:type="dxa"/>
            <w:vAlign w:val="center"/>
          </w:tcPr>
          <w:p w14:paraId="4F17E54B">
            <w:pPr>
              <w:adjustRightInd w:val="0"/>
              <w:snapToGrid w:val="0"/>
              <w:jc w:val="center"/>
              <w:rPr>
                <w:rFonts w:eastAsia="仿宋_GB2312"/>
                <w:snapToGrid w:val="0"/>
                <w:kern w:val="21"/>
              </w:rPr>
            </w:pPr>
            <w:r>
              <w:rPr>
                <w:rFonts w:eastAsia="仿宋_GB2312"/>
                <w:snapToGrid w:val="0"/>
                <w:kern w:val="21"/>
              </w:rPr>
              <w:t>0</w:t>
            </w:r>
          </w:p>
        </w:tc>
        <w:tc>
          <w:tcPr>
            <w:tcW w:w="1761" w:type="dxa"/>
            <w:vAlign w:val="center"/>
          </w:tcPr>
          <w:p w14:paraId="5E841423">
            <w:pPr>
              <w:adjustRightInd w:val="0"/>
              <w:snapToGrid w:val="0"/>
              <w:jc w:val="center"/>
              <w:rPr>
                <w:rFonts w:eastAsia="仿宋_GB2312"/>
                <w:snapToGrid w:val="0"/>
                <w:kern w:val="21"/>
              </w:rPr>
            </w:pPr>
            <w:r>
              <w:rPr>
                <w:rFonts w:eastAsia="仿宋_GB2312"/>
                <w:snapToGrid w:val="0"/>
                <w:kern w:val="21"/>
              </w:rPr>
              <w:t>0</w:t>
            </w:r>
          </w:p>
        </w:tc>
        <w:tc>
          <w:tcPr>
            <w:tcW w:w="1588" w:type="dxa"/>
            <w:vAlign w:val="center"/>
          </w:tcPr>
          <w:p w14:paraId="4A92E6A2">
            <w:pPr>
              <w:adjustRightInd w:val="0"/>
              <w:snapToGrid w:val="0"/>
              <w:jc w:val="center"/>
              <w:rPr>
                <w:rFonts w:eastAsia="仿宋_GB2312"/>
                <w:snapToGrid w:val="0"/>
                <w:kern w:val="21"/>
              </w:rPr>
            </w:pPr>
            <w:r>
              <w:rPr>
                <w:rFonts w:eastAsia="仿宋_GB2312"/>
                <w:snapToGrid w:val="0"/>
                <w:kern w:val="21"/>
              </w:rPr>
              <w:t>0.132</w:t>
            </w:r>
          </w:p>
        </w:tc>
        <w:tc>
          <w:tcPr>
            <w:tcW w:w="1197" w:type="dxa"/>
            <w:vAlign w:val="center"/>
          </w:tcPr>
          <w:p w14:paraId="0B92AA53">
            <w:pPr>
              <w:adjustRightInd w:val="0"/>
              <w:snapToGrid w:val="0"/>
              <w:jc w:val="center"/>
              <w:rPr>
                <w:rFonts w:eastAsia="仿宋_GB2312"/>
                <w:snapToGrid w:val="0"/>
                <w:kern w:val="21"/>
              </w:rPr>
            </w:pPr>
            <w:r>
              <w:rPr>
                <w:rFonts w:hint="eastAsia" w:eastAsia="仿宋_GB2312"/>
                <w:snapToGrid w:val="0"/>
                <w:kern w:val="21"/>
              </w:rPr>
              <w:t>0</w:t>
            </w:r>
          </w:p>
        </w:tc>
      </w:tr>
      <w:tr w14:paraId="3BA39F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restart"/>
            <w:vAlign w:val="center"/>
          </w:tcPr>
          <w:p w14:paraId="576CA762">
            <w:pPr>
              <w:pStyle w:val="56"/>
              <w:spacing w:beforeLines="0" w:afterLines="0" w:line="240" w:lineRule="auto"/>
              <w:rPr>
                <w:rFonts w:ascii="Times New Roman" w:eastAsia="仿宋_GB2312"/>
                <w:snapToGrid w:val="0"/>
                <w:kern w:val="21"/>
                <w:szCs w:val="21"/>
              </w:rPr>
            </w:pPr>
            <w:r>
              <w:rPr>
                <w:rFonts w:ascii="Times New Roman" w:eastAsia="仿宋_GB2312"/>
                <w:snapToGrid w:val="0"/>
                <w:kern w:val="21"/>
                <w:szCs w:val="21"/>
              </w:rPr>
              <w:t>一般工业</w:t>
            </w:r>
          </w:p>
          <w:p w14:paraId="7EAB4566">
            <w:pPr>
              <w:pStyle w:val="56"/>
              <w:spacing w:beforeLines="0" w:afterLines="0" w:line="240" w:lineRule="auto"/>
              <w:rPr>
                <w:rFonts w:ascii="Times New Roman" w:eastAsia="仿宋_GB2312"/>
                <w:snapToGrid w:val="0"/>
                <w:kern w:val="21"/>
                <w:szCs w:val="21"/>
              </w:rPr>
            </w:pPr>
            <w:r>
              <w:rPr>
                <w:rFonts w:ascii="Times New Roman" w:eastAsia="仿宋_GB2312"/>
                <w:snapToGrid w:val="0"/>
                <w:kern w:val="21"/>
                <w:szCs w:val="21"/>
              </w:rPr>
              <w:t>固体废物</w:t>
            </w:r>
          </w:p>
        </w:tc>
        <w:tc>
          <w:tcPr>
            <w:tcW w:w="1417" w:type="dxa"/>
            <w:vAlign w:val="center"/>
          </w:tcPr>
          <w:p w14:paraId="485143E7">
            <w:pPr>
              <w:adjustRightInd w:val="0"/>
              <w:snapToGrid w:val="0"/>
              <w:jc w:val="center"/>
              <w:rPr>
                <w:rFonts w:eastAsia="仿宋_GB2312"/>
                <w:snapToGrid w:val="0"/>
                <w:color w:val="000000" w:themeColor="text1"/>
                <w:kern w:val="21"/>
              </w:rPr>
            </w:pPr>
            <w:r>
              <w:rPr>
                <w:rFonts w:eastAsia="仿宋_GB2312"/>
                <w:snapToGrid w:val="0"/>
                <w:color w:val="000000" w:themeColor="text1"/>
                <w:kern w:val="21"/>
              </w:rPr>
              <w:t>一般工业</w:t>
            </w:r>
          </w:p>
          <w:p w14:paraId="45FD93FF">
            <w:pPr>
              <w:adjustRightInd w:val="0"/>
              <w:snapToGrid w:val="0"/>
              <w:jc w:val="center"/>
              <w:rPr>
                <w:rFonts w:eastAsia="仿宋_GB2312"/>
                <w:snapToGrid w:val="0"/>
                <w:color w:val="000000" w:themeColor="text1"/>
                <w:kern w:val="21"/>
              </w:rPr>
            </w:pPr>
            <w:r>
              <w:rPr>
                <w:rFonts w:eastAsia="仿宋_GB2312"/>
                <w:snapToGrid w:val="0"/>
                <w:color w:val="000000" w:themeColor="text1"/>
                <w:kern w:val="21"/>
              </w:rPr>
              <w:t>固体废物</w:t>
            </w:r>
          </w:p>
        </w:tc>
        <w:tc>
          <w:tcPr>
            <w:tcW w:w="1701" w:type="dxa"/>
            <w:vAlign w:val="center"/>
          </w:tcPr>
          <w:p w14:paraId="3D18D1A6">
            <w:pPr>
              <w:adjustRightInd w:val="0"/>
              <w:snapToGrid w:val="0"/>
              <w:jc w:val="center"/>
              <w:rPr>
                <w:rFonts w:eastAsia="仿宋_GB2312"/>
                <w:snapToGrid w:val="0"/>
                <w:kern w:val="21"/>
              </w:rPr>
            </w:pPr>
            <w:r>
              <w:rPr>
                <w:rFonts w:hint="eastAsia" w:eastAsia="仿宋_GB2312"/>
                <w:snapToGrid w:val="0"/>
                <w:kern w:val="21"/>
              </w:rPr>
              <w:t>9</w:t>
            </w:r>
          </w:p>
        </w:tc>
        <w:tc>
          <w:tcPr>
            <w:tcW w:w="1276" w:type="dxa"/>
            <w:vAlign w:val="center"/>
          </w:tcPr>
          <w:p w14:paraId="4274DBF9">
            <w:pPr>
              <w:adjustRightInd w:val="0"/>
              <w:snapToGrid w:val="0"/>
              <w:jc w:val="center"/>
              <w:rPr>
                <w:rFonts w:eastAsia="仿宋_GB2312"/>
                <w:snapToGrid w:val="0"/>
                <w:kern w:val="21"/>
              </w:rPr>
            </w:pPr>
            <w:r>
              <w:rPr>
                <w:rFonts w:eastAsia="仿宋_GB2312"/>
                <w:snapToGrid w:val="0"/>
                <w:kern w:val="21"/>
              </w:rPr>
              <w:t>0</w:t>
            </w:r>
          </w:p>
        </w:tc>
        <w:tc>
          <w:tcPr>
            <w:tcW w:w="1701" w:type="dxa"/>
            <w:vAlign w:val="center"/>
          </w:tcPr>
          <w:p w14:paraId="613D3421">
            <w:pPr>
              <w:adjustRightInd w:val="0"/>
              <w:snapToGrid w:val="0"/>
              <w:jc w:val="center"/>
              <w:rPr>
                <w:rFonts w:eastAsia="仿宋_GB2312"/>
                <w:snapToGrid w:val="0"/>
                <w:kern w:val="21"/>
              </w:rPr>
            </w:pPr>
            <w:r>
              <w:rPr>
                <w:rFonts w:eastAsia="仿宋_GB2312"/>
                <w:snapToGrid w:val="0"/>
                <w:kern w:val="21"/>
              </w:rPr>
              <w:t>0</w:t>
            </w:r>
          </w:p>
        </w:tc>
        <w:tc>
          <w:tcPr>
            <w:tcW w:w="1559" w:type="dxa"/>
            <w:shd w:val="clear" w:color="auto" w:fill="auto"/>
            <w:vAlign w:val="center"/>
          </w:tcPr>
          <w:p w14:paraId="1485812F">
            <w:pPr>
              <w:adjustRightInd w:val="0"/>
              <w:snapToGrid w:val="0"/>
              <w:jc w:val="center"/>
              <w:rPr>
                <w:rFonts w:eastAsia="仿宋_GB2312"/>
                <w:snapToGrid w:val="0"/>
                <w:kern w:val="21"/>
              </w:rPr>
            </w:pPr>
            <w:r>
              <w:rPr>
                <w:rFonts w:hint="eastAsia" w:eastAsia="仿宋_GB2312"/>
                <w:snapToGrid w:val="0"/>
                <w:kern w:val="21"/>
              </w:rPr>
              <w:t>50</w:t>
            </w:r>
            <w:r>
              <w:rPr>
                <w:rFonts w:hint="eastAsia" w:eastAsia="仿宋_GB2312"/>
                <w:snapToGrid w:val="0"/>
                <w:kern w:val="21"/>
                <w:lang w:val="en-US" w:eastAsia="zh-CN"/>
              </w:rPr>
              <w:t>07</w:t>
            </w:r>
            <w:r>
              <w:rPr>
                <w:rFonts w:hint="eastAsia" w:eastAsia="仿宋_GB2312"/>
                <w:snapToGrid w:val="0"/>
                <w:kern w:val="21"/>
              </w:rPr>
              <w:t>.7</w:t>
            </w:r>
          </w:p>
        </w:tc>
        <w:tc>
          <w:tcPr>
            <w:tcW w:w="1761" w:type="dxa"/>
            <w:vAlign w:val="center"/>
          </w:tcPr>
          <w:p w14:paraId="5EEFE9B4">
            <w:pPr>
              <w:adjustRightInd w:val="0"/>
              <w:snapToGrid w:val="0"/>
              <w:jc w:val="center"/>
              <w:rPr>
                <w:rFonts w:eastAsia="仿宋_GB2312"/>
                <w:snapToGrid w:val="0"/>
                <w:kern w:val="21"/>
              </w:rPr>
            </w:pPr>
            <w:r>
              <w:rPr>
                <w:rFonts w:eastAsia="仿宋_GB2312"/>
                <w:snapToGrid w:val="0"/>
                <w:kern w:val="21"/>
              </w:rPr>
              <w:t>0</w:t>
            </w:r>
          </w:p>
        </w:tc>
        <w:tc>
          <w:tcPr>
            <w:tcW w:w="1588" w:type="dxa"/>
            <w:vAlign w:val="center"/>
          </w:tcPr>
          <w:p w14:paraId="36518979">
            <w:pPr>
              <w:adjustRightInd w:val="0"/>
              <w:snapToGrid w:val="0"/>
              <w:jc w:val="center"/>
              <w:rPr>
                <w:rFonts w:eastAsia="仿宋_GB2312"/>
                <w:snapToGrid w:val="0"/>
                <w:kern w:val="21"/>
              </w:rPr>
            </w:pPr>
            <w:r>
              <w:rPr>
                <w:rFonts w:hint="eastAsia" w:eastAsia="仿宋_GB2312"/>
                <w:snapToGrid w:val="0"/>
                <w:kern w:val="21"/>
              </w:rPr>
              <w:t>5019.75</w:t>
            </w:r>
          </w:p>
        </w:tc>
        <w:tc>
          <w:tcPr>
            <w:tcW w:w="1197" w:type="dxa"/>
            <w:vAlign w:val="center"/>
          </w:tcPr>
          <w:p w14:paraId="61BD6CFE">
            <w:pPr>
              <w:adjustRightInd w:val="0"/>
              <w:snapToGrid w:val="0"/>
              <w:jc w:val="center"/>
              <w:rPr>
                <w:rFonts w:eastAsia="仿宋_GB2312"/>
                <w:snapToGrid w:val="0"/>
                <w:kern w:val="21"/>
              </w:rPr>
            </w:pPr>
            <w:r>
              <w:rPr>
                <w:rFonts w:hint="eastAsia" w:eastAsia="仿宋_GB2312"/>
                <w:snapToGrid w:val="0"/>
                <w:kern w:val="21"/>
              </w:rPr>
              <w:t>+5010.75</w:t>
            </w:r>
          </w:p>
        </w:tc>
      </w:tr>
      <w:tr w14:paraId="36FEDA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continue"/>
            <w:vAlign w:val="center"/>
          </w:tcPr>
          <w:p w14:paraId="677B58B2">
            <w:pPr>
              <w:pStyle w:val="56"/>
              <w:spacing w:beforeLines="0" w:afterLines="0" w:line="240" w:lineRule="auto"/>
              <w:rPr>
                <w:rFonts w:ascii="Times New Roman" w:eastAsia="仿宋_GB2312"/>
                <w:snapToGrid w:val="0"/>
                <w:kern w:val="21"/>
                <w:szCs w:val="21"/>
              </w:rPr>
            </w:pPr>
          </w:p>
        </w:tc>
        <w:tc>
          <w:tcPr>
            <w:tcW w:w="1417" w:type="dxa"/>
            <w:vAlign w:val="center"/>
          </w:tcPr>
          <w:p w14:paraId="1C4ED3D2">
            <w:pPr>
              <w:adjustRightInd w:val="0"/>
              <w:snapToGrid w:val="0"/>
              <w:jc w:val="center"/>
              <w:rPr>
                <w:rFonts w:eastAsia="仿宋_GB2312"/>
                <w:snapToGrid w:val="0"/>
                <w:color w:val="000000" w:themeColor="text1"/>
                <w:kern w:val="21"/>
              </w:rPr>
            </w:pPr>
            <w:r>
              <w:rPr>
                <w:rFonts w:hint="eastAsia" w:eastAsia="仿宋_GB2312"/>
                <w:snapToGrid w:val="0"/>
                <w:color w:val="000000" w:themeColor="text1"/>
                <w:kern w:val="21"/>
              </w:rPr>
              <w:t>生活垃圾</w:t>
            </w:r>
          </w:p>
        </w:tc>
        <w:tc>
          <w:tcPr>
            <w:tcW w:w="1701" w:type="dxa"/>
            <w:vAlign w:val="center"/>
          </w:tcPr>
          <w:p w14:paraId="75F2D052">
            <w:pPr>
              <w:adjustRightInd w:val="0"/>
              <w:snapToGrid w:val="0"/>
              <w:jc w:val="center"/>
              <w:rPr>
                <w:rFonts w:eastAsia="仿宋_GB2312"/>
                <w:snapToGrid w:val="0"/>
                <w:kern w:val="21"/>
              </w:rPr>
            </w:pPr>
            <w:r>
              <w:rPr>
                <w:rFonts w:hint="eastAsia" w:eastAsia="仿宋_GB2312"/>
                <w:snapToGrid w:val="0"/>
                <w:kern w:val="21"/>
              </w:rPr>
              <w:t>29.25</w:t>
            </w:r>
          </w:p>
        </w:tc>
        <w:tc>
          <w:tcPr>
            <w:tcW w:w="1276" w:type="dxa"/>
            <w:vAlign w:val="center"/>
          </w:tcPr>
          <w:p w14:paraId="78749830">
            <w:pPr>
              <w:adjustRightInd w:val="0"/>
              <w:snapToGrid w:val="0"/>
              <w:jc w:val="center"/>
              <w:rPr>
                <w:rFonts w:eastAsia="仿宋_GB2312"/>
                <w:snapToGrid w:val="0"/>
                <w:kern w:val="21"/>
              </w:rPr>
            </w:pPr>
            <w:r>
              <w:rPr>
                <w:rFonts w:hint="eastAsia" w:eastAsia="仿宋_GB2312"/>
                <w:snapToGrid w:val="0"/>
                <w:kern w:val="21"/>
              </w:rPr>
              <w:t>0</w:t>
            </w:r>
          </w:p>
        </w:tc>
        <w:tc>
          <w:tcPr>
            <w:tcW w:w="1701" w:type="dxa"/>
            <w:vAlign w:val="center"/>
          </w:tcPr>
          <w:p w14:paraId="1B4B4694">
            <w:pPr>
              <w:adjustRightInd w:val="0"/>
              <w:snapToGrid w:val="0"/>
              <w:jc w:val="center"/>
              <w:rPr>
                <w:rFonts w:eastAsia="仿宋_GB2312"/>
                <w:snapToGrid w:val="0"/>
                <w:kern w:val="21"/>
              </w:rPr>
            </w:pPr>
            <w:r>
              <w:rPr>
                <w:rFonts w:hint="eastAsia" w:eastAsia="仿宋_GB2312"/>
                <w:snapToGrid w:val="0"/>
                <w:kern w:val="21"/>
              </w:rPr>
              <w:t>0</w:t>
            </w:r>
          </w:p>
        </w:tc>
        <w:tc>
          <w:tcPr>
            <w:tcW w:w="1559" w:type="dxa"/>
            <w:vAlign w:val="center"/>
          </w:tcPr>
          <w:p w14:paraId="1DD7CF7F">
            <w:pPr>
              <w:adjustRightInd w:val="0"/>
              <w:snapToGrid w:val="0"/>
              <w:jc w:val="center"/>
              <w:rPr>
                <w:rFonts w:eastAsia="仿宋_GB2312"/>
                <w:snapToGrid w:val="0"/>
                <w:kern w:val="21"/>
              </w:rPr>
            </w:pPr>
            <w:r>
              <w:rPr>
                <w:rFonts w:hint="eastAsia" w:eastAsia="仿宋_GB2312"/>
                <w:snapToGrid w:val="0"/>
                <w:kern w:val="21"/>
              </w:rPr>
              <w:t>0</w:t>
            </w:r>
          </w:p>
        </w:tc>
        <w:tc>
          <w:tcPr>
            <w:tcW w:w="1761" w:type="dxa"/>
            <w:vAlign w:val="center"/>
          </w:tcPr>
          <w:p w14:paraId="1A20B221">
            <w:pPr>
              <w:adjustRightInd w:val="0"/>
              <w:snapToGrid w:val="0"/>
              <w:jc w:val="center"/>
              <w:rPr>
                <w:rFonts w:eastAsia="仿宋_GB2312"/>
                <w:snapToGrid w:val="0"/>
                <w:kern w:val="21"/>
              </w:rPr>
            </w:pPr>
            <w:r>
              <w:rPr>
                <w:rFonts w:hint="eastAsia" w:eastAsia="仿宋_GB2312"/>
                <w:snapToGrid w:val="0"/>
                <w:kern w:val="21"/>
              </w:rPr>
              <w:t>0</w:t>
            </w:r>
          </w:p>
        </w:tc>
        <w:tc>
          <w:tcPr>
            <w:tcW w:w="1588" w:type="dxa"/>
            <w:vAlign w:val="center"/>
          </w:tcPr>
          <w:p w14:paraId="67BF2291">
            <w:pPr>
              <w:adjustRightInd w:val="0"/>
              <w:snapToGrid w:val="0"/>
              <w:jc w:val="center"/>
              <w:rPr>
                <w:rFonts w:eastAsia="仿宋_GB2312"/>
                <w:snapToGrid w:val="0"/>
                <w:kern w:val="21"/>
              </w:rPr>
            </w:pPr>
            <w:r>
              <w:rPr>
                <w:rFonts w:hint="eastAsia" w:eastAsia="仿宋_GB2312"/>
                <w:snapToGrid w:val="0"/>
                <w:kern w:val="21"/>
              </w:rPr>
              <w:t>29.25</w:t>
            </w:r>
          </w:p>
        </w:tc>
        <w:tc>
          <w:tcPr>
            <w:tcW w:w="1197" w:type="dxa"/>
            <w:vAlign w:val="center"/>
          </w:tcPr>
          <w:p w14:paraId="6363D785">
            <w:pPr>
              <w:adjustRightInd w:val="0"/>
              <w:snapToGrid w:val="0"/>
              <w:jc w:val="center"/>
              <w:rPr>
                <w:rFonts w:eastAsia="仿宋_GB2312"/>
                <w:snapToGrid w:val="0"/>
                <w:kern w:val="21"/>
              </w:rPr>
            </w:pPr>
            <w:r>
              <w:rPr>
                <w:rFonts w:hint="eastAsia" w:eastAsia="仿宋_GB2312"/>
                <w:snapToGrid w:val="0"/>
                <w:kern w:val="21"/>
              </w:rPr>
              <w:t>0</w:t>
            </w:r>
          </w:p>
        </w:tc>
      </w:tr>
      <w:tr w14:paraId="6EB613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Align w:val="center"/>
          </w:tcPr>
          <w:p w14:paraId="47656989">
            <w:pPr>
              <w:pStyle w:val="56"/>
              <w:spacing w:beforeLines="0" w:afterLines="0" w:line="240" w:lineRule="auto"/>
              <w:rPr>
                <w:rFonts w:ascii="Times New Roman" w:eastAsia="仿宋_GB2312"/>
                <w:snapToGrid w:val="0"/>
                <w:kern w:val="21"/>
                <w:szCs w:val="21"/>
              </w:rPr>
            </w:pPr>
            <w:r>
              <w:rPr>
                <w:rFonts w:ascii="Times New Roman" w:eastAsia="仿宋_GB2312"/>
                <w:snapToGrid w:val="0"/>
                <w:kern w:val="21"/>
                <w:szCs w:val="21"/>
              </w:rPr>
              <w:t>危险废物</w:t>
            </w:r>
          </w:p>
        </w:tc>
        <w:tc>
          <w:tcPr>
            <w:tcW w:w="1417" w:type="dxa"/>
            <w:vAlign w:val="center"/>
          </w:tcPr>
          <w:p w14:paraId="02046CC5">
            <w:pPr>
              <w:adjustRightInd w:val="0"/>
              <w:snapToGrid w:val="0"/>
              <w:jc w:val="center"/>
              <w:rPr>
                <w:rFonts w:eastAsia="仿宋_GB2312"/>
                <w:snapToGrid w:val="0"/>
                <w:color w:val="000000" w:themeColor="text1"/>
                <w:kern w:val="21"/>
              </w:rPr>
            </w:pPr>
            <w:r>
              <w:rPr>
                <w:rFonts w:hint="eastAsia" w:eastAsia="仿宋_GB2312"/>
                <w:snapToGrid w:val="0"/>
                <w:color w:val="000000" w:themeColor="text1"/>
                <w:kern w:val="21"/>
              </w:rPr>
              <w:t>危险废物</w:t>
            </w:r>
          </w:p>
        </w:tc>
        <w:tc>
          <w:tcPr>
            <w:tcW w:w="1701" w:type="dxa"/>
            <w:vAlign w:val="center"/>
          </w:tcPr>
          <w:p w14:paraId="3FA059D3">
            <w:pPr>
              <w:adjustRightInd w:val="0"/>
              <w:snapToGrid w:val="0"/>
              <w:jc w:val="center"/>
              <w:rPr>
                <w:rFonts w:eastAsia="仿宋_GB2312"/>
                <w:snapToGrid w:val="0"/>
                <w:kern w:val="21"/>
              </w:rPr>
            </w:pPr>
            <w:r>
              <w:rPr>
                <w:rFonts w:hint="eastAsia" w:eastAsia="仿宋_GB2312"/>
                <w:snapToGrid w:val="0"/>
                <w:kern w:val="21"/>
              </w:rPr>
              <w:t>7.68</w:t>
            </w:r>
          </w:p>
        </w:tc>
        <w:tc>
          <w:tcPr>
            <w:tcW w:w="1276" w:type="dxa"/>
            <w:vAlign w:val="center"/>
          </w:tcPr>
          <w:p w14:paraId="087D8527">
            <w:pPr>
              <w:adjustRightInd w:val="0"/>
              <w:snapToGrid w:val="0"/>
              <w:jc w:val="center"/>
              <w:rPr>
                <w:rFonts w:eastAsia="仿宋_GB2312"/>
                <w:snapToGrid w:val="0"/>
                <w:kern w:val="21"/>
              </w:rPr>
            </w:pPr>
            <w:r>
              <w:rPr>
                <w:rFonts w:hint="eastAsia" w:eastAsia="仿宋_GB2312"/>
                <w:snapToGrid w:val="0"/>
                <w:kern w:val="21"/>
              </w:rPr>
              <w:t>0</w:t>
            </w:r>
          </w:p>
        </w:tc>
        <w:tc>
          <w:tcPr>
            <w:tcW w:w="1701" w:type="dxa"/>
            <w:vAlign w:val="center"/>
          </w:tcPr>
          <w:p w14:paraId="77F12638">
            <w:pPr>
              <w:adjustRightInd w:val="0"/>
              <w:snapToGrid w:val="0"/>
              <w:jc w:val="center"/>
              <w:rPr>
                <w:rFonts w:eastAsia="仿宋_GB2312"/>
                <w:snapToGrid w:val="0"/>
                <w:kern w:val="21"/>
              </w:rPr>
            </w:pPr>
            <w:r>
              <w:rPr>
                <w:rFonts w:hint="eastAsia" w:eastAsia="仿宋_GB2312"/>
                <w:snapToGrid w:val="0"/>
                <w:kern w:val="21"/>
              </w:rPr>
              <w:t>0</w:t>
            </w:r>
          </w:p>
        </w:tc>
        <w:tc>
          <w:tcPr>
            <w:tcW w:w="1559" w:type="dxa"/>
            <w:shd w:val="clear" w:color="auto" w:fill="auto"/>
            <w:vAlign w:val="center"/>
          </w:tcPr>
          <w:p w14:paraId="19637EBC">
            <w:pPr>
              <w:adjustRightInd w:val="0"/>
              <w:snapToGrid w:val="0"/>
              <w:jc w:val="center"/>
              <w:rPr>
                <w:rFonts w:eastAsia="仿宋_GB2312"/>
                <w:snapToGrid w:val="0"/>
                <w:kern w:val="21"/>
              </w:rPr>
            </w:pPr>
            <w:r>
              <w:rPr>
                <w:rFonts w:hint="eastAsia" w:eastAsia="仿宋_GB2312"/>
                <w:snapToGrid w:val="0"/>
                <w:kern w:val="21"/>
              </w:rPr>
              <w:t>7.01</w:t>
            </w:r>
          </w:p>
        </w:tc>
        <w:tc>
          <w:tcPr>
            <w:tcW w:w="1761" w:type="dxa"/>
            <w:vAlign w:val="center"/>
          </w:tcPr>
          <w:p w14:paraId="6DD331D4">
            <w:pPr>
              <w:adjustRightInd w:val="0"/>
              <w:snapToGrid w:val="0"/>
              <w:jc w:val="center"/>
              <w:rPr>
                <w:rFonts w:eastAsia="仿宋_GB2312"/>
                <w:snapToGrid w:val="0"/>
                <w:kern w:val="21"/>
              </w:rPr>
            </w:pPr>
            <w:r>
              <w:rPr>
                <w:rFonts w:hint="eastAsia" w:eastAsia="仿宋_GB2312"/>
                <w:snapToGrid w:val="0"/>
                <w:kern w:val="21"/>
              </w:rPr>
              <w:t>0</w:t>
            </w:r>
          </w:p>
        </w:tc>
        <w:tc>
          <w:tcPr>
            <w:tcW w:w="1588" w:type="dxa"/>
            <w:shd w:val="clear" w:color="auto" w:fill="auto"/>
            <w:vAlign w:val="center"/>
          </w:tcPr>
          <w:p w14:paraId="277D59DC">
            <w:pPr>
              <w:adjustRightInd w:val="0"/>
              <w:snapToGrid w:val="0"/>
              <w:jc w:val="center"/>
              <w:rPr>
                <w:rFonts w:eastAsia="仿宋_GB2312"/>
                <w:snapToGrid w:val="0"/>
                <w:kern w:val="21"/>
              </w:rPr>
            </w:pPr>
            <w:r>
              <w:rPr>
                <w:rFonts w:hint="eastAsia" w:eastAsia="仿宋_GB2312"/>
                <w:snapToGrid w:val="0"/>
                <w:kern w:val="21"/>
              </w:rPr>
              <w:t>14.69</w:t>
            </w:r>
          </w:p>
        </w:tc>
        <w:tc>
          <w:tcPr>
            <w:tcW w:w="1197" w:type="dxa"/>
            <w:vAlign w:val="center"/>
          </w:tcPr>
          <w:p w14:paraId="18AAB366">
            <w:pPr>
              <w:adjustRightInd w:val="0"/>
              <w:snapToGrid w:val="0"/>
              <w:jc w:val="center"/>
              <w:rPr>
                <w:rFonts w:eastAsia="仿宋_GB2312"/>
                <w:snapToGrid w:val="0"/>
                <w:kern w:val="21"/>
              </w:rPr>
            </w:pPr>
            <w:r>
              <w:rPr>
                <w:rFonts w:hint="eastAsia" w:eastAsia="仿宋_GB2312"/>
                <w:snapToGrid w:val="0"/>
                <w:kern w:val="21"/>
              </w:rPr>
              <w:t>+7.01</w:t>
            </w:r>
          </w:p>
        </w:tc>
      </w:tr>
    </w:tbl>
    <w:p w14:paraId="15B6E633">
      <w:pPr>
        <w:pStyle w:val="56"/>
        <w:spacing w:beforeLines="0" w:afterLines="0" w:line="260" w:lineRule="auto"/>
        <w:jc w:val="left"/>
        <w:rPr>
          <w:rFonts w:ascii="Times New Roman" w:eastAsia="仿宋_GB2312"/>
          <w:snapToGrid w:val="0"/>
          <w:spacing w:val="-6"/>
          <w:kern w:val="21"/>
          <w:szCs w:val="21"/>
        </w:rPr>
      </w:pPr>
      <w:bookmarkStart w:id="69" w:name="_Toc11552"/>
      <w:r>
        <w:rPr>
          <w:rFonts w:ascii="Times New Roman" w:eastAsia="仿宋_GB2312"/>
          <w:snapToGrid w:val="0"/>
          <w:kern w:val="21"/>
          <w:szCs w:val="21"/>
        </w:rPr>
        <w:t>注：</w:t>
      </w:r>
      <w:r>
        <w:rPr>
          <w:rFonts w:ascii="Times New Roman" w:eastAsia="仿宋_GB2312"/>
          <w:snapToGrid w:val="0"/>
          <w:spacing w:val="-16"/>
          <w:kern w:val="21"/>
          <w:szCs w:val="21"/>
        </w:rPr>
        <w:fldChar w:fldCharType="begin"/>
      </w:r>
      <w:r>
        <w:rPr>
          <w:rFonts w:ascii="Times New Roman" w:eastAsia="仿宋_GB2312"/>
          <w:snapToGrid w:val="0"/>
          <w:spacing w:val="-16"/>
          <w:kern w:val="21"/>
          <w:szCs w:val="21"/>
        </w:rPr>
        <w:instrText xml:space="preserve"> = 6 \* GB3 \* MERGEFORMAT </w:instrText>
      </w:r>
      <w:r>
        <w:rPr>
          <w:rFonts w:ascii="Times New Roman" w:eastAsia="仿宋_GB2312"/>
          <w:snapToGrid w:val="0"/>
          <w:spacing w:val="-16"/>
          <w:kern w:val="21"/>
          <w:szCs w:val="21"/>
        </w:rPr>
        <w:fldChar w:fldCharType="separate"/>
      </w:r>
      <w:r>
        <w:rPr>
          <w:rFonts w:ascii="Times New Roman" w:eastAsia="仿宋_GB2312"/>
          <w:szCs w:val="21"/>
        </w:rPr>
        <w:t>⑥</w:t>
      </w:r>
      <w:r>
        <w:rPr>
          <w:rFonts w:ascii="Times New Roman" w:eastAsia="仿宋_GB2312"/>
          <w:snapToGrid w:val="0"/>
          <w:spacing w:val="-16"/>
          <w:kern w:val="21"/>
          <w:szCs w:val="21"/>
        </w:rPr>
        <w:fldChar w:fldCharType="end"/>
      </w:r>
      <w:r>
        <w:rPr>
          <w:rFonts w:ascii="Times New Roman" w:eastAsia="仿宋_GB2312"/>
          <w:snapToGrid w:val="0"/>
          <w:spacing w:val="-16"/>
          <w:kern w:val="21"/>
          <w:szCs w:val="21"/>
        </w:rPr>
        <w:t>=</w:t>
      </w:r>
      <w:r>
        <w:rPr>
          <w:rFonts w:ascii="Times New Roman" w:eastAsia="仿宋_GB2312"/>
          <w:snapToGrid w:val="0"/>
          <w:spacing w:val="-6"/>
          <w:kern w:val="21"/>
          <w:szCs w:val="21"/>
        </w:rPr>
        <w:fldChar w:fldCharType="begin"/>
      </w:r>
      <w:r>
        <w:rPr>
          <w:rFonts w:ascii="Times New Roman" w:eastAsia="仿宋_GB2312"/>
          <w:snapToGrid w:val="0"/>
          <w:spacing w:val="-6"/>
          <w:kern w:val="21"/>
          <w:szCs w:val="21"/>
        </w:rPr>
        <w:instrText xml:space="preserve"> = 1 \* GB3 \* MERGEFORMAT </w:instrText>
      </w:r>
      <w:r>
        <w:rPr>
          <w:rFonts w:ascii="Times New Roman" w:eastAsia="仿宋_GB2312"/>
          <w:snapToGrid w:val="0"/>
          <w:spacing w:val="-6"/>
          <w:kern w:val="21"/>
          <w:szCs w:val="21"/>
        </w:rPr>
        <w:fldChar w:fldCharType="separate"/>
      </w:r>
      <w:r>
        <w:rPr>
          <w:rFonts w:ascii="Times New Roman" w:eastAsia="仿宋_GB2312"/>
          <w:szCs w:val="21"/>
        </w:rPr>
        <w:t>①</w:t>
      </w:r>
      <w:r>
        <w:rPr>
          <w:rFonts w:ascii="Times New Roman" w:eastAsia="仿宋_GB2312"/>
          <w:snapToGrid w:val="0"/>
          <w:spacing w:val="-6"/>
          <w:kern w:val="21"/>
          <w:szCs w:val="21"/>
        </w:rPr>
        <w:fldChar w:fldCharType="end"/>
      </w:r>
      <w:r>
        <w:rPr>
          <w:rFonts w:ascii="Times New Roman" w:eastAsia="仿宋_GB2312"/>
          <w:snapToGrid w:val="0"/>
          <w:spacing w:val="-6"/>
          <w:kern w:val="21"/>
          <w:szCs w:val="21"/>
        </w:rPr>
        <w:t>+</w:t>
      </w:r>
      <w:r>
        <w:rPr>
          <w:rFonts w:ascii="Times New Roman" w:eastAsia="仿宋_GB2312"/>
          <w:snapToGrid w:val="0"/>
          <w:spacing w:val="-6"/>
          <w:kern w:val="21"/>
          <w:szCs w:val="21"/>
        </w:rPr>
        <w:fldChar w:fldCharType="begin"/>
      </w:r>
      <w:r>
        <w:rPr>
          <w:rFonts w:ascii="Times New Roman" w:eastAsia="仿宋_GB2312"/>
          <w:snapToGrid w:val="0"/>
          <w:spacing w:val="-6"/>
          <w:kern w:val="21"/>
          <w:szCs w:val="21"/>
        </w:rPr>
        <w:instrText xml:space="preserve"> = 3 \* GB3 \* MERGEFORMAT </w:instrText>
      </w:r>
      <w:r>
        <w:rPr>
          <w:rFonts w:ascii="Times New Roman" w:eastAsia="仿宋_GB2312"/>
          <w:snapToGrid w:val="0"/>
          <w:spacing w:val="-6"/>
          <w:kern w:val="21"/>
          <w:szCs w:val="21"/>
        </w:rPr>
        <w:fldChar w:fldCharType="separate"/>
      </w:r>
      <w:r>
        <w:rPr>
          <w:rFonts w:ascii="Times New Roman" w:eastAsia="仿宋_GB2312"/>
          <w:szCs w:val="21"/>
        </w:rPr>
        <w:t>③</w:t>
      </w:r>
      <w:r>
        <w:rPr>
          <w:rFonts w:ascii="Times New Roman" w:eastAsia="仿宋_GB2312"/>
          <w:snapToGrid w:val="0"/>
          <w:spacing w:val="-6"/>
          <w:kern w:val="21"/>
          <w:szCs w:val="21"/>
        </w:rPr>
        <w:fldChar w:fldCharType="end"/>
      </w:r>
      <w:r>
        <w:rPr>
          <w:rFonts w:ascii="Times New Roman" w:eastAsia="仿宋_GB2312"/>
          <w:snapToGrid w:val="0"/>
          <w:spacing w:val="-6"/>
          <w:kern w:val="21"/>
          <w:szCs w:val="21"/>
        </w:rPr>
        <w:t>+</w:t>
      </w:r>
      <w:r>
        <w:rPr>
          <w:rFonts w:ascii="Times New Roman" w:eastAsia="仿宋_GB2312"/>
          <w:snapToGrid w:val="0"/>
          <w:spacing w:val="-6"/>
          <w:kern w:val="21"/>
          <w:szCs w:val="21"/>
        </w:rPr>
        <w:fldChar w:fldCharType="begin"/>
      </w:r>
      <w:r>
        <w:rPr>
          <w:rFonts w:ascii="Times New Roman" w:eastAsia="仿宋_GB2312"/>
          <w:snapToGrid w:val="0"/>
          <w:spacing w:val="-6"/>
          <w:kern w:val="21"/>
          <w:szCs w:val="21"/>
        </w:rPr>
        <w:instrText xml:space="preserve"> = 4 \* GB3 \* MERGEFORMAT </w:instrText>
      </w:r>
      <w:r>
        <w:rPr>
          <w:rFonts w:ascii="Times New Roman" w:eastAsia="仿宋_GB2312"/>
          <w:snapToGrid w:val="0"/>
          <w:spacing w:val="-6"/>
          <w:kern w:val="21"/>
          <w:szCs w:val="21"/>
        </w:rPr>
        <w:fldChar w:fldCharType="separate"/>
      </w:r>
      <w:r>
        <w:rPr>
          <w:rFonts w:ascii="Times New Roman" w:eastAsia="仿宋_GB2312"/>
          <w:szCs w:val="21"/>
        </w:rPr>
        <w:t>④</w:t>
      </w:r>
      <w:r>
        <w:rPr>
          <w:rFonts w:ascii="Times New Roman" w:eastAsia="仿宋_GB2312"/>
          <w:snapToGrid w:val="0"/>
          <w:spacing w:val="-6"/>
          <w:kern w:val="21"/>
          <w:szCs w:val="21"/>
        </w:rPr>
        <w:fldChar w:fldCharType="end"/>
      </w:r>
      <w:r>
        <w:rPr>
          <w:rFonts w:ascii="Times New Roman" w:eastAsia="仿宋_GB2312"/>
          <w:snapToGrid w:val="0"/>
          <w:spacing w:val="-6"/>
          <w:kern w:val="21"/>
          <w:szCs w:val="21"/>
        </w:rPr>
        <w:t>-</w:t>
      </w:r>
      <w:r>
        <w:rPr>
          <w:rFonts w:ascii="Times New Roman" w:eastAsia="仿宋_GB2312"/>
          <w:snapToGrid w:val="0"/>
          <w:spacing w:val="-16"/>
          <w:kern w:val="21"/>
          <w:szCs w:val="21"/>
        </w:rPr>
        <w:fldChar w:fldCharType="begin"/>
      </w:r>
      <w:r>
        <w:rPr>
          <w:rFonts w:ascii="Times New Roman" w:eastAsia="仿宋_GB2312"/>
          <w:snapToGrid w:val="0"/>
          <w:spacing w:val="-16"/>
          <w:kern w:val="21"/>
          <w:szCs w:val="21"/>
        </w:rPr>
        <w:instrText xml:space="preserve"> = 5 \* GB3 \* MERGEFORMAT </w:instrText>
      </w:r>
      <w:r>
        <w:rPr>
          <w:rFonts w:ascii="Times New Roman" w:eastAsia="仿宋_GB2312"/>
          <w:snapToGrid w:val="0"/>
          <w:spacing w:val="-16"/>
          <w:kern w:val="21"/>
          <w:szCs w:val="21"/>
        </w:rPr>
        <w:fldChar w:fldCharType="separate"/>
      </w:r>
      <w:r>
        <w:rPr>
          <w:rFonts w:ascii="Times New Roman" w:eastAsia="仿宋_GB2312"/>
          <w:szCs w:val="21"/>
        </w:rPr>
        <w:t>⑤</w:t>
      </w:r>
      <w:r>
        <w:rPr>
          <w:rFonts w:ascii="Times New Roman" w:eastAsia="仿宋_GB2312"/>
          <w:snapToGrid w:val="0"/>
          <w:spacing w:val="-16"/>
          <w:kern w:val="21"/>
          <w:szCs w:val="21"/>
        </w:rPr>
        <w:fldChar w:fldCharType="end"/>
      </w:r>
      <w:r>
        <w:rPr>
          <w:rFonts w:ascii="Times New Roman" w:eastAsia="仿宋_GB2312"/>
          <w:snapToGrid w:val="0"/>
          <w:spacing w:val="-16"/>
          <w:kern w:val="21"/>
          <w:szCs w:val="21"/>
        </w:rPr>
        <w:t>；</w:t>
      </w:r>
      <w:r>
        <w:rPr>
          <w:rFonts w:ascii="Times New Roman" w:eastAsia="仿宋_GB2312"/>
          <w:snapToGrid w:val="0"/>
          <w:spacing w:val="-6"/>
          <w:kern w:val="21"/>
          <w:szCs w:val="21"/>
        </w:rPr>
        <w:fldChar w:fldCharType="begin"/>
      </w:r>
      <w:r>
        <w:rPr>
          <w:rFonts w:ascii="Times New Roman" w:eastAsia="仿宋_GB2312"/>
          <w:snapToGrid w:val="0"/>
          <w:spacing w:val="-6"/>
          <w:kern w:val="21"/>
          <w:szCs w:val="21"/>
        </w:rPr>
        <w:instrText xml:space="preserve"> = 7 \* GB3 \* MERGEFORMAT </w:instrText>
      </w:r>
      <w:r>
        <w:rPr>
          <w:rFonts w:ascii="Times New Roman" w:eastAsia="仿宋_GB2312"/>
          <w:snapToGrid w:val="0"/>
          <w:spacing w:val="-6"/>
          <w:kern w:val="21"/>
          <w:szCs w:val="21"/>
        </w:rPr>
        <w:fldChar w:fldCharType="separate"/>
      </w:r>
      <w:r>
        <w:rPr>
          <w:rFonts w:ascii="Times New Roman" w:eastAsia="仿宋_GB2312"/>
          <w:szCs w:val="21"/>
        </w:rPr>
        <w:t>⑦</w:t>
      </w:r>
      <w:r>
        <w:rPr>
          <w:rFonts w:ascii="Times New Roman" w:eastAsia="仿宋_GB2312"/>
          <w:snapToGrid w:val="0"/>
          <w:spacing w:val="-6"/>
          <w:kern w:val="21"/>
          <w:szCs w:val="21"/>
        </w:rPr>
        <w:fldChar w:fldCharType="end"/>
      </w:r>
      <w:r>
        <w:rPr>
          <w:rFonts w:ascii="Times New Roman" w:eastAsia="仿宋_GB2312"/>
          <w:snapToGrid w:val="0"/>
          <w:spacing w:val="-6"/>
          <w:kern w:val="21"/>
          <w:szCs w:val="21"/>
        </w:rPr>
        <w:t>=</w:t>
      </w:r>
      <w:r>
        <w:rPr>
          <w:rFonts w:ascii="Times New Roman" w:eastAsia="仿宋_GB2312"/>
          <w:snapToGrid w:val="0"/>
          <w:spacing w:val="-16"/>
          <w:kern w:val="21"/>
          <w:szCs w:val="21"/>
        </w:rPr>
        <w:fldChar w:fldCharType="begin"/>
      </w:r>
      <w:r>
        <w:rPr>
          <w:rFonts w:ascii="Times New Roman" w:eastAsia="仿宋_GB2312"/>
          <w:snapToGrid w:val="0"/>
          <w:spacing w:val="-16"/>
          <w:kern w:val="21"/>
          <w:szCs w:val="21"/>
        </w:rPr>
        <w:instrText xml:space="preserve"> = 6 \* GB3 \* MERGEFORMAT </w:instrText>
      </w:r>
      <w:r>
        <w:rPr>
          <w:rFonts w:ascii="Times New Roman" w:eastAsia="仿宋_GB2312"/>
          <w:snapToGrid w:val="0"/>
          <w:spacing w:val="-16"/>
          <w:kern w:val="21"/>
          <w:szCs w:val="21"/>
        </w:rPr>
        <w:fldChar w:fldCharType="separate"/>
      </w:r>
      <w:r>
        <w:rPr>
          <w:rFonts w:ascii="Times New Roman" w:eastAsia="仿宋_GB2312"/>
          <w:szCs w:val="21"/>
        </w:rPr>
        <w:t>⑥</w:t>
      </w:r>
      <w:r>
        <w:rPr>
          <w:rFonts w:ascii="Times New Roman" w:eastAsia="仿宋_GB2312"/>
          <w:snapToGrid w:val="0"/>
          <w:spacing w:val="-16"/>
          <w:kern w:val="21"/>
          <w:szCs w:val="21"/>
        </w:rPr>
        <w:fldChar w:fldCharType="end"/>
      </w:r>
      <w:r>
        <w:rPr>
          <w:rFonts w:ascii="Times New Roman" w:eastAsia="仿宋_GB2312"/>
          <w:snapToGrid w:val="0"/>
          <w:spacing w:val="-16"/>
          <w:kern w:val="21"/>
          <w:szCs w:val="21"/>
        </w:rPr>
        <w:t>-</w:t>
      </w:r>
      <w:r>
        <w:rPr>
          <w:rFonts w:ascii="Times New Roman" w:eastAsia="仿宋_GB2312"/>
          <w:snapToGrid w:val="0"/>
          <w:spacing w:val="-6"/>
          <w:kern w:val="21"/>
          <w:szCs w:val="21"/>
        </w:rPr>
        <w:fldChar w:fldCharType="begin"/>
      </w:r>
      <w:r>
        <w:rPr>
          <w:rFonts w:ascii="Times New Roman" w:eastAsia="仿宋_GB2312"/>
          <w:snapToGrid w:val="0"/>
          <w:spacing w:val="-6"/>
          <w:kern w:val="21"/>
          <w:szCs w:val="21"/>
        </w:rPr>
        <w:instrText xml:space="preserve"> = 1 \* GB3 \* MERGEFORMAT </w:instrText>
      </w:r>
      <w:r>
        <w:rPr>
          <w:rFonts w:ascii="Times New Roman" w:eastAsia="仿宋_GB2312"/>
          <w:snapToGrid w:val="0"/>
          <w:spacing w:val="-6"/>
          <w:kern w:val="21"/>
          <w:szCs w:val="21"/>
        </w:rPr>
        <w:fldChar w:fldCharType="separate"/>
      </w:r>
      <w:r>
        <w:rPr>
          <w:rFonts w:ascii="Times New Roman" w:eastAsia="仿宋_GB2312"/>
          <w:szCs w:val="21"/>
        </w:rPr>
        <w:t>①</w:t>
      </w:r>
      <w:r>
        <w:rPr>
          <w:rFonts w:ascii="Times New Roman" w:eastAsia="仿宋_GB2312"/>
          <w:snapToGrid w:val="0"/>
          <w:spacing w:val="-6"/>
          <w:kern w:val="21"/>
          <w:szCs w:val="21"/>
        </w:rPr>
        <w:fldChar w:fldCharType="end"/>
      </w:r>
      <w:bookmarkEnd w:id="69"/>
    </w:p>
    <w:p w14:paraId="3D9E15EB">
      <w:pPr>
        <w:pStyle w:val="7"/>
        <w:sectPr>
          <w:footerReference r:id="rId9" w:type="default"/>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pPr>
    </w:p>
    <w:p w14:paraId="7E498E2C">
      <w:pPr>
        <w:spacing w:line="480" w:lineRule="auto"/>
        <w:ind w:firstLine="0" w:firstLineChars="0"/>
        <w:jc w:val="center"/>
        <w:rPr>
          <w:rFonts w:cs="Times New Roman"/>
          <w:sz w:val="48"/>
          <w:szCs w:val="48"/>
        </w:rPr>
      </w:pPr>
      <w:bookmarkStart w:id="70" w:name="_Toc8492"/>
      <w:bookmarkStart w:id="71" w:name="_Toc81839023"/>
      <w:bookmarkStart w:id="72" w:name="_Toc4322"/>
      <w:bookmarkStart w:id="73" w:name="_Hlk86238931"/>
    </w:p>
    <w:p w14:paraId="66E01768">
      <w:pPr>
        <w:spacing w:line="480" w:lineRule="auto"/>
        <w:ind w:firstLine="0" w:firstLineChars="0"/>
        <w:jc w:val="center"/>
        <w:rPr>
          <w:rFonts w:cs="Times New Roman"/>
          <w:sz w:val="48"/>
          <w:szCs w:val="48"/>
        </w:rPr>
      </w:pPr>
    </w:p>
    <w:p w14:paraId="3DEEE080">
      <w:pPr>
        <w:spacing w:line="480" w:lineRule="auto"/>
        <w:ind w:firstLine="0" w:firstLineChars="0"/>
        <w:jc w:val="center"/>
        <w:rPr>
          <w:rFonts w:cs="Times New Roman"/>
          <w:sz w:val="48"/>
          <w:szCs w:val="48"/>
        </w:rPr>
      </w:pPr>
    </w:p>
    <w:p w14:paraId="102761AC">
      <w:pPr>
        <w:spacing w:line="480" w:lineRule="auto"/>
        <w:ind w:firstLine="0" w:firstLineChars="0"/>
        <w:jc w:val="center"/>
        <w:rPr>
          <w:rFonts w:cs="Times New Roman"/>
          <w:sz w:val="48"/>
          <w:szCs w:val="48"/>
        </w:rPr>
      </w:pPr>
    </w:p>
    <w:p w14:paraId="51DACEC9">
      <w:pPr>
        <w:spacing w:line="480" w:lineRule="auto"/>
        <w:ind w:firstLine="0" w:firstLineChars="0"/>
        <w:jc w:val="center"/>
        <w:rPr>
          <w:rFonts w:cs="Times New Roman"/>
          <w:sz w:val="48"/>
          <w:szCs w:val="48"/>
        </w:rPr>
      </w:pPr>
    </w:p>
    <w:p w14:paraId="190C2EE1">
      <w:pPr>
        <w:spacing w:line="480" w:lineRule="auto"/>
        <w:ind w:firstLine="0" w:firstLineChars="0"/>
        <w:jc w:val="both"/>
        <w:rPr>
          <w:rFonts w:cs="Times New Roman"/>
          <w:sz w:val="36"/>
          <w:szCs w:val="32"/>
        </w:rPr>
      </w:pPr>
    </w:p>
    <w:p w14:paraId="036F1B00">
      <w:pPr>
        <w:spacing w:line="480" w:lineRule="auto"/>
        <w:ind w:firstLine="0" w:firstLineChars="0"/>
        <w:jc w:val="center"/>
        <w:rPr>
          <w:rFonts w:cs="Times New Roman"/>
          <w:sz w:val="36"/>
          <w:szCs w:val="32"/>
        </w:rPr>
      </w:pPr>
    </w:p>
    <w:p w14:paraId="586B7763">
      <w:pPr>
        <w:spacing w:line="480" w:lineRule="auto"/>
        <w:ind w:firstLine="0" w:firstLineChars="0"/>
        <w:jc w:val="center"/>
        <w:rPr>
          <w:rFonts w:cs="Times New Roman"/>
          <w:sz w:val="36"/>
          <w:szCs w:val="32"/>
        </w:rPr>
      </w:pPr>
    </w:p>
    <w:p w14:paraId="2DCFE722">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outlineLvl w:val="0"/>
        <w:rPr>
          <w:rFonts w:hint="default" w:ascii="Times New Roman" w:hAnsi="Times New Roman" w:eastAsia="仿宋_GB2312" w:cs="Times New Roman"/>
          <w:b/>
          <w:bCs/>
          <w:sz w:val="48"/>
          <w:szCs w:val="48"/>
        </w:rPr>
      </w:pPr>
      <w:bookmarkStart w:id="74" w:name="_Toc22026"/>
      <w:bookmarkStart w:id="75" w:name="_Toc14192"/>
      <w:r>
        <w:rPr>
          <w:rFonts w:hint="default" w:ascii="Times New Roman" w:hAnsi="Times New Roman" w:eastAsia="仿宋_GB2312" w:cs="Times New Roman"/>
          <w:b/>
          <w:bCs/>
          <w:sz w:val="48"/>
          <w:szCs w:val="48"/>
        </w:rPr>
        <w:t>环境风险专项评价</w:t>
      </w:r>
      <w:bookmarkEnd w:id="74"/>
      <w:bookmarkEnd w:id="75"/>
    </w:p>
    <w:p w14:paraId="1BE2D8D9">
      <w:pPr>
        <w:spacing w:line="480" w:lineRule="auto"/>
        <w:ind w:firstLine="0" w:firstLineChars="0"/>
        <w:jc w:val="center"/>
        <w:rPr>
          <w:rFonts w:hint="default" w:ascii="Times New Roman" w:hAnsi="Times New Roman" w:eastAsia="仿宋_GB2312" w:cs="Times New Roman"/>
          <w:sz w:val="22"/>
          <w:szCs w:val="21"/>
        </w:rPr>
      </w:pPr>
    </w:p>
    <w:p w14:paraId="68A5B9F9">
      <w:pPr>
        <w:spacing w:line="480" w:lineRule="auto"/>
        <w:ind w:firstLine="0" w:firstLineChars="0"/>
        <w:jc w:val="center"/>
        <w:rPr>
          <w:rFonts w:hint="default" w:ascii="Times New Roman" w:hAnsi="Times New Roman" w:eastAsia="仿宋_GB2312" w:cs="Times New Roman"/>
        </w:rPr>
      </w:pPr>
    </w:p>
    <w:p w14:paraId="6C305C9A">
      <w:pPr>
        <w:spacing w:line="480" w:lineRule="auto"/>
        <w:ind w:firstLine="0" w:firstLineChars="0"/>
        <w:jc w:val="center"/>
        <w:rPr>
          <w:rFonts w:hint="default" w:ascii="Times New Roman" w:hAnsi="Times New Roman" w:eastAsia="仿宋_GB2312" w:cs="Times New Roman"/>
        </w:rPr>
      </w:pPr>
    </w:p>
    <w:p w14:paraId="1AA7EF5A">
      <w:pPr>
        <w:spacing w:line="480" w:lineRule="auto"/>
        <w:ind w:firstLine="0" w:firstLineChars="0"/>
        <w:jc w:val="center"/>
        <w:rPr>
          <w:rFonts w:hint="default" w:ascii="Times New Roman" w:hAnsi="Times New Roman" w:eastAsia="仿宋_GB2312" w:cs="Times New Roman"/>
        </w:rPr>
      </w:pPr>
    </w:p>
    <w:p w14:paraId="7678EFEC">
      <w:pPr>
        <w:spacing w:line="480" w:lineRule="auto"/>
        <w:ind w:firstLine="0" w:firstLineChars="0"/>
        <w:jc w:val="center"/>
        <w:rPr>
          <w:rFonts w:hint="default" w:ascii="Times New Roman" w:hAnsi="Times New Roman" w:eastAsia="仿宋_GB2312" w:cs="Times New Roman"/>
        </w:rPr>
      </w:pPr>
    </w:p>
    <w:p w14:paraId="7B46C804">
      <w:pPr>
        <w:spacing w:line="480" w:lineRule="auto"/>
        <w:ind w:firstLine="0" w:firstLineChars="0"/>
        <w:jc w:val="center"/>
        <w:rPr>
          <w:rFonts w:hint="default" w:ascii="Times New Roman" w:hAnsi="Times New Roman" w:eastAsia="仿宋_GB2312" w:cs="Times New Roman"/>
        </w:rPr>
      </w:pPr>
    </w:p>
    <w:p w14:paraId="1AF60FF8">
      <w:pPr>
        <w:spacing w:line="480" w:lineRule="auto"/>
        <w:ind w:firstLine="0" w:firstLineChars="0"/>
        <w:jc w:val="center"/>
        <w:rPr>
          <w:rFonts w:hint="default" w:ascii="Times New Roman" w:hAnsi="Times New Roman" w:eastAsia="仿宋_GB2312" w:cs="Times New Roman"/>
        </w:rPr>
      </w:pPr>
    </w:p>
    <w:p w14:paraId="7826E9DD">
      <w:pPr>
        <w:adjustRightInd w:val="0"/>
        <w:snapToGrid w:val="0"/>
        <w:spacing w:line="288" w:lineRule="auto"/>
        <w:ind w:firstLine="737"/>
        <w:rPr>
          <w:rFonts w:eastAsia="仿宋_GB2312"/>
          <w:sz w:val="36"/>
          <w:szCs w:val="36"/>
          <w:u w:val="single"/>
        </w:rPr>
      </w:pPr>
      <w:r>
        <w:rPr>
          <w:rFonts w:eastAsia="仿宋_GB2312"/>
          <w:sz w:val="36"/>
          <w:szCs w:val="36"/>
        </w:rPr>
        <w:t xml:space="preserve">项目名称： </w:t>
      </w:r>
      <w:r>
        <w:rPr>
          <w:rFonts w:hint="eastAsia" w:eastAsia="仿宋_GB2312"/>
          <w:sz w:val="36"/>
          <w:szCs w:val="36"/>
          <w:u w:val="single"/>
        </w:rPr>
        <w:t>食品工厂改造（一期）项目</w:t>
      </w:r>
    </w:p>
    <w:p w14:paraId="48274C90">
      <w:pPr>
        <w:adjustRightInd w:val="0"/>
        <w:snapToGrid w:val="0"/>
        <w:spacing w:line="288" w:lineRule="auto"/>
        <w:ind w:firstLine="737"/>
        <w:rPr>
          <w:rFonts w:eastAsia="仿宋_GB2312"/>
          <w:sz w:val="36"/>
          <w:szCs w:val="36"/>
          <w:u w:val="single"/>
        </w:rPr>
      </w:pPr>
      <w:r>
        <w:rPr>
          <w:rFonts w:eastAsia="仿宋_GB2312"/>
          <w:sz w:val="36"/>
          <w:szCs w:val="36"/>
        </w:rPr>
        <w:t>建设单位（盖章）：</w:t>
      </w:r>
      <w:r>
        <w:rPr>
          <w:rFonts w:hint="eastAsia" w:eastAsia="仿宋_GB2312"/>
          <w:sz w:val="36"/>
          <w:szCs w:val="36"/>
          <w:u w:val="single"/>
        </w:rPr>
        <w:t>中盐金坛盐化有限责任公司</w:t>
      </w:r>
    </w:p>
    <w:p w14:paraId="4620ED1F">
      <w:pPr>
        <w:adjustRightInd w:val="0"/>
        <w:snapToGrid w:val="0"/>
        <w:spacing w:line="288" w:lineRule="auto"/>
        <w:ind w:firstLine="737"/>
        <w:rPr>
          <w:rFonts w:eastAsia="仿宋_GB2312"/>
          <w:sz w:val="36"/>
          <w:szCs w:val="36"/>
          <w:u w:val="single"/>
        </w:rPr>
      </w:pPr>
      <w:r>
        <w:rPr>
          <w:rFonts w:eastAsia="仿宋_GB2312"/>
          <w:sz w:val="36"/>
          <w:szCs w:val="36"/>
        </w:rPr>
        <w:t>编制日期：</w:t>
      </w:r>
      <w:r>
        <w:rPr>
          <w:rFonts w:hint="eastAsia" w:eastAsia="仿宋_GB2312"/>
          <w:b w:val="0"/>
          <w:bCs w:val="0"/>
          <w:sz w:val="36"/>
          <w:szCs w:val="36"/>
          <w:u w:val="single"/>
        </w:rPr>
        <w:t>二零二</w:t>
      </w:r>
      <w:r>
        <w:rPr>
          <w:rFonts w:hint="eastAsia" w:eastAsia="仿宋_GB2312"/>
          <w:b w:val="0"/>
          <w:bCs w:val="0"/>
          <w:sz w:val="36"/>
          <w:szCs w:val="36"/>
          <w:u w:val="single"/>
          <w:lang w:val="en-US" w:eastAsia="zh-CN"/>
        </w:rPr>
        <w:t>六</w:t>
      </w:r>
      <w:r>
        <w:rPr>
          <w:rFonts w:hint="eastAsia" w:eastAsia="仿宋_GB2312"/>
          <w:b w:val="0"/>
          <w:bCs w:val="0"/>
          <w:sz w:val="36"/>
          <w:szCs w:val="36"/>
          <w:u w:val="single"/>
        </w:rPr>
        <w:t>年</w:t>
      </w:r>
      <w:r>
        <w:rPr>
          <w:rFonts w:hint="eastAsia" w:eastAsia="仿宋_GB2312"/>
          <w:b w:val="0"/>
          <w:bCs w:val="0"/>
          <w:sz w:val="36"/>
          <w:szCs w:val="36"/>
          <w:u w:val="single"/>
          <w:lang w:val="en-US" w:eastAsia="zh-CN"/>
        </w:rPr>
        <w:t>一</w:t>
      </w:r>
      <w:r>
        <w:rPr>
          <w:rFonts w:hint="eastAsia" w:eastAsia="仿宋_GB2312"/>
          <w:b w:val="0"/>
          <w:bCs w:val="0"/>
          <w:sz w:val="36"/>
          <w:szCs w:val="36"/>
          <w:u w:val="single"/>
        </w:rPr>
        <w:t xml:space="preserve">月  </w:t>
      </w:r>
      <w:r>
        <w:rPr>
          <w:rFonts w:hint="eastAsia" w:eastAsia="仿宋_GB2312"/>
          <w:b w:val="0"/>
          <w:bCs w:val="0"/>
          <w:sz w:val="36"/>
          <w:szCs w:val="36"/>
          <w:u w:val="single"/>
          <w:lang w:val="en-US" w:eastAsia="zh-CN"/>
        </w:rPr>
        <w:t xml:space="preserve"> </w:t>
      </w:r>
      <w:r>
        <w:rPr>
          <w:rFonts w:hint="eastAsia" w:eastAsia="仿宋_GB2312"/>
          <w:b w:val="0"/>
          <w:bCs w:val="0"/>
          <w:sz w:val="36"/>
          <w:szCs w:val="36"/>
          <w:u w:val="single"/>
        </w:rPr>
        <w:t xml:space="preserve">  </w:t>
      </w:r>
      <w:r>
        <w:rPr>
          <w:rFonts w:hint="eastAsia" w:eastAsia="仿宋_GB2312"/>
          <w:sz w:val="36"/>
          <w:szCs w:val="36"/>
          <w:u w:val="single"/>
        </w:rPr>
        <w:t xml:space="preserve"> </w:t>
      </w:r>
    </w:p>
    <w:p w14:paraId="318EB006">
      <w:pPr>
        <w:spacing w:line="480" w:lineRule="auto"/>
        <w:ind w:firstLine="0" w:firstLineChars="0"/>
        <w:jc w:val="center"/>
        <w:rPr>
          <w:rFonts w:hint="default" w:ascii="Times New Roman" w:hAnsi="Times New Roman" w:eastAsia="仿宋_GB2312" w:cs="Times New Roman"/>
        </w:rPr>
      </w:pPr>
    </w:p>
    <w:p w14:paraId="5C26207B">
      <w:pPr>
        <w:spacing w:line="480" w:lineRule="auto"/>
        <w:ind w:firstLine="0" w:firstLineChars="0"/>
        <w:jc w:val="center"/>
        <w:rPr>
          <w:rFonts w:hint="default" w:ascii="Times New Roman" w:hAnsi="Times New Roman" w:eastAsia="仿宋_GB2312" w:cs="Times New Roman"/>
        </w:rPr>
      </w:pPr>
    </w:p>
    <w:p w14:paraId="38DC67B0">
      <w:pPr>
        <w:rPr>
          <w:rFonts w:hint="default" w:ascii="Times New Roman" w:hAnsi="Times New Roman" w:eastAsia="仿宋_GB2312" w:cs="Times New Roman"/>
        </w:rPr>
      </w:pPr>
      <w:r>
        <w:rPr>
          <w:rFonts w:hint="default" w:ascii="Times New Roman" w:hAnsi="Times New Roman" w:eastAsia="仿宋_GB2312" w:cs="Times New Roman"/>
        </w:rPr>
        <w:br w:type="page"/>
      </w:r>
    </w:p>
    <w:sdt>
      <w:sdtPr>
        <w:rPr>
          <w:rFonts w:hint="default" w:ascii="Times New Roman" w:hAnsi="Times New Roman" w:eastAsia="仿宋_GB2312" w:cs="Times New Roman"/>
          <w:kern w:val="2"/>
          <w:sz w:val="24"/>
          <w:szCs w:val="36"/>
          <w:lang w:val="en-US" w:eastAsia="zh-CN" w:bidi="ar-SA"/>
        </w:rPr>
        <w:id w:val="147460385"/>
        <w15:color w:val="DBDBDB"/>
        <w:docPartObj>
          <w:docPartGallery w:val="Table of Contents"/>
          <w:docPartUnique/>
        </w:docPartObj>
      </w:sdtPr>
      <w:sdtEndPr>
        <w:rPr>
          <w:rFonts w:hint="default" w:ascii="Times New Roman" w:hAnsi="Times New Roman" w:eastAsia="仿宋_GB2312" w:cs="Times New Roman"/>
          <w:kern w:val="2"/>
          <w:sz w:val="21"/>
          <w:szCs w:val="21"/>
          <w:lang w:val="en-US" w:eastAsia="zh-CN" w:bidi="ar-SA"/>
        </w:rPr>
      </w:sdtEndPr>
      <w:sdtContent>
        <w:p w14:paraId="454D8C48">
          <w:pPr>
            <w:spacing w:before="0" w:beforeLines="0" w:after="0" w:afterLines="0" w:line="240" w:lineRule="auto"/>
            <w:ind w:left="0" w:leftChars="0" w:right="0" w:rightChars="0" w:firstLine="0" w:firstLineChars="0"/>
            <w:jc w:val="center"/>
            <w:rPr>
              <w:rFonts w:hint="default" w:ascii="Times New Roman" w:hAnsi="Times New Roman" w:eastAsia="仿宋_GB2312" w:cs="Times New Roman"/>
              <w:kern w:val="2"/>
              <w:sz w:val="24"/>
              <w:szCs w:val="36"/>
              <w:lang w:val="en-US" w:eastAsia="zh-CN" w:bidi="ar-SA"/>
            </w:rPr>
          </w:pPr>
          <w:r>
            <w:rPr>
              <w:rFonts w:hint="default" w:ascii="Times New Roman" w:hAnsi="Times New Roman" w:eastAsia="仿宋_GB2312" w:cs="Times New Roman"/>
              <w:kern w:val="2"/>
              <w:sz w:val="24"/>
              <w:szCs w:val="36"/>
              <w:lang w:val="en-US" w:eastAsia="zh-CN" w:bidi="ar-SA"/>
            </w:rPr>
            <w:t>目</w:t>
          </w:r>
          <w:r>
            <w:rPr>
              <w:rFonts w:hint="eastAsia" w:ascii="Times New Roman" w:hAnsi="Times New Roman" w:eastAsia="仿宋_GB2312" w:cs="Times New Roman"/>
              <w:kern w:val="2"/>
              <w:sz w:val="24"/>
              <w:szCs w:val="36"/>
              <w:lang w:val="en-US" w:eastAsia="zh-CN" w:bidi="ar-SA"/>
            </w:rPr>
            <w:t xml:space="preserve">  </w:t>
          </w:r>
          <w:r>
            <w:rPr>
              <w:rFonts w:hint="default" w:ascii="Times New Roman" w:hAnsi="Times New Roman" w:eastAsia="仿宋_GB2312" w:cs="Times New Roman"/>
              <w:kern w:val="2"/>
              <w:sz w:val="24"/>
              <w:szCs w:val="36"/>
              <w:lang w:val="en-US" w:eastAsia="zh-CN" w:bidi="ar-SA"/>
            </w:rPr>
            <w:t>录</w:t>
          </w:r>
        </w:p>
        <w:p w14:paraId="64B8E37D">
          <w:pPr>
            <w:pStyle w:val="23"/>
            <w:keepNext w:val="0"/>
            <w:keepLines w:val="0"/>
            <w:pageBreakBefore w:val="0"/>
            <w:widowControl w:val="0"/>
            <w:tabs>
              <w:tab w:val="right" w:leader="dot" w:pos="8844"/>
            </w:tabs>
            <w:kinsoku/>
            <w:wordWrap/>
            <w:overflowPunct/>
            <w:topLinePunct w:val="0"/>
            <w:autoSpaceDE/>
            <w:autoSpaceDN/>
            <w:bidi w:val="0"/>
            <w:adjustRightInd/>
            <w:snapToGrid/>
            <w:spacing w:line="336" w:lineRule="auto"/>
            <w:textAlignment w:val="auto"/>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TOC \o "1-3" \h \u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b/>
              <w:bCs/>
            </w:rPr>
            <w:fldChar w:fldCharType="begin"/>
          </w:r>
          <w:r>
            <w:rPr>
              <w:rFonts w:hint="default" w:ascii="Times New Roman" w:hAnsi="Times New Roman" w:eastAsia="仿宋_GB2312" w:cs="Times New Roman"/>
              <w:b/>
              <w:bCs/>
            </w:rPr>
            <w:instrText xml:space="preserve"> HYPERLINK \l _Toc16540 </w:instrText>
          </w:r>
          <w:r>
            <w:rPr>
              <w:rFonts w:hint="default" w:ascii="Times New Roman" w:hAnsi="Times New Roman" w:eastAsia="仿宋_GB2312" w:cs="Times New Roman"/>
              <w:b/>
              <w:bCs/>
            </w:rPr>
            <w:fldChar w:fldCharType="separate"/>
          </w:r>
          <w:r>
            <w:rPr>
              <w:rFonts w:hint="default" w:ascii="Times New Roman" w:hAnsi="Times New Roman" w:eastAsia="仿宋_GB2312" w:cs="Times New Roman"/>
              <w:b/>
              <w:bCs/>
              <w:szCs w:val="28"/>
              <w:lang w:val="en-US" w:eastAsia="zh-CN"/>
            </w:rPr>
            <w:t>1总论</w:t>
          </w:r>
          <w:r>
            <w:rPr>
              <w:b/>
              <w:bCs/>
            </w:rPr>
            <w:tab/>
          </w:r>
          <w:r>
            <w:rPr>
              <w:b/>
              <w:bCs/>
            </w:rPr>
            <w:fldChar w:fldCharType="begin"/>
          </w:r>
          <w:r>
            <w:rPr>
              <w:b/>
              <w:bCs/>
            </w:rPr>
            <w:instrText xml:space="preserve"> PAGEREF _Toc16540 \h </w:instrText>
          </w:r>
          <w:r>
            <w:rPr>
              <w:b/>
              <w:bCs/>
            </w:rPr>
            <w:fldChar w:fldCharType="separate"/>
          </w:r>
          <w:r>
            <w:rPr>
              <w:b/>
              <w:bCs/>
            </w:rPr>
            <w:t>1</w:t>
          </w:r>
          <w:r>
            <w:rPr>
              <w:b/>
              <w:bCs/>
            </w:rPr>
            <w:fldChar w:fldCharType="end"/>
          </w:r>
          <w:r>
            <w:rPr>
              <w:rFonts w:hint="default" w:ascii="Times New Roman" w:hAnsi="Times New Roman" w:eastAsia="仿宋_GB2312" w:cs="Times New Roman"/>
              <w:b/>
              <w:bCs/>
            </w:rPr>
            <w:fldChar w:fldCharType="end"/>
          </w:r>
        </w:p>
        <w:p w14:paraId="367F3FC0">
          <w:pPr>
            <w:pStyle w:val="27"/>
            <w:keepNext w:val="0"/>
            <w:keepLines w:val="0"/>
            <w:pageBreakBefore w:val="0"/>
            <w:widowControl w:val="0"/>
            <w:tabs>
              <w:tab w:val="right" w:leader="dot" w:pos="8844"/>
            </w:tabs>
            <w:kinsoku/>
            <w:wordWrap/>
            <w:overflowPunct/>
            <w:topLinePunct w:val="0"/>
            <w:autoSpaceDE/>
            <w:autoSpaceDN/>
            <w:bidi w:val="0"/>
            <w:adjustRightInd/>
            <w:snapToGrid/>
            <w:spacing w:line="336" w:lineRule="auto"/>
            <w:textAlignment w:val="auto"/>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_Toc9830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bCs/>
              <w:szCs w:val="24"/>
              <w:lang w:val="en-US" w:eastAsia="zh-CN"/>
            </w:rPr>
            <w:t>1.1 国家法规及政策</w:t>
          </w:r>
          <w:r>
            <w:tab/>
          </w:r>
          <w:r>
            <w:fldChar w:fldCharType="begin"/>
          </w:r>
          <w:r>
            <w:instrText xml:space="preserve"> PAGEREF _Toc9830 \h </w:instrText>
          </w:r>
          <w:r>
            <w:fldChar w:fldCharType="separate"/>
          </w:r>
          <w:r>
            <w:t>1</w:t>
          </w:r>
          <w:r>
            <w:fldChar w:fldCharType="end"/>
          </w:r>
          <w:r>
            <w:rPr>
              <w:rFonts w:hint="default" w:ascii="Times New Roman" w:hAnsi="Times New Roman" w:eastAsia="仿宋_GB2312" w:cs="Times New Roman"/>
            </w:rPr>
            <w:fldChar w:fldCharType="end"/>
          </w:r>
        </w:p>
        <w:p w14:paraId="47E4F809">
          <w:pPr>
            <w:pStyle w:val="27"/>
            <w:keepNext w:val="0"/>
            <w:keepLines w:val="0"/>
            <w:pageBreakBefore w:val="0"/>
            <w:widowControl w:val="0"/>
            <w:tabs>
              <w:tab w:val="right" w:leader="dot" w:pos="8844"/>
            </w:tabs>
            <w:kinsoku/>
            <w:wordWrap/>
            <w:overflowPunct/>
            <w:topLinePunct w:val="0"/>
            <w:autoSpaceDE/>
            <w:autoSpaceDN/>
            <w:bidi w:val="0"/>
            <w:adjustRightInd/>
            <w:snapToGrid/>
            <w:spacing w:line="336" w:lineRule="auto"/>
            <w:textAlignment w:val="auto"/>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_Toc10550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bCs/>
              <w:szCs w:val="24"/>
              <w:lang w:val="en-US" w:eastAsia="zh-CN"/>
            </w:rPr>
            <w:t>1.2 地方法规及政策</w:t>
          </w:r>
          <w:r>
            <w:tab/>
          </w:r>
          <w:r>
            <w:fldChar w:fldCharType="begin"/>
          </w:r>
          <w:r>
            <w:instrText xml:space="preserve"> PAGEREF _Toc10550 \h </w:instrText>
          </w:r>
          <w:r>
            <w:fldChar w:fldCharType="separate"/>
          </w:r>
          <w:r>
            <w:t>2</w:t>
          </w:r>
          <w:r>
            <w:fldChar w:fldCharType="end"/>
          </w:r>
          <w:r>
            <w:rPr>
              <w:rFonts w:hint="default" w:ascii="Times New Roman" w:hAnsi="Times New Roman" w:eastAsia="仿宋_GB2312" w:cs="Times New Roman"/>
            </w:rPr>
            <w:fldChar w:fldCharType="end"/>
          </w:r>
        </w:p>
        <w:p w14:paraId="5B0BE005">
          <w:pPr>
            <w:pStyle w:val="27"/>
            <w:keepNext w:val="0"/>
            <w:keepLines w:val="0"/>
            <w:pageBreakBefore w:val="0"/>
            <w:widowControl w:val="0"/>
            <w:tabs>
              <w:tab w:val="right" w:leader="dot" w:pos="8844"/>
            </w:tabs>
            <w:kinsoku/>
            <w:wordWrap/>
            <w:overflowPunct/>
            <w:topLinePunct w:val="0"/>
            <w:autoSpaceDE/>
            <w:autoSpaceDN/>
            <w:bidi w:val="0"/>
            <w:adjustRightInd/>
            <w:snapToGrid/>
            <w:spacing w:line="336" w:lineRule="auto"/>
            <w:textAlignment w:val="auto"/>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_Toc22066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bCs/>
              <w:szCs w:val="24"/>
              <w:lang w:val="en-US" w:eastAsia="zh-CN"/>
            </w:rPr>
            <w:t>1.3 技术规范</w:t>
          </w:r>
          <w:r>
            <w:tab/>
          </w:r>
          <w:r>
            <w:fldChar w:fldCharType="begin"/>
          </w:r>
          <w:r>
            <w:instrText xml:space="preserve"> PAGEREF _Toc22066 \h </w:instrText>
          </w:r>
          <w:r>
            <w:fldChar w:fldCharType="separate"/>
          </w:r>
          <w:r>
            <w:t>2</w:t>
          </w:r>
          <w:r>
            <w:fldChar w:fldCharType="end"/>
          </w:r>
          <w:r>
            <w:rPr>
              <w:rFonts w:hint="default" w:ascii="Times New Roman" w:hAnsi="Times New Roman" w:eastAsia="仿宋_GB2312" w:cs="Times New Roman"/>
            </w:rPr>
            <w:fldChar w:fldCharType="end"/>
          </w:r>
        </w:p>
        <w:p w14:paraId="451A6A1A">
          <w:pPr>
            <w:pStyle w:val="27"/>
            <w:keepNext w:val="0"/>
            <w:keepLines w:val="0"/>
            <w:pageBreakBefore w:val="0"/>
            <w:widowControl w:val="0"/>
            <w:tabs>
              <w:tab w:val="right" w:leader="dot" w:pos="8844"/>
            </w:tabs>
            <w:kinsoku/>
            <w:wordWrap/>
            <w:overflowPunct/>
            <w:topLinePunct w:val="0"/>
            <w:autoSpaceDE/>
            <w:autoSpaceDN/>
            <w:bidi w:val="0"/>
            <w:adjustRightInd/>
            <w:snapToGrid/>
            <w:spacing w:line="336" w:lineRule="auto"/>
            <w:textAlignment w:val="auto"/>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_Toc31014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bCs/>
              <w:szCs w:val="24"/>
              <w:lang w:val="en-US" w:eastAsia="zh-CN"/>
            </w:rPr>
            <w:t>1.4 项目依据</w:t>
          </w:r>
          <w:r>
            <w:tab/>
          </w:r>
          <w:r>
            <w:fldChar w:fldCharType="begin"/>
          </w:r>
          <w:r>
            <w:instrText xml:space="preserve"> PAGEREF _Toc31014 \h </w:instrText>
          </w:r>
          <w:r>
            <w:fldChar w:fldCharType="separate"/>
          </w:r>
          <w:r>
            <w:t>2</w:t>
          </w:r>
          <w:r>
            <w:fldChar w:fldCharType="end"/>
          </w:r>
          <w:r>
            <w:rPr>
              <w:rFonts w:hint="default" w:ascii="Times New Roman" w:hAnsi="Times New Roman" w:eastAsia="仿宋_GB2312" w:cs="Times New Roman"/>
            </w:rPr>
            <w:fldChar w:fldCharType="end"/>
          </w:r>
        </w:p>
        <w:p w14:paraId="6AC39762">
          <w:pPr>
            <w:pStyle w:val="23"/>
            <w:keepNext w:val="0"/>
            <w:keepLines w:val="0"/>
            <w:pageBreakBefore w:val="0"/>
            <w:widowControl w:val="0"/>
            <w:tabs>
              <w:tab w:val="right" w:leader="dot" w:pos="8844"/>
            </w:tabs>
            <w:kinsoku/>
            <w:wordWrap/>
            <w:overflowPunct/>
            <w:topLinePunct w:val="0"/>
            <w:autoSpaceDE/>
            <w:autoSpaceDN/>
            <w:bidi w:val="0"/>
            <w:adjustRightInd/>
            <w:snapToGrid/>
            <w:spacing w:line="336" w:lineRule="auto"/>
            <w:textAlignment w:val="auto"/>
          </w:pPr>
          <w:r>
            <w:rPr>
              <w:rFonts w:hint="default" w:ascii="Times New Roman" w:hAnsi="Times New Roman" w:eastAsia="仿宋_GB2312" w:cs="Times New Roman"/>
              <w:b/>
              <w:bCs/>
            </w:rPr>
            <w:fldChar w:fldCharType="begin"/>
          </w:r>
          <w:r>
            <w:rPr>
              <w:rFonts w:hint="default" w:ascii="Times New Roman" w:hAnsi="Times New Roman" w:eastAsia="仿宋_GB2312" w:cs="Times New Roman"/>
              <w:b/>
              <w:bCs/>
            </w:rPr>
            <w:instrText xml:space="preserve"> HYPERLINK \l _Toc29695 </w:instrText>
          </w:r>
          <w:r>
            <w:rPr>
              <w:rFonts w:hint="default" w:ascii="Times New Roman" w:hAnsi="Times New Roman" w:eastAsia="仿宋_GB2312" w:cs="Times New Roman"/>
              <w:b/>
              <w:bCs/>
            </w:rPr>
            <w:fldChar w:fldCharType="separate"/>
          </w:r>
          <w:r>
            <w:rPr>
              <w:rFonts w:hint="default" w:ascii="Times New Roman" w:hAnsi="Times New Roman" w:eastAsia="仿宋_GB2312" w:cs="Times New Roman"/>
              <w:b/>
              <w:bCs/>
              <w:szCs w:val="28"/>
              <w:lang w:val="en-US" w:eastAsia="zh-CN"/>
            </w:rPr>
            <w:t>2风险识别</w:t>
          </w:r>
          <w:r>
            <w:rPr>
              <w:b/>
              <w:bCs/>
            </w:rPr>
            <w:tab/>
          </w:r>
          <w:r>
            <w:rPr>
              <w:b/>
              <w:bCs/>
            </w:rPr>
            <w:fldChar w:fldCharType="begin"/>
          </w:r>
          <w:r>
            <w:rPr>
              <w:b/>
              <w:bCs/>
            </w:rPr>
            <w:instrText xml:space="preserve"> PAGEREF _Toc29695 \h </w:instrText>
          </w:r>
          <w:r>
            <w:rPr>
              <w:b/>
              <w:bCs/>
            </w:rPr>
            <w:fldChar w:fldCharType="separate"/>
          </w:r>
          <w:r>
            <w:rPr>
              <w:b/>
              <w:bCs/>
            </w:rPr>
            <w:t>3</w:t>
          </w:r>
          <w:r>
            <w:rPr>
              <w:b/>
              <w:bCs/>
            </w:rPr>
            <w:fldChar w:fldCharType="end"/>
          </w:r>
          <w:r>
            <w:rPr>
              <w:rFonts w:hint="default" w:ascii="Times New Roman" w:hAnsi="Times New Roman" w:eastAsia="仿宋_GB2312" w:cs="Times New Roman"/>
              <w:b/>
              <w:bCs/>
            </w:rPr>
            <w:fldChar w:fldCharType="end"/>
          </w:r>
        </w:p>
        <w:p w14:paraId="3544D90B">
          <w:pPr>
            <w:pStyle w:val="27"/>
            <w:keepNext w:val="0"/>
            <w:keepLines w:val="0"/>
            <w:pageBreakBefore w:val="0"/>
            <w:widowControl w:val="0"/>
            <w:tabs>
              <w:tab w:val="right" w:leader="dot" w:pos="8844"/>
            </w:tabs>
            <w:kinsoku/>
            <w:wordWrap/>
            <w:overflowPunct/>
            <w:topLinePunct w:val="0"/>
            <w:autoSpaceDE/>
            <w:autoSpaceDN/>
            <w:bidi w:val="0"/>
            <w:adjustRightInd/>
            <w:snapToGrid/>
            <w:spacing w:line="336" w:lineRule="auto"/>
            <w:textAlignment w:val="auto"/>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_Toc29704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bCs/>
              <w:szCs w:val="24"/>
              <w:lang w:val="en-US" w:eastAsia="zh-CN"/>
            </w:rPr>
            <w:t>2.1评价依据</w:t>
          </w:r>
          <w:r>
            <w:tab/>
          </w:r>
          <w:r>
            <w:fldChar w:fldCharType="begin"/>
          </w:r>
          <w:r>
            <w:instrText xml:space="preserve"> PAGEREF _Toc29704 \h </w:instrText>
          </w:r>
          <w:r>
            <w:fldChar w:fldCharType="separate"/>
          </w:r>
          <w:r>
            <w:t>3</w:t>
          </w:r>
          <w:r>
            <w:fldChar w:fldCharType="end"/>
          </w:r>
          <w:r>
            <w:rPr>
              <w:rFonts w:hint="default" w:ascii="Times New Roman" w:hAnsi="Times New Roman" w:eastAsia="仿宋_GB2312" w:cs="Times New Roman"/>
            </w:rPr>
            <w:fldChar w:fldCharType="end"/>
          </w:r>
        </w:p>
        <w:p w14:paraId="2AF75019">
          <w:pPr>
            <w:pStyle w:val="27"/>
            <w:keepNext w:val="0"/>
            <w:keepLines w:val="0"/>
            <w:pageBreakBefore w:val="0"/>
            <w:widowControl w:val="0"/>
            <w:tabs>
              <w:tab w:val="right" w:leader="dot" w:pos="8844"/>
            </w:tabs>
            <w:kinsoku/>
            <w:wordWrap/>
            <w:overflowPunct/>
            <w:topLinePunct w:val="0"/>
            <w:autoSpaceDE/>
            <w:autoSpaceDN/>
            <w:bidi w:val="0"/>
            <w:adjustRightInd/>
            <w:snapToGrid/>
            <w:spacing w:line="336" w:lineRule="auto"/>
            <w:textAlignment w:val="auto"/>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_Toc3866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bCs/>
              <w:szCs w:val="24"/>
              <w:lang w:val="en-US" w:eastAsia="zh-CN"/>
            </w:rPr>
            <w:t>2.2环境敏感目标调查</w:t>
          </w:r>
          <w:r>
            <w:tab/>
          </w:r>
          <w:r>
            <w:fldChar w:fldCharType="begin"/>
          </w:r>
          <w:r>
            <w:instrText xml:space="preserve"> PAGEREF _Toc3866 \h </w:instrText>
          </w:r>
          <w:r>
            <w:fldChar w:fldCharType="separate"/>
          </w:r>
          <w:r>
            <w:t>3</w:t>
          </w:r>
          <w:r>
            <w:fldChar w:fldCharType="end"/>
          </w:r>
          <w:r>
            <w:rPr>
              <w:rFonts w:hint="default" w:ascii="Times New Roman" w:hAnsi="Times New Roman" w:eastAsia="仿宋_GB2312" w:cs="Times New Roman"/>
            </w:rPr>
            <w:fldChar w:fldCharType="end"/>
          </w:r>
        </w:p>
        <w:p w14:paraId="6E46817D">
          <w:pPr>
            <w:pStyle w:val="27"/>
            <w:keepNext w:val="0"/>
            <w:keepLines w:val="0"/>
            <w:pageBreakBefore w:val="0"/>
            <w:widowControl w:val="0"/>
            <w:tabs>
              <w:tab w:val="right" w:leader="dot" w:pos="8844"/>
            </w:tabs>
            <w:kinsoku/>
            <w:wordWrap/>
            <w:overflowPunct/>
            <w:topLinePunct w:val="0"/>
            <w:autoSpaceDE/>
            <w:autoSpaceDN/>
            <w:bidi w:val="0"/>
            <w:adjustRightInd/>
            <w:snapToGrid/>
            <w:spacing w:line="336" w:lineRule="auto"/>
            <w:textAlignment w:val="auto"/>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_Toc25999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bCs/>
              <w:szCs w:val="24"/>
              <w:lang w:val="en-US" w:eastAsia="zh-CN"/>
            </w:rPr>
            <w:t>2.3评价工作等级划分</w:t>
          </w:r>
          <w:r>
            <w:tab/>
          </w:r>
          <w:r>
            <w:fldChar w:fldCharType="begin"/>
          </w:r>
          <w:r>
            <w:instrText xml:space="preserve"> PAGEREF _Toc25999 \h </w:instrText>
          </w:r>
          <w:r>
            <w:fldChar w:fldCharType="separate"/>
          </w:r>
          <w:r>
            <w:t>5</w:t>
          </w:r>
          <w:r>
            <w:fldChar w:fldCharType="end"/>
          </w:r>
          <w:r>
            <w:rPr>
              <w:rFonts w:hint="default" w:ascii="Times New Roman" w:hAnsi="Times New Roman" w:eastAsia="仿宋_GB2312" w:cs="Times New Roman"/>
            </w:rPr>
            <w:fldChar w:fldCharType="end"/>
          </w:r>
        </w:p>
        <w:p w14:paraId="468921BA">
          <w:pPr>
            <w:pStyle w:val="15"/>
            <w:keepNext w:val="0"/>
            <w:keepLines w:val="0"/>
            <w:pageBreakBefore w:val="0"/>
            <w:widowControl w:val="0"/>
            <w:tabs>
              <w:tab w:val="right" w:leader="dot" w:pos="8844"/>
            </w:tabs>
            <w:kinsoku/>
            <w:wordWrap/>
            <w:overflowPunct/>
            <w:topLinePunct w:val="0"/>
            <w:autoSpaceDE/>
            <w:autoSpaceDN/>
            <w:bidi w:val="0"/>
            <w:adjustRightInd/>
            <w:snapToGrid/>
            <w:spacing w:line="336" w:lineRule="auto"/>
            <w:textAlignment w:val="auto"/>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_Toc16289 </w:instrText>
          </w:r>
          <w:r>
            <w:rPr>
              <w:rFonts w:hint="default" w:ascii="Times New Roman" w:hAnsi="Times New Roman" w:eastAsia="仿宋_GB2312" w:cs="Times New Roman"/>
            </w:rPr>
            <w:fldChar w:fldCharType="separate"/>
          </w:r>
          <w:r>
            <w:rPr>
              <w:rFonts w:hint="eastAsia" w:ascii="Times New Roman" w:hAnsi="Times New Roman" w:eastAsia="仿宋_GB2312" w:cs="Times New Roman"/>
              <w:bCs/>
              <w:szCs w:val="24"/>
              <w:lang w:val="en-US" w:eastAsia="zh-CN"/>
            </w:rPr>
            <w:t xml:space="preserve">2.3.1 </w:t>
          </w:r>
          <w:r>
            <w:rPr>
              <w:rFonts w:hint="default" w:ascii="Times New Roman" w:hAnsi="Times New Roman" w:eastAsia="仿宋_GB2312" w:cs="Times New Roman"/>
              <w:bCs/>
              <w:szCs w:val="24"/>
              <w:lang w:val="en-US" w:eastAsia="zh-CN"/>
            </w:rPr>
            <w:t>P的分级确定</w:t>
          </w:r>
          <w:r>
            <w:tab/>
          </w:r>
          <w:r>
            <w:fldChar w:fldCharType="begin"/>
          </w:r>
          <w:r>
            <w:instrText xml:space="preserve"> PAGEREF _Toc16289 \h </w:instrText>
          </w:r>
          <w:r>
            <w:fldChar w:fldCharType="separate"/>
          </w:r>
          <w:r>
            <w:t>5</w:t>
          </w:r>
          <w:r>
            <w:fldChar w:fldCharType="end"/>
          </w:r>
          <w:r>
            <w:rPr>
              <w:rFonts w:hint="default" w:ascii="Times New Roman" w:hAnsi="Times New Roman" w:eastAsia="仿宋_GB2312" w:cs="Times New Roman"/>
            </w:rPr>
            <w:fldChar w:fldCharType="end"/>
          </w:r>
        </w:p>
        <w:p w14:paraId="0F7A748F">
          <w:pPr>
            <w:pStyle w:val="15"/>
            <w:keepNext w:val="0"/>
            <w:keepLines w:val="0"/>
            <w:pageBreakBefore w:val="0"/>
            <w:widowControl w:val="0"/>
            <w:tabs>
              <w:tab w:val="right" w:leader="dot" w:pos="8844"/>
            </w:tabs>
            <w:kinsoku/>
            <w:wordWrap/>
            <w:overflowPunct/>
            <w:topLinePunct w:val="0"/>
            <w:autoSpaceDE/>
            <w:autoSpaceDN/>
            <w:bidi w:val="0"/>
            <w:adjustRightInd/>
            <w:snapToGrid/>
            <w:spacing w:line="336" w:lineRule="auto"/>
            <w:textAlignment w:val="auto"/>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_Toc23496 </w:instrText>
          </w:r>
          <w:r>
            <w:rPr>
              <w:rFonts w:hint="default" w:ascii="Times New Roman" w:hAnsi="Times New Roman" w:eastAsia="仿宋_GB2312" w:cs="Times New Roman"/>
            </w:rPr>
            <w:fldChar w:fldCharType="separate"/>
          </w:r>
          <w:r>
            <w:rPr>
              <w:rFonts w:hint="eastAsia" w:ascii="Times New Roman" w:hAnsi="Times New Roman" w:eastAsia="仿宋_GB2312" w:cs="Times New Roman"/>
              <w:bCs/>
              <w:szCs w:val="24"/>
              <w:lang w:val="en-US" w:eastAsia="zh-CN"/>
            </w:rPr>
            <w:t>2.3.2 E</w:t>
          </w:r>
          <w:r>
            <w:rPr>
              <w:rFonts w:hint="default" w:ascii="Times New Roman" w:hAnsi="Times New Roman" w:eastAsia="仿宋_GB2312" w:cs="Times New Roman"/>
              <w:bCs/>
              <w:szCs w:val="24"/>
              <w:lang w:val="en-US" w:eastAsia="zh-CN"/>
            </w:rPr>
            <w:t>的分级确定</w:t>
          </w:r>
          <w:r>
            <w:tab/>
          </w:r>
          <w:r>
            <w:fldChar w:fldCharType="begin"/>
          </w:r>
          <w:r>
            <w:instrText xml:space="preserve"> PAGEREF _Toc23496 \h </w:instrText>
          </w:r>
          <w:r>
            <w:fldChar w:fldCharType="separate"/>
          </w:r>
          <w:r>
            <w:t>6</w:t>
          </w:r>
          <w:r>
            <w:fldChar w:fldCharType="end"/>
          </w:r>
          <w:r>
            <w:rPr>
              <w:rFonts w:hint="default" w:ascii="Times New Roman" w:hAnsi="Times New Roman" w:eastAsia="仿宋_GB2312" w:cs="Times New Roman"/>
            </w:rPr>
            <w:fldChar w:fldCharType="end"/>
          </w:r>
        </w:p>
        <w:p w14:paraId="5B59211A">
          <w:pPr>
            <w:pStyle w:val="15"/>
            <w:keepNext w:val="0"/>
            <w:keepLines w:val="0"/>
            <w:pageBreakBefore w:val="0"/>
            <w:widowControl w:val="0"/>
            <w:tabs>
              <w:tab w:val="right" w:leader="dot" w:pos="8844"/>
            </w:tabs>
            <w:kinsoku/>
            <w:wordWrap/>
            <w:overflowPunct/>
            <w:topLinePunct w:val="0"/>
            <w:autoSpaceDE/>
            <w:autoSpaceDN/>
            <w:bidi w:val="0"/>
            <w:adjustRightInd/>
            <w:snapToGrid/>
            <w:spacing w:line="336" w:lineRule="auto"/>
            <w:textAlignment w:val="auto"/>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_Toc44 </w:instrText>
          </w:r>
          <w:r>
            <w:rPr>
              <w:rFonts w:hint="default" w:ascii="Times New Roman" w:hAnsi="Times New Roman" w:eastAsia="仿宋_GB2312" w:cs="Times New Roman"/>
            </w:rPr>
            <w:fldChar w:fldCharType="separate"/>
          </w:r>
          <w:r>
            <w:rPr>
              <w:rFonts w:hint="eastAsia" w:ascii="Times New Roman" w:hAnsi="Times New Roman" w:eastAsia="仿宋_GB2312" w:cs="Times New Roman"/>
              <w:bCs/>
              <w:szCs w:val="24"/>
              <w:lang w:val="en-US" w:eastAsia="zh-CN"/>
            </w:rPr>
            <w:t>2.3.3 环境风险潜势判定</w:t>
          </w:r>
          <w:r>
            <w:tab/>
          </w:r>
          <w:r>
            <w:fldChar w:fldCharType="begin"/>
          </w:r>
          <w:r>
            <w:instrText xml:space="preserve"> PAGEREF _Toc44 \h </w:instrText>
          </w:r>
          <w:r>
            <w:fldChar w:fldCharType="separate"/>
          </w:r>
          <w:r>
            <w:t>8</w:t>
          </w:r>
          <w:r>
            <w:fldChar w:fldCharType="end"/>
          </w:r>
          <w:r>
            <w:rPr>
              <w:rFonts w:hint="default" w:ascii="Times New Roman" w:hAnsi="Times New Roman" w:eastAsia="仿宋_GB2312" w:cs="Times New Roman"/>
            </w:rPr>
            <w:fldChar w:fldCharType="end"/>
          </w:r>
        </w:p>
        <w:p w14:paraId="2E3661B0">
          <w:pPr>
            <w:pStyle w:val="27"/>
            <w:keepNext w:val="0"/>
            <w:keepLines w:val="0"/>
            <w:pageBreakBefore w:val="0"/>
            <w:widowControl w:val="0"/>
            <w:tabs>
              <w:tab w:val="right" w:leader="dot" w:pos="8844"/>
            </w:tabs>
            <w:kinsoku/>
            <w:wordWrap/>
            <w:overflowPunct/>
            <w:topLinePunct w:val="0"/>
            <w:autoSpaceDE/>
            <w:autoSpaceDN/>
            <w:bidi w:val="0"/>
            <w:adjustRightInd/>
            <w:snapToGrid/>
            <w:spacing w:line="336" w:lineRule="auto"/>
            <w:textAlignment w:val="auto"/>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_Toc168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bCs/>
              <w:szCs w:val="24"/>
              <w:lang w:val="en-US" w:eastAsia="zh-CN"/>
            </w:rPr>
            <w:t>2.4物质危险性识别</w:t>
          </w:r>
          <w:r>
            <w:tab/>
          </w:r>
          <w:r>
            <w:fldChar w:fldCharType="begin"/>
          </w:r>
          <w:r>
            <w:instrText xml:space="preserve"> PAGEREF _Toc168 \h </w:instrText>
          </w:r>
          <w:r>
            <w:fldChar w:fldCharType="separate"/>
          </w:r>
          <w:r>
            <w:t>9</w:t>
          </w:r>
          <w:r>
            <w:fldChar w:fldCharType="end"/>
          </w:r>
          <w:r>
            <w:rPr>
              <w:rFonts w:hint="default" w:ascii="Times New Roman" w:hAnsi="Times New Roman" w:eastAsia="仿宋_GB2312" w:cs="Times New Roman"/>
            </w:rPr>
            <w:fldChar w:fldCharType="end"/>
          </w:r>
        </w:p>
        <w:p w14:paraId="3C9E604E">
          <w:pPr>
            <w:pStyle w:val="27"/>
            <w:keepNext w:val="0"/>
            <w:keepLines w:val="0"/>
            <w:pageBreakBefore w:val="0"/>
            <w:widowControl w:val="0"/>
            <w:tabs>
              <w:tab w:val="right" w:leader="dot" w:pos="8844"/>
            </w:tabs>
            <w:kinsoku/>
            <w:wordWrap/>
            <w:overflowPunct/>
            <w:topLinePunct w:val="0"/>
            <w:autoSpaceDE/>
            <w:autoSpaceDN/>
            <w:bidi w:val="0"/>
            <w:adjustRightInd/>
            <w:snapToGrid/>
            <w:spacing w:line="336" w:lineRule="auto"/>
            <w:textAlignment w:val="auto"/>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_Toc28078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bCs/>
              <w:szCs w:val="24"/>
              <w:lang w:val="en-US" w:eastAsia="zh-CN"/>
            </w:rPr>
            <w:t>2.5生产系统危险性识别</w:t>
          </w:r>
          <w:r>
            <w:tab/>
          </w:r>
          <w:r>
            <w:fldChar w:fldCharType="begin"/>
          </w:r>
          <w:r>
            <w:instrText xml:space="preserve"> PAGEREF _Toc28078 \h </w:instrText>
          </w:r>
          <w:r>
            <w:fldChar w:fldCharType="separate"/>
          </w:r>
          <w:r>
            <w:t>10</w:t>
          </w:r>
          <w:r>
            <w:fldChar w:fldCharType="end"/>
          </w:r>
          <w:r>
            <w:rPr>
              <w:rFonts w:hint="default" w:ascii="Times New Roman" w:hAnsi="Times New Roman" w:eastAsia="仿宋_GB2312" w:cs="Times New Roman"/>
            </w:rPr>
            <w:fldChar w:fldCharType="end"/>
          </w:r>
        </w:p>
        <w:p w14:paraId="3F79BE8E">
          <w:pPr>
            <w:pStyle w:val="27"/>
            <w:keepNext w:val="0"/>
            <w:keepLines w:val="0"/>
            <w:pageBreakBefore w:val="0"/>
            <w:widowControl w:val="0"/>
            <w:tabs>
              <w:tab w:val="right" w:leader="dot" w:pos="8844"/>
            </w:tabs>
            <w:kinsoku/>
            <w:wordWrap/>
            <w:overflowPunct/>
            <w:topLinePunct w:val="0"/>
            <w:autoSpaceDE/>
            <w:autoSpaceDN/>
            <w:bidi w:val="0"/>
            <w:adjustRightInd/>
            <w:snapToGrid/>
            <w:spacing w:line="336" w:lineRule="auto"/>
            <w:textAlignment w:val="auto"/>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_Toc29915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bCs/>
              <w:szCs w:val="24"/>
              <w:lang w:val="en-US" w:eastAsia="zh-CN"/>
            </w:rPr>
            <w:t>2.6风险识别结果</w:t>
          </w:r>
          <w:r>
            <w:tab/>
          </w:r>
          <w:r>
            <w:fldChar w:fldCharType="begin"/>
          </w:r>
          <w:r>
            <w:instrText xml:space="preserve"> PAGEREF _Toc29915 \h </w:instrText>
          </w:r>
          <w:r>
            <w:fldChar w:fldCharType="separate"/>
          </w:r>
          <w:r>
            <w:t>11</w:t>
          </w:r>
          <w:r>
            <w:fldChar w:fldCharType="end"/>
          </w:r>
          <w:r>
            <w:rPr>
              <w:rFonts w:hint="default" w:ascii="Times New Roman" w:hAnsi="Times New Roman" w:eastAsia="仿宋_GB2312" w:cs="Times New Roman"/>
            </w:rPr>
            <w:fldChar w:fldCharType="end"/>
          </w:r>
        </w:p>
        <w:p w14:paraId="62C7031B">
          <w:pPr>
            <w:pStyle w:val="27"/>
            <w:keepNext w:val="0"/>
            <w:keepLines w:val="0"/>
            <w:pageBreakBefore w:val="0"/>
            <w:widowControl w:val="0"/>
            <w:tabs>
              <w:tab w:val="right" w:leader="dot" w:pos="8844"/>
            </w:tabs>
            <w:kinsoku/>
            <w:wordWrap/>
            <w:overflowPunct/>
            <w:topLinePunct w:val="0"/>
            <w:autoSpaceDE/>
            <w:autoSpaceDN/>
            <w:bidi w:val="0"/>
            <w:adjustRightInd/>
            <w:snapToGrid/>
            <w:spacing w:line="336" w:lineRule="auto"/>
            <w:textAlignment w:val="auto"/>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_Toc26500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bCs/>
              <w:szCs w:val="24"/>
              <w:lang w:val="en-US" w:eastAsia="zh-CN"/>
            </w:rPr>
            <w:t>2.</w:t>
          </w:r>
          <w:r>
            <w:rPr>
              <w:rFonts w:hint="eastAsia" w:ascii="Times New Roman" w:hAnsi="Times New Roman" w:eastAsia="仿宋_GB2312" w:cs="Times New Roman"/>
              <w:bCs/>
              <w:szCs w:val="24"/>
              <w:lang w:val="en-US" w:eastAsia="zh-CN"/>
            </w:rPr>
            <w:t>7</w:t>
          </w:r>
          <w:r>
            <w:rPr>
              <w:rFonts w:hint="default" w:ascii="Times New Roman" w:hAnsi="Times New Roman" w:eastAsia="仿宋_GB2312" w:cs="Times New Roman"/>
              <w:bCs/>
              <w:szCs w:val="24"/>
              <w:lang w:val="en-US" w:eastAsia="zh-CN"/>
            </w:rPr>
            <w:t>次生/伴生事故风险识别</w:t>
          </w:r>
          <w:r>
            <w:tab/>
          </w:r>
          <w:r>
            <w:fldChar w:fldCharType="begin"/>
          </w:r>
          <w:r>
            <w:instrText xml:space="preserve"> PAGEREF _Toc26500 \h </w:instrText>
          </w:r>
          <w:r>
            <w:fldChar w:fldCharType="separate"/>
          </w:r>
          <w:r>
            <w:t>14</w:t>
          </w:r>
          <w:r>
            <w:fldChar w:fldCharType="end"/>
          </w:r>
          <w:r>
            <w:rPr>
              <w:rFonts w:hint="default" w:ascii="Times New Roman" w:hAnsi="Times New Roman" w:eastAsia="仿宋_GB2312" w:cs="Times New Roman"/>
            </w:rPr>
            <w:fldChar w:fldCharType="end"/>
          </w:r>
        </w:p>
        <w:p w14:paraId="6489F657">
          <w:pPr>
            <w:pStyle w:val="27"/>
            <w:keepNext w:val="0"/>
            <w:keepLines w:val="0"/>
            <w:pageBreakBefore w:val="0"/>
            <w:widowControl w:val="0"/>
            <w:tabs>
              <w:tab w:val="right" w:leader="dot" w:pos="8844"/>
            </w:tabs>
            <w:kinsoku/>
            <w:wordWrap/>
            <w:overflowPunct/>
            <w:topLinePunct w:val="0"/>
            <w:autoSpaceDE/>
            <w:autoSpaceDN/>
            <w:bidi w:val="0"/>
            <w:adjustRightInd/>
            <w:snapToGrid/>
            <w:spacing w:line="336" w:lineRule="auto"/>
            <w:textAlignment w:val="auto"/>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_Toc24107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bCs/>
              <w:szCs w:val="24"/>
              <w:lang w:val="en-US" w:eastAsia="zh-CN"/>
            </w:rPr>
            <w:t>2.</w:t>
          </w:r>
          <w:r>
            <w:rPr>
              <w:rFonts w:hint="eastAsia" w:ascii="Times New Roman" w:hAnsi="Times New Roman" w:eastAsia="仿宋_GB2312" w:cs="Times New Roman"/>
              <w:bCs/>
              <w:szCs w:val="24"/>
              <w:lang w:val="en-US" w:eastAsia="zh-CN"/>
            </w:rPr>
            <w:t>8</w:t>
          </w:r>
          <w:r>
            <w:rPr>
              <w:rFonts w:hint="default" w:ascii="Times New Roman" w:hAnsi="Times New Roman" w:eastAsia="仿宋_GB2312" w:cs="Times New Roman"/>
              <w:bCs/>
              <w:szCs w:val="24"/>
              <w:lang w:val="en-US" w:eastAsia="zh-CN"/>
            </w:rPr>
            <w:t>其他环境风险</w:t>
          </w:r>
          <w:r>
            <w:tab/>
          </w:r>
          <w:r>
            <w:fldChar w:fldCharType="begin"/>
          </w:r>
          <w:r>
            <w:instrText xml:space="preserve"> PAGEREF _Toc24107 \h </w:instrText>
          </w:r>
          <w:r>
            <w:fldChar w:fldCharType="separate"/>
          </w:r>
          <w:r>
            <w:t>14</w:t>
          </w:r>
          <w:r>
            <w:fldChar w:fldCharType="end"/>
          </w:r>
          <w:r>
            <w:rPr>
              <w:rFonts w:hint="default" w:ascii="Times New Roman" w:hAnsi="Times New Roman" w:eastAsia="仿宋_GB2312" w:cs="Times New Roman"/>
            </w:rPr>
            <w:fldChar w:fldCharType="end"/>
          </w:r>
        </w:p>
        <w:p w14:paraId="35A29723">
          <w:pPr>
            <w:pStyle w:val="23"/>
            <w:keepNext w:val="0"/>
            <w:keepLines w:val="0"/>
            <w:pageBreakBefore w:val="0"/>
            <w:widowControl w:val="0"/>
            <w:tabs>
              <w:tab w:val="right" w:leader="dot" w:pos="8844"/>
            </w:tabs>
            <w:kinsoku/>
            <w:wordWrap/>
            <w:overflowPunct/>
            <w:topLinePunct w:val="0"/>
            <w:autoSpaceDE/>
            <w:autoSpaceDN/>
            <w:bidi w:val="0"/>
            <w:adjustRightInd/>
            <w:snapToGrid/>
            <w:spacing w:line="336" w:lineRule="auto"/>
            <w:textAlignment w:val="auto"/>
            <w:rPr>
              <w:b/>
              <w:bCs/>
            </w:rPr>
          </w:pPr>
          <w:r>
            <w:rPr>
              <w:rFonts w:hint="default" w:ascii="Times New Roman" w:hAnsi="Times New Roman" w:eastAsia="仿宋_GB2312" w:cs="Times New Roman"/>
              <w:b/>
              <w:bCs/>
            </w:rPr>
            <w:fldChar w:fldCharType="begin"/>
          </w:r>
          <w:r>
            <w:rPr>
              <w:rFonts w:hint="default" w:ascii="Times New Roman" w:hAnsi="Times New Roman" w:eastAsia="仿宋_GB2312" w:cs="Times New Roman"/>
              <w:b/>
              <w:bCs/>
            </w:rPr>
            <w:instrText xml:space="preserve"> HYPERLINK \l _Toc6341 </w:instrText>
          </w:r>
          <w:r>
            <w:rPr>
              <w:rFonts w:hint="default" w:ascii="Times New Roman" w:hAnsi="Times New Roman" w:eastAsia="仿宋_GB2312" w:cs="Times New Roman"/>
              <w:b/>
              <w:bCs/>
            </w:rPr>
            <w:fldChar w:fldCharType="separate"/>
          </w:r>
          <w:r>
            <w:rPr>
              <w:rFonts w:hint="default" w:ascii="Times New Roman" w:hAnsi="Times New Roman" w:eastAsia="仿宋_GB2312" w:cs="Times New Roman"/>
              <w:b/>
              <w:bCs/>
              <w:szCs w:val="28"/>
              <w:lang w:val="en-US" w:eastAsia="zh-CN"/>
            </w:rPr>
            <w:t>3环境风险分析</w:t>
          </w:r>
          <w:r>
            <w:rPr>
              <w:b/>
              <w:bCs/>
            </w:rPr>
            <w:tab/>
          </w:r>
          <w:r>
            <w:rPr>
              <w:b/>
              <w:bCs/>
            </w:rPr>
            <w:fldChar w:fldCharType="begin"/>
          </w:r>
          <w:r>
            <w:rPr>
              <w:b/>
              <w:bCs/>
            </w:rPr>
            <w:instrText xml:space="preserve"> PAGEREF _Toc6341 \h </w:instrText>
          </w:r>
          <w:r>
            <w:rPr>
              <w:b/>
              <w:bCs/>
            </w:rPr>
            <w:fldChar w:fldCharType="separate"/>
          </w:r>
          <w:r>
            <w:rPr>
              <w:b/>
              <w:bCs/>
            </w:rPr>
            <w:t>16</w:t>
          </w:r>
          <w:r>
            <w:rPr>
              <w:b/>
              <w:bCs/>
            </w:rPr>
            <w:fldChar w:fldCharType="end"/>
          </w:r>
          <w:r>
            <w:rPr>
              <w:rFonts w:hint="default" w:ascii="Times New Roman" w:hAnsi="Times New Roman" w:eastAsia="仿宋_GB2312" w:cs="Times New Roman"/>
              <w:b/>
              <w:bCs/>
            </w:rPr>
            <w:fldChar w:fldCharType="end"/>
          </w:r>
        </w:p>
        <w:p w14:paraId="260D9A3D">
          <w:pPr>
            <w:pStyle w:val="27"/>
            <w:keepNext w:val="0"/>
            <w:keepLines w:val="0"/>
            <w:pageBreakBefore w:val="0"/>
            <w:widowControl w:val="0"/>
            <w:tabs>
              <w:tab w:val="right" w:leader="dot" w:pos="8844"/>
            </w:tabs>
            <w:kinsoku/>
            <w:wordWrap/>
            <w:overflowPunct/>
            <w:topLinePunct w:val="0"/>
            <w:autoSpaceDE/>
            <w:autoSpaceDN/>
            <w:bidi w:val="0"/>
            <w:adjustRightInd/>
            <w:snapToGrid/>
            <w:spacing w:line="336" w:lineRule="auto"/>
            <w:textAlignment w:val="auto"/>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_Toc11767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bCs/>
              <w:szCs w:val="24"/>
              <w:lang w:val="en-US" w:eastAsia="zh-CN"/>
            </w:rPr>
            <w:t>3.1风险事故情形设定</w:t>
          </w:r>
          <w:r>
            <w:tab/>
          </w:r>
          <w:r>
            <w:fldChar w:fldCharType="begin"/>
          </w:r>
          <w:r>
            <w:instrText xml:space="preserve"> PAGEREF _Toc11767 \h </w:instrText>
          </w:r>
          <w:r>
            <w:fldChar w:fldCharType="separate"/>
          </w:r>
          <w:r>
            <w:t>16</w:t>
          </w:r>
          <w:r>
            <w:fldChar w:fldCharType="end"/>
          </w:r>
          <w:r>
            <w:rPr>
              <w:rFonts w:hint="default" w:ascii="Times New Roman" w:hAnsi="Times New Roman" w:eastAsia="仿宋_GB2312" w:cs="Times New Roman"/>
            </w:rPr>
            <w:fldChar w:fldCharType="end"/>
          </w:r>
        </w:p>
        <w:p w14:paraId="27E60C85">
          <w:pPr>
            <w:pStyle w:val="27"/>
            <w:keepNext w:val="0"/>
            <w:keepLines w:val="0"/>
            <w:pageBreakBefore w:val="0"/>
            <w:widowControl w:val="0"/>
            <w:tabs>
              <w:tab w:val="right" w:leader="dot" w:pos="8844"/>
            </w:tabs>
            <w:kinsoku/>
            <w:wordWrap/>
            <w:overflowPunct/>
            <w:topLinePunct w:val="0"/>
            <w:autoSpaceDE/>
            <w:autoSpaceDN/>
            <w:bidi w:val="0"/>
            <w:adjustRightInd/>
            <w:snapToGrid/>
            <w:spacing w:line="336" w:lineRule="auto"/>
            <w:textAlignment w:val="auto"/>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_Toc32083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bCs/>
              <w:szCs w:val="24"/>
              <w:lang w:val="en-US" w:eastAsia="zh-CN"/>
            </w:rPr>
            <w:t>3.2最大可信事故的确定</w:t>
          </w:r>
          <w:r>
            <w:tab/>
          </w:r>
          <w:r>
            <w:fldChar w:fldCharType="begin"/>
          </w:r>
          <w:r>
            <w:instrText xml:space="preserve"> PAGEREF _Toc32083 \h </w:instrText>
          </w:r>
          <w:r>
            <w:fldChar w:fldCharType="separate"/>
          </w:r>
          <w:r>
            <w:t>17</w:t>
          </w:r>
          <w:r>
            <w:fldChar w:fldCharType="end"/>
          </w:r>
          <w:r>
            <w:rPr>
              <w:rFonts w:hint="default" w:ascii="Times New Roman" w:hAnsi="Times New Roman" w:eastAsia="仿宋_GB2312" w:cs="Times New Roman"/>
            </w:rPr>
            <w:fldChar w:fldCharType="end"/>
          </w:r>
        </w:p>
        <w:p w14:paraId="2A26C6F7">
          <w:pPr>
            <w:pStyle w:val="27"/>
            <w:keepNext w:val="0"/>
            <w:keepLines w:val="0"/>
            <w:pageBreakBefore w:val="0"/>
            <w:widowControl w:val="0"/>
            <w:tabs>
              <w:tab w:val="right" w:leader="dot" w:pos="8844"/>
            </w:tabs>
            <w:kinsoku/>
            <w:wordWrap/>
            <w:overflowPunct/>
            <w:topLinePunct w:val="0"/>
            <w:autoSpaceDE/>
            <w:autoSpaceDN/>
            <w:bidi w:val="0"/>
            <w:adjustRightInd/>
            <w:snapToGrid/>
            <w:spacing w:line="336" w:lineRule="auto"/>
            <w:textAlignment w:val="auto"/>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_Toc2196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bCs/>
              <w:szCs w:val="24"/>
              <w:lang w:val="en-US" w:eastAsia="zh-CN"/>
            </w:rPr>
            <w:t>3.3</w:t>
          </w:r>
          <w:r>
            <w:rPr>
              <w:rFonts w:hint="eastAsia" w:ascii="Times New Roman" w:hAnsi="Times New Roman" w:eastAsia="仿宋_GB2312" w:cs="Times New Roman"/>
              <w:bCs/>
              <w:szCs w:val="24"/>
              <w:lang w:val="en-US" w:eastAsia="zh-CN"/>
            </w:rPr>
            <w:t>源项</w:t>
          </w:r>
          <w:r>
            <w:rPr>
              <w:rFonts w:hint="default" w:ascii="Times New Roman" w:hAnsi="Times New Roman" w:eastAsia="仿宋_GB2312" w:cs="Times New Roman"/>
              <w:bCs/>
              <w:szCs w:val="24"/>
              <w:lang w:val="en-US" w:eastAsia="zh-CN"/>
            </w:rPr>
            <w:t>分析</w:t>
          </w:r>
          <w:r>
            <w:tab/>
          </w:r>
          <w:r>
            <w:fldChar w:fldCharType="begin"/>
          </w:r>
          <w:r>
            <w:instrText xml:space="preserve"> PAGEREF _Toc2196 \h </w:instrText>
          </w:r>
          <w:r>
            <w:fldChar w:fldCharType="separate"/>
          </w:r>
          <w:r>
            <w:t>17</w:t>
          </w:r>
          <w:r>
            <w:fldChar w:fldCharType="end"/>
          </w:r>
          <w:r>
            <w:rPr>
              <w:rFonts w:hint="default" w:ascii="Times New Roman" w:hAnsi="Times New Roman" w:eastAsia="仿宋_GB2312" w:cs="Times New Roman"/>
            </w:rPr>
            <w:fldChar w:fldCharType="end"/>
          </w:r>
        </w:p>
        <w:p w14:paraId="337D2801">
          <w:pPr>
            <w:pStyle w:val="15"/>
            <w:keepNext w:val="0"/>
            <w:keepLines w:val="0"/>
            <w:pageBreakBefore w:val="0"/>
            <w:widowControl w:val="0"/>
            <w:tabs>
              <w:tab w:val="right" w:leader="dot" w:pos="8844"/>
            </w:tabs>
            <w:kinsoku/>
            <w:wordWrap/>
            <w:overflowPunct/>
            <w:topLinePunct w:val="0"/>
            <w:autoSpaceDE/>
            <w:autoSpaceDN/>
            <w:bidi w:val="0"/>
            <w:adjustRightInd/>
            <w:snapToGrid/>
            <w:spacing w:line="336" w:lineRule="auto"/>
            <w:textAlignment w:val="auto"/>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_Toc18498 </w:instrText>
          </w:r>
          <w:r>
            <w:rPr>
              <w:rFonts w:hint="default" w:ascii="Times New Roman" w:hAnsi="Times New Roman" w:eastAsia="仿宋_GB2312" w:cs="Times New Roman"/>
            </w:rPr>
            <w:fldChar w:fldCharType="separate"/>
          </w:r>
          <w:r>
            <w:rPr>
              <w:rFonts w:hint="eastAsia" w:ascii="Times New Roman" w:hAnsi="Times New Roman" w:eastAsia="仿宋_GB2312" w:cs="Times New Roman"/>
              <w:bCs/>
              <w:szCs w:val="24"/>
              <w:lang w:val="en-US" w:eastAsia="zh-CN"/>
            </w:rPr>
            <w:t>3.3.1</w:t>
          </w:r>
          <w:r>
            <w:rPr>
              <w:rFonts w:hint="default" w:ascii="Times New Roman" w:hAnsi="Times New Roman" w:eastAsia="仿宋_GB2312" w:cs="Times New Roman"/>
              <w:bCs w:val="0"/>
              <w:spacing w:val="0"/>
              <w:kern w:val="0"/>
              <w:position w:val="0"/>
              <w:szCs w:val="24"/>
              <w:lang w:val="en-US" w:eastAsia="zh-CN" w:bidi="ar-SA"/>
            </w:rPr>
            <w:t>风险物质泄漏量计算</w:t>
          </w:r>
          <w:r>
            <w:tab/>
          </w:r>
          <w:r>
            <w:fldChar w:fldCharType="begin"/>
          </w:r>
          <w:r>
            <w:instrText xml:space="preserve"> PAGEREF _Toc18498 \h </w:instrText>
          </w:r>
          <w:r>
            <w:fldChar w:fldCharType="separate"/>
          </w:r>
          <w:r>
            <w:t>17</w:t>
          </w:r>
          <w:r>
            <w:fldChar w:fldCharType="end"/>
          </w:r>
          <w:r>
            <w:rPr>
              <w:rFonts w:hint="default" w:ascii="Times New Roman" w:hAnsi="Times New Roman" w:eastAsia="仿宋_GB2312" w:cs="Times New Roman"/>
            </w:rPr>
            <w:fldChar w:fldCharType="end"/>
          </w:r>
        </w:p>
        <w:p w14:paraId="50009514">
          <w:pPr>
            <w:pStyle w:val="15"/>
            <w:keepNext w:val="0"/>
            <w:keepLines w:val="0"/>
            <w:pageBreakBefore w:val="0"/>
            <w:widowControl w:val="0"/>
            <w:tabs>
              <w:tab w:val="right" w:leader="dot" w:pos="8844"/>
            </w:tabs>
            <w:kinsoku/>
            <w:wordWrap/>
            <w:overflowPunct/>
            <w:topLinePunct w:val="0"/>
            <w:autoSpaceDE/>
            <w:autoSpaceDN/>
            <w:bidi w:val="0"/>
            <w:adjustRightInd/>
            <w:snapToGrid/>
            <w:spacing w:line="336" w:lineRule="auto"/>
            <w:textAlignment w:val="auto"/>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_Toc15507 </w:instrText>
          </w:r>
          <w:r>
            <w:rPr>
              <w:rFonts w:hint="default" w:ascii="Times New Roman" w:hAnsi="Times New Roman" w:eastAsia="仿宋_GB2312" w:cs="Times New Roman"/>
            </w:rPr>
            <w:fldChar w:fldCharType="separate"/>
          </w:r>
          <w:r>
            <w:rPr>
              <w:rFonts w:hint="eastAsia" w:ascii="Times New Roman" w:hAnsi="Times New Roman" w:eastAsia="仿宋_GB2312" w:cs="Times New Roman"/>
              <w:bCs/>
              <w:szCs w:val="24"/>
              <w:lang w:val="en-US" w:eastAsia="zh-CN"/>
            </w:rPr>
            <w:t>3.3.2源强参数</w:t>
          </w:r>
          <w:r>
            <w:tab/>
          </w:r>
          <w:r>
            <w:fldChar w:fldCharType="begin"/>
          </w:r>
          <w:r>
            <w:instrText xml:space="preserve"> PAGEREF _Toc15507 \h </w:instrText>
          </w:r>
          <w:r>
            <w:fldChar w:fldCharType="separate"/>
          </w:r>
          <w:r>
            <w:t>19</w:t>
          </w:r>
          <w:r>
            <w:fldChar w:fldCharType="end"/>
          </w:r>
          <w:r>
            <w:rPr>
              <w:rFonts w:hint="default" w:ascii="Times New Roman" w:hAnsi="Times New Roman" w:eastAsia="仿宋_GB2312" w:cs="Times New Roman"/>
            </w:rPr>
            <w:fldChar w:fldCharType="end"/>
          </w:r>
        </w:p>
        <w:p w14:paraId="1F508DC1">
          <w:pPr>
            <w:pStyle w:val="27"/>
            <w:keepNext w:val="0"/>
            <w:keepLines w:val="0"/>
            <w:pageBreakBefore w:val="0"/>
            <w:widowControl w:val="0"/>
            <w:tabs>
              <w:tab w:val="right" w:leader="dot" w:pos="8844"/>
            </w:tabs>
            <w:kinsoku/>
            <w:wordWrap/>
            <w:overflowPunct/>
            <w:topLinePunct w:val="0"/>
            <w:autoSpaceDE/>
            <w:autoSpaceDN/>
            <w:bidi w:val="0"/>
            <w:adjustRightInd/>
            <w:snapToGrid/>
            <w:spacing w:line="336" w:lineRule="auto"/>
            <w:textAlignment w:val="auto"/>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_Toc32389 </w:instrText>
          </w:r>
          <w:r>
            <w:rPr>
              <w:rFonts w:hint="default" w:ascii="Times New Roman" w:hAnsi="Times New Roman" w:eastAsia="仿宋_GB2312" w:cs="Times New Roman"/>
            </w:rPr>
            <w:fldChar w:fldCharType="separate"/>
          </w:r>
          <w:r>
            <w:rPr>
              <w:rFonts w:hint="eastAsia" w:ascii="Times New Roman" w:hAnsi="Times New Roman" w:eastAsia="仿宋_GB2312" w:cs="Times New Roman"/>
              <w:bCs/>
              <w:szCs w:val="24"/>
              <w:lang w:val="en-US" w:eastAsia="zh-CN"/>
            </w:rPr>
            <w:t>3.4大气环境风险评价分析</w:t>
          </w:r>
          <w:r>
            <w:tab/>
          </w:r>
          <w:r>
            <w:fldChar w:fldCharType="begin"/>
          </w:r>
          <w:r>
            <w:instrText xml:space="preserve"> PAGEREF _Toc32389 \h </w:instrText>
          </w:r>
          <w:r>
            <w:fldChar w:fldCharType="separate"/>
          </w:r>
          <w:r>
            <w:t>19</w:t>
          </w:r>
          <w:r>
            <w:fldChar w:fldCharType="end"/>
          </w:r>
          <w:r>
            <w:rPr>
              <w:rFonts w:hint="default" w:ascii="Times New Roman" w:hAnsi="Times New Roman" w:eastAsia="仿宋_GB2312" w:cs="Times New Roman"/>
            </w:rPr>
            <w:fldChar w:fldCharType="end"/>
          </w:r>
        </w:p>
        <w:p w14:paraId="2B730E4D">
          <w:pPr>
            <w:pStyle w:val="15"/>
            <w:keepNext w:val="0"/>
            <w:keepLines w:val="0"/>
            <w:pageBreakBefore w:val="0"/>
            <w:widowControl w:val="0"/>
            <w:tabs>
              <w:tab w:val="right" w:leader="dot" w:pos="8844"/>
            </w:tabs>
            <w:kinsoku/>
            <w:wordWrap/>
            <w:overflowPunct/>
            <w:topLinePunct w:val="0"/>
            <w:autoSpaceDE/>
            <w:autoSpaceDN/>
            <w:bidi w:val="0"/>
            <w:adjustRightInd/>
            <w:snapToGrid/>
            <w:spacing w:line="336" w:lineRule="auto"/>
            <w:textAlignment w:val="auto"/>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_Toc28979 </w:instrText>
          </w:r>
          <w:r>
            <w:rPr>
              <w:rFonts w:hint="default" w:ascii="Times New Roman" w:hAnsi="Times New Roman" w:eastAsia="仿宋_GB2312" w:cs="Times New Roman"/>
            </w:rPr>
            <w:fldChar w:fldCharType="separate"/>
          </w:r>
          <w:r>
            <w:rPr>
              <w:rFonts w:hint="eastAsia" w:ascii="Times New Roman" w:hAnsi="Times New Roman" w:eastAsia="仿宋_GB2312" w:cs="Times New Roman"/>
              <w:bCs/>
              <w:szCs w:val="24"/>
              <w:lang w:val="en-US" w:eastAsia="zh-CN"/>
            </w:rPr>
            <w:t>3.4.1预测模型筛选</w:t>
          </w:r>
          <w:r>
            <w:tab/>
          </w:r>
          <w:r>
            <w:fldChar w:fldCharType="begin"/>
          </w:r>
          <w:r>
            <w:instrText xml:space="preserve"> PAGEREF _Toc28979 \h </w:instrText>
          </w:r>
          <w:r>
            <w:fldChar w:fldCharType="separate"/>
          </w:r>
          <w:r>
            <w:t>19</w:t>
          </w:r>
          <w:r>
            <w:fldChar w:fldCharType="end"/>
          </w:r>
          <w:r>
            <w:rPr>
              <w:rFonts w:hint="default" w:ascii="Times New Roman" w:hAnsi="Times New Roman" w:eastAsia="仿宋_GB2312" w:cs="Times New Roman"/>
            </w:rPr>
            <w:fldChar w:fldCharType="end"/>
          </w:r>
        </w:p>
        <w:p w14:paraId="6F371CFB">
          <w:pPr>
            <w:pStyle w:val="15"/>
            <w:keepNext w:val="0"/>
            <w:keepLines w:val="0"/>
            <w:pageBreakBefore w:val="0"/>
            <w:widowControl w:val="0"/>
            <w:tabs>
              <w:tab w:val="right" w:leader="dot" w:pos="8844"/>
            </w:tabs>
            <w:kinsoku/>
            <w:wordWrap/>
            <w:overflowPunct/>
            <w:topLinePunct w:val="0"/>
            <w:autoSpaceDE/>
            <w:autoSpaceDN/>
            <w:bidi w:val="0"/>
            <w:adjustRightInd/>
            <w:snapToGrid/>
            <w:spacing w:line="336" w:lineRule="auto"/>
            <w:textAlignment w:val="auto"/>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_Toc28680 </w:instrText>
          </w:r>
          <w:r>
            <w:rPr>
              <w:rFonts w:hint="default" w:ascii="Times New Roman" w:hAnsi="Times New Roman" w:eastAsia="仿宋_GB2312" w:cs="Times New Roman"/>
            </w:rPr>
            <w:fldChar w:fldCharType="separate"/>
          </w:r>
          <w:r>
            <w:rPr>
              <w:rFonts w:hint="eastAsia" w:ascii="Times New Roman" w:hAnsi="Times New Roman" w:eastAsia="仿宋_GB2312" w:cs="Times New Roman"/>
              <w:bCs/>
              <w:szCs w:val="24"/>
              <w:lang w:val="en-US" w:eastAsia="zh-CN"/>
            </w:rPr>
            <w:t>3.4.2预测范围与计算点</w:t>
          </w:r>
          <w:r>
            <w:tab/>
          </w:r>
          <w:r>
            <w:fldChar w:fldCharType="begin"/>
          </w:r>
          <w:r>
            <w:instrText xml:space="preserve"> PAGEREF _Toc28680 \h </w:instrText>
          </w:r>
          <w:r>
            <w:fldChar w:fldCharType="separate"/>
          </w:r>
          <w:r>
            <w:t>20</w:t>
          </w:r>
          <w:r>
            <w:fldChar w:fldCharType="end"/>
          </w:r>
          <w:r>
            <w:rPr>
              <w:rFonts w:hint="default" w:ascii="Times New Roman" w:hAnsi="Times New Roman" w:eastAsia="仿宋_GB2312" w:cs="Times New Roman"/>
            </w:rPr>
            <w:fldChar w:fldCharType="end"/>
          </w:r>
        </w:p>
        <w:p w14:paraId="0A303A92">
          <w:pPr>
            <w:pStyle w:val="15"/>
            <w:keepNext w:val="0"/>
            <w:keepLines w:val="0"/>
            <w:pageBreakBefore w:val="0"/>
            <w:widowControl w:val="0"/>
            <w:tabs>
              <w:tab w:val="right" w:leader="dot" w:pos="8844"/>
            </w:tabs>
            <w:kinsoku/>
            <w:wordWrap/>
            <w:overflowPunct/>
            <w:topLinePunct w:val="0"/>
            <w:autoSpaceDE/>
            <w:autoSpaceDN/>
            <w:bidi w:val="0"/>
            <w:adjustRightInd/>
            <w:snapToGrid/>
            <w:spacing w:line="336" w:lineRule="auto"/>
            <w:textAlignment w:val="auto"/>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_Toc11675 </w:instrText>
          </w:r>
          <w:r>
            <w:rPr>
              <w:rFonts w:hint="default" w:ascii="Times New Roman" w:hAnsi="Times New Roman" w:eastAsia="仿宋_GB2312" w:cs="Times New Roman"/>
            </w:rPr>
            <w:fldChar w:fldCharType="separate"/>
          </w:r>
          <w:r>
            <w:rPr>
              <w:rFonts w:hint="eastAsia" w:ascii="Times New Roman" w:hAnsi="Times New Roman" w:eastAsia="仿宋_GB2312" w:cs="Times New Roman"/>
              <w:bCs/>
              <w:szCs w:val="24"/>
              <w:lang w:val="en-US" w:eastAsia="zh-CN"/>
            </w:rPr>
            <w:t>3.4.3事故源参数</w:t>
          </w:r>
          <w:r>
            <w:tab/>
          </w:r>
          <w:r>
            <w:fldChar w:fldCharType="begin"/>
          </w:r>
          <w:r>
            <w:instrText xml:space="preserve"> PAGEREF _Toc11675 \h </w:instrText>
          </w:r>
          <w:r>
            <w:fldChar w:fldCharType="separate"/>
          </w:r>
          <w:r>
            <w:t>21</w:t>
          </w:r>
          <w:r>
            <w:fldChar w:fldCharType="end"/>
          </w:r>
          <w:r>
            <w:rPr>
              <w:rFonts w:hint="default" w:ascii="Times New Roman" w:hAnsi="Times New Roman" w:eastAsia="仿宋_GB2312" w:cs="Times New Roman"/>
            </w:rPr>
            <w:fldChar w:fldCharType="end"/>
          </w:r>
        </w:p>
        <w:p w14:paraId="5B6A5200">
          <w:pPr>
            <w:pStyle w:val="15"/>
            <w:keepNext w:val="0"/>
            <w:keepLines w:val="0"/>
            <w:pageBreakBefore w:val="0"/>
            <w:widowControl w:val="0"/>
            <w:tabs>
              <w:tab w:val="right" w:leader="dot" w:pos="8844"/>
            </w:tabs>
            <w:kinsoku/>
            <w:wordWrap/>
            <w:overflowPunct/>
            <w:topLinePunct w:val="0"/>
            <w:autoSpaceDE/>
            <w:autoSpaceDN/>
            <w:bidi w:val="0"/>
            <w:adjustRightInd/>
            <w:snapToGrid/>
            <w:spacing w:line="336" w:lineRule="auto"/>
            <w:textAlignment w:val="auto"/>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_Toc19105 </w:instrText>
          </w:r>
          <w:r>
            <w:rPr>
              <w:rFonts w:hint="default" w:ascii="Times New Roman" w:hAnsi="Times New Roman" w:eastAsia="仿宋_GB2312" w:cs="Times New Roman"/>
            </w:rPr>
            <w:fldChar w:fldCharType="separate"/>
          </w:r>
          <w:r>
            <w:rPr>
              <w:rFonts w:hint="eastAsia" w:ascii="Times New Roman" w:hAnsi="Times New Roman" w:eastAsia="仿宋_GB2312" w:cs="Times New Roman"/>
              <w:bCs/>
              <w:szCs w:val="24"/>
              <w:lang w:val="en-US" w:eastAsia="zh-CN"/>
            </w:rPr>
            <w:t>3.4.4模型主要参数</w:t>
          </w:r>
          <w:r>
            <w:tab/>
          </w:r>
          <w:r>
            <w:fldChar w:fldCharType="begin"/>
          </w:r>
          <w:r>
            <w:instrText xml:space="preserve"> PAGEREF _Toc19105 \h </w:instrText>
          </w:r>
          <w:r>
            <w:fldChar w:fldCharType="separate"/>
          </w:r>
          <w:r>
            <w:t>21</w:t>
          </w:r>
          <w:r>
            <w:fldChar w:fldCharType="end"/>
          </w:r>
          <w:r>
            <w:rPr>
              <w:rFonts w:hint="default" w:ascii="Times New Roman" w:hAnsi="Times New Roman" w:eastAsia="仿宋_GB2312" w:cs="Times New Roman"/>
            </w:rPr>
            <w:fldChar w:fldCharType="end"/>
          </w:r>
        </w:p>
        <w:p w14:paraId="1246C294">
          <w:pPr>
            <w:pStyle w:val="15"/>
            <w:keepNext w:val="0"/>
            <w:keepLines w:val="0"/>
            <w:pageBreakBefore w:val="0"/>
            <w:widowControl w:val="0"/>
            <w:tabs>
              <w:tab w:val="right" w:leader="dot" w:pos="8844"/>
            </w:tabs>
            <w:kinsoku/>
            <w:wordWrap/>
            <w:overflowPunct/>
            <w:topLinePunct w:val="0"/>
            <w:autoSpaceDE/>
            <w:autoSpaceDN/>
            <w:bidi w:val="0"/>
            <w:adjustRightInd/>
            <w:snapToGrid/>
            <w:spacing w:line="336" w:lineRule="auto"/>
            <w:textAlignment w:val="auto"/>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_Toc9856 </w:instrText>
          </w:r>
          <w:r>
            <w:rPr>
              <w:rFonts w:hint="default" w:ascii="Times New Roman" w:hAnsi="Times New Roman" w:eastAsia="仿宋_GB2312" w:cs="Times New Roman"/>
            </w:rPr>
            <w:fldChar w:fldCharType="separate"/>
          </w:r>
          <w:r>
            <w:rPr>
              <w:rFonts w:hint="eastAsia" w:ascii="Times New Roman" w:hAnsi="Times New Roman" w:eastAsia="仿宋_GB2312" w:cs="Times New Roman"/>
              <w:bCs/>
              <w:szCs w:val="24"/>
              <w:lang w:val="en-US" w:eastAsia="zh-CN"/>
            </w:rPr>
            <w:t>3.4.5大气毒性终点浓度值的选取</w:t>
          </w:r>
          <w:r>
            <w:tab/>
          </w:r>
          <w:r>
            <w:fldChar w:fldCharType="begin"/>
          </w:r>
          <w:r>
            <w:instrText xml:space="preserve"> PAGEREF _Toc9856 \h </w:instrText>
          </w:r>
          <w:r>
            <w:fldChar w:fldCharType="separate"/>
          </w:r>
          <w:r>
            <w:t>21</w:t>
          </w:r>
          <w:r>
            <w:fldChar w:fldCharType="end"/>
          </w:r>
          <w:r>
            <w:rPr>
              <w:rFonts w:hint="default" w:ascii="Times New Roman" w:hAnsi="Times New Roman" w:eastAsia="仿宋_GB2312" w:cs="Times New Roman"/>
            </w:rPr>
            <w:fldChar w:fldCharType="end"/>
          </w:r>
        </w:p>
        <w:p w14:paraId="7ECDEB58">
          <w:pPr>
            <w:pStyle w:val="15"/>
            <w:keepNext w:val="0"/>
            <w:keepLines w:val="0"/>
            <w:pageBreakBefore w:val="0"/>
            <w:widowControl w:val="0"/>
            <w:tabs>
              <w:tab w:val="right" w:leader="dot" w:pos="8844"/>
            </w:tabs>
            <w:kinsoku/>
            <w:wordWrap/>
            <w:overflowPunct/>
            <w:topLinePunct w:val="0"/>
            <w:autoSpaceDE/>
            <w:autoSpaceDN/>
            <w:bidi w:val="0"/>
            <w:adjustRightInd/>
            <w:snapToGrid/>
            <w:spacing w:line="336" w:lineRule="auto"/>
            <w:textAlignment w:val="auto"/>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_Toc7550 </w:instrText>
          </w:r>
          <w:r>
            <w:rPr>
              <w:rFonts w:hint="default" w:ascii="Times New Roman" w:hAnsi="Times New Roman" w:eastAsia="仿宋_GB2312" w:cs="Times New Roman"/>
            </w:rPr>
            <w:fldChar w:fldCharType="separate"/>
          </w:r>
          <w:r>
            <w:rPr>
              <w:rFonts w:hint="eastAsia" w:ascii="Times New Roman" w:hAnsi="Times New Roman" w:eastAsia="仿宋_GB2312" w:cs="Times New Roman"/>
              <w:bCs/>
              <w:szCs w:val="24"/>
              <w:lang w:val="en-US" w:eastAsia="zh-CN"/>
            </w:rPr>
            <w:t>3.4.6预测结果表述</w:t>
          </w:r>
          <w:r>
            <w:tab/>
          </w:r>
          <w:r>
            <w:fldChar w:fldCharType="begin"/>
          </w:r>
          <w:r>
            <w:instrText xml:space="preserve"> PAGEREF _Toc7550 \h </w:instrText>
          </w:r>
          <w:r>
            <w:fldChar w:fldCharType="separate"/>
          </w:r>
          <w:r>
            <w:t>22</w:t>
          </w:r>
          <w:r>
            <w:fldChar w:fldCharType="end"/>
          </w:r>
          <w:r>
            <w:rPr>
              <w:rFonts w:hint="default" w:ascii="Times New Roman" w:hAnsi="Times New Roman" w:eastAsia="仿宋_GB2312" w:cs="Times New Roman"/>
            </w:rPr>
            <w:fldChar w:fldCharType="end"/>
          </w:r>
        </w:p>
        <w:p w14:paraId="32E1B18C">
          <w:pPr>
            <w:pStyle w:val="27"/>
            <w:keepNext w:val="0"/>
            <w:keepLines w:val="0"/>
            <w:pageBreakBefore w:val="0"/>
            <w:widowControl w:val="0"/>
            <w:tabs>
              <w:tab w:val="right" w:leader="dot" w:pos="8844"/>
            </w:tabs>
            <w:kinsoku/>
            <w:wordWrap/>
            <w:overflowPunct/>
            <w:topLinePunct w:val="0"/>
            <w:autoSpaceDE/>
            <w:autoSpaceDN/>
            <w:bidi w:val="0"/>
            <w:adjustRightInd/>
            <w:snapToGrid/>
            <w:spacing w:line="336" w:lineRule="auto"/>
            <w:textAlignment w:val="auto"/>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_Toc28263 </w:instrText>
          </w:r>
          <w:r>
            <w:rPr>
              <w:rFonts w:hint="default" w:ascii="Times New Roman" w:hAnsi="Times New Roman" w:eastAsia="仿宋_GB2312" w:cs="Times New Roman"/>
            </w:rPr>
            <w:fldChar w:fldCharType="separate"/>
          </w:r>
          <w:r>
            <w:rPr>
              <w:rFonts w:hint="eastAsia" w:ascii="Times New Roman" w:hAnsi="Times New Roman" w:eastAsia="仿宋_GB2312" w:cs="Times New Roman"/>
              <w:bCs/>
              <w:szCs w:val="24"/>
              <w:lang w:val="en-US" w:eastAsia="zh-CN"/>
            </w:rPr>
            <w:t>3.5地表水环境风险分析</w:t>
          </w:r>
          <w:r>
            <w:tab/>
          </w:r>
          <w:r>
            <w:fldChar w:fldCharType="begin"/>
          </w:r>
          <w:r>
            <w:instrText xml:space="preserve"> PAGEREF _Toc28263 \h </w:instrText>
          </w:r>
          <w:r>
            <w:fldChar w:fldCharType="separate"/>
          </w:r>
          <w:r>
            <w:t>23</w:t>
          </w:r>
          <w:r>
            <w:fldChar w:fldCharType="end"/>
          </w:r>
          <w:r>
            <w:rPr>
              <w:rFonts w:hint="default" w:ascii="Times New Roman" w:hAnsi="Times New Roman" w:eastAsia="仿宋_GB2312" w:cs="Times New Roman"/>
            </w:rPr>
            <w:fldChar w:fldCharType="end"/>
          </w:r>
        </w:p>
        <w:p w14:paraId="061E86D0">
          <w:pPr>
            <w:pStyle w:val="27"/>
            <w:keepNext w:val="0"/>
            <w:keepLines w:val="0"/>
            <w:pageBreakBefore w:val="0"/>
            <w:widowControl w:val="0"/>
            <w:tabs>
              <w:tab w:val="right" w:leader="dot" w:pos="8844"/>
            </w:tabs>
            <w:kinsoku/>
            <w:wordWrap/>
            <w:overflowPunct/>
            <w:topLinePunct w:val="0"/>
            <w:autoSpaceDE/>
            <w:autoSpaceDN/>
            <w:bidi w:val="0"/>
            <w:adjustRightInd/>
            <w:snapToGrid/>
            <w:spacing w:line="336" w:lineRule="auto"/>
            <w:textAlignment w:val="auto"/>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_Toc6385 </w:instrText>
          </w:r>
          <w:r>
            <w:rPr>
              <w:rFonts w:hint="default" w:ascii="Times New Roman" w:hAnsi="Times New Roman" w:eastAsia="仿宋_GB2312" w:cs="Times New Roman"/>
            </w:rPr>
            <w:fldChar w:fldCharType="separate"/>
          </w:r>
          <w:r>
            <w:rPr>
              <w:rFonts w:hint="eastAsia" w:ascii="Times New Roman" w:hAnsi="Times New Roman" w:eastAsia="仿宋_GB2312" w:cs="Times New Roman"/>
              <w:bCs/>
              <w:szCs w:val="24"/>
              <w:lang w:val="en-US" w:eastAsia="zh-CN"/>
            </w:rPr>
            <w:t>3.6地下水环境风险分析</w:t>
          </w:r>
          <w:r>
            <w:tab/>
          </w:r>
          <w:r>
            <w:fldChar w:fldCharType="begin"/>
          </w:r>
          <w:r>
            <w:instrText xml:space="preserve"> PAGEREF _Toc6385 \h </w:instrText>
          </w:r>
          <w:r>
            <w:fldChar w:fldCharType="separate"/>
          </w:r>
          <w:r>
            <w:t>23</w:t>
          </w:r>
          <w:r>
            <w:fldChar w:fldCharType="end"/>
          </w:r>
          <w:r>
            <w:rPr>
              <w:rFonts w:hint="default" w:ascii="Times New Roman" w:hAnsi="Times New Roman" w:eastAsia="仿宋_GB2312" w:cs="Times New Roman"/>
            </w:rPr>
            <w:fldChar w:fldCharType="end"/>
          </w:r>
        </w:p>
        <w:p w14:paraId="7EA865E2">
          <w:pPr>
            <w:pStyle w:val="23"/>
            <w:keepNext w:val="0"/>
            <w:keepLines w:val="0"/>
            <w:pageBreakBefore w:val="0"/>
            <w:widowControl w:val="0"/>
            <w:tabs>
              <w:tab w:val="right" w:leader="dot" w:pos="8844"/>
            </w:tabs>
            <w:kinsoku/>
            <w:wordWrap/>
            <w:overflowPunct/>
            <w:topLinePunct w:val="0"/>
            <w:autoSpaceDE/>
            <w:autoSpaceDN/>
            <w:bidi w:val="0"/>
            <w:adjustRightInd/>
            <w:snapToGrid/>
            <w:spacing w:line="336" w:lineRule="auto"/>
            <w:textAlignment w:val="auto"/>
            <w:rPr>
              <w:b/>
              <w:bCs/>
            </w:rPr>
          </w:pPr>
          <w:r>
            <w:rPr>
              <w:rFonts w:hint="default" w:ascii="Times New Roman" w:hAnsi="Times New Roman" w:eastAsia="仿宋_GB2312" w:cs="Times New Roman"/>
              <w:b/>
              <w:bCs/>
            </w:rPr>
            <w:fldChar w:fldCharType="begin"/>
          </w:r>
          <w:r>
            <w:rPr>
              <w:rFonts w:hint="default" w:ascii="Times New Roman" w:hAnsi="Times New Roman" w:eastAsia="仿宋_GB2312" w:cs="Times New Roman"/>
              <w:b/>
              <w:bCs/>
            </w:rPr>
            <w:instrText xml:space="preserve"> HYPERLINK \l _Toc17582 </w:instrText>
          </w:r>
          <w:r>
            <w:rPr>
              <w:rFonts w:hint="default" w:ascii="Times New Roman" w:hAnsi="Times New Roman" w:eastAsia="仿宋_GB2312" w:cs="Times New Roman"/>
              <w:b/>
              <w:bCs/>
            </w:rPr>
            <w:fldChar w:fldCharType="separate"/>
          </w:r>
          <w:r>
            <w:rPr>
              <w:rFonts w:hint="default" w:ascii="Times New Roman" w:hAnsi="Times New Roman" w:eastAsia="仿宋_GB2312" w:cs="Times New Roman"/>
              <w:b/>
              <w:bCs/>
              <w:szCs w:val="28"/>
              <w:lang w:val="en-US" w:eastAsia="zh-CN"/>
            </w:rPr>
            <w:t>4环境风险防范措施</w:t>
          </w:r>
          <w:r>
            <w:rPr>
              <w:b/>
              <w:bCs/>
            </w:rPr>
            <w:tab/>
          </w:r>
          <w:r>
            <w:rPr>
              <w:b/>
              <w:bCs/>
            </w:rPr>
            <w:fldChar w:fldCharType="begin"/>
          </w:r>
          <w:r>
            <w:rPr>
              <w:b/>
              <w:bCs/>
            </w:rPr>
            <w:instrText xml:space="preserve"> PAGEREF _Toc17582 \h </w:instrText>
          </w:r>
          <w:r>
            <w:rPr>
              <w:b/>
              <w:bCs/>
            </w:rPr>
            <w:fldChar w:fldCharType="separate"/>
          </w:r>
          <w:r>
            <w:rPr>
              <w:b/>
              <w:bCs/>
            </w:rPr>
            <w:t>24</w:t>
          </w:r>
          <w:r>
            <w:rPr>
              <w:b/>
              <w:bCs/>
            </w:rPr>
            <w:fldChar w:fldCharType="end"/>
          </w:r>
          <w:r>
            <w:rPr>
              <w:rFonts w:hint="default" w:ascii="Times New Roman" w:hAnsi="Times New Roman" w:eastAsia="仿宋_GB2312" w:cs="Times New Roman"/>
              <w:b/>
              <w:bCs/>
            </w:rPr>
            <w:fldChar w:fldCharType="end"/>
          </w:r>
        </w:p>
        <w:p w14:paraId="4FE909EA">
          <w:pPr>
            <w:pStyle w:val="27"/>
            <w:keepNext w:val="0"/>
            <w:keepLines w:val="0"/>
            <w:pageBreakBefore w:val="0"/>
            <w:widowControl w:val="0"/>
            <w:tabs>
              <w:tab w:val="right" w:leader="dot" w:pos="8844"/>
            </w:tabs>
            <w:kinsoku/>
            <w:wordWrap/>
            <w:overflowPunct/>
            <w:topLinePunct w:val="0"/>
            <w:autoSpaceDE/>
            <w:autoSpaceDN/>
            <w:bidi w:val="0"/>
            <w:adjustRightInd/>
            <w:snapToGrid/>
            <w:spacing w:line="336" w:lineRule="auto"/>
            <w:textAlignment w:val="auto"/>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_Toc30167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bCs/>
              <w:szCs w:val="24"/>
              <w:lang w:val="en-US" w:eastAsia="zh-CN"/>
            </w:rPr>
            <w:t>4.1总图布置和建筑风险防范措施</w:t>
          </w:r>
          <w:r>
            <w:tab/>
          </w:r>
          <w:r>
            <w:fldChar w:fldCharType="begin"/>
          </w:r>
          <w:r>
            <w:instrText xml:space="preserve"> PAGEREF _Toc30167 \h </w:instrText>
          </w:r>
          <w:r>
            <w:fldChar w:fldCharType="separate"/>
          </w:r>
          <w:r>
            <w:t>24</w:t>
          </w:r>
          <w:r>
            <w:fldChar w:fldCharType="end"/>
          </w:r>
          <w:r>
            <w:rPr>
              <w:rFonts w:hint="default" w:ascii="Times New Roman" w:hAnsi="Times New Roman" w:eastAsia="仿宋_GB2312" w:cs="Times New Roman"/>
            </w:rPr>
            <w:fldChar w:fldCharType="end"/>
          </w:r>
        </w:p>
        <w:p w14:paraId="192545DB">
          <w:pPr>
            <w:pStyle w:val="27"/>
            <w:keepNext w:val="0"/>
            <w:keepLines w:val="0"/>
            <w:pageBreakBefore w:val="0"/>
            <w:widowControl w:val="0"/>
            <w:tabs>
              <w:tab w:val="right" w:leader="dot" w:pos="8844"/>
            </w:tabs>
            <w:kinsoku/>
            <w:wordWrap/>
            <w:overflowPunct/>
            <w:topLinePunct w:val="0"/>
            <w:autoSpaceDE/>
            <w:autoSpaceDN/>
            <w:bidi w:val="0"/>
            <w:adjustRightInd/>
            <w:snapToGrid/>
            <w:spacing w:line="336" w:lineRule="auto"/>
            <w:textAlignment w:val="auto"/>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_Toc25070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bCs/>
              <w:szCs w:val="24"/>
              <w:lang w:val="en-US" w:eastAsia="zh-CN"/>
            </w:rPr>
            <w:t>4.2运输过程中的事故防范措施</w:t>
          </w:r>
          <w:r>
            <w:tab/>
          </w:r>
          <w:r>
            <w:fldChar w:fldCharType="begin"/>
          </w:r>
          <w:r>
            <w:instrText xml:space="preserve"> PAGEREF _Toc25070 \h </w:instrText>
          </w:r>
          <w:r>
            <w:fldChar w:fldCharType="separate"/>
          </w:r>
          <w:r>
            <w:t>24</w:t>
          </w:r>
          <w:r>
            <w:fldChar w:fldCharType="end"/>
          </w:r>
          <w:r>
            <w:rPr>
              <w:rFonts w:hint="default" w:ascii="Times New Roman" w:hAnsi="Times New Roman" w:eastAsia="仿宋_GB2312" w:cs="Times New Roman"/>
            </w:rPr>
            <w:fldChar w:fldCharType="end"/>
          </w:r>
        </w:p>
        <w:p w14:paraId="5BCF91BD">
          <w:pPr>
            <w:pStyle w:val="27"/>
            <w:keepNext w:val="0"/>
            <w:keepLines w:val="0"/>
            <w:pageBreakBefore w:val="0"/>
            <w:widowControl w:val="0"/>
            <w:tabs>
              <w:tab w:val="right" w:leader="dot" w:pos="8844"/>
            </w:tabs>
            <w:kinsoku/>
            <w:wordWrap/>
            <w:overflowPunct/>
            <w:topLinePunct w:val="0"/>
            <w:autoSpaceDE/>
            <w:autoSpaceDN/>
            <w:bidi w:val="0"/>
            <w:adjustRightInd/>
            <w:snapToGrid/>
            <w:spacing w:line="336" w:lineRule="auto"/>
            <w:textAlignment w:val="auto"/>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_Toc2276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bCs/>
              <w:szCs w:val="24"/>
              <w:lang w:val="en-US" w:eastAsia="zh-CN"/>
            </w:rPr>
            <w:t>4.3操作过程中的安全防范措施</w:t>
          </w:r>
          <w:r>
            <w:tab/>
          </w:r>
          <w:r>
            <w:fldChar w:fldCharType="begin"/>
          </w:r>
          <w:r>
            <w:instrText xml:space="preserve"> PAGEREF _Toc2276 \h </w:instrText>
          </w:r>
          <w:r>
            <w:fldChar w:fldCharType="separate"/>
          </w:r>
          <w:r>
            <w:t>25</w:t>
          </w:r>
          <w:r>
            <w:fldChar w:fldCharType="end"/>
          </w:r>
          <w:r>
            <w:rPr>
              <w:rFonts w:hint="default" w:ascii="Times New Roman" w:hAnsi="Times New Roman" w:eastAsia="仿宋_GB2312" w:cs="Times New Roman"/>
            </w:rPr>
            <w:fldChar w:fldCharType="end"/>
          </w:r>
        </w:p>
        <w:p w14:paraId="4FADBF79">
          <w:pPr>
            <w:pStyle w:val="27"/>
            <w:keepNext w:val="0"/>
            <w:keepLines w:val="0"/>
            <w:pageBreakBefore w:val="0"/>
            <w:widowControl w:val="0"/>
            <w:tabs>
              <w:tab w:val="right" w:leader="dot" w:pos="8844"/>
            </w:tabs>
            <w:kinsoku/>
            <w:wordWrap/>
            <w:overflowPunct/>
            <w:topLinePunct w:val="0"/>
            <w:autoSpaceDE/>
            <w:autoSpaceDN/>
            <w:bidi w:val="0"/>
            <w:adjustRightInd/>
            <w:snapToGrid/>
            <w:spacing w:line="336" w:lineRule="auto"/>
            <w:textAlignment w:val="auto"/>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_Toc21635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bCs/>
              <w:szCs w:val="24"/>
              <w:lang w:val="en-US" w:eastAsia="zh-CN"/>
            </w:rPr>
            <w:t>4.4存贮过程中的安全防范措施</w:t>
          </w:r>
          <w:r>
            <w:tab/>
          </w:r>
          <w:r>
            <w:fldChar w:fldCharType="begin"/>
          </w:r>
          <w:r>
            <w:instrText xml:space="preserve"> PAGEREF _Toc21635 \h </w:instrText>
          </w:r>
          <w:r>
            <w:fldChar w:fldCharType="separate"/>
          </w:r>
          <w:r>
            <w:t>27</w:t>
          </w:r>
          <w:r>
            <w:fldChar w:fldCharType="end"/>
          </w:r>
          <w:r>
            <w:rPr>
              <w:rFonts w:hint="default" w:ascii="Times New Roman" w:hAnsi="Times New Roman" w:eastAsia="仿宋_GB2312" w:cs="Times New Roman"/>
            </w:rPr>
            <w:fldChar w:fldCharType="end"/>
          </w:r>
        </w:p>
        <w:p w14:paraId="38D79053">
          <w:pPr>
            <w:pStyle w:val="27"/>
            <w:keepNext w:val="0"/>
            <w:keepLines w:val="0"/>
            <w:pageBreakBefore w:val="0"/>
            <w:widowControl w:val="0"/>
            <w:tabs>
              <w:tab w:val="right" w:leader="dot" w:pos="8844"/>
            </w:tabs>
            <w:kinsoku/>
            <w:wordWrap/>
            <w:overflowPunct/>
            <w:topLinePunct w:val="0"/>
            <w:autoSpaceDE/>
            <w:autoSpaceDN/>
            <w:bidi w:val="0"/>
            <w:adjustRightInd/>
            <w:snapToGrid/>
            <w:spacing w:line="336" w:lineRule="auto"/>
            <w:textAlignment w:val="auto"/>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_Toc27031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bCs/>
              <w:szCs w:val="24"/>
              <w:lang w:val="en-US" w:eastAsia="zh-CN"/>
            </w:rPr>
            <w:t>4.</w:t>
          </w:r>
          <w:r>
            <w:rPr>
              <w:rFonts w:hint="eastAsia" w:ascii="Times New Roman" w:hAnsi="Times New Roman" w:eastAsia="仿宋_GB2312" w:cs="Times New Roman"/>
              <w:bCs/>
              <w:szCs w:val="24"/>
              <w:lang w:val="en-US" w:eastAsia="zh-CN"/>
            </w:rPr>
            <w:t>5</w:t>
          </w:r>
          <w:r>
            <w:rPr>
              <w:rFonts w:hint="default" w:ascii="Times New Roman" w:hAnsi="Times New Roman" w:eastAsia="仿宋_GB2312" w:cs="Times New Roman"/>
              <w:bCs/>
              <w:szCs w:val="24"/>
              <w:lang w:val="en-US" w:eastAsia="zh-CN"/>
            </w:rPr>
            <w:t>电气、电讯安全防范措施</w:t>
          </w:r>
          <w:r>
            <w:tab/>
          </w:r>
          <w:r>
            <w:fldChar w:fldCharType="begin"/>
          </w:r>
          <w:r>
            <w:instrText xml:space="preserve"> PAGEREF _Toc27031 \h </w:instrText>
          </w:r>
          <w:r>
            <w:fldChar w:fldCharType="separate"/>
          </w:r>
          <w:r>
            <w:t>28</w:t>
          </w:r>
          <w:r>
            <w:fldChar w:fldCharType="end"/>
          </w:r>
          <w:r>
            <w:rPr>
              <w:rFonts w:hint="default" w:ascii="Times New Roman" w:hAnsi="Times New Roman" w:eastAsia="仿宋_GB2312" w:cs="Times New Roman"/>
            </w:rPr>
            <w:fldChar w:fldCharType="end"/>
          </w:r>
        </w:p>
        <w:p w14:paraId="5192A14C">
          <w:pPr>
            <w:pStyle w:val="27"/>
            <w:keepNext w:val="0"/>
            <w:keepLines w:val="0"/>
            <w:pageBreakBefore w:val="0"/>
            <w:widowControl w:val="0"/>
            <w:tabs>
              <w:tab w:val="right" w:leader="dot" w:pos="8844"/>
            </w:tabs>
            <w:kinsoku/>
            <w:wordWrap/>
            <w:overflowPunct/>
            <w:topLinePunct w:val="0"/>
            <w:autoSpaceDE/>
            <w:autoSpaceDN/>
            <w:bidi w:val="0"/>
            <w:adjustRightInd/>
            <w:snapToGrid/>
            <w:spacing w:line="336" w:lineRule="auto"/>
            <w:textAlignment w:val="auto"/>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_Toc22071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bCs/>
              <w:szCs w:val="24"/>
              <w:lang w:val="en-US" w:eastAsia="zh-CN"/>
            </w:rPr>
            <w:t>4.</w:t>
          </w:r>
          <w:r>
            <w:rPr>
              <w:rFonts w:hint="eastAsia" w:ascii="Times New Roman" w:hAnsi="Times New Roman" w:eastAsia="仿宋_GB2312" w:cs="Times New Roman"/>
              <w:bCs/>
              <w:szCs w:val="24"/>
              <w:lang w:val="en-US" w:eastAsia="zh-CN"/>
            </w:rPr>
            <w:t>6</w:t>
          </w:r>
          <w:r>
            <w:rPr>
              <w:rFonts w:hint="default" w:ascii="Times New Roman" w:hAnsi="Times New Roman" w:eastAsia="仿宋_GB2312" w:cs="Times New Roman"/>
              <w:bCs/>
              <w:szCs w:val="24"/>
              <w:lang w:val="en-US" w:eastAsia="zh-CN"/>
            </w:rPr>
            <w:t>消防系统设计方案</w:t>
          </w:r>
          <w:r>
            <w:tab/>
          </w:r>
          <w:r>
            <w:fldChar w:fldCharType="begin"/>
          </w:r>
          <w:r>
            <w:instrText xml:space="preserve"> PAGEREF _Toc22071 \h </w:instrText>
          </w:r>
          <w:r>
            <w:fldChar w:fldCharType="separate"/>
          </w:r>
          <w:r>
            <w:t>28</w:t>
          </w:r>
          <w:r>
            <w:fldChar w:fldCharType="end"/>
          </w:r>
          <w:r>
            <w:rPr>
              <w:rFonts w:hint="default" w:ascii="Times New Roman" w:hAnsi="Times New Roman" w:eastAsia="仿宋_GB2312" w:cs="Times New Roman"/>
            </w:rPr>
            <w:fldChar w:fldCharType="end"/>
          </w:r>
        </w:p>
        <w:p w14:paraId="0D1D9217">
          <w:pPr>
            <w:pStyle w:val="27"/>
            <w:keepNext w:val="0"/>
            <w:keepLines w:val="0"/>
            <w:pageBreakBefore w:val="0"/>
            <w:widowControl w:val="0"/>
            <w:tabs>
              <w:tab w:val="right" w:leader="dot" w:pos="8844"/>
            </w:tabs>
            <w:kinsoku/>
            <w:wordWrap/>
            <w:overflowPunct/>
            <w:topLinePunct w:val="0"/>
            <w:autoSpaceDE/>
            <w:autoSpaceDN/>
            <w:bidi w:val="0"/>
            <w:adjustRightInd/>
            <w:snapToGrid/>
            <w:spacing w:line="336" w:lineRule="auto"/>
            <w:textAlignment w:val="auto"/>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_Toc4528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bCs/>
              <w:szCs w:val="24"/>
              <w:lang w:val="en-US" w:eastAsia="zh-CN"/>
            </w:rPr>
            <w:t>4.</w:t>
          </w:r>
          <w:r>
            <w:rPr>
              <w:rFonts w:hint="eastAsia" w:ascii="Times New Roman" w:hAnsi="Times New Roman" w:eastAsia="仿宋_GB2312" w:cs="Times New Roman"/>
              <w:bCs/>
              <w:szCs w:val="24"/>
              <w:lang w:val="en-US" w:eastAsia="zh-CN"/>
            </w:rPr>
            <w:t>7</w:t>
          </w:r>
          <w:r>
            <w:rPr>
              <w:rFonts w:hint="default" w:ascii="Times New Roman" w:hAnsi="Times New Roman" w:eastAsia="仿宋_GB2312" w:cs="Times New Roman"/>
              <w:bCs/>
              <w:szCs w:val="24"/>
              <w:lang w:val="en-US" w:eastAsia="zh-CN"/>
            </w:rPr>
            <w:t>预防和减少危害的措施</w:t>
          </w:r>
          <w:r>
            <w:tab/>
          </w:r>
          <w:r>
            <w:fldChar w:fldCharType="begin"/>
          </w:r>
          <w:r>
            <w:instrText xml:space="preserve"> PAGEREF _Toc4528 \h </w:instrText>
          </w:r>
          <w:r>
            <w:fldChar w:fldCharType="separate"/>
          </w:r>
          <w:r>
            <w:t>29</w:t>
          </w:r>
          <w:r>
            <w:fldChar w:fldCharType="end"/>
          </w:r>
          <w:r>
            <w:rPr>
              <w:rFonts w:hint="default" w:ascii="Times New Roman" w:hAnsi="Times New Roman" w:eastAsia="仿宋_GB2312" w:cs="Times New Roman"/>
            </w:rPr>
            <w:fldChar w:fldCharType="end"/>
          </w:r>
        </w:p>
        <w:p w14:paraId="6CC47498">
          <w:pPr>
            <w:pStyle w:val="27"/>
            <w:keepNext w:val="0"/>
            <w:keepLines w:val="0"/>
            <w:pageBreakBefore w:val="0"/>
            <w:widowControl w:val="0"/>
            <w:tabs>
              <w:tab w:val="right" w:leader="dot" w:pos="8844"/>
            </w:tabs>
            <w:kinsoku/>
            <w:wordWrap/>
            <w:overflowPunct/>
            <w:topLinePunct w:val="0"/>
            <w:autoSpaceDE/>
            <w:autoSpaceDN/>
            <w:bidi w:val="0"/>
            <w:adjustRightInd/>
            <w:snapToGrid/>
            <w:spacing w:line="336" w:lineRule="auto"/>
            <w:textAlignment w:val="auto"/>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_Toc3174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bCs/>
              <w:szCs w:val="24"/>
              <w:lang w:val="en-US" w:eastAsia="zh-CN"/>
            </w:rPr>
            <w:t>4.</w:t>
          </w:r>
          <w:r>
            <w:rPr>
              <w:rFonts w:hint="eastAsia" w:ascii="Times New Roman" w:hAnsi="Times New Roman" w:eastAsia="仿宋_GB2312" w:cs="Times New Roman"/>
              <w:bCs/>
              <w:szCs w:val="24"/>
              <w:lang w:val="en-US" w:eastAsia="zh-CN"/>
            </w:rPr>
            <w:t>8</w:t>
          </w:r>
          <w:r>
            <w:rPr>
              <w:rFonts w:hint="default" w:ascii="Times New Roman" w:hAnsi="Times New Roman" w:eastAsia="仿宋_GB2312" w:cs="Times New Roman"/>
              <w:bCs/>
              <w:szCs w:val="24"/>
              <w:lang w:val="en-US" w:eastAsia="zh-CN"/>
            </w:rPr>
            <w:t>泄漏事故的应急对策</w:t>
          </w:r>
          <w:r>
            <w:tab/>
          </w:r>
          <w:r>
            <w:fldChar w:fldCharType="begin"/>
          </w:r>
          <w:r>
            <w:instrText xml:space="preserve"> PAGEREF _Toc3174 \h </w:instrText>
          </w:r>
          <w:r>
            <w:fldChar w:fldCharType="separate"/>
          </w:r>
          <w:r>
            <w:t>30</w:t>
          </w:r>
          <w:r>
            <w:fldChar w:fldCharType="end"/>
          </w:r>
          <w:r>
            <w:rPr>
              <w:rFonts w:hint="default" w:ascii="Times New Roman" w:hAnsi="Times New Roman" w:eastAsia="仿宋_GB2312" w:cs="Times New Roman"/>
            </w:rPr>
            <w:fldChar w:fldCharType="end"/>
          </w:r>
        </w:p>
        <w:p w14:paraId="4F9273FE">
          <w:pPr>
            <w:pStyle w:val="27"/>
            <w:keepNext w:val="0"/>
            <w:keepLines w:val="0"/>
            <w:pageBreakBefore w:val="0"/>
            <w:widowControl w:val="0"/>
            <w:tabs>
              <w:tab w:val="right" w:leader="dot" w:pos="8844"/>
            </w:tabs>
            <w:kinsoku/>
            <w:wordWrap/>
            <w:overflowPunct/>
            <w:topLinePunct w:val="0"/>
            <w:autoSpaceDE/>
            <w:autoSpaceDN/>
            <w:bidi w:val="0"/>
            <w:adjustRightInd/>
            <w:snapToGrid/>
            <w:spacing w:line="336" w:lineRule="auto"/>
            <w:textAlignment w:val="auto"/>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_Toc16722 </w:instrText>
          </w:r>
          <w:r>
            <w:rPr>
              <w:rFonts w:hint="default" w:ascii="Times New Roman" w:hAnsi="Times New Roman" w:eastAsia="仿宋_GB2312" w:cs="Times New Roman"/>
            </w:rPr>
            <w:fldChar w:fldCharType="separate"/>
          </w:r>
          <w:r>
            <w:rPr>
              <w:rFonts w:hint="eastAsia" w:ascii="Times New Roman" w:hAnsi="Times New Roman" w:eastAsia="仿宋_GB2312" w:cs="Times New Roman"/>
              <w:bCs/>
              <w:szCs w:val="24"/>
              <w:lang w:val="en-US" w:eastAsia="zh-CN"/>
            </w:rPr>
            <w:t>4.9</w:t>
          </w:r>
          <w:r>
            <w:rPr>
              <w:rFonts w:hint="default" w:ascii="Times New Roman" w:hAnsi="Times New Roman" w:eastAsia="仿宋_GB2312" w:cs="Times New Roman"/>
              <w:bCs/>
              <w:szCs w:val="24"/>
              <w:lang w:val="en-US" w:eastAsia="zh-CN"/>
            </w:rPr>
            <w:t>构筑环境风险三级（生产单元、水处理区和护厂沟）应急防范体系</w:t>
          </w:r>
          <w:r>
            <w:tab/>
          </w:r>
          <w:r>
            <w:fldChar w:fldCharType="begin"/>
          </w:r>
          <w:r>
            <w:instrText xml:space="preserve"> PAGEREF _Toc16722 \h </w:instrText>
          </w:r>
          <w:r>
            <w:fldChar w:fldCharType="separate"/>
          </w:r>
          <w:r>
            <w:t>31</w:t>
          </w:r>
          <w:r>
            <w:fldChar w:fldCharType="end"/>
          </w:r>
          <w:r>
            <w:rPr>
              <w:rFonts w:hint="default" w:ascii="Times New Roman" w:hAnsi="Times New Roman" w:eastAsia="仿宋_GB2312" w:cs="Times New Roman"/>
            </w:rPr>
            <w:fldChar w:fldCharType="end"/>
          </w:r>
        </w:p>
        <w:p w14:paraId="28B80D5E">
          <w:pPr>
            <w:pStyle w:val="23"/>
            <w:keepNext w:val="0"/>
            <w:keepLines w:val="0"/>
            <w:pageBreakBefore w:val="0"/>
            <w:widowControl w:val="0"/>
            <w:tabs>
              <w:tab w:val="right" w:leader="dot" w:pos="8844"/>
            </w:tabs>
            <w:kinsoku/>
            <w:wordWrap/>
            <w:overflowPunct/>
            <w:topLinePunct w:val="0"/>
            <w:autoSpaceDE/>
            <w:autoSpaceDN/>
            <w:bidi w:val="0"/>
            <w:adjustRightInd/>
            <w:snapToGrid/>
            <w:spacing w:line="336" w:lineRule="auto"/>
            <w:textAlignment w:val="auto"/>
          </w:pPr>
          <w:r>
            <w:rPr>
              <w:rFonts w:hint="default" w:ascii="Times New Roman" w:hAnsi="Times New Roman" w:eastAsia="仿宋_GB2312" w:cs="Times New Roman"/>
              <w:b/>
              <w:bCs/>
            </w:rPr>
            <w:fldChar w:fldCharType="begin"/>
          </w:r>
          <w:r>
            <w:rPr>
              <w:rFonts w:hint="default" w:ascii="Times New Roman" w:hAnsi="Times New Roman" w:eastAsia="仿宋_GB2312" w:cs="Times New Roman"/>
              <w:b/>
              <w:bCs/>
            </w:rPr>
            <w:instrText xml:space="preserve"> HYPERLINK \l _Toc28177 </w:instrText>
          </w:r>
          <w:r>
            <w:rPr>
              <w:rFonts w:hint="default" w:ascii="Times New Roman" w:hAnsi="Times New Roman" w:eastAsia="仿宋_GB2312" w:cs="Times New Roman"/>
              <w:b/>
              <w:bCs/>
            </w:rPr>
            <w:fldChar w:fldCharType="separate"/>
          </w:r>
          <w:r>
            <w:rPr>
              <w:rFonts w:hint="default" w:ascii="Times New Roman" w:hAnsi="Times New Roman" w:eastAsia="仿宋_GB2312" w:cs="Times New Roman"/>
              <w:b/>
              <w:bCs/>
              <w:szCs w:val="28"/>
              <w:lang w:val="en-US" w:eastAsia="zh-CN"/>
            </w:rPr>
            <w:t>5风险管理及应急预案</w:t>
          </w:r>
          <w:r>
            <w:rPr>
              <w:b/>
              <w:bCs/>
            </w:rPr>
            <w:tab/>
          </w:r>
          <w:r>
            <w:rPr>
              <w:b/>
              <w:bCs/>
            </w:rPr>
            <w:fldChar w:fldCharType="begin"/>
          </w:r>
          <w:r>
            <w:rPr>
              <w:b/>
              <w:bCs/>
            </w:rPr>
            <w:instrText xml:space="preserve"> PAGEREF _Toc28177 \h </w:instrText>
          </w:r>
          <w:r>
            <w:rPr>
              <w:b/>
              <w:bCs/>
            </w:rPr>
            <w:fldChar w:fldCharType="separate"/>
          </w:r>
          <w:r>
            <w:rPr>
              <w:b/>
              <w:bCs/>
            </w:rPr>
            <w:t>34</w:t>
          </w:r>
          <w:r>
            <w:rPr>
              <w:b/>
              <w:bCs/>
            </w:rPr>
            <w:fldChar w:fldCharType="end"/>
          </w:r>
          <w:r>
            <w:rPr>
              <w:rFonts w:hint="default" w:ascii="Times New Roman" w:hAnsi="Times New Roman" w:eastAsia="仿宋_GB2312" w:cs="Times New Roman"/>
              <w:b/>
              <w:bCs/>
            </w:rPr>
            <w:fldChar w:fldCharType="end"/>
          </w:r>
        </w:p>
        <w:p w14:paraId="44EBEEF4">
          <w:pPr>
            <w:pStyle w:val="27"/>
            <w:keepNext w:val="0"/>
            <w:keepLines w:val="0"/>
            <w:pageBreakBefore w:val="0"/>
            <w:widowControl w:val="0"/>
            <w:tabs>
              <w:tab w:val="right" w:leader="dot" w:pos="8844"/>
            </w:tabs>
            <w:kinsoku/>
            <w:wordWrap/>
            <w:overflowPunct/>
            <w:topLinePunct w:val="0"/>
            <w:autoSpaceDE/>
            <w:autoSpaceDN/>
            <w:bidi w:val="0"/>
            <w:adjustRightInd/>
            <w:snapToGrid/>
            <w:spacing w:line="336" w:lineRule="auto"/>
            <w:textAlignment w:val="auto"/>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_Toc5435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bCs/>
              <w:szCs w:val="24"/>
              <w:lang w:val="en-US" w:eastAsia="zh-CN"/>
            </w:rPr>
            <w:t>5.1 化学品泄漏和火灾爆炸事故应急预案</w:t>
          </w:r>
          <w:r>
            <w:tab/>
          </w:r>
          <w:r>
            <w:fldChar w:fldCharType="begin"/>
          </w:r>
          <w:r>
            <w:instrText xml:space="preserve"> PAGEREF _Toc5435 \h </w:instrText>
          </w:r>
          <w:r>
            <w:fldChar w:fldCharType="separate"/>
          </w:r>
          <w:r>
            <w:t>34</w:t>
          </w:r>
          <w:r>
            <w:fldChar w:fldCharType="end"/>
          </w:r>
          <w:r>
            <w:rPr>
              <w:rFonts w:hint="default" w:ascii="Times New Roman" w:hAnsi="Times New Roman" w:eastAsia="仿宋_GB2312" w:cs="Times New Roman"/>
            </w:rPr>
            <w:fldChar w:fldCharType="end"/>
          </w:r>
        </w:p>
        <w:p w14:paraId="42510207">
          <w:pPr>
            <w:pStyle w:val="27"/>
            <w:keepNext w:val="0"/>
            <w:keepLines w:val="0"/>
            <w:pageBreakBefore w:val="0"/>
            <w:widowControl w:val="0"/>
            <w:tabs>
              <w:tab w:val="right" w:leader="dot" w:pos="8844"/>
            </w:tabs>
            <w:kinsoku/>
            <w:wordWrap/>
            <w:overflowPunct/>
            <w:topLinePunct w:val="0"/>
            <w:autoSpaceDE/>
            <w:autoSpaceDN/>
            <w:bidi w:val="0"/>
            <w:adjustRightInd/>
            <w:snapToGrid/>
            <w:spacing w:line="336" w:lineRule="auto"/>
            <w:textAlignment w:val="auto"/>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_Toc10170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bCs/>
              <w:szCs w:val="24"/>
              <w:lang w:val="en-US" w:eastAsia="zh-CN"/>
            </w:rPr>
            <w:t>5.2 泄漏事故应急预案</w:t>
          </w:r>
          <w:r>
            <w:tab/>
          </w:r>
          <w:r>
            <w:fldChar w:fldCharType="begin"/>
          </w:r>
          <w:r>
            <w:instrText xml:space="preserve"> PAGEREF _Toc10170 \h </w:instrText>
          </w:r>
          <w:r>
            <w:fldChar w:fldCharType="separate"/>
          </w:r>
          <w:r>
            <w:t>36</w:t>
          </w:r>
          <w:r>
            <w:fldChar w:fldCharType="end"/>
          </w:r>
          <w:r>
            <w:rPr>
              <w:rFonts w:hint="default" w:ascii="Times New Roman" w:hAnsi="Times New Roman" w:eastAsia="仿宋_GB2312" w:cs="Times New Roman"/>
            </w:rPr>
            <w:fldChar w:fldCharType="end"/>
          </w:r>
        </w:p>
        <w:p w14:paraId="329FE2FF">
          <w:pPr>
            <w:pStyle w:val="27"/>
            <w:keepNext w:val="0"/>
            <w:keepLines w:val="0"/>
            <w:pageBreakBefore w:val="0"/>
            <w:widowControl w:val="0"/>
            <w:tabs>
              <w:tab w:val="right" w:leader="dot" w:pos="8844"/>
            </w:tabs>
            <w:kinsoku/>
            <w:wordWrap/>
            <w:overflowPunct/>
            <w:topLinePunct w:val="0"/>
            <w:autoSpaceDE/>
            <w:autoSpaceDN/>
            <w:bidi w:val="0"/>
            <w:adjustRightInd/>
            <w:snapToGrid/>
            <w:spacing w:line="336" w:lineRule="auto"/>
            <w:textAlignment w:val="auto"/>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_Toc26551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bCs/>
              <w:szCs w:val="24"/>
              <w:lang w:val="en-US" w:eastAsia="zh-CN"/>
            </w:rPr>
            <w:t>5.3 废气处理设施故障事故应急预案</w:t>
          </w:r>
          <w:r>
            <w:tab/>
          </w:r>
          <w:r>
            <w:fldChar w:fldCharType="begin"/>
          </w:r>
          <w:r>
            <w:instrText xml:space="preserve"> PAGEREF _Toc26551 \h </w:instrText>
          </w:r>
          <w:r>
            <w:fldChar w:fldCharType="separate"/>
          </w:r>
          <w:r>
            <w:t>38</w:t>
          </w:r>
          <w:r>
            <w:fldChar w:fldCharType="end"/>
          </w:r>
          <w:r>
            <w:rPr>
              <w:rFonts w:hint="default" w:ascii="Times New Roman" w:hAnsi="Times New Roman" w:eastAsia="仿宋_GB2312" w:cs="Times New Roman"/>
            </w:rPr>
            <w:fldChar w:fldCharType="end"/>
          </w:r>
        </w:p>
        <w:p w14:paraId="03B449A1">
          <w:pPr>
            <w:pStyle w:val="27"/>
            <w:keepNext w:val="0"/>
            <w:keepLines w:val="0"/>
            <w:pageBreakBefore w:val="0"/>
            <w:widowControl w:val="0"/>
            <w:tabs>
              <w:tab w:val="right" w:leader="dot" w:pos="8844"/>
            </w:tabs>
            <w:kinsoku/>
            <w:wordWrap/>
            <w:overflowPunct/>
            <w:topLinePunct w:val="0"/>
            <w:autoSpaceDE/>
            <w:autoSpaceDN/>
            <w:bidi w:val="0"/>
            <w:adjustRightInd/>
            <w:snapToGrid/>
            <w:spacing w:line="336" w:lineRule="auto"/>
            <w:textAlignment w:val="auto"/>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_Toc6716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bCs/>
              <w:szCs w:val="24"/>
              <w:lang w:val="en-US" w:eastAsia="zh-CN"/>
            </w:rPr>
            <w:t>5.4 废水处理</w:t>
          </w:r>
          <w:r>
            <w:rPr>
              <w:rFonts w:hint="eastAsia" w:ascii="Times New Roman" w:hAnsi="Times New Roman" w:eastAsia="仿宋_GB2312" w:cs="Times New Roman"/>
              <w:bCs/>
              <w:szCs w:val="24"/>
              <w:lang w:val="en-US" w:eastAsia="zh-CN"/>
            </w:rPr>
            <w:t>系统</w:t>
          </w:r>
          <w:r>
            <w:rPr>
              <w:rFonts w:hint="default" w:ascii="Times New Roman" w:hAnsi="Times New Roman" w:eastAsia="仿宋_GB2312" w:cs="Times New Roman"/>
              <w:bCs/>
              <w:szCs w:val="24"/>
              <w:lang w:val="en-US" w:eastAsia="zh-CN"/>
            </w:rPr>
            <w:t>失效事故应急预案</w:t>
          </w:r>
          <w:r>
            <w:tab/>
          </w:r>
          <w:r>
            <w:fldChar w:fldCharType="begin"/>
          </w:r>
          <w:r>
            <w:instrText xml:space="preserve"> PAGEREF _Toc6716 \h </w:instrText>
          </w:r>
          <w:r>
            <w:fldChar w:fldCharType="separate"/>
          </w:r>
          <w:r>
            <w:t>38</w:t>
          </w:r>
          <w:r>
            <w:fldChar w:fldCharType="end"/>
          </w:r>
          <w:r>
            <w:rPr>
              <w:rFonts w:hint="default" w:ascii="Times New Roman" w:hAnsi="Times New Roman" w:eastAsia="仿宋_GB2312" w:cs="Times New Roman"/>
            </w:rPr>
            <w:fldChar w:fldCharType="end"/>
          </w:r>
        </w:p>
        <w:p w14:paraId="356D4D2B">
          <w:pPr>
            <w:pStyle w:val="27"/>
            <w:keepNext w:val="0"/>
            <w:keepLines w:val="0"/>
            <w:pageBreakBefore w:val="0"/>
            <w:widowControl w:val="0"/>
            <w:tabs>
              <w:tab w:val="right" w:leader="dot" w:pos="8844"/>
            </w:tabs>
            <w:kinsoku/>
            <w:wordWrap/>
            <w:overflowPunct/>
            <w:topLinePunct w:val="0"/>
            <w:autoSpaceDE/>
            <w:autoSpaceDN/>
            <w:bidi w:val="0"/>
            <w:adjustRightInd/>
            <w:snapToGrid/>
            <w:spacing w:line="336" w:lineRule="auto"/>
            <w:textAlignment w:val="auto"/>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_Toc18538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bCs/>
              <w:szCs w:val="24"/>
              <w:lang w:val="en-US" w:eastAsia="zh-CN"/>
            </w:rPr>
            <w:t>5.5 事故应急指挥机构的组成、职责和分工</w:t>
          </w:r>
          <w:r>
            <w:tab/>
          </w:r>
          <w:r>
            <w:fldChar w:fldCharType="begin"/>
          </w:r>
          <w:r>
            <w:instrText xml:space="preserve"> PAGEREF _Toc18538 \h </w:instrText>
          </w:r>
          <w:r>
            <w:fldChar w:fldCharType="separate"/>
          </w:r>
          <w:r>
            <w:t>39</w:t>
          </w:r>
          <w:r>
            <w:fldChar w:fldCharType="end"/>
          </w:r>
          <w:r>
            <w:rPr>
              <w:rFonts w:hint="default" w:ascii="Times New Roman" w:hAnsi="Times New Roman" w:eastAsia="仿宋_GB2312" w:cs="Times New Roman"/>
            </w:rPr>
            <w:fldChar w:fldCharType="end"/>
          </w:r>
        </w:p>
        <w:p w14:paraId="575668C6">
          <w:pPr>
            <w:pStyle w:val="27"/>
            <w:keepNext w:val="0"/>
            <w:keepLines w:val="0"/>
            <w:pageBreakBefore w:val="0"/>
            <w:widowControl w:val="0"/>
            <w:tabs>
              <w:tab w:val="right" w:leader="dot" w:pos="8844"/>
            </w:tabs>
            <w:kinsoku/>
            <w:wordWrap/>
            <w:overflowPunct/>
            <w:topLinePunct w:val="0"/>
            <w:autoSpaceDE/>
            <w:autoSpaceDN/>
            <w:bidi w:val="0"/>
            <w:adjustRightInd/>
            <w:snapToGrid/>
            <w:spacing w:line="336" w:lineRule="auto"/>
            <w:textAlignment w:val="auto"/>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_Toc5326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bCs/>
              <w:szCs w:val="24"/>
              <w:lang w:val="en-US" w:eastAsia="zh-CN"/>
            </w:rPr>
            <w:t>5.6 应急预案联动</w:t>
          </w:r>
          <w:r>
            <w:tab/>
          </w:r>
          <w:r>
            <w:fldChar w:fldCharType="begin"/>
          </w:r>
          <w:r>
            <w:instrText xml:space="preserve"> PAGEREF _Toc5326 \h </w:instrText>
          </w:r>
          <w:r>
            <w:fldChar w:fldCharType="separate"/>
          </w:r>
          <w:r>
            <w:t>46</w:t>
          </w:r>
          <w:r>
            <w:fldChar w:fldCharType="end"/>
          </w:r>
          <w:r>
            <w:rPr>
              <w:rFonts w:hint="default" w:ascii="Times New Roman" w:hAnsi="Times New Roman" w:eastAsia="仿宋_GB2312" w:cs="Times New Roman"/>
            </w:rPr>
            <w:fldChar w:fldCharType="end"/>
          </w:r>
        </w:p>
        <w:p w14:paraId="56EF5A25">
          <w:pPr>
            <w:pStyle w:val="27"/>
            <w:keepNext w:val="0"/>
            <w:keepLines w:val="0"/>
            <w:pageBreakBefore w:val="0"/>
            <w:widowControl w:val="0"/>
            <w:tabs>
              <w:tab w:val="right" w:leader="dot" w:pos="8844"/>
            </w:tabs>
            <w:kinsoku/>
            <w:wordWrap/>
            <w:overflowPunct/>
            <w:topLinePunct w:val="0"/>
            <w:autoSpaceDE/>
            <w:autoSpaceDN/>
            <w:bidi w:val="0"/>
            <w:adjustRightInd/>
            <w:snapToGrid/>
            <w:spacing w:line="336" w:lineRule="auto"/>
            <w:textAlignment w:val="auto"/>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_Toc17287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bCs/>
              <w:szCs w:val="24"/>
              <w:lang w:val="en-US" w:eastAsia="zh-CN"/>
            </w:rPr>
            <w:t>5.7 预案的评审、备案、发布和更新</w:t>
          </w:r>
          <w:r>
            <w:tab/>
          </w:r>
          <w:r>
            <w:fldChar w:fldCharType="begin"/>
          </w:r>
          <w:r>
            <w:instrText xml:space="preserve"> PAGEREF _Toc17287 \h </w:instrText>
          </w:r>
          <w:r>
            <w:fldChar w:fldCharType="separate"/>
          </w:r>
          <w:r>
            <w:t>47</w:t>
          </w:r>
          <w:r>
            <w:fldChar w:fldCharType="end"/>
          </w:r>
          <w:r>
            <w:rPr>
              <w:rFonts w:hint="default" w:ascii="Times New Roman" w:hAnsi="Times New Roman" w:eastAsia="仿宋_GB2312" w:cs="Times New Roman"/>
            </w:rPr>
            <w:fldChar w:fldCharType="end"/>
          </w:r>
        </w:p>
        <w:p w14:paraId="5F8D6910">
          <w:pPr>
            <w:pStyle w:val="27"/>
            <w:keepNext w:val="0"/>
            <w:keepLines w:val="0"/>
            <w:pageBreakBefore w:val="0"/>
            <w:widowControl w:val="0"/>
            <w:tabs>
              <w:tab w:val="right" w:leader="dot" w:pos="8844"/>
            </w:tabs>
            <w:kinsoku/>
            <w:wordWrap/>
            <w:overflowPunct/>
            <w:topLinePunct w:val="0"/>
            <w:autoSpaceDE/>
            <w:autoSpaceDN/>
            <w:bidi w:val="0"/>
            <w:adjustRightInd/>
            <w:snapToGrid/>
            <w:spacing w:line="336" w:lineRule="auto"/>
            <w:textAlignment w:val="auto"/>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_Toc29085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bCs/>
              <w:szCs w:val="24"/>
              <w:lang w:val="en-US" w:eastAsia="zh-CN"/>
            </w:rPr>
            <w:t>5.8 应急物资</w:t>
          </w:r>
          <w:r>
            <w:tab/>
          </w:r>
          <w:r>
            <w:fldChar w:fldCharType="begin"/>
          </w:r>
          <w:r>
            <w:instrText xml:space="preserve"> PAGEREF _Toc29085 \h </w:instrText>
          </w:r>
          <w:r>
            <w:fldChar w:fldCharType="separate"/>
          </w:r>
          <w:r>
            <w:t>48</w:t>
          </w:r>
          <w:r>
            <w:fldChar w:fldCharType="end"/>
          </w:r>
          <w:r>
            <w:rPr>
              <w:rFonts w:hint="default" w:ascii="Times New Roman" w:hAnsi="Times New Roman" w:eastAsia="仿宋_GB2312" w:cs="Times New Roman"/>
            </w:rPr>
            <w:fldChar w:fldCharType="end"/>
          </w:r>
        </w:p>
        <w:p w14:paraId="2108CF8A">
          <w:pPr>
            <w:pStyle w:val="27"/>
            <w:keepNext w:val="0"/>
            <w:keepLines w:val="0"/>
            <w:pageBreakBefore w:val="0"/>
            <w:widowControl w:val="0"/>
            <w:tabs>
              <w:tab w:val="right" w:leader="dot" w:pos="8844"/>
            </w:tabs>
            <w:kinsoku/>
            <w:wordWrap/>
            <w:overflowPunct/>
            <w:topLinePunct w:val="0"/>
            <w:autoSpaceDE/>
            <w:autoSpaceDN/>
            <w:bidi w:val="0"/>
            <w:adjustRightInd/>
            <w:snapToGrid/>
            <w:spacing w:line="336" w:lineRule="auto"/>
            <w:textAlignment w:val="auto"/>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_Toc5829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bCs/>
              <w:szCs w:val="24"/>
              <w:lang w:val="en-US" w:eastAsia="zh-CN"/>
            </w:rPr>
            <w:t>5.9 隐患排查治理</w:t>
          </w:r>
          <w:r>
            <w:tab/>
          </w:r>
          <w:r>
            <w:fldChar w:fldCharType="begin"/>
          </w:r>
          <w:r>
            <w:instrText xml:space="preserve"> PAGEREF _Toc5829 \h </w:instrText>
          </w:r>
          <w:r>
            <w:fldChar w:fldCharType="separate"/>
          </w:r>
          <w:r>
            <w:t>49</w:t>
          </w:r>
          <w:r>
            <w:fldChar w:fldCharType="end"/>
          </w:r>
          <w:r>
            <w:rPr>
              <w:rFonts w:hint="default" w:ascii="Times New Roman" w:hAnsi="Times New Roman" w:eastAsia="仿宋_GB2312" w:cs="Times New Roman"/>
            </w:rPr>
            <w:fldChar w:fldCharType="end"/>
          </w:r>
        </w:p>
        <w:p w14:paraId="76C4E25C">
          <w:pPr>
            <w:pStyle w:val="27"/>
            <w:keepNext w:val="0"/>
            <w:keepLines w:val="0"/>
            <w:pageBreakBefore w:val="0"/>
            <w:widowControl w:val="0"/>
            <w:tabs>
              <w:tab w:val="right" w:leader="dot" w:pos="8844"/>
            </w:tabs>
            <w:kinsoku/>
            <w:wordWrap/>
            <w:overflowPunct/>
            <w:topLinePunct w:val="0"/>
            <w:autoSpaceDE/>
            <w:autoSpaceDN/>
            <w:bidi w:val="0"/>
            <w:adjustRightInd/>
            <w:snapToGrid/>
            <w:spacing w:line="336" w:lineRule="auto"/>
            <w:textAlignment w:val="auto"/>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_Toc15998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bCs/>
              <w:szCs w:val="24"/>
              <w:lang w:val="en-US" w:eastAsia="zh-CN"/>
            </w:rPr>
            <w:t>5.10 应急培训和演练</w:t>
          </w:r>
          <w:r>
            <w:tab/>
          </w:r>
          <w:r>
            <w:fldChar w:fldCharType="begin"/>
          </w:r>
          <w:r>
            <w:instrText xml:space="preserve"> PAGEREF _Toc15998 \h </w:instrText>
          </w:r>
          <w:r>
            <w:fldChar w:fldCharType="separate"/>
          </w:r>
          <w:r>
            <w:t>54</w:t>
          </w:r>
          <w:r>
            <w:fldChar w:fldCharType="end"/>
          </w:r>
          <w:r>
            <w:rPr>
              <w:rFonts w:hint="default" w:ascii="Times New Roman" w:hAnsi="Times New Roman" w:eastAsia="仿宋_GB2312" w:cs="Times New Roman"/>
            </w:rPr>
            <w:fldChar w:fldCharType="end"/>
          </w:r>
        </w:p>
        <w:p w14:paraId="29BAFC40">
          <w:pPr>
            <w:pStyle w:val="27"/>
            <w:keepNext w:val="0"/>
            <w:keepLines w:val="0"/>
            <w:pageBreakBefore w:val="0"/>
            <w:widowControl w:val="0"/>
            <w:tabs>
              <w:tab w:val="right" w:leader="dot" w:pos="8844"/>
            </w:tabs>
            <w:kinsoku/>
            <w:wordWrap/>
            <w:overflowPunct/>
            <w:topLinePunct w:val="0"/>
            <w:autoSpaceDE/>
            <w:autoSpaceDN/>
            <w:bidi w:val="0"/>
            <w:adjustRightInd/>
            <w:snapToGrid/>
            <w:spacing w:line="336" w:lineRule="auto"/>
            <w:textAlignment w:val="auto"/>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_Toc20851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bCs/>
              <w:szCs w:val="24"/>
              <w:lang w:val="en-US" w:eastAsia="zh-CN"/>
            </w:rPr>
            <w:t>5.11 风险防范措施及应急处置卡</w:t>
          </w:r>
          <w:r>
            <w:tab/>
          </w:r>
          <w:r>
            <w:fldChar w:fldCharType="begin"/>
          </w:r>
          <w:r>
            <w:instrText xml:space="preserve"> PAGEREF _Toc20851 \h </w:instrText>
          </w:r>
          <w:r>
            <w:fldChar w:fldCharType="separate"/>
          </w:r>
          <w:r>
            <w:t>62</w:t>
          </w:r>
          <w:r>
            <w:fldChar w:fldCharType="end"/>
          </w:r>
          <w:r>
            <w:rPr>
              <w:rFonts w:hint="default" w:ascii="Times New Roman" w:hAnsi="Times New Roman" w:eastAsia="仿宋_GB2312" w:cs="Times New Roman"/>
            </w:rPr>
            <w:fldChar w:fldCharType="end"/>
          </w:r>
        </w:p>
        <w:p w14:paraId="4BF67F1F">
          <w:pPr>
            <w:pStyle w:val="23"/>
            <w:keepNext w:val="0"/>
            <w:keepLines w:val="0"/>
            <w:pageBreakBefore w:val="0"/>
            <w:widowControl w:val="0"/>
            <w:tabs>
              <w:tab w:val="right" w:leader="dot" w:pos="8844"/>
            </w:tabs>
            <w:kinsoku/>
            <w:wordWrap/>
            <w:overflowPunct/>
            <w:topLinePunct w:val="0"/>
            <w:autoSpaceDE/>
            <w:autoSpaceDN/>
            <w:bidi w:val="0"/>
            <w:adjustRightInd/>
            <w:snapToGrid/>
            <w:spacing w:line="336" w:lineRule="auto"/>
            <w:textAlignment w:val="auto"/>
          </w:pPr>
          <w:r>
            <w:rPr>
              <w:rFonts w:hint="default" w:ascii="Times New Roman" w:hAnsi="Times New Roman" w:eastAsia="仿宋_GB2312" w:cs="Times New Roman"/>
              <w:b/>
              <w:bCs/>
            </w:rPr>
            <w:fldChar w:fldCharType="begin"/>
          </w:r>
          <w:r>
            <w:rPr>
              <w:rFonts w:hint="default" w:ascii="Times New Roman" w:hAnsi="Times New Roman" w:eastAsia="仿宋_GB2312" w:cs="Times New Roman"/>
              <w:b/>
              <w:bCs/>
            </w:rPr>
            <w:instrText xml:space="preserve"> HYPERLINK \l _Toc19237 </w:instrText>
          </w:r>
          <w:r>
            <w:rPr>
              <w:rFonts w:hint="default" w:ascii="Times New Roman" w:hAnsi="Times New Roman" w:eastAsia="仿宋_GB2312" w:cs="Times New Roman"/>
              <w:b/>
              <w:bCs/>
            </w:rPr>
            <w:fldChar w:fldCharType="separate"/>
          </w:r>
          <w:r>
            <w:rPr>
              <w:rFonts w:hint="default" w:ascii="Times New Roman" w:hAnsi="Times New Roman" w:eastAsia="仿宋_GB2312" w:cs="Times New Roman"/>
              <w:b/>
              <w:bCs/>
              <w:szCs w:val="28"/>
              <w:lang w:val="en-US" w:eastAsia="zh-CN"/>
            </w:rPr>
            <w:t>6结论和建议</w:t>
          </w:r>
          <w:r>
            <w:rPr>
              <w:b/>
              <w:bCs/>
            </w:rPr>
            <w:tab/>
          </w:r>
          <w:r>
            <w:rPr>
              <w:b/>
              <w:bCs/>
            </w:rPr>
            <w:fldChar w:fldCharType="begin"/>
          </w:r>
          <w:r>
            <w:rPr>
              <w:b/>
              <w:bCs/>
            </w:rPr>
            <w:instrText xml:space="preserve"> PAGEREF _Toc19237 \h </w:instrText>
          </w:r>
          <w:r>
            <w:rPr>
              <w:b/>
              <w:bCs/>
            </w:rPr>
            <w:fldChar w:fldCharType="separate"/>
          </w:r>
          <w:r>
            <w:rPr>
              <w:b/>
              <w:bCs/>
            </w:rPr>
            <w:t>66</w:t>
          </w:r>
          <w:r>
            <w:rPr>
              <w:b/>
              <w:bCs/>
            </w:rPr>
            <w:fldChar w:fldCharType="end"/>
          </w:r>
          <w:r>
            <w:rPr>
              <w:rFonts w:hint="default" w:ascii="Times New Roman" w:hAnsi="Times New Roman" w:eastAsia="仿宋_GB2312" w:cs="Times New Roman"/>
              <w:b/>
              <w:bCs/>
            </w:rPr>
            <w:fldChar w:fldCharType="end"/>
          </w:r>
        </w:p>
        <w:p w14:paraId="521F6F99">
          <w:pPr>
            <w:pStyle w:val="27"/>
            <w:keepNext w:val="0"/>
            <w:keepLines w:val="0"/>
            <w:pageBreakBefore w:val="0"/>
            <w:widowControl w:val="0"/>
            <w:tabs>
              <w:tab w:val="right" w:leader="dot" w:pos="8844"/>
            </w:tabs>
            <w:kinsoku/>
            <w:wordWrap/>
            <w:overflowPunct/>
            <w:topLinePunct w:val="0"/>
            <w:autoSpaceDE/>
            <w:autoSpaceDN/>
            <w:bidi w:val="0"/>
            <w:adjustRightInd/>
            <w:snapToGrid/>
            <w:spacing w:line="336" w:lineRule="auto"/>
            <w:textAlignment w:val="auto"/>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_Toc5005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bCs/>
              <w:spacing w:val="1"/>
              <w:szCs w:val="28"/>
              <w:lang w:val="en-US" w:eastAsia="zh-CN"/>
            </w:rPr>
            <w:t>6</w:t>
          </w:r>
          <w:r>
            <w:rPr>
              <w:rFonts w:hint="default" w:ascii="Times New Roman" w:hAnsi="Times New Roman" w:eastAsia="仿宋_GB2312" w:cs="Times New Roman"/>
              <w:bCs/>
              <w:szCs w:val="28"/>
            </w:rPr>
            <w:t>.</w:t>
          </w:r>
          <w:r>
            <w:rPr>
              <w:rFonts w:hint="default" w:ascii="Times New Roman" w:hAnsi="Times New Roman" w:eastAsia="仿宋_GB2312" w:cs="Times New Roman"/>
              <w:bCs/>
              <w:szCs w:val="28"/>
              <w:lang w:val="en-US" w:eastAsia="zh-CN"/>
            </w:rPr>
            <w:t>1评价结论</w:t>
          </w:r>
          <w:r>
            <w:tab/>
          </w:r>
          <w:r>
            <w:fldChar w:fldCharType="begin"/>
          </w:r>
          <w:r>
            <w:instrText xml:space="preserve"> PAGEREF _Toc5005 \h </w:instrText>
          </w:r>
          <w:r>
            <w:fldChar w:fldCharType="separate"/>
          </w:r>
          <w:r>
            <w:t>66</w:t>
          </w:r>
          <w:r>
            <w:fldChar w:fldCharType="end"/>
          </w:r>
          <w:r>
            <w:rPr>
              <w:rFonts w:hint="default" w:ascii="Times New Roman" w:hAnsi="Times New Roman" w:eastAsia="仿宋_GB2312" w:cs="Times New Roman"/>
            </w:rPr>
            <w:fldChar w:fldCharType="end"/>
          </w:r>
        </w:p>
        <w:p w14:paraId="6467ACDA">
          <w:pPr>
            <w:pStyle w:val="27"/>
            <w:keepNext w:val="0"/>
            <w:keepLines w:val="0"/>
            <w:pageBreakBefore w:val="0"/>
            <w:widowControl w:val="0"/>
            <w:tabs>
              <w:tab w:val="right" w:leader="dot" w:pos="8844"/>
            </w:tabs>
            <w:kinsoku/>
            <w:wordWrap/>
            <w:overflowPunct/>
            <w:topLinePunct w:val="0"/>
            <w:autoSpaceDE/>
            <w:autoSpaceDN/>
            <w:bidi w:val="0"/>
            <w:adjustRightInd/>
            <w:snapToGrid/>
            <w:spacing w:line="336" w:lineRule="auto"/>
            <w:textAlignment w:val="auto"/>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_Toc29266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bCs/>
              <w:spacing w:val="1"/>
              <w:szCs w:val="28"/>
              <w:lang w:val="en-US" w:eastAsia="zh-CN"/>
            </w:rPr>
            <w:t>6</w:t>
          </w:r>
          <w:r>
            <w:rPr>
              <w:rFonts w:hint="default" w:ascii="Times New Roman" w:hAnsi="Times New Roman" w:eastAsia="仿宋_GB2312" w:cs="Times New Roman"/>
              <w:bCs/>
              <w:szCs w:val="28"/>
            </w:rPr>
            <w:t>.</w:t>
          </w:r>
          <w:r>
            <w:rPr>
              <w:rFonts w:hint="default" w:ascii="Times New Roman" w:hAnsi="Times New Roman" w:eastAsia="仿宋_GB2312" w:cs="Times New Roman"/>
              <w:bCs/>
              <w:szCs w:val="28"/>
              <w:lang w:val="en-US" w:eastAsia="zh-CN"/>
            </w:rPr>
            <w:t>2要求与建议</w:t>
          </w:r>
          <w:r>
            <w:tab/>
          </w:r>
          <w:r>
            <w:fldChar w:fldCharType="begin"/>
          </w:r>
          <w:r>
            <w:instrText xml:space="preserve"> PAGEREF _Toc29266 \h </w:instrText>
          </w:r>
          <w:r>
            <w:fldChar w:fldCharType="separate"/>
          </w:r>
          <w:r>
            <w:t>66</w:t>
          </w:r>
          <w:r>
            <w:fldChar w:fldCharType="end"/>
          </w:r>
          <w:r>
            <w:rPr>
              <w:rFonts w:hint="default" w:ascii="Times New Roman" w:hAnsi="Times New Roman" w:eastAsia="仿宋_GB2312" w:cs="Times New Roman"/>
            </w:rPr>
            <w:fldChar w:fldCharType="end"/>
          </w:r>
        </w:p>
        <w:p w14:paraId="7A82A9CB">
          <w:pPr>
            <w:keepNext w:val="0"/>
            <w:keepLines w:val="0"/>
            <w:pageBreakBefore w:val="0"/>
            <w:widowControl w:val="0"/>
            <w:kinsoku/>
            <w:wordWrap/>
            <w:overflowPunct/>
            <w:topLinePunct w:val="0"/>
            <w:autoSpaceDE/>
            <w:autoSpaceDN/>
            <w:bidi w:val="0"/>
            <w:adjustRightInd/>
            <w:snapToGrid/>
            <w:spacing w:line="336" w:lineRule="auto"/>
            <w:ind w:firstLine="0" w:firstLine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rPr>
            <w:fldChar w:fldCharType="end"/>
          </w:r>
        </w:p>
      </w:sdtContent>
    </w:sdt>
    <w:bookmarkEnd w:id="70"/>
    <w:bookmarkEnd w:id="71"/>
    <w:bookmarkEnd w:id="72"/>
    <w:p w14:paraId="29F58EDF">
      <w:pPr>
        <w:spacing w:line="480" w:lineRule="auto"/>
        <w:ind w:firstLine="0" w:firstLineChars="0"/>
        <w:jc w:val="center"/>
        <w:rPr>
          <w:rFonts w:hint="default" w:ascii="Times New Roman" w:hAnsi="Times New Roman" w:eastAsia="仿宋_GB2312" w:cs="Times New Roman"/>
          <w:b w:val="0"/>
          <w:bCs w:val="0"/>
          <w:kern w:val="2"/>
          <w:sz w:val="21"/>
          <w:szCs w:val="21"/>
          <w:lang w:val="en-US" w:eastAsia="zh-CN" w:bidi="ar-SA"/>
        </w:rPr>
        <w:sectPr>
          <w:headerReference r:id="rId12" w:type="first"/>
          <w:footerReference r:id="rId15" w:type="first"/>
          <w:headerReference r:id="rId10" w:type="default"/>
          <w:footerReference r:id="rId13" w:type="default"/>
          <w:headerReference r:id="rId11" w:type="even"/>
          <w:footerReference r:id="rId14" w:type="even"/>
          <w:pgSz w:w="11906" w:h="16838"/>
          <w:pgMar w:top="1701" w:right="1531" w:bottom="1701" w:left="1531" w:header="851" w:footer="850" w:gutter="0"/>
          <w:pgBorders>
            <w:top w:val="none" w:sz="0" w:space="0"/>
            <w:left w:val="none" w:sz="0" w:space="0"/>
            <w:bottom w:val="none" w:sz="0" w:space="0"/>
            <w:right w:val="none" w:sz="0" w:space="0"/>
          </w:pgBorders>
          <w:cols w:space="425" w:num="1"/>
          <w:docGrid w:type="lines" w:linePitch="312" w:charSpace="0"/>
        </w:sectPr>
      </w:pPr>
    </w:p>
    <w:p w14:paraId="2D73B511">
      <w:pPr>
        <w:pStyle w:val="3"/>
        <w:keepNext/>
        <w:keepLines w:val="0"/>
        <w:pageBreakBefore w:val="0"/>
        <w:widowControl w:val="0"/>
        <w:kinsoku/>
        <w:wordWrap/>
        <w:overflowPunct w:val="0"/>
        <w:topLinePunct w:val="0"/>
        <w:autoSpaceDE/>
        <w:autoSpaceDN/>
        <w:bidi w:val="0"/>
        <w:adjustRightInd/>
        <w:snapToGrid w:val="0"/>
        <w:spacing w:before="0" w:after="0" w:line="500" w:lineRule="exact"/>
        <w:ind w:left="0" w:firstLine="0"/>
        <w:textAlignment w:val="auto"/>
        <w:rPr>
          <w:rFonts w:hint="default" w:ascii="Times New Roman" w:hAnsi="Times New Roman" w:eastAsia="仿宋_GB2312" w:cs="Times New Roman"/>
          <w:sz w:val="28"/>
          <w:szCs w:val="28"/>
          <w:lang w:eastAsia="zh-CN"/>
        </w:rPr>
      </w:pPr>
      <w:bookmarkStart w:id="76" w:name="_Toc32122"/>
      <w:bookmarkStart w:id="77" w:name="_Toc16540"/>
      <w:bookmarkStart w:id="78" w:name="_Toc4590"/>
      <w:bookmarkStart w:id="79" w:name="_Toc25398"/>
      <w:bookmarkStart w:id="80" w:name="_Toc181630875"/>
      <w:r>
        <w:rPr>
          <w:rFonts w:hint="default" w:ascii="Times New Roman" w:hAnsi="Times New Roman" w:eastAsia="仿宋_GB2312" w:cs="Times New Roman"/>
          <w:sz w:val="28"/>
          <w:szCs w:val="28"/>
          <w:lang w:val="en-US" w:eastAsia="zh-CN"/>
        </w:rPr>
        <w:t>1总论</w:t>
      </w:r>
      <w:bookmarkEnd w:id="76"/>
      <w:bookmarkEnd w:id="77"/>
      <w:bookmarkEnd w:id="78"/>
      <w:bookmarkEnd w:id="79"/>
    </w:p>
    <w:p w14:paraId="2011FED8">
      <w:pPr>
        <w:pStyle w:val="108"/>
        <w:keepNext w:val="0"/>
        <w:keepLines w:val="0"/>
        <w:pageBreakBefore w:val="0"/>
        <w:kinsoku/>
        <w:wordWrap/>
        <w:overflowPunct/>
        <w:topLinePunct w:val="0"/>
        <w:bidi w:val="0"/>
        <w:adjustRightInd w:val="0"/>
        <w:snapToGrid w:val="0"/>
        <w:spacing w:beforeAutospacing="0" w:afterAutospacing="0" w:line="500" w:lineRule="exact"/>
        <w:ind w:left="0" w:leftChars="0" w:right="0" w:firstLine="480"/>
        <w:textAlignment w:val="auto"/>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所谓“环境风险”是指在一定时间内因人类行为，与人类密切相关的自然行为，或人与自然相互作用过程中引起的，具有不确定特征（突发性）和可能对人类健康、生命、财产及周围环境造成危害的环境事件发生的概率。</w:t>
      </w:r>
    </w:p>
    <w:p w14:paraId="022F19DB">
      <w:pPr>
        <w:pStyle w:val="108"/>
        <w:keepNext w:val="0"/>
        <w:keepLines w:val="0"/>
        <w:pageBreakBefore w:val="0"/>
        <w:kinsoku/>
        <w:wordWrap/>
        <w:overflowPunct/>
        <w:topLinePunct w:val="0"/>
        <w:bidi w:val="0"/>
        <w:adjustRightInd w:val="0"/>
        <w:snapToGrid w:val="0"/>
        <w:spacing w:beforeAutospacing="0" w:afterAutospacing="0" w:line="500" w:lineRule="exact"/>
        <w:ind w:left="0" w:leftChars="0" w:right="0" w:firstLine="480"/>
        <w:textAlignment w:val="auto"/>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环境风险评价是在分析项目事故发生概率和预测事故状态下的影响程度基础上，对项目建设和运行过程中可能存在的事故隐患（事故源）提出事故防范措施和事故后应急措施，使建设项目的环境风险影响尽可能降到最低，项目风险度达到可接受水平。</w:t>
      </w:r>
    </w:p>
    <w:p w14:paraId="67FE38B5">
      <w:pPr>
        <w:keepNext w:val="0"/>
        <w:keepLines w:val="0"/>
        <w:pageBreakBefore w:val="0"/>
        <w:kinsoku/>
        <w:wordWrap/>
        <w:overflowPunct/>
        <w:topLinePunct w:val="0"/>
        <w:bidi w:val="0"/>
        <w:adjustRightInd w:val="0"/>
        <w:snapToGrid w:val="0"/>
        <w:spacing w:beforeAutospacing="0" w:afterAutospacing="0" w:line="500" w:lineRule="exact"/>
        <w:ind w:left="0" w:leftChars="0" w:right="0" w:firstLine="480" w:firstLineChars="200"/>
        <w:textAlignment w:val="auto"/>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根据《建设项目环境影响报告表编制技术指南</w:t>
      </w:r>
      <w:r>
        <w:rPr>
          <w:rFonts w:hint="eastAsia" w:ascii="Times New Roman" w:hAnsi="Times New Roman" w:eastAsia="仿宋_GB2312" w:cs="Times New Roman"/>
          <w:color w:val="auto"/>
          <w:spacing w:val="0"/>
          <w:kern w:val="0"/>
          <w:position w:val="0"/>
          <w:sz w:val="24"/>
          <w:szCs w:val="24"/>
          <w:lang w:eastAsia="zh-CN"/>
        </w:rPr>
        <w:t>（</w:t>
      </w:r>
      <w:r>
        <w:rPr>
          <w:rFonts w:hint="default" w:ascii="Times New Roman" w:hAnsi="Times New Roman" w:eastAsia="仿宋_GB2312" w:cs="Times New Roman"/>
          <w:color w:val="auto"/>
          <w:spacing w:val="0"/>
          <w:kern w:val="0"/>
          <w:position w:val="0"/>
          <w:sz w:val="24"/>
          <w:szCs w:val="24"/>
        </w:rPr>
        <w:t>污染影响类</w:t>
      </w:r>
      <w:r>
        <w:rPr>
          <w:rFonts w:hint="eastAsia" w:ascii="Times New Roman" w:hAnsi="Times New Roman" w:eastAsia="仿宋_GB2312" w:cs="Times New Roman"/>
          <w:color w:val="auto"/>
          <w:spacing w:val="0"/>
          <w:kern w:val="0"/>
          <w:position w:val="0"/>
          <w:sz w:val="24"/>
          <w:szCs w:val="24"/>
          <w:lang w:eastAsia="zh-CN"/>
        </w:rPr>
        <w:t>）（</w:t>
      </w:r>
      <w:r>
        <w:rPr>
          <w:rFonts w:hint="default" w:ascii="Times New Roman" w:hAnsi="Times New Roman" w:eastAsia="仿宋_GB2312" w:cs="Times New Roman"/>
          <w:color w:val="auto"/>
          <w:spacing w:val="0"/>
          <w:kern w:val="0"/>
          <w:position w:val="0"/>
          <w:sz w:val="24"/>
          <w:szCs w:val="24"/>
        </w:rPr>
        <w:t>试行</w:t>
      </w:r>
      <w:r>
        <w:rPr>
          <w:rFonts w:hint="eastAsia" w:ascii="Times New Roman" w:hAnsi="Times New Roman" w:eastAsia="仿宋_GB2312" w:cs="Times New Roman"/>
          <w:color w:val="auto"/>
          <w:spacing w:val="0"/>
          <w:kern w:val="0"/>
          <w:position w:val="0"/>
          <w:sz w:val="24"/>
          <w:szCs w:val="24"/>
          <w:lang w:eastAsia="zh-CN"/>
        </w:rPr>
        <w:t>）</w:t>
      </w:r>
      <w:r>
        <w:rPr>
          <w:rFonts w:hint="default" w:ascii="Times New Roman" w:hAnsi="Times New Roman" w:eastAsia="仿宋_GB2312" w:cs="Times New Roman"/>
          <w:color w:val="auto"/>
          <w:spacing w:val="0"/>
          <w:kern w:val="0"/>
          <w:position w:val="0"/>
          <w:sz w:val="24"/>
          <w:szCs w:val="24"/>
        </w:rPr>
        <w:t>》</w:t>
      </w:r>
      <w:r>
        <w:rPr>
          <w:rFonts w:hint="eastAsia" w:ascii="Times New Roman" w:hAnsi="Times New Roman" w:eastAsia="仿宋_GB2312" w:cs="Times New Roman"/>
          <w:color w:val="auto"/>
          <w:spacing w:val="0"/>
          <w:kern w:val="0"/>
          <w:position w:val="0"/>
          <w:sz w:val="24"/>
          <w:szCs w:val="24"/>
          <w:lang w:eastAsia="zh-CN"/>
        </w:rPr>
        <w:t>（</w:t>
      </w:r>
      <w:r>
        <w:rPr>
          <w:rFonts w:hint="default" w:ascii="Times New Roman" w:hAnsi="Times New Roman" w:eastAsia="仿宋_GB2312" w:cs="Times New Roman"/>
          <w:color w:val="auto"/>
          <w:spacing w:val="0"/>
          <w:kern w:val="0"/>
          <w:position w:val="0"/>
          <w:sz w:val="24"/>
          <w:szCs w:val="24"/>
        </w:rPr>
        <w:t>环办环评[2020]33号</w:t>
      </w:r>
      <w:r>
        <w:rPr>
          <w:rFonts w:hint="eastAsia" w:ascii="Times New Roman" w:hAnsi="Times New Roman" w:eastAsia="仿宋_GB2312" w:cs="Times New Roman"/>
          <w:color w:val="auto"/>
          <w:spacing w:val="0"/>
          <w:kern w:val="0"/>
          <w:position w:val="0"/>
          <w:sz w:val="24"/>
          <w:szCs w:val="24"/>
          <w:lang w:eastAsia="zh-CN"/>
        </w:rPr>
        <w:t>）</w:t>
      </w:r>
      <w:r>
        <w:rPr>
          <w:rFonts w:hint="default" w:ascii="Times New Roman" w:hAnsi="Times New Roman" w:eastAsia="仿宋_GB2312" w:cs="Times New Roman"/>
          <w:color w:val="auto"/>
          <w:spacing w:val="0"/>
          <w:kern w:val="0"/>
          <w:position w:val="0"/>
          <w:sz w:val="24"/>
          <w:szCs w:val="24"/>
        </w:rPr>
        <w:t>，建设项目产生的环境影响需要深入论证的，应按照环境影响评价相关技术导则开展专项评价工作。根据建设项目排污情况及所涉及的环境敏感程度，确定专项评价类别，具体见表1</w:t>
      </w:r>
      <w:r>
        <w:rPr>
          <w:rFonts w:hint="eastAsia" w:ascii="Times New Roman" w:hAnsi="Times New Roman" w:eastAsia="仿宋_GB2312" w:cs="Times New Roman"/>
          <w:color w:val="auto"/>
          <w:spacing w:val="0"/>
          <w:kern w:val="0"/>
          <w:position w:val="0"/>
          <w:sz w:val="24"/>
          <w:szCs w:val="24"/>
          <w:lang w:val="en-US" w:eastAsia="zh-CN"/>
        </w:rPr>
        <w:t>.1</w:t>
      </w:r>
      <w:r>
        <w:rPr>
          <w:rFonts w:hint="default" w:ascii="Times New Roman" w:hAnsi="Times New Roman" w:eastAsia="仿宋_GB2312" w:cs="Times New Roman"/>
          <w:color w:val="auto"/>
          <w:spacing w:val="0"/>
          <w:kern w:val="0"/>
          <w:position w:val="0"/>
          <w:sz w:val="24"/>
          <w:szCs w:val="24"/>
        </w:rPr>
        <w:t>-1。</w:t>
      </w:r>
    </w:p>
    <w:p w14:paraId="08DB4CD4">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
          <w:bCs/>
          <w:color w:val="auto"/>
          <w:spacing w:val="0"/>
          <w:kern w:val="0"/>
          <w:position w:val="0"/>
          <w:sz w:val="24"/>
          <w:szCs w:val="24"/>
        </w:rPr>
      </w:pPr>
      <w:r>
        <w:rPr>
          <w:rFonts w:hint="default" w:ascii="Times New Roman" w:hAnsi="Times New Roman" w:eastAsia="仿宋_GB2312" w:cs="Times New Roman"/>
          <w:b/>
          <w:bCs/>
          <w:color w:val="auto"/>
          <w:spacing w:val="0"/>
          <w:kern w:val="0"/>
          <w:position w:val="0"/>
          <w:sz w:val="24"/>
          <w:szCs w:val="24"/>
        </w:rPr>
        <w:t>表1</w:t>
      </w:r>
      <w:r>
        <w:rPr>
          <w:rFonts w:hint="eastAsia" w:ascii="Times New Roman" w:hAnsi="Times New Roman" w:eastAsia="仿宋_GB2312" w:cs="Times New Roman"/>
          <w:b/>
          <w:bCs/>
          <w:color w:val="auto"/>
          <w:spacing w:val="0"/>
          <w:kern w:val="0"/>
          <w:position w:val="0"/>
          <w:sz w:val="24"/>
          <w:szCs w:val="24"/>
          <w:lang w:val="en-US" w:eastAsia="zh-CN"/>
        </w:rPr>
        <w:t>.1</w:t>
      </w:r>
      <w:r>
        <w:rPr>
          <w:rFonts w:hint="default" w:ascii="Times New Roman" w:hAnsi="Times New Roman" w:eastAsia="仿宋_GB2312" w:cs="Times New Roman"/>
          <w:b/>
          <w:bCs/>
          <w:color w:val="auto"/>
          <w:spacing w:val="0"/>
          <w:kern w:val="0"/>
          <w:position w:val="0"/>
          <w:sz w:val="24"/>
          <w:szCs w:val="24"/>
        </w:rPr>
        <w:t>-1  专项评价设置原则表</w:t>
      </w:r>
    </w:p>
    <w:tbl>
      <w:tblPr>
        <w:tblStyle w:val="98"/>
        <w:tblW w:w="5018"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1337"/>
        <w:gridCol w:w="4927"/>
        <w:gridCol w:w="2841"/>
      </w:tblGrid>
      <w:tr w14:paraId="6757946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74" w:hRule="atLeast"/>
          <w:jc w:val="center"/>
        </w:trPr>
        <w:tc>
          <w:tcPr>
            <w:tcW w:w="1224" w:type="dxa"/>
            <w:tcBorders>
              <w:tl2br w:val="nil"/>
              <w:tr2bl w:val="nil"/>
            </w:tcBorders>
            <w:noWrap w:val="0"/>
            <w:vAlign w:val="center"/>
          </w:tcPr>
          <w:p w14:paraId="6723FFF4">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
                <w:bCs/>
                <w:color w:val="auto"/>
                <w:spacing w:val="0"/>
                <w:kern w:val="0"/>
                <w:position w:val="0"/>
                <w:sz w:val="21"/>
                <w:szCs w:val="21"/>
              </w:rPr>
            </w:pPr>
            <w:r>
              <w:rPr>
                <w:rFonts w:hint="default" w:ascii="Times New Roman" w:hAnsi="Times New Roman" w:eastAsia="仿宋_GB2312" w:cs="Times New Roman"/>
                <w:b/>
                <w:bCs/>
                <w:color w:val="auto"/>
                <w:spacing w:val="0"/>
                <w:kern w:val="0"/>
                <w:position w:val="0"/>
                <w:sz w:val="21"/>
                <w:szCs w:val="21"/>
              </w:rPr>
              <w:t>专项评价类别</w:t>
            </w:r>
          </w:p>
        </w:tc>
        <w:tc>
          <w:tcPr>
            <w:tcW w:w="4511" w:type="dxa"/>
            <w:tcBorders>
              <w:tl2br w:val="nil"/>
              <w:tr2bl w:val="nil"/>
            </w:tcBorders>
            <w:noWrap w:val="0"/>
            <w:vAlign w:val="center"/>
          </w:tcPr>
          <w:p w14:paraId="07C0C717">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
                <w:bCs/>
                <w:color w:val="auto"/>
                <w:spacing w:val="0"/>
                <w:kern w:val="0"/>
                <w:position w:val="0"/>
                <w:sz w:val="21"/>
                <w:szCs w:val="21"/>
              </w:rPr>
            </w:pPr>
            <w:r>
              <w:rPr>
                <w:rFonts w:hint="default" w:ascii="Times New Roman" w:hAnsi="Times New Roman" w:eastAsia="仿宋_GB2312" w:cs="Times New Roman"/>
                <w:b/>
                <w:bCs/>
                <w:color w:val="auto"/>
                <w:spacing w:val="0"/>
                <w:kern w:val="0"/>
                <w:position w:val="0"/>
                <w:sz w:val="21"/>
                <w:szCs w:val="21"/>
              </w:rPr>
              <w:t>设置原则</w:t>
            </w:r>
          </w:p>
        </w:tc>
        <w:tc>
          <w:tcPr>
            <w:tcW w:w="2601" w:type="dxa"/>
            <w:tcBorders>
              <w:tl2br w:val="nil"/>
              <w:tr2bl w:val="nil"/>
            </w:tcBorders>
            <w:noWrap w:val="0"/>
            <w:vAlign w:val="center"/>
          </w:tcPr>
          <w:p w14:paraId="18BF16C5">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
                <w:bCs/>
                <w:color w:val="auto"/>
                <w:spacing w:val="0"/>
                <w:kern w:val="0"/>
                <w:position w:val="0"/>
                <w:sz w:val="21"/>
                <w:szCs w:val="21"/>
              </w:rPr>
            </w:pPr>
            <w:r>
              <w:rPr>
                <w:rFonts w:hint="default" w:ascii="Times New Roman" w:hAnsi="Times New Roman" w:eastAsia="仿宋_GB2312" w:cs="Times New Roman"/>
                <w:b/>
                <w:bCs/>
                <w:color w:val="auto"/>
                <w:spacing w:val="0"/>
                <w:kern w:val="0"/>
                <w:position w:val="0"/>
                <w:sz w:val="21"/>
                <w:szCs w:val="21"/>
              </w:rPr>
              <w:t>本项目设置情况</w:t>
            </w:r>
          </w:p>
        </w:tc>
      </w:tr>
      <w:tr w14:paraId="137E04B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820" w:hRule="atLeast"/>
          <w:jc w:val="center"/>
        </w:trPr>
        <w:tc>
          <w:tcPr>
            <w:tcW w:w="1224" w:type="dxa"/>
            <w:tcBorders>
              <w:tl2br w:val="nil"/>
              <w:tr2bl w:val="nil"/>
            </w:tcBorders>
            <w:noWrap w:val="0"/>
            <w:vAlign w:val="center"/>
          </w:tcPr>
          <w:p w14:paraId="679AA9B6">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大气</w:t>
            </w:r>
          </w:p>
        </w:tc>
        <w:tc>
          <w:tcPr>
            <w:tcW w:w="4511" w:type="dxa"/>
            <w:tcBorders>
              <w:tl2br w:val="nil"/>
              <w:tr2bl w:val="nil"/>
            </w:tcBorders>
            <w:noWrap w:val="0"/>
            <w:vAlign w:val="center"/>
          </w:tcPr>
          <w:p w14:paraId="2D149D40">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排放废气含有毒有害污染物、二噁英、苯并[a]芘、氰化物、氯气且厂界外500米范围内有环境空气保护目标2的建设项目</w:t>
            </w:r>
          </w:p>
        </w:tc>
        <w:tc>
          <w:tcPr>
            <w:tcW w:w="2601" w:type="dxa"/>
            <w:tcBorders>
              <w:tl2br w:val="nil"/>
              <w:tr2bl w:val="nil"/>
            </w:tcBorders>
            <w:noWrap w:val="0"/>
            <w:vAlign w:val="center"/>
          </w:tcPr>
          <w:p w14:paraId="5CA72F70">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不涉及</w:t>
            </w:r>
          </w:p>
        </w:tc>
      </w:tr>
      <w:tr w14:paraId="39C5B3E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693" w:hRule="atLeast"/>
          <w:jc w:val="center"/>
        </w:trPr>
        <w:tc>
          <w:tcPr>
            <w:tcW w:w="1224" w:type="dxa"/>
            <w:tcBorders>
              <w:tl2br w:val="nil"/>
              <w:tr2bl w:val="nil"/>
            </w:tcBorders>
            <w:noWrap w:val="0"/>
            <w:vAlign w:val="center"/>
          </w:tcPr>
          <w:p w14:paraId="7171B46F">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地表水</w:t>
            </w:r>
          </w:p>
        </w:tc>
        <w:tc>
          <w:tcPr>
            <w:tcW w:w="4511" w:type="dxa"/>
            <w:tcBorders>
              <w:tl2br w:val="nil"/>
              <w:tr2bl w:val="nil"/>
            </w:tcBorders>
            <w:noWrap w:val="0"/>
            <w:vAlign w:val="center"/>
          </w:tcPr>
          <w:p w14:paraId="33037134">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新增工业废水直排建设项目</w:t>
            </w:r>
            <w:r>
              <w:rPr>
                <w:rFonts w:hint="eastAsia" w:ascii="Times New Roman" w:hAnsi="Times New Roman" w:eastAsia="仿宋_GB2312" w:cs="Times New Roman"/>
                <w:color w:val="auto"/>
                <w:spacing w:val="0"/>
                <w:kern w:val="0"/>
                <w:position w:val="0"/>
                <w:sz w:val="21"/>
                <w:szCs w:val="21"/>
                <w:lang w:eastAsia="zh-CN"/>
              </w:rPr>
              <w:t>（</w:t>
            </w:r>
            <w:r>
              <w:rPr>
                <w:rFonts w:hint="default" w:ascii="Times New Roman" w:hAnsi="Times New Roman" w:eastAsia="仿宋_GB2312" w:cs="Times New Roman"/>
                <w:color w:val="auto"/>
                <w:spacing w:val="0"/>
                <w:kern w:val="0"/>
                <w:position w:val="0"/>
                <w:sz w:val="21"/>
                <w:szCs w:val="21"/>
              </w:rPr>
              <w:t>槽罐车外送污水处理厂的除外</w:t>
            </w:r>
            <w:r>
              <w:rPr>
                <w:rFonts w:hint="eastAsia" w:ascii="Times New Roman" w:hAnsi="Times New Roman" w:eastAsia="仿宋_GB2312" w:cs="Times New Roman"/>
                <w:color w:val="auto"/>
                <w:spacing w:val="0"/>
                <w:kern w:val="0"/>
                <w:position w:val="0"/>
                <w:sz w:val="21"/>
                <w:szCs w:val="21"/>
                <w:lang w:eastAsia="zh-CN"/>
              </w:rPr>
              <w:t>）</w:t>
            </w:r>
            <w:r>
              <w:rPr>
                <w:rFonts w:hint="default" w:ascii="Times New Roman" w:hAnsi="Times New Roman" w:eastAsia="仿宋_GB2312" w:cs="Times New Roman"/>
                <w:color w:val="auto"/>
                <w:spacing w:val="0"/>
                <w:kern w:val="0"/>
                <w:position w:val="0"/>
                <w:sz w:val="21"/>
                <w:szCs w:val="21"/>
              </w:rPr>
              <w:t>；新增废水直排的污水集中处理厂</w:t>
            </w:r>
          </w:p>
        </w:tc>
        <w:tc>
          <w:tcPr>
            <w:tcW w:w="2601" w:type="dxa"/>
            <w:tcBorders>
              <w:tl2br w:val="nil"/>
              <w:tr2bl w:val="nil"/>
            </w:tcBorders>
            <w:noWrap w:val="0"/>
            <w:vAlign w:val="center"/>
          </w:tcPr>
          <w:p w14:paraId="6357C307">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不涉及</w:t>
            </w:r>
          </w:p>
        </w:tc>
      </w:tr>
      <w:tr w14:paraId="1A41DB8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71" w:hRule="atLeast"/>
          <w:jc w:val="center"/>
        </w:trPr>
        <w:tc>
          <w:tcPr>
            <w:tcW w:w="1224" w:type="dxa"/>
            <w:tcBorders>
              <w:tl2br w:val="nil"/>
              <w:tr2bl w:val="nil"/>
            </w:tcBorders>
            <w:shd w:val="clear" w:color="auto" w:fill="BEBEBE"/>
            <w:noWrap w:val="0"/>
            <w:vAlign w:val="center"/>
          </w:tcPr>
          <w:p w14:paraId="5AAE8D99">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环境风险</w:t>
            </w:r>
          </w:p>
        </w:tc>
        <w:tc>
          <w:tcPr>
            <w:tcW w:w="4511" w:type="dxa"/>
            <w:tcBorders>
              <w:tl2br w:val="nil"/>
              <w:tr2bl w:val="nil"/>
            </w:tcBorders>
            <w:shd w:val="clear" w:color="auto" w:fill="BEBEBE"/>
            <w:noWrap w:val="0"/>
            <w:vAlign w:val="center"/>
          </w:tcPr>
          <w:p w14:paraId="767D87F2">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有毒有害和易燃易爆危险物质存储量超过临界量的建设项目</w:t>
            </w:r>
          </w:p>
        </w:tc>
        <w:tc>
          <w:tcPr>
            <w:tcW w:w="2601" w:type="dxa"/>
            <w:tcBorders>
              <w:tl2br w:val="nil"/>
              <w:tr2bl w:val="nil"/>
            </w:tcBorders>
            <w:shd w:val="clear" w:color="auto" w:fill="BEBEBE"/>
            <w:noWrap w:val="0"/>
            <w:vAlign w:val="center"/>
          </w:tcPr>
          <w:p w14:paraId="0617252A">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危险物质存储量超过临界量，设置环境风险专项评价</w:t>
            </w:r>
          </w:p>
        </w:tc>
      </w:tr>
      <w:tr w14:paraId="73F1C23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71" w:hRule="atLeast"/>
          <w:jc w:val="center"/>
        </w:trPr>
        <w:tc>
          <w:tcPr>
            <w:tcW w:w="1224" w:type="dxa"/>
            <w:tcBorders>
              <w:tl2br w:val="nil"/>
              <w:tr2bl w:val="nil"/>
            </w:tcBorders>
            <w:noWrap w:val="0"/>
            <w:vAlign w:val="center"/>
          </w:tcPr>
          <w:p w14:paraId="5CC017E1">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生态</w:t>
            </w:r>
          </w:p>
        </w:tc>
        <w:tc>
          <w:tcPr>
            <w:tcW w:w="4511" w:type="dxa"/>
            <w:tcBorders>
              <w:tl2br w:val="nil"/>
              <w:tr2bl w:val="nil"/>
            </w:tcBorders>
            <w:noWrap w:val="0"/>
            <w:vAlign w:val="center"/>
          </w:tcPr>
          <w:p w14:paraId="591C3176">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取水口下游500米范围内有重要水生生物的自然产卵场、索饵场、越冬场和洄游通道的新增河道取水的污染类建设项目</w:t>
            </w:r>
          </w:p>
        </w:tc>
        <w:tc>
          <w:tcPr>
            <w:tcW w:w="2601" w:type="dxa"/>
            <w:tcBorders>
              <w:tl2br w:val="nil"/>
              <w:tr2bl w:val="nil"/>
            </w:tcBorders>
            <w:noWrap w:val="0"/>
            <w:vAlign w:val="center"/>
          </w:tcPr>
          <w:p w14:paraId="406B1BF2">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不涉及</w:t>
            </w:r>
          </w:p>
        </w:tc>
      </w:tr>
      <w:tr w14:paraId="615DE01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73" w:hRule="atLeast"/>
          <w:jc w:val="center"/>
        </w:trPr>
        <w:tc>
          <w:tcPr>
            <w:tcW w:w="1224" w:type="dxa"/>
            <w:tcBorders>
              <w:tl2br w:val="nil"/>
              <w:tr2bl w:val="nil"/>
            </w:tcBorders>
            <w:noWrap w:val="0"/>
            <w:vAlign w:val="center"/>
          </w:tcPr>
          <w:p w14:paraId="7C04F523">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海洋</w:t>
            </w:r>
          </w:p>
        </w:tc>
        <w:tc>
          <w:tcPr>
            <w:tcW w:w="4511" w:type="dxa"/>
            <w:tcBorders>
              <w:tl2br w:val="nil"/>
              <w:tr2bl w:val="nil"/>
            </w:tcBorders>
            <w:noWrap w:val="0"/>
            <w:vAlign w:val="center"/>
          </w:tcPr>
          <w:p w14:paraId="77606AF6">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直接向海排放污染物的海洋工程建设项目</w:t>
            </w:r>
          </w:p>
        </w:tc>
        <w:tc>
          <w:tcPr>
            <w:tcW w:w="2601" w:type="dxa"/>
            <w:tcBorders>
              <w:tl2br w:val="nil"/>
              <w:tr2bl w:val="nil"/>
            </w:tcBorders>
            <w:noWrap w:val="0"/>
            <w:vAlign w:val="center"/>
          </w:tcPr>
          <w:p w14:paraId="35EB9940">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不涉及</w:t>
            </w:r>
          </w:p>
        </w:tc>
      </w:tr>
    </w:tbl>
    <w:p w14:paraId="40B97943">
      <w:pPr>
        <w:keepNext w:val="0"/>
        <w:keepLines w:val="0"/>
        <w:pageBreakBefore w:val="0"/>
        <w:kinsoku/>
        <w:wordWrap/>
        <w:overflowPunct/>
        <w:topLinePunct w:val="0"/>
        <w:bidi w:val="0"/>
        <w:adjustRightInd w:val="0"/>
        <w:snapToGrid w:val="0"/>
        <w:spacing w:beforeAutospacing="0" w:afterAutospacing="0" w:line="500" w:lineRule="exact"/>
        <w:ind w:left="0" w:leftChars="0" w:right="0" w:firstLine="480" w:firstLineChars="200"/>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根据编制技术指南的要求，本项目应按照《建设项目环境风险评价技术导则》 (HJ169-2018) 的有关要求开展环境风险专项评价。</w:t>
      </w:r>
    </w:p>
    <w:p w14:paraId="0AD09EE3">
      <w:pPr>
        <w:pStyle w:val="4"/>
        <w:keepNext/>
        <w:keepLines w:val="0"/>
        <w:pageBreakBefore w:val="0"/>
        <w:widowControl w:val="0"/>
        <w:kinsoku/>
        <w:wordWrap/>
        <w:overflowPunct w:val="0"/>
        <w:topLinePunct w:val="0"/>
        <w:autoSpaceDE/>
        <w:autoSpaceDN/>
        <w:bidi w:val="0"/>
        <w:adjustRightInd/>
        <w:snapToGrid w:val="0"/>
        <w:spacing w:before="0" w:line="500" w:lineRule="exact"/>
        <w:ind w:left="0" w:right="0" w:firstLine="0" w:firstLineChars="0"/>
        <w:jc w:val="both"/>
        <w:textAlignment w:val="auto"/>
        <w:outlineLvl w:val="1"/>
        <w:rPr>
          <w:rFonts w:hint="default" w:ascii="Times New Roman" w:hAnsi="Times New Roman" w:eastAsia="仿宋_GB2312" w:cs="Times New Roman"/>
          <w:b/>
          <w:bCs/>
          <w:sz w:val="24"/>
          <w:szCs w:val="24"/>
          <w:lang w:val="en-US" w:eastAsia="zh-CN"/>
        </w:rPr>
      </w:pPr>
      <w:bookmarkStart w:id="81" w:name="_Toc12280"/>
      <w:bookmarkStart w:id="82" w:name="_Toc9830"/>
      <w:bookmarkStart w:id="83" w:name="_Toc13884"/>
      <w:bookmarkStart w:id="84" w:name="_Toc18540"/>
      <w:r>
        <w:rPr>
          <w:rFonts w:hint="default" w:ascii="Times New Roman" w:hAnsi="Times New Roman" w:eastAsia="仿宋_GB2312" w:cs="Times New Roman"/>
          <w:b/>
          <w:bCs/>
          <w:sz w:val="24"/>
          <w:szCs w:val="24"/>
          <w:lang w:val="en-US" w:eastAsia="zh-CN"/>
        </w:rPr>
        <w:t>1.1 国家法规及政策</w:t>
      </w:r>
      <w:bookmarkEnd w:id="81"/>
      <w:bookmarkEnd w:id="82"/>
      <w:bookmarkEnd w:id="83"/>
      <w:bookmarkEnd w:id="84"/>
    </w:p>
    <w:p w14:paraId="44D862A6">
      <w:pPr>
        <w:keepNext w:val="0"/>
        <w:keepLines w:val="0"/>
        <w:pageBreakBefore w:val="0"/>
        <w:kinsoku/>
        <w:wordWrap/>
        <w:overflowPunct/>
        <w:topLinePunct w:val="0"/>
        <w:bidi w:val="0"/>
        <w:adjustRightInd w:val="0"/>
        <w:snapToGrid w:val="0"/>
        <w:spacing w:beforeAutospacing="0" w:afterAutospacing="0" w:line="500" w:lineRule="exact"/>
        <w:ind w:left="0" w:leftChars="0" w:right="0" w:firstLine="480" w:firstLineChars="200"/>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（1）《中华人民共和国环境保护法》（国家主席令第 9 号），2014.4.24通过，2015.1.1施行；</w:t>
      </w:r>
    </w:p>
    <w:p w14:paraId="78E9EC87">
      <w:pPr>
        <w:keepNext w:val="0"/>
        <w:keepLines w:val="0"/>
        <w:pageBreakBefore w:val="0"/>
        <w:kinsoku/>
        <w:wordWrap/>
        <w:overflowPunct/>
        <w:topLinePunct w:val="0"/>
        <w:bidi w:val="0"/>
        <w:adjustRightInd w:val="0"/>
        <w:snapToGrid w:val="0"/>
        <w:spacing w:beforeAutospacing="0" w:afterAutospacing="0" w:line="500" w:lineRule="exact"/>
        <w:ind w:left="0" w:leftChars="0" w:right="0" w:firstLine="480" w:firstLineChars="200"/>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（2）《中华人民共和国环境影响评价法》，2018年修订，</w:t>
      </w:r>
      <w:r>
        <w:rPr>
          <w:rFonts w:hint="default" w:ascii="Times New Roman" w:hAnsi="Times New Roman" w:eastAsia="仿宋_GB2312" w:cs="Times New Roman"/>
          <w:color w:val="auto"/>
          <w:spacing w:val="0"/>
          <w:kern w:val="0"/>
          <w:position w:val="0"/>
          <w:sz w:val="24"/>
          <w:szCs w:val="24"/>
          <w:lang w:val="en-US" w:eastAsia="zh-CN"/>
        </w:rPr>
        <w:t>2018</w:t>
      </w:r>
      <w:r>
        <w:rPr>
          <w:rFonts w:hint="default" w:ascii="Times New Roman" w:hAnsi="Times New Roman" w:eastAsia="仿宋_GB2312" w:cs="Times New Roman"/>
          <w:color w:val="auto"/>
          <w:spacing w:val="0"/>
          <w:kern w:val="0"/>
          <w:position w:val="0"/>
          <w:sz w:val="24"/>
          <w:szCs w:val="24"/>
        </w:rPr>
        <w:t>年</w:t>
      </w:r>
      <w:r>
        <w:rPr>
          <w:rFonts w:hint="default" w:ascii="Times New Roman" w:hAnsi="Times New Roman" w:eastAsia="仿宋_GB2312" w:cs="Times New Roman"/>
          <w:color w:val="auto"/>
          <w:spacing w:val="0"/>
          <w:kern w:val="0"/>
          <w:position w:val="0"/>
          <w:sz w:val="24"/>
          <w:szCs w:val="24"/>
          <w:lang w:val="en-US" w:eastAsia="zh-CN"/>
        </w:rPr>
        <w:t>10</w:t>
      </w:r>
      <w:r>
        <w:rPr>
          <w:rFonts w:hint="default" w:ascii="Times New Roman" w:hAnsi="Times New Roman" w:eastAsia="仿宋_GB2312" w:cs="Times New Roman"/>
          <w:color w:val="auto"/>
          <w:spacing w:val="0"/>
          <w:kern w:val="0"/>
          <w:position w:val="0"/>
          <w:sz w:val="24"/>
          <w:szCs w:val="24"/>
        </w:rPr>
        <w:t xml:space="preserve"> 月</w:t>
      </w:r>
      <w:r>
        <w:rPr>
          <w:rFonts w:hint="default" w:ascii="Times New Roman" w:hAnsi="Times New Roman" w:eastAsia="仿宋_GB2312" w:cs="Times New Roman"/>
          <w:color w:val="auto"/>
          <w:spacing w:val="0"/>
          <w:kern w:val="0"/>
          <w:position w:val="0"/>
          <w:sz w:val="24"/>
          <w:szCs w:val="24"/>
          <w:lang w:val="en-US" w:eastAsia="zh-CN"/>
        </w:rPr>
        <w:t>29</w:t>
      </w:r>
      <w:r>
        <w:rPr>
          <w:rFonts w:hint="default" w:ascii="Times New Roman" w:hAnsi="Times New Roman" w:eastAsia="仿宋_GB2312" w:cs="Times New Roman"/>
          <w:color w:val="auto"/>
          <w:spacing w:val="0"/>
          <w:kern w:val="0"/>
          <w:position w:val="0"/>
          <w:sz w:val="24"/>
          <w:szCs w:val="24"/>
        </w:rPr>
        <w:t>日起实行；</w:t>
      </w:r>
    </w:p>
    <w:p w14:paraId="4F931550">
      <w:pPr>
        <w:keepNext w:val="0"/>
        <w:keepLines w:val="0"/>
        <w:pageBreakBefore w:val="0"/>
        <w:kinsoku/>
        <w:wordWrap/>
        <w:overflowPunct/>
        <w:topLinePunct w:val="0"/>
        <w:bidi w:val="0"/>
        <w:adjustRightInd w:val="0"/>
        <w:snapToGrid w:val="0"/>
        <w:spacing w:beforeAutospacing="0" w:afterAutospacing="0" w:line="500" w:lineRule="exact"/>
        <w:ind w:left="0" w:leftChars="0" w:right="0" w:firstLine="480" w:firstLineChars="200"/>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（3）《建设项目环境保护管理条例》，国务院令第 682 号，2017年</w:t>
      </w:r>
      <w:r>
        <w:rPr>
          <w:rFonts w:hint="default" w:ascii="Times New Roman" w:hAnsi="Times New Roman" w:eastAsia="仿宋_GB2312" w:cs="Times New Roman"/>
          <w:color w:val="auto"/>
          <w:spacing w:val="0"/>
          <w:kern w:val="0"/>
          <w:position w:val="0"/>
          <w:sz w:val="24"/>
          <w:szCs w:val="24"/>
          <w:lang w:val="en-US" w:eastAsia="zh-CN"/>
        </w:rPr>
        <w:t>10</w:t>
      </w:r>
      <w:r>
        <w:rPr>
          <w:rFonts w:hint="default" w:ascii="Times New Roman" w:hAnsi="Times New Roman" w:eastAsia="仿宋_GB2312" w:cs="Times New Roman"/>
          <w:color w:val="auto"/>
          <w:spacing w:val="0"/>
          <w:kern w:val="0"/>
          <w:position w:val="0"/>
          <w:sz w:val="24"/>
          <w:szCs w:val="24"/>
        </w:rPr>
        <w:t>月</w:t>
      </w:r>
      <w:r>
        <w:rPr>
          <w:rFonts w:hint="default" w:ascii="Times New Roman" w:hAnsi="Times New Roman" w:eastAsia="仿宋_GB2312" w:cs="Times New Roman"/>
          <w:color w:val="auto"/>
          <w:spacing w:val="0"/>
          <w:kern w:val="0"/>
          <w:position w:val="0"/>
          <w:sz w:val="24"/>
          <w:szCs w:val="24"/>
          <w:lang w:val="en-US" w:eastAsia="zh-CN"/>
        </w:rPr>
        <w:t>1</w:t>
      </w:r>
      <w:r>
        <w:rPr>
          <w:rFonts w:hint="default" w:ascii="Times New Roman" w:hAnsi="Times New Roman" w:eastAsia="仿宋_GB2312" w:cs="Times New Roman"/>
          <w:color w:val="auto"/>
          <w:spacing w:val="0"/>
          <w:kern w:val="0"/>
          <w:position w:val="0"/>
          <w:sz w:val="24"/>
          <w:szCs w:val="24"/>
        </w:rPr>
        <w:t>日起实施；</w:t>
      </w:r>
    </w:p>
    <w:p w14:paraId="35BFE239">
      <w:pPr>
        <w:keepNext w:val="0"/>
        <w:keepLines w:val="0"/>
        <w:pageBreakBefore w:val="0"/>
        <w:kinsoku/>
        <w:wordWrap/>
        <w:overflowPunct/>
        <w:topLinePunct w:val="0"/>
        <w:bidi w:val="0"/>
        <w:adjustRightInd w:val="0"/>
        <w:snapToGrid w:val="0"/>
        <w:spacing w:beforeAutospacing="0" w:afterAutospacing="0" w:line="500" w:lineRule="exact"/>
        <w:ind w:left="0" w:leftChars="0" w:right="0" w:firstLine="480" w:firstLineChars="200"/>
        <w:rPr>
          <w:rFonts w:hint="eastAsia" w:ascii="Times New Roman" w:hAnsi="Times New Roman" w:eastAsia="仿宋_GB2312" w:cs="Times New Roman"/>
          <w:color w:val="auto"/>
          <w:spacing w:val="0"/>
          <w:kern w:val="0"/>
          <w:position w:val="0"/>
          <w:sz w:val="24"/>
          <w:szCs w:val="24"/>
          <w:lang w:eastAsia="zh-CN"/>
        </w:rPr>
      </w:pPr>
      <w:r>
        <w:rPr>
          <w:rFonts w:hint="default" w:ascii="Times New Roman" w:hAnsi="Times New Roman" w:eastAsia="仿宋_GB2312" w:cs="Times New Roman"/>
          <w:color w:val="auto"/>
          <w:spacing w:val="0"/>
          <w:kern w:val="0"/>
          <w:position w:val="0"/>
          <w:sz w:val="24"/>
          <w:szCs w:val="24"/>
        </w:rPr>
        <w:t>（4）《建设项目环境影响评价分类管理名录》，（2021年版）</w:t>
      </w:r>
      <w:r>
        <w:rPr>
          <w:rFonts w:hint="eastAsia" w:ascii="Times New Roman" w:hAnsi="Times New Roman" w:eastAsia="仿宋_GB2312" w:cs="Times New Roman"/>
          <w:color w:val="auto"/>
          <w:spacing w:val="0"/>
          <w:kern w:val="0"/>
          <w:position w:val="0"/>
          <w:sz w:val="24"/>
          <w:szCs w:val="24"/>
          <w:lang w:eastAsia="zh-CN"/>
        </w:rPr>
        <w:t>。</w:t>
      </w:r>
    </w:p>
    <w:p w14:paraId="3F42C02D">
      <w:pPr>
        <w:pStyle w:val="4"/>
        <w:keepNext/>
        <w:keepLines w:val="0"/>
        <w:pageBreakBefore w:val="0"/>
        <w:widowControl w:val="0"/>
        <w:kinsoku/>
        <w:wordWrap/>
        <w:overflowPunct w:val="0"/>
        <w:topLinePunct w:val="0"/>
        <w:autoSpaceDE/>
        <w:autoSpaceDN/>
        <w:bidi w:val="0"/>
        <w:adjustRightInd/>
        <w:snapToGrid w:val="0"/>
        <w:spacing w:before="0" w:line="500" w:lineRule="exact"/>
        <w:ind w:left="0" w:right="0" w:firstLine="0" w:firstLineChars="0"/>
        <w:jc w:val="both"/>
        <w:textAlignment w:val="auto"/>
        <w:outlineLvl w:val="1"/>
        <w:rPr>
          <w:rFonts w:hint="default" w:ascii="Times New Roman" w:hAnsi="Times New Roman" w:eastAsia="仿宋_GB2312" w:cs="Times New Roman"/>
          <w:b/>
          <w:bCs/>
          <w:sz w:val="24"/>
          <w:szCs w:val="24"/>
          <w:lang w:val="en-US" w:eastAsia="zh-CN"/>
        </w:rPr>
      </w:pPr>
      <w:bookmarkStart w:id="85" w:name="_Toc15105"/>
      <w:bookmarkStart w:id="86" w:name="_Toc10550"/>
      <w:bookmarkStart w:id="87" w:name="_Toc31822"/>
      <w:bookmarkStart w:id="88" w:name="_Toc13343"/>
      <w:r>
        <w:rPr>
          <w:rFonts w:hint="default" w:ascii="Times New Roman" w:hAnsi="Times New Roman" w:eastAsia="仿宋_GB2312" w:cs="Times New Roman"/>
          <w:b/>
          <w:bCs/>
          <w:sz w:val="24"/>
          <w:szCs w:val="24"/>
          <w:lang w:val="en-US" w:eastAsia="zh-CN"/>
        </w:rPr>
        <w:t>1.2 地方法规及政策</w:t>
      </w:r>
      <w:bookmarkEnd w:id="85"/>
      <w:bookmarkEnd w:id="86"/>
      <w:bookmarkEnd w:id="87"/>
      <w:bookmarkEnd w:id="88"/>
    </w:p>
    <w:p w14:paraId="4729F4AB">
      <w:pPr>
        <w:keepNext w:val="0"/>
        <w:keepLines w:val="0"/>
        <w:pageBreakBefore w:val="0"/>
        <w:kinsoku/>
        <w:wordWrap/>
        <w:overflowPunct/>
        <w:topLinePunct w:val="0"/>
        <w:bidi w:val="0"/>
        <w:adjustRightInd w:val="0"/>
        <w:snapToGrid w:val="0"/>
        <w:spacing w:beforeAutospacing="0" w:afterAutospacing="0" w:line="500" w:lineRule="exact"/>
        <w:ind w:left="0" w:leftChars="0" w:right="0" w:firstLine="480" w:firstLineChars="200"/>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w:t>
      </w:r>
      <w:r>
        <w:rPr>
          <w:rFonts w:hint="default" w:ascii="Times New Roman" w:hAnsi="Times New Roman" w:eastAsia="仿宋_GB2312" w:cs="Times New Roman"/>
          <w:color w:val="auto"/>
          <w:spacing w:val="0"/>
          <w:kern w:val="0"/>
          <w:position w:val="0"/>
          <w:sz w:val="24"/>
          <w:szCs w:val="24"/>
          <w:lang w:val="en-US" w:eastAsia="zh-CN"/>
        </w:rPr>
        <w:t>1</w:t>
      </w:r>
      <w:r>
        <w:rPr>
          <w:rFonts w:hint="default" w:ascii="Times New Roman" w:hAnsi="Times New Roman" w:eastAsia="仿宋_GB2312" w:cs="Times New Roman"/>
          <w:color w:val="auto"/>
          <w:spacing w:val="0"/>
          <w:kern w:val="0"/>
          <w:position w:val="0"/>
          <w:sz w:val="24"/>
          <w:szCs w:val="24"/>
        </w:rPr>
        <w:t>）《</w:t>
      </w:r>
      <w:r>
        <w:rPr>
          <w:rFonts w:hint="default" w:ascii="Times New Roman" w:hAnsi="Times New Roman" w:eastAsia="仿宋_GB2312" w:cs="Times New Roman"/>
          <w:color w:val="auto"/>
          <w:spacing w:val="0"/>
          <w:kern w:val="0"/>
          <w:position w:val="0"/>
          <w:sz w:val="24"/>
          <w:szCs w:val="24"/>
          <w:lang w:val="en-US" w:eastAsia="zh-CN"/>
        </w:rPr>
        <w:t>省生态环境厅关于印发江苏省环境影响评价文件环境应急相关内容编制要点的通知</w:t>
      </w:r>
      <w:r>
        <w:rPr>
          <w:rFonts w:hint="default" w:ascii="Times New Roman" w:hAnsi="Times New Roman" w:eastAsia="仿宋_GB2312" w:cs="Times New Roman"/>
          <w:color w:val="auto"/>
          <w:spacing w:val="0"/>
          <w:kern w:val="0"/>
          <w:position w:val="0"/>
          <w:sz w:val="24"/>
          <w:szCs w:val="24"/>
        </w:rPr>
        <w:t>》，</w:t>
      </w:r>
      <w:r>
        <w:rPr>
          <w:rFonts w:hint="default" w:ascii="Times New Roman" w:hAnsi="Times New Roman" w:eastAsia="仿宋_GB2312" w:cs="Times New Roman"/>
          <w:color w:val="auto"/>
          <w:spacing w:val="0"/>
          <w:kern w:val="0"/>
          <w:position w:val="0"/>
          <w:sz w:val="24"/>
          <w:szCs w:val="24"/>
          <w:lang w:val="en-US" w:eastAsia="zh-CN"/>
        </w:rPr>
        <w:t>江苏省生态环境厅</w:t>
      </w:r>
      <w:r>
        <w:rPr>
          <w:rFonts w:hint="default" w:ascii="Times New Roman" w:hAnsi="Times New Roman" w:eastAsia="仿宋_GB2312" w:cs="Times New Roman"/>
          <w:color w:val="auto"/>
          <w:spacing w:val="0"/>
          <w:kern w:val="0"/>
          <w:position w:val="0"/>
          <w:sz w:val="24"/>
          <w:szCs w:val="24"/>
        </w:rPr>
        <w:t>，</w:t>
      </w:r>
      <w:r>
        <w:rPr>
          <w:rFonts w:hint="default" w:ascii="Times New Roman" w:hAnsi="Times New Roman" w:eastAsia="仿宋_GB2312" w:cs="Times New Roman"/>
          <w:color w:val="auto"/>
          <w:spacing w:val="0"/>
          <w:kern w:val="0"/>
          <w:position w:val="0"/>
          <w:sz w:val="24"/>
          <w:szCs w:val="24"/>
          <w:lang w:val="en-US" w:eastAsia="zh-CN"/>
        </w:rPr>
        <w:t>苏</w:t>
      </w:r>
      <w:r>
        <w:rPr>
          <w:rFonts w:hint="default" w:ascii="Times New Roman" w:hAnsi="Times New Roman" w:eastAsia="仿宋_GB2312" w:cs="Times New Roman"/>
          <w:color w:val="auto"/>
          <w:spacing w:val="0"/>
          <w:kern w:val="0"/>
          <w:position w:val="0"/>
          <w:sz w:val="24"/>
          <w:szCs w:val="24"/>
        </w:rPr>
        <w:t>环发[20</w:t>
      </w:r>
      <w:r>
        <w:rPr>
          <w:rFonts w:hint="default" w:ascii="Times New Roman" w:hAnsi="Times New Roman" w:eastAsia="仿宋_GB2312" w:cs="Times New Roman"/>
          <w:color w:val="auto"/>
          <w:spacing w:val="0"/>
          <w:kern w:val="0"/>
          <w:position w:val="0"/>
          <w:sz w:val="24"/>
          <w:szCs w:val="24"/>
          <w:lang w:val="en-US" w:eastAsia="zh-CN"/>
        </w:rPr>
        <w:t>22</w:t>
      </w:r>
      <w:r>
        <w:rPr>
          <w:rFonts w:hint="default" w:ascii="Times New Roman" w:hAnsi="Times New Roman" w:eastAsia="仿宋_GB2312" w:cs="Times New Roman"/>
          <w:color w:val="auto"/>
          <w:spacing w:val="0"/>
          <w:kern w:val="0"/>
          <w:position w:val="0"/>
          <w:sz w:val="24"/>
          <w:szCs w:val="24"/>
        </w:rPr>
        <w:t>]</w:t>
      </w:r>
      <w:r>
        <w:rPr>
          <w:rFonts w:hint="default" w:ascii="Times New Roman" w:hAnsi="Times New Roman" w:eastAsia="仿宋_GB2312" w:cs="Times New Roman"/>
          <w:color w:val="auto"/>
          <w:spacing w:val="0"/>
          <w:kern w:val="0"/>
          <w:position w:val="0"/>
          <w:sz w:val="24"/>
          <w:szCs w:val="24"/>
          <w:lang w:val="en-US" w:eastAsia="zh-CN"/>
        </w:rPr>
        <w:t>338</w:t>
      </w:r>
      <w:r>
        <w:rPr>
          <w:rFonts w:hint="default" w:ascii="Times New Roman" w:hAnsi="Times New Roman" w:eastAsia="仿宋_GB2312" w:cs="Times New Roman"/>
          <w:color w:val="auto"/>
          <w:spacing w:val="0"/>
          <w:kern w:val="0"/>
          <w:position w:val="0"/>
          <w:sz w:val="24"/>
          <w:szCs w:val="24"/>
        </w:rPr>
        <w:t>号。</w:t>
      </w:r>
    </w:p>
    <w:p w14:paraId="0CCD9602">
      <w:pPr>
        <w:pStyle w:val="4"/>
        <w:keepNext/>
        <w:keepLines w:val="0"/>
        <w:pageBreakBefore w:val="0"/>
        <w:widowControl w:val="0"/>
        <w:kinsoku/>
        <w:wordWrap/>
        <w:overflowPunct w:val="0"/>
        <w:topLinePunct w:val="0"/>
        <w:autoSpaceDE/>
        <w:autoSpaceDN/>
        <w:bidi w:val="0"/>
        <w:adjustRightInd/>
        <w:snapToGrid w:val="0"/>
        <w:spacing w:before="0" w:line="500" w:lineRule="exact"/>
        <w:ind w:left="0" w:right="0" w:firstLine="0" w:firstLineChars="0"/>
        <w:jc w:val="both"/>
        <w:textAlignment w:val="auto"/>
        <w:outlineLvl w:val="1"/>
        <w:rPr>
          <w:rFonts w:hint="default" w:ascii="Times New Roman" w:hAnsi="Times New Roman" w:eastAsia="仿宋_GB2312" w:cs="Times New Roman"/>
          <w:b/>
          <w:bCs/>
          <w:sz w:val="24"/>
          <w:szCs w:val="24"/>
          <w:lang w:val="en-US" w:eastAsia="zh-CN"/>
        </w:rPr>
      </w:pPr>
      <w:bookmarkStart w:id="89" w:name="_Toc14039"/>
      <w:bookmarkStart w:id="90" w:name="_Toc22066"/>
      <w:bookmarkStart w:id="91" w:name="_Toc15777"/>
      <w:bookmarkStart w:id="92" w:name="_Toc427"/>
      <w:r>
        <w:rPr>
          <w:rFonts w:hint="default" w:ascii="Times New Roman" w:hAnsi="Times New Roman" w:eastAsia="仿宋_GB2312" w:cs="Times New Roman"/>
          <w:b/>
          <w:bCs/>
          <w:sz w:val="24"/>
          <w:szCs w:val="24"/>
          <w:lang w:val="en-US" w:eastAsia="zh-CN"/>
        </w:rPr>
        <w:t>1.3 技术规范</w:t>
      </w:r>
      <w:bookmarkEnd w:id="89"/>
      <w:bookmarkEnd w:id="90"/>
      <w:bookmarkEnd w:id="91"/>
      <w:bookmarkEnd w:id="92"/>
    </w:p>
    <w:p w14:paraId="1275CB48">
      <w:pPr>
        <w:keepNext w:val="0"/>
        <w:keepLines w:val="0"/>
        <w:pageBreakBefore w:val="0"/>
        <w:kinsoku/>
        <w:wordWrap/>
        <w:overflowPunct/>
        <w:topLinePunct w:val="0"/>
        <w:bidi w:val="0"/>
        <w:adjustRightInd w:val="0"/>
        <w:snapToGrid w:val="0"/>
        <w:spacing w:beforeAutospacing="0" w:afterAutospacing="0" w:line="500" w:lineRule="exact"/>
        <w:ind w:left="0" w:leftChars="0" w:right="0" w:firstLine="480" w:firstLineChars="200"/>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w:t>
      </w:r>
      <w:r>
        <w:rPr>
          <w:rFonts w:hint="default" w:ascii="Times New Roman" w:hAnsi="Times New Roman" w:eastAsia="仿宋_GB2312" w:cs="Times New Roman"/>
          <w:color w:val="auto"/>
          <w:spacing w:val="0"/>
          <w:kern w:val="0"/>
          <w:position w:val="0"/>
          <w:sz w:val="24"/>
          <w:szCs w:val="24"/>
          <w:lang w:val="en-US" w:eastAsia="zh-CN"/>
        </w:rPr>
        <w:t>1</w:t>
      </w:r>
      <w:r>
        <w:rPr>
          <w:rFonts w:hint="default" w:ascii="Times New Roman" w:hAnsi="Times New Roman" w:eastAsia="仿宋_GB2312" w:cs="Times New Roman"/>
          <w:color w:val="auto"/>
          <w:spacing w:val="0"/>
          <w:kern w:val="0"/>
          <w:position w:val="0"/>
          <w:sz w:val="24"/>
          <w:szCs w:val="24"/>
        </w:rPr>
        <w:t>）《</w:t>
      </w:r>
      <w:r>
        <w:rPr>
          <w:rFonts w:hint="default" w:ascii="Times New Roman" w:hAnsi="Times New Roman" w:eastAsia="仿宋_GB2312" w:cs="Times New Roman"/>
          <w:color w:val="auto"/>
          <w:spacing w:val="0"/>
          <w:kern w:val="0"/>
          <w:position w:val="0"/>
          <w:sz w:val="24"/>
          <w:szCs w:val="24"/>
          <w:lang w:eastAsia="zh-CN"/>
        </w:rPr>
        <w:t>建设项目环境影响评价技术导则 总纲</w:t>
      </w:r>
      <w:r>
        <w:rPr>
          <w:rFonts w:hint="default" w:ascii="Times New Roman" w:hAnsi="Times New Roman" w:eastAsia="仿宋_GB2312" w:cs="Times New Roman"/>
          <w:color w:val="auto"/>
          <w:spacing w:val="0"/>
          <w:kern w:val="0"/>
          <w:position w:val="0"/>
          <w:sz w:val="24"/>
          <w:szCs w:val="24"/>
        </w:rPr>
        <w:t>》（HJ2.1-2016）；</w:t>
      </w:r>
    </w:p>
    <w:p w14:paraId="7F89015E">
      <w:pPr>
        <w:keepNext w:val="0"/>
        <w:keepLines w:val="0"/>
        <w:pageBreakBefore w:val="0"/>
        <w:kinsoku/>
        <w:wordWrap/>
        <w:overflowPunct/>
        <w:topLinePunct w:val="0"/>
        <w:bidi w:val="0"/>
        <w:adjustRightInd w:val="0"/>
        <w:snapToGrid w:val="0"/>
        <w:spacing w:beforeAutospacing="0" w:afterAutospacing="0" w:line="500" w:lineRule="exact"/>
        <w:ind w:left="0" w:leftChars="0" w:right="0" w:firstLine="480" w:firstLineChars="200"/>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（2）《建设项目环境风险评价技术导则》（HJ169-2018）；</w:t>
      </w:r>
    </w:p>
    <w:p w14:paraId="29E3277C">
      <w:pPr>
        <w:keepNext w:val="0"/>
        <w:keepLines w:val="0"/>
        <w:pageBreakBefore w:val="0"/>
        <w:kinsoku/>
        <w:wordWrap/>
        <w:overflowPunct/>
        <w:topLinePunct w:val="0"/>
        <w:bidi w:val="0"/>
        <w:adjustRightInd w:val="0"/>
        <w:snapToGrid w:val="0"/>
        <w:spacing w:beforeAutospacing="0" w:afterAutospacing="0" w:line="500" w:lineRule="exact"/>
        <w:ind w:left="0" w:leftChars="0" w:right="0" w:firstLine="480" w:firstLineChars="200"/>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（3）《建设项目环境影响报告表编制技术指南（污染影响类）（试行）》。</w:t>
      </w:r>
    </w:p>
    <w:p w14:paraId="1628F48F">
      <w:pPr>
        <w:pStyle w:val="4"/>
        <w:keepNext/>
        <w:keepLines w:val="0"/>
        <w:pageBreakBefore w:val="0"/>
        <w:widowControl w:val="0"/>
        <w:kinsoku/>
        <w:wordWrap/>
        <w:overflowPunct w:val="0"/>
        <w:topLinePunct w:val="0"/>
        <w:autoSpaceDE/>
        <w:autoSpaceDN/>
        <w:bidi w:val="0"/>
        <w:adjustRightInd/>
        <w:snapToGrid w:val="0"/>
        <w:spacing w:before="0" w:line="500" w:lineRule="exact"/>
        <w:ind w:left="0" w:right="0" w:firstLine="0" w:firstLineChars="0"/>
        <w:jc w:val="both"/>
        <w:textAlignment w:val="auto"/>
        <w:outlineLvl w:val="1"/>
        <w:rPr>
          <w:rFonts w:hint="default" w:ascii="Times New Roman" w:hAnsi="Times New Roman" w:eastAsia="仿宋_GB2312" w:cs="Times New Roman"/>
          <w:b/>
          <w:bCs/>
          <w:sz w:val="24"/>
          <w:szCs w:val="24"/>
          <w:lang w:val="en-US" w:eastAsia="zh-CN"/>
        </w:rPr>
      </w:pPr>
      <w:bookmarkStart w:id="93" w:name="_Toc31014"/>
      <w:bookmarkStart w:id="94" w:name="_Toc6392"/>
      <w:bookmarkStart w:id="95" w:name="_Toc27623"/>
      <w:bookmarkStart w:id="96" w:name="_Toc18259"/>
      <w:r>
        <w:rPr>
          <w:rFonts w:hint="default" w:ascii="Times New Roman" w:hAnsi="Times New Roman" w:eastAsia="仿宋_GB2312" w:cs="Times New Roman"/>
          <w:b/>
          <w:bCs/>
          <w:sz w:val="24"/>
          <w:szCs w:val="24"/>
          <w:lang w:val="en-US" w:eastAsia="zh-CN"/>
        </w:rPr>
        <w:t>1.4 项目依据</w:t>
      </w:r>
      <w:bookmarkEnd w:id="93"/>
      <w:bookmarkEnd w:id="94"/>
      <w:bookmarkEnd w:id="95"/>
      <w:bookmarkEnd w:id="96"/>
    </w:p>
    <w:p w14:paraId="414E4041">
      <w:pPr>
        <w:keepNext w:val="0"/>
        <w:keepLines w:val="0"/>
        <w:pageBreakBefore w:val="0"/>
        <w:kinsoku/>
        <w:wordWrap/>
        <w:overflowPunct/>
        <w:topLinePunct w:val="0"/>
        <w:bidi w:val="0"/>
        <w:adjustRightInd w:val="0"/>
        <w:snapToGrid w:val="0"/>
        <w:spacing w:beforeAutospacing="0" w:afterAutospacing="0" w:line="500" w:lineRule="exact"/>
        <w:ind w:left="0" w:leftChars="0" w:right="0" w:firstLine="480" w:firstLineChars="200"/>
        <w:rPr>
          <w:rFonts w:hint="default" w:ascii="Times New Roman" w:hAnsi="Times New Roman" w:eastAsia="仿宋_GB2312" w:cs="Times New Roman"/>
          <w:color w:val="auto"/>
          <w:spacing w:val="0"/>
          <w:kern w:val="0"/>
          <w:position w:val="0"/>
          <w:sz w:val="24"/>
          <w:szCs w:val="24"/>
          <w:lang w:eastAsia="zh-CN"/>
        </w:rPr>
      </w:pPr>
      <w:r>
        <w:rPr>
          <w:rFonts w:hint="default" w:ascii="Times New Roman" w:hAnsi="Times New Roman" w:eastAsia="仿宋_GB2312" w:cs="Times New Roman"/>
          <w:color w:val="auto"/>
          <w:spacing w:val="0"/>
          <w:kern w:val="0"/>
          <w:position w:val="0"/>
          <w:sz w:val="24"/>
          <w:szCs w:val="24"/>
        </w:rPr>
        <w:t>（</w:t>
      </w:r>
      <w:r>
        <w:rPr>
          <w:rFonts w:hint="default" w:ascii="Times New Roman" w:hAnsi="Times New Roman" w:eastAsia="仿宋_GB2312" w:cs="Times New Roman"/>
          <w:color w:val="auto"/>
          <w:spacing w:val="0"/>
          <w:kern w:val="0"/>
          <w:position w:val="0"/>
          <w:sz w:val="24"/>
          <w:szCs w:val="24"/>
          <w:lang w:val="en-US" w:eastAsia="zh-CN"/>
        </w:rPr>
        <w:t>1</w:t>
      </w:r>
      <w:r>
        <w:rPr>
          <w:rFonts w:hint="default" w:ascii="Times New Roman" w:hAnsi="Times New Roman" w:eastAsia="仿宋_GB2312" w:cs="Times New Roman"/>
          <w:color w:val="auto"/>
          <w:spacing w:val="0"/>
          <w:kern w:val="0"/>
          <w:position w:val="0"/>
          <w:sz w:val="24"/>
          <w:szCs w:val="24"/>
        </w:rPr>
        <w:t>）建设方提供的原辅料用量等相关技术资料</w:t>
      </w:r>
      <w:r>
        <w:rPr>
          <w:rFonts w:hint="default" w:ascii="Times New Roman" w:hAnsi="Times New Roman" w:eastAsia="仿宋_GB2312" w:cs="Times New Roman"/>
          <w:color w:val="auto"/>
          <w:spacing w:val="0"/>
          <w:kern w:val="0"/>
          <w:position w:val="0"/>
          <w:sz w:val="24"/>
          <w:szCs w:val="24"/>
          <w:lang w:eastAsia="zh-CN"/>
        </w:rPr>
        <w:t>。</w:t>
      </w:r>
    </w:p>
    <w:p w14:paraId="29C4B691">
      <w:pPr>
        <w:rPr>
          <w:rFonts w:hint="default" w:ascii="Times New Roman" w:hAnsi="Times New Roman" w:eastAsia="仿宋_GB2312" w:cs="Times New Roman"/>
          <w:color w:val="auto"/>
          <w:spacing w:val="0"/>
          <w:kern w:val="0"/>
          <w:position w:val="0"/>
          <w:sz w:val="24"/>
          <w:szCs w:val="24"/>
          <w:lang w:eastAsia="zh-CN"/>
        </w:rPr>
      </w:pPr>
      <w:r>
        <w:rPr>
          <w:rFonts w:hint="default" w:ascii="Times New Roman" w:hAnsi="Times New Roman" w:eastAsia="仿宋_GB2312" w:cs="Times New Roman"/>
          <w:color w:val="auto"/>
          <w:spacing w:val="0"/>
          <w:kern w:val="0"/>
          <w:position w:val="0"/>
          <w:sz w:val="24"/>
          <w:szCs w:val="24"/>
          <w:lang w:eastAsia="zh-CN"/>
        </w:rPr>
        <w:br w:type="page"/>
      </w:r>
    </w:p>
    <w:p w14:paraId="0A497029">
      <w:pPr>
        <w:pStyle w:val="3"/>
        <w:keepNext/>
        <w:keepLines w:val="0"/>
        <w:pageBreakBefore w:val="0"/>
        <w:widowControl w:val="0"/>
        <w:kinsoku/>
        <w:wordWrap/>
        <w:overflowPunct w:val="0"/>
        <w:topLinePunct w:val="0"/>
        <w:autoSpaceDE/>
        <w:autoSpaceDN/>
        <w:bidi w:val="0"/>
        <w:adjustRightInd/>
        <w:snapToGrid w:val="0"/>
        <w:spacing w:before="0" w:after="0" w:line="500" w:lineRule="exact"/>
        <w:ind w:left="0" w:firstLine="0"/>
        <w:textAlignment w:val="auto"/>
        <w:rPr>
          <w:rFonts w:hint="default" w:ascii="Times New Roman" w:hAnsi="Times New Roman" w:eastAsia="仿宋_GB2312" w:cs="Times New Roman"/>
          <w:sz w:val="28"/>
          <w:szCs w:val="28"/>
          <w:lang w:val="en-US" w:eastAsia="zh-CN"/>
        </w:rPr>
      </w:pPr>
      <w:bookmarkStart w:id="97" w:name="_Toc11871"/>
      <w:bookmarkStart w:id="98" w:name="_Toc8561"/>
      <w:bookmarkStart w:id="99" w:name="_Toc10670"/>
      <w:bookmarkStart w:id="100" w:name="_Toc29695"/>
      <w:bookmarkStart w:id="101" w:name="_Toc20974"/>
      <w:bookmarkStart w:id="102" w:name="_Toc2927"/>
      <w:bookmarkStart w:id="103" w:name="_Toc25236"/>
      <w:r>
        <w:rPr>
          <w:rFonts w:hint="default" w:ascii="Times New Roman" w:hAnsi="Times New Roman" w:eastAsia="仿宋_GB2312" w:cs="Times New Roman"/>
          <w:sz w:val="28"/>
          <w:szCs w:val="28"/>
          <w:lang w:val="en-US" w:eastAsia="zh-CN"/>
        </w:rPr>
        <w:t>2风险识别</w:t>
      </w:r>
      <w:bookmarkEnd w:id="97"/>
      <w:bookmarkEnd w:id="98"/>
      <w:bookmarkEnd w:id="99"/>
      <w:bookmarkEnd w:id="100"/>
      <w:bookmarkEnd w:id="101"/>
      <w:bookmarkEnd w:id="102"/>
      <w:bookmarkEnd w:id="103"/>
    </w:p>
    <w:p w14:paraId="7AEBC7E4">
      <w:pPr>
        <w:pStyle w:val="108"/>
        <w:pageBreakBefore w:val="0"/>
        <w:kinsoku/>
        <w:wordWrap/>
        <w:bidi w:val="0"/>
        <w:adjustRightInd w:val="0"/>
        <w:snapToGrid w:val="0"/>
        <w:spacing w:beforeAutospacing="0" w:afterAutospacing="0" w:line="500" w:lineRule="exact"/>
        <w:ind w:left="0" w:leftChars="0" w:right="0" w:firstLine="480"/>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风险识别范围内包括生产设施风险识别和生产过程所涉及的物质风险识别。生产设施风险识别范围主要有生产装置、贮运系统、公用工程系统、工程环保设施及辅助生产设施等；物质风险识别范围主要有原材料及辅助材料、燃料、中间产品、最终产品以及生产过程排放的“三废”污染物等。</w:t>
      </w:r>
    </w:p>
    <w:p w14:paraId="6B587558">
      <w:pPr>
        <w:pStyle w:val="4"/>
        <w:keepNext/>
        <w:keepLines w:val="0"/>
        <w:pageBreakBefore w:val="0"/>
        <w:widowControl w:val="0"/>
        <w:kinsoku/>
        <w:wordWrap/>
        <w:overflowPunct w:val="0"/>
        <w:topLinePunct w:val="0"/>
        <w:autoSpaceDE/>
        <w:autoSpaceDN/>
        <w:bidi w:val="0"/>
        <w:adjustRightInd/>
        <w:snapToGrid w:val="0"/>
        <w:spacing w:before="0" w:line="500" w:lineRule="exact"/>
        <w:ind w:left="0" w:right="0" w:firstLine="0" w:firstLineChars="0"/>
        <w:jc w:val="both"/>
        <w:textAlignment w:val="auto"/>
        <w:outlineLvl w:val="1"/>
        <w:rPr>
          <w:rFonts w:hint="default" w:ascii="Times New Roman" w:hAnsi="Times New Roman" w:eastAsia="仿宋_GB2312" w:cs="Times New Roman"/>
          <w:b/>
          <w:bCs/>
          <w:sz w:val="24"/>
          <w:szCs w:val="24"/>
          <w:lang w:val="en-US" w:eastAsia="zh-CN"/>
        </w:rPr>
      </w:pPr>
      <w:bookmarkStart w:id="104" w:name="_Toc13973"/>
      <w:bookmarkStart w:id="105" w:name="_Toc24738"/>
      <w:bookmarkStart w:id="106" w:name="_Toc29704"/>
      <w:r>
        <w:rPr>
          <w:rFonts w:hint="default" w:ascii="Times New Roman" w:hAnsi="Times New Roman" w:eastAsia="仿宋_GB2312" w:cs="Times New Roman"/>
          <w:b/>
          <w:bCs/>
          <w:sz w:val="24"/>
          <w:szCs w:val="24"/>
          <w:lang w:val="en-US" w:eastAsia="zh-CN"/>
        </w:rPr>
        <w:t>2.1评价依据</w:t>
      </w:r>
      <w:bookmarkEnd w:id="104"/>
      <w:bookmarkEnd w:id="105"/>
      <w:bookmarkEnd w:id="106"/>
    </w:p>
    <w:p w14:paraId="45E9D706">
      <w:pPr>
        <w:pageBreakBefore w:val="0"/>
        <w:kinsoku/>
        <w:wordWrap/>
        <w:bidi w:val="0"/>
        <w:adjustRightInd w:val="0"/>
        <w:snapToGrid w:val="0"/>
        <w:spacing w:beforeAutospacing="0" w:afterAutospacing="0" w:line="500" w:lineRule="exact"/>
        <w:ind w:left="0" w:leftChars="0" w:right="0" w:firstLine="480" w:firstLineChars="200"/>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（1）环境风险潜势初判及环境风险评价工作等级分析</w:t>
      </w:r>
    </w:p>
    <w:p w14:paraId="43F0C36F">
      <w:pPr>
        <w:pageBreakBefore w:val="0"/>
        <w:kinsoku/>
        <w:wordWrap/>
        <w:bidi w:val="0"/>
        <w:adjustRightInd w:val="0"/>
        <w:snapToGrid w:val="0"/>
        <w:spacing w:beforeAutospacing="0" w:afterAutospacing="0" w:line="500" w:lineRule="exact"/>
        <w:ind w:left="0" w:leftChars="0" w:right="0" w:firstLine="480" w:firstLineChars="200"/>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根据建设项目涉及的物质和工艺系统的危险性及其所在地的环境敏感程度，结合事故情形下环境影响途径，对建设项目潜在环境危害程度进行概化分析，建设项目环境风险潜势划分表见表2</w:t>
      </w:r>
      <w:r>
        <w:rPr>
          <w:rFonts w:hint="eastAsia" w:ascii="Times New Roman" w:hAnsi="Times New Roman" w:eastAsia="仿宋_GB2312" w:cs="Times New Roman"/>
          <w:color w:val="auto"/>
          <w:spacing w:val="0"/>
          <w:kern w:val="0"/>
          <w:position w:val="0"/>
          <w:sz w:val="24"/>
          <w:szCs w:val="24"/>
          <w:lang w:val="en-US" w:eastAsia="zh-CN"/>
        </w:rPr>
        <w:t>.1</w:t>
      </w:r>
      <w:r>
        <w:rPr>
          <w:rFonts w:hint="default" w:ascii="Times New Roman" w:hAnsi="Times New Roman" w:eastAsia="仿宋_GB2312" w:cs="Times New Roman"/>
          <w:color w:val="auto"/>
          <w:spacing w:val="0"/>
          <w:kern w:val="0"/>
          <w:position w:val="0"/>
          <w:sz w:val="24"/>
          <w:szCs w:val="24"/>
        </w:rPr>
        <w:t>-1。</w:t>
      </w:r>
    </w:p>
    <w:p w14:paraId="29C9C151">
      <w:pPr>
        <w:pageBreakBefore w:val="0"/>
        <w:kinsoku/>
        <w:wordWrap/>
        <w:bidi w:val="0"/>
        <w:adjustRightInd w:val="0"/>
        <w:snapToGrid w:val="0"/>
        <w:spacing w:beforeAutospacing="0" w:afterAutospacing="0" w:line="500" w:lineRule="exact"/>
        <w:ind w:left="0" w:leftChars="0" w:right="0" w:firstLine="422" w:firstLineChars="200"/>
        <w:jc w:val="center"/>
        <w:rPr>
          <w:rFonts w:hint="default" w:ascii="Times New Roman" w:hAnsi="Times New Roman" w:eastAsia="仿宋_GB2312" w:cs="Times New Roman"/>
          <w:b/>
          <w:color w:val="auto"/>
          <w:spacing w:val="0"/>
          <w:kern w:val="0"/>
          <w:position w:val="0"/>
        </w:rPr>
      </w:pPr>
      <w:r>
        <w:rPr>
          <w:rFonts w:hint="default" w:ascii="Times New Roman" w:hAnsi="Times New Roman" w:eastAsia="仿宋_GB2312" w:cs="Times New Roman"/>
          <w:b/>
          <w:color w:val="auto"/>
          <w:spacing w:val="0"/>
          <w:kern w:val="0"/>
          <w:position w:val="0"/>
        </w:rPr>
        <w:t>表2</w:t>
      </w:r>
      <w:r>
        <w:rPr>
          <w:rFonts w:hint="eastAsia" w:ascii="Times New Roman" w:hAnsi="Times New Roman" w:eastAsia="仿宋_GB2312" w:cs="Times New Roman"/>
          <w:b/>
          <w:color w:val="auto"/>
          <w:spacing w:val="0"/>
          <w:kern w:val="0"/>
          <w:position w:val="0"/>
          <w:lang w:val="en-US" w:eastAsia="zh-CN"/>
        </w:rPr>
        <w:t>.1</w:t>
      </w:r>
      <w:r>
        <w:rPr>
          <w:rFonts w:hint="default" w:ascii="Times New Roman" w:hAnsi="Times New Roman" w:eastAsia="仿宋_GB2312" w:cs="Times New Roman"/>
          <w:b/>
          <w:color w:val="auto"/>
          <w:spacing w:val="0"/>
          <w:kern w:val="0"/>
          <w:position w:val="0"/>
        </w:rPr>
        <w:t>-1  建设项目环境风险潜势划分表</w:t>
      </w:r>
    </w:p>
    <w:tbl>
      <w:tblPr>
        <w:tblStyle w:val="31"/>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06"/>
        <w:gridCol w:w="1768"/>
        <w:gridCol w:w="1768"/>
        <w:gridCol w:w="1768"/>
        <w:gridCol w:w="1776"/>
      </w:tblGrid>
      <w:tr w14:paraId="1BD752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188" w:type="pct"/>
            <w:vMerge w:val="restart"/>
            <w:noWrap w:val="0"/>
            <w:vAlign w:val="center"/>
          </w:tcPr>
          <w:p w14:paraId="4CA3F0B5">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b/>
                <w:color w:val="auto"/>
                <w:spacing w:val="0"/>
                <w:kern w:val="0"/>
                <w:position w:val="0"/>
                <w:sz w:val="21"/>
                <w:szCs w:val="21"/>
              </w:rPr>
            </w:pPr>
            <w:r>
              <w:rPr>
                <w:rFonts w:hint="default" w:ascii="Times New Roman" w:hAnsi="Times New Roman" w:eastAsia="仿宋_GB2312" w:cs="Times New Roman"/>
                <w:b/>
                <w:color w:val="auto"/>
                <w:spacing w:val="0"/>
                <w:kern w:val="0"/>
                <w:position w:val="0"/>
                <w:sz w:val="21"/>
                <w:szCs w:val="21"/>
              </w:rPr>
              <w:t>环境敏感程度（E）</w:t>
            </w:r>
          </w:p>
        </w:tc>
        <w:tc>
          <w:tcPr>
            <w:tcW w:w="3811" w:type="pct"/>
            <w:gridSpan w:val="4"/>
            <w:noWrap w:val="0"/>
            <w:vAlign w:val="center"/>
          </w:tcPr>
          <w:p w14:paraId="1DB7199C">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b/>
                <w:color w:val="auto"/>
                <w:spacing w:val="0"/>
                <w:kern w:val="0"/>
                <w:position w:val="0"/>
                <w:sz w:val="21"/>
                <w:szCs w:val="21"/>
              </w:rPr>
            </w:pPr>
            <w:r>
              <w:rPr>
                <w:rFonts w:hint="default" w:ascii="Times New Roman" w:hAnsi="Times New Roman" w:eastAsia="仿宋_GB2312" w:cs="Times New Roman"/>
                <w:b/>
                <w:color w:val="auto"/>
                <w:spacing w:val="0"/>
                <w:kern w:val="0"/>
                <w:position w:val="0"/>
                <w:sz w:val="21"/>
                <w:szCs w:val="21"/>
              </w:rPr>
              <w:t>危险物质及工艺系统危险性（P）</w:t>
            </w:r>
          </w:p>
        </w:tc>
      </w:tr>
      <w:tr w14:paraId="26C1DF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188" w:type="pct"/>
            <w:vMerge w:val="continue"/>
            <w:noWrap w:val="0"/>
            <w:vAlign w:val="center"/>
          </w:tcPr>
          <w:p w14:paraId="2D444C1E">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b/>
                <w:color w:val="auto"/>
                <w:spacing w:val="0"/>
                <w:kern w:val="0"/>
                <w:position w:val="0"/>
                <w:sz w:val="21"/>
                <w:szCs w:val="21"/>
              </w:rPr>
            </w:pPr>
          </w:p>
        </w:tc>
        <w:tc>
          <w:tcPr>
            <w:tcW w:w="952" w:type="pct"/>
            <w:noWrap w:val="0"/>
            <w:vAlign w:val="center"/>
          </w:tcPr>
          <w:p w14:paraId="22A1348F">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b/>
                <w:color w:val="auto"/>
                <w:spacing w:val="0"/>
                <w:kern w:val="0"/>
                <w:position w:val="0"/>
                <w:sz w:val="21"/>
                <w:szCs w:val="21"/>
              </w:rPr>
            </w:pPr>
            <w:r>
              <w:rPr>
                <w:rFonts w:hint="default" w:ascii="Times New Roman" w:hAnsi="Times New Roman" w:eastAsia="仿宋_GB2312" w:cs="Times New Roman"/>
                <w:b/>
                <w:color w:val="auto"/>
                <w:spacing w:val="0"/>
                <w:kern w:val="0"/>
                <w:position w:val="0"/>
                <w:sz w:val="21"/>
                <w:szCs w:val="21"/>
              </w:rPr>
              <w:t>极高危害（P1）</w:t>
            </w:r>
          </w:p>
        </w:tc>
        <w:tc>
          <w:tcPr>
            <w:tcW w:w="952" w:type="pct"/>
            <w:noWrap w:val="0"/>
            <w:vAlign w:val="center"/>
          </w:tcPr>
          <w:p w14:paraId="40BCE50C">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b/>
                <w:color w:val="auto"/>
                <w:spacing w:val="0"/>
                <w:kern w:val="0"/>
                <w:position w:val="0"/>
                <w:sz w:val="21"/>
                <w:szCs w:val="21"/>
              </w:rPr>
            </w:pPr>
            <w:r>
              <w:rPr>
                <w:rFonts w:hint="default" w:ascii="Times New Roman" w:hAnsi="Times New Roman" w:eastAsia="仿宋_GB2312" w:cs="Times New Roman"/>
                <w:b/>
                <w:color w:val="auto"/>
                <w:spacing w:val="0"/>
                <w:kern w:val="0"/>
                <w:position w:val="0"/>
                <w:sz w:val="21"/>
                <w:szCs w:val="21"/>
              </w:rPr>
              <w:t>高度危害（P2）</w:t>
            </w:r>
          </w:p>
        </w:tc>
        <w:tc>
          <w:tcPr>
            <w:tcW w:w="952" w:type="pct"/>
            <w:noWrap w:val="0"/>
            <w:vAlign w:val="center"/>
          </w:tcPr>
          <w:p w14:paraId="68F9317B">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b/>
                <w:color w:val="auto"/>
                <w:spacing w:val="0"/>
                <w:kern w:val="0"/>
                <w:position w:val="0"/>
                <w:sz w:val="21"/>
                <w:szCs w:val="21"/>
              </w:rPr>
            </w:pPr>
            <w:r>
              <w:rPr>
                <w:rFonts w:hint="default" w:ascii="Times New Roman" w:hAnsi="Times New Roman" w:eastAsia="仿宋_GB2312" w:cs="Times New Roman"/>
                <w:b/>
                <w:color w:val="auto"/>
                <w:spacing w:val="0"/>
                <w:kern w:val="0"/>
                <w:position w:val="0"/>
                <w:sz w:val="21"/>
                <w:szCs w:val="21"/>
              </w:rPr>
              <w:t>中度危害（P3）</w:t>
            </w:r>
          </w:p>
        </w:tc>
        <w:tc>
          <w:tcPr>
            <w:tcW w:w="954" w:type="pct"/>
            <w:noWrap w:val="0"/>
            <w:vAlign w:val="center"/>
          </w:tcPr>
          <w:p w14:paraId="3610E80C">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b/>
                <w:color w:val="auto"/>
                <w:spacing w:val="0"/>
                <w:kern w:val="0"/>
                <w:position w:val="0"/>
                <w:sz w:val="21"/>
                <w:szCs w:val="21"/>
              </w:rPr>
            </w:pPr>
            <w:r>
              <w:rPr>
                <w:rFonts w:hint="default" w:ascii="Times New Roman" w:hAnsi="Times New Roman" w:eastAsia="仿宋_GB2312" w:cs="Times New Roman"/>
                <w:b/>
                <w:color w:val="auto"/>
                <w:spacing w:val="0"/>
                <w:kern w:val="0"/>
                <w:position w:val="0"/>
                <w:sz w:val="21"/>
                <w:szCs w:val="21"/>
              </w:rPr>
              <w:t>轻度危害（P4）</w:t>
            </w:r>
          </w:p>
        </w:tc>
      </w:tr>
      <w:tr w14:paraId="5126E1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188" w:type="pct"/>
            <w:noWrap w:val="0"/>
            <w:vAlign w:val="center"/>
          </w:tcPr>
          <w:p w14:paraId="3E417A81">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b/>
                <w:color w:val="auto"/>
                <w:spacing w:val="0"/>
                <w:kern w:val="0"/>
                <w:position w:val="0"/>
                <w:sz w:val="21"/>
                <w:szCs w:val="21"/>
              </w:rPr>
            </w:pPr>
            <w:r>
              <w:rPr>
                <w:rFonts w:hint="default" w:ascii="Times New Roman" w:hAnsi="Times New Roman" w:eastAsia="仿宋_GB2312" w:cs="Times New Roman"/>
                <w:b/>
                <w:color w:val="auto"/>
                <w:spacing w:val="0"/>
                <w:kern w:val="0"/>
                <w:position w:val="0"/>
                <w:sz w:val="21"/>
                <w:szCs w:val="21"/>
              </w:rPr>
              <w:t>环境高度敏感区（E1）</w:t>
            </w:r>
          </w:p>
        </w:tc>
        <w:tc>
          <w:tcPr>
            <w:tcW w:w="952" w:type="pct"/>
            <w:noWrap w:val="0"/>
            <w:vAlign w:val="center"/>
          </w:tcPr>
          <w:p w14:paraId="6612D154">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vertAlign w:val="superscript"/>
              </w:rPr>
            </w:pPr>
            <w:r>
              <w:rPr>
                <w:rFonts w:hint="default" w:ascii="Times New Roman" w:hAnsi="Times New Roman" w:eastAsia="仿宋_GB2312" w:cs="Times New Roman"/>
                <w:color w:val="auto"/>
                <w:spacing w:val="0"/>
                <w:kern w:val="0"/>
                <w:position w:val="0"/>
                <w:sz w:val="21"/>
                <w:szCs w:val="21"/>
              </w:rPr>
              <w:t>IV</w:t>
            </w:r>
            <w:r>
              <w:rPr>
                <w:rFonts w:hint="default" w:ascii="Times New Roman" w:hAnsi="Times New Roman" w:eastAsia="仿宋_GB2312" w:cs="Times New Roman"/>
                <w:color w:val="auto"/>
                <w:spacing w:val="0"/>
                <w:kern w:val="0"/>
                <w:position w:val="0"/>
                <w:sz w:val="21"/>
                <w:szCs w:val="21"/>
                <w:vertAlign w:val="superscript"/>
              </w:rPr>
              <w:t>+</w:t>
            </w:r>
          </w:p>
        </w:tc>
        <w:tc>
          <w:tcPr>
            <w:tcW w:w="952" w:type="pct"/>
            <w:noWrap w:val="0"/>
            <w:vAlign w:val="center"/>
          </w:tcPr>
          <w:p w14:paraId="7483E962">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IV</w:t>
            </w:r>
          </w:p>
        </w:tc>
        <w:tc>
          <w:tcPr>
            <w:tcW w:w="952" w:type="pct"/>
            <w:noWrap w:val="0"/>
            <w:vAlign w:val="center"/>
          </w:tcPr>
          <w:p w14:paraId="67DEDCDD">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III</w:t>
            </w:r>
          </w:p>
        </w:tc>
        <w:tc>
          <w:tcPr>
            <w:tcW w:w="954" w:type="pct"/>
            <w:noWrap w:val="0"/>
            <w:vAlign w:val="center"/>
          </w:tcPr>
          <w:p w14:paraId="3E83733B">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III</w:t>
            </w:r>
          </w:p>
        </w:tc>
      </w:tr>
      <w:tr w14:paraId="183B40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188" w:type="pct"/>
            <w:noWrap w:val="0"/>
            <w:vAlign w:val="center"/>
          </w:tcPr>
          <w:p w14:paraId="3192900F">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b/>
                <w:color w:val="auto"/>
                <w:spacing w:val="0"/>
                <w:kern w:val="0"/>
                <w:position w:val="0"/>
                <w:sz w:val="21"/>
                <w:szCs w:val="21"/>
              </w:rPr>
            </w:pPr>
            <w:r>
              <w:rPr>
                <w:rFonts w:hint="default" w:ascii="Times New Roman" w:hAnsi="Times New Roman" w:eastAsia="仿宋_GB2312" w:cs="Times New Roman"/>
                <w:b/>
                <w:color w:val="auto"/>
                <w:spacing w:val="0"/>
                <w:kern w:val="0"/>
                <w:position w:val="0"/>
                <w:sz w:val="21"/>
                <w:szCs w:val="21"/>
              </w:rPr>
              <w:t>环境中度敏感区（E2）</w:t>
            </w:r>
          </w:p>
        </w:tc>
        <w:tc>
          <w:tcPr>
            <w:tcW w:w="952" w:type="pct"/>
            <w:noWrap w:val="0"/>
            <w:vAlign w:val="center"/>
          </w:tcPr>
          <w:p w14:paraId="0FEA282C">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IV</w:t>
            </w:r>
          </w:p>
        </w:tc>
        <w:tc>
          <w:tcPr>
            <w:tcW w:w="952" w:type="pct"/>
            <w:noWrap w:val="0"/>
            <w:vAlign w:val="center"/>
          </w:tcPr>
          <w:p w14:paraId="44CD8EED">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III</w:t>
            </w:r>
          </w:p>
        </w:tc>
        <w:tc>
          <w:tcPr>
            <w:tcW w:w="952" w:type="pct"/>
            <w:noWrap w:val="0"/>
            <w:vAlign w:val="center"/>
          </w:tcPr>
          <w:p w14:paraId="585DD034">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III</w:t>
            </w:r>
          </w:p>
        </w:tc>
        <w:tc>
          <w:tcPr>
            <w:tcW w:w="954" w:type="pct"/>
            <w:noWrap w:val="0"/>
            <w:vAlign w:val="center"/>
          </w:tcPr>
          <w:p w14:paraId="641D4E40">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II</w:t>
            </w:r>
          </w:p>
        </w:tc>
      </w:tr>
      <w:tr w14:paraId="22A801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188" w:type="pct"/>
            <w:noWrap w:val="0"/>
            <w:vAlign w:val="center"/>
          </w:tcPr>
          <w:p w14:paraId="6007026A">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b/>
                <w:color w:val="auto"/>
                <w:spacing w:val="0"/>
                <w:kern w:val="0"/>
                <w:position w:val="0"/>
                <w:sz w:val="21"/>
                <w:szCs w:val="21"/>
              </w:rPr>
            </w:pPr>
            <w:r>
              <w:rPr>
                <w:rFonts w:hint="default" w:ascii="Times New Roman" w:hAnsi="Times New Roman" w:eastAsia="仿宋_GB2312" w:cs="Times New Roman"/>
                <w:b/>
                <w:color w:val="auto"/>
                <w:spacing w:val="0"/>
                <w:kern w:val="0"/>
                <w:position w:val="0"/>
                <w:sz w:val="21"/>
                <w:szCs w:val="21"/>
              </w:rPr>
              <w:t>环境低度敏感区（E3）</w:t>
            </w:r>
          </w:p>
        </w:tc>
        <w:tc>
          <w:tcPr>
            <w:tcW w:w="952" w:type="pct"/>
            <w:noWrap w:val="0"/>
            <w:vAlign w:val="center"/>
          </w:tcPr>
          <w:p w14:paraId="2ADC43FF">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III</w:t>
            </w:r>
          </w:p>
        </w:tc>
        <w:tc>
          <w:tcPr>
            <w:tcW w:w="952" w:type="pct"/>
            <w:noWrap w:val="0"/>
            <w:vAlign w:val="center"/>
          </w:tcPr>
          <w:p w14:paraId="5EF31D54">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III</w:t>
            </w:r>
          </w:p>
        </w:tc>
        <w:tc>
          <w:tcPr>
            <w:tcW w:w="952" w:type="pct"/>
            <w:noWrap w:val="0"/>
            <w:vAlign w:val="center"/>
          </w:tcPr>
          <w:p w14:paraId="64B7975A">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II</w:t>
            </w:r>
          </w:p>
        </w:tc>
        <w:tc>
          <w:tcPr>
            <w:tcW w:w="954" w:type="pct"/>
            <w:noWrap w:val="0"/>
            <w:vAlign w:val="center"/>
          </w:tcPr>
          <w:p w14:paraId="61050F70">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I</w:t>
            </w:r>
          </w:p>
        </w:tc>
      </w:tr>
      <w:tr w14:paraId="0352A6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000" w:type="pct"/>
            <w:gridSpan w:val="5"/>
            <w:noWrap w:val="0"/>
            <w:vAlign w:val="center"/>
          </w:tcPr>
          <w:p w14:paraId="7A43FD31">
            <w:pPr>
              <w:pageBreakBefore w:val="0"/>
              <w:kinsoku/>
              <w:wordWrap/>
              <w:bidi w:val="0"/>
              <w:adjustRightInd w:val="0"/>
              <w:snapToGrid w:val="0"/>
              <w:spacing w:beforeAutospacing="0" w:afterAutospacing="0" w:line="240" w:lineRule="atLeast"/>
              <w:ind w:left="0" w:leftChars="0" w:right="0"/>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注：IV</w:t>
            </w:r>
            <w:r>
              <w:rPr>
                <w:rFonts w:hint="default" w:ascii="Times New Roman" w:hAnsi="Times New Roman" w:eastAsia="仿宋_GB2312" w:cs="Times New Roman"/>
                <w:color w:val="auto"/>
                <w:spacing w:val="0"/>
                <w:kern w:val="0"/>
                <w:position w:val="0"/>
                <w:sz w:val="21"/>
                <w:szCs w:val="21"/>
                <w:vertAlign w:val="superscript"/>
              </w:rPr>
              <w:t>+</w:t>
            </w:r>
            <w:r>
              <w:rPr>
                <w:rFonts w:hint="default" w:ascii="Times New Roman" w:hAnsi="Times New Roman" w:eastAsia="仿宋_GB2312" w:cs="Times New Roman"/>
                <w:color w:val="auto"/>
                <w:spacing w:val="0"/>
                <w:kern w:val="0"/>
                <w:position w:val="0"/>
                <w:sz w:val="21"/>
                <w:szCs w:val="21"/>
              </w:rPr>
              <w:t>为极高环境风险</w:t>
            </w:r>
          </w:p>
        </w:tc>
      </w:tr>
    </w:tbl>
    <w:p w14:paraId="3D9527DB">
      <w:pPr>
        <w:pStyle w:val="4"/>
        <w:keepNext/>
        <w:keepLines w:val="0"/>
        <w:pageBreakBefore w:val="0"/>
        <w:widowControl w:val="0"/>
        <w:kinsoku/>
        <w:wordWrap/>
        <w:overflowPunct w:val="0"/>
        <w:topLinePunct w:val="0"/>
        <w:autoSpaceDE/>
        <w:autoSpaceDN/>
        <w:bidi w:val="0"/>
        <w:adjustRightInd/>
        <w:snapToGrid w:val="0"/>
        <w:spacing w:before="0" w:line="500" w:lineRule="exact"/>
        <w:ind w:left="0" w:right="0" w:firstLine="0" w:firstLineChars="0"/>
        <w:jc w:val="both"/>
        <w:textAlignment w:val="auto"/>
        <w:outlineLvl w:val="1"/>
        <w:rPr>
          <w:rFonts w:hint="default" w:ascii="Times New Roman" w:hAnsi="Times New Roman" w:eastAsia="仿宋_GB2312" w:cs="Times New Roman"/>
          <w:b/>
          <w:bCs/>
          <w:sz w:val="24"/>
          <w:szCs w:val="24"/>
          <w:lang w:val="en-US" w:eastAsia="zh-CN"/>
        </w:rPr>
      </w:pPr>
      <w:bookmarkStart w:id="107" w:name="_Toc26452"/>
      <w:bookmarkStart w:id="108" w:name="_Toc3866"/>
      <w:bookmarkStart w:id="109" w:name="_Toc25868"/>
      <w:bookmarkStart w:id="110" w:name="_Toc5427"/>
      <w:bookmarkStart w:id="111" w:name="_Toc30112"/>
      <w:r>
        <w:rPr>
          <w:rFonts w:hint="default" w:ascii="Times New Roman" w:hAnsi="Times New Roman" w:eastAsia="仿宋_GB2312" w:cs="Times New Roman"/>
          <w:b/>
          <w:bCs/>
          <w:sz w:val="24"/>
          <w:szCs w:val="24"/>
          <w:lang w:val="en-US" w:eastAsia="zh-CN"/>
        </w:rPr>
        <w:t>2.2环境敏感目标调查</w:t>
      </w:r>
      <w:bookmarkEnd w:id="107"/>
      <w:bookmarkEnd w:id="108"/>
      <w:bookmarkEnd w:id="109"/>
      <w:bookmarkEnd w:id="110"/>
      <w:bookmarkEnd w:id="111"/>
    </w:p>
    <w:p w14:paraId="5647ACC1">
      <w:pPr>
        <w:keepNext w:val="0"/>
        <w:keepLines w:val="0"/>
        <w:pageBreakBefore w:val="0"/>
        <w:widowControl w:val="0"/>
        <w:kinsoku/>
        <w:wordWrap/>
        <w:overflowPunct/>
        <w:topLinePunct w:val="0"/>
        <w:autoSpaceDE/>
        <w:autoSpaceDN/>
        <w:bidi w:val="0"/>
        <w:adjustRightInd w:val="0"/>
        <w:snapToGrid w:val="0"/>
        <w:spacing w:beforeAutospacing="0" w:afterAutospacing="0" w:line="500" w:lineRule="exact"/>
        <w:ind w:left="0" w:leftChars="0" w:right="0" w:firstLine="480" w:firstLineChars="200"/>
        <w:textAlignment w:val="auto"/>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经调研，本项目厂界周边5km环境风险调查范围内的主要环境敏感目标情况见表</w:t>
      </w:r>
      <w:r>
        <w:rPr>
          <w:rFonts w:hint="default" w:ascii="Times New Roman" w:hAnsi="Times New Roman" w:eastAsia="仿宋_GB2312" w:cs="Times New Roman"/>
          <w:color w:val="auto"/>
          <w:spacing w:val="0"/>
          <w:kern w:val="0"/>
          <w:position w:val="0"/>
          <w:sz w:val="24"/>
          <w:szCs w:val="24"/>
          <w:lang w:val="en-US" w:eastAsia="zh-CN"/>
        </w:rPr>
        <w:t>2</w:t>
      </w:r>
      <w:r>
        <w:rPr>
          <w:rFonts w:hint="eastAsia" w:ascii="Times New Roman" w:hAnsi="Times New Roman" w:eastAsia="仿宋_GB2312" w:cs="Times New Roman"/>
          <w:color w:val="auto"/>
          <w:spacing w:val="0"/>
          <w:kern w:val="0"/>
          <w:position w:val="0"/>
          <w:sz w:val="24"/>
          <w:szCs w:val="24"/>
          <w:lang w:val="en-US" w:eastAsia="zh-CN"/>
        </w:rPr>
        <w:t>.2-1</w:t>
      </w:r>
      <w:r>
        <w:rPr>
          <w:rFonts w:hint="default" w:ascii="Times New Roman" w:hAnsi="Times New Roman" w:eastAsia="仿宋_GB2312" w:cs="Times New Roman"/>
          <w:color w:val="auto"/>
          <w:spacing w:val="0"/>
          <w:kern w:val="0"/>
          <w:position w:val="0"/>
          <w:sz w:val="24"/>
          <w:szCs w:val="24"/>
        </w:rPr>
        <w:t>。</w:t>
      </w:r>
    </w:p>
    <w:p w14:paraId="02834C04">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
          <w:bCs/>
          <w:color w:val="auto"/>
          <w:spacing w:val="0"/>
          <w:kern w:val="0"/>
          <w:position w:val="0"/>
        </w:rPr>
      </w:pPr>
      <w:r>
        <w:rPr>
          <w:rFonts w:hint="default" w:ascii="Times New Roman" w:hAnsi="Times New Roman" w:eastAsia="仿宋_GB2312" w:cs="Times New Roman"/>
          <w:b/>
          <w:bCs/>
          <w:color w:val="auto"/>
          <w:spacing w:val="0"/>
          <w:kern w:val="0"/>
          <w:position w:val="0"/>
          <w:sz w:val="24"/>
          <w:szCs w:val="24"/>
        </w:rPr>
        <w:t>表</w:t>
      </w:r>
      <w:r>
        <w:rPr>
          <w:rFonts w:hint="default" w:ascii="Times New Roman" w:hAnsi="Times New Roman" w:eastAsia="仿宋_GB2312" w:cs="Times New Roman"/>
          <w:b/>
          <w:bCs/>
          <w:color w:val="auto"/>
          <w:spacing w:val="0"/>
          <w:kern w:val="0"/>
          <w:position w:val="0"/>
          <w:sz w:val="24"/>
          <w:szCs w:val="24"/>
          <w:lang w:val="en-US" w:eastAsia="zh-CN"/>
        </w:rPr>
        <w:t>2</w:t>
      </w:r>
      <w:r>
        <w:rPr>
          <w:rFonts w:hint="eastAsia" w:ascii="Times New Roman" w:hAnsi="Times New Roman" w:eastAsia="仿宋_GB2312" w:cs="Times New Roman"/>
          <w:b/>
          <w:bCs/>
          <w:color w:val="auto"/>
          <w:spacing w:val="0"/>
          <w:kern w:val="0"/>
          <w:position w:val="0"/>
          <w:sz w:val="24"/>
          <w:szCs w:val="24"/>
          <w:lang w:val="en-US" w:eastAsia="zh-CN"/>
        </w:rPr>
        <w:t>.2-1</w:t>
      </w:r>
      <w:r>
        <w:rPr>
          <w:rFonts w:hint="default" w:ascii="Times New Roman" w:hAnsi="Times New Roman" w:eastAsia="仿宋_GB2312" w:cs="Times New Roman"/>
          <w:b/>
          <w:bCs/>
          <w:color w:val="auto"/>
          <w:spacing w:val="0"/>
          <w:kern w:val="0"/>
          <w:position w:val="0"/>
          <w:sz w:val="24"/>
          <w:szCs w:val="24"/>
        </w:rPr>
        <w:t xml:space="preserve">  环境敏感程度</w:t>
      </w:r>
      <w:r>
        <w:rPr>
          <w:rFonts w:hint="eastAsia" w:ascii="Times New Roman" w:hAnsi="Times New Roman" w:eastAsia="仿宋_GB2312" w:cs="Times New Roman"/>
          <w:b/>
          <w:bCs/>
          <w:color w:val="auto"/>
          <w:spacing w:val="0"/>
          <w:kern w:val="0"/>
          <w:position w:val="0"/>
          <w:sz w:val="24"/>
          <w:szCs w:val="24"/>
          <w:lang w:eastAsia="zh-CN"/>
        </w:rPr>
        <w:t>（</w:t>
      </w:r>
      <w:r>
        <w:rPr>
          <w:rFonts w:hint="default" w:ascii="Times New Roman" w:hAnsi="Times New Roman" w:eastAsia="仿宋_GB2312" w:cs="Times New Roman"/>
          <w:b/>
          <w:bCs/>
          <w:color w:val="auto"/>
          <w:spacing w:val="0"/>
          <w:kern w:val="0"/>
          <w:position w:val="0"/>
          <w:sz w:val="24"/>
          <w:szCs w:val="24"/>
        </w:rPr>
        <w:t>E</w:t>
      </w:r>
      <w:r>
        <w:rPr>
          <w:rFonts w:hint="eastAsia" w:ascii="Times New Roman" w:hAnsi="Times New Roman" w:eastAsia="仿宋_GB2312" w:cs="Times New Roman"/>
          <w:b/>
          <w:bCs/>
          <w:color w:val="auto"/>
          <w:spacing w:val="0"/>
          <w:kern w:val="0"/>
          <w:position w:val="0"/>
          <w:sz w:val="24"/>
          <w:szCs w:val="24"/>
          <w:lang w:eastAsia="zh-CN"/>
        </w:rPr>
        <w:t>）</w:t>
      </w:r>
      <w:r>
        <w:rPr>
          <w:rFonts w:hint="default" w:ascii="Times New Roman" w:hAnsi="Times New Roman" w:eastAsia="仿宋_GB2312" w:cs="Times New Roman"/>
          <w:b/>
          <w:bCs/>
          <w:color w:val="auto"/>
          <w:spacing w:val="0"/>
          <w:kern w:val="0"/>
          <w:position w:val="0"/>
          <w:sz w:val="24"/>
          <w:szCs w:val="24"/>
        </w:rPr>
        <w:t>分级</w:t>
      </w:r>
    </w:p>
    <w:tbl>
      <w:tblPr>
        <w:tblStyle w:val="98"/>
        <w:tblW w:w="4997"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719"/>
        <w:gridCol w:w="704"/>
        <w:gridCol w:w="731"/>
        <w:gridCol w:w="878"/>
        <w:gridCol w:w="443"/>
        <w:gridCol w:w="294"/>
        <w:gridCol w:w="852"/>
        <w:gridCol w:w="285"/>
        <w:gridCol w:w="617"/>
        <w:gridCol w:w="680"/>
        <w:gridCol w:w="45"/>
        <w:gridCol w:w="198"/>
        <w:gridCol w:w="655"/>
        <w:gridCol w:w="239"/>
        <w:gridCol w:w="430"/>
        <w:gridCol w:w="1297"/>
      </w:tblGrid>
      <w:tr w14:paraId="6A3E6E7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02" w:hRule="atLeast"/>
          <w:jc w:val="center"/>
        </w:trPr>
        <w:tc>
          <w:tcPr>
            <w:tcW w:w="397" w:type="pct"/>
            <w:tcBorders>
              <w:tl2br w:val="nil"/>
              <w:tr2bl w:val="nil"/>
            </w:tcBorders>
            <w:noWrap w:val="0"/>
            <w:vAlign w:val="center"/>
          </w:tcPr>
          <w:p w14:paraId="71B93D8E">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
                <w:bCs/>
                <w:color w:val="auto"/>
                <w:spacing w:val="0"/>
                <w:kern w:val="0"/>
                <w:position w:val="0"/>
              </w:rPr>
            </w:pPr>
            <w:r>
              <w:rPr>
                <w:rFonts w:hint="default" w:ascii="Times New Roman" w:hAnsi="Times New Roman" w:eastAsia="仿宋_GB2312" w:cs="Times New Roman"/>
                <w:b/>
                <w:bCs/>
                <w:color w:val="auto"/>
                <w:spacing w:val="0"/>
                <w:kern w:val="0"/>
                <w:position w:val="0"/>
              </w:rPr>
              <w:t>类别</w:t>
            </w:r>
          </w:p>
        </w:tc>
        <w:tc>
          <w:tcPr>
            <w:tcW w:w="4602" w:type="pct"/>
            <w:gridSpan w:val="15"/>
            <w:tcBorders>
              <w:tl2br w:val="nil"/>
              <w:tr2bl w:val="nil"/>
            </w:tcBorders>
            <w:noWrap w:val="0"/>
            <w:vAlign w:val="center"/>
          </w:tcPr>
          <w:p w14:paraId="6D09443C">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
                <w:bCs/>
                <w:color w:val="auto"/>
                <w:spacing w:val="0"/>
                <w:kern w:val="0"/>
                <w:position w:val="0"/>
              </w:rPr>
            </w:pPr>
            <w:r>
              <w:rPr>
                <w:rFonts w:hint="default" w:ascii="Times New Roman" w:hAnsi="Times New Roman" w:eastAsia="仿宋_GB2312" w:cs="Times New Roman"/>
                <w:b/>
                <w:bCs/>
                <w:color w:val="auto"/>
                <w:spacing w:val="0"/>
                <w:kern w:val="0"/>
                <w:position w:val="0"/>
              </w:rPr>
              <w:t>环境敏感特征</w:t>
            </w:r>
          </w:p>
        </w:tc>
      </w:tr>
      <w:tr w14:paraId="3A56819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7" w:hRule="atLeast"/>
          <w:jc w:val="center"/>
        </w:trPr>
        <w:tc>
          <w:tcPr>
            <w:tcW w:w="397" w:type="pct"/>
            <w:vMerge w:val="restart"/>
            <w:tcBorders>
              <w:tl2br w:val="nil"/>
              <w:tr2bl w:val="nil"/>
            </w:tcBorders>
            <w:noWrap w:val="0"/>
            <w:vAlign w:val="center"/>
          </w:tcPr>
          <w:p w14:paraId="4ACFFF10">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
                <w:bCs/>
                <w:color w:val="auto"/>
                <w:spacing w:val="0"/>
                <w:kern w:val="0"/>
                <w:position w:val="0"/>
              </w:rPr>
            </w:pPr>
            <w:r>
              <w:rPr>
                <w:rFonts w:hint="default" w:ascii="Times New Roman" w:hAnsi="Times New Roman" w:eastAsia="仿宋_GB2312" w:cs="Times New Roman"/>
                <w:b/>
                <w:bCs/>
                <w:color w:val="auto"/>
                <w:spacing w:val="0"/>
                <w:kern w:val="0"/>
                <w:position w:val="0"/>
              </w:rPr>
              <w:t>环境</w:t>
            </w:r>
          </w:p>
          <w:p w14:paraId="50ADEA50">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
                <w:bCs/>
                <w:color w:val="auto"/>
                <w:spacing w:val="0"/>
                <w:kern w:val="0"/>
                <w:position w:val="0"/>
              </w:rPr>
            </w:pPr>
            <w:r>
              <w:rPr>
                <w:rFonts w:hint="default" w:ascii="Times New Roman" w:hAnsi="Times New Roman" w:eastAsia="仿宋_GB2312" w:cs="Times New Roman"/>
                <w:b/>
                <w:bCs/>
                <w:color w:val="auto"/>
                <w:spacing w:val="0"/>
                <w:kern w:val="0"/>
                <w:position w:val="0"/>
              </w:rPr>
              <w:t>空气</w:t>
            </w:r>
          </w:p>
        </w:tc>
        <w:tc>
          <w:tcPr>
            <w:tcW w:w="4602" w:type="pct"/>
            <w:gridSpan w:val="15"/>
            <w:tcBorders>
              <w:tl2br w:val="nil"/>
              <w:tr2bl w:val="nil"/>
            </w:tcBorders>
            <w:noWrap w:val="0"/>
            <w:vAlign w:val="center"/>
          </w:tcPr>
          <w:p w14:paraId="41F7AF65">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
                <w:bCs/>
                <w:color w:val="auto"/>
                <w:spacing w:val="0"/>
                <w:kern w:val="0"/>
                <w:position w:val="0"/>
              </w:rPr>
            </w:pPr>
            <w:r>
              <w:rPr>
                <w:rFonts w:hint="default" w:ascii="Times New Roman" w:hAnsi="Times New Roman" w:eastAsia="仿宋_GB2312" w:cs="Times New Roman"/>
                <w:b/>
                <w:bCs/>
                <w:color w:val="auto"/>
                <w:spacing w:val="0"/>
                <w:kern w:val="0"/>
                <w:position w:val="0"/>
              </w:rPr>
              <w:t>厂址周边5km范围内</w:t>
            </w:r>
          </w:p>
        </w:tc>
      </w:tr>
      <w:tr w14:paraId="33A208C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7" w:hRule="atLeast"/>
          <w:jc w:val="center"/>
        </w:trPr>
        <w:tc>
          <w:tcPr>
            <w:tcW w:w="397" w:type="pct"/>
            <w:vMerge w:val="continue"/>
            <w:tcBorders>
              <w:tl2br w:val="nil"/>
              <w:tr2bl w:val="nil"/>
            </w:tcBorders>
            <w:noWrap w:val="0"/>
            <w:vAlign w:val="center"/>
          </w:tcPr>
          <w:p w14:paraId="77A08DF2">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rPr>
            </w:pPr>
          </w:p>
        </w:tc>
        <w:tc>
          <w:tcPr>
            <w:tcW w:w="388" w:type="pct"/>
            <w:tcBorders>
              <w:tl2br w:val="nil"/>
              <w:tr2bl w:val="nil"/>
            </w:tcBorders>
            <w:noWrap w:val="0"/>
            <w:vAlign w:val="center"/>
          </w:tcPr>
          <w:p w14:paraId="0EC84823">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vertAlign w:val="baseline"/>
              </w:rPr>
            </w:pPr>
            <w:r>
              <w:rPr>
                <w:rFonts w:hint="default" w:ascii="Times New Roman" w:hAnsi="Times New Roman" w:eastAsia="仿宋_GB2312" w:cs="Times New Roman"/>
                <w:color w:val="auto"/>
                <w:spacing w:val="0"/>
                <w:kern w:val="0"/>
                <w:position w:val="0"/>
                <w:vertAlign w:val="baseline"/>
              </w:rPr>
              <w:t>序号</w:t>
            </w:r>
          </w:p>
        </w:tc>
        <w:tc>
          <w:tcPr>
            <w:tcW w:w="1293" w:type="pct"/>
            <w:gridSpan w:val="4"/>
            <w:tcBorders>
              <w:tl2br w:val="nil"/>
              <w:tr2bl w:val="nil"/>
            </w:tcBorders>
            <w:noWrap w:val="0"/>
            <w:vAlign w:val="center"/>
          </w:tcPr>
          <w:p w14:paraId="2C171132">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vertAlign w:val="baseline"/>
              </w:rPr>
            </w:pPr>
            <w:r>
              <w:rPr>
                <w:rFonts w:hint="default" w:ascii="Times New Roman" w:hAnsi="Times New Roman" w:eastAsia="仿宋_GB2312" w:cs="Times New Roman"/>
                <w:color w:val="auto"/>
                <w:spacing w:val="0"/>
                <w:kern w:val="0"/>
                <w:position w:val="0"/>
                <w:vertAlign w:val="baseline"/>
              </w:rPr>
              <w:t>敏感目标名称</w:t>
            </w:r>
          </w:p>
        </w:tc>
        <w:tc>
          <w:tcPr>
            <w:tcW w:w="626" w:type="pct"/>
            <w:gridSpan w:val="2"/>
            <w:tcBorders>
              <w:tl2br w:val="nil"/>
              <w:tr2bl w:val="nil"/>
            </w:tcBorders>
            <w:noWrap w:val="0"/>
            <w:vAlign w:val="center"/>
          </w:tcPr>
          <w:p w14:paraId="612AD99C">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vertAlign w:val="baseline"/>
              </w:rPr>
            </w:pPr>
            <w:r>
              <w:rPr>
                <w:rFonts w:hint="default" w:ascii="Times New Roman" w:hAnsi="Times New Roman" w:eastAsia="仿宋_GB2312" w:cs="Times New Roman"/>
                <w:color w:val="auto"/>
                <w:spacing w:val="0"/>
                <w:kern w:val="0"/>
                <w:position w:val="0"/>
                <w:vertAlign w:val="baseline"/>
              </w:rPr>
              <w:t>相对方位</w:t>
            </w:r>
          </w:p>
        </w:tc>
        <w:tc>
          <w:tcPr>
            <w:tcW w:w="715" w:type="pct"/>
            <w:gridSpan w:val="2"/>
            <w:tcBorders>
              <w:tl2br w:val="nil"/>
              <w:tr2bl w:val="nil"/>
            </w:tcBorders>
            <w:noWrap w:val="0"/>
            <w:vAlign w:val="center"/>
          </w:tcPr>
          <w:p w14:paraId="54F75532">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vertAlign w:val="baseline"/>
              </w:rPr>
            </w:pPr>
            <w:r>
              <w:rPr>
                <w:rFonts w:hint="default" w:ascii="Times New Roman" w:hAnsi="Times New Roman" w:eastAsia="仿宋_GB2312" w:cs="Times New Roman"/>
                <w:color w:val="auto"/>
                <w:spacing w:val="0"/>
                <w:kern w:val="0"/>
                <w:position w:val="0"/>
                <w:vertAlign w:val="baseline"/>
              </w:rPr>
              <w:t>距离厂界距离/m</w:t>
            </w:r>
          </w:p>
        </w:tc>
        <w:tc>
          <w:tcPr>
            <w:tcW w:w="626" w:type="pct"/>
            <w:gridSpan w:val="4"/>
            <w:tcBorders>
              <w:tl2br w:val="nil"/>
              <w:tr2bl w:val="nil"/>
            </w:tcBorders>
            <w:noWrap w:val="0"/>
            <w:vAlign w:val="center"/>
          </w:tcPr>
          <w:p w14:paraId="2A45BCB7">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vertAlign w:val="baseline"/>
              </w:rPr>
            </w:pPr>
            <w:r>
              <w:rPr>
                <w:rFonts w:hint="default" w:ascii="Times New Roman" w:hAnsi="Times New Roman" w:eastAsia="仿宋_GB2312" w:cs="Times New Roman"/>
                <w:color w:val="auto"/>
                <w:spacing w:val="0"/>
                <w:kern w:val="0"/>
                <w:position w:val="0"/>
                <w:vertAlign w:val="baseline"/>
              </w:rPr>
              <w:t>属性</w:t>
            </w:r>
          </w:p>
        </w:tc>
        <w:tc>
          <w:tcPr>
            <w:tcW w:w="951" w:type="pct"/>
            <w:gridSpan w:val="2"/>
            <w:tcBorders>
              <w:tl2br w:val="nil"/>
              <w:tr2bl w:val="nil"/>
            </w:tcBorders>
            <w:noWrap w:val="0"/>
            <w:vAlign w:val="center"/>
          </w:tcPr>
          <w:p w14:paraId="52F89ADD">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vertAlign w:val="baseline"/>
              </w:rPr>
            </w:pPr>
            <w:r>
              <w:rPr>
                <w:rFonts w:hint="default" w:ascii="Times New Roman" w:hAnsi="Times New Roman" w:eastAsia="仿宋_GB2312" w:cs="Times New Roman"/>
                <w:color w:val="auto"/>
                <w:spacing w:val="0"/>
                <w:kern w:val="0"/>
                <w:position w:val="0"/>
                <w:vertAlign w:val="baseline"/>
              </w:rPr>
              <w:t>人口数</w:t>
            </w:r>
          </w:p>
        </w:tc>
      </w:tr>
      <w:tr w14:paraId="6A95A01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1" w:hRule="atLeast"/>
          <w:jc w:val="center"/>
        </w:trPr>
        <w:tc>
          <w:tcPr>
            <w:tcW w:w="397" w:type="pct"/>
            <w:vMerge w:val="continue"/>
            <w:tcBorders>
              <w:tl2br w:val="nil"/>
              <w:tr2bl w:val="nil"/>
            </w:tcBorders>
            <w:noWrap w:val="0"/>
            <w:vAlign w:val="center"/>
          </w:tcPr>
          <w:p w14:paraId="6A0E3F6D">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rPr>
            </w:pPr>
          </w:p>
        </w:tc>
        <w:tc>
          <w:tcPr>
            <w:tcW w:w="388" w:type="pct"/>
            <w:tcBorders>
              <w:tl2br w:val="nil"/>
              <w:tr2bl w:val="nil"/>
            </w:tcBorders>
            <w:noWrap w:val="0"/>
            <w:vAlign w:val="center"/>
          </w:tcPr>
          <w:p w14:paraId="4AC44B78">
            <w:pPr>
              <w:keepNext w:val="0"/>
              <w:keepLines w:val="0"/>
              <w:pageBreakBefore w:val="0"/>
              <w:widowControl/>
              <w:suppressLineNumbers w:val="0"/>
              <w:kinsoku/>
              <w:wordWrap/>
              <w:bidi w:val="0"/>
              <w:adjustRightInd w:val="0"/>
              <w:snapToGrid w:val="0"/>
              <w:spacing w:beforeAutospacing="0" w:afterAutospacing="0"/>
              <w:ind w:left="0" w:leftChars="0" w:right="0"/>
              <w:jc w:val="center"/>
              <w:textAlignment w:val="center"/>
              <w:rPr>
                <w:rFonts w:hint="default" w:ascii="Times New Roman" w:hAnsi="Times New Roman" w:eastAsia="仿宋_GB2312" w:cs="Times New Roman"/>
                <w:i w:val="0"/>
                <w:iCs w:val="0"/>
                <w:color w:val="auto"/>
                <w:spacing w:val="0"/>
                <w:kern w:val="0"/>
                <w:position w:val="0"/>
                <w:sz w:val="22"/>
                <w:szCs w:val="22"/>
                <w:u w:val="none"/>
                <w:vertAlign w:val="baseline"/>
                <w:lang w:val="en-US" w:eastAsia="zh-CN" w:bidi="ar-SA"/>
              </w:rPr>
            </w:pPr>
            <w:r>
              <w:rPr>
                <w:rFonts w:hint="default" w:ascii="Times New Roman" w:hAnsi="Times New Roman" w:eastAsia="仿宋_GB2312" w:cs="Times New Roman"/>
                <w:bCs/>
                <w:i w:val="0"/>
                <w:iCs w:val="0"/>
                <w:color w:val="auto"/>
                <w:spacing w:val="0"/>
                <w:kern w:val="0"/>
                <w:position w:val="0"/>
                <w:sz w:val="22"/>
                <w:szCs w:val="22"/>
                <w:u w:val="none"/>
                <w:vertAlign w:val="baseline"/>
                <w:lang w:val="en-US" w:eastAsia="zh-CN" w:bidi="ar"/>
              </w:rPr>
              <w:t>1</w:t>
            </w:r>
          </w:p>
        </w:tc>
        <w:tc>
          <w:tcPr>
            <w:tcW w:w="1293" w:type="pct"/>
            <w:gridSpan w:val="4"/>
            <w:tcBorders>
              <w:tl2br w:val="nil"/>
              <w:tr2bl w:val="nil"/>
            </w:tcBorders>
            <w:noWrap w:val="0"/>
            <w:vAlign w:val="center"/>
          </w:tcPr>
          <w:p w14:paraId="7E41C380">
            <w:pPr>
              <w:adjustRightInd w:val="0"/>
              <w:snapToGrid w:val="0"/>
              <w:jc w:val="center"/>
              <w:rPr>
                <w:rFonts w:hint="default" w:ascii="Times New Roman" w:hAnsi="Times New Roman" w:eastAsia="仿宋_GB2312" w:cs="Times New Roman"/>
                <w:i w:val="0"/>
                <w:iCs w:val="0"/>
                <w:color w:val="auto"/>
                <w:spacing w:val="0"/>
                <w:kern w:val="0"/>
                <w:position w:val="0"/>
                <w:sz w:val="21"/>
                <w:szCs w:val="21"/>
                <w:u w:val="none"/>
                <w:vertAlign w:val="baseline"/>
                <w:lang w:val="en-US" w:eastAsia="zh-CN" w:bidi="ar-SA"/>
              </w:rPr>
            </w:pPr>
            <w:r>
              <w:rPr>
                <w:rFonts w:hint="eastAsia" w:eastAsia="仿宋_GB2312"/>
                <w:sz w:val="21"/>
                <w:szCs w:val="21"/>
              </w:rPr>
              <w:t>庵上</w:t>
            </w:r>
          </w:p>
        </w:tc>
        <w:tc>
          <w:tcPr>
            <w:tcW w:w="626" w:type="pct"/>
            <w:gridSpan w:val="2"/>
            <w:tcBorders>
              <w:tl2br w:val="nil"/>
              <w:tr2bl w:val="nil"/>
            </w:tcBorders>
            <w:noWrap w:val="0"/>
            <w:vAlign w:val="center"/>
          </w:tcPr>
          <w:p w14:paraId="38FB24A3">
            <w:pPr>
              <w:adjustRightInd w:val="0"/>
              <w:snapToGrid w:val="0"/>
              <w:jc w:val="center"/>
              <w:rPr>
                <w:rFonts w:hint="default" w:ascii="Times New Roman" w:hAnsi="Times New Roman" w:eastAsia="仿宋_GB2312" w:cs="Times New Roman"/>
                <w:i w:val="0"/>
                <w:iCs w:val="0"/>
                <w:color w:val="auto"/>
                <w:spacing w:val="0"/>
                <w:kern w:val="0"/>
                <w:position w:val="0"/>
                <w:sz w:val="21"/>
                <w:szCs w:val="21"/>
                <w:u w:val="none"/>
                <w:vertAlign w:val="baseline"/>
                <w:lang w:val="en-US" w:eastAsia="zh-CN" w:bidi="ar-SA"/>
              </w:rPr>
            </w:pPr>
            <w:r>
              <w:rPr>
                <w:rFonts w:hint="eastAsia" w:eastAsia="仿宋_GB2312"/>
                <w:kern w:val="0"/>
                <w:sz w:val="21"/>
                <w:szCs w:val="21"/>
              </w:rPr>
              <w:t>E</w:t>
            </w:r>
          </w:p>
        </w:tc>
        <w:tc>
          <w:tcPr>
            <w:tcW w:w="715" w:type="pct"/>
            <w:gridSpan w:val="2"/>
            <w:tcBorders>
              <w:tl2br w:val="nil"/>
              <w:tr2bl w:val="nil"/>
            </w:tcBorders>
            <w:noWrap w:val="0"/>
            <w:vAlign w:val="center"/>
          </w:tcPr>
          <w:p w14:paraId="1CF8ED70">
            <w:pPr>
              <w:adjustRightInd w:val="0"/>
              <w:snapToGrid w:val="0"/>
              <w:jc w:val="center"/>
              <w:rPr>
                <w:rFonts w:hint="default" w:ascii="Times New Roman" w:hAnsi="Times New Roman" w:eastAsia="仿宋_GB2312" w:cs="Times New Roman"/>
                <w:i w:val="0"/>
                <w:iCs w:val="0"/>
                <w:color w:val="auto"/>
                <w:spacing w:val="0"/>
                <w:kern w:val="0"/>
                <w:position w:val="0"/>
                <w:sz w:val="21"/>
                <w:szCs w:val="21"/>
                <w:u w:val="none"/>
                <w:vertAlign w:val="baseline"/>
                <w:lang w:val="en-US" w:eastAsia="zh-CN" w:bidi="ar-SA"/>
              </w:rPr>
            </w:pPr>
            <w:r>
              <w:rPr>
                <w:rFonts w:hint="eastAsia" w:eastAsia="仿宋_GB2312"/>
                <w:kern w:val="0"/>
                <w:sz w:val="21"/>
                <w:szCs w:val="21"/>
              </w:rPr>
              <w:t>139</w:t>
            </w:r>
          </w:p>
        </w:tc>
        <w:tc>
          <w:tcPr>
            <w:tcW w:w="626" w:type="pct"/>
            <w:gridSpan w:val="4"/>
            <w:tcBorders>
              <w:tl2br w:val="nil"/>
              <w:tr2bl w:val="nil"/>
            </w:tcBorders>
            <w:noWrap w:val="0"/>
            <w:vAlign w:val="center"/>
          </w:tcPr>
          <w:p w14:paraId="0098D0A1">
            <w:pPr>
              <w:keepNext w:val="0"/>
              <w:keepLines w:val="0"/>
              <w:pageBreakBefore w:val="0"/>
              <w:widowControl/>
              <w:suppressLineNumbers w:val="0"/>
              <w:kinsoku/>
              <w:wordWrap/>
              <w:bidi w:val="0"/>
              <w:adjustRightInd w:val="0"/>
              <w:snapToGrid w:val="0"/>
              <w:spacing w:beforeAutospacing="0" w:afterAutospacing="0"/>
              <w:ind w:left="0" w:leftChars="0" w:right="0"/>
              <w:jc w:val="center"/>
              <w:textAlignment w:val="center"/>
              <w:rPr>
                <w:rFonts w:hint="default" w:ascii="Times New Roman" w:hAnsi="Times New Roman" w:eastAsia="仿宋_GB2312" w:cs="Times New Roman"/>
                <w:i w:val="0"/>
                <w:iCs w:val="0"/>
                <w:color w:val="auto"/>
                <w:spacing w:val="0"/>
                <w:kern w:val="0"/>
                <w:position w:val="0"/>
                <w:sz w:val="21"/>
                <w:szCs w:val="21"/>
                <w:u w:val="none"/>
                <w:vertAlign w:val="baseline"/>
                <w:lang w:val="en-US" w:eastAsia="zh-CN" w:bidi="ar-SA"/>
              </w:rPr>
            </w:pPr>
            <w:r>
              <w:rPr>
                <w:rFonts w:hint="default" w:ascii="Times New Roman" w:hAnsi="Times New Roman" w:eastAsia="仿宋_GB2312" w:cs="Times New Roman"/>
                <w:bCs/>
                <w:i w:val="0"/>
                <w:iCs w:val="0"/>
                <w:color w:val="auto"/>
                <w:spacing w:val="0"/>
                <w:kern w:val="0"/>
                <w:position w:val="0"/>
                <w:sz w:val="21"/>
                <w:szCs w:val="21"/>
                <w:u w:val="none"/>
                <w:vertAlign w:val="baseline"/>
                <w:lang w:val="en-US" w:eastAsia="zh-CN" w:bidi="ar"/>
              </w:rPr>
              <w:t>居民</w:t>
            </w:r>
          </w:p>
        </w:tc>
        <w:tc>
          <w:tcPr>
            <w:tcW w:w="951" w:type="pct"/>
            <w:gridSpan w:val="2"/>
            <w:tcBorders>
              <w:tl2br w:val="nil"/>
              <w:tr2bl w:val="nil"/>
            </w:tcBorders>
            <w:noWrap w:val="0"/>
            <w:vAlign w:val="center"/>
          </w:tcPr>
          <w:p w14:paraId="66AA22A9">
            <w:pPr>
              <w:adjustRightInd w:val="0"/>
              <w:snapToGrid w:val="0"/>
              <w:jc w:val="center"/>
              <w:rPr>
                <w:rFonts w:hint="default" w:ascii="Times New Roman" w:hAnsi="Times New Roman" w:eastAsia="仿宋_GB2312" w:cs="Times New Roman"/>
                <w:i w:val="0"/>
                <w:iCs w:val="0"/>
                <w:color w:val="auto"/>
                <w:spacing w:val="0"/>
                <w:kern w:val="0"/>
                <w:position w:val="0"/>
                <w:sz w:val="21"/>
                <w:szCs w:val="21"/>
                <w:u w:val="none"/>
                <w:vertAlign w:val="baseline"/>
                <w:lang w:val="en-US" w:eastAsia="zh-CN" w:bidi="ar-SA"/>
              </w:rPr>
            </w:pPr>
            <w:r>
              <w:rPr>
                <w:rFonts w:hint="eastAsia" w:eastAsia="仿宋_GB2312"/>
                <w:sz w:val="21"/>
                <w:szCs w:val="21"/>
              </w:rPr>
              <w:t>约200</w:t>
            </w:r>
            <w:r>
              <w:rPr>
                <w:rFonts w:eastAsia="仿宋_GB2312"/>
                <w:sz w:val="21"/>
                <w:szCs w:val="21"/>
              </w:rPr>
              <w:t>户/</w:t>
            </w:r>
            <w:r>
              <w:rPr>
                <w:rFonts w:hint="eastAsia" w:eastAsia="仿宋_GB2312"/>
                <w:sz w:val="21"/>
                <w:szCs w:val="21"/>
              </w:rPr>
              <w:t>700</w:t>
            </w:r>
            <w:r>
              <w:rPr>
                <w:rFonts w:eastAsia="仿宋_GB2312"/>
                <w:sz w:val="21"/>
                <w:szCs w:val="21"/>
              </w:rPr>
              <w:t>人</w:t>
            </w:r>
          </w:p>
        </w:tc>
      </w:tr>
      <w:tr w14:paraId="08EA577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0" w:hRule="atLeast"/>
          <w:jc w:val="center"/>
        </w:trPr>
        <w:tc>
          <w:tcPr>
            <w:tcW w:w="397" w:type="pct"/>
            <w:vMerge w:val="continue"/>
            <w:tcBorders>
              <w:tl2br w:val="nil"/>
              <w:tr2bl w:val="nil"/>
            </w:tcBorders>
            <w:noWrap w:val="0"/>
            <w:vAlign w:val="center"/>
          </w:tcPr>
          <w:p w14:paraId="769B276A">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rPr>
            </w:pPr>
          </w:p>
        </w:tc>
        <w:tc>
          <w:tcPr>
            <w:tcW w:w="388" w:type="pct"/>
            <w:tcBorders>
              <w:tl2br w:val="nil"/>
              <w:tr2bl w:val="nil"/>
            </w:tcBorders>
            <w:noWrap w:val="0"/>
            <w:vAlign w:val="center"/>
          </w:tcPr>
          <w:p w14:paraId="1386B3E6">
            <w:pPr>
              <w:keepNext w:val="0"/>
              <w:keepLines w:val="0"/>
              <w:pageBreakBefore w:val="0"/>
              <w:widowControl/>
              <w:suppressLineNumbers w:val="0"/>
              <w:kinsoku/>
              <w:wordWrap/>
              <w:bidi w:val="0"/>
              <w:adjustRightInd w:val="0"/>
              <w:snapToGrid w:val="0"/>
              <w:spacing w:beforeAutospacing="0" w:afterAutospacing="0"/>
              <w:ind w:left="0" w:leftChars="0" w:right="0"/>
              <w:jc w:val="center"/>
              <w:textAlignment w:val="center"/>
              <w:rPr>
                <w:rFonts w:hint="default" w:ascii="Times New Roman" w:hAnsi="Times New Roman" w:eastAsia="仿宋_GB2312" w:cs="Times New Roman"/>
                <w:i w:val="0"/>
                <w:iCs w:val="0"/>
                <w:color w:val="auto"/>
                <w:spacing w:val="0"/>
                <w:kern w:val="0"/>
                <w:position w:val="0"/>
                <w:sz w:val="22"/>
                <w:szCs w:val="22"/>
                <w:u w:val="none"/>
                <w:vertAlign w:val="baseline"/>
                <w:lang w:val="en-US" w:eastAsia="zh-CN" w:bidi="ar-SA"/>
              </w:rPr>
            </w:pPr>
            <w:r>
              <w:rPr>
                <w:rFonts w:hint="default" w:ascii="Times New Roman" w:hAnsi="Times New Roman" w:eastAsia="仿宋_GB2312" w:cs="Times New Roman"/>
                <w:bCs/>
                <w:i w:val="0"/>
                <w:iCs w:val="0"/>
                <w:color w:val="auto"/>
                <w:spacing w:val="0"/>
                <w:kern w:val="0"/>
                <w:position w:val="0"/>
                <w:sz w:val="22"/>
                <w:szCs w:val="22"/>
                <w:u w:val="none"/>
                <w:vertAlign w:val="baseline"/>
                <w:lang w:val="en-US" w:eastAsia="zh-CN" w:bidi="ar"/>
              </w:rPr>
              <w:t>2</w:t>
            </w:r>
          </w:p>
        </w:tc>
        <w:tc>
          <w:tcPr>
            <w:tcW w:w="1293" w:type="pct"/>
            <w:gridSpan w:val="4"/>
            <w:tcBorders>
              <w:tl2br w:val="nil"/>
              <w:tr2bl w:val="nil"/>
            </w:tcBorders>
            <w:noWrap w:val="0"/>
            <w:vAlign w:val="center"/>
          </w:tcPr>
          <w:p w14:paraId="6AB3837D">
            <w:pPr>
              <w:adjustRightInd w:val="0"/>
              <w:snapToGrid w:val="0"/>
              <w:jc w:val="center"/>
              <w:rPr>
                <w:rFonts w:hint="default" w:ascii="Times New Roman" w:hAnsi="Times New Roman" w:eastAsia="仿宋_GB2312" w:cs="Times New Roman"/>
                <w:i w:val="0"/>
                <w:iCs w:val="0"/>
                <w:color w:val="auto"/>
                <w:spacing w:val="0"/>
                <w:kern w:val="0"/>
                <w:position w:val="0"/>
                <w:sz w:val="21"/>
                <w:szCs w:val="21"/>
                <w:u w:val="none"/>
                <w:vertAlign w:val="baseline"/>
                <w:lang w:val="en-US" w:eastAsia="zh-CN" w:bidi="ar-SA"/>
              </w:rPr>
            </w:pPr>
            <w:r>
              <w:rPr>
                <w:rFonts w:hint="eastAsia" w:eastAsia="仿宋_GB2312"/>
                <w:sz w:val="21"/>
                <w:szCs w:val="21"/>
                <w:lang w:val="en-US" w:eastAsia="zh-CN"/>
              </w:rPr>
              <w:t>东村</w:t>
            </w:r>
          </w:p>
        </w:tc>
        <w:tc>
          <w:tcPr>
            <w:tcW w:w="626" w:type="pct"/>
            <w:gridSpan w:val="2"/>
            <w:tcBorders>
              <w:tl2br w:val="nil"/>
              <w:tr2bl w:val="nil"/>
            </w:tcBorders>
            <w:noWrap w:val="0"/>
            <w:vAlign w:val="center"/>
          </w:tcPr>
          <w:p w14:paraId="71AA2955">
            <w:pPr>
              <w:adjustRightInd w:val="0"/>
              <w:snapToGrid w:val="0"/>
              <w:jc w:val="center"/>
              <w:rPr>
                <w:rFonts w:hint="default" w:ascii="Times New Roman" w:hAnsi="Times New Roman" w:eastAsia="仿宋_GB2312" w:cs="Times New Roman"/>
                <w:i w:val="0"/>
                <w:iCs w:val="0"/>
                <w:color w:val="auto"/>
                <w:spacing w:val="0"/>
                <w:kern w:val="0"/>
                <w:position w:val="0"/>
                <w:sz w:val="21"/>
                <w:szCs w:val="21"/>
                <w:u w:val="none"/>
                <w:vertAlign w:val="baseline"/>
                <w:lang w:val="en-US" w:eastAsia="zh-CN" w:bidi="ar-SA"/>
              </w:rPr>
            </w:pPr>
            <w:r>
              <w:rPr>
                <w:rFonts w:hint="eastAsia" w:eastAsia="仿宋_GB2312"/>
                <w:kern w:val="0"/>
                <w:sz w:val="21"/>
                <w:szCs w:val="21"/>
              </w:rPr>
              <w:t>E</w:t>
            </w:r>
          </w:p>
        </w:tc>
        <w:tc>
          <w:tcPr>
            <w:tcW w:w="715" w:type="pct"/>
            <w:gridSpan w:val="2"/>
            <w:tcBorders>
              <w:tl2br w:val="nil"/>
              <w:tr2bl w:val="nil"/>
            </w:tcBorders>
            <w:noWrap w:val="0"/>
            <w:vAlign w:val="center"/>
          </w:tcPr>
          <w:p w14:paraId="4B6B7AB2">
            <w:pPr>
              <w:adjustRightInd w:val="0"/>
              <w:snapToGrid w:val="0"/>
              <w:jc w:val="center"/>
              <w:rPr>
                <w:rFonts w:hint="default" w:ascii="Times New Roman" w:hAnsi="Times New Roman" w:eastAsia="仿宋_GB2312" w:cs="Times New Roman"/>
                <w:i w:val="0"/>
                <w:iCs w:val="0"/>
                <w:color w:val="auto"/>
                <w:spacing w:val="0"/>
                <w:kern w:val="0"/>
                <w:position w:val="0"/>
                <w:sz w:val="21"/>
                <w:szCs w:val="21"/>
                <w:u w:val="none"/>
                <w:vertAlign w:val="baseline"/>
                <w:lang w:val="en-US" w:eastAsia="zh-CN" w:bidi="ar-SA"/>
              </w:rPr>
            </w:pPr>
            <w:r>
              <w:rPr>
                <w:rFonts w:hint="eastAsia" w:eastAsia="仿宋_GB2312"/>
                <w:kern w:val="0"/>
                <w:sz w:val="21"/>
                <w:szCs w:val="21"/>
                <w:lang w:val="en-US" w:eastAsia="zh-CN"/>
              </w:rPr>
              <w:t>457</w:t>
            </w:r>
          </w:p>
        </w:tc>
        <w:tc>
          <w:tcPr>
            <w:tcW w:w="626" w:type="pct"/>
            <w:gridSpan w:val="4"/>
            <w:tcBorders>
              <w:tl2br w:val="nil"/>
              <w:tr2bl w:val="nil"/>
            </w:tcBorders>
            <w:noWrap w:val="0"/>
            <w:vAlign w:val="center"/>
          </w:tcPr>
          <w:p w14:paraId="4582199F">
            <w:pPr>
              <w:keepNext w:val="0"/>
              <w:keepLines w:val="0"/>
              <w:pageBreakBefore w:val="0"/>
              <w:widowControl/>
              <w:suppressLineNumbers w:val="0"/>
              <w:kinsoku/>
              <w:wordWrap/>
              <w:bidi w:val="0"/>
              <w:adjustRightInd w:val="0"/>
              <w:snapToGrid w:val="0"/>
              <w:spacing w:beforeAutospacing="0" w:afterAutospacing="0"/>
              <w:ind w:left="0" w:leftChars="0" w:right="0"/>
              <w:jc w:val="center"/>
              <w:textAlignment w:val="center"/>
              <w:rPr>
                <w:rFonts w:hint="default" w:ascii="Times New Roman" w:hAnsi="Times New Roman" w:eastAsia="仿宋_GB2312" w:cs="Times New Roman"/>
                <w:i w:val="0"/>
                <w:iCs w:val="0"/>
                <w:color w:val="auto"/>
                <w:spacing w:val="0"/>
                <w:kern w:val="0"/>
                <w:position w:val="0"/>
                <w:sz w:val="21"/>
                <w:szCs w:val="21"/>
                <w:u w:val="none"/>
                <w:vertAlign w:val="baseline"/>
                <w:lang w:val="en-US" w:eastAsia="zh-CN" w:bidi="ar-SA"/>
              </w:rPr>
            </w:pPr>
            <w:r>
              <w:rPr>
                <w:rFonts w:hint="default" w:ascii="Times New Roman" w:hAnsi="Times New Roman" w:eastAsia="仿宋_GB2312" w:cs="Times New Roman"/>
                <w:bCs/>
                <w:i w:val="0"/>
                <w:iCs w:val="0"/>
                <w:color w:val="auto"/>
                <w:spacing w:val="0"/>
                <w:kern w:val="0"/>
                <w:position w:val="0"/>
                <w:sz w:val="21"/>
                <w:szCs w:val="21"/>
                <w:u w:val="none"/>
                <w:vertAlign w:val="baseline"/>
                <w:lang w:val="en-US" w:eastAsia="zh-CN" w:bidi="ar"/>
              </w:rPr>
              <w:t>居民</w:t>
            </w:r>
          </w:p>
        </w:tc>
        <w:tc>
          <w:tcPr>
            <w:tcW w:w="951" w:type="pct"/>
            <w:gridSpan w:val="2"/>
            <w:tcBorders>
              <w:tl2br w:val="nil"/>
              <w:tr2bl w:val="nil"/>
            </w:tcBorders>
            <w:noWrap w:val="0"/>
            <w:vAlign w:val="center"/>
          </w:tcPr>
          <w:p w14:paraId="55376CB3">
            <w:pPr>
              <w:adjustRightInd w:val="0"/>
              <w:snapToGrid w:val="0"/>
              <w:jc w:val="center"/>
              <w:rPr>
                <w:rFonts w:hint="default" w:ascii="Times New Roman" w:hAnsi="Times New Roman" w:eastAsia="仿宋_GB2312" w:cs="Times New Roman"/>
                <w:i w:val="0"/>
                <w:iCs w:val="0"/>
                <w:color w:val="auto"/>
                <w:spacing w:val="0"/>
                <w:kern w:val="0"/>
                <w:position w:val="0"/>
                <w:sz w:val="21"/>
                <w:szCs w:val="21"/>
                <w:u w:val="none"/>
                <w:vertAlign w:val="baseline"/>
                <w:lang w:val="en-US" w:eastAsia="zh-CN" w:bidi="ar-SA"/>
              </w:rPr>
            </w:pPr>
            <w:r>
              <w:rPr>
                <w:rFonts w:hint="eastAsia" w:eastAsia="仿宋_GB2312"/>
                <w:sz w:val="21"/>
                <w:szCs w:val="21"/>
              </w:rPr>
              <w:t>约</w:t>
            </w:r>
            <w:r>
              <w:rPr>
                <w:rFonts w:hint="eastAsia" w:eastAsia="仿宋_GB2312"/>
                <w:sz w:val="21"/>
                <w:szCs w:val="21"/>
                <w:lang w:val="en-US" w:eastAsia="zh-CN"/>
              </w:rPr>
              <w:t>250</w:t>
            </w:r>
            <w:r>
              <w:rPr>
                <w:rFonts w:hint="eastAsia" w:eastAsia="仿宋_GB2312"/>
                <w:sz w:val="21"/>
                <w:szCs w:val="21"/>
              </w:rPr>
              <w:t>户/</w:t>
            </w:r>
            <w:r>
              <w:rPr>
                <w:rFonts w:hint="eastAsia" w:eastAsia="仿宋_GB2312"/>
                <w:sz w:val="21"/>
                <w:szCs w:val="21"/>
                <w:lang w:val="en-US" w:eastAsia="zh-CN"/>
              </w:rPr>
              <w:t>65</w:t>
            </w:r>
            <w:r>
              <w:rPr>
                <w:rFonts w:hint="eastAsia" w:eastAsia="仿宋_GB2312"/>
                <w:sz w:val="21"/>
                <w:szCs w:val="21"/>
              </w:rPr>
              <w:t>0人</w:t>
            </w:r>
          </w:p>
        </w:tc>
      </w:tr>
      <w:tr w14:paraId="30C7FD2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1" w:hRule="atLeast"/>
          <w:jc w:val="center"/>
        </w:trPr>
        <w:tc>
          <w:tcPr>
            <w:tcW w:w="397" w:type="pct"/>
            <w:vMerge w:val="continue"/>
            <w:tcBorders>
              <w:tl2br w:val="nil"/>
              <w:tr2bl w:val="nil"/>
            </w:tcBorders>
            <w:noWrap w:val="0"/>
            <w:vAlign w:val="center"/>
          </w:tcPr>
          <w:p w14:paraId="39EBBB78">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rPr>
            </w:pPr>
          </w:p>
        </w:tc>
        <w:tc>
          <w:tcPr>
            <w:tcW w:w="388" w:type="pct"/>
            <w:tcBorders>
              <w:tl2br w:val="nil"/>
              <w:tr2bl w:val="nil"/>
            </w:tcBorders>
            <w:noWrap w:val="0"/>
            <w:vAlign w:val="center"/>
          </w:tcPr>
          <w:p w14:paraId="1C80656D">
            <w:pPr>
              <w:keepNext w:val="0"/>
              <w:keepLines w:val="0"/>
              <w:pageBreakBefore w:val="0"/>
              <w:widowControl/>
              <w:suppressLineNumbers w:val="0"/>
              <w:kinsoku/>
              <w:wordWrap/>
              <w:bidi w:val="0"/>
              <w:adjustRightInd w:val="0"/>
              <w:snapToGrid w:val="0"/>
              <w:spacing w:beforeAutospacing="0" w:afterAutospacing="0"/>
              <w:ind w:left="0" w:leftChars="0" w:right="0"/>
              <w:jc w:val="center"/>
              <w:textAlignment w:val="center"/>
              <w:rPr>
                <w:rFonts w:hint="default" w:ascii="Times New Roman" w:hAnsi="Times New Roman" w:eastAsia="仿宋_GB2312" w:cs="Times New Roman"/>
                <w:i w:val="0"/>
                <w:iCs w:val="0"/>
                <w:color w:val="auto"/>
                <w:spacing w:val="0"/>
                <w:kern w:val="0"/>
                <w:position w:val="0"/>
                <w:sz w:val="22"/>
                <w:szCs w:val="22"/>
                <w:u w:val="none"/>
                <w:vertAlign w:val="baseline"/>
                <w:lang w:val="en-US" w:eastAsia="zh-CN" w:bidi="ar-SA"/>
              </w:rPr>
            </w:pPr>
            <w:r>
              <w:rPr>
                <w:rFonts w:hint="default" w:ascii="Times New Roman" w:hAnsi="Times New Roman" w:eastAsia="仿宋_GB2312" w:cs="Times New Roman"/>
                <w:bCs/>
                <w:i w:val="0"/>
                <w:iCs w:val="0"/>
                <w:color w:val="auto"/>
                <w:spacing w:val="0"/>
                <w:kern w:val="0"/>
                <w:position w:val="0"/>
                <w:sz w:val="22"/>
                <w:szCs w:val="22"/>
                <w:u w:val="none"/>
                <w:vertAlign w:val="baseline"/>
                <w:lang w:val="en-US" w:eastAsia="zh-CN" w:bidi="ar"/>
              </w:rPr>
              <w:t>3</w:t>
            </w:r>
          </w:p>
        </w:tc>
        <w:tc>
          <w:tcPr>
            <w:tcW w:w="1293" w:type="pct"/>
            <w:gridSpan w:val="4"/>
            <w:tcBorders>
              <w:tl2br w:val="nil"/>
              <w:tr2bl w:val="nil"/>
            </w:tcBorders>
            <w:noWrap w:val="0"/>
            <w:vAlign w:val="center"/>
          </w:tcPr>
          <w:p w14:paraId="3FA0C134">
            <w:pPr>
              <w:adjustRightInd w:val="0"/>
              <w:snapToGrid w:val="0"/>
              <w:jc w:val="center"/>
              <w:rPr>
                <w:rFonts w:hint="default" w:ascii="Times New Roman" w:hAnsi="Times New Roman" w:eastAsia="仿宋_GB2312" w:cs="Times New Roman"/>
                <w:i w:val="0"/>
                <w:iCs w:val="0"/>
                <w:color w:val="auto"/>
                <w:spacing w:val="0"/>
                <w:kern w:val="0"/>
                <w:position w:val="0"/>
                <w:sz w:val="22"/>
                <w:szCs w:val="22"/>
                <w:u w:val="none"/>
                <w:vertAlign w:val="baseline"/>
                <w:lang w:val="en-US" w:eastAsia="zh-CN" w:bidi="ar-SA"/>
              </w:rPr>
            </w:pPr>
            <w:r>
              <w:rPr>
                <w:rFonts w:hint="eastAsia" w:eastAsia="仿宋_GB2312"/>
                <w:sz w:val="21"/>
                <w:szCs w:val="21"/>
              </w:rPr>
              <w:t>南圩</w:t>
            </w:r>
          </w:p>
        </w:tc>
        <w:tc>
          <w:tcPr>
            <w:tcW w:w="626" w:type="pct"/>
            <w:gridSpan w:val="2"/>
            <w:tcBorders>
              <w:tl2br w:val="nil"/>
              <w:tr2bl w:val="nil"/>
            </w:tcBorders>
            <w:noWrap w:val="0"/>
            <w:vAlign w:val="center"/>
          </w:tcPr>
          <w:p w14:paraId="4FCA4522">
            <w:pPr>
              <w:adjustRightInd w:val="0"/>
              <w:snapToGrid w:val="0"/>
              <w:jc w:val="center"/>
              <w:rPr>
                <w:rFonts w:hint="default" w:ascii="Times New Roman" w:hAnsi="Times New Roman" w:eastAsia="仿宋_GB2312" w:cs="Times New Roman"/>
                <w:i w:val="0"/>
                <w:iCs w:val="0"/>
                <w:color w:val="auto"/>
                <w:spacing w:val="0"/>
                <w:kern w:val="0"/>
                <w:position w:val="0"/>
                <w:sz w:val="22"/>
                <w:szCs w:val="22"/>
                <w:u w:val="none"/>
                <w:vertAlign w:val="baseline"/>
                <w:lang w:val="en-US" w:eastAsia="zh-CN" w:bidi="ar-SA"/>
              </w:rPr>
            </w:pPr>
            <w:r>
              <w:rPr>
                <w:rFonts w:hint="eastAsia" w:eastAsia="仿宋_GB2312"/>
                <w:kern w:val="0"/>
                <w:sz w:val="21"/>
                <w:szCs w:val="21"/>
              </w:rPr>
              <w:t>W</w:t>
            </w:r>
          </w:p>
        </w:tc>
        <w:tc>
          <w:tcPr>
            <w:tcW w:w="715" w:type="pct"/>
            <w:gridSpan w:val="2"/>
            <w:tcBorders>
              <w:tl2br w:val="nil"/>
              <w:tr2bl w:val="nil"/>
            </w:tcBorders>
            <w:noWrap w:val="0"/>
            <w:vAlign w:val="center"/>
          </w:tcPr>
          <w:p w14:paraId="0D16C207">
            <w:pPr>
              <w:adjustRightInd w:val="0"/>
              <w:snapToGrid w:val="0"/>
              <w:jc w:val="center"/>
              <w:rPr>
                <w:rFonts w:hint="default" w:ascii="Times New Roman" w:hAnsi="Times New Roman" w:eastAsia="仿宋_GB2312" w:cs="Times New Roman"/>
                <w:i w:val="0"/>
                <w:iCs w:val="0"/>
                <w:color w:val="auto"/>
                <w:spacing w:val="0"/>
                <w:kern w:val="0"/>
                <w:position w:val="0"/>
                <w:sz w:val="22"/>
                <w:szCs w:val="22"/>
                <w:u w:val="none"/>
                <w:vertAlign w:val="baseline"/>
                <w:lang w:val="en-US" w:eastAsia="zh-CN" w:bidi="ar-SA"/>
              </w:rPr>
            </w:pPr>
            <w:r>
              <w:rPr>
                <w:rFonts w:hint="eastAsia" w:eastAsia="仿宋_GB2312"/>
                <w:kern w:val="0"/>
                <w:sz w:val="21"/>
                <w:szCs w:val="21"/>
              </w:rPr>
              <w:t>133</w:t>
            </w:r>
          </w:p>
        </w:tc>
        <w:tc>
          <w:tcPr>
            <w:tcW w:w="626" w:type="pct"/>
            <w:gridSpan w:val="4"/>
            <w:tcBorders>
              <w:tl2br w:val="nil"/>
              <w:tr2bl w:val="nil"/>
            </w:tcBorders>
            <w:noWrap w:val="0"/>
            <w:vAlign w:val="center"/>
          </w:tcPr>
          <w:p w14:paraId="3BAAB54D">
            <w:pPr>
              <w:keepNext w:val="0"/>
              <w:keepLines w:val="0"/>
              <w:pageBreakBefore w:val="0"/>
              <w:widowControl/>
              <w:suppressLineNumbers w:val="0"/>
              <w:kinsoku/>
              <w:wordWrap/>
              <w:bidi w:val="0"/>
              <w:adjustRightInd w:val="0"/>
              <w:snapToGrid w:val="0"/>
              <w:spacing w:beforeAutospacing="0" w:afterAutospacing="0"/>
              <w:ind w:left="0" w:leftChars="0" w:right="0"/>
              <w:jc w:val="center"/>
              <w:textAlignment w:val="center"/>
              <w:rPr>
                <w:rFonts w:hint="default" w:ascii="Times New Roman" w:hAnsi="Times New Roman" w:eastAsia="仿宋_GB2312" w:cs="Times New Roman"/>
                <w:i w:val="0"/>
                <w:iCs w:val="0"/>
                <w:color w:val="auto"/>
                <w:spacing w:val="0"/>
                <w:kern w:val="0"/>
                <w:position w:val="0"/>
                <w:sz w:val="21"/>
                <w:szCs w:val="21"/>
                <w:u w:val="none"/>
                <w:vertAlign w:val="baseline"/>
                <w:lang w:val="en-US" w:eastAsia="zh-CN" w:bidi="ar-SA"/>
              </w:rPr>
            </w:pPr>
            <w:r>
              <w:rPr>
                <w:rFonts w:hint="default" w:ascii="Times New Roman" w:hAnsi="Times New Roman" w:eastAsia="仿宋_GB2312" w:cs="Times New Roman"/>
                <w:bCs/>
                <w:i w:val="0"/>
                <w:iCs w:val="0"/>
                <w:color w:val="auto"/>
                <w:spacing w:val="0"/>
                <w:kern w:val="0"/>
                <w:position w:val="0"/>
                <w:sz w:val="21"/>
                <w:szCs w:val="21"/>
                <w:u w:val="none"/>
                <w:vertAlign w:val="baseline"/>
                <w:lang w:val="en-US" w:eastAsia="zh-CN" w:bidi="ar"/>
              </w:rPr>
              <w:t>居民</w:t>
            </w:r>
          </w:p>
        </w:tc>
        <w:tc>
          <w:tcPr>
            <w:tcW w:w="951" w:type="pct"/>
            <w:gridSpan w:val="2"/>
            <w:tcBorders>
              <w:tl2br w:val="nil"/>
              <w:tr2bl w:val="nil"/>
            </w:tcBorders>
            <w:noWrap w:val="0"/>
            <w:vAlign w:val="center"/>
          </w:tcPr>
          <w:p w14:paraId="5E7F464E">
            <w:pPr>
              <w:adjustRightInd w:val="0"/>
              <w:snapToGrid w:val="0"/>
              <w:jc w:val="center"/>
              <w:rPr>
                <w:rFonts w:hint="default" w:ascii="Times New Roman" w:hAnsi="Times New Roman" w:eastAsia="仿宋_GB2312" w:cs="Times New Roman"/>
                <w:i w:val="0"/>
                <w:iCs w:val="0"/>
                <w:color w:val="auto"/>
                <w:spacing w:val="0"/>
                <w:kern w:val="0"/>
                <w:position w:val="0"/>
                <w:sz w:val="22"/>
                <w:szCs w:val="22"/>
                <w:u w:val="none"/>
                <w:vertAlign w:val="baseline"/>
                <w:lang w:val="en-US" w:eastAsia="zh-CN" w:bidi="ar-SA"/>
              </w:rPr>
            </w:pPr>
            <w:r>
              <w:rPr>
                <w:rFonts w:hint="eastAsia" w:eastAsia="仿宋_GB2312"/>
                <w:sz w:val="21"/>
                <w:szCs w:val="21"/>
              </w:rPr>
              <w:t>约70户/100人</w:t>
            </w:r>
          </w:p>
        </w:tc>
      </w:tr>
      <w:tr w14:paraId="17F9D5A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0" w:hRule="atLeast"/>
          <w:jc w:val="center"/>
        </w:trPr>
        <w:tc>
          <w:tcPr>
            <w:tcW w:w="397" w:type="pct"/>
            <w:vMerge w:val="continue"/>
            <w:tcBorders>
              <w:tl2br w:val="nil"/>
              <w:tr2bl w:val="nil"/>
            </w:tcBorders>
            <w:noWrap w:val="0"/>
            <w:vAlign w:val="center"/>
          </w:tcPr>
          <w:p w14:paraId="623A15FA">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rPr>
            </w:pPr>
          </w:p>
        </w:tc>
        <w:tc>
          <w:tcPr>
            <w:tcW w:w="388" w:type="pct"/>
            <w:tcBorders>
              <w:tl2br w:val="nil"/>
              <w:tr2bl w:val="nil"/>
            </w:tcBorders>
            <w:noWrap w:val="0"/>
            <w:vAlign w:val="center"/>
          </w:tcPr>
          <w:p w14:paraId="392FB8D4">
            <w:pPr>
              <w:keepNext w:val="0"/>
              <w:keepLines w:val="0"/>
              <w:pageBreakBefore w:val="0"/>
              <w:widowControl/>
              <w:suppressLineNumbers w:val="0"/>
              <w:kinsoku/>
              <w:wordWrap/>
              <w:bidi w:val="0"/>
              <w:adjustRightInd w:val="0"/>
              <w:snapToGrid w:val="0"/>
              <w:spacing w:beforeAutospacing="0" w:afterAutospacing="0"/>
              <w:ind w:left="0" w:leftChars="0" w:right="0"/>
              <w:jc w:val="center"/>
              <w:textAlignment w:val="center"/>
              <w:rPr>
                <w:rFonts w:hint="default" w:ascii="Times New Roman" w:hAnsi="Times New Roman" w:eastAsia="仿宋_GB2312" w:cs="Times New Roman"/>
                <w:i w:val="0"/>
                <w:iCs w:val="0"/>
                <w:color w:val="auto"/>
                <w:spacing w:val="0"/>
                <w:kern w:val="0"/>
                <w:position w:val="0"/>
                <w:sz w:val="22"/>
                <w:szCs w:val="22"/>
                <w:u w:val="none"/>
                <w:vertAlign w:val="baseline"/>
                <w:lang w:val="en-US" w:eastAsia="zh-CN" w:bidi="ar-SA"/>
              </w:rPr>
            </w:pPr>
            <w:r>
              <w:rPr>
                <w:rFonts w:hint="default" w:ascii="Times New Roman" w:hAnsi="Times New Roman" w:eastAsia="仿宋_GB2312" w:cs="Times New Roman"/>
                <w:bCs/>
                <w:i w:val="0"/>
                <w:iCs w:val="0"/>
                <w:color w:val="auto"/>
                <w:spacing w:val="0"/>
                <w:kern w:val="0"/>
                <w:position w:val="0"/>
                <w:sz w:val="22"/>
                <w:szCs w:val="22"/>
                <w:u w:val="none"/>
                <w:vertAlign w:val="baseline"/>
                <w:lang w:val="en-US" w:eastAsia="zh-CN" w:bidi="ar"/>
              </w:rPr>
              <w:t>4</w:t>
            </w:r>
          </w:p>
        </w:tc>
        <w:tc>
          <w:tcPr>
            <w:tcW w:w="1293" w:type="pct"/>
            <w:gridSpan w:val="4"/>
            <w:tcBorders>
              <w:tl2br w:val="nil"/>
              <w:tr2bl w:val="nil"/>
            </w:tcBorders>
            <w:noWrap w:val="0"/>
            <w:vAlign w:val="center"/>
          </w:tcPr>
          <w:p w14:paraId="4324DF22">
            <w:pPr>
              <w:adjustRightInd w:val="0"/>
              <w:snapToGrid w:val="0"/>
              <w:jc w:val="center"/>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金坛市区</w:t>
            </w:r>
          </w:p>
        </w:tc>
        <w:tc>
          <w:tcPr>
            <w:tcW w:w="626" w:type="pct"/>
            <w:gridSpan w:val="2"/>
            <w:tcBorders>
              <w:tl2br w:val="nil"/>
              <w:tr2bl w:val="nil"/>
            </w:tcBorders>
            <w:noWrap w:val="0"/>
            <w:vAlign w:val="center"/>
          </w:tcPr>
          <w:p w14:paraId="35020F8C">
            <w:pPr>
              <w:adjustRightInd w:val="0"/>
              <w:snapToGrid w:val="0"/>
              <w:jc w:val="center"/>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S</w:t>
            </w:r>
          </w:p>
        </w:tc>
        <w:tc>
          <w:tcPr>
            <w:tcW w:w="715" w:type="pct"/>
            <w:gridSpan w:val="2"/>
            <w:tcBorders>
              <w:tl2br w:val="nil"/>
              <w:tr2bl w:val="nil"/>
            </w:tcBorders>
            <w:noWrap w:val="0"/>
            <w:vAlign w:val="center"/>
          </w:tcPr>
          <w:p w14:paraId="6E9B050B">
            <w:pPr>
              <w:adjustRightInd w:val="0"/>
              <w:snapToGrid w:val="0"/>
              <w:jc w:val="center"/>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1037（最近居名点）</w:t>
            </w:r>
          </w:p>
        </w:tc>
        <w:tc>
          <w:tcPr>
            <w:tcW w:w="626" w:type="pct"/>
            <w:gridSpan w:val="4"/>
            <w:tcBorders>
              <w:tl2br w:val="nil"/>
              <w:tr2bl w:val="nil"/>
            </w:tcBorders>
            <w:noWrap w:val="0"/>
            <w:vAlign w:val="center"/>
          </w:tcPr>
          <w:p w14:paraId="4086B62E">
            <w:pPr>
              <w:keepNext w:val="0"/>
              <w:keepLines w:val="0"/>
              <w:pageBreakBefore w:val="0"/>
              <w:widowControl/>
              <w:suppressLineNumbers w:val="0"/>
              <w:kinsoku/>
              <w:wordWrap/>
              <w:bidi w:val="0"/>
              <w:adjustRightInd w:val="0"/>
              <w:snapToGrid w:val="0"/>
              <w:spacing w:beforeAutospacing="0" w:afterAutospacing="0"/>
              <w:ind w:left="0" w:leftChars="0" w:right="0"/>
              <w:jc w:val="center"/>
              <w:textAlignment w:val="center"/>
              <w:rPr>
                <w:rFonts w:hint="default" w:ascii="Times New Roman" w:hAnsi="Times New Roman" w:eastAsia="仿宋_GB2312" w:cs="Times New Roman"/>
                <w:i w:val="0"/>
                <w:iCs w:val="0"/>
                <w:color w:val="auto"/>
                <w:spacing w:val="0"/>
                <w:kern w:val="0"/>
                <w:position w:val="0"/>
                <w:sz w:val="21"/>
                <w:szCs w:val="21"/>
                <w:u w:val="none"/>
                <w:vertAlign w:val="baseline"/>
                <w:lang w:val="en-US" w:eastAsia="zh-CN" w:bidi="ar-SA"/>
              </w:rPr>
            </w:pPr>
            <w:r>
              <w:rPr>
                <w:rFonts w:hint="default" w:ascii="Times New Roman" w:hAnsi="Times New Roman" w:eastAsia="仿宋_GB2312" w:cs="Times New Roman"/>
                <w:bCs/>
                <w:i w:val="0"/>
                <w:iCs w:val="0"/>
                <w:color w:val="auto"/>
                <w:spacing w:val="0"/>
                <w:kern w:val="0"/>
                <w:position w:val="0"/>
                <w:sz w:val="21"/>
                <w:szCs w:val="21"/>
                <w:u w:val="none"/>
                <w:vertAlign w:val="baseline"/>
                <w:lang w:val="en-US" w:eastAsia="zh-CN" w:bidi="ar"/>
              </w:rPr>
              <w:t>居民</w:t>
            </w:r>
          </w:p>
        </w:tc>
        <w:tc>
          <w:tcPr>
            <w:tcW w:w="951" w:type="pct"/>
            <w:gridSpan w:val="2"/>
            <w:tcBorders>
              <w:tl2br w:val="nil"/>
              <w:tr2bl w:val="nil"/>
            </w:tcBorders>
            <w:noWrap w:val="0"/>
            <w:vAlign w:val="center"/>
          </w:tcPr>
          <w:p w14:paraId="7F4E701A">
            <w:pPr>
              <w:keepNext w:val="0"/>
              <w:keepLines w:val="0"/>
              <w:pageBreakBefore w:val="0"/>
              <w:widowControl/>
              <w:suppressLineNumbers w:val="0"/>
              <w:kinsoku/>
              <w:wordWrap/>
              <w:bidi w:val="0"/>
              <w:adjustRightInd w:val="0"/>
              <w:snapToGrid w:val="0"/>
              <w:spacing w:beforeAutospacing="0" w:afterAutospacing="0"/>
              <w:ind w:left="0" w:leftChars="0" w:right="0"/>
              <w:jc w:val="center"/>
              <w:textAlignment w:val="center"/>
              <w:rPr>
                <w:rFonts w:hint="default" w:ascii="Times New Roman" w:hAnsi="Times New Roman" w:eastAsia="仿宋_GB2312" w:cs="Times New Roman"/>
                <w:i w:val="0"/>
                <w:iCs w:val="0"/>
                <w:color w:val="auto"/>
                <w:spacing w:val="0"/>
                <w:kern w:val="0"/>
                <w:position w:val="0"/>
                <w:sz w:val="22"/>
                <w:szCs w:val="22"/>
                <w:u w:val="none"/>
                <w:vertAlign w:val="baseline"/>
                <w:lang w:val="en-US" w:eastAsia="zh-CN" w:bidi="ar-SA"/>
              </w:rPr>
            </w:pPr>
            <w:r>
              <w:rPr>
                <w:rFonts w:hint="eastAsia" w:ascii="Times New Roman" w:hAnsi="Times New Roman" w:eastAsia="仿宋_GB2312" w:cs="Times New Roman"/>
                <w:i w:val="0"/>
                <w:iCs w:val="0"/>
                <w:color w:val="auto"/>
                <w:spacing w:val="0"/>
                <w:kern w:val="0"/>
                <w:position w:val="0"/>
                <w:sz w:val="22"/>
                <w:szCs w:val="22"/>
                <w:u w:val="none"/>
                <w:vertAlign w:val="baseline"/>
                <w:lang w:val="en-US" w:eastAsia="zh-CN" w:bidi="ar-SA"/>
              </w:rPr>
              <w:t>约17万人</w:t>
            </w:r>
          </w:p>
        </w:tc>
      </w:tr>
      <w:tr w14:paraId="375561A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0" w:hRule="atLeast"/>
          <w:jc w:val="center"/>
        </w:trPr>
        <w:tc>
          <w:tcPr>
            <w:tcW w:w="397" w:type="pct"/>
            <w:vMerge w:val="continue"/>
            <w:tcBorders>
              <w:tl2br w:val="nil"/>
              <w:tr2bl w:val="nil"/>
            </w:tcBorders>
            <w:noWrap w:val="0"/>
            <w:vAlign w:val="center"/>
          </w:tcPr>
          <w:p w14:paraId="568B11F5">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rPr>
            </w:pPr>
          </w:p>
        </w:tc>
        <w:tc>
          <w:tcPr>
            <w:tcW w:w="388" w:type="pct"/>
            <w:tcBorders>
              <w:tl2br w:val="nil"/>
              <w:tr2bl w:val="nil"/>
            </w:tcBorders>
            <w:noWrap w:val="0"/>
            <w:vAlign w:val="center"/>
          </w:tcPr>
          <w:p w14:paraId="395CEED4">
            <w:pPr>
              <w:keepNext w:val="0"/>
              <w:keepLines w:val="0"/>
              <w:pageBreakBefore w:val="0"/>
              <w:widowControl/>
              <w:suppressLineNumbers w:val="0"/>
              <w:kinsoku/>
              <w:wordWrap/>
              <w:bidi w:val="0"/>
              <w:adjustRightInd w:val="0"/>
              <w:snapToGrid w:val="0"/>
              <w:spacing w:beforeAutospacing="0" w:afterAutospacing="0"/>
              <w:ind w:left="0" w:leftChars="0" w:right="0"/>
              <w:jc w:val="center"/>
              <w:textAlignment w:val="center"/>
              <w:rPr>
                <w:rFonts w:hint="default" w:ascii="Times New Roman" w:hAnsi="Times New Roman" w:eastAsia="仿宋_GB2312" w:cs="Times New Roman"/>
                <w:i w:val="0"/>
                <w:iCs w:val="0"/>
                <w:color w:val="auto"/>
                <w:spacing w:val="0"/>
                <w:kern w:val="0"/>
                <w:position w:val="0"/>
                <w:sz w:val="22"/>
                <w:szCs w:val="22"/>
                <w:u w:val="none"/>
                <w:vertAlign w:val="baseline"/>
                <w:lang w:val="en-US" w:eastAsia="zh-CN" w:bidi="ar-SA"/>
              </w:rPr>
            </w:pPr>
            <w:r>
              <w:rPr>
                <w:rFonts w:hint="default" w:ascii="Times New Roman" w:hAnsi="Times New Roman" w:eastAsia="仿宋_GB2312" w:cs="Times New Roman"/>
                <w:bCs/>
                <w:i w:val="0"/>
                <w:iCs w:val="0"/>
                <w:color w:val="auto"/>
                <w:spacing w:val="0"/>
                <w:kern w:val="0"/>
                <w:position w:val="0"/>
                <w:sz w:val="22"/>
                <w:szCs w:val="22"/>
                <w:u w:val="none"/>
                <w:vertAlign w:val="baseline"/>
                <w:lang w:val="en-US" w:eastAsia="zh-CN" w:bidi="ar"/>
              </w:rPr>
              <w:t>5</w:t>
            </w:r>
          </w:p>
        </w:tc>
        <w:tc>
          <w:tcPr>
            <w:tcW w:w="1293" w:type="pct"/>
            <w:gridSpan w:val="4"/>
            <w:tcBorders>
              <w:tl2br w:val="nil"/>
              <w:tr2bl w:val="nil"/>
            </w:tcBorders>
            <w:noWrap w:val="0"/>
            <w:vAlign w:val="center"/>
          </w:tcPr>
          <w:p w14:paraId="42656BC1">
            <w:pPr>
              <w:adjustRightInd w:val="0"/>
              <w:snapToGrid w:val="0"/>
              <w:jc w:val="center"/>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周家村</w:t>
            </w:r>
          </w:p>
        </w:tc>
        <w:tc>
          <w:tcPr>
            <w:tcW w:w="626" w:type="pct"/>
            <w:gridSpan w:val="2"/>
            <w:tcBorders>
              <w:tl2br w:val="nil"/>
              <w:tr2bl w:val="nil"/>
            </w:tcBorders>
            <w:noWrap w:val="0"/>
            <w:vAlign w:val="center"/>
          </w:tcPr>
          <w:p w14:paraId="66EE3367">
            <w:pPr>
              <w:adjustRightInd w:val="0"/>
              <w:snapToGrid w:val="0"/>
              <w:jc w:val="center"/>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rPr>
              <w:t>E</w:t>
            </w:r>
          </w:p>
        </w:tc>
        <w:tc>
          <w:tcPr>
            <w:tcW w:w="715" w:type="pct"/>
            <w:gridSpan w:val="2"/>
            <w:tcBorders>
              <w:tl2br w:val="nil"/>
              <w:tr2bl w:val="nil"/>
            </w:tcBorders>
            <w:noWrap w:val="0"/>
            <w:vAlign w:val="center"/>
          </w:tcPr>
          <w:p w14:paraId="3FFD6973">
            <w:pPr>
              <w:adjustRightInd w:val="0"/>
              <w:snapToGrid w:val="0"/>
              <w:jc w:val="center"/>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3171</w:t>
            </w:r>
          </w:p>
        </w:tc>
        <w:tc>
          <w:tcPr>
            <w:tcW w:w="626" w:type="pct"/>
            <w:gridSpan w:val="4"/>
            <w:tcBorders>
              <w:tl2br w:val="nil"/>
              <w:tr2bl w:val="nil"/>
            </w:tcBorders>
            <w:noWrap w:val="0"/>
            <w:vAlign w:val="center"/>
          </w:tcPr>
          <w:p w14:paraId="0E87286A">
            <w:pPr>
              <w:keepNext w:val="0"/>
              <w:keepLines w:val="0"/>
              <w:pageBreakBefore w:val="0"/>
              <w:widowControl/>
              <w:suppressLineNumbers w:val="0"/>
              <w:kinsoku/>
              <w:wordWrap/>
              <w:bidi w:val="0"/>
              <w:adjustRightInd w:val="0"/>
              <w:snapToGrid w:val="0"/>
              <w:spacing w:beforeAutospacing="0" w:afterAutospacing="0"/>
              <w:ind w:left="0" w:leftChars="0" w:right="0"/>
              <w:jc w:val="center"/>
              <w:textAlignment w:val="center"/>
              <w:rPr>
                <w:rFonts w:hint="default" w:ascii="Times New Roman" w:hAnsi="Times New Roman" w:eastAsia="仿宋_GB2312" w:cs="Times New Roman"/>
                <w:i w:val="0"/>
                <w:iCs w:val="0"/>
                <w:color w:val="auto"/>
                <w:spacing w:val="0"/>
                <w:kern w:val="0"/>
                <w:position w:val="0"/>
                <w:sz w:val="21"/>
                <w:szCs w:val="21"/>
                <w:u w:val="none"/>
                <w:vertAlign w:val="baseline"/>
                <w:lang w:val="en-US" w:eastAsia="zh-CN" w:bidi="ar-SA"/>
              </w:rPr>
            </w:pPr>
            <w:r>
              <w:rPr>
                <w:rFonts w:hint="default" w:ascii="Times New Roman" w:hAnsi="Times New Roman" w:eastAsia="仿宋_GB2312" w:cs="Times New Roman"/>
                <w:bCs/>
                <w:i w:val="0"/>
                <w:iCs w:val="0"/>
                <w:color w:val="auto"/>
                <w:spacing w:val="0"/>
                <w:kern w:val="0"/>
                <w:position w:val="0"/>
                <w:sz w:val="21"/>
                <w:szCs w:val="21"/>
                <w:u w:val="none"/>
                <w:vertAlign w:val="baseline"/>
                <w:lang w:val="en-US" w:eastAsia="zh-CN" w:bidi="ar"/>
              </w:rPr>
              <w:t>居民</w:t>
            </w:r>
          </w:p>
        </w:tc>
        <w:tc>
          <w:tcPr>
            <w:tcW w:w="951" w:type="pct"/>
            <w:gridSpan w:val="2"/>
            <w:tcBorders>
              <w:tl2br w:val="nil"/>
              <w:tr2bl w:val="nil"/>
            </w:tcBorders>
            <w:noWrap w:val="0"/>
            <w:vAlign w:val="center"/>
          </w:tcPr>
          <w:p w14:paraId="7F45B6AF">
            <w:pPr>
              <w:keepNext w:val="0"/>
              <w:keepLines w:val="0"/>
              <w:pageBreakBefore w:val="0"/>
              <w:widowControl/>
              <w:suppressLineNumbers w:val="0"/>
              <w:kinsoku/>
              <w:wordWrap/>
              <w:bidi w:val="0"/>
              <w:adjustRightInd w:val="0"/>
              <w:snapToGrid w:val="0"/>
              <w:spacing w:beforeAutospacing="0" w:afterAutospacing="0"/>
              <w:ind w:left="0" w:leftChars="0" w:right="0"/>
              <w:jc w:val="center"/>
              <w:textAlignment w:val="center"/>
              <w:rPr>
                <w:rFonts w:hint="default" w:ascii="Times New Roman" w:hAnsi="Times New Roman" w:eastAsia="仿宋_GB2312" w:cs="Times New Roman"/>
                <w:i w:val="0"/>
                <w:iCs w:val="0"/>
                <w:color w:val="auto"/>
                <w:spacing w:val="0"/>
                <w:kern w:val="0"/>
                <w:position w:val="0"/>
                <w:sz w:val="22"/>
                <w:szCs w:val="22"/>
                <w:u w:val="none"/>
                <w:vertAlign w:val="baseline"/>
                <w:lang w:val="en-US" w:eastAsia="zh-CN" w:bidi="ar-SA"/>
              </w:rPr>
            </w:pPr>
            <w:r>
              <w:rPr>
                <w:rFonts w:hint="default" w:ascii="Times New Roman" w:hAnsi="Times New Roman" w:eastAsia="仿宋_GB2312" w:cs="Times New Roman"/>
                <w:bCs/>
                <w:i w:val="0"/>
                <w:iCs w:val="0"/>
                <w:color w:val="auto"/>
                <w:spacing w:val="0"/>
                <w:kern w:val="0"/>
                <w:position w:val="0"/>
                <w:sz w:val="22"/>
                <w:szCs w:val="22"/>
                <w:u w:val="none"/>
                <w:vertAlign w:val="baseline"/>
                <w:lang w:val="en-US" w:eastAsia="zh-CN" w:bidi="ar"/>
              </w:rPr>
              <w:t>80户/280人</w:t>
            </w:r>
          </w:p>
        </w:tc>
      </w:tr>
      <w:tr w14:paraId="36E0867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0" w:hRule="atLeast"/>
          <w:jc w:val="center"/>
        </w:trPr>
        <w:tc>
          <w:tcPr>
            <w:tcW w:w="397" w:type="pct"/>
            <w:vMerge w:val="continue"/>
            <w:tcBorders>
              <w:tl2br w:val="nil"/>
              <w:tr2bl w:val="nil"/>
            </w:tcBorders>
            <w:noWrap w:val="0"/>
            <w:vAlign w:val="center"/>
          </w:tcPr>
          <w:p w14:paraId="69BE32FF">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rPr>
            </w:pPr>
          </w:p>
        </w:tc>
        <w:tc>
          <w:tcPr>
            <w:tcW w:w="388" w:type="pct"/>
            <w:tcBorders>
              <w:tl2br w:val="nil"/>
              <w:tr2bl w:val="nil"/>
            </w:tcBorders>
            <w:noWrap w:val="0"/>
            <w:vAlign w:val="center"/>
          </w:tcPr>
          <w:p w14:paraId="55E5D0BB">
            <w:pPr>
              <w:keepNext w:val="0"/>
              <w:keepLines w:val="0"/>
              <w:pageBreakBefore w:val="0"/>
              <w:widowControl/>
              <w:suppressLineNumbers w:val="0"/>
              <w:kinsoku/>
              <w:wordWrap/>
              <w:bidi w:val="0"/>
              <w:adjustRightInd w:val="0"/>
              <w:snapToGrid w:val="0"/>
              <w:spacing w:beforeAutospacing="0" w:afterAutospacing="0"/>
              <w:ind w:left="0" w:leftChars="0" w:right="0"/>
              <w:jc w:val="center"/>
              <w:textAlignment w:val="center"/>
              <w:rPr>
                <w:rFonts w:hint="default" w:ascii="Times New Roman" w:hAnsi="Times New Roman" w:eastAsia="仿宋_GB2312" w:cs="Times New Roman"/>
                <w:i w:val="0"/>
                <w:iCs w:val="0"/>
                <w:color w:val="auto"/>
                <w:spacing w:val="0"/>
                <w:kern w:val="0"/>
                <w:position w:val="0"/>
                <w:sz w:val="22"/>
                <w:szCs w:val="22"/>
                <w:u w:val="none"/>
                <w:vertAlign w:val="baseline"/>
                <w:lang w:val="en-US" w:eastAsia="zh-CN" w:bidi="ar-SA"/>
              </w:rPr>
            </w:pPr>
            <w:r>
              <w:rPr>
                <w:rFonts w:hint="default" w:ascii="Times New Roman" w:hAnsi="Times New Roman" w:eastAsia="仿宋_GB2312" w:cs="Times New Roman"/>
                <w:bCs/>
                <w:i w:val="0"/>
                <w:iCs w:val="0"/>
                <w:color w:val="auto"/>
                <w:spacing w:val="0"/>
                <w:kern w:val="0"/>
                <w:position w:val="0"/>
                <w:sz w:val="22"/>
                <w:szCs w:val="22"/>
                <w:u w:val="none"/>
                <w:vertAlign w:val="baseline"/>
                <w:lang w:val="en-US" w:eastAsia="zh-CN" w:bidi="ar"/>
              </w:rPr>
              <w:t>6</w:t>
            </w:r>
          </w:p>
        </w:tc>
        <w:tc>
          <w:tcPr>
            <w:tcW w:w="1293" w:type="pct"/>
            <w:gridSpan w:val="4"/>
            <w:tcBorders>
              <w:tl2br w:val="nil"/>
              <w:tr2bl w:val="nil"/>
            </w:tcBorders>
            <w:shd w:val="clear" w:color="auto" w:fill="auto"/>
            <w:noWrap w:val="0"/>
            <w:vAlign w:val="center"/>
          </w:tcPr>
          <w:p w14:paraId="15FA6F0B">
            <w:pPr>
              <w:adjustRightInd w:val="0"/>
              <w:snapToGrid w:val="0"/>
              <w:jc w:val="center"/>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后巷上</w:t>
            </w:r>
          </w:p>
        </w:tc>
        <w:tc>
          <w:tcPr>
            <w:tcW w:w="626" w:type="pct"/>
            <w:gridSpan w:val="2"/>
            <w:tcBorders>
              <w:tl2br w:val="nil"/>
              <w:tr2bl w:val="nil"/>
            </w:tcBorders>
            <w:shd w:val="clear" w:color="auto" w:fill="auto"/>
            <w:noWrap w:val="0"/>
            <w:vAlign w:val="center"/>
          </w:tcPr>
          <w:p w14:paraId="45736B3A">
            <w:pPr>
              <w:adjustRightInd w:val="0"/>
              <w:snapToGrid w:val="0"/>
              <w:jc w:val="center"/>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rPr>
              <w:t>E</w:t>
            </w:r>
          </w:p>
        </w:tc>
        <w:tc>
          <w:tcPr>
            <w:tcW w:w="715" w:type="pct"/>
            <w:gridSpan w:val="2"/>
            <w:tcBorders>
              <w:tl2br w:val="nil"/>
              <w:tr2bl w:val="nil"/>
            </w:tcBorders>
            <w:shd w:val="clear" w:color="auto" w:fill="auto"/>
            <w:noWrap w:val="0"/>
            <w:vAlign w:val="center"/>
          </w:tcPr>
          <w:p w14:paraId="4864E9B3">
            <w:pPr>
              <w:adjustRightInd w:val="0"/>
              <w:snapToGrid w:val="0"/>
              <w:jc w:val="center"/>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3713</w:t>
            </w:r>
          </w:p>
        </w:tc>
        <w:tc>
          <w:tcPr>
            <w:tcW w:w="626" w:type="pct"/>
            <w:gridSpan w:val="4"/>
            <w:tcBorders>
              <w:tl2br w:val="nil"/>
              <w:tr2bl w:val="nil"/>
            </w:tcBorders>
            <w:noWrap w:val="0"/>
            <w:vAlign w:val="center"/>
          </w:tcPr>
          <w:p w14:paraId="25B4D4D7">
            <w:pPr>
              <w:keepNext w:val="0"/>
              <w:keepLines w:val="0"/>
              <w:pageBreakBefore w:val="0"/>
              <w:widowControl/>
              <w:suppressLineNumbers w:val="0"/>
              <w:kinsoku/>
              <w:wordWrap/>
              <w:bidi w:val="0"/>
              <w:adjustRightInd w:val="0"/>
              <w:snapToGrid w:val="0"/>
              <w:spacing w:beforeAutospacing="0" w:afterAutospacing="0"/>
              <w:ind w:left="0" w:leftChars="0" w:right="0"/>
              <w:jc w:val="center"/>
              <w:textAlignment w:val="center"/>
              <w:rPr>
                <w:rFonts w:hint="default" w:ascii="Times New Roman" w:hAnsi="Times New Roman" w:eastAsia="仿宋_GB2312" w:cs="Times New Roman"/>
                <w:i w:val="0"/>
                <w:iCs w:val="0"/>
                <w:color w:val="auto"/>
                <w:spacing w:val="0"/>
                <w:kern w:val="0"/>
                <w:position w:val="0"/>
                <w:sz w:val="21"/>
                <w:szCs w:val="21"/>
                <w:u w:val="none"/>
                <w:vertAlign w:val="baseline"/>
                <w:lang w:val="en-US" w:eastAsia="zh-CN" w:bidi="ar-SA"/>
              </w:rPr>
            </w:pPr>
            <w:r>
              <w:rPr>
                <w:rFonts w:hint="default" w:ascii="Times New Roman" w:hAnsi="Times New Roman" w:eastAsia="仿宋_GB2312" w:cs="Times New Roman"/>
                <w:bCs/>
                <w:i w:val="0"/>
                <w:iCs w:val="0"/>
                <w:color w:val="auto"/>
                <w:spacing w:val="0"/>
                <w:kern w:val="0"/>
                <w:position w:val="0"/>
                <w:sz w:val="21"/>
                <w:szCs w:val="21"/>
                <w:u w:val="none"/>
                <w:vertAlign w:val="baseline"/>
                <w:lang w:val="en-US" w:eastAsia="zh-CN" w:bidi="ar"/>
              </w:rPr>
              <w:t>居民</w:t>
            </w:r>
          </w:p>
        </w:tc>
        <w:tc>
          <w:tcPr>
            <w:tcW w:w="951" w:type="pct"/>
            <w:gridSpan w:val="2"/>
            <w:tcBorders>
              <w:tl2br w:val="nil"/>
              <w:tr2bl w:val="nil"/>
            </w:tcBorders>
            <w:noWrap w:val="0"/>
            <w:vAlign w:val="center"/>
          </w:tcPr>
          <w:p w14:paraId="5AAF7A5D">
            <w:pPr>
              <w:keepNext w:val="0"/>
              <w:keepLines w:val="0"/>
              <w:pageBreakBefore w:val="0"/>
              <w:widowControl/>
              <w:suppressLineNumbers w:val="0"/>
              <w:kinsoku/>
              <w:wordWrap/>
              <w:bidi w:val="0"/>
              <w:adjustRightInd w:val="0"/>
              <w:snapToGrid w:val="0"/>
              <w:spacing w:beforeAutospacing="0" w:afterAutospacing="0"/>
              <w:ind w:left="0" w:leftChars="0" w:right="0"/>
              <w:jc w:val="center"/>
              <w:textAlignment w:val="center"/>
              <w:rPr>
                <w:rFonts w:hint="default" w:ascii="Times New Roman" w:hAnsi="Times New Roman" w:eastAsia="仿宋_GB2312" w:cs="Times New Roman"/>
                <w:i w:val="0"/>
                <w:iCs w:val="0"/>
                <w:color w:val="auto"/>
                <w:spacing w:val="0"/>
                <w:kern w:val="0"/>
                <w:position w:val="0"/>
                <w:sz w:val="22"/>
                <w:szCs w:val="22"/>
                <w:u w:val="none"/>
                <w:vertAlign w:val="baseline"/>
                <w:lang w:val="en-US" w:eastAsia="zh-CN" w:bidi="ar-SA"/>
              </w:rPr>
            </w:pPr>
            <w:r>
              <w:rPr>
                <w:rFonts w:hint="default" w:ascii="Times New Roman" w:hAnsi="Times New Roman" w:eastAsia="仿宋_GB2312" w:cs="Times New Roman"/>
                <w:bCs/>
                <w:i w:val="0"/>
                <w:iCs w:val="0"/>
                <w:color w:val="auto"/>
                <w:spacing w:val="0"/>
                <w:kern w:val="0"/>
                <w:position w:val="0"/>
                <w:sz w:val="22"/>
                <w:szCs w:val="22"/>
                <w:u w:val="none"/>
                <w:vertAlign w:val="baseline"/>
                <w:lang w:val="en-US" w:eastAsia="zh-CN" w:bidi="ar"/>
              </w:rPr>
              <w:t>100人</w:t>
            </w:r>
          </w:p>
        </w:tc>
      </w:tr>
      <w:tr w14:paraId="3FCF00A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0" w:hRule="atLeast"/>
          <w:jc w:val="center"/>
        </w:trPr>
        <w:tc>
          <w:tcPr>
            <w:tcW w:w="397" w:type="pct"/>
            <w:vMerge w:val="continue"/>
            <w:tcBorders>
              <w:tl2br w:val="nil"/>
              <w:tr2bl w:val="nil"/>
            </w:tcBorders>
            <w:noWrap w:val="0"/>
            <w:vAlign w:val="center"/>
          </w:tcPr>
          <w:p w14:paraId="045B4BDF">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rPr>
            </w:pPr>
          </w:p>
        </w:tc>
        <w:tc>
          <w:tcPr>
            <w:tcW w:w="388" w:type="pct"/>
            <w:tcBorders>
              <w:tl2br w:val="nil"/>
              <w:tr2bl w:val="nil"/>
            </w:tcBorders>
            <w:noWrap w:val="0"/>
            <w:vAlign w:val="center"/>
          </w:tcPr>
          <w:p w14:paraId="510504AA">
            <w:pPr>
              <w:keepNext w:val="0"/>
              <w:keepLines w:val="0"/>
              <w:pageBreakBefore w:val="0"/>
              <w:widowControl/>
              <w:suppressLineNumbers w:val="0"/>
              <w:kinsoku/>
              <w:wordWrap/>
              <w:bidi w:val="0"/>
              <w:adjustRightInd w:val="0"/>
              <w:snapToGrid w:val="0"/>
              <w:spacing w:beforeAutospacing="0" w:afterAutospacing="0"/>
              <w:ind w:left="0" w:leftChars="0" w:right="0"/>
              <w:jc w:val="center"/>
              <w:textAlignment w:val="center"/>
              <w:rPr>
                <w:rFonts w:hint="default" w:ascii="Times New Roman" w:hAnsi="Times New Roman" w:eastAsia="仿宋_GB2312" w:cs="Times New Roman"/>
                <w:i w:val="0"/>
                <w:iCs w:val="0"/>
                <w:color w:val="auto"/>
                <w:spacing w:val="0"/>
                <w:kern w:val="0"/>
                <w:position w:val="0"/>
                <w:sz w:val="22"/>
                <w:szCs w:val="22"/>
                <w:u w:val="none"/>
                <w:vertAlign w:val="baseline"/>
                <w:lang w:val="en-US" w:eastAsia="zh-CN" w:bidi="ar-SA"/>
              </w:rPr>
            </w:pPr>
            <w:r>
              <w:rPr>
                <w:rFonts w:hint="default" w:ascii="Times New Roman" w:hAnsi="Times New Roman" w:eastAsia="仿宋_GB2312" w:cs="Times New Roman"/>
                <w:bCs/>
                <w:i w:val="0"/>
                <w:iCs w:val="0"/>
                <w:color w:val="auto"/>
                <w:spacing w:val="0"/>
                <w:kern w:val="0"/>
                <w:position w:val="0"/>
                <w:sz w:val="22"/>
                <w:szCs w:val="22"/>
                <w:u w:val="none"/>
                <w:vertAlign w:val="baseline"/>
                <w:lang w:val="en-US" w:eastAsia="zh-CN" w:bidi="ar"/>
              </w:rPr>
              <w:t>7</w:t>
            </w:r>
          </w:p>
        </w:tc>
        <w:tc>
          <w:tcPr>
            <w:tcW w:w="1293" w:type="pct"/>
            <w:gridSpan w:val="4"/>
            <w:tcBorders>
              <w:tl2br w:val="nil"/>
              <w:tr2bl w:val="nil"/>
            </w:tcBorders>
            <w:shd w:val="clear" w:color="auto" w:fill="auto"/>
            <w:noWrap w:val="0"/>
            <w:vAlign w:val="center"/>
          </w:tcPr>
          <w:p w14:paraId="7F4A9AAF">
            <w:pPr>
              <w:adjustRightInd w:val="0"/>
              <w:snapToGrid w:val="0"/>
              <w:jc w:val="center"/>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后符村</w:t>
            </w:r>
          </w:p>
        </w:tc>
        <w:tc>
          <w:tcPr>
            <w:tcW w:w="626" w:type="pct"/>
            <w:gridSpan w:val="2"/>
            <w:tcBorders>
              <w:tl2br w:val="nil"/>
              <w:tr2bl w:val="nil"/>
            </w:tcBorders>
            <w:shd w:val="clear" w:color="auto" w:fill="auto"/>
            <w:noWrap w:val="0"/>
            <w:vAlign w:val="center"/>
          </w:tcPr>
          <w:p w14:paraId="2038E373">
            <w:pPr>
              <w:adjustRightInd w:val="0"/>
              <w:snapToGrid w:val="0"/>
              <w:jc w:val="center"/>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rPr>
              <w:t>E</w:t>
            </w:r>
          </w:p>
        </w:tc>
        <w:tc>
          <w:tcPr>
            <w:tcW w:w="715" w:type="pct"/>
            <w:gridSpan w:val="2"/>
            <w:tcBorders>
              <w:tl2br w:val="nil"/>
              <w:tr2bl w:val="nil"/>
            </w:tcBorders>
            <w:shd w:val="clear" w:color="auto" w:fill="auto"/>
            <w:noWrap w:val="0"/>
            <w:vAlign w:val="center"/>
          </w:tcPr>
          <w:p w14:paraId="31F77FCB">
            <w:pPr>
              <w:adjustRightInd w:val="0"/>
              <w:snapToGrid w:val="0"/>
              <w:jc w:val="center"/>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4008</w:t>
            </w:r>
          </w:p>
        </w:tc>
        <w:tc>
          <w:tcPr>
            <w:tcW w:w="626" w:type="pct"/>
            <w:gridSpan w:val="4"/>
            <w:tcBorders>
              <w:tl2br w:val="nil"/>
              <w:tr2bl w:val="nil"/>
            </w:tcBorders>
            <w:noWrap w:val="0"/>
            <w:vAlign w:val="center"/>
          </w:tcPr>
          <w:p w14:paraId="450AF323">
            <w:pPr>
              <w:keepNext w:val="0"/>
              <w:keepLines w:val="0"/>
              <w:pageBreakBefore w:val="0"/>
              <w:widowControl/>
              <w:suppressLineNumbers w:val="0"/>
              <w:kinsoku/>
              <w:wordWrap/>
              <w:bidi w:val="0"/>
              <w:adjustRightInd w:val="0"/>
              <w:snapToGrid w:val="0"/>
              <w:spacing w:beforeAutospacing="0" w:afterAutospacing="0"/>
              <w:ind w:left="0" w:leftChars="0" w:right="0"/>
              <w:jc w:val="center"/>
              <w:textAlignment w:val="center"/>
              <w:rPr>
                <w:rFonts w:hint="default" w:ascii="Times New Roman" w:hAnsi="Times New Roman" w:eastAsia="仿宋_GB2312" w:cs="Times New Roman"/>
                <w:i w:val="0"/>
                <w:iCs w:val="0"/>
                <w:color w:val="auto"/>
                <w:spacing w:val="0"/>
                <w:kern w:val="0"/>
                <w:position w:val="0"/>
                <w:sz w:val="21"/>
                <w:szCs w:val="21"/>
                <w:u w:val="none"/>
                <w:vertAlign w:val="baseline"/>
                <w:lang w:val="en-US" w:eastAsia="zh-CN" w:bidi="ar-SA"/>
              </w:rPr>
            </w:pPr>
            <w:r>
              <w:rPr>
                <w:rFonts w:hint="default" w:ascii="Times New Roman" w:hAnsi="Times New Roman" w:eastAsia="仿宋_GB2312" w:cs="Times New Roman"/>
                <w:bCs/>
                <w:i w:val="0"/>
                <w:iCs w:val="0"/>
                <w:color w:val="auto"/>
                <w:spacing w:val="0"/>
                <w:kern w:val="0"/>
                <w:position w:val="0"/>
                <w:sz w:val="21"/>
                <w:szCs w:val="21"/>
                <w:u w:val="none"/>
                <w:vertAlign w:val="baseline"/>
                <w:lang w:val="en-US" w:eastAsia="zh-CN" w:bidi="ar"/>
              </w:rPr>
              <w:t>居民</w:t>
            </w:r>
          </w:p>
        </w:tc>
        <w:tc>
          <w:tcPr>
            <w:tcW w:w="951" w:type="pct"/>
            <w:gridSpan w:val="2"/>
            <w:tcBorders>
              <w:tl2br w:val="nil"/>
              <w:tr2bl w:val="nil"/>
            </w:tcBorders>
            <w:noWrap w:val="0"/>
            <w:vAlign w:val="center"/>
          </w:tcPr>
          <w:p w14:paraId="6976820F">
            <w:pPr>
              <w:keepNext w:val="0"/>
              <w:keepLines w:val="0"/>
              <w:pageBreakBefore w:val="0"/>
              <w:widowControl/>
              <w:suppressLineNumbers w:val="0"/>
              <w:kinsoku/>
              <w:wordWrap/>
              <w:bidi w:val="0"/>
              <w:adjustRightInd w:val="0"/>
              <w:snapToGrid w:val="0"/>
              <w:spacing w:beforeAutospacing="0" w:afterAutospacing="0"/>
              <w:ind w:left="0" w:leftChars="0" w:right="0"/>
              <w:jc w:val="center"/>
              <w:textAlignment w:val="center"/>
              <w:rPr>
                <w:rFonts w:hint="default" w:ascii="Times New Roman" w:hAnsi="Times New Roman" w:eastAsia="仿宋_GB2312" w:cs="Times New Roman"/>
                <w:i w:val="0"/>
                <w:iCs w:val="0"/>
                <w:color w:val="auto"/>
                <w:spacing w:val="0"/>
                <w:kern w:val="0"/>
                <w:position w:val="0"/>
                <w:sz w:val="22"/>
                <w:szCs w:val="22"/>
                <w:u w:val="none"/>
                <w:vertAlign w:val="baseline"/>
                <w:lang w:val="en-US" w:eastAsia="zh-CN" w:bidi="ar-SA"/>
              </w:rPr>
            </w:pPr>
            <w:r>
              <w:rPr>
                <w:rFonts w:hint="default" w:ascii="Times New Roman" w:hAnsi="Times New Roman" w:eastAsia="仿宋_GB2312" w:cs="Times New Roman"/>
                <w:bCs/>
                <w:i w:val="0"/>
                <w:iCs w:val="0"/>
                <w:color w:val="auto"/>
                <w:spacing w:val="0"/>
                <w:kern w:val="0"/>
                <w:position w:val="0"/>
                <w:sz w:val="22"/>
                <w:szCs w:val="22"/>
                <w:u w:val="none"/>
                <w:vertAlign w:val="baseline"/>
                <w:lang w:val="en-US" w:eastAsia="zh-CN" w:bidi="ar"/>
              </w:rPr>
              <w:t>50户/175人</w:t>
            </w:r>
          </w:p>
        </w:tc>
      </w:tr>
      <w:tr w14:paraId="1014019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0" w:hRule="atLeast"/>
          <w:jc w:val="center"/>
        </w:trPr>
        <w:tc>
          <w:tcPr>
            <w:tcW w:w="397" w:type="pct"/>
            <w:vMerge w:val="continue"/>
            <w:tcBorders>
              <w:tl2br w:val="nil"/>
              <w:tr2bl w:val="nil"/>
            </w:tcBorders>
            <w:noWrap w:val="0"/>
            <w:vAlign w:val="center"/>
          </w:tcPr>
          <w:p w14:paraId="777AAC7A">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rPr>
            </w:pPr>
          </w:p>
        </w:tc>
        <w:tc>
          <w:tcPr>
            <w:tcW w:w="388" w:type="pct"/>
            <w:tcBorders>
              <w:tl2br w:val="nil"/>
              <w:tr2bl w:val="nil"/>
            </w:tcBorders>
            <w:noWrap w:val="0"/>
            <w:vAlign w:val="center"/>
          </w:tcPr>
          <w:p w14:paraId="6E681DF6">
            <w:pPr>
              <w:keepNext w:val="0"/>
              <w:keepLines w:val="0"/>
              <w:pageBreakBefore w:val="0"/>
              <w:widowControl/>
              <w:suppressLineNumbers w:val="0"/>
              <w:kinsoku/>
              <w:wordWrap/>
              <w:bidi w:val="0"/>
              <w:adjustRightInd w:val="0"/>
              <w:snapToGrid w:val="0"/>
              <w:spacing w:beforeAutospacing="0" w:afterAutospacing="0"/>
              <w:ind w:left="0" w:leftChars="0" w:right="0"/>
              <w:jc w:val="center"/>
              <w:textAlignment w:val="center"/>
              <w:rPr>
                <w:rFonts w:hint="default" w:ascii="Times New Roman" w:hAnsi="Times New Roman" w:eastAsia="仿宋_GB2312" w:cs="Times New Roman"/>
                <w:i w:val="0"/>
                <w:iCs w:val="0"/>
                <w:color w:val="auto"/>
                <w:spacing w:val="0"/>
                <w:kern w:val="0"/>
                <w:position w:val="0"/>
                <w:sz w:val="22"/>
                <w:szCs w:val="22"/>
                <w:u w:val="none"/>
                <w:vertAlign w:val="baseline"/>
                <w:lang w:val="en-US" w:eastAsia="zh-CN" w:bidi="ar-SA"/>
              </w:rPr>
            </w:pPr>
            <w:r>
              <w:rPr>
                <w:rFonts w:hint="default" w:ascii="Times New Roman" w:hAnsi="Times New Roman" w:eastAsia="仿宋_GB2312" w:cs="Times New Roman"/>
                <w:bCs/>
                <w:i w:val="0"/>
                <w:iCs w:val="0"/>
                <w:color w:val="auto"/>
                <w:spacing w:val="0"/>
                <w:kern w:val="0"/>
                <w:position w:val="0"/>
                <w:sz w:val="22"/>
                <w:szCs w:val="22"/>
                <w:u w:val="none"/>
                <w:vertAlign w:val="baseline"/>
                <w:lang w:val="en-US" w:eastAsia="zh-CN" w:bidi="ar"/>
              </w:rPr>
              <w:t>8</w:t>
            </w:r>
          </w:p>
        </w:tc>
        <w:tc>
          <w:tcPr>
            <w:tcW w:w="1293" w:type="pct"/>
            <w:gridSpan w:val="4"/>
            <w:tcBorders>
              <w:tl2br w:val="nil"/>
              <w:tr2bl w:val="nil"/>
            </w:tcBorders>
            <w:shd w:val="clear" w:color="auto" w:fill="auto"/>
            <w:noWrap w:val="0"/>
            <w:vAlign w:val="center"/>
          </w:tcPr>
          <w:p w14:paraId="6146755F">
            <w:pPr>
              <w:adjustRightInd w:val="0"/>
              <w:snapToGrid w:val="0"/>
              <w:jc w:val="center"/>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塘头村</w:t>
            </w:r>
          </w:p>
        </w:tc>
        <w:tc>
          <w:tcPr>
            <w:tcW w:w="626" w:type="pct"/>
            <w:gridSpan w:val="2"/>
            <w:tcBorders>
              <w:tl2br w:val="nil"/>
              <w:tr2bl w:val="nil"/>
            </w:tcBorders>
            <w:shd w:val="clear" w:color="auto" w:fill="auto"/>
            <w:noWrap w:val="0"/>
            <w:vAlign w:val="center"/>
          </w:tcPr>
          <w:p w14:paraId="7301F81F">
            <w:pPr>
              <w:adjustRightInd w:val="0"/>
              <w:snapToGrid w:val="0"/>
              <w:jc w:val="center"/>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N</w:t>
            </w:r>
            <w:r>
              <w:rPr>
                <w:rFonts w:hint="eastAsia" w:ascii="Times New Roman" w:hAnsi="Times New Roman" w:eastAsia="仿宋_GB2312" w:cs="Times New Roman"/>
                <w:sz w:val="21"/>
                <w:szCs w:val="21"/>
              </w:rPr>
              <w:t>E</w:t>
            </w:r>
          </w:p>
        </w:tc>
        <w:tc>
          <w:tcPr>
            <w:tcW w:w="715" w:type="pct"/>
            <w:gridSpan w:val="2"/>
            <w:tcBorders>
              <w:tl2br w:val="nil"/>
              <w:tr2bl w:val="nil"/>
            </w:tcBorders>
            <w:shd w:val="clear" w:color="auto" w:fill="auto"/>
            <w:noWrap w:val="0"/>
            <w:vAlign w:val="center"/>
          </w:tcPr>
          <w:p w14:paraId="5595D756">
            <w:pPr>
              <w:adjustRightInd w:val="0"/>
              <w:snapToGrid w:val="0"/>
              <w:jc w:val="center"/>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3109</w:t>
            </w:r>
          </w:p>
        </w:tc>
        <w:tc>
          <w:tcPr>
            <w:tcW w:w="626" w:type="pct"/>
            <w:gridSpan w:val="4"/>
            <w:tcBorders>
              <w:tl2br w:val="nil"/>
              <w:tr2bl w:val="nil"/>
            </w:tcBorders>
            <w:noWrap w:val="0"/>
            <w:vAlign w:val="center"/>
          </w:tcPr>
          <w:p w14:paraId="417DCCF1">
            <w:pPr>
              <w:keepNext w:val="0"/>
              <w:keepLines w:val="0"/>
              <w:pageBreakBefore w:val="0"/>
              <w:widowControl/>
              <w:suppressLineNumbers w:val="0"/>
              <w:kinsoku/>
              <w:wordWrap/>
              <w:bidi w:val="0"/>
              <w:adjustRightInd w:val="0"/>
              <w:snapToGrid w:val="0"/>
              <w:spacing w:beforeAutospacing="0" w:afterAutospacing="0"/>
              <w:ind w:left="0" w:leftChars="0" w:right="0"/>
              <w:jc w:val="center"/>
              <w:textAlignment w:val="center"/>
              <w:rPr>
                <w:rFonts w:hint="default" w:ascii="Times New Roman" w:hAnsi="Times New Roman" w:eastAsia="仿宋_GB2312" w:cs="Times New Roman"/>
                <w:i w:val="0"/>
                <w:iCs w:val="0"/>
                <w:color w:val="auto"/>
                <w:spacing w:val="0"/>
                <w:kern w:val="0"/>
                <w:position w:val="0"/>
                <w:sz w:val="21"/>
                <w:szCs w:val="21"/>
                <w:u w:val="none"/>
                <w:vertAlign w:val="baseline"/>
                <w:lang w:val="en-US" w:eastAsia="zh-CN" w:bidi="ar-SA"/>
              </w:rPr>
            </w:pPr>
            <w:r>
              <w:rPr>
                <w:rFonts w:hint="default" w:ascii="Times New Roman" w:hAnsi="Times New Roman" w:eastAsia="仿宋_GB2312" w:cs="Times New Roman"/>
                <w:bCs/>
                <w:i w:val="0"/>
                <w:iCs w:val="0"/>
                <w:color w:val="auto"/>
                <w:spacing w:val="0"/>
                <w:kern w:val="0"/>
                <w:position w:val="0"/>
                <w:sz w:val="21"/>
                <w:szCs w:val="21"/>
                <w:u w:val="none"/>
                <w:vertAlign w:val="baseline"/>
                <w:lang w:val="en-US" w:eastAsia="zh-CN" w:bidi="ar"/>
              </w:rPr>
              <w:t>居民</w:t>
            </w:r>
          </w:p>
        </w:tc>
        <w:tc>
          <w:tcPr>
            <w:tcW w:w="951" w:type="pct"/>
            <w:gridSpan w:val="2"/>
            <w:tcBorders>
              <w:tl2br w:val="nil"/>
              <w:tr2bl w:val="nil"/>
            </w:tcBorders>
            <w:noWrap w:val="0"/>
            <w:vAlign w:val="center"/>
          </w:tcPr>
          <w:p w14:paraId="30DB552A">
            <w:pPr>
              <w:keepNext w:val="0"/>
              <w:keepLines w:val="0"/>
              <w:pageBreakBefore w:val="0"/>
              <w:widowControl/>
              <w:suppressLineNumbers w:val="0"/>
              <w:kinsoku/>
              <w:wordWrap/>
              <w:bidi w:val="0"/>
              <w:adjustRightInd w:val="0"/>
              <w:snapToGrid w:val="0"/>
              <w:spacing w:beforeAutospacing="0" w:afterAutospacing="0"/>
              <w:ind w:left="0" w:leftChars="0" w:right="0"/>
              <w:jc w:val="center"/>
              <w:textAlignment w:val="center"/>
              <w:rPr>
                <w:rFonts w:hint="default" w:ascii="Times New Roman" w:hAnsi="Times New Roman" w:eastAsia="仿宋_GB2312" w:cs="Times New Roman"/>
                <w:i w:val="0"/>
                <w:iCs w:val="0"/>
                <w:color w:val="auto"/>
                <w:spacing w:val="0"/>
                <w:kern w:val="0"/>
                <w:position w:val="0"/>
                <w:sz w:val="21"/>
                <w:szCs w:val="21"/>
                <w:u w:val="none"/>
                <w:vertAlign w:val="baseline"/>
                <w:lang w:val="en-US" w:eastAsia="zh-CN" w:bidi="ar-SA"/>
              </w:rPr>
            </w:pPr>
            <w:r>
              <w:rPr>
                <w:rStyle w:val="90"/>
                <w:rFonts w:hint="default" w:ascii="Times New Roman" w:hAnsi="Times New Roman" w:eastAsia="仿宋_GB2312" w:cs="Times New Roman"/>
                <w:bCs/>
                <w:color w:val="auto"/>
                <w:spacing w:val="0"/>
                <w:kern w:val="0"/>
                <w:position w:val="0"/>
                <w:vertAlign w:val="baseline"/>
                <w:lang w:val="en-US" w:eastAsia="zh-CN" w:bidi="ar"/>
              </w:rPr>
              <w:t>20</w:t>
            </w:r>
            <w:r>
              <w:rPr>
                <w:rFonts w:hint="default" w:ascii="Times New Roman" w:hAnsi="Times New Roman" w:eastAsia="仿宋_GB2312" w:cs="Times New Roman"/>
                <w:bCs/>
                <w:i w:val="0"/>
                <w:iCs w:val="0"/>
                <w:color w:val="auto"/>
                <w:spacing w:val="0"/>
                <w:kern w:val="0"/>
                <w:position w:val="0"/>
                <w:sz w:val="21"/>
                <w:szCs w:val="21"/>
                <w:u w:val="none"/>
                <w:vertAlign w:val="baseline"/>
                <w:lang w:val="en-US" w:eastAsia="zh-CN" w:bidi="ar"/>
              </w:rPr>
              <w:t>户</w:t>
            </w:r>
            <w:r>
              <w:rPr>
                <w:rStyle w:val="90"/>
                <w:rFonts w:hint="default" w:ascii="Times New Roman" w:hAnsi="Times New Roman" w:eastAsia="仿宋_GB2312" w:cs="Times New Roman"/>
                <w:bCs/>
                <w:color w:val="auto"/>
                <w:spacing w:val="0"/>
                <w:kern w:val="0"/>
                <w:position w:val="0"/>
                <w:vertAlign w:val="baseline"/>
                <w:lang w:val="en-US" w:eastAsia="zh-CN" w:bidi="ar"/>
              </w:rPr>
              <w:t>/70</w:t>
            </w:r>
            <w:r>
              <w:rPr>
                <w:rFonts w:hint="default" w:ascii="Times New Roman" w:hAnsi="Times New Roman" w:eastAsia="仿宋_GB2312" w:cs="Times New Roman"/>
                <w:bCs/>
                <w:i w:val="0"/>
                <w:iCs w:val="0"/>
                <w:color w:val="auto"/>
                <w:spacing w:val="0"/>
                <w:kern w:val="0"/>
                <w:position w:val="0"/>
                <w:sz w:val="21"/>
                <w:szCs w:val="21"/>
                <w:u w:val="none"/>
                <w:vertAlign w:val="baseline"/>
                <w:lang w:val="en-US" w:eastAsia="zh-CN" w:bidi="ar"/>
              </w:rPr>
              <w:t>人</w:t>
            </w:r>
          </w:p>
        </w:tc>
      </w:tr>
      <w:tr w14:paraId="4E1AE2E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0" w:hRule="atLeast"/>
          <w:jc w:val="center"/>
        </w:trPr>
        <w:tc>
          <w:tcPr>
            <w:tcW w:w="397" w:type="pct"/>
            <w:vMerge w:val="continue"/>
            <w:tcBorders>
              <w:tl2br w:val="nil"/>
              <w:tr2bl w:val="nil"/>
            </w:tcBorders>
            <w:noWrap w:val="0"/>
            <w:vAlign w:val="center"/>
          </w:tcPr>
          <w:p w14:paraId="21850705">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rPr>
            </w:pPr>
          </w:p>
        </w:tc>
        <w:tc>
          <w:tcPr>
            <w:tcW w:w="388" w:type="pct"/>
            <w:tcBorders>
              <w:tl2br w:val="nil"/>
              <w:tr2bl w:val="nil"/>
            </w:tcBorders>
            <w:noWrap w:val="0"/>
            <w:vAlign w:val="center"/>
          </w:tcPr>
          <w:p w14:paraId="7017F954">
            <w:pPr>
              <w:keepNext w:val="0"/>
              <w:keepLines w:val="0"/>
              <w:pageBreakBefore w:val="0"/>
              <w:widowControl/>
              <w:suppressLineNumbers w:val="0"/>
              <w:kinsoku/>
              <w:wordWrap/>
              <w:bidi w:val="0"/>
              <w:adjustRightInd w:val="0"/>
              <w:snapToGrid w:val="0"/>
              <w:spacing w:beforeAutospacing="0" w:afterAutospacing="0"/>
              <w:ind w:left="0" w:leftChars="0" w:right="0"/>
              <w:jc w:val="center"/>
              <w:textAlignment w:val="center"/>
              <w:rPr>
                <w:rFonts w:hint="default" w:ascii="Times New Roman" w:hAnsi="Times New Roman" w:eastAsia="仿宋_GB2312" w:cs="Times New Roman"/>
                <w:i w:val="0"/>
                <w:iCs w:val="0"/>
                <w:color w:val="auto"/>
                <w:spacing w:val="0"/>
                <w:kern w:val="0"/>
                <w:position w:val="0"/>
                <w:sz w:val="22"/>
                <w:szCs w:val="22"/>
                <w:u w:val="none"/>
                <w:vertAlign w:val="baseline"/>
                <w:lang w:val="en-US" w:eastAsia="zh-CN" w:bidi="ar-SA"/>
              </w:rPr>
            </w:pPr>
            <w:r>
              <w:rPr>
                <w:rFonts w:hint="default" w:ascii="Times New Roman" w:hAnsi="Times New Roman" w:eastAsia="仿宋_GB2312" w:cs="Times New Roman"/>
                <w:bCs/>
                <w:i w:val="0"/>
                <w:iCs w:val="0"/>
                <w:color w:val="auto"/>
                <w:spacing w:val="0"/>
                <w:kern w:val="0"/>
                <w:position w:val="0"/>
                <w:sz w:val="22"/>
                <w:szCs w:val="22"/>
                <w:u w:val="none"/>
                <w:vertAlign w:val="baseline"/>
                <w:lang w:val="en-US" w:eastAsia="zh-CN" w:bidi="ar"/>
              </w:rPr>
              <w:t>9</w:t>
            </w:r>
          </w:p>
        </w:tc>
        <w:tc>
          <w:tcPr>
            <w:tcW w:w="1293" w:type="pct"/>
            <w:gridSpan w:val="4"/>
            <w:tcBorders>
              <w:tl2br w:val="nil"/>
              <w:tr2bl w:val="nil"/>
            </w:tcBorders>
            <w:noWrap w:val="0"/>
            <w:vAlign w:val="center"/>
          </w:tcPr>
          <w:p w14:paraId="75AADF1A">
            <w:pPr>
              <w:adjustRightInd w:val="0"/>
              <w:snapToGrid w:val="0"/>
              <w:jc w:val="center"/>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上㬔庄</w:t>
            </w:r>
          </w:p>
        </w:tc>
        <w:tc>
          <w:tcPr>
            <w:tcW w:w="626" w:type="pct"/>
            <w:gridSpan w:val="2"/>
            <w:tcBorders>
              <w:tl2br w:val="nil"/>
              <w:tr2bl w:val="nil"/>
            </w:tcBorders>
            <w:noWrap w:val="0"/>
            <w:vAlign w:val="center"/>
          </w:tcPr>
          <w:p w14:paraId="572E3EE5">
            <w:pPr>
              <w:adjustRightInd w:val="0"/>
              <w:snapToGrid w:val="0"/>
              <w:jc w:val="center"/>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N</w:t>
            </w:r>
            <w:r>
              <w:rPr>
                <w:rFonts w:hint="eastAsia" w:ascii="Times New Roman" w:hAnsi="Times New Roman" w:eastAsia="仿宋_GB2312" w:cs="Times New Roman"/>
                <w:sz w:val="21"/>
                <w:szCs w:val="21"/>
              </w:rPr>
              <w:t>E</w:t>
            </w:r>
          </w:p>
        </w:tc>
        <w:tc>
          <w:tcPr>
            <w:tcW w:w="715" w:type="pct"/>
            <w:gridSpan w:val="2"/>
            <w:tcBorders>
              <w:tl2br w:val="nil"/>
              <w:tr2bl w:val="nil"/>
            </w:tcBorders>
            <w:noWrap w:val="0"/>
            <w:vAlign w:val="center"/>
          </w:tcPr>
          <w:p w14:paraId="577FCEAF">
            <w:pPr>
              <w:adjustRightInd w:val="0"/>
              <w:snapToGrid w:val="0"/>
              <w:jc w:val="center"/>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4087</w:t>
            </w:r>
          </w:p>
        </w:tc>
        <w:tc>
          <w:tcPr>
            <w:tcW w:w="626" w:type="pct"/>
            <w:gridSpan w:val="4"/>
            <w:tcBorders>
              <w:tl2br w:val="nil"/>
              <w:tr2bl w:val="nil"/>
            </w:tcBorders>
            <w:noWrap w:val="0"/>
            <w:vAlign w:val="center"/>
          </w:tcPr>
          <w:p w14:paraId="17B71929">
            <w:pPr>
              <w:keepNext w:val="0"/>
              <w:keepLines w:val="0"/>
              <w:pageBreakBefore w:val="0"/>
              <w:widowControl/>
              <w:suppressLineNumbers w:val="0"/>
              <w:kinsoku/>
              <w:wordWrap/>
              <w:bidi w:val="0"/>
              <w:adjustRightInd w:val="0"/>
              <w:snapToGrid w:val="0"/>
              <w:spacing w:beforeAutospacing="0" w:afterAutospacing="0"/>
              <w:ind w:left="0" w:leftChars="0" w:right="0"/>
              <w:jc w:val="center"/>
              <w:textAlignment w:val="center"/>
              <w:rPr>
                <w:rFonts w:hint="default" w:ascii="Times New Roman" w:hAnsi="Times New Roman" w:eastAsia="仿宋_GB2312" w:cs="Times New Roman"/>
                <w:i w:val="0"/>
                <w:iCs w:val="0"/>
                <w:color w:val="auto"/>
                <w:spacing w:val="0"/>
                <w:kern w:val="0"/>
                <w:position w:val="0"/>
                <w:sz w:val="21"/>
                <w:szCs w:val="21"/>
                <w:u w:val="none"/>
                <w:vertAlign w:val="baseline"/>
                <w:lang w:val="en-US" w:eastAsia="zh-CN" w:bidi="ar-SA"/>
              </w:rPr>
            </w:pPr>
            <w:r>
              <w:rPr>
                <w:rFonts w:hint="default" w:ascii="Times New Roman" w:hAnsi="Times New Roman" w:eastAsia="仿宋_GB2312" w:cs="Times New Roman"/>
                <w:bCs/>
                <w:i w:val="0"/>
                <w:iCs w:val="0"/>
                <w:color w:val="auto"/>
                <w:spacing w:val="0"/>
                <w:kern w:val="0"/>
                <w:position w:val="0"/>
                <w:sz w:val="21"/>
                <w:szCs w:val="21"/>
                <w:u w:val="none"/>
                <w:vertAlign w:val="baseline"/>
                <w:lang w:val="en-US" w:eastAsia="zh-CN" w:bidi="ar"/>
              </w:rPr>
              <w:t>居民</w:t>
            </w:r>
          </w:p>
        </w:tc>
        <w:tc>
          <w:tcPr>
            <w:tcW w:w="951" w:type="pct"/>
            <w:gridSpan w:val="2"/>
            <w:tcBorders>
              <w:tl2br w:val="nil"/>
              <w:tr2bl w:val="nil"/>
            </w:tcBorders>
            <w:noWrap w:val="0"/>
            <w:vAlign w:val="center"/>
          </w:tcPr>
          <w:p w14:paraId="5F17734C">
            <w:pPr>
              <w:keepNext w:val="0"/>
              <w:keepLines w:val="0"/>
              <w:pageBreakBefore w:val="0"/>
              <w:widowControl/>
              <w:suppressLineNumbers w:val="0"/>
              <w:kinsoku/>
              <w:wordWrap/>
              <w:bidi w:val="0"/>
              <w:adjustRightInd w:val="0"/>
              <w:snapToGrid w:val="0"/>
              <w:spacing w:beforeAutospacing="0" w:afterAutospacing="0"/>
              <w:ind w:left="0" w:leftChars="0" w:right="0"/>
              <w:jc w:val="center"/>
              <w:textAlignment w:val="center"/>
              <w:rPr>
                <w:rFonts w:hint="default" w:ascii="Times New Roman" w:hAnsi="Times New Roman" w:eastAsia="仿宋_GB2312" w:cs="Times New Roman"/>
                <w:i w:val="0"/>
                <w:iCs w:val="0"/>
                <w:color w:val="auto"/>
                <w:spacing w:val="0"/>
                <w:kern w:val="0"/>
                <w:position w:val="0"/>
                <w:sz w:val="22"/>
                <w:szCs w:val="22"/>
                <w:u w:val="none"/>
                <w:vertAlign w:val="baseline"/>
                <w:lang w:val="en-US" w:eastAsia="zh-CN" w:bidi="ar-SA"/>
              </w:rPr>
            </w:pPr>
            <w:r>
              <w:rPr>
                <w:rFonts w:hint="default" w:ascii="Times New Roman" w:hAnsi="Times New Roman" w:eastAsia="仿宋_GB2312" w:cs="Times New Roman"/>
                <w:bCs/>
                <w:i w:val="0"/>
                <w:iCs w:val="0"/>
                <w:color w:val="auto"/>
                <w:spacing w:val="0"/>
                <w:kern w:val="0"/>
                <w:position w:val="0"/>
                <w:sz w:val="22"/>
                <w:szCs w:val="22"/>
                <w:u w:val="none"/>
                <w:vertAlign w:val="baseline"/>
                <w:lang w:val="en-US" w:eastAsia="zh-CN" w:bidi="ar"/>
              </w:rPr>
              <w:t>60户/210人</w:t>
            </w:r>
          </w:p>
        </w:tc>
      </w:tr>
      <w:tr w14:paraId="2794937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0" w:hRule="atLeast"/>
          <w:jc w:val="center"/>
        </w:trPr>
        <w:tc>
          <w:tcPr>
            <w:tcW w:w="397" w:type="pct"/>
            <w:vMerge w:val="continue"/>
            <w:tcBorders>
              <w:tl2br w:val="nil"/>
              <w:tr2bl w:val="nil"/>
            </w:tcBorders>
            <w:noWrap w:val="0"/>
            <w:vAlign w:val="center"/>
          </w:tcPr>
          <w:p w14:paraId="39B35FA7">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rPr>
            </w:pPr>
          </w:p>
        </w:tc>
        <w:tc>
          <w:tcPr>
            <w:tcW w:w="388" w:type="pct"/>
            <w:tcBorders>
              <w:tl2br w:val="nil"/>
              <w:tr2bl w:val="nil"/>
            </w:tcBorders>
            <w:noWrap w:val="0"/>
            <w:vAlign w:val="center"/>
          </w:tcPr>
          <w:p w14:paraId="5EC6B06B">
            <w:pPr>
              <w:keepNext w:val="0"/>
              <w:keepLines w:val="0"/>
              <w:pageBreakBefore w:val="0"/>
              <w:widowControl/>
              <w:suppressLineNumbers w:val="0"/>
              <w:kinsoku/>
              <w:wordWrap/>
              <w:bidi w:val="0"/>
              <w:adjustRightInd w:val="0"/>
              <w:snapToGrid w:val="0"/>
              <w:spacing w:beforeAutospacing="0" w:afterAutospacing="0"/>
              <w:ind w:left="0" w:leftChars="0" w:right="0"/>
              <w:jc w:val="center"/>
              <w:textAlignment w:val="center"/>
              <w:rPr>
                <w:rFonts w:hint="default" w:ascii="Times New Roman" w:hAnsi="Times New Roman" w:eastAsia="仿宋_GB2312" w:cs="Times New Roman"/>
                <w:i w:val="0"/>
                <w:iCs w:val="0"/>
                <w:color w:val="auto"/>
                <w:spacing w:val="0"/>
                <w:kern w:val="0"/>
                <w:position w:val="0"/>
                <w:sz w:val="22"/>
                <w:szCs w:val="22"/>
                <w:u w:val="none"/>
                <w:vertAlign w:val="baseline"/>
                <w:lang w:val="en-US" w:eastAsia="zh-CN" w:bidi="ar-SA"/>
              </w:rPr>
            </w:pPr>
            <w:r>
              <w:rPr>
                <w:rFonts w:hint="default" w:ascii="Times New Roman" w:hAnsi="Times New Roman" w:eastAsia="仿宋_GB2312" w:cs="Times New Roman"/>
                <w:bCs/>
                <w:i w:val="0"/>
                <w:iCs w:val="0"/>
                <w:color w:val="auto"/>
                <w:spacing w:val="0"/>
                <w:kern w:val="0"/>
                <w:position w:val="0"/>
                <w:sz w:val="22"/>
                <w:szCs w:val="22"/>
                <w:u w:val="none"/>
                <w:vertAlign w:val="baseline"/>
                <w:lang w:val="en-US" w:eastAsia="zh-CN" w:bidi="ar"/>
              </w:rPr>
              <w:t>10</w:t>
            </w:r>
          </w:p>
        </w:tc>
        <w:tc>
          <w:tcPr>
            <w:tcW w:w="1293" w:type="pct"/>
            <w:gridSpan w:val="4"/>
            <w:tcBorders>
              <w:tl2br w:val="nil"/>
              <w:tr2bl w:val="nil"/>
            </w:tcBorders>
            <w:noWrap w:val="0"/>
            <w:vAlign w:val="center"/>
          </w:tcPr>
          <w:p w14:paraId="55B2E578">
            <w:pPr>
              <w:adjustRightInd w:val="0"/>
              <w:snapToGrid w:val="0"/>
              <w:jc w:val="center"/>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黄巷村</w:t>
            </w:r>
          </w:p>
        </w:tc>
        <w:tc>
          <w:tcPr>
            <w:tcW w:w="626" w:type="pct"/>
            <w:gridSpan w:val="2"/>
            <w:tcBorders>
              <w:tl2br w:val="nil"/>
              <w:tr2bl w:val="nil"/>
            </w:tcBorders>
            <w:noWrap w:val="0"/>
            <w:vAlign w:val="center"/>
          </w:tcPr>
          <w:p w14:paraId="1B306E21">
            <w:pPr>
              <w:adjustRightInd w:val="0"/>
              <w:snapToGrid w:val="0"/>
              <w:jc w:val="center"/>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N</w:t>
            </w:r>
            <w:r>
              <w:rPr>
                <w:rFonts w:hint="eastAsia" w:ascii="Times New Roman" w:hAnsi="Times New Roman" w:eastAsia="仿宋_GB2312" w:cs="Times New Roman"/>
                <w:sz w:val="21"/>
                <w:szCs w:val="21"/>
              </w:rPr>
              <w:t>E</w:t>
            </w:r>
          </w:p>
        </w:tc>
        <w:tc>
          <w:tcPr>
            <w:tcW w:w="715" w:type="pct"/>
            <w:gridSpan w:val="2"/>
            <w:tcBorders>
              <w:tl2br w:val="nil"/>
              <w:tr2bl w:val="nil"/>
            </w:tcBorders>
            <w:noWrap w:val="0"/>
            <w:vAlign w:val="center"/>
          </w:tcPr>
          <w:p w14:paraId="2996D304">
            <w:pPr>
              <w:adjustRightInd w:val="0"/>
              <w:snapToGrid w:val="0"/>
              <w:jc w:val="center"/>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4100</w:t>
            </w:r>
          </w:p>
        </w:tc>
        <w:tc>
          <w:tcPr>
            <w:tcW w:w="626" w:type="pct"/>
            <w:gridSpan w:val="4"/>
            <w:tcBorders>
              <w:tl2br w:val="nil"/>
              <w:tr2bl w:val="nil"/>
            </w:tcBorders>
            <w:noWrap w:val="0"/>
            <w:vAlign w:val="center"/>
          </w:tcPr>
          <w:p w14:paraId="21CA62DF">
            <w:pPr>
              <w:keepNext w:val="0"/>
              <w:keepLines w:val="0"/>
              <w:pageBreakBefore w:val="0"/>
              <w:widowControl/>
              <w:suppressLineNumbers w:val="0"/>
              <w:kinsoku/>
              <w:wordWrap/>
              <w:bidi w:val="0"/>
              <w:adjustRightInd w:val="0"/>
              <w:snapToGrid w:val="0"/>
              <w:spacing w:beforeAutospacing="0" w:afterAutospacing="0"/>
              <w:ind w:left="0" w:leftChars="0" w:right="0"/>
              <w:jc w:val="center"/>
              <w:textAlignment w:val="center"/>
              <w:rPr>
                <w:rFonts w:hint="default" w:ascii="Times New Roman" w:hAnsi="Times New Roman" w:eastAsia="仿宋_GB2312" w:cs="Times New Roman"/>
                <w:i w:val="0"/>
                <w:iCs w:val="0"/>
                <w:color w:val="auto"/>
                <w:spacing w:val="0"/>
                <w:kern w:val="0"/>
                <w:position w:val="0"/>
                <w:sz w:val="21"/>
                <w:szCs w:val="21"/>
                <w:u w:val="none"/>
                <w:vertAlign w:val="baseline"/>
                <w:lang w:val="en-US" w:eastAsia="zh-CN" w:bidi="ar-SA"/>
              </w:rPr>
            </w:pPr>
            <w:r>
              <w:rPr>
                <w:rFonts w:hint="default" w:ascii="Times New Roman" w:hAnsi="Times New Roman" w:eastAsia="仿宋_GB2312" w:cs="Times New Roman"/>
                <w:bCs/>
                <w:i w:val="0"/>
                <w:iCs w:val="0"/>
                <w:color w:val="auto"/>
                <w:spacing w:val="0"/>
                <w:kern w:val="0"/>
                <w:position w:val="0"/>
                <w:sz w:val="21"/>
                <w:szCs w:val="21"/>
                <w:u w:val="none"/>
                <w:vertAlign w:val="baseline"/>
                <w:lang w:val="en-US" w:eastAsia="zh-CN" w:bidi="ar"/>
              </w:rPr>
              <w:t>居民</w:t>
            </w:r>
          </w:p>
        </w:tc>
        <w:tc>
          <w:tcPr>
            <w:tcW w:w="951" w:type="pct"/>
            <w:gridSpan w:val="2"/>
            <w:tcBorders>
              <w:tl2br w:val="nil"/>
              <w:tr2bl w:val="nil"/>
            </w:tcBorders>
            <w:noWrap w:val="0"/>
            <w:vAlign w:val="center"/>
          </w:tcPr>
          <w:p w14:paraId="4B3151A0">
            <w:pPr>
              <w:keepNext w:val="0"/>
              <w:keepLines w:val="0"/>
              <w:pageBreakBefore w:val="0"/>
              <w:widowControl/>
              <w:suppressLineNumbers w:val="0"/>
              <w:kinsoku/>
              <w:wordWrap/>
              <w:bidi w:val="0"/>
              <w:adjustRightInd w:val="0"/>
              <w:snapToGrid w:val="0"/>
              <w:spacing w:beforeAutospacing="0" w:afterAutospacing="0"/>
              <w:ind w:left="0" w:leftChars="0" w:right="0"/>
              <w:jc w:val="center"/>
              <w:textAlignment w:val="center"/>
              <w:rPr>
                <w:rFonts w:hint="default" w:ascii="Times New Roman" w:hAnsi="Times New Roman" w:eastAsia="仿宋_GB2312" w:cs="Times New Roman"/>
                <w:i w:val="0"/>
                <w:iCs w:val="0"/>
                <w:color w:val="auto"/>
                <w:spacing w:val="0"/>
                <w:kern w:val="0"/>
                <w:position w:val="0"/>
                <w:sz w:val="21"/>
                <w:szCs w:val="21"/>
                <w:u w:val="none"/>
                <w:vertAlign w:val="baseline"/>
                <w:lang w:val="en-US" w:eastAsia="zh-CN" w:bidi="ar-SA"/>
              </w:rPr>
            </w:pPr>
            <w:r>
              <w:rPr>
                <w:rStyle w:val="90"/>
                <w:rFonts w:hint="default" w:ascii="Times New Roman" w:hAnsi="Times New Roman" w:eastAsia="仿宋_GB2312" w:cs="Times New Roman"/>
                <w:bCs/>
                <w:color w:val="auto"/>
                <w:spacing w:val="0"/>
                <w:kern w:val="0"/>
                <w:position w:val="0"/>
                <w:vertAlign w:val="baseline"/>
                <w:lang w:val="en-US" w:eastAsia="zh-CN" w:bidi="ar"/>
              </w:rPr>
              <w:t>80</w:t>
            </w:r>
            <w:r>
              <w:rPr>
                <w:rFonts w:hint="default" w:ascii="Times New Roman" w:hAnsi="Times New Roman" w:eastAsia="仿宋_GB2312" w:cs="Times New Roman"/>
                <w:bCs/>
                <w:i w:val="0"/>
                <w:iCs w:val="0"/>
                <w:color w:val="auto"/>
                <w:spacing w:val="0"/>
                <w:kern w:val="0"/>
                <w:position w:val="0"/>
                <w:sz w:val="21"/>
                <w:szCs w:val="21"/>
                <w:u w:val="none"/>
                <w:vertAlign w:val="baseline"/>
                <w:lang w:val="en-US" w:eastAsia="zh-CN" w:bidi="ar"/>
              </w:rPr>
              <w:t>户</w:t>
            </w:r>
            <w:r>
              <w:rPr>
                <w:rStyle w:val="90"/>
                <w:rFonts w:hint="default" w:ascii="Times New Roman" w:hAnsi="Times New Roman" w:eastAsia="仿宋_GB2312" w:cs="Times New Roman"/>
                <w:bCs/>
                <w:color w:val="auto"/>
                <w:spacing w:val="0"/>
                <w:kern w:val="0"/>
                <w:position w:val="0"/>
                <w:vertAlign w:val="baseline"/>
                <w:lang w:val="en-US" w:eastAsia="zh-CN" w:bidi="ar"/>
              </w:rPr>
              <w:t>/280</w:t>
            </w:r>
            <w:r>
              <w:rPr>
                <w:rFonts w:hint="default" w:ascii="Times New Roman" w:hAnsi="Times New Roman" w:eastAsia="仿宋_GB2312" w:cs="Times New Roman"/>
                <w:bCs/>
                <w:i w:val="0"/>
                <w:iCs w:val="0"/>
                <w:color w:val="auto"/>
                <w:spacing w:val="0"/>
                <w:kern w:val="0"/>
                <w:position w:val="0"/>
                <w:sz w:val="21"/>
                <w:szCs w:val="21"/>
                <w:u w:val="none"/>
                <w:vertAlign w:val="baseline"/>
                <w:lang w:val="en-US" w:eastAsia="zh-CN" w:bidi="ar"/>
              </w:rPr>
              <w:t>人</w:t>
            </w:r>
          </w:p>
        </w:tc>
      </w:tr>
      <w:tr w14:paraId="722B821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0" w:hRule="atLeast"/>
          <w:jc w:val="center"/>
        </w:trPr>
        <w:tc>
          <w:tcPr>
            <w:tcW w:w="397" w:type="pct"/>
            <w:vMerge w:val="continue"/>
            <w:tcBorders>
              <w:tl2br w:val="nil"/>
              <w:tr2bl w:val="nil"/>
            </w:tcBorders>
            <w:noWrap w:val="0"/>
            <w:vAlign w:val="center"/>
          </w:tcPr>
          <w:p w14:paraId="3E869AE7">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rPr>
            </w:pPr>
          </w:p>
        </w:tc>
        <w:tc>
          <w:tcPr>
            <w:tcW w:w="388" w:type="pct"/>
            <w:tcBorders>
              <w:tl2br w:val="nil"/>
              <w:tr2bl w:val="nil"/>
            </w:tcBorders>
            <w:noWrap w:val="0"/>
            <w:vAlign w:val="center"/>
          </w:tcPr>
          <w:p w14:paraId="18D4DD80">
            <w:pPr>
              <w:keepNext w:val="0"/>
              <w:keepLines w:val="0"/>
              <w:pageBreakBefore w:val="0"/>
              <w:widowControl/>
              <w:suppressLineNumbers w:val="0"/>
              <w:kinsoku/>
              <w:wordWrap/>
              <w:bidi w:val="0"/>
              <w:adjustRightInd w:val="0"/>
              <w:snapToGrid w:val="0"/>
              <w:spacing w:beforeAutospacing="0" w:afterAutospacing="0"/>
              <w:ind w:left="0" w:leftChars="0" w:right="0"/>
              <w:jc w:val="center"/>
              <w:textAlignment w:val="center"/>
              <w:rPr>
                <w:rFonts w:hint="default" w:ascii="Times New Roman" w:hAnsi="Times New Roman" w:eastAsia="仿宋_GB2312" w:cs="Times New Roman"/>
                <w:i w:val="0"/>
                <w:iCs w:val="0"/>
                <w:color w:val="auto"/>
                <w:spacing w:val="0"/>
                <w:kern w:val="0"/>
                <w:position w:val="0"/>
                <w:sz w:val="22"/>
                <w:szCs w:val="22"/>
                <w:u w:val="none"/>
                <w:vertAlign w:val="baseline"/>
                <w:lang w:val="en-US" w:eastAsia="zh-CN" w:bidi="ar-SA"/>
              </w:rPr>
            </w:pPr>
            <w:r>
              <w:rPr>
                <w:rFonts w:hint="default" w:ascii="Times New Roman" w:hAnsi="Times New Roman" w:eastAsia="仿宋_GB2312" w:cs="Times New Roman"/>
                <w:bCs/>
                <w:i w:val="0"/>
                <w:iCs w:val="0"/>
                <w:color w:val="auto"/>
                <w:spacing w:val="0"/>
                <w:kern w:val="0"/>
                <w:position w:val="0"/>
                <w:sz w:val="22"/>
                <w:szCs w:val="22"/>
                <w:u w:val="none"/>
                <w:vertAlign w:val="baseline"/>
                <w:lang w:val="en-US" w:eastAsia="zh-CN" w:bidi="ar"/>
              </w:rPr>
              <w:t>11</w:t>
            </w:r>
          </w:p>
        </w:tc>
        <w:tc>
          <w:tcPr>
            <w:tcW w:w="1293" w:type="pct"/>
            <w:gridSpan w:val="4"/>
            <w:tcBorders>
              <w:tl2br w:val="nil"/>
              <w:tr2bl w:val="nil"/>
            </w:tcBorders>
            <w:shd w:val="clear" w:color="auto" w:fill="auto"/>
            <w:noWrap w:val="0"/>
            <w:vAlign w:val="center"/>
          </w:tcPr>
          <w:p w14:paraId="356C20DD">
            <w:pPr>
              <w:adjustRightInd w:val="0"/>
              <w:snapToGrid w:val="0"/>
              <w:jc w:val="center"/>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下㬔庄</w:t>
            </w:r>
          </w:p>
        </w:tc>
        <w:tc>
          <w:tcPr>
            <w:tcW w:w="626" w:type="pct"/>
            <w:gridSpan w:val="2"/>
            <w:tcBorders>
              <w:tl2br w:val="nil"/>
              <w:tr2bl w:val="nil"/>
            </w:tcBorders>
            <w:shd w:val="clear" w:color="auto" w:fill="auto"/>
            <w:noWrap w:val="0"/>
            <w:vAlign w:val="center"/>
          </w:tcPr>
          <w:p w14:paraId="3A8D9418">
            <w:pPr>
              <w:adjustRightInd w:val="0"/>
              <w:snapToGrid w:val="0"/>
              <w:jc w:val="center"/>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N</w:t>
            </w:r>
            <w:r>
              <w:rPr>
                <w:rFonts w:hint="eastAsia" w:ascii="Times New Roman" w:hAnsi="Times New Roman" w:eastAsia="仿宋_GB2312" w:cs="Times New Roman"/>
                <w:sz w:val="21"/>
                <w:szCs w:val="21"/>
              </w:rPr>
              <w:t>E</w:t>
            </w:r>
          </w:p>
        </w:tc>
        <w:tc>
          <w:tcPr>
            <w:tcW w:w="715" w:type="pct"/>
            <w:gridSpan w:val="2"/>
            <w:tcBorders>
              <w:tl2br w:val="nil"/>
              <w:tr2bl w:val="nil"/>
            </w:tcBorders>
            <w:shd w:val="clear" w:color="auto" w:fill="auto"/>
            <w:noWrap w:val="0"/>
            <w:vAlign w:val="center"/>
          </w:tcPr>
          <w:p w14:paraId="037CF4CB">
            <w:pPr>
              <w:adjustRightInd w:val="0"/>
              <w:snapToGrid w:val="0"/>
              <w:jc w:val="center"/>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4257</w:t>
            </w:r>
          </w:p>
        </w:tc>
        <w:tc>
          <w:tcPr>
            <w:tcW w:w="626" w:type="pct"/>
            <w:gridSpan w:val="4"/>
            <w:tcBorders>
              <w:tl2br w:val="nil"/>
              <w:tr2bl w:val="nil"/>
            </w:tcBorders>
            <w:noWrap w:val="0"/>
            <w:vAlign w:val="center"/>
          </w:tcPr>
          <w:p w14:paraId="1B98E53A">
            <w:pPr>
              <w:keepNext w:val="0"/>
              <w:keepLines w:val="0"/>
              <w:pageBreakBefore w:val="0"/>
              <w:widowControl/>
              <w:suppressLineNumbers w:val="0"/>
              <w:kinsoku/>
              <w:wordWrap/>
              <w:bidi w:val="0"/>
              <w:adjustRightInd w:val="0"/>
              <w:snapToGrid w:val="0"/>
              <w:spacing w:beforeAutospacing="0" w:afterAutospacing="0"/>
              <w:ind w:left="0" w:leftChars="0" w:right="0"/>
              <w:jc w:val="center"/>
              <w:textAlignment w:val="center"/>
              <w:rPr>
                <w:rFonts w:hint="default" w:ascii="Times New Roman" w:hAnsi="Times New Roman" w:eastAsia="仿宋_GB2312" w:cs="Times New Roman"/>
                <w:i w:val="0"/>
                <w:iCs w:val="0"/>
                <w:color w:val="auto"/>
                <w:spacing w:val="0"/>
                <w:kern w:val="0"/>
                <w:position w:val="0"/>
                <w:sz w:val="21"/>
                <w:szCs w:val="21"/>
                <w:u w:val="none"/>
                <w:vertAlign w:val="baseline"/>
                <w:lang w:val="en-US" w:eastAsia="zh-CN" w:bidi="ar-SA"/>
              </w:rPr>
            </w:pPr>
            <w:r>
              <w:rPr>
                <w:rFonts w:hint="default" w:ascii="Times New Roman" w:hAnsi="Times New Roman" w:eastAsia="仿宋_GB2312" w:cs="Times New Roman"/>
                <w:bCs/>
                <w:i w:val="0"/>
                <w:iCs w:val="0"/>
                <w:color w:val="auto"/>
                <w:spacing w:val="0"/>
                <w:kern w:val="0"/>
                <w:position w:val="0"/>
                <w:sz w:val="21"/>
                <w:szCs w:val="21"/>
                <w:u w:val="none"/>
                <w:vertAlign w:val="baseline"/>
                <w:lang w:val="en-US" w:eastAsia="zh-CN" w:bidi="ar"/>
              </w:rPr>
              <w:t>居民</w:t>
            </w:r>
          </w:p>
        </w:tc>
        <w:tc>
          <w:tcPr>
            <w:tcW w:w="951" w:type="pct"/>
            <w:gridSpan w:val="2"/>
            <w:tcBorders>
              <w:tl2br w:val="nil"/>
              <w:tr2bl w:val="nil"/>
            </w:tcBorders>
            <w:noWrap w:val="0"/>
            <w:vAlign w:val="center"/>
          </w:tcPr>
          <w:p w14:paraId="6126EB71">
            <w:pPr>
              <w:keepNext w:val="0"/>
              <w:keepLines w:val="0"/>
              <w:pageBreakBefore w:val="0"/>
              <w:widowControl/>
              <w:suppressLineNumbers w:val="0"/>
              <w:kinsoku/>
              <w:wordWrap/>
              <w:bidi w:val="0"/>
              <w:adjustRightInd w:val="0"/>
              <w:snapToGrid w:val="0"/>
              <w:spacing w:beforeAutospacing="0" w:afterAutospacing="0"/>
              <w:ind w:left="0" w:leftChars="0" w:right="0"/>
              <w:jc w:val="center"/>
              <w:textAlignment w:val="center"/>
              <w:rPr>
                <w:rFonts w:hint="default" w:ascii="Times New Roman" w:hAnsi="Times New Roman" w:eastAsia="仿宋_GB2312" w:cs="Times New Roman"/>
                <w:i w:val="0"/>
                <w:iCs w:val="0"/>
                <w:color w:val="auto"/>
                <w:spacing w:val="0"/>
                <w:kern w:val="0"/>
                <w:position w:val="0"/>
                <w:sz w:val="21"/>
                <w:szCs w:val="21"/>
                <w:u w:val="none"/>
                <w:vertAlign w:val="baseline"/>
                <w:lang w:val="en-US" w:eastAsia="zh-CN" w:bidi="ar-SA"/>
              </w:rPr>
            </w:pPr>
            <w:r>
              <w:rPr>
                <w:rStyle w:val="90"/>
                <w:rFonts w:hint="default" w:ascii="Times New Roman" w:hAnsi="Times New Roman" w:eastAsia="仿宋_GB2312" w:cs="Times New Roman"/>
                <w:bCs/>
                <w:color w:val="auto"/>
                <w:spacing w:val="0"/>
                <w:kern w:val="0"/>
                <w:position w:val="0"/>
                <w:vertAlign w:val="baseline"/>
                <w:lang w:val="en-US" w:eastAsia="zh-CN" w:bidi="ar"/>
              </w:rPr>
              <w:t>400</w:t>
            </w:r>
            <w:r>
              <w:rPr>
                <w:rFonts w:hint="default" w:ascii="Times New Roman" w:hAnsi="Times New Roman" w:eastAsia="仿宋_GB2312" w:cs="Times New Roman"/>
                <w:bCs/>
                <w:i w:val="0"/>
                <w:iCs w:val="0"/>
                <w:color w:val="auto"/>
                <w:spacing w:val="0"/>
                <w:kern w:val="0"/>
                <w:position w:val="0"/>
                <w:sz w:val="21"/>
                <w:szCs w:val="21"/>
                <w:u w:val="none"/>
                <w:vertAlign w:val="baseline"/>
                <w:lang w:val="en-US" w:eastAsia="zh-CN" w:bidi="ar"/>
              </w:rPr>
              <w:t>户</w:t>
            </w:r>
            <w:r>
              <w:rPr>
                <w:rStyle w:val="90"/>
                <w:rFonts w:hint="default" w:ascii="Times New Roman" w:hAnsi="Times New Roman" w:eastAsia="仿宋_GB2312" w:cs="Times New Roman"/>
                <w:bCs/>
                <w:color w:val="auto"/>
                <w:spacing w:val="0"/>
                <w:kern w:val="0"/>
                <w:position w:val="0"/>
                <w:vertAlign w:val="baseline"/>
                <w:lang w:val="en-US" w:eastAsia="zh-CN" w:bidi="ar"/>
              </w:rPr>
              <w:t>/1400</w:t>
            </w:r>
            <w:r>
              <w:rPr>
                <w:rFonts w:hint="default" w:ascii="Times New Roman" w:hAnsi="Times New Roman" w:eastAsia="仿宋_GB2312" w:cs="Times New Roman"/>
                <w:bCs/>
                <w:i w:val="0"/>
                <w:iCs w:val="0"/>
                <w:color w:val="auto"/>
                <w:spacing w:val="0"/>
                <w:kern w:val="0"/>
                <w:position w:val="0"/>
                <w:sz w:val="21"/>
                <w:szCs w:val="21"/>
                <w:u w:val="none"/>
                <w:vertAlign w:val="baseline"/>
                <w:lang w:val="en-US" w:eastAsia="zh-CN" w:bidi="ar"/>
              </w:rPr>
              <w:t>人</w:t>
            </w:r>
          </w:p>
        </w:tc>
      </w:tr>
      <w:tr w14:paraId="45406E9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0" w:hRule="atLeast"/>
          <w:jc w:val="center"/>
        </w:trPr>
        <w:tc>
          <w:tcPr>
            <w:tcW w:w="397" w:type="pct"/>
            <w:vMerge w:val="continue"/>
            <w:tcBorders>
              <w:tl2br w:val="nil"/>
              <w:tr2bl w:val="nil"/>
            </w:tcBorders>
            <w:noWrap w:val="0"/>
            <w:vAlign w:val="center"/>
          </w:tcPr>
          <w:p w14:paraId="1308FAD8">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rPr>
            </w:pPr>
          </w:p>
        </w:tc>
        <w:tc>
          <w:tcPr>
            <w:tcW w:w="388" w:type="pct"/>
            <w:tcBorders>
              <w:tl2br w:val="nil"/>
              <w:tr2bl w:val="nil"/>
            </w:tcBorders>
            <w:noWrap w:val="0"/>
            <w:vAlign w:val="center"/>
          </w:tcPr>
          <w:p w14:paraId="5C93BD22">
            <w:pPr>
              <w:keepNext w:val="0"/>
              <w:keepLines w:val="0"/>
              <w:pageBreakBefore w:val="0"/>
              <w:widowControl/>
              <w:suppressLineNumbers w:val="0"/>
              <w:kinsoku/>
              <w:wordWrap/>
              <w:bidi w:val="0"/>
              <w:adjustRightInd w:val="0"/>
              <w:snapToGrid w:val="0"/>
              <w:spacing w:beforeAutospacing="0" w:afterAutospacing="0"/>
              <w:ind w:left="0" w:leftChars="0" w:right="0"/>
              <w:jc w:val="center"/>
              <w:textAlignment w:val="center"/>
              <w:rPr>
                <w:rFonts w:hint="default" w:ascii="Times New Roman" w:hAnsi="Times New Roman" w:eastAsia="仿宋_GB2312" w:cs="Times New Roman"/>
                <w:i w:val="0"/>
                <w:iCs w:val="0"/>
                <w:color w:val="auto"/>
                <w:spacing w:val="0"/>
                <w:kern w:val="0"/>
                <w:position w:val="0"/>
                <w:sz w:val="22"/>
                <w:szCs w:val="22"/>
                <w:u w:val="none"/>
                <w:vertAlign w:val="baseline"/>
                <w:lang w:val="en-US" w:eastAsia="zh-CN" w:bidi="ar-SA"/>
              </w:rPr>
            </w:pPr>
            <w:r>
              <w:rPr>
                <w:rFonts w:hint="default" w:ascii="Times New Roman" w:hAnsi="Times New Roman" w:eastAsia="仿宋_GB2312" w:cs="Times New Roman"/>
                <w:bCs/>
                <w:i w:val="0"/>
                <w:iCs w:val="0"/>
                <w:color w:val="auto"/>
                <w:spacing w:val="0"/>
                <w:kern w:val="0"/>
                <w:position w:val="0"/>
                <w:sz w:val="22"/>
                <w:szCs w:val="22"/>
                <w:u w:val="none"/>
                <w:vertAlign w:val="baseline"/>
                <w:lang w:val="en-US" w:eastAsia="zh-CN" w:bidi="ar"/>
              </w:rPr>
              <w:t>12</w:t>
            </w:r>
          </w:p>
        </w:tc>
        <w:tc>
          <w:tcPr>
            <w:tcW w:w="1293" w:type="pct"/>
            <w:gridSpan w:val="4"/>
            <w:tcBorders>
              <w:tl2br w:val="nil"/>
              <w:tr2bl w:val="nil"/>
            </w:tcBorders>
            <w:noWrap w:val="0"/>
            <w:vAlign w:val="center"/>
          </w:tcPr>
          <w:p w14:paraId="2B7B53B4">
            <w:pPr>
              <w:adjustRightInd w:val="0"/>
              <w:snapToGrid w:val="0"/>
              <w:jc w:val="center"/>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两前阳</w:t>
            </w:r>
          </w:p>
        </w:tc>
        <w:tc>
          <w:tcPr>
            <w:tcW w:w="626" w:type="pct"/>
            <w:gridSpan w:val="2"/>
            <w:tcBorders>
              <w:tl2br w:val="nil"/>
              <w:tr2bl w:val="nil"/>
            </w:tcBorders>
            <w:noWrap w:val="0"/>
            <w:vAlign w:val="center"/>
          </w:tcPr>
          <w:p w14:paraId="7F3BEB87">
            <w:pPr>
              <w:adjustRightInd w:val="0"/>
              <w:snapToGrid w:val="0"/>
              <w:jc w:val="center"/>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N</w:t>
            </w:r>
            <w:r>
              <w:rPr>
                <w:rFonts w:hint="eastAsia" w:ascii="Times New Roman" w:hAnsi="Times New Roman" w:eastAsia="仿宋_GB2312" w:cs="Times New Roman"/>
                <w:sz w:val="21"/>
                <w:szCs w:val="21"/>
              </w:rPr>
              <w:t>E</w:t>
            </w:r>
          </w:p>
        </w:tc>
        <w:tc>
          <w:tcPr>
            <w:tcW w:w="715" w:type="pct"/>
            <w:gridSpan w:val="2"/>
            <w:tcBorders>
              <w:tl2br w:val="nil"/>
              <w:tr2bl w:val="nil"/>
            </w:tcBorders>
            <w:noWrap w:val="0"/>
            <w:vAlign w:val="center"/>
          </w:tcPr>
          <w:p w14:paraId="45F0A986">
            <w:pPr>
              <w:adjustRightInd w:val="0"/>
              <w:snapToGrid w:val="0"/>
              <w:jc w:val="center"/>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4508</w:t>
            </w:r>
          </w:p>
        </w:tc>
        <w:tc>
          <w:tcPr>
            <w:tcW w:w="626" w:type="pct"/>
            <w:gridSpan w:val="4"/>
            <w:tcBorders>
              <w:tl2br w:val="nil"/>
              <w:tr2bl w:val="nil"/>
            </w:tcBorders>
            <w:noWrap w:val="0"/>
            <w:vAlign w:val="center"/>
          </w:tcPr>
          <w:p w14:paraId="72BF72ED">
            <w:pPr>
              <w:keepNext w:val="0"/>
              <w:keepLines w:val="0"/>
              <w:pageBreakBefore w:val="0"/>
              <w:widowControl/>
              <w:suppressLineNumbers w:val="0"/>
              <w:kinsoku/>
              <w:wordWrap/>
              <w:bidi w:val="0"/>
              <w:adjustRightInd w:val="0"/>
              <w:snapToGrid w:val="0"/>
              <w:spacing w:beforeAutospacing="0" w:afterAutospacing="0"/>
              <w:ind w:left="0" w:leftChars="0" w:right="0"/>
              <w:jc w:val="center"/>
              <w:textAlignment w:val="center"/>
              <w:rPr>
                <w:rFonts w:hint="default" w:ascii="Times New Roman" w:hAnsi="Times New Roman" w:eastAsia="仿宋_GB2312" w:cs="Times New Roman"/>
                <w:i w:val="0"/>
                <w:iCs w:val="0"/>
                <w:color w:val="auto"/>
                <w:spacing w:val="0"/>
                <w:kern w:val="0"/>
                <w:position w:val="0"/>
                <w:sz w:val="21"/>
                <w:szCs w:val="21"/>
                <w:u w:val="none"/>
                <w:vertAlign w:val="baseline"/>
                <w:lang w:val="en-US" w:eastAsia="zh-CN" w:bidi="ar-SA"/>
              </w:rPr>
            </w:pPr>
            <w:r>
              <w:rPr>
                <w:rFonts w:hint="default" w:ascii="Times New Roman" w:hAnsi="Times New Roman" w:eastAsia="仿宋_GB2312" w:cs="Times New Roman"/>
                <w:bCs/>
                <w:i w:val="0"/>
                <w:iCs w:val="0"/>
                <w:color w:val="auto"/>
                <w:spacing w:val="0"/>
                <w:kern w:val="0"/>
                <w:position w:val="0"/>
                <w:sz w:val="21"/>
                <w:szCs w:val="21"/>
                <w:u w:val="none"/>
                <w:vertAlign w:val="baseline"/>
                <w:lang w:val="en-US" w:eastAsia="zh-CN" w:bidi="ar"/>
              </w:rPr>
              <w:t>居民</w:t>
            </w:r>
          </w:p>
        </w:tc>
        <w:tc>
          <w:tcPr>
            <w:tcW w:w="951" w:type="pct"/>
            <w:gridSpan w:val="2"/>
            <w:tcBorders>
              <w:tl2br w:val="nil"/>
              <w:tr2bl w:val="nil"/>
            </w:tcBorders>
            <w:noWrap w:val="0"/>
            <w:vAlign w:val="center"/>
          </w:tcPr>
          <w:p w14:paraId="39ED1CE4">
            <w:pPr>
              <w:keepNext w:val="0"/>
              <w:keepLines w:val="0"/>
              <w:pageBreakBefore w:val="0"/>
              <w:widowControl/>
              <w:suppressLineNumbers w:val="0"/>
              <w:kinsoku/>
              <w:wordWrap/>
              <w:bidi w:val="0"/>
              <w:adjustRightInd w:val="0"/>
              <w:snapToGrid w:val="0"/>
              <w:spacing w:beforeAutospacing="0" w:afterAutospacing="0"/>
              <w:ind w:left="0" w:leftChars="0" w:right="0"/>
              <w:jc w:val="center"/>
              <w:textAlignment w:val="center"/>
              <w:rPr>
                <w:rFonts w:hint="default" w:ascii="Times New Roman" w:hAnsi="Times New Roman" w:eastAsia="仿宋_GB2312" w:cs="Times New Roman"/>
                <w:i w:val="0"/>
                <w:iCs w:val="0"/>
                <w:color w:val="auto"/>
                <w:spacing w:val="0"/>
                <w:kern w:val="0"/>
                <w:position w:val="0"/>
                <w:sz w:val="22"/>
                <w:szCs w:val="22"/>
                <w:u w:val="none"/>
                <w:vertAlign w:val="baseline"/>
                <w:lang w:val="en-US" w:eastAsia="zh-CN" w:bidi="ar-SA"/>
              </w:rPr>
            </w:pPr>
            <w:r>
              <w:rPr>
                <w:rFonts w:hint="default" w:ascii="Times New Roman" w:hAnsi="Times New Roman" w:eastAsia="仿宋_GB2312" w:cs="Times New Roman"/>
                <w:bCs/>
                <w:i w:val="0"/>
                <w:iCs w:val="0"/>
                <w:color w:val="auto"/>
                <w:spacing w:val="0"/>
                <w:kern w:val="0"/>
                <w:position w:val="0"/>
                <w:sz w:val="22"/>
                <w:szCs w:val="22"/>
                <w:u w:val="none"/>
                <w:vertAlign w:val="baseline"/>
                <w:lang w:val="en-US" w:eastAsia="zh-CN" w:bidi="ar"/>
              </w:rPr>
              <w:t>5000户/17500人</w:t>
            </w:r>
          </w:p>
        </w:tc>
      </w:tr>
      <w:tr w14:paraId="3E0BB4D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0" w:hRule="atLeast"/>
          <w:jc w:val="center"/>
        </w:trPr>
        <w:tc>
          <w:tcPr>
            <w:tcW w:w="397" w:type="pct"/>
            <w:vMerge w:val="continue"/>
            <w:tcBorders>
              <w:tl2br w:val="nil"/>
              <w:tr2bl w:val="nil"/>
            </w:tcBorders>
            <w:noWrap w:val="0"/>
            <w:vAlign w:val="center"/>
          </w:tcPr>
          <w:p w14:paraId="06883C81">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rPr>
            </w:pPr>
          </w:p>
        </w:tc>
        <w:tc>
          <w:tcPr>
            <w:tcW w:w="388" w:type="pct"/>
            <w:tcBorders>
              <w:tl2br w:val="nil"/>
              <w:tr2bl w:val="nil"/>
            </w:tcBorders>
            <w:noWrap w:val="0"/>
            <w:vAlign w:val="center"/>
          </w:tcPr>
          <w:p w14:paraId="6A0E09AB">
            <w:pPr>
              <w:keepNext w:val="0"/>
              <w:keepLines w:val="0"/>
              <w:pageBreakBefore w:val="0"/>
              <w:widowControl/>
              <w:suppressLineNumbers w:val="0"/>
              <w:kinsoku/>
              <w:wordWrap/>
              <w:bidi w:val="0"/>
              <w:adjustRightInd w:val="0"/>
              <w:snapToGrid w:val="0"/>
              <w:spacing w:beforeAutospacing="0" w:afterAutospacing="0"/>
              <w:ind w:left="0" w:leftChars="0" w:right="0"/>
              <w:jc w:val="center"/>
              <w:textAlignment w:val="center"/>
              <w:rPr>
                <w:rFonts w:hint="default" w:ascii="Times New Roman" w:hAnsi="Times New Roman" w:eastAsia="仿宋_GB2312" w:cs="Times New Roman"/>
                <w:i w:val="0"/>
                <w:iCs w:val="0"/>
                <w:color w:val="auto"/>
                <w:spacing w:val="0"/>
                <w:kern w:val="0"/>
                <w:position w:val="0"/>
                <w:sz w:val="22"/>
                <w:szCs w:val="22"/>
                <w:u w:val="none"/>
                <w:vertAlign w:val="baseline"/>
                <w:lang w:val="en-US" w:eastAsia="zh-CN" w:bidi="ar-SA"/>
              </w:rPr>
            </w:pPr>
            <w:r>
              <w:rPr>
                <w:rFonts w:hint="default" w:ascii="Times New Roman" w:hAnsi="Times New Roman" w:eastAsia="仿宋_GB2312" w:cs="Times New Roman"/>
                <w:bCs/>
                <w:i w:val="0"/>
                <w:iCs w:val="0"/>
                <w:color w:val="auto"/>
                <w:spacing w:val="0"/>
                <w:kern w:val="0"/>
                <w:position w:val="0"/>
                <w:sz w:val="22"/>
                <w:szCs w:val="22"/>
                <w:u w:val="none"/>
                <w:vertAlign w:val="baseline"/>
                <w:lang w:val="en-US" w:eastAsia="zh-CN" w:bidi="ar"/>
              </w:rPr>
              <w:t>13</w:t>
            </w:r>
          </w:p>
        </w:tc>
        <w:tc>
          <w:tcPr>
            <w:tcW w:w="1293" w:type="pct"/>
            <w:gridSpan w:val="4"/>
            <w:tcBorders>
              <w:tl2br w:val="nil"/>
              <w:tr2bl w:val="nil"/>
            </w:tcBorders>
            <w:noWrap w:val="0"/>
            <w:vAlign w:val="center"/>
          </w:tcPr>
          <w:p w14:paraId="6C5AD53B">
            <w:pPr>
              <w:adjustRightInd w:val="0"/>
              <w:snapToGrid w:val="0"/>
              <w:jc w:val="center"/>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中巷村</w:t>
            </w:r>
          </w:p>
        </w:tc>
        <w:tc>
          <w:tcPr>
            <w:tcW w:w="626" w:type="pct"/>
            <w:gridSpan w:val="2"/>
            <w:tcBorders>
              <w:tl2br w:val="nil"/>
              <w:tr2bl w:val="nil"/>
            </w:tcBorders>
            <w:noWrap w:val="0"/>
            <w:vAlign w:val="center"/>
          </w:tcPr>
          <w:p w14:paraId="3EF3875C">
            <w:pPr>
              <w:adjustRightInd w:val="0"/>
              <w:snapToGrid w:val="0"/>
              <w:jc w:val="center"/>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N</w:t>
            </w:r>
          </w:p>
        </w:tc>
        <w:tc>
          <w:tcPr>
            <w:tcW w:w="715" w:type="pct"/>
            <w:gridSpan w:val="2"/>
            <w:tcBorders>
              <w:tl2br w:val="nil"/>
              <w:tr2bl w:val="nil"/>
            </w:tcBorders>
            <w:noWrap w:val="0"/>
            <w:vAlign w:val="center"/>
          </w:tcPr>
          <w:p w14:paraId="36B97184">
            <w:pPr>
              <w:adjustRightInd w:val="0"/>
              <w:snapToGrid w:val="0"/>
              <w:jc w:val="center"/>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2552</w:t>
            </w:r>
          </w:p>
        </w:tc>
        <w:tc>
          <w:tcPr>
            <w:tcW w:w="626" w:type="pct"/>
            <w:gridSpan w:val="4"/>
            <w:tcBorders>
              <w:tl2br w:val="nil"/>
              <w:tr2bl w:val="nil"/>
            </w:tcBorders>
            <w:noWrap w:val="0"/>
            <w:vAlign w:val="center"/>
          </w:tcPr>
          <w:p w14:paraId="2E129EC3">
            <w:pPr>
              <w:keepNext w:val="0"/>
              <w:keepLines w:val="0"/>
              <w:pageBreakBefore w:val="0"/>
              <w:widowControl/>
              <w:suppressLineNumbers w:val="0"/>
              <w:kinsoku/>
              <w:wordWrap/>
              <w:bidi w:val="0"/>
              <w:adjustRightInd w:val="0"/>
              <w:snapToGrid w:val="0"/>
              <w:spacing w:beforeAutospacing="0" w:afterAutospacing="0"/>
              <w:ind w:left="0" w:leftChars="0" w:right="0"/>
              <w:jc w:val="center"/>
              <w:textAlignment w:val="center"/>
              <w:rPr>
                <w:rFonts w:hint="default" w:ascii="Times New Roman" w:hAnsi="Times New Roman" w:eastAsia="仿宋_GB2312" w:cs="Times New Roman"/>
                <w:i w:val="0"/>
                <w:iCs w:val="0"/>
                <w:color w:val="auto"/>
                <w:spacing w:val="0"/>
                <w:kern w:val="0"/>
                <w:position w:val="0"/>
                <w:sz w:val="21"/>
                <w:szCs w:val="21"/>
                <w:u w:val="none"/>
                <w:vertAlign w:val="baseline"/>
                <w:lang w:val="en-US" w:eastAsia="zh-CN" w:bidi="ar-SA"/>
              </w:rPr>
            </w:pPr>
            <w:r>
              <w:rPr>
                <w:rFonts w:hint="default" w:ascii="Times New Roman" w:hAnsi="Times New Roman" w:eastAsia="仿宋_GB2312" w:cs="Times New Roman"/>
                <w:bCs/>
                <w:i w:val="0"/>
                <w:iCs w:val="0"/>
                <w:color w:val="auto"/>
                <w:spacing w:val="0"/>
                <w:kern w:val="0"/>
                <w:position w:val="0"/>
                <w:sz w:val="21"/>
                <w:szCs w:val="21"/>
                <w:u w:val="none"/>
                <w:vertAlign w:val="baseline"/>
                <w:lang w:val="en-US" w:eastAsia="zh-CN" w:bidi="ar"/>
              </w:rPr>
              <w:t>居民</w:t>
            </w:r>
          </w:p>
        </w:tc>
        <w:tc>
          <w:tcPr>
            <w:tcW w:w="951" w:type="pct"/>
            <w:gridSpan w:val="2"/>
            <w:tcBorders>
              <w:tl2br w:val="nil"/>
              <w:tr2bl w:val="nil"/>
            </w:tcBorders>
            <w:noWrap w:val="0"/>
            <w:vAlign w:val="center"/>
          </w:tcPr>
          <w:p w14:paraId="199E8765">
            <w:pPr>
              <w:keepNext w:val="0"/>
              <w:keepLines w:val="0"/>
              <w:pageBreakBefore w:val="0"/>
              <w:widowControl/>
              <w:suppressLineNumbers w:val="0"/>
              <w:kinsoku/>
              <w:wordWrap/>
              <w:bidi w:val="0"/>
              <w:adjustRightInd w:val="0"/>
              <w:snapToGrid w:val="0"/>
              <w:spacing w:beforeAutospacing="0" w:afterAutospacing="0"/>
              <w:ind w:left="0" w:leftChars="0" w:right="0"/>
              <w:jc w:val="center"/>
              <w:textAlignment w:val="center"/>
              <w:rPr>
                <w:rFonts w:hint="default" w:ascii="Times New Roman" w:hAnsi="Times New Roman" w:eastAsia="仿宋_GB2312" w:cs="Times New Roman"/>
                <w:i w:val="0"/>
                <w:iCs w:val="0"/>
                <w:color w:val="auto"/>
                <w:spacing w:val="0"/>
                <w:kern w:val="0"/>
                <w:position w:val="0"/>
                <w:sz w:val="22"/>
                <w:szCs w:val="22"/>
                <w:u w:val="none"/>
                <w:vertAlign w:val="baseline"/>
                <w:lang w:val="en-US" w:eastAsia="zh-CN" w:bidi="ar-SA"/>
              </w:rPr>
            </w:pPr>
            <w:r>
              <w:rPr>
                <w:rFonts w:hint="default" w:ascii="Times New Roman" w:hAnsi="Times New Roman" w:eastAsia="仿宋_GB2312" w:cs="Times New Roman"/>
                <w:bCs/>
                <w:i w:val="0"/>
                <w:iCs w:val="0"/>
                <w:color w:val="auto"/>
                <w:spacing w:val="0"/>
                <w:kern w:val="0"/>
                <w:position w:val="0"/>
                <w:sz w:val="22"/>
                <w:szCs w:val="22"/>
                <w:u w:val="none"/>
                <w:vertAlign w:val="baseline"/>
                <w:lang w:val="en-US" w:eastAsia="zh-CN" w:bidi="ar"/>
              </w:rPr>
              <w:t>100户/350人</w:t>
            </w:r>
          </w:p>
        </w:tc>
      </w:tr>
      <w:tr w14:paraId="56947C4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0" w:hRule="atLeast"/>
          <w:jc w:val="center"/>
        </w:trPr>
        <w:tc>
          <w:tcPr>
            <w:tcW w:w="397" w:type="pct"/>
            <w:vMerge w:val="continue"/>
            <w:tcBorders>
              <w:tl2br w:val="nil"/>
              <w:tr2bl w:val="nil"/>
            </w:tcBorders>
            <w:noWrap w:val="0"/>
            <w:vAlign w:val="center"/>
          </w:tcPr>
          <w:p w14:paraId="005F8274">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rPr>
            </w:pPr>
          </w:p>
        </w:tc>
        <w:tc>
          <w:tcPr>
            <w:tcW w:w="388" w:type="pct"/>
            <w:tcBorders>
              <w:tl2br w:val="nil"/>
              <w:tr2bl w:val="nil"/>
            </w:tcBorders>
            <w:noWrap w:val="0"/>
            <w:vAlign w:val="center"/>
          </w:tcPr>
          <w:p w14:paraId="7128C2C4">
            <w:pPr>
              <w:keepNext w:val="0"/>
              <w:keepLines w:val="0"/>
              <w:pageBreakBefore w:val="0"/>
              <w:widowControl/>
              <w:suppressLineNumbers w:val="0"/>
              <w:kinsoku/>
              <w:wordWrap/>
              <w:bidi w:val="0"/>
              <w:adjustRightInd w:val="0"/>
              <w:snapToGrid w:val="0"/>
              <w:spacing w:beforeAutospacing="0" w:afterAutospacing="0"/>
              <w:ind w:left="0" w:leftChars="0" w:right="0"/>
              <w:jc w:val="center"/>
              <w:textAlignment w:val="center"/>
              <w:rPr>
                <w:rFonts w:hint="default" w:ascii="Times New Roman" w:hAnsi="Times New Roman" w:eastAsia="仿宋_GB2312" w:cs="Times New Roman"/>
                <w:i w:val="0"/>
                <w:iCs w:val="0"/>
                <w:color w:val="auto"/>
                <w:spacing w:val="0"/>
                <w:kern w:val="0"/>
                <w:position w:val="0"/>
                <w:sz w:val="22"/>
                <w:szCs w:val="22"/>
                <w:u w:val="none"/>
                <w:vertAlign w:val="baseline"/>
                <w:lang w:val="en-US" w:eastAsia="zh-CN" w:bidi="ar-SA"/>
              </w:rPr>
            </w:pPr>
            <w:r>
              <w:rPr>
                <w:rFonts w:hint="default" w:ascii="Times New Roman" w:hAnsi="Times New Roman" w:eastAsia="仿宋_GB2312" w:cs="Times New Roman"/>
                <w:bCs/>
                <w:i w:val="0"/>
                <w:iCs w:val="0"/>
                <w:color w:val="auto"/>
                <w:spacing w:val="0"/>
                <w:kern w:val="0"/>
                <w:position w:val="0"/>
                <w:sz w:val="22"/>
                <w:szCs w:val="22"/>
                <w:u w:val="none"/>
                <w:vertAlign w:val="baseline"/>
                <w:lang w:val="en-US" w:eastAsia="zh-CN" w:bidi="ar"/>
              </w:rPr>
              <w:t>14</w:t>
            </w:r>
          </w:p>
        </w:tc>
        <w:tc>
          <w:tcPr>
            <w:tcW w:w="1293" w:type="pct"/>
            <w:gridSpan w:val="4"/>
            <w:tcBorders>
              <w:tl2br w:val="nil"/>
              <w:tr2bl w:val="nil"/>
            </w:tcBorders>
            <w:noWrap w:val="0"/>
            <w:vAlign w:val="center"/>
          </w:tcPr>
          <w:p w14:paraId="25FB8996">
            <w:pPr>
              <w:adjustRightInd w:val="0"/>
              <w:snapToGrid w:val="0"/>
              <w:jc w:val="center"/>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兆岐村</w:t>
            </w:r>
          </w:p>
        </w:tc>
        <w:tc>
          <w:tcPr>
            <w:tcW w:w="626" w:type="pct"/>
            <w:gridSpan w:val="2"/>
            <w:tcBorders>
              <w:tl2br w:val="nil"/>
              <w:tr2bl w:val="nil"/>
            </w:tcBorders>
            <w:noWrap w:val="0"/>
            <w:vAlign w:val="center"/>
          </w:tcPr>
          <w:p w14:paraId="3A50A61B">
            <w:pPr>
              <w:adjustRightInd w:val="0"/>
              <w:snapToGrid w:val="0"/>
              <w:jc w:val="center"/>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N</w:t>
            </w:r>
          </w:p>
        </w:tc>
        <w:tc>
          <w:tcPr>
            <w:tcW w:w="715" w:type="pct"/>
            <w:gridSpan w:val="2"/>
            <w:tcBorders>
              <w:tl2br w:val="nil"/>
              <w:tr2bl w:val="nil"/>
            </w:tcBorders>
            <w:noWrap w:val="0"/>
            <w:vAlign w:val="center"/>
          </w:tcPr>
          <w:p w14:paraId="69025B1D">
            <w:pPr>
              <w:adjustRightInd w:val="0"/>
              <w:snapToGrid w:val="0"/>
              <w:jc w:val="center"/>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4373</w:t>
            </w:r>
          </w:p>
        </w:tc>
        <w:tc>
          <w:tcPr>
            <w:tcW w:w="626" w:type="pct"/>
            <w:gridSpan w:val="4"/>
            <w:tcBorders>
              <w:tl2br w:val="nil"/>
              <w:tr2bl w:val="nil"/>
            </w:tcBorders>
            <w:noWrap w:val="0"/>
            <w:vAlign w:val="center"/>
          </w:tcPr>
          <w:p w14:paraId="3BF3C435">
            <w:pPr>
              <w:keepNext w:val="0"/>
              <w:keepLines w:val="0"/>
              <w:pageBreakBefore w:val="0"/>
              <w:widowControl/>
              <w:suppressLineNumbers w:val="0"/>
              <w:kinsoku/>
              <w:wordWrap/>
              <w:bidi w:val="0"/>
              <w:adjustRightInd w:val="0"/>
              <w:snapToGrid w:val="0"/>
              <w:spacing w:beforeAutospacing="0" w:afterAutospacing="0"/>
              <w:ind w:left="0" w:leftChars="0" w:right="0"/>
              <w:jc w:val="center"/>
              <w:textAlignment w:val="center"/>
              <w:rPr>
                <w:rFonts w:hint="default" w:ascii="Times New Roman" w:hAnsi="Times New Roman" w:eastAsia="仿宋_GB2312" w:cs="Times New Roman"/>
                <w:i w:val="0"/>
                <w:iCs w:val="0"/>
                <w:color w:val="auto"/>
                <w:spacing w:val="0"/>
                <w:kern w:val="0"/>
                <w:position w:val="0"/>
                <w:sz w:val="21"/>
                <w:szCs w:val="21"/>
                <w:u w:val="none"/>
                <w:vertAlign w:val="baseline"/>
                <w:lang w:val="en-US" w:eastAsia="zh-CN" w:bidi="ar-SA"/>
              </w:rPr>
            </w:pPr>
            <w:r>
              <w:rPr>
                <w:rFonts w:hint="default" w:ascii="Times New Roman" w:hAnsi="Times New Roman" w:eastAsia="仿宋_GB2312" w:cs="Times New Roman"/>
                <w:bCs/>
                <w:i w:val="0"/>
                <w:iCs w:val="0"/>
                <w:color w:val="auto"/>
                <w:spacing w:val="0"/>
                <w:kern w:val="0"/>
                <w:position w:val="0"/>
                <w:sz w:val="21"/>
                <w:szCs w:val="21"/>
                <w:u w:val="none"/>
                <w:vertAlign w:val="baseline"/>
                <w:lang w:val="en-US" w:eastAsia="zh-CN" w:bidi="ar"/>
              </w:rPr>
              <w:t>居民</w:t>
            </w:r>
          </w:p>
        </w:tc>
        <w:tc>
          <w:tcPr>
            <w:tcW w:w="951" w:type="pct"/>
            <w:gridSpan w:val="2"/>
            <w:tcBorders>
              <w:tl2br w:val="nil"/>
              <w:tr2bl w:val="nil"/>
            </w:tcBorders>
            <w:noWrap w:val="0"/>
            <w:vAlign w:val="center"/>
          </w:tcPr>
          <w:p w14:paraId="3D2FD0BD">
            <w:pPr>
              <w:keepNext w:val="0"/>
              <w:keepLines w:val="0"/>
              <w:pageBreakBefore w:val="0"/>
              <w:widowControl/>
              <w:suppressLineNumbers w:val="0"/>
              <w:kinsoku/>
              <w:wordWrap/>
              <w:bidi w:val="0"/>
              <w:adjustRightInd w:val="0"/>
              <w:snapToGrid w:val="0"/>
              <w:spacing w:beforeAutospacing="0" w:afterAutospacing="0"/>
              <w:ind w:left="0" w:leftChars="0" w:right="0"/>
              <w:jc w:val="center"/>
              <w:textAlignment w:val="center"/>
              <w:rPr>
                <w:rFonts w:hint="default" w:ascii="Times New Roman" w:hAnsi="Times New Roman" w:eastAsia="仿宋_GB2312" w:cs="Times New Roman"/>
                <w:i w:val="0"/>
                <w:iCs w:val="0"/>
                <w:color w:val="auto"/>
                <w:spacing w:val="0"/>
                <w:kern w:val="0"/>
                <w:position w:val="0"/>
                <w:sz w:val="22"/>
                <w:szCs w:val="22"/>
                <w:u w:val="none"/>
                <w:vertAlign w:val="baseline"/>
                <w:lang w:val="en-US" w:eastAsia="zh-CN" w:bidi="ar-SA"/>
              </w:rPr>
            </w:pPr>
            <w:r>
              <w:rPr>
                <w:rFonts w:hint="default" w:ascii="Times New Roman" w:hAnsi="Times New Roman" w:eastAsia="仿宋_GB2312" w:cs="Times New Roman"/>
                <w:bCs/>
                <w:i w:val="0"/>
                <w:iCs w:val="0"/>
                <w:color w:val="auto"/>
                <w:spacing w:val="0"/>
                <w:kern w:val="0"/>
                <w:position w:val="0"/>
                <w:sz w:val="22"/>
                <w:szCs w:val="22"/>
                <w:u w:val="none"/>
                <w:vertAlign w:val="baseline"/>
                <w:lang w:val="en-US" w:eastAsia="zh-CN" w:bidi="ar"/>
              </w:rPr>
              <w:t>16户/56人</w:t>
            </w:r>
          </w:p>
        </w:tc>
      </w:tr>
      <w:tr w14:paraId="7BFEEA3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0" w:hRule="atLeast"/>
          <w:jc w:val="center"/>
        </w:trPr>
        <w:tc>
          <w:tcPr>
            <w:tcW w:w="397" w:type="pct"/>
            <w:vMerge w:val="continue"/>
            <w:tcBorders>
              <w:tl2br w:val="nil"/>
              <w:tr2bl w:val="nil"/>
            </w:tcBorders>
            <w:noWrap w:val="0"/>
            <w:vAlign w:val="center"/>
          </w:tcPr>
          <w:p w14:paraId="0D1708FE">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rPr>
            </w:pPr>
          </w:p>
        </w:tc>
        <w:tc>
          <w:tcPr>
            <w:tcW w:w="388" w:type="pct"/>
            <w:tcBorders>
              <w:tl2br w:val="nil"/>
              <w:tr2bl w:val="nil"/>
            </w:tcBorders>
            <w:noWrap w:val="0"/>
            <w:vAlign w:val="center"/>
          </w:tcPr>
          <w:p w14:paraId="1DBC1819">
            <w:pPr>
              <w:keepNext w:val="0"/>
              <w:keepLines w:val="0"/>
              <w:pageBreakBefore w:val="0"/>
              <w:widowControl/>
              <w:suppressLineNumbers w:val="0"/>
              <w:kinsoku/>
              <w:wordWrap/>
              <w:bidi w:val="0"/>
              <w:adjustRightInd w:val="0"/>
              <w:snapToGrid w:val="0"/>
              <w:spacing w:beforeAutospacing="0" w:afterAutospacing="0"/>
              <w:ind w:left="0" w:leftChars="0" w:right="0"/>
              <w:jc w:val="center"/>
              <w:textAlignment w:val="center"/>
              <w:rPr>
                <w:rFonts w:hint="default" w:ascii="Times New Roman" w:hAnsi="Times New Roman" w:eastAsia="仿宋_GB2312" w:cs="Times New Roman"/>
                <w:i w:val="0"/>
                <w:iCs w:val="0"/>
                <w:color w:val="auto"/>
                <w:spacing w:val="0"/>
                <w:kern w:val="0"/>
                <w:position w:val="0"/>
                <w:sz w:val="22"/>
                <w:szCs w:val="22"/>
                <w:u w:val="none"/>
                <w:vertAlign w:val="baseline"/>
                <w:lang w:val="en-US" w:eastAsia="zh-CN" w:bidi="ar-SA"/>
              </w:rPr>
            </w:pPr>
            <w:r>
              <w:rPr>
                <w:rFonts w:hint="default" w:ascii="Times New Roman" w:hAnsi="Times New Roman" w:eastAsia="仿宋_GB2312" w:cs="Times New Roman"/>
                <w:bCs/>
                <w:i w:val="0"/>
                <w:iCs w:val="0"/>
                <w:color w:val="auto"/>
                <w:spacing w:val="0"/>
                <w:kern w:val="0"/>
                <w:position w:val="0"/>
                <w:sz w:val="22"/>
                <w:szCs w:val="22"/>
                <w:u w:val="none"/>
                <w:vertAlign w:val="baseline"/>
                <w:lang w:val="en-US" w:eastAsia="zh-CN" w:bidi="ar"/>
              </w:rPr>
              <w:t>15</w:t>
            </w:r>
          </w:p>
        </w:tc>
        <w:tc>
          <w:tcPr>
            <w:tcW w:w="1293" w:type="pct"/>
            <w:gridSpan w:val="4"/>
            <w:tcBorders>
              <w:tl2br w:val="nil"/>
              <w:tr2bl w:val="nil"/>
            </w:tcBorders>
            <w:noWrap w:val="0"/>
            <w:vAlign w:val="center"/>
          </w:tcPr>
          <w:p w14:paraId="00B97456">
            <w:pPr>
              <w:adjustRightInd w:val="0"/>
              <w:snapToGrid w:val="0"/>
              <w:jc w:val="center"/>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白塔镇</w:t>
            </w:r>
          </w:p>
        </w:tc>
        <w:tc>
          <w:tcPr>
            <w:tcW w:w="626" w:type="pct"/>
            <w:gridSpan w:val="2"/>
            <w:tcBorders>
              <w:tl2br w:val="nil"/>
              <w:tr2bl w:val="nil"/>
            </w:tcBorders>
            <w:noWrap w:val="0"/>
            <w:vAlign w:val="center"/>
          </w:tcPr>
          <w:p w14:paraId="7F055F01">
            <w:pPr>
              <w:adjustRightInd w:val="0"/>
              <w:snapToGrid w:val="0"/>
              <w:jc w:val="center"/>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NW</w:t>
            </w:r>
          </w:p>
        </w:tc>
        <w:tc>
          <w:tcPr>
            <w:tcW w:w="715" w:type="pct"/>
            <w:gridSpan w:val="2"/>
            <w:tcBorders>
              <w:tl2br w:val="nil"/>
              <w:tr2bl w:val="nil"/>
            </w:tcBorders>
            <w:noWrap w:val="0"/>
            <w:vAlign w:val="center"/>
          </w:tcPr>
          <w:p w14:paraId="3BFCCB69">
            <w:pPr>
              <w:adjustRightInd w:val="0"/>
              <w:snapToGrid w:val="0"/>
              <w:jc w:val="center"/>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2680</w:t>
            </w:r>
          </w:p>
        </w:tc>
        <w:tc>
          <w:tcPr>
            <w:tcW w:w="626" w:type="pct"/>
            <w:gridSpan w:val="4"/>
            <w:tcBorders>
              <w:tl2br w:val="nil"/>
              <w:tr2bl w:val="nil"/>
            </w:tcBorders>
            <w:noWrap w:val="0"/>
            <w:vAlign w:val="center"/>
          </w:tcPr>
          <w:p w14:paraId="6B67D5D3">
            <w:pPr>
              <w:keepNext w:val="0"/>
              <w:keepLines w:val="0"/>
              <w:pageBreakBefore w:val="0"/>
              <w:widowControl/>
              <w:suppressLineNumbers w:val="0"/>
              <w:kinsoku/>
              <w:wordWrap/>
              <w:bidi w:val="0"/>
              <w:adjustRightInd w:val="0"/>
              <w:snapToGrid w:val="0"/>
              <w:spacing w:beforeAutospacing="0" w:afterAutospacing="0"/>
              <w:ind w:left="0" w:leftChars="0" w:right="0"/>
              <w:jc w:val="center"/>
              <w:textAlignment w:val="center"/>
              <w:rPr>
                <w:rFonts w:hint="default" w:ascii="Times New Roman" w:hAnsi="Times New Roman" w:eastAsia="仿宋_GB2312" w:cs="Times New Roman"/>
                <w:i w:val="0"/>
                <w:iCs w:val="0"/>
                <w:color w:val="auto"/>
                <w:spacing w:val="0"/>
                <w:kern w:val="0"/>
                <w:position w:val="0"/>
                <w:sz w:val="21"/>
                <w:szCs w:val="21"/>
                <w:u w:val="none"/>
                <w:vertAlign w:val="baseline"/>
                <w:lang w:val="en-US" w:eastAsia="zh-CN" w:bidi="ar-SA"/>
              </w:rPr>
            </w:pPr>
            <w:r>
              <w:rPr>
                <w:rFonts w:hint="default" w:ascii="Times New Roman" w:hAnsi="Times New Roman" w:eastAsia="仿宋_GB2312" w:cs="Times New Roman"/>
                <w:bCs/>
                <w:i w:val="0"/>
                <w:iCs w:val="0"/>
                <w:color w:val="auto"/>
                <w:spacing w:val="0"/>
                <w:kern w:val="0"/>
                <w:position w:val="0"/>
                <w:sz w:val="21"/>
                <w:szCs w:val="21"/>
                <w:u w:val="none"/>
                <w:vertAlign w:val="baseline"/>
                <w:lang w:val="en-US" w:eastAsia="zh-CN" w:bidi="ar"/>
              </w:rPr>
              <w:t>居民</w:t>
            </w:r>
          </w:p>
        </w:tc>
        <w:tc>
          <w:tcPr>
            <w:tcW w:w="951" w:type="pct"/>
            <w:gridSpan w:val="2"/>
            <w:tcBorders>
              <w:tl2br w:val="nil"/>
              <w:tr2bl w:val="nil"/>
            </w:tcBorders>
            <w:noWrap w:val="0"/>
            <w:vAlign w:val="center"/>
          </w:tcPr>
          <w:p w14:paraId="47838F09">
            <w:pPr>
              <w:keepNext w:val="0"/>
              <w:keepLines w:val="0"/>
              <w:pageBreakBefore w:val="0"/>
              <w:widowControl/>
              <w:suppressLineNumbers w:val="0"/>
              <w:kinsoku/>
              <w:wordWrap/>
              <w:bidi w:val="0"/>
              <w:adjustRightInd w:val="0"/>
              <w:snapToGrid w:val="0"/>
              <w:spacing w:beforeAutospacing="0" w:afterAutospacing="0"/>
              <w:ind w:left="0" w:leftChars="0" w:right="0"/>
              <w:jc w:val="center"/>
              <w:textAlignment w:val="center"/>
              <w:rPr>
                <w:rFonts w:hint="default" w:ascii="Times New Roman" w:hAnsi="Times New Roman" w:eastAsia="仿宋_GB2312" w:cs="Times New Roman"/>
                <w:i w:val="0"/>
                <w:iCs w:val="0"/>
                <w:color w:val="auto"/>
                <w:spacing w:val="0"/>
                <w:kern w:val="0"/>
                <w:position w:val="0"/>
                <w:sz w:val="22"/>
                <w:szCs w:val="22"/>
                <w:u w:val="none"/>
                <w:vertAlign w:val="baseline"/>
                <w:lang w:val="en-US" w:eastAsia="zh-CN" w:bidi="ar-SA"/>
              </w:rPr>
            </w:pPr>
            <w:r>
              <w:rPr>
                <w:rFonts w:hint="eastAsia" w:ascii="Times New Roman" w:hAnsi="Times New Roman" w:eastAsia="仿宋_GB2312" w:cs="Times New Roman"/>
                <w:i w:val="0"/>
                <w:iCs w:val="0"/>
                <w:color w:val="auto"/>
                <w:spacing w:val="0"/>
                <w:kern w:val="0"/>
                <w:position w:val="0"/>
                <w:sz w:val="22"/>
                <w:szCs w:val="22"/>
                <w:u w:val="none"/>
                <w:vertAlign w:val="baseline"/>
                <w:lang w:val="en-US" w:eastAsia="zh-CN" w:bidi="ar-SA"/>
              </w:rPr>
              <w:t>约2300人</w:t>
            </w:r>
          </w:p>
        </w:tc>
      </w:tr>
      <w:tr w14:paraId="4BED598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0" w:hRule="atLeast"/>
          <w:jc w:val="center"/>
        </w:trPr>
        <w:tc>
          <w:tcPr>
            <w:tcW w:w="397" w:type="pct"/>
            <w:vMerge w:val="continue"/>
            <w:tcBorders>
              <w:tl2br w:val="nil"/>
              <w:tr2bl w:val="nil"/>
            </w:tcBorders>
            <w:noWrap w:val="0"/>
            <w:vAlign w:val="center"/>
          </w:tcPr>
          <w:p w14:paraId="5E40E4B3">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rPr>
            </w:pPr>
          </w:p>
        </w:tc>
        <w:tc>
          <w:tcPr>
            <w:tcW w:w="388" w:type="pct"/>
            <w:tcBorders>
              <w:tl2br w:val="nil"/>
              <w:tr2bl w:val="nil"/>
            </w:tcBorders>
            <w:noWrap w:val="0"/>
            <w:vAlign w:val="center"/>
          </w:tcPr>
          <w:p w14:paraId="4B0C6B37">
            <w:pPr>
              <w:keepNext w:val="0"/>
              <w:keepLines w:val="0"/>
              <w:pageBreakBefore w:val="0"/>
              <w:widowControl/>
              <w:suppressLineNumbers w:val="0"/>
              <w:kinsoku/>
              <w:wordWrap/>
              <w:bidi w:val="0"/>
              <w:adjustRightInd w:val="0"/>
              <w:snapToGrid w:val="0"/>
              <w:spacing w:beforeAutospacing="0" w:afterAutospacing="0"/>
              <w:ind w:left="0" w:leftChars="0" w:right="0"/>
              <w:jc w:val="center"/>
              <w:textAlignment w:val="center"/>
              <w:rPr>
                <w:rFonts w:hint="default" w:ascii="Times New Roman" w:hAnsi="Times New Roman" w:eastAsia="仿宋_GB2312" w:cs="Times New Roman"/>
                <w:i w:val="0"/>
                <w:iCs w:val="0"/>
                <w:color w:val="auto"/>
                <w:spacing w:val="0"/>
                <w:kern w:val="0"/>
                <w:position w:val="0"/>
                <w:sz w:val="22"/>
                <w:szCs w:val="22"/>
                <w:u w:val="none"/>
                <w:vertAlign w:val="baseline"/>
                <w:lang w:val="en-US" w:eastAsia="zh-CN" w:bidi="ar-SA"/>
              </w:rPr>
            </w:pPr>
            <w:r>
              <w:rPr>
                <w:rFonts w:hint="default" w:ascii="Times New Roman" w:hAnsi="Times New Roman" w:eastAsia="仿宋_GB2312" w:cs="Times New Roman"/>
                <w:bCs/>
                <w:i w:val="0"/>
                <w:iCs w:val="0"/>
                <w:color w:val="auto"/>
                <w:spacing w:val="0"/>
                <w:kern w:val="0"/>
                <w:position w:val="0"/>
                <w:sz w:val="22"/>
                <w:szCs w:val="22"/>
                <w:u w:val="none"/>
                <w:vertAlign w:val="baseline"/>
                <w:lang w:val="en-US" w:eastAsia="zh-CN" w:bidi="ar"/>
              </w:rPr>
              <w:t>16</w:t>
            </w:r>
          </w:p>
        </w:tc>
        <w:tc>
          <w:tcPr>
            <w:tcW w:w="1293" w:type="pct"/>
            <w:gridSpan w:val="4"/>
            <w:tcBorders>
              <w:tl2br w:val="nil"/>
              <w:tr2bl w:val="nil"/>
            </w:tcBorders>
            <w:noWrap w:val="0"/>
            <w:vAlign w:val="center"/>
          </w:tcPr>
          <w:p w14:paraId="1301ED39">
            <w:pPr>
              <w:adjustRightInd w:val="0"/>
              <w:snapToGrid w:val="0"/>
              <w:jc w:val="center"/>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赵巷村</w:t>
            </w:r>
          </w:p>
        </w:tc>
        <w:tc>
          <w:tcPr>
            <w:tcW w:w="626" w:type="pct"/>
            <w:gridSpan w:val="2"/>
            <w:tcBorders>
              <w:tl2br w:val="nil"/>
              <w:tr2bl w:val="nil"/>
            </w:tcBorders>
            <w:noWrap w:val="0"/>
            <w:vAlign w:val="center"/>
          </w:tcPr>
          <w:p w14:paraId="73856C06">
            <w:pPr>
              <w:adjustRightInd w:val="0"/>
              <w:snapToGrid w:val="0"/>
              <w:jc w:val="center"/>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NW</w:t>
            </w:r>
          </w:p>
        </w:tc>
        <w:tc>
          <w:tcPr>
            <w:tcW w:w="715" w:type="pct"/>
            <w:gridSpan w:val="2"/>
            <w:tcBorders>
              <w:tl2br w:val="nil"/>
              <w:tr2bl w:val="nil"/>
            </w:tcBorders>
            <w:noWrap w:val="0"/>
            <w:vAlign w:val="center"/>
          </w:tcPr>
          <w:p w14:paraId="3ABEED42">
            <w:pPr>
              <w:adjustRightInd w:val="0"/>
              <w:snapToGrid w:val="0"/>
              <w:jc w:val="center"/>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4013</w:t>
            </w:r>
          </w:p>
        </w:tc>
        <w:tc>
          <w:tcPr>
            <w:tcW w:w="626" w:type="pct"/>
            <w:gridSpan w:val="4"/>
            <w:tcBorders>
              <w:tl2br w:val="nil"/>
              <w:tr2bl w:val="nil"/>
            </w:tcBorders>
            <w:noWrap w:val="0"/>
            <w:vAlign w:val="center"/>
          </w:tcPr>
          <w:p w14:paraId="21AFB0B0">
            <w:pPr>
              <w:keepNext w:val="0"/>
              <w:keepLines w:val="0"/>
              <w:pageBreakBefore w:val="0"/>
              <w:widowControl/>
              <w:suppressLineNumbers w:val="0"/>
              <w:kinsoku/>
              <w:wordWrap/>
              <w:bidi w:val="0"/>
              <w:adjustRightInd w:val="0"/>
              <w:snapToGrid w:val="0"/>
              <w:spacing w:beforeAutospacing="0" w:afterAutospacing="0"/>
              <w:ind w:left="0" w:leftChars="0" w:right="0"/>
              <w:jc w:val="center"/>
              <w:textAlignment w:val="center"/>
              <w:rPr>
                <w:rFonts w:hint="default" w:ascii="Times New Roman" w:hAnsi="Times New Roman" w:eastAsia="仿宋_GB2312" w:cs="Times New Roman"/>
                <w:i w:val="0"/>
                <w:iCs w:val="0"/>
                <w:color w:val="auto"/>
                <w:spacing w:val="0"/>
                <w:kern w:val="0"/>
                <w:position w:val="0"/>
                <w:sz w:val="21"/>
                <w:szCs w:val="21"/>
                <w:u w:val="none"/>
                <w:vertAlign w:val="baseline"/>
                <w:lang w:val="en-US" w:eastAsia="zh-CN" w:bidi="ar-SA"/>
              </w:rPr>
            </w:pPr>
            <w:r>
              <w:rPr>
                <w:rFonts w:hint="default" w:ascii="Times New Roman" w:hAnsi="Times New Roman" w:eastAsia="仿宋_GB2312" w:cs="Times New Roman"/>
                <w:bCs/>
                <w:i w:val="0"/>
                <w:iCs w:val="0"/>
                <w:color w:val="auto"/>
                <w:spacing w:val="0"/>
                <w:kern w:val="0"/>
                <w:position w:val="0"/>
                <w:sz w:val="21"/>
                <w:szCs w:val="21"/>
                <w:u w:val="none"/>
                <w:vertAlign w:val="baseline"/>
                <w:lang w:val="en-US" w:eastAsia="zh-CN" w:bidi="ar"/>
              </w:rPr>
              <w:t>居民</w:t>
            </w:r>
          </w:p>
        </w:tc>
        <w:tc>
          <w:tcPr>
            <w:tcW w:w="951" w:type="pct"/>
            <w:gridSpan w:val="2"/>
            <w:tcBorders>
              <w:tl2br w:val="nil"/>
              <w:tr2bl w:val="nil"/>
            </w:tcBorders>
            <w:noWrap w:val="0"/>
            <w:vAlign w:val="center"/>
          </w:tcPr>
          <w:p w14:paraId="166DAB7A">
            <w:pPr>
              <w:keepNext w:val="0"/>
              <w:keepLines w:val="0"/>
              <w:pageBreakBefore w:val="0"/>
              <w:widowControl/>
              <w:suppressLineNumbers w:val="0"/>
              <w:kinsoku/>
              <w:wordWrap/>
              <w:bidi w:val="0"/>
              <w:adjustRightInd w:val="0"/>
              <w:snapToGrid w:val="0"/>
              <w:spacing w:beforeAutospacing="0" w:afterAutospacing="0"/>
              <w:ind w:left="0" w:leftChars="0" w:right="0"/>
              <w:jc w:val="center"/>
              <w:textAlignment w:val="center"/>
              <w:rPr>
                <w:rFonts w:hint="default" w:ascii="Times New Roman" w:hAnsi="Times New Roman" w:eastAsia="仿宋_GB2312" w:cs="Times New Roman"/>
                <w:i w:val="0"/>
                <w:iCs w:val="0"/>
                <w:color w:val="auto"/>
                <w:spacing w:val="0"/>
                <w:kern w:val="0"/>
                <w:position w:val="0"/>
                <w:sz w:val="22"/>
                <w:szCs w:val="22"/>
                <w:u w:val="none"/>
                <w:vertAlign w:val="baseline"/>
                <w:lang w:val="en-US" w:eastAsia="zh-CN" w:bidi="ar-SA"/>
              </w:rPr>
            </w:pPr>
            <w:r>
              <w:rPr>
                <w:rFonts w:hint="default" w:ascii="Times New Roman" w:hAnsi="Times New Roman" w:eastAsia="仿宋_GB2312" w:cs="Times New Roman"/>
                <w:bCs/>
                <w:i w:val="0"/>
                <w:iCs w:val="0"/>
                <w:color w:val="auto"/>
                <w:spacing w:val="0"/>
                <w:kern w:val="0"/>
                <w:position w:val="0"/>
                <w:sz w:val="22"/>
                <w:szCs w:val="22"/>
                <w:u w:val="none"/>
                <w:vertAlign w:val="baseline"/>
                <w:lang w:val="en-US" w:eastAsia="zh-CN" w:bidi="ar"/>
              </w:rPr>
              <w:t>40户/140人</w:t>
            </w:r>
          </w:p>
        </w:tc>
      </w:tr>
      <w:tr w14:paraId="235D176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0" w:hRule="atLeast"/>
          <w:jc w:val="center"/>
        </w:trPr>
        <w:tc>
          <w:tcPr>
            <w:tcW w:w="397" w:type="pct"/>
            <w:vMerge w:val="continue"/>
            <w:tcBorders>
              <w:tl2br w:val="nil"/>
              <w:tr2bl w:val="nil"/>
            </w:tcBorders>
            <w:noWrap w:val="0"/>
            <w:vAlign w:val="center"/>
          </w:tcPr>
          <w:p w14:paraId="59630251">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rPr>
            </w:pPr>
          </w:p>
        </w:tc>
        <w:tc>
          <w:tcPr>
            <w:tcW w:w="388" w:type="pct"/>
            <w:tcBorders>
              <w:tl2br w:val="nil"/>
              <w:tr2bl w:val="nil"/>
            </w:tcBorders>
            <w:noWrap w:val="0"/>
            <w:vAlign w:val="center"/>
          </w:tcPr>
          <w:p w14:paraId="21426B5D">
            <w:pPr>
              <w:keepNext w:val="0"/>
              <w:keepLines w:val="0"/>
              <w:pageBreakBefore w:val="0"/>
              <w:widowControl/>
              <w:suppressLineNumbers w:val="0"/>
              <w:kinsoku/>
              <w:wordWrap/>
              <w:bidi w:val="0"/>
              <w:adjustRightInd w:val="0"/>
              <w:snapToGrid w:val="0"/>
              <w:spacing w:beforeAutospacing="0" w:afterAutospacing="0"/>
              <w:ind w:left="0" w:leftChars="0" w:right="0"/>
              <w:jc w:val="center"/>
              <w:textAlignment w:val="center"/>
              <w:rPr>
                <w:rFonts w:hint="default" w:ascii="Times New Roman" w:hAnsi="Times New Roman" w:eastAsia="仿宋_GB2312" w:cs="Times New Roman"/>
                <w:i w:val="0"/>
                <w:iCs w:val="0"/>
                <w:color w:val="auto"/>
                <w:spacing w:val="0"/>
                <w:kern w:val="0"/>
                <w:position w:val="0"/>
                <w:sz w:val="22"/>
                <w:szCs w:val="22"/>
                <w:u w:val="none"/>
                <w:vertAlign w:val="baseline"/>
                <w:lang w:val="en-US" w:eastAsia="zh-CN" w:bidi="ar-SA"/>
              </w:rPr>
            </w:pPr>
            <w:r>
              <w:rPr>
                <w:rFonts w:hint="default" w:ascii="Times New Roman" w:hAnsi="Times New Roman" w:eastAsia="仿宋_GB2312" w:cs="Times New Roman"/>
                <w:bCs/>
                <w:i w:val="0"/>
                <w:iCs w:val="0"/>
                <w:color w:val="auto"/>
                <w:spacing w:val="0"/>
                <w:kern w:val="0"/>
                <w:position w:val="0"/>
                <w:sz w:val="22"/>
                <w:szCs w:val="22"/>
                <w:u w:val="none"/>
                <w:vertAlign w:val="baseline"/>
                <w:lang w:val="en-US" w:eastAsia="zh-CN" w:bidi="ar"/>
              </w:rPr>
              <w:t>17</w:t>
            </w:r>
          </w:p>
        </w:tc>
        <w:tc>
          <w:tcPr>
            <w:tcW w:w="1293" w:type="pct"/>
            <w:gridSpan w:val="4"/>
            <w:tcBorders>
              <w:tl2br w:val="nil"/>
              <w:tr2bl w:val="nil"/>
            </w:tcBorders>
            <w:noWrap w:val="0"/>
            <w:vAlign w:val="center"/>
          </w:tcPr>
          <w:p w14:paraId="192842C9">
            <w:pPr>
              <w:adjustRightInd w:val="0"/>
              <w:snapToGrid w:val="0"/>
              <w:jc w:val="center"/>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货巷村</w:t>
            </w:r>
          </w:p>
        </w:tc>
        <w:tc>
          <w:tcPr>
            <w:tcW w:w="626" w:type="pct"/>
            <w:gridSpan w:val="2"/>
            <w:tcBorders>
              <w:tl2br w:val="nil"/>
              <w:tr2bl w:val="nil"/>
            </w:tcBorders>
            <w:noWrap w:val="0"/>
            <w:vAlign w:val="center"/>
          </w:tcPr>
          <w:p w14:paraId="45381937">
            <w:pPr>
              <w:adjustRightInd w:val="0"/>
              <w:snapToGrid w:val="0"/>
              <w:jc w:val="center"/>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NW</w:t>
            </w:r>
          </w:p>
        </w:tc>
        <w:tc>
          <w:tcPr>
            <w:tcW w:w="715" w:type="pct"/>
            <w:gridSpan w:val="2"/>
            <w:tcBorders>
              <w:tl2br w:val="nil"/>
              <w:tr2bl w:val="nil"/>
            </w:tcBorders>
            <w:noWrap w:val="0"/>
            <w:vAlign w:val="center"/>
          </w:tcPr>
          <w:p w14:paraId="68EC5B3D">
            <w:pPr>
              <w:adjustRightInd w:val="0"/>
              <w:snapToGrid w:val="0"/>
              <w:jc w:val="center"/>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4116</w:t>
            </w:r>
          </w:p>
        </w:tc>
        <w:tc>
          <w:tcPr>
            <w:tcW w:w="626" w:type="pct"/>
            <w:gridSpan w:val="4"/>
            <w:tcBorders>
              <w:tl2br w:val="nil"/>
              <w:tr2bl w:val="nil"/>
            </w:tcBorders>
            <w:noWrap w:val="0"/>
            <w:vAlign w:val="center"/>
          </w:tcPr>
          <w:p w14:paraId="7FB4D26E">
            <w:pPr>
              <w:keepNext w:val="0"/>
              <w:keepLines w:val="0"/>
              <w:pageBreakBefore w:val="0"/>
              <w:widowControl/>
              <w:suppressLineNumbers w:val="0"/>
              <w:kinsoku/>
              <w:wordWrap/>
              <w:bidi w:val="0"/>
              <w:adjustRightInd w:val="0"/>
              <w:snapToGrid w:val="0"/>
              <w:spacing w:beforeAutospacing="0" w:afterAutospacing="0"/>
              <w:ind w:left="0" w:leftChars="0" w:right="0"/>
              <w:jc w:val="center"/>
              <w:textAlignment w:val="center"/>
              <w:rPr>
                <w:rFonts w:hint="default" w:ascii="Times New Roman" w:hAnsi="Times New Roman" w:eastAsia="仿宋_GB2312" w:cs="Times New Roman"/>
                <w:i w:val="0"/>
                <w:iCs w:val="0"/>
                <w:color w:val="auto"/>
                <w:spacing w:val="0"/>
                <w:kern w:val="0"/>
                <w:position w:val="0"/>
                <w:sz w:val="21"/>
                <w:szCs w:val="21"/>
                <w:u w:val="none"/>
                <w:vertAlign w:val="baseline"/>
                <w:lang w:val="en-US" w:eastAsia="zh-CN" w:bidi="ar-SA"/>
              </w:rPr>
            </w:pPr>
            <w:r>
              <w:rPr>
                <w:rFonts w:hint="default" w:ascii="Times New Roman" w:hAnsi="Times New Roman" w:eastAsia="仿宋_GB2312" w:cs="Times New Roman"/>
                <w:bCs/>
                <w:i w:val="0"/>
                <w:iCs w:val="0"/>
                <w:color w:val="auto"/>
                <w:spacing w:val="0"/>
                <w:kern w:val="0"/>
                <w:position w:val="0"/>
                <w:sz w:val="21"/>
                <w:szCs w:val="21"/>
                <w:u w:val="none"/>
                <w:vertAlign w:val="baseline"/>
                <w:lang w:val="en-US" w:eastAsia="zh-CN" w:bidi="ar"/>
              </w:rPr>
              <w:t>居民</w:t>
            </w:r>
          </w:p>
        </w:tc>
        <w:tc>
          <w:tcPr>
            <w:tcW w:w="951" w:type="pct"/>
            <w:gridSpan w:val="2"/>
            <w:tcBorders>
              <w:tl2br w:val="nil"/>
              <w:tr2bl w:val="nil"/>
            </w:tcBorders>
            <w:noWrap w:val="0"/>
            <w:vAlign w:val="center"/>
          </w:tcPr>
          <w:p w14:paraId="671B642C">
            <w:pPr>
              <w:keepNext w:val="0"/>
              <w:keepLines w:val="0"/>
              <w:pageBreakBefore w:val="0"/>
              <w:widowControl/>
              <w:suppressLineNumbers w:val="0"/>
              <w:kinsoku/>
              <w:wordWrap/>
              <w:bidi w:val="0"/>
              <w:adjustRightInd w:val="0"/>
              <w:snapToGrid w:val="0"/>
              <w:spacing w:beforeAutospacing="0" w:afterAutospacing="0"/>
              <w:ind w:left="0" w:leftChars="0" w:right="0"/>
              <w:jc w:val="center"/>
              <w:textAlignment w:val="center"/>
              <w:rPr>
                <w:rFonts w:hint="default" w:ascii="Times New Roman" w:hAnsi="Times New Roman" w:eastAsia="仿宋_GB2312" w:cs="Times New Roman"/>
                <w:i w:val="0"/>
                <w:iCs w:val="0"/>
                <w:color w:val="auto"/>
                <w:spacing w:val="0"/>
                <w:kern w:val="0"/>
                <w:position w:val="0"/>
                <w:sz w:val="22"/>
                <w:szCs w:val="22"/>
                <w:u w:val="none"/>
                <w:vertAlign w:val="baseline"/>
                <w:lang w:val="en-US" w:eastAsia="zh-CN" w:bidi="ar-SA"/>
              </w:rPr>
            </w:pPr>
            <w:r>
              <w:rPr>
                <w:rFonts w:hint="default" w:ascii="Times New Roman" w:hAnsi="Times New Roman" w:eastAsia="仿宋_GB2312" w:cs="Times New Roman"/>
                <w:bCs/>
                <w:i w:val="0"/>
                <w:iCs w:val="0"/>
                <w:color w:val="auto"/>
                <w:spacing w:val="0"/>
                <w:kern w:val="0"/>
                <w:position w:val="0"/>
                <w:sz w:val="22"/>
                <w:szCs w:val="22"/>
                <w:u w:val="none"/>
                <w:vertAlign w:val="baseline"/>
                <w:lang w:val="en-US" w:eastAsia="zh-CN" w:bidi="ar"/>
              </w:rPr>
              <w:t>150户/525人</w:t>
            </w:r>
          </w:p>
        </w:tc>
      </w:tr>
      <w:tr w14:paraId="734AD54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0" w:hRule="atLeast"/>
          <w:jc w:val="center"/>
        </w:trPr>
        <w:tc>
          <w:tcPr>
            <w:tcW w:w="397" w:type="pct"/>
            <w:vMerge w:val="continue"/>
            <w:tcBorders>
              <w:tl2br w:val="nil"/>
              <w:tr2bl w:val="nil"/>
            </w:tcBorders>
            <w:noWrap w:val="0"/>
            <w:vAlign w:val="center"/>
          </w:tcPr>
          <w:p w14:paraId="6F2902D0">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rPr>
            </w:pPr>
          </w:p>
        </w:tc>
        <w:tc>
          <w:tcPr>
            <w:tcW w:w="388" w:type="pct"/>
            <w:tcBorders>
              <w:tl2br w:val="nil"/>
              <w:tr2bl w:val="nil"/>
            </w:tcBorders>
            <w:noWrap w:val="0"/>
            <w:vAlign w:val="center"/>
          </w:tcPr>
          <w:p w14:paraId="326E52DD">
            <w:pPr>
              <w:keepNext w:val="0"/>
              <w:keepLines w:val="0"/>
              <w:pageBreakBefore w:val="0"/>
              <w:widowControl/>
              <w:suppressLineNumbers w:val="0"/>
              <w:kinsoku/>
              <w:wordWrap/>
              <w:bidi w:val="0"/>
              <w:adjustRightInd w:val="0"/>
              <w:snapToGrid w:val="0"/>
              <w:spacing w:beforeAutospacing="0" w:afterAutospacing="0"/>
              <w:ind w:left="0" w:leftChars="0" w:right="0"/>
              <w:jc w:val="center"/>
              <w:textAlignment w:val="center"/>
              <w:rPr>
                <w:rFonts w:hint="default" w:ascii="Times New Roman" w:hAnsi="Times New Roman" w:eastAsia="仿宋_GB2312" w:cs="Times New Roman"/>
                <w:i w:val="0"/>
                <w:iCs w:val="0"/>
                <w:color w:val="auto"/>
                <w:spacing w:val="0"/>
                <w:kern w:val="0"/>
                <w:position w:val="0"/>
                <w:sz w:val="22"/>
                <w:szCs w:val="22"/>
                <w:u w:val="none"/>
                <w:vertAlign w:val="baseline"/>
                <w:lang w:val="en-US" w:eastAsia="zh-CN" w:bidi="ar-SA"/>
              </w:rPr>
            </w:pPr>
            <w:r>
              <w:rPr>
                <w:rFonts w:hint="default" w:ascii="Times New Roman" w:hAnsi="Times New Roman" w:eastAsia="仿宋_GB2312" w:cs="Times New Roman"/>
                <w:bCs/>
                <w:i w:val="0"/>
                <w:iCs w:val="0"/>
                <w:color w:val="auto"/>
                <w:spacing w:val="0"/>
                <w:kern w:val="0"/>
                <w:position w:val="0"/>
                <w:sz w:val="22"/>
                <w:szCs w:val="22"/>
                <w:u w:val="none"/>
                <w:vertAlign w:val="baseline"/>
                <w:lang w:val="en-US" w:eastAsia="zh-CN" w:bidi="ar"/>
              </w:rPr>
              <w:t>18</w:t>
            </w:r>
          </w:p>
        </w:tc>
        <w:tc>
          <w:tcPr>
            <w:tcW w:w="1293" w:type="pct"/>
            <w:gridSpan w:val="4"/>
            <w:tcBorders>
              <w:tl2br w:val="nil"/>
              <w:tr2bl w:val="nil"/>
            </w:tcBorders>
            <w:noWrap w:val="0"/>
            <w:vAlign w:val="center"/>
          </w:tcPr>
          <w:p w14:paraId="762224E8">
            <w:pPr>
              <w:adjustRightInd w:val="0"/>
              <w:snapToGrid w:val="0"/>
              <w:jc w:val="center"/>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官庄村</w:t>
            </w:r>
          </w:p>
        </w:tc>
        <w:tc>
          <w:tcPr>
            <w:tcW w:w="626" w:type="pct"/>
            <w:gridSpan w:val="2"/>
            <w:tcBorders>
              <w:tl2br w:val="nil"/>
              <w:tr2bl w:val="nil"/>
            </w:tcBorders>
            <w:noWrap w:val="0"/>
            <w:vAlign w:val="center"/>
          </w:tcPr>
          <w:p w14:paraId="12D2F220">
            <w:pPr>
              <w:adjustRightInd w:val="0"/>
              <w:snapToGrid w:val="0"/>
              <w:jc w:val="center"/>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NW</w:t>
            </w:r>
          </w:p>
        </w:tc>
        <w:tc>
          <w:tcPr>
            <w:tcW w:w="715" w:type="pct"/>
            <w:gridSpan w:val="2"/>
            <w:tcBorders>
              <w:tl2br w:val="nil"/>
              <w:tr2bl w:val="nil"/>
            </w:tcBorders>
            <w:noWrap w:val="0"/>
            <w:vAlign w:val="center"/>
          </w:tcPr>
          <w:p w14:paraId="462773D7">
            <w:pPr>
              <w:adjustRightInd w:val="0"/>
              <w:snapToGrid w:val="0"/>
              <w:jc w:val="center"/>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4250</w:t>
            </w:r>
          </w:p>
        </w:tc>
        <w:tc>
          <w:tcPr>
            <w:tcW w:w="626" w:type="pct"/>
            <w:gridSpan w:val="4"/>
            <w:tcBorders>
              <w:tl2br w:val="nil"/>
              <w:tr2bl w:val="nil"/>
            </w:tcBorders>
            <w:noWrap w:val="0"/>
            <w:vAlign w:val="center"/>
          </w:tcPr>
          <w:p w14:paraId="26A0567F">
            <w:pPr>
              <w:keepNext w:val="0"/>
              <w:keepLines w:val="0"/>
              <w:pageBreakBefore w:val="0"/>
              <w:widowControl/>
              <w:suppressLineNumbers w:val="0"/>
              <w:kinsoku/>
              <w:wordWrap/>
              <w:bidi w:val="0"/>
              <w:adjustRightInd w:val="0"/>
              <w:snapToGrid w:val="0"/>
              <w:spacing w:beforeAutospacing="0" w:afterAutospacing="0"/>
              <w:ind w:left="0" w:leftChars="0" w:right="0"/>
              <w:jc w:val="center"/>
              <w:textAlignment w:val="center"/>
              <w:rPr>
                <w:rFonts w:hint="default" w:ascii="Times New Roman" w:hAnsi="Times New Roman" w:eastAsia="仿宋_GB2312" w:cs="Times New Roman"/>
                <w:i w:val="0"/>
                <w:iCs w:val="0"/>
                <w:color w:val="auto"/>
                <w:spacing w:val="0"/>
                <w:kern w:val="0"/>
                <w:position w:val="0"/>
                <w:sz w:val="21"/>
                <w:szCs w:val="21"/>
                <w:u w:val="none"/>
                <w:vertAlign w:val="baseline"/>
                <w:lang w:val="en-US" w:eastAsia="zh-CN" w:bidi="ar-SA"/>
              </w:rPr>
            </w:pPr>
            <w:r>
              <w:rPr>
                <w:rFonts w:hint="default" w:ascii="Times New Roman" w:hAnsi="Times New Roman" w:eastAsia="仿宋_GB2312" w:cs="Times New Roman"/>
                <w:bCs/>
                <w:i w:val="0"/>
                <w:iCs w:val="0"/>
                <w:color w:val="auto"/>
                <w:spacing w:val="0"/>
                <w:kern w:val="0"/>
                <w:position w:val="0"/>
                <w:sz w:val="21"/>
                <w:szCs w:val="21"/>
                <w:u w:val="none"/>
                <w:vertAlign w:val="baseline"/>
                <w:lang w:val="en-US" w:eastAsia="zh-CN" w:bidi="ar"/>
              </w:rPr>
              <w:t>居民</w:t>
            </w:r>
          </w:p>
        </w:tc>
        <w:tc>
          <w:tcPr>
            <w:tcW w:w="951" w:type="pct"/>
            <w:gridSpan w:val="2"/>
            <w:tcBorders>
              <w:tl2br w:val="nil"/>
              <w:tr2bl w:val="nil"/>
            </w:tcBorders>
            <w:noWrap w:val="0"/>
            <w:vAlign w:val="center"/>
          </w:tcPr>
          <w:p w14:paraId="185FC674">
            <w:pPr>
              <w:keepNext w:val="0"/>
              <w:keepLines w:val="0"/>
              <w:pageBreakBefore w:val="0"/>
              <w:widowControl/>
              <w:suppressLineNumbers w:val="0"/>
              <w:kinsoku/>
              <w:wordWrap/>
              <w:bidi w:val="0"/>
              <w:adjustRightInd w:val="0"/>
              <w:snapToGrid w:val="0"/>
              <w:spacing w:beforeAutospacing="0" w:afterAutospacing="0"/>
              <w:ind w:left="0" w:leftChars="0" w:right="0"/>
              <w:jc w:val="center"/>
              <w:textAlignment w:val="center"/>
              <w:rPr>
                <w:rFonts w:hint="default" w:ascii="Times New Roman" w:hAnsi="Times New Roman" w:eastAsia="仿宋_GB2312" w:cs="Times New Roman"/>
                <w:i w:val="0"/>
                <w:iCs w:val="0"/>
                <w:color w:val="auto"/>
                <w:spacing w:val="0"/>
                <w:kern w:val="0"/>
                <w:position w:val="0"/>
                <w:sz w:val="22"/>
                <w:szCs w:val="22"/>
                <w:u w:val="none"/>
                <w:vertAlign w:val="baseline"/>
                <w:lang w:val="en-US" w:eastAsia="zh-CN" w:bidi="ar-SA"/>
              </w:rPr>
            </w:pPr>
            <w:r>
              <w:rPr>
                <w:rFonts w:hint="default" w:ascii="Times New Roman" w:hAnsi="Times New Roman" w:eastAsia="仿宋_GB2312" w:cs="Times New Roman"/>
                <w:bCs/>
                <w:i w:val="0"/>
                <w:iCs w:val="0"/>
                <w:color w:val="auto"/>
                <w:spacing w:val="0"/>
                <w:kern w:val="0"/>
                <w:position w:val="0"/>
                <w:sz w:val="22"/>
                <w:szCs w:val="22"/>
                <w:u w:val="none"/>
                <w:vertAlign w:val="baseline"/>
                <w:lang w:val="en-US" w:eastAsia="zh-CN" w:bidi="ar"/>
              </w:rPr>
              <w:t>20户/70人</w:t>
            </w:r>
          </w:p>
        </w:tc>
      </w:tr>
      <w:tr w14:paraId="4E204A7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8" w:hRule="atLeast"/>
          <w:jc w:val="center"/>
        </w:trPr>
        <w:tc>
          <w:tcPr>
            <w:tcW w:w="397" w:type="pct"/>
            <w:vMerge w:val="continue"/>
            <w:tcBorders>
              <w:tl2br w:val="nil"/>
              <w:tr2bl w:val="nil"/>
            </w:tcBorders>
            <w:noWrap w:val="0"/>
            <w:vAlign w:val="center"/>
          </w:tcPr>
          <w:p w14:paraId="0534AC5B">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rPr>
            </w:pPr>
          </w:p>
        </w:tc>
        <w:tc>
          <w:tcPr>
            <w:tcW w:w="3518" w:type="pct"/>
            <w:gridSpan w:val="12"/>
            <w:tcBorders>
              <w:tl2br w:val="nil"/>
              <w:tr2bl w:val="nil"/>
            </w:tcBorders>
            <w:noWrap w:val="0"/>
            <w:vAlign w:val="center"/>
          </w:tcPr>
          <w:p w14:paraId="6A1635B1">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rPr>
            </w:pPr>
            <w:r>
              <w:rPr>
                <w:rFonts w:hint="default" w:ascii="Times New Roman" w:hAnsi="Times New Roman" w:eastAsia="仿宋_GB2312" w:cs="Times New Roman"/>
                <w:color w:val="auto"/>
                <w:spacing w:val="0"/>
                <w:kern w:val="0"/>
                <w:position w:val="0"/>
              </w:rPr>
              <w:t>厂址周边 500m 范围内口人数小计</w:t>
            </w:r>
          </w:p>
        </w:tc>
        <w:tc>
          <w:tcPr>
            <w:tcW w:w="1083" w:type="pct"/>
            <w:gridSpan w:val="3"/>
            <w:tcBorders>
              <w:tl2br w:val="nil"/>
              <w:tr2bl w:val="nil"/>
            </w:tcBorders>
            <w:noWrap w:val="0"/>
            <w:vAlign w:val="center"/>
          </w:tcPr>
          <w:p w14:paraId="0E800C23">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rPr>
            </w:pPr>
            <w:r>
              <w:rPr>
                <w:rFonts w:hint="default" w:ascii="Times New Roman" w:hAnsi="Times New Roman" w:eastAsia="仿宋_GB2312" w:cs="Times New Roman"/>
                <w:color w:val="auto"/>
                <w:spacing w:val="0"/>
                <w:kern w:val="0"/>
                <w:position w:val="0"/>
              </w:rPr>
              <w:t>大于500人</w:t>
            </w:r>
          </w:p>
        </w:tc>
      </w:tr>
      <w:tr w14:paraId="21D29F8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7" w:hRule="atLeast"/>
          <w:jc w:val="center"/>
        </w:trPr>
        <w:tc>
          <w:tcPr>
            <w:tcW w:w="397" w:type="pct"/>
            <w:vMerge w:val="continue"/>
            <w:tcBorders>
              <w:tl2br w:val="nil"/>
              <w:tr2bl w:val="nil"/>
            </w:tcBorders>
            <w:noWrap w:val="0"/>
            <w:vAlign w:val="center"/>
          </w:tcPr>
          <w:p w14:paraId="125DC1E2">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rPr>
            </w:pPr>
          </w:p>
        </w:tc>
        <w:tc>
          <w:tcPr>
            <w:tcW w:w="3518" w:type="pct"/>
            <w:gridSpan w:val="12"/>
            <w:tcBorders>
              <w:tl2br w:val="nil"/>
              <w:tr2bl w:val="nil"/>
            </w:tcBorders>
            <w:noWrap w:val="0"/>
            <w:vAlign w:val="center"/>
          </w:tcPr>
          <w:p w14:paraId="52C05129">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rPr>
            </w:pPr>
            <w:r>
              <w:rPr>
                <w:rFonts w:hint="default" w:ascii="Times New Roman" w:hAnsi="Times New Roman" w:eastAsia="仿宋_GB2312" w:cs="Times New Roman"/>
                <w:color w:val="auto"/>
                <w:spacing w:val="0"/>
                <w:kern w:val="0"/>
                <w:position w:val="0"/>
              </w:rPr>
              <w:t>厂址周边 5km 范围内口人数小计</w:t>
            </w:r>
          </w:p>
        </w:tc>
        <w:tc>
          <w:tcPr>
            <w:tcW w:w="1083" w:type="pct"/>
            <w:gridSpan w:val="3"/>
            <w:tcBorders>
              <w:tl2br w:val="nil"/>
              <w:tr2bl w:val="nil"/>
            </w:tcBorders>
            <w:noWrap w:val="0"/>
            <w:vAlign w:val="center"/>
          </w:tcPr>
          <w:p w14:paraId="008F02AA">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rPr>
            </w:pPr>
            <w:r>
              <w:rPr>
                <w:rFonts w:hint="default" w:ascii="Times New Roman" w:hAnsi="Times New Roman" w:eastAsia="仿宋_GB2312" w:cs="Times New Roman"/>
                <w:color w:val="auto"/>
                <w:spacing w:val="0"/>
                <w:kern w:val="0"/>
                <w:position w:val="0"/>
              </w:rPr>
              <w:t>大于5万人</w:t>
            </w:r>
          </w:p>
        </w:tc>
      </w:tr>
      <w:tr w14:paraId="6191BF4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7" w:hRule="atLeast"/>
          <w:jc w:val="center"/>
        </w:trPr>
        <w:tc>
          <w:tcPr>
            <w:tcW w:w="397" w:type="pct"/>
            <w:vMerge w:val="continue"/>
            <w:tcBorders>
              <w:tl2br w:val="nil"/>
              <w:tr2bl w:val="nil"/>
            </w:tcBorders>
            <w:noWrap w:val="0"/>
            <w:vAlign w:val="center"/>
          </w:tcPr>
          <w:p w14:paraId="07050AD2">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rPr>
            </w:pPr>
          </w:p>
        </w:tc>
        <w:tc>
          <w:tcPr>
            <w:tcW w:w="3518" w:type="pct"/>
            <w:gridSpan w:val="12"/>
            <w:tcBorders>
              <w:tl2br w:val="nil"/>
              <w:tr2bl w:val="nil"/>
            </w:tcBorders>
            <w:noWrap w:val="0"/>
            <w:vAlign w:val="center"/>
          </w:tcPr>
          <w:p w14:paraId="5C066F61">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rPr>
            </w:pPr>
            <w:r>
              <w:rPr>
                <w:rFonts w:hint="default" w:ascii="Times New Roman" w:hAnsi="Times New Roman" w:eastAsia="仿宋_GB2312" w:cs="Times New Roman"/>
                <w:color w:val="auto"/>
                <w:spacing w:val="0"/>
                <w:kern w:val="0"/>
                <w:position w:val="0"/>
              </w:rPr>
              <w:t>大气环境敏感程度E 值</w:t>
            </w:r>
          </w:p>
        </w:tc>
        <w:tc>
          <w:tcPr>
            <w:tcW w:w="1083" w:type="pct"/>
            <w:gridSpan w:val="3"/>
            <w:tcBorders>
              <w:tl2br w:val="nil"/>
              <w:tr2bl w:val="nil"/>
            </w:tcBorders>
            <w:noWrap w:val="0"/>
            <w:vAlign w:val="center"/>
          </w:tcPr>
          <w:p w14:paraId="4C8D906D">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rPr>
            </w:pPr>
            <w:r>
              <w:rPr>
                <w:rFonts w:hint="default" w:ascii="Times New Roman" w:hAnsi="Times New Roman" w:eastAsia="仿宋_GB2312" w:cs="Times New Roman"/>
                <w:color w:val="auto"/>
                <w:spacing w:val="0"/>
                <w:kern w:val="0"/>
                <w:position w:val="0"/>
              </w:rPr>
              <w:t>E1</w:t>
            </w:r>
          </w:p>
        </w:tc>
      </w:tr>
      <w:tr w14:paraId="67EE553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8" w:hRule="atLeast"/>
          <w:jc w:val="center"/>
        </w:trPr>
        <w:tc>
          <w:tcPr>
            <w:tcW w:w="397" w:type="pct"/>
            <w:vMerge w:val="restart"/>
            <w:tcBorders>
              <w:tl2br w:val="nil"/>
              <w:tr2bl w:val="nil"/>
            </w:tcBorders>
            <w:noWrap w:val="0"/>
            <w:vAlign w:val="center"/>
          </w:tcPr>
          <w:p w14:paraId="029C8075">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
                <w:bCs/>
                <w:color w:val="auto"/>
                <w:spacing w:val="0"/>
                <w:kern w:val="0"/>
                <w:position w:val="0"/>
              </w:rPr>
            </w:pPr>
            <w:r>
              <w:rPr>
                <w:rFonts w:hint="default" w:ascii="Times New Roman" w:hAnsi="Times New Roman" w:eastAsia="仿宋_GB2312" w:cs="Times New Roman"/>
                <w:b/>
                <w:bCs/>
                <w:color w:val="auto"/>
                <w:spacing w:val="0"/>
                <w:kern w:val="0"/>
                <w:position w:val="0"/>
              </w:rPr>
              <w:t>地表</w:t>
            </w:r>
          </w:p>
          <w:p w14:paraId="37137A12">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
                <w:bCs/>
                <w:color w:val="auto"/>
                <w:spacing w:val="0"/>
                <w:kern w:val="0"/>
                <w:position w:val="0"/>
              </w:rPr>
            </w:pPr>
            <w:r>
              <w:rPr>
                <w:rFonts w:hint="default" w:ascii="Times New Roman" w:hAnsi="Times New Roman" w:eastAsia="仿宋_GB2312" w:cs="Times New Roman"/>
                <w:b/>
                <w:bCs/>
                <w:color w:val="auto"/>
                <w:spacing w:val="0"/>
                <w:kern w:val="0"/>
                <w:position w:val="0"/>
              </w:rPr>
              <w:t>水</w:t>
            </w:r>
          </w:p>
        </w:tc>
        <w:tc>
          <w:tcPr>
            <w:tcW w:w="4602" w:type="pct"/>
            <w:gridSpan w:val="15"/>
            <w:tcBorders>
              <w:tl2br w:val="nil"/>
              <w:tr2bl w:val="nil"/>
            </w:tcBorders>
            <w:noWrap w:val="0"/>
            <w:vAlign w:val="center"/>
          </w:tcPr>
          <w:p w14:paraId="057D8D72">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rPr>
            </w:pPr>
            <w:r>
              <w:rPr>
                <w:rFonts w:hint="default" w:ascii="Times New Roman" w:hAnsi="Times New Roman" w:eastAsia="仿宋_GB2312" w:cs="Times New Roman"/>
                <w:color w:val="auto"/>
                <w:spacing w:val="0"/>
                <w:kern w:val="0"/>
                <w:position w:val="0"/>
              </w:rPr>
              <w:t>受纳水体</w:t>
            </w:r>
          </w:p>
        </w:tc>
      </w:tr>
      <w:tr w14:paraId="298A39A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7" w:hRule="atLeast"/>
          <w:jc w:val="center"/>
        </w:trPr>
        <w:tc>
          <w:tcPr>
            <w:tcW w:w="397" w:type="pct"/>
            <w:vMerge w:val="continue"/>
            <w:tcBorders>
              <w:tl2br w:val="nil"/>
              <w:tr2bl w:val="nil"/>
            </w:tcBorders>
            <w:noWrap w:val="0"/>
            <w:vAlign w:val="center"/>
          </w:tcPr>
          <w:p w14:paraId="571BA5D2">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
                <w:bCs/>
                <w:color w:val="auto"/>
                <w:spacing w:val="0"/>
                <w:kern w:val="0"/>
                <w:position w:val="0"/>
              </w:rPr>
            </w:pPr>
          </w:p>
        </w:tc>
        <w:tc>
          <w:tcPr>
            <w:tcW w:w="388" w:type="pct"/>
            <w:tcBorders>
              <w:tl2br w:val="nil"/>
              <w:tr2bl w:val="nil"/>
            </w:tcBorders>
            <w:noWrap w:val="0"/>
            <w:vAlign w:val="center"/>
          </w:tcPr>
          <w:p w14:paraId="526A68E3">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rPr>
            </w:pPr>
            <w:r>
              <w:rPr>
                <w:rFonts w:hint="default" w:ascii="Times New Roman" w:hAnsi="Times New Roman" w:eastAsia="仿宋_GB2312" w:cs="Times New Roman"/>
                <w:color w:val="auto"/>
                <w:spacing w:val="0"/>
                <w:kern w:val="0"/>
                <w:position w:val="0"/>
              </w:rPr>
              <w:t>序号</w:t>
            </w:r>
          </w:p>
        </w:tc>
        <w:tc>
          <w:tcPr>
            <w:tcW w:w="1293" w:type="pct"/>
            <w:gridSpan w:val="4"/>
            <w:tcBorders>
              <w:tl2br w:val="nil"/>
              <w:tr2bl w:val="nil"/>
            </w:tcBorders>
            <w:noWrap w:val="0"/>
            <w:vAlign w:val="center"/>
          </w:tcPr>
          <w:p w14:paraId="2160C83F">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rPr>
            </w:pPr>
            <w:r>
              <w:rPr>
                <w:rFonts w:hint="default" w:ascii="Times New Roman" w:hAnsi="Times New Roman" w:eastAsia="仿宋_GB2312" w:cs="Times New Roman"/>
                <w:color w:val="auto"/>
                <w:spacing w:val="0"/>
                <w:kern w:val="0"/>
                <w:position w:val="0"/>
              </w:rPr>
              <w:t>受纳水体名称</w:t>
            </w:r>
          </w:p>
        </w:tc>
        <w:tc>
          <w:tcPr>
            <w:tcW w:w="1476" w:type="pct"/>
            <w:gridSpan w:val="6"/>
            <w:tcBorders>
              <w:tl2br w:val="nil"/>
              <w:tr2bl w:val="nil"/>
            </w:tcBorders>
            <w:noWrap w:val="0"/>
            <w:vAlign w:val="center"/>
          </w:tcPr>
          <w:p w14:paraId="6D20040F">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rPr>
            </w:pPr>
            <w:r>
              <w:rPr>
                <w:rFonts w:hint="default" w:ascii="Times New Roman" w:hAnsi="Times New Roman" w:eastAsia="仿宋_GB2312" w:cs="Times New Roman"/>
                <w:color w:val="auto"/>
                <w:spacing w:val="0"/>
                <w:kern w:val="0"/>
                <w:position w:val="0"/>
              </w:rPr>
              <w:t>排放点水域环境功能</w:t>
            </w:r>
          </w:p>
        </w:tc>
        <w:tc>
          <w:tcPr>
            <w:tcW w:w="1444" w:type="pct"/>
            <w:gridSpan w:val="4"/>
            <w:tcBorders>
              <w:tl2br w:val="nil"/>
              <w:tr2bl w:val="nil"/>
            </w:tcBorders>
            <w:noWrap w:val="0"/>
            <w:vAlign w:val="center"/>
          </w:tcPr>
          <w:p w14:paraId="412B3111">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rPr>
            </w:pPr>
            <w:r>
              <w:rPr>
                <w:rFonts w:hint="default" w:ascii="Times New Roman" w:hAnsi="Times New Roman" w:eastAsia="仿宋_GB2312" w:cs="Times New Roman"/>
                <w:color w:val="auto"/>
                <w:spacing w:val="0"/>
                <w:kern w:val="0"/>
                <w:position w:val="0"/>
              </w:rPr>
              <w:t>24h内流经范围</w:t>
            </w:r>
          </w:p>
        </w:tc>
      </w:tr>
      <w:tr w14:paraId="4FE6846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7" w:hRule="atLeast"/>
          <w:jc w:val="center"/>
        </w:trPr>
        <w:tc>
          <w:tcPr>
            <w:tcW w:w="397" w:type="pct"/>
            <w:vMerge w:val="continue"/>
            <w:tcBorders>
              <w:tl2br w:val="nil"/>
              <w:tr2bl w:val="nil"/>
            </w:tcBorders>
            <w:noWrap w:val="0"/>
            <w:vAlign w:val="center"/>
          </w:tcPr>
          <w:p w14:paraId="2F6FF872">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
                <w:bCs/>
                <w:color w:val="auto"/>
                <w:spacing w:val="0"/>
                <w:kern w:val="0"/>
                <w:position w:val="0"/>
              </w:rPr>
            </w:pPr>
          </w:p>
        </w:tc>
        <w:tc>
          <w:tcPr>
            <w:tcW w:w="388" w:type="pct"/>
            <w:tcBorders>
              <w:tl2br w:val="nil"/>
              <w:tr2bl w:val="nil"/>
            </w:tcBorders>
            <w:noWrap w:val="0"/>
            <w:vAlign w:val="center"/>
          </w:tcPr>
          <w:p w14:paraId="3DA78FAA">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rPr>
            </w:pPr>
            <w:r>
              <w:rPr>
                <w:rFonts w:hint="default" w:ascii="Times New Roman" w:hAnsi="Times New Roman" w:eastAsia="仿宋_GB2312" w:cs="Times New Roman"/>
                <w:color w:val="auto"/>
                <w:spacing w:val="0"/>
                <w:kern w:val="0"/>
                <w:position w:val="0"/>
              </w:rPr>
              <w:t>1</w:t>
            </w:r>
          </w:p>
        </w:tc>
        <w:tc>
          <w:tcPr>
            <w:tcW w:w="1293" w:type="pct"/>
            <w:gridSpan w:val="4"/>
            <w:tcBorders>
              <w:tl2br w:val="nil"/>
              <w:tr2bl w:val="nil"/>
            </w:tcBorders>
            <w:noWrap w:val="0"/>
            <w:vAlign w:val="center"/>
          </w:tcPr>
          <w:p w14:paraId="671D1E55">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eastAsia" w:ascii="Times New Roman" w:hAnsi="Times New Roman" w:eastAsia="仿宋_GB2312" w:cs="Times New Roman"/>
                <w:snapToGrid w:val="0"/>
                <w:color w:val="auto"/>
                <w:spacing w:val="0"/>
                <w:kern w:val="0"/>
                <w:position w:val="0"/>
                <w:sz w:val="21"/>
                <w:szCs w:val="21"/>
                <w:lang w:val="en-US" w:eastAsia="zh-CN"/>
              </w:rPr>
              <w:t>尧塘河</w:t>
            </w:r>
          </w:p>
        </w:tc>
        <w:tc>
          <w:tcPr>
            <w:tcW w:w="1476" w:type="pct"/>
            <w:gridSpan w:val="6"/>
            <w:tcBorders>
              <w:tl2br w:val="nil"/>
              <w:tr2bl w:val="nil"/>
            </w:tcBorders>
            <w:noWrap w:val="0"/>
            <w:vAlign w:val="center"/>
          </w:tcPr>
          <w:p w14:paraId="575083B4">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III</w:t>
            </w:r>
          </w:p>
        </w:tc>
        <w:tc>
          <w:tcPr>
            <w:tcW w:w="1444" w:type="pct"/>
            <w:gridSpan w:val="4"/>
            <w:tcBorders>
              <w:tl2br w:val="nil"/>
              <w:tr2bl w:val="nil"/>
            </w:tcBorders>
            <w:noWrap w:val="0"/>
            <w:vAlign w:val="center"/>
          </w:tcPr>
          <w:p w14:paraId="365D1F02">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其他</w:t>
            </w:r>
          </w:p>
        </w:tc>
      </w:tr>
      <w:tr w14:paraId="4940D87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8" w:hRule="atLeast"/>
          <w:jc w:val="center"/>
        </w:trPr>
        <w:tc>
          <w:tcPr>
            <w:tcW w:w="397" w:type="pct"/>
            <w:vMerge w:val="continue"/>
            <w:tcBorders>
              <w:tl2br w:val="nil"/>
              <w:tr2bl w:val="nil"/>
            </w:tcBorders>
            <w:noWrap w:val="0"/>
            <w:vAlign w:val="center"/>
          </w:tcPr>
          <w:p w14:paraId="03E12BBA">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
                <w:bCs/>
                <w:color w:val="auto"/>
                <w:spacing w:val="0"/>
                <w:kern w:val="0"/>
                <w:position w:val="0"/>
              </w:rPr>
            </w:pPr>
          </w:p>
        </w:tc>
        <w:tc>
          <w:tcPr>
            <w:tcW w:w="4602" w:type="pct"/>
            <w:gridSpan w:val="15"/>
            <w:tcBorders>
              <w:tl2br w:val="nil"/>
              <w:tr2bl w:val="nil"/>
            </w:tcBorders>
            <w:noWrap w:val="0"/>
            <w:vAlign w:val="center"/>
          </w:tcPr>
          <w:p w14:paraId="49F0249A">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rPr>
            </w:pPr>
            <w:r>
              <w:rPr>
                <w:rFonts w:hint="default" w:ascii="Times New Roman" w:hAnsi="Times New Roman" w:eastAsia="仿宋_GB2312" w:cs="Times New Roman"/>
                <w:color w:val="auto"/>
                <w:spacing w:val="0"/>
                <w:kern w:val="0"/>
                <w:position w:val="0"/>
              </w:rPr>
              <w:t>内陆水体排放点下游10km(近岸海域一个潮周期最大水平距离两倍)范围内敏感目标</w:t>
            </w:r>
          </w:p>
        </w:tc>
      </w:tr>
      <w:tr w14:paraId="039013A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7" w:hRule="atLeast"/>
          <w:jc w:val="center"/>
        </w:trPr>
        <w:tc>
          <w:tcPr>
            <w:tcW w:w="397" w:type="pct"/>
            <w:vMerge w:val="continue"/>
            <w:tcBorders>
              <w:tl2br w:val="nil"/>
              <w:tr2bl w:val="nil"/>
            </w:tcBorders>
            <w:noWrap w:val="0"/>
            <w:vAlign w:val="center"/>
          </w:tcPr>
          <w:p w14:paraId="57939EB1">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
                <w:bCs/>
                <w:color w:val="auto"/>
                <w:spacing w:val="0"/>
                <w:kern w:val="0"/>
                <w:position w:val="0"/>
              </w:rPr>
            </w:pPr>
          </w:p>
        </w:tc>
        <w:tc>
          <w:tcPr>
            <w:tcW w:w="388" w:type="pct"/>
            <w:tcBorders>
              <w:tl2br w:val="nil"/>
              <w:tr2bl w:val="nil"/>
            </w:tcBorders>
            <w:noWrap w:val="0"/>
            <w:vAlign w:val="center"/>
          </w:tcPr>
          <w:p w14:paraId="40054875">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rPr>
            </w:pPr>
            <w:r>
              <w:rPr>
                <w:rFonts w:hint="default" w:ascii="Times New Roman" w:hAnsi="Times New Roman" w:eastAsia="仿宋_GB2312" w:cs="Times New Roman"/>
                <w:color w:val="auto"/>
                <w:spacing w:val="0"/>
                <w:kern w:val="0"/>
                <w:position w:val="0"/>
              </w:rPr>
              <w:t>序号</w:t>
            </w:r>
          </w:p>
        </w:tc>
        <w:tc>
          <w:tcPr>
            <w:tcW w:w="1293" w:type="pct"/>
            <w:gridSpan w:val="4"/>
            <w:tcBorders>
              <w:tl2br w:val="nil"/>
              <w:tr2bl w:val="nil"/>
            </w:tcBorders>
            <w:noWrap w:val="0"/>
            <w:vAlign w:val="center"/>
          </w:tcPr>
          <w:p w14:paraId="0472921C">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rPr>
            </w:pPr>
            <w:r>
              <w:rPr>
                <w:rFonts w:hint="default" w:ascii="Times New Roman" w:hAnsi="Times New Roman" w:eastAsia="仿宋_GB2312" w:cs="Times New Roman"/>
                <w:color w:val="auto"/>
                <w:spacing w:val="0"/>
                <w:kern w:val="0"/>
                <w:position w:val="0"/>
              </w:rPr>
              <w:t>敏感目标名称</w:t>
            </w:r>
          </w:p>
        </w:tc>
        <w:tc>
          <w:tcPr>
            <w:tcW w:w="967" w:type="pct"/>
            <w:gridSpan w:val="3"/>
            <w:tcBorders>
              <w:tl2br w:val="nil"/>
              <w:tr2bl w:val="nil"/>
            </w:tcBorders>
            <w:noWrap w:val="0"/>
            <w:vAlign w:val="center"/>
          </w:tcPr>
          <w:p w14:paraId="4A254E5A">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rPr>
            </w:pPr>
            <w:r>
              <w:rPr>
                <w:rFonts w:hint="default" w:ascii="Times New Roman" w:hAnsi="Times New Roman" w:eastAsia="仿宋_GB2312" w:cs="Times New Roman"/>
                <w:color w:val="auto"/>
                <w:spacing w:val="0"/>
                <w:kern w:val="0"/>
                <w:position w:val="0"/>
              </w:rPr>
              <w:t>环境敏感特征</w:t>
            </w:r>
          </w:p>
        </w:tc>
        <w:tc>
          <w:tcPr>
            <w:tcW w:w="870" w:type="pct"/>
            <w:gridSpan w:val="4"/>
            <w:tcBorders>
              <w:tl2br w:val="nil"/>
              <w:tr2bl w:val="nil"/>
            </w:tcBorders>
            <w:noWrap w:val="0"/>
            <w:vAlign w:val="center"/>
          </w:tcPr>
          <w:p w14:paraId="57C67DDD">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rPr>
            </w:pPr>
            <w:r>
              <w:rPr>
                <w:rFonts w:hint="default" w:ascii="Times New Roman" w:hAnsi="Times New Roman" w:eastAsia="仿宋_GB2312" w:cs="Times New Roman"/>
                <w:color w:val="auto"/>
                <w:spacing w:val="0"/>
                <w:kern w:val="0"/>
                <w:position w:val="0"/>
              </w:rPr>
              <w:t>水质目标</w:t>
            </w:r>
          </w:p>
        </w:tc>
        <w:tc>
          <w:tcPr>
            <w:tcW w:w="1083" w:type="pct"/>
            <w:gridSpan w:val="3"/>
            <w:tcBorders>
              <w:tl2br w:val="nil"/>
              <w:tr2bl w:val="nil"/>
            </w:tcBorders>
            <w:noWrap w:val="0"/>
            <w:vAlign w:val="center"/>
          </w:tcPr>
          <w:p w14:paraId="4C991068">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rPr>
            </w:pPr>
            <w:r>
              <w:rPr>
                <w:rFonts w:hint="default" w:ascii="Times New Roman" w:hAnsi="Times New Roman" w:eastAsia="仿宋_GB2312" w:cs="Times New Roman"/>
                <w:color w:val="auto"/>
                <w:spacing w:val="0"/>
                <w:kern w:val="0"/>
                <w:position w:val="0"/>
              </w:rPr>
              <w:t>与排放点距离/m</w:t>
            </w:r>
          </w:p>
        </w:tc>
      </w:tr>
      <w:tr w14:paraId="2B98971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7" w:hRule="atLeast"/>
          <w:jc w:val="center"/>
        </w:trPr>
        <w:tc>
          <w:tcPr>
            <w:tcW w:w="397" w:type="pct"/>
            <w:vMerge w:val="continue"/>
            <w:tcBorders>
              <w:tl2br w:val="nil"/>
              <w:tr2bl w:val="nil"/>
            </w:tcBorders>
            <w:noWrap w:val="0"/>
            <w:vAlign w:val="center"/>
          </w:tcPr>
          <w:p w14:paraId="70E85F80">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
                <w:bCs/>
                <w:color w:val="auto"/>
                <w:spacing w:val="0"/>
                <w:kern w:val="0"/>
                <w:position w:val="0"/>
              </w:rPr>
            </w:pPr>
          </w:p>
        </w:tc>
        <w:tc>
          <w:tcPr>
            <w:tcW w:w="388" w:type="pct"/>
            <w:tcBorders>
              <w:tl2br w:val="nil"/>
              <w:tr2bl w:val="nil"/>
            </w:tcBorders>
            <w:noWrap w:val="0"/>
            <w:vAlign w:val="center"/>
          </w:tcPr>
          <w:p w14:paraId="6FC184A7">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rPr>
            </w:pPr>
            <w:r>
              <w:rPr>
                <w:rFonts w:hint="default" w:ascii="Times New Roman" w:hAnsi="Times New Roman" w:eastAsia="仿宋_GB2312" w:cs="Times New Roman"/>
                <w:color w:val="auto"/>
                <w:spacing w:val="0"/>
                <w:kern w:val="0"/>
                <w:position w:val="0"/>
              </w:rPr>
              <w:t>1</w:t>
            </w:r>
          </w:p>
        </w:tc>
        <w:tc>
          <w:tcPr>
            <w:tcW w:w="1293" w:type="pct"/>
            <w:gridSpan w:val="4"/>
            <w:tcBorders>
              <w:tl2br w:val="nil"/>
              <w:tr2bl w:val="nil"/>
            </w:tcBorders>
            <w:noWrap w:val="0"/>
            <w:vAlign w:val="center"/>
          </w:tcPr>
          <w:p w14:paraId="424C6BC9">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rPr>
            </w:pPr>
            <w:r>
              <w:rPr>
                <w:rFonts w:hint="default" w:ascii="Times New Roman" w:hAnsi="Times New Roman" w:eastAsia="仿宋_GB2312" w:cs="Times New Roman"/>
                <w:color w:val="auto"/>
                <w:spacing w:val="0"/>
                <w:kern w:val="0"/>
                <w:position w:val="0"/>
              </w:rPr>
              <w:t>无</w:t>
            </w:r>
          </w:p>
        </w:tc>
        <w:tc>
          <w:tcPr>
            <w:tcW w:w="967" w:type="pct"/>
            <w:gridSpan w:val="3"/>
            <w:tcBorders>
              <w:tl2br w:val="nil"/>
              <w:tr2bl w:val="nil"/>
            </w:tcBorders>
            <w:noWrap w:val="0"/>
            <w:vAlign w:val="center"/>
          </w:tcPr>
          <w:p w14:paraId="0E7C7011">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rPr>
            </w:pPr>
            <w:r>
              <w:rPr>
                <w:rFonts w:hint="default" w:ascii="Times New Roman" w:hAnsi="Times New Roman" w:eastAsia="仿宋_GB2312" w:cs="Times New Roman"/>
                <w:color w:val="auto"/>
                <w:spacing w:val="0"/>
                <w:kern w:val="0"/>
                <w:position w:val="0"/>
              </w:rPr>
              <w:t>/</w:t>
            </w:r>
          </w:p>
        </w:tc>
        <w:tc>
          <w:tcPr>
            <w:tcW w:w="870" w:type="pct"/>
            <w:gridSpan w:val="4"/>
            <w:tcBorders>
              <w:tl2br w:val="nil"/>
              <w:tr2bl w:val="nil"/>
            </w:tcBorders>
            <w:noWrap w:val="0"/>
            <w:vAlign w:val="center"/>
          </w:tcPr>
          <w:p w14:paraId="27F0927E">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rPr>
            </w:pPr>
            <w:r>
              <w:rPr>
                <w:rFonts w:hint="default" w:ascii="Times New Roman" w:hAnsi="Times New Roman" w:eastAsia="仿宋_GB2312" w:cs="Times New Roman"/>
                <w:color w:val="auto"/>
                <w:spacing w:val="0"/>
                <w:kern w:val="0"/>
                <w:position w:val="0"/>
              </w:rPr>
              <w:t>/</w:t>
            </w:r>
          </w:p>
        </w:tc>
        <w:tc>
          <w:tcPr>
            <w:tcW w:w="1083" w:type="pct"/>
            <w:gridSpan w:val="3"/>
            <w:tcBorders>
              <w:tl2br w:val="nil"/>
              <w:tr2bl w:val="nil"/>
            </w:tcBorders>
            <w:noWrap w:val="0"/>
            <w:vAlign w:val="center"/>
          </w:tcPr>
          <w:p w14:paraId="7735E05D">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rPr>
            </w:pPr>
            <w:r>
              <w:rPr>
                <w:rFonts w:hint="default" w:ascii="Times New Roman" w:hAnsi="Times New Roman" w:eastAsia="仿宋_GB2312" w:cs="Times New Roman"/>
                <w:color w:val="auto"/>
                <w:spacing w:val="0"/>
                <w:kern w:val="0"/>
                <w:position w:val="0"/>
              </w:rPr>
              <w:t>/</w:t>
            </w:r>
          </w:p>
        </w:tc>
      </w:tr>
      <w:tr w14:paraId="7B4DC3B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8" w:hRule="atLeast"/>
          <w:jc w:val="center"/>
        </w:trPr>
        <w:tc>
          <w:tcPr>
            <w:tcW w:w="397" w:type="pct"/>
            <w:vMerge w:val="continue"/>
            <w:tcBorders>
              <w:tl2br w:val="nil"/>
              <w:tr2bl w:val="nil"/>
            </w:tcBorders>
            <w:noWrap w:val="0"/>
            <w:vAlign w:val="center"/>
          </w:tcPr>
          <w:p w14:paraId="1BCF387B">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
                <w:bCs/>
                <w:color w:val="auto"/>
                <w:spacing w:val="0"/>
                <w:kern w:val="0"/>
                <w:position w:val="0"/>
              </w:rPr>
            </w:pPr>
          </w:p>
        </w:tc>
        <w:tc>
          <w:tcPr>
            <w:tcW w:w="3518" w:type="pct"/>
            <w:gridSpan w:val="12"/>
            <w:tcBorders>
              <w:tl2br w:val="nil"/>
              <w:tr2bl w:val="nil"/>
            </w:tcBorders>
            <w:noWrap w:val="0"/>
            <w:vAlign w:val="center"/>
          </w:tcPr>
          <w:p w14:paraId="2AD771F0">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rPr>
            </w:pPr>
            <w:r>
              <w:rPr>
                <w:rFonts w:hint="default" w:ascii="Times New Roman" w:hAnsi="Times New Roman" w:eastAsia="仿宋_GB2312" w:cs="Times New Roman"/>
                <w:color w:val="auto"/>
                <w:spacing w:val="0"/>
                <w:kern w:val="0"/>
                <w:position w:val="0"/>
              </w:rPr>
              <w:t>地表水环境敏感程度 E值</w:t>
            </w:r>
          </w:p>
        </w:tc>
        <w:tc>
          <w:tcPr>
            <w:tcW w:w="1083" w:type="pct"/>
            <w:gridSpan w:val="3"/>
            <w:tcBorders>
              <w:tl2br w:val="nil"/>
              <w:tr2bl w:val="nil"/>
            </w:tcBorders>
            <w:noWrap w:val="0"/>
            <w:vAlign w:val="center"/>
          </w:tcPr>
          <w:p w14:paraId="7E40B280">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eastAsia="zh-CN"/>
              </w:rPr>
            </w:pPr>
            <w:r>
              <w:rPr>
                <w:rFonts w:hint="default" w:ascii="Times New Roman" w:hAnsi="Times New Roman" w:eastAsia="仿宋_GB2312" w:cs="Times New Roman"/>
                <w:color w:val="auto"/>
                <w:spacing w:val="0"/>
                <w:kern w:val="0"/>
                <w:position w:val="0"/>
              </w:rPr>
              <w:t>E</w:t>
            </w:r>
            <w:r>
              <w:rPr>
                <w:rFonts w:hint="default" w:ascii="Times New Roman" w:hAnsi="Times New Roman" w:eastAsia="仿宋_GB2312" w:cs="Times New Roman"/>
                <w:color w:val="auto"/>
                <w:spacing w:val="0"/>
                <w:kern w:val="0"/>
                <w:position w:val="0"/>
                <w:lang w:val="en-US" w:eastAsia="zh-CN"/>
              </w:rPr>
              <w:t>3</w:t>
            </w:r>
          </w:p>
        </w:tc>
      </w:tr>
      <w:tr w14:paraId="7C24C20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48" w:hRule="atLeast"/>
          <w:jc w:val="center"/>
        </w:trPr>
        <w:tc>
          <w:tcPr>
            <w:tcW w:w="397" w:type="pct"/>
            <w:vMerge w:val="restart"/>
            <w:tcBorders>
              <w:tl2br w:val="nil"/>
              <w:tr2bl w:val="nil"/>
            </w:tcBorders>
            <w:noWrap w:val="0"/>
            <w:vAlign w:val="center"/>
          </w:tcPr>
          <w:p w14:paraId="772F8C56">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
                <w:bCs/>
                <w:color w:val="auto"/>
                <w:spacing w:val="0"/>
                <w:kern w:val="0"/>
                <w:position w:val="0"/>
              </w:rPr>
            </w:pPr>
            <w:r>
              <w:rPr>
                <w:rFonts w:hint="default" w:ascii="Times New Roman" w:hAnsi="Times New Roman" w:eastAsia="仿宋_GB2312" w:cs="Times New Roman"/>
                <w:b/>
                <w:bCs/>
                <w:color w:val="auto"/>
                <w:spacing w:val="0"/>
                <w:kern w:val="0"/>
                <w:position w:val="0"/>
              </w:rPr>
              <w:t>地下</w:t>
            </w:r>
          </w:p>
          <w:p w14:paraId="1372B283">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
                <w:bCs/>
                <w:color w:val="auto"/>
                <w:spacing w:val="0"/>
                <w:kern w:val="0"/>
                <w:position w:val="0"/>
              </w:rPr>
            </w:pPr>
            <w:r>
              <w:rPr>
                <w:rFonts w:hint="default" w:ascii="Times New Roman" w:hAnsi="Times New Roman" w:eastAsia="仿宋_GB2312" w:cs="Times New Roman"/>
                <w:b/>
                <w:bCs/>
                <w:color w:val="auto"/>
                <w:spacing w:val="0"/>
                <w:kern w:val="0"/>
                <w:position w:val="0"/>
              </w:rPr>
              <w:t>水</w:t>
            </w:r>
          </w:p>
        </w:tc>
        <w:tc>
          <w:tcPr>
            <w:tcW w:w="388" w:type="pct"/>
            <w:tcBorders>
              <w:tl2br w:val="nil"/>
              <w:tr2bl w:val="nil"/>
            </w:tcBorders>
            <w:noWrap w:val="0"/>
            <w:vAlign w:val="center"/>
          </w:tcPr>
          <w:p w14:paraId="33D4D7C5">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rPr>
            </w:pPr>
            <w:r>
              <w:rPr>
                <w:rFonts w:hint="default" w:ascii="Times New Roman" w:hAnsi="Times New Roman" w:eastAsia="仿宋_GB2312" w:cs="Times New Roman"/>
                <w:color w:val="auto"/>
                <w:spacing w:val="0"/>
                <w:kern w:val="0"/>
                <w:position w:val="0"/>
              </w:rPr>
              <w:t>序号</w:t>
            </w:r>
          </w:p>
        </w:tc>
        <w:tc>
          <w:tcPr>
            <w:tcW w:w="887" w:type="pct"/>
            <w:gridSpan w:val="2"/>
            <w:tcBorders>
              <w:tl2br w:val="nil"/>
              <w:tr2bl w:val="nil"/>
            </w:tcBorders>
            <w:noWrap w:val="0"/>
            <w:vAlign w:val="center"/>
          </w:tcPr>
          <w:p w14:paraId="4B71F2EE">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rPr>
            </w:pPr>
            <w:r>
              <w:rPr>
                <w:rFonts w:hint="default" w:ascii="Times New Roman" w:hAnsi="Times New Roman" w:eastAsia="仿宋_GB2312" w:cs="Times New Roman"/>
                <w:color w:val="auto"/>
                <w:spacing w:val="0"/>
                <w:kern w:val="0"/>
                <w:position w:val="0"/>
              </w:rPr>
              <w:t>环境敏感区名称</w:t>
            </w:r>
          </w:p>
        </w:tc>
        <w:tc>
          <w:tcPr>
            <w:tcW w:w="876" w:type="pct"/>
            <w:gridSpan w:val="3"/>
            <w:tcBorders>
              <w:tl2br w:val="nil"/>
              <w:tr2bl w:val="nil"/>
            </w:tcBorders>
            <w:noWrap w:val="0"/>
            <w:vAlign w:val="center"/>
          </w:tcPr>
          <w:p w14:paraId="1654FADA">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rPr>
            </w:pPr>
            <w:r>
              <w:rPr>
                <w:rFonts w:hint="default" w:ascii="Times New Roman" w:hAnsi="Times New Roman" w:eastAsia="仿宋_GB2312" w:cs="Times New Roman"/>
                <w:color w:val="auto"/>
                <w:spacing w:val="0"/>
                <w:kern w:val="0"/>
                <w:position w:val="0"/>
              </w:rPr>
              <w:t>环境敏感特征</w:t>
            </w:r>
          </w:p>
        </w:tc>
        <w:tc>
          <w:tcPr>
            <w:tcW w:w="871" w:type="pct"/>
            <w:gridSpan w:val="3"/>
            <w:tcBorders>
              <w:tl2br w:val="nil"/>
              <w:tr2bl w:val="nil"/>
            </w:tcBorders>
            <w:noWrap w:val="0"/>
            <w:vAlign w:val="center"/>
          </w:tcPr>
          <w:p w14:paraId="256F19AD">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rPr>
            </w:pPr>
            <w:r>
              <w:rPr>
                <w:rFonts w:hint="default" w:ascii="Times New Roman" w:hAnsi="Times New Roman" w:eastAsia="仿宋_GB2312" w:cs="Times New Roman"/>
                <w:color w:val="auto"/>
                <w:spacing w:val="0"/>
                <w:kern w:val="0"/>
                <w:position w:val="0"/>
              </w:rPr>
              <w:t>水质目标</w:t>
            </w:r>
          </w:p>
        </w:tc>
        <w:tc>
          <w:tcPr>
            <w:tcW w:w="626" w:type="pct"/>
            <w:gridSpan w:val="4"/>
            <w:tcBorders>
              <w:tl2br w:val="nil"/>
              <w:tr2bl w:val="nil"/>
            </w:tcBorders>
            <w:noWrap w:val="0"/>
            <w:vAlign w:val="center"/>
          </w:tcPr>
          <w:p w14:paraId="4E43E2CB">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rPr>
            </w:pPr>
            <w:r>
              <w:rPr>
                <w:rFonts w:hint="default" w:ascii="Times New Roman" w:hAnsi="Times New Roman" w:eastAsia="仿宋_GB2312" w:cs="Times New Roman"/>
                <w:color w:val="auto"/>
                <w:spacing w:val="0"/>
                <w:kern w:val="0"/>
                <w:position w:val="0"/>
              </w:rPr>
              <w:t>包气带防污性能</w:t>
            </w:r>
          </w:p>
        </w:tc>
        <w:tc>
          <w:tcPr>
            <w:tcW w:w="951" w:type="pct"/>
            <w:gridSpan w:val="2"/>
            <w:tcBorders>
              <w:tl2br w:val="nil"/>
              <w:tr2bl w:val="nil"/>
            </w:tcBorders>
            <w:noWrap w:val="0"/>
            <w:vAlign w:val="center"/>
          </w:tcPr>
          <w:p w14:paraId="16E1C84A">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rPr>
            </w:pPr>
            <w:r>
              <w:rPr>
                <w:rFonts w:hint="default" w:ascii="Times New Roman" w:hAnsi="Times New Roman" w:eastAsia="仿宋_GB2312" w:cs="Times New Roman"/>
                <w:color w:val="auto"/>
                <w:spacing w:val="0"/>
                <w:kern w:val="0"/>
                <w:position w:val="0"/>
              </w:rPr>
              <w:t>与下游厂界距离/m</w:t>
            </w:r>
          </w:p>
        </w:tc>
      </w:tr>
      <w:tr w14:paraId="7AE173C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8" w:hRule="atLeast"/>
          <w:jc w:val="center"/>
        </w:trPr>
        <w:tc>
          <w:tcPr>
            <w:tcW w:w="397" w:type="pct"/>
            <w:vMerge w:val="continue"/>
            <w:tcBorders>
              <w:tl2br w:val="nil"/>
              <w:tr2bl w:val="nil"/>
            </w:tcBorders>
            <w:noWrap w:val="0"/>
            <w:vAlign w:val="center"/>
          </w:tcPr>
          <w:p w14:paraId="6A7DDBEC">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
                <w:bCs/>
                <w:color w:val="auto"/>
                <w:spacing w:val="0"/>
                <w:kern w:val="0"/>
                <w:position w:val="0"/>
              </w:rPr>
            </w:pPr>
          </w:p>
        </w:tc>
        <w:tc>
          <w:tcPr>
            <w:tcW w:w="388" w:type="pct"/>
            <w:tcBorders>
              <w:tl2br w:val="nil"/>
              <w:tr2bl w:val="nil"/>
            </w:tcBorders>
            <w:noWrap w:val="0"/>
            <w:vAlign w:val="center"/>
          </w:tcPr>
          <w:p w14:paraId="38DFF95E">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rPr>
            </w:pPr>
            <w:r>
              <w:rPr>
                <w:rFonts w:hint="default" w:ascii="Times New Roman" w:hAnsi="Times New Roman" w:eastAsia="仿宋_GB2312" w:cs="Times New Roman"/>
                <w:color w:val="auto"/>
                <w:spacing w:val="0"/>
                <w:kern w:val="0"/>
                <w:position w:val="0"/>
              </w:rPr>
              <w:t>1</w:t>
            </w:r>
          </w:p>
        </w:tc>
        <w:tc>
          <w:tcPr>
            <w:tcW w:w="887" w:type="pct"/>
            <w:gridSpan w:val="2"/>
            <w:tcBorders>
              <w:tl2br w:val="nil"/>
              <w:tr2bl w:val="nil"/>
            </w:tcBorders>
            <w:noWrap w:val="0"/>
            <w:vAlign w:val="center"/>
          </w:tcPr>
          <w:p w14:paraId="2C800AC8">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rPr>
            </w:pPr>
            <w:r>
              <w:rPr>
                <w:rFonts w:hint="default" w:ascii="Times New Roman" w:hAnsi="Times New Roman" w:eastAsia="仿宋_GB2312" w:cs="Times New Roman"/>
                <w:color w:val="auto"/>
                <w:spacing w:val="0"/>
                <w:kern w:val="0"/>
                <w:position w:val="0"/>
              </w:rPr>
              <w:t>无</w:t>
            </w:r>
          </w:p>
        </w:tc>
        <w:tc>
          <w:tcPr>
            <w:tcW w:w="876" w:type="pct"/>
            <w:gridSpan w:val="3"/>
            <w:tcBorders>
              <w:tl2br w:val="nil"/>
              <w:tr2bl w:val="nil"/>
            </w:tcBorders>
            <w:noWrap w:val="0"/>
            <w:vAlign w:val="center"/>
          </w:tcPr>
          <w:p w14:paraId="7AFDC10D">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rPr>
            </w:pPr>
            <w:r>
              <w:rPr>
                <w:rFonts w:hint="default" w:ascii="Times New Roman" w:hAnsi="Times New Roman" w:eastAsia="仿宋_GB2312" w:cs="Times New Roman"/>
                <w:color w:val="auto"/>
                <w:spacing w:val="0"/>
                <w:kern w:val="0"/>
                <w:position w:val="0"/>
              </w:rPr>
              <w:t>G3</w:t>
            </w:r>
          </w:p>
        </w:tc>
        <w:tc>
          <w:tcPr>
            <w:tcW w:w="871" w:type="pct"/>
            <w:gridSpan w:val="3"/>
            <w:tcBorders>
              <w:tl2br w:val="nil"/>
              <w:tr2bl w:val="nil"/>
            </w:tcBorders>
            <w:noWrap w:val="0"/>
            <w:vAlign w:val="center"/>
          </w:tcPr>
          <w:p w14:paraId="67E5D697">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rPr>
            </w:pPr>
            <w:r>
              <w:rPr>
                <w:rFonts w:hint="default" w:ascii="Times New Roman" w:hAnsi="Times New Roman" w:eastAsia="仿宋_GB2312" w:cs="Times New Roman"/>
                <w:color w:val="auto"/>
                <w:spacing w:val="0"/>
                <w:kern w:val="0"/>
                <w:position w:val="0"/>
              </w:rPr>
              <w:t>/</w:t>
            </w:r>
          </w:p>
        </w:tc>
        <w:tc>
          <w:tcPr>
            <w:tcW w:w="626" w:type="pct"/>
            <w:gridSpan w:val="4"/>
            <w:tcBorders>
              <w:tl2br w:val="nil"/>
              <w:tr2bl w:val="nil"/>
            </w:tcBorders>
            <w:noWrap w:val="0"/>
            <w:vAlign w:val="center"/>
          </w:tcPr>
          <w:p w14:paraId="27E71896">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rPr>
            </w:pPr>
            <w:r>
              <w:rPr>
                <w:rFonts w:hint="default" w:ascii="Times New Roman" w:hAnsi="Times New Roman" w:eastAsia="仿宋_GB2312" w:cs="Times New Roman"/>
                <w:color w:val="auto"/>
                <w:spacing w:val="0"/>
                <w:kern w:val="0"/>
                <w:position w:val="0"/>
              </w:rPr>
              <w:t>D2</w:t>
            </w:r>
          </w:p>
        </w:tc>
        <w:tc>
          <w:tcPr>
            <w:tcW w:w="951" w:type="pct"/>
            <w:gridSpan w:val="2"/>
            <w:tcBorders>
              <w:tl2br w:val="nil"/>
              <w:tr2bl w:val="nil"/>
            </w:tcBorders>
            <w:noWrap w:val="0"/>
            <w:vAlign w:val="center"/>
          </w:tcPr>
          <w:p w14:paraId="2B473EF2">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rPr>
            </w:pPr>
            <w:r>
              <w:rPr>
                <w:rFonts w:hint="default" w:ascii="Times New Roman" w:hAnsi="Times New Roman" w:eastAsia="仿宋_GB2312" w:cs="Times New Roman"/>
                <w:color w:val="auto"/>
                <w:spacing w:val="0"/>
                <w:kern w:val="0"/>
                <w:position w:val="0"/>
              </w:rPr>
              <w:t>/</w:t>
            </w:r>
          </w:p>
        </w:tc>
      </w:tr>
      <w:tr w14:paraId="07E4B26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7" w:hRule="atLeast"/>
          <w:jc w:val="center"/>
        </w:trPr>
        <w:tc>
          <w:tcPr>
            <w:tcW w:w="397" w:type="pct"/>
            <w:vMerge w:val="continue"/>
            <w:tcBorders>
              <w:tl2br w:val="nil"/>
              <w:tr2bl w:val="nil"/>
            </w:tcBorders>
            <w:noWrap w:val="0"/>
            <w:vAlign w:val="center"/>
          </w:tcPr>
          <w:p w14:paraId="06FD2261">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
                <w:bCs/>
                <w:color w:val="auto"/>
                <w:spacing w:val="0"/>
                <w:kern w:val="0"/>
                <w:position w:val="0"/>
              </w:rPr>
            </w:pPr>
          </w:p>
        </w:tc>
        <w:tc>
          <w:tcPr>
            <w:tcW w:w="3650" w:type="pct"/>
            <w:gridSpan w:val="13"/>
            <w:tcBorders>
              <w:tl2br w:val="nil"/>
              <w:tr2bl w:val="nil"/>
            </w:tcBorders>
            <w:noWrap w:val="0"/>
            <w:vAlign w:val="center"/>
          </w:tcPr>
          <w:p w14:paraId="1054FAE1">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rPr>
            </w:pPr>
            <w:r>
              <w:rPr>
                <w:rFonts w:hint="default" w:ascii="Times New Roman" w:hAnsi="Times New Roman" w:eastAsia="仿宋_GB2312" w:cs="Times New Roman"/>
                <w:color w:val="auto"/>
                <w:spacing w:val="0"/>
                <w:kern w:val="0"/>
                <w:position w:val="0"/>
              </w:rPr>
              <w:t>地下水环境敏感程度 E值</w:t>
            </w:r>
          </w:p>
        </w:tc>
        <w:tc>
          <w:tcPr>
            <w:tcW w:w="951" w:type="pct"/>
            <w:gridSpan w:val="2"/>
            <w:tcBorders>
              <w:tl2br w:val="nil"/>
              <w:tr2bl w:val="nil"/>
            </w:tcBorders>
            <w:noWrap w:val="0"/>
            <w:vAlign w:val="center"/>
          </w:tcPr>
          <w:p w14:paraId="274835F9">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rPr>
            </w:pPr>
            <w:r>
              <w:rPr>
                <w:rFonts w:hint="default" w:ascii="Times New Roman" w:hAnsi="Times New Roman" w:eastAsia="仿宋_GB2312" w:cs="Times New Roman"/>
                <w:color w:val="auto"/>
                <w:spacing w:val="0"/>
                <w:kern w:val="0"/>
                <w:position w:val="0"/>
              </w:rPr>
              <w:t>E3</w:t>
            </w:r>
          </w:p>
        </w:tc>
      </w:tr>
      <w:tr w14:paraId="01EE9A1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49" w:hRule="atLeast"/>
          <w:jc w:val="center"/>
        </w:trPr>
        <w:tc>
          <w:tcPr>
            <w:tcW w:w="397" w:type="pct"/>
            <w:tcBorders>
              <w:tl2br w:val="nil"/>
              <w:tr2bl w:val="nil"/>
            </w:tcBorders>
            <w:noWrap w:val="0"/>
            <w:vAlign w:val="center"/>
          </w:tcPr>
          <w:p w14:paraId="5C9C412C">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
                <w:bCs/>
                <w:color w:val="auto"/>
                <w:spacing w:val="0"/>
                <w:kern w:val="0"/>
                <w:position w:val="0"/>
              </w:rPr>
            </w:pPr>
            <w:r>
              <w:rPr>
                <w:rFonts w:hint="default" w:ascii="Times New Roman" w:hAnsi="Times New Roman" w:eastAsia="仿宋_GB2312" w:cs="Times New Roman"/>
                <w:b/>
                <w:bCs/>
                <w:color w:val="auto"/>
                <w:spacing w:val="0"/>
                <w:kern w:val="0"/>
                <w:position w:val="0"/>
              </w:rPr>
              <w:t>环境</w:t>
            </w:r>
          </w:p>
          <w:p w14:paraId="3A491554">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
                <w:bCs/>
                <w:color w:val="auto"/>
                <w:spacing w:val="0"/>
                <w:kern w:val="0"/>
                <w:position w:val="0"/>
              </w:rPr>
            </w:pPr>
            <w:r>
              <w:rPr>
                <w:rFonts w:hint="default" w:ascii="Times New Roman" w:hAnsi="Times New Roman" w:eastAsia="仿宋_GB2312" w:cs="Times New Roman"/>
                <w:b/>
                <w:bCs/>
                <w:color w:val="auto"/>
                <w:spacing w:val="0"/>
                <w:kern w:val="0"/>
                <w:position w:val="0"/>
              </w:rPr>
              <w:t>要素</w:t>
            </w:r>
          </w:p>
        </w:tc>
        <w:tc>
          <w:tcPr>
            <w:tcW w:w="1519" w:type="pct"/>
            <w:gridSpan w:val="4"/>
            <w:tcBorders>
              <w:tl2br w:val="nil"/>
              <w:tr2bl w:val="nil"/>
            </w:tcBorders>
            <w:noWrap w:val="0"/>
            <w:vAlign w:val="center"/>
          </w:tcPr>
          <w:p w14:paraId="37234E7E">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rPr>
            </w:pPr>
            <w:r>
              <w:rPr>
                <w:rFonts w:hint="default" w:ascii="Times New Roman" w:hAnsi="Times New Roman" w:eastAsia="仿宋_GB2312" w:cs="Times New Roman"/>
                <w:color w:val="auto"/>
                <w:spacing w:val="0"/>
                <w:kern w:val="0"/>
                <w:position w:val="0"/>
              </w:rPr>
              <w:t>大气</w:t>
            </w:r>
          </w:p>
        </w:tc>
        <w:tc>
          <w:tcPr>
            <w:tcW w:w="1529" w:type="pct"/>
            <w:gridSpan w:val="6"/>
            <w:tcBorders>
              <w:tl2br w:val="nil"/>
              <w:tr2bl w:val="nil"/>
            </w:tcBorders>
            <w:noWrap w:val="0"/>
            <w:vAlign w:val="center"/>
          </w:tcPr>
          <w:p w14:paraId="70D9B236">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rPr>
            </w:pPr>
            <w:r>
              <w:rPr>
                <w:rFonts w:hint="default" w:ascii="Times New Roman" w:hAnsi="Times New Roman" w:eastAsia="仿宋_GB2312" w:cs="Times New Roman"/>
                <w:color w:val="auto"/>
                <w:spacing w:val="0"/>
                <w:kern w:val="0"/>
                <w:position w:val="0"/>
              </w:rPr>
              <w:t>地表水</w:t>
            </w:r>
          </w:p>
        </w:tc>
        <w:tc>
          <w:tcPr>
            <w:tcW w:w="1553" w:type="pct"/>
            <w:gridSpan w:val="5"/>
            <w:tcBorders>
              <w:tl2br w:val="nil"/>
              <w:tr2bl w:val="nil"/>
            </w:tcBorders>
            <w:noWrap w:val="0"/>
            <w:vAlign w:val="center"/>
          </w:tcPr>
          <w:p w14:paraId="79FD529D">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rPr>
            </w:pPr>
            <w:r>
              <w:rPr>
                <w:rFonts w:hint="default" w:ascii="Times New Roman" w:hAnsi="Times New Roman" w:eastAsia="仿宋_GB2312" w:cs="Times New Roman"/>
                <w:color w:val="auto"/>
                <w:spacing w:val="0"/>
                <w:kern w:val="0"/>
                <w:position w:val="0"/>
              </w:rPr>
              <w:t>地下水</w:t>
            </w:r>
          </w:p>
        </w:tc>
      </w:tr>
      <w:tr w14:paraId="2903EE4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48" w:hRule="atLeast"/>
          <w:jc w:val="center"/>
        </w:trPr>
        <w:tc>
          <w:tcPr>
            <w:tcW w:w="397" w:type="pct"/>
            <w:vMerge w:val="restart"/>
            <w:tcBorders>
              <w:tl2br w:val="nil"/>
              <w:tr2bl w:val="nil"/>
            </w:tcBorders>
            <w:noWrap w:val="0"/>
            <w:vAlign w:val="center"/>
          </w:tcPr>
          <w:p w14:paraId="3F12CC02">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
                <w:bCs/>
                <w:color w:val="auto"/>
                <w:spacing w:val="0"/>
                <w:kern w:val="0"/>
                <w:position w:val="0"/>
              </w:rPr>
            </w:pPr>
            <w:r>
              <w:rPr>
                <w:rFonts w:hint="default" w:ascii="Times New Roman" w:hAnsi="Times New Roman" w:eastAsia="仿宋_GB2312" w:cs="Times New Roman"/>
                <w:b/>
                <w:bCs/>
                <w:color w:val="auto"/>
                <w:spacing w:val="0"/>
                <w:kern w:val="0"/>
                <w:position w:val="0"/>
              </w:rPr>
              <w:t>判断</w:t>
            </w:r>
          </w:p>
          <w:p w14:paraId="397B3668">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
                <w:bCs/>
                <w:color w:val="auto"/>
                <w:spacing w:val="0"/>
                <w:kern w:val="0"/>
                <w:position w:val="0"/>
              </w:rPr>
            </w:pPr>
            <w:r>
              <w:rPr>
                <w:rFonts w:hint="default" w:ascii="Times New Roman" w:hAnsi="Times New Roman" w:eastAsia="仿宋_GB2312" w:cs="Times New Roman"/>
                <w:b/>
                <w:bCs/>
                <w:color w:val="auto"/>
                <w:spacing w:val="0"/>
                <w:kern w:val="0"/>
                <w:position w:val="0"/>
              </w:rPr>
              <w:t>依据</w:t>
            </w:r>
          </w:p>
        </w:tc>
        <w:tc>
          <w:tcPr>
            <w:tcW w:w="791" w:type="pct"/>
            <w:gridSpan w:val="2"/>
            <w:tcBorders>
              <w:tl2br w:val="nil"/>
              <w:tr2bl w:val="nil"/>
            </w:tcBorders>
            <w:noWrap w:val="0"/>
            <w:vAlign w:val="center"/>
          </w:tcPr>
          <w:p w14:paraId="74430723">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rPr>
            </w:pPr>
            <w:r>
              <w:rPr>
                <w:rFonts w:hint="default" w:ascii="Times New Roman" w:hAnsi="Times New Roman" w:eastAsia="仿宋_GB2312" w:cs="Times New Roman"/>
                <w:color w:val="auto"/>
                <w:spacing w:val="0"/>
                <w:kern w:val="0"/>
                <w:position w:val="0"/>
              </w:rPr>
              <w:t>500m范围内人数＞500</w:t>
            </w:r>
          </w:p>
        </w:tc>
        <w:tc>
          <w:tcPr>
            <w:tcW w:w="727" w:type="pct"/>
            <w:gridSpan w:val="2"/>
            <w:tcBorders>
              <w:tl2br w:val="nil"/>
              <w:tr2bl w:val="nil"/>
            </w:tcBorders>
            <w:noWrap w:val="0"/>
            <w:vAlign w:val="center"/>
          </w:tcPr>
          <w:p w14:paraId="5D4EACB4">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rPr>
            </w:pPr>
            <w:r>
              <w:rPr>
                <w:rFonts w:hint="default" w:ascii="Times New Roman" w:hAnsi="Times New Roman" w:eastAsia="仿宋_GB2312" w:cs="Times New Roman"/>
                <w:color w:val="auto"/>
                <w:spacing w:val="0"/>
                <w:kern w:val="0"/>
                <w:position w:val="0"/>
              </w:rPr>
              <w:t>5km范围内人数＞5万</w:t>
            </w:r>
          </w:p>
        </w:tc>
        <w:tc>
          <w:tcPr>
            <w:tcW w:w="789" w:type="pct"/>
            <w:gridSpan w:val="3"/>
            <w:tcBorders>
              <w:tl2br w:val="nil"/>
              <w:tr2bl w:val="nil"/>
            </w:tcBorders>
            <w:noWrap w:val="0"/>
            <w:vAlign w:val="center"/>
          </w:tcPr>
          <w:p w14:paraId="1A906E8A">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rPr>
            </w:pPr>
            <w:r>
              <w:rPr>
                <w:rFonts w:hint="default" w:ascii="Times New Roman" w:hAnsi="Times New Roman" w:eastAsia="仿宋_GB2312" w:cs="Times New Roman"/>
                <w:color w:val="auto"/>
                <w:spacing w:val="0"/>
                <w:kern w:val="0"/>
                <w:position w:val="0"/>
              </w:rPr>
              <w:t>环境敏感目标</w:t>
            </w:r>
          </w:p>
        </w:tc>
        <w:tc>
          <w:tcPr>
            <w:tcW w:w="740" w:type="pct"/>
            <w:gridSpan w:val="3"/>
            <w:tcBorders>
              <w:tl2br w:val="nil"/>
              <w:tr2bl w:val="nil"/>
            </w:tcBorders>
            <w:noWrap w:val="0"/>
            <w:vAlign w:val="center"/>
          </w:tcPr>
          <w:p w14:paraId="62651FCA">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rPr>
            </w:pPr>
            <w:r>
              <w:rPr>
                <w:rFonts w:hint="default" w:ascii="Times New Roman" w:hAnsi="Times New Roman" w:eastAsia="仿宋_GB2312" w:cs="Times New Roman"/>
                <w:color w:val="auto"/>
                <w:spacing w:val="0"/>
                <w:kern w:val="0"/>
                <w:position w:val="0"/>
              </w:rPr>
              <w:t>地表水功能敏感性</w:t>
            </w:r>
          </w:p>
        </w:tc>
        <w:tc>
          <w:tcPr>
            <w:tcW w:w="838" w:type="pct"/>
            <w:gridSpan w:val="4"/>
            <w:tcBorders>
              <w:tl2br w:val="nil"/>
              <w:tr2bl w:val="nil"/>
            </w:tcBorders>
            <w:noWrap w:val="0"/>
            <w:vAlign w:val="center"/>
          </w:tcPr>
          <w:p w14:paraId="31CFF0A0">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rPr>
            </w:pPr>
            <w:r>
              <w:rPr>
                <w:rFonts w:hint="default" w:ascii="Times New Roman" w:hAnsi="Times New Roman" w:eastAsia="仿宋_GB2312" w:cs="Times New Roman"/>
                <w:color w:val="auto"/>
                <w:spacing w:val="0"/>
                <w:kern w:val="0"/>
                <w:position w:val="0"/>
              </w:rPr>
              <w:t>包气带防污性能</w:t>
            </w:r>
          </w:p>
        </w:tc>
        <w:tc>
          <w:tcPr>
            <w:tcW w:w="715" w:type="pct"/>
            <w:tcBorders>
              <w:tl2br w:val="nil"/>
              <w:tr2bl w:val="nil"/>
            </w:tcBorders>
            <w:noWrap w:val="0"/>
            <w:vAlign w:val="center"/>
          </w:tcPr>
          <w:p w14:paraId="03865378">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rPr>
            </w:pPr>
            <w:r>
              <w:rPr>
                <w:rFonts w:hint="default" w:ascii="Times New Roman" w:hAnsi="Times New Roman" w:eastAsia="仿宋_GB2312" w:cs="Times New Roman"/>
                <w:color w:val="auto"/>
                <w:spacing w:val="0"/>
                <w:kern w:val="0"/>
                <w:position w:val="0"/>
              </w:rPr>
              <w:t>地下水功能敏感性</w:t>
            </w:r>
          </w:p>
        </w:tc>
      </w:tr>
      <w:tr w14:paraId="6E66CD6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47" w:hRule="atLeast"/>
          <w:jc w:val="center"/>
        </w:trPr>
        <w:tc>
          <w:tcPr>
            <w:tcW w:w="397" w:type="pct"/>
            <w:vMerge w:val="continue"/>
            <w:tcBorders>
              <w:tl2br w:val="nil"/>
              <w:tr2bl w:val="nil"/>
            </w:tcBorders>
            <w:noWrap w:val="0"/>
            <w:vAlign w:val="center"/>
          </w:tcPr>
          <w:p w14:paraId="5814A521">
            <w:pPr>
              <w:pageBreakBefore w:val="0"/>
              <w:kinsoku/>
              <w:wordWrap/>
              <w:bidi w:val="0"/>
              <w:adjustRightInd w:val="0"/>
              <w:snapToGrid w:val="0"/>
              <w:spacing w:beforeAutospacing="0" w:afterAutospacing="0"/>
              <w:ind w:left="0" w:leftChars="0" w:right="0"/>
              <w:rPr>
                <w:rFonts w:hint="default" w:ascii="Times New Roman" w:hAnsi="Times New Roman" w:eastAsia="仿宋_GB2312" w:cs="Times New Roman"/>
                <w:color w:val="auto"/>
                <w:spacing w:val="0"/>
                <w:kern w:val="0"/>
                <w:position w:val="0"/>
              </w:rPr>
            </w:pPr>
          </w:p>
        </w:tc>
        <w:tc>
          <w:tcPr>
            <w:tcW w:w="1519" w:type="pct"/>
            <w:gridSpan w:val="4"/>
            <w:tcBorders>
              <w:tl2br w:val="nil"/>
              <w:tr2bl w:val="nil"/>
            </w:tcBorders>
            <w:noWrap w:val="0"/>
            <w:vAlign w:val="center"/>
          </w:tcPr>
          <w:p w14:paraId="69A2ED11">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rPr>
            </w:pPr>
            <w:r>
              <w:rPr>
                <w:rFonts w:hint="default" w:ascii="Times New Roman" w:hAnsi="Times New Roman" w:eastAsia="仿宋_GB2312" w:cs="Times New Roman"/>
                <w:color w:val="auto"/>
                <w:spacing w:val="0"/>
                <w:kern w:val="0"/>
                <w:position w:val="0"/>
              </w:rPr>
              <w:t>E1</w:t>
            </w:r>
          </w:p>
        </w:tc>
        <w:tc>
          <w:tcPr>
            <w:tcW w:w="789" w:type="pct"/>
            <w:gridSpan w:val="3"/>
            <w:tcBorders>
              <w:tl2br w:val="nil"/>
              <w:tr2bl w:val="nil"/>
            </w:tcBorders>
            <w:noWrap w:val="0"/>
            <w:vAlign w:val="center"/>
          </w:tcPr>
          <w:p w14:paraId="31435F51">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rPr>
            </w:pPr>
            <w:r>
              <w:rPr>
                <w:rFonts w:hint="default" w:ascii="Times New Roman" w:hAnsi="Times New Roman" w:eastAsia="仿宋_GB2312" w:cs="Times New Roman"/>
                <w:color w:val="auto"/>
                <w:spacing w:val="0"/>
                <w:kern w:val="0"/>
                <w:position w:val="0"/>
              </w:rPr>
              <w:t>S3</w:t>
            </w:r>
          </w:p>
        </w:tc>
        <w:tc>
          <w:tcPr>
            <w:tcW w:w="740" w:type="pct"/>
            <w:gridSpan w:val="3"/>
            <w:tcBorders>
              <w:tl2br w:val="nil"/>
              <w:tr2bl w:val="nil"/>
            </w:tcBorders>
            <w:noWrap w:val="0"/>
            <w:vAlign w:val="center"/>
          </w:tcPr>
          <w:p w14:paraId="47017A40">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eastAsia="zh-CN"/>
              </w:rPr>
            </w:pPr>
            <w:r>
              <w:rPr>
                <w:rFonts w:hint="default" w:ascii="Times New Roman" w:hAnsi="Times New Roman" w:eastAsia="仿宋_GB2312" w:cs="Times New Roman"/>
                <w:color w:val="auto"/>
                <w:spacing w:val="0"/>
                <w:kern w:val="0"/>
                <w:position w:val="0"/>
              </w:rPr>
              <w:t>F</w:t>
            </w:r>
            <w:r>
              <w:rPr>
                <w:rFonts w:hint="default" w:ascii="Times New Roman" w:hAnsi="Times New Roman" w:eastAsia="仿宋_GB2312" w:cs="Times New Roman"/>
                <w:color w:val="auto"/>
                <w:spacing w:val="0"/>
                <w:kern w:val="0"/>
                <w:position w:val="0"/>
                <w:lang w:val="en-US" w:eastAsia="zh-CN"/>
              </w:rPr>
              <w:t>3</w:t>
            </w:r>
          </w:p>
        </w:tc>
        <w:tc>
          <w:tcPr>
            <w:tcW w:w="838" w:type="pct"/>
            <w:gridSpan w:val="4"/>
            <w:tcBorders>
              <w:tl2br w:val="nil"/>
              <w:tr2bl w:val="nil"/>
            </w:tcBorders>
            <w:noWrap w:val="0"/>
            <w:vAlign w:val="center"/>
          </w:tcPr>
          <w:p w14:paraId="2CF41F0D">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rPr>
            </w:pPr>
            <w:r>
              <w:rPr>
                <w:rFonts w:hint="default" w:ascii="Times New Roman" w:hAnsi="Times New Roman" w:eastAsia="仿宋_GB2312" w:cs="Times New Roman"/>
                <w:color w:val="auto"/>
                <w:spacing w:val="0"/>
                <w:kern w:val="0"/>
                <w:position w:val="0"/>
              </w:rPr>
              <w:t>D2</w:t>
            </w:r>
          </w:p>
        </w:tc>
        <w:tc>
          <w:tcPr>
            <w:tcW w:w="715" w:type="pct"/>
            <w:tcBorders>
              <w:tl2br w:val="nil"/>
              <w:tr2bl w:val="nil"/>
            </w:tcBorders>
            <w:noWrap w:val="0"/>
            <w:vAlign w:val="center"/>
          </w:tcPr>
          <w:p w14:paraId="0524344F">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rPr>
            </w:pPr>
            <w:r>
              <w:rPr>
                <w:rFonts w:hint="default" w:ascii="Times New Roman" w:hAnsi="Times New Roman" w:eastAsia="仿宋_GB2312" w:cs="Times New Roman"/>
                <w:color w:val="auto"/>
                <w:spacing w:val="0"/>
                <w:kern w:val="0"/>
                <w:position w:val="0"/>
              </w:rPr>
              <w:t>G3</w:t>
            </w:r>
          </w:p>
        </w:tc>
      </w:tr>
      <w:tr w14:paraId="45EB8D1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7" w:hRule="atLeast"/>
          <w:jc w:val="center"/>
        </w:trPr>
        <w:tc>
          <w:tcPr>
            <w:tcW w:w="397" w:type="pct"/>
            <w:vMerge w:val="continue"/>
            <w:tcBorders>
              <w:tl2br w:val="nil"/>
              <w:tr2bl w:val="nil"/>
            </w:tcBorders>
            <w:noWrap w:val="0"/>
            <w:vAlign w:val="center"/>
          </w:tcPr>
          <w:p w14:paraId="2817B8E0">
            <w:pPr>
              <w:pageBreakBefore w:val="0"/>
              <w:kinsoku/>
              <w:wordWrap/>
              <w:bidi w:val="0"/>
              <w:adjustRightInd w:val="0"/>
              <w:snapToGrid w:val="0"/>
              <w:spacing w:beforeAutospacing="0" w:afterAutospacing="0"/>
              <w:ind w:left="0" w:leftChars="0" w:right="0"/>
              <w:rPr>
                <w:rFonts w:hint="default" w:ascii="Times New Roman" w:hAnsi="Times New Roman" w:eastAsia="仿宋_GB2312" w:cs="Times New Roman"/>
                <w:color w:val="auto"/>
                <w:spacing w:val="0"/>
                <w:kern w:val="0"/>
                <w:position w:val="0"/>
              </w:rPr>
            </w:pPr>
          </w:p>
        </w:tc>
        <w:tc>
          <w:tcPr>
            <w:tcW w:w="1519" w:type="pct"/>
            <w:gridSpan w:val="4"/>
            <w:tcBorders>
              <w:tl2br w:val="nil"/>
              <w:tr2bl w:val="nil"/>
            </w:tcBorders>
            <w:noWrap w:val="0"/>
            <w:vAlign w:val="center"/>
          </w:tcPr>
          <w:p w14:paraId="0866520A">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rPr>
            </w:pPr>
            <w:r>
              <w:rPr>
                <w:rFonts w:hint="default" w:ascii="Times New Roman" w:hAnsi="Times New Roman" w:eastAsia="仿宋_GB2312" w:cs="Times New Roman"/>
                <w:color w:val="auto"/>
                <w:spacing w:val="0"/>
                <w:kern w:val="0"/>
                <w:position w:val="0"/>
              </w:rPr>
              <w:t>大气敏感程度</w:t>
            </w:r>
          </w:p>
        </w:tc>
        <w:tc>
          <w:tcPr>
            <w:tcW w:w="1529" w:type="pct"/>
            <w:gridSpan w:val="6"/>
            <w:tcBorders>
              <w:tl2br w:val="nil"/>
              <w:tr2bl w:val="nil"/>
            </w:tcBorders>
            <w:noWrap w:val="0"/>
            <w:vAlign w:val="center"/>
          </w:tcPr>
          <w:p w14:paraId="0B3DBDF3">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rPr>
            </w:pPr>
            <w:r>
              <w:rPr>
                <w:rFonts w:hint="default" w:ascii="Times New Roman" w:hAnsi="Times New Roman" w:eastAsia="仿宋_GB2312" w:cs="Times New Roman"/>
                <w:color w:val="auto"/>
                <w:spacing w:val="0"/>
                <w:kern w:val="0"/>
                <w:position w:val="0"/>
              </w:rPr>
              <w:t>地表水敏感程度</w:t>
            </w:r>
          </w:p>
        </w:tc>
        <w:tc>
          <w:tcPr>
            <w:tcW w:w="1553" w:type="pct"/>
            <w:gridSpan w:val="5"/>
            <w:tcBorders>
              <w:tl2br w:val="nil"/>
              <w:tr2bl w:val="nil"/>
            </w:tcBorders>
            <w:noWrap w:val="0"/>
            <w:vAlign w:val="center"/>
          </w:tcPr>
          <w:p w14:paraId="528524ED">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rPr>
            </w:pPr>
            <w:r>
              <w:rPr>
                <w:rFonts w:hint="default" w:ascii="Times New Roman" w:hAnsi="Times New Roman" w:eastAsia="仿宋_GB2312" w:cs="Times New Roman"/>
                <w:color w:val="auto"/>
                <w:spacing w:val="0"/>
                <w:kern w:val="0"/>
                <w:position w:val="0"/>
              </w:rPr>
              <w:t>地下水敏感程度</w:t>
            </w:r>
          </w:p>
        </w:tc>
      </w:tr>
      <w:tr w14:paraId="6FE0E79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1" w:hRule="atLeast"/>
          <w:jc w:val="center"/>
        </w:trPr>
        <w:tc>
          <w:tcPr>
            <w:tcW w:w="397" w:type="pct"/>
            <w:vMerge w:val="continue"/>
            <w:tcBorders>
              <w:tl2br w:val="nil"/>
              <w:tr2bl w:val="nil"/>
            </w:tcBorders>
            <w:noWrap w:val="0"/>
            <w:vAlign w:val="center"/>
          </w:tcPr>
          <w:p w14:paraId="0B4DC09A">
            <w:pPr>
              <w:pageBreakBefore w:val="0"/>
              <w:kinsoku/>
              <w:wordWrap/>
              <w:bidi w:val="0"/>
              <w:adjustRightInd w:val="0"/>
              <w:snapToGrid w:val="0"/>
              <w:spacing w:beforeAutospacing="0" w:afterAutospacing="0"/>
              <w:ind w:left="0" w:leftChars="0" w:right="0"/>
              <w:rPr>
                <w:rFonts w:hint="default" w:ascii="Times New Roman" w:hAnsi="Times New Roman" w:eastAsia="仿宋_GB2312" w:cs="Times New Roman"/>
                <w:color w:val="auto"/>
                <w:spacing w:val="0"/>
                <w:kern w:val="0"/>
                <w:position w:val="0"/>
              </w:rPr>
            </w:pPr>
          </w:p>
        </w:tc>
        <w:tc>
          <w:tcPr>
            <w:tcW w:w="1519" w:type="pct"/>
            <w:gridSpan w:val="4"/>
            <w:tcBorders>
              <w:tl2br w:val="nil"/>
              <w:tr2bl w:val="nil"/>
            </w:tcBorders>
            <w:noWrap w:val="0"/>
            <w:vAlign w:val="center"/>
          </w:tcPr>
          <w:p w14:paraId="0212F2C3">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rPr>
            </w:pPr>
            <w:r>
              <w:rPr>
                <w:rFonts w:hint="default" w:ascii="Times New Roman" w:hAnsi="Times New Roman" w:eastAsia="仿宋_GB2312" w:cs="Times New Roman"/>
                <w:color w:val="auto"/>
                <w:spacing w:val="0"/>
                <w:kern w:val="0"/>
                <w:position w:val="0"/>
              </w:rPr>
              <w:t>E1</w:t>
            </w:r>
          </w:p>
        </w:tc>
        <w:tc>
          <w:tcPr>
            <w:tcW w:w="1529" w:type="pct"/>
            <w:gridSpan w:val="6"/>
            <w:tcBorders>
              <w:tl2br w:val="nil"/>
              <w:tr2bl w:val="nil"/>
            </w:tcBorders>
            <w:noWrap w:val="0"/>
            <w:vAlign w:val="center"/>
          </w:tcPr>
          <w:p w14:paraId="2E8E67D7">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eastAsia="zh-CN"/>
              </w:rPr>
            </w:pPr>
            <w:r>
              <w:rPr>
                <w:rFonts w:hint="default" w:ascii="Times New Roman" w:hAnsi="Times New Roman" w:eastAsia="仿宋_GB2312" w:cs="Times New Roman"/>
                <w:color w:val="auto"/>
                <w:spacing w:val="0"/>
                <w:kern w:val="0"/>
                <w:position w:val="0"/>
              </w:rPr>
              <w:t>E</w:t>
            </w:r>
            <w:r>
              <w:rPr>
                <w:rFonts w:hint="default" w:ascii="Times New Roman" w:hAnsi="Times New Roman" w:eastAsia="仿宋_GB2312" w:cs="Times New Roman"/>
                <w:color w:val="auto"/>
                <w:spacing w:val="0"/>
                <w:kern w:val="0"/>
                <w:position w:val="0"/>
                <w:lang w:val="en-US" w:eastAsia="zh-CN"/>
              </w:rPr>
              <w:t>3</w:t>
            </w:r>
          </w:p>
        </w:tc>
        <w:tc>
          <w:tcPr>
            <w:tcW w:w="1553" w:type="pct"/>
            <w:gridSpan w:val="5"/>
            <w:tcBorders>
              <w:tl2br w:val="nil"/>
              <w:tr2bl w:val="nil"/>
            </w:tcBorders>
            <w:noWrap w:val="0"/>
            <w:vAlign w:val="center"/>
          </w:tcPr>
          <w:p w14:paraId="660B8682">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rPr>
            </w:pPr>
            <w:r>
              <w:rPr>
                <w:rFonts w:hint="default" w:ascii="Times New Roman" w:hAnsi="Times New Roman" w:eastAsia="仿宋_GB2312" w:cs="Times New Roman"/>
                <w:color w:val="auto"/>
                <w:spacing w:val="0"/>
                <w:kern w:val="0"/>
                <w:position w:val="0"/>
              </w:rPr>
              <w:t>E3</w:t>
            </w:r>
          </w:p>
        </w:tc>
      </w:tr>
    </w:tbl>
    <w:p w14:paraId="342F0812">
      <w:pPr>
        <w:pStyle w:val="105"/>
        <w:keepNext w:val="0"/>
        <w:keepLines w:val="0"/>
        <w:pageBreakBefore w:val="0"/>
        <w:widowControl w:val="0"/>
        <w:kinsoku/>
        <w:wordWrap/>
        <w:overflowPunct/>
        <w:topLinePunct w:val="0"/>
        <w:autoSpaceDE/>
        <w:autoSpaceDN/>
        <w:bidi w:val="0"/>
        <w:adjustRightInd/>
        <w:snapToGrid/>
        <w:spacing w:before="0" w:beforeLines="100"/>
        <w:textAlignment w:val="auto"/>
      </w:pPr>
      <w:bookmarkStart w:id="112" w:name="_Toc20672"/>
      <w:bookmarkStart w:id="113" w:name="_Toc7662"/>
      <w:r>
        <w:rPr>
          <w:sz w:val="24"/>
        </w:rPr>
        <w:pict>
          <v:shape id="_x0000_s2631" o:spid="_x0000_s2631" o:spt="202" type="#_x0000_t202" style="position:absolute;left:0pt;margin-left:187.3pt;margin-top:147pt;height:13.15pt;width:29.6pt;z-index:251933696;mso-width-relative:page;mso-height-relative:page;" filled="f" stroked="f" coordsize="21600,21600">
            <v:path/>
            <v:fill on="f" focussize="0,0"/>
            <v:stroke on="f"/>
            <v:imagedata o:title=""/>
            <o:lock v:ext="edit" aspectratio="f"/>
            <v:textbox>
              <w:txbxContent>
                <w:p w14:paraId="13F17A3B">
                  <w:pPr>
                    <w:rPr>
                      <w:rFonts w:hint="eastAsia" w:eastAsia="宋体"/>
                      <w:b w:val="0"/>
                      <w:bCs w:val="0"/>
                      <w:color w:val="FFFF00"/>
                      <w:sz w:val="11"/>
                      <w:szCs w:val="11"/>
                      <w:lang w:val="en-US" w:eastAsia="zh-CN"/>
                    </w:rPr>
                  </w:pPr>
                  <w:r>
                    <w:rPr>
                      <w:rFonts w:hint="eastAsia"/>
                      <w:b w:val="0"/>
                      <w:bCs w:val="0"/>
                      <w:color w:val="FFFF00"/>
                      <w:sz w:val="11"/>
                      <w:szCs w:val="11"/>
                      <w:lang w:val="en-US" w:eastAsia="zh-CN"/>
                    </w:rPr>
                    <w:t>东村</w:t>
                  </w:r>
                </w:p>
              </w:txbxContent>
            </v:textbox>
          </v:shape>
        </w:pict>
      </w:r>
      <w:r>
        <w:rPr>
          <w:sz w:val="24"/>
        </w:rPr>
        <w:pict>
          <v:shape id="_x0000_s2632" o:spid="_x0000_s2632" o:spt="202" type="#_x0000_t202" style="position:absolute;left:0pt;margin-left:133.3pt;margin-top:153.95pt;height:13.15pt;width:29.6pt;z-index:251936768;mso-width-relative:page;mso-height-relative:page;" filled="f" stroked="f" coordsize="21600,21600">
            <v:path/>
            <v:fill on="f" focussize="0,0"/>
            <v:stroke on="f"/>
            <v:imagedata o:title=""/>
            <o:lock v:ext="edit" aspectratio="f"/>
            <v:textbox>
              <w:txbxContent>
                <w:p w14:paraId="7DC2A434">
                  <w:pPr>
                    <w:rPr>
                      <w:rFonts w:hint="default" w:eastAsia="宋体"/>
                      <w:b w:val="0"/>
                      <w:bCs w:val="0"/>
                      <w:color w:val="FFFF00"/>
                      <w:sz w:val="11"/>
                      <w:szCs w:val="11"/>
                      <w:lang w:val="en-US" w:eastAsia="zh-CN"/>
                    </w:rPr>
                  </w:pPr>
                  <w:r>
                    <w:rPr>
                      <w:rFonts w:hint="eastAsia"/>
                      <w:b w:val="0"/>
                      <w:bCs w:val="0"/>
                      <w:color w:val="FFFF00"/>
                      <w:sz w:val="11"/>
                      <w:szCs w:val="11"/>
                      <w:lang w:val="en-US" w:eastAsia="zh-CN"/>
                    </w:rPr>
                    <w:t>南圩</w:t>
                  </w:r>
                </w:p>
              </w:txbxContent>
            </v:textbox>
          </v:shape>
        </w:pict>
      </w:r>
      <w:r>
        <w:drawing>
          <wp:inline distT="0" distB="0" distL="114300" distR="114300">
            <wp:extent cx="5532755" cy="3564255"/>
            <wp:effectExtent l="0" t="0" r="10795" b="171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61"/>
                    <a:stretch>
                      <a:fillRect/>
                    </a:stretch>
                  </pic:blipFill>
                  <pic:spPr>
                    <a:xfrm>
                      <a:off x="0" y="0"/>
                      <a:ext cx="5532755" cy="3564255"/>
                    </a:xfrm>
                    <a:prstGeom prst="rect">
                      <a:avLst/>
                    </a:prstGeom>
                    <a:noFill/>
                    <a:ln>
                      <a:noFill/>
                    </a:ln>
                  </pic:spPr>
                </pic:pic>
              </a:graphicData>
            </a:graphic>
          </wp:inline>
        </w:drawing>
      </w:r>
    </w:p>
    <w:p w14:paraId="0676B738">
      <w:pPr>
        <w:pStyle w:val="105"/>
        <w:rPr>
          <w:rFonts w:hint="default" w:ascii="Times New Roman" w:hAnsi="Times New Roman" w:eastAsia="仿宋_GB2312" w:cs="Times New Roman"/>
        </w:rPr>
      </w:pPr>
      <w:r>
        <w:rPr>
          <w:rFonts w:hint="default" w:ascii="Times New Roman" w:hAnsi="Times New Roman" w:eastAsia="仿宋_GB2312" w:cs="Times New Roman"/>
        </w:rPr>
        <w:t>图2</w:t>
      </w:r>
      <w:r>
        <w:rPr>
          <w:rFonts w:hint="eastAsia" w:ascii="Times New Roman" w:hAnsi="Times New Roman" w:eastAsia="仿宋_GB2312" w:cs="Times New Roman"/>
          <w:lang w:val="en-US" w:eastAsia="zh-CN"/>
        </w:rPr>
        <w:t>.2</w:t>
      </w:r>
      <w:r>
        <w:rPr>
          <w:rFonts w:hint="default" w:ascii="Times New Roman" w:hAnsi="Times New Roman" w:eastAsia="仿宋_GB2312" w:cs="Times New Roman"/>
        </w:rPr>
        <w:t>-1 大气风险评价范围及敏感目标图</w:t>
      </w:r>
    </w:p>
    <w:p w14:paraId="6AC9834E">
      <w:pPr>
        <w:pStyle w:val="4"/>
        <w:keepNext/>
        <w:keepLines w:val="0"/>
        <w:pageBreakBefore w:val="0"/>
        <w:widowControl w:val="0"/>
        <w:kinsoku/>
        <w:wordWrap/>
        <w:overflowPunct w:val="0"/>
        <w:topLinePunct w:val="0"/>
        <w:autoSpaceDE/>
        <w:autoSpaceDN/>
        <w:bidi w:val="0"/>
        <w:adjustRightInd/>
        <w:snapToGrid w:val="0"/>
        <w:spacing w:before="0" w:line="500" w:lineRule="exact"/>
        <w:ind w:left="0" w:right="0" w:firstLine="0" w:firstLineChars="0"/>
        <w:jc w:val="both"/>
        <w:textAlignment w:val="auto"/>
        <w:outlineLvl w:val="1"/>
        <w:rPr>
          <w:rFonts w:hint="default" w:ascii="Times New Roman" w:hAnsi="Times New Roman" w:eastAsia="仿宋_GB2312" w:cs="Times New Roman"/>
          <w:b/>
          <w:bCs/>
          <w:sz w:val="24"/>
          <w:szCs w:val="24"/>
          <w:lang w:val="en-US" w:eastAsia="zh-CN"/>
        </w:rPr>
      </w:pPr>
      <w:bookmarkStart w:id="114" w:name="_Toc25999"/>
      <w:r>
        <w:rPr>
          <w:rFonts w:hint="default" w:ascii="Times New Roman" w:hAnsi="Times New Roman" w:eastAsia="仿宋_GB2312" w:cs="Times New Roman"/>
          <w:b/>
          <w:bCs/>
          <w:sz w:val="24"/>
          <w:szCs w:val="24"/>
          <w:lang w:val="en-US" w:eastAsia="zh-CN"/>
        </w:rPr>
        <w:t>2.3评价工作等级划分</w:t>
      </w:r>
      <w:bookmarkEnd w:id="112"/>
      <w:bookmarkEnd w:id="113"/>
      <w:bookmarkEnd w:id="114"/>
    </w:p>
    <w:p w14:paraId="084A86A0">
      <w:pPr>
        <w:pStyle w:val="2"/>
        <w:keepNext/>
        <w:keepLines w:val="0"/>
        <w:pageBreakBefore w:val="0"/>
        <w:widowControl w:val="0"/>
        <w:kinsoku/>
        <w:wordWrap/>
        <w:overflowPunct w:val="0"/>
        <w:topLinePunct w:val="0"/>
        <w:autoSpaceDE/>
        <w:autoSpaceDN/>
        <w:bidi w:val="0"/>
        <w:adjustRightInd/>
        <w:snapToGrid w:val="0"/>
        <w:spacing w:before="0" w:after="0" w:line="500" w:lineRule="exact"/>
        <w:ind w:left="0" w:right="0" w:firstLine="0" w:firstLineChars="0"/>
        <w:jc w:val="both"/>
        <w:textAlignment w:val="auto"/>
        <w:outlineLvl w:val="2"/>
        <w:rPr>
          <w:rFonts w:hint="default" w:ascii="Times New Roman" w:hAnsi="Times New Roman" w:eastAsia="仿宋_GB2312" w:cs="Times New Roman"/>
          <w:b/>
          <w:bCs/>
          <w:sz w:val="24"/>
          <w:szCs w:val="24"/>
          <w:lang w:val="en-US" w:eastAsia="zh-CN"/>
        </w:rPr>
      </w:pPr>
      <w:bookmarkStart w:id="115" w:name="_Toc16289"/>
      <w:r>
        <w:rPr>
          <w:rFonts w:hint="eastAsia" w:ascii="Times New Roman" w:hAnsi="Times New Roman" w:eastAsia="仿宋_GB2312" w:cs="Times New Roman"/>
          <w:b/>
          <w:bCs/>
          <w:sz w:val="24"/>
          <w:szCs w:val="24"/>
          <w:lang w:val="en-US" w:eastAsia="zh-CN"/>
        </w:rPr>
        <w:t xml:space="preserve">2.3.1 </w:t>
      </w:r>
      <w:r>
        <w:rPr>
          <w:rFonts w:hint="default" w:ascii="Times New Roman" w:hAnsi="Times New Roman" w:eastAsia="仿宋_GB2312" w:cs="Times New Roman"/>
          <w:b/>
          <w:bCs/>
          <w:sz w:val="24"/>
          <w:szCs w:val="24"/>
          <w:lang w:val="en-US" w:eastAsia="zh-CN"/>
        </w:rPr>
        <w:t>P的分级确定</w:t>
      </w:r>
      <w:bookmarkEnd w:id="115"/>
    </w:p>
    <w:p w14:paraId="652D73D5">
      <w:pPr>
        <w:keepNext w:val="0"/>
        <w:keepLines w:val="0"/>
        <w:pageBreakBefore w:val="0"/>
        <w:widowControl w:val="0"/>
        <w:kinsoku/>
        <w:wordWrap/>
        <w:overflowPunct/>
        <w:topLinePunct w:val="0"/>
        <w:autoSpaceDE/>
        <w:autoSpaceDN/>
        <w:bidi w:val="0"/>
        <w:adjustRightInd w:val="0"/>
        <w:snapToGrid w:val="0"/>
        <w:spacing w:beforeAutospacing="0" w:afterAutospacing="0" w:line="500" w:lineRule="exact"/>
        <w:ind w:left="0" w:leftChars="0" w:right="0" w:firstLine="480" w:firstLineChars="200"/>
        <w:textAlignment w:val="auto"/>
        <w:rPr>
          <w:rFonts w:hint="eastAsia" w:ascii="Times New Roman" w:hAnsi="Times New Roman" w:eastAsia="仿宋_GB2312" w:cs="Times New Roman"/>
          <w:color w:val="auto"/>
          <w:spacing w:val="0"/>
          <w:kern w:val="0"/>
          <w:position w:val="0"/>
          <w:sz w:val="24"/>
          <w:szCs w:val="24"/>
          <w:lang w:val="en-US" w:eastAsia="zh-CN"/>
        </w:rPr>
      </w:pPr>
      <w:r>
        <w:rPr>
          <w:rFonts w:hint="default" w:ascii="Times New Roman" w:hAnsi="Times New Roman" w:eastAsia="仿宋_GB2312" w:cs="Times New Roman"/>
          <w:color w:val="auto"/>
          <w:spacing w:val="0"/>
          <w:kern w:val="0"/>
          <w:position w:val="0"/>
          <w:sz w:val="24"/>
          <w:szCs w:val="24"/>
        </w:rPr>
        <w:t>根据《建设项目环境风险评价技术导则》（HJ 169-2018），危险物质及工艺系统危险性（P）应根据危险物质数量与临界量的比值（Q）和行业及生产工艺（M）确定。</w:t>
      </w:r>
    </w:p>
    <w:p w14:paraId="032E8652">
      <w:pPr>
        <w:keepNext w:val="0"/>
        <w:keepLines w:val="0"/>
        <w:pageBreakBefore w:val="0"/>
        <w:widowControl w:val="0"/>
        <w:kinsoku/>
        <w:wordWrap/>
        <w:overflowPunct/>
        <w:topLinePunct w:val="0"/>
        <w:autoSpaceDE/>
        <w:autoSpaceDN/>
        <w:bidi w:val="0"/>
        <w:adjustRightInd w:val="0"/>
        <w:snapToGrid w:val="0"/>
        <w:spacing w:beforeAutospacing="0" w:afterAutospacing="0" w:line="500" w:lineRule="exact"/>
        <w:ind w:left="0" w:leftChars="0" w:right="0" w:firstLine="482" w:firstLineChars="200"/>
        <w:textAlignment w:val="auto"/>
        <w:rPr>
          <w:rFonts w:hint="default" w:ascii="Times New Roman" w:hAnsi="Times New Roman" w:eastAsia="仿宋_GB2312" w:cs="Times New Roman"/>
          <w:b/>
          <w:bCs/>
          <w:color w:val="auto"/>
          <w:spacing w:val="0"/>
          <w:kern w:val="0"/>
          <w:position w:val="0"/>
          <w:sz w:val="24"/>
          <w:szCs w:val="24"/>
          <w:lang w:val="en-US" w:eastAsia="zh-CN"/>
        </w:rPr>
      </w:pPr>
      <w:r>
        <w:rPr>
          <w:rFonts w:hint="eastAsia" w:ascii="Times New Roman" w:hAnsi="Times New Roman" w:eastAsia="仿宋_GB2312" w:cs="Times New Roman"/>
          <w:b/>
          <w:bCs/>
          <w:color w:val="auto"/>
          <w:spacing w:val="0"/>
          <w:kern w:val="0"/>
          <w:position w:val="0"/>
          <w:sz w:val="24"/>
          <w:szCs w:val="24"/>
          <w:lang w:val="en-US" w:eastAsia="zh-CN"/>
        </w:rPr>
        <w:t>（1）Q值确定</w:t>
      </w:r>
    </w:p>
    <w:p w14:paraId="0D19A5C1">
      <w:pPr>
        <w:keepNext w:val="0"/>
        <w:keepLines w:val="0"/>
        <w:pageBreakBefore w:val="0"/>
        <w:widowControl w:val="0"/>
        <w:kinsoku/>
        <w:wordWrap/>
        <w:overflowPunct/>
        <w:topLinePunct w:val="0"/>
        <w:autoSpaceDE/>
        <w:autoSpaceDN/>
        <w:bidi w:val="0"/>
        <w:adjustRightInd w:val="0"/>
        <w:snapToGrid w:val="0"/>
        <w:spacing w:beforeAutospacing="0" w:afterAutospacing="0" w:line="500" w:lineRule="exact"/>
        <w:ind w:left="0" w:leftChars="0" w:right="0" w:firstLine="480" w:firstLineChars="200"/>
        <w:textAlignment w:val="auto"/>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计算所涉及的每种危险物质在厂界内的最大存在总量与其在《建设项目环境风险评价技术导则》（HJ 169-2018）附录B中对应临界量的比值Q。</w:t>
      </w:r>
    </w:p>
    <w:p w14:paraId="1B339053">
      <w:pPr>
        <w:keepNext w:val="0"/>
        <w:keepLines w:val="0"/>
        <w:pageBreakBefore w:val="0"/>
        <w:widowControl w:val="0"/>
        <w:kinsoku/>
        <w:wordWrap/>
        <w:overflowPunct/>
        <w:topLinePunct w:val="0"/>
        <w:autoSpaceDE/>
        <w:autoSpaceDN/>
        <w:bidi w:val="0"/>
        <w:adjustRightInd w:val="0"/>
        <w:snapToGrid w:val="0"/>
        <w:spacing w:beforeAutospacing="0" w:afterAutospacing="0" w:line="500" w:lineRule="exact"/>
        <w:ind w:left="0" w:leftChars="0" w:right="0" w:firstLine="480" w:firstLineChars="200"/>
        <w:textAlignment w:val="auto"/>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当只涉及一种危险物质时，计算该物质的总量与其临界量比值，即为Q；</w:t>
      </w:r>
    </w:p>
    <w:p w14:paraId="6908B909">
      <w:pPr>
        <w:keepNext w:val="0"/>
        <w:keepLines w:val="0"/>
        <w:pageBreakBefore w:val="0"/>
        <w:widowControl w:val="0"/>
        <w:kinsoku/>
        <w:wordWrap/>
        <w:overflowPunct/>
        <w:topLinePunct w:val="0"/>
        <w:autoSpaceDE/>
        <w:autoSpaceDN/>
        <w:bidi w:val="0"/>
        <w:adjustRightInd w:val="0"/>
        <w:snapToGrid w:val="0"/>
        <w:spacing w:beforeAutospacing="0" w:afterAutospacing="0" w:line="500" w:lineRule="exact"/>
        <w:ind w:left="0" w:leftChars="0" w:right="0" w:firstLine="480" w:firstLineChars="200"/>
        <w:textAlignment w:val="auto"/>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当存在多种危险物质时，则按下式计算物质总量与其临界量比值（Q）：</w:t>
      </w:r>
    </w:p>
    <w:p w14:paraId="10A4092C">
      <w:pPr>
        <w:keepNext w:val="0"/>
        <w:keepLines w:val="0"/>
        <w:pageBreakBefore w:val="0"/>
        <w:widowControl w:val="0"/>
        <w:kinsoku/>
        <w:wordWrap/>
        <w:overflowPunct/>
        <w:topLinePunct w:val="0"/>
        <w:autoSpaceDE/>
        <w:autoSpaceDN/>
        <w:bidi w:val="0"/>
        <w:adjustRightInd w:val="0"/>
        <w:snapToGrid w:val="0"/>
        <w:spacing w:beforeAutospacing="0" w:afterAutospacing="0" w:line="500" w:lineRule="exact"/>
        <w:ind w:left="0" w:leftChars="0" w:right="0" w:firstLine="480" w:firstLineChars="200"/>
        <w:textAlignment w:val="auto"/>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Q= q1/Q1+ q2/Q2+……+qn/Qn</w:t>
      </w:r>
    </w:p>
    <w:p w14:paraId="5FBA07A0">
      <w:pPr>
        <w:keepNext w:val="0"/>
        <w:keepLines w:val="0"/>
        <w:pageBreakBefore w:val="0"/>
        <w:widowControl w:val="0"/>
        <w:kinsoku/>
        <w:wordWrap/>
        <w:overflowPunct/>
        <w:topLinePunct w:val="0"/>
        <w:autoSpaceDE/>
        <w:autoSpaceDN/>
        <w:bidi w:val="0"/>
        <w:adjustRightInd w:val="0"/>
        <w:snapToGrid w:val="0"/>
        <w:spacing w:beforeAutospacing="0" w:afterAutospacing="0" w:line="500" w:lineRule="exact"/>
        <w:ind w:left="0" w:leftChars="0" w:right="0" w:firstLine="480" w:firstLineChars="200"/>
        <w:textAlignment w:val="auto"/>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式中：q1，q2，…，qn—每种危险物质的最大存在总量，t；</w:t>
      </w:r>
    </w:p>
    <w:p w14:paraId="3993555E">
      <w:pPr>
        <w:keepNext w:val="0"/>
        <w:keepLines w:val="0"/>
        <w:pageBreakBefore w:val="0"/>
        <w:widowControl w:val="0"/>
        <w:kinsoku/>
        <w:wordWrap/>
        <w:overflowPunct/>
        <w:topLinePunct w:val="0"/>
        <w:autoSpaceDE/>
        <w:autoSpaceDN/>
        <w:bidi w:val="0"/>
        <w:adjustRightInd w:val="0"/>
        <w:snapToGrid w:val="0"/>
        <w:spacing w:beforeAutospacing="0" w:afterAutospacing="0" w:line="500" w:lineRule="exact"/>
        <w:ind w:left="0" w:leftChars="0" w:right="0" w:firstLine="480" w:firstLineChars="200"/>
        <w:textAlignment w:val="auto"/>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 xml:space="preserve">     Q1，Q2，…，Qn—每种危险物质的临界量，t。</w:t>
      </w:r>
    </w:p>
    <w:p w14:paraId="15DDBBE4">
      <w:pPr>
        <w:keepNext w:val="0"/>
        <w:keepLines w:val="0"/>
        <w:pageBreakBefore w:val="0"/>
        <w:widowControl w:val="0"/>
        <w:kinsoku/>
        <w:wordWrap/>
        <w:overflowPunct/>
        <w:topLinePunct w:val="0"/>
        <w:autoSpaceDE/>
        <w:autoSpaceDN/>
        <w:bidi w:val="0"/>
        <w:adjustRightInd w:val="0"/>
        <w:snapToGrid w:val="0"/>
        <w:spacing w:beforeAutospacing="0" w:afterAutospacing="0" w:line="500" w:lineRule="exact"/>
        <w:ind w:left="0" w:leftChars="0" w:right="0" w:firstLine="480" w:firstLineChars="200"/>
        <w:textAlignment w:val="auto"/>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 xml:space="preserve">     当Q＜1时，该项目环境风险潜势为I。</w:t>
      </w:r>
    </w:p>
    <w:p w14:paraId="3356CDBE">
      <w:pPr>
        <w:keepNext w:val="0"/>
        <w:keepLines w:val="0"/>
        <w:pageBreakBefore w:val="0"/>
        <w:widowControl w:val="0"/>
        <w:kinsoku/>
        <w:wordWrap/>
        <w:overflowPunct/>
        <w:topLinePunct w:val="0"/>
        <w:autoSpaceDE/>
        <w:autoSpaceDN/>
        <w:bidi w:val="0"/>
        <w:adjustRightInd w:val="0"/>
        <w:snapToGrid w:val="0"/>
        <w:spacing w:beforeAutospacing="0" w:afterAutospacing="0" w:line="500" w:lineRule="exact"/>
        <w:ind w:left="0" w:leftChars="0" w:right="0" w:firstLine="480" w:firstLineChars="200"/>
        <w:textAlignment w:val="auto"/>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 xml:space="preserve">     当Q≥1时，将Q值划分为：（1）1≤Q＜10；（2）10≤Q＜100；（3）Q≥100。</w:t>
      </w:r>
    </w:p>
    <w:p w14:paraId="07BAFC39">
      <w:pPr>
        <w:keepNext w:val="0"/>
        <w:keepLines w:val="0"/>
        <w:pageBreakBefore w:val="0"/>
        <w:widowControl w:val="0"/>
        <w:kinsoku/>
        <w:wordWrap/>
        <w:overflowPunct/>
        <w:topLinePunct w:val="0"/>
        <w:autoSpaceDE/>
        <w:autoSpaceDN/>
        <w:bidi w:val="0"/>
        <w:adjustRightInd w:val="0"/>
        <w:snapToGrid w:val="0"/>
        <w:spacing w:beforeAutospacing="0" w:afterAutospacing="0" w:line="500" w:lineRule="exact"/>
        <w:ind w:left="0" w:leftChars="0" w:right="0" w:firstLine="480" w:firstLineChars="200"/>
        <w:textAlignment w:val="auto"/>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厂区内所有物质与《危险化学品重大危险源辨识》（GB18218-2018）与《建设项目环境风险评价技术导则》（HJ 169-2018）附录B对照情况见表2</w:t>
      </w:r>
      <w:r>
        <w:rPr>
          <w:rFonts w:hint="eastAsia" w:ascii="Times New Roman" w:hAnsi="Times New Roman" w:eastAsia="仿宋_GB2312" w:cs="Times New Roman"/>
          <w:color w:val="auto"/>
          <w:spacing w:val="0"/>
          <w:kern w:val="0"/>
          <w:position w:val="0"/>
          <w:sz w:val="24"/>
          <w:szCs w:val="24"/>
          <w:lang w:val="en-US" w:eastAsia="zh-CN"/>
        </w:rPr>
        <w:t>.3-1</w:t>
      </w:r>
      <w:r>
        <w:rPr>
          <w:rFonts w:hint="default" w:ascii="Times New Roman" w:hAnsi="Times New Roman" w:eastAsia="仿宋_GB2312" w:cs="Times New Roman"/>
          <w:color w:val="auto"/>
          <w:spacing w:val="0"/>
          <w:kern w:val="0"/>
          <w:position w:val="0"/>
          <w:sz w:val="24"/>
          <w:szCs w:val="24"/>
        </w:rPr>
        <w:t>。</w:t>
      </w:r>
    </w:p>
    <w:p w14:paraId="3BB61855">
      <w:pPr>
        <w:pageBreakBefore w:val="0"/>
        <w:kinsoku/>
        <w:wordWrap/>
        <w:bidi w:val="0"/>
        <w:adjustRightInd w:val="0"/>
        <w:snapToGrid w:val="0"/>
        <w:spacing w:beforeAutospacing="0" w:afterAutospacing="0" w:line="500" w:lineRule="exact"/>
        <w:ind w:left="0" w:leftChars="0" w:right="0" w:firstLine="482" w:firstLineChars="200"/>
        <w:jc w:val="center"/>
        <w:rPr>
          <w:rFonts w:hint="default" w:ascii="Times New Roman" w:hAnsi="Times New Roman" w:eastAsia="仿宋_GB2312" w:cs="Times New Roman"/>
          <w:b/>
          <w:color w:val="auto"/>
          <w:spacing w:val="0"/>
          <w:kern w:val="0"/>
          <w:position w:val="0"/>
          <w:sz w:val="24"/>
          <w:szCs w:val="24"/>
        </w:rPr>
      </w:pPr>
      <w:r>
        <w:rPr>
          <w:rFonts w:hint="default" w:ascii="Times New Roman" w:hAnsi="Times New Roman" w:eastAsia="仿宋_GB2312" w:cs="Times New Roman"/>
          <w:b/>
          <w:color w:val="auto"/>
          <w:spacing w:val="0"/>
          <w:kern w:val="0"/>
          <w:position w:val="0"/>
          <w:sz w:val="24"/>
          <w:szCs w:val="24"/>
        </w:rPr>
        <w:t>表2</w:t>
      </w:r>
      <w:r>
        <w:rPr>
          <w:rFonts w:hint="eastAsia" w:ascii="Times New Roman" w:hAnsi="Times New Roman" w:eastAsia="仿宋_GB2312" w:cs="Times New Roman"/>
          <w:b/>
          <w:color w:val="auto"/>
          <w:spacing w:val="0"/>
          <w:kern w:val="0"/>
          <w:position w:val="0"/>
          <w:sz w:val="24"/>
          <w:szCs w:val="24"/>
          <w:lang w:val="en-US" w:eastAsia="zh-CN"/>
        </w:rPr>
        <w:t>.3-1</w:t>
      </w:r>
      <w:r>
        <w:rPr>
          <w:rFonts w:hint="default" w:ascii="Times New Roman" w:hAnsi="Times New Roman" w:eastAsia="仿宋_GB2312" w:cs="Times New Roman"/>
          <w:b/>
          <w:color w:val="auto"/>
          <w:spacing w:val="0"/>
          <w:kern w:val="0"/>
          <w:position w:val="0"/>
          <w:sz w:val="24"/>
          <w:szCs w:val="24"/>
        </w:rPr>
        <w:t xml:space="preserve">  Q值计算结果一览表</w:t>
      </w:r>
    </w:p>
    <w:tbl>
      <w:tblPr>
        <w:tblStyle w:val="3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014"/>
        <w:gridCol w:w="1517"/>
        <w:gridCol w:w="1596"/>
        <w:gridCol w:w="1265"/>
        <w:gridCol w:w="1272"/>
        <w:gridCol w:w="1240"/>
        <w:gridCol w:w="1220"/>
      </w:tblGrid>
      <w:tr w14:paraId="42BD7D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56" w:type="pct"/>
            <w:vAlign w:val="center"/>
          </w:tcPr>
          <w:p w14:paraId="6A955ED6">
            <w:pPr>
              <w:widowControl/>
              <w:adjustRightInd w:val="0"/>
              <w:snapToGrid w:val="0"/>
              <w:jc w:val="center"/>
              <w:rPr>
                <w:rFonts w:eastAsia="仿宋_GB2312"/>
                <w:b/>
                <w:sz w:val="21"/>
                <w:szCs w:val="21"/>
              </w:rPr>
            </w:pPr>
            <w:r>
              <w:rPr>
                <w:rFonts w:eastAsia="仿宋_GB2312"/>
                <w:b/>
                <w:sz w:val="21"/>
                <w:szCs w:val="21"/>
              </w:rPr>
              <w:t>名称</w:t>
            </w:r>
          </w:p>
        </w:tc>
        <w:tc>
          <w:tcPr>
            <w:tcW w:w="831" w:type="pct"/>
            <w:vAlign w:val="center"/>
          </w:tcPr>
          <w:p w14:paraId="1B23A2A5">
            <w:pPr>
              <w:widowControl/>
              <w:adjustRightInd w:val="0"/>
              <w:snapToGrid w:val="0"/>
              <w:jc w:val="center"/>
              <w:rPr>
                <w:rFonts w:eastAsia="仿宋_GB2312"/>
                <w:b/>
                <w:sz w:val="21"/>
                <w:szCs w:val="21"/>
              </w:rPr>
            </w:pPr>
            <w:r>
              <w:rPr>
                <w:rFonts w:eastAsia="仿宋_GB2312"/>
                <w:b/>
                <w:sz w:val="21"/>
                <w:szCs w:val="21"/>
              </w:rPr>
              <w:t>主要规格/成分</w:t>
            </w:r>
          </w:p>
        </w:tc>
        <w:tc>
          <w:tcPr>
            <w:tcW w:w="874" w:type="pct"/>
            <w:vAlign w:val="center"/>
          </w:tcPr>
          <w:p w14:paraId="6C6686C6">
            <w:pPr>
              <w:widowControl/>
              <w:adjustRightInd w:val="0"/>
              <w:snapToGrid w:val="0"/>
              <w:jc w:val="center"/>
              <w:rPr>
                <w:rFonts w:eastAsia="仿宋_GB2312"/>
                <w:b/>
                <w:sz w:val="21"/>
                <w:szCs w:val="21"/>
              </w:rPr>
            </w:pPr>
            <w:r>
              <w:rPr>
                <w:rFonts w:eastAsia="仿宋_GB2312"/>
                <w:b/>
                <w:sz w:val="21"/>
                <w:szCs w:val="21"/>
              </w:rPr>
              <w:t>最大贮存量q(t)</w:t>
            </w:r>
          </w:p>
        </w:tc>
        <w:tc>
          <w:tcPr>
            <w:tcW w:w="693" w:type="pct"/>
            <w:vAlign w:val="center"/>
          </w:tcPr>
          <w:p w14:paraId="3A0072F4">
            <w:pPr>
              <w:kinsoku w:val="0"/>
              <w:overflowPunct w:val="0"/>
              <w:adjustRightInd w:val="0"/>
              <w:snapToGrid w:val="0"/>
              <w:jc w:val="center"/>
              <w:rPr>
                <w:rFonts w:eastAsia="仿宋_GB2312"/>
                <w:b/>
                <w:kern w:val="0"/>
                <w:sz w:val="21"/>
                <w:szCs w:val="21"/>
              </w:rPr>
            </w:pPr>
            <w:r>
              <w:rPr>
                <w:rFonts w:eastAsia="仿宋_GB2312"/>
                <w:b/>
                <w:kern w:val="0"/>
                <w:sz w:val="21"/>
                <w:szCs w:val="21"/>
              </w:rPr>
              <w:t>纯物质当量/t</w:t>
            </w:r>
          </w:p>
        </w:tc>
        <w:tc>
          <w:tcPr>
            <w:tcW w:w="695" w:type="pct"/>
            <w:vAlign w:val="center"/>
          </w:tcPr>
          <w:p w14:paraId="7EAE0F11">
            <w:pPr>
              <w:kinsoku w:val="0"/>
              <w:overflowPunct w:val="0"/>
              <w:adjustRightInd w:val="0"/>
              <w:snapToGrid w:val="0"/>
              <w:jc w:val="center"/>
              <w:rPr>
                <w:rFonts w:eastAsia="仿宋_GB2312"/>
                <w:b/>
                <w:kern w:val="0"/>
                <w:sz w:val="21"/>
                <w:szCs w:val="21"/>
              </w:rPr>
            </w:pPr>
            <w:r>
              <w:rPr>
                <w:rFonts w:eastAsia="仿宋_GB2312"/>
                <w:b/>
                <w:kern w:val="0"/>
                <w:sz w:val="21"/>
                <w:szCs w:val="21"/>
              </w:rPr>
              <w:t>纯物质临界量</w:t>
            </w:r>
            <w:r>
              <w:rPr>
                <w:rFonts w:eastAsia="仿宋_GB2312"/>
                <w:b/>
                <w:iCs/>
                <w:kern w:val="0"/>
                <w:sz w:val="21"/>
                <w:szCs w:val="21"/>
              </w:rPr>
              <w:t>Q</w:t>
            </w:r>
            <w:r>
              <w:rPr>
                <w:rFonts w:eastAsia="仿宋_GB2312"/>
                <w:b/>
                <w:iCs/>
                <w:kern w:val="0"/>
                <w:sz w:val="21"/>
                <w:szCs w:val="21"/>
                <w:vertAlign w:val="subscript"/>
              </w:rPr>
              <w:t>n</w:t>
            </w:r>
            <w:r>
              <w:rPr>
                <w:rFonts w:eastAsia="仿宋_GB2312"/>
                <w:b/>
                <w:iCs/>
                <w:kern w:val="0"/>
                <w:sz w:val="21"/>
                <w:szCs w:val="21"/>
              </w:rPr>
              <w:t>/</w:t>
            </w:r>
            <w:r>
              <w:rPr>
                <w:rFonts w:eastAsia="仿宋_GB2312"/>
                <w:b/>
                <w:kern w:val="0"/>
                <w:sz w:val="21"/>
                <w:szCs w:val="21"/>
              </w:rPr>
              <w:t>t</w:t>
            </w:r>
          </w:p>
        </w:tc>
        <w:tc>
          <w:tcPr>
            <w:tcW w:w="679" w:type="pct"/>
            <w:vAlign w:val="center"/>
          </w:tcPr>
          <w:p w14:paraId="425586CA">
            <w:pPr>
              <w:kinsoku w:val="0"/>
              <w:overflowPunct w:val="0"/>
              <w:adjustRightInd w:val="0"/>
              <w:snapToGrid w:val="0"/>
              <w:jc w:val="center"/>
              <w:rPr>
                <w:rFonts w:eastAsia="仿宋_GB2312"/>
                <w:b/>
                <w:kern w:val="0"/>
                <w:sz w:val="21"/>
                <w:szCs w:val="21"/>
              </w:rPr>
            </w:pPr>
            <w:r>
              <w:rPr>
                <w:rFonts w:eastAsia="仿宋_GB2312"/>
                <w:b/>
                <w:kern w:val="0"/>
                <w:sz w:val="21"/>
                <w:szCs w:val="21"/>
              </w:rPr>
              <w:t>该种危险物质</w:t>
            </w:r>
            <w:r>
              <w:rPr>
                <w:rFonts w:eastAsia="仿宋_GB2312"/>
                <w:b/>
                <w:iCs/>
                <w:kern w:val="0"/>
                <w:sz w:val="21"/>
                <w:szCs w:val="21"/>
              </w:rPr>
              <w:t>Q</w:t>
            </w:r>
            <w:r>
              <w:rPr>
                <w:rFonts w:eastAsia="仿宋_GB2312"/>
                <w:b/>
                <w:kern w:val="0"/>
                <w:sz w:val="21"/>
                <w:szCs w:val="21"/>
              </w:rPr>
              <w:t>值</w:t>
            </w:r>
          </w:p>
        </w:tc>
        <w:tc>
          <w:tcPr>
            <w:tcW w:w="668" w:type="pct"/>
            <w:vAlign w:val="center"/>
          </w:tcPr>
          <w:p w14:paraId="42D67378">
            <w:pPr>
              <w:widowControl/>
              <w:adjustRightInd w:val="0"/>
              <w:snapToGrid w:val="0"/>
              <w:jc w:val="center"/>
              <w:rPr>
                <w:rFonts w:eastAsia="仿宋_GB2312"/>
                <w:b/>
                <w:sz w:val="21"/>
                <w:szCs w:val="21"/>
              </w:rPr>
            </w:pPr>
            <w:r>
              <w:rPr>
                <w:rFonts w:eastAsia="仿宋_GB2312"/>
                <w:b/>
                <w:sz w:val="21"/>
                <w:szCs w:val="21"/>
              </w:rPr>
              <w:t>分布</w:t>
            </w:r>
          </w:p>
        </w:tc>
      </w:tr>
      <w:tr w14:paraId="53E633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56" w:type="pct"/>
            <w:vAlign w:val="center"/>
          </w:tcPr>
          <w:p w14:paraId="1EC70FDA">
            <w:pPr>
              <w:adjustRightInd w:val="0"/>
              <w:snapToGrid w:val="0"/>
              <w:jc w:val="center"/>
              <w:rPr>
                <w:rFonts w:eastAsia="仿宋_GB2312"/>
                <w:color w:val="auto"/>
                <w:sz w:val="21"/>
                <w:szCs w:val="21"/>
              </w:rPr>
            </w:pPr>
            <w:r>
              <w:rPr>
                <w:rFonts w:eastAsia="仿宋_GB2312"/>
                <w:color w:val="auto"/>
                <w:sz w:val="21"/>
                <w:szCs w:val="21"/>
              </w:rPr>
              <w:t>液碱</w:t>
            </w:r>
          </w:p>
        </w:tc>
        <w:tc>
          <w:tcPr>
            <w:tcW w:w="831" w:type="pct"/>
            <w:vAlign w:val="center"/>
          </w:tcPr>
          <w:p w14:paraId="2DE7C6ED">
            <w:pPr>
              <w:adjustRightInd w:val="0"/>
              <w:snapToGrid w:val="0"/>
              <w:jc w:val="center"/>
              <w:rPr>
                <w:rFonts w:eastAsia="仿宋_GB2312"/>
                <w:color w:val="auto"/>
                <w:sz w:val="21"/>
                <w:szCs w:val="21"/>
              </w:rPr>
            </w:pPr>
            <w:r>
              <w:rPr>
                <w:rFonts w:eastAsia="仿宋_GB2312"/>
                <w:color w:val="auto"/>
                <w:sz w:val="21"/>
                <w:szCs w:val="21"/>
              </w:rPr>
              <w:t>30%Na(OH)</w:t>
            </w:r>
          </w:p>
        </w:tc>
        <w:tc>
          <w:tcPr>
            <w:tcW w:w="874" w:type="pct"/>
            <w:vAlign w:val="center"/>
          </w:tcPr>
          <w:p w14:paraId="6E82B657">
            <w:pPr>
              <w:widowControl/>
              <w:jc w:val="center"/>
              <w:textAlignment w:val="center"/>
              <w:rPr>
                <w:rFonts w:eastAsia="仿宋_GB2312"/>
                <w:color w:val="auto"/>
                <w:kern w:val="0"/>
                <w:sz w:val="21"/>
                <w:szCs w:val="21"/>
              </w:rPr>
            </w:pPr>
            <w:r>
              <w:rPr>
                <w:rFonts w:hint="eastAsia" w:eastAsia="仿宋_GB2312"/>
                <w:color w:val="auto"/>
                <w:kern w:val="0"/>
                <w:sz w:val="21"/>
                <w:szCs w:val="21"/>
                <w:lang w:val="en-US" w:eastAsia="zh-CN"/>
              </w:rPr>
              <w:t>6</w:t>
            </w:r>
            <w:r>
              <w:rPr>
                <w:rFonts w:hint="eastAsia" w:eastAsia="仿宋_GB2312"/>
                <w:color w:val="auto"/>
                <w:kern w:val="0"/>
                <w:sz w:val="21"/>
                <w:szCs w:val="21"/>
              </w:rPr>
              <w:t>0</w:t>
            </w:r>
          </w:p>
        </w:tc>
        <w:tc>
          <w:tcPr>
            <w:tcW w:w="693" w:type="pct"/>
            <w:vAlign w:val="center"/>
          </w:tcPr>
          <w:p w14:paraId="4A5092C9">
            <w:pPr>
              <w:widowControl/>
              <w:jc w:val="center"/>
              <w:textAlignment w:val="center"/>
              <w:rPr>
                <w:rFonts w:hint="default" w:eastAsia="仿宋_GB2312"/>
                <w:color w:val="FF0000"/>
                <w:kern w:val="0"/>
                <w:sz w:val="21"/>
                <w:szCs w:val="21"/>
                <w:lang w:val="en-US" w:eastAsia="zh-CN"/>
              </w:rPr>
            </w:pPr>
            <w:r>
              <w:rPr>
                <w:rFonts w:hint="eastAsia" w:eastAsia="仿宋_GB2312"/>
                <w:color w:val="auto"/>
                <w:kern w:val="0"/>
                <w:sz w:val="21"/>
                <w:szCs w:val="21"/>
                <w:lang w:val="en-US" w:eastAsia="zh-CN"/>
              </w:rPr>
              <w:t>18</w:t>
            </w:r>
          </w:p>
        </w:tc>
        <w:tc>
          <w:tcPr>
            <w:tcW w:w="695" w:type="pct"/>
            <w:vAlign w:val="center"/>
          </w:tcPr>
          <w:p w14:paraId="32EFE38A">
            <w:pPr>
              <w:widowControl/>
              <w:jc w:val="center"/>
              <w:textAlignment w:val="center"/>
              <w:rPr>
                <w:rFonts w:hint="default" w:eastAsia="仿宋_GB2312"/>
                <w:color w:val="FF0000"/>
                <w:kern w:val="0"/>
                <w:sz w:val="21"/>
                <w:szCs w:val="21"/>
                <w:lang w:val="en-US" w:eastAsia="zh-CN"/>
              </w:rPr>
            </w:pPr>
            <w:r>
              <w:rPr>
                <w:rFonts w:hint="eastAsia" w:eastAsia="仿宋_GB2312"/>
                <w:color w:val="auto"/>
                <w:kern w:val="0"/>
                <w:sz w:val="21"/>
                <w:szCs w:val="21"/>
                <w:lang w:val="en-US" w:eastAsia="zh-CN"/>
              </w:rPr>
              <w:t>100</w:t>
            </w:r>
          </w:p>
        </w:tc>
        <w:tc>
          <w:tcPr>
            <w:tcW w:w="679" w:type="pct"/>
            <w:vAlign w:val="center"/>
          </w:tcPr>
          <w:p w14:paraId="09987CE8">
            <w:pPr>
              <w:widowControl/>
              <w:jc w:val="center"/>
              <w:textAlignment w:val="center"/>
              <w:rPr>
                <w:rFonts w:hint="default" w:eastAsia="仿宋_GB2312"/>
                <w:color w:val="FF0000"/>
                <w:kern w:val="0"/>
                <w:sz w:val="21"/>
                <w:szCs w:val="21"/>
                <w:lang w:val="en-US" w:eastAsia="zh-CN"/>
              </w:rPr>
            </w:pPr>
            <w:r>
              <w:rPr>
                <w:rFonts w:hint="eastAsia" w:eastAsia="仿宋_GB2312"/>
                <w:color w:val="auto"/>
                <w:kern w:val="0"/>
                <w:sz w:val="21"/>
                <w:szCs w:val="21"/>
                <w:lang w:val="en-US" w:eastAsia="zh-CN"/>
              </w:rPr>
              <w:t>0.18</w:t>
            </w:r>
          </w:p>
        </w:tc>
        <w:tc>
          <w:tcPr>
            <w:tcW w:w="668" w:type="pct"/>
            <w:vAlign w:val="center"/>
          </w:tcPr>
          <w:p w14:paraId="2D46574F">
            <w:pPr>
              <w:widowControl/>
              <w:adjustRightInd w:val="0"/>
              <w:snapToGrid w:val="0"/>
              <w:jc w:val="center"/>
              <w:rPr>
                <w:rFonts w:eastAsia="仿宋_GB2312"/>
                <w:sz w:val="21"/>
                <w:szCs w:val="21"/>
              </w:rPr>
            </w:pPr>
            <w:r>
              <w:rPr>
                <w:rFonts w:eastAsia="仿宋_GB2312"/>
                <w:sz w:val="21"/>
                <w:szCs w:val="21"/>
              </w:rPr>
              <w:t>液碱储罐</w:t>
            </w:r>
          </w:p>
        </w:tc>
      </w:tr>
      <w:tr w14:paraId="2D6F55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56" w:type="pct"/>
            <w:vAlign w:val="center"/>
          </w:tcPr>
          <w:p w14:paraId="4264B03A">
            <w:pPr>
              <w:adjustRightInd w:val="0"/>
              <w:snapToGrid w:val="0"/>
              <w:jc w:val="center"/>
              <w:rPr>
                <w:rFonts w:eastAsia="仿宋_GB2312"/>
                <w:color w:val="auto"/>
                <w:sz w:val="21"/>
                <w:szCs w:val="21"/>
              </w:rPr>
            </w:pPr>
            <w:r>
              <w:rPr>
                <w:rFonts w:eastAsia="仿宋_GB2312"/>
                <w:color w:val="auto"/>
                <w:sz w:val="21"/>
                <w:szCs w:val="21"/>
              </w:rPr>
              <w:t>盐酸</w:t>
            </w:r>
          </w:p>
        </w:tc>
        <w:tc>
          <w:tcPr>
            <w:tcW w:w="831" w:type="pct"/>
            <w:vAlign w:val="center"/>
          </w:tcPr>
          <w:p w14:paraId="6DC087AC">
            <w:pPr>
              <w:adjustRightInd w:val="0"/>
              <w:snapToGrid w:val="0"/>
              <w:jc w:val="center"/>
              <w:rPr>
                <w:rFonts w:eastAsia="仿宋_GB2312"/>
                <w:color w:val="auto"/>
                <w:sz w:val="21"/>
                <w:szCs w:val="21"/>
              </w:rPr>
            </w:pPr>
            <w:r>
              <w:rPr>
                <w:rFonts w:eastAsia="仿宋_GB2312"/>
                <w:color w:val="auto"/>
                <w:sz w:val="21"/>
                <w:szCs w:val="21"/>
              </w:rPr>
              <w:t>30%HCl</w:t>
            </w:r>
          </w:p>
        </w:tc>
        <w:tc>
          <w:tcPr>
            <w:tcW w:w="874" w:type="pct"/>
            <w:vAlign w:val="center"/>
          </w:tcPr>
          <w:p w14:paraId="634590E3">
            <w:pPr>
              <w:widowControl/>
              <w:jc w:val="center"/>
              <w:textAlignment w:val="center"/>
              <w:rPr>
                <w:rFonts w:hint="default" w:eastAsia="仿宋_GB2312"/>
                <w:color w:val="auto"/>
                <w:kern w:val="0"/>
                <w:sz w:val="21"/>
                <w:szCs w:val="21"/>
                <w:lang w:val="en-US" w:eastAsia="zh-CN"/>
              </w:rPr>
            </w:pPr>
            <w:r>
              <w:rPr>
                <w:rFonts w:hint="eastAsia" w:eastAsia="仿宋_GB2312"/>
                <w:color w:val="auto"/>
                <w:kern w:val="0"/>
                <w:sz w:val="21"/>
                <w:szCs w:val="21"/>
                <w:lang w:val="en-US" w:eastAsia="zh-CN"/>
              </w:rPr>
              <w:t>30</w:t>
            </w:r>
          </w:p>
        </w:tc>
        <w:tc>
          <w:tcPr>
            <w:tcW w:w="693" w:type="pct"/>
            <w:vAlign w:val="center"/>
          </w:tcPr>
          <w:p w14:paraId="2A98EFC4">
            <w:pPr>
              <w:widowControl/>
              <w:jc w:val="center"/>
              <w:textAlignment w:val="center"/>
              <w:rPr>
                <w:rFonts w:hint="default" w:eastAsia="仿宋_GB2312"/>
                <w:color w:val="auto"/>
                <w:kern w:val="0"/>
                <w:sz w:val="21"/>
                <w:szCs w:val="21"/>
                <w:lang w:val="en-US" w:eastAsia="zh-CN"/>
              </w:rPr>
            </w:pPr>
            <w:r>
              <w:rPr>
                <w:rFonts w:hint="eastAsia" w:eastAsia="仿宋_GB2312"/>
                <w:color w:val="auto"/>
                <w:kern w:val="0"/>
                <w:sz w:val="21"/>
                <w:szCs w:val="21"/>
                <w:lang w:val="en-US" w:eastAsia="zh-CN"/>
              </w:rPr>
              <w:t>9</w:t>
            </w:r>
          </w:p>
        </w:tc>
        <w:tc>
          <w:tcPr>
            <w:tcW w:w="695" w:type="pct"/>
            <w:vAlign w:val="center"/>
          </w:tcPr>
          <w:p w14:paraId="6A1C01E0">
            <w:pPr>
              <w:widowControl/>
              <w:jc w:val="center"/>
              <w:textAlignment w:val="center"/>
              <w:rPr>
                <w:rFonts w:eastAsia="仿宋_GB2312"/>
                <w:color w:val="auto"/>
                <w:kern w:val="0"/>
                <w:sz w:val="21"/>
                <w:szCs w:val="21"/>
              </w:rPr>
            </w:pPr>
            <w:r>
              <w:rPr>
                <w:rFonts w:eastAsia="仿宋_GB2312"/>
                <w:color w:val="auto"/>
                <w:kern w:val="0"/>
                <w:sz w:val="21"/>
                <w:szCs w:val="21"/>
              </w:rPr>
              <w:t>7.5</w:t>
            </w:r>
          </w:p>
        </w:tc>
        <w:tc>
          <w:tcPr>
            <w:tcW w:w="679" w:type="pct"/>
            <w:vAlign w:val="center"/>
          </w:tcPr>
          <w:p w14:paraId="11CF1660">
            <w:pPr>
              <w:widowControl/>
              <w:jc w:val="center"/>
              <w:textAlignment w:val="center"/>
              <w:rPr>
                <w:rFonts w:hint="default" w:eastAsia="仿宋_GB2312"/>
                <w:color w:val="auto"/>
                <w:kern w:val="0"/>
                <w:sz w:val="21"/>
                <w:szCs w:val="21"/>
                <w:lang w:val="en-US" w:eastAsia="zh-CN"/>
              </w:rPr>
            </w:pPr>
            <w:r>
              <w:rPr>
                <w:rFonts w:hint="eastAsia" w:eastAsia="仿宋_GB2312"/>
                <w:color w:val="auto"/>
                <w:kern w:val="0"/>
                <w:sz w:val="21"/>
                <w:szCs w:val="21"/>
                <w:lang w:val="en-US" w:eastAsia="zh-CN"/>
              </w:rPr>
              <w:t>1.2</w:t>
            </w:r>
          </w:p>
        </w:tc>
        <w:tc>
          <w:tcPr>
            <w:tcW w:w="668" w:type="pct"/>
            <w:vAlign w:val="center"/>
          </w:tcPr>
          <w:p w14:paraId="5BB00C5E">
            <w:pPr>
              <w:widowControl/>
              <w:adjustRightInd w:val="0"/>
              <w:snapToGrid w:val="0"/>
              <w:jc w:val="center"/>
              <w:rPr>
                <w:rFonts w:eastAsia="仿宋_GB2312"/>
                <w:sz w:val="21"/>
                <w:szCs w:val="21"/>
              </w:rPr>
            </w:pPr>
            <w:r>
              <w:rPr>
                <w:rFonts w:eastAsia="仿宋_GB2312"/>
                <w:sz w:val="21"/>
                <w:szCs w:val="21"/>
              </w:rPr>
              <w:t>盐酸储罐</w:t>
            </w:r>
          </w:p>
        </w:tc>
      </w:tr>
      <w:tr w14:paraId="63846D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56" w:type="pct"/>
            <w:vAlign w:val="center"/>
          </w:tcPr>
          <w:p w14:paraId="445D969F">
            <w:pPr>
              <w:adjustRightInd w:val="0"/>
              <w:snapToGrid w:val="0"/>
              <w:jc w:val="center"/>
              <w:rPr>
                <w:rFonts w:eastAsia="仿宋_GB2312"/>
                <w:color w:val="auto"/>
                <w:sz w:val="21"/>
                <w:szCs w:val="21"/>
              </w:rPr>
            </w:pPr>
            <w:r>
              <w:rPr>
                <w:rFonts w:eastAsia="仿宋_GB2312"/>
                <w:color w:val="auto"/>
                <w:sz w:val="21"/>
                <w:szCs w:val="21"/>
              </w:rPr>
              <w:t>次氯酸钠</w:t>
            </w:r>
          </w:p>
        </w:tc>
        <w:tc>
          <w:tcPr>
            <w:tcW w:w="831" w:type="pct"/>
            <w:vAlign w:val="center"/>
          </w:tcPr>
          <w:p w14:paraId="7DFEB458">
            <w:pPr>
              <w:adjustRightInd w:val="0"/>
              <w:snapToGrid w:val="0"/>
              <w:jc w:val="center"/>
              <w:rPr>
                <w:rFonts w:eastAsia="仿宋_GB2312"/>
                <w:color w:val="auto"/>
                <w:sz w:val="21"/>
                <w:szCs w:val="21"/>
              </w:rPr>
            </w:pPr>
            <w:r>
              <w:rPr>
                <w:rFonts w:eastAsia="仿宋_GB2312"/>
                <w:color w:val="auto"/>
                <w:sz w:val="21"/>
                <w:szCs w:val="21"/>
              </w:rPr>
              <w:t>10%NaClO</w:t>
            </w:r>
          </w:p>
        </w:tc>
        <w:tc>
          <w:tcPr>
            <w:tcW w:w="874" w:type="pct"/>
            <w:vAlign w:val="center"/>
          </w:tcPr>
          <w:p w14:paraId="6D62BC7F">
            <w:pPr>
              <w:widowControl/>
              <w:jc w:val="center"/>
              <w:textAlignment w:val="center"/>
              <w:rPr>
                <w:rFonts w:hint="default" w:eastAsia="仿宋_GB2312"/>
                <w:color w:val="auto"/>
                <w:kern w:val="0"/>
                <w:sz w:val="21"/>
                <w:szCs w:val="21"/>
                <w:lang w:val="en-US"/>
              </w:rPr>
            </w:pPr>
            <w:r>
              <w:rPr>
                <w:rFonts w:hint="eastAsia" w:eastAsia="仿宋_GB2312"/>
                <w:color w:val="auto"/>
                <w:kern w:val="0"/>
                <w:sz w:val="21"/>
                <w:szCs w:val="21"/>
                <w:lang w:val="en-US" w:eastAsia="zh-CN"/>
              </w:rPr>
              <w:t>33</w:t>
            </w:r>
          </w:p>
        </w:tc>
        <w:tc>
          <w:tcPr>
            <w:tcW w:w="693" w:type="pct"/>
            <w:vAlign w:val="center"/>
          </w:tcPr>
          <w:p w14:paraId="7B114CFB">
            <w:pPr>
              <w:widowControl/>
              <w:jc w:val="center"/>
              <w:textAlignment w:val="center"/>
              <w:rPr>
                <w:rFonts w:hint="default" w:eastAsia="仿宋_GB2312"/>
                <w:kern w:val="0"/>
                <w:sz w:val="21"/>
                <w:szCs w:val="21"/>
                <w:lang w:val="en-US" w:eastAsia="zh-CN"/>
              </w:rPr>
            </w:pPr>
            <w:r>
              <w:rPr>
                <w:rFonts w:hint="eastAsia" w:eastAsia="仿宋_GB2312"/>
                <w:kern w:val="0"/>
                <w:sz w:val="21"/>
                <w:szCs w:val="21"/>
                <w:lang w:val="en-US" w:eastAsia="zh-CN"/>
              </w:rPr>
              <w:t>3.3</w:t>
            </w:r>
          </w:p>
        </w:tc>
        <w:tc>
          <w:tcPr>
            <w:tcW w:w="695" w:type="pct"/>
            <w:vAlign w:val="center"/>
          </w:tcPr>
          <w:p w14:paraId="10AA6727">
            <w:pPr>
              <w:widowControl/>
              <w:jc w:val="center"/>
              <w:textAlignment w:val="center"/>
              <w:rPr>
                <w:rFonts w:eastAsia="仿宋_GB2312"/>
                <w:kern w:val="0"/>
                <w:sz w:val="21"/>
                <w:szCs w:val="21"/>
              </w:rPr>
            </w:pPr>
            <w:r>
              <w:rPr>
                <w:rFonts w:eastAsia="仿宋_GB2312"/>
                <w:kern w:val="0"/>
                <w:sz w:val="21"/>
                <w:szCs w:val="21"/>
              </w:rPr>
              <w:t>5</w:t>
            </w:r>
          </w:p>
        </w:tc>
        <w:tc>
          <w:tcPr>
            <w:tcW w:w="679" w:type="pct"/>
            <w:vAlign w:val="center"/>
          </w:tcPr>
          <w:p w14:paraId="640A8A79">
            <w:pPr>
              <w:widowControl/>
              <w:jc w:val="center"/>
              <w:textAlignment w:val="center"/>
              <w:rPr>
                <w:rFonts w:hint="default" w:eastAsia="仿宋_GB2312"/>
                <w:kern w:val="0"/>
                <w:sz w:val="21"/>
                <w:szCs w:val="21"/>
                <w:lang w:val="en-US" w:eastAsia="zh-CN"/>
              </w:rPr>
            </w:pPr>
            <w:r>
              <w:rPr>
                <w:rFonts w:hint="eastAsia" w:eastAsia="仿宋_GB2312"/>
                <w:kern w:val="0"/>
                <w:sz w:val="21"/>
                <w:szCs w:val="21"/>
                <w:lang w:val="en-US" w:eastAsia="zh-CN"/>
              </w:rPr>
              <w:t>0.66</w:t>
            </w:r>
          </w:p>
        </w:tc>
        <w:tc>
          <w:tcPr>
            <w:tcW w:w="668" w:type="pct"/>
            <w:vAlign w:val="center"/>
          </w:tcPr>
          <w:p w14:paraId="0DF3949A">
            <w:pPr>
              <w:widowControl/>
              <w:adjustRightInd w:val="0"/>
              <w:snapToGrid w:val="0"/>
              <w:jc w:val="center"/>
              <w:rPr>
                <w:rFonts w:eastAsia="仿宋_GB2312"/>
                <w:sz w:val="21"/>
                <w:szCs w:val="21"/>
              </w:rPr>
            </w:pPr>
            <w:r>
              <w:rPr>
                <w:rFonts w:eastAsia="仿宋_GB2312"/>
                <w:sz w:val="21"/>
                <w:szCs w:val="21"/>
              </w:rPr>
              <w:t>次氯酸钠储罐</w:t>
            </w:r>
          </w:p>
        </w:tc>
      </w:tr>
      <w:tr w14:paraId="4778C3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56" w:type="pct"/>
            <w:vAlign w:val="center"/>
          </w:tcPr>
          <w:p w14:paraId="5C6927F1">
            <w:pPr>
              <w:adjustRightInd w:val="0"/>
              <w:snapToGrid w:val="0"/>
              <w:jc w:val="center"/>
              <w:rPr>
                <w:rFonts w:eastAsia="仿宋_GB2312"/>
                <w:sz w:val="21"/>
                <w:szCs w:val="21"/>
              </w:rPr>
            </w:pPr>
            <w:r>
              <w:rPr>
                <w:rFonts w:eastAsia="仿宋_GB2312"/>
                <w:sz w:val="21"/>
                <w:szCs w:val="21"/>
              </w:rPr>
              <w:t>废机油</w:t>
            </w:r>
          </w:p>
        </w:tc>
        <w:tc>
          <w:tcPr>
            <w:tcW w:w="831" w:type="pct"/>
            <w:vAlign w:val="center"/>
          </w:tcPr>
          <w:p w14:paraId="00949E0D">
            <w:pPr>
              <w:adjustRightInd w:val="0"/>
              <w:snapToGrid w:val="0"/>
              <w:jc w:val="center"/>
              <w:rPr>
                <w:rFonts w:eastAsia="仿宋_GB2312"/>
                <w:sz w:val="21"/>
                <w:szCs w:val="21"/>
              </w:rPr>
            </w:pPr>
            <w:r>
              <w:rPr>
                <w:rFonts w:eastAsia="仿宋_GB2312"/>
                <w:sz w:val="21"/>
                <w:szCs w:val="21"/>
              </w:rPr>
              <w:t>废机油</w:t>
            </w:r>
          </w:p>
        </w:tc>
        <w:tc>
          <w:tcPr>
            <w:tcW w:w="874" w:type="pct"/>
            <w:vAlign w:val="center"/>
          </w:tcPr>
          <w:p w14:paraId="7EC529A6">
            <w:pPr>
              <w:widowControl/>
              <w:jc w:val="center"/>
              <w:textAlignment w:val="center"/>
              <w:rPr>
                <w:rFonts w:eastAsia="仿宋_GB2312"/>
                <w:kern w:val="0"/>
                <w:sz w:val="21"/>
                <w:szCs w:val="21"/>
              </w:rPr>
            </w:pPr>
            <w:r>
              <w:rPr>
                <w:rFonts w:hint="eastAsia" w:eastAsia="仿宋_GB2312"/>
                <w:kern w:val="0"/>
                <w:sz w:val="21"/>
                <w:szCs w:val="21"/>
              </w:rPr>
              <w:t>1.125</w:t>
            </w:r>
          </w:p>
        </w:tc>
        <w:tc>
          <w:tcPr>
            <w:tcW w:w="693" w:type="pct"/>
            <w:vAlign w:val="center"/>
          </w:tcPr>
          <w:p w14:paraId="2D3099B9">
            <w:pPr>
              <w:widowControl/>
              <w:jc w:val="center"/>
              <w:textAlignment w:val="center"/>
              <w:rPr>
                <w:rFonts w:eastAsia="仿宋_GB2312"/>
                <w:kern w:val="0"/>
                <w:sz w:val="21"/>
                <w:szCs w:val="21"/>
              </w:rPr>
            </w:pPr>
            <w:r>
              <w:rPr>
                <w:rFonts w:hint="eastAsia" w:eastAsia="仿宋_GB2312"/>
                <w:kern w:val="0"/>
                <w:sz w:val="21"/>
                <w:szCs w:val="21"/>
              </w:rPr>
              <w:t>/</w:t>
            </w:r>
          </w:p>
        </w:tc>
        <w:tc>
          <w:tcPr>
            <w:tcW w:w="695" w:type="pct"/>
            <w:vAlign w:val="center"/>
          </w:tcPr>
          <w:p w14:paraId="30E6D3B7">
            <w:pPr>
              <w:widowControl/>
              <w:jc w:val="center"/>
              <w:textAlignment w:val="center"/>
              <w:rPr>
                <w:rFonts w:eastAsia="仿宋_GB2312"/>
                <w:sz w:val="21"/>
                <w:szCs w:val="21"/>
              </w:rPr>
            </w:pPr>
            <w:r>
              <w:rPr>
                <w:rFonts w:eastAsia="仿宋_GB2312"/>
                <w:kern w:val="0"/>
                <w:sz w:val="21"/>
                <w:szCs w:val="21"/>
              </w:rPr>
              <w:t>50</w:t>
            </w:r>
          </w:p>
        </w:tc>
        <w:tc>
          <w:tcPr>
            <w:tcW w:w="679" w:type="pct"/>
            <w:vAlign w:val="center"/>
          </w:tcPr>
          <w:p w14:paraId="312847B9">
            <w:pPr>
              <w:widowControl/>
              <w:jc w:val="center"/>
              <w:textAlignment w:val="center"/>
              <w:rPr>
                <w:rFonts w:eastAsia="仿宋_GB2312"/>
                <w:kern w:val="0"/>
                <w:sz w:val="21"/>
                <w:szCs w:val="21"/>
              </w:rPr>
            </w:pPr>
            <w:r>
              <w:rPr>
                <w:rFonts w:hint="eastAsia" w:eastAsia="仿宋_GB2312"/>
                <w:kern w:val="0"/>
                <w:sz w:val="21"/>
                <w:szCs w:val="21"/>
              </w:rPr>
              <w:t>0.0225</w:t>
            </w:r>
          </w:p>
        </w:tc>
        <w:tc>
          <w:tcPr>
            <w:tcW w:w="668" w:type="pct"/>
            <w:vMerge w:val="restart"/>
            <w:vAlign w:val="center"/>
          </w:tcPr>
          <w:p w14:paraId="256F42CB">
            <w:pPr>
              <w:widowControl/>
              <w:adjustRightInd w:val="0"/>
              <w:snapToGrid w:val="0"/>
              <w:jc w:val="center"/>
              <w:rPr>
                <w:rFonts w:eastAsia="仿宋_GB2312"/>
                <w:sz w:val="21"/>
                <w:szCs w:val="21"/>
              </w:rPr>
            </w:pPr>
            <w:r>
              <w:rPr>
                <w:rFonts w:eastAsia="仿宋_GB2312"/>
                <w:sz w:val="21"/>
                <w:szCs w:val="21"/>
              </w:rPr>
              <w:t>危险废物暂存场所</w:t>
            </w:r>
          </w:p>
        </w:tc>
      </w:tr>
      <w:tr w14:paraId="70E233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56" w:type="pct"/>
            <w:vAlign w:val="center"/>
          </w:tcPr>
          <w:p w14:paraId="5B39599F">
            <w:pPr>
              <w:adjustRightInd w:val="0"/>
              <w:snapToGrid w:val="0"/>
              <w:jc w:val="center"/>
              <w:rPr>
                <w:rFonts w:eastAsia="仿宋_GB2312"/>
                <w:sz w:val="21"/>
                <w:szCs w:val="21"/>
              </w:rPr>
            </w:pPr>
            <w:r>
              <w:rPr>
                <w:rFonts w:eastAsia="仿宋_GB2312"/>
                <w:sz w:val="21"/>
                <w:szCs w:val="21"/>
              </w:rPr>
              <w:t>废油桶</w:t>
            </w:r>
          </w:p>
        </w:tc>
        <w:tc>
          <w:tcPr>
            <w:tcW w:w="831" w:type="pct"/>
            <w:vAlign w:val="center"/>
          </w:tcPr>
          <w:p w14:paraId="7DAB236F">
            <w:pPr>
              <w:adjustRightInd w:val="0"/>
              <w:snapToGrid w:val="0"/>
              <w:jc w:val="center"/>
              <w:rPr>
                <w:rFonts w:eastAsia="仿宋_GB2312"/>
                <w:sz w:val="21"/>
                <w:szCs w:val="21"/>
              </w:rPr>
            </w:pPr>
            <w:r>
              <w:rPr>
                <w:rFonts w:eastAsia="仿宋_GB2312"/>
                <w:sz w:val="21"/>
                <w:szCs w:val="21"/>
              </w:rPr>
              <w:t>废油桶</w:t>
            </w:r>
          </w:p>
        </w:tc>
        <w:tc>
          <w:tcPr>
            <w:tcW w:w="874" w:type="pct"/>
            <w:vAlign w:val="center"/>
          </w:tcPr>
          <w:p w14:paraId="727A1462">
            <w:pPr>
              <w:widowControl/>
              <w:jc w:val="center"/>
              <w:textAlignment w:val="center"/>
              <w:rPr>
                <w:rFonts w:eastAsia="仿宋_GB2312"/>
                <w:kern w:val="0"/>
                <w:sz w:val="21"/>
                <w:szCs w:val="21"/>
              </w:rPr>
            </w:pPr>
            <w:r>
              <w:rPr>
                <w:rFonts w:hint="eastAsia" w:eastAsia="仿宋_GB2312"/>
                <w:kern w:val="0"/>
                <w:sz w:val="21"/>
                <w:szCs w:val="21"/>
              </w:rPr>
              <w:t>0.125</w:t>
            </w:r>
          </w:p>
        </w:tc>
        <w:tc>
          <w:tcPr>
            <w:tcW w:w="693" w:type="pct"/>
            <w:vAlign w:val="center"/>
          </w:tcPr>
          <w:p w14:paraId="23506EAA">
            <w:pPr>
              <w:widowControl/>
              <w:jc w:val="center"/>
              <w:textAlignment w:val="center"/>
              <w:rPr>
                <w:rFonts w:eastAsia="仿宋_GB2312"/>
                <w:kern w:val="0"/>
                <w:sz w:val="21"/>
                <w:szCs w:val="21"/>
              </w:rPr>
            </w:pPr>
            <w:r>
              <w:rPr>
                <w:rFonts w:hint="eastAsia" w:eastAsia="仿宋_GB2312"/>
                <w:kern w:val="0"/>
                <w:sz w:val="21"/>
                <w:szCs w:val="21"/>
              </w:rPr>
              <w:t>/</w:t>
            </w:r>
          </w:p>
        </w:tc>
        <w:tc>
          <w:tcPr>
            <w:tcW w:w="695" w:type="pct"/>
            <w:vAlign w:val="center"/>
          </w:tcPr>
          <w:p w14:paraId="3E83681C">
            <w:pPr>
              <w:widowControl/>
              <w:jc w:val="center"/>
              <w:textAlignment w:val="center"/>
              <w:rPr>
                <w:rFonts w:eastAsia="仿宋_GB2312"/>
                <w:sz w:val="21"/>
                <w:szCs w:val="21"/>
              </w:rPr>
            </w:pPr>
            <w:r>
              <w:rPr>
                <w:rFonts w:eastAsia="仿宋_GB2312"/>
                <w:kern w:val="0"/>
                <w:sz w:val="21"/>
                <w:szCs w:val="21"/>
              </w:rPr>
              <w:t>50</w:t>
            </w:r>
          </w:p>
        </w:tc>
        <w:tc>
          <w:tcPr>
            <w:tcW w:w="679" w:type="pct"/>
            <w:vAlign w:val="center"/>
          </w:tcPr>
          <w:p w14:paraId="29140691">
            <w:pPr>
              <w:widowControl/>
              <w:jc w:val="center"/>
              <w:textAlignment w:val="center"/>
              <w:rPr>
                <w:rFonts w:eastAsia="仿宋_GB2312"/>
                <w:kern w:val="0"/>
                <w:sz w:val="21"/>
                <w:szCs w:val="21"/>
              </w:rPr>
            </w:pPr>
            <w:r>
              <w:rPr>
                <w:rFonts w:hint="eastAsia" w:eastAsia="仿宋_GB2312"/>
                <w:kern w:val="0"/>
                <w:sz w:val="21"/>
                <w:szCs w:val="21"/>
              </w:rPr>
              <w:t>0.0025</w:t>
            </w:r>
          </w:p>
        </w:tc>
        <w:tc>
          <w:tcPr>
            <w:tcW w:w="668" w:type="pct"/>
            <w:vMerge w:val="continue"/>
            <w:vAlign w:val="center"/>
          </w:tcPr>
          <w:p w14:paraId="0086EF34">
            <w:pPr>
              <w:widowControl/>
              <w:adjustRightInd w:val="0"/>
              <w:snapToGrid w:val="0"/>
              <w:jc w:val="center"/>
              <w:rPr>
                <w:rFonts w:eastAsia="仿宋_GB2312"/>
                <w:sz w:val="21"/>
                <w:szCs w:val="21"/>
              </w:rPr>
            </w:pPr>
          </w:p>
        </w:tc>
      </w:tr>
      <w:tr w14:paraId="49D558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56" w:type="pct"/>
            <w:vAlign w:val="center"/>
          </w:tcPr>
          <w:p w14:paraId="1AF3203D">
            <w:pPr>
              <w:adjustRightInd w:val="0"/>
              <w:snapToGrid w:val="0"/>
              <w:jc w:val="center"/>
              <w:rPr>
                <w:rFonts w:eastAsia="仿宋_GB2312"/>
                <w:kern w:val="0"/>
                <w:sz w:val="21"/>
                <w:szCs w:val="21"/>
              </w:rPr>
            </w:pPr>
            <w:r>
              <w:rPr>
                <w:rFonts w:eastAsia="仿宋_GB2312"/>
                <w:kern w:val="0"/>
                <w:sz w:val="21"/>
                <w:szCs w:val="21"/>
              </w:rPr>
              <w:t>废漆桶</w:t>
            </w:r>
          </w:p>
        </w:tc>
        <w:tc>
          <w:tcPr>
            <w:tcW w:w="831" w:type="pct"/>
            <w:vAlign w:val="center"/>
          </w:tcPr>
          <w:p w14:paraId="65C37DC9">
            <w:pPr>
              <w:adjustRightInd w:val="0"/>
              <w:snapToGrid w:val="0"/>
              <w:jc w:val="center"/>
              <w:rPr>
                <w:rFonts w:eastAsia="仿宋_GB2312"/>
                <w:kern w:val="0"/>
                <w:sz w:val="21"/>
                <w:szCs w:val="21"/>
              </w:rPr>
            </w:pPr>
            <w:r>
              <w:rPr>
                <w:rFonts w:eastAsia="仿宋_GB2312"/>
                <w:kern w:val="0"/>
                <w:sz w:val="21"/>
                <w:szCs w:val="21"/>
              </w:rPr>
              <w:t>废漆桶</w:t>
            </w:r>
          </w:p>
        </w:tc>
        <w:tc>
          <w:tcPr>
            <w:tcW w:w="874" w:type="pct"/>
            <w:vAlign w:val="center"/>
          </w:tcPr>
          <w:p w14:paraId="6EFC675E">
            <w:pPr>
              <w:widowControl/>
              <w:jc w:val="center"/>
              <w:textAlignment w:val="center"/>
              <w:rPr>
                <w:rFonts w:eastAsia="仿宋_GB2312"/>
                <w:kern w:val="0"/>
                <w:sz w:val="21"/>
                <w:szCs w:val="21"/>
              </w:rPr>
            </w:pPr>
            <w:r>
              <w:rPr>
                <w:rFonts w:hint="eastAsia" w:eastAsia="仿宋_GB2312"/>
                <w:kern w:val="0"/>
                <w:sz w:val="21"/>
                <w:szCs w:val="21"/>
              </w:rPr>
              <w:t>0.125</w:t>
            </w:r>
          </w:p>
        </w:tc>
        <w:tc>
          <w:tcPr>
            <w:tcW w:w="693" w:type="pct"/>
            <w:vAlign w:val="center"/>
          </w:tcPr>
          <w:p w14:paraId="680CA916">
            <w:pPr>
              <w:widowControl/>
              <w:jc w:val="center"/>
              <w:textAlignment w:val="center"/>
              <w:rPr>
                <w:rFonts w:eastAsia="仿宋_GB2312"/>
                <w:kern w:val="0"/>
                <w:sz w:val="21"/>
                <w:szCs w:val="21"/>
              </w:rPr>
            </w:pPr>
            <w:r>
              <w:rPr>
                <w:rFonts w:hint="eastAsia" w:eastAsia="仿宋_GB2312"/>
                <w:kern w:val="0"/>
                <w:sz w:val="21"/>
                <w:szCs w:val="21"/>
              </w:rPr>
              <w:t>/</w:t>
            </w:r>
          </w:p>
        </w:tc>
        <w:tc>
          <w:tcPr>
            <w:tcW w:w="695" w:type="pct"/>
            <w:vAlign w:val="center"/>
          </w:tcPr>
          <w:p w14:paraId="126B5CD3">
            <w:pPr>
              <w:widowControl/>
              <w:jc w:val="center"/>
              <w:textAlignment w:val="center"/>
              <w:rPr>
                <w:rFonts w:eastAsia="仿宋_GB2312"/>
                <w:sz w:val="21"/>
                <w:szCs w:val="21"/>
              </w:rPr>
            </w:pPr>
            <w:r>
              <w:rPr>
                <w:rFonts w:eastAsia="仿宋_GB2312"/>
                <w:kern w:val="0"/>
                <w:sz w:val="21"/>
                <w:szCs w:val="21"/>
              </w:rPr>
              <w:t>50</w:t>
            </w:r>
          </w:p>
        </w:tc>
        <w:tc>
          <w:tcPr>
            <w:tcW w:w="679" w:type="pct"/>
            <w:vAlign w:val="center"/>
          </w:tcPr>
          <w:p w14:paraId="01E7872B">
            <w:pPr>
              <w:widowControl/>
              <w:jc w:val="center"/>
              <w:textAlignment w:val="center"/>
              <w:rPr>
                <w:rFonts w:eastAsia="仿宋_GB2312"/>
                <w:kern w:val="0"/>
                <w:sz w:val="21"/>
                <w:szCs w:val="21"/>
              </w:rPr>
            </w:pPr>
            <w:r>
              <w:rPr>
                <w:rFonts w:hint="eastAsia" w:eastAsia="仿宋_GB2312"/>
                <w:kern w:val="0"/>
                <w:sz w:val="21"/>
                <w:szCs w:val="21"/>
              </w:rPr>
              <w:t>0.0025</w:t>
            </w:r>
          </w:p>
        </w:tc>
        <w:tc>
          <w:tcPr>
            <w:tcW w:w="668" w:type="pct"/>
            <w:vMerge w:val="continue"/>
            <w:vAlign w:val="center"/>
          </w:tcPr>
          <w:p w14:paraId="6E50D659">
            <w:pPr>
              <w:widowControl/>
              <w:adjustRightInd w:val="0"/>
              <w:snapToGrid w:val="0"/>
              <w:jc w:val="center"/>
              <w:rPr>
                <w:rFonts w:eastAsia="仿宋_GB2312"/>
                <w:sz w:val="21"/>
                <w:szCs w:val="21"/>
              </w:rPr>
            </w:pPr>
          </w:p>
        </w:tc>
      </w:tr>
      <w:tr w14:paraId="3E1C72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56" w:type="pct"/>
            <w:vAlign w:val="center"/>
          </w:tcPr>
          <w:p w14:paraId="5B4BED84">
            <w:pPr>
              <w:adjustRightInd w:val="0"/>
              <w:snapToGrid w:val="0"/>
              <w:jc w:val="center"/>
              <w:rPr>
                <w:rFonts w:eastAsia="仿宋_GB2312"/>
                <w:kern w:val="0"/>
                <w:sz w:val="21"/>
                <w:szCs w:val="21"/>
              </w:rPr>
            </w:pPr>
            <w:r>
              <w:rPr>
                <w:rFonts w:eastAsia="仿宋_GB2312"/>
                <w:kern w:val="0"/>
                <w:sz w:val="21"/>
                <w:szCs w:val="21"/>
              </w:rPr>
              <w:t>废漆刷</w:t>
            </w:r>
          </w:p>
        </w:tc>
        <w:tc>
          <w:tcPr>
            <w:tcW w:w="831" w:type="pct"/>
            <w:vAlign w:val="center"/>
          </w:tcPr>
          <w:p w14:paraId="7F99BDE3">
            <w:pPr>
              <w:adjustRightInd w:val="0"/>
              <w:snapToGrid w:val="0"/>
              <w:jc w:val="center"/>
              <w:rPr>
                <w:rFonts w:eastAsia="仿宋_GB2312"/>
                <w:kern w:val="0"/>
                <w:sz w:val="21"/>
                <w:szCs w:val="21"/>
              </w:rPr>
            </w:pPr>
            <w:r>
              <w:rPr>
                <w:rFonts w:eastAsia="仿宋_GB2312"/>
                <w:kern w:val="0"/>
                <w:sz w:val="21"/>
                <w:szCs w:val="21"/>
              </w:rPr>
              <w:t>废漆刷</w:t>
            </w:r>
          </w:p>
        </w:tc>
        <w:tc>
          <w:tcPr>
            <w:tcW w:w="874" w:type="pct"/>
            <w:vAlign w:val="center"/>
          </w:tcPr>
          <w:p w14:paraId="7E3B86E2">
            <w:pPr>
              <w:widowControl/>
              <w:jc w:val="center"/>
              <w:textAlignment w:val="center"/>
              <w:rPr>
                <w:rFonts w:eastAsia="仿宋_GB2312"/>
                <w:kern w:val="0"/>
                <w:sz w:val="21"/>
                <w:szCs w:val="21"/>
              </w:rPr>
            </w:pPr>
            <w:r>
              <w:rPr>
                <w:rFonts w:hint="eastAsia" w:eastAsia="仿宋_GB2312"/>
                <w:kern w:val="0"/>
                <w:sz w:val="21"/>
                <w:szCs w:val="21"/>
              </w:rPr>
              <w:t>0.0025</w:t>
            </w:r>
          </w:p>
        </w:tc>
        <w:tc>
          <w:tcPr>
            <w:tcW w:w="693" w:type="pct"/>
            <w:vAlign w:val="center"/>
          </w:tcPr>
          <w:p w14:paraId="68DAB6E3">
            <w:pPr>
              <w:widowControl/>
              <w:jc w:val="center"/>
              <w:textAlignment w:val="center"/>
              <w:rPr>
                <w:rFonts w:eastAsia="仿宋_GB2312"/>
                <w:kern w:val="0"/>
                <w:sz w:val="21"/>
                <w:szCs w:val="21"/>
              </w:rPr>
            </w:pPr>
            <w:r>
              <w:rPr>
                <w:rFonts w:hint="eastAsia" w:eastAsia="仿宋_GB2312"/>
                <w:kern w:val="0"/>
                <w:sz w:val="21"/>
                <w:szCs w:val="21"/>
              </w:rPr>
              <w:t>/</w:t>
            </w:r>
          </w:p>
        </w:tc>
        <w:tc>
          <w:tcPr>
            <w:tcW w:w="695" w:type="pct"/>
            <w:vAlign w:val="center"/>
          </w:tcPr>
          <w:p w14:paraId="074FDF1D">
            <w:pPr>
              <w:widowControl/>
              <w:jc w:val="center"/>
              <w:textAlignment w:val="center"/>
              <w:rPr>
                <w:rFonts w:eastAsia="仿宋_GB2312"/>
                <w:sz w:val="21"/>
                <w:szCs w:val="21"/>
              </w:rPr>
            </w:pPr>
            <w:r>
              <w:rPr>
                <w:rFonts w:eastAsia="仿宋_GB2312"/>
                <w:kern w:val="0"/>
                <w:sz w:val="21"/>
                <w:szCs w:val="21"/>
              </w:rPr>
              <w:t>50</w:t>
            </w:r>
          </w:p>
        </w:tc>
        <w:tc>
          <w:tcPr>
            <w:tcW w:w="679" w:type="pct"/>
            <w:vAlign w:val="center"/>
          </w:tcPr>
          <w:p w14:paraId="28ACA631">
            <w:pPr>
              <w:widowControl/>
              <w:jc w:val="center"/>
              <w:textAlignment w:val="center"/>
              <w:rPr>
                <w:rFonts w:eastAsia="仿宋_GB2312"/>
                <w:kern w:val="0"/>
                <w:sz w:val="21"/>
                <w:szCs w:val="21"/>
              </w:rPr>
            </w:pPr>
            <w:r>
              <w:rPr>
                <w:rFonts w:hint="eastAsia" w:eastAsia="仿宋_GB2312"/>
                <w:kern w:val="0"/>
                <w:sz w:val="21"/>
                <w:szCs w:val="21"/>
              </w:rPr>
              <w:t>0.00005</w:t>
            </w:r>
          </w:p>
        </w:tc>
        <w:tc>
          <w:tcPr>
            <w:tcW w:w="668" w:type="pct"/>
            <w:vMerge w:val="continue"/>
            <w:vAlign w:val="center"/>
          </w:tcPr>
          <w:p w14:paraId="799CC800">
            <w:pPr>
              <w:widowControl/>
              <w:adjustRightInd w:val="0"/>
              <w:snapToGrid w:val="0"/>
              <w:jc w:val="center"/>
              <w:rPr>
                <w:rFonts w:eastAsia="仿宋_GB2312"/>
                <w:sz w:val="21"/>
                <w:szCs w:val="21"/>
              </w:rPr>
            </w:pPr>
          </w:p>
        </w:tc>
      </w:tr>
      <w:tr w14:paraId="294274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556" w:type="pct"/>
            <w:vAlign w:val="center"/>
          </w:tcPr>
          <w:p w14:paraId="11968C0A">
            <w:pPr>
              <w:adjustRightInd w:val="0"/>
              <w:snapToGrid w:val="0"/>
              <w:jc w:val="center"/>
              <w:rPr>
                <w:rFonts w:eastAsia="仿宋_GB2312"/>
                <w:kern w:val="0"/>
                <w:sz w:val="21"/>
                <w:szCs w:val="21"/>
              </w:rPr>
            </w:pPr>
            <w:r>
              <w:rPr>
                <w:rFonts w:hint="eastAsia" w:eastAsia="仿宋_GB2312"/>
                <w:kern w:val="0"/>
                <w:sz w:val="21"/>
                <w:szCs w:val="21"/>
              </w:rPr>
              <w:t>实验室废液</w:t>
            </w:r>
          </w:p>
        </w:tc>
        <w:tc>
          <w:tcPr>
            <w:tcW w:w="831" w:type="pct"/>
            <w:vAlign w:val="center"/>
          </w:tcPr>
          <w:p w14:paraId="3DC01071">
            <w:pPr>
              <w:adjustRightInd w:val="0"/>
              <w:snapToGrid w:val="0"/>
              <w:jc w:val="center"/>
              <w:rPr>
                <w:rFonts w:eastAsia="仿宋_GB2312"/>
                <w:kern w:val="0"/>
                <w:sz w:val="21"/>
                <w:szCs w:val="21"/>
              </w:rPr>
            </w:pPr>
            <w:r>
              <w:rPr>
                <w:rFonts w:hint="eastAsia" w:eastAsia="仿宋_GB2312"/>
                <w:kern w:val="0"/>
                <w:sz w:val="21"/>
                <w:szCs w:val="21"/>
              </w:rPr>
              <w:t>实验室废液</w:t>
            </w:r>
          </w:p>
        </w:tc>
        <w:tc>
          <w:tcPr>
            <w:tcW w:w="874" w:type="pct"/>
            <w:vAlign w:val="center"/>
          </w:tcPr>
          <w:p w14:paraId="3144C5AC">
            <w:pPr>
              <w:widowControl/>
              <w:jc w:val="center"/>
              <w:textAlignment w:val="center"/>
              <w:rPr>
                <w:rFonts w:eastAsia="仿宋_GB2312"/>
                <w:kern w:val="0"/>
                <w:sz w:val="21"/>
                <w:szCs w:val="21"/>
              </w:rPr>
            </w:pPr>
            <w:r>
              <w:rPr>
                <w:rFonts w:hint="eastAsia" w:eastAsia="仿宋_GB2312"/>
                <w:kern w:val="0"/>
                <w:sz w:val="21"/>
                <w:szCs w:val="21"/>
              </w:rPr>
              <w:t>0.375</w:t>
            </w:r>
          </w:p>
        </w:tc>
        <w:tc>
          <w:tcPr>
            <w:tcW w:w="693" w:type="pct"/>
            <w:vAlign w:val="center"/>
          </w:tcPr>
          <w:p w14:paraId="110A1CA8">
            <w:pPr>
              <w:widowControl/>
              <w:jc w:val="center"/>
              <w:textAlignment w:val="center"/>
              <w:rPr>
                <w:rFonts w:eastAsia="仿宋_GB2312"/>
                <w:kern w:val="0"/>
                <w:sz w:val="21"/>
                <w:szCs w:val="21"/>
              </w:rPr>
            </w:pPr>
            <w:r>
              <w:rPr>
                <w:rFonts w:hint="eastAsia" w:eastAsia="仿宋_GB2312"/>
                <w:kern w:val="0"/>
                <w:sz w:val="21"/>
                <w:szCs w:val="21"/>
              </w:rPr>
              <w:t>/</w:t>
            </w:r>
          </w:p>
        </w:tc>
        <w:tc>
          <w:tcPr>
            <w:tcW w:w="695" w:type="pct"/>
            <w:vAlign w:val="center"/>
          </w:tcPr>
          <w:p w14:paraId="29D005A9">
            <w:pPr>
              <w:widowControl/>
              <w:jc w:val="center"/>
              <w:textAlignment w:val="center"/>
              <w:rPr>
                <w:rFonts w:eastAsia="仿宋_GB2312"/>
                <w:kern w:val="0"/>
                <w:sz w:val="21"/>
                <w:szCs w:val="21"/>
              </w:rPr>
            </w:pPr>
            <w:r>
              <w:rPr>
                <w:rFonts w:eastAsia="仿宋_GB2312"/>
                <w:kern w:val="0"/>
                <w:sz w:val="21"/>
                <w:szCs w:val="21"/>
              </w:rPr>
              <w:t>50</w:t>
            </w:r>
          </w:p>
        </w:tc>
        <w:tc>
          <w:tcPr>
            <w:tcW w:w="679" w:type="pct"/>
            <w:vAlign w:val="center"/>
          </w:tcPr>
          <w:p w14:paraId="38519EA3">
            <w:pPr>
              <w:widowControl/>
              <w:jc w:val="center"/>
              <w:textAlignment w:val="center"/>
              <w:rPr>
                <w:rFonts w:hint="eastAsia" w:ascii="Times New Roman" w:hAnsi="Times New Roman" w:eastAsia="仿宋_GB2312" w:cs="Times New Roman"/>
                <w:kern w:val="0"/>
                <w:sz w:val="21"/>
                <w:szCs w:val="21"/>
              </w:rPr>
            </w:pPr>
            <w:r>
              <w:rPr>
                <w:rFonts w:hint="eastAsia" w:ascii="Times New Roman" w:hAnsi="Times New Roman" w:eastAsia="仿宋_GB2312" w:cs="Times New Roman"/>
                <w:kern w:val="0"/>
                <w:sz w:val="21"/>
                <w:szCs w:val="21"/>
              </w:rPr>
              <w:t>0.0075</w:t>
            </w:r>
          </w:p>
        </w:tc>
        <w:tc>
          <w:tcPr>
            <w:tcW w:w="668" w:type="pct"/>
            <w:vMerge w:val="continue"/>
            <w:vAlign w:val="center"/>
          </w:tcPr>
          <w:p w14:paraId="6A045BB7">
            <w:pPr>
              <w:widowControl/>
              <w:adjustRightInd w:val="0"/>
              <w:snapToGrid w:val="0"/>
              <w:jc w:val="center"/>
              <w:rPr>
                <w:rFonts w:eastAsia="仿宋_GB2312"/>
                <w:sz w:val="21"/>
                <w:szCs w:val="21"/>
              </w:rPr>
            </w:pPr>
          </w:p>
        </w:tc>
      </w:tr>
      <w:tr w14:paraId="5AA155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3651" w:type="pct"/>
            <w:gridSpan w:val="5"/>
          </w:tcPr>
          <w:p w14:paraId="0F2F1EE6">
            <w:pPr>
              <w:kinsoku w:val="0"/>
              <w:overflowPunct w:val="0"/>
              <w:adjustRightInd w:val="0"/>
              <w:snapToGrid w:val="0"/>
              <w:jc w:val="center"/>
              <w:rPr>
                <w:rFonts w:eastAsia="仿宋_GB2312"/>
                <w:kern w:val="0"/>
                <w:sz w:val="21"/>
                <w:szCs w:val="21"/>
              </w:rPr>
            </w:pPr>
            <w:r>
              <w:rPr>
                <w:rFonts w:eastAsia="仿宋_GB2312"/>
                <w:kern w:val="0"/>
                <w:sz w:val="21"/>
                <w:szCs w:val="21"/>
              </w:rPr>
              <w:t>项目Q值Σ</w:t>
            </w:r>
          </w:p>
        </w:tc>
        <w:tc>
          <w:tcPr>
            <w:tcW w:w="679" w:type="pct"/>
            <w:shd w:val="clear" w:color="auto" w:fill="auto"/>
            <w:vAlign w:val="center"/>
          </w:tcPr>
          <w:p w14:paraId="248DA133">
            <w:pPr>
              <w:widowControl/>
              <w:jc w:val="center"/>
              <w:textAlignment w:val="center"/>
              <w:rPr>
                <w:rFonts w:hint="eastAsia" w:ascii="Times New Roman" w:hAnsi="Times New Roman" w:eastAsia="仿宋_GB2312" w:cs="Times New Roman"/>
                <w:kern w:val="0"/>
                <w:sz w:val="21"/>
                <w:szCs w:val="21"/>
                <w:lang w:val="en-US" w:eastAsia="zh-CN"/>
              </w:rPr>
            </w:pPr>
            <w:r>
              <w:rPr>
                <w:rFonts w:hint="eastAsia" w:ascii="Times New Roman" w:hAnsi="Times New Roman" w:eastAsia="仿宋_GB2312" w:cs="Times New Roman"/>
                <w:kern w:val="0"/>
                <w:sz w:val="21"/>
                <w:szCs w:val="21"/>
                <w:lang w:val="en-US" w:eastAsia="zh-CN"/>
              </w:rPr>
              <w:t>2.07505</w:t>
            </w:r>
          </w:p>
        </w:tc>
        <w:tc>
          <w:tcPr>
            <w:tcW w:w="668" w:type="pct"/>
            <w:vAlign w:val="center"/>
          </w:tcPr>
          <w:p w14:paraId="29D57D1B">
            <w:pPr>
              <w:kinsoku w:val="0"/>
              <w:overflowPunct w:val="0"/>
              <w:adjustRightInd w:val="0"/>
              <w:snapToGrid w:val="0"/>
              <w:jc w:val="center"/>
              <w:rPr>
                <w:rFonts w:eastAsia="仿宋_GB2312"/>
                <w:kern w:val="0"/>
                <w:sz w:val="21"/>
                <w:szCs w:val="21"/>
              </w:rPr>
            </w:pPr>
            <w:r>
              <w:rPr>
                <w:rFonts w:eastAsia="仿宋_GB2312"/>
                <w:kern w:val="0"/>
                <w:sz w:val="21"/>
                <w:szCs w:val="21"/>
              </w:rPr>
              <w:t>/</w:t>
            </w:r>
          </w:p>
        </w:tc>
      </w:tr>
    </w:tbl>
    <w:p w14:paraId="3DB5FBB0">
      <w:pPr>
        <w:keepNext w:val="0"/>
        <w:keepLines w:val="0"/>
        <w:pageBreakBefore w:val="0"/>
        <w:widowControl w:val="0"/>
        <w:kinsoku/>
        <w:wordWrap/>
        <w:overflowPunct/>
        <w:topLinePunct w:val="0"/>
        <w:autoSpaceDE/>
        <w:autoSpaceDN/>
        <w:bidi w:val="0"/>
        <w:adjustRightInd w:val="0"/>
        <w:snapToGrid w:val="0"/>
        <w:spacing w:beforeAutospacing="0" w:afterAutospacing="0" w:line="500" w:lineRule="exact"/>
        <w:ind w:left="0" w:leftChars="0" w:right="0" w:firstLine="482" w:firstLineChars="200"/>
        <w:textAlignment w:val="auto"/>
        <w:rPr>
          <w:rFonts w:hint="default" w:ascii="Times New Roman" w:hAnsi="Times New Roman" w:eastAsia="仿宋_GB2312" w:cs="Times New Roman"/>
          <w:b/>
          <w:bCs/>
          <w:color w:val="auto"/>
          <w:spacing w:val="0"/>
          <w:kern w:val="0"/>
          <w:position w:val="0"/>
          <w:sz w:val="24"/>
          <w:szCs w:val="24"/>
          <w:lang w:val="en-US" w:eastAsia="zh-CN"/>
        </w:rPr>
      </w:pPr>
      <w:r>
        <w:rPr>
          <w:rFonts w:hint="eastAsia" w:ascii="Times New Roman" w:hAnsi="Times New Roman" w:eastAsia="仿宋_GB2312" w:cs="Times New Roman"/>
          <w:b/>
          <w:bCs/>
          <w:color w:val="auto"/>
          <w:spacing w:val="0"/>
          <w:kern w:val="0"/>
          <w:position w:val="0"/>
          <w:sz w:val="24"/>
          <w:szCs w:val="24"/>
          <w:lang w:val="en-US" w:eastAsia="zh-CN"/>
        </w:rPr>
        <w:t>（2）M值确定</w:t>
      </w:r>
    </w:p>
    <w:p w14:paraId="27FCCF86">
      <w:pPr>
        <w:keepNext w:val="0"/>
        <w:keepLines w:val="0"/>
        <w:pageBreakBefore w:val="0"/>
        <w:widowControl w:val="0"/>
        <w:kinsoku/>
        <w:wordWrap/>
        <w:overflowPunct/>
        <w:topLinePunct w:val="0"/>
        <w:autoSpaceDE/>
        <w:autoSpaceDN/>
        <w:bidi w:val="0"/>
        <w:adjustRightInd w:val="0"/>
        <w:snapToGrid w:val="0"/>
        <w:spacing w:beforeAutospacing="0" w:afterAutospacing="0" w:line="500" w:lineRule="exact"/>
        <w:ind w:left="0" w:leftChars="0" w:right="0" w:firstLine="480" w:firstLineChars="200"/>
        <w:textAlignment w:val="auto"/>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行业及本项目生产工艺判定详见表</w:t>
      </w:r>
      <w:r>
        <w:rPr>
          <w:rFonts w:hint="eastAsia" w:ascii="Times New Roman" w:hAnsi="Times New Roman" w:eastAsia="仿宋_GB2312" w:cs="Times New Roman"/>
          <w:color w:val="auto"/>
          <w:spacing w:val="0"/>
          <w:kern w:val="0"/>
          <w:position w:val="0"/>
          <w:sz w:val="24"/>
          <w:szCs w:val="24"/>
          <w:lang w:val="en-US" w:eastAsia="zh-CN"/>
        </w:rPr>
        <w:t>2.3-2</w:t>
      </w:r>
      <w:r>
        <w:rPr>
          <w:rFonts w:hint="default" w:ascii="Times New Roman" w:hAnsi="Times New Roman" w:eastAsia="仿宋_GB2312" w:cs="Times New Roman"/>
          <w:color w:val="auto"/>
          <w:spacing w:val="0"/>
          <w:kern w:val="0"/>
          <w:position w:val="0"/>
          <w:sz w:val="24"/>
          <w:szCs w:val="24"/>
        </w:rPr>
        <w:t>。</w:t>
      </w:r>
    </w:p>
    <w:p w14:paraId="23502A2C">
      <w:pPr>
        <w:pageBreakBefore w:val="0"/>
        <w:kinsoku/>
        <w:wordWrap/>
        <w:bidi w:val="0"/>
        <w:adjustRightInd w:val="0"/>
        <w:snapToGrid w:val="0"/>
        <w:spacing w:beforeAutospacing="0" w:afterAutospacing="0" w:line="500" w:lineRule="exact"/>
        <w:ind w:left="0" w:leftChars="0" w:right="0" w:firstLine="482" w:firstLineChars="200"/>
        <w:jc w:val="center"/>
        <w:rPr>
          <w:rFonts w:hint="default" w:ascii="Times New Roman" w:hAnsi="Times New Roman" w:eastAsia="仿宋_GB2312" w:cs="Times New Roman"/>
          <w:b/>
          <w:color w:val="auto"/>
          <w:spacing w:val="0"/>
          <w:kern w:val="0"/>
          <w:position w:val="0"/>
          <w:sz w:val="24"/>
          <w:szCs w:val="24"/>
        </w:rPr>
      </w:pPr>
      <w:r>
        <w:rPr>
          <w:rFonts w:hint="default" w:ascii="Times New Roman" w:hAnsi="Times New Roman" w:eastAsia="仿宋_GB2312" w:cs="Times New Roman"/>
          <w:b/>
          <w:color w:val="auto"/>
          <w:spacing w:val="0"/>
          <w:kern w:val="0"/>
          <w:position w:val="0"/>
          <w:sz w:val="24"/>
          <w:szCs w:val="24"/>
        </w:rPr>
        <w:t>表2</w:t>
      </w:r>
      <w:r>
        <w:rPr>
          <w:rFonts w:hint="eastAsia" w:ascii="Times New Roman" w:hAnsi="Times New Roman" w:eastAsia="仿宋_GB2312" w:cs="Times New Roman"/>
          <w:b/>
          <w:color w:val="auto"/>
          <w:spacing w:val="0"/>
          <w:kern w:val="0"/>
          <w:position w:val="0"/>
          <w:sz w:val="24"/>
          <w:szCs w:val="24"/>
          <w:lang w:val="en-US" w:eastAsia="zh-CN"/>
        </w:rPr>
        <w:t>.3-2</w:t>
      </w:r>
      <w:r>
        <w:rPr>
          <w:rFonts w:hint="default" w:ascii="Times New Roman" w:hAnsi="Times New Roman" w:eastAsia="仿宋_GB2312" w:cs="Times New Roman"/>
          <w:b/>
          <w:color w:val="auto"/>
          <w:spacing w:val="0"/>
          <w:kern w:val="0"/>
          <w:position w:val="0"/>
          <w:sz w:val="24"/>
          <w:szCs w:val="24"/>
        </w:rPr>
        <w:t xml:space="preserve"> 行业及生产工艺（M）</w:t>
      </w:r>
    </w:p>
    <w:tbl>
      <w:tblPr>
        <w:tblStyle w:val="31"/>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62"/>
        <w:gridCol w:w="6021"/>
        <w:gridCol w:w="1603"/>
      </w:tblGrid>
      <w:tr w14:paraId="5F1965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95" w:type="pct"/>
            <w:noWrap w:val="0"/>
            <w:vAlign w:val="center"/>
          </w:tcPr>
          <w:p w14:paraId="1CA7C3AC">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b/>
                <w:color w:val="auto"/>
                <w:spacing w:val="0"/>
                <w:kern w:val="0"/>
                <w:position w:val="0"/>
                <w:sz w:val="21"/>
                <w:szCs w:val="21"/>
              </w:rPr>
            </w:pPr>
            <w:r>
              <w:rPr>
                <w:rFonts w:hint="default" w:ascii="Times New Roman" w:hAnsi="Times New Roman" w:eastAsia="仿宋_GB2312" w:cs="Times New Roman"/>
                <w:b/>
                <w:color w:val="auto"/>
                <w:spacing w:val="0"/>
                <w:kern w:val="0"/>
                <w:position w:val="0"/>
                <w:sz w:val="21"/>
                <w:szCs w:val="21"/>
              </w:rPr>
              <w:t>行业</w:t>
            </w:r>
          </w:p>
        </w:tc>
        <w:tc>
          <w:tcPr>
            <w:tcW w:w="3242" w:type="pct"/>
            <w:noWrap w:val="0"/>
            <w:vAlign w:val="center"/>
          </w:tcPr>
          <w:p w14:paraId="4B399F32">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b/>
                <w:color w:val="auto"/>
                <w:spacing w:val="0"/>
                <w:kern w:val="0"/>
                <w:position w:val="0"/>
                <w:sz w:val="21"/>
                <w:szCs w:val="21"/>
              </w:rPr>
            </w:pPr>
            <w:r>
              <w:rPr>
                <w:rFonts w:hint="default" w:ascii="Times New Roman" w:hAnsi="Times New Roman" w:eastAsia="仿宋_GB2312" w:cs="Times New Roman"/>
                <w:b/>
                <w:color w:val="auto"/>
                <w:spacing w:val="0"/>
                <w:kern w:val="0"/>
                <w:position w:val="0"/>
                <w:sz w:val="21"/>
                <w:szCs w:val="21"/>
              </w:rPr>
              <w:t>评估依据</w:t>
            </w:r>
          </w:p>
        </w:tc>
        <w:tc>
          <w:tcPr>
            <w:tcW w:w="861" w:type="pct"/>
            <w:noWrap w:val="0"/>
            <w:vAlign w:val="center"/>
          </w:tcPr>
          <w:p w14:paraId="78F4A8BE">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b/>
                <w:color w:val="auto"/>
                <w:spacing w:val="0"/>
                <w:kern w:val="0"/>
                <w:position w:val="0"/>
                <w:sz w:val="21"/>
                <w:szCs w:val="21"/>
              </w:rPr>
            </w:pPr>
            <w:r>
              <w:rPr>
                <w:rFonts w:hint="default" w:ascii="Times New Roman" w:hAnsi="Times New Roman" w:eastAsia="仿宋_GB2312" w:cs="Times New Roman"/>
                <w:b/>
                <w:color w:val="auto"/>
                <w:spacing w:val="0"/>
                <w:kern w:val="0"/>
                <w:position w:val="0"/>
                <w:sz w:val="21"/>
                <w:szCs w:val="21"/>
              </w:rPr>
              <w:t>分值</w:t>
            </w:r>
          </w:p>
        </w:tc>
      </w:tr>
      <w:tr w14:paraId="5F9E38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95" w:type="pct"/>
            <w:vMerge w:val="restart"/>
            <w:noWrap w:val="0"/>
            <w:vAlign w:val="center"/>
          </w:tcPr>
          <w:p w14:paraId="3063E1CB">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石化、化工、医药、轻工、化纤、有色冶炼等</w:t>
            </w:r>
          </w:p>
        </w:tc>
        <w:tc>
          <w:tcPr>
            <w:tcW w:w="3242" w:type="pct"/>
            <w:noWrap w:val="0"/>
            <w:vAlign w:val="center"/>
          </w:tcPr>
          <w:p w14:paraId="7FC54AB2">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涉及光气及光气化工艺、电解工艺（氯碱）、氯化工艺、硝化工艺、合成氨工艺、裂解（裂化）工艺、氟化工艺、加氢工艺、重氮化工艺、氧化工艺、过氧工艺、胺基化工艺、磺化工艺、聚合工艺、烷基化工艺、新型煤化工工艺、电石生产工艺、偶氮化工艺</w:t>
            </w:r>
          </w:p>
        </w:tc>
        <w:tc>
          <w:tcPr>
            <w:tcW w:w="861" w:type="pct"/>
            <w:noWrap w:val="0"/>
            <w:vAlign w:val="center"/>
          </w:tcPr>
          <w:p w14:paraId="5D1DD115">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10/套</w:t>
            </w:r>
          </w:p>
        </w:tc>
      </w:tr>
      <w:tr w14:paraId="7F85F4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95" w:type="pct"/>
            <w:vMerge w:val="continue"/>
            <w:noWrap w:val="0"/>
            <w:vAlign w:val="center"/>
          </w:tcPr>
          <w:p w14:paraId="36849B6F">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rPr>
            </w:pPr>
          </w:p>
        </w:tc>
        <w:tc>
          <w:tcPr>
            <w:tcW w:w="3242" w:type="pct"/>
            <w:noWrap w:val="0"/>
            <w:vAlign w:val="center"/>
          </w:tcPr>
          <w:p w14:paraId="2A120201">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无机酸制酸工艺、焦化工艺</w:t>
            </w:r>
          </w:p>
        </w:tc>
        <w:tc>
          <w:tcPr>
            <w:tcW w:w="861" w:type="pct"/>
            <w:noWrap w:val="0"/>
            <w:vAlign w:val="center"/>
          </w:tcPr>
          <w:p w14:paraId="22EFA312">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5/套</w:t>
            </w:r>
          </w:p>
        </w:tc>
      </w:tr>
      <w:tr w14:paraId="5B9AC9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95" w:type="pct"/>
            <w:vMerge w:val="continue"/>
            <w:noWrap w:val="0"/>
            <w:vAlign w:val="center"/>
          </w:tcPr>
          <w:p w14:paraId="576D9358">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rPr>
            </w:pPr>
          </w:p>
        </w:tc>
        <w:tc>
          <w:tcPr>
            <w:tcW w:w="3242" w:type="pct"/>
            <w:noWrap w:val="0"/>
            <w:vAlign w:val="center"/>
          </w:tcPr>
          <w:p w14:paraId="20E54AD7">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其他高温或高压，且涉及危险物质的工艺过程</w:t>
            </w:r>
            <w:r>
              <w:rPr>
                <w:rFonts w:hint="default" w:ascii="Times New Roman" w:hAnsi="Times New Roman" w:eastAsia="仿宋_GB2312" w:cs="Times New Roman"/>
                <w:color w:val="auto"/>
                <w:spacing w:val="0"/>
                <w:kern w:val="0"/>
                <w:position w:val="0"/>
                <w:sz w:val="21"/>
                <w:szCs w:val="21"/>
                <w:vertAlign w:val="superscript"/>
              </w:rPr>
              <w:t>a</w:t>
            </w:r>
            <w:r>
              <w:rPr>
                <w:rFonts w:hint="default" w:ascii="Times New Roman" w:hAnsi="Times New Roman" w:eastAsia="仿宋_GB2312" w:cs="Times New Roman"/>
                <w:color w:val="auto"/>
                <w:spacing w:val="0"/>
                <w:kern w:val="0"/>
                <w:position w:val="0"/>
                <w:sz w:val="21"/>
                <w:szCs w:val="21"/>
              </w:rPr>
              <w:t>、危险物质贮存罐区</w:t>
            </w:r>
          </w:p>
        </w:tc>
        <w:tc>
          <w:tcPr>
            <w:tcW w:w="861" w:type="pct"/>
            <w:noWrap w:val="0"/>
            <w:vAlign w:val="center"/>
          </w:tcPr>
          <w:p w14:paraId="75E80207">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5/套（罐区）</w:t>
            </w:r>
          </w:p>
        </w:tc>
      </w:tr>
      <w:tr w14:paraId="77F9CE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95" w:type="pct"/>
            <w:noWrap w:val="0"/>
            <w:vAlign w:val="center"/>
          </w:tcPr>
          <w:p w14:paraId="66691413">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管道、港口/码头等</w:t>
            </w:r>
          </w:p>
        </w:tc>
        <w:tc>
          <w:tcPr>
            <w:tcW w:w="3242" w:type="pct"/>
            <w:noWrap w:val="0"/>
            <w:vAlign w:val="center"/>
          </w:tcPr>
          <w:p w14:paraId="2F8B49DF">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涉及危险物质管道运输项目、港口/码头等</w:t>
            </w:r>
          </w:p>
        </w:tc>
        <w:tc>
          <w:tcPr>
            <w:tcW w:w="861" w:type="pct"/>
            <w:noWrap w:val="0"/>
            <w:vAlign w:val="center"/>
          </w:tcPr>
          <w:p w14:paraId="24254501">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10</w:t>
            </w:r>
          </w:p>
        </w:tc>
      </w:tr>
      <w:tr w14:paraId="4DE0AC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95" w:type="pct"/>
            <w:noWrap w:val="0"/>
            <w:vAlign w:val="center"/>
          </w:tcPr>
          <w:p w14:paraId="00BDC5BF">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石油天然气</w:t>
            </w:r>
          </w:p>
        </w:tc>
        <w:tc>
          <w:tcPr>
            <w:tcW w:w="3242" w:type="pct"/>
            <w:noWrap w:val="0"/>
            <w:vAlign w:val="center"/>
          </w:tcPr>
          <w:p w14:paraId="33CAE1CA">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石油、天然气页岩气开采（含净化），气库（不含加气站的气库），油库（不含加气站的油库）、油气管线b（不含城镇燃气管线）</w:t>
            </w:r>
          </w:p>
        </w:tc>
        <w:tc>
          <w:tcPr>
            <w:tcW w:w="861" w:type="pct"/>
            <w:noWrap w:val="0"/>
            <w:vAlign w:val="center"/>
          </w:tcPr>
          <w:p w14:paraId="5A0B1452">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10</w:t>
            </w:r>
          </w:p>
        </w:tc>
      </w:tr>
      <w:tr w14:paraId="39D779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95" w:type="pct"/>
            <w:noWrap w:val="0"/>
            <w:vAlign w:val="center"/>
          </w:tcPr>
          <w:p w14:paraId="21B59494">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其他</w:t>
            </w:r>
          </w:p>
        </w:tc>
        <w:tc>
          <w:tcPr>
            <w:tcW w:w="3242" w:type="pct"/>
            <w:noWrap w:val="0"/>
            <w:vAlign w:val="center"/>
          </w:tcPr>
          <w:p w14:paraId="1C47D5AE">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涉及危险物质使用、贮存的项目</w:t>
            </w:r>
          </w:p>
        </w:tc>
        <w:tc>
          <w:tcPr>
            <w:tcW w:w="861" w:type="pct"/>
            <w:noWrap w:val="0"/>
            <w:vAlign w:val="center"/>
          </w:tcPr>
          <w:p w14:paraId="4641F63C">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5</w:t>
            </w:r>
          </w:p>
        </w:tc>
      </w:tr>
      <w:tr w14:paraId="6D53AD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3"/>
            <w:noWrap w:val="0"/>
            <w:vAlign w:val="center"/>
          </w:tcPr>
          <w:p w14:paraId="3B4350D3">
            <w:pPr>
              <w:pageBreakBefore w:val="0"/>
              <w:kinsoku/>
              <w:wordWrap/>
              <w:bidi w:val="0"/>
              <w:adjustRightInd w:val="0"/>
              <w:snapToGrid w:val="0"/>
              <w:spacing w:beforeAutospacing="0" w:afterAutospacing="0" w:line="240" w:lineRule="atLeast"/>
              <w:ind w:left="0" w:leftChars="0" w:right="0"/>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a高温指工艺温度≥300℃，高压指压力容器的设计压力（P）≥10.0MPa</w:t>
            </w:r>
          </w:p>
          <w:p w14:paraId="3B68BD22">
            <w:pPr>
              <w:pageBreakBefore w:val="0"/>
              <w:kinsoku/>
              <w:wordWrap/>
              <w:bidi w:val="0"/>
              <w:adjustRightInd w:val="0"/>
              <w:snapToGrid w:val="0"/>
              <w:spacing w:beforeAutospacing="0" w:afterAutospacing="0" w:line="240" w:lineRule="atLeast"/>
              <w:ind w:left="0" w:leftChars="0" w:right="0"/>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b长输管道运输项目应按站场、管线分段进行评价。</w:t>
            </w:r>
          </w:p>
        </w:tc>
      </w:tr>
    </w:tbl>
    <w:p w14:paraId="0E7A0F44">
      <w:pPr>
        <w:pageBreakBefore w:val="0"/>
        <w:kinsoku/>
        <w:wordWrap/>
        <w:bidi w:val="0"/>
        <w:adjustRightInd w:val="0"/>
        <w:snapToGrid w:val="0"/>
        <w:spacing w:beforeAutospacing="0" w:afterAutospacing="0"/>
        <w:ind w:left="0" w:leftChars="0" w:right="0" w:firstLine="361" w:firstLineChars="200"/>
        <w:rPr>
          <w:rFonts w:hint="default" w:ascii="Times New Roman" w:hAnsi="Times New Roman" w:eastAsia="仿宋_GB2312" w:cs="Times New Roman"/>
          <w:b/>
          <w:color w:val="auto"/>
          <w:spacing w:val="0"/>
          <w:kern w:val="0"/>
          <w:position w:val="0"/>
          <w:sz w:val="18"/>
          <w:szCs w:val="18"/>
        </w:rPr>
      </w:pPr>
      <w:r>
        <w:rPr>
          <w:rFonts w:hint="default" w:ascii="Times New Roman" w:hAnsi="Times New Roman" w:eastAsia="仿宋_GB2312" w:cs="Times New Roman"/>
          <w:b/>
          <w:color w:val="auto"/>
          <w:spacing w:val="0"/>
          <w:kern w:val="0"/>
          <w:position w:val="0"/>
          <w:sz w:val="18"/>
          <w:szCs w:val="18"/>
        </w:rPr>
        <w:t>注：将M划分为（1）M&gt;20;(2)10&lt;M≤20；（3）5&lt;M≤10；（4）M=5，分别以M1、M2、M3、M4表示。</w:t>
      </w:r>
    </w:p>
    <w:p w14:paraId="710EB097">
      <w:pPr>
        <w:pageBreakBefore w:val="0"/>
        <w:kinsoku/>
        <w:wordWrap/>
        <w:bidi w:val="0"/>
        <w:adjustRightInd w:val="0"/>
        <w:snapToGrid w:val="0"/>
        <w:spacing w:beforeAutospacing="0" w:afterAutospacing="0" w:line="500" w:lineRule="exact"/>
        <w:ind w:left="0" w:leftChars="0" w:right="0" w:firstLine="480" w:firstLineChars="200"/>
        <w:contextualSpacing/>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本项目涉及</w:t>
      </w:r>
      <w:r>
        <w:rPr>
          <w:rFonts w:hint="default" w:ascii="Times New Roman" w:hAnsi="Times New Roman" w:eastAsia="仿宋_GB2312" w:cs="Times New Roman"/>
          <w:color w:val="auto"/>
          <w:spacing w:val="0"/>
          <w:kern w:val="0"/>
          <w:position w:val="0"/>
          <w:sz w:val="21"/>
          <w:szCs w:val="21"/>
        </w:rPr>
        <w:t>危险物质贮存罐区</w:t>
      </w:r>
      <w:r>
        <w:rPr>
          <w:rFonts w:hint="eastAsia" w:ascii="Times New Roman" w:hAnsi="Times New Roman" w:eastAsia="仿宋_GB2312" w:cs="Times New Roman"/>
          <w:color w:val="auto"/>
          <w:spacing w:val="0"/>
          <w:kern w:val="0"/>
          <w:position w:val="0"/>
          <w:sz w:val="21"/>
          <w:szCs w:val="21"/>
          <w:lang w:eastAsia="zh-CN"/>
        </w:rPr>
        <w:t>、</w:t>
      </w:r>
      <w:r>
        <w:rPr>
          <w:rFonts w:hint="default" w:ascii="Times New Roman" w:hAnsi="Times New Roman" w:eastAsia="仿宋_GB2312" w:cs="Times New Roman"/>
          <w:color w:val="auto"/>
          <w:spacing w:val="0"/>
          <w:kern w:val="0"/>
          <w:position w:val="0"/>
          <w:sz w:val="24"/>
          <w:szCs w:val="24"/>
          <w:lang w:val="en-US" w:eastAsia="zh-CN"/>
        </w:rPr>
        <w:t>其他行业的</w:t>
      </w:r>
      <w:r>
        <w:rPr>
          <w:rFonts w:hint="default" w:ascii="Times New Roman" w:hAnsi="Times New Roman" w:eastAsia="仿宋_GB2312" w:cs="Times New Roman"/>
          <w:color w:val="auto"/>
          <w:spacing w:val="0"/>
          <w:kern w:val="0"/>
          <w:position w:val="0"/>
          <w:sz w:val="24"/>
          <w:szCs w:val="24"/>
        </w:rPr>
        <w:t>其他危险物质使用，根据上表判定本项目M值=</w:t>
      </w:r>
      <w:r>
        <w:rPr>
          <w:rFonts w:hint="eastAsia" w:ascii="Times New Roman" w:hAnsi="Times New Roman" w:eastAsia="仿宋_GB2312" w:cs="Times New Roman"/>
          <w:color w:val="auto"/>
          <w:spacing w:val="0"/>
          <w:kern w:val="0"/>
          <w:position w:val="0"/>
          <w:sz w:val="24"/>
          <w:szCs w:val="24"/>
          <w:lang w:val="en-US" w:eastAsia="zh-CN"/>
        </w:rPr>
        <w:t>10</w:t>
      </w:r>
      <w:r>
        <w:rPr>
          <w:rFonts w:hint="default" w:ascii="Times New Roman" w:hAnsi="Times New Roman" w:eastAsia="仿宋_GB2312" w:cs="Times New Roman"/>
          <w:color w:val="auto"/>
          <w:spacing w:val="0"/>
          <w:kern w:val="0"/>
          <w:position w:val="0"/>
          <w:sz w:val="24"/>
          <w:szCs w:val="24"/>
        </w:rPr>
        <w:t>，故以M</w:t>
      </w:r>
      <w:r>
        <w:rPr>
          <w:rFonts w:hint="eastAsia" w:ascii="Times New Roman" w:hAnsi="Times New Roman" w:eastAsia="仿宋_GB2312" w:cs="Times New Roman"/>
          <w:color w:val="auto"/>
          <w:spacing w:val="0"/>
          <w:kern w:val="0"/>
          <w:position w:val="0"/>
          <w:sz w:val="24"/>
          <w:szCs w:val="24"/>
          <w:lang w:val="en-US" w:eastAsia="zh-CN"/>
        </w:rPr>
        <w:t>3</w:t>
      </w:r>
      <w:r>
        <w:rPr>
          <w:rFonts w:hint="default" w:ascii="Times New Roman" w:hAnsi="Times New Roman" w:eastAsia="仿宋_GB2312" w:cs="Times New Roman"/>
          <w:color w:val="auto"/>
          <w:spacing w:val="0"/>
          <w:kern w:val="0"/>
          <w:position w:val="0"/>
          <w:sz w:val="24"/>
          <w:szCs w:val="24"/>
        </w:rPr>
        <w:t>表示。</w:t>
      </w:r>
    </w:p>
    <w:p w14:paraId="20177405">
      <w:pPr>
        <w:keepNext w:val="0"/>
        <w:keepLines w:val="0"/>
        <w:pageBreakBefore w:val="0"/>
        <w:widowControl w:val="0"/>
        <w:kinsoku/>
        <w:wordWrap/>
        <w:overflowPunct/>
        <w:topLinePunct w:val="0"/>
        <w:autoSpaceDE/>
        <w:autoSpaceDN/>
        <w:bidi w:val="0"/>
        <w:adjustRightInd w:val="0"/>
        <w:snapToGrid w:val="0"/>
        <w:spacing w:beforeAutospacing="0" w:afterAutospacing="0" w:line="500" w:lineRule="exact"/>
        <w:ind w:left="0" w:leftChars="0" w:right="0" w:firstLine="482" w:firstLineChars="200"/>
        <w:textAlignment w:val="auto"/>
        <w:rPr>
          <w:rFonts w:hint="default" w:ascii="Times New Roman" w:hAnsi="Times New Roman" w:eastAsia="仿宋_GB2312" w:cs="Times New Roman"/>
          <w:b/>
          <w:bCs/>
          <w:color w:val="auto"/>
          <w:spacing w:val="0"/>
          <w:kern w:val="0"/>
          <w:position w:val="0"/>
          <w:sz w:val="24"/>
          <w:szCs w:val="24"/>
          <w:lang w:val="en-US" w:eastAsia="zh-CN"/>
        </w:rPr>
      </w:pPr>
      <w:r>
        <w:rPr>
          <w:rFonts w:hint="eastAsia" w:ascii="Times New Roman" w:hAnsi="Times New Roman" w:eastAsia="仿宋_GB2312" w:cs="Times New Roman"/>
          <w:b/>
          <w:bCs/>
          <w:color w:val="auto"/>
          <w:spacing w:val="0"/>
          <w:kern w:val="0"/>
          <w:position w:val="0"/>
          <w:sz w:val="24"/>
          <w:szCs w:val="24"/>
          <w:lang w:val="en-US" w:eastAsia="zh-CN"/>
        </w:rPr>
        <w:t>（3）P值确定</w:t>
      </w:r>
    </w:p>
    <w:p w14:paraId="68166DC7">
      <w:pPr>
        <w:pageBreakBefore w:val="0"/>
        <w:kinsoku/>
        <w:wordWrap/>
        <w:bidi w:val="0"/>
        <w:adjustRightInd w:val="0"/>
        <w:snapToGrid w:val="0"/>
        <w:spacing w:beforeAutospacing="0" w:afterAutospacing="0" w:line="500" w:lineRule="exact"/>
        <w:ind w:left="0" w:leftChars="0" w:right="0" w:firstLine="480" w:firstLineChars="200"/>
        <w:contextualSpacing/>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根据《建设项目环境风险评价技术导则》（HJ 169-2018）附录C中P的确定依据，如表</w:t>
      </w:r>
      <w:r>
        <w:rPr>
          <w:rFonts w:hint="eastAsia" w:ascii="Times New Roman" w:hAnsi="Times New Roman" w:eastAsia="仿宋_GB2312" w:cs="Times New Roman"/>
          <w:color w:val="auto"/>
          <w:spacing w:val="0"/>
          <w:kern w:val="0"/>
          <w:position w:val="0"/>
          <w:sz w:val="24"/>
          <w:szCs w:val="24"/>
          <w:lang w:val="en-US" w:eastAsia="zh-CN"/>
        </w:rPr>
        <w:t>2.3-3</w:t>
      </w:r>
      <w:r>
        <w:rPr>
          <w:rFonts w:hint="default" w:ascii="Times New Roman" w:hAnsi="Times New Roman" w:eastAsia="仿宋_GB2312" w:cs="Times New Roman"/>
          <w:color w:val="auto"/>
          <w:spacing w:val="0"/>
          <w:kern w:val="0"/>
          <w:position w:val="0"/>
          <w:sz w:val="24"/>
          <w:szCs w:val="24"/>
        </w:rPr>
        <w:t>所示。</w:t>
      </w:r>
    </w:p>
    <w:p w14:paraId="1D75C789">
      <w:pPr>
        <w:pageBreakBefore w:val="0"/>
        <w:tabs>
          <w:tab w:val="left" w:pos="6920"/>
        </w:tabs>
        <w:kinsoku/>
        <w:wordWrap/>
        <w:bidi w:val="0"/>
        <w:adjustRightInd w:val="0"/>
        <w:snapToGrid w:val="0"/>
        <w:spacing w:beforeAutospacing="0" w:afterAutospacing="0" w:line="500" w:lineRule="exact"/>
        <w:ind w:left="0" w:leftChars="0" w:right="0" w:firstLine="482" w:firstLineChars="200"/>
        <w:jc w:val="center"/>
        <w:rPr>
          <w:rFonts w:hint="default" w:ascii="Times New Roman" w:hAnsi="Times New Roman" w:eastAsia="仿宋_GB2312" w:cs="Times New Roman"/>
          <w:b/>
          <w:color w:val="auto"/>
          <w:spacing w:val="0"/>
          <w:kern w:val="0"/>
          <w:position w:val="0"/>
          <w:sz w:val="24"/>
          <w:szCs w:val="24"/>
        </w:rPr>
      </w:pPr>
      <w:r>
        <w:rPr>
          <w:rFonts w:hint="default" w:ascii="Times New Roman" w:hAnsi="Times New Roman" w:eastAsia="仿宋_GB2312" w:cs="Times New Roman"/>
          <w:b/>
          <w:color w:val="auto"/>
          <w:spacing w:val="0"/>
          <w:kern w:val="0"/>
          <w:position w:val="0"/>
          <w:sz w:val="24"/>
          <w:szCs w:val="24"/>
        </w:rPr>
        <w:t>表</w:t>
      </w:r>
      <w:r>
        <w:rPr>
          <w:rFonts w:hint="default" w:ascii="Times New Roman" w:hAnsi="Times New Roman" w:eastAsia="仿宋_GB2312" w:cs="Times New Roman"/>
          <w:b/>
          <w:color w:val="auto"/>
          <w:spacing w:val="0"/>
          <w:kern w:val="0"/>
          <w:position w:val="0"/>
          <w:sz w:val="24"/>
          <w:szCs w:val="24"/>
          <w:lang w:val="en-US" w:eastAsia="zh-CN"/>
        </w:rPr>
        <w:t>2</w:t>
      </w:r>
      <w:r>
        <w:rPr>
          <w:rFonts w:hint="eastAsia" w:ascii="Times New Roman" w:hAnsi="Times New Roman" w:eastAsia="仿宋_GB2312" w:cs="Times New Roman"/>
          <w:b/>
          <w:color w:val="auto"/>
          <w:spacing w:val="0"/>
          <w:kern w:val="0"/>
          <w:position w:val="0"/>
          <w:sz w:val="24"/>
          <w:szCs w:val="24"/>
          <w:lang w:val="en-US" w:eastAsia="zh-CN"/>
        </w:rPr>
        <w:t xml:space="preserve">.3-3 </w:t>
      </w:r>
      <w:r>
        <w:rPr>
          <w:rFonts w:hint="default" w:ascii="Times New Roman" w:hAnsi="Times New Roman" w:eastAsia="仿宋_GB2312" w:cs="Times New Roman"/>
          <w:b/>
          <w:color w:val="auto"/>
          <w:spacing w:val="0"/>
          <w:kern w:val="0"/>
          <w:position w:val="0"/>
          <w:sz w:val="24"/>
          <w:szCs w:val="24"/>
        </w:rPr>
        <w:t xml:space="preserve"> 危险物质及工艺系统危险性等级判断（P）</w:t>
      </w:r>
    </w:p>
    <w:tbl>
      <w:tblPr>
        <w:tblStyle w:val="31"/>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57"/>
        <w:gridCol w:w="1858"/>
        <w:gridCol w:w="1856"/>
        <w:gridCol w:w="1856"/>
        <w:gridCol w:w="1859"/>
      </w:tblGrid>
      <w:tr w14:paraId="59210C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00" w:type="pct"/>
            <w:vMerge w:val="restart"/>
            <w:noWrap w:val="0"/>
            <w:vAlign w:val="center"/>
          </w:tcPr>
          <w:p w14:paraId="471E29ED">
            <w:pPr>
              <w:pageBreakBefore w:val="0"/>
              <w:kinsoku/>
              <w:wordWrap/>
              <w:bidi w:val="0"/>
              <w:adjustRightInd w:val="0"/>
              <w:snapToGrid w:val="0"/>
              <w:spacing w:beforeAutospacing="0" w:afterAutospacing="0"/>
              <w:ind w:left="0" w:leftChars="0" w:right="0"/>
              <w:contextualSpacing/>
              <w:jc w:val="center"/>
              <w:rPr>
                <w:rFonts w:hint="default" w:ascii="Times New Roman" w:hAnsi="Times New Roman" w:eastAsia="仿宋_GB2312" w:cs="Times New Roman"/>
                <w:b/>
                <w:color w:val="auto"/>
                <w:spacing w:val="0"/>
                <w:kern w:val="0"/>
                <w:position w:val="0"/>
                <w:sz w:val="21"/>
                <w:szCs w:val="21"/>
              </w:rPr>
            </w:pPr>
            <w:r>
              <w:rPr>
                <w:rFonts w:hint="default" w:ascii="Times New Roman" w:hAnsi="Times New Roman" w:eastAsia="仿宋_GB2312" w:cs="Times New Roman"/>
                <w:b/>
                <w:color w:val="auto"/>
                <w:spacing w:val="0"/>
                <w:kern w:val="0"/>
                <w:position w:val="0"/>
                <w:sz w:val="21"/>
                <w:szCs w:val="21"/>
              </w:rPr>
              <w:t>危险物质数量与临界量比值（Q）</w:t>
            </w:r>
          </w:p>
        </w:tc>
        <w:tc>
          <w:tcPr>
            <w:tcW w:w="3999" w:type="pct"/>
            <w:gridSpan w:val="4"/>
            <w:noWrap w:val="0"/>
            <w:vAlign w:val="center"/>
          </w:tcPr>
          <w:p w14:paraId="45BCFFEF">
            <w:pPr>
              <w:pageBreakBefore w:val="0"/>
              <w:kinsoku/>
              <w:wordWrap/>
              <w:bidi w:val="0"/>
              <w:adjustRightInd w:val="0"/>
              <w:snapToGrid w:val="0"/>
              <w:spacing w:beforeAutospacing="0" w:afterAutospacing="0"/>
              <w:ind w:left="0" w:leftChars="0" w:right="0"/>
              <w:contextualSpacing/>
              <w:jc w:val="center"/>
              <w:rPr>
                <w:rFonts w:hint="default" w:ascii="Times New Roman" w:hAnsi="Times New Roman" w:eastAsia="仿宋_GB2312" w:cs="Times New Roman"/>
                <w:b/>
                <w:color w:val="auto"/>
                <w:spacing w:val="0"/>
                <w:kern w:val="0"/>
                <w:position w:val="0"/>
                <w:sz w:val="21"/>
                <w:szCs w:val="21"/>
              </w:rPr>
            </w:pPr>
            <w:r>
              <w:rPr>
                <w:rFonts w:hint="default" w:ascii="Times New Roman" w:hAnsi="Times New Roman" w:eastAsia="仿宋_GB2312" w:cs="Times New Roman"/>
                <w:b/>
                <w:color w:val="auto"/>
                <w:spacing w:val="0"/>
                <w:kern w:val="0"/>
                <w:position w:val="0"/>
                <w:sz w:val="21"/>
                <w:szCs w:val="21"/>
              </w:rPr>
              <w:t>行业及生产工艺（M）</w:t>
            </w:r>
          </w:p>
        </w:tc>
      </w:tr>
      <w:tr w14:paraId="62AA78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00" w:type="pct"/>
            <w:vMerge w:val="continue"/>
            <w:noWrap w:val="0"/>
            <w:vAlign w:val="center"/>
          </w:tcPr>
          <w:p w14:paraId="2406C8A3">
            <w:pPr>
              <w:pageBreakBefore w:val="0"/>
              <w:kinsoku/>
              <w:wordWrap/>
              <w:bidi w:val="0"/>
              <w:adjustRightInd w:val="0"/>
              <w:snapToGrid w:val="0"/>
              <w:spacing w:beforeAutospacing="0" w:afterAutospacing="0"/>
              <w:ind w:left="0" w:leftChars="0" w:right="0"/>
              <w:contextualSpacing/>
              <w:jc w:val="center"/>
              <w:rPr>
                <w:rFonts w:hint="default" w:ascii="Times New Roman" w:hAnsi="Times New Roman" w:eastAsia="仿宋_GB2312" w:cs="Times New Roman"/>
                <w:b/>
                <w:color w:val="auto"/>
                <w:spacing w:val="0"/>
                <w:kern w:val="0"/>
                <w:position w:val="0"/>
                <w:sz w:val="21"/>
                <w:szCs w:val="21"/>
              </w:rPr>
            </w:pPr>
          </w:p>
        </w:tc>
        <w:tc>
          <w:tcPr>
            <w:tcW w:w="1000" w:type="pct"/>
            <w:noWrap w:val="0"/>
            <w:vAlign w:val="center"/>
          </w:tcPr>
          <w:p w14:paraId="5B825D70">
            <w:pPr>
              <w:pageBreakBefore w:val="0"/>
              <w:kinsoku/>
              <w:wordWrap/>
              <w:bidi w:val="0"/>
              <w:adjustRightInd w:val="0"/>
              <w:snapToGrid w:val="0"/>
              <w:spacing w:beforeAutospacing="0" w:afterAutospacing="0"/>
              <w:ind w:left="0" w:leftChars="0" w:right="0"/>
              <w:contextualSpacing/>
              <w:jc w:val="center"/>
              <w:rPr>
                <w:rFonts w:hint="default" w:ascii="Times New Roman" w:hAnsi="Times New Roman" w:eastAsia="仿宋_GB2312" w:cs="Times New Roman"/>
                <w:b/>
                <w:color w:val="auto"/>
                <w:spacing w:val="0"/>
                <w:kern w:val="0"/>
                <w:position w:val="0"/>
                <w:sz w:val="21"/>
                <w:szCs w:val="21"/>
              </w:rPr>
            </w:pPr>
            <w:r>
              <w:rPr>
                <w:rFonts w:hint="default" w:ascii="Times New Roman" w:hAnsi="Times New Roman" w:eastAsia="仿宋_GB2312" w:cs="Times New Roman"/>
                <w:b/>
                <w:color w:val="auto"/>
                <w:spacing w:val="0"/>
                <w:kern w:val="0"/>
                <w:position w:val="0"/>
                <w:sz w:val="21"/>
                <w:szCs w:val="21"/>
              </w:rPr>
              <w:t>M1</w:t>
            </w:r>
          </w:p>
        </w:tc>
        <w:tc>
          <w:tcPr>
            <w:tcW w:w="999" w:type="pct"/>
            <w:noWrap w:val="0"/>
            <w:vAlign w:val="center"/>
          </w:tcPr>
          <w:p w14:paraId="10C2DBF0">
            <w:pPr>
              <w:pageBreakBefore w:val="0"/>
              <w:kinsoku/>
              <w:wordWrap/>
              <w:bidi w:val="0"/>
              <w:adjustRightInd w:val="0"/>
              <w:snapToGrid w:val="0"/>
              <w:spacing w:beforeAutospacing="0" w:afterAutospacing="0"/>
              <w:ind w:left="0" w:leftChars="0" w:right="0"/>
              <w:contextualSpacing/>
              <w:jc w:val="center"/>
              <w:rPr>
                <w:rFonts w:hint="default" w:ascii="Times New Roman" w:hAnsi="Times New Roman" w:eastAsia="仿宋_GB2312" w:cs="Times New Roman"/>
                <w:b/>
                <w:color w:val="auto"/>
                <w:spacing w:val="0"/>
                <w:kern w:val="0"/>
                <w:position w:val="0"/>
                <w:sz w:val="21"/>
                <w:szCs w:val="21"/>
              </w:rPr>
            </w:pPr>
            <w:r>
              <w:rPr>
                <w:rFonts w:hint="default" w:ascii="Times New Roman" w:hAnsi="Times New Roman" w:eastAsia="仿宋_GB2312" w:cs="Times New Roman"/>
                <w:b/>
                <w:color w:val="auto"/>
                <w:spacing w:val="0"/>
                <w:kern w:val="0"/>
                <w:position w:val="0"/>
                <w:sz w:val="21"/>
                <w:szCs w:val="21"/>
              </w:rPr>
              <w:t>M2</w:t>
            </w:r>
          </w:p>
        </w:tc>
        <w:tc>
          <w:tcPr>
            <w:tcW w:w="999" w:type="pct"/>
            <w:noWrap w:val="0"/>
            <w:vAlign w:val="center"/>
          </w:tcPr>
          <w:p w14:paraId="1CEA2F4A">
            <w:pPr>
              <w:pageBreakBefore w:val="0"/>
              <w:kinsoku/>
              <w:wordWrap/>
              <w:bidi w:val="0"/>
              <w:adjustRightInd w:val="0"/>
              <w:snapToGrid w:val="0"/>
              <w:spacing w:beforeAutospacing="0" w:afterAutospacing="0"/>
              <w:ind w:left="0" w:leftChars="0" w:right="0"/>
              <w:contextualSpacing/>
              <w:jc w:val="center"/>
              <w:rPr>
                <w:rFonts w:hint="default" w:ascii="Times New Roman" w:hAnsi="Times New Roman" w:eastAsia="仿宋_GB2312" w:cs="Times New Roman"/>
                <w:b/>
                <w:color w:val="auto"/>
                <w:spacing w:val="0"/>
                <w:kern w:val="0"/>
                <w:position w:val="0"/>
                <w:sz w:val="21"/>
                <w:szCs w:val="21"/>
              </w:rPr>
            </w:pPr>
            <w:r>
              <w:rPr>
                <w:rFonts w:hint="default" w:ascii="Times New Roman" w:hAnsi="Times New Roman" w:eastAsia="仿宋_GB2312" w:cs="Times New Roman"/>
                <w:b/>
                <w:color w:val="auto"/>
                <w:spacing w:val="0"/>
                <w:kern w:val="0"/>
                <w:position w:val="0"/>
                <w:sz w:val="21"/>
                <w:szCs w:val="21"/>
              </w:rPr>
              <w:t>M3</w:t>
            </w:r>
          </w:p>
        </w:tc>
        <w:tc>
          <w:tcPr>
            <w:tcW w:w="999" w:type="pct"/>
            <w:noWrap w:val="0"/>
            <w:vAlign w:val="center"/>
          </w:tcPr>
          <w:p w14:paraId="54AD5F84">
            <w:pPr>
              <w:pageBreakBefore w:val="0"/>
              <w:kinsoku/>
              <w:wordWrap/>
              <w:bidi w:val="0"/>
              <w:adjustRightInd w:val="0"/>
              <w:snapToGrid w:val="0"/>
              <w:spacing w:beforeAutospacing="0" w:afterAutospacing="0"/>
              <w:ind w:left="0" w:leftChars="0" w:right="0"/>
              <w:contextualSpacing/>
              <w:jc w:val="center"/>
              <w:rPr>
                <w:rFonts w:hint="default" w:ascii="Times New Roman" w:hAnsi="Times New Roman" w:eastAsia="仿宋_GB2312" w:cs="Times New Roman"/>
                <w:b/>
                <w:color w:val="auto"/>
                <w:spacing w:val="0"/>
                <w:kern w:val="0"/>
                <w:position w:val="0"/>
                <w:sz w:val="21"/>
                <w:szCs w:val="21"/>
              </w:rPr>
            </w:pPr>
            <w:r>
              <w:rPr>
                <w:rFonts w:hint="default" w:ascii="Times New Roman" w:hAnsi="Times New Roman" w:eastAsia="仿宋_GB2312" w:cs="Times New Roman"/>
                <w:b/>
                <w:color w:val="auto"/>
                <w:spacing w:val="0"/>
                <w:kern w:val="0"/>
                <w:position w:val="0"/>
                <w:sz w:val="21"/>
                <w:szCs w:val="21"/>
              </w:rPr>
              <w:t>M4</w:t>
            </w:r>
          </w:p>
        </w:tc>
      </w:tr>
      <w:tr w14:paraId="345A80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00" w:type="pct"/>
            <w:noWrap w:val="0"/>
            <w:vAlign w:val="center"/>
          </w:tcPr>
          <w:p w14:paraId="15D97940">
            <w:pPr>
              <w:pageBreakBefore w:val="0"/>
              <w:kinsoku/>
              <w:wordWrap/>
              <w:bidi w:val="0"/>
              <w:adjustRightInd w:val="0"/>
              <w:snapToGrid w:val="0"/>
              <w:spacing w:beforeAutospacing="0" w:afterAutospacing="0"/>
              <w:ind w:left="0" w:leftChars="0" w:right="0"/>
              <w:contextualSpacing/>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Q≥100</w:t>
            </w:r>
          </w:p>
        </w:tc>
        <w:tc>
          <w:tcPr>
            <w:tcW w:w="1000" w:type="pct"/>
            <w:noWrap w:val="0"/>
            <w:vAlign w:val="center"/>
          </w:tcPr>
          <w:p w14:paraId="403268AF">
            <w:pPr>
              <w:pageBreakBefore w:val="0"/>
              <w:kinsoku/>
              <w:wordWrap/>
              <w:bidi w:val="0"/>
              <w:adjustRightInd w:val="0"/>
              <w:snapToGrid w:val="0"/>
              <w:spacing w:beforeAutospacing="0" w:afterAutospacing="0"/>
              <w:ind w:left="0" w:leftChars="0" w:right="0"/>
              <w:contextualSpacing/>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P1</w:t>
            </w:r>
          </w:p>
        </w:tc>
        <w:tc>
          <w:tcPr>
            <w:tcW w:w="999" w:type="pct"/>
            <w:noWrap w:val="0"/>
            <w:vAlign w:val="center"/>
          </w:tcPr>
          <w:p w14:paraId="3E99DFE8">
            <w:pPr>
              <w:pageBreakBefore w:val="0"/>
              <w:kinsoku/>
              <w:wordWrap/>
              <w:bidi w:val="0"/>
              <w:adjustRightInd w:val="0"/>
              <w:snapToGrid w:val="0"/>
              <w:spacing w:beforeAutospacing="0" w:afterAutospacing="0"/>
              <w:ind w:left="0" w:leftChars="0" w:right="0"/>
              <w:contextualSpacing/>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P1</w:t>
            </w:r>
          </w:p>
        </w:tc>
        <w:tc>
          <w:tcPr>
            <w:tcW w:w="999" w:type="pct"/>
            <w:noWrap w:val="0"/>
            <w:vAlign w:val="center"/>
          </w:tcPr>
          <w:p w14:paraId="09ED798A">
            <w:pPr>
              <w:pageBreakBefore w:val="0"/>
              <w:kinsoku/>
              <w:wordWrap/>
              <w:bidi w:val="0"/>
              <w:adjustRightInd w:val="0"/>
              <w:snapToGrid w:val="0"/>
              <w:spacing w:beforeAutospacing="0" w:afterAutospacing="0"/>
              <w:ind w:left="0" w:leftChars="0" w:right="0"/>
              <w:contextualSpacing/>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P2</w:t>
            </w:r>
          </w:p>
        </w:tc>
        <w:tc>
          <w:tcPr>
            <w:tcW w:w="999" w:type="pct"/>
            <w:noWrap w:val="0"/>
            <w:vAlign w:val="center"/>
          </w:tcPr>
          <w:p w14:paraId="0B40BF5C">
            <w:pPr>
              <w:pageBreakBefore w:val="0"/>
              <w:kinsoku/>
              <w:wordWrap/>
              <w:bidi w:val="0"/>
              <w:adjustRightInd w:val="0"/>
              <w:snapToGrid w:val="0"/>
              <w:spacing w:beforeAutospacing="0" w:afterAutospacing="0"/>
              <w:ind w:left="0" w:leftChars="0" w:right="0"/>
              <w:contextualSpacing/>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P3</w:t>
            </w:r>
          </w:p>
        </w:tc>
      </w:tr>
      <w:tr w14:paraId="767F67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00" w:type="pct"/>
            <w:noWrap w:val="0"/>
            <w:vAlign w:val="center"/>
          </w:tcPr>
          <w:p w14:paraId="31E992E4">
            <w:pPr>
              <w:pageBreakBefore w:val="0"/>
              <w:kinsoku/>
              <w:wordWrap/>
              <w:bidi w:val="0"/>
              <w:adjustRightInd w:val="0"/>
              <w:snapToGrid w:val="0"/>
              <w:spacing w:beforeAutospacing="0" w:afterAutospacing="0"/>
              <w:ind w:left="0" w:leftChars="0" w:right="0"/>
              <w:contextualSpacing/>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10≤Q＜100</w:t>
            </w:r>
          </w:p>
        </w:tc>
        <w:tc>
          <w:tcPr>
            <w:tcW w:w="1000" w:type="pct"/>
            <w:noWrap w:val="0"/>
            <w:vAlign w:val="center"/>
          </w:tcPr>
          <w:p w14:paraId="786B6624">
            <w:pPr>
              <w:pageBreakBefore w:val="0"/>
              <w:kinsoku/>
              <w:wordWrap/>
              <w:bidi w:val="0"/>
              <w:adjustRightInd w:val="0"/>
              <w:snapToGrid w:val="0"/>
              <w:spacing w:beforeAutospacing="0" w:afterAutospacing="0"/>
              <w:ind w:left="0" w:leftChars="0" w:right="0"/>
              <w:contextualSpacing/>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P1</w:t>
            </w:r>
          </w:p>
        </w:tc>
        <w:tc>
          <w:tcPr>
            <w:tcW w:w="999" w:type="pct"/>
            <w:noWrap w:val="0"/>
            <w:vAlign w:val="center"/>
          </w:tcPr>
          <w:p w14:paraId="402779B9">
            <w:pPr>
              <w:pageBreakBefore w:val="0"/>
              <w:kinsoku/>
              <w:wordWrap/>
              <w:bidi w:val="0"/>
              <w:adjustRightInd w:val="0"/>
              <w:snapToGrid w:val="0"/>
              <w:spacing w:beforeAutospacing="0" w:afterAutospacing="0"/>
              <w:ind w:left="0" w:leftChars="0" w:right="0"/>
              <w:contextualSpacing/>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P2</w:t>
            </w:r>
          </w:p>
        </w:tc>
        <w:tc>
          <w:tcPr>
            <w:tcW w:w="999" w:type="pct"/>
            <w:shd w:val="clear" w:color="auto" w:fill="auto"/>
            <w:noWrap w:val="0"/>
            <w:vAlign w:val="center"/>
          </w:tcPr>
          <w:p w14:paraId="6A0D2AB6">
            <w:pPr>
              <w:pageBreakBefore w:val="0"/>
              <w:kinsoku/>
              <w:wordWrap/>
              <w:bidi w:val="0"/>
              <w:adjustRightInd w:val="0"/>
              <w:snapToGrid w:val="0"/>
              <w:spacing w:beforeAutospacing="0" w:afterAutospacing="0"/>
              <w:ind w:left="0" w:leftChars="0" w:right="0"/>
              <w:contextualSpacing/>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P3</w:t>
            </w:r>
          </w:p>
        </w:tc>
        <w:tc>
          <w:tcPr>
            <w:tcW w:w="999" w:type="pct"/>
            <w:shd w:val="clear" w:color="auto" w:fill="auto"/>
            <w:noWrap w:val="0"/>
            <w:vAlign w:val="center"/>
          </w:tcPr>
          <w:p w14:paraId="55BF295C">
            <w:pPr>
              <w:pageBreakBefore w:val="0"/>
              <w:kinsoku/>
              <w:wordWrap/>
              <w:bidi w:val="0"/>
              <w:adjustRightInd w:val="0"/>
              <w:snapToGrid w:val="0"/>
              <w:spacing w:beforeAutospacing="0" w:afterAutospacing="0"/>
              <w:ind w:left="0" w:leftChars="0" w:right="0"/>
              <w:contextualSpacing/>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P4</w:t>
            </w:r>
          </w:p>
        </w:tc>
      </w:tr>
      <w:tr w14:paraId="78750C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00" w:type="pct"/>
            <w:noWrap w:val="0"/>
            <w:vAlign w:val="center"/>
          </w:tcPr>
          <w:p w14:paraId="082EE475">
            <w:pPr>
              <w:pageBreakBefore w:val="0"/>
              <w:kinsoku/>
              <w:wordWrap/>
              <w:bidi w:val="0"/>
              <w:adjustRightInd w:val="0"/>
              <w:snapToGrid w:val="0"/>
              <w:spacing w:beforeAutospacing="0" w:afterAutospacing="0"/>
              <w:ind w:left="0" w:leftChars="0" w:right="0"/>
              <w:contextualSpacing/>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1≤Q≤10</w:t>
            </w:r>
          </w:p>
        </w:tc>
        <w:tc>
          <w:tcPr>
            <w:tcW w:w="1000" w:type="pct"/>
            <w:noWrap w:val="0"/>
            <w:vAlign w:val="center"/>
          </w:tcPr>
          <w:p w14:paraId="74FC1CAC">
            <w:pPr>
              <w:pageBreakBefore w:val="0"/>
              <w:kinsoku/>
              <w:wordWrap/>
              <w:bidi w:val="0"/>
              <w:adjustRightInd w:val="0"/>
              <w:snapToGrid w:val="0"/>
              <w:spacing w:beforeAutospacing="0" w:afterAutospacing="0"/>
              <w:ind w:left="0" w:leftChars="0" w:right="0"/>
              <w:contextualSpacing/>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P2</w:t>
            </w:r>
          </w:p>
        </w:tc>
        <w:tc>
          <w:tcPr>
            <w:tcW w:w="999" w:type="pct"/>
            <w:noWrap w:val="0"/>
            <w:vAlign w:val="center"/>
          </w:tcPr>
          <w:p w14:paraId="2B3080AF">
            <w:pPr>
              <w:pageBreakBefore w:val="0"/>
              <w:kinsoku/>
              <w:wordWrap/>
              <w:bidi w:val="0"/>
              <w:adjustRightInd w:val="0"/>
              <w:snapToGrid w:val="0"/>
              <w:spacing w:beforeAutospacing="0" w:afterAutospacing="0"/>
              <w:ind w:left="0" w:leftChars="0" w:right="0"/>
              <w:contextualSpacing/>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P3</w:t>
            </w:r>
          </w:p>
        </w:tc>
        <w:tc>
          <w:tcPr>
            <w:tcW w:w="999" w:type="pct"/>
            <w:shd w:val="clear" w:color="auto" w:fill="A4A4A4" w:themeFill="background1" w:themeFillShade="A5"/>
            <w:noWrap w:val="0"/>
            <w:vAlign w:val="center"/>
          </w:tcPr>
          <w:p w14:paraId="27A7FD31">
            <w:pPr>
              <w:pageBreakBefore w:val="0"/>
              <w:kinsoku/>
              <w:wordWrap/>
              <w:bidi w:val="0"/>
              <w:adjustRightInd w:val="0"/>
              <w:snapToGrid w:val="0"/>
              <w:spacing w:beforeAutospacing="0" w:afterAutospacing="0"/>
              <w:ind w:left="0" w:leftChars="0" w:right="0"/>
              <w:contextualSpacing/>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P4</w:t>
            </w:r>
          </w:p>
        </w:tc>
        <w:tc>
          <w:tcPr>
            <w:tcW w:w="999" w:type="pct"/>
            <w:noWrap w:val="0"/>
            <w:vAlign w:val="center"/>
          </w:tcPr>
          <w:p w14:paraId="10BC9958">
            <w:pPr>
              <w:pageBreakBefore w:val="0"/>
              <w:kinsoku/>
              <w:wordWrap/>
              <w:bidi w:val="0"/>
              <w:adjustRightInd w:val="0"/>
              <w:snapToGrid w:val="0"/>
              <w:spacing w:beforeAutospacing="0" w:afterAutospacing="0"/>
              <w:ind w:left="0" w:leftChars="0" w:right="0"/>
              <w:contextualSpacing/>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P4</w:t>
            </w:r>
          </w:p>
        </w:tc>
      </w:tr>
    </w:tbl>
    <w:p w14:paraId="6AA2B93D">
      <w:pPr>
        <w:pageBreakBefore w:val="0"/>
        <w:kinsoku/>
        <w:wordWrap/>
        <w:bidi w:val="0"/>
        <w:adjustRightInd w:val="0"/>
        <w:snapToGrid w:val="0"/>
        <w:spacing w:beforeAutospacing="0" w:afterAutospacing="0" w:line="500" w:lineRule="exact"/>
        <w:ind w:left="0" w:leftChars="0" w:right="0" w:firstLine="560"/>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本项目1≤Q≤10，M值=</w:t>
      </w:r>
      <w:r>
        <w:rPr>
          <w:rFonts w:hint="eastAsia" w:ascii="Times New Roman" w:hAnsi="Times New Roman" w:eastAsia="仿宋_GB2312" w:cs="Times New Roman"/>
          <w:color w:val="auto"/>
          <w:spacing w:val="0"/>
          <w:kern w:val="0"/>
          <w:position w:val="0"/>
          <w:sz w:val="24"/>
          <w:szCs w:val="24"/>
          <w:lang w:val="en-US" w:eastAsia="zh-CN"/>
        </w:rPr>
        <w:t>10，</w:t>
      </w:r>
      <w:r>
        <w:rPr>
          <w:rFonts w:hint="default" w:ascii="Times New Roman" w:hAnsi="Times New Roman" w:eastAsia="仿宋_GB2312" w:cs="Times New Roman"/>
          <w:color w:val="auto"/>
          <w:spacing w:val="0"/>
          <w:kern w:val="0"/>
          <w:position w:val="0"/>
          <w:sz w:val="24"/>
          <w:szCs w:val="24"/>
        </w:rPr>
        <w:t>以M</w:t>
      </w:r>
      <w:r>
        <w:rPr>
          <w:rFonts w:hint="eastAsia" w:ascii="Times New Roman" w:hAnsi="Times New Roman" w:eastAsia="仿宋_GB2312" w:cs="Times New Roman"/>
          <w:color w:val="auto"/>
          <w:spacing w:val="0"/>
          <w:kern w:val="0"/>
          <w:position w:val="0"/>
          <w:sz w:val="24"/>
          <w:szCs w:val="24"/>
          <w:lang w:val="en-US" w:eastAsia="zh-CN"/>
        </w:rPr>
        <w:t>3</w:t>
      </w:r>
      <w:r>
        <w:rPr>
          <w:rFonts w:hint="default" w:ascii="Times New Roman" w:hAnsi="Times New Roman" w:eastAsia="仿宋_GB2312" w:cs="Times New Roman"/>
          <w:color w:val="auto"/>
          <w:spacing w:val="0"/>
          <w:kern w:val="0"/>
          <w:position w:val="0"/>
          <w:sz w:val="24"/>
          <w:szCs w:val="24"/>
        </w:rPr>
        <w:t>表示，故判断等级为P</w:t>
      </w:r>
      <w:r>
        <w:rPr>
          <w:rFonts w:hint="default" w:ascii="Times New Roman" w:hAnsi="Times New Roman" w:eastAsia="仿宋_GB2312" w:cs="Times New Roman"/>
          <w:color w:val="auto"/>
          <w:spacing w:val="0"/>
          <w:kern w:val="0"/>
          <w:position w:val="0"/>
          <w:sz w:val="24"/>
          <w:szCs w:val="24"/>
          <w:lang w:val="en-US" w:eastAsia="zh-CN"/>
        </w:rPr>
        <w:t>4</w:t>
      </w:r>
      <w:r>
        <w:rPr>
          <w:rFonts w:hint="default" w:ascii="Times New Roman" w:hAnsi="Times New Roman" w:eastAsia="仿宋_GB2312" w:cs="Times New Roman"/>
          <w:color w:val="auto"/>
          <w:spacing w:val="0"/>
          <w:kern w:val="0"/>
          <w:position w:val="0"/>
          <w:sz w:val="24"/>
          <w:szCs w:val="24"/>
        </w:rPr>
        <w:t>。</w:t>
      </w:r>
    </w:p>
    <w:p w14:paraId="5BAFCC7E">
      <w:pPr>
        <w:pStyle w:val="2"/>
        <w:keepNext/>
        <w:keepLines w:val="0"/>
        <w:pageBreakBefore w:val="0"/>
        <w:widowControl w:val="0"/>
        <w:kinsoku/>
        <w:wordWrap/>
        <w:overflowPunct w:val="0"/>
        <w:topLinePunct w:val="0"/>
        <w:autoSpaceDE/>
        <w:autoSpaceDN/>
        <w:bidi w:val="0"/>
        <w:adjustRightInd/>
        <w:snapToGrid w:val="0"/>
        <w:spacing w:before="0" w:after="0" w:line="500" w:lineRule="exact"/>
        <w:ind w:left="0" w:right="0" w:firstLine="0" w:firstLineChars="0"/>
        <w:jc w:val="both"/>
        <w:textAlignment w:val="auto"/>
        <w:outlineLvl w:val="2"/>
        <w:rPr>
          <w:rFonts w:hint="default" w:ascii="Times New Roman" w:hAnsi="Times New Roman" w:eastAsia="仿宋_GB2312" w:cs="Times New Roman"/>
          <w:b/>
          <w:bCs/>
          <w:sz w:val="24"/>
          <w:szCs w:val="24"/>
          <w:lang w:val="en-US" w:eastAsia="zh-CN"/>
        </w:rPr>
      </w:pPr>
      <w:bookmarkStart w:id="116" w:name="_Toc23496"/>
      <w:r>
        <w:rPr>
          <w:rFonts w:hint="eastAsia" w:ascii="Times New Roman" w:hAnsi="Times New Roman" w:eastAsia="仿宋_GB2312" w:cs="Times New Roman"/>
          <w:b/>
          <w:bCs/>
          <w:sz w:val="24"/>
          <w:szCs w:val="24"/>
          <w:lang w:val="en-US" w:eastAsia="zh-CN"/>
        </w:rPr>
        <w:t>2.3.2 E</w:t>
      </w:r>
      <w:r>
        <w:rPr>
          <w:rFonts w:hint="default" w:ascii="Times New Roman" w:hAnsi="Times New Roman" w:eastAsia="仿宋_GB2312" w:cs="Times New Roman"/>
          <w:b/>
          <w:bCs/>
          <w:sz w:val="24"/>
          <w:szCs w:val="24"/>
          <w:lang w:val="en-US" w:eastAsia="zh-CN"/>
        </w:rPr>
        <w:t>的分级确定</w:t>
      </w:r>
      <w:bookmarkEnd w:id="116"/>
    </w:p>
    <w:p w14:paraId="597738AB">
      <w:pPr>
        <w:pageBreakBefore w:val="0"/>
        <w:kinsoku/>
        <w:wordWrap/>
        <w:bidi w:val="0"/>
        <w:adjustRightInd w:val="0"/>
        <w:snapToGrid w:val="0"/>
        <w:spacing w:beforeAutospacing="0" w:afterAutospacing="0" w:line="500" w:lineRule="exact"/>
        <w:ind w:left="0" w:leftChars="0" w:right="0" w:firstLine="560"/>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根据《建设项目环境风险评价技术导则》（HJ 169-2018）附录D确定环境敏感程度的分级。</w:t>
      </w:r>
    </w:p>
    <w:p w14:paraId="7F6FC2D3">
      <w:pPr>
        <w:pageBreakBefore w:val="0"/>
        <w:kinsoku/>
        <w:wordWrap/>
        <w:bidi w:val="0"/>
        <w:adjustRightInd w:val="0"/>
        <w:snapToGrid w:val="0"/>
        <w:spacing w:beforeAutospacing="0" w:afterAutospacing="0" w:line="500" w:lineRule="exact"/>
        <w:ind w:left="0" w:leftChars="0" w:right="0" w:firstLine="562"/>
        <w:jc w:val="center"/>
        <w:rPr>
          <w:rFonts w:hint="default" w:ascii="Times New Roman" w:hAnsi="Times New Roman" w:eastAsia="仿宋_GB2312" w:cs="Times New Roman"/>
          <w:b/>
          <w:color w:val="auto"/>
          <w:spacing w:val="0"/>
          <w:kern w:val="0"/>
          <w:position w:val="0"/>
          <w:sz w:val="24"/>
          <w:szCs w:val="24"/>
          <w:highlight w:val="lightGray"/>
        </w:rPr>
      </w:pPr>
      <w:r>
        <w:rPr>
          <w:rFonts w:hint="default" w:ascii="Times New Roman" w:hAnsi="Times New Roman" w:eastAsia="仿宋_GB2312" w:cs="Times New Roman"/>
          <w:b/>
          <w:color w:val="auto"/>
          <w:spacing w:val="0"/>
          <w:kern w:val="0"/>
          <w:position w:val="0"/>
          <w:sz w:val="24"/>
          <w:szCs w:val="24"/>
        </w:rPr>
        <w:t>表2</w:t>
      </w:r>
      <w:r>
        <w:rPr>
          <w:rFonts w:hint="eastAsia" w:ascii="Times New Roman" w:hAnsi="Times New Roman" w:eastAsia="仿宋_GB2312" w:cs="Times New Roman"/>
          <w:b/>
          <w:color w:val="auto"/>
          <w:spacing w:val="0"/>
          <w:kern w:val="0"/>
          <w:position w:val="0"/>
          <w:sz w:val="24"/>
          <w:szCs w:val="24"/>
          <w:lang w:val="en-US" w:eastAsia="zh-CN"/>
        </w:rPr>
        <w:t xml:space="preserve">.3-4 </w:t>
      </w:r>
      <w:r>
        <w:rPr>
          <w:rFonts w:hint="default" w:ascii="Times New Roman" w:hAnsi="Times New Roman" w:eastAsia="仿宋_GB2312" w:cs="Times New Roman"/>
          <w:b/>
          <w:color w:val="auto"/>
          <w:spacing w:val="0"/>
          <w:kern w:val="0"/>
          <w:position w:val="0"/>
          <w:sz w:val="24"/>
          <w:szCs w:val="24"/>
        </w:rPr>
        <w:t xml:space="preserve"> 大气环境敏感程度分级</w:t>
      </w:r>
    </w:p>
    <w:tbl>
      <w:tblPr>
        <w:tblStyle w:val="31"/>
        <w:tblW w:w="4996"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28"/>
        <w:gridCol w:w="6709"/>
        <w:gridCol w:w="1944"/>
      </w:tblGrid>
      <w:tr w14:paraId="5EF71C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3" w:hRule="atLeast"/>
          <w:tblHeader/>
        </w:trPr>
        <w:tc>
          <w:tcPr>
            <w:tcW w:w="338" w:type="pct"/>
            <w:tcBorders>
              <w:top w:val="single" w:color="auto" w:sz="12" w:space="0"/>
              <w:left w:val="nil"/>
            </w:tcBorders>
            <w:noWrap w:val="0"/>
            <w:vAlign w:val="center"/>
          </w:tcPr>
          <w:p w14:paraId="4E73085A">
            <w:pPr>
              <w:pageBreakBefore w:val="0"/>
              <w:kinsoku/>
              <w:wordWrap/>
              <w:bidi w:val="0"/>
              <w:adjustRightInd w:val="0"/>
              <w:snapToGrid w:val="0"/>
              <w:spacing w:beforeAutospacing="0" w:afterAutospacing="0"/>
              <w:ind w:left="0" w:leftChars="0" w:right="0"/>
              <w:contextualSpacing/>
              <w:jc w:val="center"/>
              <w:rPr>
                <w:rFonts w:hint="default" w:ascii="Times New Roman" w:hAnsi="Times New Roman" w:eastAsia="仿宋_GB2312" w:cs="Times New Roman"/>
                <w:b/>
                <w:color w:val="auto"/>
                <w:spacing w:val="0"/>
                <w:kern w:val="0"/>
                <w:position w:val="0"/>
                <w:sz w:val="21"/>
                <w:szCs w:val="21"/>
              </w:rPr>
            </w:pPr>
            <w:r>
              <w:rPr>
                <w:rFonts w:hint="default" w:ascii="Times New Roman" w:hAnsi="Times New Roman" w:eastAsia="仿宋_GB2312" w:cs="Times New Roman"/>
                <w:b/>
                <w:color w:val="auto"/>
                <w:spacing w:val="0"/>
                <w:kern w:val="0"/>
                <w:position w:val="0"/>
                <w:sz w:val="21"/>
                <w:szCs w:val="21"/>
              </w:rPr>
              <w:t>分级</w:t>
            </w:r>
          </w:p>
        </w:tc>
        <w:tc>
          <w:tcPr>
            <w:tcW w:w="3613" w:type="pct"/>
            <w:tcBorders>
              <w:top w:val="single" w:color="auto" w:sz="12" w:space="0"/>
              <w:right w:val="nil"/>
            </w:tcBorders>
            <w:noWrap w:val="0"/>
            <w:vAlign w:val="center"/>
          </w:tcPr>
          <w:p w14:paraId="215A95EB">
            <w:pPr>
              <w:pageBreakBefore w:val="0"/>
              <w:kinsoku/>
              <w:wordWrap/>
              <w:bidi w:val="0"/>
              <w:adjustRightInd w:val="0"/>
              <w:snapToGrid w:val="0"/>
              <w:spacing w:beforeAutospacing="0" w:afterAutospacing="0"/>
              <w:ind w:left="0" w:leftChars="0" w:right="0"/>
              <w:contextualSpacing/>
              <w:jc w:val="center"/>
              <w:rPr>
                <w:rFonts w:hint="default" w:ascii="Times New Roman" w:hAnsi="Times New Roman" w:eastAsia="仿宋_GB2312" w:cs="Times New Roman"/>
                <w:b/>
                <w:color w:val="auto"/>
                <w:spacing w:val="0"/>
                <w:kern w:val="0"/>
                <w:position w:val="0"/>
                <w:sz w:val="21"/>
                <w:szCs w:val="21"/>
              </w:rPr>
            </w:pPr>
            <w:r>
              <w:rPr>
                <w:rFonts w:hint="default" w:ascii="Times New Roman" w:hAnsi="Times New Roman" w:eastAsia="仿宋_GB2312" w:cs="Times New Roman"/>
                <w:b/>
                <w:color w:val="auto"/>
                <w:spacing w:val="0"/>
                <w:kern w:val="0"/>
                <w:position w:val="0"/>
                <w:sz w:val="21"/>
                <w:szCs w:val="21"/>
              </w:rPr>
              <w:t>大气环境敏感性</w:t>
            </w:r>
          </w:p>
        </w:tc>
        <w:tc>
          <w:tcPr>
            <w:tcW w:w="1047" w:type="pct"/>
            <w:tcBorders>
              <w:top w:val="single" w:color="auto" w:sz="12" w:space="0"/>
              <w:right w:val="nil"/>
            </w:tcBorders>
            <w:noWrap w:val="0"/>
            <w:vAlign w:val="center"/>
          </w:tcPr>
          <w:p w14:paraId="164ECFFE">
            <w:pPr>
              <w:pageBreakBefore w:val="0"/>
              <w:kinsoku/>
              <w:wordWrap/>
              <w:bidi w:val="0"/>
              <w:adjustRightInd w:val="0"/>
              <w:snapToGrid w:val="0"/>
              <w:spacing w:beforeAutospacing="0" w:afterAutospacing="0"/>
              <w:ind w:left="0" w:leftChars="0" w:right="0"/>
              <w:contextualSpacing/>
              <w:jc w:val="center"/>
              <w:rPr>
                <w:rFonts w:hint="eastAsia" w:ascii="Times New Roman" w:hAnsi="Times New Roman" w:eastAsia="仿宋_GB2312" w:cs="Times New Roman"/>
                <w:b/>
                <w:color w:val="auto"/>
                <w:spacing w:val="0"/>
                <w:kern w:val="0"/>
                <w:position w:val="0"/>
                <w:sz w:val="21"/>
                <w:szCs w:val="21"/>
                <w:lang w:val="en-US" w:eastAsia="zh-CN"/>
              </w:rPr>
            </w:pPr>
            <w:r>
              <w:rPr>
                <w:rFonts w:hint="eastAsia" w:ascii="Times New Roman" w:hAnsi="Times New Roman" w:eastAsia="仿宋_GB2312" w:cs="Times New Roman"/>
                <w:b/>
                <w:color w:val="auto"/>
                <w:spacing w:val="0"/>
                <w:kern w:val="0"/>
                <w:position w:val="0"/>
                <w:sz w:val="21"/>
                <w:szCs w:val="21"/>
                <w:lang w:val="en-US" w:eastAsia="zh-CN"/>
              </w:rPr>
              <w:t>本项目</w:t>
            </w:r>
          </w:p>
        </w:tc>
      </w:tr>
      <w:tr w14:paraId="51CE6E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338" w:type="pct"/>
            <w:tcBorders>
              <w:left w:val="nil"/>
            </w:tcBorders>
            <w:noWrap w:val="0"/>
            <w:vAlign w:val="center"/>
          </w:tcPr>
          <w:p w14:paraId="0CE50F01">
            <w:pPr>
              <w:pageBreakBefore w:val="0"/>
              <w:kinsoku/>
              <w:wordWrap/>
              <w:bidi w:val="0"/>
              <w:adjustRightInd w:val="0"/>
              <w:snapToGrid w:val="0"/>
              <w:spacing w:beforeAutospacing="0" w:afterAutospacing="0"/>
              <w:ind w:left="0" w:leftChars="0" w:right="0"/>
              <w:contextualSpacing/>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E1</w:t>
            </w:r>
          </w:p>
        </w:tc>
        <w:tc>
          <w:tcPr>
            <w:tcW w:w="3613" w:type="pct"/>
            <w:tcBorders>
              <w:right w:val="nil"/>
            </w:tcBorders>
            <w:noWrap w:val="0"/>
            <w:vAlign w:val="center"/>
          </w:tcPr>
          <w:p w14:paraId="3759FB77">
            <w:pPr>
              <w:pageBreakBefore w:val="0"/>
              <w:kinsoku/>
              <w:wordWrap/>
              <w:bidi w:val="0"/>
              <w:adjustRightInd w:val="0"/>
              <w:snapToGrid w:val="0"/>
              <w:spacing w:beforeAutospacing="0" w:afterAutospacing="0"/>
              <w:ind w:left="0" w:leftChars="0" w:right="0"/>
              <w:contextualSpacing/>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周边5km范围内居住区、医疗卫生、文化教育、科研、行政办公等人口总数大于5万人，或其他需要特殊保护区域；或周边500米范围内人口总数大于1000人以上，油气、化学品输送管线管段周边200m范围内，每千米管段人口数大于200人。</w:t>
            </w:r>
          </w:p>
        </w:tc>
        <w:tc>
          <w:tcPr>
            <w:tcW w:w="1047" w:type="pct"/>
            <w:vMerge w:val="restart"/>
            <w:tcBorders>
              <w:right w:val="nil"/>
            </w:tcBorders>
            <w:noWrap w:val="0"/>
            <w:vAlign w:val="center"/>
          </w:tcPr>
          <w:p w14:paraId="37CC8F38">
            <w:pPr>
              <w:pageBreakBefore w:val="0"/>
              <w:kinsoku/>
              <w:wordWrap/>
              <w:bidi w:val="0"/>
              <w:adjustRightInd w:val="0"/>
              <w:snapToGrid w:val="0"/>
              <w:spacing w:beforeAutospacing="0" w:afterAutospacing="0"/>
              <w:ind w:left="0" w:leftChars="0" w:right="0"/>
              <w:contextualSpacing/>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本项目周边5km范围内居住区、医疗卫生、文化教育、科研、行政办公等人口总数大于5万人，由上表可知，本项目所在区域大气环境敏感程度为</w:t>
            </w:r>
            <w:r>
              <w:rPr>
                <w:rFonts w:hint="default" w:ascii="Times New Roman" w:hAnsi="Times New Roman" w:eastAsia="仿宋_GB2312" w:cs="Times New Roman"/>
                <w:b/>
                <w:bCs/>
                <w:color w:val="auto"/>
                <w:spacing w:val="0"/>
                <w:kern w:val="0"/>
                <w:position w:val="0"/>
                <w:sz w:val="21"/>
                <w:szCs w:val="21"/>
              </w:rPr>
              <w:t>E1</w:t>
            </w:r>
            <w:r>
              <w:rPr>
                <w:rFonts w:hint="default" w:ascii="Times New Roman" w:hAnsi="Times New Roman" w:eastAsia="仿宋_GB2312" w:cs="Times New Roman"/>
                <w:color w:val="auto"/>
                <w:spacing w:val="0"/>
                <w:kern w:val="0"/>
                <w:position w:val="0"/>
                <w:sz w:val="21"/>
                <w:szCs w:val="21"/>
              </w:rPr>
              <w:t>级。</w:t>
            </w:r>
          </w:p>
        </w:tc>
      </w:tr>
      <w:tr w14:paraId="40F2EC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338" w:type="pct"/>
            <w:tcBorders>
              <w:left w:val="nil"/>
            </w:tcBorders>
            <w:noWrap w:val="0"/>
            <w:vAlign w:val="center"/>
          </w:tcPr>
          <w:p w14:paraId="0F8B8F73">
            <w:pPr>
              <w:pageBreakBefore w:val="0"/>
              <w:kinsoku/>
              <w:wordWrap/>
              <w:bidi w:val="0"/>
              <w:adjustRightInd w:val="0"/>
              <w:snapToGrid w:val="0"/>
              <w:spacing w:beforeAutospacing="0" w:afterAutospacing="0"/>
              <w:ind w:left="0" w:leftChars="0" w:right="0"/>
              <w:contextualSpacing/>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E2</w:t>
            </w:r>
          </w:p>
        </w:tc>
        <w:tc>
          <w:tcPr>
            <w:tcW w:w="3613" w:type="pct"/>
            <w:tcBorders>
              <w:right w:val="nil"/>
            </w:tcBorders>
            <w:noWrap w:val="0"/>
            <w:vAlign w:val="center"/>
          </w:tcPr>
          <w:p w14:paraId="1281A49F">
            <w:pPr>
              <w:pageBreakBefore w:val="0"/>
              <w:kinsoku/>
              <w:wordWrap/>
              <w:bidi w:val="0"/>
              <w:adjustRightInd w:val="0"/>
              <w:snapToGrid w:val="0"/>
              <w:spacing w:beforeAutospacing="0" w:afterAutospacing="0"/>
              <w:ind w:left="0" w:leftChars="0" w:right="0"/>
              <w:contextualSpacing/>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周边5km范围内居住区、医疗卫生、文化教育、科研、行政办公等人口总数大于1万人，小于5万人；或周边500米范围内人口总数大于500人以上，小于1000人；油气、化学品输送管线管段周边200m范围内，每千米管段人口数大于100人，小于200人。</w:t>
            </w:r>
          </w:p>
        </w:tc>
        <w:tc>
          <w:tcPr>
            <w:tcW w:w="1047" w:type="pct"/>
            <w:vMerge w:val="continue"/>
            <w:tcBorders>
              <w:right w:val="nil"/>
            </w:tcBorders>
            <w:noWrap w:val="0"/>
            <w:vAlign w:val="center"/>
          </w:tcPr>
          <w:p w14:paraId="064FAA56">
            <w:pPr>
              <w:pageBreakBefore w:val="0"/>
              <w:kinsoku/>
              <w:wordWrap/>
              <w:bidi w:val="0"/>
              <w:adjustRightInd w:val="0"/>
              <w:snapToGrid w:val="0"/>
              <w:spacing w:beforeAutospacing="0" w:afterAutospacing="0"/>
              <w:ind w:left="0" w:leftChars="0" w:right="0"/>
              <w:contextualSpacing/>
              <w:jc w:val="center"/>
              <w:rPr>
                <w:rFonts w:hint="default" w:ascii="Times New Roman" w:hAnsi="Times New Roman" w:eastAsia="仿宋_GB2312" w:cs="Times New Roman"/>
                <w:color w:val="auto"/>
                <w:spacing w:val="0"/>
                <w:kern w:val="0"/>
                <w:position w:val="0"/>
                <w:sz w:val="21"/>
                <w:szCs w:val="21"/>
              </w:rPr>
            </w:pPr>
          </w:p>
        </w:tc>
      </w:tr>
      <w:tr w14:paraId="58DA93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8" w:hRule="atLeast"/>
        </w:trPr>
        <w:tc>
          <w:tcPr>
            <w:tcW w:w="338" w:type="pct"/>
            <w:tcBorders>
              <w:left w:val="nil"/>
              <w:bottom w:val="single" w:color="auto" w:sz="12" w:space="0"/>
            </w:tcBorders>
            <w:noWrap w:val="0"/>
            <w:vAlign w:val="center"/>
          </w:tcPr>
          <w:p w14:paraId="2CEF535E">
            <w:pPr>
              <w:pageBreakBefore w:val="0"/>
              <w:kinsoku/>
              <w:wordWrap/>
              <w:bidi w:val="0"/>
              <w:adjustRightInd w:val="0"/>
              <w:snapToGrid w:val="0"/>
              <w:spacing w:beforeAutospacing="0" w:afterAutospacing="0"/>
              <w:ind w:left="0" w:leftChars="0" w:right="0"/>
              <w:contextualSpacing/>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E3</w:t>
            </w:r>
          </w:p>
        </w:tc>
        <w:tc>
          <w:tcPr>
            <w:tcW w:w="3613" w:type="pct"/>
            <w:tcBorders>
              <w:bottom w:val="single" w:color="auto" w:sz="12" w:space="0"/>
              <w:right w:val="nil"/>
            </w:tcBorders>
            <w:noWrap w:val="0"/>
            <w:vAlign w:val="center"/>
          </w:tcPr>
          <w:p w14:paraId="1C25C4B9">
            <w:pPr>
              <w:pageBreakBefore w:val="0"/>
              <w:kinsoku/>
              <w:wordWrap/>
              <w:bidi w:val="0"/>
              <w:adjustRightInd w:val="0"/>
              <w:snapToGrid w:val="0"/>
              <w:spacing w:beforeAutospacing="0" w:afterAutospacing="0"/>
              <w:ind w:left="0" w:leftChars="0" w:right="0"/>
              <w:contextualSpacing/>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周边5km范围内居住区、医疗卫生、文化教育、科研、行政办公等人口总数小于1万人；或周边500米范围内人口总数小于500人以上；油气、化学品输送管线管段周边200m范围内，每千米管段人口数小于100人。</w:t>
            </w:r>
          </w:p>
        </w:tc>
        <w:tc>
          <w:tcPr>
            <w:tcW w:w="1047" w:type="pct"/>
            <w:vMerge w:val="continue"/>
            <w:tcBorders>
              <w:bottom w:val="single" w:color="auto" w:sz="12" w:space="0"/>
              <w:right w:val="nil"/>
            </w:tcBorders>
            <w:noWrap w:val="0"/>
            <w:vAlign w:val="center"/>
          </w:tcPr>
          <w:p w14:paraId="4ADBE449">
            <w:pPr>
              <w:pageBreakBefore w:val="0"/>
              <w:kinsoku/>
              <w:wordWrap/>
              <w:bidi w:val="0"/>
              <w:adjustRightInd w:val="0"/>
              <w:snapToGrid w:val="0"/>
              <w:spacing w:beforeAutospacing="0" w:afterAutospacing="0"/>
              <w:ind w:left="0" w:leftChars="0" w:right="0"/>
              <w:contextualSpacing/>
              <w:jc w:val="center"/>
              <w:rPr>
                <w:rFonts w:hint="default" w:ascii="Times New Roman" w:hAnsi="Times New Roman" w:eastAsia="仿宋_GB2312" w:cs="Times New Roman"/>
                <w:color w:val="auto"/>
                <w:spacing w:val="0"/>
                <w:kern w:val="0"/>
                <w:position w:val="0"/>
                <w:sz w:val="21"/>
                <w:szCs w:val="21"/>
              </w:rPr>
            </w:pPr>
          </w:p>
        </w:tc>
      </w:tr>
    </w:tbl>
    <w:p w14:paraId="7B34C370">
      <w:pPr>
        <w:pageBreakBefore w:val="0"/>
        <w:kinsoku/>
        <w:wordWrap/>
        <w:bidi w:val="0"/>
        <w:adjustRightInd w:val="0"/>
        <w:snapToGrid w:val="0"/>
        <w:spacing w:beforeAutospacing="0" w:afterAutospacing="0" w:line="500" w:lineRule="exact"/>
        <w:ind w:left="0" w:leftChars="0" w:right="0" w:firstLine="562"/>
        <w:jc w:val="center"/>
        <w:rPr>
          <w:rFonts w:hint="default" w:ascii="Times New Roman" w:hAnsi="Times New Roman" w:eastAsia="仿宋_GB2312" w:cs="Times New Roman"/>
          <w:b/>
          <w:color w:val="auto"/>
          <w:spacing w:val="0"/>
          <w:kern w:val="0"/>
          <w:position w:val="0"/>
          <w:sz w:val="24"/>
          <w:szCs w:val="24"/>
        </w:rPr>
      </w:pPr>
      <w:r>
        <w:rPr>
          <w:rFonts w:hint="default" w:ascii="Times New Roman" w:hAnsi="Times New Roman" w:eastAsia="仿宋_GB2312" w:cs="Times New Roman"/>
          <w:b/>
          <w:color w:val="auto"/>
          <w:spacing w:val="0"/>
          <w:kern w:val="0"/>
          <w:position w:val="0"/>
          <w:sz w:val="24"/>
          <w:szCs w:val="24"/>
        </w:rPr>
        <w:t>表2</w:t>
      </w:r>
      <w:r>
        <w:rPr>
          <w:rFonts w:hint="eastAsia" w:ascii="Times New Roman" w:hAnsi="Times New Roman" w:eastAsia="仿宋_GB2312" w:cs="Times New Roman"/>
          <w:b/>
          <w:color w:val="auto"/>
          <w:spacing w:val="0"/>
          <w:kern w:val="0"/>
          <w:position w:val="0"/>
          <w:sz w:val="24"/>
          <w:szCs w:val="24"/>
          <w:lang w:val="en-US" w:eastAsia="zh-CN"/>
        </w:rPr>
        <w:t xml:space="preserve">.3-5 </w:t>
      </w:r>
      <w:r>
        <w:rPr>
          <w:rFonts w:hint="default" w:ascii="Times New Roman" w:hAnsi="Times New Roman" w:eastAsia="仿宋_GB2312" w:cs="Times New Roman"/>
          <w:b/>
          <w:color w:val="auto"/>
          <w:spacing w:val="0"/>
          <w:kern w:val="0"/>
          <w:position w:val="0"/>
          <w:sz w:val="24"/>
          <w:szCs w:val="24"/>
        </w:rPr>
        <w:t xml:space="preserve"> 地表水功能敏感性分区</w:t>
      </w:r>
    </w:p>
    <w:tbl>
      <w:tblPr>
        <w:tblStyle w:val="31"/>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669"/>
        <w:gridCol w:w="5577"/>
        <w:gridCol w:w="2821"/>
      </w:tblGrid>
      <w:tr w14:paraId="2930611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369" w:type="pct"/>
            <w:noWrap w:val="0"/>
            <w:vAlign w:val="center"/>
          </w:tcPr>
          <w:p w14:paraId="06917C6D">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b/>
                <w:color w:val="auto"/>
                <w:spacing w:val="0"/>
                <w:kern w:val="0"/>
                <w:position w:val="0"/>
                <w:sz w:val="21"/>
                <w:szCs w:val="21"/>
              </w:rPr>
            </w:pPr>
            <w:r>
              <w:rPr>
                <w:rFonts w:hint="default" w:ascii="Times New Roman" w:hAnsi="Times New Roman" w:eastAsia="仿宋_GB2312" w:cs="Times New Roman"/>
                <w:b/>
                <w:color w:val="auto"/>
                <w:spacing w:val="0"/>
                <w:kern w:val="0"/>
                <w:position w:val="0"/>
                <w:sz w:val="21"/>
                <w:szCs w:val="21"/>
              </w:rPr>
              <w:t>敏感性</w:t>
            </w:r>
          </w:p>
        </w:tc>
        <w:tc>
          <w:tcPr>
            <w:tcW w:w="3074" w:type="pct"/>
            <w:noWrap w:val="0"/>
            <w:vAlign w:val="center"/>
          </w:tcPr>
          <w:p w14:paraId="66AF118A">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b/>
                <w:color w:val="auto"/>
                <w:spacing w:val="0"/>
                <w:kern w:val="0"/>
                <w:position w:val="0"/>
                <w:sz w:val="21"/>
                <w:szCs w:val="21"/>
              </w:rPr>
            </w:pPr>
            <w:r>
              <w:rPr>
                <w:rFonts w:hint="default" w:ascii="Times New Roman" w:hAnsi="Times New Roman" w:eastAsia="仿宋_GB2312" w:cs="Times New Roman"/>
                <w:b/>
                <w:color w:val="auto"/>
                <w:spacing w:val="0"/>
                <w:kern w:val="0"/>
                <w:position w:val="0"/>
                <w:sz w:val="21"/>
                <w:szCs w:val="21"/>
              </w:rPr>
              <w:t>地表水环境敏感特征</w:t>
            </w:r>
          </w:p>
        </w:tc>
        <w:tc>
          <w:tcPr>
            <w:tcW w:w="1555" w:type="pct"/>
            <w:noWrap w:val="0"/>
            <w:vAlign w:val="center"/>
          </w:tcPr>
          <w:p w14:paraId="4347D45C">
            <w:pPr>
              <w:pageBreakBefore w:val="0"/>
              <w:kinsoku/>
              <w:wordWrap/>
              <w:overflowPunct w:val="0"/>
              <w:bidi w:val="0"/>
              <w:adjustRightInd w:val="0"/>
              <w:snapToGrid w:val="0"/>
              <w:spacing w:beforeAutospacing="0" w:afterAutospacing="0"/>
              <w:ind w:left="0" w:leftChars="0" w:right="0"/>
              <w:jc w:val="center"/>
              <w:rPr>
                <w:rFonts w:hint="eastAsia" w:ascii="Times New Roman" w:hAnsi="Times New Roman" w:eastAsia="仿宋_GB2312" w:cs="Times New Roman"/>
                <w:b/>
                <w:color w:val="auto"/>
                <w:spacing w:val="0"/>
                <w:kern w:val="0"/>
                <w:position w:val="0"/>
                <w:sz w:val="21"/>
                <w:szCs w:val="21"/>
                <w:lang w:val="en-US" w:eastAsia="zh-CN"/>
              </w:rPr>
            </w:pPr>
            <w:r>
              <w:rPr>
                <w:rFonts w:hint="eastAsia" w:ascii="Times New Roman" w:hAnsi="Times New Roman" w:eastAsia="仿宋_GB2312" w:cs="Times New Roman"/>
                <w:b/>
                <w:color w:val="auto"/>
                <w:spacing w:val="0"/>
                <w:kern w:val="0"/>
                <w:position w:val="0"/>
                <w:sz w:val="21"/>
                <w:szCs w:val="21"/>
                <w:lang w:val="en-US" w:eastAsia="zh-CN"/>
              </w:rPr>
              <w:t>本项目</w:t>
            </w:r>
          </w:p>
        </w:tc>
      </w:tr>
      <w:tr w14:paraId="6AD71E8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369" w:type="pct"/>
            <w:noWrap w:val="0"/>
            <w:vAlign w:val="center"/>
          </w:tcPr>
          <w:p w14:paraId="7DF112CF">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敏感 F1</w:t>
            </w:r>
          </w:p>
        </w:tc>
        <w:tc>
          <w:tcPr>
            <w:tcW w:w="3074" w:type="pct"/>
            <w:noWrap w:val="0"/>
            <w:vAlign w:val="center"/>
          </w:tcPr>
          <w:p w14:paraId="592FD7CF">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排放点进入地表水水域环境功能为Ⅱ类及以上，或海水水质分类第一类；</w:t>
            </w:r>
            <w:r>
              <w:rPr>
                <w:rFonts w:hint="default" w:ascii="Times New Roman" w:hAnsi="Times New Roman" w:eastAsia="仿宋_GB2312" w:cs="Times New Roman"/>
                <w:color w:val="auto"/>
                <w:spacing w:val="0"/>
                <w:kern w:val="0"/>
                <w:position w:val="0"/>
                <w:sz w:val="21"/>
                <w:szCs w:val="21"/>
                <w:lang w:eastAsia="zh-CN"/>
              </w:rPr>
              <w:t>或已发生</w:t>
            </w:r>
            <w:r>
              <w:rPr>
                <w:rFonts w:hint="default" w:ascii="Times New Roman" w:hAnsi="Times New Roman" w:eastAsia="仿宋_GB2312" w:cs="Times New Roman"/>
                <w:color w:val="auto"/>
                <w:spacing w:val="0"/>
                <w:kern w:val="0"/>
                <w:position w:val="0"/>
                <w:sz w:val="21"/>
                <w:szCs w:val="21"/>
              </w:rPr>
              <w:t>事故时，危险物质泄漏到水体的排放点算起，排放进入受纳河流最大流速时，24h流经范围内涉跨国界的</w:t>
            </w:r>
          </w:p>
        </w:tc>
        <w:tc>
          <w:tcPr>
            <w:tcW w:w="1555" w:type="pct"/>
            <w:vMerge w:val="restart"/>
            <w:noWrap w:val="0"/>
            <w:vAlign w:val="center"/>
          </w:tcPr>
          <w:p w14:paraId="2C0765FD">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本项目周边地表水为</w:t>
            </w:r>
            <w:r>
              <w:rPr>
                <w:rFonts w:hint="eastAsia" w:ascii="Times New Roman" w:hAnsi="Times New Roman" w:eastAsia="仿宋_GB2312" w:cs="Times New Roman"/>
                <w:color w:val="auto"/>
                <w:spacing w:val="0"/>
                <w:kern w:val="0"/>
                <w:position w:val="0"/>
                <w:sz w:val="21"/>
                <w:szCs w:val="21"/>
                <w:lang w:val="en-US" w:eastAsia="zh-CN"/>
              </w:rPr>
              <w:t>尧塘河</w:t>
            </w:r>
            <w:r>
              <w:rPr>
                <w:rFonts w:hint="default" w:ascii="Times New Roman" w:hAnsi="Times New Roman" w:eastAsia="仿宋_GB2312" w:cs="Times New Roman"/>
                <w:color w:val="auto"/>
                <w:spacing w:val="0"/>
                <w:kern w:val="0"/>
                <w:position w:val="0"/>
                <w:sz w:val="21"/>
                <w:szCs w:val="21"/>
              </w:rPr>
              <w:t>，</w:t>
            </w:r>
            <w:r>
              <w:rPr>
                <w:rFonts w:hint="eastAsia" w:ascii="Times New Roman" w:hAnsi="Times New Roman" w:eastAsia="仿宋_GB2312" w:cs="Times New Roman"/>
                <w:color w:val="auto"/>
                <w:spacing w:val="0"/>
                <w:kern w:val="0"/>
                <w:position w:val="0"/>
                <w:sz w:val="21"/>
                <w:szCs w:val="21"/>
                <w:lang w:val="en-US" w:eastAsia="zh-CN"/>
              </w:rPr>
              <w:t>中盐金赛盐厂</w:t>
            </w:r>
            <w:r>
              <w:rPr>
                <w:rFonts w:hint="default" w:ascii="Times New Roman" w:hAnsi="Times New Roman" w:eastAsia="仿宋_GB2312" w:cs="Times New Roman"/>
                <w:color w:val="auto"/>
                <w:spacing w:val="0"/>
                <w:kern w:val="0"/>
                <w:position w:val="0"/>
                <w:sz w:val="21"/>
                <w:szCs w:val="21"/>
              </w:rPr>
              <w:t>厂区内围墙边界设有排水沟，且雨水排放口使用排水泵送入外环境，发生事故后</w:t>
            </w:r>
            <w:r>
              <w:rPr>
                <w:rFonts w:hint="eastAsia" w:ascii="Times New Roman" w:hAnsi="Times New Roman" w:eastAsia="仿宋_GB2312" w:cs="Times New Roman"/>
                <w:color w:val="auto"/>
                <w:spacing w:val="0"/>
                <w:kern w:val="0"/>
                <w:position w:val="0"/>
                <w:sz w:val="21"/>
                <w:szCs w:val="21"/>
                <w:lang w:val="en-US" w:eastAsia="zh-CN"/>
              </w:rPr>
              <w:t>通过关闭雨水截止阀，将事故</w:t>
            </w:r>
            <w:r>
              <w:rPr>
                <w:rFonts w:hint="default" w:ascii="Times New Roman" w:hAnsi="Times New Roman" w:eastAsia="仿宋_GB2312" w:cs="Times New Roman"/>
                <w:color w:val="auto"/>
                <w:spacing w:val="0"/>
                <w:kern w:val="0"/>
                <w:position w:val="0"/>
                <w:sz w:val="21"/>
                <w:szCs w:val="21"/>
              </w:rPr>
              <w:t>废水</w:t>
            </w:r>
            <w:r>
              <w:rPr>
                <w:rFonts w:hint="eastAsia" w:ascii="Times New Roman" w:hAnsi="Times New Roman" w:eastAsia="仿宋_GB2312" w:cs="Times New Roman"/>
                <w:color w:val="auto"/>
                <w:spacing w:val="0"/>
                <w:kern w:val="0"/>
                <w:position w:val="0"/>
                <w:sz w:val="21"/>
                <w:szCs w:val="21"/>
                <w:lang w:val="en-US" w:eastAsia="zh-CN"/>
              </w:rPr>
              <w:t>泵入事故应急</w:t>
            </w:r>
            <w:r>
              <w:rPr>
                <w:rFonts w:hint="default" w:ascii="Times New Roman" w:hAnsi="Times New Roman" w:eastAsia="仿宋_GB2312" w:cs="Times New Roman"/>
                <w:color w:val="auto"/>
                <w:spacing w:val="0"/>
                <w:kern w:val="0"/>
                <w:position w:val="0"/>
                <w:sz w:val="21"/>
                <w:szCs w:val="21"/>
              </w:rPr>
              <w:t>池</w:t>
            </w:r>
            <w:r>
              <w:rPr>
                <w:rFonts w:hint="eastAsia" w:ascii="Times New Roman" w:hAnsi="Times New Roman" w:eastAsia="仿宋_GB2312" w:cs="Times New Roman"/>
                <w:color w:val="auto"/>
                <w:spacing w:val="0"/>
                <w:kern w:val="0"/>
                <w:position w:val="0"/>
                <w:sz w:val="21"/>
                <w:szCs w:val="21"/>
                <w:lang w:val="en-US" w:eastAsia="zh-CN"/>
              </w:rPr>
              <w:t>暂存</w:t>
            </w:r>
            <w:r>
              <w:rPr>
                <w:rFonts w:hint="default" w:ascii="Times New Roman" w:hAnsi="Times New Roman" w:eastAsia="仿宋_GB2312" w:cs="Times New Roman"/>
                <w:color w:val="auto"/>
                <w:spacing w:val="0"/>
                <w:kern w:val="0"/>
                <w:position w:val="0"/>
                <w:sz w:val="21"/>
                <w:szCs w:val="21"/>
              </w:rPr>
              <w:t>，</w:t>
            </w:r>
            <w:r>
              <w:rPr>
                <w:rFonts w:hint="eastAsia" w:ascii="Times New Roman" w:hAnsi="Times New Roman" w:eastAsia="仿宋_GB2312" w:cs="Times New Roman"/>
                <w:color w:val="auto"/>
                <w:spacing w:val="0"/>
                <w:kern w:val="0"/>
                <w:position w:val="0"/>
                <w:sz w:val="21"/>
                <w:szCs w:val="21"/>
                <w:lang w:val="en-US" w:eastAsia="zh-CN"/>
              </w:rPr>
              <w:t>委托有资质的</w:t>
            </w:r>
            <w:r>
              <w:rPr>
                <w:rFonts w:hint="default" w:ascii="Times New Roman" w:hAnsi="Times New Roman" w:eastAsia="仿宋_GB2312" w:cs="Times New Roman"/>
                <w:color w:val="auto"/>
                <w:spacing w:val="0"/>
                <w:kern w:val="0"/>
                <w:position w:val="0"/>
                <w:sz w:val="21"/>
                <w:szCs w:val="21"/>
              </w:rPr>
              <w:t>污水综合处理</w:t>
            </w:r>
            <w:r>
              <w:rPr>
                <w:rFonts w:hint="eastAsia" w:ascii="Times New Roman" w:hAnsi="Times New Roman" w:eastAsia="仿宋_GB2312" w:cs="Times New Roman"/>
                <w:color w:val="auto"/>
                <w:spacing w:val="0"/>
                <w:kern w:val="0"/>
                <w:position w:val="0"/>
                <w:sz w:val="21"/>
                <w:szCs w:val="21"/>
                <w:lang w:val="en-US" w:eastAsia="zh-CN"/>
              </w:rPr>
              <w:t>公司</w:t>
            </w:r>
            <w:r>
              <w:rPr>
                <w:rFonts w:hint="default" w:ascii="Times New Roman" w:hAnsi="Times New Roman" w:eastAsia="仿宋_GB2312" w:cs="Times New Roman"/>
                <w:color w:val="auto"/>
                <w:spacing w:val="0"/>
                <w:kern w:val="0"/>
                <w:position w:val="0"/>
                <w:sz w:val="21"/>
                <w:szCs w:val="21"/>
              </w:rPr>
              <w:t>进行处理，不会排入外环境，本次不做具体分析。</w:t>
            </w:r>
          </w:p>
        </w:tc>
      </w:tr>
      <w:tr w14:paraId="12B3520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369" w:type="pct"/>
            <w:noWrap w:val="0"/>
            <w:vAlign w:val="center"/>
          </w:tcPr>
          <w:p w14:paraId="526B6864">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较敏感 F2</w:t>
            </w:r>
          </w:p>
        </w:tc>
        <w:tc>
          <w:tcPr>
            <w:tcW w:w="3074" w:type="pct"/>
            <w:noWrap w:val="0"/>
            <w:vAlign w:val="center"/>
          </w:tcPr>
          <w:p w14:paraId="3ED39AC2">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排放点进入地表水水域环境功能为Ⅲ类，或海水水质分类第二类；</w:t>
            </w:r>
            <w:r>
              <w:rPr>
                <w:rFonts w:hint="default" w:ascii="Times New Roman" w:hAnsi="Times New Roman" w:eastAsia="仿宋_GB2312" w:cs="Times New Roman"/>
                <w:color w:val="auto"/>
                <w:spacing w:val="0"/>
                <w:kern w:val="0"/>
                <w:position w:val="0"/>
                <w:sz w:val="21"/>
                <w:szCs w:val="21"/>
                <w:lang w:eastAsia="zh-CN"/>
              </w:rPr>
              <w:t>或已发生</w:t>
            </w:r>
            <w:r>
              <w:rPr>
                <w:rFonts w:hint="default" w:ascii="Times New Roman" w:hAnsi="Times New Roman" w:eastAsia="仿宋_GB2312" w:cs="Times New Roman"/>
                <w:color w:val="auto"/>
                <w:spacing w:val="0"/>
                <w:kern w:val="0"/>
                <w:position w:val="0"/>
                <w:sz w:val="21"/>
                <w:szCs w:val="21"/>
              </w:rPr>
              <w:t>事故时，危险物质泄漏到水体的排放点算起，排放进入受纳河流最大流速时，24h流经范围内涉跨省界的</w:t>
            </w:r>
          </w:p>
        </w:tc>
        <w:tc>
          <w:tcPr>
            <w:tcW w:w="1555" w:type="pct"/>
            <w:vMerge w:val="continue"/>
            <w:noWrap w:val="0"/>
            <w:vAlign w:val="center"/>
          </w:tcPr>
          <w:p w14:paraId="7CE2C167">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p>
        </w:tc>
      </w:tr>
      <w:tr w14:paraId="0D21C75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7" w:hRule="atLeast"/>
          <w:jc w:val="center"/>
        </w:trPr>
        <w:tc>
          <w:tcPr>
            <w:tcW w:w="369" w:type="pct"/>
            <w:noWrap w:val="0"/>
            <w:vAlign w:val="center"/>
          </w:tcPr>
          <w:p w14:paraId="1FB74E91">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低敏感 F3</w:t>
            </w:r>
          </w:p>
        </w:tc>
        <w:tc>
          <w:tcPr>
            <w:tcW w:w="3074" w:type="pct"/>
            <w:noWrap w:val="0"/>
            <w:vAlign w:val="center"/>
          </w:tcPr>
          <w:p w14:paraId="6809BABC">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上述地区之外的其他地区</w:t>
            </w:r>
          </w:p>
        </w:tc>
        <w:tc>
          <w:tcPr>
            <w:tcW w:w="1555" w:type="pct"/>
            <w:vMerge w:val="continue"/>
            <w:noWrap w:val="0"/>
            <w:vAlign w:val="center"/>
          </w:tcPr>
          <w:p w14:paraId="3A002AF6">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p>
        </w:tc>
      </w:tr>
    </w:tbl>
    <w:p w14:paraId="7F1E2777">
      <w:pPr>
        <w:pageBreakBefore w:val="0"/>
        <w:kinsoku/>
        <w:wordWrap/>
        <w:bidi w:val="0"/>
        <w:adjustRightInd w:val="0"/>
        <w:snapToGrid w:val="0"/>
        <w:spacing w:beforeAutospacing="0" w:afterAutospacing="0" w:line="500" w:lineRule="exact"/>
        <w:ind w:left="0" w:leftChars="0" w:right="0" w:firstLine="562"/>
        <w:jc w:val="center"/>
        <w:rPr>
          <w:rFonts w:hint="default" w:ascii="Times New Roman" w:hAnsi="Times New Roman" w:eastAsia="仿宋_GB2312" w:cs="Times New Roman"/>
          <w:b/>
          <w:color w:val="auto"/>
          <w:spacing w:val="0"/>
          <w:kern w:val="0"/>
          <w:position w:val="0"/>
          <w:sz w:val="24"/>
          <w:szCs w:val="24"/>
        </w:rPr>
      </w:pPr>
      <w:r>
        <w:rPr>
          <w:rFonts w:hint="default" w:ascii="Times New Roman" w:hAnsi="Times New Roman" w:eastAsia="仿宋_GB2312" w:cs="Times New Roman"/>
          <w:b/>
          <w:color w:val="auto"/>
          <w:spacing w:val="0"/>
          <w:kern w:val="0"/>
          <w:position w:val="0"/>
          <w:sz w:val="24"/>
          <w:szCs w:val="24"/>
        </w:rPr>
        <w:t>表2</w:t>
      </w:r>
      <w:r>
        <w:rPr>
          <w:rFonts w:hint="eastAsia" w:ascii="Times New Roman" w:hAnsi="Times New Roman" w:eastAsia="仿宋_GB2312" w:cs="Times New Roman"/>
          <w:b/>
          <w:color w:val="auto"/>
          <w:spacing w:val="0"/>
          <w:kern w:val="0"/>
          <w:position w:val="0"/>
          <w:sz w:val="24"/>
          <w:szCs w:val="24"/>
          <w:lang w:val="en-US" w:eastAsia="zh-CN"/>
        </w:rPr>
        <w:t xml:space="preserve">.3-6 </w:t>
      </w:r>
      <w:r>
        <w:rPr>
          <w:rFonts w:hint="default" w:ascii="Times New Roman" w:hAnsi="Times New Roman" w:eastAsia="仿宋_GB2312" w:cs="Times New Roman"/>
          <w:b/>
          <w:color w:val="auto"/>
          <w:spacing w:val="0"/>
          <w:kern w:val="0"/>
          <w:position w:val="0"/>
          <w:sz w:val="24"/>
          <w:szCs w:val="24"/>
        </w:rPr>
        <w:t xml:space="preserve"> 环境敏感目标分级</w:t>
      </w:r>
    </w:p>
    <w:tbl>
      <w:tblPr>
        <w:tblStyle w:val="31"/>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363"/>
        <w:gridCol w:w="5874"/>
        <w:gridCol w:w="2830"/>
      </w:tblGrid>
      <w:tr w14:paraId="1BF91FF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blHeader/>
          <w:jc w:val="center"/>
        </w:trPr>
        <w:tc>
          <w:tcPr>
            <w:tcW w:w="200" w:type="pct"/>
            <w:noWrap w:val="0"/>
            <w:vAlign w:val="center"/>
          </w:tcPr>
          <w:p w14:paraId="467F1D80">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b/>
                <w:color w:val="auto"/>
                <w:spacing w:val="0"/>
                <w:kern w:val="0"/>
                <w:position w:val="0"/>
                <w:sz w:val="21"/>
                <w:szCs w:val="21"/>
              </w:rPr>
            </w:pPr>
            <w:r>
              <w:rPr>
                <w:rFonts w:hint="default" w:ascii="Times New Roman" w:hAnsi="Times New Roman" w:eastAsia="仿宋_GB2312" w:cs="Times New Roman"/>
                <w:b/>
                <w:color w:val="auto"/>
                <w:spacing w:val="0"/>
                <w:kern w:val="0"/>
                <w:position w:val="0"/>
                <w:sz w:val="21"/>
                <w:szCs w:val="21"/>
              </w:rPr>
              <w:t>分级</w:t>
            </w:r>
          </w:p>
        </w:tc>
        <w:tc>
          <w:tcPr>
            <w:tcW w:w="3238" w:type="pct"/>
            <w:noWrap w:val="0"/>
            <w:vAlign w:val="center"/>
          </w:tcPr>
          <w:p w14:paraId="62151201">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b/>
                <w:color w:val="auto"/>
                <w:spacing w:val="0"/>
                <w:kern w:val="0"/>
                <w:position w:val="0"/>
                <w:sz w:val="21"/>
                <w:szCs w:val="21"/>
              </w:rPr>
            </w:pPr>
            <w:r>
              <w:rPr>
                <w:rFonts w:hint="default" w:ascii="Times New Roman" w:hAnsi="Times New Roman" w:eastAsia="仿宋_GB2312" w:cs="Times New Roman"/>
                <w:b/>
                <w:color w:val="auto"/>
                <w:spacing w:val="0"/>
                <w:kern w:val="0"/>
                <w:position w:val="0"/>
                <w:sz w:val="21"/>
                <w:szCs w:val="21"/>
              </w:rPr>
              <w:t>环境敏感目标</w:t>
            </w:r>
          </w:p>
        </w:tc>
        <w:tc>
          <w:tcPr>
            <w:tcW w:w="1560" w:type="pct"/>
            <w:noWrap w:val="0"/>
            <w:vAlign w:val="center"/>
          </w:tcPr>
          <w:p w14:paraId="4450F83E">
            <w:pPr>
              <w:pageBreakBefore w:val="0"/>
              <w:kinsoku/>
              <w:wordWrap/>
              <w:overflowPunct w:val="0"/>
              <w:bidi w:val="0"/>
              <w:adjustRightInd w:val="0"/>
              <w:snapToGrid w:val="0"/>
              <w:spacing w:beforeAutospacing="0" w:afterAutospacing="0"/>
              <w:ind w:left="0" w:leftChars="0" w:right="0"/>
              <w:jc w:val="center"/>
              <w:rPr>
                <w:rFonts w:hint="eastAsia" w:ascii="Times New Roman" w:hAnsi="Times New Roman" w:eastAsia="仿宋_GB2312" w:cs="Times New Roman"/>
                <w:b/>
                <w:color w:val="auto"/>
                <w:spacing w:val="0"/>
                <w:kern w:val="0"/>
                <w:position w:val="0"/>
                <w:sz w:val="21"/>
                <w:szCs w:val="21"/>
                <w:lang w:val="en-US" w:eastAsia="zh-CN"/>
              </w:rPr>
            </w:pPr>
            <w:r>
              <w:rPr>
                <w:rFonts w:hint="eastAsia" w:ascii="Times New Roman" w:hAnsi="Times New Roman" w:eastAsia="仿宋_GB2312" w:cs="Times New Roman"/>
                <w:b/>
                <w:color w:val="auto"/>
                <w:spacing w:val="0"/>
                <w:kern w:val="0"/>
                <w:position w:val="0"/>
                <w:sz w:val="21"/>
                <w:szCs w:val="21"/>
                <w:lang w:val="en-US" w:eastAsia="zh-CN"/>
              </w:rPr>
              <w:t>本项目</w:t>
            </w:r>
          </w:p>
        </w:tc>
      </w:tr>
      <w:tr w14:paraId="33F4875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200" w:type="pct"/>
            <w:noWrap w:val="0"/>
            <w:vAlign w:val="center"/>
          </w:tcPr>
          <w:p w14:paraId="0EBFF0A7">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S1</w:t>
            </w:r>
          </w:p>
        </w:tc>
        <w:tc>
          <w:tcPr>
            <w:tcW w:w="3238" w:type="pct"/>
            <w:noWrap w:val="0"/>
            <w:vAlign w:val="center"/>
          </w:tcPr>
          <w:p w14:paraId="09814E8B">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发生事故时，危险物质泄漏到内陆水体的排放点下游（顺水流向）10km范围内、近岸海域一个潮周期水质点可能达到的最大水平距离的两倍范围内，有如下一类或多类环境风险受体：集中式地表水饮用水水源保护区（包括一级保护区、二级保护区及准保护区）；农村及分散式饮用水水源保护区；自然保护区；重要湿地；珍稀濒危野生动植物天然集中分布区；重要水生生物的自然产卵场及索饵场、越冬场和洄游通道；世界文化和自然遗产地；红树林、珊瑚礁等滨海湿地生态系统；珍稀、濒危海洋生物的天然集中分布区；海洋特别保护区；海上自然保护区；盐场保护区；海水浴场；海洋自然历史遗迹；风景名胜区；或其他特殊重要保护区域</w:t>
            </w:r>
          </w:p>
        </w:tc>
        <w:tc>
          <w:tcPr>
            <w:tcW w:w="1560" w:type="pct"/>
            <w:vMerge w:val="restart"/>
            <w:noWrap w:val="0"/>
            <w:vAlign w:val="center"/>
          </w:tcPr>
          <w:p w14:paraId="460446BB">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本项目周边地表水为</w:t>
            </w:r>
            <w:r>
              <w:rPr>
                <w:rFonts w:hint="eastAsia" w:ascii="Times New Roman" w:hAnsi="Times New Roman" w:eastAsia="仿宋_GB2312" w:cs="Times New Roman"/>
                <w:color w:val="auto"/>
                <w:spacing w:val="0"/>
                <w:kern w:val="0"/>
                <w:position w:val="0"/>
                <w:sz w:val="21"/>
                <w:szCs w:val="21"/>
                <w:lang w:val="en-US" w:eastAsia="zh-CN"/>
              </w:rPr>
              <w:t>尧塘河</w:t>
            </w:r>
            <w:r>
              <w:rPr>
                <w:rFonts w:hint="default" w:ascii="Times New Roman" w:hAnsi="Times New Roman" w:eastAsia="仿宋_GB2312" w:cs="Times New Roman"/>
                <w:color w:val="auto"/>
                <w:spacing w:val="0"/>
                <w:kern w:val="0"/>
                <w:position w:val="0"/>
                <w:sz w:val="21"/>
                <w:szCs w:val="21"/>
              </w:rPr>
              <w:t>，</w:t>
            </w:r>
            <w:r>
              <w:rPr>
                <w:rFonts w:hint="eastAsia" w:ascii="Times New Roman" w:hAnsi="Times New Roman" w:eastAsia="仿宋_GB2312" w:cs="Times New Roman"/>
                <w:color w:val="auto"/>
                <w:spacing w:val="0"/>
                <w:kern w:val="0"/>
                <w:position w:val="0"/>
                <w:sz w:val="21"/>
                <w:szCs w:val="21"/>
                <w:lang w:val="en-US" w:eastAsia="zh-CN"/>
              </w:rPr>
              <w:t>中盐金赛盐厂</w:t>
            </w:r>
            <w:r>
              <w:rPr>
                <w:rFonts w:hint="default" w:ascii="Times New Roman" w:hAnsi="Times New Roman" w:eastAsia="仿宋_GB2312" w:cs="Times New Roman"/>
                <w:color w:val="auto"/>
                <w:spacing w:val="0"/>
                <w:kern w:val="0"/>
                <w:position w:val="0"/>
                <w:sz w:val="21"/>
                <w:szCs w:val="21"/>
              </w:rPr>
              <w:t>厂区内围墙边界设有排水沟，且雨水排放口使用排水泵送入外环境，发生事故后</w:t>
            </w:r>
            <w:r>
              <w:rPr>
                <w:rFonts w:hint="eastAsia" w:ascii="Times New Roman" w:hAnsi="Times New Roman" w:eastAsia="仿宋_GB2312" w:cs="Times New Roman"/>
                <w:color w:val="auto"/>
                <w:spacing w:val="0"/>
                <w:kern w:val="0"/>
                <w:position w:val="0"/>
                <w:sz w:val="21"/>
                <w:szCs w:val="21"/>
                <w:lang w:val="en-US" w:eastAsia="zh-CN"/>
              </w:rPr>
              <w:t>通过关闭雨水截止阀，将事故</w:t>
            </w:r>
            <w:r>
              <w:rPr>
                <w:rFonts w:hint="default" w:ascii="Times New Roman" w:hAnsi="Times New Roman" w:eastAsia="仿宋_GB2312" w:cs="Times New Roman"/>
                <w:color w:val="auto"/>
                <w:spacing w:val="0"/>
                <w:kern w:val="0"/>
                <w:position w:val="0"/>
                <w:sz w:val="21"/>
                <w:szCs w:val="21"/>
              </w:rPr>
              <w:t>废水</w:t>
            </w:r>
            <w:r>
              <w:rPr>
                <w:rFonts w:hint="eastAsia" w:ascii="Times New Roman" w:hAnsi="Times New Roman" w:eastAsia="仿宋_GB2312" w:cs="Times New Roman"/>
                <w:color w:val="auto"/>
                <w:spacing w:val="0"/>
                <w:kern w:val="0"/>
                <w:position w:val="0"/>
                <w:sz w:val="21"/>
                <w:szCs w:val="21"/>
                <w:lang w:val="en-US" w:eastAsia="zh-CN"/>
              </w:rPr>
              <w:t>泵入事故应急</w:t>
            </w:r>
            <w:r>
              <w:rPr>
                <w:rFonts w:hint="default" w:ascii="Times New Roman" w:hAnsi="Times New Roman" w:eastAsia="仿宋_GB2312" w:cs="Times New Roman"/>
                <w:color w:val="auto"/>
                <w:spacing w:val="0"/>
                <w:kern w:val="0"/>
                <w:position w:val="0"/>
                <w:sz w:val="21"/>
                <w:szCs w:val="21"/>
              </w:rPr>
              <w:t>池</w:t>
            </w:r>
            <w:r>
              <w:rPr>
                <w:rFonts w:hint="eastAsia" w:ascii="Times New Roman" w:hAnsi="Times New Roman" w:eastAsia="仿宋_GB2312" w:cs="Times New Roman"/>
                <w:color w:val="auto"/>
                <w:spacing w:val="0"/>
                <w:kern w:val="0"/>
                <w:position w:val="0"/>
                <w:sz w:val="21"/>
                <w:szCs w:val="21"/>
                <w:lang w:val="en-US" w:eastAsia="zh-CN"/>
              </w:rPr>
              <w:t>暂存</w:t>
            </w:r>
            <w:r>
              <w:rPr>
                <w:rFonts w:hint="default" w:ascii="Times New Roman" w:hAnsi="Times New Roman" w:eastAsia="仿宋_GB2312" w:cs="Times New Roman"/>
                <w:color w:val="auto"/>
                <w:spacing w:val="0"/>
                <w:kern w:val="0"/>
                <w:position w:val="0"/>
                <w:sz w:val="21"/>
                <w:szCs w:val="21"/>
              </w:rPr>
              <w:t>，</w:t>
            </w:r>
            <w:r>
              <w:rPr>
                <w:rFonts w:hint="eastAsia" w:ascii="Times New Roman" w:hAnsi="Times New Roman" w:eastAsia="仿宋_GB2312" w:cs="Times New Roman"/>
                <w:color w:val="auto"/>
                <w:spacing w:val="0"/>
                <w:kern w:val="0"/>
                <w:position w:val="0"/>
                <w:sz w:val="21"/>
                <w:szCs w:val="21"/>
                <w:lang w:val="en-US" w:eastAsia="zh-CN"/>
              </w:rPr>
              <w:t>委托有资质的</w:t>
            </w:r>
            <w:r>
              <w:rPr>
                <w:rFonts w:hint="default" w:ascii="Times New Roman" w:hAnsi="Times New Roman" w:eastAsia="仿宋_GB2312" w:cs="Times New Roman"/>
                <w:color w:val="auto"/>
                <w:spacing w:val="0"/>
                <w:kern w:val="0"/>
                <w:position w:val="0"/>
                <w:sz w:val="21"/>
                <w:szCs w:val="21"/>
              </w:rPr>
              <w:t>污水综合处理</w:t>
            </w:r>
            <w:r>
              <w:rPr>
                <w:rFonts w:hint="eastAsia" w:ascii="Times New Roman" w:hAnsi="Times New Roman" w:eastAsia="仿宋_GB2312" w:cs="Times New Roman"/>
                <w:color w:val="auto"/>
                <w:spacing w:val="0"/>
                <w:kern w:val="0"/>
                <w:position w:val="0"/>
                <w:sz w:val="21"/>
                <w:szCs w:val="21"/>
                <w:lang w:val="en-US" w:eastAsia="zh-CN"/>
              </w:rPr>
              <w:t>公司</w:t>
            </w:r>
            <w:r>
              <w:rPr>
                <w:rFonts w:hint="default" w:ascii="Times New Roman" w:hAnsi="Times New Roman" w:eastAsia="仿宋_GB2312" w:cs="Times New Roman"/>
                <w:color w:val="auto"/>
                <w:spacing w:val="0"/>
                <w:kern w:val="0"/>
                <w:position w:val="0"/>
                <w:sz w:val="21"/>
                <w:szCs w:val="21"/>
              </w:rPr>
              <w:t>进行处理，不会排入外环境，本次不做具体分析。</w:t>
            </w:r>
          </w:p>
        </w:tc>
      </w:tr>
      <w:tr w14:paraId="4368F74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200" w:type="pct"/>
            <w:noWrap w:val="0"/>
            <w:vAlign w:val="center"/>
          </w:tcPr>
          <w:p w14:paraId="6C6D0AF2">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S2</w:t>
            </w:r>
          </w:p>
        </w:tc>
        <w:tc>
          <w:tcPr>
            <w:tcW w:w="3238" w:type="pct"/>
            <w:noWrap w:val="0"/>
            <w:vAlign w:val="center"/>
          </w:tcPr>
          <w:p w14:paraId="01B0393F">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发生事故时，危险物质泄漏到内陆水体的排放点下游（顺水流向）10 km 范围内、近岸海域一个潮周期水质点可能达到的最大水平距离的两倍范围内，有如下一类或多类环境风险受体的：水产养殖区；天然渔场；森林公园；地质公园；海滨风景游览区；具有重要经济价值的海洋生物生存区域</w:t>
            </w:r>
          </w:p>
        </w:tc>
        <w:tc>
          <w:tcPr>
            <w:tcW w:w="1560" w:type="pct"/>
            <w:vMerge w:val="continue"/>
            <w:noWrap w:val="0"/>
            <w:vAlign w:val="center"/>
          </w:tcPr>
          <w:p w14:paraId="27C573AA">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p>
        </w:tc>
      </w:tr>
      <w:tr w14:paraId="0C4ABBB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200" w:type="pct"/>
            <w:noWrap w:val="0"/>
            <w:vAlign w:val="center"/>
          </w:tcPr>
          <w:p w14:paraId="5D8EF9A7">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S3</w:t>
            </w:r>
          </w:p>
        </w:tc>
        <w:tc>
          <w:tcPr>
            <w:tcW w:w="3238" w:type="pct"/>
            <w:noWrap w:val="0"/>
            <w:vAlign w:val="center"/>
          </w:tcPr>
          <w:p w14:paraId="058C5473">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排放点下游（顺水流向）10km范围、近岸海域一个潮周期水质点可能达到的最大水平距离的两倍范围内无上述类型1和类型2包括的敏感保护目标</w:t>
            </w:r>
          </w:p>
        </w:tc>
        <w:tc>
          <w:tcPr>
            <w:tcW w:w="1560" w:type="pct"/>
            <w:vMerge w:val="continue"/>
            <w:noWrap w:val="0"/>
            <w:vAlign w:val="center"/>
          </w:tcPr>
          <w:p w14:paraId="4899CBD8">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p>
        </w:tc>
      </w:tr>
    </w:tbl>
    <w:p w14:paraId="66A24E89">
      <w:pPr>
        <w:pageBreakBefore w:val="0"/>
        <w:kinsoku/>
        <w:wordWrap/>
        <w:bidi w:val="0"/>
        <w:adjustRightInd w:val="0"/>
        <w:snapToGrid w:val="0"/>
        <w:spacing w:beforeAutospacing="0" w:afterAutospacing="0" w:line="500" w:lineRule="exact"/>
        <w:ind w:left="0" w:leftChars="0" w:right="0" w:firstLine="562"/>
        <w:jc w:val="center"/>
        <w:rPr>
          <w:rFonts w:hint="default" w:ascii="Times New Roman" w:hAnsi="Times New Roman" w:eastAsia="仿宋_GB2312" w:cs="Times New Roman"/>
          <w:b/>
          <w:color w:val="auto"/>
          <w:spacing w:val="0"/>
          <w:kern w:val="0"/>
          <w:position w:val="0"/>
          <w:sz w:val="24"/>
          <w:szCs w:val="24"/>
        </w:rPr>
      </w:pPr>
      <w:r>
        <w:rPr>
          <w:rFonts w:hint="default" w:ascii="Times New Roman" w:hAnsi="Times New Roman" w:eastAsia="仿宋_GB2312" w:cs="Times New Roman"/>
          <w:b/>
          <w:color w:val="auto"/>
          <w:spacing w:val="0"/>
          <w:kern w:val="0"/>
          <w:position w:val="0"/>
          <w:sz w:val="24"/>
          <w:szCs w:val="24"/>
        </w:rPr>
        <w:t>表2</w:t>
      </w:r>
      <w:r>
        <w:rPr>
          <w:rFonts w:hint="eastAsia" w:ascii="Times New Roman" w:hAnsi="Times New Roman" w:eastAsia="仿宋_GB2312" w:cs="Times New Roman"/>
          <w:b/>
          <w:color w:val="auto"/>
          <w:spacing w:val="0"/>
          <w:kern w:val="0"/>
          <w:position w:val="0"/>
          <w:sz w:val="24"/>
          <w:szCs w:val="24"/>
          <w:lang w:val="en-US" w:eastAsia="zh-CN"/>
        </w:rPr>
        <w:t xml:space="preserve">.3-7  </w:t>
      </w:r>
      <w:r>
        <w:rPr>
          <w:rFonts w:hint="default" w:ascii="Times New Roman" w:hAnsi="Times New Roman" w:eastAsia="仿宋_GB2312" w:cs="Times New Roman"/>
          <w:b/>
          <w:color w:val="auto"/>
          <w:spacing w:val="0"/>
          <w:kern w:val="0"/>
          <w:position w:val="0"/>
          <w:sz w:val="24"/>
          <w:szCs w:val="24"/>
        </w:rPr>
        <w:t>地下水功能敏感性分区</w:t>
      </w:r>
    </w:p>
    <w:tbl>
      <w:tblPr>
        <w:tblStyle w:val="31"/>
        <w:tblW w:w="4999"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270"/>
        <w:gridCol w:w="7800"/>
      </w:tblGrid>
      <w:tr w14:paraId="2A11447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700" w:type="pct"/>
            <w:noWrap w:val="0"/>
            <w:vAlign w:val="center"/>
          </w:tcPr>
          <w:p w14:paraId="736B9964">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b/>
                <w:color w:val="auto"/>
                <w:spacing w:val="0"/>
                <w:kern w:val="0"/>
                <w:position w:val="0"/>
                <w:sz w:val="21"/>
                <w:szCs w:val="21"/>
              </w:rPr>
            </w:pPr>
            <w:r>
              <w:rPr>
                <w:rFonts w:hint="default" w:ascii="Times New Roman" w:hAnsi="Times New Roman" w:eastAsia="仿宋_GB2312" w:cs="Times New Roman"/>
                <w:b/>
                <w:color w:val="auto"/>
                <w:spacing w:val="0"/>
                <w:kern w:val="0"/>
                <w:position w:val="0"/>
                <w:sz w:val="21"/>
                <w:szCs w:val="21"/>
              </w:rPr>
              <w:t>敏感性</w:t>
            </w:r>
          </w:p>
        </w:tc>
        <w:tc>
          <w:tcPr>
            <w:tcW w:w="4299" w:type="pct"/>
            <w:noWrap w:val="0"/>
            <w:vAlign w:val="center"/>
          </w:tcPr>
          <w:p w14:paraId="428F9B91">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b/>
                <w:color w:val="auto"/>
                <w:spacing w:val="0"/>
                <w:kern w:val="0"/>
                <w:position w:val="0"/>
                <w:sz w:val="21"/>
                <w:szCs w:val="21"/>
              </w:rPr>
            </w:pPr>
            <w:r>
              <w:rPr>
                <w:rFonts w:hint="default" w:ascii="Times New Roman" w:hAnsi="Times New Roman" w:eastAsia="仿宋_GB2312" w:cs="Times New Roman"/>
                <w:b/>
                <w:color w:val="auto"/>
                <w:spacing w:val="0"/>
                <w:kern w:val="0"/>
                <w:position w:val="0"/>
                <w:sz w:val="21"/>
                <w:szCs w:val="21"/>
              </w:rPr>
              <w:t>地下水环境敏感特征</w:t>
            </w:r>
          </w:p>
        </w:tc>
      </w:tr>
      <w:tr w14:paraId="5D778B8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700" w:type="pct"/>
            <w:noWrap w:val="0"/>
            <w:vAlign w:val="center"/>
          </w:tcPr>
          <w:p w14:paraId="137792E7">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敏感G1</w:t>
            </w:r>
          </w:p>
        </w:tc>
        <w:tc>
          <w:tcPr>
            <w:tcW w:w="4299" w:type="pct"/>
            <w:noWrap w:val="0"/>
            <w:vAlign w:val="center"/>
          </w:tcPr>
          <w:p w14:paraId="6675FB79">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集中式饮用水水源（包括已建成的在用、备用、应急水源，在建和规划的饮用水水源）准保护区；除集中式饮用水水源以外的国家或地方政府设定的与地下水环境相关的其他保护区，如热水、矿泉水、温泉等特殊地下水资源保护区</w:t>
            </w:r>
          </w:p>
        </w:tc>
      </w:tr>
      <w:tr w14:paraId="773D44A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700" w:type="pct"/>
            <w:noWrap w:val="0"/>
            <w:vAlign w:val="center"/>
          </w:tcPr>
          <w:p w14:paraId="15BF98B6">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较敏感G2</w:t>
            </w:r>
          </w:p>
        </w:tc>
        <w:tc>
          <w:tcPr>
            <w:tcW w:w="4299" w:type="pct"/>
            <w:noWrap w:val="0"/>
            <w:vAlign w:val="center"/>
          </w:tcPr>
          <w:p w14:paraId="35120407">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集中式饮用水水源（包括已建成的在用、备用、应急水源，在建和规划的饮用水水源）准保护区以外的补给径流区；未划定准保护区的集中式饮用水水源，其保护区以外的补给径流区；分散式饮用水水源地；特殊地下水资源（如热水、矿泉水、温泉等）保护区以外的分布区等其他未列入上述敏感分级 的环境敏感区</w:t>
            </w:r>
            <w:r>
              <w:rPr>
                <w:rFonts w:hint="default" w:ascii="Times New Roman" w:hAnsi="Times New Roman" w:eastAsia="仿宋_GB2312" w:cs="Times New Roman"/>
                <w:color w:val="auto"/>
                <w:spacing w:val="0"/>
                <w:kern w:val="0"/>
                <w:position w:val="0"/>
                <w:sz w:val="21"/>
                <w:szCs w:val="21"/>
                <w:vertAlign w:val="superscript"/>
              </w:rPr>
              <w:t>*</w:t>
            </w:r>
          </w:p>
        </w:tc>
      </w:tr>
      <w:tr w14:paraId="69A451F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700" w:type="pct"/>
            <w:noWrap w:val="0"/>
            <w:vAlign w:val="center"/>
          </w:tcPr>
          <w:p w14:paraId="07EDD597">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不敏感G3</w:t>
            </w:r>
          </w:p>
        </w:tc>
        <w:tc>
          <w:tcPr>
            <w:tcW w:w="4299" w:type="pct"/>
            <w:noWrap w:val="0"/>
            <w:vAlign w:val="center"/>
          </w:tcPr>
          <w:p w14:paraId="02902553">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上述地区之外的其他地区</w:t>
            </w:r>
          </w:p>
        </w:tc>
      </w:tr>
    </w:tbl>
    <w:p w14:paraId="50126308">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361" w:firstLineChars="200"/>
        <w:textAlignment w:val="auto"/>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b/>
          <w:color w:val="auto"/>
          <w:spacing w:val="0"/>
          <w:kern w:val="0"/>
          <w:position w:val="0"/>
          <w:sz w:val="18"/>
          <w:szCs w:val="18"/>
        </w:rPr>
        <w:t>*注：“环境敏感区”是指《建设项目环境影响评价分类管理名录》中所界定的涉及地下水的环境敏感区。</w:t>
      </w:r>
    </w:p>
    <w:p w14:paraId="7C6B8A04">
      <w:pPr>
        <w:pageBreakBefore w:val="0"/>
        <w:kinsoku/>
        <w:wordWrap/>
        <w:bidi w:val="0"/>
        <w:adjustRightInd w:val="0"/>
        <w:snapToGrid w:val="0"/>
        <w:spacing w:beforeAutospacing="0" w:afterAutospacing="0" w:line="500" w:lineRule="exact"/>
        <w:ind w:left="0" w:leftChars="0" w:right="0" w:firstLine="562"/>
        <w:jc w:val="center"/>
        <w:rPr>
          <w:rFonts w:hint="default" w:ascii="Times New Roman" w:hAnsi="Times New Roman" w:eastAsia="仿宋_GB2312" w:cs="Times New Roman"/>
          <w:b/>
          <w:color w:val="auto"/>
          <w:spacing w:val="0"/>
          <w:kern w:val="0"/>
          <w:position w:val="0"/>
          <w:sz w:val="24"/>
          <w:szCs w:val="24"/>
        </w:rPr>
      </w:pPr>
      <w:r>
        <w:rPr>
          <w:rFonts w:hint="default" w:ascii="Times New Roman" w:hAnsi="Times New Roman" w:eastAsia="仿宋_GB2312" w:cs="Times New Roman"/>
          <w:b/>
          <w:color w:val="auto"/>
          <w:spacing w:val="0"/>
          <w:kern w:val="0"/>
          <w:position w:val="0"/>
          <w:sz w:val="24"/>
          <w:szCs w:val="24"/>
        </w:rPr>
        <w:t>表2</w:t>
      </w:r>
      <w:r>
        <w:rPr>
          <w:rFonts w:hint="eastAsia" w:ascii="Times New Roman" w:hAnsi="Times New Roman" w:eastAsia="仿宋_GB2312" w:cs="Times New Roman"/>
          <w:b/>
          <w:color w:val="auto"/>
          <w:spacing w:val="0"/>
          <w:kern w:val="0"/>
          <w:position w:val="0"/>
          <w:sz w:val="24"/>
          <w:szCs w:val="24"/>
          <w:lang w:val="en-US" w:eastAsia="zh-CN"/>
        </w:rPr>
        <w:t xml:space="preserve">.3-8  </w:t>
      </w:r>
      <w:r>
        <w:rPr>
          <w:rFonts w:hint="default" w:ascii="Times New Roman" w:hAnsi="Times New Roman" w:eastAsia="仿宋_GB2312" w:cs="Times New Roman"/>
          <w:b/>
          <w:color w:val="auto"/>
          <w:spacing w:val="0"/>
          <w:kern w:val="0"/>
          <w:position w:val="0"/>
          <w:sz w:val="24"/>
          <w:szCs w:val="24"/>
        </w:rPr>
        <w:t>包气带防污性能分级</w:t>
      </w:r>
    </w:p>
    <w:tbl>
      <w:tblPr>
        <w:tblStyle w:val="31"/>
        <w:tblW w:w="4999"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272"/>
        <w:gridCol w:w="7798"/>
      </w:tblGrid>
      <w:tr w14:paraId="4224BD2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701" w:type="pct"/>
            <w:noWrap w:val="0"/>
            <w:vAlign w:val="center"/>
          </w:tcPr>
          <w:p w14:paraId="0852EB3F">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b/>
                <w:color w:val="auto"/>
                <w:spacing w:val="0"/>
                <w:kern w:val="0"/>
                <w:position w:val="0"/>
                <w:sz w:val="21"/>
                <w:szCs w:val="21"/>
              </w:rPr>
            </w:pPr>
            <w:r>
              <w:rPr>
                <w:rFonts w:hint="default" w:ascii="Times New Roman" w:hAnsi="Times New Roman" w:eastAsia="仿宋_GB2312" w:cs="Times New Roman"/>
                <w:b/>
                <w:color w:val="auto"/>
                <w:spacing w:val="0"/>
                <w:kern w:val="0"/>
                <w:position w:val="0"/>
                <w:sz w:val="21"/>
                <w:szCs w:val="21"/>
              </w:rPr>
              <w:t>分级</w:t>
            </w:r>
          </w:p>
        </w:tc>
        <w:tc>
          <w:tcPr>
            <w:tcW w:w="4298" w:type="pct"/>
            <w:noWrap w:val="0"/>
            <w:vAlign w:val="center"/>
          </w:tcPr>
          <w:p w14:paraId="36761E24">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b/>
                <w:color w:val="auto"/>
                <w:spacing w:val="0"/>
                <w:kern w:val="0"/>
                <w:position w:val="0"/>
                <w:sz w:val="21"/>
                <w:szCs w:val="21"/>
              </w:rPr>
            </w:pPr>
            <w:r>
              <w:rPr>
                <w:rFonts w:hint="default" w:ascii="Times New Roman" w:hAnsi="Times New Roman" w:eastAsia="仿宋_GB2312" w:cs="Times New Roman"/>
                <w:b/>
                <w:color w:val="auto"/>
                <w:spacing w:val="0"/>
                <w:kern w:val="0"/>
                <w:position w:val="0"/>
                <w:sz w:val="21"/>
                <w:szCs w:val="21"/>
              </w:rPr>
              <w:t>包气带岩土的渗透性能</w:t>
            </w:r>
          </w:p>
        </w:tc>
      </w:tr>
      <w:tr w14:paraId="4842BE4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701" w:type="pct"/>
            <w:noWrap w:val="0"/>
            <w:vAlign w:val="center"/>
          </w:tcPr>
          <w:p w14:paraId="634C24A6">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D3</w:t>
            </w:r>
          </w:p>
        </w:tc>
        <w:tc>
          <w:tcPr>
            <w:tcW w:w="4298" w:type="pct"/>
            <w:noWrap w:val="0"/>
            <w:vAlign w:val="center"/>
          </w:tcPr>
          <w:p w14:paraId="6226D3AB">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Mb≥1.0m，K≤1.0×10</w:t>
            </w:r>
            <w:r>
              <w:rPr>
                <w:rFonts w:hint="default" w:ascii="Times New Roman" w:hAnsi="Times New Roman" w:eastAsia="仿宋_GB2312" w:cs="Times New Roman"/>
                <w:color w:val="auto"/>
                <w:spacing w:val="0"/>
                <w:kern w:val="0"/>
                <w:position w:val="0"/>
                <w:sz w:val="21"/>
                <w:szCs w:val="21"/>
                <w:vertAlign w:val="superscript"/>
              </w:rPr>
              <w:t>-6</w:t>
            </w:r>
            <w:r>
              <w:rPr>
                <w:rFonts w:hint="default" w:ascii="Times New Roman" w:hAnsi="Times New Roman" w:eastAsia="仿宋_GB2312" w:cs="Times New Roman"/>
                <w:color w:val="auto"/>
                <w:spacing w:val="0"/>
                <w:kern w:val="0"/>
                <w:position w:val="0"/>
                <w:sz w:val="21"/>
                <w:szCs w:val="21"/>
              </w:rPr>
              <w:t>cm/s，且分布连续、稳定</w:t>
            </w:r>
          </w:p>
        </w:tc>
      </w:tr>
      <w:tr w14:paraId="0A03A34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701" w:type="pct"/>
            <w:noWrap w:val="0"/>
            <w:vAlign w:val="center"/>
          </w:tcPr>
          <w:p w14:paraId="02490AB4">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D2</w:t>
            </w:r>
          </w:p>
        </w:tc>
        <w:tc>
          <w:tcPr>
            <w:tcW w:w="4298" w:type="pct"/>
            <w:noWrap w:val="0"/>
            <w:vAlign w:val="center"/>
          </w:tcPr>
          <w:p w14:paraId="14A816C1">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0.5m≤Mb&lt;1.0m，K≤1.0×10</w:t>
            </w:r>
            <w:r>
              <w:rPr>
                <w:rFonts w:hint="default" w:ascii="Times New Roman" w:hAnsi="Times New Roman" w:eastAsia="仿宋_GB2312" w:cs="Times New Roman"/>
                <w:color w:val="auto"/>
                <w:spacing w:val="0"/>
                <w:kern w:val="0"/>
                <w:position w:val="0"/>
                <w:sz w:val="21"/>
                <w:szCs w:val="21"/>
                <w:vertAlign w:val="superscript"/>
              </w:rPr>
              <w:t>-6</w:t>
            </w:r>
            <w:r>
              <w:rPr>
                <w:rFonts w:hint="default" w:ascii="Times New Roman" w:hAnsi="Times New Roman" w:eastAsia="仿宋_GB2312" w:cs="Times New Roman"/>
                <w:color w:val="auto"/>
                <w:spacing w:val="0"/>
                <w:kern w:val="0"/>
                <w:position w:val="0"/>
                <w:sz w:val="21"/>
                <w:szCs w:val="21"/>
              </w:rPr>
              <w:t>cm/s，且分布连续、稳定</w:t>
            </w:r>
          </w:p>
          <w:p w14:paraId="76BC9CE8">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Mb≥1.0m，1.0×10</w:t>
            </w:r>
            <w:r>
              <w:rPr>
                <w:rFonts w:hint="default" w:ascii="Times New Roman" w:hAnsi="Times New Roman" w:eastAsia="仿宋_GB2312" w:cs="Times New Roman"/>
                <w:color w:val="auto"/>
                <w:spacing w:val="0"/>
                <w:kern w:val="0"/>
                <w:position w:val="0"/>
                <w:sz w:val="21"/>
                <w:szCs w:val="21"/>
                <w:vertAlign w:val="superscript"/>
              </w:rPr>
              <w:t>-6</w:t>
            </w:r>
            <w:r>
              <w:rPr>
                <w:rFonts w:hint="default" w:ascii="Times New Roman" w:hAnsi="Times New Roman" w:eastAsia="仿宋_GB2312" w:cs="Times New Roman"/>
                <w:color w:val="auto"/>
                <w:spacing w:val="0"/>
                <w:kern w:val="0"/>
                <w:position w:val="0"/>
                <w:sz w:val="21"/>
                <w:szCs w:val="21"/>
              </w:rPr>
              <w:t>cm/s&lt;K≤1.0×10</w:t>
            </w:r>
            <w:r>
              <w:rPr>
                <w:rFonts w:hint="default" w:ascii="Times New Roman" w:hAnsi="Times New Roman" w:eastAsia="仿宋_GB2312" w:cs="Times New Roman"/>
                <w:color w:val="auto"/>
                <w:spacing w:val="0"/>
                <w:kern w:val="0"/>
                <w:position w:val="0"/>
                <w:sz w:val="21"/>
                <w:szCs w:val="21"/>
                <w:vertAlign w:val="superscript"/>
              </w:rPr>
              <w:t>-4</w:t>
            </w:r>
            <w:r>
              <w:rPr>
                <w:rFonts w:hint="default" w:ascii="Times New Roman" w:hAnsi="Times New Roman" w:eastAsia="仿宋_GB2312" w:cs="Times New Roman"/>
                <w:color w:val="auto"/>
                <w:spacing w:val="0"/>
                <w:kern w:val="0"/>
                <w:position w:val="0"/>
                <w:sz w:val="21"/>
                <w:szCs w:val="21"/>
              </w:rPr>
              <w:t>cm/s，且分布连续、稳定</w:t>
            </w:r>
          </w:p>
        </w:tc>
      </w:tr>
      <w:tr w14:paraId="4DBD402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701" w:type="pct"/>
            <w:noWrap w:val="0"/>
            <w:vAlign w:val="center"/>
          </w:tcPr>
          <w:p w14:paraId="6C989578">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D1</w:t>
            </w:r>
          </w:p>
        </w:tc>
        <w:tc>
          <w:tcPr>
            <w:tcW w:w="4298" w:type="pct"/>
            <w:noWrap w:val="0"/>
            <w:vAlign w:val="center"/>
          </w:tcPr>
          <w:p w14:paraId="43A98EA8">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岩（土）层不满足上述“D2”和“D3”条件</w:t>
            </w:r>
          </w:p>
        </w:tc>
      </w:tr>
    </w:tbl>
    <w:p w14:paraId="66116E50">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361" w:firstLineChars="200"/>
        <w:textAlignment w:val="auto"/>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b/>
          <w:color w:val="auto"/>
          <w:spacing w:val="0"/>
          <w:kern w:val="0"/>
          <w:position w:val="0"/>
          <w:sz w:val="18"/>
          <w:szCs w:val="18"/>
        </w:rPr>
        <w:t>注：Mb为岩土层单层厚度。K为渗透系数。</w:t>
      </w:r>
    </w:p>
    <w:p w14:paraId="4D193892">
      <w:pPr>
        <w:keepNext w:val="0"/>
        <w:keepLines w:val="0"/>
        <w:pageBreakBefore w:val="0"/>
        <w:widowControl w:val="0"/>
        <w:kinsoku/>
        <w:wordWrap/>
        <w:overflowPunct/>
        <w:topLinePunct w:val="0"/>
        <w:autoSpaceDE/>
        <w:autoSpaceDN/>
        <w:bidi w:val="0"/>
        <w:adjustRightInd w:val="0"/>
        <w:snapToGrid w:val="0"/>
        <w:spacing w:beforeAutospacing="0" w:afterAutospacing="0" w:line="500" w:lineRule="exact"/>
        <w:ind w:left="0" w:leftChars="0" w:right="0" w:firstLine="480" w:firstLineChars="200"/>
        <w:textAlignment w:val="auto"/>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依据地下水功能敏感性与包气带防污性能，共分为三种类型，E1为环境高度敏感区，E2为环境中度敏感区，E3为环境低度敏感区，分级原则见表5.2.1-8。其中地下水功能敏感性分区和包气带防污性能分级分别见</w:t>
      </w:r>
      <w:r>
        <w:rPr>
          <w:rFonts w:hint="default" w:ascii="Times New Roman" w:hAnsi="Times New Roman" w:eastAsia="仿宋_GB2312" w:cs="Times New Roman"/>
          <w:color w:val="auto"/>
          <w:spacing w:val="0"/>
          <w:kern w:val="0"/>
          <w:position w:val="0"/>
          <w:sz w:val="24"/>
          <w:szCs w:val="24"/>
          <w:lang w:val="en-US" w:eastAsia="zh-CN"/>
        </w:rPr>
        <w:t>下表</w:t>
      </w:r>
      <w:r>
        <w:rPr>
          <w:rFonts w:hint="default" w:ascii="Times New Roman" w:hAnsi="Times New Roman" w:eastAsia="仿宋_GB2312" w:cs="Times New Roman"/>
          <w:color w:val="auto"/>
          <w:spacing w:val="0"/>
          <w:kern w:val="0"/>
          <w:position w:val="0"/>
          <w:sz w:val="24"/>
          <w:szCs w:val="24"/>
        </w:rPr>
        <w:t>。当同一建设项目涉及两个G分区或D分级及以上时，取相对高值。</w:t>
      </w:r>
    </w:p>
    <w:p w14:paraId="6D21A936">
      <w:pPr>
        <w:pageBreakBefore w:val="0"/>
        <w:kinsoku/>
        <w:wordWrap/>
        <w:bidi w:val="0"/>
        <w:adjustRightInd w:val="0"/>
        <w:snapToGrid w:val="0"/>
        <w:spacing w:beforeAutospacing="0" w:afterAutospacing="0" w:line="500" w:lineRule="exact"/>
        <w:ind w:left="0" w:leftChars="0" w:right="0" w:firstLine="562"/>
        <w:jc w:val="center"/>
        <w:rPr>
          <w:rFonts w:hint="default" w:ascii="Times New Roman" w:hAnsi="Times New Roman" w:eastAsia="仿宋_GB2312" w:cs="Times New Roman"/>
          <w:b/>
          <w:color w:val="auto"/>
          <w:spacing w:val="0"/>
          <w:kern w:val="0"/>
          <w:position w:val="0"/>
          <w:sz w:val="24"/>
          <w:szCs w:val="24"/>
        </w:rPr>
      </w:pPr>
      <w:r>
        <w:rPr>
          <w:rFonts w:hint="default" w:ascii="Times New Roman" w:hAnsi="Times New Roman" w:eastAsia="仿宋_GB2312" w:cs="Times New Roman"/>
          <w:b/>
          <w:color w:val="auto"/>
          <w:spacing w:val="0"/>
          <w:kern w:val="0"/>
          <w:position w:val="0"/>
          <w:sz w:val="24"/>
          <w:szCs w:val="24"/>
        </w:rPr>
        <w:t>表2</w:t>
      </w:r>
      <w:r>
        <w:rPr>
          <w:rFonts w:hint="eastAsia" w:ascii="Times New Roman" w:hAnsi="Times New Roman" w:eastAsia="仿宋_GB2312" w:cs="Times New Roman"/>
          <w:b/>
          <w:color w:val="auto"/>
          <w:spacing w:val="0"/>
          <w:kern w:val="0"/>
          <w:position w:val="0"/>
          <w:sz w:val="24"/>
          <w:szCs w:val="24"/>
          <w:lang w:val="en-US" w:eastAsia="zh-CN"/>
        </w:rPr>
        <w:t xml:space="preserve">.3-9 </w:t>
      </w:r>
      <w:r>
        <w:rPr>
          <w:rFonts w:hint="default" w:ascii="Times New Roman" w:hAnsi="Times New Roman" w:eastAsia="仿宋_GB2312" w:cs="Times New Roman"/>
          <w:b/>
          <w:color w:val="auto"/>
          <w:spacing w:val="0"/>
          <w:kern w:val="0"/>
          <w:position w:val="0"/>
          <w:sz w:val="24"/>
          <w:szCs w:val="24"/>
        </w:rPr>
        <w:t xml:space="preserve"> 地下水环境敏感程度分级</w:t>
      </w:r>
    </w:p>
    <w:tbl>
      <w:tblPr>
        <w:tblStyle w:val="31"/>
        <w:tblW w:w="4999"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2917"/>
        <w:gridCol w:w="1624"/>
        <w:gridCol w:w="2263"/>
        <w:gridCol w:w="2266"/>
      </w:tblGrid>
      <w:tr w14:paraId="7B2FEBC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1608" w:type="pct"/>
            <w:vMerge w:val="restart"/>
            <w:noWrap w:val="0"/>
            <w:vAlign w:val="center"/>
          </w:tcPr>
          <w:p w14:paraId="0C382DBC">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b/>
                <w:color w:val="auto"/>
                <w:spacing w:val="0"/>
                <w:kern w:val="0"/>
                <w:position w:val="0"/>
                <w:sz w:val="21"/>
                <w:szCs w:val="21"/>
              </w:rPr>
            </w:pPr>
            <w:r>
              <w:rPr>
                <w:rFonts w:hint="default" w:ascii="Times New Roman" w:hAnsi="Times New Roman" w:eastAsia="仿宋_GB2312" w:cs="Times New Roman"/>
                <w:b/>
                <w:color w:val="auto"/>
                <w:spacing w:val="0"/>
                <w:kern w:val="0"/>
                <w:position w:val="0"/>
                <w:sz w:val="21"/>
                <w:szCs w:val="21"/>
              </w:rPr>
              <w:t>包气带防污性能</w:t>
            </w:r>
          </w:p>
        </w:tc>
        <w:tc>
          <w:tcPr>
            <w:tcW w:w="3391" w:type="pct"/>
            <w:gridSpan w:val="3"/>
            <w:noWrap w:val="0"/>
            <w:vAlign w:val="center"/>
          </w:tcPr>
          <w:p w14:paraId="76311E34">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b/>
                <w:color w:val="auto"/>
                <w:spacing w:val="0"/>
                <w:kern w:val="0"/>
                <w:position w:val="0"/>
                <w:sz w:val="21"/>
                <w:szCs w:val="21"/>
              </w:rPr>
            </w:pPr>
            <w:r>
              <w:rPr>
                <w:rFonts w:hint="default" w:ascii="Times New Roman" w:hAnsi="Times New Roman" w:eastAsia="仿宋_GB2312" w:cs="Times New Roman"/>
                <w:b/>
                <w:color w:val="auto"/>
                <w:spacing w:val="0"/>
                <w:kern w:val="0"/>
                <w:position w:val="0"/>
                <w:sz w:val="21"/>
                <w:szCs w:val="21"/>
              </w:rPr>
              <w:t>地下水功能敏感性</w:t>
            </w:r>
          </w:p>
        </w:tc>
      </w:tr>
      <w:tr w14:paraId="5E47510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1608" w:type="pct"/>
            <w:vMerge w:val="continue"/>
            <w:noWrap w:val="0"/>
            <w:vAlign w:val="center"/>
          </w:tcPr>
          <w:p w14:paraId="0048EF94">
            <w:pPr>
              <w:pageBreakBefore w:val="0"/>
              <w:widowControl/>
              <w:kinsoku/>
              <w:wordWrap/>
              <w:bidi w:val="0"/>
              <w:adjustRightInd w:val="0"/>
              <w:snapToGrid w:val="0"/>
              <w:spacing w:beforeAutospacing="0" w:afterAutospacing="0"/>
              <w:ind w:left="0" w:leftChars="0" w:right="0"/>
              <w:jc w:val="left"/>
              <w:rPr>
                <w:rFonts w:hint="default" w:ascii="Times New Roman" w:hAnsi="Times New Roman" w:eastAsia="仿宋_GB2312" w:cs="Times New Roman"/>
                <w:b/>
                <w:color w:val="auto"/>
                <w:spacing w:val="0"/>
                <w:kern w:val="0"/>
                <w:position w:val="0"/>
                <w:sz w:val="21"/>
                <w:szCs w:val="21"/>
              </w:rPr>
            </w:pPr>
          </w:p>
        </w:tc>
        <w:tc>
          <w:tcPr>
            <w:tcW w:w="895" w:type="pct"/>
            <w:noWrap w:val="0"/>
            <w:vAlign w:val="center"/>
          </w:tcPr>
          <w:p w14:paraId="3EB7CA9B">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b/>
                <w:color w:val="auto"/>
                <w:spacing w:val="0"/>
                <w:kern w:val="0"/>
                <w:position w:val="0"/>
                <w:sz w:val="21"/>
                <w:szCs w:val="21"/>
              </w:rPr>
            </w:pPr>
            <w:r>
              <w:rPr>
                <w:rFonts w:hint="default" w:ascii="Times New Roman" w:hAnsi="Times New Roman" w:eastAsia="仿宋_GB2312" w:cs="Times New Roman"/>
                <w:b/>
                <w:color w:val="auto"/>
                <w:spacing w:val="0"/>
                <w:kern w:val="0"/>
                <w:position w:val="0"/>
                <w:sz w:val="21"/>
                <w:szCs w:val="21"/>
              </w:rPr>
              <w:t>G1</w:t>
            </w:r>
          </w:p>
        </w:tc>
        <w:tc>
          <w:tcPr>
            <w:tcW w:w="1247" w:type="pct"/>
            <w:noWrap w:val="0"/>
            <w:vAlign w:val="center"/>
          </w:tcPr>
          <w:p w14:paraId="0E561138">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b/>
                <w:color w:val="auto"/>
                <w:spacing w:val="0"/>
                <w:kern w:val="0"/>
                <w:position w:val="0"/>
                <w:sz w:val="21"/>
                <w:szCs w:val="21"/>
              </w:rPr>
            </w:pPr>
            <w:r>
              <w:rPr>
                <w:rFonts w:hint="default" w:ascii="Times New Roman" w:hAnsi="Times New Roman" w:eastAsia="仿宋_GB2312" w:cs="Times New Roman"/>
                <w:b/>
                <w:color w:val="auto"/>
                <w:spacing w:val="0"/>
                <w:kern w:val="0"/>
                <w:position w:val="0"/>
                <w:sz w:val="21"/>
                <w:szCs w:val="21"/>
              </w:rPr>
              <w:t>G2</w:t>
            </w:r>
          </w:p>
        </w:tc>
        <w:tc>
          <w:tcPr>
            <w:tcW w:w="1247" w:type="pct"/>
            <w:noWrap w:val="0"/>
            <w:vAlign w:val="center"/>
          </w:tcPr>
          <w:p w14:paraId="17B90DE7">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b/>
                <w:color w:val="auto"/>
                <w:spacing w:val="0"/>
                <w:kern w:val="0"/>
                <w:position w:val="0"/>
                <w:sz w:val="21"/>
                <w:szCs w:val="21"/>
              </w:rPr>
            </w:pPr>
            <w:r>
              <w:rPr>
                <w:rFonts w:hint="default" w:ascii="Times New Roman" w:hAnsi="Times New Roman" w:eastAsia="仿宋_GB2312" w:cs="Times New Roman"/>
                <w:b/>
                <w:color w:val="auto"/>
                <w:spacing w:val="0"/>
                <w:kern w:val="0"/>
                <w:position w:val="0"/>
                <w:sz w:val="21"/>
                <w:szCs w:val="21"/>
              </w:rPr>
              <w:t>G3</w:t>
            </w:r>
          </w:p>
        </w:tc>
      </w:tr>
      <w:tr w14:paraId="6A9C47F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1608" w:type="pct"/>
            <w:noWrap w:val="0"/>
            <w:vAlign w:val="center"/>
          </w:tcPr>
          <w:p w14:paraId="16F520C3">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D1</w:t>
            </w:r>
          </w:p>
        </w:tc>
        <w:tc>
          <w:tcPr>
            <w:tcW w:w="895" w:type="pct"/>
            <w:noWrap w:val="0"/>
            <w:vAlign w:val="center"/>
          </w:tcPr>
          <w:p w14:paraId="5C82E58F">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E1</w:t>
            </w:r>
          </w:p>
        </w:tc>
        <w:tc>
          <w:tcPr>
            <w:tcW w:w="1247" w:type="pct"/>
            <w:noWrap w:val="0"/>
            <w:vAlign w:val="center"/>
          </w:tcPr>
          <w:p w14:paraId="68F760B7">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E1</w:t>
            </w:r>
          </w:p>
        </w:tc>
        <w:tc>
          <w:tcPr>
            <w:tcW w:w="1247" w:type="pct"/>
            <w:noWrap w:val="0"/>
            <w:vAlign w:val="center"/>
          </w:tcPr>
          <w:p w14:paraId="03FAC80C">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E2</w:t>
            </w:r>
          </w:p>
        </w:tc>
      </w:tr>
      <w:tr w14:paraId="1B6DED4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1608" w:type="pct"/>
            <w:noWrap w:val="0"/>
            <w:vAlign w:val="center"/>
          </w:tcPr>
          <w:p w14:paraId="72ED7D1C">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D2</w:t>
            </w:r>
          </w:p>
        </w:tc>
        <w:tc>
          <w:tcPr>
            <w:tcW w:w="895" w:type="pct"/>
            <w:noWrap w:val="0"/>
            <w:vAlign w:val="center"/>
          </w:tcPr>
          <w:p w14:paraId="2C2C666C">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E1</w:t>
            </w:r>
          </w:p>
        </w:tc>
        <w:tc>
          <w:tcPr>
            <w:tcW w:w="1247" w:type="pct"/>
            <w:noWrap w:val="0"/>
            <w:vAlign w:val="center"/>
          </w:tcPr>
          <w:p w14:paraId="139E8340">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E2</w:t>
            </w:r>
          </w:p>
        </w:tc>
        <w:tc>
          <w:tcPr>
            <w:tcW w:w="1247" w:type="pct"/>
            <w:noWrap w:val="0"/>
            <w:vAlign w:val="center"/>
          </w:tcPr>
          <w:p w14:paraId="231E803E">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E3</w:t>
            </w:r>
          </w:p>
        </w:tc>
      </w:tr>
      <w:tr w14:paraId="3DA1B13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1608" w:type="pct"/>
            <w:noWrap w:val="0"/>
            <w:vAlign w:val="center"/>
          </w:tcPr>
          <w:p w14:paraId="6C33983E">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D3</w:t>
            </w:r>
          </w:p>
        </w:tc>
        <w:tc>
          <w:tcPr>
            <w:tcW w:w="895" w:type="pct"/>
            <w:noWrap w:val="0"/>
            <w:vAlign w:val="center"/>
          </w:tcPr>
          <w:p w14:paraId="02690257">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E2</w:t>
            </w:r>
          </w:p>
        </w:tc>
        <w:tc>
          <w:tcPr>
            <w:tcW w:w="1247" w:type="pct"/>
            <w:noWrap w:val="0"/>
            <w:vAlign w:val="center"/>
          </w:tcPr>
          <w:p w14:paraId="48C5F7E1">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E3</w:t>
            </w:r>
          </w:p>
        </w:tc>
        <w:tc>
          <w:tcPr>
            <w:tcW w:w="1247" w:type="pct"/>
            <w:noWrap w:val="0"/>
            <w:vAlign w:val="center"/>
          </w:tcPr>
          <w:p w14:paraId="5400CC6E">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E3</w:t>
            </w:r>
          </w:p>
        </w:tc>
      </w:tr>
    </w:tbl>
    <w:p w14:paraId="42D46826">
      <w:pPr>
        <w:keepNext w:val="0"/>
        <w:keepLines w:val="0"/>
        <w:pageBreakBefore w:val="0"/>
        <w:widowControl w:val="0"/>
        <w:kinsoku/>
        <w:wordWrap/>
        <w:overflowPunct/>
        <w:topLinePunct w:val="0"/>
        <w:autoSpaceDE/>
        <w:autoSpaceDN/>
        <w:bidi w:val="0"/>
        <w:adjustRightInd w:val="0"/>
        <w:snapToGrid w:val="0"/>
        <w:spacing w:beforeAutospacing="0" w:afterAutospacing="0" w:line="500" w:lineRule="exact"/>
        <w:ind w:left="0" w:leftChars="0" w:right="0" w:firstLine="480" w:firstLineChars="200"/>
        <w:textAlignment w:val="auto"/>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由上表可知，本项目所在区域地下水功能敏感性为G3，包气带防污性能分级为D2，所以本项目地下水环境敏感程度为E3级。</w:t>
      </w:r>
    </w:p>
    <w:p w14:paraId="01B8C3C2">
      <w:pPr>
        <w:pStyle w:val="2"/>
        <w:keepNext/>
        <w:keepLines w:val="0"/>
        <w:pageBreakBefore w:val="0"/>
        <w:widowControl w:val="0"/>
        <w:kinsoku/>
        <w:wordWrap/>
        <w:overflowPunct w:val="0"/>
        <w:topLinePunct w:val="0"/>
        <w:autoSpaceDE/>
        <w:autoSpaceDN/>
        <w:bidi w:val="0"/>
        <w:adjustRightInd/>
        <w:snapToGrid w:val="0"/>
        <w:spacing w:before="0" w:after="0" w:line="500" w:lineRule="exact"/>
        <w:ind w:left="0" w:right="0" w:firstLine="0" w:firstLineChars="0"/>
        <w:jc w:val="both"/>
        <w:textAlignment w:val="auto"/>
        <w:outlineLvl w:val="2"/>
        <w:rPr>
          <w:rFonts w:hint="default" w:ascii="Times New Roman" w:hAnsi="Times New Roman" w:eastAsia="仿宋_GB2312" w:cs="Times New Roman"/>
          <w:b/>
          <w:bCs/>
          <w:sz w:val="24"/>
          <w:szCs w:val="24"/>
          <w:lang w:val="en-US" w:eastAsia="zh-CN"/>
        </w:rPr>
      </w:pPr>
      <w:bookmarkStart w:id="117" w:name="_Toc44"/>
      <w:r>
        <w:rPr>
          <w:rFonts w:hint="eastAsia" w:ascii="Times New Roman" w:hAnsi="Times New Roman" w:eastAsia="仿宋_GB2312" w:cs="Times New Roman"/>
          <w:b/>
          <w:bCs/>
          <w:sz w:val="24"/>
          <w:szCs w:val="24"/>
          <w:lang w:val="en-US" w:eastAsia="zh-CN"/>
        </w:rPr>
        <w:t>2.3.3 环境风险潜势判定</w:t>
      </w:r>
      <w:bookmarkEnd w:id="117"/>
    </w:p>
    <w:p w14:paraId="56622721">
      <w:pPr>
        <w:keepNext w:val="0"/>
        <w:keepLines w:val="0"/>
        <w:pageBreakBefore w:val="0"/>
        <w:widowControl w:val="0"/>
        <w:kinsoku/>
        <w:wordWrap/>
        <w:overflowPunct/>
        <w:topLinePunct w:val="0"/>
        <w:autoSpaceDE/>
        <w:autoSpaceDN/>
        <w:bidi w:val="0"/>
        <w:adjustRightInd w:val="0"/>
        <w:snapToGrid w:val="0"/>
        <w:spacing w:beforeAutospacing="0" w:afterAutospacing="0" w:line="500" w:lineRule="exact"/>
        <w:ind w:left="0" w:leftChars="0" w:right="0" w:firstLine="480" w:firstLineChars="200"/>
        <w:textAlignment w:val="auto"/>
        <w:rPr>
          <w:rFonts w:hint="default" w:ascii="Times New Roman" w:hAnsi="Times New Roman" w:eastAsia="仿宋_GB2312" w:cs="Times New Roman"/>
          <w:color w:val="auto"/>
          <w:spacing w:val="0"/>
          <w:kern w:val="0"/>
          <w:position w:val="0"/>
          <w:sz w:val="24"/>
          <w:szCs w:val="24"/>
        </w:rPr>
      </w:pPr>
      <w:r>
        <w:rPr>
          <w:rFonts w:hint="eastAsia" w:ascii="Times New Roman" w:hAnsi="Times New Roman" w:eastAsia="仿宋_GB2312" w:cs="Times New Roman"/>
          <w:color w:val="auto"/>
          <w:spacing w:val="0"/>
          <w:kern w:val="0"/>
          <w:position w:val="0"/>
          <w:sz w:val="24"/>
          <w:szCs w:val="24"/>
        </w:rPr>
        <w:t>根据《建设项目环境风险评价技术导则》（HJ 169-2018）表2划分依据，本项目大气环境（环境高度敏感区E1）、地表水环境（周边主要为</w:t>
      </w:r>
      <w:r>
        <w:rPr>
          <w:rFonts w:hint="eastAsia" w:ascii="Times New Roman" w:hAnsi="Times New Roman" w:eastAsia="仿宋_GB2312" w:cs="Times New Roman"/>
          <w:color w:val="auto"/>
          <w:spacing w:val="0"/>
          <w:kern w:val="0"/>
          <w:position w:val="0"/>
          <w:sz w:val="24"/>
          <w:szCs w:val="24"/>
          <w:lang w:val="en-US" w:eastAsia="zh-CN"/>
        </w:rPr>
        <w:t>尧塘河</w:t>
      </w:r>
      <w:r>
        <w:rPr>
          <w:rFonts w:hint="eastAsia" w:ascii="Times New Roman" w:hAnsi="Times New Roman" w:eastAsia="仿宋_GB2312" w:cs="Times New Roman"/>
          <w:color w:val="auto"/>
          <w:spacing w:val="0"/>
          <w:kern w:val="0"/>
          <w:position w:val="0"/>
          <w:sz w:val="24"/>
          <w:szCs w:val="24"/>
        </w:rPr>
        <w:t>，发生事故后的废水收集送至事故应急池，</w:t>
      </w:r>
      <w:r>
        <w:rPr>
          <w:rFonts w:hint="eastAsia" w:ascii="Times New Roman" w:hAnsi="Times New Roman" w:eastAsia="仿宋_GB2312" w:cs="Times New Roman"/>
          <w:color w:val="auto"/>
          <w:spacing w:val="0"/>
          <w:kern w:val="0"/>
          <w:position w:val="0"/>
          <w:sz w:val="24"/>
          <w:szCs w:val="24"/>
          <w:lang w:val="en-US" w:eastAsia="zh-CN"/>
        </w:rPr>
        <w:t>委托有资质的</w:t>
      </w:r>
      <w:r>
        <w:rPr>
          <w:rFonts w:hint="eastAsia" w:ascii="Times New Roman" w:hAnsi="Times New Roman" w:eastAsia="仿宋_GB2312" w:cs="Times New Roman"/>
          <w:color w:val="auto"/>
          <w:spacing w:val="0"/>
          <w:kern w:val="0"/>
          <w:position w:val="0"/>
          <w:sz w:val="24"/>
          <w:szCs w:val="24"/>
        </w:rPr>
        <w:t>污水处理</w:t>
      </w:r>
      <w:r>
        <w:rPr>
          <w:rFonts w:hint="eastAsia" w:ascii="Times New Roman" w:hAnsi="Times New Roman" w:eastAsia="仿宋_GB2312" w:cs="Times New Roman"/>
          <w:color w:val="auto"/>
          <w:spacing w:val="0"/>
          <w:kern w:val="0"/>
          <w:position w:val="0"/>
          <w:sz w:val="24"/>
          <w:szCs w:val="24"/>
          <w:lang w:val="en-US" w:eastAsia="zh-CN"/>
        </w:rPr>
        <w:t>公司</w:t>
      </w:r>
      <w:r>
        <w:rPr>
          <w:rFonts w:hint="eastAsia" w:ascii="Times New Roman" w:hAnsi="Times New Roman" w:eastAsia="仿宋_GB2312" w:cs="Times New Roman"/>
          <w:color w:val="auto"/>
          <w:spacing w:val="0"/>
          <w:kern w:val="0"/>
          <w:position w:val="0"/>
          <w:sz w:val="24"/>
          <w:szCs w:val="24"/>
        </w:rPr>
        <w:t>进行处理，不会排入外环境，故不做地表水环境风险潜势分析）；地下水环境敏感区为E3。</w:t>
      </w:r>
    </w:p>
    <w:p w14:paraId="66639DC1">
      <w:pPr>
        <w:keepNext w:val="0"/>
        <w:keepLines w:val="0"/>
        <w:pageBreakBefore w:val="0"/>
        <w:widowControl w:val="0"/>
        <w:kinsoku/>
        <w:wordWrap/>
        <w:overflowPunct/>
        <w:topLinePunct w:val="0"/>
        <w:autoSpaceDE/>
        <w:autoSpaceDN/>
        <w:bidi w:val="0"/>
        <w:adjustRightInd w:val="0"/>
        <w:snapToGrid w:val="0"/>
        <w:spacing w:beforeAutospacing="0" w:afterAutospacing="0" w:line="500" w:lineRule="exact"/>
        <w:ind w:left="0" w:leftChars="0" w:right="0" w:firstLine="480" w:firstLineChars="200"/>
        <w:textAlignment w:val="auto"/>
        <w:rPr>
          <w:rFonts w:hint="default" w:ascii="Times New Roman" w:hAnsi="Times New Roman" w:eastAsia="仿宋_GB2312" w:cs="Times New Roman"/>
          <w:color w:val="auto"/>
          <w:spacing w:val="0"/>
          <w:kern w:val="0"/>
          <w:position w:val="0"/>
          <w:sz w:val="24"/>
          <w:szCs w:val="24"/>
        </w:rPr>
      </w:pPr>
      <w:r>
        <w:rPr>
          <w:rFonts w:hint="eastAsia" w:ascii="Times New Roman" w:hAnsi="Times New Roman" w:eastAsia="仿宋_GB2312" w:cs="Times New Roman"/>
          <w:color w:val="auto"/>
          <w:spacing w:val="0"/>
          <w:kern w:val="0"/>
          <w:position w:val="0"/>
          <w:sz w:val="24"/>
          <w:szCs w:val="24"/>
        </w:rPr>
        <w:t>环境风险潜势判定详见表</w:t>
      </w:r>
      <w:r>
        <w:rPr>
          <w:rFonts w:hint="eastAsia" w:ascii="Times New Roman" w:hAnsi="Times New Roman" w:eastAsia="仿宋_GB2312" w:cs="Times New Roman"/>
          <w:color w:val="auto"/>
          <w:spacing w:val="0"/>
          <w:kern w:val="0"/>
          <w:position w:val="0"/>
          <w:sz w:val="24"/>
          <w:szCs w:val="24"/>
          <w:lang w:val="en-US" w:eastAsia="zh-CN"/>
        </w:rPr>
        <w:t>2.3-10</w:t>
      </w:r>
      <w:r>
        <w:rPr>
          <w:rFonts w:hint="eastAsia" w:ascii="Times New Roman" w:hAnsi="Times New Roman" w:eastAsia="仿宋_GB2312" w:cs="Times New Roman"/>
          <w:color w:val="auto"/>
          <w:spacing w:val="0"/>
          <w:kern w:val="0"/>
          <w:position w:val="0"/>
          <w:sz w:val="24"/>
          <w:szCs w:val="24"/>
        </w:rPr>
        <w:t>。</w:t>
      </w:r>
    </w:p>
    <w:p w14:paraId="4D6AA75B">
      <w:pPr>
        <w:pageBreakBefore w:val="0"/>
        <w:kinsoku/>
        <w:wordWrap/>
        <w:bidi w:val="0"/>
        <w:adjustRightInd w:val="0"/>
        <w:snapToGrid w:val="0"/>
        <w:spacing w:beforeAutospacing="0" w:afterAutospacing="0" w:line="500" w:lineRule="exact"/>
        <w:ind w:left="0" w:leftChars="0" w:right="0" w:firstLine="562"/>
        <w:jc w:val="center"/>
        <w:rPr>
          <w:rFonts w:hint="default" w:ascii="Times New Roman" w:hAnsi="Times New Roman" w:eastAsia="仿宋_GB2312" w:cs="Times New Roman"/>
          <w:b/>
          <w:color w:val="auto"/>
          <w:spacing w:val="0"/>
          <w:kern w:val="0"/>
          <w:position w:val="0"/>
          <w:sz w:val="24"/>
          <w:szCs w:val="24"/>
        </w:rPr>
      </w:pPr>
      <w:r>
        <w:rPr>
          <w:rFonts w:hint="default" w:ascii="Times New Roman" w:hAnsi="Times New Roman" w:eastAsia="仿宋_GB2312" w:cs="Times New Roman"/>
          <w:b/>
          <w:color w:val="auto"/>
          <w:spacing w:val="0"/>
          <w:kern w:val="0"/>
          <w:position w:val="0"/>
          <w:sz w:val="24"/>
          <w:szCs w:val="24"/>
        </w:rPr>
        <w:t>表</w:t>
      </w:r>
      <w:r>
        <w:rPr>
          <w:rFonts w:hint="default" w:ascii="Times New Roman" w:hAnsi="Times New Roman" w:eastAsia="仿宋_GB2312" w:cs="Times New Roman"/>
          <w:b/>
          <w:color w:val="auto"/>
          <w:spacing w:val="0"/>
          <w:kern w:val="0"/>
          <w:position w:val="0"/>
          <w:sz w:val="24"/>
          <w:szCs w:val="24"/>
          <w:lang w:val="en-US" w:eastAsia="zh-CN"/>
        </w:rPr>
        <w:t>2</w:t>
      </w:r>
      <w:r>
        <w:rPr>
          <w:rFonts w:hint="eastAsia" w:ascii="Times New Roman" w:hAnsi="Times New Roman" w:eastAsia="仿宋_GB2312" w:cs="Times New Roman"/>
          <w:b/>
          <w:color w:val="auto"/>
          <w:spacing w:val="0"/>
          <w:kern w:val="0"/>
          <w:position w:val="0"/>
          <w:sz w:val="24"/>
          <w:szCs w:val="24"/>
          <w:lang w:val="en-US" w:eastAsia="zh-CN"/>
        </w:rPr>
        <w:t>.3-10</w:t>
      </w:r>
      <w:r>
        <w:rPr>
          <w:rFonts w:hint="default" w:ascii="Times New Roman" w:hAnsi="Times New Roman" w:eastAsia="仿宋_GB2312" w:cs="Times New Roman"/>
          <w:b/>
          <w:color w:val="auto"/>
          <w:spacing w:val="0"/>
          <w:kern w:val="0"/>
          <w:position w:val="0"/>
          <w:sz w:val="24"/>
          <w:szCs w:val="24"/>
        </w:rPr>
        <w:t xml:space="preserve">  建设项目环境风险潜势划分</w:t>
      </w:r>
    </w:p>
    <w:tbl>
      <w:tblPr>
        <w:tblStyle w:val="31"/>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2325"/>
        <w:gridCol w:w="1692"/>
        <w:gridCol w:w="1702"/>
        <w:gridCol w:w="1613"/>
        <w:gridCol w:w="1738"/>
      </w:tblGrid>
      <w:tr w14:paraId="654C89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282" w:type="pct"/>
            <w:vMerge w:val="restart"/>
            <w:noWrap w:val="0"/>
            <w:vAlign w:val="center"/>
          </w:tcPr>
          <w:p w14:paraId="795D0BAE">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b/>
                <w:color w:val="auto"/>
                <w:spacing w:val="0"/>
                <w:kern w:val="0"/>
                <w:position w:val="0"/>
                <w:sz w:val="21"/>
                <w:szCs w:val="21"/>
              </w:rPr>
            </w:pPr>
            <w:r>
              <w:rPr>
                <w:rFonts w:hint="default" w:ascii="Times New Roman" w:hAnsi="Times New Roman" w:eastAsia="仿宋_GB2312" w:cs="Times New Roman"/>
                <w:b/>
                <w:color w:val="auto"/>
                <w:spacing w:val="0"/>
                <w:kern w:val="0"/>
                <w:position w:val="0"/>
                <w:sz w:val="21"/>
                <w:szCs w:val="21"/>
              </w:rPr>
              <w:t>环境敏感程度（E）</w:t>
            </w:r>
          </w:p>
        </w:tc>
        <w:tc>
          <w:tcPr>
            <w:tcW w:w="3717" w:type="pct"/>
            <w:gridSpan w:val="4"/>
            <w:noWrap w:val="0"/>
            <w:vAlign w:val="center"/>
          </w:tcPr>
          <w:p w14:paraId="4F2C690A">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b/>
                <w:color w:val="auto"/>
                <w:spacing w:val="0"/>
                <w:kern w:val="0"/>
                <w:position w:val="0"/>
                <w:sz w:val="21"/>
                <w:szCs w:val="21"/>
              </w:rPr>
            </w:pPr>
            <w:r>
              <w:rPr>
                <w:rFonts w:hint="default" w:ascii="Times New Roman" w:hAnsi="Times New Roman" w:eastAsia="仿宋_GB2312" w:cs="Times New Roman"/>
                <w:b/>
                <w:color w:val="auto"/>
                <w:spacing w:val="0"/>
                <w:kern w:val="0"/>
                <w:position w:val="0"/>
                <w:sz w:val="21"/>
                <w:szCs w:val="21"/>
              </w:rPr>
              <w:t>危险物质及工艺系统危险性（P）</w:t>
            </w:r>
          </w:p>
        </w:tc>
      </w:tr>
      <w:tr w14:paraId="137A2C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282" w:type="pct"/>
            <w:vMerge w:val="continue"/>
            <w:noWrap w:val="0"/>
            <w:vAlign w:val="center"/>
          </w:tcPr>
          <w:p w14:paraId="3D2BE858">
            <w:pPr>
              <w:pageBreakBefore w:val="0"/>
              <w:widowControl/>
              <w:kinsoku/>
              <w:wordWrap/>
              <w:bidi w:val="0"/>
              <w:adjustRightInd w:val="0"/>
              <w:snapToGrid w:val="0"/>
              <w:spacing w:beforeAutospacing="0" w:afterAutospacing="0"/>
              <w:ind w:left="0" w:leftChars="0" w:right="0"/>
              <w:jc w:val="left"/>
              <w:rPr>
                <w:rFonts w:hint="default" w:ascii="Times New Roman" w:hAnsi="Times New Roman" w:eastAsia="仿宋_GB2312" w:cs="Times New Roman"/>
                <w:b/>
                <w:color w:val="auto"/>
                <w:spacing w:val="0"/>
                <w:kern w:val="0"/>
                <w:position w:val="0"/>
                <w:sz w:val="21"/>
                <w:szCs w:val="21"/>
              </w:rPr>
            </w:pPr>
          </w:p>
        </w:tc>
        <w:tc>
          <w:tcPr>
            <w:tcW w:w="933" w:type="pct"/>
            <w:noWrap w:val="0"/>
            <w:vAlign w:val="center"/>
          </w:tcPr>
          <w:p w14:paraId="04149F3F">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b/>
                <w:color w:val="auto"/>
                <w:spacing w:val="0"/>
                <w:kern w:val="0"/>
                <w:position w:val="0"/>
                <w:sz w:val="21"/>
                <w:szCs w:val="21"/>
              </w:rPr>
            </w:pPr>
            <w:r>
              <w:rPr>
                <w:rFonts w:hint="default" w:ascii="Times New Roman" w:hAnsi="Times New Roman" w:eastAsia="仿宋_GB2312" w:cs="Times New Roman"/>
                <w:b/>
                <w:color w:val="auto"/>
                <w:spacing w:val="0"/>
                <w:kern w:val="0"/>
                <w:position w:val="0"/>
                <w:sz w:val="21"/>
                <w:szCs w:val="21"/>
              </w:rPr>
              <w:t>极高危害（P1）</w:t>
            </w:r>
          </w:p>
        </w:tc>
        <w:tc>
          <w:tcPr>
            <w:tcW w:w="938" w:type="pct"/>
            <w:noWrap w:val="0"/>
            <w:vAlign w:val="center"/>
          </w:tcPr>
          <w:p w14:paraId="6E1F6C11">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b/>
                <w:color w:val="auto"/>
                <w:spacing w:val="0"/>
                <w:kern w:val="0"/>
                <w:position w:val="0"/>
                <w:sz w:val="21"/>
                <w:szCs w:val="21"/>
              </w:rPr>
            </w:pPr>
            <w:r>
              <w:rPr>
                <w:rFonts w:hint="default" w:ascii="Times New Roman" w:hAnsi="Times New Roman" w:eastAsia="仿宋_GB2312" w:cs="Times New Roman"/>
                <w:b/>
                <w:color w:val="auto"/>
                <w:spacing w:val="0"/>
                <w:kern w:val="0"/>
                <w:position w:val="0"/>
                <w:sz w:val="21"/>
                <w:szCs w:val="21"/>
              </w:rPr>
              <w:t>高度危害（P2）</w:t>
            </w:r>
          </w:p>
        </w:tc>
        <w:tc>
          <w:tcPr>
            <w:tcW w:w="889" w:type="pct"/>
            <w:noWrap w:val="0"/>
            <w:vAlign w:val="center"/>
          </w:tcPr>
          <w:p w14:paraId="5CC014D7">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b/>
                <w:color w:val="auto"/>
                <w:spacing w:val="0"/>
                <w:kern w:val="0"/>
                <w:position w:val="0"/>
                <w:sz w:val="21"/>
                <w:szCs w:val="21"/>
              </w:rPr>
            </w:pPr>
            <w:r>
              <w:rPr>
                <w:rFonts w:hint="default" w:ascii="Times New Roman" w:hAnsi="Times New Roman" w:eastAsia="仿宋_GB2312" w:cs="Times New Roman"/>
                <w:b/>
                <w:color w:val="auto"/>
                <w:spacing w:val="0"/>
                <w:kern w:val="0"/>
                <w:position w:val="0"/>
                <w:sz w:val="21"/>
                <w:szCs w:val="21"/>
              </w:rPr>
              <w:t>中度危害（P3）</w:t>
            </w:r>
          </w:p>
        </w:tc>
        <w:tc>
          <w:tcPr>
            <w:tcW w:w="955" w:type="pct"/>
            <w:noWrap w:val="0"/>
            <w:vAlign w:val="center"/>
          </w:tcPr>
          <w:p w14:paraId="1854574B">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b/>
                <w:color w:val="auto"/>
                <w:spacing w:val="0"/>
                <w:kern w:val="0"/>
                <w:position w:val="0"/>
                <w:sz w:val="21"/>
                <w:szCs w:val="21"/>
              </w:rPr>
            </w:pPr>
            <w:r>
              <w:rPr>
                <w:rFonts w:hint="default" w:ascii="Times New Roman" w:hAnsi="Times New Roman" w:eastAsia="仿宋_GB2312" w:cs="Times New Roman"/>
                <w:b/>
                <w:color w:val="auto"/>
                <w:spacing w:val="0"/>
                <w:kern w:val="0"/>
                <w:position w:val="0"/>
                <w:sz w:val="21"/>
                <w:szCs w:val="21"/>
              </w:rPr>
              <w:t>轻度危害（P4）</w:t>
            </w:r>
          </w:p>
        </w:tc>
      </w:tr>
      <w:tr w14:paraId="02BE8D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000" w:type="pct"/>
            <w:gridSpan w:val="5"/>
            <w:noWrap w:val="0"/>
            <w:vAlign w:val="center"/>
          </w:tcPr>
          <w:p w14:paraId="6F80CB12">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b/>
                <w:color w:val="auto"/>
                <w:spacing w:val="0"/>
                <w:kern w:val="0"/>
                <w:position w:val="0"/>
                <w:sz w:val="21"/>
                <w:szCs w:val="21"/>
              </w:rPr>
            </w:pPr>
            <w:r>
              <w:rPr>
                <w:rFonts w:hint="default" w:ascii="Times New Roman" w:hAnsi="Times New Roman" w:eastAsia="仿宋_GB2312" w:cs="Times New Roman"/>
                <w:b/>
                <w:color w:val="auto"/>
                <w:spacing w:val="0"/>
                <w:kern w:val="0"/>
                <w:position w:val="0"/>
                <w:sz w:val="21"/>
                <w:szCs w:val="21"/>
              </w:rPr>
              <w:t>一、大气</w:t>
            </w:r>
          </w:p>
        </w:tc>
      </w:tr>
      <w:tr w14:paraId="6CD1AA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282" w:type="pct"/>
            <w:noWrap w:val="0"/>
            <w:vAlign w:val="center"/>
          </w:tcPr>
          <w:p w14:paraId="3BA50501">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环境高度敏感区（E1）</w:t>
            </w:r>
          </w:p>
        </w:tc>
        <w:tc>
          <w:tcPr>
            <w:tcW w:w="933" w:type="pct"/>
            <w:noWrap w:val="0"/>
            <w:vAlign w:val="center"/>
          </w:tcPr>
          <w:p w14:paraId="1D76CA2C">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Ⅳ</w:t>
            </w:r>
            <w:r>
              <w:rPr>
                <w:rFonts w:hint="default" w:ascii="Times New Roman" w:hAnsi="Times New Roman" w:eastAsia="仿宋_GB2312" w:cs="Times New Roman"/>
                <w:color w:val="auto"/>
                <w:spacing w:val="0"/>
                <w:kern w:val="0"/>
                <w:position w:val="0"/>
                <w:sz w:val="21"/>
                <w:szCs w:val="21"/>
                <w:vertAlign w:val="superscript"/>
              </w:rPr>
              <w:t>+</w:t>
            </w:r>
          </w:p>
        </w:tc>
        <w:tc>
          <w:tcPr>
            <w:tcW w:w="938" w:type="pct"/>
            <w:noWrap w:val="0"/>
            <w:vAlign w:val="center"/>
          </w:tcPr>
          <w:p w14:paraId="68DE4AA3">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Ⅳ</w:t>
            </w:r>
          </w:p>
        </w:tc>
        <w:tc>
          <w:tcPr>
            <w:tcW w:w="889" w:type="pct"/>
            <w:tcBorders>
              <w:bottom w:val="single" w:color="auto" w:sz="4" w:space="0"/>
            </w:tcBorders>
            <w:noWrap w:val="0"/>
            <w:vAlign w:val="center"/>
          </w:tcPr>
          <w:p w14:paraId="2F9EAE3F">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Ⅲ</w:t>
            </w:r>
          </w:p>
        </w:tc>
        <w:tc>
          <w:tcPr>
            <w:tcW w:w="955" w:type="pct"/>
            <w:noWrap w:val="0"/>
            <w:vAlign w:val="center"/>
          </w:tcPr>
          <w:p w14:paraId="7BC8A226">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Ⅲ</w:t>
            </w:r>
          </w:p>
        </w:tc>
      </w:tr>
      <w:tr w14:paraId="13D04E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282" w:type="pct"/>
            <w:noWrap w:val="0"/>
            <w:vAlign w:val="center"/>
          </w:tcPr>
          <w:p w14:paraId="7E815C57">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环境中度敏感区（E2）</w:t>
            </w:r>
          </w:p>
        </w:tc>
        <w:tc>
          <w:tcPr>
            <w:tcW w:w="933" w:type="pct"/>
            <w:noWrap w:val="0"/>
            <w:vAlign w:val="center"/>
          </w:tcPr>
          <w:p w14:paraId="20D10392">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Ⅳ</w:t>
            </w:r>
          </w:p>
        </w:tc>
        <w:tc>
          <w:tcPr>
            <w:tcW w:w="938" w:type="pct"/>
            <w:noWrap w:val="0"/>
            <w:vAlign w:val="center"/>
          </w:tcPr>
          <w:p w14:paraId="15BEB5DF">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Ⅲ</w:t>
            </w:r>
          </w:p>
        </w:tc>
        <w:tc>
          <w:tcPr>
            <w:tcW w:w="889" w:type="pct"/>
            <w:tcBorders>
              <w:top w:val="single" w:color="auto" w:sz="4" w:space="0"/>
              <w:bottom w:val="single" w:color="auto" w:sz="4" w:space="0"/>
            </w:tcBorders>
            <w:noWrap w:val="0"/>
            <w:vAlign w:val="center"/>
          </w:tcPr>
          <w:p w14:paraId="23409330">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Ⅲ</w:t>
            </w:r>
          </w:p>
        </w:tc>
        <w:tc>
          <w:tcPr>
            <w:tcW w:w="955" w:type="pct"/>
            <w:noWrap w:val="0"/>
            <w:vAlign w:val="center"/>
          </w:tcPr>
          <w:p w14:paraId="1E8A7AC6">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Ⅱ</w:t>
            </w:r>
          </w:p>
        </w:tc>
      </w:tr>
      <w:tr w14:paraId="26B081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282" w:type="pct"/>
            <w:noWrap w:val="0"/>
            <w:vAlign w:val="center"/>
          </w:tcPr>
          <w:p w14:paraId="71D03CBA">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环境低度敏感区（E3）</w:t>
            </w:r>
          </w:p>
        </w:tc>
        <w:tc>
          <w:tcPr>
            <w:tcW w:w="933" w:type="pct"/>
            <w:noWrap w:val="0"/>
            <w:vAlign w:val="center"/>
          </w:tcPr>
          <w:p w14:paraId="4076F4E4">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Ⅲ</w:t>
            </w:r>
          </w:p>
        </w:tc>
        <w:tc>
          <w:tcPr>
            <w:tcW w:w="938" w:type="pct"/>
            <w:noWrap w:val="0"/>
            <w:vAlign w:val="center"/>
          </w:tcPr>
          <w:p w14:paraId="4E4BAC53">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Ⅲ</w:t>
            </w:r>
          </w:p>
        </w:tc>
        <w:tc>
          <w:tcPr>
            <w:tcW w:w="889" w:type="pct"/>
            <w:tcBorders>
              <w:top w:val="single" w:color="auto" w:sz="4" w:space="0"/>
            </w:tcBorders>
            <w:noWrap w:val="0"/>
            <w:vAlign w:val="center"/>
          </w:tcPr>
          <w:p w14:paraId="5F6078EC">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Ⅱ</w:t>
            </w:r>
          </w:p>
        </w:tc>
        <w:tc>
          <w:tcPr>
            <w:tcW w:w="955" w:type="pct"/>
            <w:noWrap w:val="0"/>
            <w:vAlign w:val="center"/>
          </w:tcPr>
          <w:p w14:paraId="1C7A60A9">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Ⅰ</w:t>
            </w:r>
          </w:p>
        </w:tc>
      </w:tr>
      <w:tr w14:paraId="4D0175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000" w:type="pct"/>
            <w:gridSpan w:val="5"/>
            <w:noWrap w:val="0"/>
            <w:vAlign w:val="center"/>
          </w:tcPr>
          <w:p w14:paraId="237308E4">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b/>
                <w:color w:val="auto"/>
                <w:spacing w:val="0"/>
                <w:kern w:val="0"/>
                <w:position w:val="0"/>
                <w:sz w:val="21"/>
                <w:szCs w:val="21"/>
              </w:rPr>
            </w:pPr>
            <w:r>
              <w:rPr>
                <w:rFonts w:hint="default" w:ascii="Times New Roman" w:hAnsi="Times New Roman" w:eastAsia="仿宋_GB2312" w:cs="Times New Roman"/>
                <w:b/>
                <w:color w:val="auto"/>
                <w:spacing w:val="0"/>
                <w:kern w:val="0"/>
                <w:position w:val="0"/>
                <w:sz w:val="21"/>
                <w:szCs w:val="21"/>
              </w:rPr>
              <w:t>二、地表水</w:t>
            </w:r>
          </w:p>
        </w:tc>
      </w:tr>
      <w:tr w14:paraId="68ACA4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282" w:type="pct"/>
            <w:noWrap w:val="0"/>
            <w:vAlign w:val="center"/>
          </w:tcPr>
          <w:p w14:paraId="4B3EA53C">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环境高度敏感区（E1）</w:t>
            </w:r>
          </w:p>
        </w:tc>
        <w:tc>
          <w:tcPr>
            <w:tcW w:w="933" w:type="pct"/>
            <w:noWrap w:val="0"/>
            <w:vAlign w:val="center"/>
          </w:tcPr>
          <w:p w14:paraId="7A530CFE">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Ⅳ</w:t>
            </w:r>
            <w:r>
              <w:rPr>
                <w:rFonts w:hint="default" w:ascii="Times New Roman" w:hAnsi="Times New Roman" w:eastAsia="仿宋_GB2312" w:cs="Times New Roman"/>
                <w:color w:val="auto"/>
                <w:spacing w:val="0"/>
                <w:kern w:val="0"/>
                <w:position w:val="0"/>
                <w:sz w:val="21"/>
                <w:szCs w:val="21"/>
                <w:vertAlign w:val="superscript"/>
              </w:rPr>
              <w:t>+</w:t>
            </w:r>
          </w:p>
        </w:tc>
        <w:tc>
          <w:tcPr>
            <w:tcW w:w="938" w:type="pct"/>
            <w:noWrap w:val="0"/>
            <w:vAlign w:val="center"/>
          </w:tcPr>
          <w:p w14:paraId="716A677D">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Ⅳ</w:t>
            </w:r>
          </w:p>
        </w:tc>
        <w:tc>
          <w:tcPr>
            <w:tcW w:w="889" w:type="pct"/>
            <w:noWrap w:val="0"/>
            <w:vAlign w:val="center"/>
          </w:tcPr>
          <w:p w14:paraId="60051165">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Ⅲ</w:t>
            </w:r>
          </w:p>
        </w:tc>
        <w:tc>
          <w:tcPr>
            <w:tcW w:w="955" w:type="pct"/>
            <w:noWrap w:val="0"/>
            <w:vAlign w:val="center"/>
          </w:tcPr>
          <w:p w14:paraId="6A227359">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Ⅲ</w:t>
            </w:r>
          </w:p>
        </w:tc>
      </w:tr>
      <w:tr w14:paraId="46BE63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282" w:type="pct"/>
            <w:noWrap w:val="0"/>
            <w:vAlign w:val="center"/>
          </w:tcPr>
          <w:p w14:paraId="4B28E96F">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环境中度敏感区（E2）</w:t>
            </w:r>
          </w:p>
        </w:tc>
        <w:tc>
          <w:tcPr>
            <w:tcW w:w="933" w:type="pct"/>
            <w:noWrap w:val="0"/>
            <w:vAlign w:val="center"/>
          </w:tcPr>
          <w:p w14:paraId="13D70561">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Ⅳ</w:t>
            </w:r>
          </w:p>
        </w:tc>
        <w:tc>
          <w:tcPr>
            <w:tcW w:w="938" w:type="pct"/>
            <w:noWrap w:val="0"/>
            <w:vAlign w:val="center"/>
          </w:tcPr>
          <w:p w14:paraId="56D2C063">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Ⅲ</w:t>
            </w:r>
          </w:p>
        </w:tc>
        <w:tc>
          <w:tcPr>
            <w:tcW w:w="889" w:type="pct"/>
            <w:noWrap w:val="0"/>
            <w:vAlign w:val="center"/>
          </w:tcPr>
          <w:p w14:paraId="74CF97B0">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Ⅲ</w:t>
            </w:r>
          </w:p>
        </w:tc>
        <w:tc>
          <w:tcPr>
            <w:tcW w:w="955" w:type="pct"/>
            <w:noWrap w:val="0"/>
            <w:vAlign w:val="center"/>
          </w:tcPr>
          <w:p w14:paraId="603E93A6">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Ⅱ</w:t>
            </w:r>
          </w:p>
        </w:tc>
      </w:tr>
      <w:tr w14:paraId="17C10C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282" w:type="pct"/>
            <w:noWrap w:val="0"/>
            <w:vAlign w:val="center"/>
          </w:tcPr>
          <w:p w14:paraId="1E63F3A6">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环境低度敏感区（E3）</w:t>
            </w:r>
          </w:p>
        </w:tc>
        <w:tc>
          <w:tcPr>
            <w:tcW w:w="933" w:type="pct"/>
            <w:noWrap w:val="0"/>
            <w:vAlign w:val="center"/>
          </w:tcPr>
          <w:p w14:paraId="66926D27">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Ⅲ</w:t>
            </w:r>
          </w:p>
        </w:tc>
        <w:tc>
          <w:tcPr>
            <w:tcW w:w="938" w:type="pct"/>
            <w:noWrap w:val="0"/>
            <w:vAlign w:val="center"/>
          </w:tcPr>
          <w:p w14:paraId="4729A616">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Ⅲ</w:t>
            </w:r>
          </w:p>
        </w:tc>
        <w:tc>
          <w:tcPr>
            <w:tcW w:w="889" w:type="pct"/>
            <w:noWrap w:val="0"/>
            <w:vAlign w:val="center"/>
          </w:tcPr>
          <w:p w14:paraId="42486DA2">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Ⅱ</w:t>
            </w:r>
          </w:p>
        </w:tc>
        <w:tc>
          <w:tcPr>
            <w:tcW w:w="955" w:type="pct"/>
            <w:noWrap w:val="0"/>
            <w:vAlign w:val="center"/>
          </w:tcPr>
          <w:p w14:paraId="42EAFB54">
            <w:pPr>
              <w:pageBreakBefore w:val="0"/>
              <w:tabs>
                <w:tab w:val="left" w:pos="534"/>
                <w:tab w:val="center" w:pos="926"/>
              </w:tabs>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Ⅰ</w:t>
            </w:r>
          </w:p>
        </w:tc>
      </w:tr>
      <w:tr w14:paraId="69A882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000" w:type="pct"/>
            <w:gridSpan w:val="5"/>
            <w:noWrap w:val="0"/>
            <w:vAlign w:val="center"/>
          </w:tcPr>
          <w:p w14:paraId="1383739E">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b/>
                <w:color w:val="auto"/>
                <w:spacing w:val="0"/>
                <w:kern w:val="0"/>
                <w:position w:val="0"/>
                <w:sz w:val="21"/>
                <w:szCs w:val="21"/>
              </w:rPr>
            </w:pPr>
            <w:r>
              <w:rPr>
                <w:rFonts w:hint="default" w:ascii="Times New Roman" w:hAnsi="Times New Roman" w:eastAsia="仿宋_GB2312" w:cs="Times New Roman"/>
                <w:b/>
                <w:color w:val="auto"/>
                <w:spacing w:val="0"/>
                <w:kern w:val="0"/>
                <w:position w:val="0"/>
                <w:sz w:val="21"/>
                <w:szCs w:val="21"/>
              </w:rPr>
              <w:t>三、地下水</w:t>
            </w:r>
          </w:p>
        </w:tc>
      </w:tr>
      <w:tr w14:paraId="440068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282" w:type="pct"/>
            <w:noWrap w:val="0"/>
            <w:vAlign w:val="center"/>
          </w:tcPr>
          <w:p w14:paraId="1D31DEF6">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环境高度敏感区（E1）</w:t>
            </w:r>
          </w:p>
        </w:tc>
        <w:tc>
          <w:tcPr>
            <w:tcW w:w="933" w:type="pct"/>
            <w:noWrap w:val="0"/>
            <w:vAlign w:val="center"/>
          </w:tcPr>
          <w:p w14:paraId="02ACA928">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Ⅳ</w:t>
            </w:r>
            <w:r>
              <w:rPr>
                <w:rFonts w:hint="default" w:ascii="Times New Roman" w:hAnsi="Times New Roman" w:eastAsia="仿宋_GB2312" w:cs="Times New Roman"/>
                <w:color w:val="auto"/>
                <w:spacing w:val="0"/>
                <w:kern w:val="0"/>
                <w:position w:val="0"/>
                <w:sz w:val="21"/>
                <w:szCs w:val="21"/>
                <w:vertAlign w:val="superscript"/>
              </w:rPr>
              <w:t>+</w:t>
            </w:r>
          </w:p>
        </w:tc>
        <w:tc>
          <w:tcPr>
            <w:tcW w:w="938" w:type="pct"/>
            <w:noWrap w:val="0"/>
            <w:vAlign w:val="center"/>
          </w:tcPr>
          <w:p w14:paraId="363C1E1E">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Ⅳ</w:t>
            </w:r>
          </w:p>
        </w:tc>
        <w:tc>
          <w:tcPr>
            <w:tcW w:w="889" w:type="pct"/>
            <w:noWrap w:val="0"/>
            <w:vAlign w:val="center"/>
          </w:tcPr>
          <w:p w14:paraId="3ECC5934">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Ⅲ</w:t>
            </w:r>
          </w:p>
        </w:tc>
        <w:tc>
          <w:tcPr>
            <w:tcW w:w="955" w:type="pct"/>
            <w:noWrap w:val="0"/>
            <w:vAlign w:val="center"/>
          </w:tcPr>
          <w:p w14:paraId="7556EFBC">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Ⅲ</w:t>
            </w:r>
          </w:p>
        </w:tc>
      </w:tr>
      <w:tr w14:paraId="2E05E4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282" w:type="pct"/>
            <w:noWrap w:val="0"/>
            <w:vAlign w:val="center"/>
          </w:tcPr>
          <w:p w14:paraId="0A6D1799">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环境中度敏感区（E2）</w:t>
            </w:r>
          </w:p>
        </w:tc>
        <w:tc>
          <w:tcPr>
            <w:tcW w:w="933" w:type="pct"/>
            <w:noWrap w:val="0"/>
            <w:vAlign w:val="center"/>
          </w:tcPr>
          <w:p w14:paraId="3DF76BB0">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Ⅳ</w:t>
            </w:r>
          </w:p>
        </w:tc>
        <w:tc>
          <w:tcPr>
            <w:tcW w:w="938" w:type="pct"/>
            <w:noWrap w:val="0"/>
            <w:vAlign w:val="center"/>
          </w:tcPr>
          <w:p w14:paraId="2AC3FE64">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Ⅲ</w:t>
            </w:r>
          </w:p>
        </w:tc>
        <w:tc>
          <w:tcPr>
            <w:tcW w:w="889" w:type="pct"/>
            <w:noWrap w:val="0"/>
            <w:vAlign w:val="center"/>
          </w:tcPr>
          <w:p w14:paraId="15EBB1B4">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Ⅲ</w:t>
            </w:r>
          </w:p>
        </w:tc>
        <w:tc>
          <w:tcPr>
            <w:tcW w:w="955" w:type="pct"/>
            <w:noWrap w:val="0"/>
            <w:vAlign w:val="center"/>
          </w:tcPr>
          <w:p w14:paraId="4A9AF35F">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Ⅱ</w:t>
            </w:r>
          </w:p>
        </w:tc>
      </w:tr>
      <w:tr w14:paraId="7AF73C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282" w:type="pct"/>
            <w:noWrap w:val="0"/>
            <w:vAlign w:val="center"/>
          </w:tcPr>
          <w:p w14:paraId="557BABA3">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环境低度敏感区（E3）</w:t>
            </w:r>
          </w:p>
        </w:tc>
        <w:tc>
          <w:tcPr>
            <w:tcW w:w="933" w:type="pct"/>
            <w:noWrap w:val="0"/>
            <w:vAlign w:val="center"/>
          </w:tcPr>
          <w:p w14:paraId="3720ACDA">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Ⅲ</w:t>
            </w:r>
          </w:p>
        </w:tc>
        <w:tc>
          <w:tcPr>
            <w:tcW w:w="938" w:type="pct"/>
            <w:noWrap w:val="0"/>
            <w:vAlign w:val="center"/>
          </w:tcPr>
          <w:p w14:paraId="56B30386">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Ⅲ</w:t>
            </w:r>
          </w:p>
        </w:tc>
        <w:tc>
          <w:tcPr>
            <w:tcW w:w="889" w:type="pct"/>
            <w:noWrap w:val="0"/>
            <w:vAlign w:val="center"/>
          </w:tcPr>
          <w:p w14:paraId="4AC6BE4A">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Ⅱ</w:t>
            </w:r>
          </w:p>
        </w:tc>
        <w:tc>
          <w:tcPr>
            <w:tcW w:w="955" w:type="pct"/>
            <w:noWrap w:val="0"/>
            <w:vAlign w:val="center"/>
          </w:tcPr>
          <w:p w14:paraId="5A05030C">
            <w:pPr>
              <w:pageBreakBefore w:val="0"/>
              <w:kinsoku/>
              <w:wordWrap/>
              <w:overflowPunct w:val="0"/>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Ⅰ</w:t>
            </w:r>
          </w:p>
        </w:tc>
      </w:tr>
    </w:tbl>
    <w:p w14:paraId="61141DC8">
      <w:pPr>
        <w:keepNext w:val="0"/>
        <w:keepLines w:val="0"/>
        <w:pageBreakBefore w:val="0"/>
        <w:widowControl w:val="0"/>
        <w:kinsoku/>
        <w:wordWrap/>
        <w:overflowPunct/>
        <w:topLinePunct w:val="0"/>
        <w:autoSpaceDE/>
        <w:autoSpaceDN/>
        <w:bidi w:val="0"/>
        <w:adjustRightInd w:val="0"/>
        <w:snapToGrid w:val="0"/>
        <w:spacing w:beforeAutospacing="0" w:afterAutospacing="0" w:line="500" w:lineRule="exact"/>
        <w:ind w:left="0" w:leftChars="0" w:right="0" w:firstLine="480" w:firstLineChars="200"/>
        <w:textAlignment w:val="auto"/>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由上表可知，本项目大气风险潜势为Ⅲ级，地表水风险潜势为</w:t>
      </w:r>
      <w:r>
        <w:rPr>
          <w:rFonts w:hint="default" w:ascii="Times New Roman" w:hAnsi="Times New Roman" w:eastAsia="仿宋_GB2312" w:cs="Times New Roman"/>
          <w:color w:val="auto"/>
          <w:spacing w:val="0"/>
          <w:kern w:val="0"/>
          <w:position w:val="0"/>
          <w:sz w:val="24"/>
          <w:szCs w:val="24"/>
          <w:lang w:val="en-US" w:eastAsia="zh-CN"/>
        </w:rPr>
        <w:t>I</w:t>
      </w:r>
      <w:r>
        <w:rPr>
          <w:rFonts w:hint="default" w:ascii="Times New Roman" w:hAnsi="Times New Roman" w:eastAsia="仿宋_GB2312" w:cs="Times New Roman"/>
          <w:color w:val="auto"/>
          <w:spacing w:val="0"/>
          <w:kern w:val="0"/>
          <w:position w:val="0"/>
          <w:sz w:val="24"/>
          <w:szCs w:val="24"/>
        </w:rPr>
        <w:t>级，地下水风险潜势为</w:t>
      </w:r>
      <w:r>
        <w:rPr>
          <w:rFonts w:hint="default" w:ascii="Times New Roman" w:hAnsi="Times New Roman" w:eastAsia="仿宋_GB2312" w:cs="Times New Roman"/>
          <w:color w:val="auto"/>
          <w:spacing w:val="0"/>
          <w:kern w:val="0"/>
          <w:position w:val="0"/>
          <w:sz w:val="24"/>
          <w:szCs w:val="24"/>
          <w:lang w:val="en-US" w:eastAsia="zh-CN"/>
        </w:rPr>
        <w:t>I</w:t>
      </w:r>
      <w:r>
        <w:rPr>
          <w:rFonts w:hint="default" w:ascii="Times New Roman" w:hAnsi="Times New Roman" w:eastAsia="仿宋_GB2312" w:cs="Times New Roman"/>
          <w:color w:val="auto"/>
          <w:spacing w:val="0"/>
          <w:kern w:val="0"/>
          <w:position w:val="0"/>
          <w:sz w:val="24"/>
          <w:szCs w:val="24"/>
        </w:rPr>
        <w:t>级。</w:t>
      </w:r>
    </w:p>
    <w:p w14:paraId="425C3C28">
      <w:pPr>
        <w:keepNext w:val="0"/>
        <w:keepLines w:val="0"/>
        <w:pageBreakBefore w:val="0"/>
        <w:widowControl w:val="0"/>
        <w:kinsoku/>
        <w:wordWrap/>
        <w:overflowPunct/>
        <w:topLinePunct w:val="0"/>
        <w:autoSpaceDE/>
        <w:autoSpaceDN/>
        <w:bidi w:val="0"/>
        <w:adjustRightInd w:val="0"/>
        <w:snapToGrid w:val="0"/>
        <w:spacing w:beforeAutospacing="0" w:afterAutospacing="0" w:line="500" w:lineRule="exact"/>
        <w:ind w:left="0" w:leftChars="0" w:right="0" w:firstLine="482" w:firstLineChars="200"/>
        <w:textAlignment w:val="auto"/>
        <w:rPr>
          <w:rFonts w:hint="default" w:ascii="Times New Roman" w:hAnsi="Times New Roman" w:eastAsia="仿宋_GB2312" w:cs="Times New Roman"/>
          <w:b/>
          <w:bCs w:val="0"/>
          <w:color w:val="auto"/>
          <w:spacing w:val="0"/>
          <w:kern w:val="0"/>
          <w:position w:val="0"/>
          <w:sz w:val="24"/>
          <w:szCs w:val="24"/>
        </w:rPr>
      </w:pPr>
      <w:r>
        <w:rPr>
          <w:rFonts w:hint="default" w:ascii="Times New Roman" w:hAnsi="Times New Roman" w:eastAsia="仿宋_GB2312" w:cs="Times New Roman"/>
          <w:b/>
          <w:bCs w:val="0"/>
          <w:color w:val="auto"/>
          <w:spacing w:val="0"/>
          <w:kern w:val="0"/>
          <w:position w:val="0"/>
          <w:sz w:val="24"/>
          <w:szCs w:val="24"/>
        </w:rPr>
        <w:t>评价等级划分</w:t>
      </w:r>
    </w:p>
    <w:p w14:paraId="2146481F">
      <w:pPr>
        <w:keepNext w:val="0"/>
        <w:keepLines w:val="0"/>
        <w:pageBreakBefore w:val="0"/>
        <w:widowControl w:val="0"/>
        <w:kinsoku/>
        <w:wordWrap/>
        <w:overflowPunct/>
        <w:topLinePunct w:val="0"/>
        <w:autoSpaceDE/>
        <w:autoSpaceDN/>
        <w:bidi w:val="0"/>
        <w:adjustRightInd w:val="0"/>
        <w:snapToGrid w:val="0"/>
        <w:spacing w:beforeAutospacing="0" w:afterAutospacing="0" w:line="500" w:lineRule="exact"/>
        <w:ind w:left="0" w:leftChars="0" w:right="0" w:firstLine="480" w:firstLineChars="200"/>
        <w:textAlignment w:val="auto"/>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根据《建设项目环境风险评价技术导则》(HJ 169-2018)，本项目大气风险潜势为Ⅲ级，地表水风险潜势为</w:t>
      </w:r>
      <w:r>
        <w:rPr>
          <w:rFonts w:hint="default" w:ascii="Times New Roman" w:hAnsi="Times New Roman" w:eastAsia="仿宋_GB2312" w:cs="Times New Roman"/>
          <w:color w:val="auto"/>
          <w:spacing w:val="0"/>
          <w:kern w:val="0"/>
          <w:position w:val="0"/>
          <w:sz w:val="24"/>
          <w:szCs w:val="24"/>
          <w:lang w:val="en-US" w:eastAsia="zh-CN"/>
        </w:rPr>
        <w:t>I</w:t>
      </w:r>
      <w:r>
        <w:rPr>
          <w:rFonts w:hint="default" w:ascii="Times New Roman" w:hAnsi="Times New Roman" w:eastAsia="仿宋_GB2312" w:cs="Times New Roman"/>
          <w:color w:val="auto"/>
          <w:spacing w:val="0"/>
          <w:kern w:val="0"/>
          <w:position w:val="0"/>
          <w:sz w:val="24"/>
          <w:szCs w:val="24"/>
        </w:rPr>
        <w:t>级，地下水风险潜势为</w:t>
      </w:r>
      <w:r>
        <w:rPr>
          <w:rFonts w:hint="default" w:ascii="Times New Roman" w:hAnsi="Times New Roman" w:eastAsia="仿宋_GB2312" w:cs="Times New Roman"/>
          <w:color w:val="auto"/>
          <w:spacing w:val="0"/>
          <w:kern w:val="0"/>
          <w:position w:val="0"/>
          <w:sz w:val="24"/>
          <w:szCs w:val="24"/>
          <w:lang w:val="en-US" w:eastAsia="zh-CN"/>
        </w:rPr>
        <w:t>I</w:t>
      </w:r>
      <w:r>
        <w:rPr>
          <w:rFonts w:hint="default" w:ascii="Times New Roman" w:hAnsi="Times New Roman" w:eastAsia="仿宋_GB2312" w:cs="Times New Roman"/>
          <w:color w:val="auto"/>
          <w:spacing w:val="0"/>
          <w:kern w:val="0"/>
          <w:position w:val="0"/>
          <w:sz w:val="24"/>
          <w:szCs w:val="24"/>
        </w:rPr>
        <w:t>级，项目大气环境风险评价工作等级为二级，地表水、地下水环境风险评价工作等级为</w:t>
      </w:r>
      <w:r>
        <w:rPr>
          <w:rFonts w:hint="default" w:ascii="Times New Roman" w:hAnsi="Times New Roman" w:eastAsia="仿宋_GB2312" w:cs="Times New Roman"/>
          <w:color w:val="auto"/>
          <w:spacing w:val="0"/>
          <w:kern w:val="0"/>
          <w:position w:val="0"/>
          <w:sz w:val="24"/>
          <w:szCs w:val="24"/>
          <w:lang w:eastAsia="zh-CN"/>
        </w:rPr>
        <w:t>简单分析</w:t>
      </w:r>
      <w:r>
        <w:rPr>
          <w:rFonts w:hint="default" w:ascii="Times New Roman" w:hAnsi="Times New Roman" w:eastAsia="仿宋_GB2312" w:cs="Times New Roman"/>
          <w:color w:val="auto"/>
          <w:spacing w:val="0"/>
          <w:kern w:val="0"/>
          <w:position w:val="0"/>
          <w:sz w:val="24"/>
          <w:szCs w:val="24"/>
        </w:rPr>
        <w:t>。</w:t>
      </w:r>
    </w:p>
    <w:p w14:paraId="5F57599E">
      <w:pPr>
        <w:pStyle w:val="4"/>
        <w:keepNext/>
        <w:keepLines w:val="0"/>
        <w:pageBreakBefore w:val="0"/>
        <w:widowControl w:val="0"/>
        <w:kinsoku/>
        <w:wordWrap/>
        <w:overflowPunct w:val="0"/>
        <w:topLinePunct w:val="0"/>
        <w:autoSpaceDE/>
        <w:autoSpaceDN/>
        <w:bidi w:val="0"/>
        <w:adjustRightInd/>
        <w:snapToGrid w:val="0"/>
        <w:spacing w:before="0" w:line="500" w:lineRule="exact"/>
        <w:ind w:left="0" w:right="0" w:firstLine="0" w:firstLineChars="0"/>
        <w:jc w:val="both"/>
        <w:textAlignment w:val="auto"/>
        <w:outlineLvl w:val="1"/>
        <w:rPr>
          <w:rFonts w:hint="default" w:ascii="Times New Roman" w:hAnsi="Times New Roman" w:eastAsia="仿宋_GB2312" w:cs="Times New Roman"/>
          <w:b/>
          <w:bCs/>
          <w:sz w:val="24"/>
          <w:szCs w:val="24"/>
          <w:lang w:val="en-US" w:eastAsia="zh-CN"/>
        </w:rPr>
      </w:pPr>
      <w:bookmarkStart w:id="118" w:name="_Toc8713"/>
      <w:bookmarkStart w:id="119" w:name="_Toc168"/>
      <w:bookmarkStart w:id="120" w:name="_Toc27588"/>
      <w:r>
        <w:rPr>
          <w:rFonts w:hint="default" w:ascii="Times New Roman" w:hAnsi="Times New Roman" w:eastAsia="仿宋_GB2312" w:cs="Times New Roman"/>
          <w:b/>
          <w:bCs/>
          <w:sz w:val="24"/>
          <w:szCs w:val="24"/>
          <w:lang w:val="en-US" w:eastAsia="zh-CN"/>
        </w:rPr>
        <w:t>2.4物质危险性识别</w:t>
      </w:r>
      <w:bookmarkEnd w:id="118"/>
      <w:bookmarkEnd w:id="119"/>
      <w:bookmarkEnd w:id="120"/>
    </w:p>
    <w:p w14:paraId="0F99A440">
      <w:pPr>
        <w:keepLines w:val="0"/>
        <w:pageBreakBefore w:val="0"/>
        <w:widowControl w:val="0"/>
        <w:kinsoku/>
        <w:wordWrap/>
        <w:topLinePunct w:val="0"/>
        <w:autoSpaceDE/>
        <w:autoSpaceDN/>
        <w:bidi w:val="0"/>
        <w:adjustRightInd w:val="0"/>
        <w:snapToGrid w:val="0"/>
        <w:spacing w:beforeAutospacing="0" w:afterAutospacing="0" w:line="500" w:lineRule="exact"/>
        <w:ind w:left="0" w:leftChars="0" w:right="0" w:firstLine="480" w:firstLineChars="200"/>
        <w:textAlignment w:val="auto"/>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物质危险性识别包括主要原辅材料、燃料、中间产品、副产品、最终产品、污染物、火灾和爆炸伴生/次生物等。</w:t>
      </w:r>
    </w:p>
    <w:p w14:paraId="1CDB9AFC">
      <w:pPr>
        <w:keepLines w:val="0"/>
        <w:pageBreakBefore w:val="0"/>
        <w:widowControl w:val="0"/>
        <w:kinsoku/>
        <w:wordWrap/>
        <w:topLinePunct w:val="0"/>
        <w:autoSpaceDE/>
        <w:autoSpaceDN/>
        <w:bidi w:val="0"/>
        <w:adjustRightInd w:val="0"/>
        <w:snapToGrid w:val="0"/>
        <w:spacing w:beforeAutospacing="0" w:afterAutospacing="0" w:line="500" w:lineRule="exact"/>
        <w:ind w:left="0" w:leftChars="0" w:right="0" w:firstLine="480" w:firstLineChars="200"/>
        <w:textAlignment w:val="auto"/>
        <w:rPr>
          <w:rFonts w:hint="default" w:ascii="Times New Roman" w:hAnsi="Times New Roman" w:eastAsia="仿宋_GB2312" w:cs="Times New Roman"/>
          <w:bCs/>
          <w:color w:val="auto"/>
          <w:spacing w:val="0"/>
          <w:kern w:val="0"/>
          <w:position w:val="0"/>
          <w:sz w:val="24"/>
          <w:szCs w:val="24"/>
        </w:rPr>
      </w:pPr>
      <w:r>
        <w:rPr>
          <w:rFonts w:hint="eastAsia" w:ascii="Times New Roman" w:hAnsi="Times New Roman" w:eastAsia="仿宋_GB2312" w:cs="Times New Roman"/>
          <w:bCs/>
          <w:color w:val="auto"/>
          <w:spacing w:val="0"/>
          <w:kern w:val="0"/>
          <w:position w:val="0"/>
          <w:sz w:val="24"/>
          <w:szCs w:val="24"/>
          <w:lang w:eastAsia="zh-CN"/>
        </w:rPr>
        <w:t>（</w:t>
      </w:r>
      <w:r>
        <w:rPr>
          <w:rFonts w:hint="eastAsia" w:ascii="Times New Roman" w:hAnsi="Times New Roman" w:eastAsia="仿宋_GB2312" w:cs="Times New Roman"/>
          <w:bCs/>
          <w:color w:val="auto"/>
          <w:spacing w:val="0"/>
          <w:kern w:val="0"/>
          <w:position w:val="0"/>
          <w:sz w:val="24"/>
          <w:szCs w:val="24"/>
          <w:lang w:val="en-US" w:eastAsia="zh-CN"/>
        </w:rPr>
        <w:t>1</w:t>
      </w:r>
      <w:r>
        <w:rPr>
          <w:rFonts w:hint="eastAsia" w:ascii="Times New Roman" w:hAnsi="Times New Roman" w:eastAsia="仿宋_GB2312" w:cs="Times New Roman"/>
          <w:bCs/>
          <w:color w:val="auto"/>
          <w:spacing w:val="0"/>
          <w:kern w:val="0"/>
          <w:position w:val="0"/>
          <w:sz w:val="24"/>
          <w:szCs w:val="24"/>
          <w:lang w:eastAsia="zh-CN"/>
        </w:rPr>
        <w:t>）</w:t>
      </w:r>
      <w:r>
        <w:rPr>
          <w:rFonts w:hint="default" w:ascii="Times New Roman" w:hAnsi="Times New Roman" w:eastAsia="仿宋_GB2312" w:cs="Times New Roman"/>
          <w:bCs/>
          <w:color w:val="auto"/>
          <w:spacing w:val="0"/>
          <w:kern w:val="0"/>
          <w:position w:val="0"/>
          <w:sz w:val="24"/>
          <w:szCs w:val="24"/>
        </w:rPr>
        <w:t>物质危险性识别</w:t>
      </w:r>
    </w:p>
    <w:p w14:paraId="01BB9755">
      <w:pPr>
        <w:keepLines w:val="0"/>
        <w:pageBreakBefore w:val="0"/>
        <w:widowControl w:val="0"/>
        <w:kinsoku/>
        <w:wordWrap/>
        <w:topLinePunct w:val="0"/>
        <w:autoSpaceDE/>
        <w:autoSpaceDN/>
        <w:bidi w:val="0"/>
        <w:adjustRightInd w:val="0"/>
        <w:snapToGrid w:val="0"/>
        <w:spacing w:beforeAutospacing="0" w:afterAutospacing="0" w:line="500" w:lineRule="exact"/>
        <w:ind w:left="0" w:leftChars="0" w:right="0" w:firstLine="480" w:firstLineChars="200"/>
        <w:textAlignment w:val="auto"/>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根据《重点监管危险化学品名录》、《危险化学品目录》(</w:t>
      </w:r>
      <w:r>
        <w:rPr>
          <w:rFonts w:hint="default" w:ascii="Times New Roman" w:hAnsi="Times New Roman" w:eastAsia="仿宋_GB2312" w:cs="Times New Roman"/>
          <w:color w:val="auto"/>
          <w:spacing w:val="0"/>
          <w:kern w:val="0"/>
          <w:position w:val="0"/>
          <w:sz w:val="24"/>
          <w:szCs w:val="24"/>
          <w:lang w:val="en-US" w:eastAsia="zh-CN"/>
        </w:rPr>
        <w:t>2022调整</w:t>
      </w:r>
      <w:r>
        <w:rPr>
          <w:rFonts w:hint="default" w:ascii="Times New Roman" w:hAnsi="Times New Roman" w:eastAsia="仿宋_GB2312" w:cs="Times New Roman"/>
          <w:color w:val="auto"/>
          <w:spacing w:val="0"/>
          <w:kern w:val="0"/>
          <w:position w:val="0"/>
          <w:sz w:val="24"/>
          <w:szCs w:val="24"/>
        </w:rPr>
        <w:t>版)、《环境风险评价实用技术和方法》中的毒物危害程度分级标准中的物质危险性标准和《危险化学品重大危险源辨识》（GB18218-2018）表2“未列举的危险化学品类别及其临界量”进行分析，危险化学品类别判定依据见表2</w:t>
      </w:r>
      <w:r>
        <w:rPr>
          <w:rFonts w:hint="eastAsia" w:ascii="Times New Roman" w:hAnsi="Times New Roman" w:eastAsia="仿宋_GB2312" w:cs="Times New Roman"/>
          <w:color w:val="auto"/>
          <w:spacing w:val="0"/>
          <w:kern w:val="0"/>
          <w:position w:val="0"/>
          <w:sz w:val="24"/>
          <w:szCs w:val="24"/>
          <w:lang w:val="en-US" w:eastAsia="zh-CN"/>
        </w:rPr>
        <w:t>.4-1</w:t>
      </w:r>
      <w:r>
        <w:rPr>
          <w:rFonts w:hint="default" w:ascii="Times New Roman" w:hAnsi="Times New Roman" w:eastAsia="仿宋_GB2312" w:cs="Times New Roman"/>
          <w:color w:val="auto"/>
          <w:spacing w:val="0"/>
          <w:kern w:val="0"/>
          <w:position w:val="0"/>
          <w:sz w:val="24"/>
          <w:szCs w:val="24"/>
        </w:rPr>
        <w:t>。</w:t>
      </w:r>
    </w:p>
    <w:p w14:paraId="1804367B">
      <w:pPr>
        <w:pageBreakBefore w:val="0"/>
        <w:kinsoku/>
        <w:wordWrap/>
        <w:bidi w:val="0"/>
        <w:adjustRightInd w:val="0"/>
        <w:snapToGrid w:val="0"/>
        <w:spacing w:beforeAutospacing="0" w:afterAutospacing="0" w:line="500" w:lineRule="exact"/>
        <w:ind w:left="0" w:leftChars="0" w:right="0" w:firstLine="562"/>
        <w:jc w:val="center"/>
        <w:rPr>
          <w:rFonts w:hint="default" w:ascii="Times New Roman" w:hAnsi="Times New Roman" w:eastAsia="仿宋_GB2312" w:cs="Times New Roman"/>
          <w:b/>
          <w:color w:val="auto"/>
          <w:spacing w:val="0"/>
          <w:kern w:val="0"/>
          <w:position w:val="0"/>
          <w:sz w:val="24"/>
          <w:szCs w:val="24"/>
        </w:rPr>
      </w:pPr>
      <w:r>
        <w:rPr>
          <w:rFonts w:hint="default" w:ascii="Times New Roman" w:hAnsi="Times New Roman" w:eastAsia="仿宋_GB2312" w:cs="Times New Roman"/>
          <w:b/>
          <w:color w:val="auto"/>
          <w:spacing w:val="0"/>
          <w:kern w:val="0"/>
          <w:position w:val="0"/>
          <w:sz w:val="24"/>
          <w:szCs w:val="24"/>
        </w:rPr>
        <w:t>表2</w:t>
      </w:r>
      <w:r>
        <w:rPr>
          <w:rFonts w:hint="eastAsia" w:ascii="Times New Roman" w:hAnsi="Times New Roman" w:eastAsia="仿宋_GB2312" w:cs="Times New Roman"/>
          <w:b/>
          <w:color w:val="auto"/>
          <w:spacing w:val="0"/>
          <w:kern w:val="0"/>
          <w:position w:val="0"/>
          <w:sz w:val="24"/>
          <w:szCs w:val="24"/>
          <w:lang w:val="en-US" w:eastAsia="zh-CN"/>
        </w:rPr>
        <w:t>.4-1</w:t>
      </w:r>
      <w:r>
        <w:rPr>
          <w:rFonts w:hint="default" w:ascii="Times New Roman" w:hAnsi="Times New Roman" w:eastAsia="仿宋_GB2312" w:cs="Times New Roman"/>
          <w:b/>
          <w:color w:val="auto"/>
          <w:spacing w:val="0"/>
          <w:kern w:val="0"/>
          <w:position w:val="0"/>
          <w:sz w:val="24"/>
          <w:szCs w:val="24"/>
        </w:rPr>
        <w:t xml:space="preserve">  物质危险性标准</w:t>
      </w:r>
    </w:p>
    <w:tbl>
      <w:tblPr>
        <w:tblStyle w:val="31"/>
        <w:tblW w:w="499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977"/>
        <w:gridCol w:w="435"/>
        <w:gridCol w:w="2321"/>
        <w:gridCol w:w="2611"/>
        <w:gridCol w:w="2836"/>
      </w:tblGrid>
      <w:tr w14:paraId="4D77AD4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69" w:type="pct"/>
            <w:gridSpan w:val="2"/>
            <w:noWrap w:val="0"/>
            <w:tcMar>
              <w:left w:w="57" w:type="dxa"/>
              <w:right w:w="57" w:type="dxa"/>
            </w:tcMar>
            <w:vAlign w:val="center"/>
          </w:tcPr>
          <w:p w14:paraId="5E327687">
            <w:pPr>
              <w:pageBreakBefore w:val="0"/>
              <w:kinsoku/>
              <w:wordWrap/>
              <w:bidi w:val="0"/>
              <w:adjustRightInd w:val="0"/>
              <w:snapToGrid w:val="0"/>
              <w:spacing w:beforeAutospacing="0" w:afterAutospacing="0"/>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项目</w:t>
            </w:r>
          </w:p>
        </w:tc>
        <w:tc>
          <w:tcPr>
            <w:tcW w:w="1264" w:type="pct"/>
            <w:noWrap w:val="0"/>
            <w:tcMar>
              <w:left w:w="57" w:type="dxa"/>
              <w:right w:w="57" w:type="dxa"/>
            </w:tcMar>
            <w:vAlign w:val="center"/>
          </w:tcPr>
          <w:p w14:paraId="465503C0">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
                <w:color w:val="auto"/>
                <w:spacing w:val="0"/>
                <w:kern w:val="0"/>
                <w:position w:val="0"/>
                <w:sz w:val="21"/>
                <w:szCs w:val="21"/>
              </w:rPr>
            </w:pPr>
            <w:r>
              <w:rPr>
                <w:rFonts w:hint="default" w:ascii="Times New Roman" w:hAnsi="Times New Roman" w:eastAsia="仿宋_GB2312" w:cs="Times New Roman"/>
                <w:b/>
                <w:color w:val="auto"/>
                <w:spacing w:val="0"/>
                <w:kern w:val="0"/>
                <w:position w:val="0"/>
                <w:sz w:val="21"/>
                <w:szCs w:val="21"/>
              </w:rPr>
              <w:t>LD</w:t>
            </w:r>
            <w:r>
              <w:rPr>
                <w:rFonts w:hint="default" w:ascii="Times New Roman" w:hAnsi="Times New Roman" w:eastAsia="仿宋_GB2312" w:cs="Times New Roman"/>
                <w:b/>
                <w:color w:val="auto"/>
                <w:spacing w:val="0"/>
                <w:kern w:val="0"/>
                <w:position w:val="0"/>
                <w:sz w:val="21"/>
                <w:szCs w:val="21"/>
                <w:vertAlign w:val="subscript"/>
              </w:rPr>
              <w:t>50</w:t>
            </w:r>
            <w:r>
              <w:rPr>
                <w:rFonts w:hint="default" w:ascii="Times New Roman" w:hAnsi="Times New Roman" w:eastAsia="仿宋_GB2312" w:cs="Times New Roman"/>
                <w:b/>
                <w:color w:val="auto"/>
                <w:spacing w:val="0"/>
                <w:kern w:val="0"/>
                <w:position w:val="0"/>
                <w:sz w:val="21"/>
                <w:szCs w:val="21"/>
              </w:rPr>
              <w:t>(大鼠经口)/(mg/kg)</w:t>
            </w:r>
          </w:p>
        </w:tc>
        <w:tc>
          <w:tcPr>
            <w:tcW w:w="1422" w:type="pct"/>
            <w:noWrap w:val="0"/>
            <w:tcMar>
              <w:left w:w="57" w:type="dxa"/>
              <w:right w:w="57" w:type="dxa"/>
            </w:tcMar>
            <w:vAlign w:val="center"/>
          </w:tcPr>
          <w:p w14:paraId="6E636B49">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
                <w:color w:val="auto"/>
                <w:spacing w:val="0"/>
                <w:kern w:val="0"/>
                <w:position w:val="0"/>
                <w:sz w:val="21"/>
                <w:szCs w:val="21"/>
              </w:rPr>
            </w:pPr>
            <w:r>
              <w:rPr>
                <w:rFonts w:hint="default" w:ascii="Times New Roman" w:hAnsi="Times New Roman" w:eastAsia="仿宋_GB2312" w:cs="Times New Roman"/>
                <w:b/>
                <w:color w:val="auto"/>
                <w:spacing w:val="0"/>
                <w:kern w:val="0"/>
                <w:position w:val="0"/>
                <w:sz w:val="21"/>
                <w:szCs w:val="21"/>
              </w:rPr>
              <w:t>LD</w:t>
            </w:r>
            <w:r>
              <w:rPr>
                <w:rFonts w:hint="default" w:ascii="Times New Roman" w:hAnsi="Times New Roman" w:eastAsia="仿宋_GB2312" w:cs="Times New Roman"/>
                <w:b/>
                <w:color w:val="auto"/>
                <w:spacing w:val="0"/>
                <w:kern w:val="0"/>
                <w:position w:val="0"/>
                <w:sz w:val="21"/>
                <w:szCs w:val="21"/>
                <w:vertAlign w:val="subscript"/>
              </w:rPr>
              <w:t>50</w:t>
            </w:r>
            <w:r>
              <w:rPr>
                <w:rFonts w:hint="default" w:ascii="Times New Roman" w:hAnsi="Times New Roman" w:eastAsia="仿宋_GB2312" w:cs="Times New Roman"/>
                <w:b/>
                <w:color w:val="auto"/>
                <w:spacing w:val="0"/>
                <w:kern w:val="0"/>
                <w:position w:val="0"/>
                <w:sz w:val="21"/>
                <w:szCs w:val="21"/>
              </w:rPr>
              <w:t>(大鼠经皮)/(mg/kg)</w:t>
            </w:r>
          </w:p>
        </w:tc>
        <w:tc>
          <w:tcPr>
            <w:tcW w:w="1543" w:type="pct"/>
            <w:noWrap w:val="0"/>
            <w:tcMar>
              <w:left w:w="57" w:type="dxa"/>
              <w:right w:w="57" w:type="dxa"/>
            </w:tcMar>
            <w:vAlign w:val="center"/>
          </w:tcPr>
          <w:p w14:paraId="69544094">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
                <w:color w:val="auto"/>
                <w:spacing w:val="0"/>
                <w:kern w:val="0"/>
                <w:position w:val="0"/>
                <w:sz w:val="21"/>
                <w:szCs w:val="21"/>
              </w:rPr>
            </w:pPr>
            <w:r>
              <w:rPr>
                <w:rFonts w:hint="default" w:ascii="Times New Roman" w:hAnsi="Times New Roman" w:eastAsia="仿宋_GB2312" w:cs="Times New Roman"/>
                <w:b/>
                <w:color w:val="auto"/>
                <w:spacing w:val="0"/>
                <w:kern w:val="0"/>
                <w:position w:val="0"/>
                <w:sz w:val="21"/>
                <w:szCs w:val="21"/>
              </w:rPr>
              <w:t>LC</w:t>
            </w:r>
            <w:r>
              <w:rPr>
                <w:rFonts w:hint="default" w:ascii="Times New Roman" w:hAnsi="Times New Roman" w:eastAsia="仿宋_GB2312" w:cs="Times New Roman"/>
                <w:b/>
                <w:color w:val="auto"/>
                <w:spacing w:val="0"/>
                <w:kern w:val="0"/>
                <w:position w:val="0"/>
                <w:sz w:val="21"/>
                <w:szCs w:val="21"/>
                <w:vertAlign w:val="subscript"/>
              </w:rPr>
              <w:t>50</w:t>
            </w:r>
            <w:r>
              <w:rPr>
                <w:rFonts w:hint="default" w:ascii="Times New Roman" w:hAnsi="Times New Roman" w:eastAsia="仿宋_GB2312" w:cs="Times New Roman"/>
                <w:b/>
                <w:color w:val="auto"/>
                <w:spacing w:val="0"/>
                <w:kern w:val="0"/>
                <w:position w:val="0"/>
                <w:sz w:val="21"/>
                <w:szCs w:val="21"/>
              </w:rPr>
              <w:t>(小鼠吸入</w:t>
            </w:r>
            <w:r>
              <w:rPr>
                <w:rFonts w:hint="default" w:ascii="Times New Roman" w:hAnsi="Times New Roman" w:eastAsia="仿宋_GB2312" w:cs="Times New Roman"/>
                <w:b/>
                <w:color w:val="auto"/>
                <w:spacing w:val="0"/>
                <w:kern w:val="0"/>
                <w:position w:val="0"/>
                <w:sz w:val="21"/>
                <w:szCs w:val="21"/>
                <w:lang w:eastAsia="zh-CN"/>
              </w:rPr>
              <w:t>，</w:t>
            </w:r>
            <w:r>
              <w:rPr>
                <w:rFonts w:hint="default" w:ascii="Times New Roman" w:hAnsi="Times New Roman" w:eastAsia="仿宋_GB2312" w:cs="Times New Roman"/>
                <w:b/>
                <w:color w:val="auto"/>
                <w:spacing w:val="0"/>
                <w:kern w:val="0"/>
                <w:position w:val="0"/>
                <w:sz w:val="21"/>
                <w:szCs w:val="21"/>
              </w:rPr>
              <w:t>4h)/(mg/L)</w:t>
            </w:r>
          </w:p>
        </w:tc>
      </w:tr>
      <w:tr w14:paraId="70B2532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2" w:type="pct"/>
            <w:vMerge w:val="restart"/>
            <w:noWrap w:val="0"/>
            <w:tcMar>
              <w:left w:w="57" w:type="dxa"/>
              <w:right w:w="57" w:type="dxa"/>
            </w:tcMar>
            <w:vAlign w:val="center"/>
          </w:tcPr>
          <w:p w14:paraId="1C1ED6B1">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有毒</w:t>
            </w:r>
          </w:p>
          <w:p w14:paraId="683795DA">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物质</w:t>
            </w:r>
          </w:p>
        </w:tc>
        <w:tc>
          <w:tcPr>
            <w:tcW w:w="237" w:type="pct"/>
            <w:noWrap w:val="0"/>
            <w:tcMar>
              <w:left w:w="57" w:type="dxa"/>
              <w:right w:w="57" w:type="dxa"/>
            </w:tcMar>
            <w:vAlign w:val="center"/>
          </w:tcPr>
          <w:p w14:paraId="0470C83C">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1</w:t>
            </w:r>
          </w:p>
        </w:tc>
        <w:tc>
          <w:tcPr>
            <w:tcW w:w="1264" w:type="pct"/>
            <w:noWrap w:val="0"/>
            <w:tcMar>
              <w:left w:w="57" w:type="dxa"/>
              <w:right w:w="57" w:type="dxa"/>
            </w:tcMar>
            <w:vAlign w:val="center"/>
          </w:tcPr>
          <w:p w14:paraId="49CADAE7">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&lt;5</w:t>
            </w:r>
          </w:p>
        </w:tc>
        <w:tc>
          <w:tcPr>
            <w:tcW w:w="1422" w:type="pct"/>
            <w:noWrap w:val="0"/>
            <w:tcMar>
              <w:left w:w="57" w:type="dxa"/>
              <w:right w:w="57" w:type="dxa"/>
            </w:tcMar>
            <w:vAlign w:val="center"/>
          </w:tcPr>
          <w:p w14:paraId="7F6C115A">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&lt;1</w:t>
            </w:r>
          </w:p>
        </w:tc>
        <w:tc>
          <w:tcPr>
            <w:tcW w:w="1543" w:type="pct"/>
            <w:noWrap w:val="0"/>
            <w:tcMar>
              <w:left w:w="57" w:type="dxa"/>
              <w:right w:w="57" w:type="dxa"/>
            </w:tcMar>
            <w:vAlign w:val="center"/>
          </w:tcPr>
          <w:p w14:paraId="2CDC8F47">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&lt;0.01</w:t>
            </w:r>
          </w:p>
        </w:tc>
      </w:tr>
      <w:tr w14:paraId="50F21E6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2" w:type="pct"/>
            <w:vMerge w:val="continue"/>
            <w:noWrap w:val="0"/>
            <w:tcMar>
              <w:left w:w="57" w:type="dxa"/>
              <w:right w:w="57" w:type="dxa"/>
            </w:tcMar>
            <w:vAlign w:val="center"/>
          </w:tcPr>
          <w:p w14:paraId="45EDB1AB">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p>
        </w:tc>
        <w:tc>
          <w:tcPr>
            <w:tcW w:w="237" w:type="pct"/>
            <w:noWrap w:val="0"/>
            <w:tcMar>
              <w:left w:w="57" w:type="dxa"/>
              <w:right w:w="57" w:type="dxa"/>
            </w:tcMar>
            <w:vAlign w:val="center"/>
          </w:tcPr>
          <w:p w14:paraId="2D9D5E7A">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2</w:t>
            </w:r>
          </w:p>
        </w:tc>
        <w:tc>
          <w:tcPr>
            <w:tcW w:w="1264" w:type="pct"/>
            <w:noWrap w:val="0"/>
            <w:tcMar>
              <w:left w:w="57" w:type="dxa"/>
              <w:right w:w="57" w:type="dxa"/>
            </w:tcMar>
            <w:vAlign w:val="center"/>
          </w:tcPr>
          <w:p w14:paraId="0D3AF883">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5&lt;LD</w:t>
            </w:r>
            <w:r>
              <w:rPr>
                <w:rFonts w:hint="default" w:ascii="Times New Roman" w:hAnsi="Times New Roman" w:eastAsia="仿宋_GB2312" w:cs="Times New Roman"/>
                <w:color w:val="auto"/>
                <w:spacing w:val="0"/>
                <w:kern w:val="0"/>
                <w:position w:val="0"/>
                <w:sz w:val="21"/>
                <w:szCs w:val="21"/>
                <w:vertAlign w:val="subscript"/>
              </w:rPr>
              <w:t>50</w:t>
            </w:r>
            <w:r>
              <w:rPr>
                <w:rFonts w:hint="default" w:ascii="Times New Roman" w:hAnsi="Times New Roman" w:eastAsia="仿宋_GB2312" w:cs="Times New Roman"/>
                <w:color w:val="auto"/>
                <w:spacing w:val="0"/>
                <w:kern w:val="0"/>
                <w:position w:val="0"/>
                <w:sz w:val="21"/>
                <w:szCs w:val="21"/>
              </w:rPr>
              <w:t>&lt;25</w:t>
            </w:r>
          </w:p>
        </w:tc>
        <w:tc>
          <w:tcPr>
            <w:tcW w:w="1422" w:type="pct"/>
            <w:noWrap w:val="0"/>
            <w:tcMar>
              <w:left w:w="57" w:type="dxa"/>
              <w:right w:w="57" w:type="dxa"/>
            </w:tcMar>
            <w:vAlign w:val="center"/>
          </w:tcPr>
          <w:p w14:paraId="508E7864">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10&lt;LD</w:t>
            </w:r>
            <w:r>
              <w:rPr>
                <w:rFonts w:hint="default" w:ascii="Times New Roman" w:hAnsi="Times New Roman" w:eastAsia="仿宋_GB2312" w:cs="Times New Roman"/>
                <w:color w:val="auto"/>
                <w:spacing w:val="0"/>
                <w:kern w:val="0"/>
                <w:position w:val="0"/>
                <w:sz w:val="21"/>
                <w:szCs w:val="21"/>
                <w:vertAlign w:val="subscript"/>
              </w:rPr>
              <w:t>50</w:t>
            </w:r>
            <w:r>
              <w:rPr>
                <w:rFonts w:hint="default" w:ascii="Times New Roman" w:hAnsi="Times New Roman" w:eastAsia="仿宋_GB2312" w:cs="Times New Roman"/>
                <w:color w:val="auto"/>
                <w:spacing w:val="0"/>
                <w:kern w:val="0"/>
                <w:position w:val="0"/>
                <w:sz w:val="21"/>
                <w:szCs w:val="21"/>
              </w:rPr>
              <w:t>&lt;50</w:t>
            </w:r>
          </w:p>
        </w:tc>
        <w:tc>
          <w:tcPr>
            <w:tcW w:w="1543" w:type="pct"/>
            <w:noWrap w:val="0"/>
            <w:tcMar>
              <w:left w:w="57" w:type="dxa"/>
              <w:right w:w="57" w:type="dxa"/>
            </w:tcMar>
            <w:vAlign w:val="center"/>
          </w:tcPr>
          <w:p w14:paraId="77208D21">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0.1&lt;LC</w:t>
            </w:r>
            <w:r>
              <w:rPr>
                <w:rFonts w:hint="default" w:ascii="Times New Roman" w:hAnsi="Times New Roman" w:eastAsia="仿宋_GB2312" w:cs="Times New Roman"/>
                <w:color w:val="auto"/>
                <w:spacing w:val="0"/>
                <w:kern w:val="0"/>
                <w:position w:val="0"/>
                <w:sz w:val="21"/>
                <w:szCs w:val="21"/>
                <w:vertAlign w:val="subscript"/>
              </w:rPr>
              <w:t>50</w:t>
            </w:r>
            <w:r>
              <w:rPr>
                <w:rFonts w:hint="default" w:ascii="Times New Roman" w:hAnsi="Times New Roman" w:eastAsia="仿宋_GB2312" w:cs="Times New Roman"/>
                <w:color w:val="auto"/>
                <w:spacing w:val="0"/>
                <w:kern w:val="0"/>
                <w:position w:val="0"/>
                <w:sz w:val="21"/>
                <w:szCs w:val="21"/>
              </w:rPr>
              <w:t>&lt;0.5</w:t>
            </w:r>
          </w:p>
        </w:tc>
      </w:tr>
      <w:tr w14:paraId="5210115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2" w:type="pct"/>
            <w:vMerge w:val="continue"/>
            <w:noWrap w:val="0"/>
            <w:tcMar>
              <w:left w:w="57" w:type="dxa"/>
              <w:right w:w="57" w:type="dxa"/>
            </w:tcMar>
            <w:vAlign w:val="center"/>
          </w:tcPr>
          <w:p w14:paraId="25249AC8">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p>
        </w:tc>
        <w:tc>
          <w:tcPr>
            <w:tcW w:w="237" w:type="pct"/>
            <w:noWrap w:val="0"/>
            <w:tcMar>
              <w:left w:w="57" w:type="dxa"/>
              <w:right w:w="57" w:type="dxa"/>
            </w:tcMar>
            <w:vAlign w:val="center"/>
          </w:tcPr>
          <w:p w14:paraId="44F41C81">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3</w:t>
            </w:r>
          </w:p>
        </w:tc>
        <w:tc>
          <w:tcPr>
            <w:tcW w:w="1264" w:type="pct"/>
            <w:noWrap w:val="0"/>
            <w:tcMar>
              <w:left w:w="57" w:type="dxa"/>
              <w:right w:w="57" w:type="dxa"/>
            </w:tcMar>
            <w:vAlign w:val="center"/>
          </w:tcPr>
          <w:p w14:paraId="68B64E41">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25&lt;LD</w:t>
            </w:r>
            <w:r>
              <w:rPr>
                <w:rFonts w:hint="default" w:ascii="Times New Roman" w:hAnsi="Times New Roman" w:eastAsia="仿宋_GB2312" w:cs="Times New Roman"/>
                <w:color w:val="auto"/>
                <w:spacing w:val="0"/>
                <w:kern w:val="0"/>
                <w:position w:val="0"/>
                <w:sz w:val="21"/>
                <w:szCs w:val="21"/>
                <w:vertAlign w:val="subscript"/>
              </w:rPr>
              <w:t>50</w:t>
            </w:r>
            <w:r>
              <w:rPr>
                <w:rFonts w:hint="default" w:ascii="Times New Roman" w:hAnsi="Times New Roman" w:eastAsia="仿宋_GB2312" w:cs="Times New Roman"/>
                <w:color w:val="auto"/>
                <w:spacing w:val="0"/>
                <w:kern w:val="0"/>
                <w:position w:val="0"/>
                <w:sz w:val="21"/>
                <w:szCs w:val="21"/>
              </w:rPr>
              <w:t>&lt;200</w:t>
            </w:r>
          </w:p>
        </w:tc>
        <w:tc>
          <w:tcPr>
            <w:tcW w:w="1422" w:type="pct"/>
            <w:noWrap w:val="0"/>
            <w:tcMar>
              <w:left w:w="57" w:type="dxa"/>
              <w:right w:w="57" w:type="dxa"/>
            </w:tcMar>
            <w:vAlign w:val="center"/>
          </w:tcPr>
          <w:p w14:paraId="71DC6EF1">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50&lt;LD</w:t>
            </w:r>
            <w:r>
              <w:rPr>
                <w:rFonts w:hint="default" w:ascii="Times New Roman" w:hAnsi="Times New Roman" w:eastAsia="仿宋_GB2312" w:cs="Times New Roman"/>
                <w:color w:val="auto"/>
                <w:spacing w:val="0"/>
                <w:kern w:val="0"/>
                <w:position w:val="0"/>
                <w:sz w:val="21"/>
                <w:szCs w:val="21"/>
                <w:vertAlign w:val="subscript"/>
              </w:rPr>
              <w:t>50</w:t>
            </w:r>
            <w:r>
              <w:rPr>
                <w:rFonts w:hint="default" w:ascii="Times New Roman" w:hAnsi="Times New Roman" w:eastAsia="仿宋_GB2312" w:cs="Times New Roman"/>
                <w:color w:val="auto"/>
                <w:spacing w:val="0"/>
                <w:kern w:val="0"/>
                <w:position w:val="0"/>
                <w:sz w:val="21"/>
                <w:szCs w:val="21"/>
              </w:rPr>
              <w:t>&lt;400</w:t>
            </w:r>
          </w:p>
        </w:tc>
        <w:tc>
          <w:tcPr>
            <w:tcW w:w="1543" w:type="pct"/>
            <w:noWrap w:val="0"/>
            <w:tcMar>
              <w:left w:w="57" w:type="dxa"/>
              <w:right w:w="57" w:type="dxa"/>
            </w:tcMar>
            <w:vAlign w:val="center"/>
          </w:tcPr>
          <w:p w14:paraId="545DDBC8">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0.5&lt;LC</w:t>
            </w:r>
            <w:r>
              <w:rPr>
                <w:rFonts w:hint="default" w:ascii="Times New Roman" w:hAnsi="Times New Roman" w:eastAsia="仿宋_GB2312" w:cs="Times New Roman"/>
                <w:color w:val="auto"/>
                <w:spacing w:val="0"/>
                <w:kern w:val="0"/>
                <w:position w:val="0"/>
                <w:sz w:val="21"/>
                <w:szCs w:val="21"/>
                <w:vertAlign w:val="subscript"/>
              </w:rPr>
              <w:t>50</w:t>
            </w:r>
            <w:r>
              <w:rPr>
                <w:rFonts w:hint="default" w:ascii="Times New Roman" w:hAnsi="Times New Roman" w:eastAsia="仿宋_GB2312" w:cs="Times New Roman"/>
                <w:color w:val="auto"/>
                <w:spacing w:val="0"/>
                <w:kern w:val="0"/>
                <w:position w:val="0"/>
                <w:sz w:val="21"/>
                <w:szCs w:val="21"/>
              </w:rPr>
              <w:t>&lt;2</w:t>
            </w:r>
          </w:p>
        </w:tc>
      </w:tr>
      <w:tr w14:paraId="6FC3159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2" w:type="pct"/>
            <w:vMerge w:val="restart"/>
            <w:noWrap w:val="0"/>
            <w:tcMar>
              <w:left w:w="57" w:type="dxa"/>
              <w:right w:w="57" w:type="dxa"/>
            </w:tcMar>
            <w:vAlign w:val="center"/>
          </w:tcPr>
          <w:p w14:paraId="3C5D17F4">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易燃</w:t>
            </w:r>
          </w:p>
          <w:p w14:paraId="34F9D46B">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物质</w:t>
            </w:r>
          </w:p>
        </w:tc>
        <w:tc>
          <w:tcPr>
            <w:tcW w:w="237" w:type="pct"/>
            <w:noWrap w:val="0"/>
            <w:tcMar>
              <w:left w:w="57" w:type="dxa"/>
              <w:right w:w="57" w:type="dxa"/>
            </w:tcMar>
            <w:vAlign w:val="center"/>
          </w:tcPr>
          <w:p w14:paraId="53063FF9">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1</w:t>
            </w:r>
          </w:p>
        </w:tc>
        <w:tc>
          <w:tcPr>
            <w:tcW w:w="4230" w:type="pct"/>
            <w:gridSpan w:val="3"/>
            <w:noWrap w:val="0"/>
            <w:tcMar>
              <w:left w:w="57" w:type="dxa"/>
              <w:right w:w="57" w:type="dxa"/>
            </w:tcMar>
            <w:vAlign w:val="center"/>
          </w:tcPr>
          <w:p w14:paraId="692F23B2">
            <w:pPr>
              <w:pageBreakBefore w:val="0"/>
              <w:kinsoku/>
              <w:wordWrap/>
              <w:bidi w:val="0"/>
              <w:adjustRightInd w:val="0"/>
              <w:snapToGrid w:val="0"/>
              <w:spacing w:beforeAutospacing="0" w:afterAutospacing="0"/>
              <w:ind w:left="0" w:leftChars="0" w:right="0"/>
              <w:jc w:val="left"/>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可燃气体：在常压下以气态存在并与空气混合形成可燃混合物；其沸点（常压下）是20℃或20℃以下的物质</w:t>
            </w:r>
          </w:p>
        </w:tc>
      </w:tr>
      <w:tr w14:paraId="0984732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2" w:type="pct"/>
            <w:vMerge w:val="continue"/>
            <w:noWrap w:val="0"/>
            <w:tcMar>
              <w:left w:w="57" w:type="dxa"/>
              <w:right w:w="57" w:type="dxa"/>
            </w:tcMar>
            <w:vAlign w:val="center"/>
          </w:tcPr>
          <w:p w14:paraId="3C728E4F">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p>
        </w:tc>
        <w:tc>
          <w:tcPr>
            <w:tcW w:w="237" w:type="pct"/>
            <w:noWrap w:val="0"/>
            <w:tcMar>
              <w:left w:w="57" w:type="dxa"/>
              <w:right w:w="57" w:type="dxa"/>
            </w:tcMar>
            <w:vAlign w:val="center"/>
          </w:tcPr>
          <w:p w14:paraId="7B4AEE11">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2</w:t>
            </w:r>
          </w:p>
        </w:tc>
        <w:tc>
          <w:tcPr>
            <w:tcW w:w="4230" w:type="pct"/>
            <w:gridSpan w:val="3"/>
            <w:noWrap w:val="0"/>
            <w:tcMar>
              <w:left w:w="57" w:type="dxa"/>
              <w:right w:w="57" w:type="dxa"/>
            </w:tcMar>
            <w:vAlign w:val="center"/>
          </w:tcPr>
          <w:p w14:paraId="3FC70251">
            <w:pPr>
              <w:pageBreakBefore w:val="0"/>
              <w:kinsoku/>
              <w:wordWrap/>
              <w:bidi w:val="0"/>
              <w:adjustRightInd w:val="0"/>
              <w:snapToGrid w:val="0"/>
              <w:spacing w:beforeAutospacing="0" w:afterAutospacing="0"/>
              <w:ind w:left="0" w:leftChars="0" w:right="0"/>
              <w:jc w:val="left"/>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易燃液体：闪点低于21℃，沸点高于20℃的物质</w:t>
            </w:r>
          </w:p>
        </w:tc>
      </w:tr>
      <w:tr w14:paraId="3442B60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2" w:type="pct"/>
            <w:vMerge w:val="continue"/>
            <w:noWrap w:val="0"/>
            <w:tcMar>
              <w:left w:w="57" w:type="dxa"/>
              <w:right w:w="57" w:type="dxa"/>
            </w:tcMar>
            <w:vAlign w:val="center"/>
          </w:tcPr>
          <w:p w14:paraId="2FDCC9EE">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p>
        </w:tc>
        <w:tc>
          <w:tcPr>
            <w:tcW w:w="237" w:type="pct"/>
            <w:noWrap w:val="0"/>
            <w:tcMar>
              <w:left w:w="57" w:type="dxa"/>
              <w:right w:w="57" w:type="dxa"/>
            </w:tcMar>
            <w:vAlign w:val="center"/>
          </w:tcPr>
          <w:p w14:paraId="563A19D9">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3</w:t>
            </w:r>
          </w:p>
        </w:tc>
        <w:tc>
          <w:tcPr>
            <w:tcW w:w="4230" w:type="pct"/>
            <w:gridSpan w:val="3"/>
            <w:noWrap w:val="0"/>
            <w:tcMar>
              <w:left w:w="57" w:type="dxa"/>
              <w:right w:w="57" w:type="dxa"/>
            </w:tcMar>
            <w:vAlign w:val="center"/>
          </w:tcPr>
          <w:p w14:paraId="2D7DA3A8">
            <w:pPr>
              <w:pageBreakBefore w:val="0"/>
              <w:kinsoku/>
              <w:wordWrap/>
              <w:bidi w:val="0"/>
              <w:adjustRightInd w:val="0"/>
              <w:snapToGrid w:val="0"/>
              <w:spacing w:beforeAutospacing="0" w:afterAutospacing="0"/>
              <w:ind w:left="0" w:leftChars="0" w:right="0"/>
              <w:jc w:val="left"/>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可燃液体：闪点低于55℃，压力下保持液态，在实际操作条件下（如高温高压）可以引起重大事故的物质</w:t>
            </w:r>
          </w:p>
        </w:tc>
      </w:tr>
      <w:tr w14:paraId="0C4B05C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69" w:type="pct"/>
            <w:gridSpan w:val="2"/>
            <w:noWrap w:val="0"/>
            <w:tcMar>
              <w:left w:w="57" w:type="dxa"/>
              <w:right w:w="57" w:type="dxa"/>
            </w:tcMar>
            <w:vAlign w:val="center"/>
          </w:tcPr>
          <w:p w14:paraId="7EA6406B">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爆炸性物质</w:t>
            </w:r>
          </w:p>
        </w:tc>
        <w:tc>
          <w:tcPr>
            <w:tcW w:w="4230" w:type="pct"/>
            <w:gridSpan w:val="3"/>
            <w:noWrap w:val="0"/>
            <w:tcMar>
              <w:left w:w="57" w:type="dxa"/>
              <w:right w:w="57" w:type="dxa"/>
            </w:tcMar>
            <w:vAlign w:val="center"/>
          </w:tcPr>
          <w:p w14:paraId="20B3E6DE">
            <w:pPr>
              <w:pageBreakBefore w:val="0"/>
              <w:kinsoku/>
              <w:wordWrap/>
              <w:bidi w:val="0"/>
              <w:adjustRightInd w:val="0"/>
              <w:snapToGrid w:val="0"/>
              <w:spacing w:beforeAutospacing="0" w:afterAutospacing="0"/>
              <w:ind w:left="0" w:leftChars="0" w:right="0"/>
              <w:jc w:val="left"/>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在火焰影响下可以爆炸，或者对冲击、摩擦比硝基苯更为敏感的物质</w:t>
            </w:r>
          </w:p>
        </w:tc>
      </w:tr>
    </w:tbl>
    <w:p w14:paraId="6BD43B65">
      <w:pPr>
        <w:pageBreakBefore w:val="0"/>
        <w:kinsoku/>
        <w:wordWrap/>
        <w:bidi w:val="0"/>
        <w:adjustRightInd w:val="0"/>
        <w:snapToGrid w:val="0"/>
        <w:spacing w:beforeAutospacing="0" w:afterAutospacing="0" w:line="500" w:lineRule="exact"/>
        <w:ind w:left="0" w:leftChars="0" w:right="0"/>
        <w:jc w:val="center"/>
        <w:rPr>
          <w:rFonts w:hint="default" w:ascii="Times New Roman" w:hAnsi="Times New Roman" w:eastAsia="仿宋_GB2312" w:cs="Times New Roman"/>
          <w:b/>
          <w:color w:val="auto"/>
          <w:spacing w:val="0"/>
          <w:kern w:val="0"/>
          <w:position w:val="0"/>
          <w:sz w:val="24"/>
          <w:szCs w:val="24"/>
        </w:rPr>
      </w:pPr>
      <w:r>
        <w:rPr>
          <w:rFonts w:hint="default" w:ascii="Times New Roman" w:hAnsi="Times New Roman" w:eastAsia="仿宋_GB2312" w:cs="Times New Roman"/>
          <w:b/>
          <w:color w:val="auto"/>
          <w:spacing w:val="0"/>
          <w:kern w:val="0"/>
          <w:position w:val="0"/>
          <w:sz w:val="24"/>
          <w:szCs w:val="24"/>
        </w:rPr>
        <w:t>表</w:t>
      </w:r>
      <w:r>
        <w:rPr>
          <w:rFonts w:hint="default" w:ascii="Times New Roman" w:hAnsi="Times New Roman" w:eastAsia="仿宋_GB2312" w:cs="Times New Roman"/>
          <w:b/>
          <w:color w:val="auto"/>
          <w:spacing w:val="0"/>
          <w:kern w:val="0"/>
          <w:position w:val="0"/>
          <w:sz w:val="24"/>
          <w:szCs w:val="24"/>
          <w:lang w:val="en-US" w:eastAsia="zh-CN"/>
        </w:rPr>
        <w:t>2</w:t>
      </w:r>
      <w:r>
        <w:rPr>
          <w:rFonts w:hint="eastAsia" w:ascii="Times New Roman" w:hAnsi="Times New Roman" w:eastAsia="仿宋_GB2312" w:cs="Times New Roman"/>
          <w:b/>
          <w:color w:val="auto"/>
          <w:spacing w:val="0"/>
          <w:kern w:val="0"/>
          <w:position w:val="0"/>
          <w:sz w:val="24"/>
          <w:szCs w:val="24"/>
          <w:lang w:val="en-US" w:eastAsia="zh-CN"/>
        </w:rPr>
        <w:t>.4-2</w:t>
      </w:r>
      <w:r>
        <w:rPr>
          <w:rFonts w:hint="default" w:ascii="Times New Roman" w:hAnsi="Times New Roman" w:eastAsia="仿宋_GB2312" w:cs="Times New Roman"/>
          <w:b/>
          <w:color w:val="auto"/>
          <w:spacing w:val="0"/>
          <w:kern w:val="0"/>
          <w:position w:val="0"/>
          <w:sz w:val="24"/>
          <w:szCs w:val="24"/>
        </w:rPr>
        <w:t xml:space="preserve">  未列举的危险化学品类别及其临界量</w:t>
      </w:r>
    </w:p>
    <w:tbl>
      <w:tblPr>
        <w:tblStyle w:val="31"/>
        <w:tblW w:w="4999"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1468"/>
        <w:gridCol w:w="5767"/>
        <w:gridCol w:w="2051"/>
      </w:tblGrid>
      <w:tr w14:paraId="26B6372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90" w:type="pct"/>
            <w:noWrap w:val="0"/>
            <w:vAlign w:val="center"/>
          </w:tcPr>
          <w:p w14:paraId="2F1B7218">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
                <w:color w:val="auto"/>
                <w:spacing w:val="0"/>
                <w:kern w:val="0"/>
                <w:position w:val="0"/>
                <w:sz w:val="21"/>
                <w:szCs w:val="21"/>
              </w:rPr>
            </w:pPr>
            <w:r>
              <w:rPr>
                <w:rFonts w:hint="default" w:ascii="Times New Roman" w:hAnsi="Times New Roman" w:eastAsia="仿宋_GB2312" w:cs="Times New Roman"/>
                <w:b/>
                <w:color w:val="auto"/>
                <w:spacing w:val="0"/>
                <w:kern w:val="0"/>
                <w:position w:val="0"/>
                <w:sz w:val="21"/>
                <w:szCs w:val="21"/>
              </w:rPr>
              <w:t>类别</w:t>
            </w:r>
          </w:p>
        </w:tc>
        <w:tc>
          <w:tcPr>
            <w:tcW w:w="3104" w:type="pct"/>
            <w:noWrap w:val="0"/>
            <w:vAlign w:val="center"/>
          </w:tcPr>
          <w:p w14:paraId="4F56FE55">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
                <w:color w:val="auto"/>
                <w:spacing w:val="0"/>
                <w:kern w:val="0"/>
                <w:position w:val="0"/>
                <w:sz w:val="21"/>
                <w:szCs w:val="21"/>
              </w:rPr>
            </w:pPr>
            <w:r>
              <w:rPr>
                <w:rFonts w:hint="default" w:ascii="Times New Roman" w:hAnsi="Times New Roman" w:eastAsia="仿宋_GB2312" w:cs="Times New Roman"/>
                <w:b/>
                <w:color w:val="auto"/>
                <w:spacing w:val="0"/>
                <w:kern w:val="0"/>
                <w:position w:val="0"/>
                <w:sz w:val="21"/>
                <w:szCs w:val="21"/>
              </w:rPr>
              <w:t>危险性分类及说明</w:t>
            </w:r>
          </w:p>
        </w:tc>
        <w:tc>
          <w:tcPr>
            <w:tcW w:w="1104" w:type="pct"/>
            <w:noWrap w:val="0"/>
            <w:vAlign w:val="center"/>
          </w:tcPr>
          <w:p w14:paraId="25E88969">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
                <w:color w:val="auto"/>
                <w:spacing w:val="0"/>
                <w:kern w:val="0"/>
                <w:position w:val="0"/>
                <w:sz w:val="21"/>
                <w:szCs w:val="21"/>
              </w:rPr>
            </w:pPr>
            <w:r>
              <w:rPr>
                <w:rFonts w:hint="default" w:ascii="Times New Roman" w:hAnsi="Times New Roman" w:eastAsia="仿宋_GB2312" w:cs="Times New Roman"/>
                <w:b/>
                <w:color w:val="auto"/>
                <w:spacing w:val="0"/>
                <w:kern w:val="0"/>
                <w:position w:val="0"/>
                <w:sz w:val="21"/>
                <w:szCs w:val="21"/>
              </w:rPr>
              <w:t>临界量（T）</w:t>
            </w:r>
          </w:p>
        </w:tc>
      </w:tr>
      <w:tr w14:paraId="6744B08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90" w:type="pct"/>
            <w:vMerge w:val="restart"/>
            <w:noWrap w:val="0"/>
            <w:vAlign w:val="center"/>
          </w:tcPr>
          <w:p w14:paraId="0D5F0E05">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气体</w:t>
            </w:r>
          </w:p>
        </w:tc>
        <w:tc>
          <w:tcPr>
            <w:tcW w:w="3104" w:type="pct"/>
            <w:noWrap w:val="0"/>
            <w:vAlign w:val="center"/>
          </w:tcPr>
          <w:p w14:paraId="53DE2703">
            <w:pPr>
              <w:pageBreakBefore w:val="0"/>
              <w:widowControl/>
              <w:kinsoku/>
              <w:wordWrap/>
              <w:bidi w:val="0"/>
              <w:adjustRightInd w:val="0"/>
              <w:snapToGrid w:val="0"/>
              <w:spacing w:beforeAutospacing="0" w:afterAutospacing="0"/>
              <w:ind w:left="0" w:leftChars="0" w:right="0"/>
              <w:jc w:val="left"/>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易燃气体：危险性属于2.1项的气体</w:t>
            </w:r>
          </w:p>
        </w:tc>
        <w:tc>
          <w:tcPr>
            <w:tcW w:w="1104" w:type="pct"/>
            <w:noWrap w:val="0"/>
            <w:vAlign w:val="center"/>
          </w:tcPr>
          <w:p w14:paraId="679BC4CD">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10</w:t>
            </w:r>
          </w:p>
        </w:tc>
      </w:tr>
      <w:tr w14:paraId="71C4F7A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90" w:type="pct"/>
            <w:vMerge w:val="continue"/>
            <w:noWrap w:val="0"/>
            <w:vAlign w:val="center"/>
          </w:tcPr>
          <w:p w14:paraId="33D0A198">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p>
        </w:tc>
        <w:tc>
          <w:tcPr>
            <w:tcW w:w="3104" w:type="pct"/>
            <w:noWrap w:val="0"/>
            <w:vAlign w:val="center"/>
          </w:tcPr>
          <w:p w14:paraId="10E30073">
            <w:pPr>
              <w:pageBreakBefore w:val="0"/>
              <w:widowControl/>
              <w:kinsoku/>
              <w:wordWrap/>
              <w:bidi w:val="0"/>
              <w:adjustRightInd w:val="0"/>
              <w:snapToGrid w:val="0"/>
              <w:spacing w:beforeAutospacing="0" w:afterAutospacing="0"/>
              <w:ind w:left="0" w:leftChars="0" w:right="0"/>
              <w:jc w:val="left"/>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氧化性气体：危险性属于2.2项非易燃无毒气体且次要危险性为5类的气体</w:t>
            </w:r>
          </w:p>
        </w:tc>
        <w:tc>
          <w:tcPr>
            <w:tcW w:w="1104" w:type="pct"/>
            <w:noWrap w:val="0"/>
            <w:vAlign w:val="center"/>
          </w:tcPr>
          <w:p w14:paraId="58528F45">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200</w:t>
            </w:r>
          </w:p>
        </w:tc>
      </w:tr>
      <w:tr w14:paraId="198ECD6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90" w:type="pct"/>
            <w:vMerge w:val="continue"/>
            <w:noWrap w:val="0"/>
            <w:vAlign w:val="center"/>
          </w:tcPr>
          <w:p w14:paraId="1FE69D60">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p>
        </w:tc>
        <w:tc>
          <w:tcPr>
            <w:tcW w:w="3104" w:type="pct"/>
            <w:noWrap w:val="0"/>
            <w:vAlign w:val="center"/>
          </w:tcPr>
          <w:p w14:paraId="7EC917F5">
            <w:pPr>
              <w:pageBreakBefore w:val="0"/>
              <w:widowControl/>
              <w:kinsoku/>
              <w:wordWrap/>
              <w:bidi w:val="0"/>
              <w:adjustRightInd w:val="0"/>
              <w:snapToGrid w:val="0"/>
              <w:spacing w:beforeAutospacing="0" w:afterAutospacing="0"/>
              <w:ind w:left="0" w:leftChars="0" w:right="0"/>
              <w:jc w:val="left"/>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剧毒气体：危险性属于2.3项且急性毒性为类别1的毒性气体</w:t>
            </w:r>
          </w:p>
        </w:tc>
        <w:tc>
          <w:tcPr>
            <w:tcW w:w="1104" w:type="pct"/>
            <w:noWrap w:val="0"/>
            <w:vAlign w:val="center"/>
          </w:tcPr>
          <w:p w14:paraId="1D9C1601">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5</w:t>
            </w:r>
          </w:p>
        </w:tc>
      </w:tr>
      <w:tr w14:paraId="7E7AD62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90" w:type="pct"/>
            <w:vMerge w:val="continue"/>
            <w:noWrap w:val="0"/>
            <w:vAlign w:val="center"/>
          </w:tcPr>
          <w:p w14:paraId="09D07BD8">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p>
        </w:tc>
        <w:tc>
          <w:tcPr>
            <w:tcW w:w="3104" w:type="pct"/>
            <w:noWrap w:val="0"/>
            <w:vAlign w:val="center"/>
          </w:tcPr>
          <w:p w14:paraId="439BA7A6">
            <w:pPr>
              <w:pageBreakBefore w:val="0"/>
              <w:widowControl/>
              <w:kinsoku/>
              <w:wordWrap/>
              <w:bidi w:val="0"/>
              <w:adjustRightInd w:val="0"/>
              <w:snapToGrid w:val="0"/>
              <w:spacing w:beforeAutospacing="0" w:afterAutospacing="0"/>
              <w:ind w:left="0" w:leftChars="0" w:right="0"/>
              <w:jc w:val="left"/>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有毒气体：危险性属于2.3项的其他毒性气体</w:t>
            </w:r>
          </w:p>
        </w:tc>
        <w:tc>
          <w:tcPr>
            <w:tcW w:w="1104" w:type="pct"/>
            <w:noWrap w:val="0"/>
            <w:vAlign w:val="center"/>
          </w:tcPr>
          <w:p w14:paraId="6D1542A2">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50</w:t>
            </w:r>
          </w:p>
        </w:tc>
      </w:tr>
      <w:tr w14:paraId="2C3881C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90" w:type="pct"/>
            <w:vMerge w:val="restart"/>
            <w:noWrap w:val="0"/>
            <w:vAlign w:val="center"/>
          </w:tcPr>
          <w:p w14:paraId="4D902C4F">
            <w:pPr>
              <w:pageBreakBefore w:val="0"/>
              <w:widowControl/>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易燃液体</w:t>
            </w:r>
          </w:p>
        </w:tc>
        <w:tc>
          <w:tcPr>
            <w:tcW w:w="3104" w:type="pct"/>
            <w:noWrap w:val="0"/>
            <w:vAlign w:val="center"/>
          </w:tcPr>
          <w:p w14:paraId="14722744">
            <w:pPr>
              <w:pageBreakBefore w:val="0"/>
              <w:widowControl/>
              <w:kinsoku/>
              <w:wordWrap/>
              <w:bidi w:val="0"/>
              <w:adjustRightInd w:val="0"/>
              <w:snapToGrid w:val="0"/>
              <w:spacing w:beforeAutospacing="0" w:afterAutospacing="0"/>
              <w:ind w:left="0" w:leftChars="0" w:right="0"/>
              <w:jc w:val="left"/>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极易燃液体：沸点≤35℃且闪点＜0℃的液体；或保存温度一直在其沸点以上的易燃液体</w:t>
            </w:r>
          </w:p>
        </w:tc>
        <w:tc>
          <w:tcPr>
            <w:tcW w:w="1104" w:type="pct"/>
            <w:noWrap w:val="0"/>
            <w:vAlign w:val="center"/>
          </w:tcPr>
          <w:p w14:paraId="0AAABEB2">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10</w:t>
            </w:r>
          </w:p>
        </w:tc>
      </w:tr>
      <w:tr w14:paraId="7C4AA91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90" w:type="pct"/>
            <w:vMerge w:val="continue"/>
            <w:noWrap w:val="0"/>
            <w:vAlign w:val="center"/>
          </w:tcPr>
          <w:p w14:paraId="560EE1EC">
            <w:pPr>
              <w:pageBreakBefore w:val="0"/>
              <w:kinsoku/>
              <w:wordWrap/>
              <w:bidi w:val="0"/>
              <w:adjustRightInd w:val="0"/>
              <w:snapToGrid w:val="0"/>
              <w:spacing w:beforeAutospacing="0" w:afterAutospacing="0"/>
              <w:ind w:left="0" w:leftChars="0" w:right="0"/>
              <w:rPr>
                <w:rFonts w:hint="default" w:ascii="Times New Roman" w:hAnsi="Times New Roman" w:eastAsia="仿宋_GB2312" w:cs="Times New Roman"/>
                <w:color w:val="auto"/>
                <w:spacing w:val="0"/>
                <w:kern w:val="0"/>
                <w:position w:val="0"/>
                <w:sz w:val="21"/>
                <w:szCs w:val="21"/>
              </w:rPr>
            </w:pPr>
          </w:p>
        </w:tc>
        <w:tc>
          <w:tcPr>
            <w:tcW w:w="3104" w:type="pct"/>
            <w:noWrap w:val="0"/>
            <w:vAlign w:val="center"/>
          </w:tcPr>
          <w:p w14:paraId="7AE8906C">
            <w:pPr>
              <w:pageBreakBefore w:val="0"/>
              <w:widowControl/>
              <w:kinsoku/>
              <w:wordWrap/>
              <w:bidi w:val="0"/>
              <w:adjustRightInd w:val="0"/>
              <w:snapToGrid w:val="0"/>
              <w:spacing w:beforeAutospacing="0" w:afterAutospacing="0"/>
              <w:ind w:left="0" w:leftChars="0" w:right="0"/>
              <w:jc w:val="left"/>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高度易燃液体：闪点＜23℃的液体（不包括极易燃液体）；液态退敏爆炸品</w:t>
            </w:r>
          </w:p>
        </w:tc>
        <w:tc>
          <w:tcPr>
            <w:tcW w:w="1104" w:type="pct"/>
            <w:noWrap w:val="0"/>
            <w:vAlign w:val="center"/>
          </w:tcPr>
          <w:p w14:paraId="5BCDCBBC">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1000</w:t>
            </w:r>
          </w:p>
        </w:tc>
      </w:tr>
      <w:tr w14:paraId="4D0D2CD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90" w:type="pct"/>
            <w:vMerge w:val="continue"/>
            <w:noWrap w:val="0"/>
            <w:vAlign w:val="center"/>
          </w:tcPr>
          <w:p w14:paraId="67197B8C">
            <w:pPr>
              <w:pageBreakBefore w:val="0"/>
              <w:kinsoku/>
              <w:wordWrap/>
              <w:bidi w:val="0"/>
              <w:adjustRightInd w:val="0"/>
              <w:snapToGrid w:val="0"/>
              <w:spacing w:beforeAutospacing="0" w:afterAutospacing="0"/>
              <w:ind w:left="0" w:leftChars="0" w:right="0"/>
              <w:rPr>
                <w:rFonts w:hint="default" w:ascii="Times New Roman" w:hAnsi="Times New Roman" w:eastAsia="仿宋_GB2312" w:cs="Times New Roman"/>
                <w:color w:val="auto"/>
                <w:spacing w:val="0"/>
                <w:kern w:val="0"/>
                <w:position w:val="0"/>
                <w:sz w:val="21"/>
                <w:szCs w:val="21"/>
              </w:rPr>
            </w:pPr>
          </w:p>
        </w:tc>
        <w:tc>
          <w:tcPr>
            <w:tcW w:w="3104" w:type="pct"/>
            <w:noWrap w:val="0"/>
            <w:vAlign w:val="center"/>
          </w:tcPr>
          <w:p w14:paraId="13E530A9">
            <w:pPr>
              <w:pageBreakBefore w:val="0"/>
              <w:widowControl/>
              <w:kinsoku/>
              <w:wordWrap/>
              <w:bidi w:val="0"/>
              <w:adjustRightInd w:val="0"/>
              <w:snapToGrid w:val="0"/>
              <w:spacing w:beforeAutospacing="0" w:afterAutospacing="0"/>
              <w:ind w:left="0" w:leftChars="0" w:right="0"/>
              <w:jc w:val="left"/>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易燃液体：23℃≤闪点＜61℃的液体</w:t>
            </w:r>
          </w:p>
        </w:tc>
        <w:tc>
          <w:tcPr>
            <w:tcW w:w="1104" w:type="pct"/>
            <w:noWrap w:val="0"/>
            <w:vAlign w:val="center"/>
          </w:tcPr>
          <w:p w14:paraId="6E35FCFC">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5000</w:t>
            </w:r>
          </w:p>
        </w:tc>
      </w:tr>
    </w:tbl>
    <w:p w14:paraId="7382CC79">
      <w:pPr>
        <w:pageBreakBefore w:val="0"/>
        <w:kinsoku/>
        <w:wordWrap/>
        <w:bidi w:val="0"/>
        <w:adjustRightInd w:val="0"/>
        <w:snapToGrid w:val="0"/>
        <w:spacing w:beforeAutospacing="0" w:afterAutospacing="0" w:line="500" w:lineRule="exact"/>
        <w:ind w:left="0" w:leftChars="0" w:right="0" w:firstLine="480"/>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bCs/>
          <w:color w:val="auto"/>
          <w:spacing w:val="0"/>
          <w:kern w:val="0"/>
          <w:position w:val="0"/>
          <w:sz w:val="24"/>
          <w:szCs w:val="24"/>
        </w:rPr>
        <w:t>本项目涉及的危险物质主</w:t>
      </w:r>
      <w:r>
        <w:rPr>
          <w:rFonts w:hint="default" w:ascii="Times New Roman" w:hAnsi="Times New Roman" w:eastAsia="仿宋_GB2312" w:cs="Times New Roman"/>
          <w:bCs/>
          <w:color w:val="auto"/>
          <w:spacing w:val="0"/>
          <w:kern w:val="0"/>
          <w:position w:val="0"/>
          <w:sz w:val="24"/>
          <w:szCs w:val="24"/>
          <w:lang w:val="en-US" w:eastAsia="zh-CN"/>
        </w:rPr>
        <w:t>要为</w:t>
      </w:r>
      <w:r>
        <w:rPr>
          <w:rFonts w:hint="eastAsia" w:ascii="Times New Roman" w:hAnsi="Times New Roman" w:eastAsia="仿宋_GB2312" w:cs="Times New Roman"/>
          <w:bCs/>
          <w:color w:val="auto"/>
          <w:spacing w:val="0"/>
          <w:kern w:val="0"/>
          <w:position w:val="0"/>
          <w:sz w:val="24"/>
          <w:szCs w:val="24"/>
          <w:lang w:val="en-US" w:eastAsia="zh-CN"/>
        </w:rPr>
        <w:t>液碱</w:t>
      </w:r>
      <w:r>
        <w:rPr>
          <w:rFonts w:hint="default" w:ascii="Times New Roman" w:hAnsi="Times New Roman" w:eastAsia="仿宋_GB2312" w:cs="Times New Roman"/>
          <w:bCs/>
          <w:color w:val="auto"/>
          <w:spacing w:val="0"/>
          <w:kern w:val="0"/>
          <w:position w:val="0"/>
          <w:sz w:val="24"/>
          <w:szCs w:val="24"/>
          <w:lang w:val="en-US" w:eastAsia="zh-CN"/>
        </w:rPr>
        <w:t>、</w:t>
      </w:r>
      <w:r>
        <w:rPr>
          <w:rFonts w:hint="eastAsia" w:ascii="Times New Roman" w:hAnsi="Times New Roman" w:eastAsia="仿宋_GB2312" w:cs="Times New Roman"/>
          <w:bCs/>
          <w:color w:val="auto"/>
          <w:spacing w:val="0"/>
          <w:kern w:val="0"/>
          <w:position w:val="0"/>
          <w:sz w:val="24"/>
          <w:szCs w:val="24"/>
          <w:lang w:val="en-US" w:eastAsia="zh-CN"/>
        </w:rPr>
        <w:t>盐酸</w:t>
      </w:r>
      <w:r>
        <w:rPr>
          <w:rFonts w:hint="default" w:ascii="Times New Roman" w:hAnsi="Times New Roman" w:eastAsia="仿宋_GB2312" w:cs="Times New Roman"/>
          <w:bCs/>
          <w:color w:val="auto"/>
          <w:spacing w:val="0"/>
          <w:kern w:val="0"/>
          <w:position w:val="0"/>
          <w:sz w:val="24"/>
          <w:szCs w:val="24"/>
          <w:lang w:eastAsia="zh-CN"/>
        </w:rPr>
        <w:t>、</w:t>
      </w:r>
      <w:r>
        <w:rPr>
          <w:rFonts w:hint="eastAsia" w:ascii="Times New Roman" w:hAnsi="Times New Roman" w:eastAsia="仿宋_GB2312" w:cs="Times New Roman"/>
          <w:bCs/>
          <w:color w:val="auto"/>
          <w:spacing w:val="0"/>
          <w:kern w:val="0"/>
          <w:position w:val="0"/>
          <w:sz w:val="24"/>
          <w:szCs w:val="24"/>
          <w:lang w:val="en-US" w:eastAsia="zh-CN"/>
        </w:rPr>
        <w:t>次氯酸钠及危险废物（废机油、废机桶、废漆桶、废漆刷、实验室废液</w:t>
      </w:r>
      <w:r>
        <w:rPr>
          <w:rFonts w:hint="default" w:ascii="Times New Roman" w:hAnsi="Times New Roman" w:eastAsia="仿宋_GB2312" w:cs="Times New Roman"/>
          <w:bCs/>
          <w:color w:val="auto"/>
          <w:spacing w:val="0"/>
          <w:kern w:val="0"/>
          <w:position w:val="0"/>
          <w:sz w:val="24"/>
          <w:szCs w:val="24"/>
        </w:rPr>
        <w:t>等</w:t>
      </w:r>
      <w:r>
        <w:rPr>
          <w:rFonts w:hint="eastAsia" w:ascii="Times New Roman" w:hAnsi="Times New Roman" w:eastAsia="仿宋_GB2312" w:cs="Times New Roman"/>
          <w:bCs/>
          <w:color w:val="auto"/>
          <w:spacing w:val="0"/>
          <w:kern w:val="0"/>
          <w:position w:val="0"/>
          <w:sz w:val="24"/>
          <w:szCs w:val="24"/>
          <w:lang w:val="en-US" w:eastAsia="zh-CN"/>
        </w:rPr>
        <w:t>）</w:t>
      </w:r>
      <w:r>
        <w:rPr>
          <w:rFonts w:hint="default" w:ascii="Times New Roman" w:hAnsi="Times New Roman" w:eastAsia="仿宋_GB2312" w:cs="Times New Roman"/>
          <w:color w:val="auto"/>
          <w:spacing w:val="0"/>
          <w:kern w:val="0"/>
          <w:position w:val="0"/>
          <w:sz w:val="24"/>
          <w:szCs w:val="24"/>
        </w:rPr>
        <w:t>。</w:t>
      </w:r>
    </w:p>
    <w:p w14:paraId="2615D305">
      <w:pPr>
        <w:pStyle w:val="4"/>
        <w:keepNext/>
        <w:keepLines w:val="0"/>
        <w:pageBreakBefore w:val="0"/>
        <w:widowControl w:val="0"/>
        <w:kinsoku/>
        <w:wordWrap/>
        <w:overflowPunct w:val="0"/>
        <w:topLinePunct w:val="0"/>
        <w:autoSpaceDE/>
        <w:autoSpaceDN/>
        <w:bidi w:val="0"/>
        <w:adjustRightInd/>
        <w:snapToGrid w:val="0"/>
        <w:spacing w:before="0" w:line="500" w:lineRule="exact"/>
        <w:ind w:left="0" w:right="0" w:firstLine="0" w:firstLineChars="0"/>
        <w:jc w:val="both"/>
        <w:textAlignment w:val="auto"/>
        <w:outlineLvl w:val="1"/>
        <w:rPr>
          <w:rFonts w:hint="default" w:ascii="Times New Roman" w:hAnsi="Times New Roman" w:eastAsia="仿宋_GB2312" w:cs="Times New Roman"/>
          <w:b/>
          <w:bCs/>
          <w:sz w:val="24"/>
          <w:szCs w:val="24"/>
          <w:lang w:val="en-US" w:eastAsia="zh-CN"/>
        </w:rPr>
      </w:pPr>
      <w:bookmarkStart w:id="121" w:name="_Toc29831"/>
      <w:bookmarkStart w:id="122" w:name="_Toc28078"/>
      <w:bookmarkStart w:id="123" w:name="_Toc13136"/>
      <w:r>
        <w:rPr>
          <w:rFonts w:hint="default" w:ascii="Times New Roman" w:hAnsi="Times New Roman" w:eastAsia="仿宋_GB2312" w:cs="Times New Roman"/>
          <w:b/>
          <w:bCs/>
          <w:sz w:val="24"/>
          <w:szCs w:val="24"/>
          <w:lang w:val="en-US" w:eastAsia="zh-CN"/>
        </w:rPr>
        <w:t>2.5生产系统危险性识别</w:t>
      </w:r>
      <w:bookmarkEnd w:id="121"/>
      <w:bookmarkEnd w:id="122"/>
      <w:bookmarkEnd w:id="123"/>
    </w:p>
    <w:p w14:paraId="2E40CA52">
      <w:pPr>
        <w:pageBreakBefore w:val="0"/>
        <w:kinsoku/>
        <w:wordWrap/>
        <w:bidi w:val="0"/>
        <w:adjustRightInd w:val="0"/>
        <w:snapToGrid w:val="0"/>
        <w:spacing w:beforeAutospacing="0" w:afterAutospacing="0" w:line="500" w:lineRule="exact"/>
        <w:ind w:left="0" w:leftChars="0" w:right="0" w:firstLine="480"/>
        <w:rPr>
          <w:rFonts w:hint="eastAsia" w:ascii="Times New Roman" w:hAnsi="Times New Roman" w:eastAsia="仿宋_GB2312" w:cs="Times New Roman"/>
          <w:bCs/>
          <w:color w:val="auto"/>
          <w:spacing w:val="0"/>
          <w:kern w:val="0"/>
          <w:position w:val="0"/>
          <w:sz w:val="24"/>
          <w:szCs w:val="24"/>
          <w:lang w:val="en-US" w:eastAsia="zh-CN"/>
        </w:rPr>
      </w:pPr>
      <w:r>
        <w:rPr>
          <w:rFonts w:hint="eastAsia" w:ascii="Times New Roman" w:hAnsi="Times New Roman" w:eastAsia="仿宋_GB2312" w:cs="Times New Roman"/>
          <w:bCs/>
          <w:color w:val="auto"/>
          <w:spacing w:val="0"/>
          <w:kern w:val="0"/>
          <w:position w:val="0"/>
          <w:sz w:val="24"/>
          <w:szCs w:val="24"/>
          <w:lang w:val="en-US" w:eastAsia="zh-CN"/>
        </w:rPr>
        <w:t>根据本项目生产工艺流程和平面布置功能区划，结合物质危险性识别，划分了如下厂区危险单元。</w:t>
      </w:r>
    </w:p>
    <w:p w14:paraId="5980E0E6">
      <w:pPr>
        <w:pageBreakBefore w:val="0"/>
        <w:numPr>
          <w:ilvl w:val="0"/>
          <w:numId w:val="6"/>
        </w:numPr>
        <w:kinsoku/>
        <w:wordWrap/>
        <w:bidi w:val="0"/>
        <w:adjustRightInd w:val="0"/>
        <w:snapToGrid w:val="0"/>
        <w:spacing w:beforeAutospacing="0" w:afterAutospacing="0" w:line="500" w:lineRule="exact"/>
        <w:ind w:left="0" w:leftChars="0" w:right="0" w:firstLine="480"/>
        <w:rPr>
          <w:rFonts w:hint="eastAsia" w:ascii="Times New Roman" w:hAnsi="Times New Roman" w:eastAsia="仿宋_GB2312" w:cs="Times New Roman"/>
          <w:bCs/>
          <w:color w:val="auto"/>
          <w:spacing w:val="0"/>
          <w:kern w:val="0"/>
          <w:position w:val="0"/>
          <w:sz w:val="24"/>
          <w:szCs w:val="24"/>
          <w:lang w:val="en-US" w:eastAsia="zh-CN"/>
        </w:rPr>
      </w:pPr>
      <w:r>
        <w:rPr>
          <w:rFonts w:hint="eastAsia" w:ascii="Times New Roman" w:hAnsi="Times New Roman" w:eastAsia="仿宋_GB2312" w:cs="Times New Roman"/>
          <w:bCs/>
          <w:color w:val="auto"/>
          <w:spacing w:val="0"/>
          <w:kern w:val="0"/>
          <w:position w:val="0"/>
          <w:sz w:val="24"/>
          <w:szCs w:val="24"/>
          <w:lang w:val="en-US" w:eastAsia="zh-CN"/>
        </w:rPr>
        <w:t>原料暂存</w:t>
      </w:r>
    </w:p>
    <w:p w14:paraId="44E0D36C">
      <w:pPr>
        <w:pageBreakBefore w:val="0"/>
        <w:kinsoku/>
        <w:wordWrap/>
        <w:bidi w:val="0"/>
        <w:adjustRightInd w:val="0"/>
        <w:snapToGrid w:val="0"/>
        <w:spacing w:beforeAutospacing="0" w:afterAutospacing="0" w:line="500" w:lineRule="exact"/>
        <w:ind w:left="0" w:leftChars="0" w:right="0" w:firstLine="480"/>
        <w:rPr>
          <w:rFonts w:hint="default" w:ascii="Times New Roman" w:hAnsi="Times New Roman" w:eastAsia="仿宋_GB2312" w:cs="Times New Roman"/>
          <w:bCs/>
          <w:color w:val="auto"/>
          <w:spacing w:val="0"/>
          <w:kern w:val="0"/>
          <w:position w:val="0"/>
          <w:sz w:val="24"/>
          <w:szCs w:val="24"/>
          <w:lang w:val="en-US" w:eastAsia="zh-CN"/>
        </w:rPr>
      </w:pPr>
      <w:r>
        <w:rPr>
          <w:rFonts w:hint="eastAsia" w:ascii="Times New Roman" w:hAnsi="Times New Roman" w:eastAsia="仿宋_GB2312" w:cs="Times New Roman"/>
          <w:bCs/>
          <w:color w:val="auto"/>
          <w:spacing w:val="0"/>
          <w:kern w:val="0"/>
          <w:position w:val="0"/>
          <w:sz w:val="24"/>
          <w:szCs w:val="24"/>
          <w:lang w:val="en-US" w:eastAsia="zh-CN"/>
        </w:rPr>
        <w:t>液碱、盐酸、次氯酸钠储罐，罐体破损、泄漏导致</w:t>
      </w:r>
      <w:r>
        <w:rPr>
          <w:rFonts w:hint="default" w:ascii="Times New Roman" w:hAnsi="Times New Roman" w:eastAsia="仿宋_GB2312" w:cs="Times New Roman"/>
          <w:bCs/>
          <w:color w:val="auto"/>
          <w:spacing w:val="0"/>
          <w:kern w:val="0"/>
          <w:position w:val="0"/>
          <w:sz w:val="24"/>
          <w:szCs w:val="24"/>
          <w:lang w:val="en-US" w:eastAsia="zh-CN"/>
        </w:rPr>
        <w:t>危险物质外流而进入和污染周围土壤、地下水、地表水等外环境，危害动植物及人体的健康。</w:t>
      </w:r>
    </w:p>
    <w:p w14:paraId="72FA630C">
      <w:pPr>
        <w:pageBreakBefore w:val="0"/>
        <w:kinsoku/>
        <w:wordWrap/>
        <w:bidi w:val="0"/>
        <w:adjustRightInd w:val="0"/>
        <w:snapToGrid w:val="0"/>
        <w:spacing w:beforeAutospacing="0" w:afterAutospacing="0" w:line="500" w:lineRule="exact"/>
        <w:ind w:left="0" w:leftChars="0" w:right="0" w:firstLine="480" w:firstLineChars="200"/>
        <w:rPr>
          <w:rFonts w:hint="default" w:ascii="Times New Roman" w:hAnsi="Times New Roman" w:eastAsia="仿宋_GB2312" w:cs="Times New Roman"/>
          <w:bCs/>
          <w:color w:val="auto"/>
          <w:spacing w:val="0"/>
          <w:kern w:val="0"/>
          <w:position w:val="0"/>
          <w:sz w:val="24"/>
          <w:szCs w:val="24"/>
        </w:rPr>
      </w:pPr>
      <w:r>
        <w:rPr>
          <w:rFonts w:hint="eastAsia" w:ascii="Times New Roman" w:hAnsi="Times New Roman" w:eastAsia="仿宋_GB2312" w:cs="Times New Roman"/>
          <w:bCs/>
          <w:color w:val="auto"/>
          <w:spacing w:val="0"/>
          <w:kern w:val="0"/>
          <w:position w:val="0"/>
          <w:sz w:val="24"/>
          <w:szCs w:val="24"/>
          <w:lang w:val="en-US" w:eastAsia="zh-CN"/>
        </w:rPr>
        <w:t>2</w:t>
      </w:r>
      <w:r>
        <w:rPr>
          <w:rFonts w:hint="default" w:ascii="Times New Roman" w:hAnsi="Times New Roman" w:eastAsia="仿宋_GB2312" w:cs="Times New Roman"/>
          <w:bCs/>
          <w:color w:val="auto"/>
          <w:spacing w:val="0"/>
          <w:kern w:val="0"/>
          <w:position w:val="0"/>
          <w:sz w:val="24"/>
          <w:szCs w:val="24"/>
        </w:rPr>
        <w:t>、生产工序</w:t>
      </w:r>
    </w:p>
    <w:p w14:paraId="7C68B10A">
      <w:pPr>
        <w:pageBreakBefore w:val="0"/>
        <w:kinsoku/>
        <w:wordWrap/>
        <w:bidi w:val="0"/>
        <w:adjustRightInd w:val="0"/>
        <w:snapToGrid w:val="0"/>
        <w:spacing w:beforeAutospacing="0" w:afterAutospacing="0" w:line="500" w:lineRule="exact"/>
        <w:ind w:left="0" w:leftChars="0" w:right="0" w:firstLine="480" w:firstLineChars="200"/>
        <w:rPr>
          <w:rFonts w:hint="default" w:ascii="Times New Roman" w:hAnsi="Times New Roman" w:eastAsia="仿宋_GB2312" w:cs="Times New Roman"/>
          <w:bCs/>
          <w:color w:val="auto"/>
          <w:spacing w:val="0"/>
          <w:kern w:val="0"/>
          <w:position w:val="0"/>
          <w:sz w:val="24"/>
          <w:szCs w:val="24"/>
        </w:rPr>
      </w:pPr>
      <w:r>
        <w:rPr>
          <w:rFonts w:hint="default" w:ascii="Times New Roman" w:hAnsi="Times New Roman" w:eastAsia="仿宋_GB2312" w:cs="Times New Roman"/>
          <w:bCs/>
          <w:color w:val="auto"/>
          <w:spacing w:val="0"/>
          <w:kern w:val="0"/>
          <w:position w:val="0"/>
          <w:sz w:val="24"/>
          <w:szCs w:val="24"/>
        </w:rPr>
        <w:t>生产工序危险性识别详见表2</w:t>
      </w:r>
      <w:r>
        <w:rPr>
          <w:rFonts w:hint="eastAsia" w:ascii="Times New Roman" w:hAnsi="Times New Roman" w:eastAsia="仿宋_GB2312" w:cs="Times New Roman"/>
          <w:bCs/>
          <w:color w:val="auto"/>
          <w:spacing w:val="0"/>
          <w:kern w:val="0"/>
          <w:position w:val="0"/>
          <w:sz w:val="24"/>
          <w:szCs w:val="24"/>
          <w:lang w:val="en-US" w:eastAsia="zh-CN"/>
        </w:rPr>
        <w:t>.5-1</w:t>
      </w:r>
      <w:r>
        <w:rPr>
          <w:rFonts w:hint="default" w:ascii="Times New Roman" w:hAnsi="Times New Roman" w:eastAsia="仿宋_GB2312" w:cs="Times New Roman"/>
          <w:bCs/>
          <w:color w:val="auto"/>
          <w:spacing w:val="0"/>
          <w:kern w:val="0"/>
          <w:position w:val="0"/>
          <w:sz w:val="24"/>
          <w:szCs w:val="24"/>
        </w:rPr>
        <w:t>。</w:t>
      </w:r>
    </w:p>
    <w:p w14:paraId="74958461">
      <w:pPr>
        <w:pageBreakBefore w:val="0"/>
        <w:kinsoku/>
        <w:wordWrap/>
        <w:bidi w:val="0"/>
        <w:adjustRightInd w:val="0"/>
        <w:snapToGrid w:val="0"/>
        <w:spacing w:beforeAutospacing="0" w:afterAutospacing="0" w:line="500" w:lineRule="exact"/>
        <w:ind w:left="0" w:leftChars="0" w:right="0"/>
        <w:jc w:val="center"/>
        <w:rPr>
          <w:rFonts w:hint="default" w:ascii="Times New Roman" w:hAnsi="Times New Roman" w:eastAsia="仿宋_GB2312" w:cs="Times New Roman"/>
          <w:b/>
          <w:bCs/>
          <w:color w:val="auto"/>
          <w:spacing w:val="0"/>
          <w:kern w:val="0"/>
          <w:position w:val="0"/>
          <w:sz w:val="24"/>
          <w:szCs w:val="24"/>
        </w:rPr>
      </w:pPr>
      <w:r>
        <w:rPr>
          <w:rFonts w:hint="default" w:ascii="Times New Roman" w:hAnsi="Times New Roman" w:eastAsia="仿宋_GB2312" w:cs="Times New Roman"/>
          <w:b/>
          <w:bCs/>
          <w:color w:val="auto"/>
          <w:spacing w:val="0"/>
          <w:kern w:val="0"/>
          <w:position w:val="0"/>
          <w:sz w:val="24"/>
          <w:szCs w:val="24"/>
        </w:rPr>
        <w:t>表2</w:t>
      </w:r>
      <w:r>
        <w:rPr>
          <w:rFonts w:hint="eastAsia" w:ascii="Times New Roman" w:hAnsi="Times New Roman" w:eastAsia="仿宋_GB2312" w:cs="Times New Roman"/>
          <w:b/>
          <w:bCs/>
          <w:color w:val="auto"/>
          <w:spacing w:val="0"/>
          <w:kern w:val="0"/>
          <w:position w:val="0"/>
          <w:sz w:val="24"/>
          <w:szCs w:val="24"/>
          <w:lang w:val="en-US" w:eastAsia="zh-CN"/>
        </w:rPr>
        <w:t xml:space="preserve">.5-1  </w:t>
      </w:r>
      <w:r>
        <w:rPr>
          <w:rFonts w:hint="default" w:ascii="Times New Roman" w:hAnsi="Times New Roman" w:eastAsia="仿宋_GB2312" w:cs="Times New Roman"/>
          <w:b/>
          <w:bCs/>
          <w:color w:val="auto"/>
          <w:spacing w:val="0"/>
          <w:kern w:val="0"/>
          <w:position w:val="0"/>
          <w:sz w:val="24"/>
          <w:szCs w:val="24"/>
        </w:rPr>
        <w:t>本项目生产工序危险性识别</w:t>
      </w:r>
    </w:p>
    <w:tbl>
      <w:tblPr>
        <w:tblStyle w:val="31"/>
        <w:tblW w:w="4996"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706"/>
        <w:gridCol w:w="1700"/>
        <w:gridCol w:w="2552"/>
        <w:gridCol w:w="849"/>
        <w:gridCol w:w="2126"/>
        <w:gridCol w:w="1132"/>
      </w:tblGrid>
      <w:tr w14:paraId="40CE563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389" w:type="pct"/>
            <w:noWrap w:val="0"/>
            <w:vAlign w:val="center"/>
          </w:tcPr>
          <w:p w14:paraId="423BB7CB">
            <w:pPr>
              <w:pStyle w:val="69"/>
              <w:pageBreakBefore w:val="0"/>
              <w:kinsoku/>
              <w:wordWrap/>
              <w:autoSpaceDE w:val="0"/>
              <w:autoSpaceDN w:val="0"/>
              <w:bidi w:val="0"/>
              <w:adjustRightInd w:val="0"/>
              <w:snapToGrid w:val="0"/>
              <w:spacing w:beforeAutospacing="0" w:afterAutospacing="0"/>
              <w:ind w:left="0" w:leftChars="0" w:right="0"/>
              <w:jc w:val="center"/>
              <w:rPr>
                <w:rFonts w:hint="default" w:ascii="Times New Roman" w:hAnsi="Times New Roman" w:eastAsia="仿宋_GB2312" w:cs="Times New Roman"/>
                <w:b/>
                <w:bCs/>
                <w:color w:val="auto"/>
                <w:spacing w:val="0"/>
                <w:kern w:val="0"/>
                <w:position w:val="0"/>
                <w:sz w:val="21"/>
              </w:rPr>
            </w:pPr>
            <w:r>
              <w:rPr>
                <w:rFonts w:hint="default" w:ascii="Times New Roman" w:hAnsi="Times New Roman" w:eastAsia="仿宋_GB2312" w:cs="Times New Roman"/>
                <w:b/>
                <w:bCs/>
                <w:color w:val="auto"/>
                <w:spacing w:val="0"/>
                <w:kern w:val="0"/>
                <w:position w:val="0"/>
                <w:sz w:val="21"/>
              </w:rPr>
              <w:t>危险单元</w:t>
            </w:r>
          </w:p>
        </w:tc>
        <w:tc>
          <w:tcPr>
            <w:tcW w:w="937" w:type="pct"/>
            <w:noWrap w:val="0"/>
            <w:vAlign w:val="center"/>
          </w:tcPr>
          <w:p w14:paraId="0B7C5009">
            <w:pPr>
              <w:pStyle w:val="69"/>
              <w:pageBreakBefore w:val="0"/>
              <w:kinsoku/>
              <w:wordWrap/>
              <w:autoSpaceDE w:val="0"/>
              <w:autoSpaceDN w:val="0"/>
              <w:bidi w:val="0"/>
              <w:adjustRightInd w:val="0"/>
              <w:snapToGrid w:val="0"/>
              <w:spacing w:beforeAutospacing="0" w:afterAutospacing="0"/>
              <w:ind w:left="0" w:leftChars="0" w:right="0"/>
              <w:jc w:val="center"/>
              <w:rPr>
                <w:rFonts w:hint="default" w:ascii="Times New Roman" w:hAnsi="Times New Roman" w:eastAsia="仿宋_GB2312" w:cs="Times New Roman"/>
                <w:b/>
                <w:bCs/>
                <w:color w:val="auto"/>
                <w:spacing w:val="0"/>
                <w:kern w:val="0"/>
                <w:position w:val="0"/>
                <w:sz w:val="21"/>
              </w:rPr>
            </w:pPr>
            <w:r>
              <w:rPr>
                <w:rFonts w:hint="default" w:ascii="Times New Roman" w:hAnsi="Times New Roman" w:eastAsia="仿宋_GB2312" w:cs="Times New Roman"/>
                <w:b/>
                <w:bCs/>
                <w:color w:val="auto"/>
                <w:spacing w:val="0"/>
                <w:kern w:val="0"/>
                <w:position w:val="0"/>
                <w:sz w:val="21"/>
              </w:rPr>
              <w:t>潜在风险源</w:t>
            </w:r>
          </w:p>
        </w:tc>
        <w:tc>
          <w:tcPr>
            <w:tcW w:w="1407" w:type="pct"/>
            <w:noWrap w:val="0"/>
            <w:vAlign w:val="center"/>
          </w:tcPr>
          <w:p w14:paraId="284B8805">
            <w:pPr>
              <w:pStyle w:val="69"/>
              <w:pageBreakBefore w:val="0"/>
              <w:kinsoku/>
              <w:wordWrap/>
              <w:autoSpaceDE w:val="0"/>
              <w:autoSpaceDN w:val="0"/>
              <w:bidi w:val="0"/>
              <w:adjustRightInd w:val="0"/>
              <w:snapToGrid w:val="0"/>
              <w:spacing w:beforeAutospacing="0" w:afterAutospacing="0"/>
              <w:ind w:left="0" w:leftChars="0" w:right="0"/>
              <w:jc w:val="center"/>
              <w:rPr>
                <w:rFonts w:hint="default" w:ascii="Times New Roman" w:hAnsi="Times New Roman" w:eastAsia="仿宋_GB2312" w:cs="Times New Roman"/>
                <w:b/>
                <w:bCs/>
                <w:color w:val="auto"/>
                <w:spacing w:val="0"/>
                <w:kern w:val="0"/>
                <w:position w:val="0"/>
                <w:sz w:val="21"/>
              </w:rPr>
            </w:pPr>
            <w:r>
              <w:rPr>
                <w:rFonts w:hint="default" w:ascii="Times New Roman" w:hAnsi="Times New Roman" w:eastAsia="仿宋_GB2312" w:cs="Times New Roman"/>
                <w:b/>
                <w:bCs/>
                <w:color w:val="auto"/>
                <w:spacing w:val="0"/>
                <w:kern w:val="0"/>
                <w:position w:val="0"/>
                <w:sz w:val="21"/>
              </w:rPr>
              <w:t>危险物质</w:t>
            </w:r>
          </w:p>
        </w:tc>
        <w:tc>
          <w:tcPr>
            <w:tcW w:w="468" w:type="pct"/>
            <w:noWrap w:val="0"/>
            <w:vAlign w:val="center"/>
          </w:tcPr>
          <w:p w14:paraId="7593B465">
            <w:pPr>
              <w:pStyle w:val="69"/>
              <w:pageBreakBefore w:val="0"/>
              <w:kinsoku/>
              <w:wordWrap/>
              <w:autoSpaceDE w:val="0"/>
              <w:autoSpaceDN w:val="0"/>
              <w:bidi w:val="0"/>
              <w:adjustRightInd w:val="0"/>
              <w:snapToGrid w:val="0"/>
              <w:spacing w:beforeAutospacing="0" w:afterAutospacing="0"/>
              <w:ind w:left="0" w:leftChars="0" w:right="0"/>
              <w:jc w:val="center"/>
              <w:rPr>
                <w:rFonts w:hint="default" w:ascii="Times New Roman" w:hAnsi="Times New Roman" w:eastAsia="仿宋_GB2312" w:cs="Times New Roman"/>
                <w:b/>
                <w:bCs/>
                <w:color w:val="auto"/>
                <w:spacing w:val="0"/>
                <w:kern w:val="0"/>
                <w:position w:val="0"/>
                <w:sz w:val="21"/>
              </w:rPr>
            </w:pPr>
            <w:r>
              <w:rPr>
                <w:rFonts w:hint="default" w:ascii="Times New Roman" w:hAnsi="Times New Roman" w:eastAsia="仿宋_GB2312" w:cs="Times New Roman"/>
                <w:b/>
                <w:bCs/>
                <w:color w:val="auto"/>
                <w:spacing w:val="0"/>
                <w:kern w:val="0"/>
                <w:position w:val="0"/>
                <w:sz w:val="21"/>
              </w:rPr>
              <w:t>危险性</w:t>
            </w:r>
          </w:p>
        </w:tc>
        <w:tc>
          <w:tcPr>
            <w:tcW w:w="1172" w:type="pct"/>
            <w:noWrap w:val="0"/>
            <w:vAlign w:val="center"/>
          </w:tcPr>
          <w:p w14:paraId="6003DCE3">
            <w:pPr>
              <w:pStyle w:val="69"/>
              <w:pageBreakBefore w:val="0"/>
              <w:kinsoku/>
              <w:wordWrap/>
              <w:autoSpaceDE w:val="0"/>
              <w:autoSpaceDN w:val="0"/>
              <w:bidi w:val="0"/>
              <w:adjustRightInd w:val="0"/>
              <w:snapToGrid w:val="0"/>
              <w:spacing w:beforeAutospacing="0" w:afterAutospacing="0"/>
              <w:ind w:left="0" w:leftChars="0" w:right="0"/>
              <w:jc w:val="center"/>
              <w:rPr>
                <w:rFonts w:hint="default" w:ascii="Times New Roman" w:hAnsi="Times New Roman" w:eastAsia="仿宋_GB2312" w:cs="Times New Roman"/>
                <w:b/>
                <w:bCs/>
                <w:color w:val="auto"/>
                <w:spacing w:val="0"/>
                <w:kern w:val="0"/>
                <w:position w:val="0"/>
                <w:sz w:val="21"/>
              </w:rPr>
            </w:pPr>
            <w:r>
              <w:rPr>
                <w:rFonts w:hint="default" w:ascii="Times New Roman" w:hAnsi="Times New Roman" w:eastAsia="仿宋_GB2312" w:cs="Times New Roman"/>
                <w:b/>
                <w:bCs/>
                <w:color w:val="auto"/>
                <w:spacing w:val="0"/>
                <w:kern w:val="0"/>
                <w:position w:val="0"/>
                <w:sz w:val="21"/>
              </w:rPr>
              <w:t>存在条件、转化为事故的触发因素</w:t>
            </w:r>
          </w:p>
        </w:tc>
        <w:tc>
          <w:tcPr>
            <w:tcW w:w="624" w:type="pct"/>
            <w:noWrap w:val="0"/>
            <w:vAlign w:val="center"/>
          </w:tcPr>
          <w:p w14:paraId="6CC51C31">
            <w:pPr>
              <w:pStyle w:val="69"/>
              <w:pageBreakBefore w:val="0"/>
              <w:kinsoku/>
              <w:wordWrap/>
              <w:autoSpaceDE w:val="0"/>
              <w:autoSpaceDN w:val="0"/>
              <w:bidi w:val="0"/>
              <w:adjustRightInd w:val="0"/>
              <w:snapToGrid w:val="0"/>
              <w:spacing w:beforeAutospacing="0" w:afterAutospacing="0"/>
              <w:ind w:left="0" w:leftChars="0" w:right="0"/>
              <w:jc w:val="center"/>
              <w:rPr>
                <w:rFonts w:hint="default" w:ascii="Times New Roman" w:hAnsi="Times New Roman" w:eastAsia="仿宋_GB2312" w:cs="Times New Roman"/>
                <w:b/>
                <w:bCs/>
                <w:color w:val="auto"/>
                <w:spacing w:val="0"/>
                <w:kern w:val="0"/>
                <w:position w:val="0"/>
                <w:sz w:val="21"/>
              </w:rPr>
            </w:pPr>
            <w:r>
              <w:rPr>
                <w:rFonts w:hint="default" w:ascii="Times New Roman" w:hAnsi="Times New Roman" w:eastAsia="仿宋_GB2312" w:cs="Times New Roman"/>
                <w:b/>
                <w:bCs/>
                <w:color w:val="auto"/>
                <w:spacing w:val="0"/>
                <w:kern w:val="0"/>
                <w:position w:val="0"/>
                <w:sz w:val="21"/>
              </w:rPr>
              <w:t>是否为重点风险源</w:t>
            </w:r>
          </w:p>
        </w:tc>
      </w:tr>
      <w:tr w14:paraId="5B15AB2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389" w:type="pct"/>
            <w:noWrap w:val="0"/>
            <w:vAlign w:val="center"/>
          </w:tcPr>
          <w:p w14:paraId="3E384B43">
            <w:pPr>
              <w:pStyle w:val="69"/>
              <w:pageBreakBefore w:val="0"/>
              <w:kinsoku/>
              <w:wordWrap/>
              <w:autoSpaceDE w:val="0"/>
              <w:autoSpaceDN w:val="0"/>
              <w:bidi w:val="0"/>
              <w:adjustRightInd w:val="0"/>
              <w:snapToGrid w:val="0"/>
              <w:spacing w:beforeAutospacing="0" w:afterAutospacing="0"/>
              <w:ind w:left="0" w:leftChars="0" w:right="0"/>
              <w:jc w:val="center"/>
              <w:rPr>
                <w:rFonts w:hint="eastAsia" w:ascii="Times New Roman" w:hAnsi="Times New Roman" w:eastAsia="仿宋_GB2312" w:cs="Times New Roman"/>
                <w:color w:val="auto"/>
                <w:spacing w:val="0"/>
                <w:kern w:val="0"/>
                <w:position w:val="0"/>
                <w:sz w:val="21"/>
                <w:lang w:eastAsia="zh-CN"/>
              </w:rPr>
            </w:pPr>
            <w:r>
              <w:rPr>
                <w:rFonts w:hint="eastAsia" w:ascii="Times New Roman" w:hAnsi="Times New Roman" w:eastAsia="仿宋_GB2312" w:cs="Times New Roman"/>
                <w:color w:val="auto"/>
                <w:spacing w:val="0"/>
                <w:kern w:val="0"/>
                <w:position w:val="0"/>
                <w:sz w:val="21"/>
                <w:lang w:val="en-US" w:eastAsia="zh-CN"/>
              </w:rPr>
              <w:t>厂区</w:t>
            </w:r>
          </w:p>
        </w:tc>
        <w:tc>
          <w:tcPr>
            <w:tcW w:w="937" w:type="pct"/>
            <w:noWrap w:val="0"/>
            <w:vAlign w:val="center"/>
          </w:tcPr>
          <w:p w14:paraId="6726CB6F">
            <w:pPr>
              <w:pStyle w:val="69"/>
              <w:pageBreakBefore w:val="0"/>
              <w:kinsoku/>
              <w:wordWrap/>
              <w:autoSpaceDE w:val="0"/>
              <w:autoSpaceDN w:val="0"/>
              <w:bidi w:val="0"/>
              <w:adjustRightInd w:val="0"/>
              <w:snapToGrid w:val="0"/>
              <w:spacing w:beforeAutospacing="0" w:afterAutospacing="0"/>
              <w:ind w:left="0" w:leftChars="0" w:right="0"/>
              <w:jc w:val="center"/>
              <w:rPr>
                <w:rFonts w:hint="default" w:ascii="Times New Roman" w:hAnsi="Times New Roman" w:eastAsia="仿宋_GB2312" w:cs="Times New Roman"/>
                <w:b w:val="0"/>
                <w:bCs w:val="0"/>
                <w:color w:val="auto"/>
                <w:spacing w:val="0"/>
                <w:kern w:val="0"/>
                <w:position w:val="0"/>
                <w:sz w:val="21"/>
                <w:lang w:eastAsia="zh-CN"/>
              </w:rPr>
            </w:pPr>
            <w:r>
              <w:rPr>
                <w:rFonts w:hint="default" w:ascii="Times New Roman" w:hAnsi="Times New Roman" w:eastAsia="仿宋_GB2312" w:cs="Times New Roman"/>
                <w:b w:val="0"/>
                <w:bCs w:val="0"/>
                <w:color w:val="auto"/>
                <w:spacing w:val="0"/>
                <w:kern w:val="0"/>
                <w:position w:val="0"/>
                <w:sz w:val="21"/>
                <w:lang w:eastAsia="zh-CN"/>
              </w:rPr>
              <w:t>生产线</w:t>
            </w:r>
          </w:p>
        </w:tc>
        <w:tc>
          <w:tcPr>
            <w:tcW w:w="1407" w:type="pct"/>
            <w:noWrap w:val="0"/>
            <w:vAlign w:val="center"/>
          </w:tcPr>
          <w:p w14:paraId="09570144">
            <w:pPr>
              <w:pStyle w:val="69"/>
              <w:pageBreakBefore w:val="0"/>
              <w:kinsoku/>
              <w:wordWrap/>
              <w:autoSpaceDE w:val="0"/>
              <w:autoSpaceDN w:val="0"/>
              <w:bidi w:val="0"/>
              <w:adjustRightInd w:val="0"/>
              <w:snapToGrid w:val="0"/>
              <w:spacing w:beforeAutospacing="0" w:afterAutospacing="0"/>
              <w:ind w:left="0" w:leftChars="0" w:right="0"/>
              <w:jc w:val="center"/>
              <w:rPr>
                <w:rFonts w:hint="default" w:ascii="Times New Roman" w:hAnsi="Times New Roman" w:eastAsia="仿宋_GB2312" w:cs="Times New Roman"/>
                <w:b w:val="0"/>
                <w:bCs w:val="0"/>
                <w:color w:val="auto"/>
                <w:spacing w:val="0"/>
                <w:kern w:val="0"/>
                <w:position w:val="0"/>
                <w:sz w:val="21"/>
                <w:lang w:val="en-US" w:eastAsia="zh-CN"/>
              </w:rPr>
            </w:pPr>
            <w:r>
              <w:rPr>
                <w:rFonts w:hint="eastAsia" w:ascii="Times New Roman" w:hAnsi="Times New Roman" w:eastAsia="仿宋_GB2312" w:cs="Times New Roman"/>
                <w:b w:val="0"/>
                <w:bCs w:val="0"/>
                <w:color w:val="auto"/>
                <w:spacing w:val="0"/>
                <w:kern w:val="0"/>
                <w:position w:val="0"/>
                <w:sz w:val="21"/>
                <w:lang w:val="en-US" w:eastAsia="zh-CN"/>
              </w:rPr>
              <w:t>液碱</w:t>
            </w:r>
            <w:r>
              <w:rPr>
                <w:rFonts w:hint="default" w:ascii="Times New Roman" w:hAnsi="Times New Roman" w:eastAsia="仿宋_GB2312" w:cs="Times New Roman"/>
                <w:b w:val="0"/>
                <w:bCs w:val="0"/>
                <w:color w:val="auto"/>
                <w:spacing w:val="0"/>
                <w:kern w:val="0"/>
                <w:position w:val="0"/>
                <w:sz w:val="21"/>
                <w:lang w:val="en-US" w:eastAsia="zh-CN"/>
              </w:rPr>
              <w:t>、</w:t>
            </w:r>
            <w:r>
              <w:rPr>
                <w:rFonts w:hint="eastAsia" w:ascii="Times New Roman" w:hAnsi="Times New Roman" w:eastAsia="仿宋_GB2312" w:cs="Times New Roman"/>
                <w:b w:val="0"/>
                <w:bCs w:val="0"/>
                <w:color w:val="auto"/>
                <w:spacing w:val="0"/>
                <w:kern w:val="0"/>
                <w:position w:val="0"/>
                <w:sz w:val="21"/>
                <w:lang w:val="en-US" w:eastAsia="zh-CN"/>
              </w:rPr>
              <w:t>盐酸</w:t>
            </w:r>
            <w:r>
              <w:rPr>
                <w:rFonts w:hint="default" w:ascii="Times New Roman" w:hAnsi="Times New Roman" w:eastAsia="仿宋_GB2312" w:cs="Times New Roman"/>
                <w:b w:val="0"/>
                <w:bCs w:val="0"/>
                <w:color w:val="auto"/>
                <w:spacing w:val="0"/>
                <w:kern w:val="0"/>
                <w:position w:val="0"/>
                <w:sz w:val="21"/>
                <w:lang w:eastAsia="zh-CN"/>
              </w:rPr>
              <w:t>、</w:t>
            </w:r>
            <w:r>
              <w:rPr>
                <w:rFonts w:hint="eastAsia" w:ascii="Times New Roman" w:hAnsi="Times New Roman" w:eastAsia="仿宋_GB2312" w:cs="Times New Roman"/>
                <w:b w:val="0"/>
                <w:bCs w:val="0"/>
                <w:color w:val="auto"/>
                <w:spacing w:val="0"/>
                <w:kern w:val="0"/>
                <w:position w:val="0"/>
                <w:sz w:val="21"/>
                <w:lang w:val="en-US" w:eastAsia="zh-CN"/>
              </w:rPr>
              <w:t>次氯酸钠</w:t>
            </w:r>
          </w:p>
        </w:tc>
        <w:tc>
          <w:tcPr>
            <w:tcW w:w="468" w:type="pct"/>
            <w:noWrap w:val="0"/>
            <w:vAlign w:val="center"/>
          </w:tcPr>
          <w:p w14:paraId="0FB5FB07">
            <w:pPr>
              <w:pStyle w:val="69"/>
              <w:pageBreakBefore w:val="0"/>
              <w:kinsoku/>
              <w:wordWrap/>
              <w:autoSpaceDE w:val="0"/>
              <w:autoSpaceDN w:val="0"/>
              <w:bidi w:val="0"/>
              <w:adjustRightInd w:val="0"/>
              <w:snapToGrid w:val="0"/>
              <w:spacing w:beforeAutospacing="0" w:afterAutospacing="0"/>
              <w:ind w:left="0" w:leftChars="0" w:right="0"/>
              <w:jc w:val="center"/>
              <w:rPr>
                <w:rFonts w:hint="default" w:ascii="Times New Roman" w:hAnsi="Times New Roman" w:eastAsia="仿宋_GB2312" w:cs="Times New Roman"/>
                <w:b w:val="0"/>
                <w:bCs w:val="0"/>
                <w:color w:val="auto"/>
                <w:spacing w:val="0"/>
                <w:kern w:val="0"/>
                <w:position w:val="0"/>
                <w:sz w:val="21"/>
                <w:lang w:val="en-US" w:eastAsia="zh-CN"/>
              </w:rPr>
            </w:pPr>
            <w:r>
              <w:rPr>
                <w:rFonts w:hint="default" w:ascii="Times New Roman" w:hAnsi="Times New Roman" w:eastAsia="仿宋_GB2312" w:cs="Times New Roman"/>
                <w:b w:val="0"/>
                <w:bCs w:val="0"/>
                <w:color w:val="auto"/>
                <w:spacing w:val="0"/>
                <w:kern w:val="0"/>
                <w:position w:val="0"/>
                <w:sz w:val="21"/>
                <w:lang w:eastAsia="zh-CN"/>
              </w:rPr>
              <w:t>毒性</w:t>
            </w:r>
          </w:p>
        </w:tc>
        <w:tc>
          <w:tcPr>
            <w:tcW w:w="1172" w:type="pct"/>
            <w:noWrap w:val="0"/>
            <w:vAlign w:val="center"/>
          </w:tcPr>
          <w:p w14:paraId="220D86AC">
            <w:pPr>
              <w:pStyle w:val="69"/>
              <w:pageBreakBefore w:val="0"/>
              <w:kinsoku/>
              <w:wordWrap/>
              <w:autoSpaceDE w:val="0"/>
              <w:autoSpaceDN w:val="0"/>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4"/>
                <w:lang w:val="en-US" w:eastAsia="zh-CN" w:bidi="ar-SA"/>
              </w:rPr>
            </w:pPr>
            <w:r>
              <w:rPr>
                <w:rFonts w:hint="eastAsia" w:ascii="Times New Roman" w:hAnsi="Times New Roman" w:eastAsia="仿宋_GB2312" w:cs="Times New Roman"/>
                <w:color w:val="auto"/>
                <w:spacing w:val="0"/>
                <w:kern w:val="0"/>
                <w:position w:val="0"/>
                <w:sz w:val="21"/>
                <w:lang w:val="en-US" w:eastAsia="zh-CN"/>
              </w:rPr>
              <w:t>储罐</w:t>
            </w:r>
            <w:r>
              <w:rPr>
                <w:rFonts w:hint="default" w:ascii="Times New Roman" w:hAnsi="Times New Roman" w:eastAsia="仿宋_GB2312" w:cs="Times New Roman"/>
                <w:color w:val="auto"/>
                <w:spacing w:val="0"/>
                <w:kern w:val="0"/>
                <w:position w:val="0"/>
                <w:sz w:val="21"/>
              </w:rPr>
              <w:t>腐蚀、破损误操作，导致泄漏</w:t>
            </w:r>
          </w:p>
        </w:tc>
        <w:tc>
          <w:tcPr>
            <w:tcW w:w="624" w:type="pct"/>
            <w:noWrap w:val="0"/>
            <w:vAlign w:val="center"/>
          </w:tcPr>
          <w:p w14:paraId="73AFC815">
            <w:pPr>
              <w:pStyle w:val="69"/>
              <w:pageBreakBefore w:val="0"/>
              <w:kinsoku/>
              <w:wordWrap/>
              <w:autoSpaceDE w:val="0"/>
              <w:autoSpaceDN w:val="0"/>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4"/>
                <w:lang w:val="en-US" w:eastAsia="zh-CN" w:bidi="ar-SA"/>
              </w:rPr>
            </w:pPr>
            <w:r>
              <w:rPr>
                <w:rFonts w:hint="default" w:ascii="Times New Roman" w:hAnsi="Times New Roman" w:eastAsia="仿宋_GB2312" w:cs="Times New Roman"/>
                <w:color w:val="auto"/>
                <w:spacing w:val="0"/>
                <w:kern w:val="0"/>
                <w:position w:val="0"/>
                <w:sz w:val="21"/>
              </w:rPr>
              <w:t>否</w:t>
            </w:r>
          </w:p>
        </w:tc>
      </w:tr>
    </w:tbl>
    <w:p w14:paraId="0E85DF59">
      <w:pPr>
        <w:pageBreakBefore w:val="0"/>
        <w:kinsoku/>
        <w:wordWrap/>
        <w:bidi w:val="0"/>
        <w:adjustRightInd w:val="0"/>
        <w:snapToGrid w:val="0"/>
        <w:spacing w:beforeAutospacing="0" w:afterAutospacing="0" w:line="500" w:lineRule="exact"/>
        <w:ind w:left="0" w:leftChars="0" w:right="0" w:firstLine="480" w:firstLineChars="200"/>
        <w:rPr>
          <w:rFonts w:hint="default" w:ascii="Times New Roman" w:hAnsi="Times New Roman" w:eastAsia="仿宋_GB2312" w:cs="Times New Roman"/>
          <w:bCs/>
          <w:color w:val="auto"/>
          <w:spacing w:val="0"/>
          <w:kern w:val="0"/>
          <w:position w:val="0"/>
          <w:sz w:val="24"/>
          <w:szCs w:val="24"/>
          <w:lang w:val="en-US" w:eastAsia="zh-CN"/>
        </w:rPr>
      </w:pPr>
      <w:r>
        <w:rPr>
          <w:rFonts w:hint="eastAsia" w:ascii="Times New Roman" w:hAnsi="Times New Roman" w:eastAsia="仿宋_GB2312" w:cs="Times New Roman"/>
          <w:bCs/>
          <w:color w:val="auto"/>
          <w:spacing w:val="0"/>
          <w:kern w:val="0"/>
          <w:position w:val="0"/>
          <w:sz w:val="24"/>
          <w:szCs w:val="24"/>
          <w:lang w:val="en-US" w:eastAsia="zh-CN"/>
        </w:rPr>
        <w:t>3、污染防治措施</w:t>
      </w:r>
    </w:p>
    <w:p w14:paraId="63685313">
      <w:pPr>
        <w:pageBreakBefore w:val="0"/>
        <w:kinsoku/>
        <w:wordWrap/>
        <w:bidi w:val="0"/>
        <w:adjustRightInd w:val="0"/>
        <w:snapToGrid w:val="0"/>
        <w:spacing w:beforeAutospacing="0" w:afterAutospacing="0" w:line="500" w:lineRule="exact"/>
        <w:ind w:left="0" w:leftChars="0" w:right="0" w:firstLine="480" w:firstLineChars="200"/>
        <w:rPr>
          <w:rFonts w:hint="default" w:ascii="Times New Roman" w:hAnsi="Times New Roman" w:eastAsia="仿宋_GB2312" w:cs="Times New Roman"/>
          <w:bCs/>
          <w:color w:val="auto"/>
          <w:spacing w:val="0"/>
          <w:kern w:val="0"/>
          <w:position w:val="0"/>
          <w:sz w:val="24"/>
          <w:szCs w:val="24"/>
        </w:rPr>
      </w:pPr>
      <w:r>
        <w:rPr>
          <w:rFonts w:hint="eastAsia" w:ascii="Times New Roman" w:hAnsi="Times New Roman" w:eastAsia="仿宋_GB2312" w:cs="Times New Roman"/>
          <w:bCs/>
          <w:color w:val="auto"/>
          <w:spacing w:val="0"/>
          <w:kern w:val="0"/>
          <w:position w:val="0"/>
          <w:sz w:val="24"/>
          <w:szCs w:val="24"/>
          <w:lang w:eastAsia="zh-CN"/>
        </w:rPr>
        <w:t>（</w:t>
      </w:r>
      <w:r>
        <w:rPr>
          <w:rFonts w:hint="eastAsia" w:ascii="Times New Roman" w:hAnsi="Times New Roman" w:eastAsia="仿宋_GB2312" w:cs="Times New Roman"/>
          <w:bCs/>
          <w:color w:val="auto"/>
          <w:spacing w:val="0"/>
          <w:kern w:val="0"/>
          <w:position w:val="0"/>
          <w:sz w:val="24"/>
          <w:szCs w:val="24"/>
          <w:lang w:val="en-US" w:eastAsia="zh-CN"/>
        </w:rPr>
        <w:t>1</w:t>
      </w:r>
      <w:r>
        <w:rPr>
          <w:rFonts w:hint="eastAsia" w:ascii="Times New Roman" w:hAnsi="Times New Roman" w:eastAsia="仿宋_GB2312" w:cs="Times New Roman"/>
          <w:bCs/>
          <w:color w:val="auto"/>
          <w:spacing w:val="0"/>
          <w:kern w:val="0"/>
          <w:position w:val="0"/>
          <w:sz w:val="24"/>
          <w:szCs w:val="24"/>
          <w:lang w:eastAsia="zh-CN"/>
        </w:rPr>
        <w:t>）</w:t>
      </w:r>
      <w:r>
        <w:rPr>
          <w:rFonts w:hint="default" w:ascii="Times New Roman" w:hAnsi="Times New Roman" w:eastAsia="仿宋_GB2312" w:cs="Times New Roman"/>
          <w:bCs/>
          <w:color w:val="auto"/>
          <w:spacing w:val="0"/>
          <w:kern w:val="0"/>
          <w:position w:val="0"/>
          <w:sz w:val="24"/>
          <w:szCs w:val="24"/>
        </w:rPr>
        <w:t>废气处理设施</w:t>
      </w:r>
    </w:p>
    <w:p w14:paraId="4A76A426">
      <w:pPr>
        <w:pageBreakBefore w:val="0"/>
        <w:kinsoku/>
        <w:wordWrap/>
        <w:bidi w:val="0"/>
        <w:adjustRightInd w:val="0"/>
        <w:snapToGrid w:val="0"/>
        <w:spacing w:beforeAutospacing="0" w:afterAutospacing="0" w:line="500" w:lineRule="exact"/>
        <w:ind w:left="0" w:leftChars="0" w:right="0" w:firstLine="480" w:firstLineChars="200"/>
        <w:rPr>
          <w:rFonts w:hint="default" w:ascii="Times New Roman" w:hAnsi="Times New Roman" w:eastAsia="仿宋_GB2312" w:cs="Times New Roman"/>
          <w:bCs/>
          <w:color w:val="auto"/>
          <w:spacing w:val="0"/>
          <w:kern w:val="0"/>
          <w:position w:val="0"/>
          <w:sz w:val="24"/>
          <w:szCs w:val="24"/>
        </w:rPr>
      </w:pPr>
      <w:r>
        <w:rPr>
          <w:rFonts w:hint="default" w:ascii="Times New Roman" w:hAnsi="Times New Roman" w:eastAsia="仿宋_GB2312" w:cs="Times New Roman"/>
          <w:bCs/>
          <w:color w:val="auto"/>
          <w:spacing w:val="0"/>
          <w:kern w:val="0"/>
          <w:position w:val="0"/>
          <w:sz w:val="24"/>
          <w:szCs w:val="24"/>
        </w:rPr>
        <w:t>污染防治设施不正常运行主要指废气污染防治设施因故障无法正常运转，致使处理效率降低，造成污染物超标排放和厂区周围环境恶化的现象。</w:t>
      </w:r>
    </w:p>
    <w:p w14:paraId="44FCC53F">
      <w:pPr>
        <w:pageBreakBefore w:val="0"/>
        <w:kinsoku/>
        <w:wordWrap/>
        <w:bidi w:val="0"/>
        <w:adjustRightInd w:val="0"/>
        <w:snapToGrid w:val="0"/>
        <w:spacing w:beforeAutospacing="0" w:afterAutospacing="0" w:line="500" w:lineRule="exact"/>
        <w:ind w:left="0" w:leftChars="0" w:right="0" w:firstLine="480" w:firstLineChars="200"/>
        <w:rPr>
          <w:rFonts w:hint="default" w:ascii="Times New Roman" w:hAnsi="Times New Roman" w:eastAsia="仿宋_GB2312" w:cs="Times New Roman"/>
          <w:bCs/>
          <w:color w:val="auto"/>
          <w:spacing w:val="0"/>
          <w:kern w:val="0"/>
          <w:position w:val="0"/>
          <w:sz w:val="24"/>
          <w:szCs w:val="24"/>
        </w:rPr>
      </w:pPr>
      <w:r>
        <w:rPr>
          <w:rFonts w:hint="default" w:ascii="Times New Roman" w:hAnsi="Times New Roman" w:eastAsia="仿宋_GB2312" w:cs="Times New Roman"/>
          <w:bCs/>
          <w:color w:val="auto"/>
          <w:spacing w:val="0"/>
          <w:kern w:val="0"/>
          <w:position w:val="0"/>
          <w:sz w:val="24"/>
          <w:szCs w:val="24"/>
        </w:rPr>
        <w:t>废气治理装置包括除尘器、</w:t>
      </w:r>
      <w:r>
        <w:rPr>
          <w:rFonts w:hint="eastAsia" w:ascii="Times New Roman" w:hAnsi="Times New Roman" w:eastAsia="仿宋_GB2312" w:cs="Times New Roman"/>
          <w:bCs/>
          <w:color w:val="auto"/>
          <w:spacing w:val="0"/>
          <w:kern w:val="0"/>
          <w:position w:val="0"/>
          <w:sz w:val="24"/>
          <w:szCs w:val="24"/>
          <w:lang w:val="en-US" w:eastAsia="zh-CN"/>
        </w:rPr>
        <w:t>喷淋塔等</w:t>
      </w:r>
      <w:r>
        <w:rPr>
          <w:rFonts w:hint="default" w:ascii="Times New Roman" w:hAnsi="Times New Roman" w:eastAsia="仿宋_GB2312" w:cs="Times New Roman"/>
          <w:bCs/>
          <w:color w:val="auto"/>
          <w:spacing w:val="0"/>
          <w:kern w:val="0"/>
          <w:position w:val="0"/>
          <w:sz w:val="24"/>
          <w:szCs w:val="24"/>
        </w:rPr>
        <w:t>设备。一般情况下易发生的事故类型主要有：区域性停</w:t>
      </w:r>
      <w:r>
        <w:rPr>
          <w:rFonts w:hint="eastAsia" w:ascii="Times New Roman" w:hAnsi="Times New Roman" w:eastAsia="仿宋_GB2312" w:cs="Times New Roman"/>
          <w:bCs/>
          <w:color w:val="auto"/>
          <w:spacing w:val="0"/>
          <w:kern w:val="0"/>
          <w:position w:val="0"/>
          <w:sz w:val="24"/>
          <w:szCs w:val="24"/>
          <w:lang w:eastAsia="zh-CN"/>
        </w:rPr>
        <w:t>（</w:t>
      </w:r>
      <w:r>
        <w:rPr>
          <w:rFonts w:hint="eastAsia" w:ascii="Times New Roman" w:hAnsi="Times New Roman" w:eastAsia="仿宋_GB2312" w:cs="Times New Roman"/>
          <w:bCs/>
          <w:color w:val="auto"/>
          <w:spacing w:val="0"/>
          <w:kern w:val="0"/>
          <w:position w:val="0"/>
          <w:sz w:val="24"/>
          <w:szCs w:val="24"/>
          <w:lang w:val="en-US" w:eastAsia="zh-CN"/>
        </w:rPr>
        <w:t>断</w:t>
      </w:r>
      <w:r>
        <w:rPr>
          <w:rFonts w:hint="eastAsia" w:ascii="Times New Roman" w:hAnsi="Times New Roman" w:eastAsia="仿宋_GB2312" w:cs="Times New Roman"/>
          <w:bCs/>
          <w:color w:val="auto"/>
          <w:spacing w:val="0"/>
          <w:kern w:val="0"/>
          <w:position w:val="0"/>
          <w:sz w:val="24"/>
          <w:szCs w:val="24"/>
          <w:lang w:eastAsia="zh-CN"/>
        </w:rPr>
        <w:t>）</w:t>
      </w:r>
      <w:r>
        <w:rPr>
          <w:rFonts w:hint="default" w:ascii="Times New Roman" w:hAnsi="Times New Roman" w:eastAsia="仿宋_GB2312" w:cs="Times New Roman"/>
          <w:bCs/>
          <w:color w:val="auto"/>
          <w:spacing w:val="0"/>
          <w:kern w:val="0"/>
          <w:position w:val="0"/>
          <w:sz w:val="24"/>
          <w:szCs w:val="24"/>
        </w:rPr>
        <w:t>电导致动力设备不能正常运转；动力设备自身出现故障不能运转等。其直接后果是造成区域环境空气质量下降，危害人体健康。</w:t>
      </w:r>
    </w:p>
    <w:p w14:paraId="20EE7323">
      <w:pPr>
        <w:pageBreakBefore w:val="0"/>
        <w:kinsoku/>
        <w:wordWrap/>
        <w:bidi w:val="0"/>
        <w:adjustRightInd w:val="0"/>
        <w:snapToGrid w:val="0"/>
        <w:spacing w:beforeAutospacing="0" w:afterAutospacing="0" w:line="500" w:lineRule="exact"/>
        <w:ind w:left="0" w:leftChars="0" w:right="0" w:firstLine="480" w:firstLineChars="200"/>
        <w:rPr>
          <w:rFonts w:hint="default" w:ascii="Times New Roman" w:hAnsi="Times New Roman" w:eastAsia="仿宋_GB2312" w:cs="Times New Roman"/>
          <w:bCs/>
          <w:color w:val="auto"/>
          <w:spacing w:val="0"/>
          <w:kern w:val="0"/>
          <w:position w:val="0"/>
          <w:sz w:val="24"/>
          <w:szCs w:val="24"/>
        </w:rPr>
      </w:pPr>
      <w:r>
        <w:rPr>
          <w:rFonts w:hint="eastAsia" w:ascii="Times New Roman" w:hAnsi="Times New Roman" w:eastAsia="仿宋_GB2312" w:cs="Times New Roman"/>
          <w:bCs/>
          <w:color w:val="auto"/>
          <w:spacing w:val="0"/>
          <w:kern w:val="0"/>
          <w:position w:val="0"/>
          <w:sz w:val="24"/>
          <w:szCs w:val="24"/>
          <w:lang w:eastAsia="zh-CN"/>
        </w:rPr>
        <w:t>（</w:t>
      </w:r>
      <w:r>
        <w:rPr>
          <w:rFonts w:hint="eastAsia" w:ascii="Times New Roman" w:hAnsi="Times New Roman" w:eastAsia="仿宋_GB2312" w:cs="Times New Roman"/>
          <w:bCs/>
          <w:color w:val="auto"/>
          <w:spacing w:val="0"/>
          <w:kern w:val="0"/>
          <w:position w:val="0"/>
          <w:sz w:val="24"/>
          <w:szCs w:val="24"/>
          <w:lang w:val="en-US" w:eastAsia="zh-CN"/>
        </w:rPr>
        <w:t>2</w:t>
      </w:r>
      <w:r>
        <w:rPr>
          <w:rFonts w:hint="eastAsia" w:ascii="Times New Roman" w:hAnsi="Times New Roman" w:eastAsia="仿宋_GB2312" w:cs="Times New Roman"/>
          <w:bCs/>
          <w:color w:val="auto"/>
          <w:spacing w:val="0"/>
          <w:kern w:val="0"/>
          <w:position w:val="0"/>
          <w:sz w:val="24"/>
          <w:szCs w:val="24"/>
          <w:lang w:eastAsia="zh-CN"/>
        </w:rPr>
        <w:t>）</w:t>
      </w:r>
      <w:r>
        <w:rPr>
          <w:rFonts w:hint="default" w:ascii="Times New Roman" w:hAnsi="Times New Roman" w:eastAsia="仿宋_GB2312" w:cs="Times New Roman"/>
          <w:bCs/>
          <w:color w:val="auto"/>
          <w:spacing w:val="0"/>
          <w:kern w:val="0"/>
          <w:position w:val="0"/>
          <w:sz w:val="24"/>
          <w:szCs w:val="24"/>
        </w:rPr>
        <w:t>废水处理设施</w:t>
      </w:r>
    </w:p>
    <w:p w14:paraId="6C78A8B9">
      <w:pPr>
        <w:pageBreakBefore w:val="0"/>
        <w:kinsoku/>
        <w:wordWrap/>
        <w:bidi w:val="0"/>
        <w:adjustRightInd w:val="0"/>
        <w:snapToGrid w:val="0"/>
        <w:spacing w:beforeAutospacing="0" w:afterAutospacing="0" w:line="500" w:lineRule="exact"/>
        <w:ind w:left="0" w:leftChars="0" w:right="0" w:firstLine="480" w:firstLineChars="200"/>
        <w:rPr>
          <w:rFonts w:hint="default" w:ascii="Times New Roman" w:hAnsi="Times New Roman" w:eastAsia="仿宋_GB2312" w:cs="Times New Roman"/>
          <w:bCs/>
          <w:color w:val="auto"/>
          <w:spacing w:val="0"/>
          <w:kern w:val="0"/>
          <w:position w:val="0"/>
          <w:sz w:val="24"/>
          <w:szCs w:val="24"/>
        </w:rPr>
      </w:pPr>
      <w:r>
        <w:rPr>
          <w:rFonts w:hint="default" w:ascii="Times New Roman" w:hAnsi="Times New Roman" w:eastAsia="仿宋_GB2312" w:cs="Times New Roman"/>
          <w:bCs/>
          <w:color w:val="auto"/>
          <w:spacing w:val="0"/>
          <w:kern w:val="0"/>
          <w:position w:val="0"/>
          <w:sz w:val="24"/>
          <w:szCs w:val="24"/>
        </w:rPr>
        <w:t>①厂内废水处理设施</w:t>
      </w:r>
      <w:r>
        <w:rPr>
          <w:rFonts w:hint="eastAsia" w:ascii="Times New Roman" w:hAnsi="Times New Roman" w:eastAsia="仿宋_GB2312" w:cs="Times New Roman"/>
          <w:bCs/>
          <w:color w:val="auto"/>
          <w:spacing w:val="0"/>
          <w:kern w:val="0"/>
          <w:position w:val="0"/>
          <w:sz w:val="24"/>
          <w:szCs w:val="24"/>
          <w:lang w:eastAsia="zh-CN"/>
        </w:rPr>
        <w:t>（</w:t>
      </w:r>
      <w:r>
        <w:rPr>
          <w:rFonts w:hint="eastAsia" w:ascii="Times New Roman" w:hAnsi="Times New Roman" w:eastAsia="仿宋_GB2312" w:cs="Times New Roman"/>
          <w:bCs/>
          <w:color w:val="auto"/>
          <w:spacing w:val="0"/>
          <w:kern w:val="0"/>
          <w:position w:val="0"/>
          <w:sz w:val="24"/>
          <w:szCs w:val="24"/>
          <w:lang w:val="en-US" w:eastAsia="zh-CN"/>
        </w:rPr>
        <w:t>中和水池、泛水池</w:t>
      </w:r>
      <w:r>
        <w:rPr>
          <w:rFonts w:hint="eastAsia" w:ascii="Times New Roman" w:hAnsi="Times New Roman" w:eastAsia="仿宋_GB2312" w:cs="Times New Roman"/>
          <w:bCs/>
          <w:color w:val="auto"/>
          <w:spacing w:val="0"/>
          <w:kern w:val="0"/>
          <w:position w:val="0"/>
          <w:sz w:val="24"/>
          <w:szCs w:val="24"/>
          <w:lang w:eastAsia="zh-CN"/>
        </w:rPr>
        <w:t>）</w:t>
      </w:r>
      <w:r>
        <w:rPr>
          <w:rFonts w:hint="default" w:ascii="Times New Roman" w:hAnsi="Times New Roman" w:eastAsia="仿宋_GB2312" w:cs="Times New Roman"/>
          <w:bCs/>
          <w:color w:val="auto"/>
          <w:spacing w:val="0"/>
          <w:kern w:val="0"/>
          <w:position w:val="0"/>
          <w:sz w:val="24"/>
          <w:szCs w:val="24"/>
        </w:rPr>
        <w:t>若未做好防渗措施，发生泄漏将污染地下水及土壤。</w:t>
      </w:r>
    </w:p>
    <w:p w14:paraId="5009E1B0">
      <w:pPr>
        <w:pageBreakBefore w:val="0"/>
        <w:kinsoku/>
        <w:wordWrap/>
        <w:bidi w:val="0"/>
        <w:adjustRightInd w:val="0"/>
        <w:snapToGrid w:val="0"/>
        <w:spacing w:beforeAutospacing="0" w:afterAutospacing="0" w:line="500" w:lineRule="exact"/>
        <w:ind w:left="0" w:leftChars="0" w:right="0" w:firstLine="480" w:firstLineChars="200"/>
        <w:rPr>
          <w:rFonts w:hint="default" w:ascii="Times New Roman" w:hAnsi="Times New Roman" w:eastAsia="仿宋_GB2312" w:cs="Times New Roman"/>
          <w:bCs/>
          <w:color w:val="auto"/>
          <w:spacing w:val="0"/>
          <w:kern w:val="0"/>
          <w:position w:val="0"/>
          <w:sz w:val="24"/>
          <w:szCs w:val="24"/>
        </w:rPr>
      </w:pPr>
      <w:r>
        <w:rPr>
          <w:rFonts w:hint="default" w:ascii="Times New Roman" w:hAnsi="Times New Roman" w:eastAsia="仿宋_GB2312" w:cs="Times New Roman"/>
          <w:bCs/>
          <w:color w:val="auto"/>
          <w:spacing w:val="0"/>
          <w:kern w:val="0"/>
          <w:position w:val="0"/>
          <w:sz w:val="24"/>
          <w:szCs w:val="24"/>
        </w:rPr>
        <w:t>②本厂区内突发性废水泄漏和火灾爆炸事故泄漏、伴生和次生的泄漏物料、污水、消防废水可能直接进入厂内污水管网和雨水管网，未经处理后排入园区污水和雨水管网，给污水处理厂造成一定的冲击及造成周边水环境污染。</w:t>
      </w:r>
    </w:p>
    <w:p w14:paraId="2DE6466F">
      <w:pPr>
        <w:pageBreakBefore w:val="0"/>
        <w:kinsoku/>
        <w:wordWrap/>
        <w:bidi w:val="0"/>
        <w:adjustRightInd w:val="0"/>
        <w:snapToGrid w:val="0"/>
        <w:spacing w:beforeAutospacing="0" w:afterAutospacing="0" w:line="500" w:lineRule="exact"/>
        <w:ind w:left="0" w:leftChars="0" w:right="0" w:firstLine="480" w:firstLineChars="200"/>
        <w:rPr>
          <w:rFonts w:hint="eastAsia" w:ascii="Times New Roman" w:hAnsi="Times New Roman" w:eastAsia="仿宋_GB2312" w:cs="Times New Roman"/>
          <w:bCs/>
          <w:color w:val="auto"/>
          <w:spacing w:val="0"/>
          <w:kern w:val="0"/>
          <w:position w:val="0"/>
          <w:sz w:val="24"/>
          <w:szCs w:val="24"/>
          <w:lang w:eastAsia="zh-CN"/>
        </w:rPr>
      </w:pPr>
      <w:r>
        <w:rPr>
          <w:rFonts w:hint="eastAsia" w:ascii="Times New Roman" w:hAnsi="Times New Roman" w:eastAsia="仿宋_GB2312" w:cs="Times New Roman"/>
          <w:bCs/>
          <w:color w:val="auto"/>
          <w:spacing w:val="0"/>
          <w:kern w:val="0"/>
          <w:position w:val="0"/>
          <w:sz w:val="24"/>
          <w:szCs w:val="24"/>
          <w:lang w:val="en-US" w:eastAsia="zh-CN"/>
        </w:rPr>
        <w:t>4</w:t>
      </w:r>
      <w:r>
        <w:rPr>
          <w:rFonts w:hint="default" w:ascii="Times New Roman" w:hAnsi="Times New Roman" w:eastAsia="仿宋_GB2312" w:cs="Times New Roman"/>
          <w:bCs/>
          <w:color w:val="auto"/>
          <w:spacing w:val="0"/>
          <w:kern w:val="0"/>
          <w:position w:val="0"/>
          <w:sz w:val="24"/>
          <w:szCs w:val="24"/>
        </w:rPr>
        <w:t>、危废</w:t>
      </w:r>
      <w:r>
        <w:rPr>
          <w:rFonts w:hint="eastAsia" w:ascii="Times New Roman" w:hAnsi="Times New Roman" w:eastAsia="仿宋_GB2312" w:cs="Times New Roman"/>
          <w:bCs/>
          <w:color w:val="auto"/>
          <w:spacing w:val="0"/>
          <w:kern w:val="0"/>
          <w:position w:val="0"/>
          <w:sz w:val="24"/>
          <w:szCs w:val="24"/>
          <w:lang w:val="en-US" w:eastAsia="zh-CN"/>
        </w:rPr>
        <w:t>仓库</w:t>
      </w:r>
    </w:p>
    <w:p w14:paraId="7B37505A">
      <w:pPr>
        <w:pageBreakBefore w:val="0"/>
        <w:kinsoku/>
        <w:wordWrap/>
        <w:bidi w:val="0"/>
        <w:adjustRightInd w:val="0"/>
        <w:snapToGrid w:val="0"/>
        <w:spacing w:beforeAutospacing="0" w:afterAutospacing="0" w:line="500" w:lineRule="exact"/>
        <w:ind w:left="0" w:leftChars="0" w:right="0" w:firstLine="480" w:firstLineChars="200"/>
        <w:rPr>
          <w:rFonts w:hint="default" w:ascii="Times New Roman" w:hAnsi="Times New Roman" w:eastAsia="仿宋_GB2312" w:cs="Times New Roman"/>
          <w:bCs/>
          <w:color w:val="auto"/>
          <w:spacing w:val="0"/>
          <w:kern w:val="0"/>
          <w:position w:val="0"/>
          <w:sz w:val="24"/>
          <w:szCs w:val="24"/>
        </w:rPr>
      </w:pPr>
      <w:r>
        <w:rPr>
          <w:rFonts w:hint="default" w:ascii="Times New Roman" w:hAnsi="Times New Roman" w:eastAsia="仿宋_GB2312" w:cs="Times New Roman"/>
          <w:bCs/>
          <w:color w:val="auto"/>
          <w:spacing w:val="0"/>
          <w:kern w:val="0"/>
          <w:position w:val="0"/>
          <w:sz w:val="24"/>
          <w:szCs w:val="24"/>
        </w:rPr>
        <w:t>生产过程中产生的</w:t>
      </w:r>
      <w:r>
        <w:rPr>
          <w:rFonts w:hint="eastAsia" w:ascii="Times New Roman" w:hAnsi="Times New Roman" w:eastAsia="仿宋_GB2312" w:cs="Times New Roman"/>
          <w:bCs/>
          <w:color w:val="auto"/>
          <w:spacing w:val="0"/>
          <w:kern w:val="0"/>
          <w:position w:val="0"/>
          <w:sz w:val="24"/>
          <w:szCs w:val="24"/>
          <w:lang w:val="en-US" w:eastAsia="zh-CN"/>
        </w:rPr>
        <w:t>危废</w:t>
      </w:r>
      <w:r>
        <w:rPr>
          <w:rFonts w:hint="default" w:ascii="Times New Roman" w:hAnsi="Times New Roman" w:eastAsia="仿宋_GB2312" w:cs="Times New Roman"/>
          <w:bCs/>
          <w:color w:val="auto"/>
          <w:spacing w:val="0"/>
          <w:kern w:val="0"/>
          <w:position w:val="0"/>
          <w:sz w:val="24"/>
          <w:szCs w:val="24"/>
        </w:rPr>
        <w:t>收集不及时、不到位、不彻底，储存场所不集中、建设不规范等。其后果是造成原料物质等外流而进入和污染周围土壤、地下水、地表水等外环境，危害动植物及人体的健康。</w:t>
      </w:r>
    </w:p>
    <w:p w14:paraId="4DA26044">
      <w:pPr>
        <w:pStyle w:val="4"/>
        <w:keepNext/>
        <w:keepLines w:val="0"/>
        <w:pageBreakBefore w:val="0"/>
        <w:widowControl w:val="0"/>
        <w:kinsoku/>
        <w:wordWrap/>
        <w:overflowPunct w:val="0"/>
        <w:topLinePunct w:val="0"/>
        <w:autoSpaceDE/>
        <w:autoSpaceDN/>
        <w:bidi w:val="0"/>
        <w:adjustRightInd/>
        <w:snapToGrid w:val="0"/>
        <w:spacing w:before="0" w:line="500" w:lineRule="exact"/>
        <w:ind w:left="0" w:right="0" w:firstLine="0" w:firstLineChars="0"/>
        <w:jc w:val="both"/>
        <w:textAlignment w:val="auto"/>
        <w:outlineLvl w:val="1"/>
        <w:rPr>
          <w:rFonts w:hint="default" w:ascii="Times New Roman" w:hAnsi="Times New Roman" w:eastAsia="仿宋_GB2312" w:cs="Times New Roman"/>
          <w:b/>
          <w:bCs/>
          <w:sz w:val="24"/>
          <w:szCs w:val="24"/>
          <w:lang w:val="en-US" w:eastAsia="zh-CN"/>
        </w:rPr>
      </w:pPr>
      <w:bookmarkStart w:id="124" w:name="_Toc12312"/>
      <w:bookmarkStart w:id="125" w:name="_Toc32071"/>
      <w:bookmarkStart w:id="126" w:name="_Toc29915"/>
      <w:r>
        <w:rPr>
          <w:rFonts w:hint="default" w:ascii="Times New Roman" w:hAnsi="Times New Roman" w:eastAsia="仿宋_GB2312" w:cs="Times New Roman"/>
          <w:b/>
          <w:bCs/>
          <w:sz w:val="24"/>
          <w:szCs w:val="24"/>
          <w:lang w:val="en-US" w:eastAsia="zh-CN"/>
        </w:rPr>
        <w:t>2.6风险识别结果</w:t>
      </w:r>
      <w:bookmarkEnd w:id="124"/>
      <w:bookmarkEnd w:id="125"/>
      <w:bookmarkEnd w:id="126"/>
    </w:p>
    <w:p w14:paraId="4C3721B7">
      <w:pPr>
        <w:pStyle w:val="8"/>
        <w:pageBreakBefore w:val="0"/>
        <w:kinsoku/>
        <w:wordWrap/>
        <w:bidi w:val="0"/>
        <w:adjustRightInd w:val="0"/>
        <w:snapToGrid w:val="0"/>
        <w:spacing w:beforeAutospacing="0" w:afterAutospacing="0" w:line="500" w:lineRule="exact"/>
        <w:ind w:left="0" w:leftChars="0" w:right="0" w:firstLine="530" w:firstLineChars="221"/>
        <w:rPr>
          <w:rFonts w:hint="default" w:ascii="Times New Roman" w:hAnsi="Times New Roman" w:eastAsia="仿宋_GB2312" w:cs="Times New Roman"/>
          <w:bCs/>
          <w:color w:val="auto"/>
          <w:spacing w:val="0"/>
          <w:kern w:val="0"/>
          <w:position w:val="0"/>
          <w:sz w:val="24"/>
          <w:szCs w:val="24"/>
          <w:lang w:val="en-US" w:eastAsia="zh-CN" w:bidi="ar-SA"/>
        </w:rPr>
      </w:pPr>
      <w:r>
        <w:rPr>
          <w:rFonts w:hint="default" w:ascii="Times New Roman" w:hAnsi="Times New Roman" w:eastAsia="仿宋_GB2312" w:cs="Times New Roman"/>
          <w:bCs/>
          <w:color w:val="auto"/>
          <w:spacing w:val="0"/>
          <w:kern w:val="0"/>
          <w:position w:val="0"/>
          <w:sz w:val="24"/>
          <w:szCs w:val="24"/>
          <w:lang w:val="en-US" w:eastAsia="zh-CN" w:bidi="ar-SA"/>
        </w:rPr>
        <w:t>本项目环境风险识别结果如下表</w:t>
      </w:r>
      <w:r>
        <w:rPr>
          <w:rFonts w:hint="eastAsia" w:ascii="Times New Roman" w:hAnsi="Times New Roman" w:eastAsia="仿宋_GB2312" w:cs="Times New Roman"/>
          <w:bCs/>
          <w:color w:val="auto"/>
          <w:spacing w:val="0"/>
          <w:kern w:val="0"/>
          <w:position w:val="0"/>
          <w:sz w:val="24"/>
          <w:szCs w:val="24"/>
          <w:lang w:val="en-US" w:eastAsia="zh-CN" w:bidi="ar-SA"/>
        </w:rPr>
        <w:t>。</w:t>
      </w:r>
    </w:p>
    <w:p w14:paraId="6B241D6B">
      <w:pPr>
        <w:pageBreakBefore w:val="0"/>
        <w:kinsoku/>
        <w:wordWrap/>
        <w:bidi w:val="0"/>
        <w:adjustRightInd w:val="0"/>
        <w:snapToGrid w:val="0"/>
        <w:spacing w:beforeAutospacing="0" w:afterAutospacing="0" w:line="500" w:lineRule="exact"/>
        <w:ind w:left="0" w:leftChars="0" w:right="0"/>
        <w:jc w:val="center"/>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b/>
          <w:bCs/>
          <w:color w:val="auto"/>
          <w:spacing w:val="0"/>
          <w:kern w:val="0"/>
          <w:position w:val="0"/>
          <w:sz w:val="24"/>
          <w:szCs w:val="24"/>
        </w:rPr>
        <w:t>表</w:t>
      </w:r>
      <w:r>
        <w:rPr>
          <w:rFonts w:hint="default" w:ascii="Times New Roman" w:hAnsi="Times New Roman" w:eastAsia="仿宋_GB2312" w:cs="Times New Roman"/>
          <w:b/>
          <w:bCs/>
          <w:color w:val="auto"/>
          <w:spacing w:val="0"/>
          <w:kern w:val="0"/>
          <w:position w:val="0"/>
          <w:sz w:val="24"/>
          <w:szCs w:val="24"/>
          <w:lang w:val="en-US" w:eastAsia="zh-CN"/>
        </w:rPr>
        <w:t>2.6</w:t>
      </w:r>
      <w:r>
        <w:rPr>
          <w:rFonts w:hint="default" w:ascii="Times New Roman" w:hAnsi="Times New Roman" w:eastAsia="仿宋_GB2312" w:cs="Times New Roman"/>
          <w:b/>
          <w:bCs/>
          <w:color w:val="auto"/>
          <w:spacing w:val="0"/>
          <w:kern w:val="0"/>
          <w:position w:val="0"/>
          <w:sz w:val="24"/>
          <w:szCs w:val="24"/>
        </w:rPr>
        <w:t xml:space="preserve">-1 </w:t>
      </w:r>
      <w:r>
        <w:rPr>
          <w:rFonts w:hint="eastAsia" w:ascii="Times New Roman" w:hAnsi="Times New Roman" w:eastAsia="仿宋_GB2312" w:cs="Times New Roman"/>
          <w:b/>
          <w:bCs/>
          <w:color w:val="auto"/>
          <w:spacing w:val="0"/>
          <w:kern w:val="0"/>
          <w:position w:val="0"/>
          <w:sz w:val="24"/>
          <w:szCs w:val="24"/>
          <w:lang w:val="en-US" w:eastAsia="zh-CN"/>
        </w:rPr>
        <w:t xml:space="preserve"> </w:t>
      </w:r>
      <w:r>
        <w:rPr>
          <w:rFonts w:hint="default" w:ascii="Times New Roman" w:hAnsi="Times New Roman" w:eastAsia="仿宋_GB2312" w:cs="Times New Roman"/>
          <w:b/>
          <w:bCs/>
          <w:color w:val="auto"/>
          <w:spacing w:val="0"/>
          <w:kern w:val="0"/>
          <w:position w:val="0"/>
          <w:sz w:val="24"/>
          <w:szCs w:val="24"/>
        </w:rPr>
        <w:t>建设项目环境风险识别表</w:t>
      </w:r>
    </w:p>
    <w:tbl>
      <w:tblPr>
        <w:tblStyle w:val="3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04"/>
        <w:gridCol w:w="1294"/>
        <w:gridCol w:w="1206"/>
        <w:gridCol w:w="1099"/>
        <w:gridCol w:w="1773"/>
        <w:gridCol w:w="2251"/>
        <w:gridCol w:w="1061"/>
      </w:tblGrid>
      <w:tr w14:paraId="7CEF94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325" w:type="pct"/>
            <w:tcBorders>
              <w:tl2br w:val="nil"/>
              <w:tr2bl w:val="nil"/>
            </w:tcBorders>
            <w:vAlign w:val="center"/>
          </w:tcPr>
          <w:p w14:paraId="0A1401EB">
            <w:pPr>
              <w:pageBreakBefore w:val="0"/>
              <w:widowControl/>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
                <w:snapToGrid w:val="0"/>
                <w:color w:val="auto"/>
                <w:spacing w:val="0"/>
                <w:kern w:val="0"/>
                <w:position w:val="0"/>
                <w:sz w:val="21"/>
                <w:szCs w:val="21"/>
              </w:rPr>
            </w:pPr>
            <w:r>
              <w:rPr>
                <w:rFonts w:hint="default" w:ascii="Times New Roman" w:hAnsi="Times New Roman" w:eastAsia="仿宋_GB2312" w:cs="Times New Roman"/>
                <w:b/>
                <w:snapToGrid w:val="0"/>
                <w:color w:val="auto"/>
                <w:spacing w:val="0"/>
                <w:kern w:val="0"/>
                <w:position w:val="0"/>
                <w:sz w:val="21"/>
                <w:szCs w:val="21"/>
              </w:rPr>
              <w:t>序号</w:t>
            </w:r>
          </w:p>
        </w:tc>
        <w:tc>
          <w:tcPr>
            <w:tcW w:w="696" w:type="pct"/>
            <w:tcBorders>
              <w:tl2br w:val="nil"/>
              <w:tr2bl w:val="nil"/>
            </w:tcBorders>
            <w:vAlign w:val="center"/>
          </w:tcPr>
          <w:p w14:paraId="0CC3D286">
            <w:pPr>
              <w:pageBreakBefore w:val="0"/>
              <w:widowControl/>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
                <w:snapToGrid w:val="0"/>
                <w:color w:val="auto"/>
                <w:spacing w:val="0"/>
                <w:kern w:val="0"/>
                <w:position w:val="0"/>
                <w:sz w:val="21"/>
                <w:szCs w:val="21"/>
              </w:rPr>
            </w:pPr>
            <w:r>
              <w:rPr>
                <w:rFonts w:hint="default" w:ascii="Times New Roman" w:hAnsi="Times New Roman" w:eastAsia="仿宋_GB2312" w:cs="Times New Roman"/>
                <w:b/>
                <w:snapToGrid w:val="0"/>
                <w:color w:val="auto"/>
                <w:spacing w:val="0"/>
                <w:kern w:val="0"/>
                <w:position w:val="0"/>
                <w:sz w:val="21"/>
                <w:szCs w:val="21"/>
              </w:rPr>
              <w:t>危险单元</w:t>
            </w:r>
          </w:p>
        </w:tc>
        <w:tc>
          <w:tcPr>
            <w:tcW w:w="649" w:type="pct"/>
            <w:tcBorders>
              <w:tl2br w:val="nil"/>
              <w:tr2bl w:val="nil"/>
            </w:tcBorders>
            <w:vAlign w:val="center"/>
          </w:tcPr>
          <w:p w14:paraId="687D9D6E">
            <w:pPr>
              <w:pageBreakBefore w:val="0"/>
              <w:widowControl/>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
                <w:snapToGrid w:val="0"/>
                <w:color w:val="auto"/>
                <w:spacing w:val="0"/>
                <w:kern w:val="0"/>
                <w:position w:val="0"/>
                <w:sz w:val="21"/>
                <w:szCs w:val="21"/>
              </w:rPr>
            </w:pPr>
            <w:r>
              <w:rPr>
                <w:rFonts w:hint="default" w:ascii="Times New Roman" w:hAnsi="Times New Roman" w:eastAsia="仿宋_GB2312" w:cs="Times New Roman"/>
                <w:b/>
                <w:snapToGrid w:val="0"/>
                <w:color w:val="auto"/>
                <w:spacing w:val="0"/>
                <w:kern w:val="0"/>
                <w:position w:val="0"/>
                <w:sz w:val="21"/>
                <w:szCs w:val="21"/>
              </w:rPr>
              <w:t>风险源</w:t>
            </w:r>
          </w:p>
        </w:tc>
        <w:tc>
          <w:tcPr>
            <w:tcW w:w="591" w:type="pct"/>
            <w:tcBorders>
              <w:tl2br w:val="nil"/>
              <w:tr2bl w:val="nil"/>
            </w:tcBorders>
            <w:vAlign w:val="center"/>
          </w:tcPr>
          <w:p w14:paraId="3B9C0C02">
            <w:pPr>
              <w:pageBreakBefore w:val="0"/>
              <w:widowControl/>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
                <w:snapToGrid w:val="0"/>
                <w:color w:val="auto"/>
                <w:spacing w:val="0"/>
                <w:kern w:val="0"/>
                <w:position w:val="0"/>
                <w:sz w:val="21"/>
                <w:szCs w:val="21"/>
              </w:rPr>
            </w:pPr>
            <w:r>
              <w:rPr>
                <w:rFonts w:hint="default" w:ascii="Times New Roman" w:hAnsi="Times New Roman" w:eastAsia="仿宋_GB2312" w:cs="Times New Roman"/>
                <w:b/>
                <w:snapToGrid w:val="0"/>
                <w:color w:val="auto"/>
                <w:spacing w:val="0"/>
                <w:kern w:val="0"/>
                <w:position w:val="0"/>
                <w:sz w:val="21"/>
                <w:szCs w:val="21"/>
              </w:rPr>
              <w:t>主要危险物质</w:t>
            </w:r>
          </w:p>
        </w:tc>
        <w:tc>
          <w:tcPr>
            <w:tcW w:w="954" w:type="pct"/>
            <w:tcBorders>
              <w:tl2br w:val="nil"/>
              <w:tr2bl w:val="nil"/>
            </w:tcBorders>
            <w:vAlign w:val="center"/>
          </w:tcPr>
          <w:p w14:paraId="5E0AD1ED">
            <w:pPr>
              <w:pageBreakBefore w:val="0"/>
              <w:widowControl/>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
                <w:snapToGrid w:val="0"/>
                <w:color w:val="auto"/>
                <w:spacing w:val="0"/>
                <w:kern w:val="0"/>
                <w:position w:val="0"/>
                <w:sz w:val="21"/>
                <w:szCs w:val="21"/>
              </w:rPr>
            </w:pPr>
            <w:r>
              <w:rPr>
                <w:rFonts w:hint="default" w:ascii="Times New Roman" w:hAnsi="Times New Roman" w:eastAsia="仿宋_GB2312" w:cs="Times New Roman"/>
                <w:b/>
                <w:snapToGrid w:val="0"/>
                <w:color w:val="auto"/>
                <w:spacing w:val="0"/>
                <w:kern w:val="0"/>
                <w:position w:val="0"/>
                <w:sz w:val="21"/>
                <w:szCs w:val="21"/>
              </w:rPr>
              <w:t>环境风险类型</w:t>
            </w:r>
          </w:p>
        </w:tc>
        <w:tc>
          <w:tcPr>
            <w:tcW w:w="1211" w:type="pct"/>
            <w:tcBorders>
              <w:tl2br w:val="nil"/>
              <w:tr2bl w:val="nil"/>
            </w:tcBorders>
            <w:vAlign w:val="center"/>
          </w:tcPr>
          <w:p w14:paraId="0CBC9EAF">
            <w:pPr>
              <w:pageBreakBefore w:val="0"/>
              <w:widowControl/>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
                <w:snapToGrid w:val="0"/>
                <w:color w:val="auto"/>
                <w:spacing w:val="0"/>
                <w:kern w:val="0"/>
                <w:position w:val="0"/>
                <w:sz w:val="21"/>
                <w:szCs w:val="21"/>
              </w:rPr>
            </w:pPr>
            <w:r>
              <w:rPr>
                <w:rFonts w:hint="default" w:ascii="Times New Roman" w:hAnsi="Times New Roman" w:eastAsia="仿宋_GB2312" w:cs="Times New Roman"/>
                <w:b/>
                <w:snapToGrid w:val="0"/>
                <w:color w:val="auto"/>
                <w:spacing w:val="0"/>
                <w:kern w:val="0"/>
                <w:position w:val="0"/>
                <w:sz w:val="21"/>
                <w:szCs w:val="21"/>
              </w:rPr>
              <w:t>环境影响途径</w:t>
            </w:r>
          </w:p>
        </w:tc>
        <w:tc>
          <w:tcPr>
            <w:tcW w:w="571" w:type="pct"/>
            <w:tcBorders>
              <w:tl2br w:val="nil"/>
              <w:tr2bl w:val="nil"/>
            </w:tcBorders>
            <w:vAlign w:val="center"/>
          </w:tcPr>
          <w:p w14:paraId="2DF9140E">
            <w:pPr>
              <w:pageBreakBefore w:val="0"/>
              <w:widowControl/>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
                <w:snapToGrid w:val="0"/>
                <w:color w:val="auto"/>
                <w:spacing w:val="0"/>
                <w:kern w:val="0"/>
                <w:position w:val="0"/>
                <w:sz w:val="21"/>
                <w:szCs w:val="21"/>
              </w:rPr>
            </w:pPr>
            <w:r>
              <w:rPr>
                <w:rFonts w:hint="default" w:ascii="Times New Roman" w:hAnsi="Times New Roman" w:eastAsia="仿宋_GB2312" w:cs="Times New Roman"/>
                <w:b/>
                <w:snapToGrid w:val="0"/>
                <w:color w:val="auto"/>
                <w:spacing w:val="0"/>
                <w:kern w:val="0"/>
                <w:position w:val="0"/>
                <w:sz w:val="21"/>
                <w:szCs w:val="21"/>
              </w:rPr>
              <w:t>可能受影响的环境敏感目标</w:t>
            </w:r>
          </w:p>
        </w:tc>
      </w:tr>
      <w:tr w14:paraId="0F72AC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5" w:type="pct"/>
            <w:tcBorders>
              <w:tl2br w:val="nil"/>
              <w:tr2bl w:val="nil"/>
            </w:tcBorders>
            <w:vAlign w:val="center"/>
          </w:tcPr>
          <w:p w14:paraId="05A7F574">
            <w:pPr>
              <w:pageBreakBefore w:val="0"/>
              <w:widowControl/>
              <w:kinsoku/>
              <w:wordWrap/>
              <w:bidi w:val="0"/>
              <w:adjustRightInd w:val="0"/>
              <w:snapToGrid w:val="0"/>
              <w:spacing w:beforeAutospacing="0" w:afterAutospacing="0"/>
              <w:ind w:left="0" w:leftChars="0" w:right="0"/>
              <w:jc w:val="center"/>
              <w:rPr>
                <w:rFonts w:hint="eastAsia" w:ascii="Times New Roman" w:hAnsi="Times New Roman" w:eastAsia="仿宋_GB2312" w:cs="Times New Roman"/>
                <w:b w:val="0"/>
                <w:bCs/>
                <w:snapToGrid w:val="0"/>
                <w:color w:val="auto"/>
                <w:spacing w:val="0"/>
                <w:kern w:val="0"/>
                <w:position w:val="0"/>
                <w:sz w:val="21"/>
                <w:szCs w:val="21"/>
                <w:lang w:val="en-US" w:eastAsia="zh-CN"/>
              </w:rPr>
            </w:pPr>
            <w:r>
              <w:rPr>
                <w:rFonts w:hint="eastAsia" w:ascii="Times New Roman" w:hAnsi="Times New Roman" w:eastAsia="仿宋_GB2312" w:cs="Times New Roman"/>
                <w:b w:val="0"/>
                <w:bCs/>
                <w:snapToGrid w:val="0"/>
                <w:color w:val="auto"/>
                <w:spacing w:val="0"/>
                <w:kern w:val="0"/>
                <w:position w:val="0"/>
                <w:sz w:val="21"/>
                <w:szCs w:val="21"/>
                <w:lang w:val="en-US" w:eastAsia="zh-CN"/>
              </w:rPr>
              <w:t>1</w:t>
            </w:r>
          </w:p>
        </w:tc>
        <w:tc>
          <w:tcPr>
            <w:tcW w:w="696" w:type="pct"/>
            <w:vMerge w:val="restart"/>
            <w:tcBorders>
              <w:tl2br w:val="nil"/>
              <w:tr2bl w:val="nil"/>
            </w:tcBorders>
            <w:vAlign w:val="center"/>
          </w:tcPr>
          <w:p w14:paraId="0955D817">
            <w:pPr>
              <w:pageBreakBefore w:val="0"/>
              <w:widowControl/>
              <w:kinsoku/>
              <w:wordWrap/>
              <w:bidi w:val="0"/>
              <w:adjustRightInd w:val="0"/>
              <w:snapToGrid w:val="0"/>
              <w:spacing w:beforeAutospacing="0" w:afterAutospacing="0"/>
              <w:ind w:left="0" w:leftChars="0" w:right="0"/>
              <w:jc w:val="center"/>
              <w:rPr>
                <w:rFonts w:hint="eastAsia" w:ascii="Times New Roman" w:hAnsi="Times New Roman" w:eastAsia="仿宋_GB2312" w:cs="Times New Roman"/>
                <w:b w:val="0"/>
                <w:bCs/>
                <w:snapToGrid w:val="0"/>
                <w:color w:val="auto"/>
                <w:spacing w:val="0"/>
                <w:kern w:val="0"/>
                <w:position w:val="0"/>
                <w:sz w:val="21"/>
                <w:szCs w:val="21"/>
                <w:lang w:val="en-US" w:eastAsia="zh-CN"/>
              </w:rPr>
            </w:pPr>
            <w:r>
              <w:rPr>
                <w:rFonts w:hint="eastAsia" w:ascii="Times New Roman" w:hAnsi="Times New Roman" w:eastAsia="仿宋_GB2312" w:cs="Times New Roman"/>
                <w:b w:val="0"/>
                <w:bCs/>
                <w:snapToGrid w:val="0"/>
                <w:color w:val="auto"/>
                <w:spacing w:val="0"/>
                <w:kern w:val="0"/>
                <w:position w:val="0"/>
                <w:sz w:val="21"/>
                <w:szCs w:val="21"/>
                <w:lang w:val="en-US" w:eastAsia="zh-CN"/>
              </w:rPr>
              <w:t>储罐</w:t>
            </w:r>
          </w:p>
        </w:tc>
        <w:tc>
          <w:tcPr>
            <w:tcW w:w="649" w:type="pct"/>
            <w:tcBorders>
              <w:tl2br w:val="nil"/>
              <w:tr2bl w:val="nil"/>
            </w:tcBorders>
            <w:vAlign w:val="center"/>
          </w:tcPr>
          <w:p w14:paraId="29B22FE5">
            <w:pPr>
              <w:pageBreakBefore w:val="0"/>
              <w:widowControl/>
              <w:kinsoku/>
              <w:wordWrap/>
              <w:bidi w:val="0"/>
              <w:adjustRightInd w:val="0"/>
              <w:snapToGrid w:val="0"/>
              <w:spacing w:beforeAutospacing="0" w:afterAutospacing="0"/>
              <w:ind w:left="0" w:leftChars="0" w:right="0"/>
              <w:jc w:val="center"/>
              <w:rPr>
                <w:rFonts w:hint="eastAsia" w:ascii="Times New Roman" w:hAnsi="Times New Roman" w:eastAsia="仿宋_GB2312" w:cs="Times New Roman"/>
                <w:b w:val="0"/>
                <w:bCs/>
                <w:snapToGrid w:val="0"/>
                <w:color w:val="auto"/>
                <w:spacing w:val="0"/>
                <w:kern w:val="0"/>
                <w:position w:val="0"/>
                <w:sz w:val="21"/>
                <w:szCs w:val="21"/>
                <w:lang w:val="en-US" w:eastAsia="zh-CN"/>
              </w:rPr>
            </w:pPr>
            <w:r>
              <w:rPr>
                <w:rFonts w:hint="eastAsia" w:ascii="Times New Roman" w:hAnsi="Times New Roman" w:eastAsia="仿宋_GB2312" w:cs="Times New Roman"/>
                <w:b w:val="0"/>
                <w:bCs/>
                <w:snapToGrid w:val="0"/>
                <w:color w:val="auto"/>
                <w:spacing w:val="0"/>
                <w:kern w:val="0"/>
                <w:position w:val="0"/>
                <w:sz w:val="21"/>
                <w:szCs w:val="21"/>
                <w:lang w:val="en-US" w:eastAsia="zh-CN"/>
              </w:rPr>
              <w:t>盐酸</w:t>
            </w:r>
          </w:p>
        </w:tc>
        <w:tc>
          <w:tcPr>
            <w:tcW w:w="591" w:type="pct"/>
            <w:tcBorders>
              <w:tl2br w:val="nil"/>
              <w:tr2bl w:val="nil"/>
            </w:tcBorders>
            <w:vAlign w:val="center"/>
          </w:tcPr>
          <w:p w14:paraId="29F87C39">
            <w:pPr>
              <w:pageBreakBefore w:val="0"/>
              <w:widowControl/>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 w:val="0"/>
                <w:bCs/>
                <w:snapToGrid w:val="0"/>
                <w:color w:val="auto"/>
                <w:spacing w:val="0"/>
                <w:kern w:val="0"/>
                <w:position w:val="0"/>
                <w:sz w:val="21"/>
                <w:szCs w:val="21"/>
                <w:lang w:val="en-US" w:eastAsia="zh-CN"/>
              </w:rPr>
            </w:pPr>
            <w:r>
              <w:rPr>
                <w:rFonts w:hint="eastAsia" w:ascii="Times New Roman" w:hAnsi="Times New Roman" w:eastAsia="仿宋_GB2312" w:cs="Times New Roman"/>
                <w:b w:val="0"/>
                <w:bCs/>
                <w:snapToGrid w:val="0"/>
                <w:color w:val="auto"/>
                <w:spacing w:val="0"/>
                <w:kern w:val="0"/>
                <w:position w:val="0"/>
                <w:sz w:val="21"/>
                <w:szCs w:val="21"/>
                <w:lang w:val="en-US" w:eastAsia="zh-CN"/>
              </w:rPr>
              <w:t>30%盐酸</w:t>
            </w:r>
          </w:p>
        </w:tc>
        <w:tc>
          <w:tcPr>
            <w:tcW w:w="954" w:type="pct"/>
            <w:vMerge w:val="restart"/>
            <w:tcBorders>
              <w:tl2br w:val="nil"/>
              <w:tr2bl w:val="nil"/>
            </w:tcBorders>
            <w:vAlign w:val="center"/>
          </w:tcPr>
          <w:p w14:paraId="1D93272E">
            <w:pPr>
              <w:pageBreakBefore w:val="0"/>
              <w:widowControl/>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 w:val="0"/>
                <w:bCs/>
                <w:snapToGrid w:val="0"/>
                <w:color w:val="auto"/>
                <w:spacing w:val="0"/>
                <w:kern w:val="0"/>
                <w:position w:val="0"/>
                <w:sz w:val="21"/>
                <w:szCs w:val="21"/>
              </w:rPr>
            </w:pPr>
            <w:r>
              <w:rPr>
                <w:rFonts w:hint="default" w:ascii="Times New Roman" w:hAnsi="Times New Roman" w:eastAsia="仿宋_GB2312" w:cs="Times New Roman"/>
                <w:b w:val="0"/>
                <w:bCs/>
                <w:snapToGrid w:val="0"/>
                <w:color w:val="auto"/>
                <w:spacing w:val="0"/>
                <w:kern w:val="0"/>
                <w:position w:val="0"/>
                <w:sz w:val="21"/>
                <w:szCs w:val="21"/>
              </w:rPr>
              <w:t>泄漏事故</w:t>
            </w:r>
          </w:p>
        </w:tc>
        <w:tc>
          <w:tcPr>
            <w:tcW w:w="1211" w:type="pct"/>
            <w:vMerge w:val="restart"/>
            <w:tcBorders>
              <w:tl2br w:val="nil"/>
              <w:tr2bl w:val="nil"/>
            </w:tcBorders>
            <w:vAlign w:val="center"/>
          </w:tcPr>
          <w:p w14:paraId="16BE73C0">
            <w:pPr>
              <w:pageBreakBefore w:val="0"/>
              <w:widowControl/>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 w:val="0"/>
                <w:bCs/>
                <w:snapToGrid w:val="0"/>
                <w:color w:val="auto"/>
                <w:spacing w:val="0"/>
                <w:kern w:val="0"/>
                <w:position w:val="0"/>
                <w:sz w:val="21"/>
                <w:szCs w:val="21"/>
              </w:rPr>
            </w:pPr>
            <w:r>
              <w:rPr>
                <w:rFonts w:hint="default" w:ascii="Times New Roman" w:hAnsi="Times New Roman" w:eastAsia="仿宋_GB2312" w:cs="Times New Roman"/>
                <w:b w:val="0"/>
                <w:bCs/>
                <w:snapToGrid w:val="0"/>
                <w:color w:val="auto"/>
                <w:spacing w:val="0"/>
                <w:kern w:val="0"/>
                <w:position w:val="0"/>
                <w:sz w:val="21"/>
                <w:szCs w:val="21"/>
              </w:rPr>
              <w:t>扩散、漫流、渗透、吸收</w:t>
            </w:r>
          </w:p>
        </w:tc>
        <w:tc>
          <w:tcPr>
            <w:tcW w:w="571" w:type="pct"/>
            <w:vMerge w:val="restart"/>
            <w:tcBorders>
              <w:tl2br w:val="nil"/>
              <w:tr2bl w:val="nil"/>
            </w:tcBorders>
            <w:vAlign w:val="center"/>
          </w:tcPr>
          <w:p w14:paraId="5B125DB3">
            <w:pPr>
              <w:pStyle w:val="107"/>
              <w:rPr>
                <w:rFonts w:cs="Times New Roman"/>
                <w:b w:val="0"/>
                <w:bCs/>
                <w:sz w:val="21"/>
                <w:szCs w:val="21"/>
              </w:rPr>
            </w:pPr>
            <w:r>
              <w:rPr>
                <w:rFonts w:hint="default" w:ascii="Times New Roman" w:hAnsi="Times New Roman" w:eastAsia="仿宋_GB2312" w:cs="Times New Roman"/>
                <w:b w:val="0"/>
                <w:bCs/>
                <w:snapToGrid w:val="0"/>
                <w:color w:val="auto"/>
                <w:spacing w:val="0"/>
                <w:kern w:val="0"/>
                <w:position w:val="0"/>
                <w:sz w:val="21"/>
                <w:szCs w:val="21"/>
                <w:lang w:val="en-US" w:eastAsia="zh-CN" w:bidi="ar-SA"/>
              </w:rPr>
              <w:t>周边居民、大气环境、土壤及地下水环</w:t>
            </w:r>
            <w:r>
              <w:rPr>
                <w:rFonts w:cs="Times New Roman"/>
              </w:rPr>
              <w:t>境</w:t>
            </w:r>
          </w:p>
        </w:tc>
      </w:tr>
      <w:tr w14:paraId="6F433B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5" w:type="pct"/>
            <w:tcBorders>
              <w:tl2br w:val="nil"/>
              <w:tr2bl w:val="nil"/>
            </w:tcBorders>
            <w:vAlign w:val="center"/>
          </w:tcPr>
          <w:p w14:paraId="4C2094AE">
            <w:pPr>
              <w:pageBreakBefore w:val="0"/>
              <w:widowControl/>
              <w:kinsoku/>
              <w:wordWrap/>
              <w:bidi w:val="0"/>
              <w:adjustRightInd w:val="0"/>
              <w:snapToGrid w:val="0"/>
              <w:spacing w:beforeAutospacing="0" w:afterAutospacing="0"/>
              <w:ind w:left="0" w:leftChars="0" w:right="0"/>
              <w:jc w:val="center"/>
              <w:rPr>
                <w:rFonts w:hint="eastAsia" w:ascii="Times New Roman" w:hAnsi="Times New Roman" w:eastAsia="仿宋_GB2312" w:cs="Times New Roman"/>
                <w:b w:val="0"/>
                <w:bCs/>
                <w:snapToGrid w:val="0"/>
                <w:color w:val="auto"/>
                <w:spacing w:val="0"/>
                <w:kern w:val="0"/>
                <w:position w:val="0"/>
                <w:sz w:val="21"/>
                <w:szCs w:val="21"/>
                <w:lang w:val="en-US" w:eastAsia="zh-CN"/>
              </w:rPr>
            </w:pPr>
            <w:r>
              <w:rPr>
                <w:rFonts w:hint="eastAsia" w:ascii="Times New Roman" w:hAnsi="Times New Roman" w:eastAsia="仿宋_GB2312" w:cs="Times New Roman"/>
                <w:b w:val="0"/>
                <w:bCs/>
                <w:snapToGrid w:val="0"/>
                <w:color w:val="auto"/>
                <w:spacing w:val="0"/>
                <w:kern w:val="0"/>
                <w:position w:val="0"/>
                <w:sz w:val="21"/>
                <w:szCs w:val="21"/>
                <w:lang w:val="en-US" w:eastAsia="zh-CN"/>
              </w:rPr>
              <w:t>2</w:t>
            </w:r>
          </w:p>
        </w:tc>
        <w:tc>
          <w:tcPr>
            <w:tcW w:w="696" w:type="pct"/>
            <w:vMerge w:val="continue"/>
            <w:tcBorders>
              <w:tl2br w:val="nil"/>
              <w:tr2bl w:val="nil"/>
            </w:tcBorders>
            <w:vAlign w:val="center"/>
          </w:tcPr>
          <w:p w14:paraId="426EDBFC">
            <w:pPr>
              <w:pageBreakBefore w:val="0"/>
              <w:widowControl/>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 w:val="0"/>
                <w:bCs/>
                <w:snapToGrid w:val="0"/>
                <w:color w:val="auto"/>
                <w:spacing w:val="0"/>
                <w:kern w:val="0"/>
                <w:position w:val="0"/>
                <w:sz w:val="21"/>
                <w:szCs w:val="21"/>
              </w:rPr>
            </w:pPr>
          </w:p>
        </w:tc>
        <w:tc>
          <w:tcPr>
            <w:tcW w:w="649" w:type="pct"/>
            <w:tcBorders>
              <w:tl2br w:val="nil"/>
              <w:tr2bl w:val="nil"/>
            </w:tcBorders>
            <w:vAlign w:val="center"/>
          </w:tcPr>
          <w:p w14:paraId="0C5B35DD">
            <w:pPr>
              <w:pageBreakBefore w:val="0"/>
              <w:widowControl/>
              <w:kinsoku/>
              <w:wordWrap/>
              <w:bidi w:val="0"/>
              <w:adjustRightInd w:val="0"/>
              <w:snapToGrid w:val="0"/>
              <w:spacing w:beforeAutospacing="0" w:afterAutospacing="0"/>
              <w:ind w:left="0" w:leftChars="0" w:right="0"/>
              <w:jc w:val="center"/>
              <w:rPr>
                <w:rFonts w:hint="eastAsia" w:ascii="Times New Roman" w:hAnsi="Times New Roman" w:eastAsia="仿宋_GB2312" w:cs="Times New Roman"/>
                <w:b w:val="0"/>
                <w:bCs/>
                <w:snapToGrid w:val="0"/>
                <w:color w:val="auto"/>
                <w:spacing w:val="0"/>
                <w:kern w:val="0"/>
                <w:position w:val="0"/>
                <w:sz w:val="21"/>
                <w:szCs w:val="21"/>
                <w:lang w:val="en-US" w:eastAsia="zh-CN"/>
              </w:rPr>
            </w:pPr>
            <w:r>
              <w:rPr>
                <w:rFonts w:hint="eastAsia" w:ascii="Times New Roman" w:hAnsi="Times New Roman" w:eastAsia="仿宋_GB2312" w:cs="Times New Roman"/>
                <w:b w:val="0"/>
                <w:bCs/>
                <w:snapToGrid w:val="0"/>
                <w:color w:val="auto"/>
                <w:spacing w:val="0"/>
                <w:kern w:val="0"/>
                <w:position w:val="0"/>
                <w:sz w:val="21"/>
                <w:szCs w:val="21"/>
                <w:lang w:val="en-US" w:eastAsia="zh-CN"/>
              </w:rPr>
              <w:t>液碱</w:t>
            </w:r>
          </w:p>
        </w:tc>
        <w:tc>
          <w:tcPr>
            <w:tcW w:w="591" w:type="pct"/>
            <w:tcBorders>
              <w:tl2br w:val="nil"/>
              <w:tr2bl w:val="nil"/>
            </w:tcBorders>
            <w:vAlign w:val="center"/>
          </w:tcPr>
          <w:p w14:paraId="5538948D">
            <w:pPr>
              <w:pageBreakBefore w:val="0"/>
              <w:widowControl/>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 w:val="0"/>
                <w:bCs/>
                <w:snapToGrid w:val="0"/>
                <w:color w:val="auto"/>
                <w:spacing w:val="0"/>
                <w:kern w:val="0"/>
                <w:position w:val="0"/>
                <w:sz w:val="21"/>
                <w:szCs w:val="21"/>
              </w:rPr>
            </w:pPr>
            <w:r>
              <w:rPr>
                <w:rFonts w:hint="eastAsia" w:ascii="Times New Roman" w:hAnsi="Times New Roman" w:eastAsia="仿宋_GB2312" w:cs="Times New Roman"/>
                <w:b w:val="0"/>
                <w:bCs/>
                <w:snapToGrid w:val="0"/>
                <w:color w:val="auto"/>
                <w:spacing w:val="0"/>
                <w:kern w:val="0"/>
                <w:position w:val="0"/>
                <w:sz w:val="21"/>
                <w:szCs w:val="21"/>
                <w:lang w:val="en-US" w:eastAsia="zh-CN"/>
              </w:rPr>
              <w:t>30%液碱</w:t>
            </w:r>
          </w:p>
        </w:tc>
        <w:tc>
          <w:tcPr>
            <w:tcW w:w="954" w:type="pct"/>
            <w:vMerge w:val="continue"/>
            <w:tcBorders>
              <w:tl2br w:val="nil"/>
              <w:tr2bl w:val="nil"/>
            </w:tcBorders>
            <w:vAlign w:val="center"/>
          </w:tcPr>
          <w:p w14:paraId="0D5D9702">
            <w:pPr>
              <w:pageBreakBefore w:val="0"/>
              <w:widowControl/>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 w:val="0"/>
                <w:bCs/>
                <w:snapToGrid w:val="0"/>
                <w:color w:val="auto"/>
                <w:spacing w:val="0"/>
                <w:kern w:val="0"/>
                <w:position w:val="0"/>
                <w:sz w:val="21"/>
                <w:szCs w:val="21"/>
              </w:rPr>
            </w:pPr>
          </w:p>
        </w:tc>
        <w:tc>
          <w:tcPr>
            <w:tcW w:w="1211" w:type="pct"/>
            <w:vMerge w:val="continue"/>
            <w:tcBorders>
              <w:tl2br w:val="nil"/>
              <w:tr2bl w:val="nil"/>
            </w:tcBorders>
            <w:vAlign w:val="center"/>
          </w:tcPr>
          <w:p w14:paraId="6FF36522">
            <w:pPr>
              <w:pageBreakBefore w:val="0"/>
              <w:widowControl/>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 w:val="0"/>
                <w:bCs/>
                <w:snapToGrid w:val="0"/>
                <w:color w:val="auto"/>
                <w:spacing w:val="0"/>
                <w:kern w:val="0"/>
                <w:position w:val="0"/>
                <w:sz w:val="21"/>
                <w:szCs w:val="21"/>
              </w:rPr>
            </w:pPr>
          </w:p>
        </w:tc>
        <w:tc>
          <w:tcPr>
            <w:tcW w:w="571" w:type="pct"/>
            <w:vMerge w:val="continue"/>
            <w:tcBorders>
              <w:tl2br w:val="nil"/>
              <w:tr2bl w:val="nil"/>
            </w:tcBorders>
            <w:vAlign w:val="center"/>
          </w:tcPr>
          <w:p w14:paraId="2C55A495">
            <w:pPr>
              <w:pStyle w:val="107"/>
              <w:rPr>
                <w:rFonts w:cs="Times New Roman"/>
                <w:b w:val="0"/>
                <w:bCs/>
                <w:sz w:val="21"/>
                <w:szCs w:val="21"/>
              </w:rPr>
            </w:pPr>
          </w:p>
        </w:tc>
      </w:tr>
      <w:tr w14:paraId="1005B5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5" w:type="pct"/>
            <w:tcBorders>
              <w:tl2br w:val="nil"/>
              <w:tr2bl w:val="nil"/>
            </w:tcBorders>
            <w:vAlign w:val="center"/>
          </w:tcPr>
          <w:p w14:paraId="6960DB7F">
            <w:pPr>
              <w:pageBreakBefore w:val="0"/>
              <w:widowControl/>
              <w:kinsoku/>
              <w:wordWrap/>
              <w:bidi w:val="0"/>
              <w:adjustRightInd w:val="0"/>
              <w:snapToGrid w:val="0"/>
              <w:spacing w:beforeAutospacing="0" w:afterAutospacing="0"/>
              <w:ind w:left="0" w:leftChars="0" w:right="0"/>
              <w:jc w:val="center"/>
              <w:rPr>
                <w:rFonts w:hint="eastAsia" w:ascii="Times New Roman" w:hAnsi="Times New Roman" w:eastAsia="仿宋_GB2312" w:cs="Times New Roman"/>
                <w:b w:val="0"/>
                <w:bCs/>
                <w:snapToGrid w:val="0"/>
                <w:color w:val="auto"/>
                <w:spacing w:val="0"/>
                <w:kern w:val="0"/>
                <w:position w:val="0"/>
                <w:sz w:val="21"/>
                <w:szCs w:val="21"/>
                <w:lang w:eastAsia="zh-CN"/>
              </w:rPr>
            </w:pPr>
            <w:r>
              <w:rPr>
                <w:rFonts w:hint="eastAsia" w:ascii="Times New Roman" w:hAnsi="Times New Roman" w:eastAsia="仿宋_GB2312" w:cs="Times New Roman"/>
                <w:b w:val="0"/>
                <w:bCs/>
                <w:snapToGrid w:val="0"/>
                <w:color w:val="auto"/>
                <w:spacing w:val="0"/>
                <w:kern w:val="0"/>
                <w:position w:val="0"/>
                <w:sz w:val="21"/>
                <w:szCs w:val="21"/>
                <w:lang w:val="en-US" w:eastAsia="zh-CN"/>
              </w:rPr>
              <w:t>3</w:t>
            </w:r>
          </w:p>
        </w:tc>
        <w:tc>
          <w:tcPr>
            <w:tcW w:w="696" w:type="pct"/>
            <w:vMerge w:val="continue"/>
            <w:tcBorders>
              <w:tl2br w:val="nil"/>
              <w:tr2bl w:val="nil"/>
            </w:tcBorders>
            <w:vAlign w:val="center"/>
          </w:tcPr>
          <w:p w14:paraId="49ED3730">
            <w:pPr>
              <w:pageBreakBefore w:val="0"/>
              <w:widowControl/>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 w:val="0"/>
                <w:bCs/>
                <w:snapToGrid w:val="0"/>
                <w:color w:val="auto"/>
                <w:spacing w:val="0"/>
                <w:kern w:val="0"/>
                <w:position w:val="0"/>
                <w:sz w:val="21"/>
                <w:szCs w:val="21"/>
              </w:rPr>
            </w:pPr>
          </w:p>
        </w:tc>
        <w:tc>
          <w:tcPr>
            <w:tcW w:w="649" w:type="pct"/>
            <w:tcBorders>
              <w:tl2br w:val="nil"/>
              <w:tr2bl w:val="nil"/>
            </w:tcBorders>
            <w:vAlign w:val="center"/>
          </w:tcPr>
          <w:p w14:paraId="3B6CEE9C">
            <w:pPr>
              <w:pageBreakBefore w:val="0"/>
              <w:widowControl/>
              <w:kinsoku/>
              <w:wordWrap/>
              <w:bidi w:val="0"/>
              <w:adjustRightInd w:val="0"/>
              <w:snapToGrid w:val="0"/>
              <w:spacing w:beforeAutospacing="0" w:afterAutospacing="0"/>
              <w:ind w:left="0" w:leftChars="0" w:right="0"/>
              <w:jc w:val="center"/>
              <w:rPr>
                <w:rFonts w:hint="eastAsia" w:ascii="Times New Roman" w:hAnsi="Times New Roman" w:eastAsia="仿宋_GB2312" w:cs="Times New Roman"/>
                <w:b w:val="0"/>
                <w:bCs/>
                <w:snapToGrid w:val="0"/>
                <w:color w:val="auto"/>
                <w:spacing w:val="0"/>
                <w:kern w:val="0"/>
                <w:position w:val="0"/>
                <w:sz w:val="21"/>
                <w:szCs w:val="21"/>
                <w:lang w:eastAsia="zh-CN"/>
              </w:rPr>
            </w:pPr>
            <w:r>
              <w:rPr>
                <w:rFonts w:hint="eastAsia" w:ascii="Times New Roman" w:hAnsi="Times New Roman" w:eastAsia="仿宋_GB2312" w:cs="Times New Roman"/>
                <w:b w:val="0"/>
                <w:bCs/>
                <w:snapToGrid w:val="0"/>
                <w:color w:val="auto"/>
                <w:spacing w:val="0"/>
                <w:kern w:val="0"/>
                <w:position w:val="0"/>
                <w:sz w:val="21"/>
                <w:szCs w:val="21"/>
                <w:lang w:val="en-US" w:eastAsia="zh-CN"/>
              </w:rPr>
              <w:t>次氯酸钠</w:t>
            </w:r>
          </w:p>
        </w:tc>
        <w:tc>
          <w:tcPr>
            <w:tcW w:w="591" w:type="pct"/>
            <w:tcBorders>
              <w:tl2br w:val="nil"/>
              <w:tr2bl w:val="nil"/>
            </w:tcBorders>
            <w:vAlign w:val="center"/>
          </w:tcPr>
          <w:p w14:paraId="5851F829">
            <w:pPr>
              <w:pageBreakBefore w:val="0"/>
              <w:widowControl/>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 w:val="0"/>
                <w:bCs/>
                <w:snapToGrid w:val="0"/>
                <w:color w:val="auto"/>
                <w:spacing w:val="0"/>
                <w:kern w:val="0"/>
                <w:position w:val="0"/>
                <w:sz w:val="21"/>
                <w:szCs w:val="21"/>
              </w:rPr>
            </w:pPr>
            <w:r>
              <w:rPr>
                <w:rFonts w:hint="eastAsia" w:ascii="Times New Roman" w:hAnsi="Times New Roman" w:eastAsia="仿宋_GB2312" w:cs="Times New Roman"/>
                <w:b w:val="0"/>
                <w:bCs/>
                <w:snapToGrid w:val="0"/>
                <w:color w:val="auto"/>
                <w:spacing w:val="0"/>
                <w:kern w:val="0"/>
                <w:position w:val="0"/>
                <w:sz w:val="21"/>
                <w:szCs w:val="21"/>
                <w:lang w:val="en-US" w:eastAsia="zh-CN"/>
              </w:rPr>
              <w:t>1</w:t>
            </w:r>
            <w:r>
              <w:rPr>
                <w:rFonts w:hint="default" w:ascii="Times New Roman" w:hAnsi="Times New Roman" w:eastAsia="仿宋_GB2312" w:cs="Times New Roman"/>
                <w:b w:val="0"/>
                <w:bCs/>
                <w:snapToGrid w:val="0"/>
                <w:color w:val="auto"/>
                <w:spacing w:val="0"/>
                <w:kern w:val="0"/>
                <w:position w:val="0"/>
                <w:sz w:val="21"/>
                <w:szCs w:val="21"/>
              </w:rPr>
              <w:t>0%</w:t>
            </w:r>
            <w:r>
              <w:rPr>
                <w:rFonts w:hint="eastAsia" w:ascii="Times New Roman" w:hAnsi="Times New Roman" w:eastAsia="仿宋_GB2312" w:cs="Times New Roman"/>
                <w:b w:val="0"/>
                <w:bCs/>
                <w:snapToGrid w:val="0"/>
                <w:color w:val="auto"/>
                <w:spacing w:val="0"/>
                <w:kern w:val="0"/>
                <w:position w:val="0"/>
                <w:sz w:val="21"/>
                <w:szCs w:val="21"/>
                <w:lang w:val="en-US" w:eastAsia="zh-CN"/>
              </w:rPr>
              <w:t>次氯酸钠</w:t>
            </w:r>
          </w:p>
        </w:tc>
        <w:tc>
          <w:tcPr>
            <w:tcW w:w="954" w:type="pct"/>
            <w:vMerge w:val="continue"/>
            <w:tcBorders>
              <w:tl2br w:val="nil"/>
              <w:tr2bl w:val="nil"/>
            </w:tcBorders>
            <w:vAlign w:val="center"/>
          </w:tcPr>
          <w:p w14:paraId="1A37C1CB">
            <w:pPr>
              <w:pageBreakBefore w:val="0"/>
              <w:widowControl/>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 w:val="0"/>
                <w:bCs/>
                <w:snapToGrid w:val="0"/>
                <w:color w:val="auto"/>
                <w:spacing w:val="0"/>
                <w:kern w:val="0"/>
                <w:position w:val="0"/>
                <w:sz w:val="21"/>
                <w:szCs w:val="21"/>
              </w:rPr>
            </w:pPr>
          </w:p>
        </w:tc>
        <w:tc>
          <w:tcPr>
            <w:tcW w:w="1211" w:type="pct"/>
            <w:vMerge w:val="continue"/>
            <w:tcBorders>
              <w:tl2br w:val="nil"/>
              <w:tr2bl w:val="nil"/>
            </w:tcBorders>
            <w:vAlign w:val="center"/>
          </w:tcPr>
          <w:p w14:paraId="284B2259">
            <w:pPr>
              <w:pageBreakBefore w:val="0"/>
              <w:widowControl/>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 w:val="0"/>
                <w:bCs/>
                <w:snapToGrid w:val="0"/>
                <w:color w:val="auto"/>
                <w:spacing w:val="0"/>
                <w:kern w:val="0"/>
                <w:position w:val="0"/>
                <w:sz w:val="21"/>
                <w:szCs w:val="21"/>
              </w:rPr>
            </w:pPr>
          </w:p>
        </w:tc>
        <w:tc>
          <w:tcPr>
            <w:tcW w:w="571" w:type="pct"/>
            <w:vMerge w:val="continue"/>
            <w:tcBorders>
              <w:tl2br w:val="nil"/>
              <w:tr2bl w:val="nil"/>
            </w:tcBorders>
            <w:vAlign w:val="center"/>
          </w:tcPr>
          <w:p w14:paraId="4D7E7816">
            <w:pPr>
              <w:pStyle w:val="107"/>
              <w:rPr>
                <w:rFonts w:cs="Times New Roman"/>
                <w:b w:val="0"/>
                <w:bCs/>
                <w:sz w:val="21"/>
                <w:szCs w:val="21"/>
              </w:rPr>
            </w:pPr>
          </w:p>
        </w:tc>
      </w:tr>
      <w:tr w14:paraId="58CAFE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5" w:type="pct"/>
            <w:vMerge w:val="restart"/>
            <w:tcBorders>
              <w:tl2br w:val="nil"/>
              <w:tr2bl w:val="nil"/>
            </w:tcBorders>
            <w:vAlign w:val="center"/>
          </w:tcPr>
          <w:p w14:paraId="55F02502">
            <w:pPr>
              <w:pageBreakBefore w:val="0"/>
              <w:widowControl/>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 w:val="0"/>
                <w:bCs/>
                <w:snapToGrid w:val="0"/>
                <w:color w:val="auto"/>
                <w:spacing w:val="0"/>
                <w:kern w:val="0"/>
                <w:position w:val="0"/>
                <w:sz w:val="21"/>
                <w:szCs w:val="21"/>
              </w:rPr>
            </w:pPr>
            <w:r>
              <w:rPr>
                <w:rFonts w:hint="default" w:ascii="Times New Roman" w:hAnsi="Times New Roman" w:eastAsia="仿宋_GB2312" w:cs="Times New Roman"/>
                <w:b w:val="0"/>
                <w:bCs/>
                <w:snapToGrid w:val="0"/>
                <w:color w:val="auto"/>
                <w:spacing w:val="0"/>
                <w:kern w:val="0"/>
                <w:position w:val="0"/>
                <w:sz w:val="21"/>
                <w:szCs w:val="21"/>
              </w:rPr>
              <w:t>4</w:t>
            </w:r>
          </w:p>
        </w:tc>
        <w:tc>
          <w:tcPr>
            <w:tcW w:w="696" w:type="pct"/>
            <w:vMerge w:val="restart"/>
            <w:tcBorders>
              <w:tl2br w:val="nil"/>
              <w:tr2bl w:val="nil"/>
            </w:tcBorders>
            <w:vAlign w:val="center"/>
          </w:tcPr>
          <w:p w14:paraId="0372E485">
            <w:pPr>
              <w:pageBreakBefore w:val="0"/>
              <w:widowControl/>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 w:val="0"/>
                <w:bCs/>
                <w:snapToGrid w:val="0"/>
                <w:color w:val="auto"/>
                <w:spacing w:val="0"/>
                <w:kern w:val="0"/>
                <w:position w:val="0"/>
                <w:sz w:val="21"/>
                <w:szCs w:val="21"/>
              </w:rPr>
            </w:pPr>
            <w:r>
              <w:rPr>
                <w:rFonts w:hint="default" w:ascii="Times New Roman" w:hAnsi="Times New Roman" w:eastAsia="仿宋_GB2312" w:cs="Times New Roman"/>
                <w:b w:val="0"/>
                <w:bCs/>
                <w:snapToGrid w:val="0"/>
                <w:color w:val="auto"/>
                <w:spacing w:val="0"/>
                <w:kern w:val="0"/>
                <w:position w:val="0"/>
                <w:sz w:val="21"/>
                <w:szCs w:val="21"/>
              </w:rPr>
              <w:t>危废暂存间</w:t>
            </w:r>
          </w:p>
        </w:tc>
        <w:tc>
          <w:tcPr>
            <w:tcW w:w="649" w:type="pct"/>
            <w:vMerge w:val="restart"/>
            <w:tcBorders>
              <w:tl2br w:val="nil"/>
              <w:tr2bl w:val="nil"/>
            </w:tcBorders>
            <w:vAlign w:val="center"/>
          </w:tcPr>
          <w:p w14:paraId="05C2884E">
            <w:pPr>
              <w:pageBreakBefore w:val="0"/>
              <w:widowControl/>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 w:val="0"/>
                <w:bCs/>
                <w:snapToGrid w:val="0"/>
                <w:color w:val="auto"/>
                <w:spacing w:val="0"/>
                <w:kern w:val="0"/>
                <w:position w:val="0"/>
                <w:sz w:val="21"/>
                <w:szCs w:val="21"/>
              </w:rPr>
            </w:pPr>
            <w:r>
              <w:rPr>
                <w:rFonts w:hint="eastAsia" w:ascii="Times New Roman" w:hAnsi="Times New Roman" w:eastAsia="仿宋_GB2312" w:cs="Times New Roman"/>
                <w:b w:val="0"/>
                <w:bCs/>
                <w:snapToGrid w:val="0"/>
                <w:color w:val="auto"/>
                <w:spacing w:val="0"/>
                <w:kern w:val="0"/>
                <w:position w:val="0"/>
                <w:sz w:val="21"/>
                <w:szCs w:val="21"/>
                <w:lang w:val="en-US" w:eastAsia="zh-CN"/>
              </w:rPr>
              <w:t>废机油、废机桶、废漆桶、废漆刷、实验室废</w:t>
            </w:r>
          </w:p>
        </w:tc>
        <w:tc>
          <w:tcPr>
            <w:tcW w:w="591" w:type="pct"/>
            <w:vMerge w:val="restart"/>
            <w:tcBorders>
              <w:tl2br w:val="nil"/>
              <w:tr2bl w:val="nil"/>
            </w:tcBorders>
            <w:vAlign w:val="center"/>
          </w:tcPr>
          <w:p w14:paraId="35DFA04A">
            <w:pPr>
              <w:pageBreakBefore w:val="0"/>
              <w:widowControl/>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 w:val="0"/>
                <w:bCs/>
                <w:snapToGrid w:val="0"/>
                <w:color w:val="auto"/>
                <w:spacing w:val="0"/>
                <w:kern w:val="0"/>
                <w:position w:val="0"/>
                <w:sz w:val="21"/>
                <w:szCs w:val="21"/>
              </w:rPr>
            </w:pPr>
            <w:r>
              <w:rPr>
                <w:rFonts w:hint="default" w:ascii="Times New Roman" w:hAnsi="Times New Roman" w:eastAsia="仿宋_GB2312" w:cs="Times New Roman"/>
                <w:b w:val="0"/>
                <w:bCs/>
                <w:snapToGrid w:val="0"/>
                <w:color w:val="auto"/>
                <w:spacing w:val="0"/>
                <w:kern w:val="0"/>
                <w:position w:val="0"/>
                <w:sz w:val="21"/>
                <w:szCs w:val="21"/>
              </w:rPr>
              <w:t>各类危险废物</w:t>
            </w:r>
          </w:p>
        </w:tc>
        <w:tc>
          <w:tcPr>
            <w:tcW w:w="954" w:type="pct"/>
            <w:tcBorders>
              <w:tl2br w:val="nil"/>
              <w:tr2bl w:val="nil"/>
            </w:tcBorders>
            <w:vAlign w:val="center"/>
          </w:tcPr>
          <w:p w14:paraId="369EF65D">
            <w:pPr>
              <w:pageBreakBefore w:val="0"/>
              <w:widowControl/>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 w:val="0"/>
                <w:bCs/>
                <w:snapToGrid w:val="0"/>
                <w:color w:val="auto"/>
                <w:spacing w:val="0"/>
                <w:kern w:val="0"/>
                <w:position w:val="0"/>
                <w:sz w:val="21"/>
                <w:szCs w:val="21"/>
              </w:rPr>
            </w:pPr>
            <w:r>
              <w:rPr>
                <w:rFonts w:hint="default" w:ascii="Times New Roman" w:hAnsi="Times New Roman" w:eastAsia="仿宋_GB2312" w:cs="Times New Roman"/>
                <w:b w:val="0"/>
                <w:bCs/>
                <w:snapToGrid w:val="0"/>
                <w:color w:val="auto"/>
                <w:spacing w:val="0"/>
                <w:kern w:val="0"/>
                <w:position w:val="0"/>
                <w:sz w:val="21"/>
                <w:szCs w:val="21"/>
              </w:rPr>
              <w:t>泄漏事故</w:t>
            </w:r>
          </w:p>
        </w:tc>
        <w:tc>
          <w:tcPr>
            <w:tcW w:w="1211" w:type="pct"/>
            <w:tcBorders>
              <w:tl2br w:val="nil"/>
              <w:tr2bl w:val="nil"/>
            </w:tcBorders>
            <w:vAlign w:val="center"/>
          </w:tcPr>
          <w:p w14:paraId="58EED156">
            <w:pPr>
              <w:pageBreakBefore w:val="0"/>
              <w:widowControl/>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 w:val="0"/>
                <w:bCs/>
                <w:snapToGrid w:val="0"/>
                <w:color w:val="auto"/>
                <w:spacing w:val="0"/>
                <w:kern w:val="0"/>
                <w:position w:val="0"/>
                <w:sz w:val="21"/>
                <w:szCs w:val="21"/>
              </w:rPr>
            </w:pPr>
            <w:r>
              <w:rPr>
                <w:rFonts w:hint="default" w:ascii="Times New Roman" w:hAnsi="Times New Roman" w:eastAsia="仿宋_GB2312" w:cs="Times New Roman"/>
                <w:b w:val="0"/>
                <w:bCs/>
                <w:snapToGrid w:val="0"/>
                <w:color w:val="auto"/>
                <w:spacing w:val="0"/>
                <w:kern w:val="0"/>
                <w:position w:val="0"/>
                <w:sz w:val="21"/>
                <w:szCs w:val="21"/>
              </w:rPr>
              <w:t>扩散、漫流、渗透、吸收</w:t>
            </w:r>
          </w:p>
        </w:tc>
        <w:tc>
          <w:tcPr>
            <w:tcW w:w="571" w:type="pct"/>
            <w:vMerge w:val="continue"/>
            <w:tcBorders>
              <w:tl2br w:val="nil"/>
              <w:tr2bl w:val="nil"/>
            </w:tcBorders>
            <w:vAlign w:val="center"/>
          </w:tcPr>
          <w:p w14:paraId="07F7BF81">
            <w:pPr>
              <w:pStyle w:val="107"/>
              <w:rPr>
                <w:rFonts w:cs="Times New Roman"/>
                <w:b w:val="0"/>
                <w:bCs/>
                <w:sz w:val="21"/>
                <w:szCs w:val="21"/>
              </w:rPr>
            </w:pPr>
          </w:p>
        </w:tc>
      </w:tr>
      <w:tr w14:paraId="33233B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5" w:type="pct"/>
            <w:vMerge w:val="continue"/>
            <w:tcBorders>
              <w:tl2br w:val="nil"/>
              <w:tr2bl w:val="nil"/>
            </w:tcBorders>
            <w:vAlign w:val="center"/>
          </w:tcPr>
          <w:p w14:paraId="73A1440A">
            <w:pPr>
              <w:pageBreakBefore w:val="0"/>
              <w:widowControl/>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 w:val="0"/>
                <w:bCs/>
                <w:snapToGrid w:val="0"/>
                <w:color w:val="auto"/>
                <w:spacing w:val="0"/>
                <w:kern w:val="0"/>
                <w:position w:val="0"/>
                <w:sz w:val="21"/>
                <w:szCs w:val="21"/>
              </w:rPr>
            </w:pPr>
          </w:p>
        </w:tc>
        <w:tc>
          <w:tcPr>
            <w:tcW w:w="696" w:type="pct"/>
            <w:vMerge w:val="continue"/>
            <w:tcBorders>
              <w:tl2br w:val="nil"/>
              <w:tr2bl w:val="nil"/>
            </w:tcBorders>
            <w:vAlign w:val="center"/>
          </w:tcPr>
          <w:p w14:paraId="05DEAC49">
            <w:pPr>
              <w:pageBreakBefore w:val="0"/>
              <w:widowControl/>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 w:val="0"/>
                <w:bCs/>
                <w:snapToGrid w:val="0"/>
                <w:color w:val="auto"/>
                <w:spacing w:val="0"/>
                <w:kern w:val="0"/>
                <w:position w:val="0"/>
                <w:sz w:val="21"/>
                <w:szCs w:val="21"/>
              </w:rPr>
            </w:pPr>
          </w:p>
        </w:tc>
        <w:tc>
          <w:tcPr>
            <w:tcW w:w="649" w:type="pct"/>
            <w:vMerge w:val="continue"/>
            <w:tcBorders>
              <w:tl2br w:val="nil"/>
              <w:tr2bl w:val="nil"/>
            </w:tcBorders>
            <w:vAlign w:val="center"/>
          </w:tcPr>
          <w:p w14:paraId="471E20A3">
            <w:pPr>
              <w:pageBreakBefore w:val="0"/>
              <w:widowControl/>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 w:val="0"/>
                <w:bCs/>
                <w:snapToGrid w:val="0"/>
                <w:color w:val="auto"/>
                <w:spacing w:val="0"/>
                <w:kern w:val="0"/>
                <w:position w:val="0"/>
                <w:sz w:val="21"/>
                <w:szCs w:val="21"/>
              </w:rPr>
            </w:pPr>
          </w:p>
        </w:tc>
        <w:tc>
          <w:tcPr>
            <w:tcW w:w="591" w:type="pct"/>
            <w:vMerge w:val="continue"/>
            <w:tcBorders>
              <w:tl2br w:val="nil"/>
              <w:tr2bl w:val="nil"/>
            </w:tcBorders>
            <w:vAlign w:val="center"/>
          </w:tcPr>
          <w:p w14:paraId="57687129">
            <w:pPr>
              <w:pageBreakBefore w:val="0"/>
              <w:widowControl/>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 w:val="0"/>
                <w:bCs/>
                <w:snapToGrid w:val="0"/>
                <w:color w:val="auto"/>
                <w:spacing w:val="0"/>
                <w:kern w:val="0"/>
                <w:position w:val="0"/>
                <w:sz w:val="21"/>
                <w:szCs w:val="21"/>
              </w:rPr>
            </w:pPr>
          </w:p>
        </w:tc>
        <w:tc>
          <w:tcPr>
            <w:tcW w:w="954" w:type="pct"/>
            <w:tcBorders>
              <w:tl2br w:val="nil"/>
              <w:tr2bl w:val="nil"/>
            </w:tcBorders>
            <w:vAlign w:val="center"/>
          </w:tcPr>
          <w:p w14:paraId="3E61B1C6">
            <w:pPr>
              <w:pageBreakBefore w:val="0"/>
              <w:widowControl/>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 w:val="0"/>
                <w:bCs/>
                <w:snapToGrid w:val="0"/>
                <w:color w:val="auto"/>
                <w:spacing w:val="0"/>
                <w:kern w:val="0"/>
                <w:position w:val="0"/>
                <w:sz w:val="21"/>
                <w:szCs w:val="21"/>
              </w:rPr>
            </w:pPr>
            <w:r>
              <w:rPr>
                <w:rFonts w:hint="default" w:ascii="Times New Roman" w:hAnsi="Times New Roman" w:eastAsia="仿宋_GB2312" w:cs="Times New Roman"/>
                <w:b w:val="0"/>
                <w:bCs/>
                <w:snapToGrid w:val="0"/>
                <w:color w:val="auto"/>
                <w:spacing w:val="0"/>
                <w:kern w:val="0"/>
                <w:position w:val="0"/>
                <w:sz w:val="21"/>
                <w:szCs w:val="21"/>
              </w:rPr>
              <w:t>火灾、爆炸引发次伴生事故</w:t>
            </w:r>
          </w:p>
        </w:tc>
        <w:tc>
          <w:tcPr>
            <w:tcW w:w="1211" w:type="pct"/>
            <w:tcBorders>
              <w:tl2br w:val="nil"/>
              <w:tr2bl w:val="nil"/>
            </w:tcBorders>
            <w:vAlign w:val="center"/>
          </w:tcPr>
          <w:p w14:paraId="0B8B6D64">
            <w:pPr>
              <w:pageBreakBefore w:val="0"/>
              <w:widowControl/>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 w:val="0"/>
                <w:bCs/>
                <w:snapToGrid w:val="0"/>
                <w:color w:val="auto"/>
                <w:spacing w:val="0"/>
                <w:kern w:val="0"/>
                <w:position w:val="0"/>
                <w:sz w:val="21"/>
                <w:szCs w:val="21"/>
              </w:rPr>
            </w:pPr>
            <w:r>
              <w:rPr>
                <w:rFonts w:hint="default" w:ascii="Times New Roman" w:hAnsi="Times New Roman" w:eastAsia="仿宋_GB2312" w:cs="Times New Roman"/>
                <w:b w:val="0"/>
                <w:bCs/>
                <w:snapToGrid w:val="0"/>
                <w:color w:val="auto"/>
                <w:spacing w:val="0"/>
                <w:kern w:val="0"/>
                <w:position w:val="0"/>
                <w:sz w:val="21"/>
                <w:szCs w:val="21"/>
              </w:rPr>
              <w:t>扩散，消防废水漫流、渗透、吸收</w:t>
            </w:r>
          </w:p>
        </w:tc>
        <w:tc>
          <w:tcPr>
            <w:tcW w:w="571" w:type="pct"/>
            <w:vMerge w:val="continue"/>
            <w:tcBorders>
              <w:tl2br w:val="nil"/>
              <w:tr2bl w:val="nil"/>
            </w:tcBorders>
            <w:vAlign w:val="center"/>
          </w:tcPr>
          <w:p w14:paraId="45292B70">
            <w:pPr>
              <w:pStyle w:val="107"/>
              <w:rPr>
                <w:rFonts w:cs="Times New Roman"/>
                <w:sz w:val="21"/>
                <w:szCs w:val="21"/>
              </w:rPr>
            </w:pPr>
          </w:p>
        </w:tc>
      </w:tr>
      <w:tr w14:paraId="275BC5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5" w:type="pct"/>
            <w:vMerge w:val="restart"/>
            <w:tcBorders>
              <w:tl2br w:val="nil"/>
              <w:tr2bl w:val="nil"/>
            </w:tcBorders>
            <w:vAlign w:val="center"/>
          </w:tcPr>
          <w:p w14:paraId="5782F966">
            <w:pPr>
              <w:pageBreakBefore w:val="0"/>
              <w:widowControl/>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 w:val="0"/>
                <w:bCs/>
                <w:snapToGrid w:val="0"/>
                <w:color w:val="auto"/>
                <w:spacing w:val="0"/>
                <w:kern w:val="0"/>
                <w:position w:val="0"/>
                <w:sz w:val="21"/>
                <w:szCs w:val="21"/>
              </w:rPr>
            </w:pPr>
            <w:r>
              <w:rPr>
                <w:rFonts w:hint="default" w:ascii="Times New Roman" w:hAnsi="Times New Roman" w:eastAsia="仿宋_GB2312" w:cs="Times New Roman"/>
                <w:b w:val="0"/>
                <w:bCs/>
                <w:snapToGrid w:val="0"/>
                <w:color w:val="auto"/>
                <w:spacing w:val="0"/>
                <w:kern w:val="0"/>
                <w:position w:val="0"/>
                <w:sz w:val="21"/>
                <w:szCs w:val="21"/>
              </w:rPr>
              <w:t>5</w:t>
            </w:r>
          </w:p>
        </w:tc>
        <w:tc>
          <w:tcPr>
            <w:tcW w:w="696" w:type="pct"/>
            <w:vMerge w:val="restart"/>
            <w:tcBorders>
              <w:tl2br w:val="nil"/>
              <w:tr2bl w:val="nil"/>
            </w:tcBorders>
            <w:vAlign w:val="center"/>
          </w:tcPr>
          <w:p w14:paraId="74ADBBD5">
            <w:pPr>
              <w:pageBreakBefore w:val="0"/>
              <w:widowControl/>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 w:val="0"/>
                <w:bCs/>
                <w:snapToGrid w:val="0"/>
                <w:color w:val="auto"/>
                <w:spacing w:val="0"/>
                <w:kern w:val="0"/>
                <w:position w:val="0"/>
                <w:sz w:val="21"/>
                <w:szCs w:val="21"/>
              </w:rPr>
            </w:pPr>
            <w:r>
              <w:rPr>
                <w:rFonts w:hint="default" w:ascii="Times New Roman" w:hAnsi="Times New Roman" w:eastAsia="仿宋_GB2312" w:cs="Times New Roman"/>
                <w:b w:val="0"/>
                <w:bCs/>
                <w:snapToGrid w:val="0"/>
                <w:color w:val="auto"/>
                <w:spacing w:val="0"/>
                <w:kern w:val="0"/>
                <w:position w:val="0"/>
                <w:sz w:val="21"/>
                <w:szCs w:val="21"/>
              </w:rPr>
              <w:t>废气收集与处理系统</w:t>
            </w:r>
          </w:p>
        </w:tc>
        <w:tc>
          <w:tcPr>
            <w:tcW w:w="649" w:type="pct"/>
            <w:vMerge w:val="restart"/>
            <w:tcBorders>
              <w:tl2br w:val="nil"/>
              <w:tr2bl w:val="nil"/>
            </w:tcBorders>
            <w:vAlign w:val="center"/>
          </w:tcPr>
          <w:p w14:paraId="32FA6C73">
            <w:pPr>
              <w:pageBreakBefore w:val="0"/>
              <w:widowControl/>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 w:val="0"/>
                <w:bCs/>
                <w:snapToGrid w:val="0"/>
                <w:color w:val="auto"/>
                <w:spacing w:val="0"/>
                <w:kern w:val="0"/>
                <w:position w:val="0"/>
                <w:sz w:val="21"/>
                <w:szCs w:val="21"/>
              </w:rPr>
            </w:pPr>
            <w:r>
              <w:rPr>
                <w:rFonts w:hint="default" w:ascii="Times New Roman" w:hAnsi="Times New Roman" w:eastAsia="仿宋_GB2312" w:cs="Times New Roman"/>
                <w:b w:val="0"/>
                <w:bCs/>
                <w:snapToGrid w:val="0"/>
                <w:color w:val="auto"/>
                <w:spacing w:val="0"/>
                <w:kern w:val="0"/>
                <w:position w:val="0"/>
                <w:sz w:val="21"/>
                <w:szCs w:val="21"/>
              </w:rPr>
              <w:t>废气处理装置及管道</w:t>
            </w:r>
          </w:p>
        </w:tc>
        <w:tc>
          <w:tcPr>
            <w:tcW w:w="591" w:type="pct"/>
            <w:vMerge w:val="restart"/>
            <w:tcBorders>
              <w:tl2br w:val="nil"/>
              <w:tr2bl w:val="nil"/>
            </w:tcBorders>
            <w:vAlign w:val="center"/>
          </w:tcPr>
          <w:p w14:paraId="11484DC0">
            <w:pPr>
              <w:pageBreakBefore w:val="0"/>
              <w:widowControl/>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 w:val="0"/>
                <w:bCs/>
                <w:snapToGrid w:val="0"/>
                <w:color w:val="auto"/>
                <w:spacing w:val="0"/>
                <w:kern w:val="0"/>
                <w:position w:val="0"/>
                <w:sz w:val="21"/>
                <w:szCs w:val="21"/>
              </w:rPr>
            </w:pPr>
            <w:r>
              <w:rPr>
                <w:rFonts w:hint="default" w:ascii="Times New Roman" w:hAnsi="Times New Roman" w:eastAsia="仿宋_GB2312" w:cs="Times New Roman"/>
                <w:color w:val="auto"/>
                <w:spacing w:val="0"/>
                <w:kern w:val="0"/>
                <w:position w:val="0"/>
                <w:lang w:val="en-US" w:eastAsia="zh-CN"/>
              </w:rPr>
              <w:t>颗粒物、氯化氢</w:t>
            </w:r>
          </w:p>
        </w:tc>
        <w:tc>
          <w:tcPr>
            <w:tcW w:w="954" w:type="pct"/>
            <w:tcBorders>
              <w:tl2br w:val="nil"/>
              <w:tr2bl w:val="nil"/>
            </w:tcBorders>
            <w:vAlign w:val="center"/>
          </w:tcPr>
          <w:p w14:paraId="7DED7DBB">
            <w:pPr>
              <w:pageBreakBefore w:val="0"/>
              <w:widowControl/>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 w:val="0"/>
                <w:bCs/>
                <w:snapToGrid w:val="0"/>
                <w:color w:val="auto"/>
                <w:spacing w:val="0"/>
                <w:kern w:val="0"/>
                <w:position w:val="0"/>
                <w:sz w:val="21"/>
                <w:szCs w:val="21"/>
              </w:rPr>
            </w:pPr>
            <w:r>
              <w:rPr>
                <w:rFonts w:hint="default" w:ascii="Times New Roman" w:hAnsi="Times New Roman" w:eastAsia="仿宋_GB2312" w:cs="Times New Roman"/>
                <w:b w:val="0"/>
                <w:bCs/>
                <w:snapToGrid w:val="0"/>
                <w:color w:val="auto"/>
                <w:spacing w:val="0"/>
                <w:kern w:val="0"/>
                <w:position w:val="0"/>
                <w:sz w:val="21"/>
                <w:szCs w:val="21"/>
              </w:rPr>
              <w:t>火灾、爆炸引发次伴生事故</w:t>
            </w:r>
          </w:p>
        </w:tc>
        <w:tc>
          <w:tcPr>
            <w:tcW w:w="1211" w:type="pct"/>
            <w:tcBorders>
              <w:tl2br w:val="nil"/>
              <w:tr2bl w:val="nil"/>
            </w:tcBorders>
            <w:vAlign w:val="center"/>
          </w:tcPr>
          <w:p w14:paraId="72EF1F5E">
            <w:pPr>
              <w:pageBreakBefore w:val="0"/>
              <w:widowControl/>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 w:val="0"/>
                <w:bCs/>
                <w:snapToGrid w:val="0"/>
                <w:color w:val="auto"/>
                <w:spacing w:val="0"/>
                <w:kern w:val="0"/>
                <w:position w:val="0"/>
                <w:sz w:val="21"/>
                <w:szCs w:val="21"/>
              </w:rPr>
            </w:pPr>
            <w:r>
              <w:rPr>
                <w:rFonts w:hint="default" w:ascii="Times New Roman" w:hAnsi="Times New Roman" w:eastAsia="仿宋_GB2312" w:cs="Times New Roman"/>
                <w:b w:val="0"/>
                <w:bCs/>
                <w:snapToGrid w:val="0"/>
                <w:color w:val="auto"/>
                <w:spacing w:val="0"/>
                <w:kern w:val="0"/>
                <w:position w:val="0"/>
                <w:sz w:val="21"/>
                <w:szCs w:val="21"/>
              </w:rPr>
              <w:t>扩散，消防废水漫流、渗透、吸收</w:t>
            </w:r>
          </w:p>
        </w:tc>
        <w:tc>
          <w:tcPr>
            <w:tcW w:w="571" w:type="pct"/>
            <w:vMerge w:val="continue"/>
            <w:tcBorders>
              <w:tl2br w:val="nil"/>
              <w:tr2bl w:val="nil"/>
            </w:tcBorders>
            <w:vAlign w:val="center"/>
          </w:tcPr>
          <w:p w14:paraId="4AB8918D">
            <w:pPr>
              <w:pStyle w:val="107"/>
              <w:rPr>
                <w:rFonts w:cs="Times New Roman"/>
                <w:sz w:val="21"/>
                <w:szCs w:val="21"/>
              </w:rPr>
            </w:pPr>
          </w:p>
        </w:tc>
      </w:tr>
      <w:tr w14:paraId="2AC74F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5" w:type="pct"/>
            <w:vMerge w:val="continue"/>
            <w:tcBorders>
              <w:tl2br w:val="nil"/>
              <w:tr2bl w:val="nil"/>
            </w:tcBorders>
            <w:vAlign w:val="center"/>
          </w:tcPr>
          <w:p w14:paraId="1BB19DAC">
            <w:pPr>
              <w:pageBreakBefore w:val="0"/>
              <w:widowControl/>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 w:val="0"/>
                <w:bCs/>
                <w:snapToGrid w:val="0"/>
                <w:color w:val="auto"/>
                <w:spacing w:val="0"/>
                <w:kern w:val="0"/>
                <w:position w:val="0"/>
                <w:sz w:val="21"/>
                <w:szCs w:val="21"/>
              </w:rPr>
            </w:pPr>
          </w:p>
        </w:tc>
        <w:tc>
          <w:tcPr>
            <w:tcW w:w="696" w:type="pct"/>
            <w:vMerge w:val="continue"/>
            <w:tcBorders>
              <w:tl2br w:val="nil"/>
              <w:tr2bl w:val="nil"/>
            </w:tcBorders>
            <w:vAlign w:val="center"/>
          </w:tcPr>
          <w:p w14:paraId="511C0E63">
            <w:pPr>
              <w:pageBreakBefore w:val="0"/>
              <w:widowControl/>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 w:val="0"/>
                <w:bCs/>
                <w:snapToGrid w:val="0"/>
                <w:color w:val="auto"/>
                <w:spacing w:val="0"/>
                <w:kern w:val="0"/>
                <w:position w:val="0"/>
                <w:sz w:val="21"/>
                <w:szCs w:val="21"/>
              </w:rPr>
            </w:pPr>
          </w:p>
        </w:tc>
        <w:tc>
          <w:tcPr>
            <w:tcW w:w="649" w:type="pct"/>
            <w:vMerge w:val="continue"/>
            <w:tcBorders>
              <w:tl2br w:val="nil"/>
              <w:tr2bl w:val="nil"/>
            </w:tcBorders>
            <w:vAlign w:val="center"/>
          </w:tcPr>
          <w:p w14:paraId="1EA21AD4">
            <w:pPr>
              <w:pageBreakBefore w:val="0"/>
              <w:widowControl/>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 w:val="0"/>
                <w:bCs/>
                <w:snapToGrid w:val="0"/>
                <w:color w:val="auto"/>
                <w:spacing w:val="0"/>
                <w:kern w:val="0"/>
                <w:position w:val="0"/>
                <w:sz w:val="21"/>
                <w:szCs w:val="21"/>
              </w:rPr>
            </w:pPr>
          </w:p>
        </w:tc>
        <w:tc>
          <w:tcPr>
            <w:tcW w:w="591" w:type="pct"/>
            <w:vMerge w:val="continue"/>
            <w:tcBorders>
              <w:tl2br w:val="nil"/>
              <w:tr2bl w:val="nil"/>
            </w:tcBorders>
            <w:vAlign w:val="center"/>
          </w:tcPr>
          <w:p w14:paraId="64B74F04">
            <w:pPr>
              <w:pageBreakBefore w:val="0"/>
              <w:widowControl/>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 w:val="0"/>
                <w:bCs/>
                <w:snapToGrid w:val="0"/>
                <w:color w:val="auto"/>
                <w:spacing w:val="0"/>
                <w:kern w:val="0"/>
                <w:position w:val="0"/>
                <w:sz w:val="21"/>
                <w:szCs w:val="21"/>
              </w:rPr>
            </w:pPr>
          </w:p>
        </w:tc>
        <w:tc>
          <w:tcPr>
            <w:tcW w:w="954" w:type="pct"/>
            <w:tcBorders>
              <w:tl2br w:val="nil"/>
              <w:tr2bl w:val="nil"/>
            </w:tcBorders>
            <w:vAlign w:val="center"/>
          </w:tcPr>
          <w:p w14:paraId="08B4C572">
            <w:pPr>
              <w:pageBreakBefore w:val="0"/>
              <w:widowControl/>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 w:val="0"/>
                <w:bCs/>
                <w:snapToGrid w:val="0"/>
                <w:color w:val="auto"/>
                <w:spacing w:val="0"/>
                <w:kern w:val="0"/>
                <w:position w:val="0"/>
                <w:sz w:val="21"/>
                <w:szCs w:val="21"/>
              </w:rPr>
            </w:pPr>
            <w:r>
              <w:rPr>
                <w:rFonts w:hint="default" w:ascii="Times New Roman" w:hAnsi="Times New Roman" w:eastAsia="仿宋_GB2312" w:cs="Times New Roman"/>
                <w:b w:val="0"/>
                <w:bCs/>
                <w:snapToGrid w:val="0"/>
                <w:color w:val="auto"/>
                <w:spacing w:val="0"/>
                <w:kern w:val="0"/>
                <w:position w:val="0"/>
                <w:sz w:val="21"/>
                <w:szCs w:val="21"/>
              </w:rPr>
              <w:t>泄漏事故</w:t>
            </w:r>
          </w:p>
        </w:tc>
        <w:tc>
          <w:tcPr>
            <w:tcW w:w="1211" w:type="pct"/>
            <w:tcBorders>
              <w:tl2br w:val="nil"/>
              <w:tr2bl w:val="nil"/>
            </w:tcBorders>
            <w:vAlign w:val="center"/>
          </w:tcPr>
          <w:p w14:paraId="3BB00AA0">
            <w:pPr>
              <w:pageBreakBefore w:val="0"/>
              <w:widowControl/>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 w:val="0"/>
                <w:bCs/>
                <w:snapToGrid w:val="0"/>
                <w:color w:val="auto"/>
                <w:spacing w:val="0"/>
                <w:kern w:val="0"/>
                <w:position w:val="0"/>
                <w:sz w:val="21"/>
                <w:szCs w:val="21"/>
              </w:rPr>
            </w:pPr>
            <w:r>
              <w:rPr>
                <w:rFonts w:hint="default" w:ascii="Times New Roman" w:hAnsi="Times New Roman" w:eastAsia="仿宋_GB2312" w:cs="Times New Roman"/>
                <w:b w:val="0"/>
                <w:bCs/>
                <w:snapToGrid w:val="0"/>
                <w:color w:val="auto"/>
                <w:spacing w:val="0"/>
                <w:kern w:val="0"/>
                <w:position w:val="0"/>
                <w:sz w:val="21"/>
                <w:szCs w:val="21"/>
              </w:rPr>
              <w:t>扩散、漫流、渗透、吸收</w:t>
            </w:r>
          </w:p>
        </w:tc>
        <w:tc>
          <w:tcPr>
            <w:tcW w:w="571" w:type="pct"/>
            <w:vMerge w:val="continue"/>
            <w:tcBorders>
              <w:tl2br w:val="nil"/>
              <w:tr2bl w:val="nil"/>
            </w:tcBorders>
            <w:vAlign w:val="center"/>
          </w:tcPr>
          <w:p w14:paraId="0BE116A5">
            <w:pPr>
              <w:pStyle w:val="107"/>
              <w:rPr>
                <w:rFonts w:cs="Times New Roman"/>
                <w:sz w:val="21"/>
                <w:szCs w:val="21"/>
              </w:rPr>
            </w:pPr>
          </w:p>
        </w:tc>
      </w:tr>
      <w:tr w14:paraId="22363F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5" w:type="pct"/>
            <w:tcBorders>
              <w:tl2br w:val="nil"/>
              <w:tr2bl w:val="nil"/>
            </w:tcBorders>
            <w:vAlign w:val="center"/>
          </w:tcPr>
          <w:p w14:paraId="5ECC04AE">
            <w:pPr>
              <w:pageBreakBefore w:val="0"/>
              <w:widowControl/>
              <w:kinsoku/>
              <w:wordWrap/>
              <w:bidi w:val="0"/>
              <w:adjustRightInd w:val="0"/>
              <w:snapToGrid w:val="0"/>
              <w:spacing w:beforeAutospacing="0" w:afterAutospacing="0"/>
              <w:ind w:left="0" w:leftChars="0" w:right="0"/>
              <w:jc w:val="center"/>
              <w:rPr>
                <w:rFonts w:hint="eastAsia" w:ascii="Times New Roman" w:hAnsi="Times New Roman" w:eastAsia="仿宋_GB2312" w:cs="Times New Roman"/>
                <w:b w:val="0"/>
                <w:bCs/>
                <w:snapToGrid w:val="0"/>
                <w:color w:val="auto"/>
                <w:spacing w:val="0"/>
                <w:kern w:val="0"/>
                <w:position w:val="0"/>
                <w:sz w:val="21"/>
                <w:szCs w:val="21"/>
                <w:lang w:val="en-US" w:eastAsia="zh-CN"/>
              </w:rPr>
            </w:pPr>
            <w:r>
              <w:rPr>
                <w:rFonts w:hint="eastAsia" w:ascii="Times New Roman" w:hAnsi="Times New Roman" w:eastAsia="仿宋_GB2312" w:cs="Times New Roman"/>
                <w:b w:val="0"/>
                <w:bCs/>
                <w:snapToGrid w:val="0"/>
                <w:color w:val="auto"/>
                <w:spacing w:val="0"/>
                <w:kern w:val="0"/>
                <w:position w:val="0"/>
                <w:sz w:val="21"/>
                <w:szCs w:val="21"/>
                <w:lang w:val="en-US" w:eastAsia="zh-CN"/>
              </w:rPr>
              <w:t>6</w:t>
            </w:r>
          </w:p>
        </w:tc>
        <w:tc>
          <w:tcPr>
            <w:tcW w:w="696" w:type="pct"/>
            <w:tcBorders>
              <w:tl2br w:val="nil"/>
              <w:tr2bl w:val="nil"/>
            </w:tcBorders>
            <w:vAlign w:val="center"/>
          </w:tcPr>
          <w:p w14:paraId="33463BF4">
            <w:pPr>
              <w:pageBreakBefore w:val="0"/>
              <w:widowControl/>
              <w:kinsoku/>
              <w:wordWrap/>
              <w:bidi w:val="0"/>
              <w:adjustRightInd w:val="0"/>
              <w:snapToGrid w:val="0"/>
              <w:spacing w:beforeAutospacing="0" w:afterAutospacing="0"/>
              <w:ind w:left="0" w:leftChars="0" w:right="0"/>
              <w:jc w:val="center"/>
              <w:rPr>
                <w:rFonts w:hint="eastAsia" w:ascii="Times New Roman" w:hAnsi="Times New Roman" w:eastAsia="仿宋_GB2312" w:cs="Times New Roman"/>
                <w:b w:val="0"/>
                <w:bCs/>
                <w:snapToGrid w:val="0"/>
                <w:color w:val="auto"/>
                <w:spacing w:val="0"/>
                <w:kern w:val="0"/>
                <w:position w:val="0"/>
                <w:sz w:val="21"/>
                <w:szCs w:val="21"/>
                <w:lang w:val="en-US" w:eastAsia="zh-CN"/>
              </w:rPr>
            </w:pPr>
            <w:r>
              <w:rPr>
                <w:rFonts w:hint="eastAsia" w:ascii="Times New Roman" w:hAnsi="Times New Roman" w:eastAsia="仿宋_GB2312" w:cs="Times New Roman"/>
                <w:b w:val="0"/>
                <w:bCs/>
                <w:snapToGrid w:val="0"/>
                <w:color w:val="auto"/>
                <w:spacing w:val="0"/>
                <w:kern w:val="0"/>
                <w:position w:val="0"/>
                <w:sz w:val="21"/>
                <w:szCs w:val="21"/>
                <w:lang w:val="en-US" w:eastAsia="zh-CN"/>
              </w:rPr>
              <w:t>废水</w:t>
            </w:r>
            <w:r>
              <w:rPr>
                <w:rFonts w:hint="default" w:ascii="Times New Roman" w:hAnsi="Times New Roman" w:eastAsia="仿宋_GB2312" w:cs="Times New Roman"/>
                <w:b w:val="0"/>
                <w:bCs/>
                <w:snapToGrid w:val="0"/>
                <w:color w:val="auto"/>
                <w:spacing w:val="0"/>
                <w:kern w:val="0"/>
                <w:position w:val="0"/>
                <w:sz w:val="21"/>
                <w:szCs w:val="21"/>
              </w:rPr>
              <w:t>收集与处理系统</w:t>
            </w:r>
          </w:p>
        </w:tc>
        <w:tc>
          <w:tcPr>
            <w:tcW w:w="649" w:type="pct"/>
            <w:tcBorders>
              <w:tl2br w:val="nil"/>
              <w:tr2bl w:val="nil"/>
            </w:tcBorders>
            <w:vAlign w:val="center"/>
          </w:tcPr>
          <w:p w14:paraId="00330FED">
            <w:pPr>
              <w:pageBreakBefore w:val="0"/>
              <w:widowControl/>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 w:val="0"/>
                <w:bCs/>
                <w:snapToGrid w:val="0"/>
                <w:color w:val="auto"/>
                <w:spacing w:val="0"/>
                <w:kern w:val="0"/>
                <w:position w:val="0"/>
                <w:sz w:val="21"/>
                <w:szCs w:val="21"/>
              </w:rPr>
            </w:pPr>
            <w:r>
              <w:rPr>
                <w:rFonts w:hint="eastAsia" w:ascii="Times New Roman" w:hAnsi="Times New Roman" w:eastAsia="仿宋_GB2312" w:cs="Times New Roman"/>
                <w:b w:val="0"/>
                <w:bCs/>
                <w:snapToGrid w:val="0"/>
                <w:color w:val="auto"/>
                <w:spacing w:val="0"/>
                <w:kern w:val="0"/>
                <w:position w:val="0"/>
                <w:sz w:val="21"/>
                <w:szCs w:val="21"/>
                <w:lang w:val="en-US" w:eastAsia="zh-CN"/>
              </w:rPr>
              <w:t>废水</w:t>
            </w:r>
            <w:r>
              <w:rPr>
                <w:rFonts w:hint="default" w:ascii="Times New Roman" w:hAnsi="Times New Roman" w:eastAsia="仿宋_GB2312" w:cs="Times New Roman"/>
                <w:b w:val="0"/>
                <w:bCs/>
                <w:snapToGrid w:val="0"/>
                <w:color w:val="auto"/>
                <w:spacing w:val="0"/>
                <w:kern w:val="0"/>
                <w:position w:val="0"/>
                <w:sz w:val="21"/>
                <w:szCs w:val="21"/>
              </w:rPr>
              <w:t>处理装置及管道</w:t>
            </w:r>
          </w:p>
        </w:tc>
        <w:tc>
          <w:tcPr>
            <w:tcW w:w="591" w:type="pct"/>
            <w:tcBorders>
              <w:tl2br w:val="nil"/>
              <w:tr2bl w:val="nil"/>
            </w:tcBorders>
            <w:vAlign w:val="center"/>
          </w:tcPr>
          <w:p w14:paraId="38E00C22">
            <w:pPr>
              <w:pageBreakBefore w:val="0"/>
              <w:widowControl/>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 w:val="0"/>
                <w:bCs/>
                <w:snapToGrid w:val="0"/>
                <w:color w:val="auto"/>
                <w:spacing w:val="0"/>
                <w:kern w:val="0"/>
                <w:position w:val="0"/>
                <w:sz w:val="21"/>
                <w:szCs w:val="21"/>
                <w:lang w:val="en-US" w:eastAsia="zh-CN"/>
              </w:rPr>
            </w:pPr>
            <w:r>
              <w:rPr>
                <w:rFonts w:hint="eastAsia" w:ascii="Times New Roman" w:hAnsi="Times New Roman" w:eastAsia="仿宋_GB2312" w:cs="Times New Roman"/>
                <w:b w:val="0"/>
                <w:bCs/>
                <w:snapToGrid w:val="0"/>
                <w:color w:val="auto"/>
                <w:spacing w:val="0"/>
                <w:kern w:val="0"/>
                <w:position w:val="0"/>
                <w:sz w:val="21"/>
                <w:szCs w:val="21"/>
                <w:lang w:val="en-US" w:eastAsia="zh-CN"/>
              </w:rPr>
              <w:t>pH、COD、SS、HCl等</w:t>
            </w:r>
          </w:p>
        </w:tc>
        <w:tc>
          <w:tcPr>
            <w:tcW w:w="954" w:type="pct"/>
            <w:tcBorders>
              <w:tl2br w:val="nil"/>
              <w:tr2bl w:val="nil"/>
            </w:tcBorders>
            <w:vAlign w:val="center"/>
          </w:tcPr>
          <w:p w14:paraId="0B011240">
            <w:pPr>
              <w:pageBreakBefore w:val="0"/>
              <w:widowControl/>
              <w:kinsoku/>
              <w:wordWrap/>
              <w:bidi w:val="0"/>
              <w:adjustRightInd w:val="0"/>
              <w:snapToGrid w:val="0"/>
              <w:spacing w:beforeAutospacing="0" w:afterAutospacing="0"/>
              <w:ind w:left="0" w:leftChars="0" w:right="0" w:rightChars="0"/>
              <w:jc w:val="center"/>
              <w:rPr>
                <w:rFonts w:hint="default" w:ascii="Times New Roman" w:hAnsi="Times New Roman" w:eastAsia="仿宋_GB2312" w:cs="Times New Roman"/>
                <w:b w:val="0"/>
                <w:bCs/>
                <w:snapToGrid w:val="0"/>
                <w:color w:val="auto"/>
                <w:spacing w:val="0"/>
                <w:kern w:val="0"/>
                <w:position w:val="0"/>
                <w:sz w:val="21"/>
                <w:szCs w:val="21"/>
              </w:rPr>
            </w:pPr>
            <w:r>
              <w:rPr>
                <w:rFonts w:hint="default" w:ascii="Times New Roman" w:hAnsi="Times New Roman" w:eastAsia="仿宋_GB2312" w:cs="Times New Roman"/>
                <w:b w:val="0"/>
                <w:bCs/>
                <w:snapToGrid w:val="0"/>
                <w:color w:val="auto"/>
                <w:spacing w:val="0"/>
                <w:kern w:val="0"/>
                <w:position w:val="0"/>
                <w:sz w:val="21"/>
                <w:szCs w:val="21"/>
              </w:rPr>
              <w:t>泄漏事故</w:t>
            </w:r>
          </w:p>
        </w:tc>
        <w:tc>
          <w:tcPr>
            <w:tcW w:w="1211" w:type="pct"/>
            <w:tcBorders>
              <w:tl2br w:val="nil"/>
              <w:tr2bl w:val="nil"/>
            </w:tcBorders>
            <w:vAlign w:val="center"/>
          </w:tcPr>
          <w:p w14:paraId="36C3FF7F">
            <w:pPr>
              <w:pageBreakBefore w:val="0"/>
              <w:widowControl/>
              <w:kinsoku/>
              <w:wordWrap/>
              <w:bidi w:val="0"/>
              <w:adjustRightInd w:val="0"/>
              <w:snapToGrid w:val="0"/>
              <w:spacing w:beforeAutospacing="0" w:afterAutospacing="0"/>
              <w:ind w:left="0" w:leftChars="0" w:right="0" w:rightChars="0"/>
              <w:jc w:val="center"/>
              <w:rPr>
                <w:rFonts w:hint="default" w:ascii="Times New Roman" w:hAnsi="Times New Roman" w:eastAsia="仿宋_GB2312" w:cs="Times New Roman"/>
                <w:b w:val="0"/>
                <w:bCs/>
                <w:snapToGrid w:val="0"/>
                <w:color w:val="auto"/>
                <w:spacing w:val="0"/>
                <w:kern w:val="0"/>
                <w:position w:val="0"/>
                <w:sz w:val="21"/>
                <w:szCs w:val="21"/>
              </w:rPr>
            </w:pPr>
            <w:r>
              <w:rPr>
                <w:rFonts w:hint="default" w:ascii="Times New Roman" w:hAnsi="Times New Roman" w:eastAsia="仿宋_GB2312" w:cs="Times New Roman"/>
                <w:b w:val="0"/>
                <w:bCs/>
                <w:snapToGrid w:val="0"/>
                <w:color w:val="auto"/>
                <w:spacing w:val="0"/>
                <w:kern w:val="0"/>
                <w:position w:val="0"/>
                <w:sz w:val="21"/>
                <w:szCs w:val="21"/>
              </w:rPr>
              <w:t>扩散、漫流、渗透、吸收</w:t>
            </w:r>
          </w:p>
        </w:tc>
        <w:tc>
          <w:tcPr>
            <w:tcW w:w="571" w:type="pct"/>
            <w:vMerge w:val="continue"/>
            <w:tcBorders>
              <w:tl2br w:val="nil"/>
              <w:tr2bl w:val="nil"/>
            </w:tcBorders>
            <w:vAlign w:val="center"/>
          </w:tcPr>
          <w:p w14:paraId="67E7F68B">
            <w:pPr>
              <w:pStyle w:val="107"/>
              <w:rPr>
                <w:rFonts w:cs="Times New Roman"/>
                <w:sz w:val="21"/>
                <w:szCs w:val="21"/>
              </w:rPr>
            </w:pPr>
          </w:p>
        </w:tc>
      </w:tr>
    </w:tbl>
    <w:p w14:paraId="65409220">
      <w:pPr>
        <w:pageBreakBefore w:val="0"/>
        <w:kinsoku/>
        <w:wordWrap/>
        <w:bidi w:val="0"/>
        <w:adjustRightInd w:val="0"/>
        <w:snapToGrid w:val="0"/>
        <w:spacing w:beforeAutospacing="0" w:afterAutospacing="0" w:line="500" w:lineRule="exact"/>
        <w:ind w:left="0" w:leftChars="0" w:right="0" w:firstLine="480" w:firstLineChars="200"/>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风险事故及伴生、次生危害分析见图</w:t>
      </w:r>
      <w:r>
        <w:rPr>
          <w:rFonts w:hint="default" w:ascii="Times New Roman" w:hAnsi="Times New Roman" w:eastAsia="仿宋_GB2312" w:cs="Times New Roman"/>
          <w:color w:val="auto"/>
          <w:spacing w:val="0"/>
          <w:kern w:val="0"/>
          <w:position w:val="0"/>
          <w:sz w:val="24"/>
          <w:szCs w:val="24"/>
          <w:lang w:val="en-US" w:eastAsia="zh-CN"/>
        </w:rPr>
        <w:t>2.</w:t>
      </w:r>
      <w:r>
        <w:rPr>
          <w:rFonts w:hint="eastAsia" w:ascii="Times New Roman" w:hAnsi="Times New Roman" w:eastAsia="仿宋_GB2312" w:cs="Times New Roman"/>
          <w:color w:val="auto"/>
          <w:spacing w:val="0"/>
          <w:kern w:val="0"/>
          <w:position w:val="0"/>
          <w:sz w:val="24"/>
          <w:szCs w:val="24"/>
          <w:lang w:val="en-US" w:eastAsia="zh-CN"/>
        </w:rPr>
        <w:t>6</w:t>
      </w:r>
      <w:r>
        <w:rPr>
          <w:rFonts w:hint="default" w:ascii="Times New Roman" w:hAnsi="Times New Roman" w:eastAsia="仿宋_GB2312" w:cs="Times New Roman"/>
          <w:color w:val="auto"/>
          <w:spacing w:val="0"/>
          <w:kern w:val="0"/>
          <w:position w:val="0"/>
          <w:sz w:val="24"/>
          <w:szCs w:val="24"/>
        </w:rPr>
        <w:t>-1。</w:t>
      </w:r>
    </w:p>
    <w:p w14:paraId="361DDC47">
      <w:pPr>
        <w:pageBreakBefore w:val="0"/>
        <w:kinsoku/>
        <w:wordWrap/>
        <w:bidi w:val="0"/>
        <w:adjustRightInd w:val="0"/>
        <w:snapToGrid w:val="0"/>
        <w:spacing w:beforeAutospacing="0" w:afterAutospacing="0"/>
        <w:ind w:left="0" w:leftChars="0" w:right="0"/>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drawing>
          <wp:inline distT="0" distB="0" distL="114300" distR="114300">
            <wp:extent cx="5058410" cy="3198495"/>
            <wp:effectExtent l="0" t="0" r="8890" b="1905"/>
            <wp:docPr id="1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4"/>
                    <pic:cNvPicPr>
                      <a:picLocks noChangeAspect="1"/>
                    </pic:cNvPicPr>
                  </pic:nvPicPr>
                  <pic:blipFill>
                    <a:blip r:embed="rId62"/>
                    <a:stretch>
                      <a:fillRect/>
                    </a:stretch>
                  </pic:blipFill>
                  <pic:spPr>
                    <a:xfrm>
                      <a:off x="0" y="0"/>
                      <a:ext cx="5058410" cy="3198495"/>
                    </a:xfrm>
                    <a:prstGeom prst="rect">
                      <a:avLst/>
                    </a:prstGeom>
                    <a:noFill/>
                    <a:ln>
                      <a:noFill/>
                    </a:ln>
                  </pic:spPr>
                </pic:pic>
              </a:graphicData>
            </a:graphic>
          </wp:inline>
        </w:drawing>
      </w:r>
    </w:p>
    <w:p w14:paraId="3C66132F">
      <w:pPr>
        <w:pageBreakBefore w:val="0"/>
        <w:kinsoku/>
        <w:wordWrap/>
        <w:bidi w:val="0"/>
        <w:adjustRightInd w:val="0"/>
        <w:snapToGrid w:val="0"/>
        <w:spacing w:beforeAutospacing="0" w:afterAutospacing="0" w:line="500" w:lineRule="exact"/>
        <w:ind w:left="0" w:leftChars="0" w:right="0"/>
        <w:jc w:val="center"/>
        <w:rPr>
          <w:rFonts w:hint="default" w:ascii="Times New Roman" w:hAnsi="Times New Roman" w:eastAsia="仿宋_GB2312" w:cs="Times New Roman"/>
          <w:b/>
          <w:color w:val="auto"/>
          <w:spacing w:val="0"/>
          <w:kern w:val="0"/>
          <w:position w:val="0"/>
          <w:sz w:val="24"/>
          <w:szCs w:val="24"/>
        </w:rPr>
      </w:pPr>
      <w:r>
        <w:rPr>
          <w:rFonts w:hint="default" w:ascii="Times New Roman" w:hAnsi="Times New Roman" w:eastAsia="仿宋_GB2312" w:cs="Times New Roman"/>
          <w:b/>
          <w:color w:val="auto"/>
          <w:spacing w:val="0"/>
          <w:kern w:val="0"/>
          <w:position w:val="0"/>
          <w:sz w:val="24"/>
          <w:szCs w:val="24"/>
          <w:lang w:val="en-US" w:eastAsia="zh-CN"/>
        </w:rPr>
        <w:t>图2.6</w:t>
      </w:r>
      <w:r>
        <w:rPr>
          <w:rFonts w:hint="default" w:ascii="Times New Roman" w:hAnsi="Times New Roman" w:eastAsia="仿宋_GB2312" w:cs="Times New Roman"/>
          <w:b/>
          <w:color w:val="auto"/>
          <w:spacing w:val="0"/>
          <w:kern w:val="0"/>
          <w:position w:val="0"/>
          <w:sz w:val="24"/>
          <w:szCs w:val="24"/>
        </w:rPr>
        <w:t xml:space="preserve">-1 </w:t>
      </w:r>
      <w:r>
        <w:rPr>
          <w:rFonts w:hint="eastAsia" w:ascii="Times New Roman" w:hAnsi="Times New Roman" w:eastAsia="仿宋_GB2312" w:cs="Times New Roman"/>
          <w:b/>
          <w:color w:val="auto"/>
          <w:spacing w:val="0"/>
          <w:kern w:val="0"/>
          <w:position w:val="0"/>
          <w:sz w:val="24"/>
          <w:szCs w:val="24"/>
          <w:lang w:val="en-US" w:eastAsia="zh-CN"/>
        </w:rPr>
        <w:t xml:space="preserve"> </w:t>
      </w:r>
      <w:r>
        <w:rPr>
          <w:rFonts w:hint="default" w:ascii="Times New Roman" w:hAnsi="Times New Roman" w:eastAsia="仿宋_GB2312" w:cs="Times New Roman"/>
          <w:b/>
          <w:color w:val="auto"/>
          <w:spacing w:val="0"/>
          <w:kern w:val="0"/>
          <w:position w:val="0"/>
          <w:sz w:val="24"/>
          <w:szCs w:val="24"/>
        </w:rPr>
        <w:t>风险事故及伴生、次生危害分析</w:t>
      </w:r>
    </w:p>
    <w:p w14:paraId="46C1C470">
      <w:pPr>
        <w:pageBreakBefore w:val="0"/>
        <w:kinsoku/>
        <w:wordWrap/>
        <w:bidi w:val="0"/>
        <w:adjustRightInd w:val="0"/>
        <w:snapToGrid w:val="0"/>
        <w:spacing w:beforeAutospacing="0" w:afterAutospacing="0" w:line="500" w:lineRule="exact"/>
        <w:ind w:left="0" w:leftChars="0" w:right="0" w:firstLine="480" w:firstLineChars="200"/>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根据上述物质及生产系统识别结果，进一步分析了不同环境风险类型，危险物质向大气环境、地表水环境、地下水及土壤转移的各类型事件及影响方式，具体分析如下：</w:t>
      </w:r>
    </w:p>
    <w:p w14:paraId="658ACB10">
      <w:pPr>
        <w:pageBreakBefore w:val="0"/>
        <w:kinsoku/>
        <w:wordWrap/>
        <w:bidi w:val="0"/>
        <w:adjustRightInd w:val="0"/>
        <w:snapToGrid w:val="0"/>
        <w:spacing w:beforeAutospacing="0" w:afterAutospacing="0" w:line="500" w:lineRule="exact"/>
        <w:ind w:left="0" w:leftChars="0" w:right="0" w:firstLine="482" w:firstLineChars="200"/>
        <w:rPr>
          <w:rFonts w:hint="default" w:ascii="Times New Roman" w:hAnsi="Times New Roman" w:eastAsia="仿宋_GB2312" w:cs="Times New Roman"/>
          <w:b/>
          <w:color w:val="auto"/>
          <w:spacing w:val="0"/>
          <w:kern w:val="0"/>
          <w:position w:val="0"/>
          <w:sz w:val="24"/>
          <w:szCs w:val="24"/>
        </w:rPr>
      </w:pPr>
      <w:r>
        <w:rPr>
          <w:rFonts w:hint="default" w:ascii="Times New Roman" w:hAnsi="Times New Roman" w:eastAsia="仿宋_GB2312" w:cs="Times New Roman"/>
          <w:b/>
          <w:color w:val="auto"/>
          <w:spacing w:val="0"/>
          <w:kern w:val="0"/>
          <w:position w:val="0"/>
          <w:sz w:val="24"/>
          <w:szCs w:val="24"/>
        </w:rPr>
        <w:t>1. 大气环境风险源及其环境风险</w:t>
      </w:r>
    </w:p>
    <w:p w14:paraId="0CECD667">
      <w:pPr>
        <w:pageBreakBefore w:val="0"/>
        <w:kinsoku/>
        <w:wordWrap/>
        <w:bidi w:val="0"/>
        <w:adjustRightInd w:val="0"/>
        <w:snapToGrid w:val="0"/>
        <w:spacing w:beforeAutospacing="0" w:afterAutospacing="0" w:line="500" w:lineRule="exact"/>
        <w:ind w:left="0" w:leftChars="0" w:right="0" w:firstLine="480" w:firstLineChars="200"/>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企业可能发生的大气环境污染事故风险源主要为污染治理设施、生产装置区以及危险品储存库，其可能发生的大气环境事件及其危险特性主要为：</w:t>
      </w:r>
    </w:p>
    <w:p w14:paraId="43C12831">
      <w:pPr>
        <w:pageBreakBefore w:val="0"/>
        <w:kinsoku/>
        <w:wordWrap/>
        <w:bidi w:val="0"/>
        <w:adjustRightInd w:val="0"/>
        <w:snapToGrid w:val="0"/>
        <w:spacing w:beforeAutospacing="0" w:afterAutospacing="0" w:line="500" w:lineRule="exact"/>
        <w:ind w:left="0" w:leftChars="0" w:right="0" w:firstLine="480" w:firstLineChars="200"/>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（1）生产装置区、</w:t>
      </w:r>
      <w:r>
        <w:rPr>
          <w:rFonts w:hint="default" w:ascii="Times New Roman" w:hAnsi="Times New Roman" w:eastAsia="仿宋_GB2312" w:cs="Times New Roman"/>
          <w:color w:val="auto"/>
          <w:spacing w:val="0"/>
          <w:kern w:val="0"/>
          <w:position w:val="0"/>
          <w:sz w:val="24"/>
          <w:szCs w:val="24"/>
          <w:lang w:val="en-US" w:eastAsia="zh-CN"/>
        </w:rPr>
        <w:t>原料</w:t>
      </w:r>
      <w:r>
        <w:rPr>
          <w:rFonts w:hint="default" w:ascii="Times New Roman" w:hAnsi="Times New Roman" w:eastAsia="仿宋_GB2312" w:cs="Times New Roman"/>
          <w:color w:val="auto"/>
          <w:spacing w:val="0"/>
          <w:kern w:val="0"/>
          <w:position w:val="0"/>
          <w:sz w:val="24"/>
          <w:szCs w:val="24"/>
        </w:rPr>
        <w:t>储存</w:t>
      </w:r>
      <w:r>
        <w:rPr>
          <w:rFonts w:hint="eastAsia" w:ascii="Times New Roman" w:hAnsi="Times New Roman" w:eastAsia="仿宋_GB2312" w:cs="Times New Roman"/>
          <w:color w:val="auto"/>
          <w:spacing w:val="0"/>
          <w:kern w:val="0"/>
          <w:position w:val="0"/>
          <w:sz w:val="24"/>
          <w:szCs w:val="24"/>
          <w:lang w:val="en-US" w:eastAsia="zh-CN"/>
        </w:rPr>
        <w:t>区</w:t>
      </w:r>
      <w:r>
        <w:rPr>
          <w:rFonts w:hint="default" w:ascii="Times New Roman" w:hAnsi="Times New Roman" w:eastAsia="仿宋_GB2312" w:cs="Times New Roman"/>
          <w:color w:val="auto"/>
          <w:spacing w:val="0"/>
          <w:kern w:val="0"/>
          <w:position w:val="0"/>
          <w:sz w:val="24"/>
          <w:szCs w:val="24"/>
        </w:rPr>
        <w:t>有毒物质发生泄漏时，会产生大量的有毒气体，会对周边环境造成严重的环境污染并危害人员健康。</w:t>
      </w:r>
    </w:p>
    <w:p w14:paraId="7E6B4D7B">
      <w:pPr>
        <w:pageBreakBefore w:val="0"/>
        <w:kinsoku/>
        <w:wordWrap/>
        <w:bidi w:val="0"/>
        <w:adjustRightInd w:val="0"/>
        <w:snapToGrid w:val="0"/>
        <w:spacing w:beforeAutospacing="0" w:afterAutospacing="0" w:line="500" w:lineRule="exact"/>
        <w:ind w:left="0" w:leftChars="0" w:right="0" w:firstLine="480" w:firstLineChars="200"/>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（2）生产装置区、危险品储存库发生火灾爆炸事故时，会产生次半生CO气体</w:t>
      </w:r>
      <w:r>
        <w:rPr>
          <w:rFonts w:hint="default" w:ascii="Times New Roman" w:hAnsi="Times New Roman" w:eastAsia="仿宋_GB2312" w:cs="Times New Roman"/>
          <w:color w:val="auto"/>
          <w:spacing w:val="0"/>
          <w:kern w:val="0"/>
          <w:position w:val="0"/>
          <w:sz w:val="24"/>
          <w:szCs w:val="24"/>
          <w:lang w:eastAsia="zh-CN"/>
        </w:rPr>
        <w:t>排放</w:t>
      </w:r>
      <w:r>
        <w:rPr>
          <w:rFonts w:hint="default" w:ascii="Times New Roman" w:hAnsi="Times New Roman" w:eastAsia="仿宋_GB2312" w:cs="Times New Roman"/>
          <w:color w:val="auto"/>
          <w:spacing w:val="0"/>
          <w:kern w:val="0"/>
          <w:position w:val="0"/>
          <w:sz w:val="24"/>
          <w:szCs w:val="24"/>
        </w:rPr>
        <w:t>，对周边环境造成污染并危害人员健康。</w:t>
      </w:r>
    </w:p>
    <w:p w14:paraId="3C622D81">
      <w:pPr>
        <w:pageBreakBefore w:val="0"/>
        <w:kinsoku/>
        <w:wordWrap/>
        <w:bidi w:val="0"/>
        <w:adjustRightInd w:val="0"/>
        <w:snapToGrid w:val="0"/>
        <w:spacing w:beforeAutospacing="0" w:afterAutospacing="0" w:line="500" w:lineRule="exact"/>
        <w:ind w:left="0" w:leftChars="0" w:right="0" w:firstLine="480" w:firstLineChars="200"/>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（3）企业违法排污导致废气不经处理直接排放至大气中，造成空气污染并危害人员健康。</w:t>
      </w:r>
    </w:p>
    <w:p w14:paraId="2A8B9E20">
      <w:pPr>
        <w:pageBreakBefore w:val="0"/>
        <w:kinsoku/>
        <w:wordWrap/>
        <w:bidi w:val="0"/>
        <w:adjustRightInd w:val="0"/>
        <w:snapToGrid w:val="0"/>
        <w:spacing w:beforeAutospacing="0" w:afterAutospacing="0" w:line="500" w:lineRule="exact"/>
        <w:ind w:left="0" w:leftChars="0" w:right="0" w:firstLine="480" w:firstLineChars="200"/>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（4）危险化学品泄漏、大气风险防控措施失灵、非正常开停车造成的化学品泄漏，若泄漏物为易挥发或有毒的化学物质，也会对周边环境造成污染。</w:t>
      </w:r>
    </w:p>
    <w:p w14:paraId="41EF02D0">
      <w:pPr>
        <w:pageBreakBefore w:val="0"/>
        <w:kinsoku/>
        <w:wordWrap/>
        <w:bidi w:val="0"/>
        <w:adjustRightInd w:val="0"/>
        <w:snapToGrid w:val="0"/>
        <w:spacing w:beforeAutospacing="0" w:afterAutospacing="0" w:line="500" w:lineRule="exact"/>
        <w:ind w:left="0" w:leftChars="0" w:right="0" w:firstLine="482" w:firstLineChars="200"/>
        <w:rPr>
          <w:rFonts w:hint="default" w:ascii="Times New Roman" w:hAnsi="Times New Roman" w:eastAsia="仿宋_GB2312" w:cs="Times New Roman"/>
          <w:b/>
          <w:color w:val="auto"/>
          <w:spacing w:val="0"/>
          <w:kern w:val="0"/>
          <w:position w:val="0"/>
          <w:sz w:val="24"/>
          <w:szCs w:val="24"/>
        </w:rPr>
      </w:pPr>
      <w:r>
        <w:rPr>
          <w:rFonts w:hint="default" w:ascii="Times New Roman" w:hAnsi="Times New Roman" w:eastAsia="仿宋_GB2312" w:cs="Times New Roman"/>
          <w:b/>
          <w:color w:val="auto"/>
          <w:spacing w:val="0"/>
          <w:kern w:val="0"/>
          <w:position w:val="0"/>
          <w:sz w:val="24"/>
          <w:szCs w:val="24"/>
        </w:rPr>
        <w:t>2. 地表水环境风险源及其环境风险</w:t>
      </w:r>
    </w:p>
    <w:p w14:paraId="3CDA1875">
      <w:pPr>
        <w:pageBreakBefore w:val="0"/>
        <w:kinsoku/>
        <w:wordWrap/>
        <w:bidi w:val="0"/>
        <w:adjustRightInd w:val="0"/>
        <w:snapToGrid w:val="0"/>
        <w:spacing w:beforeAutospacing="0" w:afterAutospacing="0" w:line="500" w:lineRule="exact"/>
        <w:ind w:left="0" w:leftChars="0" w:right="0" w:firstLine="480" w:firstLineChars="200"/>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企业可能引发水环境污染事故的危险源主要包括生产装置区、</w:t>
      </w:r>
      <w:r>
        <w:rPr>
          <w:rFonts w:hint="default" w:ascii="Times New Roman" w:hAnsi="Times New Roman" w:eastAsia="仿宋_GB2312" w:cs="Times New Roman"/>
          <w:color w:val="auto"/>
          <w:spacing w:val="0"/>
          <w:kern w:val="0"/>
          <w:position w:val="0"/>
          <w:sz w:val="24"/>
          <w:szCs w:val="24"/>
          <w:lang w:val="en-US" w:eastAsia="zh-CN"/>
        </w:rPr>
        <w:t>原料</w:t>
      </w:r>
      <w:r>
        <w:rPr>
          <w:rFonts w:hint="eastAsia" w:ascii="Times New Roman" w:hAnsi="Times New Roman" w:eastAsia="仿宋_GB2312" w:cs="Times New Roman"/>
          <w:color w:val="auto"/>
          <w:spacing w:val="0"/>
          <w:kern w:val="0"/>
          <w:position w:val="0"/>
          <w:sz w:val="24"/>
          <w:szCs w:val="24"/>
          <w:lang w:val="en-US" w:eastAsia="zh-CN"/>
        </w:rPr>
        <w:t>储罐</w:t>
      </w:r>
      <w:r>
        <w:rPr>
          <w:rFonts w:hint="default" w:ascii="Times New Roman" w:hAnsi="Times New Roman" w:eastAsia="仿宋_GB2312" w:cs="Times New Roman"/>
          <w:color w:val="auto"/>
          <w:spacing w:val="0"/>
          <w:kern w:val="0"/>
          <w:position w:val="0"/>
          <w:sz w:val="24"/>
          <w:szCs w:val="24"/>
        </w:rPr>
        <w:t>、危废暂存间、</w:t>
      </w:r>
      <w:r>
        <w:rPr>
          <w:rFonts w:hint="eastAsia" w:ascii="Times New Roman" w:hAnsi="Times New Roman" w:eastAsia="仿宋_GB2312" w:cs="Times New Roman"/>
          <w:color w:val="auto"/>
          <w:spacing w:val="0"/>
          <w:kern w:val="0"/>
          <w:position w:val="0"/>
          <w:sz w:val="24"/>
          <w:szCs w:val="24"/>
          <w:lang w:val="en-US" w:eastAsia="zh-CN"/>
        </w:rPr>
        <w:t>废水处理系统</w:t>
      </w:r>
      <w:r>
        <w:rPr>
          <w:rFonts w:hint="default" w:ascii="Times New Roman" w:hAnsi="Times New Roman" w:eastAsia="仿宋_GB2312" w:cs="Times New Roman"/>
          <w:color w:val="auto"/>
          <w:spacing w:val="0"/>
          <w:kern w:val="0"/>
          <w:position w:val="0"/>
          <w:sz w:val="24"/>
          <w:szCs w:val="24"/>
        </w:rPr>
        <w:t>等，突发环境风险类型及其危险特性主要为：</w:t>
      </w:r>
    </w:p>
    <w:p w14:paraId="171C912D">
      <w:pPr>
        <w:pageBreakBefore w:val="0"/>
        <w:kinsoku/>
        <w:wordWrap/>
        <w:bidi w:val="0"/>
        <w:adjustRightInd w:val="0"/>
        <w:snapToGrid w:val="0"/>
        <w:spacing w:beforeAutospacing="0" w:afterAutospacing="0" w:line="500" w:lineRule="exact"/>
        <w:ind w:left="0" w:leftChars="0" w:right="0" w:firstLine="480" w:firstLineChars="200"/>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（1）火灾、爆炸事故引发的伴生危险化学品泄漏及次生大量的消防尾水，若其通过雨水管道会对周围水质造成影响。</w:t>
      </w:r>
    </w:p>
    <w:p w14:paraId="32381617">
      <w:pPr>
        <w:pageBreakBefore w:val="0"/>
        <w:kinsoku/>
        <w:wordWrap/>
        <w:bidi w:val="0"/>
        <w:adjustRightInd w:val="0"/>
        <w:snapToGrid w:val="0"/>
        <w:spacing w:beforeAutospacing="0" w:afterAutospacing="0" w:line="500" w:lineRule="exact"/>
        <w:ind w:left="0" w:leftChars="0" w:right="0" w:firstLine="480" w:firstLineChars="200"/>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（2）危险化学品、危废暂存间等泄漏产生的液体如不能及时导入事故池，</w:t>
      </w:r>
      <w:r>
        <w:rPr>
          <w:rFonts w:hint="eastAsia" w:ascii="Times New Roman" w:hAnsi="Times New Roman" w:eastAsia="仿宋_GB2312" w:cs="Times New Roman"/>
          <w:color w:val="auto"/>
          <w:spacing w:val="0"/>
          <w:kern w:val="0"/>
          <w:position w:val="0"/>
          <w:sz w:val="24"/>
          <w:szCs w:val="24"/>
          <w:lang w:val="en-US" w:eastAsia="zh-CN"/>
        </w:rPr>
        <w:t>排入到土壤及周边水体</w:t>
      </w:r>
      <w:r>
        <w:rPr>
          <w:rFonts w:hint="default" w:ascii="Times New Roman" w:hAnsi="Times New Roman" w:eastAsia="仿宋_GB2312" w:cs="Times New Roman"/>
          <w:color w:val="auto"/>
          <w:spacing w:val="0"/>
          <w:kern w:val="0"/>
          <w:position w:val="0"/>
          <w:sz w:val="24"/>
          <w:szCs w:val="24"/>
        </w:rPr>
        <w:t>。</w:t>
      </w:r>
    </w:p>
    <w:p w14:paraId="4839B7C2">
      <w:pPr>
        <w:pageBreakBefore w:val="0"/>
        <w:kinsoku/>
        <w:wordWrap/>
        <w:bidi w:val="0"/>
        <w:adjustRightInd w:val="0"/>
        <w:snapToGrid w:val="0"/>
        <w:spacing w:beforeAutospacing="0" w:afterAutospacing="0" w:line="500" w:lineRule="exact"/>
        <w:ind w:left="0" w:leftChars="0" w:right="0" w:firstLine="480" w:firstLineChars="200"/>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（3）风险防控措施失灵的最大危害是含有有害化学品的消防尾水，通过污水管道排入地表水体，亦会对周围水质造成影响。</w:t>
      </w:r>
    </w:p>
    <w:p w14:paraId="068F44F7">
      <w:pPr>
        <w:pageBreakBefore w:val="0"/>
        <w:kinsoku/>
        <w:wordWrap/>
        <w:bidi w:val="0"/>
        <w:adjustRightInd w:val="0"/>
        <w:snapToGrid w:val="0"/>
        <w:spacing w:beforeAutospacing="0" w:afterAutospacing="0" w:line="500" w:lineRule="exact"/>
        <w:ind w:left="0" w:leftChars="0" w:right="0" w:firstLine="480" w:firstLineChars="200"/>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w:t>
      </w:r>
      <w:r>
        <w:rPr>
          <w:rFonts w:hint="eastAsia" w:ascii="Times New Roman" w:hAnsi="Times New Roman" w:eastAsia="仿宋_GB2312" w:cs="Times New Roman"/>
          <w:color w:val="auto"/>
          <w:spacing w:val="0"/>
          <w:kern w:val="0"/>
          <w:position w:val="0"/>
          <w:sz w:val="24"/>
          <w:szCs w:val="24"/>
          <w:lang w:val="en-US" w:eastAsia="zh-CN"/>
        </w:rPr>
        <w:t>4</w:t>
      </w:r>
      <w:r>
        <w:rPr>
          <w:rFonts w:hint="default" w:ascii="Times New Roman" w:hAnsi="Times New Roman" w:eastAsia="仿宋_GB2312" w:cs="Times New Roman"/>
          <w:color w:val="auto"/>
          <w:spacing w:val="0"/>
          <w:kern w:val="0"/>
          <w:position w:val="0"/>
          <w:sz w:val="24"/>
          <w:szCs w:val="24"/>
        </w:rPr>
        <w:t>）自然灾害、极端天气或不利气象条件下造成构筑物内的废水、化学品泄漏溢出对周边水体造成污染。</w:t>
      </w:r>
    </w:p>
    <w:p w14:paraId="32542F11">
      <w:pPr>
        <w:pageBreakBefore w:val="0"/>
        <w:kinsoku/>
        <w:wordWrap/>
        <w:bidi w:val="0"/>
        <w:adjustRightInd w:val="0"/>
        <w:snapToGrid w:val="0"/>
        <w:spacing w:beforeAutospacing="0" w:afterAutospacing="0" w:line="500" w:lineRule="exact"/>
        <w:ind w:left="0" w:leftChars="0" w:right="0" w:firstLine="482" w:firstLineChars="200"/>
        <w:rPr>
          <w:rFonts w:hint="default" w:ascii="Times New Roman" w:hAnsi="Times New Roman" w:eastAsia="仿宋_GB2312" w:cs="Times New Roman"/>
          <w:b/>
          <w:color w:val="auto"/>
          <w:spacing w:val="0"/>
          <w:kern w:val="0"/>
          <w:position w:val="0"/>
          <w:sz w:val="24"/>
          <w:szCs w:val="24"/>
        </w:rPr>
      </w:pPr>
      <w:r>
        <w:rPr>
          <w:rFonts w:hint="default" w:ascii="Times New Roman" w:hAnsi="Times New Roman" w:eastAsia="仿宋_GB2312" w:cs="Times New Roman"/>
          <w:b/>
          <w:color w:val="auto"/>
          <w:spacing w:val="0"/>
          <w:kern w:val="0"/>
          <w:position w:val="0"/>
          <w:sz w:val="24"/>
          <w:szCs w:val="24"/>
        </w:rPr>
        <w:t>3. 地下水及土壤环境风险源及其环境风险</w:t>
      </w:r>
    </w:p>
    <w:p w14:paraId="2F86F085">
      <w:pPr>
        <w:pStyle w:val="12"/>
        <w:keepNext w:val="0"/>
        <w:keepLines w:val="0"/>
        <w:pageBreakBefore w:val="0"/>
        <w:widowControl/>
        <w:kinsoku/>
        <w:wordWrap/>
        <w:overflowPunct/>
        <w:topLinePunct w:val="0"/>
        <w:autoSpaceDE w:val="0"/>
        <w:autoSpaceDN w:val="0"/>
        <w:bidi w:val="0"/>
        <w:adjustRightInd w:val="0"/>
        <w:snapToGrid w:val="0"/>
        <w:spacing w:before="0" w:beforeAutospacing="0" w:after="0" w:afterAutospacing="0" w:line="500" w:lineRule="exact"/>
        <w:ind w:left="0" w:leftChars="0" w:right="0" w:firstLine="480" w:firstLineChars="200"/>
        <w:textAlignment w:val="baseline"/>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企业可能发生地下水及土壤环境污染事故的风险源主要为生产装置区、化学品</w:t>
      </w:r>
      <w:r>
        <w:rPr>
          <w:rFonts w:hint="eastAsia" w:ascii="Times New Roman" w:hAnsi="Times New Roman" w:eastAsia="仿宋_GB2312" w:cs="Times New Roman"/>
          <w:color w:val="auto"/>
          <w:spacing w:val="0"/>
          <w:kern w:val="0"/>
          <w:position w:val="0"/>
          <w:sz w:val="24"/>
          <w:szCs w:val="24"/>
          <w:lang w:val="en-US" w:eastAsia="zh-CN"/>
        </w:rPr>
        <w:t>储罐</w:t>
      </w:r>
      <w:r>
        <w:rPr>
          <w:rFonts w:hint="default" w:ascii="Times New Roman" w:hAnsi="Times New Roman" w:eastAsia="仿宋_GB2312" w:cs="Times New Roman"/>
          <w:color w:val="auto"/>
          <w:spacing w:val="0"/>
          <w:kern w:val="0"/>
          <w:position w:val="0"/>
          <w:sz w:val="24"/>
          <w:szCs w:val="24"/>
        </w:rPr>
        <w:t>、危废库、污水处理</w:t>
      </w:r>
      <w:r>
        <w:rPr>
          <w:rFonts w:hint="eastAsia" w:ascii="Times New Roman" w:hAnsi="Times New Roman" w:eastAsia="仿宋_GB2312" w:cs="Times New Roman"/>
          <w:color w:val="auto"/>
          <w:spacing w:val="0"/>
          <w:kern w:val="0"/>
          <w:position w:val="0"/>
          <w:sz w:val="24"/>
          <w:szCs w:val="24"/>
          <w:lang w:val="en-US" w:eastAsia="zh-CN"/>
        </w:rPr>
        <w:t>系统</w:t>
      </w:r>
      <w:r>
        <w:rPr>
          <w:rFonts w:hint="default" w:ascii="Times New Roman" w:hAnsi="Times New Roman" w:eastAsia="仿宋_GB2312" w:cs="Times New Roman"/>
          <w:color w:val="auto"/>
          <w:spacing w:val="0"/>
          <w:kern w:val="0"/>
          <w:position w:val="0"/>
          <w:sz w:val="24"/>
          <w:szCs w:val="24"/>
        </w:rPr>
        <w:t>等，生产装置区、</w:t>
      </w:r>
      <w:r>
        <w:rPr>
          <w:rFonts w:hint="eastAsia" w:ascii="Times New Roman" w:hAnsi="Times New Roman" w:eastAsia="仿宋_GB2312" w:cs="Times New Roman"/>
          <w:color w:val="auto"/>
          <w:spacing w:val="0"/>
          <w:kern w:val="0"/>
          <w:position w:val="0"/>
          <w:sz w:val="24"/>
          <w:szCs w:val="24"/>
          <w:lang w:val="en-US" w:eastAsia="zh-CN"/>
        </w:rPr>
        <w:t>原料储罐区</w:t>
      </w:r>
      <w:r>
        <w:rPr>
          <w:rFonts w:hint="default" w:ascii="Times New Roman" w:hAnsi="Times New Roman" w:eastAsia="仿宋_GB2312" w:cs="Times New Roman"/>
          <w:color w:val="auto"/>
          <w:spacing w:val="0"/>
          <w:kern w:val="0"/>
          <w:position w:val="0"/>
          <w:sz w:val="24"/>
          <w:szCs w:val="24"/>
        </w:rPr>
        <w:t>发生泄漏或危废管理不当，会流入土壤及地下水中会造成污染。</w:t>
      </w:r>
    </w:p>
    <w:p w14:paraId="657E80BF">
      <w:pPr>
        <w:pageBreakBefore w:val="0"/>
        <w:kinsoku/>
        <w:wordWrap/>
        <w:bidi w:val="0"/>
        <w:adjustRightInd w:val="0"/>
        <w:snapToGrid w:val="0"/>
        <w:spacing w:beforeAutospacing="0" w:afterAutospacing="0" w:line="500" w:lineRule="exact"/>
        <w:ind w:left="0" w:leftChars="0" w:right="0"/>
        <w:jc w:val="center"/>
        <w:rPr>
          <w:rFonts w:hint="default" w:ascii="Times New Roman" w:hAnsi="Times New Roman" w:eastAsia="仿宋_GB2312" w:cs="Times New Roman"/>
          <w:b/>
          <w:color w:val="auto"/>
          <w:spacing w:val="0"/>
          <w:kern w:val="0"/>
          <w:position w:val="0"/>
          <w:sz w:val="24"/>
          <w:szCs w:val="24"/>
          <w:lang w:val="en-US" w:eastAsia="zh-CN"/>
        </w:rPr>
      </w:pPr>
      <w:r>
        <w:rPr>
          <w:rFonts w:hint="default" w:ascii="Times New Roman" w:hAnsi="Times New Roman" w:eastAsia="仿宋_GB2312" w:cs="Times New Roman"/>
          <w:b/>
          <w:color w:val="auto"/>
          <w:spacing w:val="0"/>
          <w:kern w:val="0"/>
          <w:position w:val="0"/>
          <w:sz w:val="24"/>
          <w:szCs w:val="24"/>
          <w:lang w:val="en-US" w:eastAsia="zh-CN"/>
        </w:rPr>
        <w:t>表2.6-</w:t>
      </w:r>
      <w:r>
        <w:rPr>
          <w:rFonts w:hint="eastAsia" w:ascii="Times New Roman" w:hAnsi="Times New Roman" w:eastAsia="仿宋_GB2312" w:cs="Times New Roman"/>
          <w:b/>
          <w:color w:val="auto"/>
          <w:spacing w:val="0"/>
          <w:kern w:val="0"/>
          <w:position w:val="0"/>
          <w:sz w:val="24"/>
          <w:szCs w:val="24"/>
          <w:lang w:val="en-US" w:eastAsia="zh-CN"/>
        </w:rPr>
        <w:t>2</w:t>
      </w:r>
      <w:r>
        <w:rPr>
          <w:rFonts w:hint="default" w:ascii="Times New Roman" w:hAnsi="Times New Roman" w:eastAsia="仿宋_GB2312" w:cs="Times New Roman"/>
          <w:b/>
          <w:color w:val="auto"/>
          <w:spacing w:val="0"/>
          <w:kern w:val="0"/>
          <w:position w:val="0"/>
          <w:sz w:val="24"/>
          <w:szCs w:val="24"/>
          <w:lang w:val="en-US" w:eastAsia="zh-CN"/>
        </w:rPr>
        <w:t xml:space="preserve">  本项目风险物质事故状况下的转移途径一览表</w:t>
      </w:r>
    </w:p>
    <w:tbl>
      <w:tblPr>
        <w:tblStyle w:val="98"/>
        <w:tblW w:w="5000"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Layout w:type="fixed"/>
        <w:tblCellMar>
          <w:top w:w="0" w:type="dxa"/>
          <w:left w:w="0" w:type="dxa"/>
          <w:bottom w:w="0" w:type="dxa"/>
          <w:right w:w="0" w:type="dxa"/>
        </w:tblCellMar>
      </w:tblPr>
      <w:tblGrid>
        <w:gridCol w:w="1511"/>
        <w:gridCol w:w="1511"/>
        <w:gridCol w:w="1511"/>
        <w:gridCol w:w="1511"/>
        <w:gridCol w:w="1511"/>
        <w:gridCol w:w="1515"/>
      </w:tblGrid>
      <w:tr w14:paraId="1C0FEC78">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7" w:hRule="atLeast"/>
          <w:jc w:val="center"/>
        </w:trPr>
        <w:tc>
          <w:tcPr>
            <w:tcW w:w="1499" w:type="dxa"/>
            <w:vMerge w:val="restart"/>
            <w:tcBorders>
              <w:tl2br w:val="nil"/>
              <w:tr2bl w:val="nil"/>
            </w:tcBorders>
            <w:noWrap w:val="0"/>
            <w:vAlign w:val="center"/>
          </w:tcPr>
          <w:p w14:paraId="7717C229">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
                <w:bCs/>
                <w:color w:val="auto"/>
                <w:spacing w:val="0"/>
                <w:kern w:val="0"/>
                <w:position w:val="0"/>
                <w:lang w:val="en-US" w:eastAsia="zh-CN"/>
              </w:rPr>
            </w:pPr>
            <w:r>
              <w:rPr>
                <w:rFonts w:hint="default" w:ascii="Times New Roman" w:hAnsi="Times New Roman" w:eastAsia="仿宋_GB2312" w:cs="Times New Roman"/>
                <w:b/>
                <w:bCs/>
                <w:color w:val="auto"/>
                <w:spacing w:val="0"/>
                <w:kern w:val="0"/>
                <w:position w:val="0"/>
                <w:lang w:val="en-US" w:eastAsia="zh-CN"/>
              </w:rPr>
              <w:t>事故类型</w:t>
            </w:r>
          </w:p>
        </w:tc>
        <w:tc>
          <w:tcPr>
            <w:tcW w:w="1499" w:type="dxa"/>
            <w:vMerge w:val="restart"/>
            <w:tcBorders>
              <w:tl2br w:val="nil"/>
              <w:tr2bl w:val="nil"/>
            </w:tcBorders>
            <w:noWrap w:val="0"/>
            <w:vAlign w:val="center"/>
          </w:tcPr>
          <w:p w14:paraId="152B0A2F">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
                <w:bCs/>
                <w:color w:val="auto"/>
                <w:spacing w:val="0"/>
                <w:kern w:val="0"/>
                <w:position w:val="0"/>
                <w:lang w:val="en-US" w:eastAsia="zh-CN"/>
              </w:rPr>
            </w:pPr>
            <w:r>
              <w:rPr>
                <w:rFonts w:hint="default" w:ascii="Times New Roman" w:hAnsi="Times New Roman" w:eastAsia="仿宋_GB2312" w:cs="Times New Roman"/>
                <w:b/>
                <w:bCs/>
                <w:color w:val="auto"/>
                <w:spacing w:val="0"/>
                <w:kern w:val="0"/>
                <w:position w:val="0"/>
                <w:lang w:val="en-US" w:eastAsia="zh-CN"/>
              </w:rPr>
              <w:t>事故位置</w:t>
            </w:r>
          </w:p>
        </w:tc>
        <w:tc>
          <w:tcPr>
            <w:tcW w:w="1499" w:type="dxa"/>
            <w:vMerge w:val="restart"/>
            <w:tcBorders>
              <w:tl2br w:val="nil"/>
              <w:tr2bl w:val="nil"/>
            </w:tcBorders>
            <w:noWrap w:val="0"/>
            <w:vAlign w:val="center"/>
          </w:tcPr>
          <w:p w14:paraId="2A083872">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
                <w:bCs/>
                <w:color w:val="auto"/>
                <w:spacing w:val="0"/>
                <w:kern w:val="0"/>
                <w:position w:val="0"/>
                <w:lang w:val="en-US" w:eastAsia="zh-CN"/>
              </w:rPr>
            </w:pPr>
            <w:r>
              <w:rPr>
                <w:rFonts w:hint="default" w:ascii="Times New Roman" w:hAnsi="Times New Roman" w:eastAsia="仿宋_GB2312" w:cs="Times New Roman"/>
                <w:b/>
                <w:bCs/>
                <w:color w:val="auto"/>
                <w:spacing w:val="0"/>
                <w:kern w:val="0"/>
                <w:position w:val="0"/>
                <w:lang w:val="en-US" w:eastAsia="zh-CN"/>
              </w:rPr>
              <w:t>事故危害形式</w:t>
            </w:r>
          </w:p>
        </w:tc>
        <w:tc>
          <w:tcPr>
            <w:tcW w:w="4500" w:type="dxa"/>
            <w:gridSpan w:val="3"/>
            <w:tcBorders>
              <w:tl2br w:val="nil"/>
              <w:tr2bl w:val="nil"/>
            </w:tcBorders>
            <w:noWrap w:val="0"/>
            <w:vAlign w:val="center"/>
          </w:tcPr>
          <w:p w14:paraId="69D9902F">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
                <w:bCs/>
                <w:color w:val="auto"/>
                <w:spacing w:val="0"/>
                <w:kern w:val="0"/>
                <w:position w:val="0"/>
                <w:lang w:val="en-US" w:eastAsia="zh-CN"/>
              </w:rPr>
            </w:pPr>
            <w:r>
              <w:rPr>
                <w:rFonts w:hint="default" w:ascii="Times New Roman" w:hAnsi="Times New Roman" w:eastAsia="仿宋_GB2312" w:cs="Times New Roman"/>
                <w:b/>
                <w:bCs/>
                <w:color w:val="auto"/>
                <w:spacing w:val="0"/>
                <w:kern w:val="0"/>
                <w:position w:val="0"/>
                <w:lang w:val="en-US" w:eastAsia="zh-CN"/>
              </w:rPr>
              <w:t>危害后果</w:t>
            </w:r>
          </w:p>
        </w:tc>
      </w:tr>
      <w:tr w14:paraId="0A5D3FED">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1499" w:type="dxa"/>
            <w:vMerge w:val="continue"/>
            <w:tcBorders>
              <w:tl2br w:val="nil"/>
              <w:tr2bl w:val="nil"/>
            </w:tcBorders>
            <w:noWrap w:val="0"/>
            <w:vAlign w:val="center"/>
          </w:tcPr>
          <w:p w14:paraId="546B086B">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p>
        </w:tc>
        <w:tc>
          <w:tcPr>
            <w:tcW w:w="1499" w:type="dxa"/>
            <w:vMerge w:val="continue"/>
            <w:tcBorders>
              <w:tl2br w:val="nil"/>
              <w:tr2bl w:val="nil"/>
            </w:tcBorders>
            <w:noWrap w:val="0"/>
            <w:vAlign w:val="center"/>
          </w:tcPr>
          <w:p w14:paraId="5903B400">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p>
        </w:tc>
        <w:tc>
          <w:tcPr>
            <w:tcW w:w="1499" w:type="dxa"/>
            <w:vMerge w:val="continue"/>
            <w:tcBorders>
              <w:tl2br w:val="nil"/>
              <w:tr2bl w:val="nil"/>
            </w:tcBorders>
            <w:noWrap w:val="0"/>
            <w:vAlign w:val="center"/>
          </w:tcPr>
          <w:p w14:paraId="6FD5B497">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p>
        </w:tc>
        <w:tc>
          <w:tcPr>
            <w:tcW w:w="1499" w:type="dxa"/>
            <w:tcBorders>
              <w:tl2br w:val="nil"/>
              <w:tr2bl w:val="nil"/>
            </w:tcBorders>
            <w:noWrap w:val="0"/>
            <w:vAlign w:val="center"/>
          </w:tcPr>
          <w:p w14:paraId="42E30BF5">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
                <w:bCs/>
                <w:color w:val="auto"/>
                <w:spacing w:val="0"/>
                <w:kern w:val="0"/>
                <w:position w:val="0"/>
                <w:lang w:val="en-US" w:eastAsia="zh-CN"/>
              </w:rPr>
            </w:pPr>
            <w:r>
              <w:rPr>
                <w:rFonts w:hint="default" w:ascii="Times New Roman" w:hAnsi="Times New Roman" w:eastAsia="仿宋_GB2312" w:cs="Times New Roman"/>
                <w:b/>
                <w:bCs/>
                <w:color w:val="auto"/>
                <w:spacing w:val="0"/>
                <w:kern w:val="0"/>
                <w:position w:val="0"/>
                <w:lang w:val="en-US" w:eastAsia="zh-CN"/>
              </w:rPr>
              <w:t>大气污染</w:t>
            </w:r>
          </w:p>
        </w:tc>
        <w:tc>
          <w:tcPr>
            <w:tcW w:w="1499" w:type="dxa"/>
            <w:tcBorders>
              <w:tl2br w:val="nil"/>
              <w:tr2bl w:val="nil"/>
            </w:tcBorders>
            <w:noWrap w:val="0"/>
            <w:vAlign w:val="center"/>
          </w:tcPr>
          <w:p w14:paraId="39D38192">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
                <w:bCs/>
                <w:color w:val="auto"/>
                <w:spacing w:val="0"/>
                <w:kern w:val="0"/>
                <w:position w:val="0"/>
                <w:lang w:val="en-US" w:eastAsia="zh-CN"/>
              </w:rPr>
            </w:pPr>
            <w:r>
              <w:rPr>
                <w:rFonts w:hint="default" w:ascii="Times New Roman" w:hAnsi="Times New Roman" w:eastAsia="仿宋_GB2312" w:cs="Times New Roman"/>
                <w:b/>
                <w:bCs/>
                <w:color w:val="auto"/>
                <w:spacing w:val="0"/>
                <w:kern w:val="0"/>
                <w:position w:val="0"/>
                <w:lang w:val="en-US" w:eastAsia="zh-CN"/>
              </w:rPr>
              <w:t>水污染</w:t>
            </w:r>
          </w:p>
        </w:tc>
        <w:tc>
          <w:tcPr>
            <w:tcW w:w="1502" w:type="dxa"/>
            <w:tcBorders>
              <w:tl2br w:val="nil"/>
              <w:tr2bl w:val="nil"/>
            </w:tcBorders>
            <w:noWrap w:val="0"/>
            <w:vAlign w:val="center"/>
          </w:tcPr>
          <w:p w14:paraId="1B358DD1">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
                <w:bCs/>
                <w:color w:val="auto"/>
                <w:spacing w:val="0"/>
                <w:kern w:val="0"/>
                <w:position w:val="0"/>
                <w:lang w:val="en-US" w:eastAsia="zh-CN"/>
              </w:rPr>
            </w:pPr>
            <w:r>
              <w:rPr>
                <w:rFonts w:hint="default" w:ascii="Times New Roman" w:hAnsi="Times New Roman" w:eastAsia="仿宋_GB2312" w:cs="Times New Roman"/>
                <w:b/>
                <w:bCs/>
                <w:color w:val="auto"/>
                <w:spacing w:val="0"/>
                <w:kern w:val="0"/>
                <w:position w:val="0"/>
                <w:lang w:val="en-US" w:eastAsia="zh-CN"/>
              </w:rPr>
              <w:t>土壤污染</w:t>
            </w:r>
          </w:p>
        </w:tc>
      </w:tr>
      <w:tr w14:paraId="2B5F7E2C">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1499" w:type="dxa"/>
            <w:vMerge w:val="restart"/>
            <w:tcBorders>
              <w:tl2br w:val="nil"/>
              <w:tr2bl w:val="nil"/>
            </w:tcBorders>
            <w:noWrap w:val="0"/>
            <w:vAlign w:val="center"/>
          </w:tcPr>
          <w:p w14:paraId="2FC00087">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泄露</w:t>
            </w:r>
          </w:p>
        </w:tc>
        <w:tc>
          <w:tcPr>
            <w:tcW w:w="1499" w:type="dxa"/>
            <w:vMerge w:val="restart"/>
            <w:tcBorders>
              <w:tl2br w:val="nil"/>
              <w:tr2bl w:val="nil"/>
            </w:tcBorders>
            <w:noWrap w:val="0"/>
            <w:vAlign w:val="center"/>
          </w:tcPr>
          <w:p w14:paraId="5E259E1B">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生产车间、原料</w:t>
            </w:r>
            <w:r>
              <w:rPr>
                <w:rFonts w:hint="eastAsia" w:ascii="Times New Roman" w:hAnsi="Times New Roman" w:eastAsia="仿宋_GB2312" w:cs="Times New Roman"/>
                <w:color w:val="auto"/>
                <w:spacing w:val="0"/>
                <w:kern w:val="0"/>
                <w:position w:val="0"/>
                <w:lang w:val="en-US" w:eastAsia="zh-CN"/>
              </w:rPr>
              <w:t>储罐</w:t>
            </w:r>
            <w:r>
              <w:rPr>
                <w:rFonts w:hint="default" w:ascii="Times New Roman" w:hAnsi="Times New Roman" w:eastAsia="仿宋_GB2312" w:cs="Times New Roman"/>
                <w:color w:val="auto"/>
                <w:spacing w:val="0"/>
                <w:kern w:val="0"/>
                <w:position w:val="0"/>
                <w:lang w:val="en-US" w:eastAsia="zh-CN"/>
              </w:rPr>
              <w:t>、危废仓库、污水</w:t>
            </w:r>
            <w:r>
              <w:rPr>
                <w:rFonts w:hint="eastAsia" w:ascii="Times New Roman" w:hAnsi="Times New Roman" w:eastAsia="仿宋_GB2312" w:cs="Times New Roman"/>
                <w:color w:val="auto"/>
                <w:spacing w:val="0"/>
                <w:kern w:val="0"/>
                <w:position w:val="0"/>
                <w:lang w:val="en-US" w:eastAsia="zh-CN"/>
              </w:rPr>
              <w:t>处理系统</w:t>
            </w:r>
          </w:p>
        </w:tc>
        <w:tc>
          <w:tcPr>
            <w:tcW w:w="1499" w:type="dxa"/>
            <w:tcBorders>
              <w:tl2br w:val="nil"/>
              <w:tr2bl w:val="nil"/>
            </w:tcBorders>
            <w:noWrap w:val="0"/>
            <w:vAlign w:val="center"/>
          </w:tcPr>
          <w:p w14:paraId="565EE8F0">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气态</w:t>
            </w:r>
          </w:p>
        </w:tc>
        <w:tc>
          <w:tcPr>
            <w:tcW w:w="1499" w:type="dxa"/>
            <w:tcBorders>
              <w:tl2br w:val="nil"/>
              <w:tr2bl w:val="nil"/>
            </w:tcBorders>
            <w:noWrap w:val="0"/>
            <w:vAlign w:val="center"/>
          </w:tcPr>
          <w:p w14:paraId="631D5DC1">
            <w:pPr>
              <w:pageBreakBefore w:val="0"/>
              <w:kinsoku/>
              <w:wordWrap/>
              <w:bidi w:val="0"/>
              <w:adjustRightInd w:val="0"/>
              <w:snapToGrid w:val="0"/>
              <w:spacing w:beforeAutospacing="0" w:afterAutospacing="0" w:line="240" w:lineRule="auto"/>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扩散</w:t>
            </w:r>
          </w:p>
        </w:tc>
        <w:tc>
          <w:tcPr>
            <w:tcW w:w="1499" w:type="dxa"/>
            <w:tcBorders>
              <w:tl2br w:val="nil"/>
              <w:tr2bl w:val="nil"/>
            </w:tcBorders>
            <w:noWrap w:val="0"/>
            <w:vAlign w:val="center"/>
          </w:tcPr>
          <w:p w14:paraId="1BDB8B8A">
            <w:pPr>
              <w:pageBreakBefore w:val="0"/>
              <w:kinsoku/>
              <w:wordWrap/>
              <w:bidi w:val="0"/>
              <w:adjustRightInd w:val="0"/>
              <w:snapToGrid w:val="0"/>
              <w:spacing w:beforeAutospacing="0" w:afterAutospacing="0" w:line="240" w:lineRule="auto"/>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w:t>
            </w:r>
          </w:p>
        </w:tc>
        <w:tc>
          <w:tcPr>
            <w:tcW w:w="1502" w:type="dxa"/>
            <w:tcBorders>
              <w:tl2br w:val="nil"/>
              <w:tr2bl w:val="nil"/>
            </w:tcBorders>
            <w:noWrap w:val="0"/>
            <w:vAlign w:val="center"/>
          </w:tcPr>
          <w:p w14:paraId="5C710105">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w:t>
            </w:r>
          </w:p>
        </w:tc>
      </w:tr>
      <w:tr w14:paraId="43DEE5DE">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1499" w:type="dxa"/>
            <w:vMerge w:val="continue"/>
            <w:tcBorders>
              <w:tl2br w:val="nil"/>
              <w:tr2bl w:val="nil"/>
            </w:tcBorders>
            <w:noWrap w:val="0"/>
            <w:vAlign w:val="center"/>
          </w:tcPr>
          <w:p w14:paraId="0B2B65D3">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p>
        </w:tc>
        <w:tc>
          <w:tcPr>
            <w:tcW w:w="1499" w:type="dxa"/>
            <w:vMerge w:val="continue"/>
            <w:tcBorders>
              <w:tl2br w:val="nil"/>
              <w:tr2bl w:val="nil"/>
            </w:tcBorders>
            <w:noWrap w:val="0"/>
            <w:vAlign w:val="center"/>
          </w:tcPr>
          <w:p w14:paraId="14280FE8">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p>
        </w:tc>
        <w:tc>
          <w:tcPr>
            <w:tcW w:w="1499" w:type="dxa"/>
            <w:tcBorders>
              <w:tl2br w:val="nil"/>
              <w:tr2bl w:val="nil"/>
            </w:tcBorders>
            <w:noWrap w:val="0"/>
            <w:vAlign w:val="center"/>
          </w:tcPr>
          <w:p w14:paraId="36C22CBF">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液态</w:t>
            </w:r>
          </w:p>
        </w:tc>
        <w:tc>
          <w:tcPr>
            <w:tcW w:w="1499" w:type="dxa"/>
            <w:tcBorders>
              <w:tl2br w:val="nil"/>
              <w:tr2bl w:val="nil"/>
            </w:tcBorders>
            <w:noWrap w:val="0"/>
            <w:vAlign w:val="center"/>
          </w:tcPr>
          <w:p w14:paraId="2D1B27C1">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w:t>
            </w:r>
          </w:p>
        </w:tc>
        <w:tc>
          <w:tcPr>
            <w:tcW w:w="1499" w:type="dxa"/>
            <w:tcBorders>
              <w:tl2br w:val="nil"/>
              <w:tr2bl w:val="nil"/>
            </w:tcBorders>
            <w:noWrap w:val="0"/>
            <w:vAlign w:val="center"/>
          </w:tcPr>
          <w:p w14:paraId="7F7B8E42">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漫流</w:t>
            </w:r>
          </w:p>
        </w:tc>
        <w:tc>
          <w:tcPr>
            <w:tcW w:w="1502" w:type="dxa"/>
            <w:tcBorders>
              <w:tl2br w:val="nil"/>
              <w:tr2bl w:val="nil"/>
            </w:tcBorders>
            <w:noWrap w:val="0"/>
            <w:vAlign w:val="center"/>
          </w:tcPr>
          <w:p w14:paraId="4A1118BD">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渗透、吸收</w:t>
            </w:r>
          </w:p>
        </w:tc>
      </w:tr>
      <w:tr w14:paraId="7D071E23">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1499" w:type="dxa"/>
            <w:vMerge w:val="restart"/>
            <w:tcBorders>
              <w:tl2br w:val="nil"/>
              <w:tr2bl w:val="nil"/>
            </w:tcBorders>
            <w:noWrap w:val="0"/>
            <w:vAlign w:val="center"/>
          </w:tcPr>
          <w:p w14:paraId="4BCC00CB">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火灾引发的次伴生污染</w:t>
            </w:r>
          </w:p>
        </w:tc>
        <w:tc>
          <w:tcPr>
            <w:tcW w:w="1499" w:type="dxa"/>
            <w:vMerge w:val="restart"/>
            <w:tcBorders>
              <w:tl2br w:val="nil"/>
              <w:tr2bl w:val="nil"/>
            </w:tcBorders>
            <w:noWrap w:val="0"/>
            <w:vAlign w:val="center"/>
          </w:tcPr>
          <w:p w14:paraId="0ED88CDB">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原料</w:t>
            </w:r>
            <w:r>
              <w:rPr>
                <w:rFonts w:hint="eastAsia" w:ascii="Times New Roman" w:hAnsi="Times New Roman" w:eastAsia="仿宋_GB2312" w:cs="Times New Roman"/>
                <w:color w:val="auto"/>
                <w:spacing w:val="0"/>
                <w:kern w:val="0"/>
                <w:position w:val="0"/>
                <w:lang w:val="en-US" w:eastAsia="zh-CN"/>
              </w:rPr>
              <w:t>储罐</w:t>
            </w:r>
          </w:p>
        </w:tc>
        <w:tc>
          <w:tcPr>
            <w:tcW w:w="1499" w:type="dxa"/>
            <w:tcBorders>
              <w:tl2br w:val="nil"/>
              <w:tr2bl w:val="nil"/>
            </w:tcBorders>
            <w:noWrap w:val="0"/>
            <w:vAlign w:val="center"/>
          </w:tcPr>
          <w:p w14:paraId="0DB08CE0">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毒物蒸发</w:t>
            </w:r>
          </w:p>
        </w:tc>
        <w:tc>
          <w:tcPr>
            <w:tcW w:w="1499" w:type="dxa"/>
            <w:tcBorders>
              <w:tl2br w:val="nil"/>
              <w:tr2bl w:val="nil"/>
            </w:tcBorders>
            <w:noWrap w:val="0"/>
            <w:vAlign w:val="center"/>
          </w:tcPr>
          <w:p w14:paraId="05195AC7">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扩散</w:t>
            </w:r>
          </w:p>
        </w:tc>
        <w:tc>
          <w:tcPr>
            <w:tcW w:w="1499" w:type="dxa"/>
            <w:tcBorders>
              <w:tl2br w:val="nil"/>
              <w:tr2bl w:val="nil"/>
            </w:tcBorders>
            <w:noWrap w:val="0"/>
            <w:vAlign w:val="center"/>
          </w:tcPr>
          <w:p w14:paraId="4C8088D7">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w:t>
            </w:r>
          </w:p>
        </w:tc>
        <w:tc>
          <w:tcPr>
            <w:tcW w:w="1502" w:type="dxa"/>
            <w:tcBorders>
              <w:tl2br w:val="nil"/>
              <w:tr2bl w:val="nil"/>
            </w:tcBorders>
            <w:noWrap w:val="0"/>
            <w:vAlign w:val="center"/>
          </w:tcPr>
          <w:p w14:paraId="22752713">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w:t>
            </w:r>
          </w:p>
        </w:tc>
      </w:tr>
      <w:tr w14:paraId="2CF217BF">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1499" w:type="dxa"/>
            <w:vMerge w:val="continue"/>
            <w:tcBorders>
              <w:tl2br w:val="nil"/>
              <w:tr2bl w:val="nil"/>
            </w:tcBorders>
            <w:noWrap w:val="0"/>
            <w:vAlign w:val="center"/>
          </w:tcPr>
          <w:p w14:paraId="0D7916A4">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p>
        </w:tc>
        <w:tc>
          <w:tcPr>
            <w:tcW w:w="1499" w:type="dxa"/>
            <w:vMerge w:val="continue"/>
            <w:tcBorders>
              <w:tl2br w:val="nil"/>
              <w:tr2bl w:val="nil"/>
            </w:tcBorders>
            <w:noWrap w:val="0"/>
            <w:vAlign w:val="center"/>
          </w:tcPr>
          <w:p w14:paraId="66D7298E">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p>
        </w:tc>
        <w:tc>
          <w:tcPr>
            <w:tcW w:w="1499" w:type="dxa"/>
            <w:tcBorders>
              <w:tl2br w:val="nil"/>
              <w:tr2bl w:val="nil"/>
            </w:tcBorders>
            <w:noWrap w:val="0"/>
            <w:vAlign w:val="center"/>
          </w:tcPr>
          <w:p w14:paraId="6976565F">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烟雾</w:t>
            </w:r>
          </w:p>
        </w:tc>
        <w:tc>
          <w:tcPr>
            <w:tcW w:w="1499" w:type="dxa"/>
            <w:tcBorders>
              <w:tl2br w:val="nil"/>
              <w:tr2bl w:val="nil"/>
            </w:tcBorders>
            <w:noWrap w:val="0"/>
            <w:vAlign w:val="center"/>
          </w:tcPr>
          <w:p w14:paraId="2BA8DF7E">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扩散</w:t>
            </w:r>
          </w:p>
        </w:tc>
        <w:tc>
          <w:tcPr>
            <w:tcW w:w="1499" w:type="dxa"/>
            <w:tcBorders>
              <w:tl2br w:val="nil"/>
              <w:tr2bl w:val="nil"/>
            </w:tcBorders>
            <w:noWrap w:val="0"/>
            <w:vAlign w:val="center"/>
          </w:tcPr>
          <w:p w14:paraId="1E8D5A51">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w:t>
            </w:r>
          </w:p>
        </w:tc>
        <w:tc>
          <w:tcPr>
            <w:tcW w:w="1502" w:type="dxa"/>
            <w:tcBorders>
              <w:tl2br w:val="nil"/>
              <w:tr2bl w:val="nil"/>
            </w:tcBorders>
            <w:noWrap w:val="0"/>
            <w:vAlign w:val="center"/>
          </w:tcPr>
          <w:p w14:paraId="61AC33A0">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w:t>
            </w:r>
          </w:p>
        </w:tc>
      </w:tr>
      <w:tr w14:paraId="2F8953A0">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1499" w:type="dxa"/>
            <w:vMerge w:val="continue"/>
            <w:tcBorders>
              <w:tl2br w:val="nil"/>
              <w:tr2bl w:val="nil"/>
            </w:tcBorders>
            <w:noWrap w:val="0"/>
            <w:vAlign w:val="center"/>
          </w:tcPr>
          <w:p w14:paraId="66AAEB2D">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p>
        </w:tc>
        <w:tc>
          <w:tcPr>
            <w:tcW w:w="1499" w:type="dxa"/>
            <w:vMerge w:val="continue"/>
            <w:tcBorders>
              <w:tl2br w:val="nil"/>
              <w:tr2bl w:val="nil"/>
            </w:tcBorders>
            <w:noWrap w:val="0"/>
            <w:vAlign w:val="center"/>
          </w:tcPr>
          <w:p w14:paraId="55D7BD48">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p>
        </w:tc>
        <w:tc>
          <w:tcPr>
            <w:tcW w:w="1499" w:type="dxa"/>
            <w:tcBorders>
              <w:tl2br w:val="nil"/>
              <w:tr2bl w:val="nil"/>
            </w:tcBorders>
            <w:noWrap w:val="0"/>
            <w:vAlign w:val="center"/>
          </w:tcPr>
          <w:p w14:paraId="39B4DC94">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伴生毒物</w:t>
            </w:r>
          </w:p>
        </w:tc>
        <w:tc>
          <w:tcPr>
            <w:tcW w:w="1499" w:type="dxa"/>
            <w:tcBorders>
              <w:tl2br w:val="nil"/>
              <w:tr2bl w:val="nil"/>
            </w:tcBorders>
            <w:noWrap w:val="0"/>
            <w:vAlign w:val="center"/>
          </w:tcPr>
          <w:p w14:paraId="7DBC3DD9">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扩散</w:t>
            </w:r>
          </w:p>
        </w:tc>
        <w:tc>
          <w:tcPr>
            <w:tcW w:w="1499" w:type="dxa"/>
            <w:tcBorders>
              <w:tl2br w:val="nil"/>
              <w:tr2bl w:val="nil"/>
            </w:tcBorders>
            <w:noWrap w:val="0"/>
            <w:vAlign w:val="center"/>
          </w:tcPr>
          <w:p w14:paraId="244828F3">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w:t>
            </w:r>
          </w:p>
        </w:tc>
        <w:tc>
          <w:tcPr>
            <w:tcW w:w="1502" w:type="dxa"/>
            <w:tcBorders>
              <w:tl2br w:val="nil"/>
              <w:tr2bl w:val="nil"/>
            </w:tcBorders>
            <w:noWrap w:val="0"/>
            <w:vAlign w:val="center"/>
          </w:tcPr>
          <w:p w14:paraId="61BBE01F">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w:t>
            </w:r>
          </w:p>
        </w:tc>
      </w:tr>
      <w:tr w14:paraId="6FE98EC5">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1499" w:type="dxa"/>
            <w:vMerge w:val="continue"/>
            <w:tcBorders>
              <w:tl2br w:val="nil"/>
              <w:tr2bl w:val="nil"/>
            </w:tcBorders>
            <w:noWrap w:val="0"/>
            <w:vAlign w:val="center"/>
          </w:tcPr>
          <w:p w14:paraId="256E1820">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p>
        </w:tc>
        <w:tc>
          <w:tcPr>
            <w:tcW w:w="1499" w:type="dxa"/>
            <w:vMerge w:val="continue"/>
            <w:tcBorders>
              <w:tl2br w:val="nil"/>
              <w:tr2bl w:val="nil"/>
            </w:tcBorders>
            <w:noWrap w:val="0"/>
            <w:vAlign w:val="center"/>
          </w:tcPr>
          <w:p w14:paraId="4BF833C5">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p>
        </w:tc>
        <w:tc>
          <w:tcPr>
            <w:tcW w:w="1499" w:type="dxa"/>
            <w:tcBorders>
              <w:tl2br w:val="nil"/>
              <w:tr2bl w:val="nil"/>
            </w:tcBorders>
            <w:noWrap w:val="0"/>
            <w:vAlign w:val="center"/>
          </w:tcPr>
          <w:p w14:paraId="57DED861">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消防废水</w:t>
            </w:r>
          </w:p>
        </w:tc>
        <w:tc>
          <w:tcPr>
            <w:tcW w:w="1499" w:type="dxa"/>
            <w:tcBorders>
              <w:tl2br w:val="nil"/>
              <w:tr2bl w:val="nil"/>
            </w:tcBorders>
            <w:noWrap w:val="0"/>
            <w:vAlign w:val="center"/>
          </w:tcPr>
          <w:p w14:paraId="5F61B968">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w:t>
            </w:r>
          </w:p>
        </w:tc>
        <w:tc>
          <w:tcPr>
            <w:tcW w:w="1499" w:type="dxa"/>
            <w:tcBorders>
              <w:tl2br w:val="nil"/>
              <w:tr2bl w:val="nil"/>
            </w:tcBorders>
            <w:noWrap w:val="0"/>
            <w:vAlign w:val="center"/>
          </w:tcPr>
          <w:p w14:paraId="68EFAB8B">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雨水、消防废水</w:t>
            </w:r>
          </w:p>
        </w:tc>
        <w:tc>
          <w:tcPr>
            <w:tcW w:w="1502" w:type="dxa"/>
            <w:tcBorders>
              <w:tl2br w:val="nil"/>
              <w:tr2bl w:val="nil"/>
            </w:tcBorders>
            <w:noWrap w:val="0"/>
            <w:vAlign w:val="center"/>
          </w:tcPr>
          <w:p w14:paraId="708B0159">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渗透、吸收</w:t>
            </w:r>
          </w:p>
        </w:tc>
      </w:tr>
      <w:tr w14:paraId="58AD1C87">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1499" w:type="dxa"/>
            <w:vMerge w:val="continue"/>
            <w:tcBorders>
              <w:tl2br w:val="nil"/>
              <w:tr2bl w:val="nil"/>
            </w:tcBorders>
            <w:noWrap w:val="0"/>
            <w:vAlign w:val="center"/>
          </w:tcPr>
          <w:p w14:paraId="6DA0F8E4">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p>
        </w:tc>
        <w:tc>
          <w:tcPr>
            <w:tcW w:w="1499" w:type="dxa"/>
            <w:tcBorders>
              <w:tl2br w:val="nil"/>
              <w:tr2bl w:val="nil"/>
            </w:tcBorders>
            <w:noWrap w:val="0"/>
            <w:vAlign w:val="center"/>
          </w:tcPr>
          <w:p w14:paraId="11683CCD">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废气处理装置</w:t>
            </w:r>
          </w:p>
        </w:tc>
        <w:tc>
          <w:tcPr>
            <w:tcW w:w="1499" w:type="dxa"/>
            <w:tcBorders>
              <w:tl2br w:val="nil"/>
              <w:tr2bl w:val="nil"/>
            </w:tcBorders>
            <w:noWrap w:val="0"/>
            <w:vAlign w:val="center"/>
          </w:tcPr>
          <w:p w14:paraId="022E1B7E">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烟雾</w:t>
            </w:r>
          </w:p>
        </w:tc>
        <w:tc>
          <w:tcPr>
            <w:tcW w:w="1499" w:type="dxa"/>
            <w:tcBorders>
              <w:tl2br w:val="nil"/>
              <w:tr2bl w:val="nil"/>
            </w:tcBorders>
            <w:noWrap w:val="0"/>
            <w:vAlign w:val="center"/>
          </w:tcPr>
          <w:p w14:paraId="4EF0EDF9">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扩散</w:t>
            </w:r>
          </w:p>
        </w:tc>
        <w:tc>
          <w:tcPr>
            <w:tcW w:w="1499" w:type="dxa"/>
            <w:tcBorders>
              <w:tl2br w:val="nil"/>
              <w:tr2bl w:val="nil"/>
            </w:tcBorders>
            <w:noWrap w:val="0"/>
            <w:vAlign w:val="center"/>
          </w:tcPr>
          <w:p w14:paraId="093DCEDA">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w:t>
            </w:r>
          </w:p>
        </w:tc>
        <w:tc>
          <w:tcPr>
            <w:tcW w:w="1502" w:type="dxa"/>
            <w:tcBorders>
              <w:tl2br w:val="nil"/>
              <w:tr2bl w:val="nil"/>
            </w:tcBorders>
            <w:noWrap w:val="0"/>
            <w:vAlign w:val="center"/>
          </w:tcPr>
          <w:p w14:paraId="5454A5AF">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w:t>
            </w:r>
          </w:p>
        </w:tc>
      </w:tr>
      <w:tr w14:paraId="6B5C7EE3">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1499" w:type="dxa"/>
            <w:vMerge w:val="restart"/>
            <w:tcBorders>
              <w:tl2br w:val="nil"/>
              <w:tr2bl w:val="nil"/>
            </w:tcBorders>
            <w:noWrap w:val="0"/>
            <w:vAlign w:val="center"/>
          </w:tcPr>
          <w:p w14:paraId="61D6BE5A">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爆炸引发的次伴生污染</w:t>
            </w:r>
          </w:p>
        </w:tc>
        <w:tc>
          <w:tcPr>
            <w:tcW w:w="1499" w:type="dxa"/>
            <w:vMerge w:val="restart"/>
            <w:tcBorders>
              <w:tl2br w:val="nil"/>
              <w:tr2bl w:val="nil"/>
            </w:tcBorders>
            <w:noWrap w:val="0"/>
            <w:vAlign w:val="center"/>
          </w:tcPr>
          <w:p w14:paraId="2EF75B09">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原料</w:t>
            </w:r>
            <w:r>
              <w:rPr>
                <w:rFonts w:hint="eastAsia" w:ascii="Times New Roman" w:hAnsi="Times New Roman" w:eastAsia="仿宋_GB2312" w:cs="Times New Roman"/>
                <w:color w:val="auto"/>
                <w:spacing w:val="0"/>
                <w:kern w:val="0"/>
                <w:position w:val="0"/>
                <w:lang w:val="en-US" w:eastAsia="zh-CN"/>
              </w:rPr>
              <w:t>储罐</w:t>
            </w:r>
          </w:p>
        </w:tc>
        <w:tc>
          <w:tcPr>
            <w:tcW w:w="1499" w:type="dxa"/>
            <w:tcBorders>
              <w:tl2br w:val="nil"/>
              <w:tr2bl w:val="nil"/>
            </w:tcBorders>
            <w:noWrap w:val="0"/>
            <w:vAlign w:val="center"/>
          </w:tcPr>
          <w:p w14:paraId="5DAAFCB4">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毒物逸散</w:t>
            </w:r>
          </w:p>
        </w:tc>
        <w:tc>
          <w:tcPr>
            <w:tcW w:w="1499" w:type="dxa"/>
            <w:tcBorders>
              <w:tl2br w:val="nil"/>
              <w:tr2bl w:val="nil"/>
            </w:tcBorders>
            <w:noWrap w:val="0"/>
            <w:vAlign w:val="center"/>
          </w:tcPr>
          <w:p w14:paraId="769D78F0">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扩散</w:t>
            </w:r>
          </w:p>
        </w:tc>
        <w:tc>
          <w:tcPr>
            <w:tcW w:w="1499" w:type="dxa"/>
            <w:tcBorders>
              <w:tl2br w:val="nil"/>
              <w:tr2bl w:val="nil"/>
            </w:tcBorders>
            <w:noWrap w:val="0"/>
            <w:vAlign w:val="center"/>
          </w:tcPr>
          <w:p w14:paraId="2F0ED328">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w:t>
            </w:r>
          </w:p>
        </w:tc>
        <w:tc>
          <w:tcPr>
            <w:tcW w:w="1502" w:type="dxa"/>
            <w:tcBorders>
              <w:tl2br w:val="nil"/>
              <w:tr2bl w:val="nil"/>
            </w:tcBorders>
            <w:noWrap w:val="0"/>
            <w:vAlign w:val="center"/>
          </w:tcPr>
          <w:p w14:paraId="17E186C5">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w:t>
            </w:r>
          </w:p>
        </w:tc>
      </w:tr>
      <w:tr w14:paraId="7FB4A700">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1499" w:type="dxa"/>
            <w:vMerge w:val="continue"/>
            <w:tcBorders>
              <w:tl2br w:val="nil"/>
              <w:tr2bl w:val="nil"/>
            </w:tcBorders>
            <w:noWrap w:val="0"/>
            <w:vAlign w:val="center"/>
          </w:tcPr>
          <w:p w14:paraId="69072572">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p>
        </w:tc>
        <w:tc>
          <w:tcPr>
            <w:tcW w:w="1499" w:type="dxa"/>
            <w:vMerge w:val="continue"/>
            <w:tcBorders>
              <w:tl2br w:val="nil"/>
              <w:tr2bl w:val="nil"/>
            </w:tcBorders>
            <w:noWrap w:val="0"/>
            <w:vAlign w:val="center"/>
          </w:tcPr>
          <w:p w14:paraId="4153A657">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p>
        </w:tc>
        <w:tc>
          <w:tcPr>
            <w:tcW w:w="1499" w:type="dxa"/>
            <w:tcBorders>
              <w:tl2br w:val="nil"/>
              <w:tr2bl w:val="nil"/>
            </w:tcBorders>
            <w:noWrap w:val="0"/>
            <w:vAlign w:val="center"/>
          </w:tcPr>
          <w:p w14:paraId="4938C27C">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伴生毒物</w:t>
            </w:r>
          </w:p>
        </w:tc>
        <w:tc>
          <w:tcPr>
            <w:tcW w:w="1499" w:type="dxa"/>
            <w:tcBorders>
              <w:tl2br w:val="nil"/>
              <w:tr2bl w:val="nil"/>
            </w:tcBorders>
            <w:noWrap w:val="0"/>
            <w:vAlign w:val="center"/>
          </w:tcPr>
          <w:p w14:paraId="11512CFA">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扩散</w:t>
            </w:r>
          </w:p>
        </w:tc>
        <w:tc>
          <w:tcPr>
            <w:tcW w:w="1499" w:type="dxa"/>
            <w:tcBorders>
              <w:tl2br w:val="nil"/>
              <w:tr2bl w:val="nil"/>
            </w:tcBorders>
            <w:noWrap w:val="0"/>
            <w:vAlign w:val="center"/>
          </w:tcPr>
          <w:p w14:paraId="35978896">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w:t>
            </w:r>
          </w:p>
        </w:tc>
        <w:tc>
          <w:tcPr>
            <w:tcW w:w="1502" w:type="dxa"/>
            <w:tcBorders>
              <w:tl2br w:val="nil"/>
              <w:tr2bl w:val="nil"/>
            </w:tcBorders>
            <w:noWrap w:val="0"/>
            <w:vAlign w:val="center"/>
          </w:tcPr>
          <w:p w14:paraId="799D5366">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w:t>
            </w:r>
          </w:p>
        </w:tc>
      </w:tr>
      <w:tr w14:paraId="1756B9A5">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1499" w:type="dxa"/>
            <w:vMerge w:val="continue"/>
            <w:tcBorders>
              <w:tl2br w:val="nil"/>
              <w:tr2bl w:val="nil"/>
            </w:tcBorders>
            <w:noWrap w:val="0"/>
            <w:vAlign w:val="center"/>
          </w:tcPr>
          <w:p w14:paraId="2C67A981">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p>
        </w:tc>
        <w:tc>
          <w:tcPr>
            <w:tcW w:w="1499" w:type="dxa"/>
            <w:vMerge w:val="continue"/>
            <w:tcBorders>
              <w:tl2br w:val="nil"/>
              <w:tr2bl w:val="nil"/>
            </w:tcBorders>
            <w:noWrap w:val="0"/>
            <w:vAlign w:val="center"/>
          </w:tcPr>
          <w:p w14:paraId="1B5F5052">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p>
        </w:tc>
        <w:tc>
          <w:tcPr>
            <w:tcW w:w="1499" w:type="dxa"/>
            <w:tcBorders>
              <w:tl2br w:val="nil"/>
              <w:tr2bl w:val="nil"/>
            </w:tcBorders>
            <w:noWrap w:val="0"/>
            <w:vAlign w:val="center"/>
          </w:tcPr>
          <w:p w14:paraId="55850472">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消防废水</w:t>
            </w:r>
          </w:p>
        </w:tc>
        <w:tc>
          <w:tcPr>
            <w:tcW w:w="1499" w:type="dxa"/>
            <w:tcBorders>
              <w:tl2br w:val="nil"/>
              <w:tr2bl w:val="nil"/>
            </w:tcBorders>
            <w:noWrap w:val="0"/>
            <w:vAlign w:val="center"/>
          </w:tcPr>
          <w:p w14:paraId="50F4CD89">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扩散</w:t>
            </w:r>
          </w:p>
        </w:tc>
        <w:tc>
          <w:tcPr>
            <w:tcW w:w="1499" w:type="dxa"/>
            <w:tcBorders>
              <w:tl2br w:val="nil"/>
              <w:tr2bl w:val="nil"/>
            </w:tcBorders>
            <w:noWrap w:val="0"/>
            <w:vAlign w:val="center"/>
          </w:tcPr>
          <w:p w14:paraId="7907F0A9">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w:t>
            </w:r>
          </w:p>
        </w:tc>
        <w:tc>
          <w:tcPr>
            <w:tcW w:w="1502" w:type="dxa"/>
            <w:tcBorders>
              <w:tl2br w:val="nil"/>
              <w:tr2bl w:val="nil"/>
            </w:tcBorders>
            <w:noWrap w:val="0"/>
            <w:vAlign w:val="center"/>
          </w:tcPr>
          <w:p w14:paraId="17186689">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w:t>
            </w:r>
          </w:p>
        </w:tc>
      </w:tr>
      <w:tr w14:paraId="6F33BFF6">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1499" w:type="dxa"/>
            <w:vMerge w:val="restart"/>
            <w:tcBorders>
              <w:tl2br w:val="nil"/>
              <w:tr2bl w:val="nil"/>
            </w:tcBorders>
            <w:noWrap w:val="0"/>
            <w:vAlign w:val="center"/>
          </w:tcPr>
          <w:p w14:paraId="7FDE47A5">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环境风险防控设施失灵或非正常操作</w:t>
            </w:r>
          </w:p>
        </w:tc>
        <w:tc>
          <w:tcPr>
            <w:tcW w:w="1499" w:type="dxa"/>
            <w:vMerge w:val="restart"/>
            <w:tcBorders>
              <w:tl2br w:val="nil"/>
              <w:tr2bl w:val="nil"/>
            </w:tcBorders>
            <w:noWrap w:val="0"/>
            <w:vAlign w:val="center"/>
          </w:tcPr>
          <w:p w14:paraId="19FFEA86">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事故池</w:t>
            </w:r>
          </w:p>
        </w:tc>
        <w:tc>
          <w:tcPr>
            <w:tcW w:w="1499" w:type="dxa"/>
            <w:tcBorders>
              <w:tl2br w:val="nil"/>
              <w:tr2bl w:val="nil"/>
            </w:tcBorders>
            <w:noWrap w:val="0"/>
            <w:vAlign w:val="center"/>
          </w:tcPr>
          <w:p w14:paraId="2FBC2BA5">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气态</w:t>
            </w:r>
          </w:p>
        </w:tc>
        <w:tc>
          <w:tcPr>
            <w:tcW w:w="1499" w:type="dxa"/>
            <w:tcBorders>
              <w:tl2br w:val="nil"/>
              <w:tr2bl w:val="nil"/>
            </w:tcBorders>
            <w:noWrap w:val="0"/>
            <w:vAlign w:val="center"/>
          </w:tcPr>
          <w:p w14:paraId="71B8A6FD">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w:t>
            </w:r>
          </w:p>
        </w:tc>
        <w:tc>
          <w:tcPr>
            <w:tcW w:w="1499" w:type="dxa"/>
            <w:tcBorders>
              <w:tl2br w:val="nil"/>
              <w:tr2bl w:val="nil"/>
            </w:tcBorders>
            <w:noWrap w:val="0"/>
            <w:vAlign w:val="center"/>
          </w:tcPr>
          <w:p w14:paraId="4212670F">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w:t>
            </w:r>
          </w:p>
        </w:tc>
        <w:tc>
          <w:tcPr>
            <w:tcW w:w="1502" w:type="dxa"/>
            <w:tcBorders>
              <w:tl2br w:val="nil"/>
              <w:tr2bl w:val="nil"/>
            </w:tcBorders>
            <w:noWrap w:val="0"/>
            <w:vAlign w:val="center"/>
          </w:tcPr>
          <w:p w14:paraId="25C402B6">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w:t>
            </w:r>
          </w:p>
        </w:tc>
      </w:tr>
      <w:tr w14:paraId="4FBB8036">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1499" w:type="dxa"/>
            <w:vMerge w:val="continue"/>
            <w:tcBorders>
              <w:tl2br w:val="nil"/>
              <w:tr2bl w:val="nil"/>
            </w:tcBorders>
            <w:noWrap w:val="0"/>
            <w:vAlign w:val="center"/>
          </w:tcPr>
          <w:p w14:paraId="0E034FA2">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p>
        </w:tc>
        <w:tc>
          <w:tcPr>
            <w:tcW w:w="1499" w:type="dxa"/>
            <w:vMerge w:val="continue"/>
            <w:tcBorders>
              <w:tl2br w:val="nil"/>
              <w:tr2bl w:val="nil"/>
            </w:tcBorders>
            <w:noWrap w:val="0"/>
            <w:vAlign w:val="center"/>
          </w:tcPr>
          <w:p w14:paraId="49D74A44">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p>
        </w:tc>
        <w:tc>
          <w:tcPr>
            <w:tcW w:w="1499" w:type="dxa"/>
            <w:tcBorders>
              <w:tl2br w:val="nil"/>
              <w:tr2bl w:val="nil"/>
            </w:tcBorders>
            <w:noWrap w:val="0"/>
            <w:vAlign w:val="center"/>
          </w:tcPr>
          <w:p w14:paraId="09DE8C5A">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液态</w:t>
            </w:r>
          </w:p>
        </w:tc>
        <w:tc>
          <w:tcPr>
            <w:tcW w:w="1499" w:type="dxa"/>
            <w:tcBorders>
              <w:tl2br w:val="nil"/>
              <w:tr2bl w:val="nil"/>
            </w:tcBorders>
            <w:noWrap w:val="0"/>
            <w:vAlign w:val="center"/>
          </w:tcPr>
          <w:p w14:paraId="5E7BB32F">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w:t>
            </w:r>
          </w:p>
        </w:tc>
        <w:tc>
          <w:tcPr>
            <w:tcW w:w="1499" w:type="dxa"/>
            <w:tcBorders>
              <w:tl2br w:val="nil"/>
              <w:tr2bl w:val="nil"/>
            </w:tcBorders>
            <w:noWrap w:val="0"/>
            <w:vAlign w:val="center"/>
          </w:tcPr>
          <w:p w14:paraId="5A19B8DA">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物料、生产废水、雨水、消防废水</w:t>
            </w:r>
          </w:p>
        </w:tc>
        <w:tc>
          <w:tcPr>
            <w:tcW w:w="1502" w:type="dxa"/>
            <w:tcBorders>
              <w:tl2br w:val="nil"/>
              <w:tr2bl w:val="nil"/>
            </w:tcBorders>
            <w:noWrap w:val="0"/>
            <w:vAlign w:val="center"/>
          </w:tcPr>
          <w:p w14:paraId="2F560888">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渗透、吸收</w:t>
            </w:r>
          </w:p>
        </w:tc>
      </w:tr>
      <w:tr w14:paraId="5850E552">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1499" w:type="dxa"/>
            <w:vMerge w:val="continue"/>
            <w:tcBorders>
              <w:tl2br w:val="nil"/>
              <w:tr2bl w:val="nil"/>
            </w:tcBorders>
            <w:noWrap w:val="0"/>
            <w:vAlign w:val="center"/>
          </w:tcPr>
          <w:p w14:paraId="64F0DDDE">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p>
        </w:tc>
        <w:tc>
          <w:tcPr>
            <w:tcW w:w="1499" w:type="dxa"/>
            <w:vMerge w:val="continue"/>
            <w:tcBorders>
              <w:tl2br w:val="nil"/>
              <w:tr2bl w:val="nil"/>
            </w:tcBorders>
            <w:noWrap w:val="0"/>
            <w:vAlign w:val="center"/>
          </w:tcPr>
          <w:p w14:paraId="43C6924C">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p>
        </w:tc>
        <w:tc>
          <w:tcPr>
            <w:tcW w:w="1499" w:type="dxa"/>
            <w:tcBorders>
              <w:tl2br w:val="nil"/>
              <w:tr2bl w:val="nil"/>
            </w:tcBorders>
            <w:noWrap w:val="0"/>
            <w:vAlign w:val="center"/>
          </w:tcPr>
          <w:p w14:paraId="698AE238">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固态</w:t>
            </w:r>
          </w:p>
        </w:tc>
        <w:tc>
          <w:tcPr>
            <w:tcW w:w="1499" w:type="dxa"/>
            <w:tcBorders>
              <w:tl2br w:val="nil"/>
              <w:tr2bl w:val="nil"/>
            </w:tcBorders>
            <w:noWrap w:val="0"/>
            <w:vAlign w:val="center"/>
          </w:tcPr>
          <w:p w14:paraId="61E2F8F6">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w:t>
            </w:r>
          </w:p>
        </w:tc>
        <w:tc>
          <w:tcPr>
            <w:tcW w:w="1499" w:type="dxa"/>
            <w:tcBorders>
              <w:tl2br w:val="nil"/>
              <w:tr2bl w:val="nil"/>
            </w:tcBorders>
            <w:noWrap w:val="0"/>
            <w:vAlign w:val="center"/>
          </w:tcPr>
          <w:p w14:paraId="7A02E885">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w:t>
            </w:r>
          </w:p>
        </w:tc>
        <w:tc>
          <w:tcPr>
            <w:tcW w:w="1502" w:type="dxa"/>
            <w:tcBorders>
              <w:tl2br w:val="nil"/>
              <w:tr2bl w:val="nil"/>
            </w:tcBorders>
            <w:noWrap w:val="0"/>
            <w:vAlign w:val="center"/>
          </w:tcPr>
          <w:p w14:paraId="4C1DC2AD">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渗透、吸收</w:t>
            </w:r>
          </w:p>
        </w:tc>
      </w:tr>
      <w:tr w14:paraId="79B70CC0">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1499" w:type="dxa"/>
            <w:vMerge w:val="restart"/>
            <w:tcBorders>
              <w:tl2br w:val="nil"/>
              <w:tr2bl w:val="nil"/>
            </w:tcBorders>
            <w:noWrap w:val="0"/>
            <w:vAlign w:val="center"/>
          </w:tcPr>
          <w:p w14:paraId="3AFC290E">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非正常工况</w:t>
            </w:r>
          </w:p>
        </w:tc>
        <w:tc>
          <w:tcPr>
            <w:tcW w:w="1499" w:type="dxa"/>
            <w:vMerge w:val="restart"/>
            <w:tcBorders>
              <w:tl2br w:val="nil"/>
              <w:tr2bl w:val="nil"/>
            </w:tcBorders>
            <w:noWrap w:val="0"/>
            <w:vAlign w:val="center"/>
          </w:tcPr>
          <w:p w14:paraId="52C9611E">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生产装置储存系统</w:t>
            </w:r>
          </w:p>
        </w:tc>
        <w:tc>
          <w:tcPr>
            <w:tcW w:w="1499" w:type="dxa"/>
            <w:tcBorders>
              <w:tl2br w:val="nil"/>
              <w:tr2bl w:val="nil"/>
            </w:tcBorders>
            <w:noWrap w:val="0"/>
            <w:vAlign w:val="center"/>
          </w:tcPr>
          <w:p w14:paraId="23C70FCD">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气态</w:t>
            </w:r>
          </w:p>
        </w:tc>
        <w:tc>
          <w:tcPr>
            <w:tcW w:w="1499" w:type="dxa"/>
            <w:tcBorders>
              <w:tl2br w:val="nil"/>
              <w:tr2bl w:val="nil"/>
            </w:tcBorders>
            <w:noWrap w:val="0"/>
            <w:vAlign w:val="center"/>
          </w:tcPr>
          <w:p w14:paraId="57C51764">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扩散</w:t>
            </w:r>
          </w:p>
        </w:tc>
        <w:tc>
          <w:tcPr>
            <w:tcW w:w="1499" w:type="dxa"/>
            <w:tcBorders>
              <w:tl2br w:val="nil"/>
              <w:tr2bl w:val="nil"/>
            </w:tcBorders>
            <w:noWrap w:val="0"/>
            <w:vAlign w:val="center"/>
          </w:tcPr>
          <w:p w14:paraId="37D2DE3F">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w:t>
            </w:r>
          </w:p>
        </w:tc>
        <w:tc>
          <w:tcPr>
            <w:tcW w:w="1502" w:type="dxa"/>
            <w:tcBorders>
              <w:tl2br w:val="nil"/>
              <w:tr2bl w:val="nil"/>
            </w:tcBorders>
            <w:noWrap w:val="0"/>
            <w:vAlign w:val="center"/>
          </w:tcPr>
          <w:p w14:paraId="1E342EB3">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w:t>
            </w:r>
          </w:p>
        </w:tc>
      </w:tr>
      <w:tr w14:paraId="5A5CA15F">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1499" w:type="dxa"/>
            <w:vMerge w:val="continue"/>
            <w:tcBorders>
              <w:tl2br w:val="nil"/>
              <w:tr2bl w:val="nil"/>
            </w:tcBorders>
            <w:noWrap w:val="0"/>
            <w:vAlign w:val="center"/>
          </w:tcPr>
          <w:p w14:paraId="057C998F">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p>
        </w:tc>
        <w:tc>
          <w:tcPr>
            <w:tcW w:w="1499" w:type="dxa"/>
            <w:vMerge w:val="continue"/>
            <w:tcBorders>
              <w:tl2br w:val="nil"/>
              <w:tr2bl w:val="nil"/>
            </w:tcBorders>
            <w:noWrap w:val="0"/>
            <w:vAlign w:val="center"/>
          </w:tcPr>
          <w:p w14:paraId="17397C99">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p>
        </w:tc>
        <w:tc>
          <w:tcPr>
            <w:tcW w:w="1499" w:type="dxa"/>
            <w:tcBorders>
              <w:tl2br w:val="nil"/>
              <w:tr2bl w:val="nil"/>
            </w:tcBorders>
            <w:noWrap w:val="0"/>
            <w:vAlign w:val="center"/>
          </w:tcPr>
          <w:p w14:paraId="6F131BB6">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液态</w:t>
            </w:r>
          </w:p>
        </w:tc>
        <w:tc>
          <w:tcPr>
            <w:tcW w:w="1499" w:type="dxa"/>
            <w:tcBorders>
              <w:tl2br w:val="nil"/>
              <w:tr2bl w:val="nil"/>
            </w:tcBorders>
            <w:noWrap w:val="0"/>
            <w:vAlign w:val="center"/>
          </w:tcPr>
          <w:p w14:paraId="05687267">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w:t>
            </w:r>
          </w:p>
        </w:tc>
        <w:tc>
          <w:tcPr>
            <w:tcW w:w="1499" w:type="dxa"/>
            <w:tcBorders>
              <w:tl2br w:val="nil"/>
              <w:tr2bl w:val="nil"/>
            </w:tcBorders>
            <w:noWrap w:val="0"/>
            <w:vAlign w:val="center"/>
          </w:tcPr>
          <w:p w14:paraId="22A09755">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雨水、消防废水</w:t>
            </w:r>
          </w:p>
        </w:tc>
        <w:tc>
          <w:tcPr>
            <w:tcW w:w="1502" w:type="dxa"/>
            <w:tcBorders>
              <w:tl2br w:val="nil"/>
              <w:tr2bl w:val="nil"/>
            </w:tcBorders>
            <w:noWrap w:val="0"/>
            <w:vAlign w:val="center"/>
          </w:tcPr>
          <w:p w14:paraId="5D4AB0BB">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渗透、吸收</w:t>
            </w:r>
          </w:p>
        </w:tc>
      </w:tr>
      <w:tr w14:paraId="5B99983C">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1499" w:type="dxa"/>
            <w:vMerge w:val="restart"/>
            <w:tcBorders>
              <w:tl2br w:val="nil"/>
              <w:tr2bl w:val="nil"/>
            </w:tcBorders>
            <w:noWrap w:val="0"/>
            <w:vAlign w:val="center"/>
          </w:tcPr>
          <w:p w14:paraId="5EABD467">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污染治理设施非正常运行</w:t>
            </w:r>
          </w:p>
        </w:tc>
        <w:tc>
          <w:tcPr>
            <w:tcW w:w="1499" w:type="dxa"/>
            <w:tcBorders>
              <w:tl2br w:val="nil"/>
              <w:tr2bl w:val="nil"/>
            </w:tcBorders>
            <w:noWrap w:val="0"/>
            <w:vAlign w:val="center"/>
          </w:tcPr>
          <w:p w14:paraId="352AFE54">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废气处理系统</w:t>
            </w:r>
          </w:p>
        </w:tc>
        <w:tc>
          <w:tcPr>
            <w:tcW w:w="1499" w:type="dxa"/>
            <w:tcBorders>
              <w:tl2br w:val="nil"/>
              <w:tr2bl w:val="nil"/>
            </w:tcBorders>
            <w:noWrap w:val="0"/>
            <w:vAlign w:val="center"/>
          </w:tcPr>
          <w:p w14:paraId="3946E51C">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废气</w:t>
            </w:r>
          </w:p>
        </w:tc>
        <w:tc>
          <w:tcPr>
            <w:tcW w:w="1499" w:type="dxa"/>
            <w:tcBorders>
              <w:tl2br w:val="nil"/>
              <w:tr2bl w:val="nil"/>
            </w:tcBorders>
            <w:noWrap w:val="0"/>
            <w:vAlign w:val="center"/>
          </w:tcPr>
          <w:p w14:paraId="34AD54E9">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扩散</w:t>
            </w:r>
          </w:p>
        </w:tc>
        <w:tc>
          <w:tcPr>
            <w:tcW w:w="1499" w:type="dxa"/>
            <w:tcBorders>
              <w:tl2br w:val="nil"/>
              <w:tr2bl w:val="nil"/>
            </w:tcBorders>
            <w:noWrap w:val="0"/>
            <w:vAlign w:val="center"/>
          </w:tcPr>
          <w:p w14:paraId="415A45B0">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w:t>
            </w:r>
          </w:p>
        </w:tc>
        <w:tc>
          <w:tcPr>
            <w:tcW w:w="1502" w:type="dxa"/>
            <w:tcBorders>
              <w:tl2br w:val="nil"/>
              <w:tr2bl w:val="nil"/>
            </w:tcBorders>
            <w:noWrap w:val="0"/>
            <w:vAlign w:val="center"/>
          </w:tcPr>
          <w:p w14:paraId="54F10BEA">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w:t>
            </w:r>
          </w:p>
        </w:tc>
      </w:tr>
      <w:tr w14:paraId="4A5AA3E2">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1499" w:type="dxa"/>
            <w:vMerge w:val="continue"/>
            <w:tcBorders>
              <w:tl2br w:val="nil"/>
              <w:tr2bl w:val="nil"/>
            </w:tcBorders>
            <w:noWrap w:val="0"/>
            <w:vAlign w:val="center"/>
          </w:tcPr>
          <w:p w14:paraId="321EEC56">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p>
        </w:tc>
        <w:tc>
          <w:tcPr>
            <w:tcW w:w="1499" w:type="dxa"/>
            <w:tcBorders>
              <w:tl2br w:val="nil"/>
              <w:tr2bl w:val="nil"/>
            </w:tcBorders>
            <w:noWrap w:val="0"/>
            <w:vAlign w:val="center"/>
          </w:tcPr>
          <w:p w14:paraId="139B97ED">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废水处理系统</w:t>
            </w:r>
          </w:p>
        </w:tc>
        <w:tc>
          <w:tcPr>
            <w:tcW w:w="1499" w:type="dxa"/>
            <w:tcBorders>
              <w:tl2br w:val="nil"/>
              <w:tr2bl w:val="nil"/>
            </w:tcBorders>
            <w:noWrap w:val="0"/>
            <w:vAlign w:val="center"/>
          </w:tcPr>
          <w:p w14:paraId="4DBD63AA">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废水</w:t>
            </w:r>
          </w:p>
        </w:tc>
        <w:tc>
          <w:tcPr>
            <w:tcW w:w="1499" w:type="dxa"/>
            <w:tcBorders>
              <w:tl2br w:val="nil"/>
              <w:tr2bl w:val="nil"/>
            </w:tcBorders>
            <w:noWrap w:val="0"/>
            <w:vAlign w:val="center"/>
          </w:tcPr>
          <w:p w14:paraId="05C6D006">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w:t>
            </w:r>
          </w:p>
        </w:tc>
        <w:tc>
          <w:tcPr>
            <w:tcW w:w="1499" w:type="dxa"/>
            <w:tcBorders>
              <w:tl2br w:val="nil"/>
              <w:tr2bl w:val="nil"/>
            </w:tcBorders>
            <w:noWrap w:val="0"/>
            <w:vAlign w:val="center"/>
          </w:tcPr>
          <w:p w14:paraId="7E5EAE8B">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生产废水</w:t>
            </w:r>
          </w:p>
        </w:tc>
        <w:tc>
          <w:tcPr>
            <w:tcW w:w="1502" w:type="dxa"/>
            <w:tcBorders>
              <w:tl2br w:val="nil"/>
              <w:tr2bl w:val="nil"/>
            </w:tcBorders>
            <w:noWrap w:val="0"/>
            <w:vAlign w:val="center"/>
          </w:tcPr>
          <w:p w14:paraId="5A15E15B">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渗透、吸收</w:t>
            </w:r>
          </w:p>
        </w:tc>
      </w:tr>
      <w:tr w14:paraId="46A79E18">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1499" w:type="dxa"/>
            <w:vMerge w:val="continue"/>
            <w:tcBorders>
              <w:tl2br w:val="nil"/>
              <w:tr2bl w:val="nil"/>
            </w:tcBorders>
            <w:noWrap w:val="0"/>
            <w:vAlign w:val="center"/>
          </w:tcPr>
          <w:p w14:paraId="0E12614F">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p>
        </w:tc>
        <w:tc>
          <w:tcPr>
            <w:tcW w:w="1499" w:type="dxa"/>
            <w:tcBorders>
              <w:tl2br w:val="nil"/>
              <w:tr2bl w:val="nil"/>
            </w:tcBorders>
            <w:noWrap w:val="0"/>
            <w:vAlign w:val="center"/>
          </w:tcPr>
          <w:p w14:paraId="172C7157">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危废仓库</w:t>
            </w:r>
          </w:p>
        </w:tc>
        <w:tc>
          <w:tcPr>
            <w:tcW w:w="1499" w:type="dxa"/>
            <w:tcBorders>
              <w:tl2br w:val="nil"/>
              <w:tr2bl w:val="nil"/>
            </w:tcBorders>
            <w:noWrap w:val="0"/>
            <w:vAlign w:val="center"/>
          </w:tcPr>
          <w:p w14:paraId="2FC4A7A1">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固废</w:t>
            </w:r>
          </w:p>
        </w:tc>
        <w:tc>
          <w:tcPr>
            <w:tcW w:w="1499" w:type="dxa"/>
            <w:tcBorders>
              <w:tl2br w:val="nil"/>
              <w:tr2bl w:val="nil"/>
            </w:tcBorders>
            <w:noWrap w:val="0"/>
            <w:vAlign w:val="center"/>
          </w:tcPr>
          <w:p w14:paraId="19276210">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w:t>
            </w:r>
          </w:p>
        </w:tc>
        <w:tc>
          <w:tcPr>
            <w:tcW w:w="1499" w:type="dxa"/>
            <w:tcBorders>
              <w:tl2br w:val="nil"/>
              <w:tr2bl w:val="nil"/>
            </w:tcBorders>
            <w:noWrap w:val="0"/>
            <w:vAlign w:val="center"/>
          </w:tcPr>
          <w:p w14:paraId="2E81DA14">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w:t>
            </w:r>
          </w:p>
        </w:tc>
        <w:tc>
          <w:tcPr>
            <w:tcW w:w="1502" w:type="dxa"/>
            <w:tcBorders>
              <w:tl2br w:val="nil"/>
              <w:tr2bl w:val="nil"/>
            </w:tcBorders>
            <w:noWrap w:val="0"/>
            <w:vAlign w:val="center"/>
          </w:tcPr>
          <w:p w14:paraId="65884FD4">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渗透、吸收</w:t>
            </w:r>
          </w:p>
        </w:tc>
      </w:tr>
      <w:tr w14:paraId="21D6CD1E">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1499" w:type="dxa"/>
            <w:vMerge w:val="restart"/>
            <w:tcBorders>
              <w:tl2br w:val="nil"/>
              <w:tr2bl w:val="nil"/>
            </w:tcBorders>
            <w:noWrap w:val="0"/>
            <w:vAlign w:val="center"/>
          </w:tcPr>
          <w:p w14:paraId="16431085">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运输系统故障</w:t>
            </w:r>
          </w:p>
        </w:tc>
        <w:tc>
          <w:tcPr>
            <w:tcW w:w="1499" w:type="dxa"/>
            <w:vMerge w:val="restart"/>
            <w:tcBorders>
              <w:tl2br w:val="nil"/>
              <w:tr2bl w:val="nil"/>
            </w:tcBorders>
            <w:noWrap w:val="0"/>
            <w:vAlign w:val="center"/>
          </w:tcPr>
          <w:p w14:paraId="6BBB9513">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储存系统</w:t>
            </w:r>
          </w:p>
        </w:tc>
        <w:tc>
          <w:tcPr>
            <w:tcW w:w="1499" w:type="dxa"/>
            <w:tcBorders>
              <w:tl2br w:val="nil"/>
              <w:tr2bl w:val="nil"/>
            </w:tcBorders>
            <w:noWrap w:val="0"/>
            <w:vAlign w:val="center"/>
          </w:tcPr>
          <w:p w14:paraId="4200974B">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热辐射</w:t>
            </w:r>
          </w:p>
        </w:tc>
        <w:tc>
          <w:tcPr>
            <w:tcW w:w="1499" w:type="dxa"/>
            <w:tcBorders>
              <w:tl2br w:val="nil"/>
              <w:tr2bl w:val="nil"/>
            </w:tcBorders>
            <w:noWrap w:val="0"/>
            <w:vAlign w:val="center"/>
          </w:tcPr>
          <w:p w14:paraId="5A4C02BC">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扩散</w:t>
            </w:r>
          </w:p>
        </w:tc>
        <w:tc>
          <w:tcPr>
            <w:tcW w:w="1499" w:type="dxa"/>
            <w:tcBorders>
              <w:tl2br w:val="nil"/>
              <w:tr2bl w:val="nil"/>
            </w:tcBorders>
            <w:noWrap w:val="0"/>
            <w:vAlign w:val="center"/>
          </w:tcPr>
          <w:p w14:paraId="754D58EC">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w:t>
            </w:r>
          </w:p>
        </w:tc>
        <w:tc>
          <w:tcPr>
            <w:tcW w:w="1502" w:type="dxa"/>
            <w:tcBorders>
              <w:tl2br w:val="nil"/>
              <w:tr2bl w:val="nil"/>
            </w:tcBorders>
            <w:noWrap w:val="0"/>
            <w:vAlign w:val="center"/>
          </w:tcPr>
          <w:p w14:paraId="3BB23027">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w:t>
            </w:r>
          </w:p>
        </w:tc>
      </w:tr>
      <w:tr w14:paraId="7F9E9A49">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1499" w:type="dxa"/>
            <w:vMerge w:val="continue"/>
            <w:tcBorders>
              <w:tl2br w:val="nil"/>
              <w:tr2bl w:val="nil"/>
            </w:tcBorders>
            <w:noWrap w:val="0"/>
            <w:vAlign w:val="center"/>
          </w:tcPr>
          <w:p w14:paraId="26AF4D87">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p>
        </w:tc>
        <w:tc>
          <w:tcPr>
            <w:tcW w:w="1499" w:type="dxa"/>
            <w:vMerge w:val="continue"/>
            <w:tcBorders>
              <w:tl2br w:val="nil"/>
              <w:tr2bl w:val="nil"/>
            </w:tcBorders>
            <w:noWrap w:val="0"/>
            <w:vAlign w:val="center"/>
          </w:tcPr>
          <w:p w14:paraId="1232D98E">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p>
        </w:tc>
        <w:tc>
          <w:tcPr>
            <w:tcW w:w="1499" w:type="dxa"/>
            <w:tcBorders>
              <w:tl2br w:val="nil"/>
              <w:tr2bl w:val="nil"/>
            </w:tcBorders>
            <w:noWrap w:val="0"/>
            <w:vAlign w:val="center"/>
          </w:tcPr>
          <w:p w14:paraId="351A5588">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毒气蒸发</w:t>
            </w:r>
          </w:p>
        </w:tc>
        <w:tc>
          <w:tcPr>
            <w:tcW w:w="1499" w:type="dxa"/>
            <w:tcBorders>
              <w:tl2br w:val="nil"/>
              <w:tr2bl w:val="nil"/>
            </w:tcBorders>
            <w:noWrap w:val="0"/>
            <w:vAlign w:val="center"/>
          </w:tcPr>
          <w:p w14:paraId="52CF02AB">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扩散</w:t>
            </w:r>
          </w:p>
        </w:tc>
        <w:tc>
          <w:tcPr>
            <w:tcW w:w="1499" w:type="dxa"/>
            <w:tcBorders>
              <w:tl2br w:val="nil"/>
              <w:tr2bl w:val="nil"/>
            </w:tcBorders>
            <w:noWrap w:val="0"/>
            <w:vAlign w:val="center"/>
          </w:tcPr>
          <w:p w14:paraId="0CEFA792">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w:t>
            </w:r>
          </w:p>
        </w:tc>
        <w:tc>
          <w:tcPr>
            <w:tcW w:w="1502" w:type="dxa"/>
            <w:tcBorders>
              <w:tl2br w:val="nil"/>
              <w:tr2bl w:val="nil"/>
            </w:tcBorders>
            <w:noWrap w:val="0"/>
            <w:vAlign w:val="center"/>
          </w:tcPr>
          <w:p w14:paraId="5E0B2AD5">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w:t>
            </w:r>
          </w:p>
        </w:tc>
      </w:tr>
      <w:tr w14:paraId="0D663180">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1499" w:type="dxa"/>
            <w:vMerge w:val="continue"/>
            <w:tcBorders>
              <w:tl2br w:val="nil"/>
              <w:tr2bl w:val="nil"/>
            </w:tcBorders>
            <w:noWrap w:val="0"/>
            <w:vAlign w:val="center"/>
          </w:tcPr>
          <w:p w14:paraId="36B186C3">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p>
        </w:tc>
        <w:tc>
          <w:tcPr>
            <w:tcW w:w="1499" w:type="dxa"/>
            <w:vMerge w:val="continue"/>
            <w:tcBorders>
              <w:tl2br w:val="nil"/>
              <w:tr2bl w:val="nil"/>
            </w:tcBorders>
            <w:noWrap w:val="0"/>
            <w:vAlign w:val="center"/>
          </w:tcPr>
          <w:p w14:paraId="699D61BF">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p>
        </w:tc>
        <w:tc>
          <w:tcPr>
            <w:tcW w:w="1499" w:type="dxa"/>
            <w:tcBorders>
              <w:tl2br w:val="nil"/>
              <w:tr2bl w:val="nil"/>
            </w:tcBorders>
            <w:noWrap w:val="0"/>
            <w:vAlign w:val="center"/>
          </w:tcPr>
          <w:p w14:paraId="0790E4DB">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烟雾</w:t>
            </w:r>
          </w:p>
        </w:tc>
        <w:tc>
          <w:tcPr>
            <w:tcW w:w="1499" w:type="dxa"/>
            <w:tcBorders>
              <w:tl2br w:val="nil"/>
              <w:tr2bl w:val="nil"/>
            </w:tcBorders>
            <w:noWrap w:val="0"/>
            <w:vAlign w:val="center"/>
          </w:tcPr>
          <w:p w14:paraId="4028D633">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扩散</w:t>
            </w:r>
          </w:p>
        </w:tc>
        <w:tc>
          <w:tcPr>
            <w:tcW w:w="1499" w:type="dxa"/>
            <w:tcBorders>
              <w:tl2br w:val="nil"/>
              <w:tr2bl w:val="nil"/>
            </w:tcBorders>
            <w:noWrap w:val="0"/>
            <w:vAlign w:val="center"/>
          </w:tcPr>
          <w:p w14:paraId="7A88481F">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w:t>
            </w:r>
          </w:p>
        </w:tc>
        <w:tc>
          <w:tcPr>
            <w:tcW w:w="1502" w:type="dxa"/>
            <w:tcBorders>
              <w:tl2br w:val="nil"/>
              <w:tr2bl w:val="nil"/>
            </w:tcBorders>
            <w:noWrap w:val="0"/>
            <w:vAlign w:val="center"/>
          </w:tcPr>
          <w:p w14:paraId="16DAFE59">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w:t>
            </w:r>
          </w:p>
        </w:tc>
      </w:tr>
      <w:tr w14:paraId="3CCCB2A6">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1499" w:type="dxa"/>
            <w:vMerge w:val="continue"/>
            <w:tcBorders>
              <w:tl2br w:val="nil"/>
              <w:tr2bl w:val="nil"/>
            </w:tcBorders>
            <w:noWrap w:val="0"/>
            <w:vAlign w:val="center"/>
          </w:tcPr>
          <w:p w14:paraId="450D2F8D">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p>
        </w:tc>
        <w:tc>
          <w:tcPr>
            <w:tcW w:w="1499" w:type="dxa"/>
            <w:vMerge w:val="continue"/>
            <w:tcBorders>
              <w:tl2br w:val="nil"/>
              <w:tr2bl w:val="nil"/>
            </w:tcBorders>
            <w:noWrap w:val="0"/>
            <w:vAlign w:val="center"/>
          </w:tcPr>
          <w:p w14:paraId="6E3E142F">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p>
        </w:tc>
        <w:tc>
          <w:tcPr>
            <w:tcW w:w="1499" w:type="dxa"/>
            <w:tcBorders>
              <w:tl2br w:val="nil"/>
              <w:tr2bl w:val="nil"/>
            </w:tcBorders>
            <w:noWrap w:val="0"/>
            <w:vAlign w:val="center"/>
          </w:tcPr>
          <w:p w14:paraId="0727BBF1">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伴生毒物</w:t>
            </w:r>
          </w:p>
        </w:tc>
        <w:tc>
          <w:tcPr>
            <w:tcW w:w="1499" w:type="dxa"/>
            <w:tcBorders>
              <w:tl2br w:val="nil"/>
              <w:tr2bl w:val="nil"/>
            </w:tcBorders>
            <w:noWrap w:val="0"/>
            <w:vAlign w:val="center"/>
          </w:tcPr>
          <w:p w14:paraId="100A17E3">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扩散</w:t>
            </w:r>
          </w:p>
        </w:tc>
        <w:tc>
          <w:tcPr>
            <w:tcW w:w="1499" w:type="dxa"/>
            <w:tcBorders>
              <w:tl2br w:val="nil"/>
              <w:tr2bl w:val="nil"/>
            </w:tcBorders>
            <w:noWrap w:val="0"/>
            <w:vAlign w:val="center"/>
          </w:tcPr>
          <w:p w14:paraId="61BF6E54">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w:t>
            </w:r>
          </w:p>
        </w:tc>
        <w:tc>
          <w:tcPr>
            <w:tcW w:w="1502" w:type="dxa"/>
            <w:tcBorders>
              <w:tl2br w:val="nil"/>
              <w:tr2bl w:val="nil"/>
            </w:tcBorders>
            <w:noWrap w:val="0"/>
            <w:vAlign w:val="center"/>
          </w:tcPr>
          <w:p w14:paraId="5320538D">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w:t>
            </w:r>
          </w:p>
        </w:tc>
      </w:tr>
      <w:tr w14:paraId="5AE82684">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1499" w:type="dxa"/>
            <w:vMerge w:val="continue"/>
            <w:tcBorders>
              <w:tl2br w:val="nil"/>
              <w:tr2bl w:val="nil"/>
            </w:tcBorders>
            <w:noWrap w:val="0"/>
            <w:vAlign w:val="center"/>
          </w:tcPr>
          <w:p w14:paraId="3B4869AC">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p>
        </w:tc>
        <w:tc>
          <w:tcPr>
            <w:tcW w:w="1499" w:type="dxa"/>
            <w:vMerge w:val="restart"/>
            <w:tcBorders>
              <w:tl2br w:val="nil"/>
              <w:tr2bl w:val="nil"/>
            </w:tcBorders>
            <w:noWrap w:val="0"/>
            <w:vAlign w:val="center"/>
          </w:tcPr>
          <w:p w14:paraId="24A57E68">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输送系统</w:t>
            </w:r>
          </w:p>
        </w:tc>
        <w:tc>
          <w:tcPr>
            <w:tcW w:w="1499" w:type="dxa"/>
            <w:tcBorders>
              <w:tl2br w:val="nil"/>
              <w:tr2bl w:val="nil"/>
            </w:tcBorders>
            <w:noWrap w:val="0"/>
            <w:vAlign w:val="center"/>
          </w:tcPr>
          <w:p w14:paraId="23280780">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气态</w:t>
            </w:r>
          </w:p>
        </w:tc>
        <w:tc>
          <w:tcPr>
            <w:tcW w:w="1499" w:type="dxa"/>
            <w:tcBorders>
              <w:tl2br w:val="nil"/>
              <w:tr2bl w:val="nil"/>
            </w:tcBorders>
            <w:noWrap w:val="0"/>
            <w:vAlign w:val="center"/>
          </w:tcPr>
          <w:p w14:paraId="3B94B7C1">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扩散</w:t>
            </w:r>
          </w:p>
        </w:tc>
        <w:tc>
          <w:tcPr>
            <w:tcW w:w="1499" w:type="dxa"/>
            <w:tcBorders>
              <w:tl2br w:val="nil"/>
              <w:tr2bl w:val="nil"/>
            </w:tcBorders>
            <w:noWrap w:val="0"/>
            <w:vAlign w:val="center"/>
          </w:tcPr>
          <w:p w14:paraId="366E9769">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w:t>
            </w:r>
          </w:p>
        </w:tc>
        <w:tc>
          <w:tcPr>
            <w:tcW w:w="1502" w:type="dxa"/>
            <w:tcBorders>
              <w:tl2br w:val="nil"/>
              <w:tr2bl w:val="nil"/>
            </w:tcBorders>
            <w:noWrap w:val="0"/>
            <w:vAlign w:val="center"/>
          </w:tcPr>
          <w:p w14:paraId="7BE82915">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w:t>
            </w:r>
          </w:p>
        </w:tc>
      </w:tr>
      <w:tr w14:paraId="4A006320">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1499" w:type="dxa"/>
            <w:vMerge w:val="continue"/>
            <w:tcBorders>
              <w:tl2br w:val="nil"/>
              <w:tr2bl w:val="nil"/>
            </w:tcBorders>
            <w:noWrap w:val="0"/>
            <w:vAlign w:val="center"/>
          </w:tcPr>
          <w:p w14:paraId="53CAAE8F">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p>
        </w:tc>
        <w:tc>
          <w:tcPr>
            <w:tcW w:w="1499" w:type="dxa"/>
            <w:vMerge w:val="continue"/>
            <w:tcBorders>
              <w:tl2br w:val="nil"/>
              <w:tr2bl w:val="nil"/>
            </w:tcBorders>
            <w:noWrap w:val="0"/>
            <w:vAlign w:val="center"/>
          </w:tcPr>
          <w:p w14:paraId="7C704931">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p>
        </w:tc>
        <w:tc>
          <w:tcPr>
            <w:tcW w:w="1499" w:type="dxa"/>
            <w:tcBorders>
              <w:tl2br w:val="nil"/>
              <w:tr2bl w:val="nil"/>
            </w:tcBorders>
            <w:noWrap w:val="0"/>
            <w:vAlign w:val="center"/>
          </w:tcPr>
          <w:p w14:paraId="25E48B2E">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液态</w:t>
            </w:r>
          </w:p>
        </w:tc>
        <w:tc>
          <w:tcPr>
            <w:tcW w:w="1499" w:type="dxa"/>
            <w:tcBorders>
              <w:tl2br w:val="nil"/>
              <w:tr2bl w:val="nil"/>
            </w:tcBorders>
            <w:noWrap w:val="0"/>
            <w:vAlign w:val="center"/>
          </w:tcPr>
          <w:p w14:paraId="453E39A4">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w:t>
            </w:r>
          </w:p>
        </w:tc>
        <w:tc>
          <w:tcPr>
            <w:tcW w:w="1499" w:type="dxa"/>
            <w:tcBorders>
              <w:tl2br w:val="nil"/>
              <w:tr2bl w:val="nil"/>
            </w:tcBorders>
            <w:noWrap w:val="0"/>
            <w:vAlign w:val="center"/>
          </w:tcPr>
          <w:p w14:paraId="1C4C615B">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雨水、消防废水</w:t>
            </w:r>
          </w:p>
        </w:tc>
        <w:tc>
          <w:tcPr>
            <w:tcW w:w="1502" w:type="dxa"/>
            <w:tcBorders>
              <w:tl2br w:val="nil"/>
              <w:tr2bl w:val="nil"/>
            </w:tcBorders>
            <w:noWrap w:val="0"/>
            <w:vAlign w:val="center"/>
          </w:tcPr>
          <w:p w14:paraId="69DB37EE">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w:t>
            </w:r>
          </w:p>
        </w:tc>
      </w:tr>
      <w:tr w14:paraId="6FE7D031">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1499" w:type="dxa"/>
            <w:vMerge w:val="continue"/>
            <w:tcBorders>
              <w:tl2br w:val="nil"/>
              <w:tr2bl w:val="nil"/>
            </w:tcBorders>
            <w:noWrap w:val="0"/>
            <w:vAlign w:val="center"/>
          </w:tcPr>
          <w:p w14:paraId="39399401">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p>
        </w:tc>
        <w:tc>
          <w:tcPr>
            <w:tcW w:w="1499" w:type="dxa"/>
            <w:vMerge w:val="continue"/>
            <w:tcBorders>
              <w:tl2br w:val="nil"/>
              <w:tr2bl w:val="nil"/>
            </w:tcBorders>
            <w:noWrap w:val="0"/>
            <w:vAlign w:val="center"/>
          </w:tcPr>
          <w:p w14:paraId="5822BC09">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p>
        </w:tc>
        <w:tc>
          <w:tcPr>
            <w:tcW w:w="1499" w:type="dxa"/>
            <w:tcBorders>
              <w:tl2br w:val="nil"/>
              <w:tr2bl w:val="nil"/>
            </w:tcBorders>
            <w:noWrap w:val="0"/>
            <w:vAlign w:val="center"/>
          </w:tcPr>
          <w:p w14:paraId="1140DF9F">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固态</w:t>
            </w:r>
          </w:p>
        </w:tc>
        <w:tc>
          <w:tcPr>
            <w:tcW w:w="1499" w:type="dxa"/>
            <w:tcBorders>
              <w:tl2br w:val="nil"/>
              <w:tr2bl w:val="nil"/>
            </w:tcBorders>
            <w:noWrap w:val="0"/>
            <w:vAlign w:val="center"/>
          </w:tcPr>
          <w:p w14:paraId="654E2243">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w:t>
            </w:r>
          </w:p>
        </w:tc>
        <w:tc>
          <w:tcPr>
            <w:tcW w:w="1499" w:type="dxa"/>
            <w:tcBorders>
              <w:tl2br w:val="nil"/>
              <w:tr2bl w:val="nil"/>
            </w:tcBorders>
            <w:noWrap w:val="0"/>
            <w:vAlign w:val="center"/>
          </w:tcPr>
          <w:p w14:paraId="38E40113">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w:t>
            </w:r>
          </w:p>
        </w:tc>
        <w:tc>
          <w:tcPr>
            <w:tcW w:w="1502" w:type="dxa"/>
            <w:tcBorders>
              <w:tl2br w:val="nil"/>
              <w:tr2bl w:val="nil"/>
            </w:tcBorders>
            <w:noWrap w:val="0"/>
            <w:vAlign w:val="center"/>
          </w:tcPr>
          <w:p w14:paraId="54964130">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渗透、吸收</w:t>
            </w:r>
          </w:p>
        </w:tc>
      </w:tr>
    </w:tbl>
    <w:p w14:paraId="2D473CCC">
      <w:pPr>
        <w:pStyle w:val="4"/>
        <w:keepNext/>
        <w:keepLines w:val="0"/>
        <w:pageBreakBefore w:val="0"/>
        <w:widowControl w:val="0"/>
        <w:kinsoku/>
        <w:wordWrap/>
        <w:overflowPunct w:val="0"/>
        <w:topLinePunct w:val="0"/>
        <w:autoSpaceDE/>
        <w:autoSpaceDN/>
        <w:bidi w:val="0"/>
        <w:adjustRightInd/>
        <w:snapToGrid w:val="0"/>
        <w:spacing w:before="0" w:line="500" w:lineRule="exact"/>
        <w:ind w:left="0" w:right="0" w:firstLine="0" w:firstLineChars="0"/>
        <w:jc w:val="both"/>
        <w:textAlignment w:val="auto"/>
        <w:outlineLvl w:val="1"/>
        <w:rPr>
          <w:rFonts w:hint="default" w:ascii="Times New Roman" w:hAnsi="Times New Roman" w:eastAsia="仿宋_GB2312" w:cs="Times New Roman"/>
          <w:b/>
          <w:bCs/>
          <w:sz w:val="24"/>
          <w:szCs w:val="24"/>
          <w:lang w:val="en-US" w:eastAsia="zh-CN"/>
        </w:rPr>
      </w:pPr>
      <w:bookmarkStart w:id="127" w:name="_Toc3466"/>
      <w:bookmarkStart w:id="128" w:name="_Toc26500"/>
      <w:bookmarkStart w:id="129" w:name="_Toc15984"/>
      <w:r>
        <w:rPr>
          <w:rFonts w:hint="default" w:ascii="Times New Roman" w:hAnsi="Times New Roman" w:eastAsia="仿宋_GB2312" w:cs="Times New Roman"/>
          <w:b/>
          <w:bCs/>
          <w:sz w:val="24"/>
          <w:szCs w:val="24"/>
          <w:lang w:val="en-US" w:eastAsia="zh-CN"/>
        </w:rPr>
        <w:t>2.</w:t>
      </w:r>
      <w:r>
        <w:rPr>
          <w:rFonts w:hint="eastAsia" w:ascii="Times New Roman" w:hAnsi="Times New Roman" w:eastAsia="仿宋_GB2312" w:cs="Times New Roman"/>
          <w:b/>
          <w:bCs/>
          <w:sz w:val="24"/>
          <w:szCs w:val="24"/>
          <w:lang w:val="en-US" w:eastAsia="zh-CN"/>
        </w:rPr>
        <w:t>7</w:t>
      </w:r>
      <w:r>
        <w:rPr>
          <w:rFonts w:hint="default" w:ascii="Times New Roman" w:hAnsi="Times New Roman" w:eastAsia="仿宋_GB2312" w:cs="Times New Roman"/>
          <w:b/>
          <w:bCs/>
          <w:sz w:val="24"/>
          <w:szCs w:val="24"/>
          <w:lang w:val="en-US" w:eastAsia="zh-CN"/>
        </w:rPr>
        <w:t>次生/伴生事故风险识别</w:t>
      </w:r>
      <w:bookmarkEnd w:id="127"/>
      <w:bookmarkEnd w:id="128"/>
      <w:bookmarkEnd w:id="129"/>
    </w:p>
    <w:p w14:paraId="4B7FA98F">
      <w:pPr>
        <w:keepNext w:val="0"/>
        <w:keepLines w:val="0"/>
        <w:pageBreakBefore w:val="0"/>
        <w:widowControl w:val="0"/>
        <w:kinsoku/>
        <w:wordWrap/>
        <w:overflowPunct/>
        <w:topLinePunct w:val="0"/>
        <w:autoSpaceDE/>
        <w:autoSpaceDN/>
        <w:bidi w:val="0"/>
        <w:adjustRightInd w:val="0"/>
        <w:snapToGrid w:val="0"/>
        <w:spacing w:beforeAutospacing="0" w:afterAutospacing="0" w:line="500" w:lineRule="exact"/>
        <w:ind w:left="0" w:leftChars="0" w:right="0" w:firstLine="480" w:firstLineChars="200"/>
        <w:textAlignment w:val="auto"/>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事故应急救援中产生的消防废水将伴有一定的物料，若沿清水管网外排，将对受纳水体产生严重污染；堵漏过程中可能使用的大量拦截、堵漏材料，掺杂一定的物料，若事故排放后随意丢弃、排放，将对环境产生二次污染。</w:t>
      </w:r>
    </w:p>
    <w:p w14:paraId="651BFA3E">
      <w:pPr>
        <w:pageBreakBefore w:val="0"/>
        <w:kinsoku/>
        <w:wordWrap/>
        <w:bidi w:val="0"/>
        <w:adjustRightInd w:val="0"/>
        <w:snapToGrid w:val="0"/>
        <w:spacing w:beforeAutospacing="0" w:afterAutospacing="0" w:line="500" w:lineRule="exact"/>
        <w:ind w:left="0" w:leftChars="0" w:right="0" w:firstLine="480" w:firstLineChars="200"/>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为避免事故状况下废水及火灾爆炸期间消防污水污染水环境，企业必须制定严格的排水规划，设置消防污水收集池、管网、切换阀和监控池等，使消防水排水处于监控状态，严禁事故废水排出厂外，次生危害造成水体污染。</w:t>
      </w:r>
    </w:p>
    <w:p w14:paraId="6D854150">
      <w:pPr>
        <w:pageBreakBefore w:val="0"/>
        <w:kinsoku/>
        <w:wordWrap/>
        <w:bidi w:val="0"/>
        <w:adjustRightInd w:val="0"/>
        <w:snapToGrid w:val="0"/>
        <w:spacing w:beforeAutospacing="0" w:afterAutospacing="0" w:line="500" w:lineRule="exact"/>
        <w:ind w:left="0" w:leftChars="0" w:right="0" w:firstLine="480" w:firstLineChars="200"/>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本项目生产所使用的原辅料部分均具有潜在的危害，在贮存、运输和生产过程中可能发生泄漏，部分化学品在泄漏过程中遇水、热或其它化学品等会产生伴生和次生的危害。本项目涉及的风险物质事故状况下的伴生/次生危害具体见表2.</w:t>
      </w:r>
      <w:r>
        <w:rPr>
          <w:rFonts w:hint="eastAsia" w:ascii="Times New Roman" w:hAnsi="Times New Roman" w:eastAsia="仿宋_GB2312" w:cs="Times New Roman"/>
          <w:color w:val="auto"/>
          <w:spacing w:val="0"/>
          <w:kern w:val="0"/>
          <w:position w:val="0"/>
          <w:sz w:val="24"/>
          <w:szCs w:val="24"/>
          <w:lang w:val="en-US" w:eastAsia="zh-CN"/>
        </w:rPr>
        <w:t>7</w:t>
      </w:r>
      <w:r>
        <w:rPr>
          <w:rFonts w:hint="default" w:ascii="Times New Roman" w:hAnsi="Times New Roman" w:eastAsia="仿宋_GB2312" w:cs="Times New Roman"/>
          <w:color w:val="auto"/>
          <w:spacing w:val="0"/>
          <w:kern w:val="0"/>
          <w:position w:val="0"/>
          <w:sz w:val="24"/>
          <w:szCs w:val="24"/>
        </w:rPr>
        <w:t>-1。</w:t>
      </w:r>
    </w:p>
    <w:p w14:paraId="0EA745A7">
      <w:pPr>
        <w:pageBreakBefore w:val="0"/>
        <w:kinsoku/>
        <w:wordWrap/>
        <w:bidi w:val="0"/>
        <w:adjustRightInd w:val="0"/>
        <w:snapToGrid w:val="0"/>
        <w:spacing w:beforeAutospacing="0" w:afterAutospacing="0" w:line="500" w:lineRule="exact"/>
        <w:ind w:left="0" w:leftChars="0" w:right="0" w:firstLine="422" w:firstLineChars="200"/>
        <w:jc w:val="center"/>
        <w:rPr>
          <w:rFonts w:hint="default" w:ascii="Times New Roman" w:hAnsi="Times New Roman" w:eastAsia="仿宋_GB2312" w:cs="Times New Roman"/>
          <w:b/>
          <w:bCs/>
          <w:color w:val="auto"/>
          <w:spacing w:val="0"/>
          <w:kern w:val="0"/>
          <w:position w:val="0"/>
        </w:rPr>
      </w:pPr>
      <w:r>
        <w:rPr>
          <w:rFonts w:hint="default" w:ascii="Times New Roman" w:hAnsi="Times New Roman" w:eastAsia="仿宋_GB2312" w:cs="Times New Roman"/>
          <w:b/>
          <w:bCs/>
          <w:color w:val="auto"/>
          <w:spacing w:val="0"/>
          <w:kern w:val="0"/>
          <w:position w:val="0"/>
        </w:rPr>
        <w:t>表2.</w:t>
      </w:r>
      <w:r>
        <w:rPr>
          <w:rFonts w:hint="eastAsia" w:ascii="Times New Roman" w:hAnsi="Times New Roman" w:eastAsia="仿宋_GB2312" w:cs="Times New Roman"/>
          <w:b/>
          <w:bCs/>
          <w:color w:val="auto"/>
          <w:spacing w:val="0"/>
          <w:kern w:val="0"/>
          <w:position w:val="0"/>
          <w:lang w:val="en-US" w:eastAsia="zh-CN"/>
        </w:rPr>
        <w:t>7</w:t>
      </w:r>
      <w:r>
        <w:rPr>
          <w:rFonts w:hint="default" w:ascii="Times New Roman" w:hAnsi="Times New Roman" w:eastAsia="仿宋_GB2312" w:cs="Times New Roman"/>
          <w:b/>
          <w:bCs/>
          <w:color w:val="auto"/>
          <w:spacing w:val="0"/>
          <w:kern w:val="0"/>
          <w:position w:val="0"/>
        </w:rPr>
        <w:t>-1</w:t>
      </w:r>
      <w:r>
        <w:rPr>
          <w:rFonts w:hint="eastAsia" w:ascii="Times New Roman" w:hAnsi="Times New Roman" w:eastAsia="仿宋_GB2312" w:cs="Times New Roman"/>
          <w:b/>
          <w:bCs/>
          <w:color w:val="auto"/>
          <w:spacing w:val="0"/>
          <w:kern w:val="0"/>
          <w:position w:val="0"/>
          <w:lang w:val="en-US" w:eastAsia="zh-CN"/>
        </w:rPr>
        <w:t xml:space="preserve">  </w:t>
      </w:r>
      <w:r>
        <w:rPr>
          <w:rFonts w:hint="default" w:ascii="Times New Roman" w:hAnsi="Times New Roman" w:eastAsia="仿宋_GB2312" w:cs="Times New Roman"/>
          <w:b/>
          <w:bCs/>
          <w:color w:val="auto"/>
          <w:spacing w:val="0"/>
          <w:kern w:val="0"/>
          <w:position w:val="0"/>
        </w:rPr>
        <w:t>拟建项目风险物质事故状况下的伴生/次生危害一览表</w:t>
      </w:r>
    </w:p>
    <w:tbl>
      <w:tblPr>
        <w:tblStyle w:val="31"/>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134"/>
        <w:gridCol w:w="570"/>
        <w:gridCol w:w="1424"/>
        <w:gridCol w:w="1974"/>
        <w:gridCol w:w="1976"/>
        <w:gridCol w:w="1990"/>
      </w:tblGrid>
      <w:tr w14:paraId="29E3DE1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625" w:type="pct"/>
            <w:vMerge w:val="restart"/>
            <w:noWrap w:val="0"/>
            <w:vAlign w:val="center"/>
          </w:tcPr>
          <w:p w14:paraId="187A00C9">
            <w:pPr>
              <w:pStyle w:val="69"/>
              <w:pageBreakBefore w:val="0"/>
              <w:kinsoku/>
              <w:wordWrap/>
              <w:autoSpaceDE w:val="0"/>
              <w:autoSpaceDN w:val="0"/>
              <w:bidi w:val="0"/>
              <w:adjustRightInd w:val="0"/>
              <w:snapToGrid w:val="0"/>
              <w:spacing w:beforeAutospacing="0" w:afterAutospacing="0"/>
              <w:ind w:left="0" w:leftChars="0" w:right="0"/>
              <w:jc w:val="center"/>
              <w:rPr>
                <w:rFonts w:hint="default" w:ascii="Times New Roman" w:hAnsi="Times New Roman" w:eastAsia="仿宋_GB2312" w:cs="Times New Roman"/>
                <w:b/>
                <w:bCs/>
                <w:snapToGrid w:val="0"/>
                <w:color w:val="auto"/>
                <w:spacing w:val="0"/>
                <w:kern w:val="0"/>
                <w:position w:val="0"/>
                <w:sz w:val="21"/>
                <w:szCs w:val="21"/>
              </w:rPr>
            </w:pPr>
            <w:r>
              <w:rPr>
                <w:rFonts w:hint="default" w:ascii="Times New Roman" w:hAnsi="Times New Roman" w:eastAsia="仿宋_GB2312" w:cs="Times New Roman"/>
                <w:b/>
                <w:bCs/>
                <w:snapToGrid w:val="0"/>
                <w:color w:val="auto"/>
                <w:spacing w:val="0"/>
                <w:kern w:val="0"/>
                <w:position w:val="0"/>
                <w:sz w:val="21"/>
                <w:szCs w:val="21"/>
              </w:rPr>
              <w:t>化学品名称</w:t>
            </w:r>
          </w:p>
        </w:tc>
        <w:tc>
          <w:tcPr>
            <w:tcW w:w="314" w:type="pct"/>
            <w:vMerge w:val="restart"/>
            <w:noWrap w:val="0"/>
            <w:vAlign w:val="center"/>
          </w:tcPr>
          <w:p w14:paraId="708120A9">
            <w:pPr>
              <w:pStyle w:val="69"/>
              <w:pageBreakBefore w:val="0"/>
              <w:kinsoku/>
              <w:wordWrap/>
              <w:autoSpaceDE w:val="0"/>
              <w:autoSpaceDN w:val="0"/>
              <w:bidi w:val="0"/>
              <w:adjustRightInd w:val="0"/>
              <w:snapToGrid w:val="0"/>
              <w:spacing w:beforeAutospacing="0" w:afterAutospacing="0"/>
              <w:ind w:left="0" w:leftChars="0" w:right="0"/>
              <w:jc w:val="center"/>
              <w:rPr>
                <w:rFonts w:hint="default" w:ascii="Times New Roman" w:hAnsi="Times New Roman" w:eastAsia="仿宋_GB2312" w:cs="Times New Roman"/>
                <w:b/>
                <w:bCs/>
                <w:snapToGrid w:val="0"/>
                <w:color w:val="auto"/>
                <w:spacing w:val="0"/>
                <w:kern w:val="0"/>
                <w:position w:val="0"/>
                <w:sz w:val="21"/>
                <w:szCs w:val="21"/>
              </w:rPr>
            </w:pPr>
            <w:r>
              <w:rPr>
                <w:rFonts w:hint="default" w:ascii="Times New Roman" w:hAnsi="Times New Roman" w:eastAsia="仿宋_GB2312" w:cs="Times New Roman"/>
                <w:b/>
                <w:bCs/>
                <w:snapToGrid w:val="0"/>
                <w:color w:val="auto"/>
                <w:spacing w:val="0"/>
                <w:kern w:val="0"/>
                <w:position w:val="0"/>
                <w:sz w:val="21"/>
                <w:szCs w:val="21"/>
              </w:rPr>
              <w:t>条件</w:t>
            </w:r>
          </w:p>
        </w:tc>
        <w:tc>
          <w:tcPr>
            <w:tcW w:w="785" w:type="pct"/>
            <w:vMerge w:val="restart"/>
            <w:noWrap w:val="0"/>
            <w:vAlign w:val="center"/>
          </w:tcPr>
          <w:p w14:paraId="3FE9E9B6">
            <w:pPr>
              <w:pStyle w:val="69"/>
              <w:pageBreakBefore w:val="0"/>
              <w:kinsoku/>
              <w:wordWrap/>
              <w:autoSpaceDE w:val="0"/>
              <w:autoSpaceDN w:val="0"/>
              <w:bidi w:val="0"/>
              <w:adjustRightInd w:val="0"/>
              <w:snapToGrid w:val="0"/>
              <w:spacing w:beforeAutospacing="0" w:afterAutospacing="0"/>
              <w:ind w:left="0" w:leftChars="0" w:right="0"/>
              <w:jc w:val="center"/>
              <w:rPr>
                <w:rFonts w:hint="default" w:ascii="Times New Roman" w:hAnsi="Times New Roman" w:eastAsia="仿宋_GB2312" w:cs="Times New Roman"/>
                <w:b/>
                <w:bCs/>
                <w:snapToGrid w:val="0"/>
                <w:color w:val="auto"/>
                <w:spacing w:val="0"/>
                <w:kern w:val="0"/>
                <w:position w:val="0"/>
                <w:sz w:val="21"/>
                <w:szCs w:val="21"/>
              </w:rPr>
            </w:pPr>
            <w:r>
              <w:rPr>
                <w:rFonts w:hint="default" w:ascii="Times New Roman" w:hAnsi="Times New Roman" w:eastAsia="仿宋_GB2312" w:cs="Times New Roman"/>
                <w:b/>
                <w:bCs/>
                <w:snapToGrid w:val="0"/>
                <w:color w:val="auto"/>
                <w:spacing w:val="0"/>
                <w:kern w:val="0"/>
                <w:position w:val="0"/>
                <w:sz w:val="21"/>
                <w:szCs w:val="21"/>
              </w:rPr>
              <w:t>伴生和次生事故及产物</w:t>
            </w:r>
          </w:p>
        </w:tc>
        <w:tc>
          <w:tcPr>
            <w:tcW w:w="3274" w:type="pct"/>
            <w:gridSpan w:val="3"/>
            <w:noWrap w:val="0"/>
            <w:vAlign w:val="center"/>
          </w:tcPr>
          <w:p w14:paraId="64172BED">
            <w:pPr>
              <w:pStyle w:val="69"/>
              <w:pageBreakBefore w:val="0"/>
              <w:kinsoku/>
              <w:wordWrap/>
              <w:autoSpaceDE w:val="0"/>
              <w:autoSpaceDN w:val="0"/>
              <w:bidi w:val="0"/>
              <w:adjustRightInd w:val="0"/>
              <w:snapToGrid w:val="0"/>
              <w:spacing w:beforeAutospacing="0" w:afterAutospacing="0"/>
              <w:ind w:left="0" w:leftChars="0" w:right="0"/>
              <w:jc w:val="center"/>
              <w:rPr>
                <w:rFonts w:hint="default" w:ascii="Times New Roman" w:hAnsi="Times New Roman" w:eastAsia="仿宋_GB2312" w:cs="Times New Roman"/>
                <w:b/>
                <w:bCs/>
                <w:snapToGrid w:val="0"/>
                <w:color w:val="auto"/>
                <w:spacing w:val="0"/>
                <w:kern w:val="0"/>
                <w:position w:val="0"/>
                <w:sz w:val="21"/>
                <w:szCs w:val="21"/>
              </w:rPr>
            </w:pPr>
            <w:r>
              <w:rPr>
                <w:rFonts w:hint="default" w:ascii="Times New Roman" w:hAnsi="Times New Roman" w:eastAsia="仿宋_GB2312" w:cs="Times New Roman"/>
                <w:b/>
                <w:bCs/>
                <w:snapToGrid w:val="0"/>
                <w:color w:val="auto"/>
                <w:spacing w:val="0"/>
                <w:kern w:val="0"/>
                <w:position w:val="0"/>
                <w:sz w:val="21"/>
                <w:szCs w:val="21"/>
              </w:rPr>
              <w:t>危害后果</w:t>
            </w:r>
          </w:p>
        </w:tc>
      </w:tr>
      <w:tr w14:paraId="57E2017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625" w:type="pct"/>
            <w:vMerge w:val="continue"/>
            <w:noWrap w:val="0"/>
            <w:vAlign w:val="center"/>
          </w:tcPr>
          <w:p w14:paraId="115E5BA3">
            <w:pPr>
              <w:pageBreakBefore w:val="0"/>
              <w:kinsoku/>
              <w:wordWrap/>
              <w:autoSpaceDE w:val="0"/>
              <w:autoSpaceDN w:val="0"/>
              <w:bidi w:val="0"/>
              <w:adjustRightInd w:val="0"/>
              <w:snapToGrid w:val="0"/>
              <w:spacing w:beforeAutospacing="0" w:afterAutospacing="0"/>
              <w:ind w:left="0" w:leftChars="0" w:right="0"/>
              <w:jc w:val="center"/>
              <w:rPr>
                <w:rFonts w:hint="default" w:ascii="Times New Roman" w:hAnsi="Times New Roman" w:eastAsia="仿宋_GB2312" w:cs="Times New Roman"/>
                <w:b/>
                <w:bCs/>
                <w:snapToGrid w:val="0"/>
                <w:color w:val="auto"/>
                <w:spacing w:val="0"/>
                <w:kern w:val="0"/>
                <w:position w:val="0"/>
                <w:sz w:val="21"/>
                <w:szCs w:val="21"/>
              </w:rPr>
            </w:pPr>
          </w:p>
        </w:tc>
        <w:tc>
          <w:tcPr>
            <w:tcW w:w="314" w:type="pct"/>
            <w:vMerge w:val="continue"/>
            <w:noWrap w:val="0"/>
            <w:vAlign w:val="center"/>
          </w:tcPr>
          <w:p w14:paraId="387CD803">
            <w:pPr>
              <w:pageBreakBefore w:val="0"/>
              <w:kinsoku/>
              <w:wordWrap/>
              <w:autoSpaceDE w:val="0"/>
              <w:autoSpaceDN w:val="0"/>
              <w:bidi w:val="0"/>
              <w:adjustRightInd w:val="0"/>
              <w:snapToGrid w:val="0"/>
              <w:spacing w:beforeAutospacing="0" w:afterAutospacing="0"/>
              <w:ind w:left="0" w:leftChars="0" w:right="0"/>
              <w:jc w:val="center"/>
              <w:rPr>
                <w:rFonts w:hint="default" w:ascii="Times New Roman" w:hAnsi="Times New Roman" w:eastAsia="仿宋_GB2312" w:cs="Times New Roman"/>
                <w:b/>
                <w:bCs/>
                <w:snapToGrid w:val="0"/>
                <w:color w:val="auto"/>
                <w:spacing w:val="0"/>
                <w:kern w:val="0"/>
                <w:position w:val="0"/>
                <w:sz w:val="21"/>
                <w:szCs w:val="21"/>
              </w:rPr>
            </w:pPr>
          </w:p>
        </w:tc>
        <w:tc>
          <w:tcPr>
            <w:tcW w:w="785" w:type="pct"/>
            <w:vMerge w:val="continue"/>
            <w:noWrap w:val="0"/>
            <w:vAlign w:val="center"/>
          </w:tcPr>
          <w:p w14:paraId="1E0BE006">
            <w:pPr>
              <w:pageBreakBefore w:val="0"/>
              <w:kinsoku/>
              <w:wordWrap/>
              <w:autoSpaceDE w:val="0"/>
              <w:autoSpaceDN w:val="0"/>
              <w:bidi w:val="0"/>
              <w:adjustRightInd w:val="0"/>
              <w:snapToGrid w:val="0"/>
              <w:spacing w:beforeAutospacing="0" w:afterAutospacing="0"/>
              <w:ind w:left="0" w:leftChars="0" w:right="0"/>
              <w:jc w:val="center"/>
              <w:rPr>
                <w:rFonts w:hint="default" w:ascii="Times New Roman" w:hAnsi="Times New Roman" w:eastAsia="仿宋_GB2312" w:cs="Times New Roman"/>
                <w:b/>
                <w:bCs/>
                <w:snapToGrid w:val="0"/>
                <w:color w:val="auto"/>
                <w:spacing w:val="0"/>
                <w:kern w:val="0"/>
                <w:position w:val="0"/>
                <w:sz w:val="21"/>
                <w:szCs w:val="21"/>
              </w:rPr>
            </w:pPr>
          </w:p>
        </w:tc>
        <w:tc>
          <w:tcPr>
            <w:tcW w:w="1088" w:type="pct"/>
            <w:noWrap w:val="0"/>
            <w:vAlign w:val="center"/>
          </w:tcPr>
          <w:p w14:paraId="6EA71A9B">
            <w:pPr>
              <w:pStyle w:val="69"/>
              <w:pageBreakBefore w:val="0"/>
              <w:kinsoku/>
              <w:wordWrap/>
              <w:autoSpaceDE w:val="0"/>
              <w:autoSpaceDN w:val="0"/>
              <w:bidi w:val="0"/>
              <w:adjustRightInd w:val="0"/>
              <w:snapToGrid w:val="0"/>
              <w:spacing w:beforeAutospacing="0" w:afterAutospacing="0"/>
              <w:ind w:left="0" w:leftChars="0" w:right="0"/>
              <w:jc w:val="center"/>
              <w:rPr>
                <w:rFonts w:hint="default" w:ascii="Times New Roman" w:hAnsi="Times New Roman" w:eastAsia="仿宋_GB2312" w:cs="Times New Roman"/>
                <w:b/>
                <w:bCs/>
                <w:snapToGrid w:val="0"/>
                <w:color w:val="auto"/>
                <w:spacing w:val="0"/>
                <w:kern w:val="0"/>
                <w:position w:val="0"/>
                <w:sz w:val="21"/>
                <w:szCs w:val="21"/>
              </w:rPr>
            </w:pPr>
            <w:r>
              <w:rPr>
                <w:rFonts w:hint="default" w:ascii="Times New Roman" w:hAnsi="Times New Roman" w:eastAsia="仿宋_GB2312" w:cs="Times New Roman"/>
                <w:b/>
                <w:bCs/>
                <w:snapToGrid w:val="0"/>
                <w:color w:val="auto"/>
                <w:spacing w:val="0"/>
                <w:kern w:val="0"/>
                <w:position w:val="0"/>
                <w:sz w:val="21"/>
                <w:szCs w:val="21"/>
              </w:rPr>
              <w:t>大气污染</w:t>
            </w:r>
          </w:p>
        </w:tc>
        <w:tc>
          <w:tcPr>
            <w:tcW w:w="1089" w:type="pct"/>
            <w:noWrap w:val="0"/>
            <w:vAlign w:val="center"/>
          </w:tcPr>
          <w:p w14:paraId="6EFDB7A2">
            <w:pPr>
              <w:pStyle w:val="69"/>
              <w:pageBreakBefore w:val="0"/>
              <w:kinsoku/>
              <w:wordWrap/>
              <w:autoSpaceDE w:val="0"/>
              <w:autoSpaceDN w:val="0"/>
              <w:bidi w:val="0"/>
              <w:adjustRightInd w:val="0"/>
              <w:snapToGrid w:val="0"/>
              <w:spacing w:beforeAutospacing="0" w:afterAutospacing="0"/>
              <w:ind w:left="0" w:leftChars="0" w:right="0"/>
              <w:jc w:val="center"/>
              <w:rPr>
                <w:rFonts w:hint="default" w:ascii="Times New Roman" w:hAnsi="Times New Roman" w:eastAsia="仿宋_GB2312" w:cs="Times New Roman"/>
                <w:b/>
                <w:bCs/>
                <w:snapToGrid w:val="0"/>
                <w:color w:val="auto"/>
                <w:spacing w:val="0"/>
                <w:kern w:val="0"/>
                <w:position w:val="0"/>
                <w:sz w:val="21"/>
                <w:szCs w:val="21"/>
              </w:rPr>
            </w:pPr>
            <w:r>
              <w:rPr>
                <w:rFonts w:hint="default" w:ascii="Times New Roman" w:hAnsi="Times New Roman" w:eastAsia="仿宋_GB2312" w:cs="Times New Roman"/>
                <w:b/>
                <w:bCs/>
                <w:snapToGrid w:val="0"/>
                <w:color w:val="auto"/>
                <w:spacing w:val="0"/>
                <w:kern w:val="0"/>
                <w:position w:val="0"/>
                <w:sz w:val="21"/>
                <w:szCs w:val="21"/>
              </w:rPr>
              <w:t>水污染</w:t>
            </w:r>
          </w:p>
        </w:tc>
        <w:tc>
          <w:tcPr>
            <w:tcW w:w="1097" w:type="pct"/>
            <w:noWrap w:val="0"/>
            <w:vAlign w:val="center"/>
          </w:tcPr>
          <w:p w14:paraId="49026F82">
            <w:pPr>
              <w:pStyle w:val="69"/>
              <w:pageBreakBefore w:val="0"/>
              <w:kinsoku/>
              <w:wordWrap/>
              <w:autoSpaceDE w:val="0"/>
              <w:autoSpaceDN w:val="0"/>
              <w:bidi w:val="0"/>
              <w:adjustRightInd w:val="0"/>
              <w:snapToGrid w:val="0"/>
              <w:spacing w:beforeAutospacing="0" w:afterAutospacing="0"/>
              <w:ind w:left="0" w:leftChars="0" w:right="0"/>
              <w:jc w:val="center"/>
              <w:rPr>
                <w:rFonts w:hint="default" w:ascii="Times New Roman" w:hAnsi="Times New Roman" w:eastAsia="仿宋_GB2312" w:cs="Times New Roman"/>
                <w:b/>
                <w:bCs/>
                <w:snapToGrid w:val="0"/>
                <w:color w:val="auto"/>
                <w:spacing w:val="0"/>
                <w:kern w:val="0"/>
                <w:position w:val="0"/>
                <w:sz w:val="21"/>
                <w:szCs w:val="21"/>
              </w:rPr>
            </w:pPr>
            <w:r>
              <w:rPr>
                <w:rFonts w:hint="default" w:ascii="Times New Roman" w:hAnsi="Times New Roman" w:eastAsia="仿宋_GB2312" w:cs="Times New Roman"/>
                <w:b/>
                <w:bCs/>
                <w:snapToGrid w:val="0"/>
                <w:color w:val="auto"/>
                <w:spacing w:val="0"/>
                <w:kern w:val="0"/>
                <w:position w:val="0"/>
                <w:sz w:val="21"/>
                <w:szCs w:val="21"/>
              </w:rPr>
              <w:t>土壤污染</w:t>
            </w:r>
          </w:p>
        </w:tc>
      </w:tr>
      <w:tr w14:paraId="4A48DE2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53" w:hRule="atLeast"/>
          <w:jc w:val="center"/>
        </w:trPr>
        <w:tc>
          <w:tcPr>
            <w:tcW w:w="625" w:type="pct"/>
            <w:noWrap w:val="0"/>
            <w:vAlign w:val="center"/>
          </w:tcPr>
          <w:p w14:paraId="09262169">
            <w:pPr>
              <w:pStyle w:val="69"/>
              <w:pageBreakBefore w:val="0"/>
              <w:kinsoku/>
              <w:wordWrap/>
              <w:autoSpaceDE w:val="0"/>
              <w:autoSpaceDN w:val="0"/>
              <w:bidi w:val="0"/>
              <w:adjustRightInd w:val="0"/>
              <w:snapToGrid w:val="0"/>
              <w:spacing w:beforeAutospacing="0" w:afterAutospacing="0"/>
              <w:ind w:left="0" w:leftChars="0" w:right="0"/>
              <w:jc w:val="center"/>
              <w:rPr>
                <w:rFonts w:hint="default" w:ascii="Times New Roman" w:hAnsi="Times New Roman" w:eastAsia="仿宋_GB2312" w:cs="Times New Roman"/>
                <w:snapToGrid w:val="0"/>
                <w:color w:val="auto"/>
                <w:spacing w:val="0"/>
                <w:kern w:val="0"/>
                <w:position w:val="0"/>
                <w:sz w:val="21"/>
                <w:szCs w:val="21"/>
                <w:lang w:val="en-US" w:eastAsia="zh-CN" w:bidi="ar-SA"/>
              </w:rPr>
            </w:pPr>
            <w:r>
              <w:rPr>
                <w:rFonts w:hint="eastAsia" w:ascii="Times New Roman" w:hAnsi="Times New Roman" w:eastAsia="仿宋_GB2312" w:cs="Times New Roman"/>
                <w:snapToGrid w:val="0"/>
                <w:color w:val="auto"/>
                <w:spacing w:val="0"/>
                <w:kern w:val="0"/>
                <w:position w:val="0"/>
                <w:sz w:val="21"/>
                <w:szCs w:val="21"/>
                <w:lang w:val="en-US" w:eastAsia="zh-CN"/>
              </w:rPr>
              <w:t>盐酸、液碱、次氯酸钠</w:t>
            </w:r>
          </w:p>
        </w:tc>
        <w:tc>
          <w:tcPr>
            <w:tcW w:w="314" w:type="pct"/>
            <w:noWrap w:val="0"/>
            <w:vAlign w:val="center"/>
          </w:tcPr>
          <w:p w14:paraId="3BD05DAF">
            <w:pPr>
              <w:pStyle w:val="69"/>
              <w:pageBreakBefore w:val="0"/>
              <w:kinsoku/>
              <w:wordWrap/>
              <w:autoSpaceDE w:val="0"/>
              <w:autoSpaceDN w:val="0"/>
              <w:bidi w:val="0"/>
              <w:adjustRightInd w:val="0"/>
              <w:snapToGrid w:val="0"/>
              <w:spacing w:beforeAutospacing="0" w:afterAutospacing="0"/>
              <w:ind w:left="0" w:leftChars="0" w:right="0"/>
              <w:jc w:val="center"/>
              <w:rPr>
                <w:rFonts w:hint="default" w:ascii="Times New Roman" w:hAnsi="Times New Roman" w:eastAsia="仿宋_GB2312" w:cs="Times New Roman"/>
                <w:snapToGrid w:val="0"/>
                <w:color w:val="auto"/>
                <w:spacing w:val="0"/>
                <w:kern w:val="0"/>
                <w:position w:val="0"/>
                <w:sz w:val="21"/>
                <w:szCs w:val="21"/>
                <w:lang w:val="en-US" w:eastAsia="zh-CN" w:bidi="ar-SA"/>
              </w:rPr>
            </w:pPr>
            <w:r>
              <w:rPr>
                <w:rFonts w:hint="default" w:ascii="Times New Roman" w:hAnsi="Times New Roman" w:eastAsia="仿宋_GB2312" w:cs="Times New Roman"/>
                <w:snapToGrid w:val="0"/>
                <w:color w:val="auto"/>
                <w:spacing w:val="0"/>
                <w:kern w:val="0"/>
                <w:position w:val="0"/>
                <w:sz w:val="21"/>
                <w:szCs w:val="21"/>
                <w:lang w:val="en-US" w:eastAsia="zh-CN"/>
              </w:rPr>
              <w:t>泄漏</w:t>
            </w:r>
          </w:p>
        </w:tc>
        <w:tc>
          <w:tcPr>
            <w:tcW w:w="785" w:type="pct"/>
            <w:noWrap w:val="0"/>
            <w:vAlign w:val="center"/>
          </w:tcPr>
          <w:p w14:paraId="1AB7962F">
            <w:pPr>
              <w:pStyle w:val="69"/>
              <w:pageBreakBefore w:val="0"/>
              <w:kinsoku/>
              <w:wordWrap/>
              <w:autoSpaceDE w:val="0"/>
              <w:autoSpaceDN w:val="0"/>
              <w:bidi w:val="0"/>
              <w:adjustRightInd w:val="0"/>
              <w:snapToGrid w:val="0"/>
              <w:spacing w:beforeAutospacing="0" w:afterAutospacing="0"/>
              <w:ind w:left="0" w:leftChars="0" w:right="0"/>
              <w:jc w:val="center"/>
              <w:rPr>
                <w:rFonts w:hint="default" w:ascii="Times New Roman" w:hAnsi="Times New Roman" w:eastAsia="仿宋_GB2312" w:cs="Times New Roman"/>
                <w:snapToGrid w:val="0"/>
                <w:color w:val="auto"/>
                <w:spacing w:val="0"/>
                <w:kern w:val="0"/>
                <w:position w:val="0"/>
                <w:sz w:val="21"/>
                <w:szCs w:val="21"/>
                <w:lang w:val="en-US" w:eastAsia="zh-CN" w:bidi="ar-SA"/>
              </w:rPr>
            </w:pPr>
            <w:r>
              <w:rPr>
                <w:rFonts w:hint="eastAsia" w:ascii="Times New Roman" w:hAnsi="Times New Roman" w:eastAsia="仿宋_GB2312" w:cs="Times New Roman"/>
                <w:snapToGrid w:val="0"/>
                <w:color w:val="auto"/>
                <w:spacing w:val="0"/>
                <w:kern w:val="0"/>
                <w:position w:val="0"/>
                <w:sz w:val="21"/>
                <w:szCs w:val="21"/>
                <w:lang w:val="en-US" w:eastAsia="zh-CN"/>
              </w:rPr>
              <w:t>盐酸、液碱、次氯酸钠</w:t>
            </w:r>
          </w:p>
        </w:tc>
        <w:tc>
          <w:tcPr>
            <w:tcW w:w="1088" w:type="pct"/>
            <w:noWrap w:val="0"/>
            <w:vAlign w:val="center"/>
          </w:tcPr>
          <w:p w14:paraId="236D5DBB">
            <w:pPr>
              <w:pStyle w:val="69"/>
              <w:pageBreakBefore w:val="0"/>
              <w:kinsoku/>
              <w:wordWrap/>
              <w:autoSpaceDE w:val="0"/>
              <w:autoSpaceDN w:val="0"/>
              <w:bidi w:val="0"/>
              <w:adjustRightInd w:val="0"/>
              <w:snapToGrid w:val="0"/>
              <w:spacing w:beforeAutospacing="0" w:afterAutospacing="0"/>
              <w:ind w:left="0" w:leftChars="0" w:right="0"/>
              <w:jc w:val="center"/>
              <w:rPr>
                <w:rFonts w:hint="default" w:ascii="Times New Roman" w:hAnsi="Times New Roman" w:eastAsia="仿宋_GB2312" w:cs="Times New Roman"/>
                <w:snapToGrid w:val="0"/>
                <w:color w:val="auto"/>
                <w:spacing w:val="0"/>
                <w:kern w:val="0"/>
                <w:position w:val="0"/>
                <w:sz w:val="21"/>
                <w:szCs w:val="21"/>
              </w:rPr>
            </w:pPr>
            <w:r>
              <w:rPr>
                <w:rFonts w:hint="default" w:ascii="Times New Roman" w:hAnsi="Times New Roman" w:eastAsia="仿宋_GB2312" w:cs="Times New Roman"/>
                <w:snapToGrid w:val="0"/>
                <w:color w:val="auto"/>
                <w:spacing w:val="0"/>
                <w:kern w:val="0"/>
                <w:position w:val="0"/>
                <w:sz w:val="21"/>
                <w:szCs w:val="21"/>
              </w:rPr>
              <w:t>有毒物质自身和次生的有毒物质以气态形式挥发进入大气，产生的伴生/次生危害，造成大气污染。</w:t>
            </w:r>
          </w:p>
        </w:tc>
        <w:tc>
          <w:tcPr>
            <w:tcW w:w="1089" w:type="pct"/>
            <w:noWrap w:val="0"/>
            <w:vAlign w:val="center"/>
          </w:tcPr>
          <w:p w14:paraId="040548AF">
            <w:pPr>
              <w:pStyle w:val="69"/>
              <w:pageBreakBefore w:val="0"/>
              <w:kinsoku/>
              <w:wordWrap/>
              <w:autoSpaceDE w:val="0"/>
              <w:autoSpaceDN w:val="0"/>
              <w:bidi w:val="0"/>
              <w:adjustRightInd w:val="0"/>
              <w:snapToGrid w:val="0"/>
              <w:spacing w:beforeAutospacing="0" w:afterAutospacing="0"/>
              <w:ind w:left="0" w:leftChars="0" w:right="0"/>
              <w:jc w:val="center"/>
              <w:rPr>
                <w:rFonts w:hint="default" w:ascii="Times New Roman" w:hAnsi="Times New Roman" w:eastAsia="仿宋_GB2312" w:cs="Times New Roman"/>
                <w:snapToGrid w:val="0"/>
                <w:color w:val="auto"/>
                <w:spacing w:val="0"/>
                <w:kern w:val="0"/>
                <w:position w:val="0"/>
                <w:sz w:val="21"/>
                <w:szCs w:val="21"/>
              </w:rPr>
            </w:pPr>
            <w:r>
              <w:rPr>
                <w:rFonts w:hint="default" w:ascii="Times New Roman" w:hAnsi="Times New Roman" w:eastAsia="仿宋_GB2312" w:cs="Times New Roman"/>
                <w:snapToGrid w:val="0"/>
                <w:color w:val="auto"/>
                <w:spacing w:val="0"/>
                <w:kern w:val="0"/>
                <w:position w:val="0"/>
                <w:sz w:val="21"/>
                <w:szCs w:val="21"/>
              </w:rPr>
              <w:t>有毒物质经清净下水管等排水系统混入清净下水、消防水、雨水中，经厂区排水管线流入地表水体，造成水体污染。</w:t>
            </w:r>
          </w:p>
        </w:tc>
        <w:tc>
          <w:tcPr>
            <w:tcW w:w="1097" w:type="pct"/>
            <w:noWrap w:val="0"/>
            <w:vAlign w:val="center"/>
          </w:tcPr>
          <w:p w14:paraId="19D11D8D">
            <w:pPr>
              <w:pStyle w:val="69"/>
              <w:pageBreakBefore w:val="0"/>
              <w:kinsoku/>
              <w:wordWrap/>
              <w:autoSpaceDE w:val="0"/>
              <w:autoSpaceDN w:val="0"/>
              <w:bidi w:val="0"/>
              <w:adjustRightInd w:val="0"/>
              <w:snapToGrid w:val="0"/>
              <w:spacing w:beforeAutospacing="0" w:afterAutospacing="0"/>
              <w:ind w:left="0" w:leftChars="0" w:right="0"/>
              <w:jc w:val="center"/>
              <w:rPr>
                <w:rFonts w:hint="default" w:ascii="Times New Roman" w:hAnsi="Times New Roman" w:eastAsia="仿宋_GB2312" w:cs="Times New Roman"/>
                <w:snapToGrid w:val="0"/>
                <w:color w:val="auto"/>
                <w:spacing w:val="0"/>
                <w:kern w:val="0"/>
                <w:position w:val="0"/>
                <w:sz w:val="21"/>
                <w:szCs w:val="21"/>
              </w:rPr>
            </w:pPr>
            <w:r>
              <w:rPr>
                <w:rFonts w:hint="default" w:ascii="Times New Roman" w:hAnsi="Times New Roman" w:eastAsia="仿宋_GB2312" w:cs="Times New Roman"/>
                <w:snapToGrid w:val="0"/>
                <w:color w:val="auto"/>
                <w:spacing w:val="0"/>
                <w:kern w:val="0"/>
                <w:position w:val="0"/>
                <w:sz w:val="21"/>
                <w:szCs w:val="21"/>
              </w:rPr>
              <w:t>有毒物质自身和次生的有毒物质进入土 壤，</w:t>
            </w:r>
            <w:r>
              <w:rPr>
                <w:rFonts w:hint="default" w:ascii="Times New Roman" w:hAnsi="Times New Roman" w:eastAsia="仿宋_GB2312" w:cs="Times New Roman"/>
                <w:snapToGrid w:val="0"/>
                <w:color w:val="auto"/>
                <w:spacing w:val="0"/>
                <w:kern w:val="0"/>
                <w:position w:val="0"/>
                <w:sz w:val="21"/>
                <w:szCs w:val="21"/>
                <w:lang w:eastAsia="zh-CN"/>
              </w:rPr>
              <w:t>产生的</w:t>
            </w:r>
            <w:r>
              <w:rPr>
                <w:rFonts w:hint="default" w:ascii="Times New Roman" w:hAnsi="Times New Roman" w:eastAsia="仿宋_GB2312" w:cs="Times New Roman"/>
                <w:snapToGrid w:val="0"/>
                <w:color w:val="auto"/>
                <w:spacing w:val="0"/>
                <w:kern w:val="0"/>
                <w:position w:val="0"/>
                <w:sz w:val="21"/>
                <w:szCs w:val="21"/>
              </w:rPr>
              <w:t>伴生/次生危害，造成土壤污染。</w:t>
            </w:r>
          </w:p>
        </w:tc>
      </w:tr>
      <w:tr w14:paraId="4FCA70D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53" w:hRule="atLeast"/>
          <w:jc w:val="center"/>
        </w:trPr>
        <w:tc>
          <w:tcPr>
            <w:tcW w:w="625" w:type="pct"/>
            <w:noWrap w:val="0"/>
            <w:vAlign w:val="center"/>
          </w:tcPr>
          <w:p w14:paraId="39585565">
            <w:pPr>
              <w:pStyle w:val="69"/>
              <w:pageBreakBefore w:val="0"/>
              <w:kinsoku/>
              <w:wordWrap/>
              <w:autoSpaceDE w:val="0"/>
              <w:autoSpaceDN w:val="0"/>
              <w:bidi w:val="0"/>
              <w:adjustRightInd w:val="0"/>
              <w:snapToGrid w:val="0"/>
              <w:spacing w:beforeAutospacing="0" w:afterAutospacing="0"/>
              <w:ind w:left="0" w:leftChars="0" w:right="0"/>
              <w:jc w:val="center"/>
              <w:rPr>
                <w:rFonts w:hint="default" w:ascii="Times New Roman" w:hAnsi="Times New Roman" w:eastAsia="仿宋_GB2312" w:cs="Times New Roman"/>
                <w:snapToGrid w:val="0"/>
                <w:color w:val="auto"/>
                <w:spacing w:val="0"/>
                <w:kern w:val="0"/>
                <w:position w:val="0"/>
                <w:sz w:val="21"/>
                <w:szCs w:val="21"/>
                <w:lang w:eastAsia="zh-CN"/>
              </w:rPr>
            </w:pPr>
            <w:r>
              <w:rPr>
                <w:rFonts w:hint="eastAsia" w:ascii="Times New Roman" w:hAnsi="Times New Roman" w:eastAsia="仿宋_GB2312" w:cs="Times New Roman"/>
                <w:snapToGrid w:val="0"/>
                <w:color w:val="auto"/>
                <w:spacing w:val="0"/>
                <w:kern w:val="0"/>
                <w:position w:val="0"/>
                <w:sz w:val="21"/>
                <w:szCs w:val="21"/>
                <w:lang w:val="en-US" w:eastAsia="zh-CN"/>
              </w:rPr>
              <w:t>盐酸、液碱、次氯酸钠</w:t>
            </w:r>
          </w:p>
        </w:tc>
        <w:tc>
          <w:tcPr>
            <w:tcW w:w="314" w:type="pct"/>
            <w:noWrap w:val="0"/>
            <w:vAlign w:val="center"/>
          </w:tcPr>
          <w:p w14:paraId="649CC75F">
            <w:pPr>
              <w:pStyle w:val="69"/>
              <w:pageBreakBefore w:val="0"/>
              <w:kinsoku/>
              <w:wordWrap/>
              <w:autoSpaceDE w:val="0"/>
              <w:autoSpaceDN w:val="0"/>
              <w:bidi w:val="0"/>
              <w:adjustRightInd w:val="0"/>
              <w:snapToGrid w:val="0"/>
              <w:spacing w:beforeAutospacing="0" w:afterAutospacing="0"/>
              <w:ind w:left="0" w:leftChars="0" w:right="0"/>
              <w:jc w:val="center"/>
              <w:rPr>
                <w:rFonts w:hint="default" w:ascii="Times New Roman" w:hAnsi="Times New Roman" w:eastAsia="仿宋_GB2312" w:cs="Times New Roman"/>
                <w:snapToGrid w:val="0"/>
                <w:color w:val="auto"/>
                <w:spacing w:val="0"/>
                <w:kern w:val="0"/>
                <w:position w:val="0"/>
                <w:sz w:val="21"/>
                <w:szCs w:val="21"/>
                <w:lang w:eastAsia="zh-CN"/>
              </w:rPr>
            </w:pPr>
            <w:r>
              <w:rPr>
                <w:rFonts w:hint="default" w:ascii="Times New Roman" w:hAnsi="Times New Roman" w:eastAsia="仿宋_GB2312" w:cs="Times New Roman"/>
                <w:snapToGrid w:val="0"/>
                <w:color w:val="auto"/>
                <w:spacing w:val="0"/>
                <w:kern w:val="0"/>
                <w:position w:val="0"/>
                <w:sz w:val="21"/>
                <w:szCs w:val="21"/>
                <w:lang w:eastAsia="zh-CN"/>
              </w:rPr>
              <w:t>爆炸、着火</w:t>
            </w:r>
          </w:p>
        </w:tc>
        <w:tc>
          <w:tcPr>
            <w:tcW w:w="785" w:type="pct"/>
            <w:noWrap w:val="0"/>
            <w:vAlign w:val="center"/>
          </w:tcPr>
          <w:p w14:paraId="08541EAB">
            <w:pPr>
              <w:pStyle w:val="69"/>
              <w:pageBreakBefore w:val="0"/>
              <w:kinsoku/>
              <w:wordWrap/>
              <w:autoSpaceDE w:val="0"/>
              <w:autoSpaceDN w:val="0"/>
              <w:bidi w:val="0"/>
              <w:adjustRightInd w:val="0"/>
              <w:snapToGrid w:val="0"/>
              <w:spacing w:beforeAutospacing="0" w:afterAutospacing="0"/>
              <w:ind w:left="0" w:leftChars="0" w:right="0"/>
              <w:jc w:val="center"/>
              <w:rPr>
                <w:rFonts w:hint="default" w:ascii="Times New Roman" w:hAnsi="Times New Roman" w:eastAsia="仿宋_GB2312" w:cs="Times New Roman"/>
                <w:snapToGrid w:val="0"/>
                <w:color w:val="auto"/>
                <w:spacing w:val="0"/>
                <w:kern w:val="0"/>
                <w:position w:val="0"/>
                <w:sz w:val="21"/>
                <w:szCs w:val="21"/>
                <w:lang w:val="en-US" w:eastAsia="zh-CN"/>
              </w:rPr>
            </w:pPr>
            <w:r>
              <w:rPr>
                <w:rFonts w:hint="eastAsia" w:ascii="Times New Roman" w:hAnsi="Times New Roman" w:eastAsia="仿宋_GB2312" w:cs="Times New Roman"/>
                <w:snapToGrid w:val="0"/>
                <w:color w:val="auto"/>
                <w:spacing w:val="0"/>
                <w:kern w:val="0"/>
                <w:position w:val="0"/>
                <w:sz w:val="21"/>
                <w:szCs w:val="21"/>
                <w:lang w:val="en-US" w:eastAsia="zh-CN"/>
              </w:rPr>
              <w:t>HCl、</w:t>
            </w:r>
            <w:r>
              <w:rPr>
                <w:rFonts w:hint="default" w:ascii="Times New Roman" w:hAnsi="Times New Roman" w:eastAsia="仿宋_GB2312" w:cs="Times New Roman"/>
                <w:snapToGrid w:val="0"/>
                <w:color w:val="auto"/>
                <w:spacing w:val="0"/>
                <w:kern w:val="0"/>
                <w:position w:val="0"/>
                <w:sz w:val="21"/>
                <w:szCs w:val="21"/>
                <w:lang w:val="en-US" w:eastAsia="zh-CN"/>
              </w:rPr>
              <w:t>CO</w:t>
            </w:r>
          </w:p>
        </w:tc>
        <w:tc>
          <w:tcPr>
            <w:tcW w:w="1088" w:type="pct"/>
            <w:noWrap w:val="0"/>
            <w:vAlign w:val="center"/>
          </w:tcPr>
          <w:p w14:paraId="792CDC49">
            <w:pPr>
              <w:pStyle w:val="69"/>
              <w:pageBreakBefore w:val="0"/>
              <w:kinsoku/>
              <w:wordWrap/>
              <w:autoSpaceDE w:val="0"/>
              <w:autoSpaceDN w:val="0"/>
              <w:bidi w:val="0"/>
              <w:adjustRightInd w:val="0"/>
              <w:snapToGrid w:val="0"/>
              <w:spacing w:beforeAutospacing="0" w:afterAutospacing="0"/>
              <w:ind w:left="0" w:leftChars="0" w:right="0"/>
              <w:jc w:val="center"/>
              <w:rPr>
                <w:rFonts w:hint="default" w:ascii="Times New Roman" w:hAnsi="Times New Roman" w:eastAsia="仿宋_GB2312" w:cs="Times New Roman"/>
                <w:snapToGrid w:val="0"/>
                <w:color w:val="auto"/>
                <w:spacing w:val="0"/>
                <w:kern w:val="0"/>
                <w:position w:val="0"/>
                <w:sz w:val="21"/>
                <w:szCs w:val="21"/>
              </w:rPr>
            </w:pPr>
            <w:r>
              <w:rPr>
                <w:rFonts w:hint="default" w:ascii="Times New Roman" w:hAnsi="Times New Roman" w:eastAsia="仿宋_GB2312" w:cs="Times New Roman"/>
                <w:snapToGrid w:val="0"/>
                <w:color w:val="auto"/>
                <w:spacing w:val="0"/>
                <w:kern w:val="0"/>
                <w:position w:val="0"/>
                <w:sz w:val="21"/>
                <w:szCs w:val="21"/>
              </w:rPr>
              <w:t>次生的</w:t>
            </w:r>
            <w:r>
              <w:rPr>
                <w:rFonts w:hint="default" w:ascii="Times New Roman" w:hAnsi="Times New Roman" w:eastAsia="仿宋_GB2312" w:cs="Times New Roman"/>
                <w:snapToGrid w:val="0"/>
                <w:color w:val="auto"/>
                <w:spacing w:val="0"/>
                <w:kern w:val="0"/>
                <w:position w:val="0"/>
                <w:sz w:val="21"/>
                <w:szCs w:val="21"/>
                <w:lang w:val="en-US" w:eastAsia="zh-CN"/>
              </w:rPr>
              <w:t>CO</w:t>
            </w:r>
            <w:r>
              <w:rPr>
                <w:rFonts w:hint="default" w:ascii="Times New Roman" w:hAnsi="Times New Roman" w:eastAsia="仿宋_GB2312" w:cs="Times New Roman"/>
                <w:snapToGrid w:val="0"/>
                <w:color w:val="auto"/>
                <w:spacing w:val="0"/>
                <w:kern w:val="0"/>
                <w:position w:val="0"/>
                <w:sz w:val="21"/>
                <w:szCs w:val="21"/>
              </w:rPr>
              <w:t>以气态形式挥发进入大气，产生的伴生/次生危害，造成大气污染。</w:t>
            </w:r>
          </w:p>
        </w:tc>
        <w:tc>
          <w:tcPr>
            <w:tcW w:w="1089" w:type="pct"/>
            <w:noWrap w:val="0"/>
            <w:vAlign w:val="center"/>
          </w:tcPr>
          <w:p w14:paraId="171B0D47">
            <w:pPr>
              <w:pStyle w:val="69"/>
              <w:pageBreakBefore w:val="0"/>
              <w:kinsoku/>
              <w:wordWrap/>
              <w:autoSpaceDE w:val="0"/>
              <w:autoSpaceDN w:val="0"/>
              <w:bidi w:val="0"/>
              <w:adjustRightInd w:val="0"/>
              <w:snapToGrid w:val="0"/>
              <w:spacing w:beforeAutospacing="0" w:afterAutospacing="0"/>
              <w:ind w:left="0" w:leftChars="0" w:right="0"/>
              <w:jc w:val="center"/>
              <w:rPr>
                <w:rFonts w:hint="default" w:ascii="Times New Roman" w:hAnsi="Times New Roman" w:eastAsia="仿宋_GB2312" w:cs="Times New Roman"/>
                <w:snapToGrid w:val="0"/>
                <w:color w:val="auto"/>
                <w:spacing w:val="0"/>
                <w:kern w:val="0"/>
                <w:position w:val="0"/>
                <w:sz w:val="21"/>
                <w:szCs w:val="21"/>
              </w:rPr>
            </w:pPr>
            <w:r>
              <w:rPr>
                <w:rFonts w:hint="default" w:ascii="Times New Roman" w:hAnsi="Times New Roman" w:eastAsia="仿宋_GB2312" w:cs="Times New Roman"/>
                <w:snapToGrid w:val="0"/>
                <w:color w:val="auto"/>
                <w:spacing w:val="0"/>
                <w:kern w:val="0"/>
                <w:position w:val="0"/>
                <w:sz w:val="21"/>
                <w:szCs w:val="21"/>
                <w:lang w:eastAsia="zh-CN"/>
              </w:rPr>
              <w:t>消防废水</w:t>
            </w:r>
            <w:r>
              <w:rPr>
                <w:rFonts w:hint="default" w:ascii="Times New Roman" w:hAnsi="Times New Roman" w:eastAsia="仿宋_GB2312" w:cs="Times New Roman"/>
                <w:snapToGrid w:val="0"/>
                <w:color w:val="auto"/>
                <w:spacing w:val="0"/>
                <w:kern w:val="0"/>
                <w:position w:val="0"/>
                <w:sz w:val="21"/>
                <w:szCs w:val="21"/>
              </w:rPr>
              <w:t>经清净下水管等排水系统混入清净下水、消防水、雨水中，经厂区排水管线流入地表水体，造成水体污染。</w:t>
            </w:r>
          </w:p>
        </w:tc>
        <w:tc>
          <w:tcPr>
            <w:tcW w:w="1097" w:type="pct"/>
            <w:noWrap w:val="0"/>
            <w:vAlign w:val="center"/>
          </w:tcPr>
          <w:p w14:paraId="0934C9F0">
            <w:pPr>
              <w:pStyle w:val="69"/>
              <w:pageBreakBefore w:val="0"/>
              <w:kinsoku/>
              <w:wordWrap/>
              <w:autoSpaceDE w:val="0"/>
              <w:autoSpaceDN w:val="0"/>
              <w:bidi w:val="0"/>
              <w:adjustRightInd w:val="0"/>
              <w:snapToGrid w:val="0"/>
              <w:spacing w:beforeAutospacing="0" w:afterAutospacing="0"/>
              <w:ind w:left="0" w:leftChars="0" w:right="0"/>
              <w:jc w:val="center"/>
              <w:rPr>
                <w:rFonts w:hint="default" w:ascii="Times New Roman" w:hAnsi="Times New Roman" w:eastAsia="仿宋_GB2312" w:cs="Times New Roman"/>
                <w:snapToGrid w:val="0"/>
                <w:color w:val="auto"/>
                <w:spacing w:val="0"/>
                <w:kern w:val="0"/>
                <w:position w:val="0"/>
                <w:sz w:val="21"/>
                <w:szCs w:val="21"/>
              </w:rPr>
            </w:pPr>
            <w:r>
              <w:rPr>
                <w:rFonts w:hint="default" w:ascii="Times New Roman" w:hAnsi="Times New Roman" w:eastAsia="仿宋_GB2312" w:cs="Times New Roman"/>
                <w:snapToGrid w:val="0"/>
                <w:color w:val="auto"/>
                <w:spacing w:val="0"/>
                <w:kern w:val="0"/>
                <w:position w:val="0"/>
                <w:sz w:val="21"/>
                <w:szCs w:val="21"/>
              </w:rPr>
              <w:t>有毒物质自身和次生的有毒物质进入土 壤，</w:t>
            </w:r>
            <w:r>
              <w:rPr>
                <w:rFonts w:hint="default" w:ascii="Times New Roman" w:hAnsi="Times New Roman" w:eastAsia="仿宋_GB2312" w:cs="Times New Roman"/>
                <w:snapToGrid w:val="0"/>
                <w:color w:val="auto"/>
                <w:spacing w:val="0"/>
                <w:kern w:val="0"/>
                <w:position w:val="0"/>
                <w:sz w:val="21"/>
                <w:szCs w:val="21"/>
                <w:lang w:eastAsia="zh-CN"/>
              </w:rPr>
              <w:t>产生的</w:t>
            </w:r>
            <w:r>
              <w:rPr>
                <w:rFonts w:hint="default" w:ascii="Times New Roman" w:hAnsi="Times New Roman" w:eastAsia="仿宋_GB2312" w:cs="Times New Roman"/>
                <w:snapToGrid w:val="0"/>
                <w:color w:val="auto"/>
                <w:spacing w:val="0"/>
                <w:kern w:val="0"/>
                <w:position w:val="0"/>
                <w:sz w:val="21"/>
                <w:szCs w:val="21"/>
              </w:rPr>
              <w:t>伴生/次生危害，造成土壤污染。</w:t>
            </w:r>
          </w:p>
        </w:tc>
      </w:tr>
    </w:tbl>
    <w:p w14:paraId="20B9C298">
      <w:pPr>
        <w:pageBreakBefore w:val="0"/>
        <w:kinsoku/>
        <w:wordWrap/>
        <w:bidi w:val="0"/>
        <w:adjustRightInd w:val="0"/>
        <w:snapToGrid w:val="0"/>
        <w:spacing w:beforeAutospacing="0" w:afterAutospacing="0" w:line="500" w:lineRule="exact"/>
        <w:ind w:left="0" w:leftChars="0" w:right="0" w:firstLine="480" w:firstLineChars="200"/>
        <w:jc w:val="left"/>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此外，堵漏过程中可能使用的大量拦截、堵漏材料，掺杂一定的物料，若事故排放后随意丢弃、排放，将对环境产生二次污染。</w:t>
      </w:r>
    </w:p>
    <w:p w14:paraId="0122C521">
      <w:pPr>
        <w:pStyle w:val="4"/>
        <w:keepNext/>
        <w:keepLines w:val="0"/>
        <w:pageBreakBefore w:val="0"/>
        <w:widowControl w:val="0"/>
        <w:kinsoku/>
        <w:wordWrap/>
        <w:overflowPunct w:val="0"/>
        <w:topLinePunct w:val="0"/>
        <w:autoSpaceDE/>
        <w:autoSpaceDN/>
        <w:bidi w:val="0"/>
        <w:adjustRightInd/>
        <w:snapToGrid w:val="0"/>
        <w:spacing w:before="0" w:line="500" w:lineRule="exact"/>
        <w:ind w:left="0" w:right="0" w:firstLine="0" w:firstLineChars="0"/>
        <w:jc w:val="both"/>
        <w:textAlignment w:val="auto"/>
        <w:outlineLvl w:val="1"/>
        <w:rPr>
          <w:rFonts w:hint="default" w:ascii="Times New Roman" w:hAnsi="Times New Roman" w:eastAsia="仿宋_GB2312" w:cs="Times New Roman"/>
          <w:b/>
          <w:bCs/>
          <w:sz w:val="24"/>
          <w:szCs w:val="24"/>
          <w:lang w:val="en-US" w:eastAsia="zh-CN"/>
        </w:rPr>
      </w:pPr>
      <w:bookmarkStart w:id="130" w:name="_Toc5241"/>
      <w:bookmarkStart w:id="131" w:name="_Toc20403"/>
      <w:bookmarkStart w:id="132" w:name="_Toc24107"/>
      <w:r>
        <w:rPr>
          <w:rFonts w:hint="default" w:ascii="Times New Roman" w:hAnsi="Times New Roman" w:eastAsia="仿宋_GB2312" w:cs="Times New Roman"/>
          <w:b/>
          <w:bCs/>
          <w:sz w:val="24"/>
          <w:szCs w:val="24"/>
          <w:lang w:val="en-US" w:eastAsia="zh-CN"/>
        </w:rPr>
        <w:t>2.</w:t>
      </w:r>
      <w:r>
        <w:rPr>
          <w:rFonts w:hint="eastAsia" w:ascii="Times New Roman" w:hAnsi="Times New Roman" w:eastAsia="仿宋_GB2312" w:cs="Times New Roman"/>
          <w:b/>
          <w:bCs/>
          <w:sz w:val="24"/>
          <w:szCs w:val="24"/>
          <w:lang w:val="en-US" w:eastAsia="zh-CN"/>
        </w:rPr>
        <w:t>8</w:t>
      </w:r>
      <w:r>
        <w:rPr>
          <w:rFonts w:hint="default" w:ascii="Times New Roman" w:hAnsi="Times New Roman" w:eastAsia="仿宋_GB2312" w:cs="Times New Roman"/>
          <w:b/>
          <w:bCs/>
          <w:sz w:val="24"/>
          <w:szCs w:val="24"/>
          <w:lang w:val="en-US" w:eastAsia="zh-CN"/>
        </w:rPr>
        <w:t>其他环境风险</w:t>
      </w:r>
      <w:bookmarkEnd w:id="130"/>
      <w:bookmarkEnd w:id="131"/>
      <w:bookmarkEnd w:id="132"/>
    </w:p>
    <w:p w14:paraId="5432F7E1">
      <w:pPr>
        <w:pageBreakBefore w:val="0"/>
        <w:kinsoku/>
        <w:wordWrap/>
        <w:bidi w:val="0"/>
        <w:adjustRightInd w:val="0"/>
        <w:snapToGrid w:val="0"/>
        <w:spacing w:beforeAutospacing="0" w:afterAutospacing="0" w:line="500" w:lineRule="exact"/>
        <w:ind w:left="0" w:leftChars="0" w:right="0" w:firstLine="480" w:firstLineChars="200"/>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（1）地表水、地下水环境风险分析</w:t>
      </w:r>
    </w:p>
    <w:p w14:paraId="0B1465FE">
      <w:pPr>
        <w:pageBreakBefore w:val="0"/>
        <w:kinsoku/>
        <w:wordWrap/>
        <w:bidi w:val="0"/>
        <w:adjustRightInd w:val="0"/>
        <w:snapToGrid w:val="0"/>
        <w:spacing w:beforeAutospacing="0" w:afterAutospacing="0" w:line="500" w:lineRule="exact"/>
        <w:ind w:left="0" w:leftChars="0" w:right="0" w:firstLine="480" w:firstLineChars="200"/>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建设项目还存在废气事故排放，生产、贮存场所和固体废弃物堆积、处置场所等因冲洗或雨淋而造成有害物质泄漏至地面水或地下水而造成的环境灾害。</w:t>
      </w:r>
    </w:p>
    <w:p w14:paraId="2EEEAC9C">
      <w:pPr>
        <w:pageBreakBefore w:val="0"/>
        <w:kinsoku/>
        <w:wordWrap/>
        <w:bidi w:val="0"/>
        <w:adjustRightInd w:val="0"/>
        <w:snapToGrid w:val="0"/>
        <w:spacing w:beforeAutospacing="0" w:afterAutospacing="0" w:line="500" w:lineRule="exact"/>
        <w:ind w:left="0" w:leftChars="0" w:right="0" w:firstLine="480" w:firstLineChars="200"/>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在通常情况下，潜水补充地下水，洪水期地表水补充潜水，因此，潜水受到污染时会影响地表水；地表水受到污染，对潜水也会有影响。</w:t>
      </w:r>
    </w:p>
    <w:p w14:paraId="3DB139A8">
      <w:pPr>
        <w:pageBreakBefore w:val="0"/>
        <w:kinsoku/>
        <w:wordWrap/>
        <w:bidi w:val="0"/>
        <w:adjustRightInd w:val="0"/>
        <w:snapToGrid w:val="0"/>
        <w:spacing w:beforeAutospacing="0" w:afterAutospacing="0" w:line="500" w:lineRule="exact"/>
        <w:ind w:left="0" w:leftChars="0" w:right="0" w:firstLine="480" w:firstLineChars="200"/>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由于含水层以上无隔水层保护，包气带厚度又小，潜水水质的防护能力很差。如果没有专门的防渗措施，污水必然会渗入地下而污染潜水层。</w:t>
      </w:r>
    </w:p>
    <w:p w14:paraId="7CB69908">
      <w:pPr>
        <w:pageBreakBefore w:val="0"/>
        <w:kinsoku/>
        <w:wordWrap/>
        <w:bidi w:val="0"/>
        <w:adjustRightInd w:val="0"/>
        <w:snapToGrid w:val="0"/>
        <w:spacing w:beforeAutospacing="0" w:afterAutospacing="0" w:line="500" w:lineRule="exact"/>
        <w:ind w:left="0" w:leftChars="0" w:right="0" w:firstLine="480" w:firstLineChars="200"/>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对此，要求项目采用严格防渗措施，如厂区地坪防渗处理措施，采用粘土夯实、水泥硬化防渗处理，对厂区内其他非绿化用地采取相应的防渗措施。</w:t>
      </w:r>
    </w:p>
    <w:p w14:paraId="43125C59">
      <w:pPr>
        <w:pageBreakBefore w:val="0"/>
        <w:kinsoku/>
        <w:wordWrap/>
        <w:bidi w:val="0"/>
        <w:adjustRightInd w:val="0"/>
        <w:snapToGrid w:val="0"/>
        <w:spacing w:beforeAutospacing="0" w:afterAutospacing="0" w:line="500" w:lineRule="exact"/>
        <w:ind w:left="0" w:leftChars="0" w:right="0" w:firstLine="480" w:firstLineChars="200"/>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固废放置场所应按《</w:t>
      </w:r>
      <w:r>
        <w:rPr>
          <w:rFonts w:hint="default" w:ascii="Times New Roman" w:hAnsi="Times New Roman" w:eastAsia="仿宋_GB2312" w:cs="Times New Roman"/>
          <w:color w:val="auto"/>
          <w:spacing w:val="0"/>
          <w:kern w:val="0"/>
          <w:position w:val="0"/>
          <w:sz w:val="24"/>
          <w:szCs w:val="24"/>
          <w:lang w:eastAsia="zh-CN"/>
        </w:rPr>
        <w:t>一般工业固体废物贮存和填埋污染控制标准</w:t>
      </w:r>
      <w:r>
        <w:rPr>
          <w:rFonts w:hint="default" w:ascii="Times New Roman" w:hAnsi="Times New Roman" w:eastAsia="仿宋_GB2312" w:cs="Times New Roman"/>
          <w:color w:val="auto"/>
          <w:spacing w:val="0"/>
          <w:kern w:val="0"/>
          <w:position w:val="0"/>
          <w:sz w:val="24"/>
          <w:szCs w:val="24"/>
        </w:rPr>
        <w:t>》（</w:t>
      </w:r>
      <w:r>
        <w:rPr>
          <w:rFonts w:hint="default" w:ascii="Times New Roman" w:hAnsi="Times New Roman" w:eastAsia="仿宋_GB2312" w:cs="Times New Roman"/>
          <w:color w:val="auto"/>
          <w:spacing w:val="0"/>
          <w:kern w:val="0"/>
          <w:position w:val="0"/>
          <w:sz w:val="24"/>
          <w:szCs w:val="24"/>
          <w:lang w:eastAsia="zh-CN"/>
        </w:rPr>
        <w:t>GB 18599-2020</w:t>
      </w:r>
      <w:r>
        <w:rPr>
          <w:rFonts w:hint="default" w:ascii="Times New Roman" w:hAnsi="Times New Roman" w:eastAsia="仿宋_GB2312" w:cs="Times New Roman"/>
          <w:color w:val="auto"/>
          <w:spacing w:val="0"/>
          <w:kern w:val="0"/>
          <w:position w:val="0"/>
          <w:sz w:val="24"/>
          <w:szCs w:val="24"/>
        </w:rPr>
        <w:t>）、《危险废物贮存污染控制标准》（GB18597-20</w:t>
      </w:r>
      <w:r>
        <w:rPr>
          <w:rFonts w:hint="default" w:ascii="Times New Roman" w:hAnsi="Times New Roman" w:eastAsia="仿宋_GB2312" w:cs="Times New Roman"/>
          <w:color w:val="auto"/>
          <w:spacing w:val="0"/>
          <w:kern w:val="0"/>
          <w:position w:val="0"/>
          <w:sz w:val="24"/>
          <w:szCs w:val="24"/>
          <w:lang w:val="en-US" w:eastAsia="zh-CN"/>
        </w:rPr>
        <w:t>23</w:t>
      </w:r>
      <w:r>
        <w:rPr>
          <w:rFonts w:hint="default" w:ascii="Times New Roman" w:hAnsi="Times New Roman" w:eastAsia="仿宋_GB2312" w:cs="Times New Roman"/>
          <w:color w:val="auto"/>
          <w:spacing w:val="0"/>
          <w:kern w:val="0"/>
          <w:position w:val="0"/>
          <w:sz w:val="24"/>
          <w:szCs w:val="24"/>
        </w:rPr>
        <w:t>）等要求做好地面硬化、防渗处理；对废渣尽量采用容器贮存；堆放场所四周设置导流渠，防止雨水径流进入堆放场内。</w:t>
      </w:r>
    </w:p>
    <w:p w14:paraId="536F5867">
      <w:pPr>
        <w:pageBreakBefore w:val="0"/>
        <w:kinsoku/>
        <w:wordWrap/>
        <w:bidi w:val="0"/>
        <w:adjustRightInd w:val="0"/>
        <w:snapToGrid w:val="0"/>
        <w:spacing w:beforeAutospacing="0" w:afterAutospacing="0" w:line="500" w:lineRule="exact"/>
        <w:ind w:left="0" w:leftChars="0" w:right="0" w:firstLine="480" w:firstLineChars="200"/>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因此，在生产过程中通过不断加强生产管理、杜绝跑冒滴漏，可有效降低生产过程对地下水的影响，故在采取措施后，项目建设对地下水环境影响在可承受范围内。</w:t>
      </w:r>
    </w:p>
    <w:p w14:paraId="4B9DFD54">
      <w:pPr>
        <w:pageBreakBefore w:val="0"/>
        <w:kinsoku/>
        <w:wordWrap/>
        <w:bidi w:val="0"/>
        <w:adjustRightInd w:val="0"/>
        <w:snapToGrid w:val="0"/>
        <w:spacing w:beforeAutospacing="0" w:afterAutospacing="0" w:line="500" w:lineRule="exact"/>
        <w:ind w:left="0" w:leftChars="0" w:right="0" w:firstLine="480" w:firstLineChars="200"/>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建设项目废水中含有一定的污染物，在厂区内预处理达接管标准后接管排入污水处理厂集中处理。一旦生产不正常或发生事故，可能导致大量物料进入废水，对污水处理厂造成冲击。因此，厂区内部必须自建事故池，一旦发现异常立即将废水送入事故池，</w:t>
      </w:r>
      <w:r>
        <w:rPr>
          <w:rFonts w:hint="eastAsia" w:ascii="Times New Roman" w:hAnsi="Times New Roman" w:eastAsia="仿宋_GB2312" w:cs="Times New Roman"/>
          <w:color w:val="auto"/>
          <w:spacing w:val="0"/>
          <w:kern w:val="0"/>
          <w:position w:val="0"/>
          <w:sz w:val="24"/>
          <w:szCs w:val="24"/>
          <w:lang w:val="en-US" w:eastAsia="zh-CN"/>
        </w:rPr>
        <w:t>委托有资质的污水处理公司进行处理</w:t>
      </w:r>
      <w:r>
        <w:rPr>
          <w:rFonts w:hint="default" w:ascii="Times New Roman" w:hAnsi="Times New Roman" w:eastAsia="仿宋_GB2312" w:cs="Times New Roman"/>
          <w:color w:val="auto"/>
          <w:spacing w:val="0"/>
          <w:kern w:val="0"/>
          <w:position w:val="0"/>
          <w:sz w:val="24"/>
          <w:szCs w:val="24"/>
        </w:rPr>
        <w:t>；倘若废水量较大，事故池亦无法控制事态，必须紧急关闭外送废水的管道（总排）阀门，尽量将废水控制在厂内。</w:t>
      </w:r>
    </w:p>
    <w:p w14:paraId="5DE4FDA3">
      <w:pPr>
        <w:pageBreakBefore w:val="0"/>
        <w:kinsoku/>
        <w:wordWrap/>
        <w:bidi w:val="0"/>
        <w:adjustRightInd w:val="0"/>
        <w:snapToGrid w:val="0"/>
        <w:spacing w:beforeAutospacing="0" w:afterAutospacing="0" w:line="500" w:lineRule="exact"/>
        <w:ind w:left="0" w:leftChars="0" w:right="0" w:firstLine="480" w:firstLineChars="200"/>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（2）固废转移过程环境风险分析</w:t>
      </w:r>
    </w:p>
    <w:p w14:paraId="14A3F733">
      <w:pPr>
        <w:pageBreakBefore w:val="0"/>
        <w:kinsoku/>
        <w:wordWrap/>
        <w:bidi w:val="0"/>
        <w:adjustRightInd w:val="0"/>
        <w:snapToGrid w:val="0"/>
        <w:spacing w:beforeAutospacing="0" w:afterAutospacing="0" w:line="500" w:lineRule="exact"/>
        <w:ind w:left="0" w:leftChars="0" w:right="0" w:firstLine="480" w:firstLineChars="200"/>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建设项目危险固废转移或外送过程可能存在随意倾倒、翻车等事故，从而造成环境污染事故。对于运输人员随意倾倒事故，可以通过强化管理制度、加强输送管理要求，执行国家要求的危废“五联单”等措施来避免；对于翻车事故，应委托专业单位进行输送，且一旦运送过程发生翻车、撞车导致危险废物大量溢出、散落以及贮存区出现危险废物泄漏时，相关人员立即向本单位应急事故小组取得联系，请求当地公安交警、环保部门或城市应急联动中心的支持。</w:t>
      </w:r>
    </w:p>
    <w:p w14:paraId="3ABDF207">
      <w:pPr>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br w:type="page"/>
      </w:r>
    </w:p>
    <w:p w14:paraId="3780F7E8">
      <w:pPr>
        <w:pStyle w:val="3"/>
        <w:keepNext/>
        <w:keepLines w:val="0"/>
        <w:pageBreakBefore w:val="0"/>
        <w:widowControl w:val="0"/>
        <w:kinsoku/>
        <w:wordWrap/>
        <w:overflowPunct w:val="0"/>
        <w:topLinePunct w:val="0"/>
        <w:autoSpaceDE/>
        <w:autoSpaceDN/>
        <w:bidi w:val="0"/>
        <w:adjustRightInd/>
        <w:snapToGrid w:val="0"/>
        <w:spacing w:before="0" w:after="0" w:line="500" w:lineRule="exact"/>
        <w:ind w:left="0" w:firstLine="0"/>
        <w:textAlignment w:val="auto"/>
        <w:rPr>
          <w:rFonts w:hint="default" w:ascii="Times New Roman" w:hAnsi="Times New Roman" w:eastAsia="仿宋_GB2312" w:cs="Times New Roman"/>
          <w:sz w:val="28"/>
          <w:szCs w:val="28"/>
          <w:lang w:val="en-US" w:eastAsia="zh-CN"/>
        </w:rPr>
      </w:pPr>
      <w:bookmarkStart w:id="133" w:name="_Toc8636"/>
      <w:bookmarkStart w:id="134" w:name="_Toc23944"/>
      <w:bookmarkStart w:id="135" w:name="_Toc6381"/>
      <w:bookmarkStart w:id="136" w:name="_Toc25785"/>
      <w:bookmarkStart w:id="137" w:name="_Toc31843"/>
      <w:bookmarkStart w:id="138" w:name="_Toc6341"/>
      <w:r>
        <w:rPr>
          <w:rFonts w:hint="default" w:ascii="Times New Roman" w:hAnsi="Times New Roman" w:eastAsia="仿宋_GB2312" w:cs="Times New Roman"/>
          <w:sz w:val="28"/>
          <w:szCs w:val="28"/>
          <w:lang w:val="en-US" w:eastAsia="zh-CN"/>
        </w:rPr>
        <w:t>3环境风险分析</w:t>
      </w:r>
      <w:bookmarkEnd w:id="133"/>
      <w:bookmarkEnd w:id="134"/>
      <w:bookmarkEnd w:id="135"/>
      <w:bookmarkEnd w:id="136"/>
      <w:bookmarkEnd w:id="137"/>
      <w:bookmarkEnd w:id="138"/>
    </w:p>
    <w:p w14:paraId="24EDCF5D">
      <w:pPr>
        <w:pStyle w:val="4"/>
        <w:keepNext/>
        <w:keepLines w:val="0"/>
        <w:pageBreakBefore w:val="0"/>
        <w:widowControl w:val="0"/>
        <w:kinsoku/>
        <w:wordWrap/>
        <w:overflowPunct w:val="0"/>
        <w:topLinePunct w:val="0"/>
        <w:autoSpaceDE/>
        <w:autoSpaceDN/>
        <w:bidi w:val="0"/>
        <w:adjustRightInd/>
        <w:snapToGrid w:val="0"/>
        <w:spacing w:before="0" w:line="500" w:lineRule="exact"/>
        <w:ind w:left="0" w:right="0" w:firstLine="0" w:firstLineChars="0"/>
        <w:jc w:val="both"/>
        <w:textAlignment w:val="auto"/>
        <w:outlineLvl w:val="1"/>
        <w:rPr>
          <w:rFonts w:hint="default" w:ascii="Times New Roman" w:hAnsi="Times New Roman" w:eastAsia="仿宋_GB2312" w:cs="Times New Roman"/>
          <w:b/>
          <w:bCs/>
          <w:sz w:val="24"/>
          <w:szCs w:val="24"/>
          <w:lang w:val="en-US" w:eastAsia="zh-CN"/>
        </w:rPr>
      </w:pPr>
      <w:bookmarkStart w:id="139" w:name="_Toc28814"/>
      <w:bookmarkStart w:id="140" w:name="_Toc30731"/>
      <w:bookmarkStart w:id="141" w:name="_Toc11767"/>
      <w:r>
        <w:rPr>
          <w:rFonts w:hint="default" w:ascii="Times New Roman" w:hAnsi="Times New Roman" w:eastAsia="仿宋_GB2312" w:cs="Times New Roman"/>
          <w:b/>
          <w:bCs/>
          <w:sz w:val="24"/>
          <w:szCs w:val="24"/>
          <w:lang w:val="en-US" w:eastAsia="zh-CN"/>
        </w:rPr>
        <w:t>3.1风险事故情形设定</w:t>
      </w:r>
      <w:bookmarkEnd w:id="139"/>
      <w:bookmarkEnd w:id="140"/>
      <w:bookmarkEnd w:id="141"/>
    </w:p>
    <w:p w14:paraId="72EEAA3A">
      <w:pPr>
        <w:pageBreakBefore w:val="0"/>
        <w:kinsoku/>
        <w:wordWrap/>
        <w:bidi w:val="0"/>
        <w:adjustRightInd w:val="0"/>
        <w:snapToGrid w:val="0"/>
        <w:spacing w:beforeAutospacing="0" w:afterAutospacing="0" w:line="500" w:lineRule="exact"/>
        <w:ind w:left="0" w:leftChars="0" w:right="0" w:firstLine="480" w:firstLineChars="200"/>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考虑可能发生的事故情形涉及的危险物质、环境危害、影响途径等方面，本次选取以下具有代表性的事故类型，详见表</w:t>
      </w:r>
      <w:r>
        <w:rPr>
          <w:rFonts w:hint="default" w:ascii="Times New Roman" w:hAnsi="Times New Roman" w:eastAsia="仿宋_GB2312" w:cs="Times New Roman"/>
          <w:color w:val="auto"/>
          <w:spacing w:val="0"/>
          <w:kern w:val="0"/>
          <w:position w:val="0"/>
          <w:sz w:val="24"/>
          <w:szCs w:val="24"/>
          <w:lang w:val="en-US" w:eastAsia="zh-CN"/>
        </w:rPr>
        <w:t>3.1</w:t>
      </w:r>
      <w:r>
        <w:rPr>
          <w:rFonts w:hint="default" w:ascii="Times New Roman" w:hAnsi="Times New Roman" w:eastAsia="仿宋_GB2312" w:cs="Times New Roman"/>
          <w:color w:val="auto"/>
          <w:spacing w:val="0"/>
          <w:kern w:val="0"/>
          <w:position w:val="0"/>
          <w:sz w:val="24"/>
          <w:szCs w:val="24"/>
        </w:rPr>
        <w:t>-1。</w:t>
      </w:r>
    </w:p>
    <w:p w14:paraId="2B0EE406">
      <w:pPr>
        <w:pageBreakBefore w:val="0"/>
        <w:kinsoku/>
        <w:wordWrap/>
        <w:bidi w:val="0"/>
        <w:adjustRightInd w:val="0"/>
        <w:snapToGrid w:val="0"/>
        <w:spacing w:beforeAutospacing="0" w:afterAutospacing="0" w:line="500" w:lineRule="exact"/>
        <w:ind w:left="0" w:leftChars="0" w:right="0"/>
        <w:jc w:val="center"/>
        <w:rPr>
          <w:rFonts w:hint="default" w:ascii="Times New Roman" w:hAnsi="Times New Roman" w:eastAsia="仿宋_GB2312" w:cs="Times New Roman"/>
          <w:b/>
          <w:color w:val="auto"/>
          <w:spacing w:val="0"/>
          <w:kern w:val="0"/>
          <w:position w:val="0"/>
          <w:szCs w:val="28"/>
        </w:rPr>
      </w:pPr>
      <w:r>
        <w:rPr>
          <w:rFonts w:hint="default" w:ascii="Times New Roman" w:hAnsi="Times New Roman" w:eastAsia="仿宋_GB2312" w:cs="Times New Roman"/>
          <w:b/>
          <w:color w:val="auto"/>
          <w:spacing w:val="0"/>
          <w:kern w:val="0"/>
          <w:position w:val="0"/>
          <w:szCs w:val="28"/>
        </w:rPr>
        <w:t>表</w:t>
      </w:r>
      <w:r>
        <w:rPr>
          <w:rFonts w:hint="default" w:ascii="Times New Roman" w:hAnsi="Times New Roman" w:eastAsia="仿宋_GB2312" w:cs="Times New Roman"/>
          <w:b/>
          <w:color w:val="auto"/>
          <w:spacing w:val="0"/>
          <w:kern w:val="0"/>
          <w:position w:val="0"/>
          <w:szCs w:val="28"/>
          <w:lang w:val="en-US" w:eastAsia="zh-CN"/>
        </w:rPr>
        <w:t>3.1</w:t>
      </w:r>
      <w:r>
        <w:rPr>
          <w:rFonts w:hint="default" w:ascii="Times New Roman" w:hAnsi="Times New Roman" w:eastAsia="仿宋_GB2312" w:cs="Times New Roman"/>
          <w:b/>
          <w:color w:val="auto"/>
          <w:spacing w:val="0"/>
          <w:kern w:val="0"/>
          <w:position w:val="0"/>
          <w:szCs w:val="28"/>
        </w:rPr>
        <w:t>-1</w:t>
      </w:r>
      <w:r>
        <w:rPr>
          <w:rFonts w:hint="eastAsia" w:ascii="Times New Roman" w:hAnsi="Times New Roman" w:eastAsia="仿宋_GB2312" w:cs="Times New Roman"/>
          <w:b/>
          <w:color w:val="auto"/>
          <w:spacing w:val="0"/>
          <w:kern w:val="0"/>
          <w:position w:val="0"/>
          <w:szCs w:val="28"/>
          <w:lang w:val="en-US" w:eastAsia="zh-CN"/>
        </w:rPr>
        <w:t xml:space="preserve">  </w:t>
      </w:r>
      <w:r>
        <w:rPr>
          <w:rFonts w:hint="default" w:ascii="Times New Roman" w:hAnsi="Times New Roman" w:eastAsia="仿宋_GB2312" w:cs="Times New Roman"/>
          <w:b/>
          <w:color w:val="auto"/>
          <w:spacing w:val="0"/>
          <w:kern w:val="0"/>
          <w:position w:val="0"/>
          <w:szCs w:val="28"/>
        </w:rPr>
        <w:t>本项目风险事故情形设定一览表</w:t>
      </w:r>
    </w:p>
    <w:tbl>
      <w:tblPr>
        <w:tblStyle w:val="3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69"/>
        <w:gridCol w:w="1798"/>
        <w:gridCol w:w="1237"/>
        <w:gridCol w:w="3044"/>
        <w:gridCol w:w="2623"/>
      </w:tblGrid>
      <w:tr w14:paraId="572142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369" w:type="dxa"/>
            <w:noWrap w:val="0"/>
            <w:vAlign w:val="center"/>
          </w:tcPr>
          <w:p w14:paraId="21CA29B2">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
                <w:bCs/>
                <w:color w:val="auto"/>
                <w:spacing w:val="0"/>
                <w:kern w:val="0"/>
                <w:position w:val="0"/>
                <w:sz w:val="21"/>
                <w:szCs w:val="21"/>
              </w:rPr>
            </w:pPr>
            <w:r>
              <w:rPr>
                <w:rFonts w:hint="default" w:ascii="Times New Roman" w:hAnsi="Times New Roman" w:eastAsia="仿宋_GB2312" w:cs="Times New Roman"/>
                <w:b/>
                <w:bCs/>
                <w:color w:val="auto"/>
                <w:spacing w:val="0"/>
                <w:kern w:val="0"/>
                <w:position w:val="0"/>
                <w:sz w:val="21"/>
                <w:szCs w:val="21"/>
              </w:rPr>
              <w:t>序号</w:t>
            </w:r>
          </w:p>
        </w:tc>
        <w:tc>
          <w:tcPr>
            <w:tcW w:w="1798" w:type="dxa"/>
            <w:noWrap w:val="0"/>
            <w:vAlign w:val="center"/>
          </w:tcPr>
          <w:p w14:paraId="2093E447">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
                <w:bCs/>
                <w:color w:val="auto"/>
                <w:spacing w:val="0"/>
                <w:kern w:val="0"/>
                <w:position w:val="0"/>
                <w:sz w:val="21"/>
                <w:szCs w:val="21"/>
              </w:rPr>
            </w:pPr>
            <w:r>
              <w:rPr>
                <w:rFonts w:hint="default" w:ascii="Times New Roman" w:hAnsi="Times New Roman" w:eastAsia="仿宋_GB2312" w:cs="Times New Roman"/>
                <w:b/>
                <w:bCs/>
                <w:color w:val="auto"/>
                <w:spacing w:val="0"/>
                <w:kern w:val="0"/>
                <w:position w:val="0"/>
                <w:sz w:val="21"/>
                <w:szCs w:val="21"/>
              </w:rPr>
              <w:t>风险源</w:t>
            </w:r>
          </w:p>
        </w:tc>
        <w:tc>
          <w:tcPr>
            <w:tcW w:w="1237" w:type="dxa"/>
            <w:noWrap w:val="0"/>
            <w:vAlign w:val="center"/>
          </w:tcPr>
          <w:p w14:paraId="2F09756F">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
                <w:bCs/>
                <w:color w:val="auto"/>
                <w:spacing w:val="0"/>
                <w:kern w:val="0"/>
                <w:position w:val="0"/>
                <w:sz w:val="21"/>
                <w:szCs w:val="21"/>
              </w:rPr>
            </w:pPr>
            <w:r>
              <w:rPr>
                <w:rFonts w:hint="default" w:ascii="Times New Roman" w:hAnsi="Times New Roman" w:eastAsia="仿宋_GB2312" w:cs="Times New Roman"/>
                <w:b/>
                <w:bCs/>
                <w:color w:val="auto"/>
                <w:spacing w:val="0"/>
                <w:kern w:val="0"/>
                <w:position w:val="0"/>
                <w:sz w:val="21"/>
                <w:szCs w:val="21"/>
              </w:rPr>
              <w:t>发生风险的情景</w:t>
            </w:r>
          </w:p>
        </w:tc>
        <w:tc>
          <w:tcPr>
            <w:tcW w:w="3044" w:type="dxa"/>
            <w:noWrap w:val="0"/>
            <w:vAlign w:val="center"/>
          </w:tcPr>
          <w:p w14:paraId="1288E16B">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
                <w:bCs/>
                <w:color w:val="auto"/>
                <w:spacing w:val="0"/>
                <w:kern w:val="0"/>
                <w:position w:val="0"/>
                <w:sz w:val="21"/>
                <w:szCs w:val="21"/>
              </w:rPr>
            </w:pPr>
            <w:r>
              <w:rPr>
                <w:rFonts w:hint="default" w:ascii="Times New Roman" w:hAnsi="Times New Roman" w:eastAsia="仿宋_GB2312" w:cs="Times New Roman"/>
                <w:b/>
                <w:bCs/>
                <w:color w:val="auto"/>
                <w:spacing w:val="0"/>
                <w:kern w:val="0"/>
                <w:position w:val="0"/>
                <w:sz w:val="21"/>
                <w:szCs w:val="21"/>
              </w:rPr>
              <w:t>情景发生条件</w:t>
            </w:r>
          </w:p>
        </w:tc>
        <w:tc>
          <w:tcPr>
            <w:tcW w:w="2623" w:type="dxa"/>
            <w:noWrap w:val="0"/>
            <w:vAlign w:val="center"/>
          </w:tcPr>
          <w:p w14:paraId="75143E6D">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
                <w:bCs/>
                <w:color w:val="auto"/>
                <w:spacing w:val="0"/>
                <w:kern w:val="0"/>
                <w:position w:val="0"/>
                <w:sz w:val="21"/>
                <w:szCs w:val="21"/>
              </w:rPr>
            </w:pPr>
            <w:r>
              <w:rPr>
                <w:rFonts w:hint="default" w:ascii="Times New Roman" w:hAnsi="Times New Roman" w:eastAsia="仿宋_GB2312" w:cs="Times New Roman"/>
                <w:b/>
                <w:bCs/>
                <w:color w:val="auto"/>
                <w:spacing w:val="0"/>
                <w:kern w:val="0"/>
                <w:position w:val="0"/>
                <w:sz w:val="21"/>
                <w:szCs w:val="21"/>
              </w:rPr>
              <w:t>事故可能造成的后果</w:t>
            </w:r>
          </w:p>
        </w:tc>
      </w:tr>
      <w:tr w14:paraId="4F62F7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369" w:type="dxa"/>
            <w:noWrap w:val="0"/>
            <w:vAlign w:val="center"/>
          </w:tcPr>
          <w:p w14:paraId="7BBF7EFB">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1</w:t>
            </w:r>
          </w:p>
        </w:tc>
        <w:tc>
          <w:tcPr>
            <w:tcW w:w="1798" w:type="dxa"/>
            <w:noWrap w:val="0"/>
            <w:vAlign w:val="center"/>
          </w:tcPr>
          <w:p w14:paraId="6FC0162B">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储罐破裂导致贮罐区物料外泄造成环境污染事故。</w:t>
            </w:r>
          </w:p>
        </w:tc>
        <w:tc>
          <w:tcPr>
            <w:tcW w:w="1237" w:type="dxa"/>
            <w:noWrap w:val="0"/>
            <w:vAlign w:val="center"/>
          </w:tcPr>
          <w:p w14:paraId="34FDE64E">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泄漏</w:t>
            </w:r>
          </w:p>
        </w:tc>
        <w:tc>
          <w:tcPr>
            <w:tcW w:w="3044" w:type="dxa"/>
            <w:noWrap w:val="0"/>
            <w:vAlign w:val="center"/>
          </w:tcPr>
          <w:p w14:paraId="2A40A6EE">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①贮罐裂导致贮罐区物料外泄；</w:t>
            </w:r>
          </w:p>
          <w:p w14:paraId="506E4E52">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②检修、维修、抢修时，各类釜、塔、槽、管、阀、泵、机等中的有毒有害物料未彻底清洗干净；</w:t>
            </w:r>
          </w:p>
          <w:p w14:paraId="474DC6F9">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③毒性气体的浓度较高，且有积聚；</w:t>
            </w:r>
          </w:p>
          <w:p w14:paraId="0271BC65">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④在容器内作业时缺氧。</w:t>
            </w:r>
          </w:p>
        </w:tc>
        <w:tc>
          <w:tcPr>
            <w:tcW w:w="2623" w:type="dxa"/>
            <w:noWrap w:val="0"/>
            <w:vAlign w:val="center"/>
          </w:tcPr>
          <w:p w14:paraId="4B4AE25B">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厂内及周边居民人员中毒窒息、物料损失。</w:t>
            </w:r>
          </w:p>
        </w:tc>
      </w:tr>
      <w:tr w14:paraId="32A3C8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369" w:type="dxa"/>
            <w:noWrap w:val="0"/>
            <w:vAlign w:val="center"/>
          </w:tcPr>
          <w:p w14:paraId="21588E2C">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Cs/>
                <w:color w:val="auto"/>
                <w:spacing w:val="0"/>
                <w:kern w:val="0"/>
                <w:position w:val="0"/>
                <w:sz w:val="21"/>
                <w:szCs w:val="21"/>
              </w:rPr>
            </w:pPr>
            <w:r>
              <w:rPr>
                <w:rFonts w:hint="default" w:ascii="Times New Roman" w:hAnsi="Times New Roman" w:eastAsia="仿宋_GB2312" w:cs="Times New Roman"/>
                <w:bCs/>
                <w:color w:val="auto"/>
                <w:spacing w:val="0"/>
                <w:kern w:val="0"/>
                <w:position w:val="0"/>
                <w:sz w:val="21"/>
                <w:szCs w:val="21"/>
              </w:rPr>
              <w:t>2</w:t>
            </w:r>
          </w:p>
        </w:tc>
        <w:tc>
          <w:tcPr>
            <w:tcW w:w="1798" w:type="dxa"/>
            <w:noWrap w:val="0"/>
            <w:vAlign w:val="center"/>
          </w:tcPr>
          <w:p w14:paraId="24D05E57">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废水处理设施、尾气处理装置</w:t>
            </w:r>
          </w:p>
        </w:tc>
        <w:tc>
          <w:tcPr>
            <w:tcW w:w="1237" w:type="dxa"/>
            <w:noWrap w:val="0"/>
            <w:vAlign w:val="center"/>
          </w:tcPr>
          <w:p w14:paraId="4170568C">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污染治理设施发生故障，无法正常运行</w:t>
            </w:r>
          </w:p>
        </w:tc>
        <w:tc>
          <w:tcPr>
            <w:tcW w:w="3044" w:type="dxa"/>
            <w:noWrap w:val="0"/>
            <w:vAlign w:val="center"/>
          </w:tcPr>
          <w:p w14:paraId="05AEB00E">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①污染源发生异常，导致治理设施负荷不够或失效</w:t>
            </w:r>
          </w:p>
          <w:p w14:paraId="7A394F37">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②污染治理设施的阀、泵、管及其他设备发生故障</w:t>
            </w:r>
          </w:p>
        </w:tc>
        <w:tc>
          <w:tcPr>
            <w:tcW w:w="2623" w:type="dxa"/>
            <w:noWrap w:val="0"/>
            <w:vAlign w:val="center"/>
          </w:tcPr>
          <w:p w14:paraId="3D92ECE1">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①废水处理设施发生异常，建设单位及时关闭污水总排口的阀门，同时停车不产生新增废水，废水全部留在厂内，不排入外界环境，不会造成对外界的环境污染事件。</w:t>
            </w:r>
          </w:p>
          <w:p w14:paraId="4CC3CF1C">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②废水处理设施发生异常，建设单位及时停车，仅对厂内外环境及人员产生较小的影响。</w:t>
            </w:r>
          </w:p>
        </w:tc>
      </w:tr>
      <w:tr w14:paraId="699C37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369" w:type="dxa"/>
            <w:noWrap w:val="0"/>
            <w:vAlign w:val="center"/>
          </w:tcPr>
          <w:p w14:paraId="75D4064F">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Cs/>
                <w:color w:val="auto"/>
                <w:spacing w:val="0"/>
                <w:kern w:val="0"/>
                <w:position w:val="0"/>
                <w:sz w:val="21"/>
                <w:szCs w:val="21"/>
              </w:rPr>
            </w:pPr>
            <w:r>
              <w:rPr>
                <w:rFonts w:hint="default" w:ascii="Times New Roman" w:hAnsi="Times New Roman" w:eastAsia="仿宋_GB2312" w:cs="Times New Roman"/>
                <w:bCs/>
                <w:color w:val="auto"/>
                <w:spacing w:val="0"/>
                <w:kern w:val="0"/>
                <w:position w:val="0"/>
                <w:sz w:val="21"/>
                <w:szCs w:val="21"/>
              </w:rPr>
              <w:t>3</w:t>
            </w:r>
          </w:p>
        </w:tc>
        <w:tc>
          <w:tcPr>
            <w:tcW w:w="1798" w:type="dxa"/>
            <w:noWrap w:val="0"/>
            <w:vAlign w:val="center"/>
          </w:tcPr>
          <w:p w14:paraId="4399C62A">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Cs/>
                <w:color w:val="auto"/>
                <w:spacing w:val="0"/>
                <w:kern w:val="0"/>
                <w:position w:val="0"/>
                <w:sz w:val="21"/>
                <w:szCs w:val="21"/>
              </w:rPr>
            </w:pPr>
            <w:r>
              <w:rPr>
                <w:rFonts w:hint="default" w:ascii="Times New Roman" w:hAnsi="Times New Roman" w:eastAsia="仿宋_GB2312" w:cs="Times New Roman"/>
                <w:bCs/>
                <w:color w:val="auto"/>
                <w:spacing w:val="0"/>
                <w:kern w:val="0"/>
                <w:position w:val="0"/>
                <w:sz w:val="21"/>
                <w:szCs w:val="21"/>
              </w:rPr>
              <w:t>易燃物质</w:t>
            </w:r>
          </w:p>
        </w:tc>
        <w:tc>
          <w:tcPr>
            <w:tcW w:w="1237" w:type="dxa"/>
            <w:noWrap w:val="0"/>
            <w:vAlign w:val="center"/>
          </w:tcPr>
          <w:p w14:paraId="31639AFD">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Cs/>
                <w:color w:val="auto"/>
                <w:spacing w:val="0"/>
                <w:kern w:val="0"/>
                <w:position w:val="0"/>
                <w:sz w:val="21"/>
                <w:szCs w:val="21"/>
              </w:rPr>
            </w:pPr>
            <w:r>
              <w:rPr>
                <w:rFonts w:hint="default" w:ascii="Times New Roman" w:hAnsi="Times New Roman" w:eastAsia="仿宋_GB2312" w:cs="Times New Roman"/>
                <w:bCs/>
                <w:color w:val="auto"/>
                <w:spacing w:val="0"/>
                <w:kern w:val="0"/>
                <w:position w:val="0"/>
                <w:sz w:val="21"/>
                <w:szCs w:val="21"/>
              </w:rPr>
              <w:t>火灾、爆炸</w:t>
            </w:r>
          </w:p>
        </w:tc>
        <w:tc>
          <w:tcPr>
            <w:tcW w:w="3044" w:type="dxa"/>
            <w:noWrap w:val="0"/>
            <w:vAlign w:val="center"/>
          </w:tcPr>
          <w:p w14:paraId="7EE6486B">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Cs/>
                <w:color w:val="auto"/>
                <w:spacing w:val="0"/>
                <w:kern w:val="0"/>
                <w:position w:val="0"/>
                <w:sz w:val="21"/>
                <w:szCs w:val="21"/>
              </w:rPr>
            </w:pPr>
            <w:r>
              <w:rPr>
                <w:rFonts w:hint="default" w:ascii="Times New Roman" w:hAnsi="Times New Roman" w:eastAsia="仿宋_GB2312" w:cs="Times New Roman"/>
                <w:bCs/>
                <w:color w:val="auto"/>
                <w:spacing w:val="0"/>
                <w:kern w:val="0"/>
                <w:position w:val="0"/>
                <w:sz w:val="21"/>
                <w:szCs w:val="21"/>
              </w:rPr>
              <w:t>①燃易爆物蒸汽浓度达到爆炸范围②燃易爆物泄漏③易燃物质遇明火④存在点火源、静电、高温物体等⑤引发能量⑥与禁忌物相遇</w:t>
            </w:r>
          </w:p>
        </w:tc>
        <w:tc>
          <w:tcPr>
            <w:tcW w:w="2623" w:type="dxa"/>
            <w:noWrap w:val="0"/>
            <w:vAlign w:val="center"/>
          </w:tcPr>
          <w:p w14:paraId="5BF77A87">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Cs/>
                <w:color w:val="auto"/>
                <w:spacing w:val="0"/>
                <w:kern w:val="0"/>
                <w:position w:val="0"/>
                <w:sz w:val="21"/>
                <w:szCs w:val="21"/>
              </w:rPr>
            </w:pPr>
            <w:r>
              <w:rPr>
                <w:rFonts w:hint="default" w:ascii="Times New Roman" w:hAnsi="Times New Roman" w:eastAsia="仿宋_GB2312" w:cs="Times New Roman"/>
                <w:bCs/>
                <w:color w:val="auto"/>
                <w:spacing w:val="0"/>
                <w:kern w:val="0"/>
                <w:position w:val="0"/>
                <w:sz w:val="21"/>
                <w:szCs w:val="21"/>
              </w:rPr>
              <w:t>物料跑损、停产、造成严重经济损失、厂内及周边居民人员伤亡。</w:t>
            </w:r>
          </w:p>
        </w:tc>
      </w:tr>
      <w:tr w14:paraId="51668D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369" w:type="dxa"/>
            <w:noWrap w:val="0"/>
            <w:vAlign w:val="center"/>
          </w:tcPr>
          <w:p w14:paraId="1526DBA0">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Cs/>
                <w:color w:val="auto"/>
                <w:spacing w:val="0"/>
                <w:kern w:val="0"/>
                <w:position w:val="0"/>
                <w:sz w:val="21"/>
                <w:szCs w:val="21"/>
              </w:rPr>
            </w:pPr>
            <w:r>
              <w:rPr>
                <w:rFonts w:hint="default" w:ascii="Times New Roman" w:hAnsi="Times New Roman" w:eastAsia="仿宋_GB2312" w:cs="Times New Roman"/>
                <w:bCs/>
                <w:color w:val="auto"/>
                <w:spacing w:val="0"/>
                <w:kern w:val="0"/>
                <w:position w:val="0"/>
                <w:sz w:val="21"/>
                <w:szCs w:val="21"/>
              </w:rPr>
              <w:t>4</w:t>
            </w:r>
          </w:p>
        </w:tc>
        <w:tc>
          <w:tcPr>
            <w:tcW w:w="1798" w:type="dxa"/>
            <w:noWrap w:val="0"/>
            <w:vAlign w:val="center"/>
          </w:tcPr>
          <w:p w14:paraId="72040A51">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Cs/>
                <w:color w:val="auto"/>
                <w:spacing w:val="0"/>
                <w:kern w:val="0"/>
                <w:position w:val="0"/>
                <w:sz w:val="21"/>
                <w:szCs w:val="21"/>
              </w:rPr>
            </w:pPr>
            <w:r>
              <w:rPr>
                <w:rFonts w:hint="default" w:ascii="Times New Roman" w:hAnsi="Times New Roman" w:eastAsia="仿宋_GB2312" w:cs="Times New Roman"/>
                <w:bCs/>
                <w:color w:val="auto"/>
                <w:spacing w:val="0"/>
                <w:kern w:val="0"/>
                <w:position w:val="0"/>
                <w:sz w:val="21"/>
                <w:szCs w:val="21"/>
              </w:rPr>
              <w:t>废水、废气、固体废物</w:t>
            </w:r>
          </w:p>
        </w:tc>
        <w:tc>
          <w:tcPr>
            <w:tcW w:w="1237" w:type="dxa"/>
            <w:noWrap w:val="0"/>
            <w:vAlign w:val="center"/>
          </w:tcPr>
          <w:p w14:paraId="570BA7EA">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Cs/>
                <w:color w:val="auto"/>
                <w:spacing w:val="0"/>
                <w:kern w:val="0"/>
                <w:position w:val="0"/>
                <w:sz w:val="21"/>
                <w:szCs w:val="21"/>
              </w:rPr>
            </w:pPr>
            <w:r>
              <w:rPr>
                <w:rFonts w:hint="default" w:ascii="Times New Roman" w:hAnsi="Times New Roman" w:eastAsia="仿宋_GB2312" w:cs="Times New Roman"/>
                <w:bCs/>
                <w:color w:val="auto"/>
                <w:spacing w:val="0"/>
                <w:kern w:val="0"/>
                <w:position w:val="0"/>
                <w:sz w:val="21"/>
                <w:szCs w:val="21"/>
              </w:rPr>
              <w:t>违法排污</w:t>
            </w:r>
          </w:p>
        </w:tc>
        <w:tc>
          <w:tcPr>
            <w:tcW w:w="3044" w:type="dxa"/>
            <w:noWrap w:val="0"/>
            <w:vAlign w:val="center"/>
          </w:tcPr>
          <w:p w14:paraId="75445E52">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Cs/>
                <w:color w:val="auto"/>
                <w:spacing w:val="0"/>
                <w:kern w:val="0"/>
                <w:position w:val="0"/>
                <w:sz w:val="21"/>
                <w:szCs w:val="21"/>
              </w:rPr>
            </w:pPr>
            <w:r>
              <w:rPr>
                <w:rFonts w:hint="default" w:ascii="Times New Roman" w:hAnsi="Times New Roman" w:eastAsia="仿宋_GB2312" w:cs="Times New Roman"/>
                <w:bCs/>
                <w:color w:val="auto"/>
                <w:spacing w:val="0"/>
                <w:kern w:val="0"/>
                <w:position w:val="0"/>
                <w:sz w:val="21"/>
                <w:szCs w:val="21"/>
              </w:rPr>
              <w:t>企业管理失职</w:t>
            </w:r>
          </w:p>
        </w:tc>
        <w:tc>
          <w:tcPr>
            <w:tcW w:w="2623" w:type="dxa"/>
            <w:noWrap w:val="0"/>
            <w:vAlign w:val="center"/>
          </w:tcPr>
          <w:p w14:paraId="7014558B">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Cs/>
                <w:color w:val="auto"/>
                <w:spacing w:val="0"/>
                <w:kern w:val="0"/>
                <w:position w:val="0"/>
                <w:sz w:val="21"/>
                <w:szCs w:val="21"/>
              </w:rPr>
            </w:pPr>
            <w:r>
              <w:rPr>
                <w:rFonts w:hint="default" w:ascii="Times New Roman" w:hAnsi="Times New Roman" w:eastAsia="仿宋_GB2312" w:cs="Times New Roman"/>
                <w:bCs/>
                <w:color w:val="auto"/>
                <w:spacing w:val="0"/>
                <w:kern w:val="0"/>
                <w:position w:val="0"/>
                <w:sz w:val="21"/>
                <w:szCs w:val="21"/>
              </w:rPr>
              <w:t>项目环境风险受体敏感，一旦发生此情景会造成严重的环境污染和人员伤亡。</w:t>
            </w:r>
          </w:p>
        </w:tc>
      </w:tr>
      <w:tr w14:paraId="27662A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369" w:type="dxa"/>
            <w:noWrap w:val="0"/>
            <w:vAlign w:val="center"/>
          </w:tcPr>
          <w:p w14:paraId="0A8E5088">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Cs/>
                <w:color w:val="auto"/>
                <w:spacing w:val="0"/>
                <w:kern w:val="0"/>
                <w:position w:val="0"/>
                <w:sz w:val="21"/>
                <w:szCs w:val="21"/>
              </w:rPr>
            </w:pPr>
            <w:r>
              <w:rPr>
                <w:rFonts w:hint="default" w:ascii="Times New Roman" w:hAnsi="Times New Roman" w:eastAsia="仿宋_GB2312" w:cs="Times New Roman"/>
                <w:bCs/>
                <w:color w:val="auto"/>
                <w:spacing w:val="0"/>
                <w:kern w:val="0"/>
                <w:position w:val="0"/>
                <w:sz w:val="21"/>
                <w:szCs w:val="21"/>
              </w:rPr>
              <w:t>5</w:t>
            </w:r>
          </w:p>
        </w:tc>
        <w:tc>
          <w:tcPr>
            <w:tcW w:w="1798" w:type="dxa"/>
            <w:noWrap w:val="0"/>
            <w:vAlign w:val="center"/>
          </w:tcPr>
          <w:p w14:paraId="774FE713">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Cs/>
                <w:color w:val="auto"/>
                <w:spacing w:val="0"/>
                <w:kern w:val="0"/>
                <w:position w:val="0"/>
                <w:sz w:val="21"/>
                <w:szCs w:val="21"/>
              </w:rPr>
            </w:pPr>
            <w:r>
              <w:rPr>
                <w:rFonts w:hint="default" w:ascii="Times New Roman" w:hAnsi="Times New Roman" w:eastAsia="仿宋_GB2312" w:cs="Times New Roman"/>
                <w:bCs/>
                <w:color w:val="auto"/>
                <w:spacing w:val="0"/>
                <w:kern w:val="0"/>
                <w:position w:val="0"/>
                <w:sz w:val="21"/>
                <w:szCs w:val="21"/>
              </w:rPr>
              <w:t>生产设备和设施</w:t>
            </w:r>
          </w:p>
        </w:tc>
        <w:tc>
          <w:tcPr>
            <w:tcW w:w="1237" w:type="dxa"/>
            <w:noWrap w:val="0"/>
            <w:vAlign w:val="center"/>
          </w:tcPr>
          <w:p w14:paraId="48B62084">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Cs/>
                <w:color w:val="auto"/>
                <w:spacing w:val="0"/>
                <w:kern w:val="0"/>
                <w:position w:val="0"/>
                <w:sz w:val="21"/>
                <w:szCs w:val="21"/>
              </w:rPr>
            </w:pPr>
            <w:r>
              <w:rPr>
                <w:rFonts w:hint="default" w:ascii="Times New Roman" w:hAnsi="Times New Roman" w:eastAsia="仿宋_GB2312" w:cs="Times New Roman"/>
                <w:bCs/>
                <w:color w:val="auto"/>
                <w:spacing w:val="0"/>
                <w:kern w:val="0"/>
                <w:position w:val="0"/>
                <w:sz w:val="21"/>
                <w:szCs w:val="21"/>
              </w:rPr>
              <w:t>停电、断水、停气</w:t>
            </w:r>
          </w:p>
        </w:tc>
        <w:tc>
          <w:tcPr>
            <w:tcW w:w="3044" w:type="dxa"/>
            <w:noWrap w:val="0"/>
            <w:vAlign w:val="center"/>
          </w:tcPr>
          <w:p w14:paraId="7476EA0D">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Cs/>
                <w:color w:val="auto"/>
                <w:spacing w:val="0"/>
                <w:kern w:val="0"/>
                <w:position w:val="0"/>
                <w:sz w:val="21"/>
                <w:szCs w:val="21"/>
              </w:rPr>
            </w:pPr>
            <w:r>
              <w:rPr>
                <w:rFonts w:hint="default" w:ascii="Times New Roman" w:hAnsi="Times New Roman" w:eastAsia="仿宋_GB2312" w:cs="Times New Roman"/>
                <w:bCs/>
                <w:color w:val="auto"/>
                <w:spacing w:val="0"/>
                <w:kern w:val="0"/>
                <w:position w:val="0"/>
                <w:sz w:val="21"/>
                <w:szCs w:val="21"/>
              </w:rPr>
              <w:t>外部因素</w:t>
            </w:r>
          </w:p>
        </w:tc>
        <w:tc>
          <w:tcPr>
            <w:tcW w:w="2623" w:type="dxa"/>
            <w:noWrap w:val="0"/>
            <w:vAlign w:val="center"/>
          </w:tcPr>
          <w:p w14:paraId="55A95E69">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Cs/>
                <w:color w:val="auto"/>
                <w:spacing w:val="0"/>
                <w:kern w:val="0"/>
                <w:position w:val="0"/>
                <w:sz w:val="21"/>
                <w:szCs w:val="21"/>
              </w:rPr>
            </w:pPr>
            <w:r>
              <w:rPr>
                <w:rFonts w:hint="default" w:ascii="Times New Roman" w:hAnsi="Times New Roman" w:eastAsia="仿宋_GB2312" w:cs="Times New Roman"/>
                <w:bCs/>
                <w:color w:val="auto"/>
                <w:spacing w:val="0"/>
                <w:kern w:val="0"/>
                <w:position w:val="0"/>
                <w:sz w:val="21"/>
                <w:szCs w:val="21"/>
              </w:rPr>
              <w:t>企业提前收到通知，做好停产准备，不会造成对外界的环境污染事件。</w:t>
            </w:r>
          </w:p>
        </w:tc>
      </w:tr>
      <w:tr w14:paraId="7DBB2C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369" w:type="dxa"/>
            <w:noWrap w:val="0"/>
            <w:vAlign w:val="center"/>
          </w:tcPr>
          <w:p w14:paraId="00E49DBB">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Cs/>
                <w:color w:val="auto"/>
                <w:spacing w:val="0"/>
                <w:kern w:val="0"/>
                <w:position w:val="0"/>
                <w:sz w:val="21"/>
                <w:szCs w:val="21"/>
              </w:rPr>
            </w:pPr>
            <w:r>
              <w:rPr>
                <w:rFonts w:hint="default" w:ascii="Times New Roman" w:hAnsi="Times New Roman" w:eastAsia="仿宋_GB2312" w:cs="Times New Roman"/>
                <w:bCs/>
                <w:color w:val="auto"/>
                <w:spacing w:val="0"/>
                <w:kern w:val="0"/>
                <w:position w:val="0"/>
                <w:sz w:val="21"/>
                <w:szCs w:val="21"/>
              </w:rPr>
              <w:t>6</w:t>
            </w:r>
          </w:p>
        </w:tc>
        <w:tc>
          <w:tcPr>
            <w:tcW w:w="1798" w:type="dxa"/>
            <w:noWrap w:val="0"/>
            <w:vAlign w:val="center"/>
          </w:tcPr>
          <w:p w14:paraId="7F93B837">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Cs/>
                <w:color w:val="auto"/>
                <w:spacing w:val="0"/>
                <w:kern w:val="0"/>
                <w:position w:val="0"/>
                <w:sz w:val="21"/>
                <w:szCs w:val="21"/>
              </w:rPr>
            </w:pPr>
            <w:r>
              <w:rPr>
                <w:rFonts w:hint="default" w:ascii="Times New Roman" w:hAnsi="Times New Roman" w:eastAsia="仿宋_GB2312" w:cs="Times New Roman"/>
                <w:bCs/>
                <w:color w:val="auto"/>
                <w:spacing w:val="0"/>
                <w:kern w:val="0"/>
                <w:position w:val="0"/>
                <w:sz w:val="21"/>
                <w:szCs w:val="21"/>
              </w:rPr>
              <w:t>移动通讯、监控视频、对讲机等</w:t>
            </w:r>
          </w:p>
        </w:tc>
        <w:tc>
          <w:tcPr>
            <w:tcW w:w="1237" w:type="dxa"/>
            <w:noWrap w:val="0"/>
            <w:vAlign w:val="center"/>
          </w:tcPr>
          <w:p w14:paraId="2C3AACAE">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Cs/>
                <w:color w:val="auto"/>
                <w:spacing w:val="0"/>
                <w:kern w:val="0"/>
                <w:position w:val="0"/>
                <w:sz w:val="21"/>
                <w:szCs w:val="21"/>
              </w:rPr>
            </w:pPr>
            <w:r>
              <w:rPr>
                <w:rFonts w:hint="default" w:ascii="Times New Roman" w:hAnsi="Times New Roman" w:eastAsia="仿宋_GB2312" w:cs="Times New Roman"/>
                <w:bCs/>
                <w:color w:val="auto"/>
                <w:spacing w:val="0"/>
                <w:kern w:val="0"/>
                <w:position w:val="0"/>
                <w:sz w:val="21"/>
                <w:szCs w:val="21"/>
              </w:rPr>
              <w:t>设备故障</w:t>
            </w:r>
          </w:p>
        </w:tc>
        <w:tc>
          <w:tcPr>
            <w:tcW w:w="3044" w:type="dxa"/>
            <w:noWrap w:val="0"/>
            <w:vAlign w:val="center"/>
          </w:tcPr>
          <w:p w14:paraId="2DFD1CD1">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Cs/>
                <w:color w:val="auto"/>
                <w:spacing w:val="0"/>
                <w:kern w:val="0"/>
                <w:position w:val="0"/>
                <w:sz w:val="21"/>
                <w:szCs w:val="21"/>
              </w:rPr>
            </w:pPr>
            <w:r>
              <w:rPr>
                <w:rFonts w:hint="default" w:ascii="Times New Roman" w:hAnsi="Times New Roman" w:eastAsia="仿宋_GB2312" w:cs="Times New Roman"/>
                <w:bCs/>
                <w:color w:val="auto"/>
                <w:spacing w:val="0"/>
                <w:kern w:val="0"/>
                <w:position w:val="0"/>
                <w:sz w:val="21"/>
                <w:szCs w:val="21"/>
              </w:rPr>
              <w:t>通讯设备缺失、损坏</w:t>
            </w:r>
          </w:p>
        </w:tc>
        <w:tc>
          <w:tcPr>
            <w:tcW w:w="2623" w:type="dxa"/>
            <w:noWrap w:val="0"/>
            <w:vAlign w:val="center"/>
          </w:tcPr>
          <w:p w14:paraId="56879484">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Cs/>
                <w:color w:val="auto"/>
                <w:spacing w:val="0"/>
                <w:kern w:val="0"/>
                <w:position w:val="0"/>
                <w:sz w:val="21"/>
                <w:szCs w:val="21"/>
              </w:rPr>
            </w:pPr>
            <w:r>
              <w:rPr>
                <w:rFonts w:hint="default" w:ascii="Times New Roman" w:hAnsi="Times New Roman" w:eastAsia="仿宋_GB2312" w:cs="Times New Roman"/>
                <w:bCs/>
                <w:color w:val="auto"/>
                <w:spacing w:val="0"/>
                <w:kern w:val="0"/>
                <w:position w:val="0"/>
                <w:sz w:val="21"/>
                <w:szCs w:val="21"/>
              </w:rPr>
              <w:t>抢险救灾现场失去通讯联络，无法确保现场指挥上下联络畅通，导致应急指令无法传达，会造成严重的环境污染和人员伤亡。</w:t>
            </w:r>
          </w:p>
        </w:tc>
      </w:tr>
      <w:tr w14:paraId="04406F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369" w:type="dxa"/>
            <w:noWrap w:val="0"/>
            <w:vAlign w:val="center"/>
          </w:tcPr>
          <w:p w14:paraId="4667591A">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Cs/>
                <w:color w:val="auto"/>
                <w:spacing w:val="0"/>
                <w:kern w:val="0"/>
                <w:position w:val="0"/>
                <w:sz w:val="21"/>
                <w:szCs w:val="21"/>
              </w:rPr>
            </w:pPr>
            <w:r>
              <w:rPr>
                <w:rFonts w:hint="default" w:ascii="Times New Roman" w:hAnsi="Times New Roman" w:eastAsia="仿宋_GB2312" w:cs="Times New Roman"/>
                <w:bCs/>
                <w:color w:val="auto"/>
                <w:spacing w:val="0"/>
                <w:kern w:val="0"/>
                <w:position w:val="0"/>
                <w:sz w:val="21"/>
                <w:szCs w:val="21"/>
              </w:rPr>
              <w:t>7</w:t>
            </w:r>
          </w:p>
        </w:tc>
        <w:tc>
          <w:tcPr>
            <w:tcW w:w="1798" w:type="dxa"/>
            <w:noWrap w:val="0"/>
            <w:vAlign w:val="center"/>
          </w:tcPr>
          <w:p w14:paraId="1B068036">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Cs/>
                <w:color w:val="auto"/>
                <w:spacing w:val="0"/>
                <w:kern w:val="0"/>
                <w:position w:val="0"/>
                <w:sz w:val="21"/>
                <w:szCs w:val="21"/>
              </w:rPr>
            </w:pPr>
            <w:r>
              <w:rPr>
                <w:rFonts w:hint="default" w:ascii="Times New Roman" w:hAnsi="Times New Roman" w:eastAsia="仿宋_GB2312" w:cs="Times New Roman"/>
                <w:bCs/>
                <w:color w:val="auto"/>
                <w:spacing w:val="0"/>
                <w:kern w:val="0"/>
                <w:position w:val="0"/>
                <w:sz w:val="21"/>
                <w:szCs w:val="21"/>
              </w:rPr>
              <w:t>危废包装桶破裂导致危废仓库物料外泄造成环境污染事故。</w:t>
            </w:r>
          </w:p>
        </w:tc>
        <w:tc>
          <w:tcPr>
            <w:tcW w:w="1237" w:type="dxa"/>
            <w:noWrap w:val="0"/>
            <w:vAlign w:val="center"/>
          </w:tcPr>
          <w:p w14:paraId="484D018B">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Cs/>
                <w:color w:val="auto"/>
                <w:spacing w:val="0"/>
                <w:kern w:val="0"/>
                <w:position w:val="0"/>
                <w:sz w:val="21"/>
                <w:szCs w:val="21"/>
              </w:rPr>
            </w:pPr>
            <w:r>
              <w:rPr>
                <w:rFonts w:hint="default" w:ascii="Times New Roman" w:hAnsi="Times New Roman" w:eastAsia="仿宋_GB2312" w:cs="Times New Roman"/>
                <w:bCs/>
                <w:color w:val="auto"/>
                <w:spacing w:val="0"/>
                <w:kern w:val="0"/>
                <w:position w:val="0"/>
                <w:sz w:val="21"/>
                <w:szCs w:val="21"/>
              </w:rPr>
              <w:t>自然灾害、极端天气和不利气相条件</w:t>
            </w:r>
          </w:p>
        </w:tc>
        <w:tc>
          <w:tcPr>
            <w:tcW w:w="3044" w:type="dxa"/>
            <w:noWrap w:val="0"/>
            <w:vAlign w:val="center"/>
          </w:tcPr>
          <w:p w14:paraId="67D11889">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Cs/>
                <w:color w:val="auto"/>
                <w:spacing w:val="0"/>
                <w:kern w:val="0"/>
                <w:position w:val="0"/>
                <w:sz w:val="21"/>
                <w:szCs w:val="21"/>
              </w:rPr>
            </w:pPr>
            <w:r>
              <w:rPr>
                <w:rFonts w:hint="default" w:ascii="Times New Roman" w:hAnsi="Times New Roman" w:eastAsia="仿宋_GB2312" w:cs="Times New Roman"/>
                <w:bCs/>
                <w:color w:val="auto"/>
                <w:spacing w:val="0"/>
                <w:kern w:val="0"/>
                <w:position w:val="0"/>
                <w:sz w:val="21"/>
                <w:szCs w:val="21"/>
              </w:rPr>
              <w:t>龙卷风、台风、暴雨等极端天气</w:t>
            </w:r>
          </w:p>
        </w:tc>
        <w:tc>
          <w:tcPr>
            <w:tcW w:w="2623" w:type="dxa"/>
            <w:noWrap w:val="0"/>
            <w:vAlign w:val="center"/>
          </w:tcPr>
          <w:p w14:paraId="0DCCC5B3">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Cs/>
                <w:color w:val="auto"/>
                <w:spacing w:val="0"/>
                <w:kern w:val="0"/>
                <w:position w:val="0"/>
                <w:sz w:val="21"/>
                <w:szCs w:val="21"/>
              </w:rPr>
            </w:pPr>
            <w:r>
              <w:rPr>
                <w:rFonts w:hint="default" w:ascii="Times New Roman" w:hAnsi="Times New Roman" w:eastAsia="仿宋_GB2312" w:cs="Times New Roman"/>
                <w:bCs/>
                <w:color w:val="auto"/>
                <w:spacing w:val="0"/>
                <w:kern w:val="0"/>
                <w:position w:val="0"/>
                <w:sz w:val="21"/>
                <w:szCs w:val="21"/>
              </w:rPr>
              <w:t>危险废物外泄，暴雨导致废水外泄。</w:t>
            </w:r>
          </w:p>
        </w:tc>
      </w:tr>
      <w:tr w14:paraId="057311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369" w:type="dxa"/>
            <w:noWrap w:val="0"/>
            <w:vAlign w:val="center"/>
          </w:tcPr>
          <w:p w14:paraId="76E99727">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Cs/>
                <w:color w:val="auto"/>
                <w:spacing w:val="0"/>
                <w:kern w:val="0"/>
                <w:position w:val="0"/>
                <w:sz w:val="21"/>
                <w:szCs w:val="21"/>
              </w:rPr>
            </w:pPr>
            <w:r>
              <w:rPr>
                <w:rFonts w:hint="default" w:ascii="Times New Roman" w:hAnsi="Times New Roman" w:eastAsia="仿宋_GB2312" w:cs="Times New Roman"/>
                <w:bCs/>
                <w:color w:val="auto"/>
                <w:spacing w:val="0"/>
                <w:kern w:val="0"/>
                <w:position w:val="0"/>
                <w:sz w:val="21"/>
                <w:szCs w:val="21"/>
              </w:rPr>
              <w:t>8</w:t>
            </w:r>
          </w:p>
        </w:tc>
        <w:tc>
          <w:tcPr>
            <w:tcW w:w="1798" w:type="dxa"/>
            <w:noWrap w:val="0"/>
            <w:vAlign w:val="center"/>
          </w:tcPr>
          <w:p w14:paraId="245F33AB">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废气排放口、废水、雨水排放口</w:t>
            </w:r>
          </w:p>
        </w:tc>
        <w:tc>
          <w:tcPr>
            <w:tcW w:w="1237" w:type="dxa"/>
            <w:noWrap w:val="0"/>
            <w:vAlign w:val="center"/>
          </w:tcPr>
          <w:p w14:paraId="624B38C2">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环境风险防控设施失灵或非正常操作</w:t>
            </w:r>
          </w:p>
        </w:tc>
        <w:tc>
          <w:tcPr>
            <w:tcW w:w="3044" w:type="dxa"/>
            <w:noWrap w:val="0"/>
            <w:vAlign w:val="center"/>
          </w:tcPr>
          <w:p w14:paraId="41E53F8F">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污水、雨水处理系统、毒性气体泄漏紧急处置装置失灵</w:t>
            </w:r>
          </w:p>
        </w:tc>
        <w:tc>
          <w:tcPr>
            <w:tcW w:w="2623" w:type="dxa"/>
            <w:noWrap w:val="0"/>
            <w:vAlign w:val="center"/>
          </w:tcPr>
          <w:p w14:paraId="1266E660">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污水、雨水处理系统失灵，导致污水及雨水渗漏地下，毒性气体泄漏紧急处置装置失灵，导致有毒气体扩散到大气中。</w:t>
            </w:r>
          </w:p>
        </w:tc>
      </w:tr>
    </w:tbl>
    <w:p w14:paraId="5EE2B589">
      <w:pPr>
        <w:pStyle w:val="4"/>
        <w:keepNext/>
        <w:keepLines w:val="0"/>
        <w:pageBreakBefore w:val="0"/>
        <w:widowControl w:val="0"/>
        <w:kinsoku/>
        <w:wordWrap/>
        <w:overflowPunct w:val="0"/>
        <w:topLinePunct w:val="0"/>
        <w:autoSpaceDE/>
        <w:autoSpaceDN/>
        <w:bidi w:val="0"/>
        <w:adjustRightInd/>
        <w:snapToGrid w:val="0"/>
        <w:spacing w:before="0" w:line="500" w:lineRule="exact"/>
        <w:ind w:left="0" w:right="0" w:firstLine="0" w:firstLineChars="0"/>
        <w:jc w:val="both"/>
        <w:textAlignment w:val="auto"/>
        <w:outlineLvl w:val="1"/>
        <w:rPr>
          <w:rFonts w:hint="default" w:ascii="Times New Roman" w:hAnsi="Times New Roman" w:eastAsia="仿宋_GB2312" w:cs="Times New Roman"/>
          <w:b/>
          <w:bCs/>
          <w:sz w:val="24"/>
          <w:szCs w:val="24"/>
          <w:lang w:val="en-US" w:eastAsia="zh-CN"/>
        </w:rPr>
      </w:pPr>
      <w:bookmarkStart w:id="142" w:name="_Toc32083"/>
      <w:bookmarkStart w:id="143" w:name="_Toc13894"/>
      <w:bookmarkStart w:id="144" w:name="_Toc26735"/>
      <w:r>
        <w:rPr>
          <w:rFonts w:hint="default" w:ascii="Times New Roman" w:hAnsi="Times New Roman" w:eastAsia="仿宋_GB2312" w:cs="Times New Roman"/>
          <w:b/>
          <w:bCs/>
          <w:sz w:val="24"/>
          <w:szCs w:val="24"/>
          <w:lang w:val="en-US" w:eastAsia="zh-CN"/>
        </w:rPr>
        <w:t>3.2最大可信事故的确定</w:t>
      </w:r>
      <w:bookmarkEnd w:id="142"/>
      <w:bookmarkEnd w:id="143"/>
      <w:bookmarkEnd w:id="144"/>
    </w:p>
    <w:p w14:paraId="20F2BB3C">
      <w:pPr>
        <w:pageBreakBefore w:val="0"/>
        <w:kinsoku/>
        <w:wordWrap/>
        <w:bidi w:val="0"/>
        <w:adjustRightInd w:val="0"/>
        <w:snapToGrid w:val="0"/>
        <w:spacing w:beforeAutospacing="0" w:afterAutospacing="0" w:line="490" w:lineRule="exact"/>
        <w:ind w:left="0" w:leftChars="0" w:right="0" w:firstLine="480" w:firstLineChars="200"/>
        <w:rPr>
          <w:rFonts w:hint="default" w:ascii="Times New Roman" w:hAnsi="Times New Roman" w:eastAsia="仿宋_GB2312" w:cs="Times New Roman"/>
          <w:color w:val="auto"/>
          <w:spacing w:val="0"/>
          <w:kern w:val="0"/>
          <w:position w:val="0"/>
          <w:sz w:val="24"/>
          <w:szCs w:val="24"/>
        </w:rPr>
      </w:pPr>
      <w:bookmarkStart w:id="145" w:name="_Toc10651"/>
      <w:r>
        <w:rPr>
          <w:rFonts w:hint="default" w:ascii="Times New Roman" w:hAnsi="Times New Roman" w:eastAsia="仿宋_GB2312" w:cs="Times New Roman"/>
          <w:color w:val="auto"/>
          <w:spacing w:val="0"/>
          <w:kern w:val="0"/>
          <w:position w:val="0"/>
          <w:sz w:val="24"/>
          <w:szCs w:val="24"/>
        </w:rPr>
        <w:t>企业最大可信事故即事故发生的概率不为零，该事故一旦发生，其危害是最严重的；根据企业特点，结合物质危险性因子以及重点风险源筛选结果，本项目环境风险评价设定最大可信事故情形如下：储罐区发生泄漏，有害物质在大气中扩散，本次评价选取</w:t>
      </w:r>
      <w:r>
        <w:rPr>
          <w:rFonts w:hint="eastAsia" w:ascii="Times New Roman" w:hAnsi="Times New Roman" w:eastAsia="仿宋_GB2312" w:cs="Times New Roman"/>
          <w:color w:val="auto"/>
          <w:spacing w:val="0"/>
          <w:kern w:val="0"/>
          <w:position w:val="0"/>
          <w:sz w:val="24"/>
          <w:szCs w:val="24"/>
          <w:lang w:val="en-US" w:eastAsia="zh-CN"/>
        </w:rPr>
        <w:t>盐酸</w:t>
      </w:r>
      <w:r>
        <w:rPr>
          <w:rFonts w:hint="default" w:ascii="Times New Roman" w:hAnsi="Times New Roman" w:eastAsia="仿宋_GB2312" w:cs="Times New Roman"/>
          <w:color w:val="auto"/>
          <w:spacing w:val="0"/>
          <w:kern w:val="0"/>
          <w:position w:val="0"/>
          <w:sz w:val="24"/>
          <w:szCs w:val="24"/>
        </w:rPr>
        <w:t>储罐泄漏孔径为10mm孔径的情况作为本项目事故源项进行分析。</w:t>
      </w:r>
    </w:p>
    <w:p w14:paraId="6E839738">
      <w:pPr>
        <w:pageBreakBefore w:val="0"/>
        <w:kinsoku/>
        <w:wordWrap/>
        <w:bidi w:val="0"/>
        <w:adjustRightInd w:val="0"/>
        <w:snapToGrid w:val="0"/>
        <w:spacing w:beforeAutospacing="0" w:afterAutospacing="0" w:line="500" w:lineRule="exact"/>
        <w:ind w:left="0" w:leftChars="0" w:right="0"/>
        <w:jc w:val="center"/>
        <w:rPr>
          <w:rFonts w:hint="default" w:ascii="Times New Roman" w:hAnsi="Times New Roman" w:eastAsia="仿宋_GB2312" w:cs="Times New Roman"/>
          <w:b/>
          <w:color w:val="auto"/>
          <w:spacing w:val="0"/>
          <w:kern w:val="0"/>
          <w:position w:val="0"/>
          <w:szCs w:val="28"/>
        </w:rPr>
      </w:pPr>
      <w:r>
        <w:rPr>
          <w:rFonts w:hint="default" w:ascii="Times New Roman" w:hAnsi="Times New Roman" w:eastAsia="仿宋_GB2312" w:cs="Times New Roman"/>
          <w:b/>
          <w:color w:val="auto"/>
          <w:spacing w:val="0"/>
          <w:kern w:val="0"/>
          <w:position w:val="0"/>
          <w:szCs w:val="28"/>
        </w:rPr>
        <w:t>表</w:t>
      </w:r>
      <w:r>
        <w:rPr>
          <w:rFonts w:hint="eastAsia" w:ascii="Times New Roman" w:hAnsi="Times New Roman" w:eastAsia="仿宋_GB2312" w:cs="Times New Roman"/>
          <w:b/>
          <w:color w:val="auto"/>
          <w:spacing w:val="0"/>
          <w:kern w:val="0"/>
          <w:position w:val="0"/>
          <w:szCs w:val="28"/>
          <w:lang w:val="en-US" w:eastAsia="zh-CN"/>
        </w:rPr>
        <w:t>3</w:t>
      </w:r>
      <w:r>
        <w:rPr>
          <w:rFonts w:hint="default" w:ascii="Times New Roman" w:hAnsi="Times New Roman" w:eastAsia="仿宋_GB2312" w:cs="Times New Roman"/>
          <w:b/>
          <w:color w:val="auto"/>
          <w:spacing w:val="0"/>
          <w:kern w:val="0"/>
          <w:position w:val="0"/>
          <w:szCs w:val="28"/>
        </w:rPr>
        <w:t>.</w:t>
      </w:r>
      <w:r>
        <w:rPr>
          <w:rFonts w:hint="eastAsia" w:ascii="Times New Roman" w:hAnsi="Times New Roman" w:eastAsia="仿宋_GB2312" w:cs="Times New Roman"/>
          <w:b/>
          <w:color w:val="auto"/>
          <w:spacing w:val="0"/>
          <w:kern w:val="0"/>
          <w:position w:val="0"/>
          <w:szCs w:val="28"/>
          <w:lang w:val="en-US" w:eastAsia="zh-CN"/>
        </w:rPr>
        <w:t>2</w:t>
      </w:r>
      <w:r>
        <w:rPr>
          <w:rFonts w:hint="default" w:ascii="Times New Roman" w:hAnsi="Times New Roman" w:eastAsia="仿宋_GB2312" w:cs="Times New Roman"/>
          <w:b/>
          <w:color w:val="auto"/>
          <w:spacing w:val="0"/>
          <w:kern w:val="0"/>
          <w:position w:val="0"/>
          <w:szCs w:val="28"/>
        </w:rPr>
        <w:t>-</w:t>
      </w:r>
      <w:r>
        <w:rPr>
          <w:rFonts w:hint="eastAsia" w:ascii="Times New Roman" w:hAnsi="Times New Roman" w:eastAsia="仿宋_GB2312" w:cs="Times New Roman"/>
          <w:b/>
          <w:color w:val="auto"/>
          <w:spacing w:val="0"/>
          <w:kern w:val="0"/>
          <w:position w:val="0"/>
          <w:szCs w:val="28"/>
          <w:lang w:val="en-US" w:eastAsia="zh-CN"/>
        </w:rPr>
        <w:t xml:space="preserve">1 </w:t>
      </w:r>
      <w:r>
        <w:rPr>
          <w:rFonts w:hint="default" w:ascii="Times New Roman" w:hAnsi="Times New Roman" w:eastAsia="仿宋_GB2312" w:cs="Times New Roman"/>
          <w:b/>
          <w:color w:val="auto"/>
          <w:spacing w:val="0"/>
          <w:kern w:val="0"/>
          <w:position w:val="0"/>
          <w:szCs w:val="28"/>
        </w:rPr>
        <w:t xml:space="preserve"> 风险事故情形设定一览表</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4"/>
        <w:gridCol w:w="1429"/>
        <w:gridCol w:w="1371"/>
        <w:gridCol w:w="1108"/>
        <w:gridCol w:w="1568"/>
        <w:gridCol w:w="1548"/>
      </w:tblGrid>
      <w:tr w14:paraId="5D42B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218" w:type="pct"/>
            <w:tcBorders>
              <w:top w:val="single" w:color="auto" w:sz="12" w:space="0"/>
              <w:left w:val="nil"/>
            </w:tcBorders>
            <w:vAlign w:val="center"/>
          </w:tcPr>
          <w:p w14:paraId="5073D0FE">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b/>
                <w:bCs/>
                <w:color w:val="auto"/>
                <w:spacing w:val="0"/>
                <w:kern w:val="0"/>
                <w:position w:val="0"/>
                <w:sz w:val="21"/>
                <w:szCs w:val="21"/>
              </w:rPr>
            </w:pPr>
            <w:r>
              <w:rPr>
                <w:rFonts w:hint="default" w:ascii="Times New Roman" w:hAnsi="Times New Roman" w:eastAsia="仿宋_GB2312" w:cs="Times New Roman"/>
                <w:b/>
                <w:bCs/>
                <w:color w:val="auto"/>
                <w:spacing w:val="0"/>
                <w:kern w:val="0"/>
                <w:position w:val="0"/>
                <w:sz w:val="21"/>
                <w:szCs w:val="21"/>
              </w:rPr>
              <w:t>环境风险类型</w:t>
            </w:r>
          </w:p>
        </w:tc>
        <w:tc>
          <w:tcPr>
            <w:tcW w:w="769" w:type="pct"/>
            <w:tcBorders>
              <w:top w:val="single" w:color="auto" w:sz="12" w:space="0"/>
            </w:tcBorders>
            <w:vAlign w:val="center"/>
          </w:tcPr>
          <w:p w14:paraId="2DDC1EE5">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b/>
                <w:bCs/>
                <w:color w:val="auto"/>
                <w:spacing w:val="0"/>
                <w:kern w:val="0"/>
                <w:position w:val="0"/>
                <w:sz w:val="21"/>
                <w:szCs w:val="21"/>
              </w:rPr>
            </w:pPr>
            <w:r>
              <w:rPr>
                <w:rFonts w:hint="default" w:ascii="Times New Roman" w:hAnsi="Times New Roman" w:eastAsia="仿宋_GB2312" w:cs="Times New Roman"/>
                <w:b/>
                <w:bCs/>
                <w:color w:val="auto"/>
                <w:spacing w:val="0"/>
                <w:kern w:val="0"/>
                <w:position w:val="0"/>
                <w:sz w:val="21"/>
                <w:szCs w:val="21"/>
              </w:rPr>
              <w:t>风险源</w:t>
            </w:r>
          </w:p>
        </w:tc>
        <w:tc>
          <w:tcPr>
            <w:tcW w:w="738" w:type="pct"/>
            <w:tcBorders>
              <w:top w:val="single" w:color="auto" w:sz="12" w:space="0"/>
            </w:tcBorders>
            <w:vAlign w:val="center"/>
          </w:tcPr>
          <w:p w14:paraId="04379D43">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b/>
                <w:bCs/>
                <w:color w:val="auto"/>
                <w:spacing w:val="0"/>
                <w:kern w:val="0"/>
                <w:position w:val="0"/>
                <w:sz w:val="21"/>
                <w:szCs w:val="21"/>
              </w:rPr>
            </w:pPr>
            <w:r>
              <w:rPr>
                <w:rFonts w:hint="default" w:ascii="Times New Roman" w:hAnsi="Times New Roman" w:eastAsia="仿宋_GB2312" w:cs="Times New Roman"/>
                <w:b/>
                <w:bCs/>
                <w:color w:val="auto"/>
                <w:spacing w:val="0"/>
                <w:kern w:val="0"/>
                <w:position w:val="0"/>
                <w:sz w:val="21"/>
                <w:szCs w:val="21"/>
              </w:rPr>
              <w:t>危险单元</w:t>
            </w:r>
          </w:p>
        </w:tc>
        <w:tc>
          <w:tcPr>
            <w:tcW w:w="596" w:type="pct"/>
            <w:tcBorders>
              <w:top w:val="single" w:color="auto" w:sz="12" w:space="0"/>
            </w:tcBorders>
            <w:vAlign w:val="center"/>
          </w:tcPr>
          <w:p w14:paraId="2A0C955D">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b/>
                <w:bCs/>
                <w:color w:val="auto"/>
                <w:spacing w:val="0"/>
                <w:kern w:val="0"/>
                <w:position w:val="0"/>
                <w:sz w:val="21"/>
                <w:szCs w:val="21"/>
              </w:rPr>
            </w:pPr>
            <w:r>
              <w:rPr>
                <w:rFonts w:hint="default" w:ascii="Times New Roman" w:hAnsi="Times New Roman" w:eastAsia="仿宋_GB2312" w:cs="Times New Roman"/>
                <w:b/>
                <w:bCs/>
                <w:color w:val="auto"/>
                <w:spacing w:val="0"/>
                <w:kern w:val="0"/>
                <w:position w:val="0"/>
                <w:sz w:val="21"/>
                <w:szCs w:val="21"/>
              </w:rPr>
              <w:t>危险物质</w:t>
            </w:r>
          </w:p>
        </w:tc>
        <w:tc>
          <w:tcPr>
            <w:tcW w:w="844" w:type="pct"/>
            <w:tcBorders>
              <w:top w:val="single" w:color="auto" w:sz="12" w:space="0"/>
            </w:tcBorders>
            <w:vAlign w:val="center"/>
          </w:tcPr>
          <w:p w14:paraId="7A6F585F">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b/>
                <w:bCs/>
                <w:color w:val="auto"/>
                <w:spacing w:val="0"/>
                <w:kern w:val="0"/>
                <w:position w:val="0"/>
                <w:sz w:val="21"/>
                <w:szCs w:val="21"/>
              </w:rPr>
            </w:pPr>
            <w:r>
              <w:rPr>
                <w:rFonts w:hint="default" w:ascii="Times New Roman" w:hAnsi="Times New Roman" w:eastAsia="仿宋_GB2312" w:cs="Times New Roman"/>
                <w:b/>
                <w:bCs/>
                <w:color w:val="auto"/>
                <w:spacing w:val="0"/>
                <w:kern w:val="0"/>
                <w:position w:val="0"/>
                <w:sz w:val="21"/>
                <w:szCs w:val="21"/>
              </w:rPr>
              <w:t>主要理化性质</w:t>
            </w:r>
          </w:p>
        </w:tc>
        <w:tc>
          <w:tcPr>
            <w:tcW w:w="833" w:type="pct"/>
            <w:tcBorders>
              <w:top w:val="single" w:color="auto" w:sz="12" w:space="0"/>
              <w:right w:val="nil"/>
            </w:tcBorders>
            <w:vAlign w:val="center"/>
          </w:tcPr>
          <w:p w14:paraId="0E4F4DDB">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b/>
                <w:bCs/>
                <w:color w:val="auto"/>
                <w:spacing w:val="0"/>
                <w:kern w:val="0"/>
                <w:position w:val="0"/>
                <w:sz w:val="21"/>
                <w:szCs w:val="21"/>
              </w:rPr>
            </w:pPr>
            <w:r>
              <w:rPr>
                <w:rFonts w:hint="default" w:ascii="Times New Roman" w:hAnsi="Times New Roman" w:eastAsia="仿宋_GB2312" w:cs="Times New Roman"/>
                <w:b/>
                <w:bCs/>
                <w:color w:val="auto"/>
                <w:spacing w:val="0"/>
                <w:kern w:val="0"/>
                <w:position w:val="0"/>
                <w:sz w:val="21"/>
                <w:szCs w:val="21"/>
              </w:rPr>
              <w:t>环境影响</w:t>
            </w:r>
          </w:p>
          <w:p w14:paraId="367A7762">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b/>
                <w:bCs/>
                <w:color w:val="auto"/>
                <w:spacing w:val="0"/>
                <w:kern w:val="0"/>
                <w:position w:val="0"/>
                <w:sz w:val="21"/>
                <w:szCs w:val="21"/>
              </w:rPr>
            </w:pPr>
            <w:r>
              <w:rPr>
                <w:rFonts w:hint="default" w:ascii="Times New Roman" w:hAnsi="Times New Roman" w:eastAsia="仿宋_GB2312" w:cs="Times New Roman"/>
                <w:b/>
                <w:bCs/>
                <w:color w:val="auto"/>
                <w:spacing w:val="0"/>
                <w:kern w:val="0"/>
                <w:position w:val="0"/>
                <w:sz w:val="21"/>
                <w:szCs w:val="21"/>
              </w:rPr>
              <w:t>途径</w:t>
            </w:r>
          </w:p>
        </w:tc>
      </w:tr>
      <w:tr w14:paraId="162D4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18" w:type="pct"/>
            <w:tcBorders>
              <w:left w:val="nil"/>
              <w:bottom w:val="single" w:color="auto" w:sz="12" w:space="0"/>
            </w:tcBorders>
            <w:vAlign w:val="center"/>
          </w:tcPr>
          <w:p w14:paraId="018D4226">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泄漏</w:t>
            </w:r>
          </w:p>
        </w:tc>
        <w:tc>
          <w:tcPr>
            <w:tcW w:w="769" w:type="pct"/>
            <w:tcBorders>
              <w:bottom w:val="single" w:color="auto" w:sz="12" w:space="0"/>
            </w:tcBorders>
            <w:vAlign w:val="center"/>
          </w:tcPr>
          <w:p w14:paraId="3D8E9D13">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eastAsia="zh-CN"/>
              </w:rPr>
            </w:pPr>
            <w:r>
              <w:rPr>
                <w:rFonts w:hint="eastAsia" w:ascii="Times New Roman" w:hAnsi="Times New Roman" w:eastAsia="仿宋_GB2312" w:cs="Times New Roman"/>
                <w:color w:val="auto"/>
                <w:spacing w:val="0"/>
                <w:kern w:val="0"/>
                <w:position w:val="0"/>
                <w:sz w:val="21"/>
                <w:szCs w:val="21"/>
                <w:lang w:val="en-US" w:eastAsia="zh-CN"/>
              </w:rPr>
              <w:t>盐酸</w:t>
            </w:r>
          </w:p>
        </w:tc>
        <w:tc>
          <w:tcPr>
            <w:tcW w:w="738" w:type="pct"/>
            <w:tcBorders>
              <w:bottom w:val="single" w:color="auto" w:sz="12" w:space="0"/>
            </w:tcBorders>
            <w:vAlign w:val="center"/>
          </w:tcPr>
          <w:p w14:paraId="1E50CF18">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储罐区</w:t>
            </w:r>
          </w:p>
        </w:tc>
        <w:tc>
          <w:tcPr>
            <w:tcW w:w="596" w:type="pct"/>
            <w:tcBorders>
              <w:bottom w:val="single" w:color="auto" w:sz="12" w:space="0"/>
            </w:tcBorders>
            <w:vAlign w:val="center"/>
          </w:tcPr>
          <w:p w14:paraId="3CC3DC99">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rPr>
            </w:pPr>
            <w:r>
              <w:rPr>
                <w:rFonts w:hint="eastAsia" w:ascii="Times New Roman" w:hAnsi="Times New Roman" w:eastAsia="仿宋_GB2312" w:cs="Times New Roman"/>
                <w:color w:val="auto"/>
                <w:spacing w:val="0"/>
                <w:kern w:val="0"/>
                <w:position w:val="0"/>
                <w:sz w:val="21"/>
                <w:szCs w:val="21"/>
                <w:lang w:val="en-US" w:eastAsia="zh-CN"/>
              </w:rPr>
              <w:t>30%盐酸</w:t>
            </w:r>
          </w:p>
        </w:tc>
        <w:tc>
          <w:tcPr>
            <w:tcW w:w="844" w:type="pct"/>
            <w:tcBorders>
              <w:bottom w:val="single" w:color="auto" w:sz="12" w:space="0"/>
            </w:tcBorders>
            <w:vAlign w:val="center"/>
          </w:tcPr>
          <w:p w14:paraId="6464DAF2">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毒性</w:t>
            </w:r>
          </w:p>
        </w:tc>
        <w:tc>
          <w:tcPr>
            <w:tcW w:w="833" w:type="pct"/>
            <w:tcBorders>
              <w:bottom w:val="single" w:color="auto" w:sz="12" w:space="0"/>
              <w:right w:val="nil"/>
            </w:tcBorders>
            <w:vAlign w:val="center"/>
          </w:tcPr>
          <w:p w14:paraId="3214A2FF">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大气扩散</w:t>
            </w:r>
          </w:p>
        </w:tc>
      </w:tr>
    </w:tbl>
    <w:p w14:paraId="55F97338">
      <w:pPr>
        <w:pageBreakBefore w:val="0"/>
        <w:kinsoku/>
        <w:wordWrap/>
        <w:bidi w:val="0"/>
        <w:adjustRightInd w:val="0"/>
        <w:snapToGrid w:val="0"/>
        <w:spacing w:beforeAutospacing="0" w:afterAutospacing="0" w:line="500" w:lineRule="exact"/>
        <w:ind w:left="0" w:leftChars="0" w:right="0" w:firstLine="480"/>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本项目设防渗层、围堰、事故应急池等防范措施，发生泄漏事故时，危险物质能控制在各危险单元内或导向事故应急池。发生火灾时，关闭厂内雨水管网的排放口，消防废水将收集到事故应急池中暂存；化学品的泄漏可能随着大气的扩散污染环境空气，也有可能因防渗层破裂，下渗污染地下水；火灾事故伴生/次生产生的污染物可能随着大气的扩散污染环境空气。</w:t>
      </w:r>
    </w:p>
    <w:p w14:paraId="4DED7970">
      <w:pPr>
        <w:pageBreakBefore w:val="0"/>
        <w:kinsoku/>
        <w:wordWrap/>
        <w:bidi w:val="0"/>
        <w:adjustRightInd w:val="0"/>
        <w:snapToGrid w:val="0"/>
        <w:spacing w:beforeAutospacing="0" w:afterAutospacing="0" w:line="500" w:lineRule="exact"/>
        <w:ind w:left="0" w:leftChars="0" w:right="0" w:firstLine="480"/>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根据本项目各要素的评价等级和发生事故后对环境影响的程度和范围，确定本次风险评价对有毒有害物质在大气中的扩散进行预测分析，对有毒有害物质对地下水环境影响进行防控措施分析</w:t>
      </w:r>
      <w:r>
        <w:rPr>
          <w:rFonts w:cs="Times New Roman"/>
        </w:rPr>
        <w:t>。</w:t>
      </w:r>
    </w:p>
    <w:bookmarkEnd w:id="145"/>
    <w:p w14:paraId="1F1302D6">
      <w:pPr>
        <w:pStyle w:val="4"/>
        <w:keepNext/>
        <w:keepLines w:val="0"/>
        <w:pageBreakBefore w:val="0"/>
        <w:widowControl w:val="0"/>
        <w:kinsoku/>
        <w:wordWrap/>
        <w:overflowPunct w:val="0"/>
        <w:topLinePunct w:val="0"/>
        <w:autoSpaceDE/>
        <w:autoSpaceDN/>
        <w:bidi w:val="0"/>
        <w:adjustRightInd/>
        <w:snapToGrid w:val="0"/>
        <w:spacing w:before="0" w:line="500" w:lineRule="exact"/>
        <w:ind w:left="0" w:right="0" w:firstLine="0" w:firstLineChars="0"/>
        <w:jc w:val="both"/>
        <w:textAlignment w:val="auto"/>
        <w:outlineLvl w:val="1"/>
        <w:rPr>
          <w:rFonts w:hint="default" w:ascii="Times New Roman" w:hAnsi="Times New Roman" w:eastAsia="仿宋_GB2312" w:cs="Times New Roman"/>
          <w:b/>
          <w:bCs/>
          <w:sz w:val="24"/>
          <w:szCs w:val="24"/>
          <w:lang w:val="en-US" w:eastAsia="zh-CN"/>
        </w:rPr>
      </w:pPr>
      <w:bookmarkStart w:id="146" w:name="_Toc2196"/>
      <w:bookmarkStart w:id="147" w:name="_Toc17870"/>
      <w:bookmarkStart w:id="148" w:name="_Toc31341"/>
      <w:r>
        <w:rPr>
          <w:rFonts w:hint="default" w:ascii="Times New Roman" w:hAnsi="Times New Roman" w:eastAsia="仿宋_GB2312" w:cs="Times New Roman"/>
          <w:b/>
          <w:bCs/>
          <w:sz w:val="24"/>
          <w:szCs w:val="24"/>
          <w:lang w:val="en-US" w:eastAsia="zh-CN"/>
        </w:rPr>
        <w:t>3.3</w:t>
      </w:r>
      <w:r>
        <w:rPr>
          <w:rFonts w:hint="eastAsia" w:ascii="Times New Roman" w:hAnsi="Times New Roman" w:eastAsia="仿宋_GB2312" w:cs="Times New Roman"/>
          <w:b/>
          <w:bCs/>
          <w:sz w:val="24"/>
          <w:szCs w:val="24"/>
          <w:lang w:val="en-US" w:eastAsia="zh-CN"/>
        </w:rPr>
        <w:t>源项</w:t>
      </w:r>
      <w:r>
        <w:rPr>
          <w:rFonts w:hint="default" w:ascii="Times New Roman" w:hAnsi="Times New Roman" w:eastAsia="仿宋_GB2312" w:cs="Times New Roman"/>
          <w:b/>
          <w:bCs/>
          <w:sz w:val="24"/>
          <w:szCs w:val="24"/>
          <w:lang w:val="en-US" w:eastAsia="zh-CN"/>
        </w:rPr>
        <w:t>分析</w:t>
      </w:r>
      <w:bookmarkEnd w:id="146"/>
      <w:bookmarkEnd w:id="147"/>
      <w:bookmarkEnd w:id="148"/>
    </w:p>
    <w:p w14:paraId="74DA2418">
      <w:pPr>
        <w:pStyle w:val="2"/>
        <w:keepNext/>
        <w:keepLines w:val="0"/>
        <w:pageBreakBefore w:val="0"/>
        <w:widowControl w:val="0"/>
        <w:kinsoku/>
        <w:wordWrap/>
        <w:overflowPunct w:val="0"/>
        <w:topLinePunct w:val="0"/>
        <w:autoSpaceDE/>
        <w:autoSpaceDN/>
        <w:bidi w:val="0"/>
        <w:adjustRightInd/>
        <w:snapToGrid w:val="0"/>
        <w:spacing w:before="0" w:after="0" w:line="500" w:lineRule="exact"/>
        <w:ind w:left="0" w:right="0" w:firstLine="0" w:firstLineChars="0"/>
        <w:jc w:val="both"/>
        <w:textAlignment w:val="auto"/>
        <w:outlineLvl w:val="2"/>
        <w:rPr>
          <w:rFonts w:hint="default" w:ascii="Times New Roman" w:hAnsi="Times New Roman" w:eastAsia="仿宋_GB2312" w:cs="Times New Roman"/>
          <w:b/>
          <w:bCs/>
          <w:sz w:val="24"/>
          <w:szCs w:val="24"/>
          <w:lang w:val="en-US" w:eastAsia="zh-CN"/>
        </w:rPr>
      </w:pPr>
      <w:bookmarkStart w:id="149" w:name="_Toc18498"/>
      <w:bookmarkStart w:id="150" w:name="_Toc20346"/>
      <w:r>
        <w:rPr>
          <w:rFonts w:hint="eastAsia" w:ascii="Times New Roman" w:hAnsi="Times New Roman" w:eastAsia="仿宋_GB2312" w:cs="Times New Roman"/>
          <w:b/>
          <w:bCs/>
          <w:sz w:val="24"/>
          <w:szCs w:val="24"/>
          <w:lang w:val="en-US" w:eastAsia="zh-CN"/>
        </w:rPr>
        <w:t>3.3.1</w:t>
      </w:r>
      <w:r>
        <w:rPr>
          <w:rFonts w:hint="default" w:ascii="Times New Roman" w:hAnsi="Times New Roman" w:eastAsia="仿宋_GB2312" w:cs="Times New Roman"/>
          <w:b w:val="0"/>
          <w:bCs w:val="0"/>
          <w:color w:val="auto"/>
          <w:spacing w:val="0"/>
          <w:kern w:val="0"/>
          <w:position w:val="0"/>
          <w:sz w:val="24"/>
          <w:szCs w:val="24"/>
          <w:lang w:val="en-US" w:eastAsia="zh-CN" w:bidi="ar-SA"/>
        </w:rPr>
        <w:t>风险物质泄漏量计算</w:t>
      </w:r>
      <w:bookmarkEnd w:id="149"/>
    </w:p>
    <w:p w14:paraId="69D0D956">
      <w:pPr>
        <w:pageBreakBefore w:val="0"/>
        <w:kinsoku/>
        <w:wordWrap/>
        <w:bidi w:val="0"/>
        <w:adjustRightInd w:val="0"/>
        <w:snapToGrid w:val="0"/>
        <w:spacing w:beforeAutospacing="0" w:afterAutospacing="0" w:line="500" w:lineRule="exact"/>
        <w:ind w:left="0" w:leftChars="0" w:right="0" w:firstLine="480"/>
        <w:rPr>
          <w:rFonts w:hint="default" w:ascii="Times New Roman" w:hAnsi="Times New Roman" w:eastAsia="仿宋_GB2312" w:cs="Times New Roman"/>
          <w:color w:val="auto"/>
          <w:spacing w:val="0"/>
          <w:kern w:val="0"/>
          <w:position w:val="0"/>
          <w:sz w:val="24"/>
          <w:szCs w:val="24"/>
          <w:lang w:val="en-US" w:eastAsia="zh-CN"/>
        </w:rPr>
      </w:pPr>
      <w:r>
        <w:rPr>
          <w:rFonts w:hint="default" w:ascii="Times New Roman" w:hAnsi="Times New Roman" w:eastAsia="仿宋_GB2312" w:cs="Times New Roman"/>
          <w:color w:val="auto"/>
          <w:spacing w:val="0"/>
          <w:kern w:val="0"/>
          <w:position w:val="0"/>
          <w:sz w:val="24"/>
          <w:szCs w:val="24"/>
          <w:lang w:val="en-US" w:eastAsia="zh-CN"/>
        </w:rPr>
        <w:t>①风险物质泄漏量计算</w:t>
      </w:r>
    </w:p>
    <w:p w14:paraId="1BC6E564">
      <w:pPr>
        <w:pageBreakBefore w:val="0"/>
        <w:kinsoku/>
        <w:wordWrap/>
        <w:bidi w:val="0"/>
        <w:adjustRightInd w:val="0"/>
        <w:snapToGrid w:val="0"/>
        <w:spacing w:beforeAutospacing="0" w:afterAutospacing="0" w:line="500" w:lineRule="exact"/>
        <w:ind w:left="0" w:leftChars="0" w:right="0" w:firstLine="480"/>
        <w:rPr>
          <w:rFonts w:hint="eastAsia" w:ascii="Times New Roman" w:hAnsi="Times New Roman" w:eastAsia="仿宋_GB2312" w:cs="Times New Roman"/>
          <w:color w:val="auto"/>
          <w:spacing w:val="0"/>
          <w:kern w:val="0"/>
          <w:position w:val="0"/>
          <w:sz w:val="24"/>
          <w:szCs w:val="24"/>
          <w:lang w:val="en-US" w:eastAsia="zh-CN"/>
        </w:rPr>
      </w:pPr>
      <w:r>
        <w:rPr>
          <w:rFonts w:hint="eastAsia" w:ascii="Times New Roman" w:hAnsi="Times New Roman" w:eastAsia="仿宋_GB2312" w:cs="Times New Roman"/>
          <w:color w:val="auto"/>
          <w:spacing w:val="0"/>
          <w:kern w:val="0"/>
          <w:position w:val="0"/>
          <w:sz w:val="24"/>
          <w:szCs w:val="24"/>
          <w:lang w:val="en-US" w:eastAsia="zh-CN"/>
        </w:rPr>
        <w:t>液体物质泄漏速率采用《建设项目环境风险评价技术导则》（HJ 169-2018）附录F中的伯努利方程计算，公式如下：</w:t>
      </w:r>
    </w:p>
    <w:p w14:paraId="2DCDDB6F">
      <w:pPr>
        <w:pStyle w:val="105"/>
      </w:pPr>
      <w:r>
        <w:drawing>
          <wp:inline distT="0" distB="0" distL="0" distR="0">
            <wp:extent cx="2137410" cy="594995"/>
            <wp:effectExtent l="0" t="0" r="15240" b="1460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63"/>
                    <a:stretch>
                      <a:fillRect/>
                    </a:stretch>
                  </pic:blipFill>
                  <pic:spPr>
                    <a:xfrm>
                      <a:off x="0" y="0"/>
                      <a:ext cx="2156593" cy="600489"/>
                    </a:xfrm>
                    <a:prstGeom prst="rect">
                      <a:avLst/>
                    </a:prstGeom>
                  </pic:spPr>
                </pic:pic>
              </a:graphicData>
            </a:graphic>
          </wp:inline>
        </w:drawing>
      </w:r>
    </w:p>
    <w:p w14:paraId="27B2E23E">
      <w:pPr>
        <w:keepNext w:val="0"/>
        <w:keepLines w:val="0"/>
        <w:pageBreakBefore w:val="0"/>
        <w:widowControl w:val="0"/>
        <w:kinsoku/>
        <w:wordWrap/>
        <w:overflowPunct/>
        <w:topLinePunct w:val="0"/>
        <w:autoSpaceDE/>
        <w:autoSpaceDN/>
        <w:bidi w:val="0"/>
        <w:adjustRightInd/>
        <w:snapToGrid/>
        <w:spacing w:line="500" w:lineRule="exact"/>
        <w:ind w:firstLine="482"/>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式中：Q</w:t>
      </w:r>
      <w:r>
        <w:rPr>
          <w:rFonts w:hint="default" w:ascii="Times New Roman" w:hAnsi="Times New Roman" w:eastAsia="仿宋_GB2312" w:cs="Times New Roman"/>
          <w:sz w:val="24"/>
          <w:szCs w:val="24"/>
          <w:vertAlign w:val="subscript"/>
        </w:rPr>
        <w:t>L</w:t>
      </w:r>
      <w:r>
        <w:rPr>
          <w:rFonts w:hint="default" w:ascii="Times New Roman" w:hAnsi="Times New Roman" w:eastAsia="仿宋_GB2312" w:cs="Times New Roman"/>
          <w:sz w:val="24"/>
          <w:szCs w:val="24"/>
        </w:rPr>
        <w:t>—液体泄漏速度，kg/s；</w:t>
      </w:r>
    </w:p>
    <w:p w14:paraId="442EB94C">
      <w:pPr>
        <w:keepNext w:val="0"/>
        <w:keepLines w:val="0"/>
        <w:pageBreakBefore w:val="0"/>
        <w:widowControl w:val="0"/>
        <w:kinsoku/>
        <w:wordWrap/>
        <w:overflowPunct/>
        <w:topLinePunct w:val="0"/>
        <w:autoSpaceDE/>
        <w:autoSpaceDN/>
        <w:bidi w:val="0"/>
        <w:adjustRightInd/>
        <w:snapToGrid/>
        <w:spacing w:line="500" w:lineRule="exact"/>
        <w:ind w:firstLine="482"/>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C</w:t>
      </w:r>
      <w:r>
        <w:rPr>
          <w:rFonts w:hint="default" w:ascii="Times New Roman" w:hAnsi="Times New Roman" w:eastAsia="仿宋_GB2312" w:cs="Times New Roman"/>
          <w:sz w:val="24"/>
          <w:szCs w:val="24"/>
          <w:vertAlign w:val="subscript"/>
        </w:rPr>
        <w:t>d</w:t>
      </w:r>
      <w:r>
        <w:rPr>
          <w:rFonts w:hint="default" w:ascii="Times New Roman" w:hAnsi="Times New Roman" w:eastAsia="仿宋_GB2312" w:cs="Times New Roman"/>
          <w:sz w:val="24"/>
          <w:szCs w:val="24"/>
        </w:rPr>
        <w:t>—液体泄漏系数，常用0～1，取0.65；</w:t>
      </w:r>
    </w:p>
    <w:p w14:paraId="0C2BD3A2">
      <w:pPr>
        <w:keepNext w:val="0"/>
        <w:keepLines w:val="0"/>
        <w:pageBreakBefore w:val="0"/>
        <w:widowControl w:val="0"/>
        <w:kinsoku/>
        <w:wordWrap/>
        <w:overflowPunct/>
        <w:topLinePunct w:val="0"/>
        <w:autoSpaceDE/>
        <w:autoSpaceDN/>
        <w:bidi w:val="0"/>
        <w:adjustRightInd/>
        <w:snapToGrid/>
        <w:spacing w:line="500" w:lineRule="exact"/>
        <w:ind w:firstLine="482"/>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A—裂口面积，m</w:t>
      </w:r>
      <w:r>
        <w:rPr>
          <w:rFonts w:hint="default" w:ascii="Times New Roman" w:hAnsi="Times New Roman" w:eastAsia="仿宋_GB2312" w:cs="Times New Roman"/>
          <w:sz w:val="24"/>
          <w:szCs w:val="24"/>
          <w:vertAlign w:val="superscript"/>
        </w:rPr>
        <w:t>2</w:t>
      </w:r>
      <w:r>
        <w:rPr>
          <w:rFonts w:hint="default" w:ascii="Times New Roman" w:hAnsi="Times New Roman" w:eastAsia="仿宋_GB2312" w:cs="Times New Roman"/>
          <w:sz w:val="24"/>
          <w:szCs w:val="24"/>
        </w:rPr>
        <w:t>；本次按照直径为10mm的圆孔计，面积为0.0000785m</w:t>
      </w:r>
      <w:r>
        <w:rPr>
          <w:rFonts w:hint="default" w:ascii="Times New Roman" w:hAnsi="Times New Roman" w:eastAsia="仿宋_GB2312" w:cs="Times New Roman"/>
          <w:sz w:val="24"/>
          <w:szCs w:val="24"/>
          <w:vertAlign w:val="superscript"/>
        </w:rPr>
        <w:t>2</w:t>
      </w:r>
      <w:r>
        <w:rPr>
          <w:rFonts w:hint="default" w:ascii="Times New Roman" w:hAnsi="Times New Roman" w:eastAsia="仿宋_GB2312" w:cs="Times New Roman"/>
          <w:sz w:val="24"/>
          <w:szCs w:val="24"/>
        </w:rPr>
        <w:t>；</w:t>
      </w:r>
    </w:p>
    <w:p w14:paraId="4A0F833F">
      <w:pPr>
        <w:keepNext w:val="0"/>
        <w:keepLines w:val="0"/>
        <w:pageBreakBefore w:val="0"/>
        <w:widowControl w:val="0"/>
        <w:kinsoku/>
        <w:wordWrap/>
        <w:overflowPunct/>
        <w:topLinePunct w:val="0"/>
        <w:autoSpaceDE/>
        <w:autoSpaceDN/>
        <w:bidi w:val="0"/>
        <w:adjustRightInd/>
        <w:snapToGrid/>
        <w:spacing w:line="500" w:lineRule="exact"/>
        <w:ind w:firstLine="482"/>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ρ—液体密度，</w:t>
      </w:r>
      <w:r>
        <w:rPr>
          <w:rFonts w:hint="eastAsia" w:ascii="Times New Roman" w:hAnsi="Times New Roman" w:eastAsia="仿宋_GB2312" w:cs="Times New Roman"/>
          <w:sz w:val="24"/>
          <w:szCs w:val="24"/>
          <w:lang w:val="en-US" w:eastAsia="zh-CN"/>
        </w:rPr>
        <w:t>30%盐酸密度</w:t>
      </w:r>
      <w:r>
        <w:rPr>
          <w:rFonts w:hint="default" w:ascii="Times New Roman" w:hAnsi="Times New Roman" w:eastAsia="仿宋_GB2312" w:cs="Times New Roman"/>
          <w:sz w:val="24"/>
          <w:szCs w:val="24"/>
        </w:rPr>
        <w:t>取</w:t>
      </w:r>
      <w:r>
        <w:rPr>
          <w:rFonts w:hint="eastAsia" w:ascii="Times New Roman" w:hAnsi="Times New Roman" w:eastAsia="仿宋_GB2312" w:cs="Times New Roman"/>
          <w:sz w:val="24"/>
          <w:szCs w:val="24"/>
          <w:lang w:val="en-US" w:eastAsia="zh-CN"/>
        </w:rPr>
        <w:t>1149</w:t>
      </w:r>
      <w:r>
        <w:rPr>
          <w:rFonts w:hint="default" w:ascii="Times New Roman" w:hAnsi="Times New Roman" w:eastAsia="仿宋_GB2312" w:cs="Times New Roman"/>
          <w:sz w:val="24"/>
          <w:szCs w:val="24"/>
        </w:rPr>
        <w:t>kg/m³；</w:t>
      </w:r>
    </w:p>
    <w:p w14:paraId="3F898642">
      <w:pPr>
        <w:keepNext w:val="0"/>
        <w:keepLines w:val="0"/>
        <w:pageBreakBefore w:val="0"/>
        <w:widowControl w:val="0"/>
        <w:kinsoku/>
        <w:wordWrap/>
        <w:overflowPunct/>
        <w:topLinePunct w:val="0"/>
        <w:autoSpaceDE/>
        <w:autoSpaceDN/>
        <w:bidi w:val="0"/>
        <w:adjustRightInd/>
        <w:snapToGrid/>
        <w:spacing w:line="500" w:lineRule="exact"/>
        <w:ind w:firstLine="482"/>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P—容器内及环境压力，Pa；</w:t>
      </w:r>
    </w:p>
    <w:p w14:paraId="73276D47">
      <w:pPr>
        <w:keepNext w:val="0"/>
        <w:keepLines w:val="0"/>
        <w:pageBreakBefore w:val="0"/>
        <w:widowControl w:val="0"/>
        <w:kinsoku/>
        <w:wordWrap/>
        <w:overflowPunct/>
        <w:topLinePunct w:val="0"/>
        <w:autoSpaceDE/>
        <w:autoSpaceDN/>
        <w:bidi w:val="0"/>
        <w:adjustRightInd/>
        <w:snapToGrid/>
        <w:spacing w:line="500" w:lineRule="exact"/>
        <w:ind w:firstLine="482"/>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P</w:t>
      </w:r>
      <w:r>
        <w:rPr>
          <w:rFonts w:hint="default" w:ascii="Times New Roman" w:hAnsi="Times New Roman" w:eastAsia="仿宋_GB2312" w:cs="Times New Roman"/>
          <w:sz w:val="24"/>
          <w:szCs w:val="24"/>
          <w:vertAlign w:val="subscript"/>
        </w:rPr>
        <w:t>0</w:t>
      </w:r>
      <w:r>
        <w:rPr>
          <w:rFonts w:hint="default" w:ascii="Times New Roman" w:hAnsi="Times New Roman" w:eastAsia="仿宋_GB2312" w:cs="Times New Roman"/>
          <w:sz w:val="24"/>
          <w:szCs w:val="24"/>
        </w:rPr>
        <w:t>—环境压力，Pa；取常压1.013×10</w:t>
      </w:r>
      <w:r>
        <w:rPr>
          <w:rFonts w:hint="default" w:ascii="Times New Roman" w:hAnsi="Times New Roman" w:eastAsia="仿宋_GB2312" w:cs="Times New Roman"/>
          <w:sz w:val="24"/>
          <w:szCs w:val="24"/>
          <w:vertAlign w:val="superscript"/>
        </w:rPr>
        <w:t>5</w:t>
      </w:r>
      <w:r>
        <w:rPr>
          <w:rFonts w:hint="default" w:ascii="Times New Roman" w:hAnsi="Times New Roman" w:eastAsia="仿宋_GB2312" w:cs="Times New Roman"/>
          <w:sz w:val="24"/>
          <w:szCs w:val="24"/>
        </w:rPr>
        <w:t>Pa；</w:t>
      </w:r>
    </w:p>
    <w:p w14:paraId="515AA4A9">
      <w:pPr>
        <w:keepNext w:val="0"/>
        <w:keepLines w:val="0"/>
        <w:pageBreakBefore w:val="0"/>
        <w:widowControl w:val="0"/>
        <w:kinsoku/>
        <w:wordWrap/>
        <w:overflowPunct/>
        <w:topLinePunct w:val="0"/>
        <w:autoSpaceDE/>
        <w:autoSpaceDN/>
        <w:bidi w:val="0"/>
        <w:adjustRightInd/>
        <w:snapToGrid/>
        <w:spacing w:line="500" w:lineRule="exact"/>
        <w:ind w:firstLine="482"/>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g—重力加速度，9.8m/s</w:t>
      </w:r>
      <w:r>
        <w:rPr>
          <w:rFonts w:hint="default" w:ascii="Times New Roman" w:hAnsi="Times New Roman" w:eastAsia="仿宋_GB2312" w:cs="Times New Roman"/>
          <w:sz w:val="24"/>
          <w:szCs w:val="24"/>
          <w:vertAlign w:val="superscript"/>
        </w:rPr>
        <w:t>2</w:t>
      </w:r>
      <w:r>
        <w:rPr>
          <w:rFonts w:hint="default" w:ascii="Times New Roman" w:hAnsi="Times New Roman" w:eastAsia="仿宋_GB2312" w:cs="Times New Roman"/>
          <w:sz w:val="24"/>
          <w:szCs w:val="24"/>
        </w:rPr>
        <w:t>；</w:t>
      </w:r>
    </w:p>
    <w:p w14:paraId="6369E44F">
      <w:pPr>
        <w:keepNext w:val="0"/>
        <w:keepLines w:val="0"/>
        <w:pageBreakBefore w:val="0"/>
        <w:widowControl w:val="0"/>
        <w:kinsoku/>
        <w:wordWrap/>
        <w:overflowPunct/>
        <w:topLinePunct w:val="0"/>
        <w:autoSpaceDE/>
        <w:autoSpaceDN/>
        <w:bidi w:val="0"/>
        <w:adjustRightInd/>
        <w:snapToGrid/>
        <w:spacing w:line="500" w:lineRule="exact"/>
        <w:ind w:firstLine="482"/>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h—裂口之上液位高度</w:t>
      </w:r>
      <w:r>
        <w:rPr>
          <w:rFonts w:hint="eastAsia" w:ascii="Times New Roman" w:hAnsi="Times New Roman" w:eastAsia="仿宋_GB2312" w:cs="Times New Roman"/>
          <w:sz w:val="24"/>
          <w:szCs w:val="24"/>
          <w:lang w:eastAsia="zh-CN"/>
        </w:rPr>
        <w:t>，</w:t>
      </w:r>
      <w:r>
        <w:rPr>
          <w:rFonts w:hint="eastAsia" w:ascii="Times New Roman" w:hAnsi="Times New Roman" w:eastAsia="仿宋_GB2312" w:cs="Times New Roman"/>
          <w:sz w:val="24"/>
          <w:szCs w:val="24"/>
          <w:lang w:val="en-US" w:eastAsia="zh-CN"/>
        </w:rPr>
        <w:t>取3m</w:t>
      </w:r>
      <w:r>
        <w:rPr>
          <w:rFonts w:hint="default" w:ascii="Times New Roman" w:hAnsi="Times New Roman" w:eastAsia="仿宋_GB2312" w:cs="Times New Roman"/>
          <w:sz w:val="24"/>
          <w:szCs w:val="24"/>
        </w:rPr>
        <w:t>。</w:t>
      </w:r>
    </w:p>
    <w:p w14:paraId="12731201">
      <w:pPr>
        <w:keepNext w:val="0"/>
        <w:keepLines w:val="0"/>
        <w:pageBreakBefore w:val="0"/>
        <w:widowControl w:val="0"/>
        <w:kinsoku/>
        <w:wordWrap/>
        <w:overflowPunct/>
        <w:topLinePunct w:val="0"/>
        <w:autoSpaceDE/>
        <w:autoSpaceDN/>
        <w:bidi w:val="0"/>
        <w:adjustRightInd/>
        <w:snapToGrid/>
        <w:spacing w:line="500" w:lineRule="exact"/>
        <w:ind w:firstLine="482"/>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对于</w:t>
      </w:r>
      <w:r>
        <w:rPr>
          <w:rFonts w:hint="eastAsia" w:ascii="Times New Roman" w:hAnsi="Times New Roman" w:eastAsia="仿宋_GB2312" w:cs="Times New Roman"/>
          <w:sz w:val="24"/>
          <w:szCs w:val="24"/>
          <w:lang w:val="en-US" w:eastAsia="zh-CN"/>
        </w:rPr>
        <w:t>盐酸</w:t>
      </w:r>
      <w:r>
        <w:rPr>
          <w:rFonts w:hint="default" w:ascii="Times New Roman" w:hAnsi="Times New Roman" w:eastAsia="仿宋_GB2312" w:cs="Times New Roman"/>
          <w:sz w:val="24"/>
          <w:szCs w:val="24"/>
        </w:rPr>
        <w:t>储罐来说，罐体结构比较均匀，发生整个容器破裂而泄漏的可能性很小，泄漏事故发生概率最大的地方是容器或输送管道的接头处。本评价设定泄漏发生接头处，以贮罐及其管线的泄漏计算其排放量；事故发生后在20min内泄漏得到控制。</w:t>
      </w:r>
    </w:p>
    <w:p w14:paraId="46D06F6D">
      <w:pPr>
        <w:pageBreakBefore w:val="0"/>
        <w:kinsoku/>
        <w:wordWrap/>
        <w:bidi w:val="0"/>
        <w:adjustRightInd w:val="0"/>
        <w:snapToGrid w:val="0"/>
        <w:spacing w:beforeAutospacing="0" w:afterAutospacing="0" w:line="500" w:lineRule="exact"/>
        <w:ind w:left="0" w:leftChars="0" w:right="0"/>
        <w:jc w:val="center"/>
        <w:rPr>
          <w:rFonts w:hint="default" w:ascii="Times New Roman" w:hAnsi="Times New Roman" w:eastAsia="仿宋_GB2312" w:cs="Times New Roman"/>
          <w:b/>
          <w:color w:val="auto"/>
          <w:spacing w:val="0"/>
          <w:kern w:val="0"/>
          <w:position w:val="0"/>
          <w:szCs w:val="28"/>
        </w:rPr>
      </w:pPr>
      <w:r>
        <w:rPr>
          <w:rFonts w:hint="default" w:ascii="Times New Roman" w:hAnsi="Times New Roman" w:eastAsia="仿宋_GB2312" w:cs="Times New Roman"/>
          <w:b/>
          <w:color w:val="auto"/>
          <w:spacing w:val="0"/>
          <w:kern w:val="0"/>
          <w:position w:val="0"/>
          <w:szCs w:val="28"/>
        </w:rPr>
        <w:t>表</w:t>
      </w:r>
      <w:r>
        <w:rPr>
          <w:rFonts w:hint="eastAsia" w:ascii="Times New Roman" w:hAnsi="Times New Roman" w:eastAsia="仿宋_GB2312" w:cs="Times New Roman"/>
          <w:b/>
          <w:color w:val="auto"/>
          <w:spacing w:val="0"/>
          <w:kern w:val="0"/>
          <w:position w:val="0"/>
          <w:szCs w:val="28"/>
          <w:lang w:val="en-US" w:eastAsia="zh-CN"/>
        </w:rPr>
        <w:t>3</w:t>
      </w:r>
      <w:r>
        <w:rPr>
          <w:rFonts w:hint="default" w:ascii="Times New Roman" w:hAnsi="Times New Roman" w:eastAsia="仿宋_GB2312" w:cs="Times New Roman"/>
          <w:b/>
          <w:color w:val="auto"/>
          <w:spacing w:val="0"/>
          <w:kern w:val="0"/>
          <w:position w:val="0"/>
          <w:szCs w:val="28"/>
        </w:rPr>
        <w:t>.</w:t>
      </w:r>
      <w:r>
        <w:rPr>
          <w:rFonts w:hint="eastAsia" w:ascii="Times New Roman" w:hAnsi="Times New Roman" w:eastAsia="仿宋_GB2312" w:cs="Times New Roman"/>
          <w:b/>
          <w:color w:val="auto"/>
          <w:spacing w:val="0"/>
          <w:kern w:val="0"/>
          <w:position w:val="0"/>
          <w:szCs w:val="28"/>
          <w:lang w:val="en-US" w:eastAsia="zh-CN"/>
        </w:rPr>
        <w:t>3</w:t>
      </w:r>
      <w:r>
        <w:rPr>
          <w:rFonts w:hint="default" w:ascii="Times New Roman" w:hAnsi="Times New Roman" w:eastAsia="仿宋_GB2312" w:cs="Times New Roman"/>
          <w:b/>
          <w:color w:val="auto"/>
          <w:spacing w:val="0"/>
          <w:kern w:val="0"/>
          <w:position w:val="0"/>
          <w:szCs w:val="28"/>
        </w:rPr>
        <w:t>-</w:t>
      </w:r>
      <w:r>
        <w:rPr>
          <w:rFonts w:hint="eastAsia" w:ascii="Times New Roman" w:hAnsi="Times New Roman" w:eastAsia="仿宋_GB2312" w:cs="Times New Roman"/>
          <w:b/>
          <w:color w:val="auto"/>
          <w:spacing w:val="0"/>
          <w:kern w:val="0"/>
          <w:position w:val="0"/>
          <w:szCs w:val="28"/>
          <w:lang w:val="en-US" w:eastAsia="zh-CN"/>
        </w:rPr>
        <w:t>1</w:t>
      </w:r>
      <w:r>
        <w:rPr>
          <w:rFonts w:hint="default" w:ascii="Times New Roman" w:hAnsi="Times New Roman" w:eastAsia="仿宋_GB2312" w:cs="Times New Roman"/>
          <w:b/>
          <w:color w:val="auto"/>
          <w:spacing w:val="0"/>
          <w:kern w:val="0"/>
          <w:position w:val="0"/>
          <w:szCs w:val="28"/>
        </w:rPr>
        <w:t xml:space="preserve"> </w:t>
      </w:r>
      <w:r>
        <w:rPr>
          <w:rFonts w:hint="eastAsia" w:ascii="Times New Roman" w:hAnsi="Times New Roman" w:eastAsia="仿宋_GB2312" w:cs="Times New Roman"/>
          <w:b/>
          <w:color w:val="auto"/>
          <w:spacing w:val="0"/>
          <w:kern w:val="0"/>
          <w:position w:val="0"/>
          <w:szCs w:val="28"/>
          <w:lang w:val="en-US" w:eastAsia="zh-CN"/>
        </w:rPr>
        <w:t xml:space="preserve"> </w:t>
      </w:r>
      <w:r>
        <w:rPr>
          <w:rFonts w:hint="default" w:ascii="Times New Roman" w:hAnsi="Times New Roman" w:eastAsia="仿宋_GB2312" w:cs="Times New Roman"/>
          <w:b/>
          <w:color w:val="auto"/>
          <w:spacing w:val="0"/>
          <w:kern w:val="0"/>
          <w:position w:val="0"/>
          <w:szCs w:val="28"/>
        </w:rPr>
        <w:t>本项目泄漏液体泄漏速率一览表</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523"/>
        <w:gridCol w:w="4765"/>
      </w:tblGrid>
      <w:tr w14:paraId="5174EC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435" w:type="pct"/>
            <w:tcBorders>
              <w:tl2br w:val="nil"/>
              <w:tr2bl w:val="nil"/>
            </w:tcBorders>
            <w:vAlign w:val="center"/>
          </w:tcPr>
          <w:p w14:paraId="2FFB4432">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b/>
                <w:bCs/>
                <w:color w:val="auto"/>
                <w:spacing w:val="0"/>
                <w:kern w:val="0"/>
                <w:position w:val="0"/>
                <w:sz w:val="21"/>
                <w:szCs w:val="21"/>
              </w:rPr>
            </w:pPr>
            <w:r>
              <w:rPr>
                <w:rFonts w:hint="default" w:ascii="Times New Roman" w:hAnsi="Times New Roman" w:eastAsia="仿宋_GB2312" w:cs="Times New Roman"/>
                <w:b/>
                <w:bCs/>
                <w:color w:val="auto"/>
                <w:spacing w:val="0"/>
                <w:kern w:val="0"/>
                <w:position w:val="0"/>
                <w:sz w:val="21"/>
                <w:szCs w:val="21"/>
              </w:rPr>
              <w:t>类别</w:t>
            </w:r>
          </w:p>
        </w:tc>
        <w:tc>
          <w:tcPr>
            <w:tcW w:w="2565" w:type="pct"/>
            <w:tcBorders>
              <w:tl2br w:val="nil"/>
              <w:tr2bl w:val="nil"/>
            </w:tcBorders>
            <w:vAlign w:val="center"/>
          </w:tcPr>
          <w:p w14:paraId="0094B13F">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b/>
                <w:bCs/>
                <w:color w:val="auto"/>
                <w:spacing w:val="0"/>
                <w:kern w:val="0"/>
                <w:position w:val="0"/>
                <w:sz w:val="21"/>
                <w:szCs w:val="21"/>
              </w:rPr>
            </w:pPr>
            <w:r>
              <w:rPr>
                <w:rFonts w:hint="eastAsia" w:ascii="Times New Roman" w:hAnsi="Times New Roman" w:eastAsia="仿宋_GB2312" w:cs="Times New Roman"/>
                <w:b/>
                <w:bCs/>
                <w:color w:val="auto"/>
                <w:spacing w:val="0"/>
                <w:kern w:val="0"/>
                <w:position w:val="0"/>
                <w:sz w:val="21"/>
                <w:szCs w:val="21"/>
                <w:lang w:val="en-US" w:eastAsia="zh-CN"/>
              </w:rPr>
              <w:t>30%盐酸</w:t>
            </w:r>
            <w:r>
              <w:rPr>
                <w:rFonts w:hint="default" w:ascii="Times New Roman" w:hAnsi="Times New Roman" w:eastAsia="仿宋_GB2312" w:cs="Times New Roman"/>
                <w:b/>
                <w:bCs/>
                <w:color w:val="auto"/>
                <w:spacing w:val="0"/>
                <w:kern w:val="0"/>
                <w:position w:val="0"/>
                <w:sz w:val="21"/>
                <w:szCs w:val="21"/>
              </w:rPr>
              <w:t>储罐</w:t>
            </w:r>
          </w:p>
        </w:tc>
      </w:tr>
      <w:tr w14:paraId="1203EF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35" w:type="pct"/>
            <w:tcBorders>
              <w:tl2br w:val="nil"/>
              <w:tr2bl w:val="nil"/>
            </w:tcBorders>
            <w:vAlign w:val="center"/>
          </w:tcPr>
          <w:p w14:paraId="56968976">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液体密度（kg/m</w:t>
            </w:r>
            <w:r>
              <w:rPr>
                <w:rFonts w:hint="default" w:ascii="Times New Roman" w:hAnsi="Times New Roman" w:eastAsia="仿宋_GB2312" w:cs="Times New Roman"/>
                <w:color w:val="auto"/>
                <w:spacing w:val="0"/>
                <w:kern w:val="0"/>
                <w:position w:val="0"/>
                <w:sz w:val="21"/>
                <w:szCs w:val="21"/>
                <w:vertAlign w:val="superscript"/>
              </w:rPr>
              <w:t>3</w:t>
            </w:r>
            <w:r>
              <w:rPr>
                <w:rFonts w:hint="default" w:ascii="Times New Roman" w:hAnsi="Times New Roman" w:eastAsia="仿宋_GB2312" w:cs="Times New Roman"/>
                <w:color w:val="auto"/>
                <w:spacing w:val="0"/>
                <w:kern w:val="0"/>
                <w:position w:val="0"/>
                <w:sz w:val="21"/>
                <w:szCs w:val="21"/>
              </w:rPr>
              <w:t>）</w:t>
            </w:r>
          </w:p>
        </w:tc>
        <w:tc>
          <w:tcPr>
            <w:tcW w:w="2565" w:type="pct"/>
            <w:tcBorders>
              <w:tl2br w:val="nil"/>
              <w:tr2bl w:val="nil"/>
            </w:tcBorders>
            <w:vAlign w:val="center"/>
          </w:tcPr>
          <w:p w14:paraId="6CFF1838">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1149</w:t>
            </w:r>
          </w:p>
        </w:tc>
      </w:tr>
      <w:tr w14:paraId="1186A2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35" w:type="pct"/>
            <w:tcBorders>
              <w:tl2br w:val="nil"/>
              <w:tr2bl w:val="nil"/>
            </w:tcBorders>
            <w:vAlign w:val="center"/>
          </w:tcPr>
          <w:p w14:paraId="72E0DB68">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裂口面积（m</w:t>
            </w:r>
            <w:r>
              <w:rPr>
                <w:rFonts w:hint="default" w:ascii="Times New Roman" w:hAnsi="Times New Roman" w:eastAsia="仿宋_GB2312" w:cs="Times New Roman"/>
                <w:color w:val="auto"/>
                <w:spacing w:val="0"/>
                <w:kern w:val="0"/>
                <w:position w:val="0"/>
                <w:sz w:val="21"/>
                <w:szCs w:val="21"/>
                <w:vertAlign w:val="superscript"/>
              </w:rPr>
              <w:t>2</w:t>
            </w:r>
            <w:r>
              <w:rPr>
                <w:rFonts w:hint="default" w:ascii="Times New Roman" w:hAnsi="Times New Roman" w:eastAsia="仿宋_GB2312" w:cs="Times New Roman"/>
                <w:color w:val="auto"/>
                <w:spacing w:val="0"/>
                <w:kern w:val="0"/>
                <w:position w:val="0"/>
                <w:sz w:val="21"/>
                <w:szCs w:val="21"/>
              </w:rPr>
              <w:t>）</w:t>
            </w:r>
          </w:p>
        </w:tc>
        <w:tc>
          <w:tcPr>
            <w:tcW w:w="2565" w:type="pct"/>
            <w:tcBorders>
              <w:tl2br w:val="nil"/>
              <w:tr2bl w:val="nil"/>
            </w:tcBorders>
            <w:vAlign w:val="center"/>
          </w:tcPr>
          <w:p w14:paraId="6B9CD009">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0.0000785</w:t>
            </w:r>
          </w:p>
        </w:tc>
      </w:tr>
      <w:tr w14:paraId="1D3FB8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35" w:type="pct"/>
            <w:tcBorders>
              <w:tl2br w:val="nil"/>
              <w:tr2bl w:val="nil"/>
            </w:tcBorders>
            <w:vAlign w:val="center"/>
          </w:tcPr>
          <w:p w14:paraId="1AB3B156">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容器内介质压力（Pa）</w:t>
            </w:r>
          </w:p>
        </w:tc>
        <w:tc>
          <w:tcPr>
            <w:tcW w:w="2565" w:type="pct"/>
            <w:tcBorders>
              <w:tl2br w:val="nil"/>
              <w:tr2bl w:val="nil"/>
            </w:tcBorders>
            <w:vAlign w:val="center"/>
          </w:tcPr>
          <w:p w14:paraId="68B84110">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常压</w:t>
            </w:r>
          </w:p>
        </w:tc>
      </w:tr>
      <w:tr w14:paraId="5087ED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35" w:type="pct"/>
            <w:tcBorders>
              <w:tl2br w:val="nil"/>
              <w:tr2bl w:val="nil"/>
            </w:tcBorders>
            <w:vAlign w:val="center"/>
          </w:tcPr>
          <w:p w14:paraId="2251E00A">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裂口之上液位高度（m）</w:t>
            </w:r>
          </w:p>
        </w:tc>
        <w:tc>
          <w:tcPr>
            <w:tcW w:w="2565" w:type="pct"/>
            <w:tcBorders>
              <w:tl2br w:val="nil"/>
              <w:tr2bl w:val="nil"/>
            </w:tcBorders>
            <w:vAlign w:val="center"/>
          </w:tcPr>
          <w:p w14:paraId="1B931D97">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3</w:t>
            </w:r>
          </w:p>
        </w:tc>
      </w:tr>
      <w:tr w14:paraId="308F65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35" w:type="pct"/>
            <w:tcBorders>
              <w:tl2br w:val="nil"/>
              <w:tr2bl w:val="nil"/>
            </w:tcBorders>
            <w:vAlign w:val="center"/>
          </w:tcPr>
          <w:p w14:paraId="6815976E">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液体泄漏速率（kg/s）</w:t>
            </w:r>
          </w:p>
        </w:tc>
        <w:tc>
          <w:tcPr>
            <w:tcW w:w="2565" w:type="pct"/>
            <w:tcBorders>
              <w:tl2br w:val="nil"/>
              <w:tr2bl w:val="nil"/>
            </w:tcBorders>
            <w:vAlign w:val="center"/>
          </w:tcPr>
          <w:p w14:paraId="2152E9B6">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0.450</w:t>
            </w:r>
          </w:p>
        </w:tc>
      </w:tr>
      <w:tr w14:paraId="6997FD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35" w:type="pct"/>
            <w:tcBorders>
              <w:tl2br w:val="nil"/>
              <w:tr2bl w:val="nil"/>
            </w:tcBorders>
            <w:vAlign w:val="center"/>
          </w:tcPr>
          <w:p w14:paraId="3BE80FFB">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泄漏持续时间（min）</w:t>
            </w:r>
          </w:p>
        </w:tc>
        <w:tc>
          <w:tcPr>
            <w:tcW w:w="2565" w:type="pct"/>
            <w:tcBorders>
              <w:tl2br w:val="nil"/>
              <w:tr2bl w:val="nil"/>
            </w:tcBorders>
            <w:vAlign w:val="center"/>
          </w:tcPr>
          <w:p w14:paraId="66C0826D">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20</w:t>
            </w:r>
          </w:p>
        </w:tc>
      </w:tr>
      <w:tr w14:paraId="0DB473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35" w:type="pct"/>
            <w:tcBorders>
              <w:tl2br w:val="nil"/>
              <w:tr2bl w:val="nil"/>
            </w:tcBorders>
            <w:vAlign w:val="center"/>
          </w:tcPr>
          <w:p w14:paraId="4442F9F0">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理论计算泄漏量（kg）</w:t>
            </w:r>
          </w:p>
        </w:tc>
        <w:tc>
          <w:tcPr>
            <w:tcW w:w="2565" w:type="pct"/>
            <w:tcBorders>
              <w:tl2br w:val="nil"/>
              <w:tr2bl w:val="nil"/>
            </w:tcBorders>
            <w:vAlign w:val="center"/>
          </w:tcPr>
          <w:p w14:paraId="3F4A2BD4">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539.5</w:t>
            </w:r>
          </w:p>
        </w:tc>
      </w:tr>
    </w:tbl>
    <w:p w14:paraId="0A1D5E44">
      <w:pPr>
        <w:keepNext w:val="0"/>
        <w:keepLines w:val="0"/>
        <w:pageBreakBefore w:val="0"/>
        <w:widowControl w:val="0"/>
        <w:kinsoku/>
        <w:wordWrap/>
        <w:overflowPunct/>
        <w:topLinePunct w:val="0"/>
        <w:autoSpaceDE/>
        <w:autoSpaceDN/>
        <w:bidi w:val="0"/>
        <w:adjustRightInd/>
        <w:snapToGrid/>
        <w:spacing w:line="500" w:lineRule="exact"/>
        <w:ind w:firstLine="482"/>
        <w:textAlignment w:val="auto"/>
        <w:rPr>
          <w:rFonts w:hint="default" w:ascii="Times New Roman" w:hAnsi="Times New Roman" w:eastAsia="仿宋_GB2312" w:cs="Times New Roman"/>
          <w:sz w:val="24"/>
          <w:szCs w:val="24"/>
        </w:rPr>
      </w:pPr>
      <w:r>
        <w:rPr>
          <w:rFonts w:hint="eastAsia" w:ascii="Times New Roman" w:hAnsi="Times New Roman" w:eastAsia="仿宋_GB2312" w:cs="Times New Roman"/>
          <w:sz w:val="24"/>
          <w:szCs w:val="24"/>
        </w:rPr>
        <w:t>②</w:t>
      </w:r>
      <w:r>
        <w:rPr>
          <w:rFonts w:hint="default" w:ascii="Times New Roman" w:hAnsi="Times New Roman" w:eastAsia="仿宋_GB2312" w:cs="Times New Roman"/>
          <w:sz w:val="24"/>
          <w:szCs w:val="24"/>
        </w:rPr>
        <w:t>泄漏液体蒸发量计算</w:t>
      </w:r>
    </w:p>
    <w:p w14:paraId="4CDC5487">
      <w:pPr>
        <w:keepNext w:val="0"/>
        <w:keepLines w:val="0"/>
        <w:pageBreakBefore w:val="0"/>
        <w:widowControl w:val="0"/>
        <w:kinsoku/>
        <w:wordWrap/>
        <w:overflowPunct/>
        <w:topLinePunct w:val="0"/>
        <w:autoSpaceDE/>
        <w:autoSpaceDN/>
        <w:bidi w:val="0"/>
        <w:adjustRightInd/>
        <w:snapToGrid/>
        <w:spacing w:line="500" w:lineRule="exact"/>
        <w:ind w:firstLine="482"/>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液体泄漏在围堰中形成液池，并随着表面风的对流而蒸发扩散。泄漏液体的蒸发分为闪蒸蒸发、热量蒸发和质量蒸发三种，其蒸发总量为这三种蒸发之和。泄漏氨水的蒸发主要是质量蒸发，质量蒸发速度Q3按下式计算：</w:t>
      </w:r>
    </w:p>
    <w:p w14:paraId="10B364FD">
      <w:pPr>
        <w:pStyle w:val="105"/>
      </w:pPr>
      <w:r>
        <w:drawing>
          <wp:inline distT="0" distB="0" distL="0" distR="0">
            <wp:extent cx="1979295" cy="643255"/>
            <wp:effectExtent l="0" t="0" r="1905" b="444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64"/>
                    <a:stretch>
                      <a:fillRect/>
                    </a:stretch>
                  </pic:blipFill>
                  <pic:spPr>
                    <a:xfrm>
                      <a:off x="0" y="0"/>
                      <a:ext cx="1990581" cy="647391"/>
                    </a:xfrm>
                    <a:prstGeom prst="rect">
                      <a:avLst/>
                    </a:prstGeom>
                  </pic:spPr>
                </pic:pic>
              </a:graphicData>
            </a:graphic>
          </wp:inline>
        </w:drawing>
      </w:r>
    </w:p>
    <w:p w14:paraId="2B03C1B6">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式中：Q</w:t>
      </w:r>
      <w:r>
        <w:rPr>
          <w:rFonts w:hint="default" w:ascii="Times New Roman" w:hAnsi="Times New Roman" w:eastAsia="仿宋_GB2312" w:cs="Times New Roman"/>
          <w:sz w:val="24"/>
          <w:szCs w:val="24"/>
          <w:vertAlign w:val="subscript"/>
        </w:rPr>
        <w:t>3</w:t>
      </w:r>
      <w:r>
        <w:rPr>
          <w:rFonts w:hint="default" w:ascii="Times New Roman" w:hAnsi="Times New Roman" w:eastAsia="仿宋_GB2312" w:cs="Times New Roman"/>
          <w:sz w:val="24"/>
          <w:szCs w:val="24"/>
        </w:rPr>
        <w:t>—质量蒸发速度，kg/s；</w:t>
      </w:r>
    </w:p>
    <w:p w14:paraId="3371506F">
      <w:pPr>
        <w:keepNext w:val="0"/>
        <w:keepLines w:val="0"/>
        <w:pageBreakBefore w:val="0"/>
        <w:widowControl w:val="0"/>
        <w:kinsoku/>
        <w:wordWrap/>
        <w:overflowPunct/>
        <w:topLinePunct w:val="0"/>
        <w:autoSpaceDE/>
        <w:autoSpaceDN/>
        <w:bidi w:val="0"/>
        <w:adjustRightInd/>
        <w:snapToGrid/>
        <w:spacing w:line="500" w:lineRule="exact"/>
        <w:ind w:firstLine="480"/>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rPr>
        <w:t>p—液体表面蒸气压，为</w:t>
      </w:r>
      <w:r>
        <w:rPr>
          <w:rFonts w:hint="eastAsia" w:ascii="Times New Roman" w:hAnsi="Times New Roman" w:eastAsia="仿宋_GB2312" w:cs="Times New Roman"/>
          <w:sz w:val="24"/>
          <w:szCs w:val="24"/>
          <w:lang w:val="en-US" w:eastAsia="zh-CN"/>
        </w:rPr>
        <w:t>3016</w:t>
      </w:r>
      <w:r>
        <w:rPr>
          <w:rFonts w:hint="default" w:ascii="Times New Roman" w:hAnsi="Times New Roman" w:eastAsia="仿宋_GB2312" w:cs="Times New Roman"/>
          <w:sz w:val="24"/>
          <w:szCs w:val="24"/>
        </w:rPr>
        <w:t>Pa；</w:t>
      </w:r>
      <w:r>
        <w:rPr>
          <w:rFonts w:hint="eastAsia" w:ascii="Times New Roman" w:hAnsi="Times New Roman" w:eastAsia="仿宋_GB2312" w:cs="Times New Roman"/>
          <w:sz w:val="24"/>
          <w:szCs w:val="24"/>
          <w:lang w:val="en-US" w:eastAsia="zh-CN"/>
        </w:rPr>
        <w:t>根据《化学化工物性数据手册 无机卷》，25℃盐酸（30%）蒸气压为3.016k</w:t>
      </w:r>
      <w:r>
        <w:rPr>
          <w:rFonts w:hint="default" w:ascii="Times New Roman" w:hAnsi="Times New Roman" w:eastAsia="仿宋_GB2312" w:cs="Times New Roman"/>
          <w:sz w:val="24"/>
          <w:szCs w:val="24"/>
        </w:rPr>
        <w:t>P</w:t>
      </w:r>
      <w:r>
        <w:rPr>
          <w:rFonts w:hint="eastAsia" w:ascii="Times New Roman" w:hAnsi="Times New Roman" w:eastAsia="仿宋_GB2312" w:cs="Times New Roman"/>
          <w:sz w:val="24"/>
          <w:szCs w:val="24"/>
          <w:lang w:val="en-US" w:eastAsia="zh-CN"/>
        </w:rPr>
        <w:t>a。</w:t>
      </w:r>
    </w:p>
    <w:p w14:paraId="76ACC3BC">
      <w:pPr>
        <w:keepNext w:val="0"/>
        <w:keepLines w:val="0"/>
        <w:pageBreakBefore w:val="0"/>
        <w:widowControl w:val="0"/>
        <w:kinsoku/>
        <w:wordWrap/>
        <w:overflowPunct/>
        <w:topLinePunct w:val="0"/>
        <w:autoSpaceDE/>
        <w:autoSpaceDN/>
        <w:bidi w:val="0"/>
        <w:adjustRightInd/>
        <w:snapToGrid/>
        <w:spacing w:line="500" w:lineRule="exact"/>
        <w:ind w:firstLine="48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R—气体常数，为8.314J/（mol•k）；</w:t>
      </w:r>
    </w:p>
    <w:p w14:paraId="3695629A">
      <w:pPr>
        <w:keepNext w:val="0"/>
        <w:keepLines w:val="0"/>
        <w:pageBreakBefore w:val="0"/>
        <w:widowControl w:val="0"/>
        <w:kinsoku/>
        <w:wordWrap/>
        <w:overflowPunct/>
        <w:topLinePunct w:val="0"/>
        <w:autoSpaceDE/>
        <w:autoSpaceDN/>
        <w:bidi w:val="0"/>
        <w:adjustRightInd/>
        <w:snapToGrid/>
        <w:spacing w:line="500" w:lineRule="exact"/>
        <w:ind w:firstLine="48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T</w:t>
      </w:r>
      <w:r>
        <w:rPr>
          <w:rFonts w:hint="default" w:ascii="Times New Roman" w:hAnsi="Times New Roman" w:eastAsia="仿宋_GB2312" w:cs="Times New Roman"/>
          <w:sz w:val="24"/>
          <w:szCs w:val="24"/>
          <w:vertAlign w:val="subscript"/>
        </w:rPr>
        <w:t>0</w:t>
      </w:r>
      <w:r>
        <w:rPr>
          <w:rFonts w:hint="default" w:ascii="Times New Roman" w:hAnsi="Times New Roman" w:eastAsia="仿宋_GB2312" w:cs="Times New Roman"/>
          <w:sz w:val="24"/>
          <w:szCs w:val="24"/>
        </w:rPr>
        <w:t>—环境温度，k；</w:t>
      </w:r>
      <w:r>
        <w:rPr>
          <w:rFonts w:hint="eastAsia" w:ascii="Times New Roman" w:hAnsi="Times New Roman" w:eastAsia="仿宋_GB2312" w:cs="Times New Roman"/>
          <w:sz w:val="24"/>
          <w:szCs w:val="24"/>
          <w:lang w:val="en-US" w:eastAsia="zh-CN"/>
        </w:rPr>
        <w:t>金坛区</w:t>
      </w:r>
      <w:r>
        <w:rPr>
          <w:rFonts w:hint="default" w:ascii="Times New Roman" w:hAnsi="Times New Roman" w:eastAsia="仿宋_GB2312" w:cs="Times New Roman"/>
          <w:sz w:val="24"/>
          <w:szCs w:val="24"/>
        </w:rPr>
        <w:t>平均温度为1</w:t>
      </w:r>
      <w:r>
        <w:rPr>
          <w:rFonts w:hint="eastAsia" w:ascii="Times New Roman" w:hAnsi="Times New Roman" w:eastAsia="仿宋_GB2312" w:cs="Times New Roman"/>
          <w:sz w:val="24"/>
          <w:szCs w:val="24"/>
          <w:lang w:val="en-US" w:eastAsia="zh-CN"/>
        </w:rPr>
        <w:t>5.7</w:t>
      </w:r>
      <w:r>
        <w:rPr>
          <w:rFonts w:hint="default" w:ascii="Times New Roman" w:hAnsi="Times New Roman" w:eastAsia="仿宋_GB2312" w:cs="Times New Roman"/>
          <w:sz w:val="24"/>
          <w:szCs w:val="24"/>
        </w:rPr>
        <w:t>℃，本项目取值28</w:t>
      </w:r>
      <w:r>
        <w:rPr>
          <w:rFonts w:hint="eastAsia" w:ascii="Times New Roman" w:hAnsi="Times New Roman" w:eastAsia="仿宋_GB2312" w:cs="Times New Roman"/>
          <w:sz w:val="24"/>
          <w:szCs w:val="24"/>
          <w:lang w:val="en-US" w:eastAsia="zh-CN"/>
        </w:rPr>
        <w:t>8</w:t>
      </w:r>
      <w:r>
        <w:rPr>
          <w:rFonts w:hint="default" w:ascii="Times New Roman" w:hAnsi="Times New Roman" w:eastAsia="仿宋_GB2312" w:cs="Times New Roman"/>
          <w:sz w:val="24"/>
          <w:szCs w:val="24"/>
        </w:rPr>
        <w:t>.</w:t>
      </w:r>
      <w:r>
        <w:rPr>
          <w:rFonts w:hint="eastAsia" w:ascii="Times New Roman" w:hAnsi="Times New Roman" w:eastAsia="仿宋_GB2312" w:cs="Times New Roman"/>
          <w:sz w:val="24"/>
          <w:szCs w:val="24"/>
          <w:lang w:val="en-US" w:eastAsia="zh-CN"/>
        </w:rPr>
        <w:t>85</w:t>
      </w:r>
      <w:r>
        <w:rPr>
          <w:rFonts w:hint="default" w:ascii="Times New Roman" w:hAnsi="Times New Roman" w:eastAsia="仿宋_GB2312" w:cs="Times New Roman"/>
          <w:sz w:val="24"/>
          <w:szCs w:val="24"/>
        </w:rPr>
        <w:t>K；</w:t>
      </w:r>
    </w:p>
    <w:p w14:paraId="40BEA126">
      <w:pPr>
        <w:keepNext w:val="0"/>
        <w:keepLines w:val="0"/>
        <w:pageBreakBefore w:val="0"/>
        <w:widowControl w:val="0"/>
        <w:kinsoku/>
        <w:wordWrap/>
        <w:overflowPunct/>
        <w:topLinePunct w:val="0"/>
        <w:autoSpaceDE/>
        <w:autoSpaceDN/>
        <w:bidi w:val="0"/>
        <w:adjustRightInd/>
        <w:snapToGrid/>
        <w:spacing w:line="500" w:lineRule="exact"/>
        <w:ind w:firstLine="48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M—物质的摩尔质量，0.03646kg/mol；</w:t>
      </w:r>
    </w:p>
    <w:p w14:paraId="5A0FFF9D">
      <w:pPr>
        <w:keepNext w:val="0"/>
        <w:keepLines w:val="0"/>
        <w:pageBreakBefore w:val="0"/>
        <w:widowControl w:val="0"/>
        <w:kinsoku/>
        <w:wordWrap/>
        <w:overflowPunct/>
        <w:topLinePunct w:val="0"/>
        <w:autoSpaceDE/>
        <w:autoSpaceDN/>
        <w:bidi w:val="0"/>
        <w:adjustRightInd/>
        <w:snapToGrid/>
        <w:spacing w:line="500" w:lineRule="exact"/>
        <w:ind w:firstLine="48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u—风速，m/s；</w:t>
      </w:r>
      <w:r>
        <w:rPr>
          <w:rFonts w:hint="eastAsia" w:ascii="Times New Roman" w:hAnsi="Times New Roman" w:eastAsia="仿宋_GB2312" w:cs="Times New Roman"/>
          <w:sz w:val="24"/>
          <w:szCs w:val="24"/>
          <w:lang w:val="en-US" w:eastAsia="zh-CN"/>
        </w:rPr>
        <w:t>金坛区</w:t>
      </w:r>
      <w:r>
        <w:rPr>
          <w:rFonts w:hint="default" w:ascii="Times New Roman" w:hAnsi="Times New Roman" w:eastAsia="仿宋_GB2312" w:cs="Times New Roman"/>
          <w:sz w:val="24"/>
          <w:szCs w:val="24"/>
        </w:rPr>
        <w:t>平均风速为2.</w:t>
      </w:r>
      <w:r>
        <w:rPr>
          <w:rFonts w:hint="eastAsia" w:ascii="Times New Roman" w:hAnsi="Times New Roman" w:eastAsia="仿宋_GB2312" w:cs="Times New Roman"/>
          <w:sz w:val="24"/>
          <w:szCs w:val="24"/>
          <w:lang w:val="en-US" w:eastAsia="zh-CN"/>
        </w:rPr>
        <w:t>2</w:t>
      </w:r>
      <w:r>
        <w:rPr>
          <w:rFonts w:hint="default" w:ascii="Times New Roman" w:hAnsi="Times New Roman" w:eastAsia="仿宋_GB2312" w:cs="Times New Roman"/>
          <w:sz w:val="24"/>
          <w:szCs w:val="24"/>
        </w:rPr>
        <w:t>m/s；</w:t>
      </w:r>
    </w:p>
    <w:p w14:paraId="25D8E098">
      <w:pPr>
        <w:keepNext w:val="0"/>
        <w:keepLines w:val="0"/>
        <w:pageBreakBefore w:val="0"/>
        <w:widowControl w:val="0"/>
        <w:kinsoku/>
        <w:wordWrap/>
        <w:overflowPunct/>
        <w:topLinePunct w:val="0"/>
        <w:autoSpaceDE/>
        <w:autoSpaceDN/>
        <w:bidi w:val="0"/>
        <w:adjustRightInd/>
        <w:snapToGrid/>
        <w:spacing w:line="500" w:lineRule="exact"/>
        <w:ind w:firstLine="48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r—液池半径，m，取3m。</w:t>
      </w:r>
    </w:p>
    <w:p w14:paraId="244017C6">
      <w:pPr>
        <w:keepNext w:val="0"/>
        <w:keepLines w:val="0"/>
        <w:pageBreakBefore w:val="0"/>
        <w:widowControl w:val="0"/>
        <w:kinsoku/>
        <w:wordWrap/>
        <w:overflowPunct/>
        <w:topLinePunct w:val="0"/>
        <w:autoSpaceDE/>
        <w:autoSpaceDN/>
        <w:bidi w:val="0"/>
        <w:adjustRightInd/>
        <w:snapToGrid/>
        <w:spacing w:line="500" w:lineRule="exact"/>
        <w:ind w:firstLine="48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α，n—大气稳定度系数，项目所在地大气稳定度为中性（D），根据导则中表F.3要求α取4.685×10</w:t>
      </w:r>
      <w:r>
        <w:rPr>
          <w:rFonts w:hint="default" w:ascii="Times New Roman" w:hAnsi="Times New Roman" w:eastAsia="仿宋_GB2312" w:cs="Times New Roman"/>
          <w:sz w:val="24"/>
          <w:szCs w:val="24"/>
          <w:vertAlign w:val="superscript"/>
        </w:rPr>
        <w:t>-3</w:t>
      </w:r>
      <w:r>
        <w:rPr>
          <w:rFonts w:hint="default" w:ascii="Times New Roman" w:hAnsi="Times New Roman" w:eastAsia="仿宋_GB2312" w:cs="Times New Roman"/>
          <w:sz w:val="24"/>
          <w:szCs w:val="24"/>
        </w:rPr>
        <w:t>，n取0.25。</w:t>
      </w:r>
    </w:p>
    <w:p w14:paraId="6AF683E9">
      <w:pPr>
        <w:pageBreakBefore w:val="0"/>
        <w:kinsoku/>
        <w:wordWrap/>
        <w:bidi w:val="0"/>
        <w:adjustRightInd w:val="0"/>
        <w:snapToGrid w:val="0"/>
        <w:spacing w:beforeAutospacing="0" w:afterAutospacing="0" w:line="500" w:lineRule="exact"/>
        <w:ind w:left="0" w:leftChars="0" w:right="0"/>
        <w:jc w:val="center"/>
        <w:rPr>
          <w:rFonts w:hint="default" w:ascii="Times New Roman" w:hAnsi="Times New Roman" w:eastAsia="仿宋_GB2312" w:cs="Times New Roman"/>
          <w:b/>
          <w:color w:val="auto"/>
          <w:spacing w:val="0"/>
          <w:kern w:val="0"/>
          <w:position w:val="0"/>
          <w:szCs w:val="28"/>
        </w:rPr>
      </w:pPr>
      <w:r>
        <w:rPr>
          <w:rFonts w:hint="default" w:ascii="Times New Roman" w:hAnsi="Times New Roman" w:eastAsia="仿宋_GB2312" w:cs="Times New Roman"/>
          <w:b/>
          <w:color w:val="auto"/>
          <w:spacing w:val="0"/>
          <w:kern w:val="0"/>
          <w:position w:val="0"/>
          <w:szCs w:val="28"/>
        </w:rPr>
        <w:t>表</w:t>
      </w:r>
      <w:r>
        <w:rPr>
          <w:rFonts w:hint="eastAsia" w:ascii="Times New Roman" w:hAnsi="Times New Roman" w:eastAsia="仿宋_GB2312" w:cs="Times New Roman"/>
          <w:b/>
          <w:color w:val="auto"/>
          <w:spacing w:val="0"/>
          <w:kern w:val="0"/>
          <w:position w:val="0"/>
          <w:szCs w:val="28"/>
          <w:lang w:val="en-US" w:eastAsia="zh-CN"/>
        </w:rPr>
        <w:t>3</w:t>
      </w:r>
      <w:r>
        <w:rPr>
          <w:rFonts w:hint="default" w:ascii="Times New Roman" w:hAnsi="Times New Roman" w:eastAsia="仿宋_GB2312" w:cs="Times New Roman"/>
          <w:b/>
          <w:color w:val="auto"/>
          <w:spacing w:val="0"/>
          <w:kern w:val="0"/>
          <w:position w:val="0"/>
          <w:szCs w:val="28"/>
        </w:rPr>
        <w:t>.</w:t>
      </w:r>
      <w:r>
        <w:rPr>
          <w:rFonts w:hint="eastAsia" w:ascii="Times New Roman" w:hAnsi="Times New Roman" w:eastAsia="仿宋_GB2312" w:cs="Times New Roman"/>
          <w:b/>
          <w:color w:val="auto"/>
          <w:spacing w:val="0"/>
          <w:kern w:val="0"/>
          <w:position w:val="0"/>
          <w:szCs w:val="28"/>
          <w:lang w:val="en-US" w:eastAsia="zh-CN"/>
        </w:rPr>
        <w:t>3</w:t>
      </w:r>
      <w:r>
        <w:rPr>
          <w:rFonts w:hint="default" w:ascii="Times New Roman" w:hAnsi="Times New Roman" w:eastAsia="仿宋_GB2312" w:cs="Times New Roman"/>
          <w:b/>
          <w:color w:val="auto"/>
          <w:spacing w:val="0"/>
          <w:kern w:val="0"/>
          <w:position w:val="0"/>
          <w:szCs w:val="28"/>
        </w:rPr>
        <w:t>-</w:t>
      </w:r>
      <w:r>
        <w:rPr>
          <w:rFonts w:hint="eastAsia" w:ascii="Times New Roman" w:hAnsi="Times New Roman" w:eastAsia="仿宋_GB2312" w:cs="Times New Roman"/>
          <w:b/>
          <w:color w:val="auto"/>
          <w:spacing w:val="0"/>
          <w:kern w:val="0"/>
          <w:position w:val="0"/>
          <w:szCs w:val="28"/>
          <w:lang w:val="en-US" w:eastAsia="zh-CN"/>
        </w:rPr>
        <w:t xml:space="preserve">2 </w:t>
      </w:r>
      <w:r>
        <w:rPr>
          <w:rFonts w:hint="default" w:ascii="Times New Roman" w:hAnsi="Times New Roman" w:eastAsia="仿宋_GB2312" w:cs="Times New Roman"/>
          <w:b/>
          <w:color w:val="auto"/>
          <w:spacing w:val="0"/>
          <w:kern w:val="0"/>
          <w:position w:val="0"/>
          <w:szCs w:val="28"/>
        </w:rPr>
        <w:t xml:space="preserve"> 本项目</w:t>
      </w:r>
      <w:r>
        <w:rPr>
          <w:rFonts w:hint="eastAsia" w:ascii="Times New Roman" w:hAnsi="Times New Roman" w:eastAsia="仿宋_GB2312" w:cs="Times New Roman"/>
          <w:b/>
          <w:color w:val="auto"/>
          <w:spacing w:val="0"/>
          <w:kern w:val="0"/>
          <w:position w:val="0"/>
          <w:szCs w:val="28"/>
          <w:lang w:val="en-US" w:eastAsia="zh-CN"/>
        </w:rPr>
        <w:t>盐酸</w:t>
      </w:r>
      <w:r>
        <w:rPr>
          <w:rFonts w:hint="default" w:ascii="Times New Roman" w:hAnsi="Times New Roman" w:eastAsia="仿宋_GB2312" w:cs="Times New Roman"/>
          <w:b/>
          <w:color w:val="auto"/>
          <w:spacing w:val="0"/>
          <w:kern w:val="0"/>
          <w:position w:val="0"/>
          <w:szCs w:val="28"/>
        </w:rPr>
        <w:t>质量蒸发估算一览表</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327"/>
        <w:gridCol w:w="5961"/>
      </w:tblGrid>
      <w:tr w14:paraId="186FB3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791" w:type="pct"/>
            <w:tcBorders>
              <w:tl2br w:val="nil"/>
              <w:tr2bl w:val="nil"/>
            </w:tcBorders>
            <w:vAlign w:val="center"/>
          </w:tcPr>
          <w:p w14:paraId="59DEDC00">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b/>
                <w:bCs/>
                <w:color w:val="auto"/>
                <w:spacing w:val="0"/>
                <w:kern w:val="0"/>
                <w:position w:val="0"/>
                <w:sz w:val="21"/>
                <w:szCs w:val="21"/>
              </w:rPr>
            </w:pPr>
            <w:r>
              <w:rPr>
                <w:rFonts w:hint="default" w:ascii="Times New Roman" w:hAnsi="Times New Roman" w:eastAsia="仿宋_GB2312" w:cs="Times New Roman"/>
                <w:b/>
                <w:bCs/>
                <w:color w:val="auto"/>
                <w:spacing w:val="0"/>
                <w:kern w:val="0"/>
                <w:position w:val="0"/>
                <w:sz w:val="21"/>
                <w:szCs w:val="21"/>
              </w:rPr>
              <w:t>类别</w:t>
            </w:r>
          </w:p>
        </w:tc>
        <w:tc>
          <w:tcPr>
            <w:tcW w:w="3209" w:type="pct"/>
            <w:tcBorders>
              <w:tl2br w:val="nil"/>
              <w:tr2bl w:val="nil"/>
            </w:tcBorders>
            <w:vAlign w:val="center"/>
          </w:tcPr>
          <w:p w14:paraId="226679D4">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b/>
                <w:bCs/>
                <w:color w:val="auto"/>
                <w:spacing w:val="0"/>
                <w:kern w:val="0"/>
                <w:position w:val="0"/>
                <w:sz w:val="21"/>
                <w:szCs w:val="21"/>
              </w:rPr>
            </w:pPr>
            <w:r>
              <w:rPr>
                <w:rFonts w:hint="eastAsia" w:ascii="Times New Roman" w:hAnsi="Times New Roman" w:eastAsia="仿宋_GB2312" w:cs="Times New Roman"/>
                <w:b/>
                <w:bCs/>
                <w:color w:val="auto"/>
                <w:spacing w:val="0"/>
                <w:kern w:val="0"/>
                <w:position w:val="0"/>
                <w:sz w:val="21"/>
                <w:szCs w:val="21"/>
                <w:lang w:val="en-US" w:eastAsia="zh-CN"/>
              </w:rPr>
              <w:t>30%盐酸</w:t>
            </w:r>
            <w:r>
              <w:rPr>
                <w:rFonts w:hint="default" w:ascii="Times New Roman" w:hAnsi="Times New Roman" w:eastAsia="仿宋_GB2312" w:cs="Times New Roman"/>
                <w:b/>
                <w:bCs/>
                <w:color w:val="auto"/>
                <w:spacing w:val="0"/>
                <w:kern w:val="0"/>
                <w:position w:val="0"/>
                <w:sz w:val="21"/>
                <w:szCs w:val="21"/>
              </w:rPr>
              <w:t>储罐</w:t>
            </w:r>
          </w:p>
        </w:tc>
      </w:tr>
      <w:tr w14:paraId="3D61D6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1" w:type="pct"/>
            <w:tcBorders>
              <w:tl2br w:val="nil"/>
              <w:tr2bl w:val="nil"/>
            </w:tcBorders>
            <w:vAlign w:val="center"/>
          </w:tcPr>
          <w:p w14:paraId="5C895576">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液体表面蒸气压（Pa）</w:t>
            </w:r>
          </w:p>
        </w:tc>
        <w:tc>
          <w:tcPr>
            <w:tcW w:w="5324" w:type="dxa"/>
            <w:tcBorders>
              <w:tl2br w:val="nil"/>
              <w:tr2bl w:val="nil"/>
            </w:tcBorders>
            <w:vAlign w:val="center"/>
          </w:tcPr>
          <w:p w14:paraId="79586465">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3016</w:t>
            </w:r>
          </w:p>
        </w:tc>
      </w:tr>
      <w:tr w14:paraId="7839D0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1" w:type="pct"/>
            <w:tcBorders>
              <w:tl2br w:val="nil"/>
              <w:tr2bl w:val="nil"/>
            </w:tcBorders>
            <w:vAlign w:val="center"/>
          </w:tcPr>
          <w:p w14:paraId="55F86B05">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气体常数（J/mol•k）</w:t>
            </w:r>
          </w:p>
        </w:tc>
        <w:tc>
          <w:tcPr>
            <w:tcW w:w="5324" w:type="dxa"/>
            <w:tcBorders>
              <w:tl2br w:val="nil"/>
              <w:tr2bl w:val="nil"/>
            </w:tcBorders>
            <w:vAlign w:val="center"/>
          </w:tcPr>
          <w:p w14:paraId="5733852D">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8.314</w:t>
            </w:r>
          </w:p>
        </w:tc>
      </w:tr>
      <w:tr w14:paraId="3C9294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1" w:type="pct"/>
            <w:tcBorders>
              <w:tl2br w:val="nil"/>
              <w:tr2bl w:val="nil"/>
            </w:tcBorders>
            <w:vAlign w:val="center"/>
          </w:tcPr>
          <w:p w14:paraId="3FA72A3C">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环境温度（K）</w:t>
            </w:r>
          </w:p>
        </w:tc>
        <w:tc>
          <w:tcPr>
            <w:tcW w:w="5324" w:type="dxa"/>
            <w:tcBorders>
              <w:tl2br w:val="nil"/>
              <w:tr2bl w:val="nil"/>
            </w:tcBorders>
            <w:vAlign w:val="center"/>
          </w:tcPr>
          <w:p w14:paraId="052147C1">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lang w:val="en-US" w:eastAsia="zh-CN"/>
              </w:rPr>
            </w:pPr>
            <w:r>
              <w:rPr>
                <w:rFonts w:hint="default" w:ascii="Times New Roman" w:hAnsi="Times New Roman" w:eastAsia="仿宋_GB2312" w:cs="Times New Roman"/>
                <w:color w:val="auto"/>
                <w:spacing w:val="0"/>
                <w:kern w:val="0"/>
                <w:position w:val="0"/>
                <w:sz w:val="21"/>
                <w:szCs w:val="21"/>
              </w:rPr>
              <w:t>28</w:t>
            </w:r>
            <w:r>
              <w:rPr>
                <w:rFonts w:hint="eastAsia" w:ascii="Times New Roman" w:hAnsi="Times New Roman" w:eastAsia="仿宋_GB2312" w:cs="Times New Roman"/>
                <w:color w:val="auto"/>
                <w:spacing w:val="0"/>
                <w:kern w:val="0"/>
                <w:position w:val="0"/>
                <w:sz w:val="21"/>
                <w:szCs w:val="21"/>
                <w:lang w:val="en-US" w:eastAsia="zh-CN"/>
              </w:rPr>
              <w:t>8</w:t>
            </w:r>
            <w:r>
              <w:rPr>
                <w:rFonts w:hint="default" w:ascii="Times New Roman" w:hAnsi="Times New Roman" w:eastAsia="仿宋_GB2312" w:cs="Times New Roman"/>
                <w:color w:val="auto"/>
                <w:spacing w:val="0"/>
                <w:kern w:val="0"/>
                <w:position w:val="0"/>
                <w:sz w:val="21"/>
                <w:szCs w:val="21"/>
              </w:rPr>
              <w:t>.</w:t>
            </w:r>
            <w:r>
              <w:rPr>
                <w:rFonts w:hint="eastAsia" w:ascii="Times New Roman" w:hAnsi="Times New Roman" w:eastAsia="仿宋_GB2312" w:cs="Times New Roman"/>
                <w:color w:val="auto"/>
                <w:spacing w:val="0"/>
                <w:kern w:val="0"/>
                <w:position w:val="0"/>
                <w:sz w:val="21"/>
                <w:szCs w:val="21"/>
                <w:lang w:val="en-US" w:eastAsia="zh-CN"/>
              </w:rPr>
              <w:t>85</w:t>
            </w:r>
          </w:p>
        </w:tc>
      </w:tr>
      <w:tr w14:paraId="3BE126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1" w:type="pct"/>
            <w:tcBorders>
              <w:tl2br w:val="nil"/>
              <w:tr2bl w:val="nil"/>
            </w:tcBorders>
            <w:vAlign w:val="center"/>
          </w:tcPr>
          <w:p w14:paraId="1E36375C">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物质的摩尔质量（kg/mol）</w:t>
            </w:r>
          </w:p>
        </w:tc>
        <w:tc>
          <w:tcPr>
            <w:tcW w:w="5324" w:type="dxa"/>
            <w:tcBorders>
              <w:tl2br w:val="nil"/>
              <w:tr2bl w:val="nil"/>
            </w:tcBorders>
            <w:vAlign w:val="center"/>
          </w:tcPr>
          <w:p w14:paraId="4165079F">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lang w:val="en-US" w:eastAsia="zh-CN"/>
              </w:rPr>
              <w:t>0.03646</w:t>
            </w:r>
          </w:p>
        </w:tc>
      </w:tr>
      <w:tr w14:paraId="304D9D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1" w:type="pct"/>
            <w:tcBorders>
              <w:tl2br w:val="nil"/>
              <w:tr2bl w:val="nil"/>
            </w:tcBorders>
            <w:vAlign w:val="center"/>
          </w:tcPr>
          <w:p w14:paraId="41AA0EF9">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风速（m/s）</w:t>
            </w:r>
          </w:p>
        </w:tc>
        <w:tc>
          <w:tcPr>
            <w:tcW w:w="5324" w:type="dxa"/>
            <w:tcBorders>
              <w:tl2br w:val="nil"/>
              <w:tr2bl w:val="nil"/>
            </w:tcBorders>
            <w:vAlign w:val="center"/>
          </w:tcPr>
          <w:p w14:paraId="71011319">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eastAsia="zh-CN"/>
              </w:rPr>
            </w:pPr>
            <w:r>
              <w:rPr>
                <w:rFonts w:hint="default" w:ascii="Times New Roman" w:hAnsi="Times New Roman" w:eastAsia="仿宋_GB2312" w:cs="Times New Roman"/>
                <w:color w:val="auto"/>
                <w:spacing w:val="0"/>
                <w:kern w:val="0"/>
                <w:position w:val="0"/>
                <w:sz w:val="21"/>
                <w:szCs w:val="21"/>
              </w:rPr>
              <w:t>2.</w:t>
            </w:r>
            <w:r>
              <w:rPr>
                <w:rFonts w:hint="eastAsia" w:ascii="Times New Roman" w:hAnsi="Times New Roman" w:eastAsia="仿宋_GB2312" w:cs="Times New Roman"/>
                <w:color w:val="auto"/>
                <w:spacing w:val="0"/>
                <w:kern w:val="0"/>
                <w:position w:val="0"/>
                <w:sz w:val="21"/>
                <w:szCs w:val="21"/>
                <w:lang w:val="en-US" w:eastAsia="zh-CN"/>
              </w:rPr>
              <w:t>2</w:t>
            </w:r>
          </w:p>
        </w:tc>
      </w:tr>
      <w:tr w14:paraId="5D26DE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1791" w:type="pct"/>
            <w:tcBorders>
              <w:tl2br w:val="nil"/>
              <w:tr2bl w:val="nil"/>
            </w:tcBorders>
            <w:vAlign w:val="center"/>
          </w:tcPr>
          <w:p w14:paraId="7DA3A558">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液池半径（m）</w:t>
            </w:r>
          </w:p>
        </w:tc>
        <w:tc>
          <w:tcPr>
            <w:tcW w:w="5324" w:type="dxa"/>
            <w:tcBorders>
              <w:tl2br w:val="nil"/>
              <w:tr2bl w:val="nil"/>
            </w:tcBorders>
            <w:vAlign w:val="center"/>
          </w:tcPr>
          <w:p w14:paraId="565579B1">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3</w:t>
            </w:r>
          </w:p>
        </w:tc>
      </w:tr>
      <w:tr w14:paraId="7BFFA5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1" w:type="pct"/>
            <w:tcBorders>
              <w:tl2br w:val="nil"/>
              <w:tr2bl w:val="nil"/>
            </w:tcBorders>
            <w:vAlign w:val="center"/>
          </w:tcPr>
          <w:p w14:paraId="5B9888EE">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大气稳定度系数α</w:t>
            </w:r>
          </w:p>
        </w:tc>
        <w:tc>
          <w:tcPr>
            <w:tcW w:w="5324" w:type="dxa"/>
            <w:tcBorders>
              <w:tl2br w:val="nil"/>
              <w:tr2bl w:val="nil"/>
            </w:tcBorders>
            <w:vAlign w:val="center"/>
          </w:tcPr>
          <w:p w14:paraId="4770793F">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4.685×10-3</w:t>
            </w:r>
          </w:p>
        </w:tc>
      </w:tr>
      <w:tr w14:paraId="4F0D66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1" w:type="pct"/>
            <w:tcBorders>
              <w:tl2br w:val="nil"/>
              <w:tr2bl w:val="nil"/>
            </w:tcBorders>
            <w:vAlign w:val="center"/>
          </w:tcPr>
          <w:p w14:paraId="3EB3DB54">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大气稳定度系数n</w:t>
            </w:r>
          </w:p>
        </w:tc>
        <w:tc>
          <w:tcPr>
            <w:tcW w:w="5324" w:type="dxa"/>
            <w:tcBorders>
              <w:tl2br w:val="nil"/>
              <w:tr2bl w:val="nil"/>
            </w:tcBorders>
            <w:vAlign w:val="center"/>
          </w:tcPr>
          <w:p w14:paraId="12BA5D9F">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0.25</w:t>
            </w:r>
          </w:p>
        </w:tc>
      </w:tr>
      <w:tr w14:paraId="69650E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1" w:type="pct"/>
            <w:tcBorders>
              <w:tl2br w:val="nil"/>
              <w:tr2bl w:val="nil"/>
            </w:tcBorders>
            <w:vAlign w:val="center"/>
          </w:tcPr>
          <w:p w14:paraId="4871119A">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质量蒸发速度（kg/s）</w:t>
            </w:r>
          </w:p>
        </w:tc>
        <w:tc>
          <w:tcPr>
            <w:tcW w:w="5324" w:type="dxa"/>
            <w:tcBorders>
              <w:tl2br w:val="nil"/>
              <w:tr2bl w:val="nil"/>
            </w:tcBorders>
            <w:vAlign w:val="center"/>
          </w:tcPr>
          <w:p w14:paraId="59259E28">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0.003</w:t>
            </w:r>
          </w:p>
        </w:tc>
      </w:tr>
      <w:tr w14:paraId="7C725D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1" w:type="pct"/>
            <w:tcBorders>
              <w:tl2br w:val="nil"/>
              <w:tr2bl w:val="nil"/>
            </w:tcBorders>
            <w:vAlign w:val="center"/>
          </w:tcPr>
          <w:p w14:paraId="7265C95A">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持续时间（min）</w:t>
            </w:r>
          </w:p>
        </w:tc>
        <w:tc>
          <w:tcPr>
            <w:tcW w:w="3209" w:type="pct"/>
            <w:tcBorders>
              <w:tl2br w:val="nil"/>
              <w:tr2bl w:val="nil"/>
            </w:tcBorders>
            <w:vAlign w:val="center"/>
          </w:tcPr>
          <w:p w14:paraId="644960B7">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20</w:t>
            </w:r>
          </w:p>
        </w:tc>
      </w:tr>
      <w:tr w14:paraId="19ED2F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791" w:type="pct"/>
            <w:tcBorders>
              <w:tl2br w:val="nil"/>
              <w:tr2bl w:val="nil"/>
            </w:tcBorders>
            <w:vAlign w:val="center"/>
          </w:tcPr>
          <w:p w14:paraId="781C4CE3">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理论计算蒸发量（kg）</w:t>
            </w:r>
          </w:p>
        </w:tc>
        <w:tc>
          <w:tcPr>
            <w:tcW w:w="3209" w:type="pct"/>
            <w:tcBorders>
              <w:tl2br w:val="nil"/>
              <w:tr2bl w:val="nil"/>
            </w:tcBorders>
            <w:vAlign w:val="center"/>
          </w:tcPr>
          <w:p w14:paraId="276F68D0">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3.79</w:t>
            </w:r>
          </w:p>
        </w:tc>
      </w:tr>
    </w:tbl>
    <w:p w14:paraId="4BC8152B">
      <w:pPr>
        <w:pStyle w:val="2"/>
        <w:keepNext/>
        <w:keepLines w:val="0"/>
        <w:pageBreakBefore w:val="0"/>
        <w:widowControl w:val="0"/>
        <w:kinsoku/>
        <w:wordWrap/>
        <w:overflowPunct w:val="0"/>
        <w:topLinePunct w:val="0"/>
        <w:autoSpaceDE/>
        <w:autoSpaceDN/>
        <w:bidi w:val="0"/>
        <w:adjustRightInd/>
        <w:snapToGrid w:val="0"/>
        <w:spacing w:before="0" w:after="0" w:line="500" w:lineRule="exact"/>
        <w:ind w:left="0" w:right="0" w:firstLine="0" w:firstLineChars="0"/>
        <w:jc w:val="both"/>
        <w:textAlignment w:val="auto"/>
        <w:outlineLvl w:val="2"/>
        <w:rPr>
          <w:rFonts w:hint="default" w:ascii="Times New Roman" w:hAnsi="Times New Roman" w:eastAsia="仿宋_GB2312" w:cs="Times New Roman"/>
          <w:b/>
          <w:bCs/>
          <w:sz w:val="24"/>
          <w:szCs w:val="24"/>
          <w:lang w:val="en-US" w:eastAsia="zh-CN"/>
        </w:rPr>
      </w:pPr>
      <w:bookmarkStart w:id="151" w:name="_Toc15507"/>
      <w:r>
        <w:rPr>
          <w:rFonts w:hint="eastAsia" w:ascii="Times New Roman" w:hAnsi="Times New Roman" w:eastAsia="仿宋_GB2312" w:cs="Times New Roman"/>
          <w:b/>
          <w:bCs/>
          <w:sz w:val="24"/>
          <w:szCs w:val="24"/>
          <w:lang w:val="en-US" w:eastAsia="zh-CN"/>
        </w:rPr>
        <w:t>3.3.2源强参数</w:t>
      </w:r>
      <w:bookmarkEnd w:id="151"/>
    </w:p>
    <w:p w14:paraId="14920A1F">
      <w:pPr>
        <w:keepNext w:val="0"/>
        <w:keepLines w:val="0"/>
        <w:pageBreakBefore w:val="0"/>
        <w:widowControl w:val="0"/>
        <w:kinsoku/>
        <w:wordWrap/>
        <w:overflowPunct/>
        <w:topLinePunct w:val="0"/>
        <w:autoSpaceDE/>
        <w:autoSpaceDN/>
        <w:bidi w:val="0"/>
        <w:adjustRightInd/>
        <w:snapToGrid/>
        <w:spacing w:line="500" w:lineRule="exact"/>
        <w:ind w:firstLine="48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根据上述源项分析，本项目的源强参数确定如下表所示。</w:t>
      </w:r>
    </w:p>
    <w:p w14:paraId="0592E18E">
      <w:pPr>
        <w:pageBreakBefore w:val="0"/>
        <w:kinsoku/>
        <w:wordWrap/>
        <w:bidi w:val="0"/>
        <w:adjustRightInd w:val="0"/>
        <w:snapToGrid w:val="0"/>
        <w:spacing w:beforeAutospacing="0" w:afterAutospacing="0" w:line="500" w:lineRule="exact"/>
        <w:ind w:left="0" w:leftChars="0" w:right="0"/>
        <w:jc w:val="center"/>
        <w:rPr>
          <w:rFonts w:hint="default" w:ascii="Times New Roman" w:hAnsi="Times New Roman" w:eastAsia="仿宋_GB2312" w:cs="Times New Roman"/>
          <w:b/>
          <w:color w:val="auto"/>
          <w:spacing w:val="0"/>
          <w:kern w:val="0"/>
          <w:position w:val="0"/>
          <w:szCs w:val="28"/>
        </w:rPr>
      </w:pPr>
      <w:r>
        <w:rPr>
          <w:rFonts w:hint="default" w:ascii="Times New Roman" w:hAnsi="Times New Roman" w:eastAsia="仿宋_GB2312" w:cs="Times New Roman"/>
          <w:b/>
          <w:color w:val="auto"/>
          <w:spacing w:val="0"/>
          <w:kern w:val="0"/>
          <w:position w:val="0"/>
          <w:szCs w:val="28"/>
        </w:rPr>
        <w:t>表</w:t>
      </w:r>
      <w:r>
        <w:rPr>
          <w:rFonts w:hint="eastAsia" w:ascii="Times New Roman" w:hAnsi="Times New Roman" w:eastAsia="仿宋_GB2312" w:cs="Times New Roman"/>
          <w:b/>
          <w:color w:val="auto"/>
          <w:spacing w:val="0"/>
          <w:kern w:val="0"/>
          <w:position w:val="0"/>
          <w:szCs w:val="28"/>
          <w:lang w:val="en-US" w:eastAsia="zh-CN"/>
        </w:rPr>
        <w:t>3</w:t>
      </w:r>
      <w:r>
        <w:rPr>
          <w:rFonts w:hint="default" w:ascii="Times New Roman" w:hAnsi="Times New Roman" w:eastAsia="仿宋_GB2312" w:cs="Times New Roman"/>
          <w:b/>
          <w:color w:val="auto"/>
          <w:spacing w:val="0"/>
          <w:kern w:val="0"/>
          <w:position w:val="0"/>
          <w:szCs w:val="28"/>
        </w:rPr>
        <w:t>.</w:t>
      </w:r>
      <w:r>
        <w:rPr>
          <w:rFonts w:hint="eastAsia" w:ascii="Times New Roman" w:hAnsi="Times New Roman" w:eastAsia="仿宋_GB2312" w:cs="Times New Roman"/>
          <w:b/>
          <w:color w:val="auto"/>
          <w:spacing w:val="0"/>
          <w:kern w:val="0"/>
          <w:position w:val="0"/>
          <w:szCs w:val="28"/>
          <w:lang w:val="en-US" w:eastAsia="zh-CN"/>
        </w:rPr>
        <w:t>3</w:t>
      </w:r>
      <w:r>
        <w:rPr>
          <w:rFonts w:hint="default" w:ascii="Times New Roman" w:hAnsi="Times New Roman" w:eastAsia="仿宋_GB2312" w:cs="Times New Roman"/>
          <w:b/>
          <w:color w:val="auto"/>
          <w:spacing w:val="0"/>
          <w:kern w:val="0"/>
          <w:position w:val="0"/>
          <w:szCs w:val="28"/>
        </w:rPr>
        <w:t>-</w:t>
      </w:r>
      <w:r>
        <w:rPr>
          <w:rFonts w:hint="eastAsia" w:ascii="Times New Roman" w:hAnsi="Times New Roman" w:eastAsia="仿宋_GB2312" w:cs="Times New Roman"/>
          <w:b/>
          <w:color w:val="auto"/>
          <w:spacing w:val="0"/>
          <w:kern w:val="0"/>
          <w:position w:val="0"/>
          <w:szCs w:val="28"/>
          <w:lang w:val="en-US" w:eastAsia="zh-CN"/>
        </w:rPr>
        <w:t>3</w:t>
      </w:r>
      <w:r>
        <w:rPr>
          <w:rFonts w:hint="default" w:ascii="Times New Roman" w:hAnsi="Times New Roman" w:eastAsia="仿宋_GB2312" w:cs="Times New Roman"/>
          <w:b/>
          <w:color w:val="auto"/>
          <w:spacing w:val="0"/>
          <w:kern w:val="0"/>
          <w:position w:val="0"/>
          <w:szCs w:val="28"/>
        </w:rPr>
        <w:t xml:space="preserve"> 本项目环境风险源强一览表</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02"/>
        <w:gridCol w:w="796"/>
        <w:gridCol w:w="547"/>
        <w:gridCol w:w="664"/>
        <w:gridCol w:w="1084"/>
        <w:gridCol w:w="1246"/>
        <w:gridCol w:w="860"/>
        <w:gridCol w:w="1085"/>
        <w:gridCol w:w="1072"/>
        <w:gridCol w:w="932"/>
      </w:tblGrid>
      <w:tr w14:paraId="3211F2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0" w:type="pct"/>
            <w:tcBorders>
              <w:tl2br w:val="nil"/>
              <w:tr2bl w:val="nil"/>
            </w:tcBorders>
            <w:vAlign w:val="center"/>
          </w:tcPr>
          <w:p w14:paraId="05798324">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b/>
                <w:bCs/>
                <w:color w:val="auto"/>
                <w:spacing w:val="0"/>
                <w:kern w:val="0"/>
                <w:position w:val="0"/>
                <w:sz w:val="21"/>
                <w:szCs w:val="21"/>
              </w:rPr>
            </w:pPr>
            <w:r>
              <w:rPr>
                <w:rFonts w:hint="default" w:ascii="Times New Roman" w:hAnsi="Times New Roman" w:eastAsia="仿宋_GB2312" w:cs="Times New Roman"/>
                <w:b/>
                <w:bCs/>
                <w:color w:val="auto"/>
                <w:spacing w:val="0"/>
                <w:kern w:val="0"/>
                <w:position w:val="0"/>
                <w:sz w:val="21"/>
                <w:szCs w:val="21"/>
              </w:rPr>
              <w:t>风险事故情形描述</w:t>
            </w:r>
          </w:p>
        </w:tc>
        <w:tc>
          <w:tcPr>
            <w:tcW w:w="429" w:type="pct"/>
            <w:tcBorders>
              <w:tl2br w:val="nil"/>
              <w:tr2bl w:val="nil"/>
            </w:tcBorders>
            <w:vAlign w:val="center"/>
          </w:tcPr>
          <w:p w14:paraId="5A190D50">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b/>
                <w:bCs/>
                <w:color w:val="auto"/>
                <w:spacing w:val="0"/>
                <w:kern w:val="0"/>
                <w:position w:val="0"/>
                <w:sz w:val="21"/>
                <w:szCs w:val="21"/>
              </w:rPr>
            </w:pPr>
            <w:r>
              <w:rPr>
                <w:rFonts w:hint="default" w:ascii="Times New Roman" w:hAnsi="Times New Roman" w:eastAsia="仿宋_GB2312" w:cs="Times New Roman"/>
                <w:b/>
                <w:bCs/>
                <w:color w:val="auto"/>
                <w:spacing w:val="0"/>
                <w:kern w:val="0"/>
                <w:position w:val="0"/>
                <w:sz w:val="21"/>
                <w:szCs w:val="21"/>
              </w:rPr>
              <w:t>危险单元</w:t>
            </w:r>
          </w:p>
        </w:tc>
        <w:tc>
          <w:tcPr>
            <w:tcW w:w="295" w:type="pct"/>
            <w:tcBorders>
              <w:tl2br w:val="nil"/>
              <w:tr2bl w:val="nil"/>
            </w:tcBorders>
            <w:vAlign w:val="center"/>
          </w:tcPr>
          <w:p w14:paraId="7C3F308A">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b/>
                <w:bCs/>
                <w:color w:val="auto"/>
                <w:spacing w:val="0"/>
                <w:kern w:val="0"/>
                <w:position w:val="0"/>
                <w:sz w:val="21"/>
                <w:szCs w:val="21"/>
              </w:rPr>
            </w:pPr>
            <w:r>
              <w:rPr>
                <w:rFonts w:hint="default" w:ascii="Times New Roman" w:hAnsi="Times New Roman" w:eastAsia="仿宋_GB2312" w:cs="Times New Roman"/>
                <w:b/>
                <w:bCs/>
                <w:color w:val="auto"/>
                <w:spacing w:val="0"/>
                <w:kern w:val="0"/>
                <w:position w:val="0"/>
                <w:sz w:val="21"/>
                <w:szCs w:val="21"/>
              </w:rPr>
              <w:t>危险物质</w:t>
            </w:r>
          </w:p>
        </w:tc>
        <w:tc>
          <w:tcPr>
            <w:tcW w:w="358" w:type="pct"/>
            <w:tcBorders>
              <w:tl2br w:val="nil"/>
              <w:tr2bl w:val="nil"/>
            </w:tcBorders>
            <w:vAlign w:val="center"/>
          </w:tcPr>
          <w:p w14:paraId="176B8DD8">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b/>
                <w:bCs/>
                <w:color w:val="auto"/>
                <w:spacing w:val="0"/>
                <w:kern w:val="0"/>
                <w:position w:val="0"/>
                <w:sz w:val="21"/>
                <w:szCs w:val="21"/>
              </w:rPr>
            </w:pPr>
            <w:r>
              <w:rPr>
                <w:rFonts w:hint="default" w:ascii="Times New Roman" w:hAnsi="Times New Roman" w:eastAsia="仿宋_GB2312" w:cs="Times New Roman"/>
                <w:b/>
                <w:bCs/>
                <w:color w:val="auto"/>
                <w:spacing w:val="0"/>
                <w:kern w:val="0"/>
                <w:position w:val="0"/>
                <w:sz w:val="21"/>
                <w:szCs w:val="21"/>
              </w:rPr>
              <w:t>主要影响途径</w:t>
            </w:r>
          </w:p>
        </w:tc>
        <w:tc>
          <w:tcPr>
            <w:tcW w:w="584" w:type="pct"/>
            <w:tcBorders>
              <w:tl2br w:val="nil"/>
              <w:tr2bl w:val="nil"/>
            </w:tcBorders>
            <w:vAlign w:val="center"/>
          </w:tcPr>
          <w:p w14:paraId="481727A3">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b/>
                <w:bCs/>
                <w:color w:val="auto"/>
                <w:spacing w:val="0"/>
                <w:kern w:val="0"/>
                <w:position w:val="0"/>
                <w:sz w:val="21"/>
                <w:szCs w:val="21"/>
              </w:rPr>
            </w:pPr>
            <w:r>
              <w:rPr>
                <w:rFonts w:hint="default" w:ascii="Times New Roman" w:hAnsi="Times New Roman" w:eastAsia="仿宋_GB2312" w:cs="Times New Roman"/>
                <w:b/>
                <w:bCs/>
                <w:color w:val="auto"/>
                <w:spacing w:val="0"/>
                <w:kern w:val="0"/>
                <w:position w:val="0"/>
                <w:sz w:val="21"/>
                <w:szCs w:val="21"/>
              </w:rPr>
              <w:t>释放或泄漏速度（kg/s）</w:t>
            </w:r>
          </w:p>
        </w:tc>
        <w:tc>
          <w:tcPr>
            <w:tcW w:w="671" w:type="pct"/>
            <w:tcBorders>
              <w:tl2br w:val="nil"/>
              <w:tr2bl w:val="nil"/>
            </w:tcBorders>
            <w:vAlign w:val="center"/>
          </w:tcPr>
          <w:p w14:paraId="3CBA855B">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b/>
                <w:bCs/>
                <w:color w:val="auto"/>
                <w:spacing w:val="0"/>
                <w:kern w:val="0"/>
                <w:position w:val="0"/>
                <w:sz w:val="21"/>
                <w:szCs w:val="21"/>
              </w:rPr>
            </w:pPr>
            <w:r>
              <w:rPr>
                <w:rFonts w:hint="default" w:ascii="Times New Roman" w:hAnsi="Times New Roman" w:eastAsia="仿宋_GB2312" w:cs="Times New Roman"/>
                <w:b/>
                <w:bCs/>
                <w:color w:val="auto"/>
                <w:spacing w:val="0"/>
                <w:kern w:val="0"/>
                <w:position w:val="0"/>
                <w:sz w:val="21"/>
                <w:szCs w:val="21"/>
              </w:rPr>
              <w:t>释放或泄漏持续时间（min）</w:t>
            </w:r>
          </w:p>
        </w:tc>
        <w:tc>
          <w:tcPr>
            <w:tcW w:w="455" w:type="pct"/>
            <w:tcBorders>
              <w:tl2br w:val="nil"/>
              <w:tr2bl w:val="nil"/>
            </w:tcBorders>
            <w:vAlign w:val="center"/>
          </w:tcPr>
          <w:p w14:paraId="0EE75307">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b/>
                <w:bCs/>
                <w:color w:val="auto"/>
                <w:spacing w:val="0"/>
                <w:kern w:val="0"/>
                <w:position w:val="0"/>
                <w:sz w:val="21"/>
                <w:szCs w:val="21"/>
              </w:rPr>
            </w:pPr>
            <w:r>
              <w:rPr>
                <w:rFonts w:hint="default" w:ascii="Times New Roman" w:hAnsi="Times New Roman" w:eastAsia="仿宋_GB2312" w:cs="Times New Roman"/>
                <w:b/>
                <w:bCs/>
                <w:color w:val="auto"/>
                <w:spacing w:val="0"/>
                <w:kern w:val="0"/>
                <w:position w:val="0"/>
                <w:sz w:val="21"/>
                <w:szCs w:val="21"/>
              </w:rPr>
              <w:t>泄漏量（kg）</w:t>
            </w:r>
          </w:p>
        </w:tc>
        <w:tc>
          <w:tcPr>
            <w:tcW w:w="584" w:type="pct"/>
            <w:tcBorders>
              <w:tl2br w:val="nil"/>
              <w:tr2bl w:val="nil"/>
            </w:tcBorders>
            <w:vAlign w:val="center"/>
          </w:tcPr>
          <w:p w14:paraId="08B59A30">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b/>
                <w:bCs/>
                <w:color w:val="auto"/>
                <w:spacing w:val="0"/>
                <w:kern w:val="0"/>
                <w:position w:val="0"/>
                <w:sz w:val="21"/>
                <w:szCs w:val="21"/>
              </w:rPr>
            </w:pPr>
            <w:r>
              <w:rPr>
                <w:rFonts w:hint="default" w:ascii="Times New Roman" w:hAnsi="Times New Roman" w:eastAsia="仿宋_GB2312" w:cs="Times New Roman"/>
                <w:b/>
                <w:bCs/>
                <w:color w:val="auto"/>
                <w:spacing w:val="0"/>
                <w:kern w:val="0"/>
                <w:position w:val="0"/>
                <w:sz w:val="21"/>
                <w:szCs w:val="21"/>
              </w:rPr>
              <w:t>泄漏液体蒸发速度（kg/s）</w:t>
            </w:r>
          </w:p>
        </w:tc>
        <w:tc>
          <w:tcPr>
            <w:tcW w:w="577" w:type="pct"/>
            <w:tcBorders>
              <w:tl2br w:val="nil"/>
              <w:tr2bl w:val="nil"/>
            </w:tcBorders>
            <w:vAlign w:val="center"/>
          </w:tcPr>
          <w:p w14:paraId="78982213">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b/>
                <w:bCs/>
                <w:color w:val="auto"/>
                <w:spacing w:val="0"/>
                <w:kern w:val="0"/>
                <w:position w:val="0"/>
                <w:sz w:val="21"/>
                <w:szCs w:val="21"/>
              </w:rPr>
            </w:pPr>
            <w:r>
              <w:rPr>
                <w:rFonts w:hint="default" w:ascii="Times New Roman" w:hAnsi="Times New Roman" w:eastAsia="仿宋_GB2312" w:cs="Times New Roman"/>
                <w:b/>
                <w:bCs/>
                <w:color w:val="auto"/>
                <w:spacing w:val="0"/>
                <w:kern w:val="0"/>
                <w:position w:val="0"/>
                <w:sz w:val="21"/>
                <w:szCs w:val="21"/>
              </w:rPr>
              <w:t>蒸发持续时间（min）</w:t>
            </w:r>
          </w:p>
        </w:tc>
        <w:tc>
          <w:tcPr>
            <w:tcW w:w="502" w:type="pct"/>
            <w:tcBorders>
              <w:tl2br w:val="nil"/>
              <w:tr2bl w:val="nil"/>
            </w:tcBorders>
            <w:vAlign w:val="center"/>
          </w:tcPr>
          <w:p w14:paraId="22AE7669">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b/>
                <w:bCs/>
                <w:color w:val="auto"/>
                <w:spacing w:val="0"/>
                <w:kern w:val="0"/>
                <w:position w:val="0"/>
                <w:sz w:val="21"/>
                <w:szCs w:val="21"/>
              </w:rPr>
            </w:pPr>
            <w:r>
              <w:rPr>
                <w:rFonts w:hint="default" w:ascii="Times New Roman" w:hAnsi="Times New Roman" w:eastAsia="仿宋_GB2312" w:cs="Times New Roman"/>
                <w:b/>
                <w:bCs/>
                <w:color w:val="auto"/>
                <w:spacing w:val="0"/>
                <w:kern w:val="0"/>
                <w:position w:val="0"/>
                <w:sz w:val="21"/>
                <w:szCs w:val="21"/>
              </w:rPr>
              <w:t>泄漏液体蒸发量（kg）</w:t>
            </w:r>
          </w:p>
        </w:tc>
      </w:tr>
      <w:tr w14:paraId="4D980A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0" w:type="pct"/>
            <w:tcBorders>
              <w:tl2br w:val="nil"/>
              <w:tr2bl w:val="nil"/>
            </w:tcBorders>
            <w:vAlign w:val="center"/>
          </w:tcPr>
          <w:p w14:paraId="77246A39">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rPr>
            </w:pPr>
            <w:r>
              <w:rPr>
                <w:rFonts w:hint="eastAsia" w:ascii="Times New Roman" w:hAnsi="Times New Roman" w:eastAsia="仿宋_GB2312" w:cs="Times New Roman"/>
                <w:color w:val="auto"/>
                <w:spacing w:val="0"/>
                <w:kern w:val="0"/>
                <w:position w:val="0"/>
                <w:sz w:val="21"/>
                <w:szCs w:val="21"/>
                <w:lang w:val="en-US" w:eastAsia="zh-CN"/>
              </w:rPr>
              <w:t>盐酸</w:t>
            </w:r>
            <w:r>
              <w:rPr>
                <w:rFonts w:hint="default" w:ascii="Times New Roman" w:hAnsi="Times New Roman" w:eastAsia="仿宋_GB2312" w:cs="Times New Roman"/>
                <w:color w:val="auto"/>
                <w:spacing w:val="0"/>
                <w:kern w:val="0"/>
                <w:position w:val="0"/>
                <w:sz w:val="21"/>
                <w:szCs w:val="21"/>
              </w:rPr>
              <w:t>储罐发生泄漏</w:t>
            </w:r>
          </w:p>
        </w:tc>
        <w:tc>
          <w:tcPr>
            <w:tcW w:w="429" w:type="pct"/>
            <w:tcBorders>
              <w:tl2br w:val="nil"/>
              <w:tr2bl w:val="nil"/>
            </w:tcBorders>
            <w:vAlign w:val="center"/>
          </w:tcPr>
          <w:p w14:paraId="46D9D16B">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rPr>
            </w:pPr>
            <w:r>
              <w:rPr>
                <w:rFonts w:hint="eastAsia" w:ascii="Times New Roman" w:hAnsi="Times New Roman" w:eastAsia="仿宋_GB2312" w:cs="Times New Roman"/>
                <w:color w:val="auto"/>
                <w:spacing w:val="0"/>
                <w:kern w:val="0"/>
                <w:position w:val="0"/>
                <w:sz w:val="21"/>
                <w:szCs w:val="21"/>
                <w:lang w:val="en-US" w:eastAsia="zh-CN"/>
              </w:rPr>
              <w:t>盐酸</w:t>
            </w:r>
            <w:r>
              <w:rPr>
                <w:rFonts w:hint="default" w:ascii="Times New Roman" w:hAnsi="Times New Roman" w:eastAsia="仿宋_GB2312" w:cs="Times New Roman"/>
                <w:color w:val="auto"/>
                <w:spacing w:val="0"/>
                <w:kern w:val="0"/>
                <w:position w:val="0"/>
                <w:sz w:val="21"/>
                <w:szCs w:val="21"/>
              </w:rPr>
              <w:t>储罐</w:t>
            </w:r>
          </w:p>
        </w:tc>
        <w:tc>
          <w:tcPr>
            <w:tcW w:w="295" w:type="pct"/>
            <w:tcBorders>
              <w:tl2br w:val="nil"/>
              <w:tr2bl w:val="nil"/>
            </w:tcBorders>
            <w:vAlign w:val="center"/>
          </w:tcPr>
          <w:p w14:paraId="2C5B39EA">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rPr>
            </w:pPr>
            <w:r>
              <w:rPr>
                <w:rFonts w:hint="eastAsia" w:ascii="Times New Roman" w:hAnsi="Times New Roman" w:eastAsia="仿宋_GB2312" w:cs="Times New Roman"/>
                <w:color w:val="auto"/>
                <w:spacing w:val="0"/>
                <w:kern w:val="0"/>
                <w:position w:val="0"/>
                <w:sz w:val="21"/>
                <w:szCs w:val="21"/>
                <w:lang w:val="en-US" w:eastAsia="zh-CN"/>
              </w:rPr>
              <w:t>盐酸</w:t>
            </w:r>
          </w:p>
        </w:tc>
        <w:tc>
          <w:tcPr>
            <w:tcW w:w="358" w:type="pct"/>
            <w:tcBorders>
              <w:tl2br w:val="nil"/>
              <w:tr2bl w:val="nil"/>
            </w:tcBorders>
            <w:vAlign w:val="center"/>
          </w:tcPr>
          <w:p w14:paraId="3CF3FC07">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大气扩散</w:t>
            </w:r>
          </w:p>
        </w:tc>
        <w:tc>
          <w:tcPr>
            <w:tcW w:w="584" w:type="pct"/>
            <w:tcBorders>
              <w:tl2br w:val="nil"/>
              <w:tr2bl w:val="nil"/>
            </w:tcBorders>
            <w:vAlign w:val="center"/>
          </w:tcPr>
          <w:p w14:paraId="4EE7B96E">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lang w:val="en-US" w:eastAsia="zh-CN"/>
              </w:rPr>
            </w:pPr>
            <w:r>
              <w:rPr>
                <w:rFonts w:hint="default" w:ascii="Times New Roman" w:hAnsi="Times New Roman" w:eastAsia="仿宋_GB2312" w:cs="Times New Roman"/>
                <w:color w:val="auto"/>
                <w:spacing w:val="0"/>
                <w:kern w:val="0"/>
                <w:position w:val="0"/>
                <w:sz w:val="21"/>
                <w:szCs w:val="21"/>
              </w:rPr>
              <w:t>0.</w:t>
            </w:r>
            <w:r>
              <w:rPr>
                <w:rFonts w:hint="eastAsia" w:ascii="Times New Roman" w:hAnsi="Times New Roman" w:eastAsia="仿宋_GB2312" w:cs="Times New Roman"/>
                <w:color w:val="auto"/>
                <w:spacing w:val="0"/>
                <w:kern w:val="0"/>
                <w:position w:val="0"/>
                <w:sz w:val="21"/>
                <w:szCs w:val="21"/>
                <w:lang w:val="en-US" w:eastAsia="zh-CN"/>
              </w:rPr>
              <w:t>450</w:t>
            </w:r>
          </w:p>
        </w:tc>
        <w:tc>
          <w:tcPr>
            <w:tcW w:w="671" w:type="pct"/>
            <w:tcBorders>
              <w:tl2br w:val="nil"/>
              <w:tr2bl w:val="nil"/>
            </w:tcBorders>
            <w:vAlign w:val="center"/>
          </w:tcPr>
          <w:p w14:paraId="1F0F8962">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20</w:t>
            </w:r>
          </w:p>
        </w:tc>
        <w:tc>
          <w:tcPr>
            <w:tcW w:w="455" w:type="pct"/>
            <w:tcBorders>
              <w:tl2br w:val="nil"/>
              <w:tr2bl w:val="nil"/>
            </w:tcBorders>
            <w:vAlign w:val="center"/>
          </w:tcPr>
          <w:p w14:paraId="40FA6225">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rPr>
            </w:pPr>
            <w:r>
              <w:rPr>
                <w:rFonts w:hint="eastAsia" w:ascii="Times New Roman" w:hAnsi="Times New Roman" w:eastAsia="仿宋_GB2312" w:cs="Times New Roman"/>
                <w:color w:val="auto"/>
                <w:spacing w:val="0"/>
                <w:kern w:val="0"/>
                <w:position w:val="0"/>
                <w:sz w:val="21"/>
                <w:szCs w:val="21"/>
                <w:lang w:val="en-US" w:eastAsia="zh-CN"/>
              </w:rPr>
              <w:t>539.5</w:t>
            </w:r>
          </w:p>
        </w:tc>
        <w:tc>
          <w:tcPr>
            <w:tcW w:w="584" w:type="pct"/>
            <w:tcBorders>
              <w:tl2br w:val="nil"/>
              <w:tr2bl w:val="nil"/>
            </w:tcBorders>
            <w:vAlign w:val="center"/>
          </w:tcPr>
          <w:p w14:paraId="16ABCED3">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rPr>
            </w:pPr>
            <w:r>
              <w:rPr>
                <w:rFonts w:hint="eastAsia" w:ascii="Times New Roman" w:hAnsi="Times New Roman" w:eastAsia="仿宋_GB2312" w:cs="Times New Roman"/>
                <w:color w:val="auto"/>
                <w:spacing w:val="0"/>
                <w:kern w:val="0"/>
                <w:position w:val="0"/>
                <w:sz w:val="21"/>
                <w:szCs w:val="21"/>
                <w:lang w:val="en-US" w:eastAsia="zh-CN"/>
              </w:rPr>
              <w:t>0.003</w:t>
            </w:r>
          </w:p>
        </w:tc>
        <w:tc>
          <w:tcPr>
            <w:tcW w:w="577" w:type="pct"/>
            <w:tcBorders>
              <w:tl2br w:val="nil"/>
              <w:tr2bl w:val="nil"/>
            </w:tcBorders>
            <w:vAlign w:val="center"/>
          </w:tcPr>
          <w:p w14:paraId="3457BDDA">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rPr>
            </w:pPr>
            <w:r>
              <w:rPr>
                <w:rFonts w:hint="default" w:ascii="Times New Roman" w:hAnsi="Times New Roman" w:eastAsia="仿宋_GB2312" w:cs="Times New Roman"/>
                <w:color w:val="auto"/>
                <w:spacing w:val="0"/>
                <w:kern w:val="0"/>
                <w:position w:val="0"/>
                <w:sz w:val="21"/>
                <w:szCs w:val="21"/>
              </w:rPr>
              <w:t>20</w:t>
            </w:r>
          </w:p>
        </w:tc>
        <w:tc>
          <w:tcPr>
            <w:tcW w:w="502" w:type="pct"/>
            <w:tcBorders>
              <w:tl2br w:val="nil"/>
              <w:tr2bl w:val="nil"/>
            </w:tcBorders>
            <w:vAlign w:val="center"/>
          </w:tcPr>
          <w:p w14:paraId="4F4B4C7F">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rPr>
            </w:pPr>
            <w:r>
              <w:rPr>
                <w:rFonts w:hint="eastAsia" w:ascii="Times New Roman" w:hAnsi="Times New Roman" w:eastAsia="仿宋_GB2312" w:cs="Times New Roman"/>
                <w:color w:val="auto"/>
                <w:spacing w:val="0"/>
                <w:kern w:val="0"/>
                <w:position w:val="0"/>
                <w:sz w:val="21"/>
                <w:szCs w:val="21"/>
                <w:lang w:val="en-US" w:eastAsia="zh-CN"/>
              </w:rPr>
              <w:t>3.79</w:t>
            </w:r>
          </w:p>
        </w:tc>
      </w:tr>
    </w:tbl>
    <w:p w14:paraId="06845605">
      <w:pPr>
        <w:pStyle w:val="4"/>
        <w:keepNext/>
        <w:keepLines w:val="0"/>
        <w:pageBreakBefore w:val="0"/>
        <w:widowControl w:val="0"/>
        <w:kinsoku/>
        <w:wordWrap/>
        <w:overflowPunct w:val="0"/>
        <w:topLinePunct w:val="0"/>
        <w:autoSpaceDE/>
        <w:autoSpaceDN/>
        <w:bidi w:val="0"/>
        <w:adjustRightInd/>
        <w:snapToGrid w:val="0"/>
        <w:spacing w:before="0" w:line="500" w:lineRule="exact"/>
        <w:ind w:left="0" w:right="0" w:firstLine="0" w:firstLineChars="0"/>
        <w:jc w:val="both"/>
        <w:textAlignment w:val="auto"/>
        <w:outlineLvl w:val="1"/>
        <w:rPr>
          <w:rFonts w:hint="default" w:ascii="Times New Roman" w:hAnsi="Times New Roman" w:eastAsia="仿宋_GB2312" w:cs="Times New Roman"/>
          <w:b/>
          <w:bCs/>
          <w:sz w:val="24"/>
          <w:szCs w:val="24"/>
          <w:lang w:val="en-US" w:eastAsia="zh-CN"/>
        </w:rPr>
      </w:pPr>
      <w:bookmarkStart w:id="152" w:name="_Toc32389"/>
      <w:r>
        <w:rPr>
          <w:rFonts w:hint="eastAsia" w:ascii="Times New Roman" w:hAnsi="Times New Roman" w:eastAsia="仿宋_GB2312" w:cs="Times New Roman"/>
          <w:b/>
          <w:bCs/>
          <w:sz w:val="24"/>
          <w:szCs w:val="24"/>
          <w:lang w:val="en-US" w:eastAsia="zh-CN"/>
        </w:rPr>
        <w:t>3.4大气环境风险评价分析</w:t>
      </w:r>
      <w:bookmarkEnd w:id="152"/>
    </w:p>
    <w:p w14:paraId="7F6DA972">
      <w:pPr>
        <w:pStyle w:val="2"/>
        <w:keepNext/>
        <w:keepLines w:val="0"/>
        <w:pageBreakBefore w:val="0"/>
        <w:widowControl w:val="0"/>
        <w:kinsoku/>
        <w:wordWrap/>
        <w:overflowPunct w:val="0"/>
        <w:topLinePunct w:val="0"/>
        <w:autoSpaceDE/>
        <w:autoSpaceDN/>
        <w:bidi w:val="0"/>
        <w:adjustRightInd/>
        <w:snapToGrid w:val="0"/>
        <w:spacing w:before="0" w:after="0" w:line="500" w:lineRule="exact"/>
        <w:ind w:left="0" w:right="0" w:firstLine="0" w:firstLineChars="0"/>
        <w:jc w:val="both"/>
        <w:textAlignment w:val="auto"/>
        <w:outlineLvl w:val="2"/>
        <w:rPr>
          <w:rFonts w:hint="eastAsia" w:ascii="Times New Roman" w:hAnsi="Times New Roman" w:eastAsia="仿宋_GB2312" w:cs="Times New Roman"/>
          <w:b/>
          <w:bCs/>
          <w:sz w:val="24"/>
          <w:szCs w:val="24"/>
          <w:lang w:val="en-US" w:eastAsia="zh-CN"/>
        </w:rPr>
      </w:pPr>
      <w:bookmarkStart w:id="153" w:name="_Toc28979"/>
      <w:r>
        <w:rPr>
          <w:rFonts w:hint="eastAsia" w:ascii="Times New Roman" w:hAnsi="Times New Roman" w:eastAsia="仿宋_GB2312" w:cs="Times New Roman"/>
          <w:b/>
          <w:bCs/>
          <w:sz w:val="24"/>
          <w:szCs w:val="24"/>
          <w:lang w:val="en-US" w:eastAsia="zh-CN"/>
        </w:rPr>
        <w:t>3.4.1预测模型筛选</w:t>
      </w:r>
      <w:bookmarkEnd w:id="153"/>
    </w:p>
    <w:p w14:paraId="73097452">
      <w:pPr>
        <w:keepNext w:val="0"/>
        <w:keepLines w:val="0"/>
        <w:pageBreakBefore w:val="0"/>
        <w:widowControl w:val="0"/>
        <w:kinsoku/>
        <w:wordWrap/>
        <w:overflowPunct/>
        <w:topLinePunct w:val="0"/>
        <w:autoSpaceDE/>
        <w:autoSpaceDN/>
        <w:bidi w:val="0"/>
        <w:adjustRightInd/>
        <w:snapToGrid/>
        <w:spacing w:line="500" w:lineRule="exact"/>
        <w:ind w:firstLine="48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1、排放形式判断</w:t>
      </w:r>
    </w:p>
    <w:p w14:paraId="01E6893B">
      <w:pPr>
        <w:keepNext w:val="0"/>
        <w:keepLines w:val="0"/>
        <w:pageBreakBefore w:val="0"/>
        <w:widowControl w:val="0"/>
        <w:kinsoku/>
        <w:wordWrap/>
        <w:overflowPunct/>
        <w:topLinePunct w:val="0"/>
        <w:autoSpaceDE/>
        <w:autoSpaceDN/>
        <w:bidi w:val="0"/>
        <w:adjustRightInd/>
        <w:snapToGrid/>
        <w:spacing w:line="500" w:lineRule="exact"/>
        <w:ind w:firstLine="48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根据《建设项目环境风险评价技术导则》（HJ 169-2018），判定连续排放还是瞬时排放，可以通过排放时间Td和污染物到达最近的受体点（网格点或敏感点）的时间T确定。</w:t>
      </w:r>
    </w:p>
    <w:p w14:paraId="4119AABE">
      <w:pPr>
        <w:keepNext w:val="0"/>
        <w:keepLines w:val="0"/>
        <w:pageBreakBefore w:val="0"/>
        <w:widowControl w:val="0"/>
        <w:kinsoku/>
        <w:wordWrap/>
        <w:overflowPunct/>
        <w:topLinePunct w:val="0"/>
        <w:autoSpaceDE/>
        <w:autoSpaceDN/>
        <w:bidi w:val="0"/>
        <w:adjustRightInd/>
        <w:snapToGrid/>
        <w:spacing w:line="500" w:lineRule="exact"/>
        <w:ind w:firstLine="480"/>
        <w:jc w:val="center"/>
        <w:textAlignment w:val="auto"/>
        <w:rPr>
          <w:rFonts w:hint="default" w:ascii="Times New Roman" w:hAnsi="Times New Roman" w:eastAsia="仿宋_GB2312" w:cs="Times New Roman"/>
          <w:sz w:val="24"/>
          <w:szCs w:val="24"/>
          <w:lang w:val="en-US" w:eastAsia="zh-CN"/>
        </w:rPr>
      </w:pPr>
      <m:oMath>
        <m:r>
          <m:rPr>
            <m:sty m:val="p"/>
          </m:rPr>
          <w:rPr>
            <w:rFonts w:hint="default" w:ascii="Times New Roman" w:hAnsi="Times New Roman" w:eastAsia="仿宋_GB2312" w:cs="Times New Roman"/>
            <w:sz w:val="24"/>
            <w:szCs w:val="24"/>
          </w:rPr>
          <m:t>T=2X/U</m:t>
        </m:r>
      </m:oMath>
      <w:r>
        <w:rPr>
          <w:rFonts w:hint="default" w:ascii="Times New Roman" w:hAnsi="Times New Roman" w:eastAsia="仿宋_GB2312" w:cs="Times New Roman"/>
          <w:sz w:val="24"/>
          <w:szCs w:val="24"/>
        </w:rPr>
        <w:t>r</w:t>
      </w:r>
      <w:r>
        <w:rPr>
          <w:rFonts w:hint="eastAsia" w:ascii="Times New Roman" w:hAnsi="Times New Roman" w:eastAsia="仿宋_GB2312" w:cs="Times New Roman"/>
          <w:sz w:val="24"/>
          <w:szCs w:val="24"/>
          <w:vertAlign w:val="baseline"/>
          <w:lang w:val="en-US" w:eastAsia="zh-CN"/>
        </w:rPr>
        <w:t>-</w:t>
      </w:r>
      <w:r>
        <w:rPr>
          <w:rFonts w:hint="eastAsia" w:ascii="Times New Roman" w:hAnsi="Times New Roman" w:eastAsia="仿宋_GB2312" w:cs="Times New Roman"/>
          <w:sz w:val="24"/>
          <w:szCs w:val="24"/>
          <w:lang w:val="en-US" w:eastAsia="zh-CN"/>
        </w:rPr>
        <w:t>10</w:t>
      </w:r>
    </w:p>
    <w:p w14:paraId="2FDB6A46">
      <w:pPr>
        <w:keepNext w:val="0"/>
        <w:keepLines w:val="0"/>
        <w:pageBreakBefore w:val="0"/>
        <w:widowControl w:val="0"/>
        <w:kinsoku/>
        <w:wordWrap/>
        <w:overflowPunct/>
        <w:topLinePunct w:val="0"/>
        <w:autoSpaceDE/>
        <w:autoSpaceDN/>
        <w:bidi w:val="0"/>
        <w:adjustRightInd/>
        <w:snapToGrid/>
        <w:spacing w:line="500" w:lineRule="exact"/>
        <w:ind w:firstLine="48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式中：X—事故发生地与计算点的距离，取泄漏发生地到网格点的距离；</w:t>
      </w:r>
    </w:p>
    <w:p w14:paraId="4F31C922">
      <w:pPr>
        <w:keepNext w:val="0"/>
        <w:keepLines w:val="0"/>
        <w:pageBreakBefore w:val="0"/>
        <w:widowControl w:val="0"/>
        <w:kinsoku/>
        <w:wordWrap/>
        <w:overflowPunct/>
        <w:topLinePunct w:val="0"/>
        <w:autoSpaceDE/>
        <w:autoSpaceDN/>
        <w:bidi w:val="0"/>
        <w:adjustRightInd/>
        <w:snapToGrid/>
        <w:spacing w:line="500" w:lineRule="exact"/>
        <w:ind w:firstLine="48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Ur—10m高处风速。假设风速和风向在T时段内保持不变。本评价以最不利气象条件（F类稳定度，1.5m/s风速，温度25℃，相对湿度50%）进行后果预测，故Ur-10m高处风速取1.5m/s。</w:t>
      </w:r>
    </w:p>
    <w:p w14:paraId="0F9ED35D">
      <w:pPr>
        <w:keepNext w:val="0"/>
        <w:keepLines w:val="0"/>
        <w:pageBreakBefore w:val="0"/>
        <w:widowControl w:val="0"/>
        <w:kinsoku/>
        <w:wordWrap/>
        <w:overflowPunct/>
        <w:topLinePunct w:val="0"/>
        <w:autoSpaceDE/>
        <w:autoSpaceDN/>
        <w:bidi w:val="0"/>
        <w:adjustRightInd/>
        <w:snapToGrid/>
        <w:spacing w:line="500" w:lineRule="exact"/>
        <w:ind w:firstLine="48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当Td＞T时，可被认为是连续排放的；当Td≤T时，可被认为是瞬时排放。</w:t>
      </w:r>
    </w:p>
    <w:p w14:paraId="128B8A5C">
      <w:pPr>
        <w:pageBreakBefore w:val="0"/>
        <w:kinsoku/>
        <w:wordWrap/>
        <w:bidi w:val="0"/>
        <w:adjustRightInd w:val="0"/>
        <w:snapToGrid w:val="0"/>
        <w:spacing w:beforeAutospacing="0" w:afterAutospacing="0" w:line="500" w:lineRule="exact"/>
        <w:ind w:left="0" w:leftChars="0" w:right="0"/>
        <w:jc w:val="center"/>
        <w:rPr>
          <w:rFonts w:hint="default" w:ascii="Times New Roman" w:hAnsi="Times New Roman" w:eastAsia="仿宋_GB2312" w:cs="Times New Roman"/>
          <w:b/>
          <w:color w:val="auto"/>
          <w:spacing w:val="0"/>
          <w:kern w:val="0"/>
          <w:position w:val="0"/>
          <w:szCs w:val="28"/>
        </w:rPr>
      </w:pPr>
      <w:r>
        <w:rPr>
          <w:rFonts w:hint="default" w:ascii="Times New Roman" w:hAnsi="Times New Roman" w:eastAsia="仿宋_GB2312" w:cs="Times New Roman"/>
          <w:b/>
          <w:color w:val="auto"/>
          <w:spacing w:val="0"/>
          <w:kern w:val="0"/>
          <w:position w:val="0"/>
          <w:szCs w:val="28"/>
        </w:rPr>
        <w:t>表</w:t>
      </w:r>
      <w:r>
        <w:rPr>
          <w:rFonts w:hint="eastAsia" w:ascii="Times New Roman" w:hAnsi="Times New Roman" w:eastAsia="仿宋_GB2312" w:cs="Times New Roman"/>
          <w:b/>
          <w:color w:val="auto"/>
          <w:spacing w:val="0"/>
          <w:kern w:val="0"/>
          <w:position w:val="0"/>
          <w:szCs w:val="28"/>
          <w:lang w:val="en-US" w:eastAsia="zh-CN"/>
        </w:rPr>
        <w:t>3</w:t>
      </w:r>
      <w:r>
        <w:rPr>
          <w:rFonts w:hint="default" w:ascii="Times New Roman" w:hAnsi="Times New Roman" w:eastAsia="仿宋_GB2312" w:cs="Times New Roman"/>
          <w:b/>
          <w:color w:val="auto"/>
          <w:spacing w:val="0"/>
          <w:kern w:val="0"/>
          <w:position w:val="0"/>
          <w:szCs w:val="28"/>
        </w:rPr>
        <w:t>.</w:t>
      </w:r>
      <w:r>
        <w:rPr>
          <w:rFonts w:hint="eastAsia" w:ascii="Times New Roman" w:hAnsi="Times New Roman" w:eastAsia="仿宋_GB2312" w:cs="Times New Roman"/>
          <w:b/>
          <w:color w:val="auto"/>
          <w:spacing w:val="0"/>
          <w:kern w:val="0"/>
          <w:position w:val="0"/>
          <w:szCs w:val="28"/>
          <w:lang w:val="en-US" w:eastAsia="zh-CN"/>
        </w:rPr>
        <w:t>4</w:t>
      </w:r>
      <w:r>
        <w:rPr>
          <w:rFonts w:hint="default" w:ascii="Times New Roman" w:hAnsi="Times New Roman" w:eastAsia="仿宋_GB2312" w:cs="Times New Roman"/>
          <w:b/>
          <w:color w:val="auto"/>
          <w:spacing w:val="0"/>
          <w:kern w:val="0"/>
          <w:position w:val="0"/>
          <w:szCs w:val="28"/>
        </w:rPr>
        <w:t xml:space="preserve">-1 </w:t>
      </w:r>
      <w:r>
        <w:rPr>
          <w:rFonts w:hint="eastAsia" w:ascii="Times New Roman" w:hAnsi="Times New Roman" w:eastAsia="仿宋_GB2312" w:cs="Times New Roman"/>
          <w:b/>
          <w:color w:val="auto"/>
          <w:spacing w:val="0"/>
          <w:kern w:val="0"/>
          <w:position w:val="0"/>
          <w:szCs w:val="28"/>
          <w:lang w:val="en-US" w:eastAsia="zh-CN"/>
        </w:rPr>
        <w:t xml:space="preserve"> </w:t>
      </w:r>
      <w:r>
        <w:rPr>
          <w:rFonts w:hint="default" w:ascii="Times New Roman" w:hAnsi="Times New Roman" w:eastAsia="仿宋_GB2312" w:cs="Times New Roman"/>
          <w:b/>
          <w:color w:val="auto"/>
          <w:spacing w:val="0"/>
          <w:kern w:val="0"/>
          <w:position w:val="0"/>
          <w:szCs w:val="28"/>
        </w:rPr>
        <w:t>连续排放和瞬时排放判定表</w:t>
      </w:r>
    </w:p>
    <w:tbl>
      <w:tblPr>
        <w:tblStyle w:val="32"/>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52"/>
        <w:gridCol w:w="2215"/>
        <w:gridCol w:w="1873"/>
        <w:gridCol w:w="1362"/>
        <w:gridCol w:w="1018"/>
        <w:gridCol w:w="1018"/>
        <w:gridCol w:w="946"/>
      </w:tblGrid>
      <w:tr w14:paraId="0B0BDC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9" w:type="pct"/>
            <w:tcBorders>
              <w:tl2br w:val="nil"/>
              <w:tr2bl w:val="nil"/>
            </w:tcBorders>
            <w:vAlign w:val="center"/>
          </w:tcPr>
          <w:p w14:paraId="7DC2B849">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风险物质</w:t>
            </w:r>
          </w:p>
        </w:tc>
        <w:tc>
          <w:tcPr>
            <w:tcW w:w="1192" w:type="pct"/>
            <w:tcBorders>
              <w:tl2br w:val="nil"/>
              <w:tr2bl w:val="nil"/>
            </w:tcBorders>
            <w:vAlign w:val="center"/>
          </w:tcPr>
          <w:p w14:paraId="663C9B99">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最大可信事故类型</w:t>
            </w:r>
          </w:p>
        </w:tc>
        <w:tc>
          <w:tcPr>
            <w:tcW w:w="1008" w:type="pct"/>
            <w:tcBorders>
              <w:tl2br w:val="nil"/>
              <w:tr2bl w:val="nil"/>
            </w:tcBorders>
            <w:vAlign w:val="center"/>
          </w:tcPr>
          <w:p w14:paraId="46DA9091">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X-事故发生地与计算点距离（m）</w:t>
            </w:r>
          </w:p>
        </w:tc>
        <w:tc>
          <w:tcPr>
            <w:tcW w:w="733" w:type="pct"/>
            <w:tcBorders>
              <w:tl2br w:val="nil"/>
              <w:tr2bl w:val="nil"/>
            </w:tcBorders>
            <w:vAlign w:val="center"/>
          </w:tcPr>
          <w:p w14:paraId="373FEED5">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Ur—10m高处风速（m/s）</w:t>
            </w:r>
          </w:p>
        </w:tc>
        <w:tc>
          <w:tcPr>
            <w:tcW w:w="548" w:type="pct"/>
            <w:tcBorders>
              <w:tl2br w:val="nil"/>
              <w:tr2bl w:val="nil"/>
            </w:tcBorders>
            <w:vAlign w:val="center"/>
          </w:tcPr>
          <w:p w14:paraId="2391E1DC">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T-到达时间（s）</w:t>
            </w:r>
          </w:p>
        </w:tc>
        <w:tc>
          <w:tcPr>
            <w:tcW w:w="548" w:type="pct"/>
            <w:tcBorders>
              <w:tl2br w:val="nil"/>
              <w:tr2bl w:val="nil"/>
            </w:tcBorders>
            <w:vAlign w:val="center"/>
          </w:tcPr>
          <w:p w14:paraId="0AB446E2">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Td-排放时间（s）</w:t>
            </w:r>
          </w:p>
        </w:tc>
        <w:tc>
          <w:tcPr>
            <w:tcW w:w="509" w:type="pct"/>
            <w:tcBorders>
              <w:tl2br w:val="nil"/>
              <w:tr2bl w:val="nil"/>
            </w:tcBorders>
            <w:vAlign w:val="center"/>
          </w:tcPr>
          <w:p w14:paraId="014454ED">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判定结果</w:t>
            </w:r>
          </w:p>
        </w:tc>
      </w:tr>
      <w:tr w14:paraId="1D5C33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9" w:type="pct"/>
            <w:tcBorders>
              <w:tl2br w:val="nil"/>
              <w:tr2bl w:val="nil"/>
            </w:tcBorders>
            <w:vAlign w:val="center"/>
          </w:tcPr>
          <w:p w14:paraId="00417F8E">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氨气</w:t>
            </w:r>
          </w:p>
        </w:tc>
        <w:tc>
          <w:tcPr>
            <w:tcW w:w="1192" w:type="pct"/>
            <w:tcBorders>
              <w:tl2br w:val="nil"/>
              <w:tr2bl w:val="nil"/>
            </w:tcBorders>
            <w:vAlign w:val="center"/>
          </w:tcPr>
          <w:p w14:paraId="499A11FD">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盐酸储罐发生泄漏</w:t>
            </w:r>
          </w:p>
        </w:tc>
        <w:tc>
          <w:tcPr>
            <w:tcW w:w="1008" w:type="pct"/>
            <w:tcBorders>
              <w:tl2br w:val="nil"/>
              <w:tr2bl w:val="nil"/>
            </w:tcBorders>
            <w:vAlign w:val="center"/>
          </w:tcPr>
          <w:p w14:paraId="1655B6C6">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10</w:t>
            </w:r>
          </w:p>
        </w:tc>
        <w:tc>
          <w:tcPr>
            <w:tcW w:w="733" w:type="pct"/>
            <w:tcBorders>
              <w:tl2br w:val="nil"/>
              <w:tr2bl w:val="nil"/>
            </w:tcBorders>
            <w:vAlign w:val="center"/>
          </w:tcPr>
          <w:p w14:paraId="18F58D42">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1.5</w:t>
            </w:r>
          </w:p>
        </w:tc>
        <w:tc>
          <w:tcPr>
            <w:tcW w:w="548" w:type="pct"/>
            <w:tcBorders>
              <w:tl2br w:val="nil"/>
              <w:tr2bl w:val="nil"/>
            </w:tcBorders>
            <w:vAlign w:val="center"/>
          </w:tcPr>
          <w:p w14:paraId="17EB23F9">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13.3</w:t>
            </w:r>
          </w:p>
        </w:tc>
        <w:tc>
          <w:tcPr>
            <w:tcW w:w="548" w:type="pct"/>
            <w:tcBorders>
              <w:tl2br w:val="nil"/>
              <w:tr2bl w:val="nil"/>
            </w:tcBorders>
            <w:vAlign w:val="center"/>
          </w:tcPr>
          <w:p w14:paraId="7B340A3C">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1200</w:t>
            </w:r>
          </w:p>
        </w:tc>
        <w:tc>
          <w:tcPr>
            <w:tcW w:w="509" w:type="pct"/>
            <w:tcBorders>
              <w:tl2br w:val="nil"/>
              <w:tr2bl w:val="nil"/>
            </w:tcBorders>
            <w:vAlign w:val="center"/>
          </w:tcPr>
          <w:p w14:paraId="5DCA19A8">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连续排放</w:t>
            </w:r>
          </w:p>
        </w:tc>
      </w:tr>
    </w:tbl>
    <w:p w14:paraId="5B556ED3">
      <w:pPr>
        <w:keepNext w:val="0"/>
        <w:keepLines w:val="0"/>
        <w:pageBreakBefore w:val="0"/>
        <w:widowControl w:val="0"/>
        <w:kinsoku/>
        <w:wordWrap/>
        <w:overflowPunct/>
        <w:topLinePunct w:val="0"/>
        <w:autoSpaceDE/>
        <w:autoSpaceDN/>
        <w:bidi w:val="0"/>
        <w:adjustRightInd/>
        <w:snapToGrid/>
        <w:spacing w:line="500" w:lineRule="exact"/>
        <w:ind w:firstLine="48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2、气体性质判断及模型选取</w:t>
      </w:r>
    </w:p>
    <w:p w14:paraId="6117F832">
      <w:pPr>
        <w:keepNext w:val="0"/>
        <w:keepLines w:val="0"/>
        <w:pageBreakBefore w:val="0"/>
        <w:widowControl w:val="0"/>
        <w:kinsoku/>
        <w:wordWrap/>
        <w:overflowPunct/>
        <w:topLinePunct w:val="0"/>
        <w:autoSpaceDE/>
        <w:autoSpaceDN/>
        <w:bidi w:val="0"/>
        <w:adjustRightInd/>
        <w:snapToGrid/>
        <w:spacing w:line="500" w:lineRule="exact"/>
        <w:ind w:firstLine="48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通常采用理查德森数（Ri）作为标准进行判断，在连续排放情况下Ri计算公式为：</w:t>
      </w:r>
    </w:p>
    <w:p w14:paraId="0C41EB78">
      <w:pPr>
        <w:pStyle w:val="105"/>
        <w:keepNext w:val="0"/>
        <w:keepLines w:val="0"/>
        <w:pageBreakBefore w:val="0"/>
        <w:widowControl w:val="0"/>
        <w:kinsoku/>
        <w:wordWrap/>
        <w:overflowPunct/>
        <w:topLinePunct w:val="0"/>
        <w:autoSpaceDE/>
        <w:autoSpaceDN/>
        <w:bidi w:val="0"/>
        <w:adjustRightInd/>
        <w:snapToGrid/>
        <w:spacing w:before="0" w:beforeLines="50"/>
        <w:textAlignment w:val="auto"/>
      </w:pPr>
      <w:r>
        <w:drawing>
          <wp:inline distT="0" distB="0" distL="0" distR="0">
            <wp:extent cx="1949450" cy="690880"/>
            <wp:effectExtent l="0" t="0" r="12700" b="1397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65"/>
                    <a:stretch>
                      <a:fillRect/>
                    </a:stretch>
                  </pic:blipFill>
                  <pic:spPr>
                    <a:xfrm>
                      <a:off x="0" y="0"/>
                      <a:ext cx="1964320" cy="696323"/>
                    </a:xfrm>
                    <a:prstGeom prst="rect">
                      <a:avLst/>
                    </a:prstGeom>
                  </pic:spPr>
                </pic:pic>
              </a:graphicData>
            </a:graphic>
          </wp:inline>
        </w:drawing>
      </w:r>
    </w:p>
    <w:p w14:paraId="1CFD2E22">
      <w:pPr>
        <w:keepNext w:val="0"/>
        <w:keepLines w:val="0"/>
        <w:pageBreakBefore w:val="0"/>
        <w:widowControl w:val="0"/>
        <w:kinsoku/>
        <w:wordWrap/>
        <w:overflowPunct/>
        <w:topLinePunct w:val="0"/>
        <w:autoSpaceDE/>
        <w:autoSpaceDN/>
        <w:bidi w:val="0"/>
        <w:adjustRightInd/>
        <w:snapToGrid/>
        <w:spacing w:line="500" w:lineRule="exact"/>
        <w:ind w:firstLine="48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式中：ρrel—排放物质进入大气的初始密度，kg/m</w:t>
      </w:r>
      <w:r>
        <w:rPr>
          <w:rFonts w:hint="default" w:ascii="Times New Roman" w:hAnsi="Times New Roman" w:eastAsia="仿宋_GB2312" w:cs="Times New Roman"/>
          <w:sz w:val="24"/>
          <w:szCs w:val="24"/>
          <w:vertAlign w:val="superscript"/>
        </w:rPr>
        <w:t>3</w:t>
      </w:r>
      <w:r>
        <w:rPr>
          <w:rFonts w:hint="default" w:ascii="Times New Roman" w:hAnsi="Times New Roman" w:eastAsia="仿宋_GB2312" w:cs="Times New Roman"/>
          <w:sz w:val="24"/>
          <w:szCs w:val="24"/>
        </w:rPr>
        <w:t>；</w:t>
      </w:r>
    </w:p>
    <w:p w14:paraId="79B74CE8">
      <w:pPr>
        <w:keepNext w:val="0"/>
        <w:keepLines w:val="0"/>
        <w:pageBreakBefore w:val="0"/>
        <w:widowControl w:val="0"/>
        <w:kinsoku/>
        <w:wordWrap/>
        <w:overflowPunct/>
        <w:topLinePunct w:val="0"/>
        <w:autoSpaceDE/>
        <w:autoSpaceDN/>
        <w:bidi w:val="0"/>
        <w:adjustRightInd/>
        <w:snapToGrid/>
        <w:spacing w:line="500" w:lineRule="exact"/>
        <w:ind w:firstLine="48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ρa—环境空气密度，kg/m</w:t>
      </w:r>
      <w:r>
        <w:rPr>
          <w:rFonts w:hint="default" w:ascii="Times New Roman" w:hAnsi="Times New Roman" w:eastAsia="仿宋_GB2312" w:cs="Times New Roman"/>
          <w:sz w:val="24"/>
          <w:szCs w:val="24"/>
          <w:vertAlign w:val="superscript"/>
        </w:rPr>
        <w:t>3</w:t>
      </w:r>
      <w:r>
        <w:rPr>
          <w:rFonts w:hint="default" w:ascii="Times New Roman" w:hAnsi="Times New Roman" w:eastAsia="仿宋_GB2312" w:cs="Times New Roman"/>
          <w:sz w:val="24"/>
          <w:szCs w:val="24"/>
        </w:rPr>
        <w:t>；</w:t>
      </w:r>
    </w:p>
    <w:p w14:paraId="35A8D5C5">
      <w:pPr>
        <w:keepNext w:val="0"/>
        <w:keepLines w:val="0"/>
        <w:pageBreakBefore w:val="0"/>
        <w:widowControl w:val="0"/>
        <w:kinsoku/>
        <w:wordWrap/>
        <w:overflowPunct/>
        <w:topLinePunct w:val="0"/>
        <w:autoSpaceDE/>
        <w:autoSpaceDN/>
        <w:bidi w:val="0"/>
        <w:adjustRightInd/>
        <w:snapToGrid/>
        <w:spacing w:line="500" w:lineRule="exact"/>
        <w:ind w:firstLine="48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Q—连续排放烟羽的排放速率，kg/s；</w:t>
      </w:r>
    </w:p>
    <w:p w14:paraId="2C70E8A6">
      <w:pPr>
        <w:keepNext w:val="0"/>
        <w:keepLines w:val="0"/>
        <w:pageBreakBefore w:val="0"/>
        <w:widowControl w:val="0"/>
        <w:kinsoku/>
        <w:wordWrap/>
        <w:overflowPunct/>
        <w:topLinePunct w:val="0"/>
        <w:autoSpaceDE/>
        <w:autoSpaceDN/>
        <w:bidi w:val="0"/>
        <w:adjustRightInd/>
        <w:snapToGrid/>
        <w:spacing w:line="500" w:lineRule="exact"/>
        <w:ind w:firstLine="48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Drel—初始的烟羽宽度，即源直径，m；</w:t>
      </w:r>
    </w:p>
    <w:p w14:paraId="390548DD">
      <w:pPr>
        <w:keepNext w:val="0"/>
        <w:keepLines w:val="0"/>
        <w:pageBreakBefore w:val="0"/>
        <w:widowControl w:val="0"/>
        <w:kinsoku/>
        <w:wordWrap/>
        <w:overflowPunct/>
        <w:topLinePunct w:val="0"/>
        <w:autoSpaceDE/>
        <w:autoSpaceDN/>
        <w:bidi w:val="0"/>
        <w:adjustRightInd/>
        <w:snapToGrid/>
        <w:spacing w:line="500" w:lineRule="exact"/>
        <w:ind w:firstLine="48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Ur—10m高处的风速，m/s。</w:t>
      </w:r>
    </w:p>
    <w:p w14:paraId="3FC387D8">
      <w:pPr>
        <w:keepNext w:val="0"/>
        <w:keepLines w:val="0"/>
        <w:pageBreakBefore w:val="0"/>
        <w:widowControl w:val="0"/>
        <w:kinsoku/>
        <w:wordWrap/>
        <w:overflowPunct/>
        <w:topLinePunct w:val="0"/>
        <w:autoSpaceDE/>
        <w:autoSpaceDN/>
        <w:bidi w:val="0"/>
        <w:adjustRightInd/>
        <w:snapToGrid/>
        <w:spacing w:line="500" w:lineRule="exact"/>
        <w:ind w:firstLine="48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对于连续排放，Ri≥1/6为重质气体，Ri＜1/6为轻质气体；对于瞬时排放，Ri＞0.04为重质气体，Ri≤0.04为轻质气体。根据计算可知，最不利气象条件下，</w:t>
      </w:r>
      <w:r>
        <w:rPr>
          <w:rFonts w:hint="eastAsia" w:ascii="Times New Roman" w:hAnsi="Times New Roman" w:eastAsia="仿宋_GB2312" w:cs="Times New Roman"/>
          <w:sz w:val="24"/>
          <w:szCs w:val="24"/>
          <w:lang w:val="en-US" w:eastAsia="zh-CN"/>
        </w:rPr>
        <w:t>氯化氢</w:t>
      </w:r>
      <w:r>
        <w:rPr>
          <w:rFonts w:hint="default" w:ascii="Times New Roman" w:hAnsi="Times New Roman" w:eastAsia="仿宋_GB2312" w:cs="Times New Roman"/>
          <w:sz w:val="24"/>
          <w:szCs w:val="24"/>
        </w:rPr>
        <w:t>为轻质气体，采用AFTOX模型。</w:t>
      </w:r>
    </w:p>
    <w:p w14:paraId="1A25D2AD">
      <w:pPr>
        <w:pStyle w:val="2"/>
        <w:keepNext/>
        <w:keepLines w:val="0"/>
        <w:pageBreakBefore w:val="0"/>
        <w:widowControl w:val="0"/>
        <w:kinsoku/>
        <w:wordWrap/>
        <w:overflowPunct w:val="0"/>
        <w:topLinePunct w:val="0"/>
        <w:autoSpaceDE/>
        <w:autoSpaceDN/>
        <w:bidi w:val="0"/>
        <w:adjustRightInd/>
        <w:snapToGrid w:val="0"/>
        <w:spacing w:before="0" w:after="0" w:line="500" w:lineRule="exact"/>
        <w:ind w:left="0" w:right="0" w:firstLine="0" w:firstLineChars="0"/>
        <w:jc w:val="both"/>
        <w:textAlignment w:val="auto"/>
        <w:outlineLvl w:val="2"/>
        <w:rPr>
          <w:rFonts w:hint="eastAsia" w:ascii="Times New Roman" w:hAnsi="Times New Roman" w:eastAsia="仿宋_GB2312" w:cs="Times New Roman"/>
          <w:b/>
          <w:bCs/>
          <w:sz w:val="24"/>
          <w:szCs w:val="24"/>
          <w:lang w:val="en-US" w:eastAsia="zh-CN"/>
        </w:rPr>
      </w:pPr>
      <w:bookmarkStart w:id="154" w:name="_Toc28680"/>
      <w:r>
        <w:rPr>
          <w:rFonts w:hint="eastAsia" w:ascii="Times New Roman" w:hAnsi="Times New Roman" w:eastAsia="仿宋_GB2312" w:cs="Times New Roman"/>
          <w:b/>
          <w:bCs/>
          <w:sz w:val="24"/>
          <w:szCs w:val="24"/>
          <w:lang w:val="en-US" w:eastAsia="zh-CN"/>
        </w:rPr>
        <w:t>3.4.2预测范围与计算点</w:t>
      </w:r>
      <w:bookmarkEnd w:id="154"/>
    </w:p>
    <w:p w14:paraId="42FBB068">
      <w:pPr>
        <w:keepNext w:val="0"/>
        <w:keepLines w:val="0"/>
        <w:pageBreakBefore w:val="0"/>
        <w:widowControl w:val="0"/>
        <w:kinsoku/>
        <w:wordWrap/>
        <w:overflowPunct/>
        <w:topLinePunct w:val="0"/>
        <w:autoSpaceDE/>
        <w:autoSpaceDN/>
        <w:bidi w:val="0"/>
        <w:adjustRightInd/>
        <w:snapToGrid/>
        <w:spacing w:line="500" w:lineRule="exact"/>
        <w:ind w:firstLine="48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本项目环境风险预测范围为建设项目周围5km范围。环境风险预测计算点包括网格点（一般计算点）和环境敏感点（特殊计算点），计算点设置的分辨率为50m间距。</w:t>
      </w:r>
    </w:p>
    <w:p w14:paraId="767CEEA2">
      <w:pPr>
        <w:pStyle w:val="2"/>
        <w:keepNext/>
        <w:keepLines w:val="0"/>
        <w:pageBreakBefore w:val="0"/>
        <w:widowControl w:val="0"/>
        <w:kinsoku/>
        <w:wordWrap/>
        <w:overflowPunct w:val="0"/>
        <w:topLinePunct w:val="0"/>
        <w:autoSpaceDE/>
        <w:autoSpaceDN/>
        <w:bidi w:val="0"/>
        <w:adjustRightInd/>
        <w:snapToGrid w:val="0"/>
        <w:spacing w:before="0" w:after="0" w:line="500" w:lineRule="exact"/>
        <w:ind w:left="0" w:right="0" w:firstLine="0" w:firstLineChars="0"/>
        <w:jc w:val="both"/>
        <w:textAlignment w:val="auto"/>
        <w:outlineLvl w:val="2"/>
        <w:rPr>
          <w:rFonts w:hint="eastAsia" w:ascii="Times New Roman" w:hAnsi="Times New Roman" w:eastAsia="仿宋_GB2312" w:cs="Times New Roman"/>
          <w:b/>
          <w:bCs/>
          <w:sz w:val="24"/>
          <w:szCs w:val="24"/>
          <w:lang w:val="en-US" w:eastAsia="zh-CN"/>
        </w:rPr>
      </w:pPr>
      <w:bookmarkStart w:id="155" w:name="_Toc11675"/>
      <w:r>
        <w:rPr>
          <w:rFonts w:hint="eastAsia" w:ascii="Times New Roman" w:hAnsi="Times New Roman" w:eastAsia="仿宋_GB2312" w:cs="Times New Roman"/>
          <w:b/>
          <w:bCs/>
          <w:sz w:val="24"/>
          <w:szCs w:val="24"/>
          <w:lang w:val="en-US" w:eastAsia="zh-CN"/>
        </w:rPr>
        <w:t>3.4.3事故源参数</w:t>
      </w:r>
      <w:bookmarkEnd w:id="155"/>
    </w:p>
    <w:p w14:paraId="5F21D7D3">
      <w:pPr>
        <w:keepNext w:val="0"/>
        <w:keepLines w:val="0"/>
        <w:pageBreakBefore w:val="0"/>
        <w:widowControl w:val="0"/>
        <w:kinsoku/>
        <w:wordWrap/>
        <w:overflowPunct/>
        <w:topLinePunct w:val="0"/>
        <w:autoSpaceDE/>
        <w:autoSpaceDN/>
        <w:bidi w:val="0"/>
        <w:adjustRightInd/>
        <w:snapToGrid/>
        <w:spacing w:line="500" w:lineRule="exact"/>
        <w:ind w:firstLine="48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由</w:t>
      </w:r>
      <w:r>
        <w:rPr>
          <w:rFonts w:hint="eastAsia" w:ascii="Times New Roman" w:hAnsi="Times New Roman" w:eastAsia="仿宋_GB2312" w:cs="Times New Roman"/>
          <w:sz w:val="24"/>
          <w:szCs w:val="24"/>
          <w:lang w:val="en-US" w:eastAsia="zh-CN"/>
        </w:rPr>
        <w:t>3</w:t>
      </w:r>
      <w:r>
        <w:rPr>
          <w:rFonts w:hint="default" w:ascii="Times New Roman" w:hAnsi="Times New Roman" w:eastAsia="仿宋_GB2312" w:cs="Times New Roman"/>
          <w:sz w:val="24"/>
          <w:szCs w:val="24"/>
        </w:rPr>
        <w:t>.</w:t>
      </w:r>
      <w:r>
        <w:rPr>
          <w:rFonts w:hint="eastAsia" w:ascii="Times New Roman" w:hAnsi="Times New Roman" w:eastAsia="仿宋_GB2312" w:cs="Times New Roman"/>
          <w:sz w:val="24"/>
          <w:szCs w:val="24"/>
          <w:lang w:val="en-US" w:eastAsia="zh-CN"/>
        </w:rPr>
        <w:t>3</w:t>
      </w:r>
      <w:r>
        <w:rPr>
          <w:rFonts w:hint="default" w:ascii="Times New Roman" w:hAnsi="Times New Roman" w:eastAsia="仿宋_GB2312" w:cs="Times New Roman"/>
          <w:sz w:val="24"/>
          <w:szCs w:val="24"/>
        </w:rPr>
        <w:t>章节计算可知，本项目事故排放源强见下表。</w:t>
      </w:r>
    </w:p>
    <w:p w14:paraId="505FEFDF">
      <w:pPr>
        <w:pageBreakBefore w:val="0"/>
        <w:kinsoku/>
        <w:wordWrap/>
        <w:bidi w:val="0"/>
        <w:adjustRightInd w:val="0"/>
        <w:snapToGrid w:val="0"/>
        <w:spacing w:beforeAutospacing="0" w:afterAutospacing="0" w:line="500" w:lineRule="exact"/>
        <w:ind w:left="0" w:leftChars="0" w:right="0"/>
        <w:jc w:val="center"/>
        <w:rPr>
          <w:rFonts w:hint="default" w:ascii="Times New Roman" w:hAnsi="Times New Roman" w:eastAsia="仿宋_GB2312" w:cs="Times New Roman"/>
          <w:b/>
          <w:color w:val="auto"/>
          <w:spacing w:val="0"/>
          <w:kern w:val="0"/>
          <w:position w:val="0"/>
          <w:szCs w:val="28"/>
        </w:rPr>
      </w:pPr>
      <w:r>
        <w:rPr>
          <w:rFonts w:hint="default" w:ascii="Times New Roman" w:hAnsi="Times New Roman" w:eastAsia="仿宋_GB2312" w:cs="Times New Roman"/>
          <w:b/>
          <w:color w:val="auto"/>
          <w:spacing w:val="0"/>
          <w:kern w:val="0"/>
          <w:position w:val="0"/>
          <w:szCs w:val="28"/>
        </w:rPr>
        <w:t>表</w:t>
      </w:r>
      <w:r>
        <w:rPr>
          <w:rFonts w:hint="eastAsia" w:ascii="Times New Roman" w:hAnsi="Times New Roman" w:eastAsia="仿宋_GB2312" w:cs="Times New Roman"/>
          <w:b/>
          <w:color w:val="auto"/>
          <w:spacing w:val="0"/>
          <w:kern w:val="0"/>
          <w:position w:val="0"/>
          <w:szCs w:val="28"/>
          <w:lang w:val="en-US" w:eastAsia="zh-CN"/>
        </w:rPr>
        <w:t>3</w:t>
      </w:r>
      <w:r>
        <w:rPr>
          <w:rFonts w:hint="default" w:ascii="Times New Roman" w:hAnsi="Times New Roman" w:eastAsia="仿宋_GB2312" w:cs="Times New Roman"/>
          <w:b/>
          <w:color w:val="auto"/>
          <w:spacing w:val="0"/>
          <w:kern w:val="0"/>
          <w:position w:val="0"/>
          <w:szCs w:val="28"/>
        </w:rPr>
        <w:t>.</w:t>
      </w:r>
      <w:r>
        <w:rPr>
          <w:rFonts w:hint="eastAsia" w:ascii="Times New Roman" w:hAnsi="Times New Roman" w:eastAsia="仿宋_GB2312" w:cs="Times New Roman"/>
          <w:b/>
          <w:color w:val="auto"/>
          <w:spacing w:val="0"/>
          <w:kern w:val="0"/>
          <w:position w:val="0"/>
          <w:szCs w:val="28"/>
          <w:lang w:val="en-US" w:eastAsia="zh-CN"/>
        </w:rPr>
        <w:t>4</w:t>
      </w:r>
      <w:r>
        <w:rPr>
          <w:rFonts w:hint="default" w:ascii="Times New Roman" w:hAnsi="Times New Roman" w:eastAsia="仿宋_GB2312" w:cs="Times New Roman"/>
          <w:b/>
          <w:color w:val="auto"/>
          <w:spacing w:val="0"/>
          <w:kern w:val="0"/>
          <w:position w:val="0"/>
          <w:szCs w:val="28"/>
        </w:rPr>
        <w:t xml:space="preserve">-2 </w:t>
      </w:r>
      <w:r>
        <w:rPr>
          <w:rFonts w:hint="eastAsia" w:ascii="Times New Roman" w:hAnsi="Times New Roman" w:eastAsia="仿宋_GB2312" w:cs="Times New Roman"/>
          <w:b/>
          <w:color w:val="auto"/>
          <w:spacing w:val="0"/>
          <w:kern w:val="0"/>
          <w:position w:val="0"/>
          <w:szCs w:val="28"/>
          <w:lang w:val="en-US" w:eastAsia="zh-CN"/>
        </w:rPr>
        <w:t xml:space="preserve"> </w:t>
      </w:r>
      <w:r>
        <w:rPr>
          <w:rFonts w:hint="default" w:ascii="Times New Roman" w:hAnsi="Times New Roman" w:eastAsia="仿宋_GB2312" w:cs="Times New Roman"/>
          <w:b/>
          <w:color w:val="auto"/>
          <w:spacing w:val="0"/>
          <w:kern w:val="0"/>
          <w:position w:val="0"/>
          <w:szCs w:val="28"/>
        </w:rPr>
        <w:t>事故排放主要计算参数</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39"/>
        <w:gridCol w:w="952"/>
        <w:gridCol w:w="952"/>
        <w:gridCol w:w="1587"/>
        <w:gridCol w:w="952"/>
        <w:gridCol w:w="1323"/>
        <w:gridCol w:w="1783"/>
      </w:tblGrid>
      <w:tr w14:paraId="1CC9F0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936" w:type="pct"/>
            <w:tcBorders>
              <w:tl2br w:val="nil"/>
              <w:tr2bl w:val="nil"/>
            </w:tcBorders>
            <w:shd w:val="clear" w:color="auto" w:fill="auto"/>
            <w:vAlign w:val="center"/>
          </w:tcPr>
          <w:p w14:paraId="16B6FC23">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b/>
                <w:bCs/>
                <w:color w:val="auto"/>
                <w:spacing w:val="0"/>
                <w:kern w:val="0"/>
                <w:position w:val="0"/>
                <w:sz w:val="21"/>
                <w:szCs w:val="21"/>
                <w:lang w:val="en-US" w:eastAsia="zh-CN"/>
              </w:rPr>
            </w:pPr>
            <w:r>
              <w:rPr>
                <w:rFonts w:hint="eastAsia" w:ascii="Times New Roman" w:hAnsi="Times New Roman" w:eastAsia="仿宋_GB2312" w:cs="Times New Roman"/>
                <w:b/>
                <w:bCs/>
                <w:color w:val="auto"/>
                <w:spacing w:val="0"/>
                <w:kern w:val="0"/>
                <w:position w:val="0"/>
                <w:sz w:val="21"/>
                <w:szCs w:val="21"/>
                <w:lang w:val="en-US" w:eastAsia="zh-CN"/>
              </w:rPr>
              <w:t>事故情景</w:t>
            </w:r>
          </w:p>
        </w:tc>
        <w:tc>
          <w:tcPr>
            <w:tcW w:w="512" w:type="pct"/>
            <w:tcBorders>
              <w:tl2br w:val="nil"/>
              <w:tr2bl w:val="nil"/>
            </w:tcBorders>
            <w:vAlign w:val="center"/>
          </w:tcPr>
          <w:p w14:paraId="6BC0E4DB">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b/>
                <w:bCs/>
                <w:color w:val="auto"/>
                <w:spacing w:val="0"/>
                <w:kern w:val="0"/>
                <w:position w:val="0"/>
                <w:sz w:val="21"/>
                <w:szCs w:val="21"/>
                <w:lang w:val="en-US" w:eastAsia="zh-CN"/>
              </w:rPr>
            </w:pPr>
            <w:r>
              <w:rPr>
                <w:rFonts w:hint="eastAsia" w:ascii="Times New Roman" w:hAnsi="Times New Roman" w:eastAsia="仿宋_GB2312" w:cs="Times New Roman"/>
                <w:b/>
                <w:bCs/>
                <w:color w:val="auto"/>
                <w:spacing w:val="0"/>
                <w:kern w:val="0"/>
                <w:position w:val="0"/>
                <w:sz w:val="21"/>
                <w:szCs w:val="21"/>
                <w:lang w:val="en-US" w:eastAsia="zh-CN"/>
              </w:rPr>
              <w:t>危险物质</w:t>
            </w:r>
          </w:p>
        </w:tc>
        <w:tc>
          <w:tcPr>
            <w:tcW w:w="512" w:type="pct"/>
            <w:tcBorders>
              <w:tl2br w:val="nil"/>
              <w:tr2bl w:val="nil"/>
            </w:tcBorders>
            <w:shd w:val="clear" w:color="auto" w:fill="auto"/>
            <w:vAlign w:val="center"/>
          </w:tcPr>
          <w:p w14:paraId="698C9247">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b/>
                <w:bCs/>
                <w:color w:val="auto"/>
                <w:spacing w:val="0"/>
                <w:kern w:val="0"/>
                <w:position w:val="0"/>
                <w:sz w:val="21"/>
                <w:szCs w:val="21"/>
                <w:lang w:val="en-US" w:eastAsia="zh-CN"/>
              </w:rPr>
            </w:pPr>
            <w:r>
              <w:rPr>
                <w:rFonts w:hint="eastAsia" w:ascii="Times New Roman" w:hAnsi="Times New Roman" w:eastAsia="仿宋_GB2312" w:cs="Times New Roman"/>
                <w:b/>
                <w:bCs/>
                <w:color w:val="auto"/>
                <w:spacing w:val="0"/>
                <w:kern w:val="0"/>
                <w:position w:val="0"/>
                <w:sz w:val="21"/>
                <w:szCs w:val="21"/>
                <w:lang w:val="en-US" w:eastAsia="zh-CN"/>
              </w:rPr>
              <w:t>释放高度/m</w:t>
            </w:r>
          </w:p>
        </w:tc>
        <w:tc>
          <w:tcPr>
            <w:tcW w:w="854" w:type="pct"/>
            <w:tcBorders>
              <w:tl2br w:val="nil"/>
              <w:tr2bl w:val="nil"/>
            </w:tcBorders>
            <w:shd w:val="clear" w:color="auto" w:fill="auto"/>
            <w:vAlign w:val="center"/>
          </w:tcPr>
          <w:p w14:paraId="189469D1">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b/>
                <w:bCs/>
                <w:color w:val="auto"/>
                <w:spacing w:val="0"/>
                <w:kern w:val="0"/>
                <w:position w:val="0"/>
                <w:sz w:val="21"/>
                <w:szCs w:val="21"/>
                <w:lang w:val="en-US" w:eastAsia="zh-CN"/>
              </w:rPr>
            </w:pPr>
            <w:r>
              <w:rPr>
                <w:rFonts w:hint="eastAsia" w:ascii="Times New Roman" w:hAnsi="Times New Roman" w:eastAsia="仿宋_GB2312" w:cs="Times New Roman"/>
                <w:b/>
                <w:bCs/>
                <w:color w:val="auto"/>
                <w:spacing w:val="0"/>
                <w:kern w:val="0"/>
                <w:position w:val="0"/>
                <w:sz w:val="21"/>
                <w:szCs w:val="21"/>
                <w:lang w:val="en-US" w:eastAsia="zh-CN"/>
              </w:rPr>
              <w:t>物质排放速率（kg/s）</w:t>
            </w:r>
          </w:p>
        </w:tc>
        <w:tc>
          <w:tcPr>
            <w:tcW w:w="512" w:type="pct"/>
            <w:tcBorders>
              <w:tl2br w:val="nil"/>
              <w:tr2bl w:val="nil"/>
            </w:tcBorders>
            <w:shd w:val="clear" w:color="auto" w:fill="auto"/>
            <w:vAlign w:val="center"/>
          </w:tcPr>
          <w:p w14:paraId="1D69E2B0">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b/>
                <w:bCs/>
                <w:color w:val="auto"/>
                <w:spacing w:val="0"/>
                <w:kern w:val="0"/>
                <w:position w:val="0"/>
                <w:sz w:val="21"/>
                <w:szCs w:val="21"/>
                <w:lang w:val="en-US" w:eastAsia="zh-CN"/>
              </w:rPr>
            </w:pPr>
            <w:r>
              <w:rPr>
                <w:rFonts w:hint="eastAsia" w:ascii="Times New Roman" w:hAnsi="Times New Roman" w:eastAsia="仿宋_GB2312" w:cs="Times New Roman"/>
                <w:b/>
                <w:bCs/>
                <w:color w:val="auto"/>
                <w:spacing w:val="0"/>
                <w:kern w:val="0"/>
                <w:position w:val="0"/>
                <w:sz w:val="21"/>
                <w:szCs w:val="21"/>
                <w:lang w:val="en-US" w:eastAsia="zh-CN"/>
              </w:rPr>
              <w:t>排放时长/min</w:t>
            </w:r>
          </w:p>
        </w:tc>
        <w:tc>
          <w:tcPr>
            <w:tcW w:w="712" w:type="pct"/>
            <w:tcBorders>
              <w:tl2br w:val="nil"/>
              <w:tr2bl w:val="nil"/>
            </w:tcBorders>
            <w:shd w:val="clear" w:color="auto" w:fill="auto"/>
            <w:vAlign w:val="center"/>
          </w:tcPr>
          <w:p w14:paraId="3831802A">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b/>
                <w:bCs/>
                <w:color w:val="auto"/>
                <w:spacing w:val="0"/>
                <w:kern w:val="0"/>
                <w:position w:val="0"/>
                <w:sz w:val="21"/>
                <w:szCs w:val="21"/>
                <w:lang w:val="en-US" w:eastAsia="zh-CN"/>
              </w:rPr>
            </w:pPr>
            <w:r>
              <w:rPr>
                <w:rFonts w:hint="eastAsia" w:ascii="Times New Roman" w:hAnsi="Times New Roman" w:eastAsia="仿宋_GB2312" w:cs="Times New Roman"/>
                <w:b/>
                <w:bCs/>
                <w:color w:val="auto"/>
                <w:spacing w:val="0"/>
                <w:kern w:val="0"/>
                <w:position w:val="0"/>
                <w:sz w:val="21"/>
                <w:szCs w:val="21"/>
                <w:lang w:val="en-US" w:eastAsia="zh-CN"/>
              </w:rPr>
              <w:t>土地利用类型</w:t>
            </w:r>
          </w:p>
        </w:tc>
        <w:tc>
          <w:tcPr>
            <w:tcW w:w="959" w:type="pct"/>
            <w:tcBorders>
              <w:tl2br w:val="nil"/>
              <w:tr2bl w:val="nil"/>
            </w:tcBorders>
            <w:shd w:val="clear" w:color="auto" w:fill="auto"/>
            <w:vAlign w:val="center"/>
          </w:tcPr>
          <w:p w14:paraId="70528B09">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b/>
                <w:bCs/>
                <w:color w:val="auto"/>
                <w:spacing w:val="0"/>
                <w:kern w:val="0"/>
                <w:position w:val="0"/>
                <w:sz w:val="21"/>
                <w:szCs w:val="21"/>
                <w:lang w:val="en-US" w:eastAsia="zh-CN"/>
              </w:rPr>
            </w:pPr>
            <w:r>
              <w:rPr>
                <w:rFonts w:hint="eastAsia" w:ascii="Times New Roman" w:hAnsi="Times New Roman" w:eastAsia="仿宋_GB2312" w:cs="Times New Roman"/>
                <w:b/>
                <w:bCs/>
                <w:color w:val="auto"/>
                <w:spacing w:val="0"/>
                <w:kern w:val="0"/>
                <w:position w:val="0"/>
                <w:sz w:val="21"/>
                <w:szCs w:val="21"/>
                <w:lang w:val="en-US" w:eastAsia="zh-CN"/>
              </w:rPr>
              <w:t>预测模型</w:t>
            </w:r>
          </w:p>
        </w:tc>
      </w:tr>
      <w:tr w14:paraId="616475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6" w:type="pct"/>
            <w:tcBorders>
              <w:tl2br w:val="nil"/>
              <w:tr2bl w:val="nil"/>
            </w:tcBorders>
            <w:shd w:val="clear" w:color="auto" w:fill="auto"/>
            <w:vAlign w:val="center"/>
          </w:tcPr>
          <w:p w14:paraId="3A8189D6">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盐酸储罐发生泄漏</w:t>
            </w:r>
          </w:p>
        </w:tc>
        <w:tc>
          <w:tcPr>
            <w:tcW w:w="512" w:type="pct"/>
            <w:tcBorders>
              <w:tl2br w:val="nil"/>
              <w:tr2bl w:val="nil"/>
            </w:tcBorders>
            <w:vAlign w:val="center"/>
          </w:tcPr>
          <w:p w14:paraId="069C8F29">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30%盐酸</w:t>
            </w:r>
          </w:p>
        </w:tc>
        <w:tc>
          <w:tcPr>
            <w:tcW w:w="512" w:type="pct"/>
            <w:tcBorders>
              <w:tl2br w:val="nil"/>
              <w:tr2bl w:val="nil"/>
            </w:tcBorders>
            <w:shd w:val="clear" w:color="auto" w:fill="auto"/>
            <w:vAlign w:val="center"/>
          </w:tcPr>
          <w:p w14:paraId="6D25D01E">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3</w:t>
            </w:r>
          </w:p>
        </w:tc>
        <w:tc>
          <w:tcPr>
            <w:tcW w:w="854" w:type="pct"/>
            <w:tcBorders>
              <w:tl2br w:val="nil"/>
              <w:tr2bl w:val="nil"/>
            </w:tcBorders>
            <w:shd w:val="clear" w:color="auto" w:fill="auto"/>
            <w:vAlign w:val="center"/>
          </w:tcPr>
          <w:p w14:paraId="72D8A406">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0.450</w:t>
            </w:r>
          </w:p>
        </w:tc>
        <w:tc>
          <w:tcPr>
            <w:tcW w:w="512" w:type="pct"/>
            <w:tcBorders>
              <w:tl2br w:val="nil"/>
              <w:tr2bl w:val="nil"/>
            </w:tcBorders>
            <w:shd w:val="clear" w:color="auto" w:fill="auto"/>
            <w:vAlign w:val="center"/>
          </w:tcPr>
          <w:p w14:paraId="1D459F83">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20</w:t>
            </w:r>
          </w:p>
        </w:tc>
        <w:tc>
          <w:tcPr>
            <w:tcW w:w="712" w:type="pct"/>
            <w:tcBorders>
              <w:tl2br w:val="nil"/>
              <w:tr2bl w:val="nil"/>
            </w:tcBorders>
            <w:shd w:val="clear" w:color="auto" w:fill="auto"/>
            <w:vAlign w:val="center"/>
          </w:tcPr>
          <w:p w14:paraId="48A9089C">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建设用地</w:t>
            </w:r>
          </w:p>
        </w:tc>
        <w:tc>
          <w:tcPr>
            <w:tcW w:w="959" w:type="pct"/>
            <w:tcBorders>
              <w:tl2br w:val="nil"/>
              <w:tr2bl w:val="nil"/>
            </w:tcBorders>
            <w:shd w:val="clear" w:color="auto" w:fill="auto"/>
            <w:vAlign w:val="center"/>
          </w:tcPr>
          <w:p w14:paraId="0B3A94A2">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AFTOX模型</w:t>
            </w:r>
          </w:p>
        </w:tc>
      </w:tr>
    </w:tbl>
    <w:p w14:paraId="64481708">
      <w:pPr>
        <w:pStyle w:val="2"/>
        <w:keepNext/>
        <w:keepLines w:val="0"/>
        <w:pageBreakBefore w:val="0"/>
        <w:widowControl w:val="0"/>
        <w:kinsoku/>
        <w:wordWrap/>
        <w:overflowPunct w:val="0"/>
        <w:topLinePunct w:val="0"/>
        <w:autoSpaceDE/>
        <w:autoSpaceDN/>
        <w:bidi w:val="0"/>
        <w:adjustRightInd/>
        <w:snapToGrid w:val="0"/>
        <w:spacing w:before="0" w:after="0" w:line="500" w:lineRule="exact"/>
        <w:ind w:left="0" w:right="0" w:firstLine="0" w:firstLineChars="0"/>
        <w:jc w:val="both"/>
        <w:textAlignment w:val="auto"/>
        <w:outlineLvl w:val="2"/>
        <w:rPr>
          <w:rFonts w:hint="eastAsia" w:ascii="Times New Roman" w:hAnsi="Times New Roman" w:eastAsia="仿宋_GB2312" w:cs="Times New Roman"/>
          <w:b/>
          <w:bCs/>
          <w:sz w:val="24"/>
          <w:szCs w:val="24"/>
          <w:lang w:val="en-US" w:eastAsia="zh-CN"/>
        </w:rPr>
      </w:pPr>
      <w:bookmarkStart w:id="156" w:name="_Toc19105"/>
      <w:r>
        <w:rPr>
          <w:rFonts w:hint="eastAsia" w:ascii="Times New Roman" w:hAnsi="Times New Roman" w:eastAsia="仿宋_GB2312" w:cs="Times New Roman"/>
          <w:b/>
          <w:bCs/>
          <w:sz w:val="24"/>
          <w:szCs w:val="24"/>
          <w:lang w:val="en-US" w:eastAsia="zh-CN"/>
        </w:rPr>
        <w:t>3.4.4模型主要参数</w:t>
      </w:r>
      <w:bookmarkEnd w:id="156"/>
    </w:p>
    <w:p w14:paraId="65B5D30D">
      <w:pPr>
        <w:keepNext w:val="0"/>
        <w:keepLines w:val="0"/>
        <w:pageBreakBefore w:val="0"/>
        <w:widowControl w:val="0"/>
        <w:kinsoku/>
        <w:wordWrap/>
        <w:overflowPunct/>
        <w:topLinePunct w:val="0"/>
        <w:autoSpaceDE/>
        <w:autoSpaceDN/>
        <w:bidi w:val="0"/>
        <w:adjustRightInd/>
        <w:snapToGrid/>
        <w:spacing w:line="500" w:lineRule="exact"/>
        <w:ind w:firstLine="48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模型主要参数详见下表。</w:t>
      </w:r>
    </w:p>
    <w:p w14:paraId="28AFFAF0">
      <w:pPr>
        <w:pageBreakBefore w:val="0"/>
        <w:kinsoku/>
        <w:wordWrap/>
        <w:bidi w:val="0"/>
        <w:adjustRightInd w:val="0"/>
        <w:snapToGrid w:val="0"/>
        <w:spacing w:beforeAutospacing="0" w:afterAutospacing="0" w:line="500" w:lineRule="exact"/>
        <w:ind w:left="0" w:leftChars="0" w:right="0"/>
        <w:jc w:val="center"/>
        <w:rPr>
          <w:rFonts w:hint="default" w:ascii="Times New Roman" w:hAnsi="Times New Roman" w:eastAsia="仿宋_GB2312" w:cs="Times New Roman"/>
          <w:b/>
          <w:color w:val="auto"/>
          <w:spacing w:val="0"/>
          <w:kern w:val="0"/>
          <w:position w:val="0"/>
          <w:szCs w:val="28"/>
        </w:rPr>
      </w:pPr>
      <w:r>
        <w:rPr>
          <w:rFonts w:hint="default" w:ascii="Times New Roman" w:hAnsi="Times New Roman" w:eastAsia="仿宋_GB2312" w:cs="Times New Roman"/>
          <w:b/>
          <w:color w:val="auto"/>
          <w:spacing w:val="0"/>
          <w:kern w:val="0"/>
          <w:position w:val="0"/>
          <w:szCs w:val="28"/>
        </w:rPr>
        <w:t>表</w:t>
      </w:r>
      <w:r>
        <w:rPr>
          <w:rFonts w:hint="eastAsia" w:ascii="Times New Roman" w:hAnsi="Times New Roman" w:eastAsia="仿宋_GB2312" w:cs="Times New Roman"/>
          <w:b/>
          <w:color w:val="auto"/>
          <w:spacing w:val="0"/>
          <w:kern w:val="0"/>
          <w:position w:val="0"/>
          <w:szCs w:val="28"/>
          <w:lang w:val="en-US" w:eastAsia="zh-CN"/>
        </w:rPr>
        <w:t>3</w:t>
      </w:r>
      <w:r>
        <w:rPr>
          <w:rFonts w:hint="default" w:ascii="Times New Roman" w:hAnsi="Times New Roman" w:eastAsia="仿宋_GB2312" w:cs="Times New Roman"/>
          <w:b/>
          <w:color w:val="auto"/>
          <w:spacing w:val="0"/>
          <w:kern w:val="0"/>
          <w:position w:val="0"/>
          <w:szCs w:val="28"/>
        </w:rPr>
        <w:t>.</w:t>
      </w:r>
      <w:r>
        <w:rPr>
          <w:rFonts w:hint="eastAsia" w:ascii="Times New Roman" w:hAnsi="Times New Roman" w:eastAsia="仿宋_GB2312" w:cs="Times New Roman"/>
          <w:b/>
          <w:color w:val="auto"/>
          <w:spacing w:val="0"/>
          <w:kern w:val="0"/>
          <w:position w:val="0"/>
          <w:szCs w:val="28"/>
          <w:lang w:val="en-US" w:eastAsia="zh-CN"/>
        </w:rPr>
        <w:t>4</w:t>
      </w:r>
      <w:r>
        <w:rPr>
          <w:rFonts w:hint="default" w:ascii="Times New Roman" w:hAnsi="Times New Roman" w:eastAsia="仿宋_GB2312" w:cs="Times New Roman"/>
          <w:b/>
          <w:color w:val="auto"/>
          <w:spacing w:val="0"/>
          <w:kern w:val="0"/>
          <w:position w:val="0"/>
          <w:szCs w:val="28"/>
        </w:rPr>
        <w:t>-</w:t>
      </w:r>
      <w:r>
        <w:rPr>
          <w:rFonts w:hint="eastAsia" w:ascii="Times New Roman" w:hAnsi="Times New Roman" w:eastAsia="仿宋_GB2312" w:cs="Times New Roman"/>
          <w:b/>
          <w:color w:val="auto"/>
          <w:spacing w:val="0"/>
          <w:kern w:val="0"/>
          <w:position w:val="0"/>
          <w:szCs w:val="28"/>
          <w:lang w:val="en-US" w:eastAsia="zh-CN"/>
        </w:rPr>
        <w:t xml:space="preserve">3 </w:t>
      </w:r>
      <w:r>
        <w:rPr>
          <w:rFonts w:hint="default" w:ascii="Times New Roman" w:hAnsi="Times New Roman" w:eastAsia="仿宋_GB2312" w:cs="Times New Roman"/>
          <w:b/>
          <w:color w:val="auto"/>
          <w:spacing w:val="0"/>
          <w:kern w:val="0"/>
          <w:position w:val="0"/>
          <w:szCs w:val="28"/>
        </w:rPr>
        <w:t xml:space="preserve"> </w:t>
      </w:r>
      <w:r>
        <w:rPr>
          <w:rFonts w:hint="eastAsia" w:ascii="Times New Roman" w:hAnsi="Times New Roman" w:eastAsia="仿宋_GB2312" w:cs="Times New Roman"/>
          <w:b/>
          <w:color w:val="auto"/>
          <w:spacing w:val="0"/>
          <w:kern w:val="0"/>
          <w:position w:val="0"/>
          <w:szCs w:val="28"/>
          <w:lang w:val="en-US" w:eastAsia="zh-CN"/>
        </w:rPr>
        <w:t>盐酸</w:t>
      </w:r>
      <w:r>
        <w:rPr>
          <w:rFonts w:hint="default" w:ascii="Times New Roman" w:hAnsi="Times New Roman" w:eastAsia="仿宋_GB2312" w:cs="Times New Roman"/>
          <w:b/>
          <w:color w:val="auto"/>
          <w:spacing w:val="0"/>
          <w:kern w:val="0"/>
          <w:position w:val="0"/>
          <w:szCs w:val="28"/>
        </w:rPr>
        <w:t>储罐泄漏大气风险预测模型主要参数</w:t>
      </w:r>
    </w:p>
    <w:tbl>
      <w:tblPr>
        <w:tblStyle w:val="3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86"/>
        <w:gridCol w:w="3301"/>
        <w:gridCol w:w="2342"/>
        <w:gridCol w:w="2259"/>
      </w:tblGrid>
      <w:tr w14:paraId="5CC18E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46" w:type="pct"/>
            <w:tcBorders>
              <w:tl2br w:val="nil"/>
              <w:tr2bl w:val="nil"/>
            </w:tcBorders>
            <w:shd w:val="clear" w:color="auto" w:fill="auto"/>
            <w:vAlign w:val="center"/>
          </w:tcPr>
          <w:p w14:paraId="6BC811B8">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参数类型</w:t>
            </w:r>
          </w:p>
        </w:tc>
        <w:tc>
          <w:tcPr>
            <w:tcW w:w="1777" w:type="pct"/>
            <w:tcBorders>
              <w:tl2br w:val="nil"/>
              <w:tr2bl w:val="nil"/>
            </w:tcBorders>
            <w:shd w:val="clear" w:color="auto" w:fill="auto"/>
            <w:vAlign w:val="center"/>
          </w:tcPr>
          <w:p w14:paraId="6320FA64">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选项</w:t>
            </w:r>
          </w:p>
        </w:tc>
        <w:tc>
          <w:tcPr>
            <w:tcW w:w="2478" w:type="pct"/>
            <w:gridSpan w:val="2"/>
            <w:tcBorders>
              <w:tl2br w:val="nil"/>
              <w:tr2bl w:val="nil"/>
            </w:tcBorders>
            <w:shd w:val="clear" w:color="auto" w:fill="auto"/>
            <w:vAlign w:val="center"/>
          </w:tcPr>
          <w:p w14:paraId="42AD7FEB">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参数</w:t>
            </w:r>
          </w:p>
        </w:tc>
      </w:tr>
      <w:tr w14:paraId="2671E0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6" w:type="pct"/>
            <w:vMerge w:val="restart"/>
            <w:tcBorders>
              <w:tl2br w:val="nil"/>
              <w:tr2bl w:val="nil"/>
            </w:tcBorders>
            <w:shd w:val="clear" w:color="auto" w:fill="auto"/>
            <w:vAlign w:val="center"/>
          </w:tcPr>
          <w:p w14:paraId="49850F26">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基本情况</w:t>
            </w:r>
          </w:p>
        </w:tc>
        <w:tc>
          <w:tcPr>
            <w:tcW w:w="1777" w:type="pct"/>
            <w:tcBorders>
              <w:tl2br w:val="nil"/>
              <w:tr2bl w:val="nil"/>
            </w:tcBorders>
            <w:shd w:val="clear" w:color="auto" w:fill="auto"/>
            <w:vAlign w:val="center"/>
          </w:tcPr>
          <w:p w14:paraId="33BE6DD2">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事故源经度/°</w:t>
            </w:r>
          </w:p>
        </w:tc>
        <w:tc>
          <w:tcPr>
            <w:tcW w:w="2478" w:type="pct"/>
            <w:gridSpan w:val="2"/>
            <w:tcBorders>
              <w:tl2br w:val="nil"/>
              <w:tr2bl w:val="nil"/>
            </w:tcBorders>
            <w:shd w:val="clear" w:color="auto" w:fill="auto"/>
            <w:vAlign w:val="center"/>
          </w:tcPr>
          <w:p w14:paraId="0BB051B6">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119.581536</w:t>
            </w:r>
          </w:p>
        </w:tc>
      </w:tr>
      <w:tr w14:paraId="613EEF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6" w:type="pct"/>
            <w:vMerge w:val="continue"/>
            <w:tcBorders>
              <w:tl2br w:val="nil"/>
              <w:tr2bl w:val="nil"/>
            </w:tcBorders>
            <w:shd w:val="clear" w:color="auto" w:fill="auto"/>
            <w:vAlign w:val="center"/>
          </w:tcPr>
          <w:p w14:paraId="40365D46">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p>
        </w:tc>
        <w:tc>
          <w:tcPr>
            <w:tcW w:w="1777" w:type="pct"/>
            <w:tcBorders>
              <w:tl2br w:val="nil"/>
              <w:tr2bl w:val="nil"/>
            </w:tcBorders>
            <w:shd w:val="clear" w:color="auto" w:fill="auto"/>
            <w:vAlign w:val="center"/>
          </w:tcPr>
          <w:p w14:paraId="409CEF05">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事故源纬度/°</w:t>
            </w:r>
          </w:p>
        </w:tc>
        <w:tc>
          <w:tcPr>
            <w:tcW w:w="2478" w:type="pct"/>
            <w:gridSpan w:val="2"/>
            <w:tcBorders>
              <w:tl2br w:val="nil"/>
              <w:tr2bl w:val="nil"/>
            </w:tcBorders>
            <w:shd w:val="clear" w:color="auto" w:fill="auto"/>
            <w:vAlign w:val="center"/>
          </w:tcPr>
          <w:p w14:paraId="0FE07657">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31.775461</w:t>
            </w:r>
          </w:p>
        </w:tc>
      </w:tr>
      <w:tr w14:paraId="4B2B59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6" w:type="pct"/>
            <w:vMerge w:val="continue"/>
            <w:tcBorders>
              <w:tl2br w:val="nil"/>
              <w:tr2bl w:val="nil"/>
            </w:tcBorders>
            <w:shd w:val="clear" w:color="auto" w:fill="auto"/>
            <w:vAlign w:val="center"/>
          </w:tcPr>
          <w:p w14:paraId="2C5C7ECE">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p>
        </w:tc>
        <w:tc>
          <w:tcPr>
            <w:tcW w:w="1777" w:type="pct"/>
            <w:tcBorders>
              <w:tl2br w:val="nil"/>
              <w:tr2bl w:val="nil"/>
            </w:tcBorders>
            <w:shd w:val="clear" w:color="auto" w:fill="auto"/>
            <w:vAlign w:val="center"/>
          </w:tcPr>
          <w:p w14:paraId="38765B65">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事故源类型</w:t>
            </w:r>
          </w:p>
        </w:tc>
        <w:tc>
          <w:tcPr>
            <w:tcW w:w="2478" w:type="pct"/>
            <w:gridSpan w:val="2"/>
            <w:tcBorders>
              <w:tl2br w:val="nil"/>
              <w:tr2bl w:val="nil"/>
            </w:tcBorders>
            <w:shd w:val="clear" w:color="auto" w:fill="auto"/>
            <w:vAlign w:val="center"/>
          </w:tcPr>
          <w:p w14:paraId="1C5149AA">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盐酸储罐发生泄漏</w:t>
            </w:r>
          </w:p>
        </w:tc>
      </w:tr>
      <w:tr w14:paraId="23D4EC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6" w:type="pct"/>
            <w:vMerge w:val="restart"/>
            <w:tcBorders>
              <w:tl2br w:val="nil"/>
              <w:tr2bl w:val="nil"/>
            </w:tcBorders>
            <w:vAlign w:val="center"/>
          </w:tcPr>
          <w:p w14:paraId="572A5C94">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气象参数</w:t>
            </w:r>
          </w:p>
        </w:tc>
        <w:tc>
          <w:tcPr>
            <w:tcW w:w="1777" w:type="pct"/>
            <w:tcBorders>
              <w:tl2br w:val="nil"/>
              <w:tr2bl w:val="nil"/>
            </w:tcBorders>
            <w:vAlign w:val="center"/>
          </w:tcPr>
          <w:p w14:paraId="58F616B0">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气象条件类型</w:t>
            </w:r>
          </w:p>
        </w:tc>
        <w:tc>
          <w:tcPr>
            <w:tcW w:w="1261" w:type="pct"/>
            <w:tcBorders>
              <w:tl2br w:val="nil"/>
              <w:tr2bl w:val="nil"/>
            </w:tcBorders>
            <w:vAlign w:val="center"/>
          </w:tcPr>
          <w:p w14:paraId="28042B59">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最不利气象</w:t>
            </w:r>
          </w:p>
        </w:tc>
        <w:tc>
          <w:tcPr>
            <w:tcW w:w="1217" w:type="pct"/>
            <w:tcBorders>
              <w:tl2br w:val="nil"/>
              <w:tr2bl w:val="nil"/>
            </w:tcBorders>
            <w:vAlign w:val="center"/>
          </w:tcPr>
          <w:p w14:paraId="07D1696E">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最常见气象</w:t>
            </w:r>
          </w:p>
        </w:tc>
      </w:tr>
      <w:tr w14:paraId="5EB248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6" w:type="pct"/>
            <w:vMerge w:val="continue"/>
            <w:tcBorders>
              <w:tl2br w:val="nil"/>
              <w:tr2bl w:val="nil"/>
            </w:tcBorders>
            <w:vAlign w:val="center"/>
          </w:tcPr>
          <w:p w14:paraId="5DFFB005">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p>
        </w:tc>
        <w:tc>
          <w:tcPr>
            <w:tcW w:w="1777" w:type="pct"/>
            <w:tcBorders>
              <w:tl2br w:val="nil"/>
              <w:tr2bl w:val="nil"/>
            </w:tcBorders>
            <w:vAlign w:val="center"/>
          </w:tcPr>
          <w:p w14:paraId="7AE473BF">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风速（m/s）</w:t>
            </w:r>
          </w:p>
        </w:tc>
        <w:tc>
          <w:tcPr>
            <w:tcW w:w="1261" w:type="pct"/>
            <w:tcBorders>
              <w:tl2br w:val="nil"/>
              <w:tr2bl w:val="nil"/>
            </w:tcBorders>
            <w:vAlign w:val="center"/>
          </w:tcPr>
          <w:p w14:paraId="74364530">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1.5</w:t>
            </w:r>
          </w:p>
        </w:tc>
        <w:tc>
          <w:tcPr>
            <w:tcW w:w="1217" w:type="pct"/>
            <w:tcBorders>
              <w:tl2br w:val="nil"/>
              <w:tr2bl w:val="nil"/>
            </w:tcBorders>
            <w:vAlign w:val="center"/>
          </w:tcPr>
          <w:p w14:paraId="1EB2F0EF">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w:t>
            </w:r>
          </w:p>
        </w:tc>
      </w:tr>
      <w:tr w14:paraId="2D550C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6" w:type="pct"/>
            <w:vMerge w:val="continue"/>
            <w:tcBorders>
              <w:tl2br w:val="nil"/>
              <w:tr2bl w:val="nil"/>
            </w:tcBorders>
            <w:vAlign w:val="center"/>
          </w:tcPr>
          <w:p w14:paraId="023F9046">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p>
        </w:tc>
        <w:tc>
          <w:tcPr>
            <w:tcW w:w="1777" w:type="pct"/>
            <w:tcBorders>
              <w:tl2br w:val="nil"/>
              <w:tr2bl w:val="nil"/>
            </w:tcBorders>
            <w:vAlign w:val="center"/>
          </w:tcPr>
          <w:p w14:paraId="6B33EC3E">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环境温度（℃）</w:t>
            </w:r>
          </w:p>
        </w:tc>
        <w:tc>
          <w:tcPr>
            <w:tcW w:w="1261" w:type="pct"/>
            <w:tcBorders>
              <w:tl2br w:val="nil"/>
              <w:tr2bl w:val="nil"/>
            </w:tcBorders>
            <w:vAlign w:val="center"/>
          </w:tcPr>
          <w:p w14:paraId="189A56AF">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25</w:t>
            </w:r>
          </w:p>
        </w:tc>
        <w:tc>
          <w:tcPr>
            <w:tcW w:w="1217" w:type="pct"/>
            <w:tcBorders>
              <w:tl2br w:val="nil"/>
              <w:tr2bl w:val="nil"/>
            </w:tcBorders>
            <w:vAlign w:val="center"/>
          </w:tcPr>
          <w:p w14:paraId="41CA9C68">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w:t>
            </w:r>
          </w:p>
        </w:tc>
      </w:tr>
      <w:tr w14:paraId="2C7094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6" w:type="pct"/>
            <w:vMerge w:val="continue"/>
            <w:tcBorders>
              <w:tl2br w:val="nil"/>
              <w:tr2bl w:val="nil"/>
            </w:tcBorders>
            <w:vAlign w:val="center"/>
          </w:tcPr>
          <w:p w14:paraId="0673E7DF">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p>
        </w:tc>
        <w:tc>
          <w:tcPr>
            <w:tcW w:w="1777" w:type="pct"/>
            <w:tcBorders>
              <w:tl2br w:val="nil"/>
              <w:tr2bl w:val="nil"/>
            </w:tcBorders>
            <w:vAlign w:val="center"/>
          </w:tcPr>
          <w:p w14:paraId="13625A45">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相对湿度（%）</w:t>
            </w:r>
          </w:p>
        </w:tc>
        <w:tc>
          <w:tcPr>
            <w:tcW w:w="1261" w:type="pct"/>
            <w:tcBorders>
              <w:tl2br w:val="nil"/>
              <w:tr2bl w:val="nil"/>
            </w:tcBorders>
            <w:vAlign w:val="center"/>
          </w:tcPr>
          <w:p w14:paraId="4086295D">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50</w:t>
            </w:r>
          </w:p>
        </w:tc>
        <w:tc>
          <w:tcPr>
            <w:tcW w:w="1217" w:type="pct"/>
            <w:tcBorders>
              <w:tl2br w:val="nil"/>
              <w:tr2bl w:val="nil"/>
            </w:tcBorders>
            <w:vAlign w:val="center"/>
          </w:tcPr>
          <w:p w14:paraId="10B0D1B0">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w:t>
            </w:r>
          </w:p>
        </w:tc>
      </w:tr>
      <w:tr w14:paraId="565C29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6" w:type="pct"/>
            <w:vMerge w:val="continue"/>
            <w:tcBorders>
              <w:tl2br w:val="nil"/>
              <w:tr2bl w:val="nil"/>
            </w:tcBorders>
            <w:vAlign w:val="center"/>
          </w:tcPr>
          <w:p w14:paraId="16855D93">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p>
        </w:tc>
        <w:tc>
          <w:tcPr>
            <w:tcW w:w="1777" w:type="pct"/>
            <w:tcBorders>
              <w:tl2br w:val="nil"/>
              <w:tr2bl w:val="nil"/>
            </w:tcBorders>
            <w:vAlign w:val="center"/>
          </w:tcPr>
          <w:p w14:paraId="2B3BB54E">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稳定度</w:t>
            </w:r>
          </w:p>
        </w:tc>
        <w:tc>
          <w:tcPr>
            <w:tcW w:w="1261" w:type="pct"/>
            <w:tcBorders>
              <w:tl2br w:val="nil"/>
              <w:tr2bl w:val="nil"/>
            </w:tcBorders>
            <w:vAlign w:val="center"/>
          </w:tcPr>
          <w:p w14:paraId="4028B6D5">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F</w:t>
            </w:r>
          </w:p>
        </w:tc>
        <w:tc>
          <w:tcPr>
            <w:tcW w:w="1217" w:type="pct"/>
            <w:tcBorders>
              <w:tl2br w:val="nil"/>
              <w:tr2bl w:val="nil"/>
            </w:tcBorders>
            <w:vAlign w:val="center"/>
          </w:tcPr>
          <w:p w14:paraId="47DD0079">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w:t>
            </w:r>
          </w:p>
        </w:tc>
      </w:tr>
      <w:tr w14:paraId="573DE3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6" w:type="pct"/>
            <w:vMerge w:val="restart"/>
            <w:tcBorders>
              <w:tl2br w:val="nil"/>
              <w:tr2bl w:val="nil"/>
            </w:tcBorders>
            <w:vAlign w:val="center"/>
          </w:tcPr>
          <w:p w14:paraId="2F4C3F34">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其他参数</w:t>
            </w:r>
          </w:p>
        </w:tc>
        <w:tc>
          <w:tcPr>
            <w:tcW w:w="1777" w:type="pct"/>
            <w:tcBorders>
              <w:tl2br w:val="nil"/>
              <w:tr2bl w:val="nil"/>
            </w:tcBorders>
            <w:vAlign w:val="center"/>
          </w:tcPr>
          <w:p w14:paraId="76BA1A2D">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地表粗糙度（cm）</w:t>
            </w:r>
          </w:p>
        </w:tc>
        <w:tc>
          <w:tcPr>
            <w:tcW w:w="2478" w:type="pct"/>
            <w:gridSpan w:val="2"/>
            <w:tcBorders>
              <w:tl2br w:val="nil"/>
              <w:tr2bl w:val="nil"/>
            </w:tcBorders>
            <w:vAlign w:val="center"/>
          </w:tcPr>
          <w:p w14:paraId="10E26BF5">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3</w:t>
            </w:r>
          </w:p>
        </w:tc>
      </w:tr>
      <w:tr w14:paraId="11AE20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6" w:type="pct"/>
            <w:vMerge w:val="continue"/>
            <w:tcBorders>
              <w:tl2br w:val="nil"/>
              <w:tr2bl w:val="nil"/>
            </w:tcBorders>
            <w:vAlign w:val="center"/>
          </w:tcPr>
          <w:p w14:paraId="34DE83AF">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p>
        </w:tc>
        <w:tc>
          <w:tcPr>
            <w:tcW w:w="1777" w:type="pct"/>
            <w:tcBorders>
              <w:tl2br w:val="nil"/>
              <w:tr2bl w:val="nil"/>
            </w:tcBorders>
            <w:vAlign w:val="center"/>
          </w:tcPr>
          <w:p w14:paraId="5460E732">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是否考虑地形</w:t>
            </w:r>
          </w:p>
        </w:tc>
        <w:tc>
          <w:tcPr>
            <w:tcW w:w="1261" w:type="pct"/>
            <w:tcBorders>
              <w:tl2br w:val="nil"/>
              <w:tr2bl w:val="nil"/>
            </w:tcBorders>
            <w:vAlign w:val="center"/>
          </w:tcPr>
          <w:p w14:paraId="391CF96C">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否</w:t>
            </w:r>
          </w:p>
        </w:tc>
        <w:tc>
          <w:tcPr>
            <w:tcW w:w="1217" w:type="pct"/>
            <w:tcBorders>
              <w:tl2br w:val="nil"/>
              <w:tr2bl w:val="nil"/>
            </w:tcBorders>
            <w:vAlign w:val="center"/>
          </w:tcPr>
          <w:p w14:paraId="145CDDFE">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否</w:t>
            </w:r>
          </w:p>
        </w:tc>
      </w:tr>
      <w:tr w14:paraId="172E81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6" w:type="pct"/>
            <w:vMerge w:val="continue"/>
            <w:tcBorders>
              <w:tl2br w:val="nil"/>
              <w:tr2bl w:val="nil"/>
            </w:tcBorders>
            <w:vAlign w:val="center"/>
          </w:tcPr>
          <w:p w14:paraId="63882097">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p>
        </w:tc>
        <w:tc>
          <w:tcPr>
            <w:tcW w:w="1777" w:type="pct"/>
            <w:tcBorders>
              <w:tl2br w:val="nil"/>
              <w:tr2bl w:val="nil"/>
            </w:tcBorders>
            <w:vAlign w:val="center"/>
          </w:tcPr>
          <w:p w14:paraId="17279496">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地形数据精度（m）</w:t>
            </w:r>
          </w:p>
        </w:tc>
        <w:tc>
          <w:tcPr>
            <w:tcW w:w="1261" w:type="pct"/>
            <w:tcBorders>
              <w:tl2br w:val="nil"/>
              <w:tr2bl w:val="nil"/>
            </w:tcBorders>
            <w:vAlign w:val="center"/>
          </w:tcPr>
          <w:p w14:paraId="48838EFA">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w:t>
            </w:r>
          </w:p>
        </w:tc>
        <w:tc>
          <w:tcPr>
            <w:tcW w:w="1217" w:type="pct"/>
            <w:tcBorders>
              <w:tl2br w:val="nil"/>
              <w:tr2bl w:val="nil"/>
            </w:tcBorders>
            <w:vAlign w:val="center"/>
          </w:tcPr>
          <w:p w14:paraId="423B80AC">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w:t>
            </w:r>
          </w:p>
        </w:tc>
      </w:tr>
    </w:tbl>
    <w:p w14:paraId="5F84E35F">
      <w:pPr>
        <w:pStyle w:val="2"/>
        <w:keepNext/>
        <w:keepLines w:val="0"/>
        <w:pageBreakBefore w:val="0"/>
        <w:widowControl w:val="0"/>
        <w:kinsoku/>
        <w:wordWrap/>
        <w:overflowPunct w:val="0"/>
        <w:topLinePunct w:val="0"/>
        <w:autoSpaceDE/>
        <w:autoSpaceDN/>
        <w:bidi w:val="0"/>
        <w:adjustRightInd/>
        <w:snapToGrid w:val="0"/>
        <w:spacing w:before="0" w:after="0" w:line="500" w:lineRule="exact"/>
        <w:ind w:left="0" w:right="0" w:firstLine="0" w:firstLineChars="0"/>
        <w:jc w:val="both"/>
        <w:textAlignment w:val="auto"/>
        <w:outlineLvl w:val="2"/>
        <w:rPr>
          <w:rFonts w:hint="eastAsia" w:ascii="Times New Roman" w:hAnsi="Times New Roman" w:eastAsia="仿宋_GB2312" w:cs="Times New Roman"/>
          <w:b/>
          <w:bCs/>
          <w:sz w:val="24"/>
          <w:szCs w:val="24"/>
          <w:lang w:val="en-US" w:eastAsia="zh-CN"/>
        </w:rPr>
      </w:pPr>
      <w:bookmarkStart w:id="157" w:name="_Toc9856"/>
      <w:r>
        <w:rPr>
          <w:rFonts w:hint="eastAsia" w:ascii="Times New Roman" w:hAnsi="Times New Roman" w:eastAsia="仿宋_GB2312" w:cs="Times New Roman"/>
          <w:b/>
          <w:bCs/>
          <w:sz w:val="24"/>
          <w:szCs w:val="24"/>
          <w:lang w:val="en-US" w:eastAsia="zh-CN"/>
        </w:rPr>
        <w:t>3.4.5大气毒性终点浓度值的选取</w:t>
      </w:r>
      <w:bookmarkEnd w:id="157"/>
    </w:p>
    <w:p w14:paraId="61B4E8E5">
      <w:pPr>
        <w:keepNext w:val="0"/>
        <w:keepLines w:val="0"/>
        <w:pageBreakBefore w:val="0"/>
        <w:widowControl w:val="0"/>
        <w:kinsoku/>
        <w:wordWrap/>
        <w:overflowPunct/>
        <w:topLinePunct w:val="0"/>
        <w:autoSpaceDE/>
        <w:autoSpaceDN/>
        <w:bidi w:val="0"/>
        <w:adjustRightInd/>
        <w:snapToGrid/>
        <w:spacing w:line="500" w:lineRule="exact"/>
        <w:ind w:firstLine="48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大气毒性终点浓度为人员短期暴露可能会导致出现健康影响或死亡的大气污染物浓度。浓度值参见《建设项目环境风险评价技术导则》（HJ 169-2018）附录H，分为1、2级：</w:t>
      </w:r>
    </w:p>
    <w:p w14:paraId="6DE51E47">
      <w:pPr>
        <w:keepNext w:val="0"/>
        <w:keepLines w:val="0"/>
        <w:pageBreakBefore w:val="0"/>
        <w:widowControl w:val="0"/>
        <w:kinsoku/>
        <w:wordWrap/>
        <w:overflowPunct/>
        <w:topLinePunct w:val="0"/>
        <w:autoSpaceDE/>
        <w:autoSpaceDN/>
        <w:bidi w:val="0"/>
        <w:adjustRightInd/>
        <w:snapToGrid/>
        <w:spacing w:line="500" w:lineRule="exact"/>
        <w:ind w:firstLine="48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毒性终点浓度-1，即当大气中危险物质浓度低于该限值时，绝大多数人员暴露1h不会对生命造成威胁，当超过该限值时，有可能对人群造成生命威胁；</w:t>
      </w:r>
    </w:p>
    <w:p w14:paraId="40449997">
      <w:pPr>
        <w:keepNext w:val="0"/>
        <w:keepLines w:val="0"/>
        <w:pageBreakBefore w:val="0"/>
        <w:widowControl w:val="0"/>
        <w:kinsoku/>
        <w:wordWrap/>
        <w:overflowPunct/>
        <w:topLinePunct w:val="0"/>
        <w:autoSpaceDE/>
        <w:autoSpaceDN/>
        <w:bidi w:val="0"/>
        <w:adjustRightInd/>
        <w:snapToGrid/>
        <w:spacing w:line="500" w:lineRule="exact"/>
        <w:ind w:firstLine="48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毒性终点浓度-2，即当大气中危险物质浓度低于该限值时，暴露1h一般不会对人体造成不可逆的伤害，或出现的症状一般不会损伤该个体采取有效防护措施的能力。</w:t>
      </w:r>
    </w:p>
    <w:p w14:paraId="7B498813">
      <w:pPr>
        <w:pageBreakBefore w:val="0"/>
        <w:kinsoku/>
        <w:wordWrap/>
        <w:bidi w:val="0"/>
        <w:adjustRightInd w:val="0"/>
        <w:snapToGrid w:val="0"/>
        <w:spacing w:beforeAutospacing="0" w:afterAutospacing="0" w:line="500" w:lineRule="exact"/>
        <w:ind w:left="0" w:leftChars="0" w:right="0"/>
        <w:jc w:val="center"/>
        <w:rPr>
          <w:rFonts w:hint="default" w:ascii="Times New Roman" w:hAnsi="Times New Roman" w:eastAsia="仿宋_GB2312" w:cs="Times New Roman"/>
          <w:b/>
          <w:color w:val="auto"/>
          <w:spacing w:val="0"/>
          <w:kern w:val="0"/>
          <w:position w:val="0"/>
          <w:szCs w:val="28"/>
        </w:rPr>
      </w:pPr>
      <w:r>
        <w:rPr>
          <w:rFonts w:hint="default" w:ascii="Times New Roman" w:hAnsi="Times New Roman" w:eastAsia="仿宋_GB2312" w:cs="Times New Roman"/>
          <w:b/>
          <w:color w:val="auto"/>
          <w:spacing w:val="0"/>
          <w:kern w:val="0"/>
          <w:position w:val="0"/>
          <w:szCs w:val="28"/>
        </w:rPr>
        <w:t>表</w:t>
      </w:r>
      <w:r>
        <w:rPr>
          <w:rFonts w:hint="eastAsia" w:ascii="Times New Roman" w:hAnsi="Times New Roman" w:eastAsia="仿宋_GB2312" w:cs="Times New Roman"/>
          <w:b/>
          <w:color w:val="auto"/>
          <w:spacing w:val="0"/>
          <w:kern w:val="0"/>
          <w:position w:val="0"/>
          <w:szCs w:val="28"/>
          <w:lang w:val="en-US" w:eastAsia="zh-CN"/>
        </w:rPr>
        <w:t>3</w:t>
      </w:r>
      <w:r>
        <w:rPr>
          <w:rFonts w:hint="default" w:ascii="Times New Roman" w:hAnsi="Times New Roman" w:eastAsia="仿宋_GB2312" w:cs="Times New Roman"/>
          <w:b/>
          <w:color w:val="auto"/>
          <w:spacing w:val="0"/>
          <w:kern w:val="0"/>
          <w:position w:val="0"/>
          <w:szCs w:val="28"/>
        </w:rPr>
        <w:t>.</w:t>
      </w:r>
      <w:r>
        <w:rPr>
          <w:rFonts w:hint="eastAsia" w:ascii="Times New Roman" w:hAnsi="Times New Roman" w:eastAsia="仿宋_GB2312" w:cs="Times New Roman"/>
          <w:b/>
          <w:color w:val="auto"/>
          <w:spacing w:val="0"/>
          <w:kern w:val="0"/>
          <w:position w:val="0"/>
          <w:szCs w:val="28"/>
          <w:lang w:val="en-US" w:eastAsia="zh-CN"/>
        </w:rPr>
        <w:t>4</w:t>
      </w:r>
      <w:r>
        <w:rPr>
          <w:rFonts w:hint="default" w:ascii="Times New Roman" w:hAnsi="Times New Roman" w:eastAsia="仿宋_GB2312" w:cs="Times New Roman"/>
          <w:b/>
          <w:color w:val="auto"/>
          <w:spacing w:val="0"/>
          <w:kern w:val="0"/>
          <w:position w:val="0"/>
          <w:szCs w:val="28"/>
        </w:rPr>
        <w:t>-</w:t>
      </w:r>
      <w:r>
        <w:rPr>
          <w:rFonts w:hint="eastAsia" w:ascii="Times New Roman" w:hAnsi="Times New Roman" w:eastAsia="仿宋_GB2312" w:cs="Times New Roman"/>
          <w:b/>
          <w:color w:val="auto"/>
          <w:spacing w:val="0"/>
          <w:kern w:val="0"/>
          <w:position w:val="0"/>
          <w:szCs w:val="28"/>
          <w:lang w:val="en-US" w:eastAsia="zh-CN"/>
        </w:rPr>
        <w:t xml:space="preserve">4 </w:t>
      </w:r>
      <w:r>
        <w:rPr>
          <w:rFonts w:hint="default" w:ascii="Times New Roman" w:hAnsi="Times New Roman" w:eastAsia="仿宋_GB2312" w:cs="Times New Roman"/>
          <w:b/>
          <w:color w:val="auto"/>
          <w:spacing w:val="0"/>
          <w:kern w:val="0"/>
          <w:position w:val="0"/>
          <w:szCs w:val="28"/>
        </w:rPr>
        <w:t xml:space="preserve"> 污染因子大气毒性终点浓度值/评价浓度阈值</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30"/>
        <w:gridCol w:w="2133"/>
        <w:gridCol w:w="2529"/>
        <w:gridCol w:w="2996"/>
      </w:tblGrid>
      <w:tr w14:paraId="5479EF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7" w:type="pct"/>
            <w:tcBorders>
              <w:tl2br w:val="nil"/>
              <w:tr2bl w:val="nil"/>
            </w:tcBorders>
            <w:vAlign w:val="center"/>
          </w:tcPr>
          <w:p w14:paraId="02E03239">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b/>
                <w:bCs/>
                <w:color w:val="auto"/>
                <w:spacing w:val="0"/>
                <w:kern w:val="0"/>
                <w:position w:val="0"/>
                <w:sz w:val="21"/>
                <w:szCs w:val="21"/>
                <w:lang w:val="en-US" w:eastAsia="zh-CN"/>
              </w:rPr>
            </w:pPr>
            <w:r>
              <w:rPr>
                <w:rFonts w:hint="eastAsia" w:ascii="Times New Roman" w:hAnsi="Times New Roman" w:eastAsia="仿宋_GB2312" w:cs="Times New Roman"/>
                <w:b/>
                <w:bCs/>
                <w:color w:val="auto"/>
                <w:spacing w:val="0"/>
                <w:kern w:val="0"/>
                <w:position w:val="0"/>
                <w:sz w:val="21"/>
                <w:szCs w:val="21"/>
                <w:lang w:val="en-US" w:eastAsia="zh-CN"/>
              </w:rPr>
              <w:t>污染物</w:t>
            </w:r>
          </w:p>
        </w:tc>
        <w:tc>
          <w:tcPr>
            <w:tcW w:w="1148" w:type="pct"/>
            <w:tcBorders>
              <w:tl2br w:val="nil"/>
              <w:tr2bl w:val="nil"/>
            </w:tcBorders>
            <w:vAlign w:val="center"/>
          </w:tcPr>
          <w:p w14:paraId="275A8D96">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b/>
                <w:bCs/>
                <w:color w:val="auto"/>
                <w:spacing w:val="0"/>
                <w:kern w:val="0"/>
                <w:position w:val="0"/>
                <w:sz w:val="21"/>
                <w:szCs w:val="21"/>
                <w:lang w:val="en-US" w:eastAsia="zh-CN"/>
              </w:rPr>
            </w:pPr>
            <w:r>
              <w:rPr>
                <w:rFonts w:hint="eastAsia" w:ascii="Times New Roman" w:hAnsi="Times New Roman" w:eastAsia="仿宋_GB2312" w:cs="Times New Roman"/>
                <w:b/>
                <w:bCs/>
                <w:color w:val="auto"/>
                <w:spacing w:val="0"/>
                <w:kern w:val="0"/>
                <w:position w:val="0"/>
                <w:sz w:val="21"/>
                <w:szCs w:val="21"/>
                <w:lang w:val="en-US" w:eastAsia="zh-CN"/>
              </w:rPr>
              <w:t>单位</w:t>
            </w:r>
          </w:p>
        </w:tc>
        <w:tc>
          <w:tcPr>
            <w:tcW w:w="1361" w:type="pct"/>
            <w:tcBorders>
              <w:tl2br w:val="nil"/>
              <w:tr2bl w:val="nil"/>
            </w:tcBorders>
            <w:vAlign w:val="center"/>
          </w:tcPr>
          <w:p w14:paraId="79179AD8">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b/>
                <w:bCs/>
                <w:color w:val="auto"/>
                <w:spacing w:val="0"/>
                <w:kern w:val="0"/>
                <w:position w:val="0"/>
                <w:sz w:val="21"/>
                <w:szCs w:val="21"/>
                <w:lang w:val="en-US" w:eastAsia="zh-CN"/>
              </w:rPr>
            </w:pPr>
            <w:r>
              <w:rPr>
                <w:rFonts w:hint="eastAsia" w:ascii="Times New Roman" w:hAnsi="Times New Roman" w:eastAsia="仿宋_GB2312" w:cs="Times New Roman"/>
                <w:b/>
                <w:bCs/>
                <w:color w:val="auto"/>
                <w:spacing w:val="0"/>
                <w:kern w:val="0"/>
                <w:position w:val="0"/>
                <w:sz w:val="21"/>
                <w:szCs w:val="21"/>
                <w:lang w:val="en-US" w:eastAsia="zh-CN"/>
              </w:rPr>
              <w:t>毒性终点浓度-1/</w:t>
            </w:r>
          </w:p>
        </w:tc>
        <w:tc>
          <w:tcPr>
            <w:tcW w:w="1612" w:type="pct"/>
            <w:tcBorders>
              <w:tl2br w:val="nil"/>
              <w:tr2bl w:val="nil"/>
            </w:tcBorders>
            <w:vAlign w:val="center"/>
          </w:tcPr>
          <w:p w14:paraId="5FB54769">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b/>
                <w:bCs/>
                <w:color w:val="auto"/>
                <w:spacing w:val="0"/>
                <w:kern w:val="0"/>
                <w:position w:val="0"/>
                <w:sz w:val="21"/>
                <w:szCs w:val="21"/>
                <w:lang w:val="en-US" w:eastAsia="zh-CN"/>
              </w:rPr>
            </w:pPr>
            <w:r>
              <w:rPr>
                <w:rFonts w:hint="eastAsia" w:ascii="Times New Roman" w:hAnsi="Times New Roman" w:eastAsia="仿宋_GB2312" w:cs="Times New Roman"/>
                <w:b/>
                <w:bCs/>
                <w:color w:val="auto"/>
                <w:spacing w:val="0"/>
                <w:kern w:val="0"/>
                <w:position w:val="0"/>
                <w:sz w:val="21"/>
                <w:szCs w:val="21"/>
                <w:lang w:val="en-US" w:eastAsia="zh-CN"/>
              </w:rPr>
              <w:t>毒性终点浓度-2/</w:t>
            </w:r>
          </w:p>
        </w:tc>
      </w:tr>
      <w:tr w14:paraId="03CDDD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7" w:type="pct"/>
            <w:tcBorders>
              <w:tl2br w:val="nil"/>
              <w:tr2bl w:val="nil"/>
            </w:tcBorders>
            <w:vAlign w:val="center"/>
          </w:tcPr>
          <w:p w14:paraId="52E98256">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HCl</w:t>
            </w:r>
          </w:p>
        </w:tc>
        <w:tc>
          <w:tcPr>
            <w:tcW w:w="1148" w:type="pct"/>
            <w:tcBorders>
              <w:tl2br w:val="nil"/>
              <w:tr2bl w:val="nil"/>
            </w:tcBorders>
            <w:vAlign w:val="center"/>
          </w:tcPr>
          <w:p w14:paraId="64B91455">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mg/m</w:t>
            </w:r>
            <w:r>
              <w:rPr>
                <w:rFonts w:hint="eastAsia" w:ascii="Times New Roman" w:hAnsi="Times New Roman" w:eastAsia="仿宋_GB2312" w:cs="Times New Roman"/>
                <w:color w:val="auto"/>
                <w:spacing w:val="0"/>
                <w:kern w:val="0"/>
                <w:position w:val="0"/>
                <w:sz w:val="21"/>
                <w:szCs w:val="21"/>
                <w:vertAlign w:val="superscript"/>
                <w:lang w:val="en-US" w:eastAsia="zh-CN"/>
              </w:rPr>
              <w:t>3</w:t>
            </w:r>
          </w:p>
        </w:tc>
        <w:tc>
          <w:tcPr>
            <w:tcW w:w="1361" w:type="pct"/>
            <w:tcBorders>
              <w:tl2br w:val="nil"/>
              <w:tr2bl w:val="nil"/>
            </w:tcBorders>
            <w:vAlign w:val="center"/>
          </w:tcPr>
          <w:p w14:paraId="0883501A">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150</w:t>
            </w:r>
          </w:p>
        </w:tc>
        <w:tc>
          <w:tcPr>
            <w:tcW w:w="1612" w:type="pct"/>
            <w:tcBorders>
              <w:tl2br w:val="nil"/>
              <w:tr2bl w:val="nil"/>
            </w:tcBorders>
            <w:vAlign w:val="center"/>
          </w:tcPr>
          <w:p w14:paraId="6DFACD08">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33</w:t>
            </w:r>
          </w:p>
        </w:tc>
      </w:tr>
    </w:tbl>
    <w:p w14:paraId="6AA7D529">
      <w:pPr>
        <w:pStyle w:val="2"/>
        <w:keepNext/>
        <w:keepLines w:val="0"/>
        <w:pageBreakBefore w:val="0"/>
        <w:widowControl w:val="0"/>
        <w:kinsoku/>
        <w:wordWrap/>
        <w:overflowPunct w:val="0"/>
        <w:topLinePunct w:val="0"/>
        <w:autoSpaceDE/>
        <w:autoSpaceDN/>
        <w:bidi w:val="0"/>
        <w:adjustRightInd/>
        <w:snapToGrid w:val="0"/>
        <w:spacing w:before="0" w:after="0" w:line="500" w:lineRule="exact"/>
        <w:ind w:left="0" w:right="0" w:firstLine="0" w:firstLineChars="0"/>
        <w:jc w:val="both"/>
        <w:textAlignment w:val="auto"/>
        <w:outlineLvl w:val="2"/>
        <w:rPr>
          <w:rFonts w:hint="eastAsia" w:ascii="Times New Roman" w:hAnsi="Times New Roman" w:eastAsia="仿宋_GB2312" w:cs="Times New Roman"/>
          <w:b/>
          <w:bCs/>
          <w:sz w:val="24"/>
          <w:szCs w:val="24"/>
          <w:lang w:val="en-US" w:eastAsia="zh-CN"/>
        </w:rPr>
      </w:pPr>
      <w:bookmarkStart w:id="158" w:name="_Toc7550"/>
      <w:r>
        <w:rPr>
          <w:rFonts w:hint="eastAsia" w:ascii="Times New Roman" w:hAnsi="Times New Roman" w:eastAsia="仿宋_GB2312" w:cs="Times New Roman"/>
          <w:b/>
          <w:bCs/>
          <w:sz w:val="24"/>
          <w:szCs w:val="24"/>
          <w:lang w:val="en-US" w:eastAsia="zh-CN"/>
        </w:rPr>
        <w:t>3.4.6预测结果表述</w:t>
      </w:r>
      <w:bookmarkEnd w:id="158"/>
    </w:p>
    <w:p w14:paraId="40CBC9D6">
      <w:pPr>
        <w:keepNext w:val="0"/>
        <w:keepLines w:val="0"/>
        <w:pageBreakBefore w:val="0"/>
        <w:widowControl w:val="0"/>
        <w:kinsoku/>
        <w:wordWrap/>
        <w:overflowPunct/>
        <w:topLinePunct w:val="0"/>
        <w:autoSpaceDE/>
        <w:autoSpaceDN/>
        <w:bidi w:val="0"/>
        <w:adjustRightInd/>
        <w:snapToGrid/>
        <w:spacing w:line="500" w:lineRule="exact"/>
        <w:ind w:firstLine="48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本项目</w:t>
      </w:r>
      <w:r>
        <w:rPr>
          <w:rFonts w:hint="eastAsia" w:ascii="Times New Roman" w:hAnsi="Times New Roman" w:eastAsia="仿宋_GB2312" w:cs="Times New Roman"/>
          <w:sz w:val="24"/>
          <w:szCs w:val="24"/>
          <w:lang w:val="en-US" w:eastAsia="zh-CN"/>
        </w:rPr>
        <w:t>盐酸</w:t>
      </w:r>
      <w:r>
        <w:rPr>
          <w:rFonts w:hint="default" w:ascii="Times New Roman" w:hAnsi="Times New Roman" w:eastAsia="仿宋_GB2312" w:cs="Times New Roman"/>
          <w:sz w:val="24"/>
          <w:szCs w:val="24"/>
        </w:rPr>
        <w:t>储罐发生泄漏事故排放时，在最不利和最常见气象条件下，事故源项及事故后果基本信息见表</w:t>
      </w:r>
      <w:r>
        <w:rPr>
          <w:rFonts w:hint="eastAsia" w:ascii="Times New Roman" w:hAnsi="Times New Roman" w:eastAsia="仿宋_GB2312" w:cs="Times New Roman"/>
          <w:sz w:val="24"/>
          <w:szCs w:val="24"/>
          <w:lang w:val="en-US" w:eastAsia="zh-CN"/>
        </w:rPr>
        <w:t>3</w:t>
      </w:r>
      <w:r>
        <w:rPr>
          <w:rFonts w:hint="default" w:ascii="Times New Roman" w:hAnsi="Times New Roman" w:eastAsia="仿宋_GB2312" w:cs="Times New Roman"/>
          <w:sz w:val="24"/>
          <w:szCs w:val="24"/>
        </w:rPr>
        <w:t>.</w:t>
      </w:r>
      <w:r>
        <w:rPr>
          <w:rFonts w:hint="eastAsia" w:ascii="Times New Roman" w:hAnsi="Times New Roman" w:eastAsia="仿宋_GB2312" w:cs="Times New Roman"/>
          <w:sz w:val="24"/>
          <w:szCs w:val="24"/>
          <w:lang w:val="en-US" w:eastAsia="zh-CN"/>
        </w:rPr>
        <w:t>4</w:t>
      </w:r>
      <w:r>
        <w:rPr>
          <w:rFonts w:hint="default" w:ascii="Times New Roman" w:hAnsi="Times New Roman" w:eastAsia="仿宋_GB2312" w:cs="Times New Roman"/>
          <w:sz w:val="24"/>
          <w:szCs w:val="24"/>
        </w:rPr>
        <w:t>-</w:t>
      </w:r>
      <w:r>
        <w:rPr>
          <w:rFonts w:hint="eastAsia" w:ascii="Times New Roman" w:hAnsi="Times New Roman" w:eastAsia="仿宋_GB2312" w:cs="Times New Roman"/>
          <w:sz w:val="24"/>
          <w:szCs w:val="24"/>
          <w:lang w:val="en-US" w:eastAsia="zh-CN"/>
        </w:rPr>
        <w:t>5</w:t>
      </w:r>
      <w:r>
        <w:rPr>
          <w:rFonts w:hint="default" w:ascii="Times New Roman" w:hAnsi="Times New Roman" w:eastAsia="仿宋_GB2312" w:cs="Times New Roman"/>
          <w:sz w:val="24"/>
          <w:szCs w:val="24"/>
        </w:rPr>
        <w:t>。</w:t>
      </w:r>
    </w:p>
    <w:p w14:paraId="0A93948E">
      <w:pPr>
        <w:pageBreakBefore w:val="0"/>
        <w:kinsoku/>
        <w:wordWrap/>
        <w:bidi w:val="0"/>
        <w:adjustRightInd w:val="0"/>
        <w:snapToGrid w:val="0"/>
        <w:spacing w:beforeAutospacing="0" w:afterAutospacing="0" w:line="500" w:lineRule="exact"/>
        <w:ind w:left="0" w:leftChars="0" w:right="0"/>
        <w:jc w:val="center"/>
        <w:rPr>
          <w:rFonts w:hint="default" w:ascii="Times New Roman" w:hAnsi="Times New Roman" w:eastAsia="仿宋_GB2312" w:cs="Times New Roman"/>
          <w:b/>
          <w:color w:val="auto"/>
          <w:spacing w:val="0"/>
          <w:kern w:val="0"/>
          <w:position w:val="0"/>
          <w:szCs w:val="28"/>
        </w:rPr>
      </w:pPr>
      <w:r>
        <w:rPr>
          <w:rFonts w:hint="default" w:ascii="Times New Roman" w:hAnsi="Times New Roman" w:eastAsia="仿宋_GB2312" w:cs="Times New Roman"/>
          <w:b/>
          <w:color w:val="auto"/>
          <w:spacing w:val="0"/>
          <w:kern w:val="0"/>
          <w:position w:val="0"/>
          <w:szCs w:val="28"/>
        </w:rPr>
        <w:t>表</w:t>
      </w:r>
      <w:r>
        <w:rPr>
          <w:rFonts w:hint="eastAsia" w:ascii="Times New Roman" w:hAnsi="Times New Roman" w:eastAsia="仿宋_GB2312" w:cs="Times New Roman"/>
          <w:b/>
          <w:color w:val="auto"/>
          <w:spacing w:val="0"/>
          <w:kern w:val="0"/>
          <w:position w:val="0"/>
          <w:szCs w:val="28"/>
          <w:lang w:val="en-US" w:eastAsia="zh-CN"/>
        </w:rPr>
        <w:t>3</w:t>
      </w:r>
      <w:r>
        <w:rPr>
          <w:rFonts w:hint="default" w:ascii="Times New Roman" w:hAnsi="Times New Roman" w:eastAsia="仿宋_GB2312" w:cs="Times New Roman"/>
          <w:b/>
          <w:color w:val="auto"/>
          <w:spacing w:val="0"/>
          <w:kern w:val="0"/>
          <w:position w:val="0"/>
          <w:szCs w:val="28"/>
        </w:rPr>
        <w:t>.</w:t>
      </w:r>
      <w:r>
        <w:rPr>
          <w:rFonts w:hint="eastAsia" w:ascii="Times New Roman" w:hAnsi="Times New Roman" w:eastAsia="仿宋_GB2312" w:cs="Times New Roman"/>
          <w:b/>
          <w:color w:val="auto"/>
          <w:spacing w:val="0"/>
          <w:kern w:val="0"/>
          <w:position w:val="0"/>
          <w:szCs w:val="28"/>
          <w:lang w:val="en-US" w:eastAsia="zh-CN"/>
        </w:rPr>
        <w:t>4</w:t>
      </w:r>
      <w:r>
        <w:rPr>
          <w:rFonts w:hint="default" w:ascii="Times New Roman" w:hAnsi="Times New Roman" w:eastAsia="仿宋_GB2312" w:cs="Times New Roman"/>
          <w:b/>
          <w:color w:val="auto"/>
          <w:spacing w:val="0"/>
          <w:kern w:val="0"/>
          <w:position w:val="0"/>
          <w:szCs w:val="28"/>
        </w:rPr>
        <w:t>-</w:t>
      </w:r>
      <w:r>
        <w:rPr>
          <w:rFonts w:hint="eastAsia" w:ascii="Times New Roman" w:hAnsi="Times New Roman" w:eastAsia="仿宋_GB2312" w:cs="Times New Roman"/>
          <w:b/>
          <w:color w:val="auto"/>
          <w:spacing w:val="0"/>
          <w:kern w:val="0"/>
          <w:position w:val="0"/>
          <w:szCs w:val="28"/>
          <w:lang w:val="en-US" w:eastAsia="zh-CN"/>
        </w:rPr>
        <w:t xml:space="preserve">5 </w:t>
      </w:r>
      <w:r>
        <w:rPr>
          <w:rFonts w:hint="default" w:ascii="Times New Roman" w:hAnsi="Times New Roman" w:eastAsia="仿宋_GB2312" w:cs="Times New Roman"/>
          <w:b/>
          <w:color w:val="auto"/>
          <w:spacing w:val="0"/>
          <w:kern w:val="0"/>
          <w:position w:val="0"/>
          <w:szCs w:val="28"/>
        </w:rPr>
        <w:t xml:space="preserve"> 事故源项及事故后果基本信息表</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98"/>
        <w:gridCol w:w="1193"/>
        <w:gridCol w:w="1947"/>
        <w:gridCol w:w="1337"/>
        <w:gridCol w:w="1540"/>
        <w:gridCol w:w="1573"/>
      </w:tblGrid>
      <w:tr w14:paraId="3A2D5B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000" w:type="pct"/>
            <w:gridSpan w:val="6"/>
            <w:tcBorders>
              <w:tl2br w:val="nil"/>
              <w:tr2bl w:val="nil"/>
            </w:tcBorders>
            <w:vAlign w:val="center"/>
          </w:tcPr>
          <w:p w14:paraId="624835F3">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储罐发生泄漏</w:t>
            </w:r>
          </w:p>
        </w:tc>
      </w:tr>
      <w:tr w14:paraId="066BAF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4" w:type="pct"/>
            <w:tcBorders>
              <w:tl2br w:val="nil"/>
              <w:tr2bl w:val="nil"/>
            </w:tcBorders>
            <w:vAlign w:val="center"/>
          </w:tcPr>
          <w:p w14:paraId="44022807">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代表性风险事故情形描述</w:t>
            </w:r>
          </w:p>
        </w:tc>
        <w:tc>
          <w:tcPr>
            <w:tcW w:w="4085" w:type="pct"/>
            <w:gridSpan w:val="5"/>
            <w:tcBorders>
              <w:tl2br w:val="nil"/>
              <w:tr2bl w:val="nil"/>
            </w:tcBorders>
            <w:vAlign w:val="center"/>
          </w:tcPr>
          <w:p w14:paraId="1D82643E">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盐酸储罐发生泄漏</w:t>
            </w:r>
          </w:p>
        </w:tc>
      </w:tr>
      <w:tr w14:paraId="10F095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4" w:type="pct"/>
            <w:tcBorders>
              <w:tl2br w:val="nil"/>
              <w:tr2bl w:val="nil"/>
            </w:tcBorders>
            <w:vAlign w:val="center"/>
          </w:tcPr>
          <w:p w14:paraId="6ACA7A3E">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环境风险类型</w:t>
            </w:r>
          </w:p>
        </w:tc>
        <w:tc>
          <w:tcPr>
            <w:tcW w:w="4085" w:type="pct"/>
            <w:gridSpan w:val="5"/>
            <w:tcBorders>
              <w:tl2br w:val="nil"/>
              <w:tr2bl w:val="nil"/>
            </w:tcBorders>
            <w:vAlign w:val="center"/>
          </w:tcPr>
          <w:p w14:paraId="3B66024B">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泄漏</w:t>
            </w:r>
          </w:p>
        </w:tc>
      </w:tr>
      <w:tr w14:paraId="3EF826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4" w:type="pct"/>
            <w:tcBorders>
              <w:tl2br w:val="nil"/>
              <w:tr2bl w:val="nil"/>
            </w:tcBorders>
            <w:vAlign w:val="center"/>
          </w:tcPr>
          <w:p w14:paraId="472019EA">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泄漏设备类型</w:t>
            </w:r>
          </w:p>
        </w:tc>
        <w:tc>
          <w:tcPr>
            <w:tcW w:w="642" w:type="pct"/>
            <w:tcBorders>
              <w:tl2br w:val="nil"/>
              <w:tr2bl w:val="nil"/>
            </w:tcBorders>
            <w:vAlign w:val="center"/>
          </w:tcPr>
          <w:p w14:paraId="1A7A14E7">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盐酸储罐</w:t>
            </w:r>
          </w:p>
        </w:tc>
        <w:tc>
          <w:tcPr>
            <w:tcW w:w="1048" w:type="pct"/>
            <w:tcBorders>
              <w:tl2br w:val="nil"/>
              <w:tr2bl w:val="nil"/>
            </w:tcBorders>
            <w:vAlign w:val="center"/>
          </w:tcPr>
          <w:p w14:paraId="61AE451C">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操作温度（℃）</w:t>
            </w:r>
          </w:p>
        </w:tc>
        <w:tc>
          <w:tcPr>
            <w:tcW w:w="720" w:type="pct"/>
            <w:tcBorders>
              <w:tl2br w:val="nil"/>
              <w:tr2bl w:val="nil"/>
            </w:tcBorders>
            <w:vAlign w:val="center"/>
          </w:tcPr>
          <w:p w14:paraId="57A53A40">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25</w:t>
            </w:r>
          </w:p>
        </w:tc>
        <w:tc>
          <w:tcPr>
            <w:tcW w:w="829" w:type="pct"/>
            <w:tcBorders>
              <w:tl2br w:val="nil"/>
              <w:tr2bl w:val="nil"/>
            </w:tcBorders>
            <w:vAlign w:val="center"/>
          </w:tcPr>
          <w:p w14:paraId="1247324E">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操作压力（MPa）</w:t>
            </w:r>
          </w:p>
        </w:tc>
        <w:tc>
          <w:tcPr>
            <w:tcW w:w="845" w:type="pct"/>
            <w:tcBorders>
              <w:tl2br w:val="nil"/>
              <w:tr2bl w:val="nil"/>
            </w:tcBorders>
            <w:vAlign w:val="center"/>
          </w:tcPr>
          <w:p w14:paraId="389DF923">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w:t>
            </w:r>
          </w:p>
        </w:tc>
      </w:tr>
      <w:tr w14:paraId="49A23F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4" w:type="pct"/>
            <w:tcBorders>
              <w:tl2br w:val="nil"/>
              <w:tr2bl w:val="nil"/>
            </w:tcBorders>
            <w:vAlign w:val="center"/>
          </w:tcPr>
          <w:p w14:paraId="38DCB099">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泄漏危险物质</w:t>
            </w:r>
          </w:p>
        </w:tc>
        <w:tc>
          <w:tcPr>
            <w:tcW w:w="642" w:type="pct"/>
            <w:tcBorders>
              <w:tl2br w:val="nil"/>
              <w:tr2bl w:val="nil"/>
            </w:tcBorders>
            <w:vAlign w:val="center"/>
          </w:tcPr>
          <w:p w14:paraId="3001941D">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盐酸</w:t>
            </w:r>
          </w:p>
        </w:tc>
        <w:tc>
          <w:tcPr>
            <w:tcW w:w="1048" w:type="pct"/>
            <w:tcBorders>
              <w:tl2br w:val="nil"/>
              <w:tr2bl w:val="nil"/>
            </w:tcBorders>
            <w:vAlign w:val="center"/>
          </w:tcPr>
          <w:p w14:paraId="6E57C528">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最大存在量（t）</w:t>
            </w:r>
          </w:p>
        </w:tc>
        <w:tc>
          <w:tcPr>
            <w:tcW w:w="720" w:type="pct"/>
            <w:tcBorders>
              <w:tl2br w:val="nil"/>
              <w:tr2bl w:val="nil"/>
            </w:tcBorders>
            <w:vAlign w:val="center"/>
          </w:tcPr>
          <w:p w14:paraId="6F80FBD8">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30（9）</w:t>
            </w:r>
          </w:p>
        </w:tc>
        <w:tc>
          <w:tcPr>
            <w:tcW w:w="829" w:type="pct"/>
            <w:tcBorders>
              <w:tl2br w:val="nil"/>
              <w:tr2bl w:val="nil"/>
            </w:tcBorders>
            <w:vAlign w:val="center"/>
          </w:tcPr>
          <w:p w14:paraId="17CCB5A9">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泄漏孔径（mm）</w:t>
            </w:r>
          </w:p>
        </w:tc>
        <w:tc>
          <w:tcPr>
            <w:tcW w:w="845" w:type="pct"/>
            <w:tcBorders>
              <w:tl2br w:val="nil"/>
              <w:tr2bl w:val="nil"/>
            </w:tcBorders>
            <w:vAlign w:val="center"/>
          </w:tcPr>
          <w:p w14:paraId="41E93531">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40</w:t>
            </w:r>
          </w:p>
        </w:tc>
      </w:tr>
      <w:tr w14:paraId="34C7A7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4" w:type="pct"/>
            <w:tcBorders>
              <w:tl2br w:val="nil"/>
              <w:tr2bl w:val="nil"/>
            </w:tcBorders>
            <w:vAlign w:val="center"/>
          </w:tcPr>
          <w:p w14:paraId="62441703">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泄漏速率（kg/s）</w:t>
            </w:r>
          </w:p>
        </w:tc>
        <w:tc>
          <w:tcPr>
            <w:tcW w:w="642" w:type="pct"/>
            <w:tcBorders>
              <w:tl2br w:val="nil"/>
              <w:tr2bl w:val="nil"/>
            </w:tcBorders>
            <w:vAlign w:val="center"/>
          </w:tcPr>
          <w:p w14:paraId="5CB5A10F">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0.450</w:t>
            </w:r>
          </w:p>
        </w:tc>
        <w:tc>
          <w:tcPr>
            <w:tcW w:w="1048" w:type="pct"/>
            <w:tcBorders>
              <w:tl2br w:val="nil"/>
              <w:tr2bl w:val="nil"/>
            </w:tcBorders>
            <w:vAlign w:val="center"/>
          </w:tcPr>
          <w:p w14:paraId="118552FD">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泄漏时间（min）</w:t>
            </w:r>
          </w:p>
        </w:tc>
        <w:tc>
          <w:tcPr>
            <w:tcW w:w="720" w:type="pct"/>
            <w:tcBorders>
              <w:tl2br w:val="nil"/>
              <w:tr2bl w:val="nil"/>
            </w:tcBorders>
            <w:vAlign w:val="center"/>
          </w:tcPr>
          <w:p w14:paraId="4AC2E96E">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20</w:t>
            </w:r>
          </w:p>
        </w:tc>
        <w:tc>
          <w:tcPr>
            <w:tcW w:w="829" w:type="pct"/>
            <w:tcBorders>
              <w:tl2br w:val="nil"/>
              <w:tr2bl w:val="nil"/>
            </w:tcBorders>
            <w:vAlign w:val="center"/>
          </w:tcPr>
          <w:p w14:paraId="6770F282">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泄漏量（kg）</w:t>
            </w:r>
          </w:p>
        </w:tc>
        <w:tc>
          <w:tcPr>
            <w:tcW w:w="845" w:type="pct"/>
            <w:tcBorders>
              <w:tl2br w:val="nil"/>
              <w:tr2bl w:val="nil"/>
            </w:tcBorders>
            <w:vAlign w:val="center"/>
          </w:tcPr>
          <w:p w14:paraId="26C0EA4C">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539.5</w:t>
            </w:r>
          </w:p>
        </w:tc>
      </w:tr>
      <w:tr w14:paraId="06DEE8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4" w:type="pct"/>
            <w:tcBorders>
              <w:tl2br w:val="nil"/>
              <w:tr2bl w:val="nil"/>
            </w:tcBorders>
            <w:vAlign w:val="center"/>
          </w:tcPr>
          <w:p w14:paraId="46E707F1">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泄漏高度（m）</w:t>
            </w:r>
          </w:p>
        </w:tc>
        <w:tc>
          <w:tcPr>
            <w:tcW w:w="642" w:type="pct"/>
            <w:tcBorders>
              <w:tl2br w:val="nil"/>
              <w:tr2bl w:val="nil"/>
            </w:tcBorders>
            <w:vAlign w:val="center"/>
          </w:tcPr>
          <w:p w14:paraId="7B735A43">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10</w:t>
            </w:r>
          </w:p>
        </w:tc>
        <w:tc>
          <w:tcPr>
            <w:tcW w:w="1048" w:type="pct"/>
            <w:tcBorders>
              <w:tl2br w:val="nil"/>
              <w:tr2bl w:val="nil"/>
            </w:tcBorders>
            <w:vAlign w:val="center"/>
          </w:tcPr>
          <w:p w14:paraId="22DDF376">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泄漏液体蒸发量（kg）</w:t>
            </w:r>
          </w:p>
        </w:tc>
        <w:tc>
          <w:tcPr>
            <w:tcW w:w="720" w:type="pct"/>
            <w:tcBorders>
              <w:tl2br w:val="nil"/>
              <w:tr2bl w:val="nil"/>
            </w:tcBorders>
            <w:vAlign w:val="center"/>
          </w:tcPr>
          <w:p w14:paraId="5B03B028">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3.79</w:t>
            </w:r>
          </w:p>
        </w:tc>
        <w:tc>
          <w:tcPr>
            <w:tcW w:w="829" w:type="pct"/>
            <w:tcBorders>
              <w:tl2br w:val="nil"/>
              <w:tr2bl w:val="nil"/>
            </w:tcBorders>
            <w:vAlign w:val="center"/>
          </w:tcPr>
          <w:p w14:paraId="49D63E63">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泄漏频率</w:t>
            </w:r>
          </w:p>
        </w:tc>
        <w:tc>
          <w:tcPr>
            <w:tcW w:w="845" w:type="pct"/>
            <w:tcBorders>
              <w:tl2br w:val="nil"/>
              <w:tr2bl w:val="nil"/>
            </w:tcBorders>
            <w:vAlign w:val="center"/>
          </w:tcPr>
          <w:p w14:paraId="1C9101DF">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w:t>
            </w:r>
          </w:p>
        </w:tc>
      </w:tr>
      <w:tr w14:paraId="3F0334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tcBorders>
              <w:tl2br w:val="nil"/>
              <w:tr2bl w:val="nil"/>
            </w:tcBorders>
            <w:vAlign w:val="center"/>
          </w:tcPr>
          <w:p w14:paraId="3CF015F5">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事故后果预测</w:t>
            </w:r>
          </w:p>
        </w:tc>
      </w:tr>
      <w:tr w14:paraId="704EC2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tcBorders>
              <w:tl2br w:val="nil"/>
              <w:tr2bl w:val="nil"/>
            </w:tcBorders>
            <w:vAlign w:val="center"/>
          </w:tcPr>
          <w:p w14:paraId="2F389C79">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最不利气象</w:t>
            </w:r>
          </w:p>
        </w:tc>
      </w:tr>
      <w:tr w14:paraId="2E6D69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6" w:type="pct"/>
            <w:gridSpan w:val="2"/>
            <w:vMerge w:val="restart"/>
            <w:tcBorders>
              <w:tl2br w:val="nil"/>
              <w:tr2bl w:val="nil"/>
            </w:tcBorders>
            <w:vAlign w:val="center"/>
          </w:tcPr>
          <w:p w14:paraId="44F23E56">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危险物质</w:t>
            </w:r>
          </w:p>
        </w:tc>
        <w:tc>
          <w:tcPr>
            <w:tcW w:w="3443" w:type="pct"/>
            <w:gridSpan w:val="4"/>
            <w:tcBorders>
              <w:tl2br w:val="nil"/>
              <w:tr2bl w:val="nil"/>
            </w:tcBorders>
            <w:vAlign w:val="center"/>
          </w:tcPr>
          <w:p w14:paraId="390A53BB">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大气环境影响</w:t>
            </w:r>
          </w:p>
        </w:tc>
      </w:tr>
      <w:tr w14:paraId="00F9BC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6" w:type="pct"/>
            <w:gridSpan w:val="2"/>
            <w:vMerge w:val="continue"/>
            <w:tcBorders>
              <w:tl2br w:val="nil"/>
              <w:tr2bl w:val="nil"/>
            </w:tcBorders>
            <w:vAlign w:val="center"/>
          </w:tcPr>
          <w:p w14:paraId="1C356AE2">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p>
        </w:tc>
        <w:tc>
          <w:tcPr>
            <w:tcW w:w="1048" w:type="pct"/>
            <w:tcBorders>
              <w:tl2br w:val="nil"/>
              <w:tr2bl w:val="nil"/>
            </w:tcBorders>
            <w:vAlign w:val="center"/>
          </w:tcPr>
          <w:p w14:paraId="64DAE7EA">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指标</w:t>
            </w:r>
          </w:p>
        </w:tc>
        <w:tc>
          <w:tcPr>
            <w:tcW w:w="720" w:type="pct"/>
            <w:tcBorders>
              <w:tl2br w:val="nil"/>
              <w:tr2bl w:val="nil"/>
            </w:tcBorders>
            <w:vAlign w:val="center"/>
          </w:tcPr>
          <w:p w14:paraId="199670F4">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浓度值（mg/m</w:t>
            </w:r>
            <w:r>
              <w:rPr>
                <w:rFonts w:hint="eastAsia" w:ascii="Times New Roman" w:hAnsi="Times New Roman" w:eastAsia="仿宋_GB2312" w:cs="Times New Roman"/>
                <w:color w:val="auto"/>
                <w:spacing w:val="0"/>
                <w:kern w:val="0"/>
                <w:position w:val="0"/>
                <w:sz w:val="21"/>
                <w:szCs w:val="21"/>
                <w:vertAlign w:val="superscript"/>
                <w:lang w:val="en-US" w:eastAsia="zh-CN"/>
              </w:rPr>
              <w:t>3</w:t>
            </w:r>
            <w:r>
              <w:rPr>
                <w:rFonts w:hint="eastAsia" w:ascii="Times New Roman" w:hAnsi="Times New Roman" w:eastAsia="仿宋_GB2312" w:cs="Times New Roman"/>
                <w:color w:val="auto"/>
                <w:spacing w:val="0"/>
                <w:kern w:val="0"/>
                <w:position w:val="0"/>
                <w:sz w:val="21"/>
                <w:szCs w:val="21"/>
                <w:lang w:val="en-US" w:eastAsia="zh-CN"/>
              </w:rPr>
              <w:t>）</w:t>
            </w:r>
          </w:p>
        </w:tc>
        <w:tc>
          <w:tcPr>
            <w:tcW w:w="829" w:type="pct"/>
            <w:tcBorders>
              <w:tl2br w:val="nil"/>
              <w:tr2bl w:val="nil"/>
            </w:tcBorders>
            <w:vAlign w:val="center"/>
          </w:tcPr>
          <w:p w14:paraId="353DFC35">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最远影响距</w:t>
            </w:r>
          </w:p>
          <w:p w14:paraId="033FBF9F">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离（m）</w:t>
            </w:r>
          </w:p>
        </w:tc>
        <w:tc>
          <w:tcPr>
            <w:tcW w:w="845" w:type="pct"/>
            <w:tcBorders>
              <w:tl2br w:val="nil"/>
              <w:tr2bl w:val="nil"/>
            </w:tcBorders>
            <w:vAlign w:val="center"/>
          </w:tcPr>
          <w:p w14:paraId="62058530">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达到时间（min）</w:t>
            </w:r>
          </w:p>
        </w:tc>
      </w:tr>
      <w:tr w14:paraId="412B75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6" w:type="pct"/>
            <w:gridSpan w:val="2"/>
            <w:vMerge w:val="restart"/>
            <w:tcBorders>
              <w:tl2br w:val="nil"/>
              <w:tr2bl w:val="nil"/>
            </w:tcBorders>
            <w:vAlign w:val="center"/>
          </w:tcPr>
          <w:p w14:paraId="477DE0D3">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4"/>
                <w:szCs w:val="24"/>
                <w:lang w:val="en-US" w:eastAsia="zh-CN"/>
              </w:rPr>
              <w:t>HCl</w:t>
            </w:r>
          </w:p>
        </w:tc>
        <w:tc>
          <w:tcPr>
            <w:tcW w:w="1048" w:type="pct"/>
            <w:tcBorders>
              <w:tl2br w:val="nil"/>
              <w:tr2bl w:val="nil"/>
            </w:tcBorders>
            <w:vAlign w:val="center"/>
          </w:tcPr>
          <w:p w14:paraId="13A78A81">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大气毒性终点</w:t>
            </w:r>
          </w:p>
          <w:p w14:paraId="624D523A">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浓度-1</w:t>
            </w:r>
          </w:p>
        </w:tc>
        <w:tc>
          <w:tcPr>
            <w:tcW w:w="720" w:type="pct"/>
            <w:tcBorders>
              <w:tl2br w:val="nil"/>
              <w:tr2bl w:val="nil"/>
            </w:tcBorders>
            <w:vAlign w:val="center"/>
          </w:tcPr>
          <w:p w14:paraId="480ADC08">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150</w:t>
            </w:r>
          </w:p>
        </w:tc>
        <w:tc>
          <w:tcPr>
            <w:tcW w:w="829" w:type="pct"/>
            <w:tcBorders>
              <w:tl2br w:val="nil"/>
              <w:tr2bl w:val="nil"/>
            </w:tcBorders>
            <w:vAlign w:val="center"/>
          </w:tcPr>
          <w:p w14:paraId="2EFA2388">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w:t>
            </w:r>
          </w:p>
        </w:tc>
        <w:tc>
          <w:tcPr>
            <w:tcW w:w="845" w:type="pct"/>
            <w:tcBorders>
              <w:tl2br w:val="nil"/>
              <w:tr2bl w:val="nil"/>
            </w:tcBorders>
            <w:vAlign w:val="center"/>
          </w:tcPr>
          <w:p w14:paraId="54681B76">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w:t>
            </w:r>
          </w:p>
        </w:tc>
      </w:tr>
      <w:tr w14:paraId="5D510F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6" w:type="pct"/>
            <w:gridSpan w:val="2"/>
            <w:vMerge w:val="continue"/>
            <w:tcBorders>
              <w:tl2br w:val="nil"/>
              <w:tr2bl w:val="nil"/>
            </w:tcBorders>
            <w:vAlign w:val="center"/>
          </w:tcPr>
          <w:p w14:paraId="2D35A65D">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p>
        </w:tc>
        <w:tc>
          <w:tcPr>
            <w:tcW w:w="1048" w:type="pct"/>
            <w:tcBorders>
              <w:tl2br w:val="nil"/>
              <w:tr2bl w:val="nil"/>
            </w:tcBorders>
            <w:vAlign w:val="center"/>
          </w:tcPr>
          <w:p w14:paraId="052042E3">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大气毒性终点</w:t>
            </w:r>
          </w:p>
          <w:p w14:paraId="170525EA">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浓度-2</w:t>
            </w:r>
          </w:p>
        </w:tc>
        <w:tc>
          <w:tcPr>
            <w:tcW w:w="720" w:type="pct"/>
            <w:tcBorders>
              <w:tl2br w:val="nil"/>
              <w:tr2bl w:val="nil"/>
            </w:tcBorders>
            <w:vAlign w:val="center"/>
          </w:tcPr>
          <w:p w14:paraId="5B47B6C3">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33</w:t>
            </w:r>
          </w:p>
        </w:tc>
        <w:tc>
          <w:tcPr>
            <w:tcW w:w="829" w:type="pct"/>
            <w:tcBorders>
              <w:tl2br w:val="nil"/>
              <w:tr2bl w:val="nil"/>
            </w:tcBorders>
            <w:vAlign w:val="center"/>
          </w:tcPr>
          <w:p w14:paraId="72C1FD16">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w:t>
            </w:r>
          </w:p>
        </w:tc>
        <w:tc>
          <w:tcPr>
            <w:tcW w:w="845" w:type="pct"/>
            <w:tcBorders>
              <w:tl2br w:val="nil"/>
              <w:tr2bl w:val="nil"/>
            </w:tcBorders>
            <w:vAlign w:val="center"/>
          </w:tcPr>
          <w:p w14:paraId="2A56E324">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w:t>
            </w:r>
          </w:p>
        </w:tc>
      </w:tr>
    </w:tbl>
    <w:p w14:paraId="26761FF5">
      <w:pPr>
        <w:keepNext w:val="0"/>
        <w:keepLines w:val="0"/>
        <w:pageBreakBefore w:val="0"/>
        <w:kinsoku/>
        <w:wordWrap/>
        <w:overflowPunct/>
        <w:topLinePunct w:val="0"/>
        <w:bidi w:val="0"/>
        <w:adjustRightInd w:val="0"/>
        <w:snapToGrid w:val="0"/>
        <w:spacing w:beforeAutospacing="0" w:afterAutospacing="0" w:line="500" w:lineRule="exact"/>
        <w:ind w:left="0" w:leftChars="0" w:right="0" w:firstLine="480"/>
        <w:rPr>
          <w:rFonts w:hint="default" w:ascii="Times New Roman" w:hAnsi="Times New Roman" w:eastAsia="仿宋_GB2312" w:cs="Times New Roman"/>
          <w:color w:val="auto"/>
          <w:spacing w:val="0"/>
          <w:kern w:val="0"/>
          <w:position w:val="0"/>
          <w:sz w:val="24"/>
          <w:szCs w:val="24"/>
        </w:rPr>
      </w:pPr>
      <w:bookmarkStart w:id="159" w:name="OLE_LINK5"/>
      <w:r>
        <w:rPr>
          <w:rFonts w:hint="eastAsia" w:ascii="Times New Roman" w:hAnsi="Times New Roman" w:eastAsia="仿宋_GB2312" w:cs="Times New Roman"/>
          <w:color w:val="auto"/>
          <w:spacing w:val="0"/>
          <w:kern w:val="0"/>
          <w:position w:val="0"/>
          <w:sz w:val="24"/>
          <w:szCs w:val="24"/>
        </w:rPr>
        <w:t>下风向不同距离处</w:t>
      </w:r>
      <w:r>
        <w:rPr>
          <w:rFonts w:hint="eastAsia" w:ascii="Times New Roman" w:hAnsi="Times New Roman" w:eastAsia="仿宋_GB2312" w:cs="Times New Roman"/>
          <w:color w:val="auto"/>
          <w:spacing w:val="0"/>
          <w:kern w:val="0"/>
          <w:position w:val="0"/>
          <w:sz w:val="24"/>
          <w:szCs w:val="24"/>
          <w:lang w:val="en-US" w:eastAsia="zh-CN"/>
        </w:rPr>
        <w:t>HCl</w:t>
      </w:r>
      <w:r>
        <w:rPr>
          <w:rFonts w:hint="eastAsia" w:ascii="Times New Roman" w:hAnsi="Times New Roman" w:eastAsia="仿宋_GB2312" w:cs="Times New Roman"/>
          <w:color w:val="auto"/>
          <w:spacing w:val="0"/>
          <w:kern w:val="0"/>
          <w:position w:val="0"/>
          <w:sz w:val="24"/>
          <w:szCs w:val="24"/>
        </w:rPr>
        <w:t>最大浓度</w:t>
      </w:r>
      <w:bookmarkEnd w:id="159"/>
      <w:r>
        <w:rPr>
          <w:rFonts w:hint="eastAsia" w:ascii="Times New Roman" w:hAnsi="Times New Roman" w:eastAsia="仿宋_GB2312" w:cs="Times New Roman"/>
          <w:color w:val="auto"/>
          <w:spacing w:val="0"/>
          <w:kern w:val="0"/>
          <w:position w:val="0"/>
          <w:sz w:val="24"/>
          <w:szCs w:val="24"/>
        </w:rPr>
        <w:t>详见下表</w:t>
      </w:r>
      <w:r>
        <w:rPr>
          <w:rFonts w:hint="eastAsia" w:ascii="Times New Roman" w:hAnsi="Times New Roman" w:eastAsia="仿宋_GB2312" w:cs="Times New Roman"/>
          <w:color w:val="auto"/>
          <w:spacing w:val="0"/>
          <w:kern w:val="0"/>
          <w:position w:val="0"/>
          <w:sz w:val="24"/>
          <w:szCs w:val="24"/>
          <w:lang w:val="en-US" w:eastAsia="zh-CN"/>
        </w:rPr>
        <w:t>3.4-6。</w:t>
      </w:r>
    </w:p>
    <w:p w14:paraId="7B6DE85D">
      <w:pPr>
        <w:pageBreakBefore w:val="0"/>
        <w:kinsoku/>
        <w:wordWrap/>
        <w:bidi w:val="0"/>
        <w:adjustRightInd w:val="0"/>
        <w:snapToGrid w:val="0"/>
        <w:spacing w:beforeAutospacing="0" w:afterAutospacing="0" w:line="500" w:lineRule="exact"/>
        <w:ind w:left="0" w:leftChars="0" w:right="0"/>
        <w:jc w:val="center"/>
        <w:rPr>
          <w:rFonts w:hint="default" w:ascii="Times New Roman" w:hAnsi="Times New Roman" w:eastAsia="仿宋_GB2312" w:cs="Times New Roman"/>
          <w:b/>
          <w:color w:val="auto"/>
          <w:spacing w:val="0"/>
          <w:kern w:val="0"/>
          <w:position w:val="0"/>
          <w:szCs w:val="28"/>
        </w:rPr>
      </w:pPr>
      <w:r>
        <w:rPr>
          <w:rFonts w:hint="eastAsia" w:ascii="Times New Roman" w:hAnsi="Times New Roman" w:eastAsia="仿宋_GB2312" w:cs="Times New Roman"/>
          <w:b/>
          <w:color w:val="auto"/>
          <w:spacing w:val="0"/>
          <w:kern w:val="0"/>
          <w:position w:val="0"/>
          <w:szCs w:val="28"/>
        </w:rPr>
        <w:t>表</w:t>
      </w:r>
      <w:r>
        <w:rPr>
          <w:rFonts w:hint="eastAsia" w:ascii="Times New Roman" w:hAnsi="Times New Roman" w:eastAsia="仿宋_GB2312" w:cs="Times New Roman"/>
          <w:b/>
          <w:color w:val="auto"/>
          <w:spacing w:val="0"/>
          <w:kern w:val="0"/>
          <w:position w:val="0"/>
          <w:szCs w:val="28"/>
          <w:lang w:val="en-US" w:eastAsia="zh-CN"/>
        </w:rPr>
        <w:t>3</w:t>
      </w:r>
      <w:r>
        <w:rPr>
          <w:rFonts w:hint="eastAsia" w:ascii="Times New Roman" w:hAnsi="Times New Roman" w:eastAsia="仿宋_GB2312" w:cs="Times New Roman"/>
          <w:b/>
          <w:color w:val="auto"/>
          <w:spacing w:val="0"/>
          <w:kern w:val="0"/>
          <w:position w:val="0"/>
          <w:szCs w:val="28"/>
        </w:rPr>
        <w:t>.</w:t>
      </w:r>
      <w:r>
        <w:rPr>
          <w:rFonts w:hint="eastAsia" w:ascii="Times New Roman" w:hAnsi="Times New Roman" w:eastAsia="仿宋_GB2312" w:cs="Times New Roman"/>
          <w:b/>
          <w:color w:val="auto"/>
          <w:spacing w:val="0"/>
          <w:kern w:val="0"/>
          <w:position w:val="0"/>
          <w:szCs w:val="28"/>
          <w:lang w:val="en-US" w:eastAsia="zh-CN"/>
        </w:rPr>
        <w:t>4</w:t>
      </w:r>
      <w:r>
        <w:rPr>
          <w:rFonts w:hint="eastAsia" w:ascii="Times New Roman" w:hAnsi="Times New Roman" w:eastAsia="仿宋_GB2312" w:cs="Times New Roman"/>
          <w:b/>
          <w:color w:val="auto"/>
          <w:spacing w:val="0"/>
          <w:kern w:val="0"/>
          <w:position w:val="0"/>
          <w:szCs w:val="28"/>
        </w:rPr>
        <w:t>-</w:t>
      </w:r>
      <w:r>
        <w:rPr>
          <w:rFonts w:hint="eastAsia" w:ascii="Times New Roman" w:hAnsi="Times New Roman" w:eastAsia="仿宋_GB2312" w:cs="Times New Roman"/>
          <w:b/>
          <w:color w:val="auto"/>
          <w:spacing w:val="0"/>
          <w:kern w:val="0"/>
          <w:position w:val="0"/>
          <w:szCs w:val="28"/>
          <w:lang w:val="en-US" w:eastAsia="zh-CN"/>
        </w:rPr>
        <w:t xml:space="preserve">6 </w:t>
      </w:r>
      <w:r>
        <w:rPr>
          <w:rFonts w:hint="eastAsia" w:ascii="Times New Roman" w:hAnsi="Times New Roman" w:eastAsia="仿宋_GB2312" w:cs="Times New Roman"/>
          <w:b/>
          <w:color w:val="auto"/>
          <w:spacing w:val="0"/>
          <w:kern w:val="0"/>
          <w:position w:val="0"/>
          <w:szCs w:val="28"/>
        </w:rPr>
        <w:t xml:space="preserve"> 下风向不同距离处</w:t>
      </w:r>
      <w:r>
        <w:rPr>
          <w:rFonts w:hint="eastAsia" w:ascii="Times New Roman" w:hAnsi="Times New Roman" w:eastAsia="仿宋_GB2312" w:cs="Times New Roman"/>
          <w:b/>
          <w:color w:val="auto"/>
          <w:spacing w:val="0"/>
          <w:kern w:val="0"/>
          <w:position w:val="0"/>
          <w:szCs w:val="28"/>
          <w:lang w:val="en-US" w:eastAsia="zh-CN"/>
        </w:rPr>
        <w:t>HCl</w:t>
      </w:r>
      <w:r>
        <w:rPr>
          <w:rFonts w:hint="eastAsia" w:ascii="Times New Roman" w:hAnsi="Times New Roman" w:eastAsia="仿宋_GB2312" w:cs="Times New Roman"/>
          <w:b/>
          <w:color w:val="auto"/>
          <w:spacing w:val="0"/>
          <w:kern w:val="0"/>
          <w:position w:val="0"/>
          <w:szCs w:val="28"/>
        </w:rPr>
        <w:t>最大浓度统计表</w:t>
      </w:r>
    </w:p>
    <w:tbl>
      <w:tblPr>
        <w:tblStyle w:val="32"/>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17"/>
        <w:gridCol w:w="2061"/>
        <w:gridCol w:w="2706"/>
        <w:gridCol w:w="3097"/>
      </w:tblGrid>
      <w:tr w14:paraId="23F8F8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3" w:type="pct"/>
            <w:tcBorders>
              <w:tl2br w:val="nil"/>
              <w:tr2bl w:val="nil"/>
            </w:tcBorders>
            <w:vAlign w:val="center"/>
          </w:tcPr>
          <w:p w14:paraId="7363421B">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b/>
                <w:bCs/>
                <w:color w:val="auto"/>
                <w:spacing w:val="0"/>
                <w:kern w:val="0"/>
                <w:position w:val="0"/>
                <w:sz w:val="21"/>
                <w:szCs w:val="21"/>
                <w:lang w:val="en-US" w:eastAsia="zh-CN"/>
              </w:rPr>
            </w:pPr>
            <w:r>
              <w:rPr>
                <w:rFonts w:hint="eastAsia" w:ascii="Times New Roman" w:hAnsi="Times New Roman" w:eastAsia="仿宋_GB2312" w:cs="Times New Roman"/>
                <w:b/>
                <w:bCs/>
                <w:color w:val="auto"/>
                <w:spacing w:val="0"/>
                <w:kern w:val="0"/>
                <w:position w:val="0"/>
                <w:sz w:val="21"/>
                <w:szCs w:val="21"/>
                <w:lang w:val="en-US" w:eastAsia="zh-CN"/>
              </w:rPr>
              <w:t>序号</w:t>
            </w:r>
          </w:p>
        </w:tc>
        <w:tc>
          <w:tcPr>
            <w:tcW w:w="1110" w:type="pct"/>
            <w:tcBorders>
              <w:tl2br w:val="nil"/>
              <w:tr2bl w:val="nil"/>
            </w:tcBorders>
            <w:vAlign w:val="center"/>
          </w:tcPr>
          <w:p w14:paraId="015A3297">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b/>
                <w:bCs/>
                <w:color w:val="auto"/>
                <w:spacing w:val="0"/>
                <w:kern w:val="0"/>
                <w:position w:val="0"/>
                <w:sz w:val="21"/>
                <w:szCs w:val="21"/>
                <w:lang w:val="en-US" w:eastAsia="zh-CN"/>
              </w:rPr>
            </w:pPr>
            <w:r>
              <w:rPr>
                <w:rFonts w:hint="eastAsia" w:ascii="Times New Roman" w:hAnsi="Times New Roman" w:eastAsia="仿宋_GB2312" w:cs="Times New Roman"/>
                <w:b/>
                <w:bCs/>
                <w:color w:val="auto"/>
                <w:spacing w:val="0"/>
                <w:kern w:val="0"/>
                <w:position w:val="0"/>
                <w:sz w:val="21"/>
                <w:szCs w:val="21"/>
                <w:lang w:val="en-US" w:eastAsia="zh-CN"/>
              </w:rPr>
              <w:t>距离（m）</w:t>
            </w:r>
          </w:p>
        </w:tc>
        <w:tc>
          <w:tcPr>
            <w:tcW w:w="1457" w:type="pct"/>
            <w:tcBorders>
              <w:tl2br w:val="nil"/>
              <w:tr2bl w:val="nil"/>
            </w:tcBorders>
            <w:vAlign w:val="center"/>
          </w:tcPr>
          <w:p w14:paraId="5B20427C">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b/>
                <w:bCs/>
                <w:color w:val="auto"/>
                <w:spacing w:val="0"/>
                <w:kern w:val="0"/>
                <w:position w:val="0"/>
                <w:sz w:val="21"/>
                <w:szCs w:val="21"/>
                <w:lang w:val="en-US" w:eastAsia="zh-CN"/>
              </w:rPr>
            </w:pPr>
            <w:r>
              <w:rPr>
                <w:rFonts w:hint="eastAsia" w:ascii="Times New Roman" w:hAnsi="Times New Roman" w:eastAsia="仿宋_GB2312" w:cs="Times New Roman"/>
                <w:b/>
                <w:bCs/>
                <w:color w:val="auto"/>
                <w:spacing w:val="0"/>
                <w:kern w:val="0"/>
                <w:position w:val="0"/>
                <w:sz w:val="21"/>
                <w:szCs w:val="21"/>
                <w:lang w:val="en-US" w:eastAsia="zh-CN"/>
              </w:rPr>
              <w:t>浓度出现时间（min）</w:t>
            </w:r>
          </w:p>
        </w:tc>
        <w:tc>
          <w:tcPr>
            <w:tcW w:w="1668" w:type="pct"/>
            <w:tcBorders>
              <w:tl2br w:val="nil"/>
              <w:tr2bl w:val="nil"/>
            </w:tcBorders>
            <w:vAlign w:val="center"/>
          </w:tcPr>
          <w:p w14:paraId="055CB4C2">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b/>
                <w:bCs/>
                <w:color w:val="auto"/>
                <w:spacing w:val="0"/>
                <w:kern w:val="0"/>
                <w:position w:val="0"/>
                <w:sz w:val="21"/>
                <w:szCs w:val="21"/>
                <w:lang w:val="en-US" w:eastAsia="zh-CN"/>
              </w:rPr>
            </w:pPr>
            <w:r>
              <w:rPr>
                <w:rFonts w:hint="eastAsia" w:ascii="Times New Roman" w:hAnsi="Times New Roman" w:eastAsia="仿宋_GB2312" w:cs="Times New Roman"/>
                <w:b/>
                <w:bCs/>
                <w:color w:val="auto"/>
                <w:spacing w:val="0"/>
                <w:kern w:val="0"/>
                <w:position w:val="0"/>
                <w:sz w:val="21"/>
                <w:szCs w:val="21"/>
                <w:lang w:val="en-US" w:eastAsia="zh-CN"/>
              </w:rPr>
              <w:t>高峰浓度（mg/m</w:t>
            </w:r>
            <w:r>
              <w:rPr>
                <w:rFonts w:hint="eastAsia" w:ascii="Times New Roman" w:hAnsi="Times New Roman" w:eastAsia="仿宋_GB2312" w:cs="Times New Roman"/>
                <w:b/>
                <w:bCs/>
                <w:color w:val="auto"/>
                <w:spacing w:val="0"/>
                <w:kern w:val="0"/>
                <w:position w:val="0"/>
                <w:sz w:val="21"/>
                <w:szCs w:val="21"/>
                <w:vertAlign w:val="superscript"/>
                <w:lang w:val="en-US" w:eastAsia="zh-CN"/>
              </w:rPr>
              <w:t>3</w:t>
            </w:r>
            <w:r>
              <w:rPr>
                <w:rFonts w:hint="eastAsia" w:ascii="Times New Roman" w:hAnsi="Times New Roman" w:eastAsia="仿宋_GB2312" w:cs="Times New Roman"/>
                <w:b/>
                <w:bCs/>
                <w:color w:val="auto"/>
                <w:spacing w:val="0"/>
                <w:kern w:val="0"/>
                <w:position w:val="0"/>
                <w:sz w:val="21"/>
                <w:szCs w:val="21"/>
                <w:lang w:val="en-US" w:eastAsia="zh-CN"/>
              </w:rPr>
              <w:t>）</w:t>
            </w:r>
          </w:p>
        </w:tc>
      </w:tr>
      <w:tr w14:paraId="389724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3" w:type="pct"/>
            <w:tcBorders>
              <w:tl2br w:val="nil"/>
              <w:tr2bl w:val="nil"/>
            </w:tcBorders>
            <w:vAlign w:val="center"/>
          </w:tcPr>
          <w:p w14:paraId="1FDEBF35">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1</w:t>
            </w:r>
          </w:p>
        </w:tc>
        <w:tc>
          <w:tcPr>
            <w:tcW w:w="1110" w:type="pct"/>
            <w:tcBorders>
              <w:tl2br w:val="nil"/>
              <w:tr2bl w:val="nil"/>
            </w:tcBorders>
            <w:vAlign w:val="center"/>
          </w:tcPr>
          <w:p w14:paraId="7711F99B">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20</w:t>
            </w:r>
          </w:p>
        </w:tc>
        <w:tc>
          <w:tcPr>
            <w:tcW w:w="1457" w:type="pct"/>
            <w:tcBorders>
              <w:tl2br w:val="nil"/>
              <w:tr2bl w:val="nil"/>
            </w:tcBorders>
            <w:vAlign w:val="center"/>
          </w:tcPr>
          <w:p w14:paraId="2325434B">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0.222</w:t>
            </w:r>
          </w:p>
        </w:tc>
        <w:tc>
          <w:tcPr>
            <w:tcW w:w="1668" w:type="pct"/>
            <w:tcBorders>
              <w:tl2br w:val="nil"/>
              <w:tr2bl w:val="nil"/>
            </w:tcBorders>
            <w:vAlign w:val="center"/>
          </w:tcPr>
          <w:p w14:paraId="0F6B6DDE">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1.0094E-02</w:t>
            </w:r>
          </w:p>
        </w:tc>
      </w:tr>
      <w:tr w14:paraId="0E1850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3" w:type="pct"/>
            <w:tcBorders>
              <w:tl2br w:val="nil"/>
              <w:tr2bl w:val="nil"/>
            </w:tcBorders>
            <w:vAlign w:val="center"/>
          </w:tcPr>
          <w:p w14:paraId="4FFAF9FD">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2</w:t>
            </w:r>
          </w:p>
        </w:tc>
        <w:tc>
          <w:tcPr>
            <w:tcW w:w="1110" w:type="pct"/>
            <w:tcBorders>
              <w:tl2br w:val="nil"/>
              <w:tr2bl w:val="nil"/>
            </w:tcBorders>
            <w:vAlign w:val="center"/>
          </w:tcPr>
          <w:p w14:paraId="7C174FEF">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30</w:t>
            </w:r>
          </w:p>
        </w:tc>
        <w:tc>
          <w:tcPr>
            <w:tcW w:w="1457" w:type="pct"/>
            <w:tcBorders>
              <w:tl2br w:val="nil"/>
              <w:tr2bl w:val="nil"/>
            </w:tcBorders>
            <w:vAlign w:val="center"/>
          </w:tcPr>
          <w:p w14:paraId="59F8D92A">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0.333</w:t>
            </w:r>
          </w:p>
        </w:tc>
        <w:tc>
          <w:tcPr>
            <w:tcW w:w="1668" w:type="pct"/>
            <w:tcBorders>
              <w:tl2br w:val="nil"/>
              <w:tr2bl w:val="nil"/>
            </w:tcBorders>
            <w:vAlign w:val="center"/>
          </w:tcPr>
          <w:p w14:paraId="4F6B80F0">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1.1971E-01</w:t>
            </w:r>
          </w:p>
        </w:tc>
      </w:tr>
      <w:tr w14:paraId="5CB005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3" w:type="pct"/>
            <w:tcBorders>
              <w:tl2br w:val="nil"/>
              <w:tr2bl w:val="nil"/>
            </w:tcBorders>
            <w:vAlign w:val="center"/>
          </w:tcPr>
          <w:p w14:paraId="66060128">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3</w:t>
            </w:r>
          </w:p>
        </w:tc>
        <w:tc>
          <w:tcPr>
            <w:tcW w:w="1110" w:type="pct"/>
            <w:tcBorders>
              <w:tl2br w:val="nil"/>
              <w:tr2bl w:val="nil"/>
            </w:tcBorders>
            <w:vAlign w:val="center"/>
          </w:tcPr>
          <w:p w14:paraId="0675F385">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90</w:t>
            </w:r>
          </w:p>
        </w:tc>
        <w:tc>
          <w:tcPr>
            <w:tcW w:w="1457" w:type="pct"/>
            <w:tcBorders>
              <w:tl2br w:val="nil"/>
              <w:tr2bl w:val="nil"/>
            </w:tcBorders>
            <w:vAlign w:val="center"/>
          </w:tcPr>
          <w:p w14:paraId="204712DC">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1.000</w:t>
            </w:r>
          </w:p>
        </w:tc>
        <w:tc>
          <w:tcPr>
            <w:tcW w:w="1668" w:type="pct"/>
            <w:tcBorders>
              <w:tl2br w:val="nil"/>
              <w:tr2bl w:val="nil"/>
            </w:tcBorders>
            <w:vAlign w:val="center"/>
          </w:tcPr>
          <w:p w14:paraId="0A050E1B">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1.0813E-01</w:t>
            </w:r>
          </w:p>
        </w:tc>
      </w:tr>
      <w:tr w14:paraId="3ED98A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3" w:type="pct"/>
            <w:tcBorders>
              <w:tl2br w:val="nil"/>
              <w:tr2bl w:val="nil"/>
            </w:tcBorders>
            <w:vAlign w:val="center"/>
          </w:tcPr>
          <w:p w14:paraId="18C96D94">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4</w:t>
            </w:r>
          </w:p>
        </w:tc>
        <w:tc>
          <w:tcPr>
            <w:tcW w:w="1110" w:type="pct"/>
            <w:tcBorders>
              <w:tl2br w:val="nil"/>
              <w:tr2bl w:val="nil"/>
            </w:tcBorders>
            <w:vAlign w:val="center"/>
          </w:tcPr>
          <w:p w14:paraId="7A6B218B">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120</w:t>
            </w:r>
          </w:p>
        </w:tc>
        <w:tc>
          <w:tcPr>
            <w:tcW w:w="1457" w:type="pct"/>
            <w:tcBorders>
              <w:tl2br w:val="nil"/>
              <w:tr2bl w:val="nil"/>
            </w:tcBorders>
            <w:vAlign w:val="center"/>
          </w:tcPr>
          <w:p w14:paraId="6ED767EF">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1.333</w:t>
            </w:r>
          </w:p>
        </w:tc>
        <w:tc>
          <w:tcPr>
            <w:tcW w:w="1668" w:type="pct"/>
            <w:tcBorders>
              <w:tl2br w:val="nil"/>
              <w:tr2bl w:val="nil"/>
            </w:tcBorders>
            <w:vAlign w:val="center"/>
          </w:tcPr>
          <w:p w14:paraId="6004EFDD">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6.4287E-02</w:t>
            </w:r>
          </w:p>
        </w:tc>
      </w:tr>
      <w:tr w14:paraId="7BE226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3" w:type="pct"/>
            <w:tcBorders>
              <w:tl2br w:val="nil"/>
              <w:tr2bl w:val="nil"/>
            </w:tcBorders>
            <w:vAlign w:val="center"/>
          </w:tcPr>
          <w:p w14:paraId="01850FAC">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5</w:t>
            </w:r>
          </w:p>
        </w:tc>
        <w:tc>
          <w:tcPr>
            <w:tcW w:w="1110" w:type="pct"/>
            <w:tcBorders>
              <w:tl2br w:val="nil"/>
              <w:tr2bl w:val="nil"/>
            </w:tcBorders>
            <w:vAlign w:val="center"/>
          </w:tcPr>
          <w:p w14:paraId="5F7A8C4E">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200</w:t>
            </w:r>
          </w:p>
        </w:tc>
        <w:tc>
          <w:tcPr>
            <w:tcW w:w="1457" w:type="pct"/>
            <w:tcBorders>
              <w:tl2br w:val="nil"/>
              <w:tr2bl w:val="nil"/>
            </w:tcBorders>
            <w:vAlign w:val="center"/>
          </w:tcPr>
          <w:p w14:paraId="173A1DB1">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2.222</w:t>
            </w:r>
          </w:p>
        </w:tc>
        <w:tc>
          <w:tcPr>
            <w:tcW w:w="1668" w:type="pct"/>
            <w:tcBorders>
              <w:tl2br w:val="nil"/>
              <w:tr2bl w:val="nil"/>
            </w:tcBorders>
            <w:vAlign w:val="center"/>
          </w:tcPr>
          <w:p w14:paraId="387C940C">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2.7137E-02</w:t>
            </w:r>
          </w:p>
        </w:tc>
      </w:tr>
      <w:tr w14:paraId="1FCF72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3" w:type="pct"/>
            <w:tcBorders>
              <w:tl2br w:val="nil"/>
              <w:tr2bl w:val="nil"/>
            </w:tcBorders>
            <w:vAlign w:val="center"/>
          </w:tcPr>
          <w:p w14:paraId="5C6844CF">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6</w:t>
            </w:r>
          </w:p>
        </w:tc>
        <w:tc>
          <w:tcPr>
            <w:tcW w:w="1110" w:type="pct"/>
            <w:tcBorders>
              <w:tl2br w:val="nil"/>
              <w:tr2bl w:val="nil"/>
            </w:tcBorders>
            <w:vAlign w:val="center"/>
          </w:tcPr>
          <w:p w14:paraId="3C6B1718">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240</w:t>
            </w:r>
          </w:p>
        </w:tc>
        <w:tc>
          <w:tcPr>
            <w:tcW w:w="1457" w:type="pct"/>
            <w:tcBorders>
              <w:tl2br w:val="nil"/>
              <w:tr2bl w:val="nil"/>
            </w:tcBorders>
            <w:vAlign w:val="center"/>
          </w:tcPr>
          <w:p w14:paraId="59E3720B">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2.667</w:t>
            </w:r>
          </w:p>
        </w:tc>
        <w:tc>
          <w:tcPr>
            <w:tcW w:w="1668" w:type="pct"/>
            <w:tcBorders>
              <w:tl2br w:val="nil"/>
              <w:tr2bl w:val="nil"/>
            </w:tcBorders>
            <w:vAlign w:val="center"/>
          </w:tcPr>
          <w:p w14:paraId="18C149FA">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2.7137E-02</w:t>
            </w:r>
          </w:p>
        </w:tc>
      </w:tr>
      <w:tr w14:paraId="14C658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3" w:type="pct"/>
            <w:tcBorders>
              <w:tl2br w:val="nil"/>
              <w:tr2bl w:val="nil"/>
            </w:tcBorders>
            <w:vAlign w:val="center"/>
          </w:tcPr>
          <w:p w14:paraId="63111565">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7</w:t>
            </w:r>
          </w:p>
        </w:tc>
        <w:tc>
          <w:tcPr>
            <w:tcW w:w="1110" w:type="pct"/>
            <w:tcBorders>
              <w:tl2br w:val="nil"/>
              <w:tr2bl w:val="nil"/>
            </w:tcBorders>
            <w:vAlign w:val="center"/>
          </w:tcPr>
          <w:p w14:paraId="41D92D13">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320</w:t>
            </w:r>
          </w:p>
        </w:tc>
        <w:tc>
          <w:tcPr>
            <w:tcW w:w="1457" w:type="pct"/>
            <w:tcBorders>
              <w:tl2br w:val="nil"/>
              <w:tr2bl w:val="nil"/>
            </w:tcBorders>
            <w:vAlign w:val="center"/>
          </w:tcPr>
          <w:p w14:paraId="65DE034C">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3.556</w:t>
            </w:r>
          </w:p>
        </w:tc>
        <w:tc>
          <w:tcPr>
            <w:tcW w:w="1668" w:type="pct"/>
            <w:tcBorders>
              <w:tl2br w:val="nil"/>
              <w:tr2bl w:val="nil"/>
            </w:tcBorders>
            <w:vAlign w:val="center"/>
          </w:tcPr>
          <w:p w14:paraId="5F199A4C">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9.7826E-03</w:t>
            </w:r>
          </w:p>
        </w:tc>
      </w:tr>
      <w:tr w14:paraId="21B16D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3" w:type="pct"/>
            <w:tcBorders>
              <w:tl2br w:val="nil"/>
              <w:tr2bl w:val="nil"/>
            </w:tcBorders>
            <w:vAlign w:val="center"/>
          </w:tcPr>
          <w:p w14:paraId="65108D31">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8</w:t>
            </w:r>
          </w:p>
        </w:tc>
        <w:tc>
          <w:tcPr>
            <w:tcW w:w="1110" w:type="pct"/>
            <w:tcBorders>
              <w:tl2br w:val="nil"/>
              <w:tr2bl w:val="nil"/>
            </w:tcBorders>
            <w:vAlign w:val="center"/>
          </w:tcPr>
          <w:p w14:paraId="732C6B4B">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360</w:t>
            </w:r>
          </w:p>
        </w:tc>
        <w:tc>
          <w:tcPr>
            <w:tcW w:w="1457" w:type="pct"/>
            <w:tcBorders>
              <w:tl2br w:val="nil"/>
              <w:tr2bl w:val="nil"/>
            </w:tcBorders>
            <w:vAlign w:val="center"/>
          </w:tcPr>
          <w:p w14:paraId="42090A20">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4.000</w:t>
            </w:r>
          </w:p>
        </w:tc>
        <w:tc>
          <w:tcPr>
            <w:tcW w:w="1668" w:type="pct"/>
            <w:tcBorders>
              <w:tl2br w:val="nil"/>
              <w:tr2bl w:val="nil"/>
            </w:tcBorders>
            <w:vAlign w:val="center"/>
          </w:tcPr>
          <w:p w14:paraId="5883C6C2">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9.7826E-03</w:t>
            </w:r>
          </w:p>
        </w:tc>
      </w:tr>
      <w:tr w14:paraId="13D1D5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3" w:type="pct"/>
            <w:tcBorders>
              <w:tl2br w:val="nil"/>
              <w:tr2bl w:val="nil"/>
            </w:tcBorders>
            <w:vAlign w:val="center"/>
          </w:tcPr>
          <w:p w14:paraId="1C5E0463">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9</w:t>
            </w:r>
          </w:p>
        </w:tc>
        <w:tc>
          <w:tcPr>
            <w:tcW w:w="1110" w:type="pct"/>
            <w:tcBorders>
              <w:tl2br w:val="nil"/>
              <w:tr2bl w:val="nil"/>
            </w:tcBorders>
            <w:vAlign w:val="center"/>
          </w:tcPr>
          <w:p w14:paraId="7B1E5A67">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400</w:t>
            </w:r>
          </w:p>
        </w:tc>
        <w:tc>
          <w:tcPr>
            <w:tcW w:w="1457" w:type="pct"/>
            <w:tcBorders>
              <w:tl2br w:val="nil"/>
              <w:tr2bl w:val="nil"/>
            </w:tcBorders>
            <w:vAlign w:val="center"/>
          </w:tcPr>
          <w:p w14:paraId="1FDAA6EF">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4.444</w:t>
            </w:r>
          </w:p>
        </w:tc>
        <w:tc>
          <w:tcPr>
            <w:tcW w:w="1668" w:type="pct"/>
            <w:tcBorders>
              <w:tl2br w:val="nil"/>
              <w:tr2bl w:val="nil"/>
            </w:tcBorders>
            <w:vAlign w:val="center"/>
          </w:tcPr>
          <w:p w14:paraId="056B302A">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5.9909E-03</w:t>
            </w:r>
          </w:p>
        </w:tc>
      </w:tr>
      <w:tr w14:paraId="00ABE7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3" w:type="pct"/>
            <w:tcBorders>
              <w:tl2br w:val="nil"/>
              <w:tr2bl w:val="nil"/>
            </w:tcBorders>
            <w:vAlign w:val="center"/>
          </w:tcPr>
          <w:p w14:paraId="4E1C75E4">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10</w:t>
            </w:r>
          </w:p>
        </w:tc>
        <w:tc>
          <w:tcPr>
            <w:tcW w:w="1110" w:type="pct"/>
            <w:tcBorders>
              <w:tl2br w:val="nil"/>
              <w:tr2bl w:val="nil"/>
            </w:tcBorders>
            <w:vAlign w:val="center"/>
          </w:tcPr>
          <w:p w14:paraId="5FAC8667">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480</w:t>
            </w:r>
          </w:p>
        </w:tc>
        <w:tc>
          <w:tcPr>
            <w:tcW w:w="1457" w:type="pct"/>
            <w:tcBorders>
              <w:tl2br w:val="nil"/>
              <w:tr2bl w:val="nil"/>
            </w:tcBorders>
            <w:vAlign w:val="center"/>
          </w:tcPr>
          <w:p w14:paraId="7F9B9C44">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5.333</w:t>
            </w:r>
          </w:p>
        </w:tc>
        <w:tc>
          <w:tcPr>
            <w:tcW w:w="1668" w:type="pct"/>
            <w:tcBorders>
              <w:tl2br w:val="nil"/>
              <w:tr2bl w:val="nil"/>
            </w:tcBorders>
            <w:vAlign w:val="center"/>
          </w:tcPr>
          <w:p w14:paraId="279DBEEA">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4.0080E-03</w:t>
            </w:r>
          </w:p>
        </w:tc>
      </w:tr>
      <w:tr w14:paraId="215764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3" w:type="pct"/>
            <w:tcBorders>
              <w:tl2br w:val="nil"/>
              <w:tr2bl w:val="nil"/>
            </w:tcBorders>
            <w:vAlign w:val="center"/>
          </w:tcPr>
          <w:p w14:paraId="4106A064">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11</w:t>
            </w:r>
          </w:p>
        </w:tc>
        <w:tc>
          <w:tcPr>
            <w:tcW w:w="1110" w:type="pct"/>
            <w:tcBorders>
              <w:tl2br w:val="nil"/>
              <w:tr2bl w:val="nil"/>
            </w:tcBorders>
            <w:vAlign w:val="center"/>
          </w:tcPr>
          <w:p w14:paraId="5A956848">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560</w:t>
            </w:r>
          </w:p>
        </w:tc>
        <w:tc>
          <w:tcPr>
            <w:tcW w:w="1457" w:type="pct"/>
            <w:tcBorders>
              <w:tl2br w:val="nil"/>
              <w:tr2bl w:val="nil"/>
            </w:tcBorders>
            <w:vAlign w:val="center"/>
          </w:tcPr>
          <w:p w14:paraId="609476D9">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6.222</w:t>
            </w:r>
          </w:p>
        </w:tc>
        <w:tc>
          <w:tcPr>
            <w:tcW w:w="1668" w:type="pct"/>
            <w:tcBorders>
              <w:tl2br w:val="nil"/>
              <w:tr2bl w:val="nil"/>
            </w:tcBorders>
            <w:vAlign w:val="center"/>
          </w:tcPr>
          <w:p w14:paraId="0A24D32C">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2.8517E-03</w:t>
            </w:r>
          </w:p>
        </w:tc>
      </w:tr>
      <w:tr w14:paraId="03952B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3" w:type="pct"/>
            <w:tcBorders>
              <w:tl2br w:val="nil"/>
              <w:tr2bl w:val="nil"/>
            </w:tcBorders>
            <w:vAlign w:val="center"/>
          </w:tcPr>
          <w:p w14:paraId="7622D00F">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12</w:t>
            </w:r>
          </w:p>
        </w:tc>
        <w:tc>
          <w:tcPr>
            <w:tcW w:w="1110" w:type="pct"/>
            <w:tcBorders>
              <w:tl2br w:val="nil"/>
              <w:tr2bl w:val="nil"/>
            </w:tcBorders>
            <w:vAlign w:val="center"/>
          </w:tcPr>
          <w:p w14:paraId="3B4024AE">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640</w:t>
            </w:r>
          </w:p>
        </w:tc>
        <w:tc>
          <w:tcPr>
            <w:tcW w:w="1457" w:type="pct"/>
            <w:tcBorders>
              <w:tl2br w:val="nil"/>
              <w:tr2bl w:val="nil"/>
            </w:tcBorders>
            <w:vAlign w:val="center"/>
          </w:tcPr>
          <w:p w14:paraId="23E16157">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7.111</w:t>
            </w:r>
          </w:p>
        </w:tc>
        <w:tc>
          <w:tcPr>
            <w:tcW w:w="1668" w:type="pct"/>
            <w:tcBorders>
              <w:tl2br w:val="nil"/>
              <w:tr2bl w:val="nil"/>
            </w:tcBorders>
            <w:shd w:val="clear" w:color="auto" w:fill="auto"/>
            <w:vAlign w:val="center"/>
          </w:tcPr>
          <w:p w14:paraId="12053619">
            <w:pPr>
              <w:pageBreakBefore w:val="0"/>
              <w:kinsoku/>
              <w:wordWrap/>
              <w:bidi w:val="0"/>
              <w:adjustRightInd w:val="0"/>
              <w:snapToGrid w:val="0"/>
              <w:spacing w:beforeAutospacing="0" w:afterAutospacing="0" w:line="240" w:lineRule="atLeast"/>
              <w:ind w:left="0" w:leftChars="0" w:right="0" w:rightChars="0"/>
              <w:jc w:val="center"/>
              <w:rPr>
                <w:rFonts w:hint="eastAsia" w:ascii="Times New Roman" w:hAnsi="Times New Roman" w:eastAsia="仿宋_GB2312" w:cs="Times New Roman"/>
                <w:color w:val="auto"/>
                <w:spacing w:val="0"/>
                <w:kern w:val="0"/>
                <w:position w:val="0"/>
                <w:sz w:val="21"/>
                <w:szCs w:val="21"/>
                <w:lang w:val="en-US" w:eastAsia="zh-CN" w:bidi="ar-SA"/>
              </w:rPr>
            </w:pPr>
            <w:r>
              <w:rPr>
                <w:rFonts w:hint="eastAsia" w:ascii="Times New Roman" w:hAnsi="Times New Roman" w:eastAsia="仿宋_GB2312" w:cs="Times New Roman"/>
                <w:color w:val="auto"/>
                <w:spacing w:val="0"/>
                <w:kern w:val="0"/>
                <w:position w:val="0"/>
                <w:sz w:val="21"/>
                <w:szCs w:val="21"/>
                <w:lang w:val="en-US" w:eastAsia="zh-CN"/>
              </w:rPr>
              <w:t>2.1228E-03</w:t>
            </w:r>
          </w:p>
        </w:tc>
      </w:tr>
      <w:tr w14:paraId="34F1C2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3" w:type="pct"/>
            <w:tcBorders>
              <w:tl2br w:val="nil"/>
              <w:tr2bl w:val="nil"/>
            </w:tcBorders>
            <w:shd w:val="clear" w:color="auto" w:fill="auto"/>
            <w:vAlign w:val="center"/>
          </w:tcPr>
          <w:p w14:paraId="0CCD0A51">
            <w:pPr>
              <w:pageBreakBefore w:val="0"/>
              <w:kinsoku/>
              <w:wordWrap/>
              <w:bidi w:val="0"/>
              <w:adjustRightInd w:val="0"/>
              <w:snapToGrid w:val="0"/>
              <w:spacing w:beforeAutospacing="0" w:afterAutospacing="0" w:line="240" w:lineRule="atLeast"/>
              <w:ind w:left="0" w:leftChars="0" w:right="0" w:rightChars="0"/>
              <w:jc w:val="center"/>
              <w:rPr>
                <w:rFonts w:hint="eastAsia" w:ascii="Times New Roman" w:hAnsi="Times New Roman" w:eastAsia="仿宋_GB2312" w:cs="Times New Roman"/>
                <w:color w:val="auto"/>
                <w:spacing w:val="0"/>
                <w:kern w:val="0"/>
                <w:position w:val="0"/>
                <w:sz w:val="21"/>
                <w:szCs w:val="21"/>
                <w:lang w:val="en-US" w:eastAsia="zh-CN" w:bidi="ar-SA"/>
              </w:rPr>
            </w:pPr>
            <w:r>
              <w:rPr>
                <w:rFonts w:hint="eastAsia" w:ascii="Times New Roman" w:hAnsi="Times New Roman" w:eastAsia="仿宋_GB2312" w:cs="Times New Roman"/>
                <w:color w:val="auto"/>
                <w:spacing w:val="0"/>
                <w:kern w:val="0"/>
                <w:position w:val="0"/>
                <w:sz w:val="21"/>
                <w:szCs w:val="21"/>
                <w:lang w:val="en-US" w:eastAsia="zh-CN"/>
              </w:rPr>
              <w:t>13</w:t>
            </w:r>
          </w:p>
        </w:tc>
        <w:tc>
          <w:tcPr>
            <w:tcW w:w="1110" w:type="pct"/>
            <w:tcBorders>
              <w:tl2br w:val="nil"/>
              <w:tr2bl w:val="nil"/>
            </w:tcBorders>
            <w:vAlign w:val="center"/>
          </w:tcPr>
          <w:p w14:paraId="373AF23F">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720</w:t>
            </w:r>
          </w:p>
        </w:tc>
        <w:tc>
          <w:tcPr>
            <w:tcW w:w="1457" w:type="pct"/>
            <w:tcBorders>
              <w:tl2br w:val="nil"/>
              <w:tr2bl w:val="nil"/>
            </w:tcBorders>
            <w:vAlign w:val="center"/>
          </w:tcPr>
          <w:p w14:paraId="55CB31A8">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8.000</w:t>
            </w:r>
          </w:p>
        </w:tc>
        <w:tc>
          <w:tcPr>
            <w:tcW w:w="1668" w:type="pct"/>
            <w:tcBorders>
              <w:tl2br w:val="nil"/>
              <w:tr2bl w:val="nil"/>
            </w:tcBorders>
            <w:shd w:val="clear" w:color="auto" w:fill="auto"/>
            <w:vAlign w:val="center"/>
          </w:tcPr>
          <w:p w14:paraId="075BDFEF">
            <w:pPr>
              <w:pageBreakBefore w:val="0"/>
              <w:kinsoku/>
              <w:wordWrap/>
              <w:bidi w:val="0"/>
              <w:adjustRightInd w:val="0"/>
              <w:snapToGrid w:val="0"/>
              <w:spacing w:beforeAutospacing="0" w:afterAutospacing="0" w:line="240" w:lineRule="atLeast"/>
              <w:ind w:left="0" w:leftChars="0" w:right="0" w:rightChars="0"/>
              <w:jc w:val="center"/>
              <w:rPr>
                <w:rFonts w:hint="eastAsia" w:ascii="Times New Roman" w:hAnsi="Times New Roman" w:eastAsia="仿宋_GB2312" w:cs="Times New Roman"/>
                <w:color w:val="auto"/>
                <w:spacing w:val="0"/>
                <w:kern w:val="0"/>
                <w:position w:val="0"/>
                <w:sz w:val="21"/>
                <w:szCs w:val="21"/>
                <w:lang w:val="en-US" w:eastAsia="zh-CN" w:bidi="ar-SA"/>
              </w:rPr>
            </w:pPr>
            <w:r>
              <w:rPr>
                <w:rFonts w:hint="eastAsia" w:ascii="Times New Roman" w:hAnsi="Times New Roman" w:eastAsia="仿宋_GB2312" w:cs="Times New Roman"/>
                <w:color w:val="auto"/>
                <w:spacing w:val="0"/>
                <w:kern w:val="0"/>
                <w:position w:val="0"/>
                <w:sz w:val="21"/>
                <w:szCs w:val="21"/>
                <w:lang w:val="en-US" w:eastAsia="zh-CN"/>
              </w:rPr>
              <w:t>1.6360E-03</w:t>
            </w:r>
          </w:p>
        </w:tc>
      </w:tr>
      <w:tr w14:paraId="08CE26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3" w:type="pct"/>
            <w:tcBorders>
              <w:tl2br w:val="nil"/>
              <w:tr2bl w:val="nil"/>
            </w:tcBorders>
            <w:shd w:val="clear" w:color="auto" w:fill="auto"/>
            <w:vAlign w:val="center"/>
          </w:tcPr>
          <w:p w14:paraId="0A73E079">
            <w:pPr>
              <w:pageBreakBefore w:val="0"/>
              <w:kinsoku/>
              <w:wordWrap/>
              <w:bidi w:val="0"/>
              <w:adjustRightInd w:val="0"/>
              <w:snapToGrid w:val="0"/>
              <w:spacing w:beforeAutospacing="0" w:afterAutospacing="0" w:line="240" w:lineRule="atLeast"/>
              <w:ind w:left="0" w:leftChars="0" w:right="0" w:rightChars="0"/>
              <w:jc w:val="center"/>
              <w:rPr>
                <w:rFonts w:hint="eastAsia" w:ascii="Times New Roman" w:hAnsi="Times New Roman" w:eastAsia="仿宋_GB2312" w:cs="Times New Roman"/>
                <w:color w:val="auto"/>
                <w:spacing w:val="0"/>
                <w:kern w:val="0"/>
                <w:position w:val="0"/>
                <w:sz w:val="21"/>
                <w:szCs w:val="21"/>
                <w:lang w:val="en-US" w:eastAsia="zh-CN" w:bidi="ar-SA"/>
              </w:rPr>
            </w:pPr>
            <w:r>
              <w:rPr>
                <w:rFonts w:hint="eastAsia" w:ascii="Times New Roman" w:hAnsi="Times New Roman" w:eastAsia="仿宋_GB2312" w:cs="Times New Roman"/>
                <w:color w:val="auto"/>
                <w:spacing w:val="0"/>
                <w:kern w:val="0"/>
                <w:position w:val="0"/>
                <w:sz w:val="21"/>
                <w:szCs w:val="21"/>
                <w:lang w:val="en-US" w:eastAsia="zh-CN"/>
              </w:rPr>
              <w:t>14</w:t>
            </w:r>
          </w:p>
        </w:tc>
        <w:tc>
          <w:tcPr>
            <w:tcW w:w="1110" w:type="pct"/>
            <w:tcBorders>
              <w:tl2br w:val="nil"/>
              <w:tr2bl w:val="nil"/>
            </w:tcBorders>
            <w:vAlign w:val="center"/>
          </w:tcPr>
          <w:p w14:paraId="2AD33903">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960</w:t>
            </w:r>
          </w:p>
        </w:tc>
        <w:tc>
          <w:tcPr>
            <w:tcW w:w="1457" w:type="pct"/>
            <w:tcBorders>
              <w:tl2br w:val="nil"/>
              <w:tr2bl w:val="nil"/>
            </w:tcBorders>
            <w:vAlign w:val="center"/>
          </w:tcPr>
          <w:p w14:paraId="42403C91">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10.667</w:t>
            </w:r>
          </w:p>
        </w:tc>
        <w:tc>
          <w:tcPr>
            <w:tcW w:w="1668" w:type="pct"/>
            <w:tcBorders>
              <w:tl2br w:val="nil"/>
              <w:tr2bl w:val="nil"/>
            </w:tcBorders>
            <w:shd w:val="clear" w:color="auto" w:fill="auto"/>
            <w:vAlign w:val="center"/>
          </w:tcPr>
          <w:p w14:paraId="6088E9BF">
            <w:pPr>
              <w:pageBreakBefore w:val="0"/>
              <w:kinsoku/>
              <w:wordWrap/>
              <w:bidi w:val="0"/>
              <w:adjustRightInd w:val="0"/>
              <w:snapToGrid w:val="0"/>
              <w:spacing w:beforeAutospacing="0" w:afterAutospacing="0" w:line="240" w:lineRule="atLeast"/>
              <w:ind w:left="0" w:leftChars="0" w:right="0" w:rightChars="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7.2424E-04</w:t>
            </w:r>
          </w:p>
        </w:tc>
      </w:tr>
      <w:tr w14:paraId="6CD79D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3" w:type="pct"/>
            <w:tcBorders>
              <w:tl2br w:val="nil"/>
              <w:tr2bl w:val="nil"/>
            </w:tcBorders>
            <w:shd w:val="clear" w:color="auto" w:fill="auto"/>
            <w:vAlign w:val="center"/>
          </w:tcPr>
          <w:p w14:paraId="2A06544E">
            <w:pPr>
              <w:pageBreakBefore w:val="0"/>
              <w:kinsoku/>
              <w:wordWrap/>
              <w:bidi w:val="0"/>
              <w:adjustRightInd w:val="0"/>
              <w:snapToGrid w:val="0"/>
              <w:spacing w:beforeAutospacing="0" w:afterAutospacing="0" w:line="240" w:lineRule="atLeast"/>
              <w:ind w:left="0" w:leftChars="0" w:right="0" w:rightChars="0"/>
              <w:jc w:val="center"/>
              <w:rPr>
                <w:rFonts w:hint="eastAsia" w:ascii="Times New Roman" w:hAnsi="Times New Roman" w:eastAsia="仿宋_GB2312" w:cs="Times New Roman"/>
                <w:color w:val="auto"/>
                <w:spacing w:val="0"/>
                <w:kern w:val="0"/>
                <w:position w:val="0"/>
                <w:sz w:val="21"/>
                <w:szCs w:val="21"/>
                <w:lang w:val="en-US" w:eastAsia="zh-CN" w:bidi="ar-SA"/>
              </w:rPr>
            </w:pPr>
            <w:r>
              <w:rPr>
                <w:rFonts w:hint="eastAsia" w:ascii="Times New Roman" w:hAnsi="Times New Roman" w:eastAsia="仿宋_GB2312" w:cs="Times New Roman"/>
                <w:color w:val="auto"/>
                <w:spacing w:val="0"/>
                <w:kern w:val="0"/>
                <w:position w:val="0"/>
                <w:sz w:val="21"/>
                <w:szCs w:val="21"/>
                <w:lang w:val="en-US" w:eastAsia="zh-CN"/>
              </w:rPr>
              <w:t>15</w:t>
            </w:r>
          </w:p>
        </w:tc>
        <w:tc>
          <w:tcPr>
            <w:tcW w:w="1110" w:type="pct"/>
            <w:tcBorders>
              <w:tl2br w:val="nil"/>
              <w:tr2bl w:val="nil"/>
            </w:tcBorders>
            <w:vAlign w:val="center"/>
          </w:tcPr>
          <w:p w14:paraId="31C96598">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1200</w:t>
            </w:r>
          </w:p>
        </w:tc>
        <w:tc>
          <w:tcPr>
            <w:tcW w:w="1457" w:type="pct"/>
            <w:tcBorders>
              <w:tl2br w:val="nil"/>
              <w:tr2bl w:val="nil"/>
            </w:tcBorders>
            <w:vAlign w:val="center"/>
          </w:tcPr>
          <w:p w14:paraId="65BF5242">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13.333</w:t>
            </w:r>
          </w:p>
        </w:tc>
        <w:tc>
          <w:tcPr>
            <w:tcW w:w="1668" w:type="pct"/>
            <w:tcBorders>
              <w:tl2br w:val="nil"/>
              <w:tr2bl w:val="nil"/>
            </w:tcBorders>
            <w:shd w:val="clear" w:color="auto" w:fill="auto"/>
            <w:vAlign w:val="center"/>
          </w:tcPr>
          <w:p w14:paraId="42726687">
            <w:pPr>
              <w:pageBreakBefore w:val="0"/>
              <w:kinsoku/>
              <w:wordWrap/>
              <w:bidi w:val="0"/>
              <w:adjustRightInd w:val="0"/>
              <w:snapToGrid w:val="0"/>
              <w:spacing w:beforeAutospacing="0" w:afterAutospacing="0" w:line="240" w:lineRule="atLeast"/>
              <w:ind w:left="0" w:leftChars="0" w:right="0" w:rightChars="0"/>
              <w:jc w:val="center"/>
              <w:rPr>
                <w:rFonts w:hint="eastAsia" w:ascii="Times New Roman" w:hAnsi="Times New Roman" w:eastAsia="仿宋_GB2312" w:cs="Times New Roman"/>
                <w:color w:val="auto"/>
                <w:spacing w:val="0"/>
                <w:kern w:val="0"/>
                <w:position w:val="0"/>
                <w:sz w:val="21"/>
                <w:szCs w:val="21"/>
                <w:lang w:val="en-US" w:eastAsia="zh-CN" w:bidi="ar-SA"/>
              </w:rPr>
            </w:pPr>
            <w:r>
              <w:rPr>
                <w:rFonts w:hint="eastAsia" w:ascii="Times New Roman" w:hAnsi="Times New Roman" w:eastAsia="仿宋_GB2312" w:cs="Times New Roman"/>
                <w:color w:val="auto"/>
                <w:spacing w:val="0"/>
                <w:kern w:val="0"/>
                <w:position w:val="0"/>
                <w:sz w:val="21"/>
                <w:szCs w:val="21"/>
                <w:lang w:val="en-US" w:eastAsia="zh-CN"/>
              </w:rPr>
              <w:t>4.5455E-04</w:t>
            </w:r>
          </w:p>
        </w:tc>
      </w:tr>
      <w:tr w14:paraId="125DD4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3" w:type="pct"/>
            <w:tcBorders>
              <w:tl2br w:val="nil"/>
              <w:tr2bl w:val="nil"/>
            </w:tcBorders>
            <w:shd w:val="clear" w:color="auto" w:fill="auto"/>
            <w:vAlign w:val="center"/>
          </w:tcPr>
          <w:p w14:paraId="4F6A0D0A">
            <w:pPr>
              <w:pageBreakBefore w:val="0"/>
              <w:kinsoku/>
              <w:wordWrap/>
              <w:bidi w:val="0"/>
              <w:adjustRightInd w:val="0"/>
              <w:snapToGrid w:val="0"/>
              <w:spacing w:beforeAutospacing="0" w:afterAutospacing="0" w:line="240" w:lineRule="atLeast"/>
              <w:ind w:left="0" w:leftChars="0" w:right="0" w:rightChars="0"/>
              <w:jc w:val="center"/>
              <w:rPr>
                <w:rFonts w:hint="eastAsia" w:ascii="Times New Roman" w:hAnsi="Times New Roman" w:eastAsia="仿宋_GB2312" w:cs="Times New Roman"/>
                <w:color w:val="auto"/>
                <w:spacing w:val="0"/>
                <w:kern w:val="0"/>
                <w:position w:val="0"/>
                <w:sz w:val="21"/>
                <w:szCs w:val="21"/>
                <w:lang w:val="en-US" w:eastAsia="zh-CN" w:bidi="ar-SA"/>
              </w:rPr>
            </w:pPr>
            <w:r>
              <w:rPr>
                <w:rFonts w:hint="eastAsia" w:ascii="Times New Roman" w:hAnsi="Times New Roman" w:eastAsia="仿宋_GB2312" w:cs="Times New Roman"/>
                <w:color w:val="auto"/>
                <w:spacing w:val="0"/>
                <w:kern w:val="0"/>
                <w:position w:val="0"/>
                <w:sz w:val="21"/>
                <w:szCs w:val="21"/>
                <w:lang w:val="en-US" w:eastAsia="zh-CN"/>
              </w:rPr>
              <w:t>16</w:t>
            </w:r>
          </w:p>
        </w:tc>
        <w:tc>
          <w:tcPr>
            <w:tcW w:w="1110" w:type="pct"/>
            <w:tcBorders>
              <w:tl2br w:val="nil"/>
              <w:tr2bl w:val="nil"/>
            </w:tcBorders>
            <w:vAlign w:val="center"/>
          </w:tcPr>
          <w:p w14:paraId="07BF17C3">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1440</w:t>
            </w:r>
          </w:p>
        </w:tc>
        <w:tc>
          <w:tcPr>
            <w:tcW w:w="1457" w:type="pct"/>
            <w:tcBorders>
              <w:tl2br w:val="nil"/>
              <w:tr2bl w:val="nil"/>
            </w:tcBorders>
            <w:vAlign w:val="center"/>
          </w:tcPr>
          <w:p w14:paraId="21FB2198">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16.000</w:t>
            </w:r>
          </w:p>
        </w:tc>
        <w:tc>
          <w:tcPr>
            <w:tcW w:w="1668" w:type="pct"/>
            <w:tcBorders>
              <w:tl2br w:val="nil"/>
              <w:tr2bl w:val="nil"/>
            </w:tcBorders>
            <w:shd w:val="clear" w:color="auto" w:fill="auto"/>
            <w:vAlign w:val="center"/>
          </w:tcPr>
          <w:p w14:paraId="5E1F197B">
            <w:pPr>
              <w:pageBreakBefore w:val="0"/>
              <w:kinsoku/>
              <w:wordWrap/>
              <w:bidi w:val="0"/>
              <w:adjustRightInd w:val="0"/>
              <w:snapToGrid w:val="0"/>
              <w:spacing w:beforeAutospacing="0" w:afterAutospacing="0" w:line="240" w:lineRule="atLeast"/>
              <w:ind w:left="0" w:leftChars="0" w:right="0" w:rightChars="0"/>
              <w:jc w:val="center"/>
              <w:rPr>
                <w:rFonts w:hint="eastAsia" w:ascii="Times New Roman" w:hAnsi="Times New Roman" w:eastAsia="仿宋_GB2312" w:cs="Times New Roman"/>
                <w:color w:val="auto"/>
                <w:spacing w:val="0"/>
                <w:kern w:val="0"/>
                <w:position w:val="0"/>
                <w:sz w:val="21"/>
                <w:szCs w:val="21"/>
                <w:lang w:val="en-US" w:eastAsia="zh-CN" w:bidi="ar-SA"/>
              </w:rPr>
            </w:pPr>
            <w:r>
              <w:rPr>
                <w:rFonts w:hint="eastAsia" w:ascii="Times New Roman" w:hAnsi="Times New Roman" w:eastAsia="仿宋_GB2312" w:cs="Times New Roman"/>
                <w:color w:val="auto"/>
                <w:spacing w:val="0"/>
                <w:kern w:val="0"/>
                <w:position w:val="0"/>
                <w:sz w:val="21"/>
                <w:szCs w:val="21"/>
                <w:lang w:val="en-US" w:eastAsia="zh-CN"/>
              </w:rPr>
              <w:t>2.1266E-04</w:t>
            </w:r>
          </w:p>
        </w:tc>
      </w:tr>
      <w:tr w14:paraId="0C74C2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3" w:type="pct"/>
            <w:tcBorders>
              <w:tl2br w:val="nil"/>
              <w:tr2bl w:val="nil"/>
            </w:tcBorders>
            <w:shd w:val="clear" w:color="auto" w:fill="auto"/>
            <w:vAlign w:val="center"/>
          </w:tcPr>
          <w:p w14:paraId="71BDA539">
            <w:pPr>
              <w:pageBreakBefore w:val="0"/>
              <w:kinsoku/>
              <w:wordWrap/>
              <w:bidi w:val="0"/>
              <w:adjustRightInd w:val="0"/>
              <w:snapToGrid w:val="0"/>
              <w:spacing w:beforeAutospacing="0" w:afterAutospacing="0" w:line="240" w:lineRule="atLeast"/>
              <w:ind w:left="0" w:leftChars="0" w:right="0" w:rightChars="0"/>
              <w:jc w:val="center"/>
              <w:rPr>
                <w:rFonts w:hint="eastAsia" w:ascii="Times New Roman" w:hAnsi="Times New Roman" w:eastAsia="仿宋_GB2312" w:cs="Times New Roman"/>
                <w:color w:val="auto"/>
                <w:spacing w:val="0"/>
                <w:kern w:val="0"/>
                <w:position w:val="0"/>
                <w:sz w:val="21"/>
                <w:szCs w:val="21"/>
                <w:lang w:val="en-US" w:eastAsia="zh-CN" w:bidi="ar-SA"/>
              </w:rPr>
            </w:pPr>
            <w:r>
              <w:rPr>
                <w:rFonts w:hint="eastAsia" w:ascii="Times New Roman" w:hAnsi="Times New Roman" w:eastAsia="仿宋_GB2312" w:cs="Times New Roman"/>
                <w:color w:val="auto"/>
                <w:spacing w:val="0"/>
                <w:kern w:val="0"/>
                <w:position w:val="0"/>
                <w:sz w:val="21"/>
                <w:szCs w:val="21"/>
                <w:lang w:val="en-US" w:eastAsia="zh-CN"/>
              </w:rPr>
              <w:t>17</w:t>
            </w:r>
          </w:p>
        </w:tc>
        <w:tc>
          <w:tcPr>
            <w:tcW w:w="1110" w:type="pct"/>
            <w:tcBorders>
              <w:tl2br w:val="nil"/>
              <w:tr2bl w:val="nil"/>
            </w:tcBorders>
            <w:vAlign w:val="center"/>
          </w:tcPr>
          <w:p w14:paraId="1F15C521">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1600</w:t>
            </w:r>
          </w:p>
        </w:tc>
        <w:tc>
          <w:tcPr>
            <w:tcW w:w="1457" w:type="pct"/>
            <w:tcBorders>
              <w:tl2br w:val="nil"/>
              <w:tr2bl w:val="nil"/>
            </w:tcBorders>
            <w:vAlign w:val="center"/>
          </w:tcPr>
          <w:p w14:paraId="6A1250E6">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17.778</w:t>
            </w:r>
          </w:p>
        </w:tc>
        <w:tc>
          <w:tcPr>
            <w:tcW w:w="1668" w:type="pct"/>
            <w:tcBorders>
              <w:tl2br w:val="nil"/>
              <w:tr2bl w:val="nil"/>
            </w:tcBorders>
            <w:vAlign w:val="center"/>
          </w:tcPr>
          <w:p w14:paraId="447F3B4E">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1.5466E-04</w:t>
            </w:r>
          </w:p>
        </w:tc>
      </w:tr>
      <w:tr w14:paraId="4A5BBE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3" w:type="pct"/>
            <w:tcBorders>
              <w:tl2br w:val="nil"/>
              <w:tr2bl w:val="nil"/>
            </w:tcBorders>
            <w:shd w:val="clear" w:color="auto" w:fill="auto"/>
            <w:vAlign w:val="center"/>
          </w:tcPr>
          <w:p w14:paraId="413F2C8E">
            <w:pPr>
              <w:pageBreakBefore w:val="0"/>
              <w:kinsoku/>
              <w:wordWrap/>
              <w:bidi w:val="0"/>
              <w:adjustRightInd w:val="0"/>
              <w:snapToGrid w:val="0"/>
              <w:spacing w:beforeAutospacing="0" w:afterAutospacing="0" w:line="240" w:lineRule="atLeast"/>
              <w:ind w:left="0" w:leftChars="0" w:right="0" w:rightChars="0"/>
              <w:jc w:val="center"/>
              <w:rPr>
                <w:rFonts w:hint="default" w:ascii="Times New Roman" w:hAnsi="Times New Roman" w:eastAsia="仿宋_GB2312" w:cs="Times New Roman"/>
                <w:color w:val="auto"/>
                <w:spacing w:val="0"/>
                <w:kern w:val="0"/>
                <w:position w:val="0"/>
                <w:sz w:val="21"/>
                <w:szCs w:val="21"/>
                <w:lang w:val="en-US" w:eastAsia="zh-CN" w:bidi="ar-SA"/>
              </w:rPr>
            </w:pPr>
            <w:r>
              <w:rPr>
                <w:rFonts w:hint="eastAsia" w:ascii="Times New Roman" w:hAnsi="Times New Roman" w:eastAsia="仿宋_GB2312" w:cs="Times New Roman"/>
                <w:color w:val="auto"/>
                <w:spacing w:val="0"/>
                <w:kern w:val="0"/>
                <w:position w:val="0"/>
                <w:sz w:val="21"/>
                <w:szCs w:val="21"/>
                <w:lang w:val="en-US" w:eastAsia="zh-CN"/>
              </w:rPr>
              <w:t>18</w:t>
            </w:r>
          </w:p>
        </w:tc>
        <w:tc>
          <w:tcPr>
            <w:tcW w:w="1110" w:type="pct"/>
            <w:tcBorders>
              <w:tl2br w:val="nil"/>
              <w:tr2bl w:val="nil"/>
            </w:tcBorders>
            <w:vAlign w:val="center"/>
          </w:tcPr>
          <w:p w14:paraId="53CCA2DD">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1920</w:t>
            </w:r>
          </w:p>
        </w:tc>
        <w:tc>
          <w:tcPr>
            <w:tcW w:w="1457" w:type="pct"/>
            <w:tcBorders>
              <w:tl2br w:val="nil"/>
              <w:tr2bl w:val="nil"/>
            </w:tcBorders>
            <w:vAlign w:val="center"/>
          </w:tcPr>
          <w:p w14:paraId="0BD03A93">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21.333</w:t>
            </w:r>
          </w:p>
        </w:tc>
        <w:tc>
          <w:tcPr>
            <w:tcW w:w="1668" w:type="pct"/>
            <w:tcBorders>
              <w:tl2br w:val="nil"/>
              <w:tr2bl w:val="nil"/>
            </w:tcBorders>
            <w:vAlign w:val="center"/>
          </w:tcPr>
          <w:p w14:paraId="1BA07B3B">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8.9130E-05</w:t>
            </w:r>
          </w:p>
        </w:tc>
      </w:tr>
      <w:tr w14:paraId="3996BE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3" w:type="pct"/>
            <w:tcBorders>
              <w:tl2br w:val="nil"/>
              <w:tr2bl w:val="nil"/>
            </w:tcBorders>
            <w:shd w:val="clear" w:color="auto" w:fill="auto"/>
            <w:vAlign w:val="center"/>
          </w:tcPr>
          <w:p w14:paraId="5CC49E1F">
            <w:pPr>
              <w:pageBreakBefore w:val="0"/>
              <w:kinsoku/>
              <w:wordWrap/>
              <w:bidi w:val="0"/>
              <w:adjustRightInd w:val="0"/>
              <w:snapToGrid w:val="0"/>
              <w:spacing w:beforeAutospacing="0" w:afterAutospacing="0" w:line="240" w:lineRule="atLeast"/>
              <w:ind w:left="0" w:leftChars="0" w:right="0" w:rightChars="0"/>
              <w:jc w:val="center"/>
              <w:rPr>
                <w:rFonts w:hint="default" w:ascii="Times New Roman" w:hAnsi="Times New Roman" w:eastAsia="仿宋_GB2312" w:cs="Times New Roman"/>
                <w:color w:val="auto"/>
                <w:spacing w:val="0"/>
                <w:kern w:val="0"/>
                <w:position w:val="0"/>
                <w:sz w:val="21"/>
                <w:szCs w:val="21"/>
                <w:lang w:val="en-US" w:eastAsia="zh-CN" w:bidi="ar-SA"/>
              </w:rPr>
            </w:pPr>
            <w:r>
              <w:rPr>
                <w:rFonts w:hint="eastAsia" w:ascii="Times New Roman" w:hAnsi="Times New Roman" w:eastAsia="仿宋_GB2312" w:cs="Times New Roman"/>
                <w:color w:val="auto"/>
                <w:spacing w:val="0"/>
                <w:kern w:val="0"/>
                <w:position w:val="0"/>
                <w:sz w:val="21"/>
                <w:szCs w:val="21"/>
                <w:lang w:val="en-US" w:eastAsia="zh-CN"/>
              </w:rPr>
              <w:t>19</w:t>
            </w:r>
          </w:p>
        </w:tc>
        <w:tc>
          <w:tcPr>
            <w:tcW w:w="1110" w:type="pct"/>
            <w:tcBorders>
              <w:tl2br w:val="nil"/>
              <w:tr2bl w:val="nil"/>
            </w:tcBorders>
            <w:vAlign w:val="center"/>
          </w:tcPr>
          <w:p w14:paraId="27BABDAF">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2560</w:t>
            </w:r>
          </w:p>
        </w:tc>
        <w:tc>
          <w:tcPr>
            <w:tcW w:w="1457" w:type="pct"/>
            <w:tcBorders>
              <w:tl2br w:val="nil"/>
              <w:tr2bl w:val="nil"/>
            </w:tcBorders>
            <w:vAlign w:val="center"/>
          </w:tcPr>
          <w:p w14:paraId="53F237E3">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28.444</w:t>
            </w:r>
          </w:p>
        </w:tc>
        <w:tc>
          <w:tcPr>
            <w:tcW w:w="1668" w:type="pct"/>
            <w:tcBorders>
              <w:tl2br w:val="nil"/>
              <w:tr2bl w:val="nil"/>
            </w:tcBorders>
            <w:vAlign w:val="center"/>
          </w:tcPr>
          <w:p w14:paraId="051CDFDE">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3.7353E-05</w:t>
            </w:r>
          </w:p>
        </w:tc>
      </w:tr>
      <w:tr w14:paraId="7A49DE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3" w:type="pct"/>
            <w:tcBorders>
              <w:tl2br w:val="nil"/>
              <w:tr2bl w:val="nil"/>
            </w:tcBorders>
            <w:shd w:val="clear" w:color="auto" w:fill="auto"/>
            <w:vAlign w:val="center"/>
          </w:tcPr>
          <w:p w14:paraId="77669A15">
            <w:pPr>
              <w:pageBreakBefore w:val="0"/>
              <w:kinsoku/>
              <w:wordWrap/>
              <w:bidi w:val="0"/>
              <w:adjustRightInd w:val="0"/>
              <w:snapToGrid w:val="0"/>
              <w:spacing w:beforeAutospacing="0" w:afterAutospacing="0" w:line="240" w:lineRule="atLeast"/>
              <w:ind w:left="0" w:leftChars="0" w:right="0" w:rightChars="0"/>
              <w:jc w:val="center"/>
              <w:rPr>
                <w:rFonts w:hint="default" w:ascii="Times New Roman" w:hAnsi="Times New Roman" w:eastAsia="仿宋_GB2312" w:cs="Times New Roman"/>
                <w:color w:val="auto"/>
                <w:spacing w:val="0"/>
                <w:kern w:val="0"/>
                <w:position w:val="0"/>
                <w:sz w:val="21"/>
                <w:szCs w:val="21"/>
                <w:lang w:val="en-US" w:eastAsia="zh-CN" w:bidi="ar-SA"/>
              </w:rPr>
            </w:pPr>
            <w:r>
              <w:rPr>
                <w:rFonts w:hint="eastAsia" w:ascii="Times New Roman" w:hAnsi="Times New Roman" w:eastAsia="仿宋_GB2312" w:cs="Times New Roman"/>
                <w:color w:val="auto"/>
                <w:spacing w:val="0"/>
                <w:kern w:val="0"/>
                <w:position w:val="0"/>
                <w:sz w:val="21"/>
                <w:szCs w:val="21"/>
                <w:lang w:val="en-US" w:eastAsia="zh-CN"/>
              </w:rPr>
              <w:t>20</w:t>
            </w:r>
          </w:p>
        </w:tc>
        <w:tc>
          <w:tcPr>
            <w:tcW w:w="1110" w:type="pct"/>
            <w:tcBorders>
              <w:tl2br w:val="nil"/>
              <w:tr2bl w:val="nil"/>
            </w:tcBorders>
            <w:vAlign w:val="center"/>
          </w:tcPr>
          <w:p w14:paraId="533E7021">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3200</w:t>
            </w:r>
          </w:p>
        </w:tc>
        <w:tc>
          <w:tcPr>
            <w:tcW w:w="1457" w:type="pct"/>
            <w:tcBorders>
              <w:tl2br w:val="nil"/>
              <w:tr2bl w:val="nil"/>
            </w:tcBorders>
            <w:vAlign w:val="center"/>
          </w:tcPr>
          <w:p w14:paraId="09412895">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35.556</w:t>
            </w:r>
          </w:p>
        </w:tc>
        <w:tc>
          <w:tcPr>
            <w:tcW w:w="1668" w:type="pct"/>
            <w:tcBorders>
              <w:tl2br w:val="nil"/>
              <w:tr2bl w:val="nil"/>
            </w:tcBorders>
            <w:vAlign w:val="center"/>
          </w:tcPr>
          <w:p w14:paraId="0C7CFB29">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1.9026E-05</w:t>
            </w:r>
          </w:p>
        </w:tc>
      </w:tr>
      <w:tr w14:paraId="327444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3" w:type="pct"/>
            <w:tcBorders>
              <w:tl2br w:val="nil"/>
              <w:tr2bl w:val="nil"/>
            </w:tcBorders>
            <w:shd w:val="clear" w:color="auto" w:fill="auto"/>
            <w:vAlign w:val="center"/>
          </w:tcPr>
          <w:p w14:paraId="17970A56">
            <w:pPr>
              <w:pageBreakBefore w:val="0"/>
              <w:kinsoku/>
              <w:wordWrap/>
              <w:bidi w:val="0"/>
              <w:adjustRightInd w:val="0"/>
              <w:snapToGrid w:val="0"/>
              <w:spacing w:beforeAutospacing="0" w:afterAutospacing="0" w:line="240" w:lineRule="atLeast"/>
              <w:ind w:left="0" w:leftChars="0" w:right="0" w:rightChars="0"/>
              <w:jc w:val="center"/>
              <w:rPr>
                <w:rFonts w:hint="default" w:ascii="Times New Roman" w:hAnsi="Times New Roman" w:eastAsia="仿宋_GB2312" w:cs="Times New Roman"/>
                <w:color w:val="auto"/>
                <w:spacing w:val="0"/>
                <w:kern w:val="0"/>
                <w:position w:val="0"/>
                <w:sz w:val="21"/>
                <w:szCs w:val="21"/>
                <w:lang w:val="en-US" w:eastAsia="zh-CN" w:bidi="ar-SA"/>
              </w:rPr>
            </w:pPr>
            <w:r>
              <w:rPr>
                <w:rFonts w:hint="eastAsia" w:ascii="Times New Roman" w:hAnsi="Times New Roman" w:eastAsia="仿宋_GB2312" w:cs="Times New Roman"/>
                <w:color w:val="auto"/>
                <w:spacing w:val="0"/>
                <w:kern w:val="0"/>
                <w:position w:val="0"/>
                <w:sz w:val="21"/>
                <w:szCs w:val="21"/>
                <w:lang w:val="en-US" w:eastAsia="zh-CN"/>
              </w:rPr>
              <w:t>21</w:t>
            </w:r>
          </w:p>
        </w:tc>
        <w:tc>
          <w:tcPr>
            <w:tcW w:w="1110" w:type="pct"/>
            <w:tcBorders>
              <w:tl2br w:val="nil"/>
              <w:tr2bl w:val="nil"/>
            </w:tcBorders>
            <w:vAlign w:val="center"/>
          </w:tcPr>
          <w:p w14:paraId="48AD6A7C">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4480</w:t>
            </w:r>
          </w:p>
        </w:tc>
        <w:tc>
          <w:tcPr>
            <w:tcW w:w="1457" w:type="pct"/>
            <w:tcBorders>
              <w:tl2br w:val="nil"/>
              <w:tr2bl w:val="nil"/>
            </w:tcBorders>
            <w:vAlign w:val="center"/>
          </w:tcPr>
          <w:p w14:paraId="57066C35">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49.778</w:t>
            </w:r>
          </w:p>
        </w:tc>
        <w:tc>
          <w:tcPr>
            <w:tcW w:w="1668" w:type="pct"/>
            <w:tcBorders>
              <w:tl2br w:val="nil"/>
              <w:tr2bl w:val="nil"/>
            </w:tcBorders>
            <w:vAlign w:val="center"/>
          </w:tcPr>
          <w:p w14:paraId="5B0980A8">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5.5845E-06</w:t>
            </w:r>
          </w:p>
        </w:tc>
      </w:tr>
      <w:tr w14:paraId="74F634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3" w:type="pct"/>
            <w:tcBorders>
              <w:tl2br w:val="nil"/>
              <w:tr2bl w:val="nil"/>
            </w:tcBorders>
            <w:vAlign w:val="center"/>
          </w:tcPr>
          <w:p w14:paraId="4EE59690">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22</w:t>
            </w:r>
          </w:p>
        </w:tc>
        <w:tc>
          <w:tcPr>
            <w:tcW w:w="1110" w:type="pct"/>
            <w:tcBorders>
              <w:tl2br w:val="nil"/>
              <w:tr2bl w:val="nil"/>
            </w:tcBorders>
            <w:vAlign w:val="center"/>
          </w:tcPr>
          <w:p w14:paraId="7DB09C05">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4970</w:t>
            </w:r>
          </w:p>
        </w:tc>
        <w:tc>
          <w:tcPr>
            <w:tcW w:w="1457" w:type="pct"/>
            <w:tcBorders>
              <w:tl2br w:val="nil"/>
              <w:tr2bl w:val="nil"/>
            </w:tcBorders>
            <w:vAlign w:val="center"/>
          </w:tcPr>
          <w:p w14:paraId="763FF21B">
            <w:pPr>
              <w:pageBreakBefore w:val="0"/>
              <w:kinsoku/>
              <w:wordWrap/>
              <w:bidi w:val="0"/>
              <w:adjustRightInd w:val="0"/>
              <w:snapToGrid w:val="0"/>
              <w:spacing w:beforeAutospacing="0" w:afterAutospacing="0" w:line="240" w:lineRule="atLeast"/>
              <w:ind w:left="0" w:leftChars="0" w:right="0"/>
              <w:jc w:val="center"/>
              <w:rPr>
                <w:rFonts w:hint="default"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55.222</w:t>
            </w:r>
          </w:p>
        </w:tc>
        <w:tc>
          <w:tcPr>
            <w:tcW w:w="1668" w:type="pct"/>
            <w:tcBorders>
              <w:tl2br w:val="nil"/>
              <w:tr2bl w:val="nil"/>
            </w:tcBorders>
            <w:vAlign w:val="center"/>
          </w:tcPr>
          <w:p w14:paraId="12F5B0CF">
            <w:pPr>
              <w:pageBreakBefore w:val="0"/>
              <w:kinsoku/>
              <w:wordWrap/>
              <w:bidi w:val="0"/>
              <w:adjustRightInd w:val="0"/>
              <w:snapToGrid w:val="0"/>
              <w:spacing w:beforeAutospacing="0" w:afterAutospacing="0" w:line="240" w:lineRule="atLeast"/>
              <w:ind w:left="0" w:leftChars="0" w:right="0"/>
              <w:jc w:val="center"/>
              <w:rPr>
                <w:rFonts w:hint="eastAsia" w:ascii="Times New Roman" w:hAnsi="Times New Roman" w:eastAsia="仿宋_GB2312" w:cs="Times New Roman"/>
                <w:color w:val="auto"/>
                <w:spacing w:val="0"/>
                <w:kern w:val="0"/>
                <w:position w:val="0"/>
                <w:sz w:val="21"/>
                <w:szCs w:val="21"/>
                <w:lang w:val="en-US" w:eastAsia="zh-CN"/>
              </w:rPr>
            </w:pPr>
            <w:r>
              <w:rPr>
                <w:rFonts w:hint="eastAsia" w:ascii="Times New Roman" w:hAnsi="Times New Roman" w:eastAsia="仿宋_GB2312" w:cs="Times New Roman"/>
                <w:color w:val="auto"/>
                <w:spacing w:val="0"/>
                <w:kern w:val="0"/>
                <w:position w:val="0"/>
                <w:sz w:val="21"/>
                <w:szCs w:val="21"/>
                <w:lang w:val="en-US" w:eastAsia="zh-CN"/>
              </w:rPr>
              <w:t>5.0267E-06</w:t>
            </w:r>
          </w:p>
        </w:tc>
      </w:tr>
    </w:tbl>
    <w:p w14:paraId="64968107">
      <w:pPr>
        <w:keepNext w:val="0"/>
        <w:keepLines w:val="0"/>
        <w:pageBreakBefore w:val="0"/>
        <w:kinsoku/>
        <w:wordWrap/>
        <w:overflowPunct/>
        <w:topLinePunct w:val="0"/>
        <w:bidi w:val="0"/>
        <w:adjustRightInd w:val="0"/>
        <w:snapToGrid w:val="0"/>
        <w:spacing w:beforeAutospacing="0" w:afterAutospacing="0" w:line="500" w:lineRule="exact"/>
        <w:ind w:left="0" w:leftChars="0" w:right="0" w:firstLine="480"/>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预测表明，企业发生泄漏事故或火灾事故的次生事故时，不同气象下，各敏感目标处的浓度均低于大气毒性终点浓度。当大气中的浓度低于大气毒性终点浓度-1时，绝大多数人员暴露1小时不会对生命造成威胁，当超过该浓度时，有可能对人群造成生命威胁；当大气中的浓度低于大气毒性终点浓度-2时，暴露1小时一般不会对人体造成不可逆的伤害，</w:t>
      </w:r>
      <w:r>
        <w:rPr>
          <w:rFonts w:hint="default" w:ascii="Times New Roman" w:hAnsi="Times New Roman" w:eastAsia="仿宋_GB2312" w:cs="Times New Roman"/>
          <w:color w:val="auto"/>
          <w:spacing w:val="0"/>
          <w:kern w:val="0"/>
          <w:position w:val="0"/>
          <w:sz w:val="24"/>
          <w:szCs w:val="24"/>
          <w:lang w:eastAsia="zh-CN"/>
        </w:rPr>
        <w:t>出现</w:t>
      </w:r>
      <w:r>
        <w:rPr>
          <w:rFonts w:hint="default" w:ascii="Times New Roman" w:hAnsi="Times New Roman" w:eastAsia="仿宋_GB2312" w:cs="Times New Roman"/>
          <w:color w:val="auto"/>
          <w:spacing w:val="0"/>
          <w:kern w:val="0"/>
          <w:position w:val="0"/>
          <w:sz w:val="24"/>
          <w:szCs w:val="24"/>
        </w:rPr>
        <w:t>的症状一般不会损失该个体采取有效防护措施的能力。</w:t>
      </w:r>
    </w:p>
    <w:p w14:paraId="645A31B0">
      <w:pPr>
        <w:pStyle w:val="4"/>
        <w:keepNext/>
        <w:keepLines w:val="0"/>
        <w:pageBreakBefore w:val="0"/>
        <w:widowControl w:val="0"/>
        <w:kinsoku/>
        <w:wordWrap/>
        <w:overflowPunct w:val="0"/>
        <w:topLinePunct w:val="0"/>
        <w:autoSpaceDE/>
        <w:autoSpaceDN/>
        <w:bidi w:val="0"/>
        <w:adjustRightInd/>
        <w:snapToGrid w:val="0"/>
        <w:spacing w:before="0" w:line="500" w:lineRule="exact"/>
        <w:ind w:left="0" w:right="0" w:firstLine="0" w:firstLineChars="0"/>
        <w:jc w:val="both"/>
        <w:textAlignment w:val="auto"/>
        <w:outlineLvl w:val="1"/>
        <w:rPr>
          <w:rFonts w:hint="default" w:ascii="Times New Roman" w:hAnsi="Times New Roman" w:eastAsia="仿宋_GB2312" w:cs="Times New Roman"/>
          <w:b/>
          <w:bCs/>
          <w:sz w:val="24"/>
          <w:szCs w:val="24"/>
          <w:lang w:val="en-US" w:eastAsia="zh-CN"/>
        </w:rPr>
      </w:pPr>
      <w:bookmarkStart w:id="160" w:name="_Toc28263"/>
      <w:r>
        <w:rPr>
          <w:rFonts w:hint="eastAsia" w:ascii="Times New Roman" w:hAnsi="Times New Roman" w:eastAsia="仿宋_GB2312" w:cs="Times New Roman"/>
          <w:b/>
          <w:bCs/>
          <w:sz w:val="24"/>
          <w:szCs w:val="24"/>
          <w:lang w:val="en-US" w:eastAsia="zh-CN"/>
        </w:rPr>
        <w:t>3.5地表水环境风险分析</w:t>
      </w:r>
      <w:bookmarkEnd w:id="160"/>
    </w:p>
    <w:p w14:paraId="1A340CB3">
      <w:pPr>
        <w:keepNext w:val="0"/>
        <w:keepLines w:val="0"/>
        <w:pageBreakBefore w:val="0"/>
        <w:kinsoku/>
        <w:wordWrap/>
        <w:overflowPunct/>
        <w:topLinePunct w:val="0"/>
        <w:bidi w:val="0"/>
        <w:adjustRightInd w:val="0"/>
        <w:snapToGrid w:val="0"/>
        <w:spacing w:beforeAutospacing="0" w:afterAutospacing="0" w:line="500" w:lineRule="exact"/>
        <w:ind w:left="0" w:leftChars="0" w:right="0" w:firstLine="480"/>
        <w:rPr>
          <w:rFonts w:hint="default" w:ascii="Times New Roman" w:hAnsi="Times New Roman" w:eastAsia="仿宋_GB2312" w:cs="Times New Roman"/>
          <w:color w:val="auto"/>
          <w:spacing w:val="0"/>
          <w:kern w:val="0"/>
          <w:position w:val="0"/>
          <w:sz w:val="24"/>
          <w:szCs w:val="24"/>
          <w:lang w:val="en-US" w:eastAsia="zh-CN"/>
        </w:rPr>
      </w:pPr>
      <w:r>
        <w:rPr>
          <w:rFonts w:hint="default" w:ascii="Times New Roman" w:hAnsi="Times New Roman" w:eastAsia="仿宋_GB2312" w:cs="Times New Roman"/>
          <w:color w:val="auto"/>
          <w:spacing w:val="0"/>
          <w:kern w:val="0"/>
          <w:position w:val="0"/>
          <w:sz w:val="24"/>
          <w:szCs w:val="24"/>
        </w:rPr>
        <w:t>本项目周边地表水为</w:t>
      </w:r>
      <w:r>
        <w:rPr>
          <w:rFonts w:hint="eastAsia" w:ascii="Times New Roman" w:hAnsi="Times New Roman" w:eastAsia="仿宋_GB2312" w:cs="Times New Roman"/>
          <w:color w:val="auto"/>
          <w:spacing w:val="0"/>
          <w:kern w:val="0"/>
          <w:position w:val="0"/>
          <w:sz w:val="24"/>
          <w:szCs w:val="24"/>
          <w:lang w:val="en-US" w:eastAsia="zh-CN"/>
        </w:rPr>
        <w:t>尧塘河</w:t>
      </w:r>
      <w:r>
        <w:rPr>
          <w:rFonts w:hint="default" w:ascii="Times New Roman" w:hAnsi="Times New Roman" w:eastAsia="仿宋_GB2312" w:cs="Times New Roman"/>
          <w:color w:val="auto"/>
          <w:spacing w:val="0"/>
          <w:kern w:val="0"/>
          <w:position w:val="0"/>
          <w:sz w:val="24"/>
          <w:szCs w:val="24"/>
        </w:rPr>
        <w:t>，</w:t>
      </w:r>
      <w:r>
        <w:rPr>
          <w:rFonts w:hint="eastAsia" w:ascii="Times New Roman" w:hAnsi="Times New Roman" w:eastAsia="仿宋_GB2312" w:cs="Times New Roman"/>
          <w:color w:val="auto"/>
          <w:spacing w:val="0"/>
          <w:kern w:val="0"/>
          <w:position w:val="0"/>
          <w:sz w:val="24"/>
          <w:szCs w:val="24"/>
          <w:lang w:val="en-US" w:eastAsia="zh-CN"/>
        </w:rPr>
        <w:t>中盐金赛盐厂</w:t>
      </w:r>
      <w:r>
        <w:rPr>
          <w:rFonts w:hint="default" w:ascii="Times New Roman" w:hAnsi="Times New Roman" w:eastAsia="仿宋_GB2312" w:cs="Times New Roman"/>
          <w:color w:val="auto"/>
          <w:spacing w:val="0"/>
          <w:kern w:val="0"/>
          <w:position w:val="0"/>
          <w:sz w:val="24"/>
          <w:szCs w:val="24"/>
        </w:rPr>
        <w:t>厂区内围墙边界设有排水沟，且雨水排放口使用排水泵送入外环境，发生事故后</w:t>
      </w:r>
      <w:r>
        <w:rPr>
          <w:rFonts w:hint="eastAsia" w:ascii="Times New Roman" w:hAnsi="Times New Roman" w:eastAsia="仿宋_GB2312" w:cs="Times New Roman"/>
          <w:color w:val="auto"/>
          <w:spacing w:val="0"/>
          <w:kern w:val="0"/>
          <w:position w:val="0"/>
          <w:sz w:val="24"/>
          <w:szCs w:val="24"/>
          <w:lang w:val="en-US" w:eastAsia="zh-CN"/>
        </w:rPr>
        <w:t>通过关闭雨水截止阀，将事故</w:t>
      </w:r>
      <w:r>
        <w:rPr>
          <w:rFonts w:hint="default" w:ascii="Times New Roman" w:hAnsi="Times New Roman" w:eastAsia="仿宋_GB2312" w:cs="Times New Roman"/>
          <w:color w:val="auto"/>
          <w:spacing w:val="0"/>
          <w:kern w:val="0"/>
          <w:position w:val="0"/>
          <w:sz w:val="24"/>
          <w:szCs w:val="24"/>
        </w:rPr>
        <w:t>废水</w:t>
      </w:r>
      <w:r>
        <w:rPr>
          <w:rFonts w:hint="eastAsia" w:ascii="Times New Roman" w:hAnsi="Times New Roman" w:eastAsia="仿宋_GB2312" w:cs="Times New Roman"/>
          <w:color w:val="auto"/>
          <w:spacing w:val="0"/>
          <w:kern w:val="0"/>
          <w:position w:val="0"/>
          <w:sz w:val="24"/>
          <w:szCs w:val="24"/>
          <w:lang w:val="en-US" w:eastAsia="zh-CN"/>
        </w:rPr>
        <w:t>泵入事故应急</w:t>
      </w:r>
      <w:r>
        <w:rPr>
          <w:rFonts w:hint="default" w:ascii="Times New Roman" w:hAnsi="Times New Roman" w:eastAsia="仿宋_GB2312" w:cs="Times New Roman"/>
          <w:color w:val="auto"/>
          <w:spacing w:val="0"/>
          <w:kern w:val="0"/>
          <w:position w:val="0"/>
          <w:sz w:val="24"/>
          <w:szCs w:val="24"/>
        </w:rPr>
        <w:t>池</w:t>
      </w:r>
      <w:r>
        <w:rPr>
          <w:rFonts w:hint="eastAsia" w:ascii="Times New Roman" w:hAnsi="Times New Roman" w:eastAsia="仿宋_GB2312" w:cs="Times New Roman"/>
          <w:color w:val="auto"/>
          <w:spacing w:val="0"/>
          <w:kern w:val="0"/>
          <w:position w:val="0"/>
          <w:sz w:val="24"/>
          <w:szCs w:val="24"/>
          <w:lang w:val="en-US" w:eastAsia="zh-CN"/>
        </w:rPr>
        <w:t>暂存</w:t>
      </w:r>
      <w:r>
        <w:rPr>
          <w:rFonts w:hint="default" w:ascii="Times New Roman" w:hAnsi="Times New Roman" w:eastAsia="仿宋_GB2312" w:cs="Times New Roman"/>
          <w:color w:val="auto"/>
          <w:spacing w:val="0"/>
          <w:kern w:val="0"/>
          <w:position w:val="0"/>
          <w:sz w:val="24"/>
          <w:szCs w:val="24"/>
        </w:rPr>
        <w:t>，</w:t>
      </w:r>
      <w:r>
        <w:rPr>
          <w:rFonts w:hint="eastAsia" w:ascii="Times New Roman" w:hAnsi="Times New Roman" w:eastAsia="仿宋_GB2312" w:cs="Times New Roman"/>
          <w:color w:val="auto"/>
          <w:spacing w:val="0"/>
          <w:kern w:val="0"/>
          <w:position w:val="0"/>
          <w:sz w:val="24"/>
          <w:szCs w:val="24"/>
          <w:lang w:val="en-US" w:eastAsia="zh-CN"/>
        </w:rPr>
        <w:t>委托有资质的</w:t>
      </w:r>
      <w:r>
        <w:rPr>
          <w:rFonts w:hint="default" w:ascii="Times New Roman" w:hAnsi="Times New Roman" w:eastAsia="仿宋_GB2312" w:cs="Times New Roman"/>
          <w:color w:val="auto"/>
          <w:spacing w:val="0"/>
          <w:kern w:val="0"/>
          <w:position w:val="0"/>
          <w:sz w:val="24"/>
          <w:szCs w:val="24"/>
        </w:rPr>
        <w:t>污水综合处理</w:t>
      </w:r>
      <w:r>
        <w:rPr>
          <w:rFonts w:hint="eastAsia" w:ascii="Times New Roman" w:hAnsi="Times New Roman" w:eastAsia="仿宋_GB2312" w:cs="Times New Roman"/>
          <w:color w:val="auto"/>
          <w:spacing w:val="0"/>
          <w:kern w:val="0"/>
          <w:position w:val="0"/>
          <w:sz w:val="24"/>
          <w:szCs w:val="24"/>
          <w:lang w:val="en-US" w:eastAsia="zh-CN"/>
        </w:rPr>
        <w:t>公司</w:t>
      </w:r>
      <w:r>
        <w:rPr>
          <w:rFonts w:hint="default" w:ascii="Times New Roman" w:hAnsi="Times New Roman" w:eastAsia="仿宋_GB2312" w:cs="Times New Roman"/>
          <w:color w:val="auto"/>
          <w:spacing w:val="0"/>
          <w:kern w:val="0"/>
          <w:position w:val="0"/>
          <w:sz w:val="24"/>
          <w:szCs w:val="24"/>
        </w:rPr>
        <w:t>进行处理，不会排入外环境，本次不做具体分析。</w:t>
      </w:r>
    </w:p>
    <w:p w14:paraId="2D257B4B">
      <w:pPr>
        <w:pStyle w:val="4"/>
        <w:keepNext/>
        <w:keepLines w:val="0"/>
        <w:pageBreakBefore w:val="0"/>
        <w:widowControl w:val="0"/>
        <w:kinsoku/>
        <w:wordWrap/>
        <w:overflowPunct w:val="0"/>
        <w:topLinePunct w:val="0"/>
        <w:autoSpaceDE/>
        <w:autoSpaceDN/>
        <w:bidi w:val="0"/>
        <w:adjustRightInd/>
        <w:snapToGrid w:val="0"/>
        <w:spacing w:before="0" w:line="500" w:lineRule="exact"/>
        <w:ind w:left="0" w:right="0" w:firstLine="0" w:firstLineChars="0"/>
        <w:jc w:val="both"/>
        <w:textAlignment w:val="auto"/>
        <w:outlineLvl w:val="1"/>
        <w:rPr>
          <w:rFonts w:hint="eastAsia" w:ascii="Times New Roman" w:hAnsi="Times New Roman" w:eastAsia="仿宋_GB2312" w:cs="Times New Roman"/>
          <w:b/>
          <w:bCs/>
          <w:sz w:val="24"/>
          <w:szCs w:val="24"/>
          <w:lang w:val="en-US" w:eastAsia="zh-CN"/>
        </w:rPr>
      </w:pPr>
      <w:bookmarkStart w:id="161" w:name="_Toc6385"/>
      <w:r>
        <w:rPr>
          <w:rFonts w:hint="eastAsia" w:ascii="Times New Roman" w:hAnsi="Times New Roman" w:eastAsia="仿宋_GB2312" w:cs="Times New Roman"/>
          <w:b/>
          <w:bCs/>
          <w:sz w:val="24"/>
          <w:szCs w:val="24"/>
          <w:lang w:val="en-US" w:eastAsia="zh-CN"/>
        </w:rPr>
        <w:t>3.6地下水环境风险分析</w:t>
      </w:r>
      <w:bookmarkEnd w:id="161"/>
    </w:p>
    <w:p w14:paraId="12C3CAFF">
      <w:pPr>
        <w:keepNext w:val="0"/>
        <w:keepLines w:val="0"/>
        <w:pageBreakBefore w:val="0"/>
        <w:widowControl w:val="0"/>
        <w:kinsoku/>
        <w:wordWrap/>
        <w:overflowPunct/>
        <w:topLinePunct w:val="0"/>
        <w:autoSpaceDE/>
        <w:autoSpaceDN/>
        <w:bidi w:val="0"/>
        <w:adjustRightInd w:val="0"/>
        <w:snapToGrid w:val="0"/>
        <w:spacing w:beforeAutospacing="0" w:afterAutospacing="0" w:line="500" w:lineRule="exact"/>
        <w:ind w:left="0" w:leftChars="0" w:right="0" w:firstLine="480" w:firstLineChars="200"/>
        <w:textAlignment w:val="auto"/>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根据</w:t>
      </w:r>
      <w:r>
        <w:rPr>
          <w:rFonts w:hint="eastAsia" w:ascii="Times New Roman" w:hAnsi="Times New Roman" w:eastAsia="仿宋_GB2312" w:cs="Times New Roman"/>
          <w:color w:val="auto"/>
          <w:spacing w:val="0"/>
          <w:kern w:val="0"/>
          <w:position w:val="0"/>
          <w:sz w:val="24"/>
          <w:szCs w:val="24"/>
          <w:lang w:val="en-US" w:eastAsia="zh-CN"/>
        </w:rPr>
        <w:t>2.2.3章节可知，</w:t>
      </w:r>
      <w:r>
        <w:rPr>
          <w:rFonts w:hint="default" w:ascii="Times New Roman" w:hAnsi="Times New Roman" w:eastAsia="仿宋_GB2312" w:cs="Times New Roman"/>
          <w:color w:val="auto"/>
          <w:spacing w:val="0"/>
          <w:kern w:val="0"/>
          <w:position w:val="0"/>
          <w:sz w:val="24"/>
          <w:szCs w:val="24"/>
        </w:rPr>
        <w:t>地下水风险潜势为</w:t>
      </w:r>
      <w:r>
        <w:rPr>
          <w:rFonts w:hint="default" w:ascii="Times New Roman" w:hAnsi="Times New Roman" w:eastAsia="仿宋_GB2312" w:cs="Times New Roman"/>
          <w:color w:val="auto"/>
          <w:spacing w:val="0"/>
          <w:kern w:val="0"/>
          <w:position w:val="0"/>
          <w:sz w:val="24"/>
          <w:szCs w:val="24"/>
          <w:lang w:val="en-US" w:eastAsia="zh-CN"/>
        </w:rPr>
        <w:t>I</w:t>
      </w:r>
      <w:r>
        <w:rPr>
          <w:rFonts w:hint="default" w:ascii="Times New Roman" w:hAnsi="Times New Roman" w:eastAsia="仿宋_GB2312" w:cs="Times New Roman"/>
          <w:color w:val="auto"/>
          <w:spacing w:val="0"/>
          <w:kern w:val="0"/>
          <w:position w:val="0"/>
          <w:sz w:val="24"/>
          <w:szCs w:val="24"/>
        </w:rPr>
        <w:t>级，</w:t>
      </w:r>
      <w:r>
        <w:rPr>
          <w:rFonts w:hint="eastAsia" w:ascii="Times New Roman" w:hAnsi="Times New Roman" w:eastAsia="仿宋_GB2312" w:cs="Times New Roman"/>
          <w:color w:val="auto"/>
          <w:spacing w:val="0"/>
          <w:kern w:val="0"/>
          <w:position w:val="0"/>
          <w:sz w:val="24"/>
          <w:szCs w:val="24"/>
          <w:lang w:val="en-US" w:eastAsia="zh-CN"/>
        </w:rPr>
        <w:t>且本项目在</w:t>
      </w:r>
      <w:r>
        <w:rPr>
          <w:rFonts w:hint="default" w:ascii="Times New Roman" w:hAnsi="Times New Roman" w:eastAsia="仿宋_GB2312" w:cs="Times New Roman"/>
          <w:color w:val="auto"/>
          <w:spacing w:val="0"/>
          <w:kern w:val="0"/>
          <w:position w:val="0"/>
          <w:sz w:val="24"/>
          <w:szCs w:val="24"/>
        </w:rPr>
        <w:t>发生事故后</w:t>
      </w:r>
      <w:r>
        <w:rPr>
          <w:rFonts w:hint="eastAsia" w:ascii="Times New Roman" w:hAnsi="Times New Roman" w:eastAsia="仿宋_GB2312" w:cs="Times New Roman"/>
          <w:color w:val="auto"/>
          <w:spacing w:val="0"/>
          <w:kern w:val="0"/>
          <w:position w:val="0"/>
          <w:sz w:val="24"/>
          <w:szCs w:val="24"/>
          <w:lang w:eastAsia="zh-CN"/>
        </w:rPr>
        <w:t>，</w:t>
      </w:r>
      <w:r>
        <w:rPr>
          <w:rFonts w:hint="eastAsia" w:ascii="Times New Roman" w:hAnsi="Times New Roman" w:eastAsia="仿宋_GB2312" w:cs="Times New Roman"/>
          <w:color w:val="auto"/>
          <w:spacing w:val="0"/>
          <w:kern w:val="0"/>
          <w:position w:val="0"/>
          <w:sz w:val="24"/>
          <w:szCs w:val="24"/>
          <w:lang w:val="en-US" w:eastAsia="zh-CN"/>
        </w:rPr>
        <w:t>通过关闭雨水截止阀，将事故废水泵入事故应急</w:t>
      </w:r>
      <w:r>
        <w:rPr>
          <w:rFonts w:hint="default" w:ascii="Times New Roman" w:hAnsi="Times New Roman" w:eastAsia="仿宋_GB2312" w:cs="Times New Roman"/>
          <w:color w:val="auto"/>
          <w:spacing w:val="0"/>
          <w:kern w:val="0"/>
          <w:position w:val="0"/>
          <w:sz w:val="24"/>
          <w:szCs w:val="24"/>
        </w:rPr>
        <w:t>池</w:t>
      </w:r>
      <w:r>
        <w:rPr>
          <w:rFonts w:hint="eastAsia" w:ascii="Times New Roman" w:hAnsi="Times New Roman" w:eastAsia="仿宋_GB2312" w:cs="Times New Roman"/>
          <w:color w:val="auto"/>
          <w:spacing w:val="0"/>
          <w:kern w:val="0"/>
          <w:position w:val="0"/>
          <w:sz w:val="24"/>
          <w:szCs w:val="24"/>
          <w:lang w:val="en-US" w:eastAsia="zh-CN"/>
        </w:rPr>
        <w:t>暂存</w:t>
      </w:r>
      <w:r>
        <w:rPr>
          <w:rFonts w:hint="default" w:ascii="Times New Roman" w:hAnsi="Times New Roman" w:eastAsia="仿宋_GB2312" w:cs="Times New Roman"/>
          <w:color w:val="auto"/>
          <w:spacing w:val="0"/>
          <w:kern w:val="0"/>
          <w:position w:val="0"/>
          <w:sz w:val="24"/>
          <w:szCs w:val="24"/>
        </w:rPr>
        <w:t>，</w:t>
      </w:r>
      <w:r>
        <w:rPr>
          <w:rFonts w:hint="eastAsia" w:ascii="Times New Roman" w:hAnsi="Times New Roman" w:eastAsia="仿宋_GB2312" w:cs="Times New Roman"/>
          <w:color w:val="auto"/>
          <w:spacing w:val="0"/>
          <w:kern w:val="0"/>
          <w:position w:val="0"/>
          <w:sz w:val="24"/>
          <w:szCs w:val="24"/>
          <w:lang w:val="en-US" w:eastAsia="zh-CN"/>
        </w:rPr>
        <w:t>委托有资质的</w:t>
      </w:r>
      <w:r>
        <w:rPr>
          <w:rFonts w:hint="default" w:ascii="Times New Roman" w:hAnsi="Times New Roman" w:eastAsia="仿宋_GB2312" w:cs="Times New Roman"/>
          <w:color w:val="auto"/>
          <w:spacing w:val="0"/>
          <w:kern w:val="0"/>
          <w:position w:val="0"/>
          <w:sz w:val="24"/>
          <w:szCs w:val="24"/>
        </w:rPr>
        <w:t>污水综合处理</w:t>
      </w:r>
      <w:r>
        <w:rPr>
          <w:rFonts w:hint="eastAsia" w:ascii="Times New Roman" w:hAnsi="Times New Roman" w:eastAsia="仿宋_GB2312" w:cs="Times New Roman"/>
          <w:color w:val="auto"/>
          <w:spacing w:val="0"/>
          <w:kern w:val="0"/>
          <w:position w:val="0"/>
          <w:sz w:val="24"/>
          <w:szCs w:val="24"/>
          <w:lang w:val="en-US" w:eastAsia="zh-CN"/>
        </w:rPr>
        <w:t>公司</w:t>
      </w:r>
      <w:r>
        <w:rPr>
          <w:rFonts w:hint="default" w:ascii="Times New Roman" w:hAnsi="Times New Roman" w:eastAsia="仿宋_GB2312" w:cs="Times New Roman"/>
          <w:color w:val="auto"/>
          <w:spacing w:val="0"/>
          <w:kern w:val="0"/>
          <w:position w:val="0"/>
          <w:sz w:val="24"/>
          <w:szCs w:val="24"/>
        </w:rPr>
        <w:t>进行处理，不会排入外环境，本次不做具体分析。</w:t>
      </w:r>
    </w:p>
    <w:p w14:paraId="7A5C2644">
      <w:pPr>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br w:type="page"/>
      </w:r>
    </w:p>
    <w:bookmarkEnd w:id="150"/>
    <w:p w14:paraId="542EC29B">
      <w:pPr>
        <w:pStyle w:val="3"/>
        <w:keepNext/>
        <w:keepLines w:val="0"/>
        <w:pageBreakBefore w:val="0"/>
        <w:widowControl w:val="0"/>
        <w:kinsoku/>
        <w:wordWrap/>
        <w:overflowPunct w:val="0"/>
        <w:topLinePunct w:val="0"/>
        <w:autoSpaceDE/>
        <w:autoSpaceDN/>
        <w:bidi w:val="0"/>
        <w:adjustRightInd/>
        <w:snapToGrid w:val="0"/>
        <w:spacing w:before="0" w:after="0" w:line="500" w:lineRule="exact"/>
        <w:ind w:left="0" w:firstLine="0"/>
        <w:textAlignment w:val="auto"/>
        <w:rPr>
          <w:rFonts w:hint="default" w:ascii="Times New Roman" w:hAnsi="Times New Roman" w:eastAsia="仿宋_GB2312" w:cs="Times New Roman"/>
          <w:sz w:val="28"/>
          <w:szCs w:val="28"/>
          <w:lang w:val="en-US" w:eastAsia="zh-CN"/>
        </w:rPr>
      </w:pPr>
      <w:bookmarkStart w:id="162" w:name="_Toc13760"/>
      <w:bookmarkStart w:id="163" w:name="_Toc16858"/>
      <w:bookmarkStart w:id="164" w:name="_Toc16227"/>
      <w:bookmarkStart w:id="165" w:name="_Toc5926"/>
      <w:bookmarkStart w:id="166" w:name="_Toc17582"/>
      <w:bookmarkStart w:id="167" w:name="_Toc6404"/>
      <w:r>
        <w:rPr>
          <w:rFonts w:hint="default" w:ascii="Times New Roman" w:hAnsi="Times New Roman" w:eastAsia="仿宋_GB2312" w:cs="Times New Roman"/>
          <w:sz w:val="28"/>
          <w:szCs w:val="28"/>
          <w:lang w:val="en-US" w:eastAsia="zh-CN"/>
        </w:rPr>
        <w:t>4环境风险防范措施</w:t>
      </w:r>
      <w:bookmarkEnd w:id="162"/>
      <w:bookmarkEnd w:id="163"/>
      <w:bookmarkEnd w:id="164"/>
      <w:bookmarkEnd w:id="165"/>
      <w:bookmarkEnd w:id="166"/>
      <w:bookmarkEnd w:id="167"/>
    </w:p>
    <w:p w14:paraId="11C6CE8C">
      <w:pPr>
        <w:keepNext w:val="0"/>
        <w:keepLines w:val="0"/>
        <w:pageBreakBefore w:val="0"/>
        <w:widowControl w:val="0"/>
        <w:kinsoku/>
        <w:wordWrap/>
        <w:overflowPunct/>
        <w:topLinePunct w:val="0"/>
        <w:autoSpaceDE/>
        <w:autoSpaceDN/>
        <w:bidi w:val="0"/>
        <w:adjustRightInd w:val="0"/>
        <w:snapToGrid w:val="0"/>
        <w:spacing w:beforeAutospacing="0" w:afterAutospacing="0" w:line="500" w:lineRule="exact"/>
        <w:ind w:left="0" w:leftChars="0" w:right="0" w:firstLine="480" w:firstLineChars="200"/>
        <w:textAlignment w:val="auto"/>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为使项目环境风险减小到最低限度，必须加强安全环保管理，制定完善的环境风险防范措施，尽可能降低项目环境风险事故发生的概率。</w:t>
      </w:r>
    </w:p>
    <w:p w14:paraId="712DE630">
      <w:pPr>
        <w:pStyle w:val="4"/>
        <w:keepNext/>
        <w:keepLines w:val="0"/>
        <w:pageBreakBefore w:val="0"/>
        <w:widowControl w:val="0"/>
        <w:kinsoku/>
        <w:wordWrap/>
        <w:overflowPunct w:val="0"/>
        <w:topLinePunct w:val="0"/>
        <w:autoSpaceDE/>
        <w:autoSpaceDN/>
        <w:bidi w:val="0"/>
        <w:adjustRightInd/>
        <w:snapToGrid w:val="0"/>
        <w:spacing w:before="0" w:line="500" w:lineRule="exact"/>
        <w:ind w:left="0" w:right="0" w:firstLine="0" w:firstLineChars="0"/>
        <w:jc w:val="both"/>
        <w:textAlignment w:val="auto"/>
        <w:outlineLvl w:val="1"/>
        <w:rPr>
          <w:rFonts w:hint="default" w:ascii="Times New Roman" w:hAnsi="Times New Roman" w:eastAsia="仿宋_GB2312" w:cs="Times New Roman"/>
          <w:b/>
          <w:bCs/>
          <w:sz w:val="24"/>
          <w:szCs w:val="24"/>
          <w:lang w:val="en-US" w:eastAsia="zh-CN"/>
        </w:rPr>
      </w:pPr>
      <w:bookmarkStart w:id="168" w:name="_Toc30167"/>
      <w:bookmarkStart w:id="169" w:name="_Toc10801"/>
      <w:bookmarkStart w:id="170" w:name="_Toc21847"/>
      <w:r>
        <w:rPr>
          <w:rFonts w:hint="default" w:ascii="Times New Roman" w:hAnsi="Times New Roman" w:eastAsia="仿宋_GB2312" w:cs="Times New Roman"/>
          <w:b/>
          <w:bCs/>
          <w:sz w:val="24"/>
          <w:szCs w:val="24"/>
          <w:lang w:val="en-US" w:eastAsia="zh-CN"/>
        </w:rPr>
        <w:t>4.1总图布置和建筑风险防范措施</w:t>
      </w:r>
      <w:bookmarkEnd w:id="168"/>
      <w:bookmarkEnd w:id="169"/>
      <w:bookmarkEnd w:id="170"/>
    </w:p>
    <w:p w14:paraId="5492F906">
      <w:pPr>
        <w:keepNext w:val="0"/>
        <w:keepLines w:val="0"/>
        <w:pageBreakBefore w:val="0"/>
        <w:widowControl w:val="0"/>
        <w:kinsoku/>
        <w:wordWrap/>
        <w:overflowPunct/>
        <w:topLinePunct w:val="0"/>
        <w:autoSpaceDE/>
        <w:autoSpaceDN/>
        <w:bidi w:val="0"/>
        <w:adjustRightInd w:val="0"/>
        <w:snapToGrid w:val="0"/>
        <w:spacing w:beforeAutospacing="0" w:afterAutospacing="0" w:line="500" w:lineRule="exact"/>
        <w:ind w:left="0" w:leftChars="0" w:right="0" w:firstLine="480" w:firstLineChars="200"/>
        <w:textAlignment w:val="auto"/>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（1）总图布置</w:t>
      </w:r>
    </w:p>
    <w:p w14:paraId="3998C9AB">
      <w:pPr>
        <w:keepNext w:val="0"/>
        <w:keepLines w:val="0"/>
        <w:pageBreakBefore w:val="0"/>
        <w:widowControl w:val="0"/>
        <w:kinsoku/>
        <w:wordWrap/>
        <w:overflowPunct/>
        <w:topLinePunct w:val="0"/>
        <w:autoSpaceDE/>
        <w:autoSpaceDN/>
        <w:bidi w:val="0"/>
        <w:adjustRightInd w:val="0"/>
        <w:snapToGrid w:val="0"/>
        <w:spacing w:beforeAutospacing="0" w:afterAutospacing="0" w:line="500" w:lineRule="exact"/>
        <w:ind w:left="0" w:leftChars="0" w:right="0" w:firstLine="480" w:firstLineChars="200"/>
        <w:textAlignment w:val="auto"/>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厂区道路实行人、货流分开（划分人行区域和车辆行驶区域，相互不重叠），划出专用车辆行驶路线、限速标志并严格执行。在厂区总平面布置中配套建设应急救援设施、救援通道、应急疏散避难所等防护设施。按《安全标志》规定在生产区和仓储区设置有关的安全环保标志。</w:t>
      </w:r>
    </w:p>
    <w:p w14:paraId="11476CDA">
      <w:pPr>
        <w:keepNext w:val="0"/>
        <w:keepLines w:val="0"/>
        <w:pageBreakBefore w:val="0"/>
        <w:widowControl w:val="0"/>
        <w:kinsoku/>
        <w:wordWrap/>
        <w:overflowPunct/>
        <w:topLinePunct w:val="0"/>
        <w:autoSpaceDE/>
        <w:autoSpaceDN/>
        <w:bidi w:val="0"/>
        <w:adjustRightInd w:val="0"/>
        <w:snapToGrid w:val="0"/>
        <w:spacing w:beforeAutospacing="0" w:afterAutospacing="0" w:line="500" w:lineRule="exact"/>
        <w:ind w:left="0" w:leftChars="0" w:right="0" w:firstLine="480" w:firstLineChars="200"/>
        <w:textAlignment w:val="auto"/>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（2）建筑安全防范措施</w:t>
      </w:r>
    </w:p>
    <w:p w14:paraId="27865E45">
      <w:pPr>
        <w:keepNext w:val="0"/>
        <w:keepLines w:val="0"/>
        <w:pageBreakBefore w:val="0"/>
        <w:widowControl w:val="0"/>
        <w:kinsoku/>
        <w:wordWrap/>
        <w:overflowPunct/>
        <w:topLinePunct w:val="0"/>
        <w:autoSpaceDE/>
        <w:autoSpaceDN/>
        <w:bidi w:val="0"/>
        <w:adjustRightInd w:val="0"/>
        <w:snapToGrid w:val="0"/>
        <w:spacing w:beforeAutospacing="0" w:afterAutospacing="0" w:line="500" w:lineRule="exact"/>
        <w:ind w:left="0" w:leftChars="0" w:right="0" w:firstLine="480" w:firstLineChars="200"/>
        <w:textAlignment w:val="auto"/>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厂房建设及总体布局应严格按照《工业企业总平面设计规范》、《建筑设计防火规范》（</w:t>
      </w:r>
      <w:r>
        <w:rPr>
          <w:rFonts w:hint="default" w:ascii="Times New Roman" w:hAnsi="Times New Roman" w:eastAsia="仿宋_GB2312" w:cs="Times New Roman"/>
          <w:color w:val="auto"/>
          <w:spacing w:val="0"/>
          <w:kern w:val="0"/>
          <w:position w:val="0"/>
          <w:sz w:val="24"/>
          <w:szCs w:val="24"/>
          <w:lang w:eastAsia="zh-CN"/>
        </w:rPr>
        <w:t>GB 50016-2014[2018年版]</w:t>
      </w:r>
      <w:r>
        <w:rPr>
          <w:rFonts w:hint="default" w:ascii="Times New Roman" w:hAnsi="Times New Roman" w:eastAsia="仿宋_GB2312" w:cs="Times New Roman"/>
          <w:color w:val="auto"/>
          <w:spacing w:val="0"/>
          <w:kern w:val="0"/>
          <w:position w:val="0"/>
          <w:sz w:val="24"/>
          <w:szCs w:val="24"/>
        </w:rPr>
        <w:t>）等国家有关法规及技术标准的相关规定执行。高处作业平台、高空走廊、楼梯、钢爬梯上要按规范要求设计围栏、踢脚板或防护栏杆，围栏高度不应低于1.05米，脚板应使用防滑板。在楼板操作及检修平台有孔洞的地方设有盖板。</w:t>
      </w:r>
    </w:p>
    <w:p w14:paraId="638D313D">
      <w:pPr>
        <w:pStyle w:val="4"/>
        <w:keepNext/>
        <w:keepLines w:val="0"/>
        <w:pageBreakBefore w:val="0"/>
        <w:widowControl w:val="0"/>
        <w:kinsoku/>
        <w:wordWrap/>
        <w:overflowPunct w:val="0"/>
        <w:topLinePunct w:val="0"/>
        <w:autoSpaceDE/>
        <w:autoSpaceDN/>
        <w:bidi w:val="0"/>
        <w:adjustRightInd/>
        <w:snapToGrid w:val="0"/>
        <w:spacing w:before="0" w:line="500" w:lineRule="exact"/>
        <w:ind w:left="0" w:right="0" w:firstLine="0" w:firstLineChars="0"/>
        <w:jc w:val="both"/>
        <w:textAlignment w:val="auto"/>
        <w:outlineLvl w:val="1"/>
        <w:rPr>
          <w:rFonts w:hint="default" w:ascii="Times New Roman" w:hAnsi="Times New Roman" w:eastAsia="仿宋_GB2312" w:cs="Times New Roman"/>
          <w:b/>
          <w:bCs/>
          <w:sz w:val="24"/>
          <w:szCs w:val="24"/>
          <w:lang w:val="en-US" w:eastAsia="zh-CN"/>
        </w:rPr>
      </w:pPr>
      <w:bookmarkStart w:id="171" w:name="_Toc20230"/>
      <w:bookmarkStart w:id="172" w:name="_Toc25070"/>
      <w:bookmarkStart w:id="173" w:name="_Toc20880"/>
      <w:r>
        <w:rPr>
          <w:rFonts w:hint="default" w:ascii="Times New Roman" w:hAnsi="Times New Roman" w:eastAsia="仿宋_GB2312" w:cs="Times New Roman"/>
          <w:b/>
          <w:bCs/>
          <w:sz w:val="24"/>
          <w:szCs w:val="24"/>
          <w:lang w:val="en-US" w:eastAsia="zh-CN"/>
        </w:rPr>
        <w:t>4.2运输过程中的事故防范措施</w:t>
      </w:r>
      <w:bookmarkEnd w:id="171"/>
      <w:bookmarkEnd w:id="172"/>
      <w:bookmarkEnd w:id="173"/>
    </w:p>
    <w:p w14:paraId="75161F89">
      <w:pPr>
        <w:keepNext w:val="0"/>
        <w:keepLines w:val="0"/>
        <w:pageBreakBefore w:val="0"/>
        <w:widowControl w:val="0"/>
        <w:kinsoku/>
        <w:wordWrap/>
        <w:overflowPunct/>
        <w:topLinePunct w:val="0"/>
        <w:autoSpaceDE/>
        <w:autoSpaceDN/>
        <w:bidi w:val="0"/>
        <w:adjustRightInd w:val="0"/>
        <w:snapToGrid w:val="0"/>
        <w:spacing w:beforeAutospacing="0" w:afterAutospacing="0" w:line="500" w:lineRule="exact"/>
        <w:ind w:left="0" w:leftChars="0" w:right="0" w:firstLine="480" w:firstLineChars="200"/>
        <w:textAlignment w:val="auto"/>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由于危险品的运输较其它货物的运输有更大的危险性，因此在运输过程中应小心谨慎，确保安全。为此应注意以下几个问题：</w:t>
      </w:r>
    </w:p>
    <w:p w14:paraId="466971F0">
      <w:pPr>
        <w:keepNext w:val="0"/>
        <w:keepLines w:val="0"/>
        <w:pageBreakBefore w:val="0"/>
        <w:widowControl w:val="0"/>
        <w:kinsoku/>
        <w:wordWrap/>
        <w:overflowPunct/>
        <w:topLinePunct w:val="0"/>
        <w:autoSpaceDE/>
        <w:autoSpaceDN/>
        <w:bidi w:val="0"/>
        <w:adjustRightInd w:val="0"/>
        <w:snapToGrid w:val="0"/>
        <w:spacing w:beforeAutospacing="0" w:afterAutospacing="0" w:line="500" w:lineRule="exact"/>
        <w:ind w:left="0" w:leftChars="0" w:right="0" w:firstLine="480" w:firstLineChars="200"/>
        <w:textAlignment w:val="auto"/>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1）企业生产中使用的原料全部由送货单位负责运输，运送化学危险货物的运输车辆必须具备加盖“道路危险货物运输专用章”的道路运输证，按照国家标准《道路运输危险货物车辆标志》的要求，悬挂危险货物运输标志和标志灯方可运行。</w:t>
      </w:r>
    </w:p>
    <w:p w14:paraId="233BECD6">
      <w:pPr>
        <w:keepNext w:val="0"/>
        <w:keepLines w:val="0"/>
        <w:pageBreakBefore w:val="0"/>
        <w:widowControl w:val="0"/>
        <w:kinsoku/>
        <w:wordWrap/>
        <w:overflowPunct/>
        <w:topLinePunct w:val="0"/>
        <w:autoSpaceDE/>
        <w:autoSpaceDN/>
        <w:bidi w:val="0"/>
        <w:adjustRightInd w:val="0"/>
        <w:snapToGrid w:val="0"/>
        <w:spacing w:beforeAutospacing="0" w:afterAutospacing="0" w:line="500" w:lineRule="exact"/>
        <w:ind w:left="0" w:leftChars="0" w:right="0" w:firstLine="480" w:firstLineChars="200"/>
        <w:textAlignment w:val="auto"/>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2）危险品的装运应做到定车、定人。定车就是要把装运危险品的车辆，相对固定，专车专用。凡用来盛装危险物质的容器，包括槽（罐）车不得用来盛装其它物品，更不许盛装食品。而车辆必须是专用车，不能在任务紧急、车辆紧张的情况下使用其它车辆等担任危险物品的运输任务。定人就是把管理、驾驶、押运及装卸等工作的人员加以固定，这就保证了危险品的运输任务始终是由专业人员来担负，从人员上保障危险品运输过程中的安全。</w:t>
      </w:r>
    </w:p>
    <w:p w14:paraId="4C7C2FD7">
      <w:pPr>
        <w:keepNext w:val="0"/>
        <w:keepLines w:val="0"/>
        <w:pageBreakBefore w:val="0"/>
        <w:widowControl w:val="0"/>
        <w:kinsoku/>
        <w:wordWrap/>
        <w:overflowPunct/>
        <w:topLinePunct w:val="0"/>
        <w:autoSpaceDE/>
        <w:autoSpaceDN/>
        <w:bidi w:val="0"/>
        <w:adjustRightInd w:val="0"/>
        <w:snapToGrid w:val="0"/>
        <w:spacing w:beforeAutospacing="0" w:afterAutospacing="0" w:line="500" w:lineRule="exact"/>
        <w:ind w:left="0" w:leftChars="0" w:right="0" w:firstLine="480" w:firstLineChars="200"/>
        <w:textAlignment w:val="auto"/>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3）被装运的危险物品必须在其外包装的明显部位按《危险货物包装标志》（GBl90—90）规定的危险物品标志，包装标志要粘牢固、正确。具有易燃、有毒等多种危险特性的化学品，则应该根据其不同危险特性而同时粘贴相应的几个包装标志，以便一旦发生问题，可以进行多种防护。</w:t>
      </w:r>
    </w:p>
    <w:p w14:paraId="37C41CE4">
      <w:pPr>
        <w:keepNext w:val="0"/>
        <w:keepLines w:val="0"/>
        <w:pageBreakBefore w:val="0"/>
        <w:widowControl w:val="0"/>
        <w:kinsoku/>
        <w:wordWrap/>
        <w:overflowPunct/>
        <w:topLinePunct w:val="0"/>
        <w:autoSpaceDE/>
        <w:autoSpaceDN/>
        <w:bidi w:val="0"/>
        <w:adjustRightInd w:val="0"/>
        <w:snapToGrid w:val="0"/>
        <w:spacing w:beforeAutospacing="0" w:afterAutospacing="0" w:line="500" w:lineRule="exact"/>
        <w:ind w:left="0" w:leftChars="0" w:right="0" w:firstLine="480" w:firstLineChars="200"/>
        <w:textAlignment w:val="auto"/>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4）在危险品运输过程中，一日发生意外，在采取应急处理的同时，迅速报告公安机关和环保等有关部门，疏散群众，防止事态进一步扩大，并积极协助前来救助的公安、交通和消防人员抢救伤者和物资，使损失降低到最小范围。</w:t>
      </w:r>
    </w:p>
    <w:p w14:paraId="19A4BEC6">
      <w:pPr>
        <w:keepNext w:val="0"/>
        <w:keepLines w:val="0"/>
        <w:pageBreakBefore w:val="0"/>
        <w:widowControl w:val="0"/>
        <w:kinsoku/>
        <w:wordWrap/>
        <w:overflowPunct/>
        <w:topLinePunct w:val="0"/>
        <w:autoSpaceDE/>
        <w:autoSpaceDN/>
        <w:bidi w:val="0"/>
        <w:adjustRightInd w:val="0"/>
        <w:snapToGrid w:val="0"/>
        <w:spacing w:beforeAutospacing="0" w:afterAutospacing="0" w:line="500" w:lineRule="exact"/>
        <w:ind w:left="0" w:leftChars="0" w:right="0" w:firstLine="480" w:firstLineChars="200"/>
        <w:textAlignment w:val="auto"/>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5）运输有毒和腐蚀性物品汽车的驾驶员和押运人员，在出车前必须检查防毒、防护用品和检查是否携带齐全有效，在运输途中发现泄漏时应主动采取处理措施，防止事态进一步扩大，在切断泄漏源后，应将情况及时向当地公安机关和有关部门报告，若处理不了，应立即报告当地公安机关和有关部门，请求支援。</w:t>
      </w:r>
    </w:p>
    <w:p w14:paraId="2BBAC5B2">
      <w:pPr>
        <w:pStyle w:val="4"/>
        <w:keepNext/>
        <w:keepLines w:val="0"/>
        <w:pageBreakBefore w:val="0"/>
        <w:widowControl w:val="0"/>
        <w:kinsoku/>
        <w:wordWrap/>
        <w:overflowPunct w:val="0"/>
        <w:topLinePunct w:val="0"/>
        <w:autoSpaceDE/>
        <w:autoSpaceDN/>
        <w:bidi w:val="0"/>
        <w:adjustRightInd/>
        <w:snapToGrid w:val="0"/>
        <w:spacing w:before="0" w:line="500" w:lineRule="exact"/>
        <w:ind w:left="0" w:right="0" w:firstLine="0" w:firstLineChars="0"/>
        <w:jc w:val="both"/>
        <w:textAlignment w:val="auto"/>
        <w:outlineLvl w:val="1"/>
        <w:rPr>
          <w:rFonts w:hint="default" w:ascii="Times New Roman" w:hAnsi="Times New Roman" w:eastAsia="仿宋_GB2312" w:cs="Times New Roman"/>
          <w:b/>
          <w:bCs/>
          <w:sz w:val="24"/>
          <w:szCs w:val="24"/>
          <w:lang w:val="en-US" w:eastAsia="zh-CN"/>
        </w:rPr>
      </w:pPr>
      <w:bookmarkStart w:id="174" w:name="_Toc2276"/>
      <w:bookmarkStart w:id="175" w:name="_Toc31866"/>
      <w:bookmarkStart w:id="176" w:name="_Toc7382"/>
      <w:r>
        <w:rPr>
          <w:rFonts w:hint="default" w:ascii="Times New Roman" w:hAnsi="Times New Roman" w:eastAsia="仿宋_GB2312" w:cs="Times New Roman"/>
          <w:b/>
          <w:bCs/>
          <w:sz w:val="24"/>
          <w:szCs w:val="24"/>
          <w:lang w:val="en-US" w:eastAsia="zh-CN"/>
        </w:rPr>
        <w:t>4.3操作过程中的安全防范措施</w:t>
      </w:r>
      <w:bookmarkEnd w:id="174"/>
      <w:bookmarkEnd w:id="175"/>
      <w:bookmarkEnd w:id="176"/>
    </w:p>
    <w:p w14:paraId="21DCEB08">
      <w:pPr>
        <w:keepNext w:val="0"/>
        <w:keepLines w:val="0"/>
        <w:pageBreakBefore w:val="0"/>
        <w:widowControl w:val="0"/>
        <w:kinsoku/>
        <w:wordWrap/>
        <w:overflowPunct/>
        <w:topLinePunct w:val="0"/>
        <w:autoSpaceDE/>
        <w:autoSpaceDN/>
        <w:bidi w:val="0"/>
        <w:adjustRightInd w:val="0"/>
        <w:snapToGrid w:val="0"/>
        <w:spacing w:beforeAutospacing="0" w:afterAutospacing="0" w:line="500" w:lineRule="exact"/>
        <w:ind w:left="0" w:leftChars="0" w:right="0" w:firstLine="480" w:firstLineChars="200"/>
        <w:textAlignment w:val="auto"/>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生产操作过程中，必须加强安全管理，提高事故防范措施。突发性污染事故，特别是有毒化学品的重大事故将对事故现场人员的生命和健康造成严重危害，此外还将造成直接或间接的巨大经济损失，以及造成社会不安定因素，同时对生态环境也会造成严重的破坏。因此，做好突发性环境污染事故的预防，提高对突发性污染事故的应急处理和处置能力，对企业具有重要的意义。</w:t>
      </w:r>
    </w:p>
    <w:p w14:paraId="1FB22A89">
      <w:pPr>
        <w:keepNext w:val="0"/>
        <w:keepLines w:val="0"/>
        <w:pageBreakBefore w:val="0"/>
        <w:widowControl w:val="0"/>
        <w:kinsoku/>
        <w:wordWrap/>
        <w:overflowPunct/>
        <w:topLinePunct w:val="0"/>
        <w:autoSpaceDE/>
        <w:autoSpaceDN/>
        <w:bidi w:val="0"/>
        <w:adjustRightInd w:val="0"/>
        <w:snapToGrid w:val="0"/>
        <w:spacing w:beforeAutospacing="0" w:afterAutospacing="0" w:line="500" w:lineRule="exact"/>
        <w:ind w:left="0" w:leftChars="0" w:right="0" w:firstLine="480" w:firstLineChars="200"/>
        <w:textAlignment w:val="auto"/>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发生突发性污染事故的诱发因素很多，其中被认为重要的因素有以下几个方面：①设计上存在缺陷；②设备质量差，或因无判别或报废标准（或因不执行判别或报废标准）而过度超时、超负荷运转；③管理或指挥失误；④违章操作。因此，对突发性污染事故的防治对策，除科学合理的厂址选择外，还应从以下几点严格控制和管理，加强事故措施和事故应急处理的技能，懂得紧急救援的知识。“预防为主，安全第一”是减少事故发生、降低污染事故损害的主要保障。</w:t>
      </w:r>
    </w:p>
    <w:p w14:paraId="7375CADE">
      <w:pPr>
        <w:keepNext w:val="0"/>
        <w:keepLines w:val="0"/>
        <w:pageBreakBefore w:val="0"/>
        <w:widowControl w:val="0"/>
        <w:kinsoku/>
        <w:wordWrap/>
        <w:overflowPunct/>
        <w:topLinePunct w:val="0"/>
        <w:autoSpaceDE/>
        <w:autoSpaceDN/>
        <w:bidi w:val="0"/>
        <w:adjustRightInd w:val="0"/>
        <w:snapToGrid w:val="0"/>
        <w:spacing w:beforeAutospacing="0" w:afterAutospacing="0" w:line="500" w:lineRule="exact"/>
        <w:ind w:left="0" w:leftChars="0" w:right="0" w:firstLine="480" w:firstLineChars="200"/>
        <w:textAlignment w:val="auto"/>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建议做好以下几个方面的工作：</w:t>
      </w:r>
    </w:p>
    <w:p w14:paraId="4AAAFE7D">
      <w:pPr>
        <w:keepNext w:val="0"/>
        <w:keepLines w:val="0"/>
        <w:pageBreakBefore w:val="0"/>
        <w:widowControl w:val="0"/>
        <w:kinsoku/>
        <w:wordWrap/>
        <w:overflowPunct/>
        <w:topLinePunct w:val="0"/>
        <w:autoSpaceDE/>
        <w:autoSpaceDN/>
        <w:bidi w:val="0"/>
        <w:adjustRightInd w:val="0"/>
        <w:snapToGrid w:val="0"/>
        <w:spacing w:beforeAutospacing="0" w:afterAutospacing="0" w:line="500" w:lineRule="exact"/>
        <w:ind w:left="0" w:leftChars="0" w:right="0" w:firstLine="480" w:firstLineChars="200"/>
        <w:textAlignment w:val="auto"/>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（1）严格把好工程设计、施工关</w:t>
      </w:r>
    </w:p>
    <w:p w14:paraId="3BD70297">
      <w:pPr>
        <w:keepNext w:val="0"/>
        <w:keepLines w:val="0"/>
        <w:pageBreakBefore w:val="0"/>
        <w:widowControl w:val="0"/>
        <w:kinsoku/>
        <w:wordWrap/>
        <w:overflowPunct/>
        <w:topLinePunct w:val="0"/>
        <w:autoSpaceDE/>
        <w:autoSpaceDN/>
        <w:bidi w:val="0"/>
        <w:adjustRightInd w:val="0"/>
        <w:snapToGrid w:val="0"/>
        <w:spacing w:beforeAutospacing="0" w:afterAutospacing="0" w:line="500" w:lineRule="exact"/>
        <w:ind w:left="0" w:leftChars="0" w:right="0" w:firstLine="480" w:firstLineChars="200"/>
        <w:textAlignment w:val="auto"/>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工程设计包括工艺设计和总图设计。只有设计合理，才能从根本上改善劳动条件，消除事故重大隐患。严格注意施工质量和设备安排，调试的质量，严格竣工验收审查。</w:t>
      </w:r>
    </w:p>
    <w:p w14:paraId="72940DB0">
      <w:pPr>
        <w:keepNext w:val="0"/>
        <w:keepLines w:val="0"/>
        <w:pageBreakBefore w:val="0"/>
        <w:widowControl w:val="0"/>
        <w:kinsoku/>
        <w:wordWrap/>
        <w:overflowPunct/>
        <w:topLinePunct w:val="0"/>
        <w:autoSpaceDE/>
        <w:autoSpaceDN/>
        <w:bidi w:val="0"/>
        <w:adjustRightInd w:val="0"/>
        <w:snapToGrid w:val="0"/>
        <w:spacing w:beforeAutospacing="0" w:afterAutospacing="0" w:line="500" w:lineRule="exact"/>
        <w:ind w:left="0" w:leftChars="0" w:right="0" w:firstLine="480" w:firstLineChars="200"/>
        <w:textAlignment w:val="auto"/>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在总图设计中应注意合理进行功能分区，并有一定的防护带和绿化带，严格符合安全规范的要求。</w:t>
      </w:r>
    </w:p>
    <w:p w14:paraId="462D40EA">
      <w:pPr>
        <w:keepNext w:val="0"/>
        <w:keepLines w:val="0"/>
        <w:pageBreakBefore w:val="0"/>
        <w:widowControl w:val="0"/>
        <w:kinsoku/>
        <w:wordWrap/>
        <w:overflowPunct/>
        <w:topLinePunct w:val="0"/>
        <w:autoSpaceDE/>
        <w:autoSpaceDN/>
        <w:bidi w:val="0"/>
        <w:adjustRightInd w:val="0"/>
        <w:snapToGrid w:val="0"/>
        <w:spacing w:beforeAutospacing="0" w:afterAutospacing="0" w:line="500" w:lineRule="exact"/>
        <w:ind w:left="0" w:leftChars="0" w:right="0" w:firstLine="480" w:firstLineChars="200"/>
        <w:textAlignment w:val="auto"/>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针对本项目特点，本评价建议在设计、施工、营运阶段应考虑下列安全防范措施，以避免事故的发生。</w:t>
      </w:r>
    </w:p>
    <w:p w14:paraId="588DDCBA">
      <w:pPr>
        <w:keepNext w:val="0"/>
        <w:keepLines w:val="0"/>
        <w:pageBreakBefore w:val="0"/>
        <w:widowControl w:val="0"/>
        <w:kinsoku/>
        <w:wordWrap/>
        <w:overflowPunct/>
        <w:topLinePunct w:val="0"/>
        <w:autoSpaceDE/>
        <w:autoSpaceDN/>
        <w:bidi w:val="0"/>
        <w:adjustRightInd w:val="0"/>
        <w:snapToGrid w:val="0"/>
        <w:spacing w:beforeAutospacing="0" w:afterAutospacing="0" w:line="500" w:lineRule="exact"/>
        <w:ind w:left="0" w:leftChars="0" w:right="0" w:firstLine="480" w:firstLineChars="200"/>
        <w:textAlignment w:val="auto"/>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①设计中严格执行国家、行业有关劳动安全卫生的法规和标准规范。</w:t>
      </w:r>
    </w:p>
    <w:p w14:paraId="7941B4D6">
      <w:pPr>
        <w:keepNext w:val="0"/>
        <w:keepLines w:val="0"/>
        <w:pageBreakBefore w:val="0"/>
        <w:widowControl w:val="0"/>
        <w:kinsoku/>
        <w:wordWrap/>
        <w:overflowPunct/>
        <w:topLinePunct w:val="0"/>
        <w:autoSpaceDE/>
        <w:autoSpaceDN/>
        <w:bidi w:val="0"/>
        <w:adjustRightInd w:val="0"/>
        <w:snapToGrid w:val="0"/>
        <w:spacing w:beforeAutospacing="0" w:afterAutospacing="0" w:line="500" w:lineRule="exact"/>
        <w:ind w:left="0" w:leftChars="0" w:right="0" w:firstLine="480" w:firstLineChars="200"/>
        <w:textAlignment w:val="auto"/>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②厂房内设备布置严格执行国家有关防火防爆的规范、规定，设备之间保证有足够的安全距离，并按要求设计消防通道。</w:t>
      </w:r>
    </w:p>
    <w:p w14:paraId="1A461101">
      <w:pPr>
        <w:keepNext w:val="0"/>
        <w:keepLines w:val="0"/>
        <w:pageBreakBefore w:val="0"/>
        <w:widowControl w:val="0"/>
        <w:kinsoku/>
        <w:wordWrap/>
        <w:overflowPunct/>
        <w:topLinePunct w:val="0"/>
        <w:autoSpaceDE/>
        <w:autoSpaceDN/>
        <w:bidi w:val="0"/>
        <w:adjustRightInd w:val="0"/>
        <w:snapToGrid w:val="0"/>
        <w:spacing w:beforeAutospacing="0" w:afterAutospacing="0" w:line="500" w:lineRule="exact"/>
        <w:ind w:left="0" w:leftChars="0" w:right="0" w:firstLine="480" w:firstLineChars="200"/>
        <w:textAlignment w:val="auto"/>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③尽量采用技术先进和安全可靠的设备，并按国家有关规定在车间内设置必要的安全环保设施。</w:t>
      </w:r>
    </w:p>
    <w:p w14:paraId="2924A7E1">
      <w:pPr>
        <w:keepNext w:val="0"/>
        <w:keepLines w:val="0"/>
        <w:pageBreakBefore w:val="0"/>
        <w:widowControl w:val="0"/>
        <w:kinsoku/>
        <w:wordWrap/>
        <w:overflowPunct/>
        <w:topLinePunct w:val="0"/>
        <w:autoSpaceDE/>
        <w:autoSpaceDN/>
        <w:bidi w:val="0"/>
        <w:adjustRightInd w:val="0"/>
        <w:snapToGrid w:val="0"/>
        <w:spacing w:beforeAutospacing="0" w:afterAutospacing="0" w:line="500" w:lineRule="exact"/>
        <w:ind w:left="0" w:leftChars="0" w:right="0" w:firstLine="480" w:firstLineChars="200"/>
        <w:textAlignment w:val="auto"/>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④设备、管道、管件等均采用可靠的密封技术，使储存和反应过程都在密闭的情况下进行，防止易燃易爆及有毒有害物料泄漏。</w:t>
      </w:r>
    </w:p>
    <w:p w14:paraId="31562ECB">
      <w:pPr>
        <w:keepNext w:val="0"/>
        <w:keepLines w:val="0"/>
        <w:pageBreakBefore w:val="0"/>
        <w:widowControl w:val="0"/>
        <w:kinsoku/>
        <w:wordWrap/>
        <w:overflowPunct/>
        <w:topLinePunct w:val="0"/>
        <w:autoSpaceDE/>
        <w:autoSpaceDN/>
        <w:bidi w:val="0"/>
        <w:adjustRightInd w:val="0"/>
        <w:snapToGrid w:val="0"/>
        <w:spacing w:beforeAutospacing="0" w:afterAutospacing="0" w:line="500" w:lineRule="exact"/>
        <w:ind w:left="0" w:leftChars="0" w:right="0" w:firstLine="480" w:firstLineChars="200"/>
        <w:textAlignment w:val="auto"/>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⑤仓库必须采取妥善的防雷措施，以防止直接雷击和雷电感应。为防止直接雷击，一般在库房周围须装设避雷针，仓库各部分必须完全位于避雷针的保护范围以内。</w:t>
      </w:r>
    </w:p>
    <w:p w14:paraId="6B7080A4">
      <w:pPr>
        <w:keepNext w:val="0"/>
        <w:keepLines w:val="0"/>
        <w:pageBreakBefore w:val="0"/>
        <w:widowControl w:val="0"/>
        <w:kinsoku/>
        <w:wordWrap/>
        <w:overflowPunct/>
        <w:topLinePunct w:val="0"/>
        <w:autoSpaceDE/>
        <w:autoSpaceDN/>
        <w:bidi w:val="0"/>
        <w:adjustRightInd w:val="0"/>
        <w:snapToGrid w:val="0"/>
        <w:spacing w:beforeAutospacing="0" w:afterAutospacing="0" w:line="500" w:lineRule="exact"/>
        <w:ind w:left="0" w:leftChars="0" w:right="0" w:firstLine="480" w:firstLineChars="200"/>
        <w:textAlignment w:val="auto"/>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⑥按区域分类有关规范在厂房内划分危险区。危险区内安装的电器设备应按照相应的区域等级采用防爆级，所有的电器设备均应接地。</w:t>
      </w:r>
    </w:p>
    <w:p w14:paraId="7ECEEB5B">
      <w:pPr>
        <w:keepNext w:val="0"/>
        <w:keepLines w:val="0"/>
        <w:pageBreakBefore w:val="0"/>
        <w:widowControl w:val="0"/>
        <w:kinsoku/>
        <w:wordWrap/>
        <w:overflowPunct/>
        <w:topLinePunct w:val="0"/>
        <w:autoSpaceDE/>
        <w:autoSpaceDN/>
        <w:bidi w:val="0"/>
        <w:adjustRightInd w:val="0"/>
        <w:snapToGrid w:val="0"/>
        <w:spacing w:beforeAutospacing="0" w:afterAutospacing="0" w:line="500" w:lineRule="exact"/>
        <w:ind w:left="0" w:leftChars="0" w:right="0" w:firstLine="480" w:firstLineChars="200"/>
        <w:textAlignment w:val="auto"/>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⑦在厂房内可能有气体泄漏或聚集危险的关键地点装设检测器。在有可能着火的设施附近，设置感温感烟火灾报警器，报警信号送到控制室和消防门。</w:t>
      </w:r>
    </w:p>
    <w:p w14:paraId="57186E3C">
      <w:pPr>
        <w:keepNext w:val="0"/>
        <w:keepLines w:val="0"/>
        <w:pageBreakBefore w:val="0"/>
        <w:widowControl w:val="0"/>
        <w:kinsoku/>
        <w:wordWrap/>
        <w:overflowPunct/>
        <w:topLinePunct w:val="0"/>
        <w:autoSpaceDE/>
        <w:autoSpaceDN/>
        <w:bidi w:val="0"/>
        <w:adjustRightInd w:val="0"/>
        <w:snapToGrid w:val="0"/>
        <w:spacing w:beforeAutospacing="0" w:afterAutospacing="0" w:line="500" w:lineRule="exact"/>
        <w:ind w:left="0" w:leftChars="0" w:right="0" w:firstLine="480" w:firstLineChars="200"/>
        <w:textAlignment w:val="auto"/>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⑧对爆炸、火灾危害场所内可能产生静电危害的物体采取工业静电防范处理措施。</w:t>
      </w:r>
    </w:p>
    <w:p w14:paraId="4CD81481">
      <w:pPr>
        <w:keepNext w:val="0"/>
        <w:keepLines w:val="0"/>
        <w:pageBreakBefore w:val="0"/>
        <w:widowControl w:val="0"/>
        <w:kinsoku/>
        <w:wordWrap/>
        <w:overflowPunct/>
        <w:topLinePunct w:val="0"/>
        <w:autoSpaceDE/>
        <w:autoSpaceDN/>
        <w:bidi w:val="0"/>
        <w:adjustRightInd w:val="0"/>
        <w:snapToGrid w:val="0"/>
        <w:spacing w:beforeAutospacing="0" w:afterAutospacing="0" w:line="500" w:lineRule="exact"/>
        <w:ind w:left="0" w:leftChars="0" w:right="0" w:firstLine="480" w:firstLineChars="200"/>
        <w:textAlignment w:val="auto"/>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⑨在中央控制室和消防值班室设有火警专线电话，以确保紧急情况下通讯畅通。</w:t>
      </w:r>
    </w:p>
    <w:p w14:paraId="4B32FB23">
      <w:pPr>
        <w:keepNext w:val="0"/>
        <w:keepLines w:val="0"/>
        <w:pageBreakBefore w:val="0"/>
        <w:widowControl w:val="0"/>
        <w:kinsoku/>
        <w:wordWrap/>
        <w:overflowPunct/>
        <w:topLinePunct w:val="0"/>
        <w:autoSpaceDE/>
        <w:autoSpaceDN/>
        <w:bidi w:val="0"/>
        <w:adjustRightInd w:val="0"/>
        <w:snapToGrid w:val="0"/>
        <w:spacing w:beforeAutospacing="0" w:afterAutospacing="0" w:line="500" w:lineRule="exact"/>
        <w:ind w:left="0" w:leftChars="0" w:right="0" w:firstLine="480" w:firstLineChars="200"/>
        <w:textAlignment w:val="auto"/>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⑩在生产岗位设置事故柜和急救器材、救生器防护面罩、护目镜、胶皮手套、耳塞等防护、急救用具、用品。</w:t>
      </w:r>
    </w:p>
    <w:p w14:paraId="2B969D24">
      <w:pPr>
        <w:keepNext w:val="0"/>
        <w:keepLines w:val="0"/>
        <w:pageBreakBefore w:val="0"/>
        <w:widowControl w:val="0"/>
        <w:kinsoku/>
        <w:wordWrap/>
        <w:overflowPunct/>
        <w:topLinePunct w:val="0"/>
        <w:autoSpaceDE/>
        <w:autoSpaceDN/>
        <w:bidi w:val="0"/>
        <w:adjustRightInd w:val="0"/>
        <w:snapToGrid w:val="0"/>
        <w:spacing w:beforeAutospacing="0" w:afterAutospacing="0" w:line="500" w:lineRule="exact"/>
        <w:ind w:left="0" w:leftChars="0" w:right="0" w:firstLine="480" w:firstLineChars="200"/>
        <w:textAlignment w:val="auto"/>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⑪在装置易发生毒物污染的部位，设置急救冲洗设备、洗眼器和安全淋浴喷头等设施。</w:t>
      </w:r>
    </w:p>
    <w:p w14:paraId="0E907304">
      <w:pPr>
        <w:keepNext w:val="0"/>
        <w:keepLines w:val="0"/>
        <w:pageBreakBefore w:val="0"/>
        <w:widowControl w:val="0"/>
        <w:kinsoku/>
        <w:wordWrap/>
        <w:overflowPunct/>
        <w:topLinePunct w:val="0"/>
        <w:autoSpaceDE/>
        <w:autoSpaceDN/>
        <w:bidi w:val="0"/>
        <w:adjustRightInd w:val="0"/>
        <w:snapToGrid w:val="0"/>
        <w:spacing w:beforeAutospacing="0" w:afterAutospacing="0" w:line="500" w:lineRule="exact"/>
        <w:ind w:left="0" w:leftChars="0" w:right="0" w:firstLine="480" w:firstLineChars="200"/>
        <w:textAlignment w:val="auto"/>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（2）提高认识、完善制度、严格检查</w:t>
      </w:r>
    </w:p>
    <w:p w14:paraId="462F271A">
      <w:pPr>
        <w:keepNext w:val="0"/>
        <w:keepLines w:val="0"/>
        <w:pageBreakBefore w:val="0"/>
        <w:widowControl w:val="0"/>
        <w:kinsoku/>
        <w:wordWrap/>
        <w:overflowPunct/>
        <w:topLinePunct w:val="0"/>
        <w:autoSpaceDE/>
        <w:autoSpaceDN/>
        <w:bidi w:val="0"/>
        <w:adjustRightInd w:val="0"/>
        <w:snapToGrid w:val="0"/>
        <w:spacing w:beforeAutospacing="0" w:afterAutospacing="0" w:line="500" w:lineRule="exact"/>
        <w:ind w:left="0" w:leftChars="0" w:right="0" w:firstLine="480" w:firstLineChars="200"/>
        <w:textAlignment w:val="auto"/>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企业领导应该提高对突发性事故的警觉和认识，</w:t>
      </w:r>
      <w:r>
        <w:rPr>
          <w:rFonts w:hint="default" w:ascii="Times New Roman" w:hAnsi="Times New Roman" w:eastAsia="仿宋_GB2312" w:cs="Times New Roman"/>
          <w:color w:val="auto"/>
          <w:spacing w:val="0"/>
          <w:kern w:val="0"/>
          <w:position w:val="0"/>
          <w:sz w:val="24"/>
          <w:szCs w:val="24"/>
          <w:lang w:eastAsia="zh-CN"/>
        </w:rPr>
        <w:t>做到</w:t>
      </w:r>
      <w:r>
        <w:rPr>
          <w:rFonts w:hint="default" w:ascii="Times New Roman" w:hAnsi="Times New Roman" w:eastAsia="仿宋_GB2312" w:cs="Times New Roman"/>
          <w:color w:val="auto"/>
          <w:spacing w:val="0"/>
          <w:kern w:val="0"/>
          <w:position w:val="0"/>
          <w:sz w:val="24"/>
          <w:szCs w:val="24"/>
        </w:rPr>
        <w:t>警钟长鸣。建议企业建立安全与环保部门，并由企业领导直接领导，全权负责。主要负责检查和监督全厂的安全生产和环保设施的正常运转情况。对安全和环保应建立严格的防范措施，制定严格的管理规章制度，列出潜在危险的过程、设备等清单，严格执行设备检验和报废制度。</w:t>
      </w:r>
    </w:p>
    <w:p w14:paraId="4E0B235C">
      <w:pPr>
        <w:keepNext w:val="0"/>
        <w:keepLines w:val="0"/>
        <w:pageBreakBefore w:val="0"/>
        <w:widowControl w:val="0"/>
        <w:kinsoku/>
        <w:wordWrap/>
        <w:overflowPunct/>
        <w:topLinePunct w:val="0"/>
        <w:autoSpaceDE/>
        <w:autoSpaceDN/>
        <w:bidi w:val="0"/>
        <w:adjustRightInd w:val="0"/>
        <w:snapToGrid w:val="0"/>
        <w:spacing w:beforeAutospacing="0" w:afterAutospacing="0" w:line="500" w:lineRule="exact"/>
        <w:ind w:left="0" w:leftChars="0" w:right="0" w:firstLine="480" w:firstLineChars="200"/>
        <w:textAlignment w:val="auto"/>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（3）加强技术培训，提高职工安全意识</w:t>
      </w:r>
    </w:p>
    <w:p w14:paraId="530FDB55">
      <w:pPr>
        <w:keepNext w:val="0"/>
        <w:keepLines w:val="0"/>
        <w:pageBreakBefore w:val="0"/>
        <w:widowControl w:val="0"/>
        <w:kinsoku/>
        <w:wordWrap/>
        <w:overflowPunct/>
        <w:topLinePunct w:val="0"/>
        <w:autoSpaceDE/>
        <w:autoSpaceDN/>
        <w:bidi w:val="0"/>
        <w:adjustRightInd w:val="0"/>
        <w:snapToGrid w:val="0"/>
        <w:spacing w:beforeAutospacing="0" w:afterAutospacing="0" w:line="500" w:lineRule="exact"/>
        <w:ind w:left="0" w:leftChars="0" w:right="0" w:firstLine="480" w:firstLineChars="200"/>
        <w:textAlignment w:val="auto"/>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职工安全生产的经验不足，一定程度上会增加事故发生的概率，因此企业对生产操作工人必须进行上岗前专业技术培训，严格管理，提高职工安全环保意识。</w:t>
      </w:r>
    </w:p>
    <w:p w14:paraId="56903B71">
      <w:pPr>
        <w:keepNext w:val="0"/>
        <w:keepLines w:val="0"/>
        <w:pageBreakBefore w:val="0"/>
        <w:widowControl w:val="0"/>
        <w:kinsoku/>
        <w:wordWrap/>
        <w:overflowPunct/>
        <w:topLinePunct w:val="0"/>
        <w:autoSpaceDE/>
        <w:autoSpaceDN/>
        <w:bidi w:val="0"/>
        <w:adjustRightInd w:val="0"/>
        <w:snapToGrid w:val="0"/>
        <w:spacing w:beforeAutospacing="0" w:afterAutospacing="0" w:line="500" w:lineRule="exact"/>
        <w:ind w:left="0" w:leftChars="0" w:right="0" w:firstLine="480" w:firstLineChars="200"/>
        <w:textAlignment w:val="auto"/>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（4）提高事故应急处理的能力</w:t>
      </w:r>
    </w:p>
    <w:p w14:paraId="7ED0CD23">
      <w:pPr>
        <w:keepNext w:val="0"/>
        <w:keepLines w:val="0"/>
        <w:pageBreakBefore w:val="0"/>
        <w:widowControl w:val="0"/>
        <w:kinsoku/>
        <w:wordWrap/>
        <w:overflowPunct/>
        <w:topLinePunct w:val="0"/>
        <w:autoSpaceDE/>
        <w:autoSpaceDN/>
        <w:bidi w:val="0"/>
        <w:adjustRightInd w:val="0"/>
        <w:snapToGrid w:val="0"/>
        <w:spacing w:beforeAutospacing="0" w:afterAutospacing="0" w:line="500" w:lineRule="exact"/>
        <w:ind w:left="0" w:leftChars="0" w:right="0" w:firstLine="480" w:firstLineChars="200"/>
        <w:textAlignment w:val="auto"/>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企业对具有高危害设备设置保险措施，对危险车间可设置消防装置等必备设施，并辅以适当的通讯工具，定期进行安全环保宣传教育以及紧急事故模拟演习，提高事故应变能力。</w:t>
      </w:r>
    </w:p>
    <w:p w14:paraId="1A738F65">
      <w:pPr>
        <w:pStyle w:val="4"/>
        <w:keepNext/>
        <w:keepLines w:val="0"/>
        <w:pageBreakBefore w:val="0"/>
        <w:widowControl w:val="0"/>
        <w:kinsoku/>
        <w:wordWrap/>
        <w:overflowPunct w:val="0"/>
        <w:topLinePunct w:val="0"/>
        <w:autoSpaceDE/>
        <w:autoSpaceDN/>
        <w:bidi w:val="0"/>
        <w:adjustRightInd/>
        <w:snapToGrid w:val="0"/>
        <w:spacing w:before="0" w:line="500" w:lineRule="exact"/>
        <w:ind w:left="0" w:right="0" w:firstLine="0" w:firstLineChars="0"/>
        <w:jc w:val="both"/>
        <w:textAlignment w:val="auto"/>
        <w:outlineLvl w:val="1"/>
        <w:rPr>
          <w:rFonts w:hint="default" w:ascii="Times New Roman" w:hAnsi="Times New Roman" w:eastAsia="仿宋_GB2312" w:cs="Times New Roman"/>
          <w:b/>
          <w:bCs/>
          <w:sz w:val="24"/>
          <w:szCs w:val="24"/>
          <w:lang w:val="en-US" w:eastAsia="zh-CN"/>
        </w:rPr>
      </w:pPr>
      <w:bookmarkStart w:id="177" w:name="_Toc32056"/>
      <w:bookmarkStart w:id="178" w:name="_Toc18529"/>
      <w:bookmarkStart w:id="179" w:name="_Toc21635"/>
      <w:r>
        <w:rPr>
          <w:rFonts w:hint="default" w:ascii="Times New Roman" w:hAnsi="Times New Roman" w:eastAsia="仿宋_GB2312" w:cs="Times New Roman"/>
          <w:b/>
          <w:bCs/>
          <w:sz w:val="24"/>
          <w:szCs w:val="24"/>
          <w:lang w:val="en-US" w:eastAsia="zh-CN"/>
        </w:rPr>
        <w:t>4.4存贮过程中的安全防范措施</w:t>
      </w:r>
      <w:bookmarkEnd w:id="177"/>
      <w:bookmarkEnd w:id="178"/>
      <w:bookmarkEnd w:id="179"/>
    </w:p>
    <w:p w14:paraId="0FF53DCE">
      <w:pPr>
        <w:keepNext w:val="0"/>
        <w:keepLines w:val="0"/>
        <w:pageBreakBefore w:val="0"/>
        <w:widowControl w:val="0"/>
        <w:kinsoku/>
        <w:wordWrap/>
        <w:overflowPunct/>
        <w:topLinePunct w:val="0"/>
        <w:autoSpaceDE/>
        <w:autoSpaceDN/>
        <w:bidi w:val="0"/>
        <w:adjustRightInd w:val="0"/>
        <w:snapToGrid w:val="0"/>
        <w:spacing w:beforeAutospacing="0" w:afterAutospacing="0" w:line="500" w:lineRule="exact"/>
        <w:ind w:left="0" w:leftChars="0" w:right="0" w:firstLine="480" w:firstLineChars="200"/>
        <w:textAlignment w:val="auto"/>
        <w:rPr>
          <w:rFonts w:hint="default" w:ascii="Times New Roman" w:hAnsi="Times New Roman" w:eastAsia="仿宋_GB2312" w:cs="Times New Roman"/>
          <w:color w:val="auto"/>
          <w:spacing w:val="0"/>
          <w:kern w:val="0"/>
          <w:position w:val="0"/>
          <w:sz w:val="24"/>
          <w:szCs w:val="24"/>
          <w:lang w:val="en-US" w:eastAsia="zh-CN"/>
        </w:rPr>
      </w:pPr>
      <w:r>
        <w:rPr>
          <w:rFonts w:hint="eastAsia" w:ascii="Times New Roman" w:hAnsi="Times New Roman" w:eastAsia="仿宋_GB2312" w:cs="Times New Roman"/>
          <w:color w:val="auto"/>
          <w:spacing w:val="0"/>
          <w:kern w:val="0"/>
          <w:position w:val="0"/>
          <w:sz w:val="24"/>
          <w:szCs w:val="24"/>
          <w:lang w:val="en-US" w:eastAsia="zh-CN"/>
        </w:rPr>
        <w:t>（1）原辅料存储</w:t>
      </w:r>
    </w:p>
    <w:p w14:paraId="3FA76810">
      <w:pPr>
        <w:keepNext w:val="0"/>
        <w:keepLines w:val="0"/>
        <w:pageBreakBefore w:val="0"/>
        <w:widowControl w:val="0"/>
        <w:kinsoku/>
        <w:wordWrap/>
        <w:overflowPunct/>
        <w:topLinePunct w:val="0"/>
        <w:autoSpaceDE/>
        <w:autoSpaceDN/>
        <w:bidi w:val="0"/>
        <w:adjustRightInd w:val="0"/>
        <w:snapToGrid w:val="0"/>
        <w:spacing w:beforeAutospacing="0" w:afterAutospacing="0" w:line="500" w:lineRule="exact"/>
        <w:ind w:left="0" w:leftChars="0" w:right="0" w:firstLine="480" w:firstLineChars="200"/>
        <w:textAlignment w:val="auto"/>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1）在装卸化学危险物品前，要预先做好准备工作，了解物品性质，检查装卸搬运的工具是否牢固，不牢固的应予以更换或修理。如工具上曾被易燃物、有机物、酸、碱等污染的，必须清洗后方可使用。</w:t>
      </w:r>
    </w:p>
    <w:p w14:paraId="7B4341D1">
      <w:pPr>
        <w:keepNext w:val="0"/>
        <w:keepLines w:val="0"/>
        <w:pageBreakBefore w:val="0"/>
        <w:widowControl w:val="0"/>
        <w:kinsoku/>
        <w:wordWrap/>
        <w:overflowPunct/>
        <w:topLinePunct w:val="0"/>
        <w:autoSpaceDE/>
        <w:autoSpaceDN/>
        <w:bidi w:val="0"/>
        <w:adjustRightInd w:val="0"/>
        <w:snapToGrid w:val="0"/>
        <w:spacing w:beforeAutospacing="0" w:afterAutospacing="0" w:line="500" w:lineRule="exact"/>
        <w:ind w:left="0" w:leftChars="0" w:right="0" w:firstLine="480" w:firstLineChars="200"/>
        <w:textAlignment w:val="auto"/>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2）操作人员应根据不同物质的危险特性，分别穿戴相应的防护用具。防护用具包括工作服、橡皮围裙、橡皮袖罩、橡皮手套、长筒胶靴、防毒面具、滤毒口罩、纱口罩、纱手套和护目镜等。操作前应由专人检查用具是否妥善，穿戴是否合适。操作后应进行清洗或消毒，放在专用的箱柜中保管。</w:t>
      </w:r>
    </w:p>
    <w:p w14:paraId="476D1B49">
      <w:pPr>
        <w:keepNext w:val="0"/>
        <w:keepLines w:val="0"/>
        <w:pageBreakBefore w:val="0"/>
        <w:widowControl w:val="0"/>
        <w:kinsoku/>
        <w:wordWrap/>
        <w:overflowPunct/>
        <w:topLinePunct w:val="0"/>
        <w:autoSpaceDE/>
        <w:autoSpaceDN/>
        <w:bidi w:val="0"/>
        <w:adjustRightInd w:val="0"/>
        <w:snapToGrid w:val="0"/>
        <w:spacing w:beforeAutospacing="0" w:afterAutospacing="0" w:line="500" w:lineRule="exact"/>
        <w:ind w:left="0" w:leftChars="0" w:right="0" w:firstLine="480" w:firstLineChars="200"/>
        <w:textAlignment w:val="auto"/>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3）化学危险物品撒落在地面、车板上时，应及时扫除，对易燃易爆物品应用松软物经水浸湿后扫除。</w:t>
      </w:r>
    </w:p>
    <w:p w14:paraId="36BC9EA3">
      <w:pPr>
        <w:keepNext w:val="0"/>
        <w:keepLines w:val="0"/>
        <w:pageBreakBefore w:val="0"/>
        <w:widowControl w:val="0"/>
        <w:kinsoku/>
        <w:wordWrap/>
        <w:overflowPunct/>
        <w:topLinePunct w:val="0"/>
        <w:autoSpaceDE/>
        <w:autoSpaceDN/>
        <w:bidi w:val="0"/>
        <w:adjustRightInd w:val="0"/>
        <w:snapToGrid w:val="0"/>
        <w:spacing w:beforeAutospacing="0" w:afterAutospacing="0" w:line="500" w:lineRule="exact"/>
        <w:ind w:left="0" w:leftChars="0" w:right="0" w:firstLine="480" w:firstLineChars="200"/>
        <w:textAlignment w:val="auto"/>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4）在装卸化学危险物品时，不得饮酒、吸烟。工作完毕后根据工作情况和危险品的性质，及时清洗手、脸、漱口或淋浴。必须保持现场空气流通，如果发现恶心、头晕等中毒现象，应立即到新鲜空气处休息，脱去工作服和防护用具，清洗皮肤沾染部分，重者送医院诊治。</w:t>
      </w:r>
    </w:p>
    <w:p w14:paraId="2F09D7CC">
      <w:pPr>
        <w:keepNext w:val="0"/>
        <w:keepLines w:val="0"/>
        <w:pageBreakBefore w:val="0"/>
        <w:widowControl w:val="0"/>
        <w:kinsoku/>
        <w:wordWrap/>
        <w:overflowPunct/>
        <w:topLinePunct w:val="0"/>
        <w:autoSpaceDE/>
        <w:autoSpaceDN/>
        <w:bidi w:val="0"/>
        <w:adjustRightInd w:val="0"/>
        <w:snapToGrid w:val="0"/>
        <w:spacing w:beforeAutospacing="0" w:afterAutospacing="0" w:line="500" w:lineRule="exact"/>
        <w:ind w:left="0" w:leftChars="0" w:right="0" w:firstLine="480" w:firstLineChars="200"/>
        <w:textAlignment w:val="auto"/>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5）晚间作业应用防爆式或封闭式的安全照明。雨、雪、冰封时作业，应有防滑措施。</w:t>
      </w:r>
    </w:p>
    <w:p w14:paraId="4C55BF82">
      <w:pPr>
        <w:keepNext w:val="0"/>
        <w:keepLines w:val="0"/>
        <w:pageBreakBefore w:val="0"/>
        <w:widowControl w:val="0"/>
        <w:kinsoku/>
        <w:wordWrap/>
        <w:overflowPunct/>
        <w:topLinePunct w:val="0"/>
        <w:autoSpaceDE/>
        <w:autoSpaceDN/>
        <w:bidi w:val="0"/>
        <w:adjustRightInd w:val="0"/>
        <w:snapToGrid w:val="0"/>
        <w:spacing w:beforeAutospacing="0" w:afterAutospacing="0" w:line="500" w:lineRule="exact"/>
        <w:ind w:left="0" w:leftChars="0" w:right="0" w:firstLine="480" w:firstLineChars="200"/>
        <w:textAlignment w:val="auto"/>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6）在现场须备有清水、苏打水或醋酸等，以备急救时应用。</w:t>
      </w:r>
    </w:p>
    <w:p w14:paraId="647F2EDC">
      <w:pPr>
        <w:keepNext w:val="0"/>
        <w:keepLines w:val="0"/>
        <w:pageBreakBefore w:val="0"/>
        <w:widowControl w:val="0"/>
        <w:kinsoku/>
        <w:wordWrap/>
        <w:overflowPunct/>
        <w:topLinePunct w:val="0"/>
        <w:autoSpaceDE/>
        <w:autoSpaceDN/>
        <w:bidi w:val="0"/>
        <w:adjustRightInd w:val="0"/>
        <w:snapToGrid w:val="0"/>
        <w:spacing w:beforeAutospacing="0" w:afterAutospacing="0" w:line="500" w:lineRule="exact"/>
        <w:ind w:left="0" w:leftChars="0" w:right="0" w:firstLine="480" w:firstLineChars="200"/>
        <w:textAlignment w:val="auto"/>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7）尽量减少人体与物品包装的接触，工作完毕后以肥皂和水清洗手脸和淋浴后方可进食饮水。对防护用具和使用工具，须经仔细洗刷。</w:t>
      </w:r>
    </w:p>
    <w:p w14:paraId="436AB284">
      <w:pPr>
        <w:keepNext w:val="0"/>
        <w:keepLines w:val="0"/>
        <w:pageBreakBefore w:val="0"/>
        <w:widowControl w:val="0"/>
        <w:kinsoku/>
        <w:wordWrap/>
        <w:overflowPunct/>
        <w:topLinePunct w:val="0"/>
        <w:autoSpaceDE/>
        <w:autoSpaceDN/>
        <w:bidi w:val="0"/>
        <w:adjustRightInd w:val="0"/>
        <w:snapToGrid w:val="0"/>
        <w:spacing w:beforeAutospacing="0" w:afterAutospacing="0" w:line="500" w:lineRule="exact"/>
        <w:ind w:left="0" w:leftChars="0" w:right="0" w:firstLine="480" w:firstLineChars="200"/>
        <w:textAlignment w:val="auto"/>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8）各危险化学品按相关要求贮存，明确贮存注意事项。专人负责看管。</w:t>
      </w:r>
    </w:p>
    <w:p w14:paraId="748F2714">
      <w:pPr>
        <w:keepNext w:val="0"/>
        <w:keepLines w:val="0"/>
        <w:pageBreakBefore w:val="0"/>
        <w:widowControl w:val="0"/>
        <w:kinsoku/>
        <w:wordWrap/>
        <w:overflowPunct/>
        <w:topLinePunct w:val="0"/>
        <w:autoSpaceDE/>
        <w:autoSpaceDN/>
        <w:bidi w:val="0"/>
        <w:adjustRightInd w:val="0"/>
        <w:snapToGrid w:val="0"/>
        <w:spacing w:beforeAutospacing="0" w:afterAutospacing="0" w:line="500" w:lineRule="exact"/>
        <w:ind w:left="0" w:leftChars="0" w:right="0" w:firstLine="480" w:firstLineChars="200"/>
        <w:textAlignment w:val="auto"/>
        <w:rPr>
          <w:rFonts w:hint="default" w:ascii="Times New Roman" w:hAnsi="Times New Roman" w:eastAsia="仿宋_GB2312" w:cs="Times New Roman"/>
          <w:color w:val="auto"/>
          <w:spacing w:val="0"/>
          <w:kern w:val="0"/>
          <w:position w:val="0"/>
          <w:sz w:val="24"/>
          <w:szCs w:val="24"/>
          <w:lang w:val="en-US" w:eastAsia="zh-CN"/>
        </w:rPr>
      </w:pPr>
      <w:r>
        <w:rPr>
          <w:rFonts w:hint="eastAsia" w:ascii="Times New Roman" w:hAnsi="Times New Roman" w:eastAsia="仿宋_GB2312" w:cs="Times New Roman"/>
          <w:color w:val="auto"/>
          <w:spacing w:val="0"/>
          <w:kern w:val="0"/>
          <w:position w:val="0"/>
          <w:sz w:val="24"/>
          <w:szCs w:val="24"/>
          <w:lang w:eastAsia="zh-CN"/>
        </w:rPr>
        <w:t>（</w:t>
      </w:r>
      <w:r>
        <w:rPr>
          <w:rFonts w:hint="eastAsia" w:ascii="Times New Roman" w:hAnsi="Times New Roman" w:eastAsia="仿宋_GB2312" w:cs="Times New Roman"/>
          <w:color w:val="auto"/>
          <w:spacing w:val="0"/>
          <w:kern w:val="0"/>
          <w:position w:val="0"/>
          <w:sz w:val="24"/>
          <w:szCs w:val="24"/>
          <w:lang w:val="en-US" w:eastAsia="zh-CN"/>
        </w:rPr>
        <w:t>2</w:t>
      </w:r>
      <w:r>
        <w:rPr>
          <w:rFonts w:hint="eastAsia" w:ascii="Times New Roman" w:hAnsi="Times New Roman" w:eastAsia="仿宋_GB2312" w:cs="Times New Roman"/>
          <w:color w:val="auto"/>
          <w:spacing w:val="0"/>
          <w:kern w:val="0"/>
          <w:position w:val="0"/>
          <w:sz w:val="24"/>
          <w:szCs w:val="24"/>
          <w:lang w:eastAsia="zh-CN"/>
        </w:rPr>
        <w:t>）</w:t>
      </w:r>
      <w:r>
        <w:rPr>
          <w:rFonts w:hint="eastAsia" w:ascii="Times New Roman" w:hAnsi="Times New Roman" w:eastAsia="仿宋_GB2312" w:cs="Times New Roman"/>
          <w:color w:val="auto"/>
          <w:spacing w:val="0"/>
          <w:kern w:val="0"/>
          <w:position w:val="0"/>
          <w:sz w:val="24"/>
          <w:szCs w:val="24"/>
          <w:lang w:val="en-US" w:eastAsia="zh-CN"/>
        </w:rPr>
        <w:t>固废存储</w:t>
      </w:r>
    </w:p>
    <w:p w14:paraId="7489A21F">
      <w:pPr>
        <w:keepNext w:val="0"/>
        <w:keepLines w:val="0"/>
        <w:pageBreakBefore w:val="0"/>
        <w:widowControl w:val="0"/>
        <w:kinsoku/>
        <w:wordWrap/>
        <w:overflowPunct/>
        <w:topLinePunct w:val="0"/>
        <w:autoSpaceDE/>
        <w:autoSpaceDN/>
        <w:bidi w:val="0"/>
        <w:adjustRightInd w:val="0"/>
        <w:snapToGrid w:val="0"/>
        <w:spacing w:beforeAutospacing="0" w:afterAutospacing="0" w:line="500" w:lineRule="exact"/>
        <w:ind w:left="0" w:leftChars="0" w:right="0" w:firstLine="480" w:firstLineChars="200"/>
        <w:textAlignment w:val="auto"/>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建设项目各种固废分类收集、存放，临时存放室内固定场所，不被雨淋、风吹、专车运送，所有固废都得到合适的处置或综合利用，危险固废委托有资质的单位处置，生活垃圾由环卫部门统一收集处理，固废实现“零排放”是有保证的，不会对环境产生二次污染。</w:t>
      </w:r>
    </w:p>
    <w:p w14:paraId="1181D128">
      <w:pPr>
        <w:keepNext w:val="0"/>
        <w:keepLines w:val="0"/>
        <w:pageBreakBefore w:val="0"/>
        <w:widowControl w:val="0"/>
        <w:kinsoku/>
        <w:wordWrap/>
        <w:overflowPunct/>
        <w:topLinePunct w:val="0"/>
        <w:autoSpaceDE/>
        <w:autoSpaceDN/>
        <w:bidi w:val="0"/>
        <w:adjustRightInd w:val="0"/>
        <w:snapToGrid w:val="0"/>
        <w:spacing w:beforeAutospacing="0" w:afterAutospacing="0" w:line="500" w:lineRule="exact"/>
        <w:ind w:left="0" w:leftChars="0" w:right="0" w:firstLine="480" w:firstLineChars="200"/>
        <w:textAlignment w:val="auto"/>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为避免危废对环境的危害，建议采用以下措施：</w:t>
      </w:r>
    </w:p>
    <w:p w14:paraId="320C80EB">
      <w:pPr>
        <w:keepNext w:val="0"/>
        <w:keepLines w:val="0"/>
        <w:pageBreakBefore w:val="0"/>
        <w:widowControl w:val="0"/>
        <w:kinsoku/>
        <w:wordWrap/>
        <w:overflowPunct/>
        <w:topLinePunct w:val="0"/>
        <w:autoSpaceDE/>
        <w:autoSpaceDN/>
        <w:bidi w:val="0"/>
        <w:adjustRightInd w:val="0"/>
        <w:snapToGrid w:val="0"/>
        <w:spacing w:beforeAutospacing="0" w:afterAutospacing="0" w:line="500" w:lineRule="exact"/>
        <w:ind w:left="0" w:leftChars="0" w:right="0" w:firstLine="480" w:firstLineChars="200"/>
        <w:textAlignment w:val="auto"/>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1）在收集过程中要根据危险废物的性质进行收集和临时贮存。</w:t>
      </w:r>
    </w:p>
    <w:p w14:paraId="0733A988">
      <w:pPr>
        <w:keepNext w:val="0"/>
        <w:keepLines w:val="0"/>
        <w:pageBreakBefore w:val="0"/>
        <w:widowControl w:val="0"/>
        <w:kinsoku/>
        <w:wordWrap/>
        <w:overflowPunct/>
        <w:topLinePunct w:val="0"/>
        <w:autoSpaceDE/>
        <w:autoSpaceDN/>
        <w:bidi w:val="0"/>
        <w:adjustRightInd w:val="0"/>
        <w:snapToGrid w:val="0"/>
        <w:spacing w:beforeAutospacing="0" w:afterAutospacing="0" w:line="500" w:lineRule="exact"/>
        <w:ind w:left="0" w:leftChars="0" w:right="0" w:firstLine="480" w:firstLineChars="200"/>
        <w:textAlignment w:val="auto"/>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2）厂内应设置专门的废物贮存室、以便贮存不能及时送出处理的固废，避免在露天堆放中产生的泄漏、渗透、蒸发、雨水淋溶以及大风吹扬等产生二次污染；危险废物要有单独的贮存室、贮存罐，并贴上标签；装载液体、半固体危险废物的容器顶与液面间需要保留100mm以上的空间，容器及容器的材质要满足相应强度要求，并必须完整无损。固体废物的临时堆场必须严格按照国家标准设置。</w:t>
      </w:r>
    </w:p>
    <w:p w14:paraId="1BCB3B4D">
      <w:pPr>
        <w:keepNext w:val="0"/>
        <w:keepLines w:val="0"/>
        <w:pageBreakBefore w:val="0"/>
        <w:widowControl w:val="0"/>
        <w:kinsoku/>
        <w:wordWrap/>
        <w:overflowPunct/>
        <w:topLinePunct w:val="0"/>
        <w:autoSpaceDE/>
        <w:autoSpaceDN/>
        <w:bidi w:val="0"/>
        <w:adjustRightInd w:val="0"/>
        <w:snapToGrid w:val="0"/>
        <w:spacing w:beforeAutospacing="0" w:afterAutospacing="0" w:line="500" w:lineRule="exact"/>
        <w:ind w:left="0" w:leftChars="0" w:right="0" w:firstLine="480" w:firstLineChars="200"/>
        <w:textAlignment w:val="auto"/>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3）运输过程中要注意不同的危险废物要单独运输，固废的包装容器要注意密闭，以免在运输途中发生危险废物的泄漏，从而产生二次污染。</w:t>
      </w:r>
    </w:p>
    <w:p w14:paraId="2DC48688">
      <w:pPr>
        <w:pStyle w:val="4"/>
        <w:keepNext/>
        <w:keepLines w:val="0"/>
        <w:pageBreakBefore w:val="0"/>
        <w:widowControl w:val="0"/>
        <w:kinsoku/>
        <w:wordWrap/>
        <w:overflowPunct w:val="0"/>
        <w:topLinePunct w:val="0"/>
        <w:autoSpaceDE/>
        <w:autoSpaceDN/>
        <w:bidi w:val="0"/>
        <w:adjustRightInd/>
        <w:snapToGrid w:val="0"/>
        <w:spacing w:before="0" w:line="500" w:lineRule="exact"/>
        <w:ind w:left="0" w:right="0" w:firstLine="0" w:firstLineChars="0"/>
        <w:jc w:val="both"/>
        <w:textAlignment w:val="auto"/>
        <w:outlineLvl w:val="1"/>
        <w:rPr>
          <w:rFonts w:hint="default" w:ascii="Times New Roman" w:hAnsi="Times New Roman" w:eastAsia="仿宋_GB2312" w:cs="Times New Roman"/>
          <w:b/>
          <w:bCs/>
          <w:sz w:val="24"/>
          <w:szCs w:val="24"/>
          <w:lang w:val="en-US" w:eastAsia="zh-CN"/>
        </w:rPr>
      </w:pPr>
      <w:bookmarkStart w:id="180" w:name="_Toc27031"/>
      <w:bookmarkStart w:id="181" w:name="_Toc157"/>
      <w:bookmarkStart w:id="182" w:name="_Toc4732"/>
      <w:r>
        <w:rPr>
          <w:rFonts w:hint="default" w:ascii="Times New Roman" w:hAnsi="Times New Roman" w:eastAsia="仿宋_GB2312" w:cs="Times New Roman"/>
          <w:b/>
          <w:bCs/>
          <w:sz w:val="24"/>
          <w:szCs w:val="24"/>
          <w:lang w:val="en-US" w:eastAsia="zh-CN"/>
        </w:rPr>
        <w:t>4.</w:t>
      </w:r>
      <w:r>
        <w:rPr>
          <w:rFonts w:hint="eastAsia" w:ascii="Times New Roman" w:hAnsi="Times New Roman" w:eastAsia="仿宋_GB2312" w:cs="Times New Roman"/>
          <w:b/>
          <w:bCs/>
          <w:sz w:val="24"/>
          <w:szCs w:val="24"/>
          <w:lang w:val="en-US" w:eastAsia="zh-CN"/>
        </w:rPr>
        <w:t>5</w:t>
      </w:r>
      <w:r>
        <w:rPr>
          <w:rFonts w:hint="default" w:ascii="Times New Roman" w:hAnsi="Times New Roman" w:eastAsia="仿宋_GB2312" w:cs="Times New Roman"/>
          <w:b/>
          <w:bCs/>
          <w:sz w:val="24"/>
          <w:szCs w:val="24"/>
          <w:lang w:val="en-US" w:eastAsia="zh-CN"/>
        </w:rPr>
        <w:t>电气、电讯安全防范措施</w:t>
      </w:r>
      <w:bookmarkEnd w:id="180"/>
      <w:bookmarkEnd w:id="181"/>
      <w:bookmarkEnd w:id="182"/>
    </w:p>
    <w:p w14:paraId="7CBF9B72">
      <w:pPr>
        <w:pageBreakBefore w:val="0"/>
        <w:kinsoku/>
        <w:wordWrap/>
        <w:bidi w:val="0"/>
        <w:adjustRightInd w:val="0"/>
        <w:snapToGrid w:val="0"/>
        <w:spacing w:beforeAutospacing="0" w:afterAutospacing="0" w:line="500" w:lineRule="exact"/>
        <w:ind w:left="0" w:leftChars="0" w:right="0" w:firstLine="480" w:firstLineChars="200"/>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（1）在各级电压母线上和架空进线上均装设避雷器以防止雷电侵入波引起的感应过电压。</w:t>
      </w:r>
    </w:p>
    <w:p w14:paraId="7FE5A5D5">
      <w:pPr>
        <w:pageBreakBefore w:val="0"/>
        <w:kinsoku/>
        <w:wordWrap/>
        <w:bidi w:val="0"/>
        <w:adjustRightInd w:val="0"/>
        <w:snapToGrid w:val="0"/>
        <w:spacing w:beforeAutospacing="0" w:afterAutospacing="0" w:line="500" w:lineRule="exact"/>
        <w:ind w:left="0" w:leftChars="0" w:right="0" w:firstLine="480" w:firstLineChars="200"/>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（2）主变压器 110kV 侧中性点采用避雷器加保护间隙保护</w:t>
      </w:r>
      <w:r>
        <w:rPr>
          <w:rFonts w:hint="default" w:ascii="Times New Roman" w:hAnsi="Times New Roman" w:eastAsia="仿宋_GB2312" w:cs="Times New Roman"/>
          <w:color w:val="auto"/>
          <w:spacing w:val="0"/>
          <w:kern w:val="0"/>
          <w:position w:val="0"/>
          <w:sz w:val="24"/>
          <w:szCs w:val="24"/>
          <w:lang w:eastAsia="zh-CN"/>
        </w:rPr>
        <w:t>，</w:t>
      </w:r>
      <w:r>
        <w:rPr>
          <w:rFonts w:hint="default" w:ascii="Times New Roman" w:hAnsi="Times New Roman" w:eastAsia="仿宋_GB2312" w:cs="Times New Roman"/>
          <w:color w:val="auto"/>
          <w:spacing w:val="0"/>
          <w:kern w:val="0"/>
          <w:position w:val="0"/>
          <w:sz w:val="24"/>
          <w:szCs w:val="24"/>
        </w:rPr>
        <w:t xml:space="preserve"> 经隔离开关接地。 10kV 系统采用中性点不接地系统，低压 400/230V 系统采用 TN-S 接地系统。所有正常不带电的电气设备外壳、电缆桥架、金属管道、金属构件等均应做保护接地；计算机电缆和其它弱电电缆应做屏蔽接地；移动设备、户外用电设备、插座等配电回路均装设漏电保护器，以提高用电的安全性。电源在引入单体建筑物时应作重复接地。</w:t>
      </w:r>
    </w:p>
    <w:p w14:paraId="46022DCC">
      <w:pPr>
        <w:pageBreakBefore w:val="0"/>
        <w:kinsoku/>
        <w:wordWrap/>
        <w:bidi w:val="0"/>
        <w:adjustRightInd w:val="0"/>
        <w:snapToGrid w:val="0"/>
        <w:spacing w:beforeAutospacing="0" w:afterAutospacing="0" w:line="500" w:lineRule="exact"/>
        <w:ind w:left="0" w:leftChars="0" w:right="0" w:firstLine="480" w:firstLineChars="200"/>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（3）根据装置原料及产品特点，按《</w:t>
      </w:r>
      <w:r>
        <w:rPr>
          <w:rFonts w:hint="default" w:ascii="Times New Roman" w:hAnsi="Times New Roman" w:eastAsia="仿宋_GB2312" w:cs="Times New Roman"/>
          <w:color w:val="auto"/>
          <w:spacing w:val="0"/>
          <w:kern w:val="0"/>
          <w:position w:val="0"/>
          <w:sz w:val="24"/>
          <w:szCs w:val="24"/>
          <w:lang w:eastAsia="zh-CN"/>
        </w:rPr>
        <w:t>爆炸危险环境电力装置设计规范</w:t>
      </w:r>
      <w:r>
        <w:rPr>
          <w:rFonts w:hint="default" w:ascii="Times New Roman" w:hAnsi="Times New Roman" w:eastAsia="仿宋_GB2312" w:cs="Times New Roman"/>
          <w:color w:val="auto"/>
          <w:spacing w:val="0"/>
          <w:kern w:val="0"/>
          <w:position w:val="0"/>
          <w:sz w:val="24"/>
          <w:szCs w:val="24"/>
        </w:rPr>
        <w:t>》</w:t>
      </w:r>
      <w:r>
        <w:rPr>
          <w:rFonts w:hint="default" w:ascii="Times New Roman" w:hAnsi="Times New Roman" w:eastAsia="仿宋_GB2312" w:cs="Times New Roman"/>
          <w:color w:val="auto"/>
          <w:spacing w:val="0"/>
          <w:kern w:val="0"/>
          <w:position w:val="0"/>
          <w:sz w:val="24"/>
          <w:szCs w:val="24"/>
          <w:lang w:eastAsia="zh-CN"/>
        </w:rPr>
        <w:t>GB 50058-2014</w:t>
      </w:r>
      <w:r>
        <w:rPr>
          <w:rFonts w:hint="default" w:ascii="Times New Roman" w:hAnsi="Times New Roman" w:eastAsia="仿宋_GB2312" w:cs="Times New Roman"/>
          <w:color w:val="auto"/>
          <w:spacing w:val="0"/>
          <w:kern w:val="0"/>
          <w:position w:val="0"/>
          <w:sz w:val="24"/>
          <w:szCs w:val="24"/>
        </w:rPr>
        <w:t>用电气设备。爆炸和火灾危险环境内可产生静电的物体，如设备管理等都采用工业静电接地措施，建、构筑物设有防直击雷、防雷电感应、防雷电波侵入的设施。</w:t>
      </w:r>
    </w:p>
    <w:p w14:paraId="144C6860">
      <w:pPr>
        <w:pStyle w:val="4"/>
        <w:keepNext/>
        <w:keepLines w:val="0"/>
        <w:pageBreakBefore w:val="0"/>
        <w:widowControl w:val="0"/>
        <w:kinsoku/>
        <w:wordWrap/>
        <w:overflowPunct w:val="0"/>
        <w:topLinePunct w:val="0"/>
        <w:autoSpaceDE/>
        <w:autoSpaceDN/>
        <w:bidi w:val="0"/>
        <w:adjustRightInd/>
        <w:snapToGrid w:val="0"/>
        <w:spacing w:before="0" w:line="500" w:lineRule="exact"/>
        <w:ind w:left="0" w:right="0" w:firstLine="0" w:firstLineChars="0"/>
        <w:jc w:val="both"/>
        <w:textAlignment w:val="auto"/>
        <w:outlineLvl w:val="1"/>
        <w:rPr>
          <w:rFonts w:hint="default" w:ascii="Times New Roman" w:hAnsi="Times New Roman" w:eastAsia="仿宋_GB2312" w:cs="Times New Roman"/>
          <w:b/>
          <w:bCs/>
          <w:sz w:val="24"/>
          <w:szCs w:val="24"/>
          <w:lang w:val="en-US" w:eastAsia="zh-CN"/>
        </w:rPr>
      </w:pPr>
      <w:bookmarkStart w:id="183" w:name="_Toc26769"/>
      <w:bookmarkStart w:id="184" w:name="_Toc22071"/>
      <w:bookmarkStart w:id="185" w:name="_Toc15338"/>
      <w:r>
        <w:rPr>
          <w:rFonts w:hint="default" w:ascii="Times New Roman" w:hAnsi="Times New Roman" w:eastAsia="仿宋_GB2312" w:cs="Times New Roman"/>
          <w:b/>
          <w:bCs/>
          <w:sz w:val="24"/>
          <w:szCs w:val="24"/>
          <w:lang w:val="en-US" w:eastAsia="zh-CN"/>
        </w:rPr>
        <w:t>4.</w:t>
      </w:r>
      <w:r>
        <w:rPr>
          <w:rFonts w:hint="eastAsia" w:ascii="Times New Roman" w:hAnsi="Times New Roman" w:eastAsia="仿宋_GB2312" w:cs="Times New Roman"/>
          <w:b/>
          <w:bCs/>
          <w:sz w:val="24"/>
          <w:szCs w:val="24"/>
          <w:lang w:val="en-US" w:eastAsia="zh-CN"/>
        </w:rPr>
        <w:t>6</w:t>
      </w:r>
      <w:r>
        <w:rPr>
          <w:rFonts w:hint="default" w:ascii="Times New Roman" w:hAnsi="Times New Roman" w:eastAsia="仿宋_GB2312" w:cs="Times New Roman"/>
          <w:b/>
          <w:bCs/>
          <w:sz w:val="24"/>
          <w:szCs w:val="24"/>
          <w:lang w:val="en-US" w:eastAsia="zh-CN"/>
        </w:rPr>
        <w:t>消防系统设计方案</w:t>
      </w:r>
      <w:bookmarkEnd w:id="183"/>
      <w:bookmarkEnd w:id="184"/>
      <w:bookmarkEnd w:id="185"/>
    </w:p>
    <w:p w14:paraId="76AB2DE7">
      <w:pPr>
        <w:pageBreakBefore w:val="0"/>
        <w:kinsoku/>
        <w:wordWrap/>
        <w:bidi w:val="0"/>
        <w:adjustRightInd w:val="0"/>
        <w:snapToGrid w:val="0"/>
        <w:spacing w:beforeAutospacing="0" w:afterAutospacing="0" w:line="500" w:lineRule="exact"/>
        <w:ind w:left="0" w:leftChars="0" w:right="0" w:firstLine="480" w:firstLineChars="200"/>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1、消防管理制度</w:t>
      </w:r>
    </w:p>
    <w:p w14:paraId="66B9C346">
      <w:pPr>
        <w:pageBreakBefore w:val="0"/>
        <w:kinsoku/>
        <w:wordWrap/>
        <w:bidi w:val="0"/>
        <w:adjustRightInd w:val="0"/>
        <w:snapToGrid w:val="0"/>
        <w:spacing w:beforeAutospacing="0" w:afterAutospacing="0" w:line="500" w:lineRule="exact"/>
        <w:ind w:left="0" w:leftChars="0" w:right="0" w:firstLine="480" w:firstLineChars="200"/>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（1）要求各级领导和职工必须认真学习消防常识及各种消防管理标准；应对电、气焊工人、电工及生产使用易燃易爆物品或可燃物资集中的人员采取短期训练方法，进行消防常识教育。</w:t>
      </w:r>
    </w:p>
    <w:p w14:paraId="2DF64617">
      <w:pPr>
        <w:pageBreakBefore w:val="0"/>
        <w:kinsoku/>
        <w:wordWrap/>
        <w:bidi w:val="0"/>
        <w:adjustRightInd w:val="0"/>
        <w:snapToGrid w:val="0"/>
        <w:spacing w:beforeAutospacing="0" w:afterAutospacing="0" w:line="500" w:lineRule="exact"/>
        <w:ind w:left="0" w:leftChars="0" w:right="0" w:firstLine="480" w:firstLineChars="200"/>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（2）生产区内一律严禁吸烟；操作工一律禁止携带火柴、打火机等一切引火物进入仓库和危险生产区域；职工禁止将易燃易爆物品存放在岗位上。</w:t>
      </w:r>
    </w:p>
    <w:p w14:paraId="55281FFF">
      <w:pPr>
        <w:pageBreakBefore w:val="0"/>
        <w:kinsoku/>
        <w:wordWrap/>
        <w:bidi w:val="0"/>
        <w:adjustRightInd w:val="0"/>
        <w:snapToGrid w:val="0"/>
        <w:spacing w:beforeAutospacing="0" w:afterAutospacing="0" w:line="500" w:lineRule="exact"/>
        <w:ind w:left="0" w:leftChars="0" w:right="0" w:firstLine="480" w:firstLineChars="200"/>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（3）根据生产使用储存物品的性质及各单位周围环境的危险程度，该企业动火区域进行分级，动火时必须办理动火许可证，并按照动火安全规程进行操作。</w:t>
      </w:r>
    </w:p>
    <w:p w14:paraId="2001D7C4">
      <w:pPr>
        <w:pageBreakBefore w:val="0"/>
        <w:kinsoku/>
        <w:wordWrap/>
        <w:bidi w:val="0"/>
        <w:adjustRightInd w:val="0"/>
        <w:snapToGrid w:val="0"/>
        <w:spacing w:beforeAutospacing="0" w:afterAutospacing="0" w:line="500" w:lineRule="exact"/>
        <w:ind w:left="0" w:leftChars="0" w:right="0" w:firstLine="480" w:firstLineChars="200"/>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（4）发生火警时在消防队未到达前，事故单位的负责人要立即组织义务消防队和职工进行补救。</w:t>
      </w:r>
    </w:p>
    <w:p w14:paraId="5C3B0AA6">
      <w:pPr>
        <w:pageBreakBefore w:val="0"/>
        <w:kinsoku/>
        <w:wordWrap/>
        <w:bidi w:val="0"/>
        <w:adjustRightInd w:val="0"/>
        <w:snapToGrid w:val="0"/>
        <w:spacing w:beforeAutospacing="0" w:afterAutospacing="0" w:line="500" w:lineRule="exact"/>
        <w:ind w:left="0" w:leftChars="0" w:right="0" w:firstLine="480" w:firstLineChars="200"/>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（5）火灾消灭后，一定要做到“三不放过”，即事故原因不清不放过，责任者和工人不受教育不放过，不采取有效措施不放过。</w:t>
      </w:r>
    </w:p>
    <w:p w14:paraId="7608AC56">
      <w:pPr>
        <w:pageBreakBefore w:val="0"/>
        <w:kinsoku/>
        <w:wordWrap/>
        <w:bidi w:val="0"/>
        <w:adjustRightInd w:val="0"/>
        <w:snapToGrid w:val="0"/>
        <w:spacing w:beforeAutospacing="0" w:afterAutospacing="0" w:line="500" w:lineRule="exact"/>
        <w:ind w:left="0" w:leftChars="0" w:right="0" w:firstLine="480" w:firstLineChars="200"/>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2、消防设施的配备、使用与管理</w:t>
      </w:r>
    </w:p>
    <w:p w14:paraId="7AEE8F46">
      <w:pPr>
        <w:pageBreakBefore w:val="0"/>
        <w:kinsoku/>
        <w:wordWrap/>
        <w:bidi w:val="0"/>
        <w:adjustRightInd w:val="0"/>
        <w:snapToGrid w:val="0"/>
        <w:spacing w:beforeAutospacing="0" w:afterAutospacing="0" w:line="500" w:lineRule="exact"/>
        <w:ind w:left="0" w:leftChars="0" w:right="0" w:firstLine="480" w:firstLineChars="200"/>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（1）设施配备</w:t>
      </w:r>
    </w:p>
    <w:p w14:paraId="1270EBCE">
      <w:pPr>
        <w:pageBreakBefore w:val="0"/>
        <w:kinsoku/>
        <w:wordWrap/>
        <w:bidi w:val="0"/>
        <w:adjustRightInd w:val="0"/>
        <w:snapToGrid w:val="0"/>
        <w:spacing w:beforeAutospacing="0" w:afterAutospacing="0" w:line="500" w:lineRule="exact"/>
        <w:ind w:left="0" w:leftChars="0" w:right="0" w:firstLine="480" w:firstLineChars="200"/>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厂区内根据《建筑设计防火规范》（</w:t>
      </w:r>
      <w:r>
        <w:rPr>
          <w:rFonts w:hint="default" w:ascii="Times New Roman" w:hAnsi="Times New Roman" w:eastAsia="仿宋_GB2312" w:cs="Times New Roman"/>
          <w:color w:val="auto"/>
          <w:spacing w:val="0"/>
          <w:kern w:val="0"/>
          <w:position w:val="0"/>
          <w:sz w:val="24"/>
          <w:szCs w:val="24"/>
          <w:lang w:eastAsia="zh-CN"/>
        </w:rPr>
        <w:t>GB 50016-2014[2018年版]</w:t>
      </w:r>
      <w:r>
        <w:rPr>
          <w:rFonts w:hint="default" w:ascii="Times New Roman" w:hAnsi="Times New Roman" w:eastAsia="仿宋_GB2312" w:cs="Times New Roman"/>
          <w:color w:val="auto"/>
          <w:spacing w:val="0"/>
          <w:kern w:val="0"/>
          <w:position w:val="0"/>
          <w:sz w:val="24"/>
          <w:szCs w:val="24"/>
        </w:rPr>
        <w:t>）的有关规定，在各车间分别配备灭火器材。</w:t>
      </w:r>
    </w:p>
    <w:p w14:paraId="069811F7">
      <w:pPr>
        <w:pageBreakBefore w:val="0"/>
        <w:kinsoku/>
        <w:wordWrap/>
        <w:bidi w:val="0"/>
        <w:adjustRightInd w:val="0"/>
        <w:snapToGrid w:val="0"/>
        <w:spacing w:beforeAutospacing="0" w:afterAutospacing="0" w:line="500" w:lineRule="exact"/>
        <w:ind w:left="0" w:leftChars="0" w:right="0" w:firstLine="480" w:firstLineChars="200"/>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（2）使用与管理</w:t>
      </w:r>
    </w:p>
    <w:p w14:paraId="7116E170">
      <w:pPr>
        <w:pageBreakBefore w:val="0"/>
        <w:kinsoku/>
        <w:wordWrap/>
        <w:bidi w:val="0"/>
        <w:adjustRightInd w:val="0"/>
        <w:snapToGrid w:val="0"/>
        <w:spacing w:beforeAutospacing="0" w:afterAutospacing="0" w:line="500" w:lineRule="exact"/>
        <w:ind w:left="0" w:leftChars="0" w:right="0" w:firstLine="480" w:firstLineChars="200"/>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fldChar w:fldCharType="begin"/>
      </w:r>
      <w:r>
        <w:rPr>
          <w:rFonts w:hint="default" w:ascii="Times New Roman" w:hAnsi="Times New Roman" w:eastAsia="仿宋_GB2312" w:cs="Times New Roman"/>
          <w:color w:val="auto"/>
          <w:spacing w:val="0"/>
          <w:kern w:val="0"/>
          <w:position w:val="0"/>
          <w:sz w:val="24"/>
          <w:szCs w:val="24"/>
        </w:rPr>
        <w:instrText xml:space="preserve"> = 1 \* GB3 </w:instrText>
      </w:r>
      <w:r>
        <w:rPr>
          <w:rFonts w:hint="default" w:ascii="Times New Roman" w:hAnsi="Times New Roman" w:eastAsia="仿宋_GB2312" w:cs="Times New Roman"/>
          <w:color w:val="auto"/>
          <w:spacing w:val="0"/>
          <w:kern w:val="0"/>
          <w:position w:val="0"/>
          <w:sz w:val="24"/>
          <w:szCs w:val="24"/>
        </w:rPr>
        <w:fldChar w:fldCharType="separate"/>
      </w:r>
      <w:r>
        <w:rPr>
          <w:rFonts w:hint="default" w:ascii="Times New Roman" w:hAnsi="Times New Roman" w:eastAsia="仿宋_GB2312" w:cs="Times New Roman"/>
          <w:color w:val="auto"/>
          <w:spacing w:val="0"/>
          <w:kern w:val="0"/>
          <w:position w:val="0"/>
          <w:sz w:val="24"/>
          <w:szCs w:val="24"/>
        </w:rPr>
        <w:t>①</w:t>
      </w:r>
      <w:r>
        <w:rPr>
          <w:rFonts w:hint="default" w:ascii="Times New Roman" w:hAnsi="Times New Roman" w:eastAsia="仿宋_GB2312" w:cs="Times New Roman"/>
          <w:color w:val="auto"/>
          <w:spacing w:val="0"/>
          <w:kern w:val="0"/>
          <w:position w:val="0"/>
          <w:sz w:val="24"/>
          <w:szCs w:val="24"/>
        </w:rPr>
        <w:fldChar w:fldCharType="end"/>
      </w:r>
      <w:r>
        <w:rPr>
          <w:rFonts w:hint="default" w:ascii="Times New Roman" w:hAnsi="Times New Roman" w:eastAsia="仿宋_GB2312" w:cs="Times New Roman"/>
          <w:color w:val="auto"/>
          <w:spacing w:val="0"/>
          <w:kern w:val="0"/>
          <w:position w:val="0"/>
          <w:sz w:val="24"/>
          <w:szCs w:val="24"/>
        </w:rPr>
        <w:t>各岗位对灭火器应设专人负责，经常检查维护，并掌握灭火器材的种类、规格及数量。</w:t>
      </w:r>
    </w:p>
    <w:p w14:paraId="45761158">
      <w:pPr>
        <w:pageBreakBefore w:val="0"/>
        <w:kinsoku/>
        <w:wordWrap/>
        <w:bidi w:val="0"/>
        <w:adjustRightInd w:val="0"/>
        <w:snapToGrid w:val="0"/>
        <w:spacing w:beforeAutospacing="0" w:afterAutospacing="0" w:line="500" w:lineRule="exact"/>
        <w:ind w:left="0" w:leftChars="0" w:right="0" w:firstLine="480" w:firstLineChars="200"/>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②各种灭火器材应有固定的存放地点、放置地点明显，使用方便和防止腐蚀。灭火器应放在保温之处，不准随便搬运或到处乱扔。</w:t>
      </w:r>
    </w:p>
    <w:p w14:paraId="6E9885BD">
      <w:pPr>
        <w:pageBreakBefore w:val="0"/>
        <w:kinsoku/>
        <w:wordWrap/>
        <w:bidi w:val="0"/>
        <w:adjustRightInd w:val="0"/>
        <w:snapToGrid w:val="0"/>
        <w:spacing w:beforeAutospacing="0" w:afterAutospacing="0" w:line="500" w:lineRule="exact"/>
        <w:ind w:left="0" w:leftChars="0" w:right="0" w:firstLine="480" w:firstLineChars="200"/>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③各种灭火器材在非火灾情况下一律禁止动用，更不准擅自损坏。</w:t>
      </w:r>
    </w:p>
    <w:p w14:paraId="1BA7BCB1">
      <w:pPr>
        <w:pageBreakBefore w:val="0"/>
        <w:kinsoku/>
        <w:wordWrap/>
        <w:bidi w:val="0"/>
        <w:adjustRightInd w:val="0"/>
        <w:snapToGrid w:val="0"/>
        <w:spacing w:beforeAutospacing="0" w:afterAutospacing="0" w:line="500" w:lineRule="exact"/>
        <w:ind w:left="0" w:leftChars="0" w:right="0" w:firstLine="480" w:firstLineChars="200"/>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④每季度或重要节日对灭火器材进行一次全面检查，灭火器要定期换药并做好详细记录。</w:t>
      </w:r>
    </w:p>
    <w:p w14:paraId="173E7037">
      <w:pPr>
        <w:pStyle w:val="4"/>
        <w:keepNext/>
        <w:keepLines w:val="0"/>
        <w:pageBreakBefore w:val="0"/>
        <w:widowControl w:val="0"/>
        <w:kinsoku/>
        <w:wordWrap/>
        <w:overflowPunct w:val="0"/>
        <w:topLinePunct w:val="0"/>
        <w:autoSpaceDE/>
        <w:autoSpaceDN/>
        <w:bidi w:val="0"/>
        <w:adjustRightInd/>
        <w:snapToGrid w:val="0"/>
        <w:spacing w:before="0" w:line="500" w:lineRule="exact"/>
        <w:ind w:left="0" w:right="0" w:firstLine="0" w:firstLineChars="0"/>
        <w:jc w:val="both"/>
        <w:textAlignment w:val="auto"/>
        <w:outlineLvl w:val="1"/>
        <w:rPr>
          <w:rFonts w:hint="default" w:ascii="Times New Roman" w:hAnsi="Times New Roman" w:eastAsia="仿宋_GB2312" w:cs="Times New Roman"/>
          <w:b/>
          <w:bCs/>
          <w:sz w:val="24"/>
          <w:szCs w:val="24"/>
          <w:lang w:val="en-US" w:eastAsia="zh-CN"/>
        </w:rPr>
      </w:pPr>
      <w:bookmarkStart w:id="186" w:name="_Toc20730"/>
      <w:bookmarkStart w:id="187" w:name="_Toc4528"/>
      <w:bookmarkStart w:id="188" w:name="_Toc2696"/>
      <w:r>
        <w:rPr>
          <w:rFonts w:hint="default" w:ascii="Times New Roman" w:hAnsi="Times New Roman" w:eastAsia="仿宋_GB2312" w:cs="Times New Roman"/>
          <w:b/>
          <w:bCs/>
          <w:sz w:val="24"/>
          <w:szCs w:val="24"/>
          <w:lang w:val="en-US" w:eastAsia="zh-CN"/>
        </w:rPr>
        <w:t>4.</w:t>
      </w:r>
      <w:r>
        <w:rPr>
          <w:rFonts w:hint="eastAsia" w:ascii="Times New Roman" w:hAnsi="Times New Roman" w:eastAsia="仿宋_GB2312" w:cs="Times New Roman"/>
          <w:b/>
          <w:bCs/>
          <w:sz w:val="24"/>
          <w:szCs w:val="24"/>
          <w:lang w:val="en-US" w:eastAsia="zh-CN"/>
        </w:rPr>
        <w:t>7</w:t>
      </w:r>
      <w:r>
        <w:rPr>
          <w:rFonts w:hint="default" w:ascii="Times New Roman" w:hAnsi="Times New Roman" w:eastAsia="仿宋_GB2312" w:cs="Times New Roman"/>
          <w:b/>
          <w:bCs/>
          <w:sz w:val="24"/>
          <w:szCs w:val="24"/>
          <w:lang w:val="en-US" w:eastAsia="zh-CN"/>
        </w:rPr>
        <w:t>预防和减少危害的措施</w:t>
      </w:r>
      <w:bookmarkEnd w:id="186"/>
      <w:bookmarkEnd w:id="187"/>
      <w:bookmarkEnd w:id="188"/>
    </w:p>
    <w:p w14:paraId="42426E98">
      <w:pPr>
        <w:pageBreakBefore w:val="0"/>
        <w:kinsoku/>
        <w:wordWrap/>
        <w:bidi w:val="0"/>
        <w:adjustRightInd w:val="0"/>
        <w:snapToGrid w:val="0"/>
        <w:spacing w:beforeAutospacing="0" w:afterAutospacing="0" w:line="500" w:lineRule="exact"/>
        <w:ind w:left="0" w:leftChars="0" w:right="0" w:firstLine="480" w:firstLineChars="200"/>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为使环境风险减少到最低限度，必须加强劳动、安全、环保和卫生的管理。可以从人、物、环境和管理四个方面寻找影响事故的原因，制定完备、有效的安全防范措施，尽可能降低本项目环境风险事故发生的概率，减少事故的损失和危害。防范对策和应急措施如下：</w:t>
      </w:r>
    </w:p>
    <w:p w14:paraId="2B794EFE">
      <w:pPr>
        <w:pageBreakBefore w:val="0"/>
        <w:kinsoku/>
        <w:wordWrap/>
        <w:bidi w:val="0"/>
        <w:adjustRightInd w:val="0"/>
        <w:snapToGrid w:val="0"/>
        <w:spacing w:beforeAutospacing="0" w:afterAutospacing="0" w:line="500" w:lineRule="exact"/>
        <w:ind w:left="0" w:leftChars="0" w:right="0" w:firstLine="480" w:firstLineChars="200"/>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（1）液体原料贮存区四周应专设围堰和防渗排水沟至事故应急池，一旦发生原料泄漏，及时将废水引至事故应急池。</w:t>
      </w:r>
    </w:p>
    <w:p w14:paraId="2EB434D8">
      <w:pPr>
        <w:pageBreakBefore w:val="0"/>
        <w:kinsoku/>
        <w:wordWrap/>
        <w:bidi w:val="0"/>
        <w:adjustRightInd w:val="0"/>
        <w:snapToGrid w:val="0"/>
        <w:spacing w:beforeAutospacing="0" w:afterAutospacing="0" w:line="500" w:lineRule="exact"/>
        <w:ind w:left="0" w:leftChars="0" w:right="0" w:firstLine="480" w:firstLineChars="200"/>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2）工程应严格按照企业设计规范进行设计和施工，必须保障生产区的地面防渗、防腐以及埋入地下的污水管道的防渗、防腐能力。一旦出现地下水污染事故，必须组织维修，在彻底解决事故隐患之前，禁止生产。</w:t>
      </w:r>
    </w:p>
    <w:p w14:paraId="701F8ABA">
      <w:pPr>
        <w:pageBreakBefore w:val="0"/>
        <w:kinsoku/>
        <w:wordWrap/>
        <w:bidi w:val="0"/>
        <w:adjustRightInd w:val="0"/>
        <w:snapToGrid w:val="0"/>
        <w:spacing w:beforeAutospacing="0" w:afterAutospacing="0" w:line="500" w:lineRule="exact"/>
        <w:ind w:left="0" w:leftChars="0" w:right="0" w:firstLine="480" w:firstLineChars="200"/>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（3）加强设施的维护和管理，提高设备的完好率。关键设备要配备足够的配件。对管道破裂等事故造成污水外流，须及时组织人员抢修。</w:t>
      </w:r>
    </w:p>
    <w:p w14:paraId="39021DDD">
      <w:pPr>
        <w:pageBreakBefore w:val="0"/>
        <w:kinsoku/>
        <w:wordWrap/>
        <w:bidi w:val="0"/>
        <w:adjustRightInd w:val="0"/>
        <w:snapToGrid w:val="0"/>
        <w:spacing w:beforeAutospacing="0" w:afterAutospacing="0" w:line="500" w:lineRule="exact"/>
        <w:ind w:left="0" w:leftChars="0" w:right="0" w:firstLine="480" w:firstLineChars="200"/>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（4）要建立完善的档案管理制度，记录尾水水质变化情况和处理设施的处理效果，尤其要记录事故工况，以便总结经验，杜绝事故的再次发生。</w:t>
      </w:r>
    </w:p>
    <w:p w14:paraId="3FAC402D">
      <w:pPr>
        <w:pageBreakBefore w:val="0"/>
        <w:kinsoku/>
        <w:wordWrap/>
        <w:bidi w:val="0"/>
        <w:adjustRightInd w:val="0"/>
        <w:snapToGrid w:val="0"/>
        <w:spacing w:beforeAutospacing="0" w:afterAutospacing="0" w:line="500" w:lineRule="exact"/>
        <w:ind w:left="0" w:leftChars="0" w:right="0" w:firstLine="480" w:firstLineChars="200"/>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（5）保证电源双回路供电，避免因停电事故而使污水处理设施不能正常运行。</w:t>
      </w:r>
    </w:p>
    <w:p w14:paraId="0935EFAC">
      <w:pPr>
        <w:pageBreakBefore w:val="0"/>
        <w:kinsoku/>
        <w:wordWrap/>
        <w:bidi w:val="0"/>
        <w:adjustRightInd w:val="0"/>
        <w:snapToGrid w:val="0"/>
        <w:spacing w:beforeAutospacing="0" w:afterAutospacing="0" w:line="500" w:lineRule="exact"/>
        <w:ind w:left="0" w:leftChars="0" w:right="0" w:firstLine="480" w:firstLineChars="200"/>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（6）加强车间通风，以减少车间无组织排放气体对工作人员的伤害。</w:t>
      </w:r>
    </w:p>
    <w:p w14:paraId="5C3F5AD2">
      <w:pPr>
        <w:pStyle w:val="4"/>
        <w:keepNext/>
        <w:keepLines w:val="0"/>
        <w:pageBreakBefore w:val="0"/>
        <w:widowControl w:val="0"/>
        <w:kinsoku/>
        <w:wordWrap/>
        <w:overflowPunct w:val="0"/>
        <w:topLinePunct w:val="0"/>
        <w:autoSpaceDE/>
        <w:autoSpaceDN/>
        <w:bidi w:val="0"/>
        <w:adjustRightInd/>
        <w:snapToGrid w:val="0"/>
        <w:spacing w:before="0" w:line="500" w:lineRule="exact"/>
        <w:ind w:left="0" w:right="0" w:firstLine="0" w:firstLineChars="0"/>
        <w:jc w:val="both"/>
        <w:textAlignment w:val="auto"/>
        <w:outlineLvl w:val="1"/>
        <w:rPr>
          <w:rFonts w:hint="default" w:ascii="Times New Roman" w:hAnsi="Times New Roman" w:eastAsia="仿宋_GB2312" w:cs="Times New Roman"/>
          <w:b/>
          <w:bCs/>
          <w:sz w:val="24"/>
          <w:szCs w:val="24"/>
          <w:lang w:val="en-US" w:eastAsia="zh-CN"/>
        </w:rPr>
      </w:pPr>
      <w:bookmarkStart w:id="189" w:name="_Toc9554"/>
      <w:bookmarkStart w:id="190" w:name="_Toc21302"/>
      <w:bookmarkStart w:id="191" w:name="_Toc3174"/>
      <w:r>
        <w:rPr>
          <w:rFonts w:hint="default" w:ascii="Times New Roman" w:hAnsi="Times New Roman" w:eastAsia="仿宋_GB2312" w:cs="Times New Roman"/>
          <w:b/>
          <w:bCs/>
          <w:sz w:val="24"/>
          <w:szCs w:val="24"/>
          <w:lang w:val="en-US" w:eastAsia="zh-CN"/>
        </w:rPr>
        <w:t>4.</w:t>
      </w:r>
      <w:r>
        <w:rPr>
          <w:rFonts w:hint="eastAsia" w:ascii="Times New Roman" w:hAnsi="Times New Roman" w:eastAsia="仿宋_GB2312" w:cs="Times New Roman"/>
          <w:b/>
          <w:bCs/>
          <w:sz w:val="24"/>
          <w:szCs w:val="24"/>
          <w:lang w:val="en-US" w:eastAsia="zh-CN"/>
        </w:rPr>
        <w:t>8</w:t>
      </w:r>
      <w:r>
        <w:rPr>
          <w:rFonts w:hint="default" w:ascii="Times New Roman" w:hAnsi="Times New Roman" w:eastAsia="仿宋_GB2312" w:cs="Times New Roman"/>
          <w:b/>
          <w:bCs/>
          <w:sz w:val="24"/>
          <w:szCs w:val="24"/>
          <w:lang w:val="en-US" w:eastAsia="zh-CN"/>
        </w:rPr>
        <w:t>泄漏事故的应急对策</w:t>
      </w:r>
      <w:bookmarkEnd w:id="189"/>
      <w:bookmarkEnd w:id="190"/>
      <w:bookmarkEnd w:id="191"/>
    </w:p>
    <w:p w14:paraId="034F9C5F">
      <w:pPr>
        <w:pageBreakBefore w:val="0"/>
        <w:kinsoku/>
        <w:wordWrap/>
        <w:bidi w:val="0"/>
        <w:adjustRightInd w:val="0"/>
        <w:snapToGrid w:val="0"/>
        <w:spacing w:beforeAutospacing="0" w:afterAutospacing="0" w:line="500" w:lineRule="exact"/>
        <w:ind w:left="0" w:leftChars="0" w:right="0" w:firstLine="480" w:firstLineChars="200"/>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（1）首先尽可能切断泄漏源。防止泄漏物进入水体、下水道、地下室或密闭性空间。其次物料泄漏应急收集措施如下：</w:t>
      </w:r>
    </w:p>
    <w:p w14:paraId="4E06C838">
      <w:pPr>
        <w:pageBreakBefore w:val="0"/>
        <w:kinsoku/>
        <w:wordWrap/>
        <w:bidi w:val="0"/>
        <w:adjustRightInd w:val="0"/>
        <w:snapToGrid w:val="0"/>
        <w:spacing w:beforeAutospacing="0" w:afterAutospacing="0" w:line="500" w:lineRule="exact"/>
        <w:ind w:left="0" w:leftChars="0" w:right="0" w:firstLine="480" w:firstLineChars="200"/>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①项目</w:t>
      </w:r>
      <w:r>
        <w:rPr>
          <w:rFonts w:hint="default" w:ascii="Times New Roman" w:hAnsi="Times New Roman" w:eastAsia="仿宋_GB2312" w:cs="Times New Roman"/>
          <w:color w:val="auto"/>
          <w:spacing w:val="0"/>
          <w:kern w:val="0"/>
          <w:position w:val="0"/>
          <w:sz w:val="24"/>
          <w:szCs w:val="24"/>
          <w:lang w:eastAsia="zh-CN"/>
        </w:rPr>
        <w:t>依托现有</w:t>
      </w:r>
      <w:r>
        <w:rPr>
          <w:rFonts w:hint="eastAsia" w:ascii="Times New Roman" w:hAnsi="Times New Roman" w:eastAsia="仿宋_GB2312" w:cs="Times New Roman"/>
          <w:color w:val="auto"/>
          <w:spacing w:val="0"/>
          <w:kern w:val="0"/>
          <w:position w:val="0"/>
          <w:sz w:val="24"/>
          <w:szCs w:val="24"/>
          <w:lang w:val="en-US" w:eastAsia="zh-CN"/>
        </w:rPr>
        <w:t>3000</w:t>
      </w:r>
      <w:r>
        <w:rPr>
          <w:rFonts w:hint="default" w:ascii="Times New Roman" w:hAnsi="Times New Roman" w:eastAsia="仿宋_GB2312" w:cs="Times New Roman"/>
          <w:color w:val="auto"/>
          <w:spacing w:val="0"/>
          <w:kern w:val="0"/>
          <w:position w:val="0"/>
          <w:sz w:val="24"/>
          <w:szCs w:val="24"/>
        </w:rPr>
        <w:t>m</w:t>
      </w:r>
      <w:r>
        <w:rPr>
          <w:rFonts w:hint="default" w:ascii="Times New Roman" w:hAnsi="Times New Roman" w:eastAsia="仿宋_GB2312" w:cs="Times New Roman"/>
          <w:color w:val="auto"/>
          <w:spacing w:val="0"/>
          <w:kern w:val="0"/>
          <w:position w:val="0"/>
          <w:sz w:val="24"/>
          <w:szCs w:val="24"/>
          <w:vertAlign w:val="superscript"/>
        </w:rPr>
        <w:t>3</w:t>
      </w:r>
      <w:r>
        <w:rPr>
          <w:rFonts w:hint="default" w:ascii="Times New Roman" w:hAnsi="Times New Roman" w:eastAsia="仿宋_GB2312" w:cs="Times New Roman"/>
          <w:color w:val="auto"/>
          <w:spacing w:val="0"/>
          <w:kern w:val="0"/>
          <w:position w:val="0"/>
          <w:sz w:val="24"/>
          <w:szCs w:val="24"/>
        </w:rPr>
        <w:t>事故池，可以满足事故情况下液体泄漏的收集；车间内四周设导流槽，事故情况下将液体导流至事故池。</w:t>
      </w:r>
    </w:p>
    <w:p w14:paraId="60073435">
      <w:pPr>
        <w:pageBreakBefore w:val="0"/>
        <w:kinsoku/>
        <w:wordWrap/>
        <w:bidi w:val="0"/>
        <w:adjustRightInd w:val="0"/>
        <w:snapToGrid w:val="0"/>
        <w:spacing w:beforeAutospacing="0" w:afterAutospacing="0" w:line="500" w:lineRule="exact"/>
        <w:ind w:left="0" w:leftChars="0" w:right="0" w:firstLine="480" w:firstLineChars="200"/>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②项目液体原料贮存区四周设围堰，一旦液体原料发生泄漏，物料经围堰收集流入事故池，不会排入水体。</w:t>
      </w:r>
    </w:p>
    <w:p w14:paraId="1C266B12">
      <w:pPr>
        <w:pageBreakBefore w:val="0"/>
        <w:kinsoku/>
        <w:wordWrap/>
        <w:bidi w:val="0"/>
        <w:adjustRightInd w:val="0"/>
        <w:snapToGrid w:val="0"/>
        <w:spacing w:beforeAutospacing="0" w:afterAutospacing="0" w:line="500" w:lineRule="exact"/>
        <w:ind w:left="0" w:leftChars="0" w:right="0" w:firstLine="480" w:firstLineChars="200"/>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③项目生产区采取雨污分流制，污水管道设总阀，在事故情况下切断总阀，杜绝污水泄漏至水体中。</w:t>
      </w:r>
    </w:p>
    <w:p w14:paraId="495E7B54">
      <w:pPr>
        <w:pageBreakBefore w:val="0"/>
        <w:kinsoku/>
        <w:wordWrap/>
        <w:bidi w:val="0"/>
        <w:adjustRightInd w:val="0"/>
        <w:snapToGrid w:val="0"/>
        <w:spacing w:beforeAutospacing="0" w:afterAutospacing="0" w:line="500" w:lineRule="exact"/>
        <w:ind w:left="0" w:leftChars="0" w:right="0" w:firstLine="480" w:firstLineChars="200"/>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④项目在厂界西侧设地下水监控点，随时监控项目特征污染物的变化情况。</w:t>
      </w:r>
    </w:p>
    <w:p w14:paraId="58F82828">
      <w:pPr>
        <w:pageBreakBefore w:val="0"/>
        <w:kinsoku/>
        <w:wordWrap/>
        <w:bidi w:val="0"/>
        <w:adjustRightInd w:val="0"/>
        <w:snapToGrid w:val="0"/>
        <w:spacing w:beforeAutospacing="0" w:afterAutospacing="0" w:line="500" w:lineRule="exact"/>
        <w:ind w:left="0" w:leftChars="0" w:right="0" w:firstLine="480" w:firstLineChars="200"/>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（2）其他处理措施</w:t>
      </w:r>
    </w:p>
    <w:p w14:paraId="2891E7D4">
      <w:pPr>
        <w:pageBreakBefore w:val="0"/>
        <w:kinsoku/>
        <w:wordWrap/>
        <w:bidi w:val="0"/>
        <w:adjustRightInd w:val="0"/>
        <w:snapToGrid w:val="0"/>
        <w:spacing w:beforeAutospacing="0" w:afterAutospacing="0" w:line="500" w:lineRule="exact"/>
        <w:ind w:left="0" w:leftChars="0" w:right="0" w:firstLine="480" w:firstLineChars="200"/>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①万一发生危害性事故，应立即通知有关部门，组织附近居民疏散、抢险和应急监测等善后处理事宜。</w:t>
      </w:r>
    </w:p>
    <w:p w14:paraId="1ACA0628">
      <w:pPr>
        <w:pageBreakBefore w:val="0"/>
        <w:kinsoku/>
        <w:wordWrap/>
        <w:bidi w:val="0"/>
        <w:adjustRightInd w:val="0"/>
        <w:snapToGrid w:val="0"/>
        <w:spacing w:beforeAutospacing="0" w:afterAutospacing="0" w:line="500" w:lineRule="exact"/>
        <w:ind w:left="0" w:leftChars="0" w:right="0" w:firstLine="480" w:firstLineChars="200"/>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②储槽周围应设置围堰，一旦物料发生泄漏，及时将物料收集处理，避免有毒有害化学品外排造成对环境的污染。</w:t>
      </w:r>
    </w:p>
    <w:p w14:paraId="463D3A12">
      <w:pPr>
        <w:pageBreakBefore w:val="0"/>
        <w:kinsoku/>
        <w:wordWrap/>
        <w:bidi w:val="0"/>
        <w:adjustRightInd w:val="0"/>
        <w:snapToGrid w:val="0"/>
        <w:spacing w:beforeAutospacing="0" w:afterAutospacing="0" w:line="500" w:lineRule="exact"/>
        <w:ind w:left="0" w:leftChars="0" w:right="0" w:firstLine="480" w:firstLineChars="200"/>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③平时需制定抢险预案。</w:t>
      </w:r>
    </w:p>
    <w:p w14:paraId="44AF592E">
      <w:pPr>
        <w:pageBreakBefore w:val="0"/>
        <w:kinsoku/>
        <w:wordWrap/>
        <w:bidi w:val="0"/>
        <w:adjustRightInd w:val="0"/>
        <w:snapToGrid w:val="0"/>
        <w:spacing w:beforeAutospacing="0" w:afterAutospacing="0" w:line="500" w:lineRule="exact"/>
        <w:ind w:left="0" w:leftChars="0" w:right="0" w:firstLine="480" w:firstLineChars="200"/>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④在消除各类泄漏和事故时，收集的不能回用的污染物料和事故池沉淀淤泥为危险废物，需按照规定收集委托有资质的单位处理。</w:t>
      </w:r>
    </w:p>
    <w:p w14:paraId="595E1F40">
      <w:pPr>
        <w:pageBreakBefore w:val="0"/>
        <w:kinsoku/>
        <w:wordWrap/>
        <w:bidi w:val="0"/>
        <w:adjustRightInd w:val="0"/>
        <w:snapToGrid w:val="0"/>
        <w:spacing w:beforeAutospacing="0" w:afterAutospacing="0" w:line="500" w:lineRule="exact"/>
        <w:ind w:left="0" w:leftChars="0" w:right="0" w:firstLine="480" w:firstLineChars="200"/>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⑤各装置含有毒物料的工段均设有必要的喷淋洗眼器、洗手池，并配备相应的防护手套、防毒呼吸器等个人防护用品，供事故时临时急用；一旦发生急性中毒，首先使用应急设施，并将中毒者安置在空气流畅的安全地带，同时呼叫急救车紧急救护。</w:t>
      </w:r>
    </w:p>
    <w:p w14:paraId="7B31F980">
      <w:pPr>
        <w:pStyle w:val="4"/>
        <w:keepNext/>
        <w:keepLines w:val="0"/>
        <w:pageBreakBefore w:val="0"/>
        <w:widowControl w:val="0"/>
        <w:kinsoku/>
        <w:wordWrap/>
        <w:overflowPunct w:val="0"/>
        <w:topLinePunct w:val="0"/>
        <w:autoSpaceDE/>
        <w:autoSpaceDN/>
        <w:bidi w:val="0"/>
        <w:adjustRightInd/>
        <w:snapToGrid w:val="0"/>
        <w:spacing w:before="0" w:line="500" w:lineRule="exact"/>
        <w:ind w:left="0" w:right="0" w:firstLine="0" w:firstLineChars="0"/>
        <w:jc w:val="both"/>
        <w:textAlignment w:val="auto"/>
        <w:outlineLvl w:val="1"/>
        <w:rPr>
          <w:rFonts w:hint="default" w:ascii="Times New Roman" w:hAnsi="Times New Roman" w:eastAsia="仿宋_GB2312" w:cs="Times New Roman"/>
          <w:b/>
          <w:bCs/>
          <w:sz w:val="24"/>
          <w:szCs w:val="24"/>
          <w:lang w:val="en-US" w:eastAsia="zh-CN"/>
        </w:rPr>
      </w:pPr>
      <w:bookmarkStart w:id="192" w:name="_Toc16722"/>
      <w:r>
        <w:rPr>
          <w:rFonts w:hint="eastAsia" w:ascii="Times New Roman" w:hAnsi="Times New Roman" w:eastAsia="仿宋_GB2312" w:cs="Times New Roman"/>
          <w:b/>
          <w:bCs/>
          <w:sz w:val="24"/>
          <w:szCs w:val="24"/>
          <w:lang w:val="en-US" w:eastAsia="zh-CN"/>
        </w:rPr>
        <w:t>4.9</w:t>
      </w:r>
      <w:r>
        <w:rPr>
          <w:rFonts w:hint="default" w:ascii="Times New Roman" w:hAnsi="Times New Roman" w:eastAsia="仿宋_GB2312" w:cs="Times New Roman"/>
          <w:b/>
          <w:bCs/>
          <w:sz w:val="24"/>
          <w:szCs w:val="24"/>
          <w:lang w:val="en-US" w:eastAsia="zh-CN"/>
        </w:rPr>
        <w:t>构筑环境风险三级（生产单元、水处理区和护厂沟）应急防范体系</w:t>
      </w:r>
      <w:bookmarkEnd w:id="192"/>
    </w:p>
    <w:p w14:paraId="5E3483B9">
      <w:pPr>
        <w:pageBreakBefore w:val="0"/>
        <w:kinsoku/>
        <w:wordWrap/>
        <w:bidi w:val="0"/>
        <w:adjustRightInd w:val="0"/>
        <w:snapToGrid w:val="0"/>
        <w:spacing w:beforeAutospacing="0" w:afterAutospacing="0" w:line="500" w:lineRule="exact"/>
        <w:ind w:left="0" w:leftChars="0" w:right="0" w:firstLine="480" w:firstLineChars="200"/>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一级拦截措施：项目各装置易产生泄漏的设备和区域，设置不低于150mm的围堰。根据围堰内可能泄漏液体的特征，设置了排水沟导流设备。各装置区都必须有单独的污染雨水池，污染雨水收集池的统计应能容纳装置污染区地面一次不小于20mm的降雨量，污染雨水池应在1~3天内清空。</w:t>
      </w:r>
    </w:p>
    <w:p w14:paraId="38F4C0D1">
      <w:pPr>
        <w:pageBreakBefore w:val="0"/>
        <w:kinsoku/>
        <w:wordWrap/>
        <w:bidi w:val="0"/>
        <w:adjustRightInd w:val="0"/>
        <w:snapToGrid w:val="0"/>
        <w:spacing w:beforeAutospacing="0" w:afterAutospacing="0" w:line="500" w:lineRule="exact"/>
        <w:ind w:left="0" w:leftChars="0" w:right="0" w:firstLine="480" w:firstLineChars="200"/>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储罐按照《石油化工企业设计防火标准》（GB50160-2018）和《储罐区防火堤设计规范》（GB 50351-2014）的要求设置防火堤外，防火堤的地面和围堤进行防止渗漏处理。</w:t>
      </w:r>
    </w:p>
    <w:p w14:paraId="44FCDE13">
      <w:pPr>
        <w:pageBreakBefore w:val="0"/>
        <w:kinsoku/>
        <w:wordWrap/>
        <w:bidi w:val="0"/>
        <w:adjustRightInd w:val="0"/>
        <w:snapToGrid w:val="0"/>
        <w:spacing w:beforeAutospacing="0" w:afterAutospacing="0" w:line="500" w:lineRule="exact"/>
        <w:ind w:left="0" w:leftChars="0" w:right="0" w:firstLine="480" w:firstLineChars="200"/>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设置污染雨水系统，分为初期雨水系统和后期清净雨水系统，其与各项目厂区事故水池连接可切换；在重点污染区，全部雨水均作为污染雨水收集；一般污染区的初期雨水作为污染雨水收集，后期作为清净雨水系统；所有事故状态下的泄漏物料均在装置区围堰或罐区围堤内拦截，且可通过初期雨水系统进入厂区事故水池。</w:t>
      </w:r>
    </w:p>
    <w:p w14:paraId="22D61566">
      <w:pPr>
        <w:pageBreakBefore w:val="0"/>
        <w:kinsoku/>
        <w:wordWrap/>
        <w:bidi w:val="0"/>
        <w:adjustRightInd w:val="0"/>
        <w:snapToGrid w:val="0"/>
        <w:spacing w:beforeAutospacing="0" w:afterAutospacing="0" w:line="500" w:lineRule="exact"/>
        <w:ind w:left="0" w:leftChars="0" w:right="0" w:firstLine="480" w:firstLineChars="200"/>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初期污染雨水系统采用独立的系统收集和排放，各装置区内的生产污水严禁排入初期污染雨水池。初期污染雨水池前管道采用地下敷设，管网支状布置；初期污染雨水池后管道采用地上敷设，待雨停之后，污染雨水池内的初期污染雨水池用泵送入装置外的污染雨水管线，管网支状布置。</w:t>
      </w:r>
    </w:p>
    <w:p w14:paraId="7C6E98F6">
      <w:pPr>
        <w:pageBreakBefore w:val="0"/>
        <w:kinsoku/>
        <w:wordWrap/>
        <w:bidi w:val="0"/>
        <w:adjustRightInd w:val="0"/>
        <w:snapToGrid w:val="0"/>
        <w:spacing w:beforeAutospacing="0" w:afterAutospacing="0" w:line="500" w:lineRule="exact"/>
        <w:ind w:left="0" w:leftChars="0" w:right="0" w:firstLine="480" w:firstLineChars="200"/>
        <w:rPr>
          <w:rFonts w:hint="eastAsia" w:ascii="Times New Roman" w:hAnsi="Times New Roman" w:eastAsia="仿宋_GB2312" w:cs="Times New Roman"/>
          <w:color w:val="auto"/>
          <w:spacing w:val="0"/>
          <w:kern w:val="0"/>
          <w:position w:val="0"/>
          <w:sz w:val="24"/>
          <w:szCs w:val="24"/>
          <w:lang w:eastAsia="zh-CN"/>
        </w:rPr>
      </w:pPr>
      <w:r>
        <w:rPr>
          <w:rFonts w:hint="default" w:ascii="Times New Roman" w:hAnsi="Times New Roman" w:eastAsia="仿宋_GB2312" w:cs="Times New Roman"/>
          <w:color w:val="auto"/>
          <w:spacing w:val="0"/>
          <w:kern w:val="0"/>
          <w:position w:val="0"/>
          <w:sz w:val="24"/>
          <w:szCs w:val="24"/>
        </w:rPr>
        <w:t>二级拦截措施：本项目应设置足够容量的废水事故池</w:t>
      </w:r>
      <w:r>
        <w:rPr>
          <w:rFonts w:hint="eastAsia" w:ascii="Times New Roman" w:hAnsi="Times New Roman" w:eastAsia="仿宋_GB2312" w:cs="Times New Roman"/>
          <w:color w:val="auto"/>
          <w:spacing w:val="0"/>
          <w:kern w:val="0"/>
          <w:position w:val="0"/>
          <w:sz w:val="24"/>
          <w:szCs w:val="24"/>
          <w:lang w:eastAsia="zh-CN"/>
        </w:rPr>
        <w:t>、</w:t>
      </w:r>
      <w:r>
        <w:rPr>
          <w:rFonts w:hint="default" w:ascii="Times New Roman" w:hAnsi="Times New Roman" w:eastAsia="仿宋_GB2312" w:cs="Times New Roman"/>
          <w:color w:val="auto"/>
          <w:spacing w:val="0"/>
          <w:kern w:val="0"/>
          <w:position w:val="0"/>
          <w:sz w:val="24"/>
          <w:szCs w:val="24"/>
        </w:rPr>
        <w:t>拦污坝及其配套设施（如事故导排系统），防止单套生产装置（罐区）较大事故泄漏物料和消防废水造成的环境污染；事故应急池应在突发事故状态下拦截和收集厂区范围内的事故废水，避免其危害外部环境致使事故扩大化，因此事故应急池被视为企业的关键防控设施体系。事故应急池应必须具备以下基本属性要求：</w:t>
      </w:r>
      <w:r>
        <w:rPr>
          <w:rFonts w:hint="eastAsia" w:ascii="Times New Roman" w:hAnsi="Times New Roman" w:eastAsia="仿宋_GB2312" w:cs="Times New Roman"/>
          <w:color w:val="auto"/>
          <w:spacing w:val="0"/>
          <w:kern w:val="0"/>
          <w:position w:val="0"/>
          <w:sz w:val="24"/>
          <w:szCs w:val="24"/>
        </w:rPr>
        <w:t>①</w:t>
      </w:r>
      <w:r>
        <w:rPr>
          <w:rFonts w:hint="default" w:ascii="Times New Roman" w:hAnsi="Times New Roman" w:eastAsia="仿宋_GB2312" w:cs="Times New Roman"/>
          <w:color w:val="auto"/>
          <w:spacing w:val="0"/>
          <w:kern w:val="0"/>
          <w:position w:val="0"/>
          <w:sz w:val="24"/>
          <w:szCs w:val="24"/>
        </w:rPr>
        <w:t>专一性，禁止他用；</w:t>
      </w:r>
      <w:r>
        <w:rPr>
          <w:rFonts w:hint="eastAsia" w:ascii="Times New Roman" w:hAnsi="Times New Roman" w:eastAsia="仿宋_GB2312" w:cs="Times New Roman"/>
          <w:color w:val="auto"/>
          <w:spacing w:val="0"/>
          <w:kern w:val="0"/>
          <w:position w:val="0"/>
          <w:sz w:val="24"/>
          <w:szCs w:val="24"/>
        </w:rPr>
        <w:t>②</w:t>
      </w:r>
      <w:r>
        <w:rPr>
          <w:rFonts w:hint="default" w:ascii="Times New Roman" w:hAnsi="Times New Roman" w:eastAsia="仿宋_GB2312" w:cs="Times New Roman"/>
          <w:color w:val="auto"/>
          <w:spacing w:val="0"/>
          <w:kern w:val="0"/>
          <w:position w:val="0"/>
          <w:sz w:val="24"/>
          <w:szCs w:val="24"/>
        </w:rPr>
        <w:t>自流式，即进水方式不依赖动力；</w:t>
      </w:r>
      <w:r>
        <w:rPr>
          <w:rFonts w:hint="eastAsia" w:ascii="Times New Roman" w:hAnsi="Times New Roman" w:eastAsia="仿宋_GB2312" w:cs="Times New Roman"/>
          <w:color w:val="auto"/>
          <w:spacing w:val="0"/>
          <w:kern w:val="0"/>
          <w:position w:val="0"/>
          <w:sz w:val="24"/>
          <w:szCs w:val="24"/>
        </w:rPr>
        <w:t>③</w:t>
      </w:r>
      <w:r>
        <w:rPr>
          <w:rFonts w:hint="default" w:ascii="Times New Roman" w:hAnsi="Times New Roman" w:eastAsia="仿宋_GB2312" w:cs="Times New Roman"/>
          <w:color w:val="auto"/>
          <w:spacing w:val="0"/>
          <w:kern w:val="0"/>
          <w:position w:val="0"/>
          <w:sz w:val="24"/>
          <w:szCs w:val="24"/>
        </w:rPr>
        <w:t>池容足够大；地下式，防蚀防渗。</w:t>
      </w:r>
    </w:p>
    <w:p w14:paraId="7007E679">
      <w:pPr>
        <w:pageBreakBefore w:val="0"/>
        <w:kinsoku/>
        <w:wordWrap/>
        <w:bidi w:val="0"/>
        <w:adjustRightInd w:val="0"/>
        <w:snapToGrid w:val="0"/>
        <w:spacing w:beforeAutospacing="0" w:afterAutospacing="0" w:line="500" w:lineRule="exact"/>
        <w:ind w:left="0" w:leftChars="0" w:right="0" w:firstLine="480" w:firstLineChars="200"/>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三级拦截措施：在厂区内集、排水系统管网中设置排污闸板。在厂区排水系统总排放口设置排污闸板，防止事故废水未经处理排入园区污水处理厂而对其造成冲击负荷。在厂区雨水收集系统排放口前端设置雨、污双向阀门，雨水阀门可将排水排入雨水管网，污水阀门可将来水引入事故池。当发生火灾事故产生消防废水后能及时关闭雨水阀门同时开启污水阀门，保证事故废水能及时导入事故池，防止消防废水通过雨水管网排入外环境。</w:t>
      </w:r>
    </w:p>
    <w:p w14:paraId="54E57ED0">
      <w:pPr>
        <w:pageBreakBefore w:val="0"/>
        <w:kinsoku/>
        <w:wordWrap/>
        <w:bidi w:val="0"/>
        <w:adjustRightInd w:val="0"/>
        <w:snapToGrid w:val="0"/>
        <w:spacing w:beforeAutospacing="0" w:afterAutospacing="0" w:line="500" w:lineRule="exact"/>
        <w:ind w:left="0" w:leftChars="0" w:right="0" w:firstLine="480" w:firstLineChars="200"/>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事故废水防范和处理具体见图</w:t>
      </w:r>
      <w:r>
        <w:rPr>
          <w:rFonts w:hint="eastAsia" w:ascii="Times New Roman" w:hAnsi="Times New Roman" w:eastAsia="仿宋_GB2312" w:cs="Times New Roman"/>
          <w:color w:val="auto"/>
          <w:spacing w:val="0"/>
          <w:kern w:val="0"/>
          <w:position w:val="0"/>
          <w:sz w:val="24"/>
          <w:szCs w:val="24"/>
          <w:lang w:val="en-US" w:eastAsia="zh-CN"/>
        </w:rPr>
        <w:t>4</w:t>
      </w:r>
      <w:r>
        <w:rPr>
          <w:rFonts w:hint="default" w:ascii="Times New Roman" w:hAnsi="Times New Roman" w:eastAsia="仿宋_GB2312" w:cs="Times New Roman"/>
          <w:color w:val="auto"/>
          <w:spacing w:val="0"/>
          <w:kern w:val="0"/>
          <w:position w:val="0"/>
          <w:sz w:val="24"/>
          <w:szCs w:val="24"/>
          <w:lang w:val="en-US" w:eastAsia="zh-CN"/>
        </w:rPr>
        <w:t>.</w:t>
      </w:r>
      <w:r>
        <w:rPr>
          <w:rFonts w:hint="eastAsia" w:ascii="Times New Roman" w:hAnsi="Times New Roman" w:eastAsia="仿宋_GB2312" w:cs="Times New Roman"/>
          <w:color w:val="auto"/>
          <w:spacing w:val="0"/>
          <w:kern w:val="0"/>
          <w:position w:val="0"/>
          <w:sz w:val="24"/>
          <w:szCs w:val="24"/>
          <w:lang w:val="en-US" w:eastAsia="zh-CN"/>
        </w:rPr>
        <w:t>9</w:t>
      </w:r>
      <w:r>
        <w:rPr>
          <w:rFonts w:hint="default" w:ascii="Times New Roman" w:hAnsi="Times New Roman" w:eastAsia="仿宋_GB2312" w:cs="Times New Roman"/>
          <w:color w:val="auto"/>
          <w:spacing w:val="0"/>
          <w:kern w:val="0"/>
          <w:position w:val="0"/>
          <w:sz w:val="24"/>
          <w:szCs w:val="24"/>
        </w:rPr>
        <w:t>-1。</w:t>
      </w:r>
    </w:p>
    <w:p w14:paraId="19F6D92A">
      <w:pPr>
        <w:keepNext w:val="0"/>
        <w:keepLines w:val="0"/>
        <w:pageBreakBefore w:val="0"/>
        <w:widowControl w:val="0"/>
        <w:kinsoku/>
        <w:wordWrap/>
        <w:overflowPunct/>
        <w:topLinePunct w:val="0"/>
        <w:autoSpaceDE/>
        <w:autoSpaceDN/>
        <w:bidi w:val="0"/>
        <w:adjustRightInd w:val="0"/>
        <w:snapToGrid w:val="0"/>
        <w:spacing w:before="0" w:beforeLines="50" w:beforeAutospacing="0" w:afterAutospacing="0"/>
        <w:ind w:left="0" w:leftChars="0" w:right="0"/>
        <w:jc w:val="center"/>
        <w:textAlignment w:val="auto"/>
        <w:rPr>
          <w:rFonts w:hint="default" w:ascii="Times New Roman" w:hAnsi="Times New Roman" w:eastAsia="宋体" w:cs="Times New Roman"/>
          <w:color w:val="auto"/>
          <w:spacing w:val="0"/>
          <w:kern w:val="0"/>
          <w:position w:val="0"/>
        </w:rPr>
      </w:pPr>
      <w:r>
        <w:rPr>
          <w:rFonts w:hint="default" w:ascii="Times New Roman" w:hAnsi="Times New Roman" w:eastAsia="宋体" w:cs="Times New Roman"/>
          <w:color w:val="auto"/>
          <w:spacing w:val="0"/>
          <w:kern w:val="0"/>
          <w:position w:val="0"/>
        </w:rPr>
        <w:object>
          <v:shape id="_x0000_i1035" o:spt="75" type="#_x0000_t75" style="height:334.1pt;width:438.35pt;" o:ole="t" filled="f" o:preferrelative="t" stroked="f" coordsize="21600,21600">
            <v:path/>
            <v:fill on="f" focussize="0,0"/>
            <v:stroke on="f"/>
            <v:imagedata r:id="rId67" o:title=""/>
            <o:lock v:ext="edit" aspectratio="t"/>
            <w10:wrap type="none"/>
            <w10:anchorlock/>
          </v:shape>
          <o:OLEObject Type="Embed" ProgID="Visio.Drawing.11" ShapeID="_x0000_i1035" DrawAspect="Content" ObjectID="_1468075738" r:id="rId66">
            <o:LockedField>false</o:LockedField>
          </o:OLEObject>
        </w:object>
      </w:r>
    </w:p>
    <w:p w14:paraId="46BB7751">
      <w:pPr>
        <w:pageBreakBefore w:val="0"/>
        <w:kinsoku/>
        <w:wordWrap/>
        <w:bidi w:val="0"/>
        <w:adjustRightInd w:val="0"/>
        <w:snapToGrid w:val="0"/>
        <w:spacing w:beforeAutospacing="0" w:afterAutospacing="0" w:line="500" w:lineRule="exact"/>
        <w:ind w:left="0" w:leftChars="0" w:right="0"/>
        <w:jc w:val="center"/>
        <w:rPr>
          <w:rFonts w:hint="default" w:ascii="Times New Roman" w:hAnsi="Times New Roman" w:eastAsia="仿宋_GB2312" w:cs="Times New Roman"/>
          <w:b/>
          <w:color w:val="auto"/>
          <w:spacing w:val="0"/>
          <w:kern w:val="0"/>
          <w:position w:val="0"/>
          <w:szCs w:val="28"/>
        </w:rPr>
      </w:pPr>
      <w:r>
        <w:rPr>
          <w:rFonts w:hint="default" w:ascii="Times New Roman" w:hAnsi="Times New Roman" w:eastAsia="仿宋_GB2312" w:cs="Times New Roman"/>
          <w:b/>
          <w:color w:val="auto"/>
          <w:spacing w:val="0"/>
          <w:kern w:val="0"/>
          <w:position w:val="0"/>
          <w:szCs w:val="28"/>
        </w:rPr>
        <w:t>图</w:t>
      </w:r>
      <w:r>
        <w:rPr>
          <w:rFonts w:hint="eastAsia" w:ascii="Times New Roman" w:hAnsi="Times New Roman" w:eastAsia="仿宋_GB2312" w:cs="Times New Roman"/>
          <w:b/>
          <w:color w:val="auto"/>
          <w:spacing w:val="0"/>
          <w:kern w:val="0"/>
          <w:position w:val="0"/>
          <w:szCs w:val="28"/>
          <w:lang w:val="en-US" w:eastAsia="zh-CN"/>
        </w:rPr>
        <w:t>4</w:t>
      </w:r>
      <w:r>
        <w:rPr>
          <w:rFonts w:hint="default" w:ascii="Times New Roman" w:hAnsi="Times New Roman" w:eastAsia="仿宋_GB2312" w:cs="Times New Roman"/>
          <w:b/>
          <w:color w:val="auto"/>
          <w:spacing w:val="0"/>
          <w:kern w:val="0"/>
          <w:position w:val="0"/>
          <w:szCs w:val="28"/>
          <w:lang w:val="en-US" w:eastAsia="zh-CN"/>
        </w:rPr>
        <w:t>.</w:t>
      </w:r>
      <w:r>
        <w:rPr>
          <w:rFonts w:hint="eastAsia" w:ascii="Times New Roman" w:hAnsi="Times New Roman" w:eastAsia="仿宋_GB2312" w:cs="Times New Roman"/>
          <w:b/>
          <w:color w:val="auto"/>
          <w:spacing w:val="0"/>
          <w:kern w:val="0"/>
          <w:position w:val="0"/>
          <w:szCs w:val="28"/>
          <w:lang w:val="en-US" w:eastAsia="zh-CN"/>
        </w:rPr>
        <w:t>9</w:t>
      </w:r>
      <w:r>
        <w:rPr>
          <w:rFonts w:hint="default" w:ascii="Times New Roman" w:hAnsi="Times New Roman" w:eastAsia="仿宋_GB2312" w:cs="Times New Roman"/>
          <w:b/>
          <w:color w:val="auto"/>
          <w:spacing w:val="0"/>
          <w:kern w:val="0"/>
          <w:position w:val="0"/>
          <w:szCs w:val="28"/>
          <w:lang w:val="en-US" w:eastAsia="zh-CN"/>
        </w:rPr>
        <w:t>-</w:t>
      </w:r>
      <w:r>
        <w:rPr>
          <w:rFonts w:hint="default" w:ascii="Times New Roman" w:hAnsi="Times New Roman" w:eastAsia="仿宋_GB2312" w:cs="Times New Roman"/>
          <w:b/>
          <w:color w:val="auto"/>
          <w:spacing w:val="0"/>
          <w:kern w:val="0"/>
          <w:position w:val="0"/>
          <w:szCs w:val="28"/>
        </w:rPr>
        <w:t>1</w:t>
      </w:r>
      <w:r>
        <w:rPr>
          <w:rFonts w:hint="eastAsia" w:ascii="Times New Roman" w:hAnsi="Times New Roman" w:eastAsia="仿宋_GB2312" w:cs="Times New Roman"/>
          <w:b/>
          <w:color w:val="auto"/>
          <w:spacing w:val="0"/>
          <w:kern w:val="0"/>
          <w:position w:val="0"/>
          <w:szCs w:val="28"/>
          <w:lang w:val="en-US" w:eastAsia="zh-CN"/>
        </w:rPr>
        <w:t xml:space="preserve"> </w:t>
      </w:r>
      <w:r>
        <w:rPr>
          <w:rFonts w:hint="default" w:ascii="Times New Roman" w:hAnsi="Times New Roman" w:eastAsia="仿宋_GB2312" w:cs="Times New Roman"/>
          <w:b/>
          <w:color w:val="auto"/>
          <w:spacing w:val="0"/>
          <w:kern w:val="0"/>
          <w:position w:val="0"/>
          <w:szCs w:val="28"/>
        </w:rPr>
        <w:t xml:space="preserve"> 事故废水防范和处理流程示意图</w:t>
      </w:r>
    </w:p>
    <w:p w14:paraId="78986B69">
      <w:pPr>
        <w:pageBreakBefore w:val="0"/>
        <w:kinsoku/>
        <w:wordWrap/>
        <w:bidi w:val="0"/>
        <w:adjustRightInd w:val="0"/>
        <w:snapToGrid w:val="0"/>
        <w:spacing w:beforeAutospacing="0" w:afterAutospacing="0" w:line="500" w:lineRule="exact"/>
        <w:ind w:left="0" w:leftChars="0" w:right="0" w:firstLine="480" w:firstLineChars="200"/>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废水收集流程说明：</w:t>
      </w:r>
    </w:p>
    <w:p w14:paraId="3DFEB511">
      <w:pPr>
        <w:pageBreakBefore w:val="0"/>
        <w:kinsoku/>
        <w:wordWrap/>
        <w:bidi w:val="0"/>
        <w:adjustRightInd w:val="0"/>
        <w:snapToGrid w:val="0"/>
        <w:spacing w:beforeAutospacing="0" w:afterAutospacing="0" w:line="500" w:lineRule="exact"/>
        <w:ind w:left="0" w:leftChars="0" w:right="0" w:firstLine="480" w:firstLineChars="200"/>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正常情况下，阀门1、4、5开启，阀门2、3关闭，对于初期雨水的收集可通过关闭阀门1，开启阀门2进行收集。初期雨水收集结束后，开启阀门1，关闭阀门2。</w:t>
      </w:r>
    </w:p>
    <w:p w14:paraId="76FA8F9E">
      <w:pPr>
        <w:pageBreakBefore w:val="0"/>
        <w:kinsoku/>
        <w:wordWrap/>
        <w:bidi w:val="0"/>
        <w:adjustRightInd w:val="0"/>
        <w:snapToGrid w:val="0"/>
        <w:spacing w:beforeAutospacing="0" w:afterAutospacing="0" w:line="500" w:lineRule="exact"/>
        <w:ind w:left="0" w:leftChars="0" w:right="0" w:firstLine="480" w:firstLineChars="200"/>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事故状况下，阀门1、4、5关闭，阀门2、3开启，对消防污水和事故废水进行收集，收集的污水分批分次送污水处理站处理，处理达标后排入</w:t>
      </w:r>
      <w:r>
        <w:rPr>
          <w:rFonts w:hint="eastAsia" w:ascii="Times New Roman" w:hAnsi="Times New Roman" w:eastAsia="仿宋_GB2312" w:cs="Times New Roman"/>
          <w:color w:val="auto"/>
          <w:spacing w:val="0"/>
          <w:kern w:val="0"/>
          <w:position w:val="0"/>
          <w:sz w:val="24"/>
          <w:szCs w:val="24"/>
          <w:lang w:eastAsia="zh-CN"/>
        </w:rPr>
        <w:t>六合横梁大仇污水处理厂</w:t>
      </w:r>
      <w:r>
        <w:rPr>
          <w:rFonts w:hint="default" w:ascii="Times New Roman" w:hAnsi="Times New Roman" w:eastAsia="仿宋_GB2312" w:cs="Times New Roman"/>
          <w:color w:val="auto"/>
          <w:spacing w:val="0"/>
          <w:kern w:val="0"/>
          <w:position w:val="0"/>
          <w:sz w:val="24"/>
          <w:szCs w:val="24"/>
        </w:rPr>
        <w:t>。</w:t>
      </w:r>
    </w:p>
    <w:p w14:paraId="18A9D800">
      <w:pPr>
        <w:pageBreakBefore w:val="0"/>
        <w:kinsoku/>
        <w:wordWrap/>
        <w:bidi w:val="0"/>
        <w:adjustRightInd w:val="0"/>
        <w:snapToGrid w:val="0"/>
        <w:spacing w:beforeAutospacing="0" w:afterAutospacing="0" w:line="500" w:lineRule="exact"/>
        <w:ind w:left="0" w:leftChars="0" w:right="0" w:firstLine="480" w:firstLineChars="200"/>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采取上述措施后，因消防水排放而发生周围地表水污染事故的可能性极小。</w:t>
      </w:r>
    </w:p>
    <w:p w14:paraId="7160D216">
      <w:pPr>
        <w:pageBreakBefore w:val="0"/>
        <w:kinsoku/>
        <w:wordWrap/>
        <w:bidi w:val="0"/>
        <w:adjustRightInd w:val="0"/>
        <w:snapToGrid w:val="0"/>
        <w:spacing w:beforeAutospacing="0" w:afterAutospacing="0" w:line="500" w:lineRule="exact"/>
        <w:ind w:left="0" w:leftChars="0" w:right="0" w:firstLine="480" w:firstLineChars="200"/>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②废气处理设施事故时，应立即起用备用处理装置，并紧急检修处理装置，有必要时暂停生产运行，避免对评价范围内的保护目标和农田造成影响。</w:t>
      </w:r>
    </w:p>
    <w:p w14:paraId="2086FEF0">
      <w:pPr>
        <w:pageBreakBefore w:val="0"/>
        <w:kinsoku/>
        <w:wordWrap/>
        <w:bidi w:val="0"/>
        <w:adjustRightInd w:val="0"/>
        <w:snapToGrid w:val="0"/>
        <w:spacing w:beforeAutospacing="0" w:afterAutospacing="0" w:line="500" w:lineRule="exact"/>
        <w:ind w:left="0" w:leftChars="0" w:right="0" w:firstLine="480" w:firstLineChars="200"/>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③固体废物运输与处置的风险评价：技改项目固体废物妥善运输与处置，避免对评价范围内的保护目标周围居民、水体和农田造成影响。</w:t>
      </w:r>
    </w:p>
    <w:p w14:paraId="085804F6">
      <w:pPr>
        <w:pageBreakBefore w:val="0"/>
        <w:kinsoku/>
        <w:wordWrap/>
        <w:bidi w:val="0"/>
        <w:adjustRightInd w:val="0"/>
        <w:snapToGrid w:val="0"/>
        <w:spacing w:beforeAutospacing="0" w:afterAutospacing="0" w:line="500" w:lineRule="exact"/>
        <w:ind w:left="0" w:leftChars="0" w:right="0" w:firstLine="480" w:firstLineChars="200"/>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三废处理影响：本项目对事故废水收集，设立事故应急池，确保废水不流出厂外。废气处理设施事故时，应立即起用备用处理装置，并紧急检修处理装置，有必要时暂停生产运行。固体废物合理处置，妥善</w:t>
      </w:r>
      <w:r>
        <w:rPr>
          <w:rFonts w:hint="eastAsia" w:ascii="Times New Roman" w:hAnsi="Times New Roman" w:eastAsia="仿宋_GB2312" w:cs="Times New Roman"/>
          <w:color w:val="auto"/>
          <w:spacing w:val="0"/>
          <w:kern w:val="0"/>
          <w:position w:val="0"/>
          <w:sz w:val="24"/>
          <w:szCs w:val="24"/>
          <w:lang w:eastAsia="zh-CN"/>
        </w:rPr>
        <w:t>运输</w:t>
      </w:r>
      <w:r>
        <w:rPr>
          <w:rFonts w:hint="default" w:ascii="Times New Roman" w:hAnsi="Times New Roman" w:eastAsia="仿宋_GB2312" w:cs="Times New Roman"/>
          <w:color w:val="auto"/>
          <w:spacing w:val="0"/>
          <w:kern w:val="0"/>
          <w:position w:val="0"/>
          <w:sz w:val="24"/>
          <w:szCs w:val="24"/>
        </w:rPr>
        <w:t>，避免对周围环境造成影响。</w:t>
      </w:r>
    </w:p>
    <w:p w14:paraId="4765EC01">
      <w:pPr>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br w:type="page"/>
      </w:r>
    </w:p>
    <w:p w14:paraId="07883D3E">
      <w:pPr>
        <w:pStyle w:val="3"/>
        <w:keepNext/>
        <w:keepLines w:val="0"/>
        <w:pageBreakBefore w:val="0"/>
        <w:widowControl w:val="0"/>
        <w:kinsoku/>
        <w:wordWrap/>
        <w:overflowPunct w:val="0"/>
        <w:topLinePunct w:val="0"/>
        <w:autoSpaceDE/>
        <w:autoSpaceDN/>
        <w:bidi w:val="0"/>
        <w:adjustRightInd/>
        <w:snapToGrid w:val="0"/>
        <w:spacing w:before="0" w:after="0" w:line="500" w:lineRule="exact"/>
        <w:ind w:left="0" w:firstLine="0"/>
        <w:textAlignment w:val="auto"/>
        <w:rPr>
          <w:rFonts w:hint="default" w:ascii="Times New Roman" w:hAnsi="Times New Roman" w:eastAsia="仿宋_GB2312" w:cs="Times New Roman"/>
          <w:sz w:val="28"/>
          <w:szCs w:val="28"/>
          <w:lang w:val="en-US" w:eastAsia="zh-CN"/>
        </w:rPr>
      </w:pPr>
      <w:bookmarkStart w:id="193" w:name="_Toc7852"/>
      <w:bookmarkStart w:id="194" w:name="_Toc26746"/>
      <w:bookmarkStart w:id="195" w:name="_Toc21036"/>
      <w:bookmarkStart w:id="196" w:name="_Toc28177"/>
      <w:bookmarkStart w:id="197" w:name="_Toc26571"/>
      <w:r>
        <w:rPr>
          <w:rFonts w:hint="default" w:ascii="Times New Roman" w:hAnsi="Times New Roman" w:eastAsia="仿宋_GB2312" w:cs="Times New Roman"/>
          <w:sz w:val="28"/>
          <w:szCs w:val="28"/>
          <w:lang w:val="en-US" w:eastAsia="zh-CN"/>
        </w:rPr>
        <w:t>5风险管理及应急预案</w:t>
      </w:r>
      <w:bookmarkEnd w:id="193"/>
      <w:bookmarkEnd w:id="194"/>
      <w:bookmarkEnd w:id="195"/>
      <w:bookmarkEnd w:id="196"/>
      <w:bookmarkEnd w:id="197"/>
    </w:p>
    <w:p w14:paraId="17CA4EBF">
      <w:pPr>
        <w:pageBreakBefore w:val="0"/>
        <w:kinsoku/>
        <w:wordWrap/>
        <w:bidi w:val="0"/>
        <w:adjustRightInd w:val="0"/>
        <w:snapToGrid w:val="0"/>
        <w:spacing w:beforeAutospacing="0" w:afterAutospacing="0" w:line="500" w:lineRule="exact"/>
        <w:ind w:left="0" w:leftChars="0" w:right="0" w:firstLine="480" w:firstLineChars="200"/>
        <w:rPr>
          <w:rFonts w:hint="default" w:ascii="Times New Roman" w:hAnsi="Times New Roman" w:eastAsia="仿宋_GB2312" w:cs="Times New Roman"/>
          <w:color w:val="auto"/>
          <w:spacing w:val="0"/>
          <w:kern w:val="0"/>
          <w:position w:val="0"/>
          <w:sz w:val="24"/>
          <w:szCs w:val="24"/>
        </w:rPr>
      </w:pPr>
      <w:bookmarkStart w:id="198" w:name="_Toc32272"/>
      <w:bookmarkStart w:id="199" w:name="_Toc18992"/>
      <w:r>
        <w:rPr>
          <w:rFonts w:hint="default" w:ascii="Times New Roman" w:hAnsi="Times New Roman" w:eastAsia="仿宋_GB2312" w:cs="Times New Roman"/>
          <w:color w:val="auto"/>
          <w:spacing w:val="0"/>
          <w:kern w:val="0"/>
          <w:position w:val="0"/>
          <w:sz w:val="24"/>
          <w:szCs w:val="24"/>
        </w:rPr>
        <w:t>从事生产、使用、储存、运输的人员和消防救护人员应熟悉和掌握化学品的主要危险特性及其相应的灭火措施，并定期进行防火演习，加强紧急事态时的应变能力。一旦发生火灾，每个职工都应清楚地知道他们的作用和职责，掌握有关消防设施、人员的疏散程序和危险化学品灭火的特殊要求等内容。</w:t>
      </w:r>
      <w:bookmarkEnd w:id="198"/>
      <w:bookmarkEnd w:id="199"/>
      <w:r>
        <w:rPr>
          <w:rFonts w:hint="default" w:ascii="Times New Roman" w:hAnsi="Times New Roman" w:eastAsia="仿宋_GB2312" w:cs="Times New Roman"/>
          <w:color w:val="auto"/>
          <w:spacing w:val="0"/>
          <w:kern w:val="0"/>
          <w:position w:val="0"/>
          <w:sz w:val="24"/>
          <w:szCs w:val="24"/>
        </w:rPr>
        <w:t>具体内容包括：①危险化学品及其它有毒有害物品在经营、贮存、运输、使用和处置过程中发生的爆炸、燃烧、大面积泄漏等事故、事件。②项目厂区在生产、经营过程中因生产装置、污染防治设施、设备等因素发生意外事故造成的突发环境事件。③因遭受自然灾害而造成的可能危及人体健康的环境事件。④其它突发性的环境事件。</w:t>
      </w:r>
    </w:p>
    <w:p w14:paraId="498307FF">
      <w:pPr>
        <w:pStyle w:val="4"/>
        <w:keepNext/>
        <w:keepLines w:val="0"/>
        <w:pageBreakBefore w:val="0"/>
        <w:widowControl w:val="0"/>
        <w:kinsoku/>
        <w:wordWrap/>
        <w:overflowPunct w:val="0"/>
        <w:topLinePunct w:val="0"/>
        <w:autoSpaceDE/>
        <w:autoSpaceDN/>
        <w:bidi w:val="0"/>
        <w:adjustRightInd/>
        <w:snapToGrid w:val="0"/>
        <w:spacing w:before="0" w:line="500" w:lineRule="exact"/>
        <w:ind w:left="0" w:right="0" w:firstLine="0" w:firstLineChars="0"/>
        <w:jc w:val="both"/>
        <w:textAlignment w:val="auto"/>
        <w:outlineLvl w:val="1"/>
        <w:rPr>
          <w:rFonts w:hint="default" w:ascii="Times New Roman" w:hAnsi="Times New Roman" w:eastAsia="仿宋_GB2312" w:cs="Times New Roman"/>
          <w:b/>
          <w:bCs/>
          <w:sz w:val="24"/>
          <w:szCs w:val="24"/>
          <w:lang w:val="en-US" w:eastAsia="zh-CN"/>
        </w:rPr>
      </w:pPr>
      <w:bookmarkStart w:id="200" w:name="_Toc11804"/>
      <w:bookmarkStart w:id="201" w:name="_Toc12064"/>
      <w:bookmarkStart w:id="202" w:name="_Toc29789"/>
      <w:bookmarkStart w:id="203" w:name="_Toc5435"/>
      <w:r>
        <w:rPr>
          <w:rFonts w:hint="default" w:ascii="Times New Roman" w:hAnsi="Times New Roman" w:eastAsia="仿宋_GB2312" w:cs="Times New Roman"/>
          <w:b/>
          <w:bCs/>
          <w:sz w:val="24"/>
          <w:szCs w:val="24"/>
          <w:lang w:val="en-US" w:eastAsia="zh-CN"/>
        </w:rPr>
        <w:t>5.1 化学品泄漏和火灾爆炸事故应急预案</w:t>
      </w:r>
      <w:bookmarkEnd w:id="200"/>
      <w:bookmarkEnd w:id="201"/>
      <w:bookmarkEnd w:id="202"/>
      <w:bookmarkEnd w:id="203"/>
    </w:p>
    <w:p w14:paraId="5D8396B9">
      <w:pPr>
        <w:keepNext w:val="0"/>
        <w:keepLines w:val="0"/>
        <w:pageBreakBefore w:val="0"/>
        <w:kinsoku/>
        <w:wordWrap/>
        <w:overflowPunct/>
        <w:topLinePunct w:val="0"/>
        <w:bidi w:val="0"/>
        <w:adjustRightInd w:val="0"/>
        <w:snapToGrid w:val="0"/>
        <w:spacing w:beforeAutospacing="0" w:afterAutospacing="0" w:line="500" w:lineRule="exact"/>
        <w:ind w:left="0" w:leftChars="0" w:right="0" w:firstLine="480" w:firstLineChars="200"/>
        <w:outlineLvl w:val="9"/>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当发生爆炸时，应立即向所在地消防队和上级领导报警，同时向火灾现场附近的其他人员报警，并迅速撤离火灾现场并及时向周围单位报警。</w:t>
      </w:r>
    </w:p>
    <w:p w14:paraId="36E4F757">
      <w:pPr>
        <w:keepNext w:val="0"/>
        <w:keepLines w:val="0"/>
        <w:pageBreakBefore w:val="0"/>
        <w:kinsoku/>
        <w:wordWrap/>
        <w:overflowPunct/>
        <w:topLinePunct w:val="0"/>
        <w:bidi w:val="0"/>
        <w:adjustRightInd w:val="0"/>
        <w:snapToGrid w:val="0"/>
        <w:spacing w:beforeAutospacing="0" w:afterAutospacing="0" w:line="500" w:lineRule="exact"/>
        <w:ind w:left="0" w:leftChars="0" w:right="0" w:firstLine="480" w:firstLineChars="200"/>
        <w:outlineLvl w:val="9"/>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当发生泄漏时，应迅速撤离泄漏污染人员至安全区，并进行隔离，严格限制出入。建议应急处理人员戴自给正压式呼吸器，穿防酸碱工作服。尽可能切断泄漏源，防止进入下水道、排洪沟等限制性空间。小量泄漏：用砂土、蛭石或其它惰性材料吸收。也可以根据物料特性，不与水发生反应的物质用大量水冲洗，洗水稀释后放入废水系统。大量泄漏：构筑围堤或挖坑收容；不与水发生反应的物质喷雾状水冷却和稀释蒸汽、保护现场人员、把泄漏物稀释成不燃物。用泵转移至槽车或专用收集器内，回收或送至废物处理场所处置。收集的废液经水稀释后发生分解，放出氧气，待充分分解后，把废液冲入厂区污水处理站。</w:t>
      </w:r>
    </w:p>
    <w:p w14:paraId="1841182D">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204" w:name="_Toc31801"/>
      <w:bookmarkStart w:id="205" w:name="_Toc19746"/>
      <w:r>
        <w:rPr>
          <w:rFonts w:hint="default" w:ascii="Times New Roman" w:hAnsi="Times New Roman" w:eastAsia="仿宋_GB2312" w:cs="Times New Roman"/>
          <w:color w:val="auto"/>
          <w:spacing w:val="0"/>
          <w:kern w:val="0"/>
          <w:position w:val="0"/>
          <w:sz w:val="24"/>
          <w:szCs w:val="24"/>
        </w:rPr>
        <w:t>（1）防护措施</w:t>
      </w:r>
      <w:bookmarkEnd w:id="204"/>
      <w:bookmarkEnd w:id="205"/>
    </w:p>
    <w:p w14:paraId="7F888247">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呼吸系统防护：可能接触其蒸气时，应该佩戴自吸过滤式防毒面具（全面罩）。</w:t>
      </w:r>
    </w:p>
    <w:p w14:paraId="4D7A3385">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眼睛防护：呼吸系统防护中已作防护。</w:t>
      </w:r>
    </w:p>
    <w:p w14:paraId="24B606D4">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身体防护：穿聚乙烯防毒服。</w:t>
      </w:r>
    </w:p>
    <w:p w14:paraId="5AEDADAE">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手防护：戴氯丁橡胶手套。</w:t>
      </w:r>
    </w:p>
    <w:p w14:paraId="2ED1DE5A">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其它：工作现场严禁吸烟。工作毕，淋浴更衣。注意个人清洁卫生。</w:t>
      </w:r>
    </w:p>
    <w:p w14:paraId="7A6A72E3">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206" w:name="_Toc10006"/>
      <w:bookmarkStart w:id="207" w:name="_Toc14032"/>
      <w:r>
        <w:rPr>
          <w:rFonts w:hint="default" w:ascii="Times New Roman" w:hAnsi="Times New Roman" w:eastAsia="仿宋_GB2312" w:cs="Times New Roman"/>
          <w:color w:val="auto"/>
          <w:spacing w:val="0"/>
          <w:kern w:val="0"/>
          <w:position w:val="0"/>
          <w:sz w:val="24"/>
          <w:szCs w:val="24"/>
        </w:rPr>
        <w:t>（2）急救措施</w:t>
      </w:r>
      <w:bookmarkEnd w:id="206"/>
      <w:bookmarkEnd w:id="207"/>
    </w:p>
    <w:p w14:paraId="17BA75CD">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皮肤接触：脱去被污染的衣着，用大量流动清水冲洗。</w:t>
      </w:r>
    </w:p>
    <w:p w14:paraId="0045B0C7">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眼睛接触：立即提起眼睑，用大量流动清水或生理盐水彻底冲洗至少 15 分钟，就医。</w:t>
      </w:r>
    </w:p>
    <w:p w14:paraId="65665208">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吸入：迅速脱离现场至空气新鲜处。保持呼吸道通畅。如呼吸困难，给输氧。如呼吸停止，立即进行人工呼吸，就医。</w:t>
      </w:r>
    </w:p>
    <w:p w14:paraId="32267E28">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食入：饮足量温水，催吐，就医。</w:t>
      </w:r>
    </w:p>
    <w:p w14:paraId="6A66B7B1">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208" w:name="_Toc6459"/>
      <w:bookmarkStart w:id="209" w:name="_Toc28146"/>
      <w:r>
        <w:rPr>
          <w:rFonts w:hint="default" w:ascii="Times New Roman" w:hAnsi="Times New Roman" w:eastAsia="仿宋_GB2312" w:cs="Times New Roman"/>
          <w:color w:val="auto"/>
          <w:spacing w:val="0"/>
          <w:kern w:val="0"/>
          <w:position w:val="0"/>
          <w:sz w:val="24"/>
          <w:szCs w:val="24"/>
        </w:rPr>
        <w:t>（3）灭火方法</w:t>
      </w:r>
      <w:bookmarkEnd w:id="208"/>
      <w:bookmarkEnd w:id="209"/>
    </w:p>
    <w:p w14:paraId="7A4608ED">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消防人员必须穿戴全身防火防毒服，尽可能将容器从火场移至空旷处，根据物料性质选择相应的灭火剂进行灭火、冷却火场容器，直至灭火结束，处在火场中的容器若已变色或从安全泄压装置中产生声音，必须马上撤离。灭火剂：水、雾状水、干粉、砂土。</w:t>
      </w:r>
    </w:p>
    <w:p w14:paraId="46934E36">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① 首先应切断火势蔓延的途径，冷却和疏散受火势威胁的压力及密闭容器和可燃物，控制燃烧范围，并积极抢救受伤和被困人员。如有液体流淌时，应筑堤（或用围油栏）拦截飘散流淌的易燃液体或挖沟导流。</w:t>
      </w:r>
    </w:p>
    <w:p w14:paraId="11FCC905">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② 及时了解和掌握着火液体的品名、比重、水溶性以及有无毒害、腐蚀、沸溢、喷溅等危险性，以便采取相应的灭火和防护措施。</w:t>
      </w:r>
    </w:p>
    <w:p w14:paraId="1B98501C">
      <w:pPr>
        <w:keepNext w:val="0"/>
        <w:keepLines w:val="0"/>
        <w:pageBreakBefore w:val="0"/>
        <w:kinsoku/>
        <w:wordWrap/>
        <w:overflowPunct/>
        <w:topLinePunct w:val="0"/>
        <w:bidi w:val="0"/>
        <w:adjustRightInd w:val="0"/>
        <w:snapToGrid w:val="0"/>
        <w:spacing w:beforeAutospacing="0" w:afterAutospacing="0" w:line="500" w:lineRule="exact"/>
        <w:ind w:left="0" w:leftChars="0" w:right="0" w:firstLine="480" w:firstLineChars="200"/>
        <w:outlineLvl w:val="9"/>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③ 对较大流淌火灾，应准确判断着火面积。</w:t>
      </w:r>
    </w:p>
    <w:p w14:paraId="6DD5AA9E">
      <w:pPr>
        <w:keepNext w:val="0"/>
        <w:keepLines w:val="0"/>
        <w:pageBreakBefore w:val="0"/>
        <w:kinsoku/>
        <w:wordWrap/>
        <w:overflowPunct/>
        <w:topLinePunct w:val="0"/>
        <w:bidi w:val="0"/>
        <w:adjustRightInd w:val="0"/>
        <w:snapToGrid w:val="0"/>
        <w:spacing w:beforeAutospacing="0" w:afterAutospacing="0" w:line="500" w:lineRule="exact"/>
        <w:ind w:left="0" w:leftChars="0" w:right="0" w:firstLine="480" w:firstLineChars="200"/>
        <w:outlineLvl w:val="9"/>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小面积（一般50m</w:t>
      </w:r>
      <w:r>
        <w:rPr>
          <w:rFonts w:hint="default" w:ascii="Times New Roman" w:hAnsi="Times New Roman" w:eastAsia="仿宋_GB2312" w:cs="Times New Roman"/>
          <w:color w:val="auto"/>
          <w:spacing w:val="0"/>
          <w:kern w:val="0"/>
          <w:position w:val="0"/>
          <w:sz w:val="24"/>
          <w:szCs w:val="24"/>
          <w:vertAlign w:val="superscript"/>
        </w:rPr>
        <w:t>2</w:t>
      </w:r>
      <w:r>
        <w:rPr>
          <w:rFonts w:hint="default" w:ascii="Times New Roman" w:hAnsi="Times New Roman" w:eastAsia="仿宋_GB2312" w:cs="Times New Roman"/>
          <w:color w:val="auto"/>
          <w:spacing w:val="0"/>
          <w:kern w:val="0"/>
          <w:position w:val="0"/>
          <w:sz w:val="24"/>
          <w:szCs w:val="24"/>
        </w:rPr>
        <w:t>以内）液体火灾，一般可用雾状水扑灭。用泡沫、干粉、二氧化碳一般更有效。</w:t>
      </w:r>
    </w:p>
    <w:p w14:paraId="224330ED">
      <w:pPr>
        <w:keepNext w:val="0"/>
        <w:keepLines w:val="0"/>
        <w:pageBreakBefore w:val="0"/>
        <w:kinsoku/>
        <w:wordWrap/>
        <w:overflowPunct/>
        <w:topLinePunct w:val="0"/>
        <w:bidi w:val="0"/>
        <w:adjustRightInd w:val="0"/>
        <w:snapToGrid w:val="0"/>
        <w:spacing w:beforeAutospacing="0" w:afterAutospacing="0" w:line="500" w:lineRule="exact"/>
        <w:ind w:left="0" w:leftChars="0" w:right="0" w:firstLine="480" w:firstLineChars="200"/>
        <w:outlineLvl w:val="9"/>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大面积液体火灾则必须根据其相对密度（比重）、水溶性和燃烧面积大小，选择正确的灭火剂扑救。</w:t>
      </w:r>
    </w:p>
    <w:p w14:paraId="274D2B8B">
      <w:pPr>
        <w:keepNext w:val="0"/>
        <w:keepLines w:val="0"/>
        <w:pageBreakBefore w:val="0"/>
        <w:kinsoku/>
        <w:wordWrap/>
        <w:overflowPunct/>
        <w:topLinePunct w:val="0"/>
        <w:bidi w:val="0"/>
        <w:adjustRightInd w:val="0"/>
        <w:snapToGrid w:val="0"/>
        <w:spacing w:beforeAutospacing="0" w:afterAutospacing="0" w:line="500" w:lineRule="exact"/>
        <w:ind w:left="0" w:leftChars="0" w:right="0" w:firstLine="480" w:firstLineChars="200"/>
        <w:outlineLvl w:val="9"/>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具有水溶性的液体，虽然从理论上讲能用水稀释扑救，但用此法要使液体闪点消失，水必须在溶液中占很大的比例。这不仅需要大量的水，也容易使液体溢出流淌，而普通泡沫又会受到水溶性液体的破坏（如果普通泡沫强度加大，可以减弱火势），因此，最好用抗溶性泡沫扑救，用干粉或卤代烷扑救时，灭火效果要视燃烧面积大小和燃烧条件而定，也需用水冷却罐子。</w:t>
      </w:r>
    </w:p>
    <w:p w14:paraId="70623F46">
      <w:pPr>
        <w:keepNext w:val="0"/>
        <w:keepLines w:val="0"/>
        <w:pageBreakBefore w:val="0"/>
        <w:kinsoku/>
        <w:wordWrap/>
        <w:overflowPunct/>
        <w:topLinePunct w:val="0"/>
        <w:bidi w:val="0"/>
        <w:adjustRightInd w:val="0"/>
        <w:snapToGrid w:val="0"/>
        <w:spacing w:beforeAutospacing="0" w:afterAutospacing="0" w:line="500" w:lineRule="exact"/>
        <w:ind w:left="0" w:leftChars="0" w:right="0" w:firstLine="480" w:firstLineChars="200"/>
        <w:outlineLvl w:val="9"/>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比水重又不溶于水的液体，起火时可用水扑救，水能覆盖在液面上灭火。用泡沫也有效。干粉、卤代烷扑救，灭火效果要视燃烧面积大小和燃烧条件而定。最好用水冷却罐壁。</w:t>
      </w:r>
    </w:p>
    <w:p w14:paraId="243CB793">
      <w:pPr>
        <w:keepNext w:val="0"/>
        <w:keepLines w:val="0"/>
        <w:pageBreakBefore w:val="0"/>
        <w:kinsoku/>
        <w:wordWrap/>
        <w:overflowPunct/>
        <w:topLinePunct w:val="0"/>
        <w:bidi w:val="0"/>
        <w:adjustRightInd w:val="0"/>
        <w:snapToGrid w:val="0"/>
        <w:spacing w:beforeAutospacing="0" w:afterAutospacing="0" w:line="500" w:lineRule="exact"/>
        <w:ind w:left="0" w:leftChars="0" w:right="0" w:firstLine="480" w:firstLineChars="200"/>
        <w:outlineLvl w:val="9"/>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④ 扑救毒害性、腐蚀性或燃烧产物毒害性较强的易燃液体火灾，扑救人员必须佩戴防护面具，采取防护措施。</w:t>
      </w:r>
    </w:p>
    <w:p w14:paraId="3C98E038">
      <w:pPr>
        <w:keepNext w:val="0"/>
        <w:keepLines w:val="0"/>
        <w:pageBreakBefore w:val="0"/>
        <w:kinsoku/>
        <w:wordWrap/>
        <w:overflowPunct/>
        <w:topLinePunct w:val="0"/>
        <w:bidi w:val="0"/>
        <w:adjustRightInd w:val="0"/>
        <w:snapToGrid w:val="0"/>
        <w:spacing w:beforeAutospacing="0" w:afterAutospacing="0" w:line="500" w:lineRule="exact"/>
        <w:ind w:left="0" w:leftChars="0" w:right="0" w:firstLine="480" w:firstLineChars="200"/>
        <w:outlineLvl w:val="9"/>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⑤ 遇易燃液体管道或中间罐泄漏着火，在切断蔓延把火势限制在一定范围内的同时，对输送管道应设法找到并关闭进、出阀门，如果管道阀门已损坏或是贮罐泄漏，应迅速准备好堵漏材料，然后先用泡沫、干粉、二氧化碳或雾状水等扑灭地上的流淌火焰，为堵漏扫清障碍，其次再扑灭泄漏口的火焰，并迅速采取堵漏措施。与气体堵漏不同的是，液体一次堵漏失败，可连续堵几次，只要用泡沫覆盖地面，并堵住液体流淌和控制好周围着火源，不必点燃泄漏口的液体。</w:t>
      </w:r>
    </w:p>
    <w:p w14:paraId="44F781EE">
      <w:pPr>
        <w:pStyle w:val="4"/>
        <w:keepNext/>
        <w:keepLines w:val="0"/>
        <w:pageBreakBefore w:val="0"/>
        <w:widowControl w:val="0"/>
        <w:kinsoku/>
        <w:wordWrap/>
        <w:overflowPunct w:val="0"/>
        <w:topLinePunct w:val="0"/>
        <w:autoSpaceDE/>
        <w:autoSpaceDN/>
        <w:bidi w:val="0"/>
        <w:adjustRightInd/>
        <w:snapToGrid w:val="0"/>
        <w:spacing w:before="0" w:line="500" w:lineRule="exact"/>
        <w:ind w:left="0" w:right="0" w:firstLine="0" w:firstLineChars="0"/>
        <w:jc w:val="both"/>
        <w:textAlignment w:val="auto"/>
        <w:outlineLvl w:val="1"/>
        <w:rPr>
          <w:rFonts w:hint="default" w:ascii="Times New Roman" w:hAnsi="Times New Roman" w:eastAsia="仿宋_GB2312" w:cs="Times New Roman"/>
          <w:b/>
          <w:bCs/>
          <w:sz w:val="24"/>
          <w:szCs w:val="24"/>
          <w:lang w:val="en-US" w:eastAsia="zh-CN"/>
        </w:rPr>
      </w:pPr>
      <w:bookmarkStart w:id="210" w:name="_bookmark34"/>
      <w:bookmarkEnd w:id="210"/>
      <w:bookmarkStart w:id="211" w:name="_Toc10170"/>
      <w:bookmarkStart w:id="212" w:name="_Toc4819"/>
      <w:bookmarkStart w:id="213" w:name="_Toc1298"/>
      <w:bookmarkStart w:id="214" w:name="_Toc24918"/>
      <w:r>
        <w:rPr>
          <w:rFonts w:hint="default" w:ascii="Times New Roman" w:hAnsi="Times New Roman" w:eastAsia="仿宋_GB2312" w:cs="Times New Roman"/>
          <w:b/>
          <w:bCs/>
          <w:sz w:val="24"/>
          <w:szCs w:val="24"/>
          <w:lang w:val="en-US" w:eastAsia="zh-CN"/>
        </w:rPr>
        <w:t>5.2 泄漏事故应急预案</w:t>
      </w:r>
      <w:bookmarkEnd w:id="211"/>
      <w:bookmarkEnd w:id="212"/>
      <w:bookmarkEnd w:id="213"/>
      <w:bookmarkEnd w:id="214"/>
    </w:p>
    <w:p w14:paraId="60BE62B0">
      <w:pPr>
        <w:keepNext w:val="0"/>
        <w:keepLines w:val="0"/>
        <w:pageBreakBefore w:val="0"/>
        <w:kinsoku/>
        <w:wordWrap/>
        <w:overflowPunct/>
        <w:topLinePunct w:val="0"/>
        <w:bidi w:val="0"/>
        <w:adjustRightInd w:val="0"/>
        <w:snapToGrid w:val="0"/>
        <w:spacing w:beforeAutospacing="0" w:afterAutospacing="0" w:line="500" w:lineRule="exact"/>
        <w:ind w:left="0" w:leftChars="0" w:right="0" w:firstLine="480" w:firstLineChars="200"/>
        <w:outlineLvl w:val="9"/>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危险化学品的泄漏，容易发生中毒或转化为火灾爆炸事故。因此泄漏处理要及时、得当，避免重大事故的发生。</w:t>
      </w:r>
    </w:p>
    <w:p w14:paraId="5B4162C8">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215" w:name="_Toc2333"/>
      <w:bookmarkStart w:id="216" w:name="_Toc28761"/>
      <w:r>
        <w:rPr>
          <w:rFonts w:hint="default" w:ascii="Times New Roman" w:hAnsi="Times New Roman" w:eastAsia="仿宋_GB2312" w:cs="Times New Roman"/>
          <w:color w:val="auto"/>
          <w:spacing w:val="0"/>
          <w:kern w:val="0"/>
          <w:position w:val="0"/>
          <w:sz w:val="24"/>
          <w:szCs w:val="24"/>
        </w:rPr>
        <w:t>1、泄漏处理注意事项</w:t>
      </w:r>
      <w:bookmarkEnd w:id="215"/>
      <w:bookmarkEnd w:id="216"/>
    </w:p>
    <w:p w14:paraId="300CD342">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进入泄漏现场进行处理时，应注意以下几项：</w:t>
      </w:r>
    </w:p>
    <w:p w14:paraId="28053EF6">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217" w:name="_Toc26356"/>
      <w:bookmarkStart w:id="218" w:name="_Toc24642"/>
      <w:r>
        <w:rPr>
          <w:rFonts w:hint="default" w:ascii="Times New Roman" w:hAnsi="Times New Roman" w:eastAsia="仿宋_GB2312" w:cs="Times New Roman"/>
          <w:color w:val="auto"/>
          <w:spacing w:val="0"/>
          <w:kern w:val="0"/>
          <w:position w:val="0"/>
          <w:sz w:val="24"/>
          <w:szCs w:val="24"/>
        </w:rPr>
        <w:t>① 进入现场人员必须配备必要的个人防护器具。</w:t>
      </w:r>
      <w:bookmarkEnd w:id="217"/>
      <w:bookmarkEnd w:id="218"/>
    </w:p>
    <w:p w14:paraId="2F70866F">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② 如果泄漏物化学品是易燃易爆的，应严禁火种。扑灭任何明火及任何其它形式的热源和火源，以降低发生火灾爆炸危险性；</w:t>
      </w:r>
    </w:p>
    <w:p w14:paraId="7886A3C5">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③ 应急处理时严禁单独行动，要有监护人，必要时用水枪、水炮掩护。</w:t>
      </w:r>
    </w:p>
    <w:p w14:paraId="2A3BD79D">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219" w:name="_Toc28733"/>
      <w:bookmarkStart w:id="220" w:name="_Toc3483"/>
      <w:r>
        <w:rPr>
          <w:rFonts w:hint="default" w:ascii="Times New Roman" w:hAnsi="Times New Roman" w:eastAsia="仿宋_GB2312" w:cs="Times New Roman"/>
          <w:color w:val="auto"/>
          <w:spacing w:val="0"/>
          <w:kern w:val="0"/>
          <w:position w:val="0"/>
          <w:sz w:val="24"/>
          <w:szCs w:val="24"/>
        </w:rPr>
        <w:t>④ 应从上风、上坡处接近现场，严禁盲目进入。</w:t>
      </w:r>
      <w:bookmarkEnd w:id="219"/>
      <w:bookmarkEnd w:id="220"/>
    </w:p>
    <w:p w14:paraId="51B8EA8A">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221" w:name="_Toc29661"/>
      <w:bookmarkStart w:id="222" w:name="_Toc23059"/>
      <w:r>
        <w:rPr>
          <w:rFonts w:hint="default" w:ascii="Times New Roman" w:hAnsi="Times New Roman" w:eastAsia="仿宋_GB2312" w:cs="Times New Roman"/>
          <w:color w:val="auto"/>
          <w:spacing w:val="0"/>
          <w:kern w:val="0"/>
          <w:position w:val="0"/>
          <w:sz w:val="24"/>
          <w:szCs w:val="24"/>
        </w:rPr>
        <w:t>2、泄漏事故控制</w:t>
      </w:r>
      <w:bookmarkEnd w:id="221"/>
      <w:bookmarkEnd w:id="222"/>
    </w:p>
    <w:p w14:paraId="58043106">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泄漏事故控制一般分为泄漏源控制和泄漏物处置两部分。</w:t>
      </w:r>
    </w:p>
    <w:p w14:paraId="4C2C448F">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223" w:name="_Toc28819"/>
      <w:bookmarkStart w:id="224" w:name="_Toc5687"/>
      <w:r>
        <w:rPr>
          <w:rFonts w:hint="default" w:ascii="Times New Roman" w:hAnsi="Times New Roman" w:eastAsia="仿宋_GB2312" w:cs="Times New Roman"/>
          <w:color w:val="auto"/>
          <w:spacing w:val="0"/>
          <w:kern w:val="0"/>
          <w:position w:val="0"/>
          <w:sz w:val="24"/>
          <w:szCs w:val="24"/>
        </w:rPr>
        <w:t>（1）泄漏源控制</w:t>
      </w:r>
      <w:bookmarkEnd w:id="223"/>
      <w:bookmarkEnd w:id="224"/>
    </w:p>
    <w:p w14:paraId="5D3FCA53">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可通过控制化学品的溢出或泄漏来消除化学品的进一步扩散。①通过关闭有关阀门、停止作业或通过采取改变工艺流程、物料走副线、局部停车、打循环、减负荷运行等方法。②容器发生泄漏后，应采取措施修补和堵塞裂口，制止化学品的进一步泄漏。堵漏成功与否取决于几个因素：接近泄漏点的危险程度、泄漏孔的尺寸、泄漏点处实际的或潜在的压力、泄漏物质的特性。</w:t>
      </w:r>
    </w:p>
    <w:p w14:paraId="2C1D5A32">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a、小容器泄漏</w:t>
      </w:r>
    </w:p>
    <w:p w14:paraId="033DAB80">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尽可能将泄漏部位转向上，移至安全区域再进行处置。通常可采取转移物料、钉木楔、注射密封胶等方法处理。</w:t>
      </w:r>
    </w:p>
    <w:p w14:paraId="3BEF8FFE">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b、大容器泄漏</w:t>
      </w:r>
    </w:p>
    <w:p w14:paraId="030BC3EE">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由于大容器不象小容器那样可以转移，所以处理起来就更困难。一般是边将物料转移至安全容器，边采取适当的方法堵漏。</w:t>
      </w:r>
    </w:p>
    <w:p w14:paraId="76A6EF99">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c、管路系统泄漏</w:t>
      </w:r>
    </w:p>
    <w:p w14:paraId="0BE5F7D1">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泄漏量小时，可采取钉木楔、卡管卡、注射密封胶堵漏；泄漏严重时，应关闭阀门或系统，切断泄漏源，然后修理或更换失效、损坏的部件。</w:t>
      </w:r>
    </w:p>
    <w:p w14:paraId="64242783">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225" w:name="_Toc4004"/>
      <w:bookmarkStart w:id="226" w:name="_Toc16844"/>
      <w:r>
        <w:rPr>
          <w:rFonts w:hint="default" w:ascii="Times New Roman" w:hAnsi="Times New Roman" w:eastAsia="仿宋_GB2312" w:cs="Times New Roman"/>
          <w:color w:val="auto"/>
          <w:spacing w:val="0"/>
          <w:kern w:val="0"/>
          <w:position w:val="0"/>
          <w:sz w:val="24"/>
          <w:szCs w:val="24"/>
        </w:rPr>
        <w:t>（2）泄漏物处置</w:t>
      </w:r>
      <w:bookmarkEnd w:id="225"/>
      <w:bookmarkEnd w:id="226"/>
    </w:p>
    <w:p w14:paraId="27805137">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泄漏被控制后，要及时将现场泄漏物进行覆盖、收容、稀释、处理使泄漏物得到安全可靠的处置，防止二次事故的发生。地面上泄漏物处置主要有以下方法：</w:t>
      </w:r>
    </w:p>
    <w:p w14:paraId="2B644C13">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227" w:name="_Toc2398"/>
      <w:bookmarkStart w:id="228" w:name="_Toc13986"/>
      <w:r>
        <w:rPr>
          <w:rFonts w:hint="default" w:ascii="Times New Roman" w:hAnsi="Times New Roman" w:eastAsia="仿宋_GB2312" w:cs="Times New Roman"/>
          <w:color w:val="auto"/>
          <w:spacing w:val="0"/>
          <w:kern w:val="0"/>
          <w:position w:val="0"/>
          <w:sz w:val="24"/>
          <w:szCs w:val="24"/>
        </w:rPr>
        <w:t>① 围堤堵截</w:t>
      </w:r>
      <w:bookmarkEnd w:id="227"/>
      <w:bookmarkEnd w:id="228"/>
    </w:p>
    <w:p w14:paraId="025874A4">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如果化学品为液体，泄漏到地面上时会四处蔓延扩散，难以收集处理。为此需要筑堤堵截或者引流到安全地点。对于车间和中间罐区发生液体泄漏时，要及时关闭雨水阀，防止物料沿明沟外流。</w:t>
      </w:r>
    </w:p>
    <w:p w14:paraId="156D4987">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229" w:name="_Toc5092"/>
      <w:bookmarkStart w:id="230" w:name="_Toc27274"/>
      <w:r>
        <w:rPr>
          <w:rFonts w:hint="default" w:ascii="Times New Roman" w:hAnsi="Times New Roman" w:eastAsia="仿宋_GB2312" w:cs="Times New Roman"/>
          <w:color w:val="auto"/>
          <w:spacing w:val="0"/>
          <w:kern w:val="0"/>
          <w:position w:val="0"/>
          <w:sz w:val="24"/>
          <w:szCs w:val="24"/>
        </w:rPr>
        <w:t>② 覆盖</w:t>
      </w:r>
      <w:bookmarkEnd w:id="229"/>
      <w:bookmarkEnd w:id="230"/>
    </w:p>
    <w:p w14:paraId="366F2409">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对于液体泄漏，为降低物料向大气中的蒸发速度，可用泡沫或其他覆盖物品覆盖外泄的物料，在其表面形成覆盖层，抑制其蒸发。或者采用低温冷却来降低泄漏物的蒸发。</w:t>
      </w:r>
    </w:p>
    <w:p w14:paraId="43E74FA3">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231" w:name="_Toc29640"/>
      <w:bookmarkStart w:id="232" w:name="_Toc20518"/>
      <w:r>
        <w:rPr>
          <w:rFonts w:hint="default" w:ascii="Times New Roman" w:hAnsi="Times New Roman" w:eastAsia="仿宋_GB2312" w:cs="Times New Roman"/>
          <w:color w:val="auto"/>
          <w:spacing w:val="0"/>
          <w:kern w:val="0"/>
          <w:position w:val="0"/>
          <w:sz w:val="24"/>
          <w:szCs w:val="24"/>
        </w:rPr>
        <w:t>③ 稀释</w:t>
      </w:r>
      <w:bookmarkEnd w:id="231"/>
      <w:bookmarkEnd w:id="232"/>
    </w:p>
    <w:p w14:paraId="33DF2356">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为减少大气污染，通常是采用水枪或消防水带向有害物蒸汽云喷射雾状水，加速气体向高空扩散，使其在安全地带扩散。在使用这一方法时，将产生大量的被污染水，因此应疏通污水排放系统。对于可燃物，也可以在现场施放大量水蒸气或氮气，破坏燃烧条件。</w:t>
      </w:r>
    </w:p>
    <w:p w14:paraId="77D6956C">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233" w:name="_Toc5279"/>
      <w:bookmarkStart w:id="234" w:name="_Toc32531"/>
      <w:r>
        <w:rPr>
          <w:rFonts w:hint="default" w:ascii="Times New Roman" w:hAnsi="Times New Roman" w:eastAsia="仿宋_GB2312" w:cs="Times New Roman"/>
          <w:color w:val="auto"/>
          <w:spacing w:val="0"/>
          <w:kern w:val="0"/>
          <w:position w:val="0"/>
          <w:sz w:val="24"/>
          <w:szCs w:val="24"/>
        </w:rPr>
        <w:t>④ 收容</w:t>
      </w:r>
      <w:bookmarkEnd w:id="233"/>
      <w:bookmarkEnd w:id="234"/>
    </w:p>
    <w:p w14:paraId="70EF1C9E">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对于大型液体泄漏，可选择用隔膜泵将泄漏出的物料抽入容器内或槽车内；当泄漏量小时，可用沙子、吸附材料 、中和材料等吸收中和。或者用固化法处理泄漏物。</w:t>
      </w:r>
    </w:p>
    <w:p w14:paraId="75A5C84C">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235" w:name="_Toc8608"/>
      <w:bookmarkStart w:id="236" w:name="_Toc14863"/>
      <w:r>
        <w:rPr>
          <w:rFonts w:hint="default" w:ascii="Times New Roman" w:hAnsi="Times New Roman" w:eastAsia="仿宋_GB2312" w:cs="Times New Roman"/>
          <w:color w:val="auto"/>
          <w:spacing w:val="0"/>
          <w:kern w:val="0"/>
          <w:position w:val="0"/>
          <w:sz w:val="24"/>
          <w:szCs w:val="24"/>
        </w:rPr>
        <w:t>⑤ 废弃</w:t>
      </w:r>
      <w:bookmarkEnd w:id="235"/>
      <w:bookmarkEnd w:id="236"/>
    </w:p>
    <w:p w14:paraId="74883B52">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将收集的泄漏物运至废物处理场所处置。用消防水冲洗剩下的少量物料，冲洗水收集后排入污水系统处理。</w:t>
      </w:r>
    </w:p>
    <w:p w14:paraId="50831EF5">
      <w:pPr>
        <w:pStyle w:val="4"/>
        <w:keepNext/>
        <w:keepLines w:val="0"/>
        <w:pageBreakBefore w:val="0"/>
        <w:widowControl w:val="0"/>
        <w:kinsoku/>
        <w:wordWrap/>
        <w:overflowPunct w:val="0"/>
        <w:topLinePunct w:val="0"/>
        <w:autoSpaceDE/>
        <w:autoSpaceDN/>
        <w:bidi w:val="0"/>
        <w:adjustRightInd/>
        <w:snapToGrid w:val="0"/>
        <w:spacing w:before="0" w:line="500" w:lineRule="exact"/>
        <w:ind w:left="0" w:right="0" w:firstLine="0" w:firstLineChars="0"/>
        <w:jc w:val="both"/>
        <w:textAlignment w:val="auto"/>
        <w:outlineLvl w:val="1"/>
        <w:rPr>
          <w:rFonts w:hint="default" w:ascii="Times New Roman" w:hAnsi="Times New Roman" w:eastAsia="仿宋_GB2312" w:cs="Times New Roman"/>
          <w:b/>
          <w:bCs/>
          <w:sz w:val="24"/>
          <w:szCs w:val="24"/>
          <w:lang w:val="en-US" w:eastAsia="zh-CN"/>
        </w:rPr>
      </w:pPr>
      <w:bookmarkStart w:id="237" w:name="_Toc3547"/>
      <w:bookmarkStart w:id="238" w:name="_Toc26551"/>
      <w:bookmarkStart w:id="239" w:name="_Toc23306"/>
      <w:bookmarkStart w:id="240" w:name="_Toc14545"/>
      <w:bookmarkStart w:id="241" w:name="_Toc16794"/>
      <w:bookmarkStart w:id="242" w:name="_Toc2669"/>
      <w:bookmarkStart w:id="243" w:name="_Toc32188"/>
      <w:r>
        <w:rPr>
          <w:rFonts w:hint="default" w:ascii="Times New Roman" w:hAnsi="Times New Roman" w:eastAsia="仿宋_GB2312" w:cs="Times New Roman"/>
          <w:b/>
          <w:bCs/>
          <w:sz w:val="24"/>
          <w:szCs w:val="24"/>
          <w:lang w:val="en-US" w:eastAsia="zh-CN"/>
        </w:rPr>
        <w:t>5.3 废气处理设施故障事故应急预案</w:t>
      </w:r>
      <w:bookmarkEnd w:id="237"/>
      <w:bookmarkEnd w:id="238"/>
      <w:bookmarkEnd w:id="239"/>
      <w:bookmarkEnd w:id="240"/>
    </w:p>
    <w:p w14:paraId="49922717">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244" w:name="_Toc6791"/>
      <w:bookmarkStart w:id="245" w:name="_Toc29026"/>
      <w:r>
        <w:rPr>
          <w:rFonts w:hint="default" w:ascii="Times New Roman" w:hAnsi="Times New Roman" w:eastAsia="仿宋_GB2312" w:cs="Times New Roman"/>
          <w:color w:val="auto"/>
          <w:spacing w:val="0"/>
          <w:kern w:val="0"/>
          <w:position w:val="0"/>
          <w:sz w:val="24"/>
          <w:szCs w:val="24"/>
        </w:rPr>
        <w:t>废气处理设施发生故障时，采取措施如下：</w:t>
      </w:r>
      <w:bookmarkEnd w:id="244"/>
      <w:bookmarkEnd w:id="245"/>
    </w:p>
    <w:p w14:paraId="5423F2AD">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246" w:name="_Toc6119"/>
      <w:bookmarkStart w:id="247" w:name="_Toc6623"/>
      <w:r>
        <w:rPr>
          <w:rFonts w:hint="default" w:ascii="Times New Roman" w:hAnsi="Times New Roman" w:eastAsia="仿宋_GB2312" w:cs="Times New Roman"/>
          <w:color w:val="auto"/>
          <w:spacing w:val="0"/>
          <w:kern w:val="0"/>
          <w:position w:val="0"/>
          <w:sz w:val="24"/>
          <w:szCs w:val="24"/>
        </w:rPr>
        <w:t>（1）值班人员发现废气处理设施故障时，应当联系值班的技术人员进行紧急的故障排除。</w:t>
      </w:r>
      <w:bookmarkEnd w:id="246"/>
      <w:bookmarkEnd w:id="247"/>
    </w:p>
    <w:p w14:paraId="19C82997">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248" w:name="_Toc5070"/>
      <w:bookmarkStart w:id="249" w:name="_Toc13085"/>
      <w:r>
        <w:rPr>
          <w:rFonts w:hint="default" w:ascii="Times New Roman" w:hAnsi="Times New Roman" w:eastAsia="仿宋_GB2312" w:cs="Times New Roman"/>
          <w:color w:val="auto"/>
          <w:spacing w:val="0"/>
          <w:kern w:val="0"/>
          <w:position w:val="0"/>
          <w:sz w:val="24"/>
          <w:szCs w:val="24"/>
        </w:rPr>
        <w:t>（2）在技术人员排除故障的同时，企业安排人员对排气筒采取水雾喷淋等临时性的减轻污染措施。</w:t>
      </w:r>
      <w:bookmarkEnd w:id="248"/>
      <w:bookmarkEnd w:id="249"/>
    </w:p>
    <w:p w14:paraId="7CEF1108">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250" w:name="_Toc21383"/>
      <w:bookmarkStart w:id="251" w:name="_Toc14695"/>
      <w:r>
        <w:rPr>
          <w:rFonts w:hint="default" w:ascii="Times New Roman" w:hAnsi="Times New Roman" w:eastAsia="仿宋_GB2312" w:cs="Times New Roman"/>
          <w:color w:val="auto"/>
          <w:spacing w:val="0"/>
          <w:kern w:val="0"/>
          <w:position w:val="0"/>
          <w:sz w:val="24"/>
          <w:szCs w:val="24"/>
        </w:rPr>
        <w:t>（3）如果故障一时无法排除，则由应急救援总指挥下达紧急停车指令，停止排放废气装置的运作，停止对外排放废气。</w:t>
      </w:r>
      <w:bookmarkEnd w:id="250"/>
      <w:bookmarkEnd w:id="251"/>
    </w:p>
    <w:p w14:paraId="161D9109">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lang w:eastAsia="zh-CN"/>
        </w:rPr>
      </w:pPr>
      <w:bookmarkStart w:id="252" w:name="_Toc1442"/>
      <w:bookmarkStart w:id="253" w:name="_Toc22539"/>
      <w:r>
        <w:rPr>
          <w:rFonts w:hint="default" w:ascii="Times New Roman" w:hAnsi="Times New Roman" w:eastAsia="仿宋_GB2312" w:cs="Times New Roman"/>
          <w:color w:val="auto"/>
          <w:spacing w:val="0"/>
          <w:kern w:val="0"/>
          <w:position w:val="0"/>
          <w:sz w:val="24"/>
          <w:szCs w:val="24"/>
        </w:rPr>
        <w:t>（4）通告邻近企业关于本厂的事故情况，防止对其产生污染影响</w:t>
      </w:r>
      <w:r>
        <w:rPr>
          <w:rFonts w:hint="default" w:ascii="Times New Roman" w:hAnsi="Times New Roman" w:eastAsia="仿宋_GB2312" w:cs="Times New Roman"/>
          <w:color w:val="auto"/>
          <w:spacing w:val="0"/>
          <w:kern w:val="0"/>
          <w:position w:val="0"/>
          <w:sz w:val="24"/>
          <w:szCs w:val="24"/>
          <w:lang w:eastAsia="zh-CN"/>
        </w:rPr>
        <w:t>。</w:t>
      </w:r>
      <w:bookmarkEnd w:id="252"/>
      <w:bookmarkEnd w:id="253"/>
    </w:p>
    <w:p w14:paraId="5F6E456C">
      <w:pPr>
        <w:pStyle w:val="4"/>
        <w:keepNext/>
        <w:keepLines w:val="0"/>
        <w:pageBreakBefore w:val="0"/>
        <w:widowControl w:val="0"/>
        <w:kinsoku/>
        <w:wordWrap/>
        <w:overflowPunct w:val="0"/>
        <w:topLinePunct w:val="0"/>
        <w:autoSpaceDE/>
        <w:autoSpaceDN/>
        <w:bidi w:val="0"/>
        <w:adjustRightInd/>
        <w:snapToGrid w:val="0"/>
        <w:spacing w:before="0" w:line="500" w:lineRule="exact"/>
        <w:ind w:left="0" w:right="0" w:firstLine="0" w:firstLineChars="0"/>
        <w:jc w:val="both"/>
        <w:textAlignment w:val="auto"/>
        <w:outlineLvl w:val="1"/>
        <w:rPr>
          <w:rFonts w:hint="default" w:ascii="Times New Roman" w:hAnsi="Times New Roman" w:eastAsia="仿宋_GB2312" w:cs="Times New Roman"/>
          <w:b/>
          <w:bCs/>
          <w:sz w:val="24"/>
          <w:szCs w:val="24"/>
          <w:lang w:val="en-US" w:eastAsia="zh-CN"/>
        </w:rPr>
      </w:pPr>
      <w:bookmarkStart w:id="254" w:name="_Toc23210"/>
      <w:bookmarkStart w:id="255" w:name="_Toc26710"/>
      <w:bookmarkStart w:id="256" w:name="_Toc6592"/>
      <w:bookmarkStart w:id="257" w:name="_Toc6716"/>
      <w:r>
        <w:rPr>
          <w:rFonts w:hint="default" w:ascii="Times New Roman" w:hAnsi="Times New Roman" w:eastAsia="仿宋_GB2312" w:cs="Times New Roman"/>
          <w:b/>
          <w:bCs/>
          <w:sz w:val="24"/>
          <w:szCs w:val="24"/>
          <w:lang w:val="en-US" w:eastAsia="zh-CN"/>
        </w:rPr>
        <w:t>5.4 废水处理</w:t>
      </w:r>
      <w:r>
        <w:rPr>
          <w:rFonts w:hint="eastAsia" w:ascii="Times New Roman" w:hAnsi="Times New Roman" w:eastAsia="仿宋_GB2312" w:cs="Times New Roman"/>
          <w:b/>
          <w:bCs/>
          <w:sz w:val="24"/>
          <w:szCs w:val="24"/>
          <w:lang w:val="en-US" w:eastAsia="zh-CN"/>
        </w:rPr>
        <w:t>系统</w:t>
      </w:r>
      <w:r>
        <w:rPr>
          <w:rFonts w:hint="default" w:ascii="Times New Roman" w:hAnsi="Times New Roman" w:eastAsia="仿宋_GB2312" w:cs="Times New Roman"/>
          <w:b/>
          <w:bCs/>
          <w:sz w:val="24"/>
          <w:szCs w:val="24"/>
          <w:lang w:val="en-US" w:eastAsia="zh-CN"/>
        </w:rPr>
        <w:t>失效事故应急预案</w:t>
      </w:r>
      <w:bookmarkEnd w:id="254"/>
      <w:bookmarkEnd w:id="255"/>
      <w:bookmarkEnd w:id="256"/>
      <w:bookmarkEnd w:id="257"/>
    </w:p>
    <w:p w14:paraId="1E553724">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258" w:name="_Toc7674"/>
      <w:bookmarkStart w:id="259" w:name="_Toc30963"/>
      <w:r>
        <w:rPr>
          <w:rFonts w:hint="default" w:ascii="Times New Roman" w:hAnsi="Times New Roman" w:eastAsia="仿宋_GB2312" w:cs="Times New Roman"/>
          <w:color w:val="auto"/>
          <w:spacing w:val="0"/>
          <w:kern w:val="0"/>
          <w:position w:val="0"/>
          <w:sz w:val="24"/>
          <w:szCs w:val="24"/>
        </w:rPr>
        <w:t>废水处理设施在企业生产废水净化过程中作用较为重要，其出现故障将会造成未经处理废水影响环境的潜在威胁，由此产生企业事故排污的污染影响。所以，对于废水处理风险排污，必须慎重考虑进行防范。</w:t>
      </w:r>
      <w:bookmarkEnd w:id="258"/>
      <w:bookmarkEnd w:id="259"/>
    </w:p>
    <w:p w14:paraId="5D8D8055">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260" w:name="_Toc16240"/>
      <w:bookmarkStart w:id="261" w:name="_Toc30593"/>
      <w:r>
        <w:rPr>
          <w:rFonts w:hint="default" w:ascii="Times New Roman" w:hAnsi="Times New Roman" w:eastAsia="仿宋_GB2312" w:cs="Times New Roman"/>
          <w:color w:val="auto"/>
          <w:spacing w:val="0"/>
          <w:kern w:val="0"/>
          <w:position w:val="0"/>
          <w:sz w:val="24"/>
          <w:szCs w:val="24"/>
        </w:rPr>
        <w:t>（1）事故被发现后，当班人员应立即向领导小组组长汇报，并在事故处理过程中随时与领导小组保持联系。</w:t>
      </w:r>
      <w:bookmarkEnd w:id="260"/>
      <w:bookmarkEnd w:id="261"/>
    </w:p>
    <w:p w14:paraId="71577F3F">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262" w:name="_Toc29201"/>
      <w:bookmarkStart w:id="263" w:name="_Toc6906"/>
      <w:r>
        <w:rPr>
          <w:rFonts w:hint="default" w:ascii="Times New Roman" w:hAnsi="Times New Roman" w:eastAsia="仿宋_GB2312" w:cs="Times New Roman"/>
          <w:color w:val="auto"/>
          <w:spacing w:val="0"/>
          <w:kern w:val="0"/>
          <w:position w:val="0"/>
          <w:sz w:val="24"/>
          <w:szCs w:val="24"/>
        </w:rPr>
        <w:t>（2）领导小组接到报告后，应及时向业主和当地生态环境局汇报，并在事故处理过程中随时和有关部门保持联系。</w:t>
      </w:r>
      <w:bookmarkEnd w:id="262"/>
      <w:bookmarkEnd w:id="263"/>
    </w:p>
    <w:p w14:paraId="7B3178A4">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264" w:name="_Toc5972"/>
      <w:bookmarkStart w:id="265" w:name="_Toc18838"/>
      <w:r>
        <w:rPr>
          <w:rFonts w:hint="default" w:ascii="Times New Roman" w:hAnsi="Times New Roman" w:eastAsia="仿宋_GB2312" w:cs="Times New Roman"/>
          <w:color w:val="auto"/>
          <w:spacing w:val="0"/>
          <w:kern w:val="0"/>
          <w:position w:val="0"/>
          <w:sz w:val="24"/>
          <w:szCs w:val="24"/>
        </w:rPr>
        <w:t>（3）当班人员分析排查造成事故的原因：</w:t>
      </w:r>
      <w:bookmarkEnd w:id="264"/>
      <w:bookmarkEnd w:id="265"/>
    </w:p>
    <w:p w14:paraId="250D8CC5">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266" w:name="_Toc6010"/>
      <w:bookmarkStart w:id="267" w:name="_Toc24932"/>
      <w:r>
        <w:rPr>
          <w:rFonts w:hint="default" w:ascii="Times New Roman" w:hAnsi="Times New Roman" w:eastAsia="仿宋_GB2312" w:cs="Times New Roman"/>
          <w:color w:val="auto"/>
          <w:spacing w:val="0"/>
          <w:kern w:val="0"/>
          <w:position w:val="0"/>
          <w:sz w:val="24"/>
          <w:szCs w:val="24"/>
        </w:rPr>
        <w:t>①当发现进水水质超出设计标准时，应立即向领导汇报，减少进水量；立即对进水水质、工艺运行参数、出水水质数据进行分析，根据化验数据对相关工艺流程进行及时调整。</w:t>
      </w:r>
      <w:bookmarkEnd w:id="266"/>
      <w:bookmarkEnd w:id="267"/>
    </w:p>
    <w:p w14:paraId="13CCC634">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268" w:name="_Toc11147"/>
      <w:bookmarkStart w:id="269" w:name="_Toc2143"/>
      <w:r>
        <w:rPr>
          <w:rFonts w:hint="default" w:ascii="Times New Roman" w:hAnsi="Times New Roman" w:eastAsia="仿宋_GB2312" w:cs="Times New Roman"/>
          <w:color w:val="auto"/>
          <w:spacing w:val="0"/>
          <w:kern w:val="0"/>
          <w:position w:val="0"/>
          <w:sz w:val="24"/>
          <w:szCs w:val="24"/>
        </w:rPr>
        <w:t>②突发暴雨时，应根据天气预报，预先对各设备进行检查，确保完好，组织力量对厂区雨水管线进行疏通，确保雨水管线畅通；各岗位将门窗关紧，防止雨水流入，影响设备运行；随时观察调节池以及沉淀池的水位并向领导汇报；外出巡视必须两人一组，同时注意防滑。</w:t>
      </w:r>
      <w:bookmarkEnd w:id="268"/>
      <w:bookmarkEnd w:id="269"/>
    </w:p>
    <w:p w14:paraId="451ED45A">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270" w:name="_Toc25344"/>
      <w:bookmarkStart w:id="271" w:name="_Toc24113"/>
      <w:r>
        <w:rPr>
          <w:rFonts w:hint="default" w:ascii="Times New Roman" w:hAnsi="Times New Roman" w:eastAsia="仿宋_GB2312" w:cs="Times New Roman"/>
          <w:color w:val="auto"/>
          <w:spacing w:val="0"/>
          <w:kern w:val="0"/>
          <w:position w:val="0"/>
          <w:sz w:val="24"/>
          <w:szCs w:val="24"/>
        </w:rPr>
        <w:t>③突然停电时，应将现场设备退出运行状态；如长时间停电超过6小时，则应通知上级主管部门及时送电或自备发电机组；来电后，按照操作规程及时开启设备，恢复运行。</w:t>
      </w:r>
      <w:bookmarkEnd w:id="270"/>
      <w:bookmarkEnd w:id="271"/>
    </w:p>
    <w:p w14:paraId="79077C10">
      <w:pPr>
        <w:pStyle w:val="4"/>
        <w:keepNext/>
        <w:keepLines w:val="0"/>
        <w:pageBreakBefore w:val="0"/>
        <w:widowControl w:val="0"/>
        <w:kinsoku/>
        <w:wordWrap/>
        <w:overflowPunct w:val="0"/>
        <w:topLinePunct w:val="0"/>
        <w:autoSpaceDE/>
        <w:autoSpaceDN/>
        <w:bidi w:val="0"/>
        <w:adjustRightInd/>
        <w:snapToGrid w:val="0"/>
        <w:spacing w:before="0" w:line="500" w:lineRule="exact"/>
        <w:ind w:left="0" w:right="0" w:firstLine="0" w:firstLineChars="0"/>
        <w:jc w:val="both"/>
        <w:textAlignment w:val="auto"/>
        <w:outlineLvl w:val="1"/>
        <w:rPr>
          <w:rFonts w:hint="default" w:ascii="Times New Roman" w:hAnsi="Times New Roman" w:eastAsia="仿宋_GB2312" w:cs="Times New Roman"/>
          <w:b/>
          <w:bCs/>
          <w:sz w:val="24"/>
          <w:szCs w:val="24"/>
          <w:lang w:val="en-US" w:eastAsia="zh-CN"/>
        </w:rPr>
      </w:pPr>
      <w:bookmarkStart w:id="272" w:name="_Toc18538"/>
      <w:bookmarkStart w:id="273" w:name="_Toc31821"/>
      <w:bookmarkStart w:id="274" w:name="_Toc26681"/>
      <w:bookmarkStart w:id="275" w:name="_Toc31406"/>
      <w:r>
        <w:rPr>
          <w:rFonts w:hint="default" w:ascii="Times New Roman" w:hAnsi="Times New Roman" w:eastAsia="仿宋_GB2312" w:cs="Times New Roman"/>
          <w:b/>
          <w:bCs/>
          <w:sz w:val="24"/>
          <w:szCs w:val="24"/>
          <w:lang w:val="en-US" w:eastAsia="zh-CN"/>
        </w:rPr>
        <w:t>5.5 事故应急指挥机构的组成、职责和分工</w:t>
      </w:r>
      <w:bookmarkEnd w:id="272"/>
      <w:bookmarkEnd w:id="273"/>
      <w:bookmarkEnd w:id="274"/>
      <w:bookmarkEnd w:id="275"/>
    </w:p>
    <w:p w14:paraId="68D962D2">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276" w:name="_Toc7936"/>
      <w:bookmarkStart w:id="277" w:name="_Toc17677"/>
      <w:r>
        <w:rPr>
          <w:rFonts w:hint="default" w:ascii="Times New Roman" w:hAnsi="Times New Roman" w:eastAsia="仿宋_GB2312" w:cs="Times New Roman"/>
          <w:color w:val="auto"/>
          <w:spacing w:val="0"/>
          <w:kern w:val="0"/>
          <w:position w:val="0"/>
          <w:sz w:val="24"/>
          <w:szCs w:val="24"/>
        </w:rPr>
        <w:t>企业在建设期间应成立应急救援领导小组，下设综合协调组、应急抢险组、应急保障组、医疗救助组、环境保护组等，组织指挥体系详见图</w:t>
      </w:r>
      <w:r>
        <w:rPr>
          <w:rFonts w:hint="default" w:ascii="Times New Roman" w:hAnsi="Times New Roman" w:eastAsia="仿宋_GB2312" w:cs="Times New Roman"/>
          <w:color w:val="auto"/>
          <w:spacing w:val="0"/>
          <w:kern w:val="0"/>
          <w:position w:val="0"/>
          <w:sz w:val="24"/>
          <w:szCs w:val="24"/>
          <w:lang w:val="en-US" w:eastAsia="zh-CN"/>
        </w:rPr>
        <w:t>5</w:t>
      </w:r>
      <w:r>
        <w:rPr>
          <w:rFonts w:hint="default" w:ascii="Times New Roman" w:hAnsi="Times New Roman" w:eastAsia="仿宋_GB2312" w:cs="Times New Roman"/>
          <w:color w:val="auto"/>
          <w:spacing w:val="0"/>
          <w:kern w:val="0"/>
          <w:position w:val="0"/>
          <w:sz w:val="24"/>
          <w:szCs w:val="24"/>
        </w:rPr>
        <w:t>.</w:t>
      </w:r>
      <w:r>
        <w:rPr>
          <w:rFonts w:hint="default" w:ascii="Times New Roman" w:hAnsi="Times New Roman" w:eastAsia="仿宋_GB2312" w:cs="Times New Roman"/>
          <w:color w:val="auto"/>
          <w:spacing w:val="0"/>
          <w:kern w:val="0"/>
          <w:position w:val="0"/>
          <w:sz w:val="24"/>
          <w:szCs w:val="24"/>
          <w:lang w:val="en-US" w:eastAsia="zh-CN"/>
        </w:rPr>
        <w:t>5</w:t>
      </w:r>
      <w:r>
        <w:rPr>
          <w:rFonts w:hint="default" w:ascii="Times New Roman" w:hAnsi="Times New Roman" w:eastAsia="仿宋_GB2312" w:cs="Times New Roman"/>
          <w:color w:val="auto"/>
          <w:spacing w:val="0"/>
          <w:kern w:val="0"/>
          <w:position w:val="0"/>
          <w:sz w:val="24"/>
          <w:szCs w:val="24"/>
        </w:rPr>
        <w:t>-1所示。</w:t>
      </w:r>
      <w:bookmarkEnd w:id="276"/>
      <w:bookmarkEnd w:id="277"/>
    </w:p>
    <w:p w14:paraId="1992257F">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jc w:val="center"/>
        <w:textAlignment w:val="baseline"/>
        <w:outlineLvl w:val="9"/>
        <w:rPr>
          <w:rFonts w:hint="default" w:ascii="Times New Roman" w:hAnsi="Times New Roman" w:eastAsia="仿宋_GB2312" w:cs="Times New Roman"/>
          <w:color w:val="auto"/>
          <w:spacing w:val="0"/>
          <w:kern w:val="0"/>
          <w:position w:val="0"/>
        </w:rPr>
      </w:pPr>
      <w:r>
        <w:rPr>
          <w:rFonts w:hint="default" w:ascii="Times New Roman" w:hAnsi="Times New Roman" w:eastAsia="仿宋_GB2312" w:cs="Times New Roman"/>
          <w:color w:val="auto"/>
          <w:spacing w:val="0"/>
          <w:kern w:val="0"/>
          <w:position w:val="0"/>
        </w:rPr>
        <w:drawing>
          <wp:inline distT="0" distB="0" distL="114300" distR="114300">
            <wp:extent cx="5330825" cy="2517140"/>
            <wp:effectExtent l="0" t="0" r="3175" b="16510"/>
            <wp:docPr id="1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
                    <pic:cNvPicPr>
                      <a:picLocks noChangeAspect="1"/>
                    </pic:cNvPicPr>
                  </pic:nvPicPr>
                  <pic:blipFill>
                    <a:blip r:embed="rId68"/>
                    <a:stretch>
                      <a:fillRect/>
                    </a:stretch>
                  </pic:blipFill>
                  <pic:spPr>
                    <a:xfrm>
                      <a:off x="0" y="0"/>
                      <a:ext cx="5330825" cy="2517140"/>
                    </a:xfrm>
                    <a:prstGeom prst="rect">
                      <a:avLst/>
                    </a:prstGeom>
                    <a:noFill/>
                    <a:ln>
                      <a:noFill/>
                    </a:ln>
                  </pic:spPr>
                </pic:pic>
              </a:graphicData>
            </a:graphic>
          </wp:inline>
        </w:drawing>
      </w:r>
    </w:p>
    <w:p w14:paraId="0BB284FC">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b/>
          <w:color w:val="auto"/>
          <w:spacing w:val="0"/>
          <w:kern w:val="0"/>
          <w:position w:val="0"/>
          <w:sz w:val="24"/>
          <w:szCs w:val="24"/>
        </w:rPr>
      </w:pPr>
      <w:r>
        <w:rPr>
          <w:rFonts w:hint="default" w:ascii="Times New Roman" w:hAnsi="Times New Roman" w:eastAsia="仿宋_GB2312" w:cs="Times New Roman"/>
          <w:b/>
          <w:color w:val="auto"/>
          <w:spacing w:val="0"/>
          <w:kern w:val="0"/>
          <w:position w:val="0"/>
          <w:sz w:val="24"/>
          <w:szCs w:val="24"/>
        </w:rPr>
        <w:t xml:space="preserve">图 </w:t>
      </w:r>
      <w:r>
        <w:rPr>
          <w:rFonts w:hint="default" w:ascii="Times New Roman" w:hAnsi="Times New Roman" w:eastAsia="仿宋_GB2312" w:cs="Times New Roman"/>
          <w:b/>
          <w:color w:val="auto"/>
          <w:spacing w:val="0"/>
          <w:kern w:val="0"/>
          <w:position w:val="0"/>
          <w:sz w:val="24"/>
          <w:szCs w:val="24"/>
          <w:lang w:val="en-US" w:eastAsia="zh-CN"/>
        </w:rPr>
        <w:t>5.5</w:t>
      </w:r>
      <w:r>
        <w:rPr>
          <w:rFonts w:hint="default" w:ascii="Times New Roman" w:hAnsi="Times New Roman" w:eastAsia="仿宋_GB2312" w:cs="Times New Roman"/>
          <w:b/>
          <w:color w:val="auto"/>
          <w:spacing w:val="0"/>
          <w:kern w:val="0"/>
          <w:position w:val="0"/>
          <w:sz w:val="24"/>
          <w:szCs w:val="24"/>
        </w:rPr>
        <w:t>-1 应急救援组织机构图</w:t>
      </w:r>
    </w:p>
    <w:p w14:paraId="220C4C12">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278" w:name="_Toc25209"/>
      <w:bookmarkStart w:id="279" w:name="_Toc22873"/>
      <w:r>
        <w:rPr>
          <w:rFonts w:hint="default" w:ascii="Times New Roman" w:hAnsi="Times New Roman" w:eastAsia="仿宋_GB2312" w:cs="Times New Roman"/>
          <w:color w:val="auto"/>
          <w:spacing w:val="0"/>
          <w:kern w:val="0"/>
          <w:position w:val="0"/>
          <w:sz w:val="24"/>
          <w:szCs w:val="24"/>
        </w:rPr>
        <w:t>应急救援领导小组是公司为预防和处置各类突发事故的常设机构，其主要职责有：</w:t>
      </w:r>
      <w:bookmarkEnd w:id="278"/>
      <w:bookmarkEnd w:id="279"/>
    </w:p>
    <w:p w14:paraId="68AE634B">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280" w:name="_Toc28462"/>
      <w:bookmarkStart w:id="281" w:name="_Toc2413"/>
      <w:r>
        <w:rPr>
          <w:rFonts w:hint="default" w:ascii="Times New Roman" w:hAnsi="Times New Roman" w:eastAsia="仿宋_GB2312" w:cs="Times New Roman"/>
          <w:color w:val="auto"/>
          <w:spacing w:val="0"/>
          <w:kern w:val="0"/>
          <w:position w:val="0"/>
          <w:sz w:val="24"/>
          <w:szCs w:val="24"/>
        </w:rPr>
        <w:t>①编制和修改事故应急救援预案。</w:t>
      </w:r>
      <w:bookmarkEnd w:id="280"/>
      <w:bookmarkEnd w:id="281"/>
    </w:p>
    <w:p w14:paraId="33E856DA">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282" w:name="_Toc7352"/>
      <w:bookmarkStart w:id="283" w:name="_Toc21988"/>
      <w:r>
        <w:rPr>
          <w:rFonts w:hint="default" w:ascii="Times New Roman" w:hAnsi="Times New Roman" w:eastAsia="仿宋_GB2312" w:cs="Times New Roman"/>
          <w:color w:val="auto"/>
          <w:spacing w:val="0"/>
          <w:kern w:val="0"/>
          <w:position w:val="0"/>
          <w:sz w:val="24"/>
          <w:szCs w:val="24"/>
        </w:rPr>
        <w:t>②组建应急救援队伍并组织实施训练和演习。</w:t>
      </w:r>
      <w:bookmarkEnd w:id="282"/>
      <w:bookmarkEnd w:id="283"/>
    </w:p>
    <w:p w14:paraId="139D0B63">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284" w:name="_Toc1207"/>
      <w:bookmarkStart w:id="285" w:name="_Toc30959"/>
      <w:r>
        <w:rPr>
          <w:rFonts w:hint="default" w:ascii="Times New Roman" w:hAnsi="Times New Roman" w:eastAsia="仿宋_GB2312" w:cs="Times New Roman"/>
          <w:color w:val="auto"/>
          <w:spacing w:val="0"/>
          <w:kern w:val="0"/>
          <w:position w:val="0"/>
          <w:sz w:val="24"/>
          <w:szCs w:val="24"/>
        </w:rPr>
        <w:t>③检查各项安全工作的实施情况。</w:t>
      </w:r>
      <w:bookmarkEnd w:id="284"/>
      <w:bookmarkEnd w:id="285"/>
    </w:p>
    <w:p w14:paraId="17AA6F25">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286" w:name="_Toc24567"/>
      <w:bookmarkStart w:id="287" w:name="_Toc29454"/>
      <w:r>
        <w:rPr>
          <w:rFonts w:hint="default" w:ascii="Times New Roman" w:hAnsi="Times New Roman" w:eastAsia="仿宋_GB2312" w:cs="Times New Roman"/>
          <w:color w:val="auto"/>
          <w:spacing w:val="0"/>
          <w:kern w:val="0"/>
          <w:position w:val="0"/>
          <w:sz w:val="24"/>
          <w:szCs w:val="24"/>
        </w:rPr>
        <w:t>④检查督促做好重大事故的预防措施和应急救援的各项准备工作。</w:t>
      </w:r>
      <w:bookmarkEnd w:id="286"/>
      <w:bookmarkEnd w:id="287"/>
    </w:p>
    <w:p w14:paraId="371C1525">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288" w:name="_Toc15883"/>
      <w:bookmarkStart w:id="289" w:name="_Toc3207"/>
      <w:r>
        <w:rPr>
          <w:rFonts w:hint="default" w:ascii="Times New Roman" w:hAnsi="Times New Roman" w:eastAsia="仿宋_GB2312" w:cs="Times New Roman"/>
          <w:color w:val="auto"/>
          <w:spacing w:val="0"/>
          <w:kern w:val="0"/>
          <w:position w:val="0"/>
          <w:sz w:val="24"/>
          <w:szCs w:val="24"/>
        </w:rPr>
        <w:t>⑤在应急救援行动中发布和解除各项命令。</w:t>
      </w:r>
      <w:bookmarkEnd w:id="288"/>
      <w:bookmarkEnd w:id="289"/>
    </w:p>
    <w:p w14:paraId="09B4EDD6">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290" w:name="_Toc21456"/>
      <w:bookmarkStart w:id="291" w:name="_Toc6074"/>
      <w:r>
        <w:rPr>
          <w:rFonts w:hint="default" w:ascii="Times New Roman" w:hAnsi="Times New Roman" w:eastAsia="仿宋_GB2312" w:cs="Times New Roman"/>
          <w:color w:val="auto"/>
          <w:spacing w:val="0"/>
          <w:kern w:val="0"/>
          <w:position w:val="0"/>
          <w:sz w:val="24"/>
          <w:szCs w:val="24"/>
        </w:rPr>
        <w:t>⑥负责向上级和政府有关部门报告以及向友邻单位、周边居民通报事故情况。</w:t>
      </w:r>
      <w:bookmarkEnd w:id="290"/>
      <w:bookmarkEnd w:id="291"/>
    </w:p>
    <w:p w14:paraId="2DAC679F">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292" w:name="_Toc26270"/>
      <w:bookmarkStart w:id="293" w:name="_Toc16201"/>
      <w:r>
        <w:rPr>
          <w:rFonts w:hint="default" w:ascii="Times New Roman" w:hAnsi="Times New Roman" w:eastAsia="仿宋_GB2312" w:cs="Times New Roman"/>
          <w:color w:val="auto"/>
          <w:spacing w:val="0"/>
          <w:kern w:val="0"/>
          <w:position w:val="0"/>
          <w:sz w:val="24"/>
          <w:szCs w:val="24"/>
        </w:rPr>
        <w:t>⑦负责组织调查事故发生的原因、妥善处理事故并总结经验教训。</w:t>
      </w:r>
      <w:bookmarkEnd w:id="292"/>
      <w:bookmarkEnd w:id="293"/>
    </w:p>
    <w:p w14:paraId="62C6E346">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294" w:name="_Toc32524"/>
      <w:bookmarkStart w:id="295" w:name="_Toc916"/>
      <w:r>
        <w:rPr>
          <w:rFonts w:hint="default" w:ascii="Times New Roman" w:hAnsi="Times New Roman" w:eastAsia="仿宋_GB2312" w:cs="Times New Roman"/>
          <w:color w:val="auto"/>
          <w:spacing w:val="0"/>
          <w:kern w:val="0"/>
          <w:position w:val="0"/>
          <w:sz w:val="24"/>
          <w:szCs w:val="24"/>
        </w:rPr>
        <w:t>（1）应急小组职责和分工</w:t>
      </w:r>
      <w:bookmarkEnd w:id="294"/>
      <w:bookmarkEnd w:id="295"/>
    </w:p>
    <w:p w14:paraId="3943E0D8">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296" w:name="_Toc637"/>
      <w:bookmarkStart w:id="297" w:name="_Toc7072"/>
      <w:r>
        <w:rPr>
          <w:rFonts w:hint="default" w:ascii="Times New Roman" w:hAnsi="Times New Roman" w:eastAsia="仿宋_GB2312" w:cs="Times New Roman"/>
          <w:color w:val="auto"/>
          <w:spacing w:val="0"/>
          <w:kern w:val="0"/>
          <w:position w:val="0"/>
          <w:sz w:val="24"/>
          <w:szCs w:val="24"/>
        </w:rPr>
        <w:t>各应急小组的职责和分工见表</w:t>
      </w:r>
      <w:r>
        <w:rPr>
          <w:rFonts w:hint="default" w:ascii="Times New Roman" w:hAnsi="Times New Roman" w:eastAsia="仿宋_GB2312" w:cs="Times New Roman"/>
          <w:color w:val="auto"/>
          <w:spacing w:val="0"/>
          <w:kern w:val="0"/>
          <w:position w:val="0"/>
          <w:sz w:val="24"/>
          <w:szCs w:val="24"/>
          <w:lang w:val="en-US" w:eastAsia="zh-CN"/>
        </w:rPr>
        <w:t>5.5</w:t>
      </w:r>
      <w:r>
        <w:rPr>
          <w:rFonts w:hint="default" w:ascii="Times New Roman" w:hAnsi="Times New Roman" w:eastAsia="仿宋_GB2312" w:cs="Times New Roman"/>
          <w:color w:val="auto"/>
          <w:spacing w:val="0"/>
          <w:kern w:val="0"/>
          <w:position w:val="0"/>
          <w:sz w:val="24"/>
          <w:szCs w:val="24"/>
        </w:rPr>
        <w:t>-1。</w:t>
      </w:r>
      <w:bookmarkEnd w:id="296"/>
      <w:bookmarkEnd w:id="297"/>
    </w:p>
    <w:p w14:paraId="68D9D5A7">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b/>
          <w:bCs/>
          <w:color w:val="auto"/>
          <w:spacing w:val="0"/>
          <w:kern w:val="0"/>
          <w:position w:val="0"/>
          <w:sz w:val="24"/>
          <w:szCs w:val="24"/>
          <w:lang w:val="en-US" w:eastAsia="zh-CN"/>
        </w:rPr>
      </w:pPr>
      <w:r>
        <w:rPr>
          <w:rFonts w:hint="default" w:ascii="Times New Roman" w:hAnsi="Times New Roman" w:eastAsia="仿宋_GB2312" w:cs="Times New Roman"/>
          <w:b/>
          <w:bCs/>
          <w:color w:val="auto"/>
          <w:spacing w:val="0"/>
          <w:kern w:val="0"/>
          <w:position w:val="0"/>
          <w:sz w:val="24"/>
          <w:szCs w:val="24"/>
        </w:rPr>
        <w:t>表</w:t>
      </w:r>
      <w:r>
        <w:rPr>
          <w:rFonts w:hint="default" w:ascii="Times New Roman" w:hAnsi="Times New Roman" w:eastAsia="仿宋_GB2312" w:cs="Times New Roman"/>
          <w:b/>
          <w:bCs/>
          <w:color w:val="auto"/>
          <w:spacing w:val="0"/>
          <w:kern w:val="0"/>
          <w:position w:val="0"/>
          <w:sz w:val="24"/>
          <w:szCs w:val="24"/>
          <w:lang w:val="en-US" w:eastAsia="zh-CN"/>
        </w:rPr>
        <w:t>5.5-1</w:t>
      </w:r>
      <w:r>
        <w:rPr>
          <w:rFonts w:hint="default" w:ascii="Times New Roman" w:hAnsi="Times New Roman" w:eastAsia="仿宋_GB2312" w:cs="Times New Roman"/>
          <w:b/>
          <w:bCs/>
          <w:color w:val="auto"/>
          <w:spacing w:val="0"/>
          <w:kern w:val="0"/>
          <w:position w:val="0"/>
          <w:sz w:val="24"/>
          <w:szCs w:val="24"/>
        </w:rPr>
        <w:t xml:space="preserve"> </w:t>
      </w:r>
      <w:r>
        <w:rPr>
          <w:rFonts w:hint="eastAsia" w:ascii="Times New Roman" w:hAnsi="Times New Roman" w:eastAsia="仿宋_GB2312" w:cs="Times New Roman"/>
          <w:b/>
          <w:bCs/>
          <w:color w:val="auto"/>
          <w:spacing w:val="0"/>
          <w:kern w:val="0"/>
          <w:position w:val="0"/>
          <w:sz w:val="24"/>
          <w:szCs w:val="24"/>
          <w:lang w:val="en-US" w:eastAsia="zh-CN"/>
        </w:rPr>
        <w:t xml:space="preserve"> </w:t>
      </w:r>
      <w:r>
        <w:rPr>
          <w:rFonts w:hint="default" w:ascii="Times New Roman" w:hAnsi="Times New Roman" w:eastAsia="仿宋_GB2312" w:cs="Times New Roman"/>
          <w:b/>
          <w:bCs/>
          <w:color w:val="auto"/>
          <w:spacing w:val="0"/>
          <w:kern w:val="0"/>
          <w:position w:val="0"/>
          <w:sz w:val="24"/>
          <w:szCs w:val="24"/>
          <w:lang w:val="en-US" w:eastAsia="zh-CN"/>
        </w:rPr>
        <w:t>指挥机构及成员的职责和分工</w:t>
      </w:r>
    </w:p>
    <w:tbl>
      <w:tblPr>
        <w:tblStyle w:val="3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743"/>
        <w:gridCol w:w="8385"/>
      </w:tblGrid>
      <w:tr w14:paraId="5168EE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06" w:type="pct"/>
            <w:tcBorders>
              <w:tl2br w:val="nil"/>
              <w:tr2bl w:val="nil"/>
            </w:tcBorders>
            <w:noWrap/>
            <w:vAlign w:val="center"/>
          </w:tcPr>
          <w:p w14:paraId="0313A9BF">
            <w:pPr>
              <w:keepNext w:val="0"/>
              <w:keepLines w:val="0"/>
              <w:pageBreakBefore w:val="0"/>
              <w:widowControl/>
              <w:kinsoku/>
              <w:wordWrap/>
              <w:overflowPunct/>
              <w:topLinePunct w:val="0"/>
              <w:autoSpaceDE w:val="0"/>
              <w:autoSpaceDN w:val="0"/>
              <w:bidi w:val="0"/>
              <w:adjustRightInd w:val="0"/>
              <w:snapToGrid w:val="0"/>
              <w:spacing w:beforeAutospacing="0" w:afterAutospacing="0" w:line="232" w:lineRule="auto"/>
              <w:ind w:left="0" w:leftChars="0" w:right="0"/>
              <w:jc w:val="center"/>
              <w:textAlignment w:val="baseline"/>
              <w:outlineLvl w:val="9"/>
              <w:rPr>
                <w:rFonts w:hint="default" w:ascii="Times New Roman" w:hAnsi="Times New Roman" w:eastAsia="仿宋_GB2312" w:cs="Times New Roman"/>
                <w:b/>
                <w:bCs/>
                <w:color w:val="auto"/>
                <w:spacing w:val="0"/>
                <w:kern w:val="0"/>
                <w:position w:val="0"/>
                <w:lang w:val="en-US" w:eastAsia="zh-CN"/>
              </w:rPr>
            </w:pPr>
            <w:r>
              <w:rPr>
                <w:rFonts w:hint="default" w:ascii="Times New Roman" w:hAnsi="Times New Roman" w:eastAsia="仿宋_GB2312" w:cs="Times New Roman"/>
                <w:b/>
                <w:bCs/>
                <w:color w:val="auto"/>
                <w:spacing w:val="0"/>
                <w:kern w:val="0"/>
                <w:position w:val="0"/>
                <w:lang w:val="en-US" w:eastAsia="zh-CN"/>
              </w:rPr>
              <w:t>机构成员名称</w:t>
            </w:r>
          </w:p>
        </w:tc>
        <w:tc>
          <w:tcPr>
            <w:tcW w:w="4593" w:type="pct"/>
            <w:tcBorders>
              <w:tl2br w:val="nil"/>
              <w:tr2bl w:val="nil"/>
            </w:tcBorders>
            <w:noWrap/>
            <w:vAlign w:val="center"/>
          </w:tcPr>
          <w:p w14:paraId="41ED9B52">
            <w:pPr>
              <w:keepNext w:val="0"/>
              <w:keepLines w:val="0"/>
              <w:pageBreakBefore w:val="0"/>
              <w:widowControl/>
              <w:kinsoku/>
              <w:wordWrap/>
              <w:overflowPunct/>
              <w:topLinePunct w:val="0"/>
              <w:autoSpaceDE w:val="0"/>
              <w:autoSpaceDN w:val="0"/>
              <w:bidi w:val="0"/>
              <w:adjustRightInd w:val="0"/>
              <w:snapToGrid w:val="0"/>
              <w:spacing w:beforeAutospacing="0" w:afterAutospacing="0" w:line="232" w:lineRule="auto"/>
              <w:ind w:left="0" w:leftChars="0" w:right="0"/>
              <w:jc w:val="center"/>
              <w:textAlignment w:val="baseline"/>
              <w:outlineLvl w:val="9"/>
              <w:rPr>
                <w:rFonts w:hint="default" w:ascii="Times New Roman" w:hAnsi="Times New Roman" w:eastAsia="仿宋_GB2312" w:cs="Times New Roman"/>
                <w:b/>
                <w:bCs/>
                <w:color w:val="auto"/>
                <w:spacing w:val="0"/>
                <w:kern w:val="0"/>
                <w:position w:val="0"/>
                <w:lang w:val="en-US" w:eastAsia="zh-CN"/>
              </w:rPr>
            </w:pPr>
            <w:r>
              <w:rPr>
                <w:rFonts w:hint="default" w:ascii="Times New Roman" w:hAnsi="Times New Roman" w:eastAsia="仿宋_GB2312" w:cs="Times New Roman"/>
                <w:b/>
                <w:bCs/>
                <w:color w:val="auto"/>
                <w:spacing w:val="0"/>
                <w:kern w:val="0"/>
                <w:position w:val="0"/>
                <w:lang w:val="en-US" w:eastAsia="zh-CN"/>
              </w:rPr>
              <w:t>职责</w:t>
            </w:r>
          </w:p>
        </w:tc>
      </w:tr>
      <w:tr w14:paraId="27D485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06" w:type="pct"/>
            <w:tcBorders>
              <w:tl2br w:val="nil"/>
              <w:tr2bl w:val="nil"/>
            </w:tcBorders>
            <w:noWrap/>
            <w:vAlign w:val="center"/>
          </w:tcPr>
          <w:p w14:paraId="1354CE07">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snapToGrid w:val="0"/>
                <w:color w:val="auto"/>
                <w:spacing w:val="0"/>
                <w:kern w:val="0"/>
                <w:position w:val="0"/>
                <w:sz w:val="21"/>
                <w:szCs w:val="21"/>
                <w:lang w:val="en-US" w:eastAsia="zh-CN" w:bidi="ar-SA"/>
              </w:rPr>
            </w:pPr>
            <w:r>
              <w:rPr>
                <w:rFonts w:hint="default" w:ascii="Times New Roman" w:hAnsi="Times New Roman" w:eastAsia="仿宋_GB2312" w:cs="Times New Roman"/>
                <w:snapToGrid w:val="0"/>
                <w:color w:val="auto"/>
                <w:spacing w:val="0"/>
                <w:kern w:val="0"/>
                <w:position w:val="0"/>
                <w:sz w:val="21"/>
                <w:szCs w:val="21"/>
                <w:lang w:val="en-US" w:eastAsia="zh-CN" w:bidi="ar-SA"/>
              </w:rPr>
              <w:t>总指挥</w:t>
            </w:r>
          </w:p>
        </w:tc>
        <w:tc>
          <w:tcPr>
            <w:tcW w:w="4593" w:type="pct"/>
            <w:tcBorders>
              <w:tl2br w:val="nil"/>
              <w:tr2bl w:val="nil"/>
            </w:tcBorders>
            <w:noWrap/>
            <w:vAlign w:val="center"/>
          </w:tcPr>
          <w:p w14:paraId="1CF60FB1">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left"/>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组织指挥全厂的应急救援工作。</w:t>
            </w:r>
          </w:p>
        </w:tc>
      </w:tr>
      <w:tr w14:paraId="2404A3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06" w:type="pct"/>
            <w:tcBorders>
              <w:tl2br w:val="nil"/>
              <w:tr2bl w:val="nil"/>
            </w:tcBorders>
            <w:noWrap/>
            <w:vAlign w:val="center"/>
          </w:tcPr>
          <w:p w14:paraId="34041957">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snapToGrid w:val="0"/>
                <w:color w:val="auto"/>
                <w:spacing w:val="0"/>
                <w:kern w:val="0"/>
                <w:position w:val="0"/>
                <w:sz w:val="21"/>
                <w:szCs w:val="21"/>
                <w:lang w:val="en-US" w:eastAsia="zh-CN" w:bidi="ar-SA"/>
              </w:rPr>
            </w:pPr>
            <w:r>
              <w:rPr>
                <w:rFonts w:hint="default" w:ascii="Times New Roman" w:hAnsi="Times New Roman" w:eastAsia="仿宋_GB2312" w:cs="Times New Roman"/>
                <w:snapToGrid w:val="0"/>
                <w:color w:val="auto"/>
                <w:spacing w:val="0"/>
                <w:kern w:val="0"/>
                <w:position w:val="0"/>
                <w:sz w:val="21"/>
                <w:szCs w:val="21"/>
                <w:lang w:val="en-US" w:eastAsia="zh-CN" w:bidi="ar-SA"/>
              </w:rPr>
              <w:t>副总指挥</w:t>
            </w:r>
          </w:p>
        </w:tc>
        <w:tc>
          <w:tcPr>
            <w:tcW w:w="4593" w:type="pct"/>
            <w:tcBorders>
              <w:tl2br w:val="nil"/>
              <w:tr2bl w:val="nil"/>
            </w:tcBorders>
            <w:noWrap/>
            <w:vAlign w:val="center"/>
          </w:tcPr>
          <w:p w14:paraId="492D07B6">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left"/>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协助总指挥负责应急救援的具体指挥工作。</w:t>
            </w:r>
          </w:p>
        </w:tc>
      </w:tr>
      <w:tr w14:paraId="28043D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06" w:type="pct"/>
            <w:tcBorders>
              <w:tl2br w:val="nil"/>
              <w:tr2bl w:val="nil"/>
            </w:tcBorders>
            <w:noWrap/>
            <w:vAlign w:val="center"/>
          </w:tcPr>
          <w:p w14:paraId="61B9D873">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snapToGrid w:val="0"/>
                <w:color w:val="auto"/>
                <w:spacing w:val="0"/>
                <w:kern w:val="0"/>
                <w:position w:val="0"/>
                <w:sz w:val="21"/>
                <w:szCs w:val="21"/>
                <w:lang w:val="en-US" w:eastAsia="zh-CN" w:bidi="ar-SA"/>
              </w:rPr>
            </w:pPr>
            <w:r>
              <w:rPr>
                <w:rFonts w:hint="default" w:ascii="Times New Roman" w:hAnsi="Times New Roman" w:eastAsia="仿宋_GB2312" w:cs="Times New Roman"/>
                <w:snapToGrid w:val="0"/>
                <w:color w:val="auto"/>
                <w:spacing w:val="0"/>
                <w:kern w:val="0"/>
                <w:position w:val="0"/>
                <w:sz w:val="21"/>
                <w:szCs w:val="21"/>
                <w:lang w:val="en-US" w:eastAsia="zh-CN" w:bidi="ar-SA"/>
              </w:rPr>
              <w:t>综合协调组</w:t>
            </w:r>
          </w:p>
        </w:tc>
        <w:tc>
          <w:tcPr>
            <w:tcW w:w="4593" w:type="pct"/>
            <w:tcBorders>
              <w:tl2br w:val="nil"/>
              <w:tr2bl w:val="nil"/>
            </w:tcBorders>
            <w:noWrap/>
            <w:vAlign w:val="center"/>
          </w:tcPr>
          <w:p w14:paraId="7C3767C6">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left"/>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①主要负责事故现场调查取证；</w:t>
            </w:r>
          </w:p>
          <w:p w14:paraId="06509876">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left"/>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②承担与当地区域或各职能管理部门的应急指挥机构的联系工作，及时将事故发生情况及最新进展向有关部门汇报，并将上级指挥机构的命令及时向应急指挥部汇报；</w:t>
            </w:r>
          </w:p>
          <w:p w14:paraId="5F3CA210">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left"/>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③进行环境污染事故经济损失评估，并对应急预案进行及时总结，协助领导小组完成事故应急预案的修改或完善工作；</w:t>
            </w:r>
          </w:p>
          <w:p w14:paraId="34C6A06E">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left"/>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④负责编制环境污染事故报告，并将事故报告向上级部门汇报。</w:t>
            </w:r>
          </w:p>
        </w:tc>
      </w:tr>
      <w:tr w14:paraId="029463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06" w:type="pct"/>
            <w:tcBorders>
              <w:tl2br w:val="nil"/>
              <w:tr2bl w:val="nil"/>
            </w:tcBorders>
            <w:noWrap/>
            <w:vAlign w:val="center"/>
          </w:tcPr>
          <w:p w14:paraId="0B54DD35">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snapToGrid w:val="0"/>
                <w:color w:val="auto"/>
                <w:spacing w:val="0"/>
                <w:kern w:val="0"/>
                <w:position w:val="0"/>
                <w:sz w:val="21"/>
                <w:szCs w:val="21"/>
                <w:lang w:val="en-US" w:eastAsia="zh-CN" w:bidi="ar-SA"/>
              </w:rPr>
            </w:pPr>
            <w:r>
              <w:rPr>
                <w:rFonts w:hint="default" w:ascii="Times New Roman" w:hAnsi="Times New Roman" w:eastAsia="仿宋_GB2312" w:cs="Times New Roman"/>
                <w:snapToGrid w:val="0"/>
                <w:color w:val="auto"/>
                <w:spacing w:val="0"/>
                <w:kern w:val="0"/>
                <w:position w:val="0"/>
                <w:sz w:val="21"/>
                <w:szCs w:val="21"/>
                <w:lang w:val="en-US" w:eastAsia="zh-CN" w:bidi="ar-SA"/>
              </w:rPr>
              <w:t>应急抢险组</w:t>
            </w:r>
          </w:p>
        </w:tc>
        <w:tc>
          <w:tcPr>
            <w:tcW w:w="4593" w:type="pct"/>
            <w:tcBorders>
              <w:tl2br w:val="nil"/>
              <w:tr2bl w:val="nil"/>
            </w:tcBorders>
            <w:noWrap/>
            <w:vAlign w:val="center"/>
          </w:tcPr>
          <w:p w14:paraId="69EFA56C">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left"/>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①在事故发生后，迅速派出人员进行抢险救灾；负责在上级专业应急队伍来到之前，进行污染防治，负责泄漏物质的收集，尽可能减少环境污染危害；</w:t>
            </w:r>
          </w:p>
          <w:p w14:paraId="38DC7033">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left"/>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②在上级专业应急队伍来到后，按专业应急队伍的指挥员要求，配合进行环境事件应急工作；</w:t>
            </w:r>
          </w:p>
          <w:p w14:paraId="29E004CC">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left"/>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③突发环境事件应急处理结束后，尽快组织力量抢修公司内的供电、供水等重要设施，尽快恢复功能；</w:t>
            </w:r>
          </w:p>
          <w:p w14:paraId="3B9FFA8A">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left"/>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④负责事故现场及有毒有害物质扩散区域内的清洗、消毒工作。</w:t>
            </w:r>
          </w:p>
        </w:tc>
      </w:tr>
      <w:tr w14:paraId="585A8F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06" w:type="pct"/>
            <w:tcBorders>
              <w:tl2br w:val="nil"/>
              <w:tr2bl w:val="nil"/>
            </w:tcBorders>
            <w:noWrap/>
            <w:vAlign w:val="center"/>
          </w:tcPr>
          <w:p w14:paraId="73D65B96">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snapToGrid w:val="0"/>
                <w:color w:val="auto"/>
                <w:spacing w:val="0"/>
                <w:kern w:val="0"/>
                <w:position w:val="0"/>
                <w:sz w:val="21"/>
                <w:szCs w:val="21"/>
                <w:lang w:val="en-US" w:eastAsia="zh-CN" w:bidi="ar-SA"/>
              </w:rPr>
            </w:pPr>
            <w:r>
              <w:rPr>
                <w:rFonts w:hint="default" w:ascii="Times New Roman" w:hAnsi="Times New Roman" w:eastAsia="仿宋_GB2312" w:cs="Times New Roman"/>
                <w:snapToGrid w:val="0"/>
                <w:color w:val="auto"/>
                <w:spacing w:val="0"/>
                <w:kern w:val="0"/>
                <w:position w:val="0"/>
                <w:sz w:val="21"/>
                <w:szCs w:val="21"/>
                <w:lang w:val="en-US" w:eastAsia="zh-CN" w:bidi="ar-SA"/>
              </w:rPr>
              <w:t>应急保障组</w:t>
            </w:r>
          </w:p>
        </w:tc>
        <w:tc>
          <w:tcPr>
            <w:tcW w:w="4593" w:type="pct"/>
            <w:tcBorders>
              <w:tl2br w:val="nil"/>
              <w:tr2bl w:val="nil"/>
            </w:tcBorders>
            <w:noWrap/>
            <w:vAlign w:val="center"/>
          </w:tcPr>
          <w:p w14:paraId="19821AAA">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left"/>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①负责应急设施或装备的购置和妥善保管；</w:t>
            </w:r>
          </w:p>
          <w:p w14:paraId="682E1BCC">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left"/>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②在事故发生时及时将有关应急装备、安全防护品、现场应急处置材料等应急物资运送到事故现场；</w:t>
            </w:r>
          </w:p>
          <w:p w14:paraId="1E75C44E">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left"/>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③负责公司区内的治安警戒、治安管理和安全保卫工作，预防和打击违法犯罪活动，维护公司内交通秩序；</w:t>
            </w:r>
          </w:p>
          <w:p w14:paraId="1487F2BB">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left"/>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④负责公司内车辆及装备的调度；</w:t>
            </w:r>
          </w:p>
          <w:p w14:paraId="542AC9FD">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left"/>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⑤承办指挥部交办的其他工作。</w:t>
            </w:r>
          </w:p>
        </w:tc>
      </w:tr>
      <w:tr w14:paraId="5097F0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06" w:type="pct"/>
            <w:tcBorders>
              <w:tl2br w:val="nil"/>
              <w:tr2bl w:val="nil"/>
            </w:tcBorders>
            <w:noWrap/>
            <w:vAlign w:val="center"/>
          </w:tcPr>
          <w:p w14:paraId="49EDDA28">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snapToGrid w:val="0"/>
                <w:color w:val="auto"/>
                <w:spacing w:val="0"/>
                <w:kern w:val="0"/>
                <w:position w:val="0"/>
                <w:sz w:val="21"/>
                <w:szCs w:val="21"/>
                <w:lang w:val="en-US" w:eastAsia="zh-CN" w:bidi="ar-SA"/>
              </w:rPr>
            </w:pPr>
            <w:r>
              <w:rPr>
                <w:rFonts w:hint="default" w:ascii="Times New Roman" w:hAnsi="Times New Roman" w:eastAsia="仿宋_GB2312" w:cs="Times New Roman"/>
                <w:snapToGrid w:val="0"/>
                <w:color w:val="auto"/>
                <w:spacing w:val="0"/>
                <w:kern w:val="0"/>
                <w:position w:val="0"/>
                <w:sz w:val="21"/>
                <w:szCs w:val="21"/>
                <w:lang w:val="en-US" w:eastAsia="zh-CN" w:bidi="ar-SA"/>
              </w:rPr>
              <w:t>医疗救援组</w:t>
            </w:r>
          </w:p>
        </w:tc>
        <w:tc>
          <w:tcPr>
            <w:tcW w:w="4593" w:type="pct"/>
            <w:tcBorders>
              <w:tl2br w:val="nil"/>
              <w:tr2bl w:val="nil"/>
            </w:tcBorders>
            <w:noWrap/>
            <w:vAlign w:val="center"/>
          </w:tcPr>
          <w:p w14:paraId="5CC6C879">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left"/>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①熟悉公司内危险物质对人体危害的特性及相应的医疗急救措施；</w:t>
            </w:r>
          </w:p>
          <w:p w14:paraId="0B262927">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left"/>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②负责对现场受伤或中毒人员进行急救，并协助医疗救护部门将伤员护送到相关单位进行抢救和安置；</w:t>
            </w:r>
          </w:p>
          <w:p w14:paraId="06FFD96C">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left"/>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③发生重大污染事故时，组织公司区人员安全撤离现场；</w:t>
            </w:r>
          </w:p>
          <w:p w14:paraId="2DE549DF">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left"/>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④协助领导小组做好受伤者的工作。</w:t>
            </w:r>
          </w:p>
        </w:tc>
      </w:tr>
      <w:tr w14:paraId="0CB1FD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06" w:type="pct"/>
            <w:tcBorders>
              <w:tl2br w:val="nil"/>
              <w:tr2bl w:val="nil"/>
            </w:tcBorders>
            <w:noWrap/>
            <w:vAlign w:val="center"/>
          </w:tcPr>
          <w:p w14:paraId="488AA0D7">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snapToGrid w:val="0"/>
                <w:color w:val="auto"/>
                <w:spacing w:val="0"/>
                <w:kern w:val="0"/>
                <w:position w:val="0"/>
                <w:sz w:val="21"/>
                <w:szCs w:val="21"/>
                <w:lang w:val="en-US" w:eastAsia="zh-CN" w:bidi="ar-SA"/>
              </w:rPr>
            </w:pPr>
            <w:r>
              <w:rPr>
                <w:rFonts w:hint="default" w:ascii="Times New Roman" w:hAnsi="Times New Roman" w:eastAsia="仿宋_GB2312" w:cs="Times New Roman"/>
                <w:snapToGrid w:val="0"/>
                <w:color w:val="auto"/>
                <w:spacing w:val="0"/>
                <w:kern w:val="0"/>
                <w:position w:val="0"/>
                <w:sz w:val="21"/>
                <w:szCs w:val="21"/>
                <w:lang w:val="en-US" w:eastAsia="zh-CN" w:bidi="ar-SA"/>
              </w:rPr>
              <w:t>环境保护组</w:t>
            </w:r>
          </w:p>
        </w:tc>
        <w:tc>
          <w:tcPr>
            <w:tcW w:w="4593" w:type="pct"/>
            <w:tcBorders>
              <w:tl2br w:val="nil"/>
              <w:tr2bl w:val="nil"/>
            </w:tcBorders>
            <w:noWrap/>
            <w:vAlign w:val="center"/>
          </w:tcPr>
          <w:p w14:paraId="500348A4">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left"/>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①发生事故时，负责提供相关基础材料，配合监测部门做好现场监测工作；</w:t>
            </w:r>
          </w:p>
          <w:p w14:paraId="72BC2A06">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left"/>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②根据监测结果，调查分析主要污染物种类、污染程度和范围，对周边生态环境影响，并及时将结果报给综合协调组汇总。</w:t>
            </w:r>
          </w:p>
        </w:tc>
      </w:tr>
    </w:tbl>
    <w:p w14:paraId="5283A22F">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298" w:name="_Toc17042"/>
      <w:bookmarkStart w:id="299" w:name="_Toc29884"/>
      <w:r>
        <w:rPr>
          <w:rFonts w:hint="default" w:ascii="Times New Roman" w:hAnsi="Times New Roman" w:eastAsia="仿宋_GB2312" w:cs="Times New Roman"/>
          <w:color w:val="auto"/>
          <w:spacing w:val="0"/>
          <w:kern w:val="0"/>
          <w:position w:val="0"/>
          <w:sz w:val="24"/>
          <w:szCs w:val="24"/>
        </w:rPr>
        <w:t>（2）报警信号系统</w:t>
      </w:r>
      <w:bookmarkEnd w:id="298"/>
      <w:bookmarkEnd w:id="299"/>
    </w:p>
    <w:p w14:paraId="3219FEA8">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300" w:name="_Toc31633"/>
      <w:bookmarkStart w:id="301" w:name="_Toc11088"/>
      <w:r>
        <w:rPr>
          <w:rFonts w:hint="default" w:ascii="Times New Roman" w:hAnsi="Times New Roman" w:eastAsia="仿宋_GB2312" w:cs="Times New Roman"/>
          <w:color w:val="auto"/>
          <w:spacing w:val="0"/>
          <w:kern w:val="0"/>
          <w:position w:val="0"/>
          <w:sz w:val="24"/>
          <w:szCs w:val="24"/>
        </w:rPr>
        <w:t>企业报警信号系统应分为三级，具体如下：</w:t>
      </w:r>
      <w:bookmarkEnd w:id="300"/>
      <w:bookmarkEnd w:id="301"/>
    </w:p>
    <w:p w14:paraId="0DF27AD1">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302" w:name="_Toc5256"/>
      <w:bookmarkStart w:id="303" w:name="_Toc6096"/>
      <w:r>
        <w:rPr>
          <w:rFonts w:hint="default" w:ascii="Times New Roman" w:hAnsi="Times New Roman" w:eastAsia="仿宋_GB2312" w:cs="Times New Roman"/>
          <w:color w:val="auto"/>
          <w:spacing w:val="0"/>
          <w:kern w:val="0"/>
          <w:position w:val="0"/>
          <w:sz w:val="24"/>
          <w:szCs w:val="24"/>
        </w:rPr>
        <w:t>一级报警：只影响车间/装置本身，如果发生该类报警，车间/装置人员应紧急启动车间/装置应急程序，所有非车间/装置人员应立即离开事故车间/装置区，并在指定紧急事故点汇合，等候事故指挥部调遣指挥。</w:t>
      </w:r>
      <w:bookmarkEnd w:id="302"/>
      <w:bookmarkEnd w:id="303"/>
    </w:p>
    <w:p w14:paraId="68083F9E">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304" w:name="_Toc21870"/>
      <w:bookmarkStart w:id="305" w:name="_Toc14611"/>
      <w:r>
        <w:rPr>
          <w:rFonts w:hint="default" w:ascii="Times New Roman" w:hAnsi="Times New Roman" w:eastAsia="仿宋_GB2312" w:cs="Times New Roman"/>
          <w:color w:val="auto"/>
          <w:spacing w:val="0"/>
          <w:kern w:val="0"/>
          <w:position w:val="0"/>
          <w:sz w:val="24"/>
          <w:szCs w:val="24"/>
        </w:rPr>
        <w:t>二级报警：车间关键岗位、厂周界附近设监测仪器，一旦危险物超过警戒浓度，或者厂内发生一般性火灾或爆炸事故，则立即发出警报。如发生该类报警，车间/装置人员紧急启动应急程序，其他人员紧急撤离到指定安全区域待命，并同时向临近厂和</w:t>
      </w:r>
      <w:r>
        <w:rPr>
          <w:rFonts w:hint="default" w:ascii="Times New Roman" w:hAnsi="Times New Roman" w:eastAsia="仿宋_GB2312" w:cs="Times New Roman"/>
          <w:color w:val="auto"/>
          <w:spacing w:val="0"/>
          <w:kern w:val="0"/>
          <w:position w:val="0"/>
          <w:sz w:val="24"/>
          <w:szCs w:val="24"/>
          <w:lang w:val="en-US" w:eastAsia="zh-CN"/>
        </w:rPr>
        <w:t>高新区</w:t>
      </w:r>
      <w:r>
        <w:rPr>
          <w:rFonts w:hint="default" w:ascii="Times New Roman" w:hAnsi="Times New Roman" w:eastAsia="仿宋_GB2312" w:cs="Times New Roman"/>
          <w:color w:val="auto"/>
          <w:spacing w:val="0"/>
          <w:kern w:val="0"/>
          <w:position w:val="0"/>
          <w:sz w:val="24"/>
          <w:szCs w:val="24"/>
        </w:rPr>
        <w:t>管委会、消防部部门、生态环境局报告，要求和指导周边企业启动应急程序。</w:t>
      </w:r>
      <w:bookmarkEnd w:id="304"/>
      <w:bookmarkEnd w:id="305"/>
    </w:p>
    <w:p w14:paraId="41DE86A6">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306" w:name="_Toc29390"/>
      <w:bookmarkStart w:id="307" w:name="_Toc20533"/>
      <w:r>
        <w:rPr>
          <w:rFonts w:hint="default" w:ascii="Times New Roman" w:hAnsi="Times New Roman" w:eastAsia="仿宋_GB2312" w:cs="Times New Roman"/>
          <w:color w:val="auto"/>
          <w:spacing w:val="0"/>
          <w:kern w:val="0"/>
          <w:position w:val="0"/>
          <w:sz w:val="24"/>
          <w:szCs w:val="24"/>
        </w:rPr>
        <w:t>三级报警：发生对厂界外有重大影响的事故，如车间爆炸以及发生重大泄漏等，除厂内启动紧急程序外，应立即向邻近企业和开发区管委会、政府、消防、环保及安全生产监督部门报告，申请救援并要求周围企业启动应急计划。</w:t>
      </w:r>
      <w:bookmarkEnd w:id="306"/>
      <w:bookmarkEnd w:id="307"/>
    </w:p>
    <w:p w14:paraId="4B3AC36A">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308" w:name="_Toc15157"/>
      <w:bookmarkStart w:id="309" w:name="_Toc12327"/>
      <w:r>
        <w:rPr>
          <w:rFonts w:hint="default" w:ascii="Times New Roman" w:hAnsi="Times New Roman" w:eastAsia="仿宋_GB2312" w:cs="Times New Roman"/>
          <w:color w:val="auto"/>
          <w:spacing w:val="0"/>
          <w:kern w:val="0"/>
          <w:position w:val="0"/>
          <w:sz w:val="24"/>
          <w:szCs w:val="24"/>
        </w:rPr>
        <w:t>报警系统采用报警器、广播和无线、有线电话等方式。</w:t>
      </w:r>
      <w:bookmarkEnd w:id="308"/>
      <w:bookmarkEnd w:id="309"/>
    </w:p>
    <w:p w14:paraId="4B74CCEB">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310" w:name="_Toc2623"/>
      <w:bookmarkStart w:id="311" w:name="_Toc22172"/>
      <w:r>
        <w:rPr>
          <w:rFonts w:hint="default" w:ascii="Times New Roman" w:hAnsi="Times New Roman" w:eastAsia="仿宋_GB2312" w:cs="Times New Roman"/>
          <w:color w:val="auto"/>
          <w:spacing w:val="0"/>
          <w:kern w:val="0"/>
          <w:position w:val="0"/>
          <w:sz w:val="24"/>
          <w:szCs w:val="24"/>
        </w:rPr>
        <w:t>（3）事故的处理</w:t>
      </w:r>
      <w:bookmarkEnd w:id="310"/>
      <w:bookmarkEnd w:id="311"/>
    </w:p>
    <w:p w14:paraId="3AA12C4C">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312" w:name="_Toc14817"/>
      <w:bookmarkStart w:id="313" w:name="_Toc10991"/>
      <w:r>
        <w:rPr>
          <w:rFonts w:hint="default" w:ascii="Times New Roman" w:hAnsi="Times New Roman" w:eastAsia="仿宋_GB2312" w:cs="Times New Roman"/>
          <w:color w:val="auto"/>
          <w:spacing w:val="0"/>
          <w:kern w:val="0"/>
          <w:position w:val="0"/>
          <w:sz w:val="24"/>
          <w:szCs w:val="24"/>
        </w:rPr>
        <w:t>事故应急救援内容包括污染源控制、人员疏散和污染物处置等内容，救助具体如下：</w:t>
      </w:r>
      <w:bookmarkEnd w:id="312"/>
      <w:bookmarkEnd w:id="313"/>
    </w:p>
    <w:p w14:paraId="71608A7D">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314" w:name="_Toc18991"/>
      <w:bookmarkStart w:id="315" w:name="_Toc27981"/>
      <w:r>
        <w:rPr>
          <w:rFonts w:hint="default" w:ascii="Times New Roman" w:hAnsi="Times New Roman" w:eastAsia="仿宋_GB2312" w:cs="Times New Roman"/>
          <w:color w:val="auto"/>
          <w:spacing w:val="0"/>
          <w:kern w:val="0"/>
          <w:position w:val="0"/>
          <w:sz w:val="24"/>
          <w:szCs w:val="24"/>
        </w:rPr>
        <w:t>①事故发生后，车间/装置人员要紧急进行污染源控制工作。</w:t>
      </w:r>
      <w:bookmarkEnd w:id="314"/>
      <w:bookmarkEnd w:id="315"/>
    </w:p>
    <w:p w14:paraId="32A3F41C">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316" w:name="_Toc7000"/>
      <w:bookmarkStart w:id="317" w:name="_Toc25822"/>
      <w:r>
        <w:rPr>
          <w:rFonts w:hint="default" w:ascii="Times New Roman" w:hAnsi="Times New Roman" w:eastAsia="仿宋_GB2312" w:cs="Times New Roman"/>
          <w:color w:val="auto"/>
          <w:spacing w:val="0"/>
          <w:kern w:val="0"/>
          <w:position w:val="0"/>
          <w:sz w:val="24"/>
          <w:szCs w:val="24"/>
        </w:rPr>
        <w:t>②指挥领导小组接到报警后，应迅速通知有关部门、车间，要求查明事故发生部位和原因，下达应急救援处置指令。同时发出警报，通知指挥部成员及消防队和各专业救援对迅速赶往事故现场。</w:t>
      </w:r>
      <w:bookmarkEnd w:id="316"/>
      <w:bookmarkEnd w:id="317"/>
    </w:p>
    <w:p w14:paraId="02E476BF">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318" w:name="_Toc23028"/>
      <w:bookmarkStart w:id="319" w:name="_Toc3103"/>
      <w:r>
        <w:rPr>
          <w:rFonts w:hint="default" w:ascii="Times New Roman" w:hAnsi="Times New Roman" w:eastAsia="仿宋_GB2312" w:cs="Times New Roman"/>
          <w:color w:val="auto"/>
          <w:spacing w:val="0"/>
          <w:kern w:val="0"/>
          <w:position w:val="0"/>
          <w:sz w:val="24"/>
          <w:szCs w:val="24"/>
        </w:rPr>
        <w:t>③指挥部成员通知所在科室按专业对口迅速向主管上级公安、环保、消防、安监等领导机关报告事故情况。</w:t>
      </w:r>
      <w:bookmarkEnd w:id="318"/>
      <w:bookmarkEnd w:id="319"/>
    </w:p>
    <w:p w14:paraId="0E3FFDAE">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320" w:name="_Toc20146"/>
      <w:bookmarkStart w:id="321" w:name="_Toc5392"/>
      <w:r>
        <w:rPr>
          <w:rFonts w:hint="default" w:ascii="Times New Roman" w:hAnsi="Times New Roman" w:eastAsia="仿宋_GB2312" w:cs="Times New Roman"/>
          <w:color w:val="auto"/>
          <w:spacing w:val="0"/>
          <w:kern w:val="0"/>
          <w:position w:val="0"/>
          <w:sz w:val="24"/>
          <w:szCs w:val="24"/>
        </w:rPr>
        <w:t>④发生事故的部位，应迅速查明事故发生原点、泄漏部位和原因。指挥部成员到达事故现场后，根据事故状态及危害程度做出相应的应急确定，并命令各应急救援队立即开展救援，如事故扩大，应请求厂外支援。</w:t>
      </w:r>
      <w:bookmarkEnd w:id="320"/>
      <w:bookmarkEnd w:id="321"/>
    </w:p>
    <w:p w14:paraId="519A4F7B">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322" w:name="_Toc30563"/>
      <w:bookmarkStart w:id="323" w:name="_Toc9892"/>
      <w:r>
        <w:rPr>
          <w:rFonts w:hint="default" w:ascii="Times New Roman" w:hAnsi="Times New Roman" w:eastAsia="仿宋_GB2312" w:cs="Times New Roman"/>
          <w:color w:val="auto"/>
          <w:spacing w:val="0"/>
          <w:kern w:val="0"/>
          <w:position w:val="0"/>
          <w:sz w:val="24"/>
          <w:szCs w:val="24"/>
        </w:rPr>
        <w:t>⑤事故发生时至少派一人往下风向开展紧急监测，佩戴随身无线通讯工具、便携式检测仪，随时向指挥部报告下风向污染物浓度和距离情况，必要时根据指挥部决定通知扩散区域内的群众撤离或指导采取简易有效的保护措施。</w:t>
      </w:r>
      <w:bookmarkEnd w:id="322"/>
      <w:bookmarkEnd w:id="323"/>
    </w:p>
    <w:p w14:paraId="3C30A4BD">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324" w:name="_Toc8133"/>
      <w:bookmarkStart w:id="325" w:name="_Toc5402"/>
      <w:r>
        <w:rPr>
          <w:rFonts w:hint="default" w:ascii="Times New Roman" w:hAnsi="Times New Roman" w:eastAsia="仿宋_GB2312" w:cs="Times New Roman"/>
          <w:color w:val="auto"/>
          <w:spacing w:val="0"/>
          <w:kern w:val="0"/>
          <w:position w:val="0"/>
          <w:sz w:val="24"/>
          <w:szCs w:val="24"/>
        </w:rPr>
        <w:t>⑥火灾等高危害事故发生后影响较大，应向消防、公安等部门申请紧急支援，并开展紧急疏散和人员急救。应急救援策略厂内采用防护、逃生及应急处置三重考虑，而厂外居民和邻近企业以尽快撤离逃生为主。</w:t>
      </w:r>
      <w:bookmarkEnd w:id="324"/>
      <w:bookmarkEnd w:id="325"/>
    </w:p>
    <w:p w14:paraId="5CAC15F3">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326" w:name="_Toc9265"/>
      <w:bookmarkStart w:id="327" w:name="_Toc23635"/>
      <w:r>
        <w:rPr>
          <w:rFonts w:hint="default" w:ascii="Times New Roman" w:hAnsi="Times New Roman" w:eastAsia="仿宋_GB2312" w:cs="Times New Roman"/>
          <w:color w:val="auto"/>
          <w:spacing w:val="0"/>
          <w:kern w:val="0"/>
          <w:position w:val="0"/>
          <w:sz w:val="24"/>
          <w:szCs w:val="24"/>
        </w:rPr>
        <w:t>⑦厂内设立风向标，根据事故情况和风向，设置警戒区域，由派遣增援的公安人员协助维持秩序，负责治安和交通指挥，组织纠察，在事故现场周围设岗，划定禁区并加强警戒和巡逻检查。扩散危及到厂内外人员安全时，应迅速组织有关人员协助友邻单位、厂区外过往行人，在上级指挥部指挥协调下，向上风向的安全地带疏散。</w:t>
      </w:r>
      <w:bookmarkEnd w:id="326"/>
      <w:bookmarkEnd w:id="327"/>
    </w:p>
    <w:p w14:paraId="7263F27D">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328" w:name="_Toc12134"/>
      <w:bookmarkStart w:id="329" w:name="_Toc6724"/>
      <w:r>
        <w:rPr>
          <w:rFonts w:hint="default" w:ascii="Times New Roman" w:hAnsi="Times New Roman" w:eastAsia="仿宋_GB2312" w:cs="Times New Roman"/>
          <w:color w:val="auto"/>
          <w:spacing w:val="0"/>
          <w:kern w:val="0"/>
          <w:position w:val="0"/>
          <w:sz w:val="24"/>
          <w:szCs w:val="24"/>
        </w:rPr>
        <w:t>⑧现场（或重大事故厂内外区域）如有中毒人员，则医疗救助组与应急抢险组配合，应立即救护伤员和中毒人员，对中毒人员应根据中毒症状及时采取相应的急救措施，对伤员进行清洗包扎或输氧急救，重伤员及时送往医院抢救。</w:t>
      </w:r>
      <w:bookmarkEnd w:id="328"/>
      <w:bookmarkEnd w:id="329"/>
    </w:p>
    <w:p w14:paraId="2573537C">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330" w:name="_Toc20685"/>
      <w:bookmarkStart w:id="331" w:name="_Toc847"/>
      <w:r>
        <w:rPr>
          <w:rFonts w:hint="default" w:ascii="Times New Roman" w:hAnsi="Times New Roman" w:eastAsia="仿宋_GB2312" w:cs="Times New Roman"/>
          <w:color w:val="auto"/>
          <w:spacing w:val="0"/>
          <w:kern w:val="0"/>
          <w:position w:val="0"/>
          <w:sz w:val="24"/>
          <w:szCs w:val="24"/>
        </w:rPr>
        <w:t>⑨当事故得到控制后指挥部要成立调查组，分析事故原因，并研究指定防范措施和抢修善后方案。</w:t>
      </w:r>
      <w:bookmarkEnd w:id="330"/>
      <w:bookmarkEnd w:id="331"/>
    </w:p>
    <w:p w14:paraId="02001C2E">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332" w:name="_Toc15924"/>
      <w:bookmarkStart w:id="333" w:name="_Toc1672"/>
      <w:r>
        <w:rPr>
          <w:rFonts w:hint="default" w:ascii="Times New Roman" w:hAnsi="Times New Roman" w:eastAsia="仿宋_GB2312" w:cs="Times New Roman"/>
          <w:color w:val="auto"/>
          <w:spacing w:val="0"/>
          <w:kern w:val="0"/>
          <w:position w:val="0"/>
          <w:sz w:val="24"/>
          <w:szCs w:val="24"/>
        </w:rPr>
        <w:t>（4）有关规定和要求</w:t>
      </w:r>
      <w:bookmarkEnd w:id="332"/>
      <w:bookmarkEnd w:id="333"/>
    </w:p>
    <w:p w14:paraId="67960FFB">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334" w:name="_Toc3331"/>
      <w:bookmarkStart w:id="335" w:name="_Toc28958"/>
      <w:r>
        <w:rPr>
          <w:rFonts w:hint="default" w:ascii="Times New Roman" w:hAnsi="Times New Roman" w:eastAsia="仿宋_GB2312" w:cs="Times New Roman"/>
          <w:color w:val="auto"/>
          <w:spacing w:val="0"/>
          <w:kern w:val="0"/>
          <w:position w:val="0"/>
          <w:sz w:val="24"/>
          <w:szCs w:val="24"/>
        </w:rPr>
        <w:t>①按照要求落实应急救援组织，每年要根据人员变化进行组织调整，确保救援组织的落实；</w:t>
      </w:r>
      <w:bookmarkEnd w:id="334"/>
      <w:bookmarkEnd w:id="335"/>
    </w:p>
    <w:p w14:paraId="118ED230">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336" w:name="_Toc10131"/>
      <w:bookmarkStart w:id="337" w:name="_Toc22325"/>
      <w:r>
        <w:rPr>
          <w:rFonts w:hint="default" w:ascii="Times New Roman" w:hAnsi="Times New Roman" w:eastAsia="仿宋_GB2312" w:cs="Times New Roman"/>
          <w:color w:val="auto"/>
          <w:spacing w:val="0"/>
          <w:kern w:val="0"/>
          <w:position w:val="0"/>
          <w:sz w:val="24"/>
          <w:szCs w:val="24"/>
        </w:rPr>
        <w:t>②按照任务分工做好物资器材准备，如必要的指挥通讯、报警、洗消、消防、抢修等器材和交通工具。上述各种器材应制定专人保管，并定期检查保养，使其处于良好状态，各重点目标救援器材柜需专人保管以备急用；</w:t>
      </w:r>
      <w:bookmarkEnd w:id="336"/>
      <w:bookmarkEnd w:id="337"/>
    </w:p>
    <w:p w14:paraId="0D1B2FE3">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338" w:name="_Toc6113"/>
      <w:bookmarkStart w:id="339" w:name="_Toc29324"/>
      <w:r>
        <w:rPr>
          <w:rFonts w:hint="default" w:ascii="Times New Roman" w:hAnsi="Times New Roman" w:eastAsia="仿宋_GB2312" w:cs="Times New Roman"/>
          <w:color w:val="auto"/>
          <w:spacing w:val="0"/>
          <w:kern w:val="0"/>
          <w:position w:val="0"/>
          <w:sz w:val="24"/>
          <w:szCs w:val="24"/>
        </w:rPr>
        <w:t>③定期组织救援训练和学习，各队按专业分工每年训练两次，提高指挥水平和救援能力；</w:t>
      </w:r>
      <w:bookmarkEnd w:id="338"/>
      <w:bookmarkEnd w:id="339"/>
    </w:p>
    <w:p w14:paraId="53B8319A">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340" w:name="_Toc28346"/>
      <w:bookmarkStart w:id="341" w:name="_Toc5006"/>
      <w:r>
        <w:rPr>
          <w:rFonts w:hint="default" w:ascii="Times New Roman" w:hAnsi="Times New Roman" w:eastAsia="仿宋_GB2312" w:cs="Times New Roman"/>
          <w:color w:val="auto"/>
          <w:spacing w:val="0"/>
          <w:kern w:val="0"/>
          <w:position w:val="0"/>
          <w:sz w:val="24"/>
          <w:szCs w:val="24"/>
        </w:rPr>
        <w:t>④对全厂职工进行经常性的救援常识教育；</w:t>
      </w:r>
      <w:bookmarkEnd w:id="340"/>
      <w:bookmarkEnd w:id="341"/>
    </w:p>
    <w:p w14:paraId="15DA2802">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342" w:name="_Toc2693"/>
      <w:bookmarkStart w:id="343" w:name="_Toc29939"/>
      <w:r>
        <w:rPr>
          <w:rFonts w:hint="default" w:ascii="Times New Roman" w:hAnsi="Times New Roman" w:eastAsia="仿宋_GB2312" w:cs="Times New Roman"/>
          <w:color w:val="auto"/>
          <w:spacing w:val="0"/>
          <w:kern w:val="0"/>
          <w:position w:val="0"/>
          <w:sz w:val="24"/>
          <w:szCs w:val="24"/>
        </w:rPr>
        <w:t>⑤建立完善各项制度。</w:t>
      </w:r>
      <w:bookmarkEnd w:id="342"/>
      <w:bookmarkEnd w:id="343"/>
    </w:p>
    <w:p w14:paraId="41FC5DC1">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344" w:name="_Toc25847"/>
      <w:bookmarkStart w:id="345" w:name="_Toc21843"/>
      <w:r>
        <w:rPr>
          <w:rFonts w:hint="default" w:ascii="Times New Roman" w:hAnsi="Times New Roman" w:eastAsia="仿宋_GB2312" w:cs="Times New Roman"/>
          <w:color w:val="auto"/>
          <w:spacing w:val="0"/>
          <w:kern w:val="0"/>
          <w:position w:val="0"/>
          <w:sz w:val="24"/>
          <w:szCs w:val="24"/>
        </w:rPr>
        <w:t>（5）报警电话</w:t>
      </w:r>
      <w:bookmarkEnd w:id="344"/>
      <w:bookmarkEnd w:id="345"/>
    </w:p>
    <w:p w14:paraId="7E1CDD9C">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346" w:name="_Toc23759"/>
      <w:bookmarkStart w:id="347" w:name="_Toc29699"/>
      <w:r>
        <w:rPr>
          <w:rFonts w:hint="default" w:ascii="Times New Roman" w:hAnsi="Times New Roman" w:eastAsia="仿宋_GB2312" w:cs="Times New Roman"/>
          <w:color w:val="auto"/>
          <w:spacing w:val="0"/>
          <w:kern w:val="0"/>
          <w:position w:val="0"/>
          <w:sz w:val="24"/>
          <w:szCs w:val="24"/>
        </w:rPr>
        <w:t>火警：119；公安：110；急救：120。</w:t>
      </w:r>
      <w:bookmarkEnd w:id="346"/>
      <w:bookmarkEnd w:id="347"/>
    </w:p>
    <w:p w14:paraId="76A7B495">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348" w:name="_Toc1879"/>
      <w:bookmarkStart w:id="349" w:name="_Toc5771"/>
      <w:r>
        <w:rPr>
          <w:rFonts w:hint="default" w:ascii="Times New Roman" w:hAnsi="Times New Roman" w:eastAsia="仿宋_GB2312" w:cs="Times New Roman"/>
          <w:color w:val="auto"/>
          <w:spacing w:val="0"/>
          <w:kern w:val="0"/>
          <w:position w:val="0"/>
          <w:sz w:val="24"/>
          <w:szCs w:val="24"/>
        </w:rPr>
        <w:t>（6）应急监测</w:t>
      </w:r>
      <w:bookmarkEnd w:id="348"/>
      <w:bookmarkEnd w:id="349"/>
    </w:p>
    <w:p w14:paraId="12D16E6E">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350" w:name="_Toc14620"/>
      <w:bookmarkStart w:id="351" w:name="_Toc6841"/>
      <w:r>
        <w:rPr>
          <w:rFonts w:hint="default" w:ascii="Times New Roman" w:hAnsi="Times New Roman" w:eastAsia="仿宋_GB2312" w:cs="Times New Roman"/>
          <w:color w:val="auto"/>
          <w:spacing w:val="0"/>
          <w:kern w:val="0"/>
          <w:position w:val="0"/>
          <w:sz w:val="24"/>
          <w:szCs w:val="24"/>
        </w:rPr>
        <w:t>在发生突发环境事件时，企业将依托并配合当地环境监测部门开展应急监测，具体应急监测方案根据实际情况进行调整，最终由环境监测部门确定。</w:t>
      </w:r>
      <w:bookmarkEnd w:id="350"/>
      <w:bookmarkEnd w:id="351"/>
    </w:p>
    <w:p w14:paraId="733C92F1">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firstLine="482" w:firstLineChars="200"/>
        <w:textAlignment w:val="auto"/>
        <w:outlineLvl w:val="9"/>
        <w:rPr>
          <w:rFonts w:hint="default" w:ascii="Times New Roman" w:hAnsi="Times New Roman" w:eastAsia="仿宋_GB2312" w:cs="Times New Roman"/>
          <w:b/>
          <w:color w:val="auto"/>
          <w:sz w:val="24"/>
          <w:szCs w:val="24"/>
          <w:highlight w:val="none"/>
        </w:rPr>
      </w:pPr>
      <w:bookmarkStart w:id="352" w:name="_Toc8808"/>
      <w:bookmarkStart w:id="353" w:name="_Toc14395"/>
      <w:bookmarkStart w:id="354" w:name="_Toc31060"/>
      <w:r>
        <w:rPr>
          <w:rFonts w:hint="default" w:ascii="Times New Roman" w:hAnsi="Times New Roman" w:eastAsia="仿宋_GB2312" w:cs="Times New Roman"/>
          <w:b/>
          <w:color w:val="auto"/>
          <w:sz w:val="24"/>
          <w:szCs w:val="24"/>
          <w:highlight w:val="none"/>
        </w:rPr>
        <w:t>应急监测点位的布设</w:t>
      </w:r>
      <w:bookmarkEnd w:id="352"/>
    </w:p>
    <w:p w14:paraId="12AF95DF">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firstLine="480" w:firstLineChars="200"/>
        <w:textAlignment w:val="auto"/>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lang w:val="en-US" w:eastAsia="zh-CN"/>
        </w:rPr>
        <w:t>1</w:t>
      </w:r>
      <w:r>
        <w:rPr>
          <w:rFonts w:hint="default" w:ascii="Times New Roman" w:hAnsi="Times New Roman" w:eastAsia="仿宋_GB2312" w:cs="Times New Roman"/>
          <w:color w:val="auto"/>
          <w:kern w:val="0"/>
          <w:sz w:val="24"/>
          <w:szCs w:val="24"/>
          <w:highlight w:val="none"/>
          <w:lang w:eastAsia="zh-CN"/>
        </w:rPr>
        <w:t>）</w:t>
      </w:r>
      <w:r>
        <w:rPr>
          <w:rFonts w:hint="default" w:ascii="Times New Roman" w:hAnsi="Times New Roman" w:eastAsia="仿宋_GB2312" w:cs="Times New Roman"/>
          <w:color w:val="auto"/>
          <w:kern w:val="0"/>
          <w:sz w:val="24"/>
          <w:szCs w:val="24"/>
          <w:highlight w:val="none"/>
        </w:rPr>
        <w:t>布点原则：采样断面</w:t>
      </w:r>
      <w:r>
        <w:rPr>
          <w:rFonts w:hint="default" w:ascii="Times New Roman" w:hAnsi="Times New Roman" w:eastAsia="仿宋_GB2312" w:cs="Times New Roman"/>
          <w:color w:val="auto"/>
          <w:kern w:val="0"/>
          <w:sz w:val="24"/>
          <w:szCs w:val="24"/>
          <w:highlight w:val="none"/>
          <w:lang w:eastAsia="zh-CN"/>
        </w:rPr>
        <w:t>（</w:t>
      </w:r>
      <w:r>
        <w:rPr>
          <w:rFonts w:hint="default" w:ascii="Times New Roman" w:hAnsi="Times New Roman" w:eastAsia="仿宋_GB2312" w:cs="Times New Roman"/>
          <w:color w:val="auto"/>
          <w:kern w:val="0"/>
          <w:sz w:val="24"/>
          <w:szCs w:val="24"/>
          <w:highlight w:val="none"/>
          <w:lang w:val="en-US" w:eastAsia="zh-CN"/>
        </w:rPr>
        <w:t>点</w:t>
      </w:r>
      <w:r>
        <w:rPr>
          <w:rFonts w:hint="default" w:ascii="Times New Roman" w:hAnsi="Times New Roman" w:eastAsia="仿宋_GB2312" w:cs="Times New Roman"/>
          <w:color w:val="auto"/>
          <w:kern w:val="0"/>
          <w:sz w:val="24"/>
          <w:szCs w:val="24"/>
          <w:highlight w:val="none"/>
          <w:lang w:eastAsia="zh-CN"/>
        </w:rPr>
        <w:t>）</w:t>
      </w:r>
      <w:r>
        <w:rPr>
          <w:rFonts w:hint="default" w:ascii="Times New Roman" w:hAnsi="Times New Roman" w:eastAsia="仿宋_GB2312" w:cs="Times New Roman"/>
          <w:color w:val="auto"/>
          <w:kern w:val="0"/>
          <w:sz w:val="24"/>
          <w:szCs w:val="24"/>
          <w:highlight w:val="none"/>
        </w:rPr>
        <w:t>的设置一般以突发环境事件发生地及其附近区域为主，同时必须注重人群和生活环境、重点关注对饮用水水源地、人群活动区域的空气，农田土壤等区域的影响，并合理设置监测断面（点），以掌握污染发生地状况、反映事故发生区域环境的污染程度和范围。 </w:t>
      </w:r>
    </w:p>
    <w:p w14:paraId="16D66D02">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firstLine="480" w:firstLineChars="200"/>
        <w:textAlignment w:val="auto"/>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lang w:val="en-US" w:eastAsia="zh-CN"/>
        </w:rPr>
        <w:t>2</w:t>
      </w:r>
      <w:r>
        <w:rPr>
          <w:rFonts w:hint="default" w:ascii="Times New Roman" w:hAnsi="Times New Roman" w:eastAsia="仿宋_GB2312" w:cs="Times New Roman"/>
          <w:color w:val="auto"/>
          <w:kern w:val="0"/>
          <w:sz w:val="24"/>
          <w:szCs w:val="24"/>
          <w:highlight w:val="none"/>
          <w:lang w:eastAsia="zh-CN"/>
        </w:rPr>
        <w:t>）</w:t>
      </w:r>
      <w:r>
        <w:rPr>
          <w:rFonts w:hint="default" w:ascii="Times New Roman" w:hAnsi="Times New Roman" w:eastAsia="仿宋_GB2312" w:cs="Times New Roman"/>
          <w:color w:val="auto"/>
          <w:kern w:val="0"/>
          <w:sz w:val="24"/>
          <w:szCs w:val="24"/>
          <w:highlight w:val="none"/>
        </w:rPr>
        <w:t>对被突发环境事件所污染的地表水、地下水、大气和土壤应设置对照断面（点）、控制断面（点）、对地表水和地下水还应设置消减断面、尽可能以最少的断面（点）获取足够的有代表性的所需信息，同时必须考虑采样的可行性和方便性。 </w:t>
      </w:r>
    </w:p>
    <w:p w14:paraId="1F1AA9FA">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firstLine="482" w:firstLineChars="200"/>
        <w:textAlignment w:val="auto"/>
        <w:outlineLvl w:val="9"/>
        <w:rPr>
          <w:rFonts w:hint="default" w:ascii="Times New Roman" w:hAnsi="Times New Roman" w:eastAsia="仿宋_GB2312" w:cs="Times New Roman"/>
          <w:b/>
          <w:color w:val="auto"/>
          <w:sz w:val="24"/>
          <w:szCs w:val="24"/>
          <w:highlight w:val="none"/>
        </w:rPr>
      </w:pPr>
      <w:bookmarkStart w:id="355" w:name="_Toc14963"/>
      <w:bookmarkStart w:id="356" w:name="_Toc13594"/>
      <w:bookmarkStart w:id="357" w:name="_Toc15550"/>
      <w:r>
        <w:rPr>
          <w:rFonts w:hint="default" w:ascii="Times New Roman" w:hAnsi="Times New Roman" w:eastAsia="仿宋_GB2312" w:cs="Times New Roman"/>
          <w:b/>
          <w:color w:val="auto"/>
          <w:sz w:val="24"/>
          <w:szCs w:val="24"/>
          <w:highlight w:val="none"/>
        </w:rPr>
        <w:t>应急监测方案的确定</w:t>
      </w:r>
      <w:bookmarkEnd w:id="355"/>
      <w:bookmarkEnd w:id="356"/>
      <w:bookmarkEnd w:id="357"/>
    </w:p>
    <w:p w14:paraId="038EC384">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firstLine="480" w:firstLineChars="200"/>
        <w:textAlignment w:val="auto"/>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lang w:val="en-US" w:eastAsia="zh-CN"/>
        </w:rPr>
        <w:t>1</w:t>
      </w:r>
      <w:r>
        <w:rPr>
          <w:rFonts w:hint="default" w:ascii="Times New Roman" w:hAnsi="Times New Roman" w:eastAsia="仿宋_GB2312" w:cs="Times New Roman"/>
          <w:color w:val="auto"/>
          <w:kern w:val="0"/>
          <w:sz w:val="24"/>
          <w:szCs w:val="24"/>
          <w:highlight w:val="none"/>
          <w:lang w:eastAsia="zh-CN"/>
        </w:rPr>
        <w:t>）</w:t>
      </w:r>
      <w:r>
        <w:rPr>
          <w:rFonts w:hint="default" w:ascii="Times New Roman" w:hAnsi="Times New Roman" w:eastAsia="仿宋_GB2312" w:cs="Times New Roman"/>
          <w:color w:val="auto"/>
          <w:kern w:val="0"/>
          <w:sz w:val="24"/>
          <w:szCs w:val="24"/>
          <w:highlight w:val="none"/>
        </w:rPr>
        <w:t>根据企业应急领导小组的指示，建立全厂应急监测网络，组织制定全厂突发性环境污染事故应急监测预案。 </w:t>
      </w:r>
    </w:p>
    <w:p w14:paraId="16B6CA39">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firstLine="480" w:firstLineChars="200"/>
        <w:textAlignment w:val="auto"/>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lang w:val="en-US" w:eastAsia="zh-CN"/>
        </w:rPr>
        <w:t>2</w:t>
      </w:r>
      <w:r>
        <w:rPr>
          <w:rFonts w:hint="default" w:ascii="Times New Roman" w:hAnsi="Times New Roman" w:eastAsia="仿宋_GB2312" w:cs="Times New Roman"/>
          <w:color w:val="auto"/>
          <w:kern w:val="0"/>
          <w:sz w:val="24"/>
          <w:szCs w:val="24"/>
          <w:highlight w:val="none"/>
          <w:lang w:eastAsia="zh-CN"/>
        </w:rPr>
        <w:t>）</w:t>
      </w:r>
      <w:r>
        <w:rPr>
          <w:rFonts w:hint="default" w:ascii="Times New Roman" w:hAnsi="Times New Roman" w:eastAsia="仿宋_GB2312" w:cs="Times New Roman"/>
          <w:color w:val="auto"/>
          <w:kern w:val="0"/>
          <w:sz w:val="24"/>
          <w:szCs w:val="24"/>
          <w:highlight w:val="none"/>
        </w:rPr>
        <w:t>通过初步现场及实验室分析，对污染物进行定性，定量以及确定污染范围。根据不同形式的环境事故，确定好监测对象、监测点位、监测项目、监测方法、监测频次、质控要求。同时做好分工，由小组组长分配好任务。 </w:t>
      </w:r>
    </w:p>
    <w:p w14:paraId="5AE32345">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firstLine="480" w:firstLineChars="200"/>
        <w:textAlignment w:val="auto"/>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lang w:val="en-US" w:eastAsia="zh-CN"/>
        </w:rPr>
        <w:t>3</w:t>
      </w:r>
      <w:r>
        <w:rPr>
          <w:rFonts w:hint="default" w:ascii="Times New Roman" w:hAnsi="Times New Roman" w:eastAsia="仿宋_GB2312" w:cs="Times New Roman"/>
          <w:color w:val="auto"/>
          <w:kern w:val="0"/>
          <w:sz w:val="24"/>
          <w:szCs w:val="24"/>
          <w:highlight w:val="none"/>
          <w:lang w:eastAsia="zh-CN"/>
        </w:rPr>
        <w:t>）</w:t>
      </w:r>
      <w:r>
        <w:rPr>
          <w:rFonts w:hint="default" w:ascii="Times New Roman" w:hAnsi="Times New Roman" w:eastAsia="仿宋_GB2312" w:cs="Times New Roman"/>
          <w:color w:val="auto"/>
          <w:kern w:val="0"/>
          <w:sz w:val="24"/>
          <w:szCs w:val="24"/>
          <w:highlight w:val="none"/>
        </w:rPr>
        <w:t>现场采样与监测。由厂应急领导小组进行突发性环境污染事故应急监测的技术指导和应急监测技术研究工作。</w:t>
      </w:r>
    </w:p>
    <w:p w14:paraId="2FE1809B">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firstLine="480" w:firstLineChars="200"/>
        <w:textAlignment w:val="auto"/>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lang w:val="en-US" w:eastAsia="zh-CN"/>
        </w:rPr>
        <w:t>4</w:t>
      </w:r>
      <w:r>
        <w:rPr>
          <w:rFonts w:hint="default" w:ascii="Times New Roman" w:hAnsi="Times New Roman" w:eastAsia="仿宋_GB2312" w:cs="Times New Roman"/>
          <w:color w:val="auto"/>
          <w:kern w:val="0"/>
          <w:sz w:val="24"/>
          <w:szCs w:val="24"/>
          <w:highlight w:val="none"/>
          <w:lang w:eastAsia="zh-CN"/>
        </w:rPr>
        <w:t>）</w:t>
      </w:r>
      <w:r>
        <w:rPr>
          <w:rFonts w:hint="default" w:ascii="Times New Roman" w:hAnsi="Times New Roman" w:eastAsia="仿宋_GB2312" w:cs="Times New Roman"/>
          <w:color w:val="auto"/>
          <w:kern w:val="0"/>
          <w:sz w:val="24"/>
          <w:szCs w:val="24"/>
          <w:highlight w:val="none"/>
        </w:rPr>
        <w:t>根据事态的变化，在厂应急领导小组的指导下根据《突发环境事件应急监测技术规范》（</w:t>
      </w:r>
      <w:r>
        <w:rPr>
          <w:rFonts w:hint="default" w:ascii="Times New Roman" w:hAnsi="Times New Roman" w:eastAsia="仿宋_GB2312" w:cs="Times New Roman"/>
          <w:color w:val="auto"/>
          <w:kern w:val="0"/>
          <w:sz w:val="24"/>
          <w:szCs w:val="24"/>
          <w:highlight w:val="none"/>
          <w:lang w:eastAsia="zh-CN"/>
        </w:rPr>
        <w:t>HJ 589-2021</w:t>
      </w:r>
      <w:r>
        <w:rPr>
          <w:rFonts w:hint="default" w:ascii="Times New Roman" w:hAnsi="Times New Roman" w:eastAsia="仿宋_GB2312" w:cs="Times New Roman"/>
          <w:color w:val="auto"/>
          <w:kern w:val="0"/>
          <w:sz w:val="24"/>
          <w:szCs w:val="24"/>
          <w:highlight w:val="none"/>
        </w:rPr>
        <w:t>）适当调整监测方案。 </w:t>
      </w:r>
    </w:p>
    <w:p w14:paraId="343E5750">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firstLine="480" w:firstLineChars="200"/>
        <w:textAlignment w:val="auto"/>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lang w:val="en-US" w:eastAsia="zh-CN"/>
        </w:rPr>
        <w:t>5</w:t>
      </w:r>
      <w:r>
        <w:rPr>
          <w:rFonts w:hint="default" w:ascii="Times New Roman" w:hAnsi="Times New Roman" w:eastAsia="仿宋_GB2312" w:cs="Times New Roman"/>
          <w:color w:val="auto"/>
          <w:kern w:val="0"/>
          <w:sz w:val="24"/>
          <w:szCs w:val="24"/>
          <w:highlight w:val="none"/>
          <w:lang w:eastAsia="zh-CN"/>
        </w:rPr>
        <w:t>）</w:t>
      </w:r>
      <w:r>
        <w:rPr>
          <w:rFonts w:hint="default" w:ascii="Times New Roman" w:hAnsi="Times New Roman" w:eastAsia="仿宋_GB2312" w:cs="Times New Roman"/>
          <w:color w:val="auto"/>
          <w:kern w:val="0"/>
          <w:sz w:val="24"/>
          <w:szCs w:val="24"/>
          <w:highlight w:val="none"/>
        </w:rPr>
        <w:t>应急监测终止后应当根据事故变化情况向领导汇报，并分析事故发生的原因，提出预防措施，进行追踪监测。</w:t>
      </w:r>
    </w:p>
    <w:p w14:paraId="7910C206">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firstLine="480" w:firstLineChars="200"/>
        <w:textAlignment w:val="auto"/>
        <w:rPr>
          <w:rFonts w:hint="default" w:ascii="Times New Roman" w:hAnsi="Times New Roman" w:eastAsia="仿宋_GB2312" w:cs="Times New Roman"/>
          <w:b/>
          <w:color w:val="auto"/>
          <w:sz w:val="24"/>
          <w:szCs w:val="24"/>
          <w:highlight w:val="yellow"/>
          <w:lang w:val="en-US" w:eastAsia="zh-CN"/>
        </w:rPr>
      </w:pPr>
      <w:r>
        <w:rPr>
          <w:rFonts w:hint="default" w:ascii="Times New Roman" w:hAnsi="Times New Roman" w:eastAsia="仿宋_GB2312" w:cs="Times New Roman"/>
          <w:color w:val="auto"/>
          <w:kern w:val="0"/>
          <w:sz w:val="24"/>
          <w:szCs w:val="24"/>
          <w:highlight w:val="none"/>
          <w:lang w:val="en-US" w:eastAsia="zh-CN"/>
        </w:rPr>
        <w:t>6</w:t>
      </w:r>
      <w:r>
        <w:rPr>
          <w:rFonts w:hint="default" w:ascii="Times New Roman" w:hAnsi="Times New Roman" w:eastAsia="仿宋_GB2312" w:cs="Times New Roman"/>
          <w:color w:val="auto"/>
          <w:kern w:val="0"/>
          <w:sz w:val="24"/>
          <w:szCs w:val="24"/>
          <w:highlight w:val="none"/>
          <w:lang w:eastAsia="zh-CN"/>
        </w:rPr>
        <w:t>）</w:t>
      </w:r>
      <w:r>
        <w:rPr>
          <w:rFonts w:hint="default" w:ascii="Times New Roman" w:hAnsi="Times New Roman" w:eastAsia="仿宋_GB2312" w:cs="Times New Roman"/>
          <w:color w:val="auto"/>
          <w:kern w:val="0"/>
          <w:sz w:val="24"/>
          <w:szCs w:val="24"/>
          <w:highlight w:val="none"/>
        </w:rPr>
        <w:t>完成厂应急领导小组交办的其它工作。</w:t>
      </w:r>
    </w:p>
    <w:p w14:paraId="3824E82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jc w:val="center"/>
        <w:textAlignment w:val="auto"/>
        <w:rPr>
          <w:rFonts w:hint="default" w:ascii="Times New Roman" w:hAnsi="Times New Roman" w:eastAsia="仿宋_GB2312" w:cs="Times New Roman"/>
          <w:b/>
          <w:color w:val="auto"/>
          <w:sz w:val="24"/>
          <w:szCs w:val="24"/>
          <w:highlight w:val="none"/>
          <w:lang w:val="en-US" w:eastAsia="zh-CN"/>
        </w:rPr>
      </w:pPr>
      <w:r>
        <w:rPr>
          <w:rFonts w:hint="default" w:ascii="Times New Roman" w:hAnsi="Times New Roman" w:eastAsia="仿宋_GB2312" w:cs="Times New Roman"/>
          <w:b/>
          <w:color w:val="auto"/>
          <w:sz w:val="24"/>
          <w:szCs w:val="24"/>
          <w:highlight w:val="none"/>
          <w:lang w:val="en-US" w:eastAsia="zh-CN"/>
        </w:rPr>
        <w:t>表5.5-2  应急监测频次确定原则</w:t>
      </w:r>
    </w:p>
    <w:tbl>
      <w:tblPr>
        <w:tblStyle w:val="3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76"/>
        <w:gridCol w:w="1759"/>
        <w:gridCol w:w="2833"/>
        <w:gridCol w:w="3416"/>
      </w:tblGrid>
      <w:tr w14:paraId="068B72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87" w:type="pct"/>
            <w:noWrap w:val="0"/>
            <w:vAlign w:val="center"/>
          </w:tcPr>
          <w:p w14:paraId="6AA46C2F">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b/>
                <w:bCs/>
                <w:color w:val="auto"/>
                <w:highlight w:val="none"/>
                <w:lang w:eastAsia="zh-CN"/>
              </w:rPr>
            </w:pPr>
            <w:r>
              <w:rPr>
                <w:rFonts w:hint="default" w:ascii="Times New Roman" w:hAnsi="Times New Roman" w:eastAsia="仿宋_GB2312" w:cs="Times New Roman"/>
                <w:b/>
                <w:bCs/>
                <w:color w:val="auto"/>
                <w:highlight w:val="none"/>
                <w:lang w:eastAsia="zh-CN"/>
              </w:rPr>
              <w:t>事故类型</w:t>
            </w:r>
          </w:p>
        </w:tc>
        <w:tc>
          <w:tcPr>
            <w:tcW w:w="947" w:type="pct"/>
            <w:noWrap w:val="0"/>
            <w:vAlign w:val="center"/>
          </w:tcPr>
          <w:p w14:paraId="62E2341F">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b/>
                <w:bCs/>
                <w:color w:val="auto"/>
                <w:highlight w:val="none"/>
                <w:lang w:eastAsia="zh-CN"/>
              </w:rPr>
            </w:pPr>
            <w:r>
              <w:rPr>
                <w:rFonts w:hint="default" w:ascii="Times New Roman" w:hAnsi="Times New Roman" w:eastAsia="仿宋_GB2312" w:cs="Times New Roman"/>
                <w:b/>
                <w:bCs/>
                <w:color w:val="auto"/>
                <w:highlight w:val="none"/>
                <w:lang w:eastAsia="zh-CN"/>
              </w:rPr>
              <w:t>监测点位</w:t>
            </w:r>
          </w:p>
        </w:tc>
        <w:tc>
          <w:tcPr>
            <w:tcW w:w="1525" w:type="pct"/>
            <w:noWrap w:val="0"/>
            <w:vAlign w:val="center"/>
          </w:tcPr>
          <w:p w14:paraId="240A2ADD">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b/>
                <w:bCs/>
                <w:color w:val="auto"/>
                <w:highlight w:val="none"/>
                <w:lang w:eastAsia="zh-CN"/>
              </w:rPr>
            </w:pPr>
            <w:r>
              <w:rPr>
                <w:rFonts w:hint="default" w:ascii="Times New Roman" w:hAnsi="Times New Roman" w:eastAsia="仿宋_GB2312" w:cs="Times New Roman"/>
                <w:b/>
                <w:bCs/>
                <w:color w:val="auto"/>
                <w:highlight w:val="none"/>
                <w:lang w:eastAsia="zh-CN"/>
              </w:rPr>
              <w:t>应急监测频次</w:t>
            </w:r>
          </w:p>
        </w:tc>
        <w:tc>
          <w:tcPr>
            <w:tcW w:w="1839" w:type="pct"/>
            <w:noWrap w:val="0"/>
            <w:vAlign w:val="center"/>
          </w:tcPr>
          <w:p w14:paraId="618DD423">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b/>
                <w:bCs/>
                <w:color w:val="auto"/>
                <w:highlight w:val="none"/>
                <w:lang w:eastAsia="zh-CN"/>
              </w:rPr>
            </w:pPr>
            <w:r>
              <w:rPr>
                <w:rFonts w:hint="default" w:ascii="Times New Roman" w:hAnsi="Times New Roman" w:eastAsia="仿宋_GB2312" w:cs="Times New Roman"/>
                <w:b/>
                <w:bCs/>
                <w:color w:val="auto"/>
                <w:highlight w:val="none"/>
                <w:lang w:eastAsia="zh-CN"/>
              </w:rPr>
              <w:t>跟踪监测频次</w:t>
            </w:r>
          </w:p>
        </w:tc>
      </w:tr>
      <w:tr w14:paraId="6ECDB8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687" w:type="pct"/>
            <w:vMerge w:val="restart"/>
            <w:noWrap w:val="0"/>
            <w:vAlign w:val="center"/>
          </w:tcPr>
          <w:p w14:paraId="3C857002">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color w:val="auto"/>
                <w:highlight w:val="none"/>
                <w:lang w:eastAsia="zh-CN"/>
              </w:rPr>
            </w:pPr>
            <w:r>
              <w:rPr>
                <w:rFonts w:hint="default" w:ascii="Times New Roman" w:hAnsi="Times New Roman" w:eastAsia="仿宋_GB2312" w:cs="Times New Roman"/>
                <w:color w:val="auto"/>
                <w:highlight w:val="none"/>
                <w:lang w:eastAsia="zh-CN"/>
              </w:rPr>
              <w:t>大气污染</w:t>
            </w:r>
          </w:p>
        </w:tc>
        <w:tc>
          <w:tcPr>
            <w:tcW w:w="947" w:type="pct"/>
            <w:noWrap w:val="0"/>
            <w:vAlign w:val="center"/>
          </w:tcPr>
          <w:p w14:paraId="13710379">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color w:val="auto"/>
                <w:highlight w:val="none"/>
                <w:lang w:eastAsia="zh-CN"/>
              </w:rPr>
            </w:pPr>
            <w:r>
              <w:rPr>
                <w:rFonts w:hint="default" w:ascii="Times New Roman" w:hAnsi="Times New Roman" w:eastAsia="仿宋_GB2312" w:cs="Times New Roman"/>
                <w:color w:val="auto"/>
                <w:highlight w:val="none"/>
                <w:lang w:eastAsia="zh-CN"/>
              </w:rPr>
              <w:t>事发地</w:t>
            </w:r>
          </w:p>
        </w:tc>
        <w:tc>
          <w:tcPr>
            <w:tcW w:w="1525" w:type="pct"/>
            <w:noWrap w:val="0"/>
            <w:vAlign w:val="center"/>
          </w:tcPr>
          <w:p w14:paraId="32E50DF4">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color w:val="auto"/>
                <w:highlight w:val="none"/>
                <w:lang w:eastAsia="zh-CN"/>
              </w:rPr>
            </w:pPr>
            <w:r>
              <w:rPr>
                <w:rFonts w:hint="default" w:ascii="Times New Roman" w:hAnsi="Times New Roman" w:eastAsia="仿宋_GB2312" w:cs="Times New Roman"/>
                <w:color w:val="auto"/>
                <w:highlight w:val="none"/>
                <w:lang w:eastAsia="zh-CN"/>
              </w:rPr>
              <w:t>初始加密（数次</w:t>
            </w:r>
            <w:r>
              <w:rPr>
                <w:rFonts w:hint="default" w:ascii="Times New Roman" w:hAnsi="Times New Roman" w:eastAsia="仿宋_GB2312" w:cs="Times New Roman"/>
                <w:color w:val="auto"/>
                <w:highlight w:val="none"/>
                <w:lang w:val="en-US" w:eastAsia="zh-CN"/>
              </w:rPr>
              <w:t>/天），随污染物浓度下降逐渐降低频次</w:t>
            </w:r>
          </w:p>
        </w:tc>
        <w:tc>
          <w:tcPr>
            <w:tcW w:w="1839" w:type="pct"/>
            <w:noWrap w:val="0"/>
            <w:vAlign w:val="center"/>
          </w:tcPr>
          <w:p w14:paraId="13EF9DCB">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color w:val="auto"/>
                <w:highlight w:val="none"/>
                <w:lang w:eastAsia="zh-CN"/>
              </w:rPr>
            </w:pPr>
            <w:r>
              <w:rPr>
                <w:rFonts w:hint="default" w:ascii="Times New Roman" w:hAnsi="Times New Roman" w:eastAsia="仿宋_GB2312" w:cs="Times New Roman"/>
                <w:color w:val="auto"/>
                <w:highlight w:val="none"/>
                <w:lang w:eastAsia="zh-CN"/>
              </w:rPr>
              <w:t>连续两次监测浓度均低于空气质量标准值或已接近可忽略水平为止</w:t>
            </w:r>
          </w:p>
        </w:tc>
      </w:tr>
      <w:tr w14:paraId="3296E5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687" w:type="pct"/>
            <w:vMerge w:val="continue"/>
            <w:noWrap w:val="0"/>
            <w:vAlign w:val="center"/>
          </w:tcPr>
          <w:p w14:paraId="5E2C822C">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color w:val="auto"/>
                <w:highlight w:val="none"/>
                <w:lang w:eastAsia="zh-CN"/>
              </w:rPr>
            </w:pPr>
          </w:p>
        </w:tc>
        <w:tc>
          <w:tcPr>
            <w:tcW w:w="947" w:type="pct"/>
            <w:noWrap w:val="0"/>
            <w:vAlign w:val="center"/>
          </w:tcPr>
          <w:p w14:paraId="6DCE1080">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color w:val="auto"/>
                <w:highlight w:val="none"/>
                <w:lang w:eastAsia="zh-CN"/>
              </w:rPr>
            </w:pPr>
            <w:r>
              <w:rPr>
                <w:rFonts w:hint="default" w:ascii="Times New Roman" w:hAnsi="Times New Roman" w:eastAsia="仿宋_GB2312" w:cs="Times New Roman"/>
                <w:color w:val="auto"/>
                <w:highlight w:val="none"/>
                <w:lang w:eastAsia="zh-CN"/>
              </w:rPr>
              <w:t>事发地周围敏感区域</w:t>
            </w:r>
          </w:p>
        </w:tc>
        <w:tc>
          <w:tcPr>
            <w:tcW w:w="1525" w:type="pct"/>
            <w:noWrap w:val="0"/>
            <w:vAlign w:val="center"/>
          </w:tcPr>
          <w:p w14:paraId="20DC21F3">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color w:val="auto"/>
                <w:highlight w:val="none"/>
                <w:lang w:eastAsia="zh-CN"/>
              </w:rPr>
            </w:pPr>
            <w:r>
              <w:rPr>
                <w:rFonts w:hint="default" w:ascii="Times New Roman" w:hAnsi="Times New Roman" w:eastAsia="仿宋_GB2312" w:cs="Times New Roman"/>
                <w:color w:val="auto"/>
                <w:highlight w:val="none"/>
                <w:lang w:eastAsia="zh-CN"/>
              </w:rPr>
              <w:t>初始加密（数次</w:t>
            </w:r>
            <w:r>
              <w:rPr>
                <w:rFonts w:hint="default" w:ascii="Times New Roman" w:hAnsi="Times New Roman" w:eastAsia="仿宋_GB2312" w:cs="Times New Roman"/>
                <w:color w:val="auto"/>
                <w:highlight w:val="none"/>
                <w:lang w:val="en-US" w:eastAsia="zh-CN"/>
              </w:rPr>
              <w:t>/天），随污染物浓度下降逐渐降低频次</w:t>
            </w:r>
          </w:p>
        </w:tc>
        <w:tc>
          <w:tcPr>
            <w:tcW w:w="1839" w:type="pct"/>
            <w:noWrap w:val="0"/>
            <w:vAlign w:val="center"/>
          </w:tcPr>
          <w:p w14:paraId="1240C691">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color w:val="auto"/>
                <w:highlight w:val="none"/>
                <w:lang w:eastAsia="zh-CN"/>
              </w:rPr>
            </w:pPr>
            <w:r>
              <w:rPr>
                <w:rFonts w:hint="default" w:ascii="Times New Roman" w:hAnsi="Times New Roman" w:eastAsia="仿宋_GB2312" w:cs="Times New Roman"/>
                <w:color w:val="auto"/>
                <w:highlight w:val="none"/>
                <w:lang w:eastAsia="zh-CN"/>
              </w:rPr>
              <w:t>连续两次监测浓度均低于空气质量标准值或已接近可忽略水平为止</w:t>
            </w:r>
          </w:p>
        </w:tc>
      </w:tr>
      <w:tr w14:paraId="7847E4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687" w:type="pct"/>
            <w:vMerge w:val="continue"/>
            <w:noWrap w:val="0"/>
            <w:vAlign w:val="center"/>
          </w:tcPr>
          <w:p w14:paraId="0339BD55">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color w:val="auto"/>
                <w:highlight w:val="none"/>
                <w:lang w:eastAsia="zh-CN"/>
              </w:rPr>
            </w:pPr>
          </w:p>
        </w:tc>
        <w:tc>
          <w:tcPr>
            <w:tcW w:w="947" w:type="pct"/>
            <w:noWrap w:val="0"/>
            <w:vAlign w:val="center"/>
          </w:tcPr>
          <w:p w14:paraId="27D6AFDF">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color w:val="auto"/>
                <w:highlight w:val="none"/>
                <w:lang w:eastAsia="zh-CN"/>
              </w:rPr>
            </w:pPr>
            <w:r>
              <w:rPr>
                <w:rFonts w:hint="default" w:ascii="Times New Roman" w:hAnsi="Times New Roman" w:eastAsia="仿宋_GB2312" w:cs="Times New Roman"/>
                <w:color w:val="auto"/>
                <w:highlight w:val="none"/>
                <w:lang w:eastAsia="zh-CN"/>
              </w:rPr>
              <w:t>事发地下风向</w:t>
            </w:r>
          </w:p>
        </w:tc>
        <w:tc>
          <w:tcPr>
            <w:tcW w:w="1525" w:type="pct"/>
            <w:noWrap w:val="0"/>
            <w:vAlign w:val="center"/>
          </w:tcPr>
          <w:p w14:paraId="0358C0A9">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lang w:val="en-US" w:eastAsia="zh-CN"/>
              </w:rPr>
              <w:t>3~4次/天或与事故发生地同频次（应急期间）</w:t>
            </w:r>
          </w:p>
        </w:tc>
        <w:tc>
          <w:tcPr>
            <w:tcW w:w="1839" w:type="pct"/>
            <w:noWrap w:val="0"/>
            <w:vAlign w:val="center"/>
          </w:tcPr>
          <w:p w14:paraId="2E9B6386">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lang w:val="en-US" w:eastAsia="zh-CN"/>
              </w:rPr>
              <w:t>3~4次/天连续2~3天</w:t>
            </w:r>
          </w:p>
        </w:tc>
      </w:tr>
      <w:tr w14:paraId="48BA45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687" w:type="pct"/>
            <w:vMerge w:val="continue"/>
            <w:noWrap w:val="0"/>
            <w:vAlign w:val="center"/>
          </w:tcPr>
          <w:p w14:paraId="76FE0401">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color w:val="auto"/>
                <w:highlight w:val="none"/>
                <w:lang w:eastAsia="zh-CN"/>
              </w:rPr>
            </w:pPr>
          </w:p>
        </w:tc>
        <w:tc>
          <w:tcPr>
            <w:tcW w:w="947" w:type="pct"/>
            <w:noWrap w:val="0"/>
            <w:vAlign w:val="center"/>
          </w:tcPr>
          <w:p w14:paraId="71417233">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color w:val="auto"/>
                <w:highlight w:val="none"/>
                <w:lang w:eastAsia="zh-CN"/>
              </w:rPr>
            </w:pPr>
            <w:r>
              <w:rPr>
                <w:rFonts w:hint="default" w:ascii="Times New Roman" w:hAnsi="Times New Roman" w:eastAsia="仿宋_GB2312" w:cs="Times New Roman"/>
                <w:color w:val="auto"/>
                <w:highlight w:val="none"/>
                <w:lang w:eastAsia="zh-CN"/>
              </w:rPr>
              <w:t>事发地上风向对照点</w:t>
            </w:r>
          </w:p>
        </w:tc>
        <w:tc>
          <w:tcPr>
            <w:tcW w:w="1525" w:type="pct"/>
            <w:noWrap w:val="0"/>
            <w:vAlign w:val="center"/>
          </w:tcPr>
          <w:p w14:paraId="1D8A4CA2">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lang w:val="en-US" w:eastAsia="zh-CN"/>
              </w:rPr>
              <w:t>2~3次/天（应急期间）</w:t>
            </w:r>
          </w:p>
        </w:tc>
        <w:tc>
          <w:tcPr>
            <w:tcW w:w="1839" w:type="pct"/>
            <w:noWrap w:val="0"/>
            <w:vAlign w:val="center"/>
          </w:tcPr>
          <w:p w14:paraId="015D4EBC">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lang w:val="en-US" w:eastAsia="zh-CN"/>
              </w:rPr>
              <w:t>/</w:t>
            </w:r>
          </w:p>
        </w:tc>
      </w:tr>
      <w:tr w14:paraId="5CB801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687" w:type="pct"/>
            <w:vMerge w:val="restart"/>
            <w:noWrap w:val="0"/>
            <w:vAlign w:val="center"/>
          </w:tcPr>
          <w:p w14:paraId="635213DD">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color w:val="auto"/>
                <w:highlight w:val="none"/>
                <w:lang w:eastAsia="zh-CN"/>
              </w:rPr>
            </w:pPr>
            <w:r>
              <w:rPr>
                <w:rFonts w:hint="default" w:ascii="Times New Roman" w:hAnsi="Times New Roman" w:eastAsia="仿宋_GB2312" w:cs="Times New Roman"/>
                <w:color w:val="auto"/>
                <w:highlight w:val="none"/>
                <w:lang w:eastAsia="zh-CN"/>
              </w:rPr>
              <w:t>地表水污染</w:t>
            </w:r>
          </w:p>
        </w:tc>
        <w:tc>
          <w:tcPr>
            <w:tcW w:w="947" w:type="pct"/>
            <w:noWrap w:val="0"/>
            <w:vAlign w:val="center"/>
          </w:tcPr>
          <w:p w14:paraId="26994E7A">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color w:val="auto"/>
                <w:highlight w:val="none"/>
                <w:lang w:eastAsia="zh-CN"/>
              </w:rPr>
            </w:pPr>
            <w:r>
              <w:rPr>
                <w:rFonts w:hint="default" w:ascii="Times New Roman" w:hAnsi="Times New Roman" w:eastAsia="仿宋_GB2312" w:cs="Times New Roman"/>
                <w:color w:val="auto"/>
                <w:highlight w:val="none"/>
                <w:lang w:eastAsia="zh-CN"/>
              </w:rPr>
              <w:t>江河事发地及其下游</w:t>
            </w:r>
          </w:p>
        </w:tc>
        <w:tc>
          <w:tcPr>
            <w:tcW w:w="1525" w:type="pct"/>
            <w:noWrap w:val="0"/>
            <w:vAlign w:val="center"/>
          </w:tcPr>
          <w:p w14:paraId="21006096">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color w:val="auto"/>
                <w:highlight w:val="none"/>
                <w:lang w:eastAsia="zh-CN"/>
              </w:rPr>
            </w:pPr>
            <w:r>
              <w:rPr>
                <w:rFonts w:hint="default" w:ascii="Times New Roman" w:hAnsi="Times New Roman" w:eastAsia="仿宋_GB2312" w:cs="Times New Roman"/>
                <w:color w:val="auto"/>
                <w:highlight w:val="none"/>
                <w:lang w:eastAsia="zh-CN"/>
              </w:rPr>
              <w:t>初始加密（数次</w:t>
            </w:r>
            <w:r>
              <w:rPr>
                <w:rFonts w:hint="default" w:ascii="Times New Roman" w:hAnsi="Times New Roman" w:eastAsia="仿宋_GB2312" w:cs="Times New Roman"/>
                <w:color w:val="auto"/>
                <w:highlight w:val="none"/>
                <w:lang w:val="en-US" w:eastAsia="zh-CN"/>
              </w:rPr>
              <w:t>/天），随污染物浓度下降逐渐降低频次</w:t>
            </w:r>
          </w:p>
        </w:tc>
        <w:tc>
          <w:tcPr>
            <w:tcW w:w="1839" w:type="pct"/>
            <w:noWrap w:val="0"/>
            <w:vAlign w:val="center"/>
          </w:tcPr>
          <w:p w14:paraId="63BE1530">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color w:val="auto"/>
                <w:highlight w:val="none"/>
                <w:lang w:eastAsia="zh-CN"/>
              </w:rPr>
            </w:pPr>
            <w:r>
              <w:rPr>
                <w:rFonts w:hint="default" w:ascii="Times New Roman" w:hAnsi="Times New Roman" w:eastAsia="仿宋_GB2312" w:cs="Times New Roman"/>
                <w:color w:val="auto"/>
                <w:highlight w:val="none"/>
                <w:lang w:eastAsia="zh-CN"/>
              </w:rPr>
              <w:t>连续两次监测浓度均低于地表水质量标准值或已接近可忽略水平为止</w:t>
            </w:r>
          </w:p>
        </w:tc>
      </w:tr>
      <w:tr w14:paraId="3F7119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687" w:type="pct"/>
            <w:vMerge w:val="continue"/>
            <w:noWrap w:val="0"/>
            <w:vAlign w:val="center"/>
          </w:tcPr>
          <w:p w14:paraId="47264AF3">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color w:val="auto"/>
                <w:highlight w:val="none"/>
                <w:lang w:eastAsia="zh-CN"/>
              </w:rPr>
            </w:pPr>
          </w:p>
        </w:tc>
        <w:tc>
          <w:tcPr>
            <w:tcW w:w="947" w:type="pct"/>
            <w:noWrap w:val="0"/>
            <w:vAlign w:val="center"/>
          </w:tcPr>
          <w:p w14:paraId="773D66EE">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color w:val="auto"/>
                <w:highlight w:val="none"/>
                <w:lang w:eastAsia="zh-CN"/>
              </w:rPr>
            </w:pPr>
            <w:r>
              <w:rPr>
                <w:rFonts w:hint="default" w:ascii="Times New Roman" w:hAnsi="Times New Roman" w:eastAsia="仿宋_GB2312" w:cs="Times New Roman"/>
                <w:color w:val="auto"/>
                <w:highlight w:val="none"/>
                <w:lang w:eastAsia="zh-CN"/>
              </w:rPr>
              <w:t>湖库事发地及受影响的出水口</w:t>
            </w:r>
          </w:p>
        </w:tc>
        <w:tc>
          <w:tcPr>
            <w:tcW w:w="1525" w:type="pct"/>
            <w:noWrap w:val="0"/>
            <w:vAlign w:val="center"/>
          </w:tcPr>
          <w:p w14:paraId="3CE24E49">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lang w:val="en-US" w:eastAsia="zh-CN"/>
              </w:rPr>
              <w:t>2~4次/天（应急期间）</w:t>
            </w:r>
          </w:p>
        </w:tc>
        <w:tc>
          <w:tcPr>
            <w:tcW w:w="1839" w:type="pct"/>
            <w:noWrap w:val="0"/>
            <w:vAlign w:val="center"/>
          </w:tcPr>
          <w:p w14:paraId="25A5A6E0">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lang w:eastAsia="zh-CN"/>
              </w:rPr>
              <w:t>连续两次监测浓度均低于地表水质量标准值或已接近可忽略水平为止</w:t>
            </w:r>
          </w:p>
        </w:tc>
      </w:tr>
      <w:tr w14:paraId="06F0E0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687" w:type="pct"/>
            <w:vMerge w:val="continue"/>
            <w:noWrap w:val="0"/>
            <w:vAlign w:val="center"/>
          </w:tcPr>
          <w:p w14:paraId="3D122040">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color w:val="auto"/>
                <w:highlight w:val="none"/>
                <w:lang w:eastAsia="zh-CN"/>
              </w:rPr>
            </w:pPr>
          </w:p>
        </w:tc>
        <w:tc>
          <w:tcPr>
            <w:tcW w:w="947" w:type="pct"/>
            <w:noWrap w:val="0"/>
            <w:vAlign w:val="center"/>
          </w:tcPr>
          <w:p w14:paraId="6B96DFA0">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color w:val="auto"/>
                <w:highlight w:val="none"/>
                <w:lang w:eastAsia="zh-CN"/>
              </w:rPr>
            </w:pPr>
            <w:r>
              <w:rPr>
                <w:rFonts w:hint="default" w:ascii="Times New Roman" w:hAnsi="Times New Roman" w:eastAsia="仿宋_GB2312" w:cs="Times New Roman"/>
                <w:color w:val="auto"/>
                <w:highlight w:val="none"/>
                <w:lang w:eastAsia="zh-CN"/>
              </w:rPr>
              <w:t>江河事发地其上游对照点</w:t>
            </w:r>
          </w:p>
        </w:tc>
        <w:tc>
          <w:tcPr>
            <w:tcW w:w="1525" w:type="pct"/>
            <w:noWrap w:val="0"/>
            <w:vAlign w:val="center"/>
          </w:tcPr>
          <w:p w14:paraId="28B9F34C">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color w:val="auto"/>
                <w:highlight w:val="none"/>
                <w:lang w:eastAsia="zh-CN"/>
              </w:rPr>
            </w:pPr>
            <w:r>
              <w:rPr>
                <w:rFonts w:hint="default" w:ascii="Times New Roman" w:hAnsi="Times New Roman" w:eastAsia="仿宋_GB2312" w:cs="Times New Roman"/>
                <w:color w:val="auto"/>
                <w:highlight w:val="none"/>
                <w:lang w:eastAsia="zh-CN"/>
              </w:rPr>
              <w:t>一次</w:t>
            </w:r>
            <w:r>
              <w:rPr>
                <w:rFonts w:hint="default" w:ascii="Times New Roman" w:hAnsi="Times New Roman" w:eastAsia="仿宋_GB2312" w:cs="Times New Roman"/>
                <w:color w:val="auto"/>
                <w:highlight w:val="none"/>
                <w:lang w:val="en-US" w:eastAsia="zh-CN"/>
              </w:rPr>
              <w:t>/天（应急期间），以平行双样数据为准</w:t>
            </w:r>
          </w:p>
        </w:tc>
        <w:tc>
          <w:tcPr>
            <w:tcW w:w="1839" w:type="pct"/>
            <w:noWrap w:val="0"/>
            <w:vAlign w:val="center"/>
          </w:tcPr>
          <w:p w14:paraId="1759D008">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lang w:val="en-US" w:eastAsia="zh-CN"/>
              </w:rPr>
              <w:t>/</w:t>
            </w:r>
          </w:p>
        </w:tc>
      </w:tr>
      <w:tr w14:paraId="2A0AC2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687" w:type="pct"/>
            <w:vMerge w:val="continue"/>
            <w:noWrap w:val="0"/>
            <w:vAlign w:val="center"/>
          </w:tcPr>
          <w:p w14:paraId="0E1A292C">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color w:val="auto"/>
                <w:highlight w:val="none"/>
                <w:lang w:eastAsia="zh-CN"/>
              </w:rPr>
            </w:pPr>
          </w:p>
        </w:tc>
        <w:tc>
          <w:tcPr>
            <w:tcW w:w="947" w:type="pct"/>
            <w:noWrap w:val="0"/>
            <w:vAlign w:val="center"/>
          </w:tcPr>
          <w:p w14:paraId="1C36DB63">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color w:val="auto"/>
                <w:highlight w:val="none"/>
                <w:lang w:eastAsia="zh-CN"/>
              </w:rPr>
            </w:pPr>
            <w:r>
              <w:rPr>
                <w:rFonts w:hint="default" w:ascii="Times New Roman" w:hAnsi="Times New Roman" w:eastAsia="仿宋_GB2312" w:cs="Times New Roman"/>
                <w:color w:val="auto"/>
                <w:highlight w:val="none"/>
                <w:lang w:eastAsia="zh-CN"/>
              </w:rPr>
              <w:t>近海海域监测点</w:t>
            </w:r>
          </w:p>
        </w:tc>
        <w:tc>
          <w:tcPr>
            <w:tcW w:w="1525" w:type="pct"/>
            <w:noWrap w:val="0"/>
            <w:vAlign w:val="center"/>
          </w:tcPr>
          <w:p w14:paraId="7DBB6D69">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lang w:val="en-US" w:eastAsia="zh-CN"/>
              </w:rPr>
              <w:t>2~4次/天，随污染物浓度下降逐渐降低频次</w:t>
            </w:r>
          </w:p>
        </w:tc>
        <w:tc>
          <w:tcPr>
            <w:tcW w:w="1839" w:type="pct"/>
            <w:noWrap w:val="0"/>
            <w:vAlign w:val="center"/>
          </w:tcPr>
          <w:p w14:paraId="3EA58FF6">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lang w:eastAsia="zh-CN"/>
              </w:rPr>
              <w:t>连续两次监测浓度均低于地表水质量标准值或已接近可忽略水平为止</w:t>
            </w:r>
          </w:p>
        </w:tc>
      </w:tr>
      <w:tr w14:paraId="0ED32E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687" w:type="pct"/>
            <w:vMerge w:val="restart"/>
            <w:noWrap w:val="0"/>
            <w:vAlign w:val="center"/>
          </w:tcPr>
          <w:p w14:paraId="5A5A50F4">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color w:val="auto"/>
                <w:highlight w:val="none"/>
                <w:lang w:eastAsia="zh-CN"/>
              </w:rPr>
            </w:pPr>
            <w:r>
              <w:rPr>
                <w:rFonts w:hint="default" w:ascii="Times New Roman" w:hAnsi="Times New Roman" w:eastAsia="仿宋_GB2312" w:cs="Times New Roman"/>
                <w:color w:val="auto"/>
                <w:highlight w:val="none"/>
                <w:lang w:eastAsia="zh-CN"/>
              </w:rPr>
              <w:t>地下水污染</w:t>
            </w:r>
          </w:p>
        </w:tc>
        <w:tc>
          <w:tcPr>
            <w:tcW w:w="947" w:type="pct"/>
            <w:noWrap w:val="0"/>
            <w:vAlign w:val="center"/>
          </w:tcPr>
          <w:p w14:paraId="7D7BFBFB">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color w:val="auto"/>
                <w:highlight w:val="none"/>
                <w:lang w:eastAsia="zh-CN"/>
              </w:rPr>
            </w:pPr>
            <w:r>
              <w:rPr>
                <w:rFonts w:hint="default" w:ascii="Times New Roman" w:hAnsi="Times New Roman" w:eastAsia="仿宋_GB2312" w:cs="Times New Roman"/>
                <w:color w:val="auto"/>
                <w:highlight w:val="none"/>
                <w:lang w:eastAsia="zh-CN"/>
              </w:rPr>
              <w:t>事发地中心周围</w:t>
            </w:r>
            <w:r>
              <w:rPr>
                <w:rFonts w:hint="default" w:ascii="Times New Roman" w:hAnsi="Times New Roman" w:eastAsia="仿宋_GB2312" w:cs="Times New Roman"/>
                <w:color w:val="auto"/>
                <w:highlight w:val="none"/>
                <w:lang w:val="en-US" w:eastAsia="zh-CN"/>
              </w:rPr>
              <w:t>2km内的水井</w:t>
            </w:r>
          </w:p>
        </w:tc>
        <w:tc>
          <w:tcPr>
            <w:tcW w:w="1525" w:type="pct"/>
            <w:noWrap w:val="0"/>
            <w:vAlign w:val="center"/>
          </w:tcPr>
          <w:p w14:paraId="79DDFAD3">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lang w:val="en-US" w:eastAsia="zh-CN"/>
              </w:rPr>
              <w:t>初始1~2次/天，第三天后，1次/周直至应急结束</w:t>
            </w:r>
          </w:p>
        </w:tc>
        <w:tc>
          <w:tcPr>
            <w:tcW w:w="1839" w:type="pct"/>
            <w:noWrap w:val="0"/>
            <w:vAlign w:val="center"/>
          </w:tcPr>
          <w:p w14:paraId="4D24822C">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color w:val="auto"/>
                <w:highlight w:val="none"/>
                <w:lang w:eastAsia="zh-CN"/>
              </w:rPr>
            </w:pPr>
            <w:r>
              <w:rPr>
                <w:rFonts w:hint="default" w:ascii="Times New Roman" w:hAnsi="Times New Roman" w:eastAsia="仿宋_GB2312" w:cs="Times New Roman"/>
                <w:color w:val="auto"/>
                <w:highlight w:val="none"/>
                <w:lang w:eastAsia="zh-CN"/>
              </w:rPr>
              <w:t>连续两次监测浓度均低于地下水质量标准值或已接近可忽略水平为止</w:t>
            </w:r>
          </w:p>
        </w:tc>
      </w:tr>
      <w:tr w14:paraId="4CD304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687" w:type="pct"/>
            <w:vMerge w:val="continue"/>
            <w:noWrap w:val="0"/>
            <w:vAlign w:val="center"/>
          </w:tcPr>
          <w:p w14:paraId="225B9E77">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color w:val="auto"/>
                <w:highlight w:val="none"/>
                <w:lang w:eastAsia="zh-CN"/>
              </w:rPr>
            </w:pPr>
          </w:p>
        </w:tc>
        <w:tc>
          <w:tcPr>
            <w:tcW w:w="947" w:type="pct"/>
            <w:noWrap w:val="0"/>
            <w:vAlign w:val="center"/>
          </w:tcPr>
          <w:p w14:paraId="68783B0A">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color w:val="auto"/>
                <w:highlight w:val="none"/>
                <w:lang w:eastAsia="zh-CN"/>
              </w:rPr>
            </w:pPr>
            <w:r>
              <w:rPr>
                <w:rFonts w:hint="default" w:ascii="Times New Roman" w:hAnsi="Times New Roman" w:eastAsia="仿宋_GB2312" w:cs="Times New Roman"/>
                <w:color w:val="auto"/>
                <w:highlight w:val="none"/>
                <w:lang w:eastAsia="zh-CN"/>
              </w:rPr>
              <w:t>地下水流经区域沿线水井</w:t>
            </w:r>
          </w:p>
        </w:tc>
        <w:tc>
          <w:tcPr>
            <w:tcW w:w="1525" w:type="pct"/>
            <w:noWrap w:val="0"/>
            <w:vAlign w:val="center"/>
          </w:tcPr>
          <w:p w14:paraId="3E19F7B1">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lang w:val="en-US" w:eastAsia="zh-CN"/>
              </w:rPr>
              <w:t>初始1~2次/天，第三天后，1次/周直至应急结束</w:t>
            </w:r>
          </w:p>
        </w:tc>
        <w:tc>
          <w:tcPr>
            <w:tcW w:w="1839" w:type="pct"/>
            <w:noWrap w:val="0"/>
            <w:vAlign w:val="center"/>
          </w:tcPr>
          <w:p w14:paraId="14A3A271">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color w:val="auto"/>
                <w:highlight w:val="none"/>
                <w:lang w:eastAsia="zh-CN"/>
              </w:rPr>
            </w:pPr>
            <w:r>
              <w:rPr>
                <w:rFonts w:hint="default" w:ascii="Times New Roman" w:hAnsi="Times New Roman" w:eastAsia="仿宋_GB2312" w:cs="Times New Roman"/>
                <w:color w:val="auto"/>
                <w:highlight w:val="none"/>
                <w:lang w:eastAsia="zh-CN"/>
              </w:rPr>
              <w:t>连续两次监测浓度均低于地表水质量标准值或已接近可忽略水平为止</w:t>
            </w:r>
          </w:p>
        </w:tc>
      </w:tr>
      <w:tr w14:paraId="13CFFF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687" w:type="pct"/>
            <w:vMerge w:val="continue"/>
            <w:noWrap w:val="0"/>
            <w:vAlign w:val="center"/>
          </w:tcPr>
          <w:p w14:paraId="6742BE44">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color w:val="auto"/>
                <w:highlight w:val="none"/>
                <w:lang w:eastAsia="zh-CN"/>
              </w:rPr>
            </w:pPr>
          </w:p>
        </w:tc>
        <w:tc>
          <w:tcPr>
            <w:tcW w:w="947" w:type="pct"/>
            <w:noWrap w:val="0"/>
            <w:vAlign w:val="center"/>
          </w:tcPr>
          <w:p w14:paraId="6E382D5A">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color w:val="auto"/>
                <w:highlight w:val="none"/>
                <w:lang w:eastAsia="zh-CN"/>
              </w:rPr>
            </w:pPr>
            <w:r>
              <w:rPr>
                <w:rFonts w:hint="default" w:ascii="Times New Roman" w:hAnsi="Times New Roman" w:eastAsia="仿宋_GB2312" w:cs="Times New Roman"/>
                <w:color w:val="auto"/>
                <w:highlight w:val="none"/>
                <w:lang w:eastAsia="zh-CN"/>
              </w:rPr>
              <w:t>事发地对照点</w:t>
            </w:r>
          </w:p>
        </w:tc>
        <w:tc>
          <w:tcPr>
            <w:tcW w:w="1525" w:type="pct"/>
            <w:noWrap w:val="0"/>
            <w:vAlign w:val="center"/>
          </w:tcPr>
          <w:p w14:paraId="54E04C2A">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lang w:val="en-US" w:eastAsia="zh-CN"/>
              </w:rPr>
              <w:t>1次/天（应急期间），以平行双样数据为准</w:t>
            </w:r>
          </w:p>
        </w:tc>
        <w:tc>
          <w:tcPr>
            <w:tcW w:w="1839" w:type="pct"/>
            <w:noWrap w:val="0"/>
            <w:vAlign w:val="center"/>
          </w:tcPr>
          <w:p w14:paraId="3CCD9DA4">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lang w:val="en-US" w:eastAsia="zh-CN"/>
              </w:rPr>
              <w:t>/</w:t>
            </w:r>
          </w:p>
        </w:tc>
      </w:tr>
      <w:tr w14:paraId="216A07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687" w:type="pct"/>
            <w:vMerge w:val="restart"/>
            <w:noWrap w:val="0"/>
            <w:vAlign w:val="center"/>
          </w:tcPr>
          <w:p w14:paraId="43705C98">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color w:val="auto"/>
                <w:highlight w:val="none"/>
                <w:lang w:eastAsia="zh-CN"/>
              </w:rPr>
            </w:pPr>
            <w:r>
              <w:rPr>
                <w:rFonts w:hint="default" w:ascii="Times New Roman" w:hAnsi="Times New Roman" w:eastAsia="仿宋_GB2312" w:cs="Times New Roman"/>
                <w:color w:val="auto"/>
                <w:highlight w:val="none"/>
                <w:lang w:eastAsia="zh-CN"/>
              </w:rPr>
              <w:t>土壤污染</w:t>
            </w:r>
          </w:p>
        </w:tc>
        <w:tc>
          <w:tcPr>
            <w:tcW w:w="947" w:type="pct"/>
            <w:noWrap w:val="0"/>
            <w:vAlign w:val="center"/>
          </w:tcPr>
          <w:p w14:paraId="726324AD">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color w:val="auto"/>
                <w:highlight w:val="none"/>
                <w:lang w:eastAsia="zh-CN"/>
              </w:rPr>
            </w:pPr>
            <w:r>
              <w:rPr>
                <w:rFonts w:hint="default" w:ascii="Times New Roman" w:hAnsi="Times New Roman" w:eastAsia="仿宋_GB2312" w:cs="Times New Roman"/>
                <w:color w:val="auto"/>
                <w:highlight w:val="none"/>
                <w:lang w:eastAsia="zh-CN"/>
              </w:rPr>
              <w:t>事发地污染区域</w:t>
            </w:r>
          </w:p>
        </w:tc>
        <w:tc>
          <w:tcPr>
            <w:tcW w:w="1525" w:type="pct"/>
            <w:noWrap w:val="0"/>
            <w:vAlign w:val="center"/>
          </w:tcPr>
          <w:p w14:paraId="4DE48047">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lang w:val="en-US" w:eastAsia="zh-CN"/>
              </w:rPr>
              <w:t>初始1~2次/天（应急期间），视处置进展情况逐渐降低频次</w:t>
            </w:r>
          </w:p>
        </w:tc>
        <w:tc>
          <w:tcPr>
            <w:tcW w:w="1839" w:type="pct"/>
            <w:noWrap w:val="0"/>
            <w:vAlign w:val="center"/>
          </w:tcPr>
          <w:p w14:paraId="118EEC40">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color w:val="auto"/>
                <w:highlight w:val="none"/>
                <w:lang w:eastAsia="zh-CN"/>
              </w:rPr>
            </w:pPr>
            <w:r>
              <w:rPr>
                <w:rFonts w:hint="default" w:ascii="Times New Roman" w:hAnsi="Times New Roman" w:eastAsia="仿宋_GB2312" w:cs="Times New Roman"/>
                <w:color w:val="auto"/>
                <w:highlight w:val="none"/>
                <w:lang w:eastAsia="zh-CN"/>
              </w:rPr>
              <w:t>应急结束后，</w:t>
            </w:r>
            <w:r>
              <w:rPr>
                <w:rFonts w:hint="default" w:ascii="Times New Roman" w:hAnsi="Times New Roman" w:eastAsia="仿宋_GB2312" w:cs="Times New Roman"/>
                <w:color w:val="auto"/>
                <w:highlight w:val="none"/>
                <w:lang w:val="en-US" w:eastAsia="zh-CN"/>
              </w:rPr>
              <w:t>1次</w:t>
            </w:r>
          </w:p>
        </w:tc>
      </w:tr>
      <w:tr w14:paraId="62D64A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687" w:type="pct"/>
            <w:vMerge w:val="continue"/>
            <w:noWrap w:val="0"/>
            <w:vAlign w:val="center"/>
          </w:tcPr>
          <w:p w14:paraId="55ABE084">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color w:val="auto"/>
                <w:highlight w:val="none"/>
                <w:lang w:eastAsia="zh-CN"/>
              </w:rPr>
            </w:pPr>
          </w:p>
        </w:tc>
        <w:tc>
          <w:tcPr>
            <w:tcW w:w="947" w:type="pct"/>
            <w:noWrap w:val="0"/>
            <w:vAlign w:val="center"/>
          </w:tcPr>
          <w:p w14:paraId="48F63EE6">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color w:val="auto"/>
                <w:highlight w:val="none"/>
                <w:lang w:eastAsia="zh-CN"/>
              </w:rPr>
            </w:pPr>
            <w:r>
              <w:rPr>
                <w:rFonts w:hint="default" w:ascii="Times New Roman" w:hAnsi="Times New Roman" w:eastAsia="仿宋_GB2312" w:cs="Times New Roman"/>
                <w:color w:val="auto"/>
                <w:highlight w:val="none"/>
                <w:lang w:eastAsia="zh-CN"/>
              </w:rPr>
              <w:t>事发地对照点</w:t>
            </w:r>
          </w:p>
        </w:tc>
        <w:tc>
          <w:tcPr>
            <w:tcW w:w="1525" w:type="pct"/>
            <w:noWrap w:val="0"/>
            <w:vAlign w:val="center"/>
          </w:tcPr>
          <w:p w14:paraId="3F044A20">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lang w:val="en-US" w:eastAsia="zh-CN"/>
              </w:rPr>
              <w:t>1次/天（应急期间），以平行双样数据为准</w:t>
            </w:r>
          </w:p>
        </w:tc>
        <w:tc>
          <w:tcPr>
            <w:tcW w:w="1839" w:type="pct"/>
            <w:noWrap w:val="0"/>
            <w:vAlign w:val="center"/>
          </w:tcPr>
          <w:p w14:paraId="151B07D3">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lang w:val="en-US" w:eastAsia="zh-CN"/>
              </w:rPr>
              <w:t>/</w:t>
            </w:r>
          </w:p>
        </w:tc>
      </w:tr>
    </w:tbl>
    <w:p w14:paraId="3ED0D7DA">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firstLine="482" w:firstLineChars="200"/>
        <w:textAlignment w:val="auto"/>
        <w:outlineLvl w:val="9"/>
        <w:rPr>
          <w:rFonts w:hint="default" w:ascii="Times New Roman" w:hAnsi="Times New Roman" w:eastAsia="仿宋_GB2312" w:cs="Times New Roman"/>
          <w:b/>
          <w:color w:val="auto"/>
          <w:sz w:val="24"/>
          <w:szCs w:val="24"/>
          <w:highlight w:val="none"/>
        </w:rPr>
      </w:pPr>
      <w:bookmarkStart w:id="358" w:name="_Toc29736"/>
      <w:bookmarkStart w:id="359" w:name="_Toc9517"/>
      <w:r>
        <w:rPr>
          <w:rFonts w:hint="default" w:ascii="Times New Roman" w:hAnsi="Times New Roman" w:eastAsia="仿宋_GB2312" w:cs="Times New Roman"/>
          <w:b/>
          <w:color w:val="auto"/>
          <w:sz w:val="24"/>
          <w:szCs w:val="24"/>
          <w:highlight w:val="none"/>
        </w:rPr>
        <w:t>水环境污染事故监测</w:t>
      </w:r>
      <w:bookmarkEnd w:id="358"/>
      <w:bookmarkEnd w:id="359"/>
    </w:p>
    <w:p w14:paraId="0231BA46">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firstLine="480" w:firstLineChars="200"/>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lang w:eastAsia="zh-CN"/>
        </w:rPr>
        <w:t>（</w:t>
      </w:r>
      <w:r>
        <w:rPr>
          <w:rFonts w:hint="default" w:ascii="Times New Roman" w:hAnsi="Times New Roman" w:eastAsia="仿宋_GB2312" w:cs="Times New Roman"/>
          <w:color w:val="auto"/>
          <w:sz w:val="24"/>
          <w:szCs w:val="24"/>
          <w:highlight w:val="none"/>
          <w:lang w:val="en-US" w:eastAsia="zh-CN"/>
        </w:rPr>
        <w:t>1</w:t>
      </w:r>
      <w:r>
        <w:rPr>
          <w:rFonts w:hint="default" w:ascii="Times New Roman" w:hAnsi="Times New Roman" w:eastAsia="仿宋_GB2312" w:cs="Times New Roman"/>
          <w:color w:val="auto"/>
          <w:sz w:val="24"/>
          <w:szCs w:val="24"/>
          <w:highlight w:val="none"/>
          <w:lang w:eastAsia="zh-CN"/>
        </w:rPr>
        <w:t>）</w:t>
      </w:r>
      <w:r>
        <w:rPr>
          <w:rFonts w:hint="default" w:ascii="Times New Roman" w:hAnsi="Times New Roman" w:eastAsia="仿宋_GB2312" w:cs="Times New Roman"/>
          <w:color w:val="auto"/>
          <w:sz w:val="24"/>
          <w:szCs w:val="24"/>
          <w:highlight w:val="none"/>
        </w:rPr>
        <w:t xml:space="preserve">监测因子 </w:t>
      </w:r>
    </w:p>
    <w:p w14:paraId="77BF047F">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jc w:val="center"/>
        <w:textAlignment w:val="auto"/>
        <w:rPr>
          <w:rFonts w:hint="default" w:ascii="Times New Roman" w:hAnsi="Times New Roman" w:eastAsia="仿宋_GB2312" w:cs="Times New Roman"/>
          <w:b/>
          <w:color w:val="auto"/>
          <w:sz w:val="24"/>
          <w:szCs w:val="24"/>
          <w:highlight w:val="none"/>
        </w:rPr>
      </w:pPr>
      <w:r>
        <w:rPr>
          <w:rFonts w:hint="default" w:ascii="Times New Roman" w:hAnsi="Times New Roman" w:eastAsia="仿宋_GB2312" w:cs="Times New Roman"/>
          <w:b/>
          <w:color w:val="auto"/>
          <w:sz w:val="24"/>
          <w:szCs w:val="24"/>
          <w:highlight w:val="none"/>
        </w:rPr>
        <w:t>表</w:t>
      </w:r>
      <w:r>
        <w:rPr>
          <w:rFonts w:hint="default" w:ascii="Times New Roman" w:hAnsi="Times New Roman" w:eastAsia="仿宋_GB2312" w:cs="Times New Roman"/>
          <w:b/>
          <w:color w:val="auto"/>
          <w:sz w:val="24"/>
          <w:szCs w:val="24"/>
          <w:highlight w:val="none"/>
          <w:lang w:val="en-US" w:eastAsia="zh-CN"/>
        </w:rPr>
        <w:t xml:space="preserve">5.5-3 </w:t>
      </w:r>
      <w:r>
        <w:rPr>
          <w:rFonts w:hint="eastAsia" w:ascii="Times New Roman" w:hAnsi="Times New Roman" w:eastAsia="仿宋_GB2312" w:cs="Times New Roman"/>
          <w:b/>
          <w:color w:val="auto"/>
          <w:sz w:val="24"/>
          <w:szCs w:val="24"/>
          <w:highlight w:val="none"/>
          <w:lang w:val="en-US" w:eastAsia="zh-CN"/>
        </w:rPr>
        <w:t xml:space="preserve"> </w:t>
      </w:r>
      <w:r>
        <w:rPr>
          <w:rFonts w:hint="default" w:ascii="Times New Roman" w:hAnsi="Times New Roman" w:eastAsia="仿宋_GB2312" w:cs="Times New Roman"/>
          <w:b/>
          <w:color w:val="auto"/>
          <w:sz w:val="24"/>
          <w:szCs w:val="24"/>
          <w:highlight w:val="none"/>
        </w:rPr>
        <w:t>地表水环境应急监测方案</w:t>
      </w:r>
    </w:p>
    <w:tbl>
      <w:tblPr>
        <w:tblStyle w:val="31"/>
        <w:tblW w:w="4997"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691"/>
        <w:gridCol w:w="2573"/>
        <w:gridCol w:w="1276"/>
        <w:gridCol w:w="1781"/>
        <w:gridCol w:w="1308"/>
        <w:gridCol w:w="1653"/>
      </w:tblGrid>
      <w:tr w14:paraId="4898125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48" w:hRule="atLeast"/>
        </w:trPr>
        <w:tc>
          <w:tcPr>
            <w:tcW w:w="372" w:type="pct"/>
            <w:noWrap w:val="0"/>
            <w:vAlign w:val="center"/>
          </w:tcPr>
          <w:p w14:paraId="5FFFC071">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b/>
                <w:bCs/>
                <w:color w:val="auto"/>
                <w:sz w:val="21"/>
                <w:szCs w:val="21"/>
                <w:highlight w:val="none"/>
              </w:rPr>
            </w:pPr>
            <w:r>
              <w:rPr>
                <w:rFonts w:hint="default" w:ascii="Times New Roman" w:hAnsi="Times New Roman" w:eastAsia="仿宋_GB2312" w:cs="Times New Roman"/>
                <w:b/>
                <w:bCs/>
                <w:color w:val="auto"/>
                <w:sz w:val="21"/>
                <w:szCs w:val="21"/>
                <w:highlight w:val="none"/>
              </w:rPr>
              <w:t>序号</w:t>
            </w:r>
          </w:p>
        </w:tc>
        <w:tc>
          <w:tcPr>
            <w:tcW w:w="1385" w:type="pct"/>
            <w:noWrap w:val="0"/>
            <w:vAlign w:val="center"/>
          </w:tcPr>
          <w:p w14:paraId="152DA38B">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b/>
                <w:bCs/>
                <w:color w:val="auto"/>
                <w:sz w:val="21"/>
                <w:szCs w:val="21"/>
                <w:highlight w:val="none"/>
              </w:rPr>
            </w:pPr>
            <w:r>
              <w:rPr>
                <w:rFonts w:hint="default" w:ascii="Times New Roman" w:hAnsi="Times New Roman" w:eastAsia="仿宋_GB2312" w:cs="Times New Roman"/>
                <w:b/>
                <w:bCs/>
                <w:color w:val="auto"/>
                <w:sz w:val="21"/>
                <w:szCs w:val="21"/>
                <w:highlight w:val="none"/>
              </w:rPr>
              <w:t>监测点位置</w:t>
            </w:r>
          </w:p>
        </w:tc>
        <w:tc>
          <w:tcPr>
            <w:tcW w:w="687" w:type="pct"/>
            <w:noWrap w:val="0"/>
            <w:vAlign w:val="center"/>
          </w:tcPr>
          <w:p w14:paraId="41D1E0CB">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b/>
                <w:bCs/>
                <w:color w:val="auto"/>
                <w:sz w:val="21"/>
                <w:szCs w:val="21"/>
                <w:highlight w:val="none"/>
              </w:rPr>
            </w:pPr>
            <w:r>
              <w:rPr>
                <w:rFonts w:hint="default" w:ascii="Times New Roman" w:hAnsi="Times New Roman" w:eastAsia="仿宋_GB2312" w:cs="Times New Roman"/>
                <w:b/>
                <w:bCs/>
                <w:color w:val="auto"/>
                <w:sz w:val="21"/>
                <w:szCs w:val="21"/>
                <w:highlight w:val="none"/>
              </w:rPr>
              <w:t>监测因子</w:t>
            </w:r>
          </w:p>
        </w:tc>
        <w:tc>
          <w:tcPr>
            <w:tcW w:w="959" w:type="pct"/>
            <w:noWrap w:val="0"/>
            <w:vAlign w:val="center"/>
          </w:tcPr>
          <w:p w14:paraId="2A89E2F7">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b/>
                <w:bCs/>
                <w:color w:val="auto"/>
                <w:sz w:val="21"/>
                <w:szCs w:val="21"/>
                <w:highlight w:val="none"/>
              </w:rPr>
            </w:pPr>
            <w:r>
              <w:rPr>
                <w:rFonts w:hint="default" w:ascii="Times New Roman" w:hAnsi="Times New Roman" w:eastAsia="仿宋_GB2312" w:cs="Times New Roman"/>
                <w:b/>
                <w:bCs/>
                <w:color w:val="auto"/>
                <w:sz w:val="21"/>
                <w:szCs w:val="21"/>
                <w:highlight w:val="none"/>
              </w:rPr>
              <w:t>监测频次</w:t>
            </w:r>
          </w:p>
        </w:tc>
        <w:tc>
          <w:tcPr>
            <w:tcW w:w="704" w:type="pct"/>
            <w:noWrap w:val="0"/>
            <w:vAlign w:val="center"/>
          </w:tcPr>
          <w:p w14:paraId="654B9315">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b/>
                <w:bCs/>
                <w:color w:val="auto"/>
                <w:sz w:val="21"/>
                <w:szCs w:val="21"/>
                <w:highlight w:val="none"/>
              </w:rPr>
            </w:pPr>
            <w:r>
              <w:rPr>
                <w:rFonts w:hint="default" w:ascii="Times New Roman" w:hAnsi="Times New Roman" w:eastAsia="仿宋_GB2312" w:cs="Times New Roman"/>
                <w:b/>
                <w:bCs/>
                <w:color w:val="auto"/>
                <w:sz w:val="21"/>
                <w:szCs w:val="21"/>
                <w:highlight w:val="none"/>
              </w:rPr>
              <w:t>功能</w:t>
            </w:r>
          </w:p>
        </w:tc>
        <w:tc>
          <w:tcPr>
            <w:tcW w:w="890" w:type="pct"/>
            <w:noWrap w:val="0"/>
            <w:vAlign w:val="center"/>
          </w:tcPr>
          <w:p w14:paraId="44482EC0">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b/>
                <w:bCs/>
                <w:color w:val="auto"/>
                <w:sz w:val="21"/>
                <w:szCs w:val="21"/>
                <w:highlight w:val="none"/>
              </w:rPr>
            </w:pPr>
            <w:r>
              <w:rPr>
                <w:rFonts w:hint="default" w:ascii="Times New Roman" w:hAnsi="Times New Roman" w:eastAsia="仿宋_GB2312" w:cs="Times New Roman"/>
                <w:b/>
                <w:bCs/>
                <w:color w:val="auto"/>
                <w:sz w:val="21"/>
                <w:szCs w:val="21"/>
                <w:highlight w:val="none"/>
              </w:rPr>
              <w:t>备注</w:t>
            </w:r>
          </w:p>
        </w:tc>
      </w:tr>
      <w:tr w14:paraId="06D06DA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80" w:hRule="atLeast"/>
        </w:trPr>
        <w:tc>
          <w:tcPr>
            <w:tcW w:w="372" w:type="pct"/>
            <w:noWrap w:val="0"/>
            <w:vAlign w:val="center"/>
          </w:tcPr>
          <w:p w14:paraId="640EF47A">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1</w:t>
            </w:r>
          </w:p>
        </w:tc>
        <w:tc>
          <w:tcPr>
            <w:tcW w:w="1385" w:type="pct"/>
            <w:noWrap w:val="0"/>
            <w:vAlign w:val="center"/>
          </w:tcPr>
          <w:p w14:paraId="05F32100">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lang w:val="en-US" w:eastAsia="zh-CN"/>
              </w:rPr>
              <w:t>消防</w:t>
            </w:r>
            <w:r>
              <w:rPr>
                <w:rFonts w:hint="default" w:ascii="Times New Roman" w:hAnsi="Times New Roman" w:eastAsia="仿宋_GB2312" w:cs="Times New Roman"/>
                <w:color w:val="auto"/>
                <w:sz w:val="21"/>
                <w:szCs w:val="21"/>
                <w:highlight w:val="none"/>
              </w:rPr>
              <w:t>废水、风险物质泄漏进入</w:t>
            </w:r>
            <w:r>
              <w:rPr>
                <w:rFonts w:hint="default" w:ascii="Times New Roman" w:hAnsi="Times New Roman" w:eastAsia="仿宋_GB2312" w:cs="Times New Roman"/>
                <w:color w:val="auto"/>
                <w:sz w:val="21"/>
                <w:szCs w:val="21"/>
                <w:highlight w:val="none"/>
                <w:lang w:val="en-US" w:eastAsia="zh-CN"/>
              </w:rPr>
              <w:t>周边水体</w:t>
            </w:r>
            <w:r>
              <w:rPr>
                <w:rFonts w:hint="default" w:ascii="Times New Roman" w:hAnsi="Times New Roman" w:eastAsia="仿宋_GB2312" w:cs="Times New Roman"/>
                <w:color w:val="auto"/>
                <w:sz w:val="21"/>
                <w:szCs w:val="21"/>
                <w:highlight w:val="none"/>
              </w:rPr>
              <w:t>上游500m</w:t>
            </w:r>
          </w:p>
        </w:tc>
        <w:tc>
          <w:tcPr>
            <w:tcW w:w="687" w:type="pct"/>
            <w:vMerge w:val="restart"/>
            <w:noWrap w:val="0"/>
            <w:vAlign w:val="center"/>
          </w:tcPr>
          <w:p w14:paraId="2403AAE0">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highlight w:val="none"/>
              </w:rPr>
              <w:t>pH、COD</w:t>
            </w:r>
            <w:r>
              <w:rPr>
                <w:rFonts w:hint="default" w:ascii="Times New Roman" w:hAnsi="Times New Roman" w:eastAsia="仿宋_GB2312" w:cs="Times New Roman"/>
                <w:color w:val="auto"/>
                <w:highlight w:val="none"/>
                <w:lang w:eastAsia="zh-CN"/>
              </w:rPr>
              <w:t>、</w:t>
            </w:r>
            <w:r>
              <w:rPr>
                <w:rFonts w:hint="default" w:ascii="Times New Roman" w:hAnsi="Times New Roman" w:eastAsia="仿宋_GB2312" w:cs="Times New Roman"/>
                <w:color w:val="auto"/>
                <w:highlight w:val="none"/>
              </w:rPr>
              <w:t>SS、氨氮、总磷、总氮、</w:t>
            </w:r>
            <w:r>
              <w:rPr>
                <w:rFonts w:hint="default" w:ascii="Times New Roman" w:hAnsi="Times New Roman" w:eastAsia="仿宋_GB2312" w:cs="Times New Roman"/>
                <w:color w:val="auto"/>
                <w:highlight w:val="none"/>
                <w:lang w:val="en-US" w:eastAsia="zh-CN"/>
              </w:rPr>
              <w:t>石油类</w:t>
            </w:r>
          </w:p>
        </w:tc>
        <w:tc>
          <w:tcPr>
            <w:tcW w:w="959" w:type="pct"/>
            <w:vMerge w:val="restart"/>
            <w:noWrap w:val="0"/>
            <w:vAlign w:val="center"/>
          </w:tcPr>
          <w:p w14:paraId="43005BE8">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初期阶段：1h/次；</w:t>
            </w:r>
          </w:p>
          <w:p w14:paraId="0627ABDD">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控制阶段：2h/次；</w:t>
            </w:r>
          </w:p>
          <w:p w14:paraId="13E4724B">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跟踪阶段：1d/次，连续7d。</w:t>
            </w:r>
          </w:p>
        </w:tc>
        <w:tc>
          <w:tcPr>
            <w:tcW w:w="704" w:type="pct"/>
            <w:noWrap w:val="0"/>
            <w:vAlign w:val="center"/>
          </w:tcPr>
          <w:p w14:paraId="6CDFA2D5">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背景点</w:t>
            </w:r>
          </w:p>
        </w:tc>
        <w:tc>
          <w:tcPr>
            <w:tcW w:w="890" w:type="pct"/>
            <w:noWrap w:val="0"/>
            <w:vAlign w:val="center"/>
          </w:tcPr>
          <w:p w14:paraId="05D688A3">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上游来水水质</w:t>
            </w:r>
          </w:p>
        </w:tc>
      </w:tr>
      <w:tr w14:paraId="151D274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34" w:hRule="atLeast"/>
        </w:trPr>
        <w:tc>
          <w:tcPr>
            <w:tcW w:w="372" w:type="pct"/>
            <w:noWrap w:val="0"/>
            <w:vAlign w:val="center"/>
          </w:tcPr>
          <w:p w14:paraId="1C74E3AD">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2</w:t>
            </w:r>
          </w:p>
        </w:tc>
        <w:tc>
          <w:tcPr>
            <w:tcW w:w="1385" w:type="pct"/>
            <w:noWrap w:val="0"/>
            <w:vAlign w:val="center"/>
          </w:tcPr>
          <w:p w14:paraId="2545C999">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lang w:val="en-US" w:eastAsia="zh-CN"/>
              </w:rPr>
              <w:t>消防</w:t>
            </w:r>
            <w:r>
              <w:rPr>
                <w:rFonts w:hint="default" w:ascii="Times New Roman" w:hAnsi="Times New Roman" w:eastAsia="仿宋_GB2312" w:cs="Times New Roman"/>
                <w:color w:val="auto"/>
                <w:sz w:val="21"/>
                <w:szCs w:val="21"/>
                <w:highlight w:val="none"/>
              </w:rPr>
              <w:t>废水、风险物质泄漏进入</w:t>
            </w:r>
            <w:r>
              <w:rPr>
                <w:rFonts w:hint="default" w:ascii="Times New Roman" w:hAnsi="Times New Roman" w:eastAsia="仿宋_GB2312" w:cs="Times New Roman"/>
                <w:color w:val="auto"/>
                <w:sz w:val="21"/>
                <w:szCs w:val="21"/>
                <w:highlight w:val="none"/>
                <w:lang w:val="en-US" w:eastAsia="zh-CN"/>
              </w:rPr>
              <w:t>周边水体</w:t>
            </w:r>
            <w:r>
              <w:rPr>
                <w:rFonts w:hint="default" w:ascii="Times New Roman" w:hAnsi="Times New Roman" w:eastAsia="仿宋_GB2312" w:cs="Times New Roman"/>
                <w:color w:val="auto"/>
                <w:sz w:val="21"/>
                <w:szCs w:val="21"/>
                <w:highlight w:val="none"/>
              </w:rPr>
              <w:t>处</w:t>
            </w:r>
          </w:p>
        </w:tc>
        <w:tc>
          <w:tcPr>
            <w:tcW w:w="687" w:type="pct"/>
            <w:vMerge w:val="continue"/>
            <w:noWrap w:val="0"/>
            <w:vAlign w:val="center"/>
          </w:tcPr>
          <w:p w14:paraId="4D93B9E8">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color w:val="auto"/>
                <w:sz w:val="21"/>
                <w:szCs w:val="21"/>
                <w:highlight w:val="none"/>
              </w:rPr>
            </w:pPr>
          </w:p>
        </w:tc>
        <w:tc>
          <w:tcPr>
            <w:tcW w:w="959" w:type="pct"/>
            <w:vMerge w:val="continue"/>
            <w:noWrap w:val="0"/>
            <w:vAlign w:val="center"/>
          </w:tcPr>
          <w:p w14:paraId="79F123CE">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color w:val="auto"/>
                <w:sz w:val="21"/>
                <w:szCs w:val="21"/>
                <w:highlight w:val="none"/>
              </w:rPr>
            </w:pPr>
          </w:p>
        </w:tc>
        <w:tc>
          <w:tcPr>
            <w:tcW w:w="704" w:type="pct"/>
            <w:noWrap w:val="0"/>
            <w:vAlign w:val="center"/>
          </w:tcPr>
          <w:p w14:paraId="1127798D">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控制点</w:t>
            </w:r>
          </w:p>
        </w:tc>
        <w:tc>
          <w:tcPr>
            <w:tcW w:w="890" w:type="pct"/>
            <w:noWrap w:val="0"/>
            <w:vAlign w:val="center"/>
          </w:tcPr>
          <w:p w14:paraId="21738AE8">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拦截处置废水</w:t>
            </w:r>
          </w:p>
        </w:tc>
      </w:tr>
      <w:tr w14:paraId="4D72A1A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372" w:type="pct"/>
            <w:noWrap w:val="0"/>
            <w:vAlign w:val="center"/>
          </w:tcPr>
          <w:p w14:paraId="03BD66A7">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3</w:t>
            </w:r>
          </w:p>
        </w:tc>
        <w:tc>
          <w:tcPr>
            <w:tcW w:w="1385" w:type="pct"/>
            <w:noWrap w:val="0"/>
            <w:vAlign w:val="center"/>
          </w:tcPr>
          <w:p w14:paraId="18DB2B09">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lang w:val="en-US" w:eastAsia="zh-CN"/>
              </w:rPr>
              <w:t>消防</w:t>
            </w:r>
            <w:r>
              <w:rPr>
                <w:rFonts w:hint="default" w:ascii="Times New Roman" w:hAnsi="Times New Roman" w:eastAsia="仿宋_GB2312" w:cs="Times New Roman"/>
                <w:color w:val="auto"/>
                <w:sz w:val="21"/>
                <w:szCs w:val="21"/>
                <w:highlight w:val="none"/>
              </w:rPr>
              <w:t>废水、风险物质泄漏进入</w:t>
            </w:r>
            <w:r>
              <w:rPr>
                <w:rFonts w:hint="default" w:ascii="Times New Roman" w:hAnsi="Times New Roman" w:eastAsia="仿宋_GB2312" w:cs="Times New Roman"/>
                <w:color w:val="auto"/>
                <w:sz w:val="21"/>
                <w:szCs w:val="21"/>
                <w:highlight w:val="none"/>
                <w:lang w:val="en-US" w:eastAsia="zh-CN"/>
              </w:rPr>
              <w:t>周边水体</w:t>
            </w:r>
            <w:r>
              <w:rPr>
                <w:rFonts w:hint="default" w:ascii="Times New Roman" w:hAnsi="Times New Roman" w:eastAsia="仿宋_GB2312" w:cs="Times New Roman"/>
                <w:color w:val="auto"/>
                <w:sz w:val="21"/>
                <w:szCs w:val="21"/>
                <w:highlight w:val="none"/>
              </w:rPr>
              <w:t>下游1000m</w:t>
            </w:r>
          </w:p>
        </w:tc>
        <w:tc>
          <w:tcPr>
            <w:tcW w:w="687" w:type="pct"/>
            <w:vMerge w:val="continue"/>
            <w:noWrap w:val="0"/>
            <w:vAlign w:val="center"/>
          </w:tcPr>
          <w:p w14:paraId="4D4865F4">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color w:val="auto"/>
                <w:sz w:val="21"/>
                <w:szCs w:val="21"/>
                <w:highlight w:val="none"/>
              </w:rPr>
            </w:pPr>
          </w:p>
        </w:tc>
        <w:tc>
          <w:tcPr>
            <w:tcW w:w="959" w:type="pct"/>
            <w:vMerge w:val="continue"/>
            <w:noWrap w:val="0"/>
            <w:vAlign w:val="center"/>
          </w:tcPr>
          <w:p w14:paraId="4EF3E9AE">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color w:val="auto"/>
                <w:sz w:val="21"/>
                <w:szCs w:val="21"/>
                <w:highlight w:val="none"/>
              </w:rPr>
            </w:pPr>
          </w:p>
        </w:tc>
        <w:tc>
          <w:tcPr>
            <w:tcW w:w="704" w:type="pct"/>
            <w:noWrap w:val="0"/>
            <w:vAlign w:val="center"/>
          </w:tcPr>
          <w:p w14:paraId="4EB6C39A">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汇合控制点</w:t>
            </w:r>
          </w:p>
        </w:tc>
        <w:tc>
          <w:tcPr>
            <w:tcW w:w="890" w:type="pct"/>
            <w:noWrap w:val="0"/>
            <w:vAlign w:val="center"/>
          </w:tcPr>
          <w:p w14:paraId="0A34DC84">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处置后废水与河水混合后</w:t>
            </w:r>
          </w:p>
        </w:tc>
      </w:tr>
    </w:tbl>
    <w:p w14:paraId="51D986BE">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firstLine="480" w:firstLineChars="200"/>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lang w:eastAsia="zh-CN"/>
        </w:rPr>
        <w:t>（</w:t>
      </w:r>
      <w:r>
        <w:rPr>
          <w:rFonts w:hint="default" w:ascii="Times New Roman" w:hAnsi="Times New Roman" w:eastAsia="仿宋_GB2312" w:cs="Times New Roman"/>
          <w:color w:val="auto"/>
          <w:sz w:val="24"/>
          <w:szCs w:val="24"/>
          <w:highlight w:val="none"/>
          <w:lang w:val="en-US" w:eastAsia="zh-CN"/>
        </w:rPr>
        <w:t>2</w:t>
      </w:r>
      <w:r>
        <w:rPr>
          <w:rFonts w:hint="default" w:ascii="Times New Roman" w:hAnsi="Times New Roman" w:eastAsia="仿宋_GB2312" w:cs="Times New Roman"/>
          <w:color w:val="auto"/>
          <w:sz w:val="24"/>
          <w:szCs w:val="24"/>
          <w:highlight w:val="none"/>
          <w:lang w:eastAsia="zh-CN"/>
        </w:rPr>
        <w:t>）</w:t>
      </w:r>
      <w:r>
        <w:rPr>
          <w:rFonts w:hint="default" w:ascii="Times New Roman" w:hAnsi="Times New Roman" w:eastAsia="仿宋_GB2312" w:cs="Times New Roman"/>
          <w:color w:val="auto"/>
          <w:sz w:val="24"/>
          <w:szCs w:val="24"/>
          <w:highlight w:val="none"/>
        </w:rPr>
        <w:t>监测时间和频次</w:t>
      </w:r>
    </w:p>
    <w:p w14:paraId="0E832686">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firstLine="480" w:firstLineChars="200"/>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按照事故持续时间决定监测时间，根据事故严重性确定监测频次。一般情况下每10</w:t>
      </w:r>
      <w:r>
        <w:rPr>
          <w:rFonts w:hint="default" w:ascii="Times New Roman" w:hAnsi="Times New Roman" w:eastAsia="仿宋_GB2312" w:cs="Times New Roman"/>
          <w:color w:val="auto"/>
          <w:sz w:val="24"/>
          <w:szCs w:val="24"/>
          <w:highlight w:val="none"/>
          <w:lang w:val="en-US" w:eastAsia="zh-CN"/>
        </w:rPr>
        <w:t>~</w:t>
      </w:r>
      <w:r>
        <w:rPr>
          <w:rFonts w:hint="default" w:ascii="Times New Roman" w:hAnsi="Times New Roman" w:eastAsia="仿宋_GB2312" w:cs="Times New Roman"/>
          <w:color w:val="auto"/>
          <w:sz w:val="24"/>
          <w:szCs w:val="24"/>
          <w:highlight w:val="none"/>
        </w:rPr>
        <w:t>15分钟取样一次。随事故控制减弱，适当减少监测频次。</w:t>
      </w:r>
    </w:p>
    <w:p w14:paraId="5CB32E08">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firstLine="480" w:firstLineChars="200"/>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lang w:eastAsia="zh-CN"/>
        </w:rPr>
        <w:t>（</w:t>
      </w:r>
      <w:r>
        <w:rPr>
          <w:rFonts w:hint="default" w:ascii="Times New Roman" w:hAnsi="Times New Roman" w:eastAsia="仿宋_GB2312" w:cs="Times New Roman"/>
          <w:color w:val="auto"/>
          <w:sz w:val="24"/>
          <w:szCs w:val="24"/>
          <w:highlight w:val="none"/>
          <w:lang w:val="en-US" w:eastAsia="zh-CN"/>
        </w:rPr>
        <w:t>3</w:t>
      </w:r>
      <w:r>
        <w:rPr>
          <w:rFonts w:hint="default" w:ascii="Times New Roman" w:hAnsi="Times New Roman" w:eastAsia="仿宋_GB2312" w:cs="Times New Roman"/>
          <w:color w:val="auto"/>
          <w:sz w:val="24"/>
          <w:szCs w:val="24"/>
          <w:highlight w:val="none"/>
          <w:lang w:eastAsia="zh-CN"/>
        </w:rPr>
        <w:t>）</w:t>
      </w:r>
      <w:r>
        <w:rPr>
          <w:rFonts w:hint="default" w:ascii="Times New Roman" w:hAnsi="Times New Roman" w:eastAsia="仿宋_GB2312" w:cs="Times New Roman"/>
          <w:color w:val="auto"/>
          <w:sz w:val="24"/>
          <w:szCs w:val="24"/>
          <w:highlight w:val="none"/>
        </w:rPr>
        <w:t>监测点布设</w:t>
      </w:r>
    </w:p>
    <w:p w14:paraId="7E4FDB33">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firstLine="480" w:firstLineChars="200"/>
        <w:textAlignment w:val="auto"/>
        <w:outlineLvl w:val="9"/>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一旦发生事故，关闭</w:t>
      </w:r>
      <w:r>
        <w:rPr>
          <w:rFonts w:hint="default" w:ascii="Times New Roman" w:hAnsi="Times New Roman" w:eastAsia="仿宋_GB2312" w:cs="Times New Roman"/>
          <w:color w:val="auto"/>
          <w:sz w:val="24"/>
          <w:szCs w:val="24"/>
          <w:highlight w:val="none"/>
          <w:lang w:val="en-US" w:eastAsia="zh-CN"/>
        </w:rPr>
        <w:t>阀门</w:t>
      </w:r>
      <w:r>
        <w:rPr>
          <w:rFonts w:hint="default" w:ascii="Times New Roman" w:hAnsi="Times New Roman" w:eastAsia="仿宋_GB2312" w:cs="Times New Roman"/>
          <w:color w:val="auto"/>
          <w:sz w:val="24"/>
          <w:szCs w:val="24"/>
          <w:highlight w:val="none"/>
        </w:rPr>
        <w:t>，避免事故废水</w:t>
      </w:r>
      <w:r>
        <w:rPr>
          <w:rFonts w:hint="default" w:ascii="Times New Roman" w:hAnsi="Times New Roman" w:eastAsia="仿宋_GB2312" w:cs="Times New Roman"/>
          <w:color w:val="auto"/>
          <w:sz w:val="24"/>
          <w:szCs w:val="24"/>
          <w:highlight w:val="none"/>
          <w:lang w:val="en-US" w:eastAsia="zh-CN"/>
        </w:rPr>
        <w:t>外排</w:t>
      </w:r>
      <w:r>
        <w:rPr>
          <w:rFonts w:hint="default" w:ascii="Times New Roman" w:hAnsi="Times New Roman" w:eastAsia="仿宋_GB2312" w:cs="Times New Roman"/>
          <w:color w:val="auto"/>
          <w:sz w:val="24"/>
          <w:szCs w:val="24"/>
          <w:highlight w:val="none"/>
        </w:rPr>
        <w:t>，并在事故企业的</w:t>
      </w:r>
      <w:r>
        <w:rPr>
          <w:rFonts w:hint="default" w:ascii="Times New Roman" w:hAnsi="Times New Roman" w:eastAsia="仿宋_GB2312" w:cs="Times New Roman"/>
          <w:color w:val="auto"/>
          <w:sz w:val="24"/>
          <w:szCs w:val="24"/>
          <w:highlight w:val="none"/>
          <w:lang w:val="en-US" w:eastAsia="zh-CN"/>
        </w:rPr>
        <w:t>排污</w:t>
      </w:r>
      <w:r>
        <w:rPr>
          <w:rFonts w:hint="default" w:ascii="Times New Roman" w:hAnsi="Times New Roman" w:eastAsia="仿宋_GB2312" w:cs="Times New Roman"/>
          <w:color w:val="auto"/>
          <w:sz w:val="24"/>
          <w:szCs w:val="24"/>
          <w:highlight w:val="none"/>
        </w:rPr>
        <w:t>处设置采样点。</w:t>
      </w:r>
    </w:p>
    <w:p w14:paraId="2C3C3B24">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firstLine="480" w:firstLineChars="200"/>
        <w:textAlignment w:val="auto"/>
        <w:outlineLvl w:val="9"/>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如果事故废水进入外环境，须在事故废水排放口布设一个断面，并根据实际情况在上游布设一个对照断面，下游各布设控制断面和削减断面</w:t>
      </w:r>
      <w:r>
        <w:rPr>
          <w:rFonts w:hint="default" w:ascii="Times New Roman" w:hAnsi="Times New Roman" w:eastAsia="仿宋_GB2312" w:cs="Times New Roman"/>
          <w:color w:val="auto"/>
          <w:kern w:val="0"/>
          <w:sz w:val="24"/>
          <w:szCs w:val="24"/>
          <w:highlight w:val="none"/>
          <w:lang w:eastAsia="zh-CN"/>
        </w:rPr>
        <w:t>。</w:t>
      </w:r>
    </w:p>
    <w:p w14:paraId="31A444CB">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firstLine="482" w:firstLineChars="200"/>
        <w:textAlignment w:val="auto"/>
        <w:outlineLvl w:val="9"/>
        <w:rPr>
          <w:rFonts w:hint="default" w:ascii="Times New Roman" w:hAnsi="Times New Roman" w:eastAsia="仿宋_GB2312" w:cs="Times New Roman"/>
          <w:b/>
          <w:color w:val="auto"/>
          <w:sz w:val="24"/>
          <w:szCs w:val="24"/>
          <w:highlight w:val="none"/>
        </w:rPr>
      </w:pPr>
      <w:bookmarkStart w:id="360" w:name="_Toc21169"/>
      <w:bookmarkStart w:id="361" w:name="_Toc23820"/>
      <w:bookmarkStart w:id="362" w:name="_Toc8114"/>
      <w:r>
        <w:rPr>
          <w:rFonts w:hint="default" w:ascii="Times New Roman" w:hAnsi="Times New Roman" w:eastAsia="仿宋_GB2312" w:cs="Times New Roman"/>
          <w:b/>
          <w:color w:val="auto"/>
          <w:sz w:val="24"/>
          <w:szCs w:val="24"/>
          <w:highlight w:val="none"/>
        </w:rPr>
        <w:t>大气环境污染事故监测</w:t>
      </w:r>
      <w:bookmarkEnd w:id="360"/>
      <w:bookmarkEnd w:id="361"/>
      <w:bookmarkEnd w:id="362"/>
    </w:p>
    <w:p w14:paraId="422773AC">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firstLine="480" w:firstLineChars="200"/>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lang w:eastAsia="zh-CN"/>
        </w:rPr>
        <w:t>（</w:t>
      </w:r>
      <w:r>
        <w:rPr>
          <w:rFonts w:hint="default" w:ascii="Times New Roman" w:hAnsi="Times New Roman" w:eastAsia="仿宋_GB2312" w:cs="Times New Roman"/>
          <w:color w:val="auto"/>
          <w:sz w:val="24"/>
          <w:szCs w:val="24"/>
          <w:highlight w:val="none"/>
          <w:lang w:val="en-US" w:eastAsia="zh-CN"/>
        </w:rPr>
        <w:t>1</w:t>
      </w:r>
      <w:r>
        <w:rPr>
          <w:rFonts w:hint="default" w:ascii="Times New Roman" w:hAnsi="Times New Roman" w:eastAsia="仿宋_GB2312" w:cs="Times New Roman"/>
          <w:color w:val="auto"/>
          <w:sz w:val="24"/>
          <w:szCs w:val="24"/>
          <w:highlight w:val="none"/>
          <w:lang w:eastAsia="zh-CN"/>
        </w:rPr>
        <w:t>）</w:t>
      </w:r>
      <w:r>
        <w:rPr>
          <w:rFonts w:hint="default" w:ascii="Times New Roman" w:hAnsi="Times New Roman" w:eastAsia="仿宋_GB2312" w:cs="Times New Roman"/>
          <w:color w:val="auto"/>
          <w:sz w:val="24"/>
          <w:szCs w:val="24"/>
          <w:highlight w:val="none"/>
        </w:rPr>
        <w:t xml:space="preserve">监测因子 </w:t>
      </w:r>
    </w:p>
    <w:p w14:paraId="3EB61756">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jc w:val="center"/>
        <w:textAlignment w:val="auto"/>
        <w:rPr>
          <w:rFonts w:hint="default" w:ascii="Times New Roman" w:hAnsi="Times New Roman" w:eastAsia="仿宋_GB2312" w:cs="Times New Roman"/>
          <w:b/>
          <w:color w:val="auto"/>
          <w:sz w:val="24"/>
          <w:szCs w:val="24"/>
          <w:highlight w:val="none"/>
        </w:rPr>
      </w:pPr>
      <w:r>
        <w:rPr>
          <w:rFonts w:hint="default" w:ascii="Times New Roman" w:hAnsi="Times New Roman" w:eastAsia="仿宋_GB2312" w:cs="Times New Roman"/>
          <w:b/>
          <w:color w:val="auto"/>
          <w:sz w:val="24"/>
          <w:szCs w:val="24"/>
          <w:highlight w:val="none"/>
        </w:rPr>
        <w:t>表</w:t>
      </w:r>
      <w:r>
        <w:rPr>
          <w:rFonts w:hint="default" w:ascii="Times New Roman" w:hAnsi="Times New Roman" w:eastAsia="仿宋_GB2312" w:cs="Times New Roman"/>
          <w:b/>
          <w:color w:val="auto"/>
          <w:sz w:val="24"/>
          <w:szCs w:val="24"/>
          <w:highlight w:val="none"/>
          <w:lang w:val="en-US" w:eastAsia="zh-CN"/>
        </w:rPr>
        <w:t>5.5-4  大气环境</w:t>
      </w:r>
      <w:r>
        <w:rPr>
          <w:rFonts w:hint="default" w:ascii="Times New Roman" w:hAnsi="Times New Roman" w:eastAsia="仿宋_GB2312" w:cs="Times New Roman"/>
          <w:b/>
          <w:color w:val="auto"/>
          <w:sz w:val="24"/>
          <w:szCs w:val="24"/>
          <w:highlight w:val="none"/>
        </w:rPr>
        <w:t>应急监测方案</w:t>
      </w:r>
    </w:p>
    <w:tbl>
      <w:tblPr>
        <w:tblStyle w:val="31"/>
        <w:tblW w:w="4994" w:type="pct"/>
        <w:tblInd w:w="0" w:type="dxa"/>
        <w:tblLayout w:type="autofit"/>
        <w:tblCellMar>
          <w:top w:w="0" w:type="dxa"/>
          <w:left w:w="108" w:type="dxa"/>
          <w:bottom w:w="0" w:type="dxa"/>
          <w:right w:w="108" w:type="dxa"/>
        </w:tblCellMar>
      </w:tblPr>
      <w:tblGrid>
        <w:gridCol w:w="686"/>
        <w:gridCol w:w="3186"/>
        <w:gridCol w:w="2356"/>
        <w:gridCol w:w="1831"/>
        <w:gridCol w:w="1218"/>
      </w:tblGrid>
      <w:tr w14:paraId="6331B4A0">
        <w:tblPrEx>
          <w:tblCellMar>
            <w:top w:w="0" w:type="dxa"/>
            <w:left w:w="108" w:type="dxa"/>
            <w:bottom w:w="0" w:type="dxa"/>
            <w:right w:w="108" w:type="dxa"/>
          </w:tblCellMar>
        </w:tblPrEx>
        <w:trPr>
          <w:trHeight w:val="90" w:hRule="atLeast"/>
        </w:trPr>
        <w:tc>
          <w:tcPr>
            <w:tcW w:w="370" w:type="pct"/>
            <w:tcBorders>
              <w:top w:val="single" w:color="000000" w:sz="12" w:space="0"/>
              <w:left w:val="nil"/>
              <w:bottom w:val="single" w:color="000000" w:sz="6" w:space="0"/>
              <w:right w:val="single" w:color="000000" w:sz="6" w:space="0"/>
            </w:tcBorders>
            <w:noWrap w:val="0"/>
            <w:vAlign w:val="center"/>
          </w:tcPr>
          <w:p w14:paraId="121A6EB6">
            <w:pPr>
              <w:pageBreakBefore w:val="0"/>
              <w:kinsoku/>
              <w:topLinePunct w:val="0"/>
              <w:bidi w:val="0"/>
              <w:adjustRightInd w:val="0"/>
              <w:snapToGrid w:val="0"/>
              <w:ind w:left="0" w:leftChars="0" w:right="0"/>
              <w:jc w:val="center"/>
              <w:rPr>
                <w:rFonts w:hint="default" w:ascii="Times New Roman" w:hAnsi="Times New Roman" w:eastAsia="仿宋_GB2312" w:cs="Times New Roman"/>
                <w:b/>
                <w:bCs/>
                <w:color w:val="auto"/>
                <w:sz w:val="21"/>
                <w:szCs w:val="21"/>
                <w:highlight w:val="none"/>
              </w:rPr>
            </w:pPr>
            <w:r>
              <w:rPr>
                <w:rFonts w:hint="default" w:ascii="Times New Roman" w:hAnsi="Times New Roman" w:eastAsia="仿宋_GB2312" w:cs="Times New Roman"/>
                <w:b/>
                <w:bCs/>
                <w:color w:val="auto"/>
                <w:sz w:val="21"/>
                <w:szCs w:val="21"/>
                <w:highlight w:val="none"/>
                <w:lang w:val="en-US" w:eastAsia="zh-CN"/>
              </w:rPr>
              <w:t>序</w:t>
            </w:r>
            <w:r>
              <w:rPr>
                <w:rFonts w:hint="default" w:ascii="Times New Roman" w:hAnsi="Times New Roman" w:eastAsia="仿宋_GB2312" w:cs="Times New Roman"/>
                <w:b/>
                <w:bCs/>
                <w:color w:val="auto"/>
                <w:sz w:val="21"/>
                <w:szCs w:val="21"/>
                <w:highlight w:val="none"/>
              </w:rPr>
              <w:t>号</w:t>
            </w:r>
          </w:p>
        </w:tc>
        <w:tc>
          <w:tcPr>
            <w:tcW w:w="1717" w:type="pct"/>
            <w:tcBorders>
              <w:top w:val="single" w:color="000000" w:sz="12" w:space="0"/>
              <w:left w:val="single" w:color="000000" w:sz="6" w:space="0"/>
              <w:bottom w:val="single" w:color="000000" w:sz="6" w:space="0"/>
              <w:right w:val="single" w:color="000000" w:sz="6" w:space="0"/>
            </w:tcBorders>
            <w:noWrap w:val="0"/>
            <w:vAlign w:val="center"/>
          </w:tcPr>
          <w:p w14:paraId="6EFD739F">
            <w:pPr>
              <w:pageBreakBefore w:val="0"/>
              <w:kinsoku/>
              <w:topLinePunct w:val="0"/>
              <w:bidi w:val="0"/>
              <w:adjustRightInd w:val="0"/>
              <w:snapToGrid w:val="0"/>
              <w:ind w:left="0" w:leftChars="0" w:right="0"/>
              <w:jc w:val="center"/>
              <w:rPr>
                <w:rFonts w:hint="default" w:ascii="Times New Roman" w:hAnsi="Times New Roman" w:eastAsia="仿宋_GB2312" w:cs="Times New Roman"/>
                <w:b/>
                <w:bCs/>
                <w:color w:val="auto"/>
                <w:sz w:val="21"/>
                <w:szCs w:val="21"/>
                <w:highlight w:val="none"/>
              </w:rPr>
            </w:pPr>
            <w:r>
              <w:rPr>
                <w:rFonts w:hint="default" w:ascii="Times New Roman" w:hAnsi="Times New Roman" w:eastAsia="仿宋_GB2312" w:cs="Times New Roman"/>
                <w:b/>
                <w:bCs/>
                <w:color w:val="auto"/>
                <w:sz w:val="21"/>
                <w:szCs w:val="21"/>
                <w:highlight w:val="none"/>
              </w:rPr>
              <w:t>监测点位置</w:t>
            </w:r>
          </w:p>
        </w:tc>
        <w:tc>
          <w:tcPr>
            <w:tcW w:w="1270" w:type="pct"/>
            <w:tcBorders>
              <w:top w:val="single" w:color="000000" w:sz="12" w:space="0"/>
              <w:left w:val="single" w:color="000000" w:sz="6" w:space="0"/>
              <w:bottom w:val="single" w:color="000000" w:sz="6" w:space="0"/>
              <w:right w:val="single" w:color="000000" w:sz="6" w:space="0"/>
            </w:tcBorders>
            <w:noWrap w:val="0"/>
            <w:vAlign w:val="center"/>
          </w:tcPr>
          <w:p w14:paraId="1EEE7A7F">
            <w:pPr>
              <w:pageBreakBefore w:val="0"/>
              <w:kinsoku/>
              <w:topLinePunct w:val="0"/>
              <w:bidi w:val="0"/>
              <w:adjustRightInd w:val="0"/>
              <w:snapToGrid w:val="0"/>
              <w:ind w:left="0" w:leftChars="0" w:right="0"/>
              <w:jc w:val="center"/>
              <w:rPr>
                <w:rFonts w:hint="default" w:ascii="Times New Roman" w:hAnsi="Times New Roman" w:eastAsia="仿宋_GB2312" w:cs="Times New Roman"/>
                <w:b/>
                <w:bCs/>
                <w:color w:val="auto"/>
                <w:sz w:val="21"/>
                <w:szCs w:val="21"/>
                <w:highlight w:val="none"/>
              </w:rPr>
            </w:pPr>
            <w:r>
              <w:rPr>
                <w:rFonts w:hint="default" w:ascii="Times New Roman" w:hAnsi="Times New Roman" w:eastAsia="仿宋_GB2312" w:cs="Times New Roman"/>
                <w:b/>
                <w:bCs/>
                <w:color w:val="auto"/>
                <w:sz w:val="21"/>
                <w:szCs w:val="21"/>
                <w:highlight w:val="none"/>
              </w:rPr>
              <w:t>监测因子</w:t>
            </w:r>
          </w:p>
        </w:tc>
        <w:tc>
          <w:tcPr>
            <w:tcW w:w="987" w:type="pct"/>
            <w:tcBorders>
              <w:top w:val="single" w:color="000000" w:sz="12" w:space="0"/>
              <w:left w:val="single" w:color="000000" w:sz="6" w:space="0"/>
              <w:bottom w:val="single" w:color="000000" w:sz="6" w:space="0"/>
              <w:right w:val="single" w:color="000000" w:sz="6" w:space="0"/>
            </w:tcBorders>
            <w:noWrap w:val="0"/>
            <w:vAlign w:val="center"/>
          </w:tcPr>
          <w:p w14:paraId="028131BB">
            <w:pPr>
              <w:pageBreakBefore w:val="0"/>
              <w:kinsoku/>
              <w:topLinePunct w:val="0"/>
              <w:bidi w:val="0"/>
              <w:adjustRightInd w:val="0"/>
              <w:snapToGrid w:val="0"/>
              <w:ind w:left="0" w:leftChars="0" w:right="0"/>
              <w:jc w:val="center"/>
              <w:rPr>
                <w:rFonts w:hint="default" w:ascii="Times New Roman" w:hAnsi="Times New Roman" w:eastAsia="仿宋_GB2312" w:cs="Times New Roman"/>
                <w:b/>
                <w:bCs/>
                <w:color w:val="auto"/>
                <w:sz w:val="21"/>
                <w:szCs w:val="21"/>
                <w:highlight w:val="none"/>
              </w:rPr>
            </w:pPr>
            <w:r>
              <w:rPr>
                <w:rFonts w:hint="default" w:ascii="Times New Roman" w:hAnsi="Times New Roman" w:eastAsia="仿宋_GB2312" w:cs="Times New Roman"/>
                <w:b/>
                <w:bCs/>
                <w:color w:val="auto"/>
                <w:sz w:val="21"/>
                <w:szCs w:val="21"/>
                <w:highlight w:val="none"/>
              </w:rPr>
              <w:t>监测频次</w:t>
            </w:r>
          </w:p>
        </w:tc>
        <w:tc>
          <w:tcPr>
            <w:tcW w:w="653" w:type="pct"/>
            <w:tcBorders>
              <w:top w:val="single" w:color="000000" w:sz="12" w:space="0"/>
              <w:left w:val="single" w:color="000000" w:sz="6" w:space="0"/>
              <w:bottom w:val="single" w:color="000000" w:sz="6" w:space="0"/>
              <w:right w:val="nil"/>
            </w:tcBorders>
            <w:noWrap w:val="0"/>
            <w:vAlign w:val="center"/>
          </w:tcPr>
          <w:p w14:paraId="1A3ACD40">
            <w:pPr>
              <w:pageBreakBefore w:val="0"/>
              <w:kinsoku/>
              <w:topLinePunct w:val="0"/>
              <w:bidi w:val="0"/>
              <w:adjustRightInd w:val="0"/>
              <w:snapToGrid w:val="0"/>
              <w:ind w:left="0" w:leftChars="0" w:right="0"/>
              <w:jc w:val="center"/>
              <w:rPr>
                <w:rFonts w:hint="default" w:ascii="Times New Roman" w:hAnsi="Times New Roman" w:eastAsia="仿宋_GB2312" w:cs="Times New Roman"/>
                <w:b/>
                <w:bCs/>
                <w:color w:val="auto"/>
                <w:sz w:val="21"/>
                <w:szCs w:val="21"/>
                <w:highlight w:val="none"/>
              </w:rPr>
            </w:pPr>
            <w:r>
              <w:rPr>
                <w:rFonts w:hint="default" w:ascii="Times New Roman" w:hAnsi="Times New Roman" w:eastAsia="仿宋_GB2312" w:cs="Times New Roman"/>
                <w:b/>
                <w:bCs/>
                <w:color w:val="auto"/>
                <w:sz w:val="21"/>
                <w:szCs w:val="21"/>
                <w:highlight w:val="none"/>
              </w:rPr>
              <w:t>功能</w:t>
            </w:r>
          </w:p>
        </w:tc>
      </w:tr>
      <w:tr w14:paraId="0C61FF7C">
        <w:tblPrEx>
          <w:tblCellMar>
            <w:top w:w="0" w:type="dxa"/>
            <w:left w:w="108" w:type="dxa"/>
            <w:bottom w:w="0" w:type="dxa"/>
            <w:right w:w="108" w:type="dxa"/>
          </w:tblCellMar>
        </w:tblPrEx>
        <w:trPr>
          <w:trHeight w:val="90" w:hRule="atLeast"/>
        </w:trPr>
        <w:tc>
          <w:tcPr>
            <w:tcW w:w="370" w:type="pct"/>
            <w:tcBorders>
              <w:top w:val="single" w:color="000000" w:sz="6" w:space="0"/>
              <w:left w:val="nil"/>
              <w:bottom w:val="single" w:color="000000" w:sz="6" w:space="0"/>
              <w:right w:val="single" w:color="000000" w:sz="6" w:space="0"/>
            </w:tcBorders>
            <w:noWrap w:val="0"/>
            <w:vAlign w:val="center"/>
          </w:tcPr>
          <w:p w14:paraId="01E76225">
            <w:pPr>
              <w:pageBreakBefore w:val="0"/>
              <w:kinsoku/>
              <w:topLinePunct w:val="0"/>
              <w:bidi w:val="0"/>
              <w:adjustRightInd w:val="0"/>
              <w:snapToGrid w:val="0"/>
              <w:ind w:left="0" w:leftChars="0" w:right="0"/>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1</w:t>
            </w:r>
          </w:p>
        </w:tc>
        <w:tc>
          <w:tcPr>
            <w:tcW w:w="1717" w:type="pct"/>
            <w:tcBorders>
              <w:top w:val="single" w:color="000000" w:sz="6" w:space="0"/>
              <w:left w:val="single" w:color="000000" w:sz="6" w:space="0"/>
              <w:bottom w:val="single" w:color="000000" w:sz="6" w:space="0"/>
              <w:right w:val="single" w:color="000000" w:sz="6" w:space="0"/>
            </w:tcBorders>
            <w:noWrap w:val="0"/>
            <w:vAlign w:val="center"/>
          </w:tcPr>
          <w:p w14:paraId="0218DA15">
            <w:pPr>
              <w:pageBreakBefore w:val="0"/>
              <w:kinsoku/>
              <w:topLinePunct w:val="0"/>
              <w:bidi w:val="0"/>
              <w:adjustRightInd w:val="0"/>
              <w:snapToGrid w:val="0"/>
              <w:ind w:left="0" w:leftChars="0" w:right="0"/>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主导上风向</w:t>
            </w:r>
          </w:p>
        </w:tc>
        <w:tc>
          <w:tcPr>
            <w:tcW w:w="1270" w:type="pct"/>
            <w:vMerge w:val="restart"/>
            <w:tcBorders>
              <w:top w:val="single" w:color="000000" w:sz="6" w:space="0"/>
              <w:left w:val="single" w:color="000000" w:sz="6" w:space="0"/>
              <w:bottom w:val="single" w:color="000000" w:sz="6" w:space="0"/>
              <w:right w:val="single" w:color="000000" w:sz="6" w:space="0"/>
            </w:tcBorders>
            <w:noWrap w:val="0"/>
            <w:vAlign w:val="center"/>
          </w:tcPr>
          <w:p w14:paraId="7E9452ED">
            <w:pPr>
              <w:pageBreakBefore w:val="0"/>
              <w:kinsoku/>
              <w:topLinePunct w:val="0"/>
              <w:bidi w:val="0"/>
              <w:adjustRightInd w:val="0"/>
              <w:snapToGrid w:val="0"/>
              <w:ind w:left="0" w:leftChars="0" w:right="0"/>
              <w:jc w:val="center"/>
              <w:rPr>
                <w:rFonts w:hint="default" w:ascii="Times New Roman" w:hAnsi="Times New Roman" w:eastAsia="仿宋_GB2312" w:cs="Times New Roman"/>
                <w:color w:val="auto"/>
                <w:sz w:val="21"/>
                <w:szCs w:val="21"/>
                <w:highlight w:val="none"/>
                <w:lang w:val="en-US"/>
              </w:rPr>
            </w:pPr>
            <w:r>
              <w:rPr>
                <w:rFonts w:hint="default" w:ascii="Times New Roman" w:hAnsi="Times New Roman" w:eastAsia="仿宋_GB2312" w:cs="Times New Roman"/>
                <w:b w:val="0"/>
                <w:bCs/>
                <w:color w:val="auto"/>
                <w:szCs w:val="21"/>
                <w:highlight w:val="none"/>
                <w:lang w:val="en-US" w:eastAsia="zh-CN"/>
              </w:rPr>
              <w:t>一氧化碳、总烃</w:t>
            </w:r>
            <w:r>
              <w:rPr>
                <w:rFonts w:hint="eastAsia" w:ascii="Times New Roman" w:hAnsi="Times New Roman" w:eastAsia="仿宋_GB2312" w:cs="Times New Roman"/>
                <w:b w:val="0"/>
                <w:bCs/>
                <w:color w:val="auto"/>
                <w:szCs w:val="21"/>
                <w:highlight w:val="none"/>
                <w:lang w:val="en-US" w:eastAsia="zh-CN"/>
              </w:rPr>
              <w:t>、HCl</w:t>
            </w:r>
            <w:r>
              <w:rPr>
                <w:rFonts w:hint="default" w:ascii="Times New Roman" w:hAnsi="Times New Roman" w:eastAsia="仿宋_GB2312" w:cs="Times New Roman"/>
                <w:b w:val="0"/>
                <w:bCs/>
                <w:color w:val="auto"/>
                <w:szCs w:val="21"/>
                <w:highlight w:val="none"/>
                <w:lang w:val="en-US" w:eastAsia="zh-CN"/>
              </w:rPr>
              <w:t>，监测时根据事故类型和排放物质确定特征因子，如非甲烷总烃</w:t>
            </w:r>
            <w:r>
              <w:rPr>
                <w:rFonts w:hint="eastAsia" w:ascii="Times New Roman" w:hAnsi="Times New Roman" w:eastAsia="仿宋_GB2312" w:cs="Times New Roman"/>
                <w:b w:val="0"/>
                <w:bCs/>
                <w:color w:val="auto"/>
                <w:szCs w:val="21"/>
                <w:highlight w:val="none"/>
                <w:lang w:val="en-US" w:eastAsia="zh-CN"/>
              </w:rPr>
              <w:t>、HCl</w:t>
            </w:r>
            <w:r>
              <w:rPr>
                <w:rFonts w:hint="default" w:ascii="Times New Roman" w:hAnsi="Times New Roman" w:eastAsia="仿宋_GB2312" w:cs="Times New Roman"/>
                <w:b w:val="0"/>
                <w:bCs/>
                <w:color w:val="auto"/>
                <w:szCs w:val="21"/>
                <w:highlight w:val="none"/>
                <w:lang w:val="en-US" w:eastAsia="zh-CN"/>
              </w:rPr>
              <w:t>等</w:t>
            </w:r>
          </w:p>
        </w:tc>
        <w:tc>
          <w:tcPr>
            <w:tcW w:w="987" w:type="pct"/>
            <w:vMerge w:val="restart"/>
            <w:tcBorders>
              <w:top w:val="single" w:color="000000" w:sz="6" w:space="0"/>
              <w:left w:val="single" w:color="000000" w:sz="6" w:space="0"/>
              <w:bottom w:val="single" w:color="000000" w:sz="6" w:space="0"/>
              <w:right w:val="single" w:color="000000" w:sz="6" w:space="0"/>
            </w:tcBorders>
            <w:noWrap w:val="0"/>
            <w:vAlign w:val="center"/>
          </w:tcPr>
          <w:p w14:paraId="6465E7A7">
            <w:pPr>
              <w:pageBreakBefore w:val="0"/>
              <w:kinsoku/>
              <w:topLinePunct w:val="0"/>
              <w:bidi w:val="0"/>
              <w:adjustRightInd w:val="0"/>
              <w:snapToGrid w:val="0"/>
              <w:ind w:left="0" w:leftChars="0" w:right="0"/>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初期阶段：1h/次；控制阶段：2h/次；跟踪阶段：1d/次，连续3d。</w:t>
            </w:r>
          </w:p>
        </w:tc>
        <w:tc>
          <w:tcPr>
            <w:tcW w:w="653" w:type="pct"/>
            <w:tcBorders>
              <w:top w:val="single" w:color="000000" w:sz="6" w:space="0"/>
              <w:left w:val="single" w:color="000000" w:sz="6" w:space="0"/>
              <w:bottom w:val="single" w:color="000000" w:sz="6" w:space="0"/>
              <w:right w:val="nil"/>
            </w:tcBorders>
            <w:noWrap w:val="0"/>
            <w:vAlign w:val="center"/>
          </w:tcPr>
          <w:p w14:paraId="63845493">
            <w:pPr>
              <w:pageBreakBefore w:val="0"/>
              <w:kinsoku/>
              <w:topLinePunct w:val="0"/>
              <w:bidi w:val="0"/>
              <w:adjustRightInd w:val="0"/>
              <w:snapToGrid w:val="0"/>
              <w:ind w:left="0" w:leftChars="0" w:right="0"/>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背景点</w:t>
            </w:r>
          </w:p>
        </w:tc>
      </w:tr>
      <w:tr w14:paraId="64EB0A89">
        <w:tblPrEx>
          <w:tblCellMar>
            <w:top w:w="0" w:type="dxa"/>
            <w:left w:w="108" w:type="dxa"/>
            <w:bottom w:w="0" w:type="dxa"/>
            <w:right w:w="108" w:type="dxa"/>
          </w:tblCellMar>
        </w:tblPrEx>
        <w:trPr>
          <w:trHeight w:val="848" w:hRule="atLeast"/>
        </w:trPr>
        <w:tc>
          <w:tcPr>
            <w:tcW w:w="370" w:type="pct"/>
            <w:tcBorders>
              <w:top w:val="single" w:color="000000" w:sz="6" w:space="0"/>
              <w:left w:val="nil"/>
              <w:bottom w:val="single" w:color="000000" w:sz="6" w:space="0"/>
              <w:right w:val="single" w:color="000000" w:sz="6" w:space="0"/>
            </w:tcBorders>
            <w:noWrap w:val="0"/>
            <w:vAlign w:val="center"/>
          </w:tcPr>
          <w:p w14:paraId="14CAD1E7">
            <w:pPr>
              <w:pageBreakBefore w:val="0"/>
              <w:kinsoku/>
              <w:topLinePunct w:val="0"/>
              <w:bidi w:val="0"/>
              <w:adjustRightInd w:val="0"/>
              <w:snapToGrid w:val="0"/>
              <w:ind w:left="0" w:leftChars="0" w:right="0"/>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2</w:t>
            </w:r>
          </w:p>
        </w:tc>
        <w:tc>
          <w:tcPr>
            <w:tcW w:w="1717" w:type="pct"/>
            <w:tcBorders>
              <w:top w:val="single" w:color="000000" w:sz="6" w:space="0"/>
              <w:left w:val="single" w:color="000000" w:sz="6" w:space="0"/>
              <w:bottom w:val="single" w:color="000000" w:sz="6" w:space="0"/>
              <w:right w:val="single" w:color="000000" w:sz="6" w:space="0"/>
            </w:tcBorders>
            <w:noWrap w:val="0"/>
            <w:vAlign w:val="center"/>
          </w:tcPr>
          <w:p w14:paraId="0EBC2630">
            <w:pPr>
              <w:pageBreakBefore w:val="0"/>
              <w:kinsoku/>
              <w:topLinePunct w:val="0"/>
              <w:bidi w:val="0"/>
              <w:adjustRightInd w:val="0"/>
              <w:snapToGrid w:val="0"/>
              <w:ind w:left="0" w:leftChars="0" w:right="0"/>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以点源为顶点，采用扇形布点法，具体扇形角度与弧线的选取根据污染物质的扩散特点与事故发生时的风速、风向等进行选取</w:t>
            </w:r>
          </w:p>
        </w:tc>
        <w:tc>
          <w:tcPr>
            <w:tcW w:w="1270" w:type="pct"/>
            <w:vMerge w:val="continue"/>
            <w:tcBorders>
              <w:top w:val="single" w:color="000000" w:sz="6" w:space="0"/>
              <w:left w:val="single" w:color="000000" w:sz="6" w:space="0"/>
              <w:bottom w:val="single" w:color="000000" w:sz="6" w:space="0"/>
              <w:right w:val="single" w:color="000000" w:sz="6" w:space="0"/>
            </w:tcBorders>
            <w:noWrap w:val="0"/>
            <w:vAlign w:val="center"/>
          </w:tcPr>
          <w:p w14:paraId="1761A403">
            <w:pPr>
              <w:pageBreakBefore w:val="0"/>
              <w:kinsoku/>
              <w:topLinePunct w:val="0"/>
              <w:bidi w:val="0"/>
              <w:adjustRightInd w:val="0"/>
              <w:snapToGrid w:val="0"/>
              <w:ind w:left="0" w:leftChars="0" w:right="0"/>
              <w:jc w:val="center"/>
              <w:rPr>
                <w:rFonts w:hint="default" w:ascii="Times New Roman" w:hAnsi="Times New Roman" w:eastAsia="仿宋_GB2312" w:cs="Times New Roman"/>
                <w:color w:val="auto"/>
                <w:sz w:val="21"/>
                <w:szCs w:val="21"/>
                <w:highlight w:val="none"/>
              </w:rPr>
            </w:pPr>
          </w:p>
        </w:tc>
        <w:tc>
          <w:tcPr>
            <w:tcW w:w="987" w:type="pct"/>
            <w:vMerge w:val="continue"/>
            <w:tcBorders>
              <w:top w:val="single" w:color="000000" w:sz="6" w:space="0"/>
              <w:left w:val="single" w:color="000000" w:sz="6" w:space="0"/>
              <w:bottom w:val="single" w:color="000000" w:sz="6" w:space="0"/>
              <w:right w:val="single" w:color="000000" w:sz="6" w:space="0"/>
            </w:tcBorders>
            <w:noWrap w:val="0"/>
            <w:vAlign w:val="center"/>
          </w:tcPr>
          <w:p w14:paraId="1844199A">
            <w:pPr>
              <w:pageBreakBefore w:val="0"/>
              <w:kinsoku/>
              <w:topLinePunct w:val="0"/>
              <w:bidi w:val="0"/>
              <w:adjustRightInd w:val="0"/>
              <w:snapToGrid w:val="0"/>
              <w:ind w:left="0" w:leftChars="0" w:right="0"/>
              <w:jc w:val="center"/>
              <w:rPr>
                <w:rFonts w:hint="default" w:ascii="Times New Roman" w:hAnsi="Times New Roman" w:eastAsia="仿宋_GB2312" w:cs="Times New Roman"/>
                <w:color w:val="auto"/>
                <w:sz w:val="21"/>
                <w:szCs w:val="21"/>
                <w:highlight w:val="none"/>
              </w:rPr>
            </w:pPr>
          </w:p>
        </w:tc>
        <w:tc>
          <w:tcPr>
            <w:tcW w:w="653" w:type="pct"/>
            <w:tcBorders>
              <w:top w:val="single" w:color="000000" w:sz="6" w:space="0"/>
              <w:left w:val="single" w:color="000000" w:sz="6" w:space="0"/>
              <w:bottom w:val="single" w:color="000000" w:sz="6" w:space="0"/>
              <w:right w:val="nil"/>
            </w:tcBorders>
            <w:noWrap w:val="0"/>
            <w:vAlign w:val="center"/>
          </w:tcPr>
          <w:p w14:paraId="36ECF93F">
            <w:pPr>
              <w:pageBreakBefore w:val="0"/>
              <w:kinsoku/>
              <w:topLinePunct w:val="0"/>
              <w:bidi w:val="0"/>
              <w:adjustRightInd w:val="0"/>
              <w:snapToGrid w:val="0"/>
              <w:ind w:left="0" w:leftChars="0" w:right="0"/>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控制点</w:t>
            </w:r>
          </w:p>
        </w:tc>
      </w:tr>
      <w:tr w14:paraId="4F4EF254">
        <w:tblPrEx>
          <w:tblCellMar>
            <w:top w:w="0" w:type="dxa"/>
            <w:left w:w="108" w:type="dxa"/>
            <w:bottom w:w="0" w:type="dxa"/>
            <w:right w:w="108" w:type="dxa"/>
          </w:tblCellMar>
        </w:tblPrEx>
        <w:trPr>
          <w:trHeight w:val="90" w:hRule="atLeast"/>
        </w:trPr>
        <w:tc>
          <w:tcPr>
            <w:tcW w:w="5000" w:type="pct"/>
            <w:gridSpan w:val="5"/>
            <w:tcBorders>
              <w:top w:val="single" w:color="000000" w:sz="6" w:space="0"/>
              <w:left w:val="nil"/>
              <w:bottom w:val="single" w:color="000000" w:sz="12" w:space="0"/>
              <w:right w:val="nil"/>
            </w:tcBorders>
            <w:noWrap w:val="0"/>
            <w:vAlign w:val="center"/>
          </w:tcPr>
          <w:p w14:paraId="384FC141">
            <w:pPr>
              <w:pageBreakBefore w:val="0"/>
              <w:kinsoku/>
              <w:topLinePunct w:val="0"/>
              <w:bidi w:val="0"/>
              <w:adjustRightInd w:val="0"/>
              <w:snapToGrid w:val="0"/>
              <w:ind w:left="0" w:leftChars="0" w:right="0"/>
              <w:jc w:val="both"/>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b w:val="0"/>
                <w:bCs w:val="0"/>
                <w:color w:val="auto"/>
                <w:sz w:val="21"/>
                <w:szCs w:val="21"/>
                <w:highlight w:val="none"/>
              </w:rPr>
              <w:t>注：具体参考《突发环境事件应急监测技术规范》执行。</w:t>
            </w:r>
          </w:p>
        </w:tc>
      </w:tr>
    </w:tbl>
    <w:p w14:paraId="5408DEF4">
      <w:pPr>
        <w:keepNext w:val="0"/>
        <w:keepLines w:val="0"/>
        <w:pageBreakBefore w:val="0"/>
        <w:kinsoku/>
        <w:wordWrap/>
        <w:overflowPunct/>
        <w:topLinePunct w:val="0"/>
        <w:autoSpaceDE/>
        <w:autoSpaceDN/>
        <w:bidi w:val="0"/>
        <w:adjustRightInd w:val="0"/>
        <w:snapToGrid w:val="0"/>
        <w:spacing w:line="500" w:lineRule="exact"/>
        <w:ind w:left="0" w:leftChars="0" w:right="0" w:firstLine="480" w:firstLineChars="200"/>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lang w:eastAsia="zh-CN"/>
        </w:rPr>
        <w:t>（</w:t>
      </w:r>
      <w:r>
        <w:rPr>
          <w:rFonts w:hint="default" w:ascii="Times New Roman" w:hAnsi="Times New Roman" w:eastAsia="仿宋_GB2312" w:cs="Times New Roman"/>
          <w:color w:val="auto"/>
          <w:sz w:val="24"/>
          <w:szCs w:val="24"/>
          <w:highlight w:val="none"/>
          <w:lang w:val="en-US" w:eastAsia="zh-CN"/>
        </w:rPr>
        <w:t>2</w:t>
      </w:r>
      <w:r>
        <w:rPr>
          <w:rFonts w:hint="default" w:ascii="Times New Roman" w:hAnsi="Times New Roman" w:eastAsia="仿宋_GB2312" w:cs="Times New Roman"/>
          <w:color w:val="auto"/>
          <w:sz w:val="24"/>
          <w:szCs w:val="24"/>
          <w:highlight w:val="none"/>
          <w:lang w:eastAsia="zh-CN"/>
        </w:rPr>
        <w:t>）</w:t>
      </w:r>
      <w:r>
        <w:rPr>
          <w:rFonts w:hint="default" w:ascii="Times New Roman" w:hAnsi="Times New Roman" w:eastAsia="仿宋_GB2312" w:cs="Times New Roman"/>
          <w:color w:val="auto"/>
          <w:sz w:val="24"/>
          <w:szCs w:val="24"/>
          <w:highlight w:val="none"/>
        </w:rPr>
        <w:t>监测时间和频次</w:t>
      </w:r>
    </w:p>
    <w:p w14:paraId="73FEC8C8">
      <w:pPr>
        <w:keepNext w:val="0"/>
        <w:keepLines w:val="0"/>
        <w:pageBreakBefore w:val="0"/>
        <w:kinsoku/>
        <w:wordWrap/>
        <w:overflowPunct/>
        <w:topLinePunct w:val="0"/>
        <w:autoSpaceDE/>
        <w:autoSpaceDN/>
        <w:bidi w:val="0"/>
        <w:adjustRightInd w:val="0"/>
        <w:snapToGrid w:val="0"/>
        <w:spacing w:line="500" w:lineRule="exact"/>
        <w:ind w:left="0" w:leftChars="0" w:right="0" w:firstLine="480" w:firstLineChars="200"/>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按照事故持续时间决定监测时间，根据事故严重性决定监测频次。一般情况下每30小时监测1次，随事故控制减弱，适当减少监测频次。</w:t>
      </w:r>
    </w:p>
    <w:p w14:paraId="2A8926C6">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firstLine="480" w:firstLineChars="200"/>
        <w:textAlignment w:val="auto"/>
        <w:outlineLvl w:val="9"/>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lang w:eastAsia="zh-CN"/>
        </w:rPr>
        <w:t>（</w:t>
      </w:r>
      <w:r>
        <w:rPr>
          <w:rFonts w:hint="default" w:ascii="Times New Roman" w:hAnsi="Times New Roman" w:eastAsia="仿宋_GB2312" w:cs="Times New Roman"/>
          <w:color w:val="auto"/>
          <w:sz w:val="24"/>
          <w:szCs w:val="24"/>
          <w:highlight w:val="none"/>
          <w:lang w:val="en-US" w:eastAsia="zh-CN"/>
        </w:rPr>
        <w:t>3</w:t>
      </w:r>
      <w:r>
        <w:rPr>
          <w:rFonts w:hint="default" w:ascii="Times New Roman" w:hAnsi="Times New Roman" w:eastAsia="仿宋_GB2312" w:cs="Times New Roman"/>
          <w:color w:val="auto"/>
          <w:sz w:val="24"/>
          <w:szCs w:val="24"/>
          <w:highlight w:val="none"/>
          <w:lang w:eastAsia="zh-CN"/>
        </w:rPr>
        <w:t>）</w:t>
      </w:r>
      <w:r>
        <w:rPr>
          <w:rFonts w:hint="default" w:ascii="Times New Roman" w:hAnsi="Times New Roman" w:eastAsia="仿宋_GB2312" w:cs="Times New Roman"/>
          <w:color w:val="auto"/>
          <w:sz w:val="24"/>
          <w:szCs w:val="24"/>
          <w:highlight w:val="none"/>
        </w:rPr>
        <w:t>监测点布设</w:t>
      </w:r>
    </w:p>
    <w:p w14:paraId="61CF05F8">
      <w:pPr>
        <w:keepNext w:val="0"/>
        <w:keepLines w:val="0"/>
        <w:pageBreakBefore w:val="0"/>
        <w:widowControl/>
        <w:kinsoku/>
        <w:wordWrap/>
        <w:overflowPunct/>
        <w:topLinePunct w:val="0"/>
        <w:autoSpaceDE/>
        <w:autoSpaceDN/>
        <w:bidi w:val="0"/>
        <w:adjustRightInd w:val="0"/>
        <w:snapToGrid w:val="0"/>
        <w:spacing w:line="500" w:lineRule="exact"/>
        <w:ind w:left="0" w:leftChars="0" w:right="0" w:firstLine="480" w:firstLineChars="200"/>
        <w:textAlignment w:val="auto"/>
        <w:rPr>
          <w:rFonts w:hint="default" w:ascii="Times New Roman" w:hAnsi="Times New Roman" w:eastAsia="仿宋_GB2312" w:cs="Times New Roman"/>
          <w:bCs/>
          <w:color w:val="auto"/>
          <w:sz w:val="24"/>
          <w:szCs w:val="24"/>
          <w:highlight w:val="none"/>
        </w:rPr>
      </w:pPr>
      <w:r>
        <w:rPr>
          <w:rFonts w:hint="default" w:ascii="Times New Roman" w:hAnsi="Times New Roman" w:eastAsia="仿宋_GB2312" w:cs="Times New Roman"/>
          <w:color w:val="auto"/>
          <w:sz w:val="24"/>
          <w:szCs w:val="24"/>
          <w:highlight w:val="none"/>
        </w:rPr>
        <w:t>以事故地点为中心，在下风向按一定间隔的扇形或圆形布点，同时在事故点的上风向适当位置布设对照点；在可能受污染影响的居民住宅区或人群活动区等敏感点必须设置采样点，采样过程中应注意风向的变化，及时调整采样点位置</w:t>
      </w:r>
      <w:r>
        <w:rPr>
          <w:rFonts w:hint="default" w:ascii="Times New Roman" w:hAnsi="Times New Roman" w:eastAsia="仿宋_GB2312" w:cs="Times New Roman"/>
          <w:color w:val="auto"/>
          <w:sz w:val="24"/>
          <w:szCs w:val="24"/>
          <w:highlight w:val="none"/>
          <w:lang w:eastAsia="zh-CN"/>
        </w:rPr>
        <w:t>。</w:t>
      </w:r>
    </w:p>
    <w:p w14:paraId="1AF0342E">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firstLine="482" w:firstLineChars="200"/>
        <w:textAlignment w:val="auto"/>
        <w:outlineLvl w:val="9"/>
        <w:rPr>
          <w:rFonts w:hint="default" w:ascii="Times New Roman" w:hAnsi="Times New Roman" w:eastAsia="仿宋_GB2312" w:cs="Times New Roman"/>
          <w:b/>
          <w:color w:val="auto"/>
          <w:sz w:val="24"/>
          <w:szCs w:val="24"/>
          <w:highlight w:val="none"/>
        </w:rPr>
      </w:pPr>
      <w:bookmarkStart w:id="363" w:name="_Toc13114"/>
      <w:bookmarkStart w:id="364" w:name="_Toc30778"/>
      <w:bookmarkStart w:id="365" w:name="_Toc9263"/>
      <w:r>
        <w:rPr>
          <w:rFonts w:hint="default" w:ascii="Times New Roman" w:hAnsi="Times New Roman" w:eastAsia="仿宋_GB2312" w:cs="Times New Roman"/>
          <w:b/>
          <w:color w:val="auto"/>
          <w:sz w:val="24"/>
          <w:szCs w:val="24"/>
          <w:highlight w:val="none"/>
        </w:rPr>
        <w:t>地下水环境污染事故监测</w:t>
      </w:r>
      <w:bookmarkEnd w:id="363"/>
      <w:bookmarkEnd w:id="364"/>
      <w:bookmarkEnd w:id="365"/>
    </w:p>
    <w:p w14:paraId="018212DE">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firstLine="480" w:firstLineChars="200"/>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lang w:eastAsia="zh-CN"/>
        </w:rPr>
        <w:t>（</w:t>
      </w:r>
      <w:r>
        <w:rPr>
          <w:rFonts w:hint="default" w:ascii="Times New Roman" w:hAnsi="Times New Roman" w:eastAsia="仿宋_GB2312" w:cs="Times New Roman"/>
          <w:color w:val="auto"/>
          <w:sz w:val="24"/>
          <w:szCs w:val="24"/>
          <w:highlight w:val="none"/>
          <w:lang w:val="en-US" w:eastAsia="zh-CN"/>
        </w:rPr>
        <w:t>1</w:t>
      </w:r>
      <w:r>
        <w:rPr>
          <w:rFonts w:hint="default" w:ascii="Times New Roman" w:hAnsi="Times New Roman" w:eastAsia="仿宋_GB2312" w:cs="Times New Roman"/>
          <w:color w:val="auto"/>
          <w:sz w:val="24"/>
          <w:szCs w:val="24"/>
          <w:highlight w:val="none"/>
          <w:lang w:eastAsia="zh-CN"/>
        </w:rPr>
        <w:t>）</w:t>
      </w:r>
      <w:r>
        <w:rPr>
          <w:rFonts w:hint="default" w:ascii="Times New Roman" w:hAnsi="Times New Roman" w:eastAsia="仿宋_GB2312" w:cs="Times New Roman"/>
          <w:color w:val="auto"/>
          <w:sz w:val="24"/>
          <w:szCs w:val="24"/>
          <w:highlight w:val="none"/>
        </w:rPr>
        <w:t xml:space="preserve">监测因子 </w:t>
      </w:r>
    </w:p>
    <w:p w14:paraId="29C05516">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firstLine="480" w:firstLineChars="200"/>
        <w:textAlignment w:val="auto"/>
        <w:rPr>
          <w:rFonts w:hint="default" w:ascii="Times New Roman" w:hAnsi="Times New Roman" w:eastAsia="仿宋_GB2312" w:cs="Times New Roman"/>
          <w:b/>
          <w:color w:val="auto"/>
          <w:sz w:val="24"/>
          <w:szCs w:val="24"/>
          <w:highlight w:val="none"/>
        </w:rPr>
      </w:pPr>
      <w:r>
        <w:rPr>
          <w:rFonts w:hint="default" w:ascii="Times New Roman" w:hAnsi="Times New Roman" w:eastAsia="仿宋_GB2312" w:cs="Times New Roman"/>
          <w:color w:val="auto"/>
          <w:sz w:val="24"/>
          <w:szCs w:val="24"/>
          <w:highlight w:val="none"/>
          <w:lang w:val="en-US" w:eastAsia="zh-CN"/>
        </w:rPr>
        <w:t>企业地下水环境污染事故主要是事故废水泄漏或导致有毒有害物质进入地下水。发生事故后地下水环境应急监测方案见表5</w:t>
      </w:r>
      <w:r>
        <w:rPr>
          <w:rFonts w:hint="default" w:ascii="Times New Roman" w:hAnsi="Times New Roman" w:eastAsia="仿宋_GB2312" w:cs="Times New Roman"/>
          <w:color w:val="auto"/>
          <w:sz w:val="24"/>
          <w:szCs w:val="24"/>
          <w:highlight w:val="none"/>
          <w:lang w:eastAsia="zh-CN"/>
        </w:rPr>
        <w:t>.</w:t>
      </w:r>
      <w:r>
        <w:rPr>
          <w:rFonts w:hint="default" w:ascii="Times New Roman" w:hAnsi="Times New Roman" w:eastAsia="仿宋_GB2312" w:cs="Times New Roman"/>
          <w:color w:val="auto"/>
          <w:sz w:val="24"/>
          <w:szCs w:val="24"/>
          <w:highlight w:val="none"/>
          <w:lang w:val="en-US" w:eastAsia="zh-CN"/>
        </w:rPr>
        <w:t>5-5</w:t>
      </w:r>
      <w:r>
        <w:rPr>
          <w:rFonts w:hint="default" w:ascii="Times New Roman" w:hAnsi="Times New Roman" w:eastAsia="仿宋_GB2312" w:cs="Times New Roman"/>
          <w:color w:val="auto"/>
          <w:sz w:val="24"/>
          <w:szCs w:val="24"/>
          <w:highlight w:val="none"/>
        </w:rPr>
        <w:t>。</w:t>
      </w:r>
    </w:p>
    <w:p w14:paraId="67DAC70C">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jc w:val="center"/>
        <w:textAlignment w:val="auto"/>
        <w:rPr>
          <w:rFonts w:hint="default" w:ascii="Times New Roman" w:hAnsi="Times New Roman" w:eastAsia="仿宋_GB2312" w:cs="Times New Roman"/>
          <w:b/>
          <w:color w:val="auto"/>
          <w:sz w:val="24"/>
          <w:szCs w:val="24"/>
          <w:highlight w:val="none"/>
          <w:lang w:eastAsia="zh-CN"/>
        </w:rPr>
      </w:pPr>
      <w:r>
        <w:rPr>
          <w:rFonts w:hint="default" w:ascii="Times New Roman" w:hAnsi="Times New Roman" w:eastAsia="仿宋_GB2312" w:cs="Times New Roman"/>
          <w:b/>
          <w:color w:val="auto"/>
          <w:sz w:val="24"/>
          <w:szCs w:val="24"/>
          <w:highlight w:val="none"/>
        </w:rPr>
        <w:t>表</w:t>
      </w:r>
      <w:r>
        <w:rPr>
          <w:rFonts w:hint="default" w:ascii="Times New Roman" w:hAnsi="Times New Roman" w:eastAsia="仿宋_GB2312" w:cs="Times New Roman"/>
          <w:b/>
          <w:color w:val="auto"/>
          <w:sz w:val="24"/>
          <w:szCs w:val="24"/>
          <w:highlight w:val="none"/>
          <w:lang w:val="en-US" w:eastAsia="zh-CN"/>
        </w:rPr>
        <w:t>5</w:t>
      </w:r>
      <w:r>
        <w:rPr>
          <w:rFonts w:hint="default" w:ascii="Times New Roman" w:hAnsi="Times New Roman" w:eastAsia="仿宋_GB2312" w:cs="Times New Roman"/>
          <w:b/>
          <w:color w:val="auto"/>
          <w:sz w:val="24"/>
          <w:szCs w:val="24"/>
          <w:highlight w:val="none"/>
        </w:rPr>
        <w:t>.</w:t>
      </w:r>
      <w:r>
        <w:rPr>
          <w:rFonts w:hint="default" w:ascii="Times New Roman" w:hAnsi="Times New Roman" w:eastAsia="仿宋_GB2312" w:cs="Times New Roman"/>
          <w:b/>
          <w:color w:val="auto"/>
          <w:sz w:val="24"/>
          <w:szCs w:val="24"/>
          <w:highlight w:val="none"/>
          <w:lang w:val="en-US" w:eastAsia="zh-CN"/>
        </w:rPr>
        <w:t>5</w:t>
      </w:r>
      <w:r>
        <w:rPr>
          <w:rFonts w:hint="default" w:ascii="Times New Roman" w:hAnsi="Times New Roman" w:eastAsia="仿宋_GB2312" w:cs="Times New Roman"/>
          <w:b/>
          <w:color w:val="auto"/>
          <w:sz w:val="24"/>
          <w:szCs w:val="24"/>
          <w:highlight w:val="none"/>
        </w:rPr>
        <w:t>-</w:t>
      </w:r>
      <w:r>
        <w:rPr>
          <w:rFonts w:hint="default" w:ascii="Times New Roman" w:hAnsi="Times New Roman" w:eastAsia="仿宋_GB2312" w:cs="Times New Roman"/>
          <w:b/>
          <w:color w:val="auto"/>
          <w:sz w:val="24"/>
          <w:szCs w:val="24"/>
          <w:highlight w:val="none"/>
          <w:lang w:val="en-US" w:eastAsia="zh-CN"/>
        </w:rPr>
        <w:t>5</w:t>
      </w:r>
      <w:r>
        <w:rPr>
          <w:rFonts w:hint="default" w:ascii="Times New Roman" w:hAnsi="Times New Roman" w:eastAsia="仿宋_GB2312" w:cs="Times New Roman"/>
          <w:b/>
          <w:color w:val="auto"/>
          <w:sz w:val="24"/>
          <w:szCs w:val="24"/>
          <w:highlight w:val="none"/>
        </w:rPr>
        <w:t xml:space="preserve">  地下水环境</w:t>
      </w:r>
      <w:r>
        <w:rPr>
          <w:rFonts w:hint="default" w:ascii="Times New Roman" w:hAnsi="Times New Roman" w:eastAsia="仿宋_GB2312" w:cs="Times New Roman"/>
          <w:b/>
          <w:color w:val="auto"/>
          <w:sz w:val="24"/>
          <w:szCs w:val="24"/>
          <w:highlight w:val="none"/>
          <w:lang w:val="en-US" w:eastAsia="zh-CN"/>
        </w:rPr>
        <w:t>应急</w:t>
      </w:r>
      <w:r>
        <w:rPr>
          <w:rFonts w:hint="default" w:ascii="Times New Roman" w:hAnsi="Times New Roman" w:eastAsia="仿宋_GB2312" w:cs="Times New Roman"/>
          <w:b/>
          <w:color w:val="auto"/>
          <w:sz w:val="24"/>
          <w:szCs w:val="24"/>
          <w:highlight w:val="none"/>
        </w:rPr>
        <w:t>监测</w:t>
      </w:r>
      <w:r>
        <w:rPr>
          <w:rFonts w:hint="default" w:ascii="Times New Roman" w:hAnsi="Times New Roman" w:eastAsia="仿宋_GB2312" w:cs="Times New Roman"/>
          <w:b/>
          <w:color w:val="auto"/>
          <w:sz w:val="24"/>
          <w:szCs w:val="24"/>
          <w:highlight w:val="none"/>
          <w:lang w:val="en-US" w:eastAsia="zh-CN"/>
        </w:rPr>
        <w:t>方案</w:t>
      </w:r>
    </w:p>
    <w:tbl>
      <w:tblPr>
        <w:tblStyle w:val="31"/>
        <w:tblW w:w="4996"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168"/>
        <w:gridCol w:w="1609"/>
        <w:gridCol w:w="1206"/>
        <w:gridCol w:w="1859"/>
        <w:gridCol w:w="1388"/>
        <w:gridCol w:w="1096"/>
        <w:gridCol w:w="955"/>
      </w:tblGrid>
      <w:tr w14:paraId="3EE3E58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29" w:type="pct"/>
            <w:noWrap w:val="0"/>
            <w:vAlign w:val="center"/>
          </w:tcPr>
          <w:p w14:paraId="7EDC9F74">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b/>
                <w:bCs/>
                <w:color w:val="auto"/>
                <w:sz w:val="21"/>
                <w:szCs w:val="21"/>
                <w:highlight w:val="none"/>
              </w:rPr>
            </w:pPr>
            <w:r>
              <w:rPr>
                <w:rFonts w:hint="default" w:ascii="Times New Roman" w:hAnsi="Times New Roman" w:eastAsia="仿宋_GB2312" w:cs="Times New Roman"/>
                <w:b/>
                <w:bCs/>
                <w:color w:val="auto"/>
                <w:sz w:val="21"/>
                <w:szCs w:val="21"/>
                <w:highlight w:val="none"/>
              </w:rPr>
              <w:t>事故情景设置</w:t>
            </w:r>
          </w:p>
        </w:tc>
        <w:tc>
          <w:tcPr>
            <w:tcW w:w="866" w:type="pct"/>
            <w:noWrap w:val="0"/>
            <w:vAlign w:val="center"/>
          </w:tcPr>
          <w:p w14:paraId="1AA68624">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b/>
                <w:bCs/>
                <w:color w:val="auto"/>
                <w:sz w:val="21"/>
                <w:szCs w:val="21"/>
                <w:highlight w:val="none"/>
              </w:rPr>
            </w:pPr>
            <w:r>
              <w:rPr>
                <w:rFonts w:hint="default" w:ascii="Times New Roman" w:hAnsi="Times New Roman" w:eastAsia="仿宋_GB2312" w:cs="Times New Roman"/>
                <w:b/>
                <w:bCs/>
                <w:color w:val="auto"/>
                <w:sz w:val="21"/>
                <w:szCs w:val="21"/>
                <w:highlight w:val="none"/>
              </w:rPr>
              <w:t>环境风险物质</w:t>
            </w:r>
          </w:p>
        </w:tc>
        <w:tc>
          <w:tcPr>
            <w:tcW w:w="649" w:type="pct"/>
            <w:noWrap w:val="0"/>
            <w:vAlign w:val="center"/>
          </w:tcPr>
          <w:p w14:paraId="4933DE25">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b/>
                <w:bCs/>
                <w:color w:val="auto"/>
                <w:sz w:val="21"/>
                <w:szCs w:val="21"/>
                <w:highlight w:val="none"/>
              </w:rPr>
            </w:pPr>
            <w:r>
              <w:rPr>
                <w:rFonts w:hint="default" w:ascii="Times New Roman" w:hAnsi="Times New Roman" w:eastAsia="仿宋_GB2312" w:cs="Times New Roman"/>
                <w:b/>
                <w:bCs/>
                <w:color w:val="auto"/>
                <w:sz w:val="21"/>
                <w:szCs w:val="21"/>
                <w:highlight w:val="none"/>
              </w:rPr>
              <w:t>监测点位</w:t>
            </w:r>
          </w:p>
        </w:tc>
        <w:tc>
          <w:tcPr>
            <w:tcW w:w="1001" w:type="pct"/>
            <w:noWrap w:val="0"/>
            <w:vAlign w:val="center"/>
          </w:tcPr>
          <w:p w14:paraId="359634B2">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b/>
                <w:bCs/>
                <w:color w:val="auto"/>
                <w:sz w:val="21"/>
                <w:szCs w:val="21"/>
                <w:highlight w:val="none"/>
              </w:rPr>
            </w:pPr>
            <w:r>
              <w:rPr>
                <w:rFonts w:hint="default" w:ascii="Times New Roman" w:hAnsi="Times New Roman" w:eastAsia="仿宋_GB2312" w:cs="Times New Roman"/>
                <w:b/>
                <w:bCs/>
                <w:color w:val="auto"/>
                <w:sz w:val="21"/>
                <w:szCs w:val="21"/>
                <w:highlight w:val="none"/>
              </w:rPr>
              <w:t>监测因子</w:t>
            </w:r>
          </w:p>
        </w:tc>
        <w:tc>
          <w:tcPr>
            <w:tcW w:w="747" w:type="pct"/>
            <w:noWrap w:val="0"/>
            <w:vAlign w:val="center"/>
          </w:tcPr>
          <w:p w14:paraId="3ECE378C">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b/>
                <w:bCs/>
                <w:color w:val="auto"/>
                <w:sz w:val="21"/>
                <w:szCs w:val="21"/>
                <w:highlight w:val="none"/>
              </w:rPr>
            </w:pPr>
            <w:r>
              <w:rPr>
                <w:rFonts w:hint="default" w:ascii="Times New Roman" w:hAnsi="Times New Roman" w:eastAsia="仿宋_GB2312" w:cs="Times New Roman"/>
                <w:b/>
                <w:bCs/>
                <w:color w:val="auto"/>
                <w:sz w:val="21"/>
                <w:szCs w:val="21"/>
                <w:highlight w:val="none"/>
              </w:rPr>
              <w:t>监测频次</w:t>
            </w:r>
          </w:p>
        </w:tc>
        <w:tc>
          <w:tcPr>
            <w:tcW w:w="590" w:type="pct"/>
            <w:noWrap w:val="0"/>
            <w:vAlign w:val="center"/>
          </w:tcPr>
          <w:p w14:paraId="1B12F250">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b/>
                <w:bCs/>
                <w:color w:val="auto"/>
                <w:sz w:val="21"/>
                <w:szCs w:val="21"/>
                <w:highlight w:val="none"/>
              </w:rPr>
            </w:pPr>
            <w:r>
              <w:rPr>
                <w:rFonts w:hint="default" w:ascii="Times New Roman" w:hAnsi="Times New Roman" w:eastAsia="仿宋_GB2312" w:cs="Times New Roman"/>
                <w:b/>
                <w:bCs/>
                <w:color w:val="auto"/>
                <w:sz w:val="21"/>
                <w:szCs w:val="21"/>
                <w:highlight w:val="none"/>
              </w:rPr>
              <w:t>采样人员</w:t>
            </w:r>
          </w:p>
        </w:tc>
        <w:tc>
          <w:tcPr>
            <w:tcW w:w="514" w:type="pct"/>
            <w:noWrap w:val="0"/>
            <w:vAlign w:val="center"/>
          </w:tcPr>
          <w:p w14:paraId="635876B7">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b/>
                <w:bCs/>
                <w:color w:val="auto"/>
                <w:sz w:val="21"/>
                <w:szCs w:val="21"/>
                <w:highlight w:val="none"/>
              </w:rPr>
            </w:pPr>
            <w:r>
              <w:rPr>
                <w:rFonts w:hint="default" w:ascii="Times New Roman" w:hAnsi="Times New Roman" w:eastAsia="仿宋_GB2312" w:cs="Times New Roman"/>
                <w:b/>
                <w:bCs/>
                <w:color w:val="auto"/>
                <w:sz w:val="21"/>
                <w:szCs w:val="21"/>
                <w:highlight w:val="none"/>
              </w:rPr>
              <w:t>监测</w:t>
            </w:r>
          </w:p>
          <w:p w14:paraId="09C5D78C">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b/>
                <w:bCs/>
                <w:color w:val="auto"/>
                <w:sz w:val="21"/>
                <w:szCs w:val="21"/>
                <w:highlight w:val="none"/>
              </w:rPr>
            </w:pPr>
            <w:r>
              <w:rPr>
                <w:rFonts w:hint="default" w:ascii="Times New Roman" w:hAnsi="Times New Roman" w:eastAsia="仿宋_GB2312" w:cs="Times New Roman"/>
                <w:b/>
                <w:bCs/>
                <w:color w:val="auto"/>
                <w:sz w:val="21"/>
                <w:szCs w:val="21"/>
                <w:highlight w:val="none"/>
              </w:rPr>
              <w:t>设备</w:t>
            </w:r>
          </w:p>
        </w:tc>
      </w:tr>
      <w:tr w14:paraId="325E4DF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4" w:hRule="atLeast"/>
          <w:jc w:val="center"/>
        </w:trPr>
        <w:tc>
          <w:tcPr>
            <w:tcW w:w="629" w:type="pct"/>
            <w:noWrap w:val="0"/>
            <w:vAlign w:val="center"/>
          </w:tcPr>
          <w:p w14:paraId="29A46012">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防渗层破损而发生渗漏</w:t>
            </w:r>
          </w:p>
        </w:tc>
        <w:tc>
          <w:tcPr>
            <w:tcW w:w="866" w:type="pct"/>
            <w:noWrap w:val="0"/>
            <w:vAlign w:val="center"/>
          </w:tcPr>
          <w:p w14:paraId="2F38A654">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仿宋_GB2312" w:cs="Times New Roman"/>
                <w:color w:val="auto"/>
                <w:sz w:val="21"/>
                <w:szCs w:val="21"/>
                <w:highlight w:val="none"/>
              </w:rPr>
              <w:t>污水消防水非正常排放</w:t>
            </w:r>
          </w:p>
        </w:tc>
        <w:tc>
          <w:tcPr>
            <w:tcW w:w="649" w:type="pct"/>
            <w:noWrap w:val="0"/>
            <w:vAlign w:val="center"/>
          </w:tcPr>
          <w:p w14:paraId="34652958">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污染区域地下水</w:t>
            </w:r>
          </w:p>
        </w:tc>
        <w:tc>
          <w:tcPr>
            <w:tcW w:w="1001" w:type="pct"/>
            <w:noWrap w:val="0"/>
            <w:vAlign w:val="center"/>
          </w:tcPr>
          <w:p w14:paraId="61315B71">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color w:val="auto"/>
                <w:sz w:val="21"/>
                <w:szCs w:val="21"/>
                <w:highlight w:val="none"/>
                <w:lang w:val="en-US"/>
              </w:rPr>
            </w:pPr>
            <w:r>
              <w:rPr>
                <w:rFonts w:hint="default" w:ascii="Times New Roman" w:hAnsi="Times New Roman" w:eastAsia="仿宋_GB2312" w:cs="Times New Roman"/>
                <w:color w:val="auto"/>
                <w:highlight w:val="none"/>
              </w:rPr>
              <w:t>pH、</w:t>
            </w:r>
            <w:r>
              <w:rPr>
                <w:rFonts w:hint="default" w:ascii="Times New Roman" w:hAnsi="Times New Roman" w:eastAsia="仿宋_GB2312" w:cs="Times New Roman"/>
                <w:color w:val="auto"/>
                <w:highlight w:val="none"/>
                <w:lang w:val="en-US" w:eastAsia="zh-CN"/>
              </w:rPr>
              <w:t>耗氧量</w:t>
            </w:r>
            <w:r>
              <w:rPr>
                <w:rFonts w:hint="default" w:ascii="Times New Roman" w:hAnsi="Times New Roman" w:eastAsia="仿宋_GB2312" w:cs="Times New Roman"/>
                <w:color w:val="auto"/>
                <w:highlight w:val="none"/>
              </w:rPr>
              <w:t>、</w:t>
            </w:r>
            <w:r>
              <w:rPr>
                <w:rFonts w:hint="default" w:ascii="Times New Roman" w:hAnsi="Times New Roman" w:eastAsia="仿宋_GB2312" w:cs="Times New Roman"/>
                <w:color w:val="auto"/>
                <w:highlight w:val="none"/>
                <w:lang w:val="en-US" w:eastAsia="zh-CN"/>
              </w:rPr>
              <w:t>溶解性总固体</w:t>
            </w:r>
            <w:r>
              <w:rPr>
                <w:rFonts w:hint="default" w:ascii="Times New Roman" w:hAnsi="Times New Roman" w:eastAsia="仿宋_GB2312" w:cs="Times New Roman"/>
                <w:color w:val="auto"/>
                <w:highlight w:val="none"/>
              </w:rPr>
              <w:t>、氨氮、LAS、</w:t>
            </w:r>
            <w:r>
              <w:rPr>
                <w:rFonts w:hint="eastAsia" w:ascii="Times New Roman" w:hAnsi="Times New Roman" w:eastAsia="仿宋_GB2312" w:cs="Times New Roman"/>
                <w:color w:val="auto"/>
                <w:highlight w:val="none"/>
                <w:lang w:val="en-US" w:eastAsia="zh-CN"/>
              </w:rPr>
              <w:t>HCl</w:t>
            </w:r>
            <w:r>
              <w:rPr>
                <w:rFonts w:hint="default" w:ascii="Times New Roman" w:hAnsi="Times New Roman" w:eastAsia="仿宋_GB2312" w:cs="Times New Roman"/>
                <w:color w:val="auto"/>
                <w:highlight w:val="none"/>
                <w:lang w:val="en-US" w:eastAsia="zh-CN"/>
              </w:rPr>
              <w:t>等</w:t>
            </w:r>
          </w:p>
        </w:tc>
        <w:tc>
          <w:tcPr>
            <w:tcW w:w="747" w:type="pct"/>
            <w:noWrap w:val="0"/>
            <w:vAlign w:val="center"/>
          </w:tcPr>
          <w:p w14:paraId="2F994AE9">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根据事故危害程度及波及范围确定</w:t>
            </w:r>
          </w:p>
        </w:tc>
        <w:tc>
          <w:tcPr>
            <w:tcW w:w="590" w:type="pct"/>
            <w:noWrap w:val="0"/>
            <w:vAlign w:val="center"/>
          </w:tcPr>
          <w:p w14:paraId="29DE63EA">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协议单位人员</w:t>
            </w:r>
          </w:p>
        </w:tc>
        <w:tc>
          <w:tcPr>
            <w:tcW w:w="514" w:type="pct"/>
            <w:noWrap w:val="0"/>
            <w:vAlign w:val="center"/>
          </w:tcPr>
          <w:p w14:paraId="10923E43">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协议单位人员提供</w:t>
            </w:r>
          </w:p>
        </w:tc>
      </w:tr>
    </w:tbl>
    <w:p w14:paraId="3CEB8453">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firstLine="480" w:firstLineChars="200"/>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lang w:eastAsia="zh-CN"/>
        </w:rPr>
        <w:t>（</w:t>
      </w:r>
      <w:r>
        <w:rPr>
          <w:rFonts w:hint="default" w:ascii="Times New Roman" w:hAnsi="Times New Roman" w:eastAsia="仿宋_GB2312" w:cs="Times New Roman"/>
          <w:color w:val="auto"/>
          <w:sz w:val="24"/>
          <w:szCs w:val="24"/>
          <w:highlight w:val="none"/>
          <w:lang w:val="en-US" w:eastAsia="zh-CN"/>
        </w:rPr>
        <w:t>2</w:t>
      </w:r>
      <w:r>
        <w:rPr>
          <w:rFonts w:hint="default" w:ascii="Times New Roman" w:hAnsi="Times New Roman" w:eastAsia="仿宋_GB2312" w:cs="Times New Roman"/>
          <w:color w:val="auto"/>
          <w:sz w:val="24"/>
          <w:szCs w:val="24"/>
          <w:highlight w:val="none"/>
          <w:lang w:eastAsia="zh-CN"/>
        </w:rPr>
        <w:t>）</w:t>
      </w:r>
      <w:r>
        <w:rPr>
          <w:rFonts w:hint="default" w:ascii="Times New Roman" w:hAnsi="Times New Roman" w:eastAsia="仿宋_GB2312" w:cs="Times New Roman"/>
          <w:color w:val="auto"/>
          <w:sz w:val="24"/>
          <w:szCs w:val="24"/>
          <w:highlight w:val="none"/>
        </w:rPr>
        <w:t>监测时间和频次</w:t>
      </w:r>
    </w:p>
    <w:p w14:paraId="12B20EB1">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firstLine="480" w:firstLineChars="200"/>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按照事故持续时间决定监测时间，根据事故严重性确定监测频次。一般情况下每6小时取样一次。随事故控制减弱，适当减少监测频次。</w:t>
      </w:r>
    </w:p>
    <w:p w14:paraId="316DF430">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firstLine="480" w:firstLineChars="200"/>
        <w:textAlignment w:val="auto"/>
        <w:outlineLvl w:val="9"/>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lang w:eastAsia="zh-CN"/>
        </w:rPr>
        <w:t>（</w:t>
      </w:r>
      <w:r>
        <w:rPr>
          <w:rFonts w:hint="default" w:ascii="Times New Roman" w:hAnsi="Times New Roman" w:eastAsia="仿宋_GB2312" w:cs="Times New Roman"/>
          <w:color w:val="auto"/>
          <w:sz w:val="24"/>
          <w:szCs w:val="24"/>
          <w:highlight w:val="none"/>
          <w:lang w:val="en-US" w:eastAsia="zh-CN"/>
        </w:rPr>
        <w:t>3</w:t>
      </w:r>
      <w:r>
        <w:rPr>
          <w:rFonts w:hint="default" w:ascii="Times New Roman" w:hAnsi="Times New Roman" w:eastAsia="仿宋_GB2312" w:cs="Times New Roman"/>
          <w:color w:val="auto"/>
          <w:sz w:val="24"/>
          <w:szCs w:val="24"/>
          <w:highlight w:val="none"/>
          <w:lang w:eastAsia="zh-CN"/>
        </w:rPr>
        <w:t>）</w:t>
      </w:r>
      <w:r>
        <w:rPr>
          <w:rFonts w:hint="default" w:ascii="Times New Roman" w:hAnsi="Times New Roman" w:eastAsia="仿宋_GB2312" w:cs="Times New Roman"/>
          <w:color w:val="auto"/>
          <w:sz w:val="24"/>
          <w:szCs w:val="24"/>
          <w:highlight w:val="none"/>
        </w:rPr>
        <w:t>监测点布设</w:t>
      </w:r>
    </w:p>
    <w:p w14:paraId="590345E9">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firstLine="480" w:firstLineChars="200"/>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如果事故废水存在危害地吸水风险，以事发地为中心，对周围2km内的水井进行取样，初始1~2次/天，第三天后，1次/周直至应急结束。</w:t>
      </w:r>
    </w:p>
    <w:p w14:paraId="0B4E1263">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firstLine="482" w:firstLineChars="200"/>
        <w:textAlignment w:val="auto"/>
        <w:outlineLvl w:val="9"/>
        <w:rPr>
          <w:rFonts w:hint="default" w:ascii="Times New Roman" w:hAnsi="Times New Roman" w:eastAsia="仿宋_GB2312" w:cs="Times New Roman"/>
          <w:b/>
          <w:color w:val="auto"/>
          <w:sz w:val="24"/>
          <w:szCs w:val="24"/>
          <w:highlight w:val="none"/>
        </w:rPr>
      </w:pPr>
      <w:bookmarkStart w:id="366" w:name="_Toc23388"/>
      <w:bookmarkStart w:id="367" w:name="_Toc5580"/>
      <w:bookmarkStart w:id="368" w:name="_Toc26584"/>
      <w:r>
        <w:rPr>
          <w:rFonts w:hint="default" w:ascii="Times New Roman" w:hAnsi="Times New Roman" w:eastAsia="仿宋_GB2312" w:cs="Times New Roman"/>
          <w:b/>
          <w:color w:val="auto"/>
          <w:sz w:val="24"/>
          <w:szCs w:val="24"/>
          <w:highlight w:val="none"/>
        </w:rPr>
        <w:t>土壤环境污染事故监测</w:t>
      </w:r>
      <w:bookmarkEnd w:id="366"/>
      <w:bookmarkEnd w:id="367"/>
      <w:bookmarkEnd w:id="368"/>
    </w:p>
    <w:p w14:paraId="4F4C97F5">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firstLine="480" w:firstLineChars="200"/>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lang w:eastAsia="zh-CN"/>
        </w:rPr>
        <w:t>（</w:t>
      </w:r>
      <w:r>
        <w:rPr>
          <w:rFonts w:hint="default" w:ascii="Times New Roman" w:hAnsi="Times New Roman" w:eastAsia="仿宋_GB2312" w:cs="Times New Roman"/>
          <w:color w:val="auto"/>
          <w:sz w:val="24"/>
          <w:szCs w:val="24"/>
          <w:highlight w:val="none"/>
          <w:lang w:val="en-US" w:eastAsia="zh-CN"/>
        </w:rPr>
        <w:t>1</w:t>
      </w:r>
      <w:r>
        <w:rPr>
          <w:rFonts w:hint="default" w:ascii="Times New Roman" w:hAnsi="Times New Roman" w:eastAsia="仿宋_GB2312" w:cs="Times New Roman"/>
          <w:color w:val="auto"/>
          <w:sz w:val="24"/>
          <w:szCs w:val="24"/>
          <w:highlight w:val="none"/>
          <w:lang w:eastAsia="zh-CN"/>
        </w:rPr>
        <w:t>）</w:t>
      </w:r>
      <w:r>
        <w:rPr>
          <w:rFonts w:hint="default" w:ascii="Times New Roman" w:hAnsi="Times New Roman" w:eastAsia="仿宋_GB2312" w:cs="Times New Roman"/>
          <w:color w:val="auto"/>
          <w:sz w:val="24"/>
          <w:szCs w:val="24"/>
          <w:highlight w:val="none"/>
        </w:rPr>
        <w:t xml:space="preserve">监测因子 </w:t>
      </w:r>
    </w:p>
    <w:p w14:paraId="32F179F3">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firstLine="480" w:firstLineChars="200"/>
        <w:textAlignment w:val="auto"/>
        <w:rPr>
          <w:rFonts w:hint="default" w:ascii="Times New Roman" w:hAnsi="Times New Roman" w:eastAsia="仿宋_GB2312" w:cs="Times New Roman"/>
          <w:b/>
          <w:color w:val="auto"/>
          <w:sz w:val="24"/>
          <w:szCs w:val="24"/>
          <w:highlight w:val="none"/>
        </w:rPr>
      </w:pPr>
      <w:r>
        <w:rPr>
          <w:rFonts w:hint="default" w:ascii="Times New Roman" w:hAnsi="Times New Roman" w:eastAsia="仿宋_GB2312" w:cs="Times New Roman"/>
          <w:color w:val="auto"/>
          <w:sz w:val="24"/>
          <w:szCs w:val="24"/>
          <w:highlight w:val="none"/>
          <w:lang w:val="en-US" w:eastAsia="zh-CN"/>
        </w:rPr>
        <w:t>企业土壤环境污染事故主要是事故废水泄漏或导致有毒有害物质进入土壤环境。发生事故后土壤环境应急监测方案见</w:t>
      </w:r>
      <w:r>
        <w:rPr>
          <w:rFonts w:hint="default" w:ascii="Times New Roman" w:hAnsi="Times New Roman" w:eastAsia="仿宋_GB2312" w:cs="Times New Roman"/>
          <w:color w:val="auto"/>
          <w:sz w:val="24"/>
          <w:szCs w:val="24"/>
          <w:highlight w:val="none"/>
          <w:lang w:eastAsia="zh-CN"/>
        </w:rPr>
        <w:t>表</w:t>
      </w:r>
      <w:r>
        <w:rPr>
          <w:rFonts w:hint="default" w:ascii="Times New Roman" w:hAnsi="Times New Roman" w:eastAsia="仿宋_GB2312" w:cs="Times New Roman"/>
          <w:color w:val="auto"/>
          <w:sz w:val="24"/>
          <w:szCs w:val="24"/>
          <w:highlight w:val="none"/>
          <w:lang w:val="en-US" w:eastAsia="zh-CN"/>
        </w:rPr>
        <w:t>5</w:t>
      </w:r>
      <w:r>
        <w:rPr>
          <w:rFonts w:hint="default" w:ascii="Times New Roman" w:hAnsi="Times New Roman" w:eastAsia="仿宋_GB2312" w:cs="Times New Roman"/>
          <w:color w:val="auto"/>
          <w:sz w:val="24"/>
          <w:szCs w:val="24"/>
          <w:highlight w:val="none"/>
          <w:lang w:eastAsia="zh-CN"/>
        </w:rPr>
        <w:t>.</w:t>
      </w:r>
      <w:r>
        <w:rPr>
          <w:rFonts w:hint="default" w:ascii="Times New Roman" w:hAnsi="Times New Roman" w:eastAsia="仿宋_GB2312" w:cs="Times New Roman"/>
          <w:color w:val="auto"/>
          <w:sz w:val="24"/>
          <w:szCs w:val="24"/>
          <w:highlight w:val="none"/>
          <w:lang w:val="en-US" w:eastAsia="zh-CN"/>
        </w:rPr>
        <w:t>5-6</w:t>
      </w:r>
      <w:r>
        <w:rPr>
          <w:rFonts w:hint="default" w:ascii="Times New Roman" w:hAnsi="Times New Roman" w:eastAsia="仿宋_GB2312" w:cs="Times New Roman"/>
          <w:color w:val="auto"/>
          <w:sz w:val="24"/>
          <w:szCs w:val="24"/>
          <w:highlight w:val="none"/>
        </w:rPr>
        <w:t>。</w:t>
      </w:r>
    </w:p>
    <w:p w14:paraId="586ACB57">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jc w:val="center"/>
        <w:textAlignment w:val="auto"/>
        <w:rPr>
          <w:rFonts w:hint="default" w:ascii="Times New Roman" w:hAnsi="Times New Roman" w:eastAsia="仿宋_GB2312" w:cs="Times New Roman"/>
          <w:b/>
          <w:color w:val="auto"/>
          <w:sz w:val="24"/>
          <w:szCs w:val="24"/>
          <w:highlight w:val="none"/>
          <w:lang w:eastAsia="zh-CN"/>
        </w:rPr>
      </w:pPr>
      <w:r>
        <w:rPr>
          <w:rFonts w:hint="default" w:ascii="Times New Roman" w:hAnsi="Times New Roman" w:eastAsia="仿宋_GB2312" w:cs="Times New Roman"/>
          <w:b/>
          <w:color w:val="auto"/>
          <w:sz w:val="24"/>
          <w:szCs w:val="24"/>
          <w:highlight w:val="none"/>
        </w:rPr>
        <w:t>表</w:t>
      </w:r>
      <w:r>
        <w:rPr>
          <w:rFonts w:hint="default" w:ascii="Times New Roman" w:hAnsi="Times New Roman" w:eastAsia="仿宋_GB2312" w:cs="Times New Roman"/>
          <w:b/>
          <w:color w:val="auto"/>
          <w:sz w:val="24"/>
          <w:szCs w:val="24"/>
          <w:highlight w:val="none"/>
          <w:lang w:val="en-US" w:eastAsia="zh-CN"/>
        </w:rPr>
        <w:t>5</w:t>
      </w:r>
      <w:r>
        <w:rPr>
          <w:rFonts w:hint="default" w:ascii="Times New Roman" w:hAnsi="Times New Roman" w:eastAsia="仿宋_GB2312" w:cs="Times New Roman"/>
          <w:b/>
          <w:color w:val="auto"/>
          <w:sz w:val="24"/>
          <w:szCs w:val="24"/>
          <w:highlight w:val="none"/>
        </w:rPr>
        <w:t>.</w:t>
      </w:r>
      <w:r>
        <w:rPr>
          <w:rFonts w:hint="default" w:ascii="Times New Roman" w:hAnsi="Times New Roman" w:eastAsia="仿宋_GB2312" w:cs="Times New Roman"/>
          <w:b/>
          <w:color w:val="auto"/>
          <w:sz w:val="24"/>
          <w:szCs w:val="24"/>
          <w:highlight w:val="none"/>
          <w:lang w:val="en-US" w:eastAsia="zh-CN"/>
        </w:rPr>
        <w:t>5-6</w:t>
      </w:r>
      <w:r>
        <w:rPr>
          <w:rFonts w:hint="default" w:ascii="Times New Roman" w:hAnsi="Times New Roman" w:eastAsia="仿宋_GB2312" w:cs="Times New Roman"/>
          <w:b/>
          <w:color w:val="auto"/>
          <w:sz w:val="24"/>
          <w:szCs w:val="24"/>
          <w:highlight w:val="none"/>
        </w:rPr>
        <w:t xml:space="preserve"> </w:t>
      </w:r>
      <w:r>
        <w:rPr>
          <w:rFonts w:hint="default" w:ascii="Times New Roman" w:hAnsi="Times New Roman" w:eastAsia="仿宋_GB2312" w:cs="Times New Roman"/>
          <w:b/>
          <w:color w:val="auto"/>
          <w:sz w:val="24"/>
          <w:szCs w:val="24"/>
          <w:highlight w:val="none"/>
          <w:lang w:val="en-US" w:eastAsia="zh-CN"/>
        </w:rPr>
        <w:t xml:space="preserve"> </w:t>
      </w:r>
      <w:r>
        <w:rPr>
          <w:rFonts w:hint="default" w:ascii="Times New Roman" w:hAnsi="Times New Roman" w:eastAsia="仿宋_GB2312" w:cs="Times New Roman"/>
          <w:b/>
          <w:color w:val="auto"/>
          <w:sz w:val="24"/>
          <w:szCs w:val="24"/>
          <w:highlight w:val="none"/>
        </w:rPr>
        <w:t>土壤环境</w:t>
      </w:r>
      <w:r>
        <w:rPr>
          <w:rFonts w:hint="default" w:ascii="Times New Roman" w:hAnsi="Times New Roman" w:eastAsia="仿宋_GB2312" w:cs="Times New Roman"/>
          <w:b/>
          <w:color w:val="auto"/>
          <w:sz w:val="24"/>
          <w:szCs w:val="24"/>
          <w:highlight w:val="none"/>
          <w:lang w:val="en-US" w:eastAsia="zh-CN"/>
        </w:rPr>
        <w:t>应急</w:t>
      </w:r>
      <w:r>
        <w:rPr>
          <w:rFonts w:hint="default" w:ascii="Times New Roman" w:hAnsi="Times New Roman" w:eastAsia="仿宋_GB2312" w:cs="Times New Roman"/>
          <w:b/>
          <w:color w:val="auto"/>
          <w:sz w:val="24"/>
          <w:szCs w:val="24"/>
          <w:highlight w:val="none"/>
        </w:rPr>
        <w:t>监测</w:t>
      </w:r>
      <w:r>
        <w:rPr>
          <w:rFonts w:hint="default" w:ascii="Times New Roman" w:hAnsi="Times New Roman" w:eastAsia="仿宋_GB2312" w:cs="Times New Roman"/>
          <w:b/>
          <w:color w:val="auto"/>
          <w:sz w:val="24"/>
          <w:szCs w:val="24"/>
          <w:highlight w:val="none"/>
          <w:lang w:val="en-US" w:eastAsia="zh-CN"/>
        </w:rPr>
        <w:t>方案</w:t>
      </w:r>
    </w:p>
    <w:tbl>
      <w:tblPr>
        <w:tblStyle w:val="31"/>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13"/>
        <w:gridCol w:w="2995"/>
        <w:gridCol w:w="2854"/>
        <w:gridCol w:w="1564"/>
        <w:gridCol w:w="1158"/>
      </w:tblGrid>
      <w:tr w14:paraId="01631B0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384" w:type="pct"/>
            <w:noWrap w:val="0"/>
            <w:vAlign w:val="center"/>
          </w:tcPr>
          <w:p w14:paraId="14A40F6E">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b/>
                <w:bCs/>
                <w:color w:val="auto"/>
                <w:sz w:val="21"/>
                <w:szCs w:val="21"/>
                <w:highlight w:val="none"/>
              </w:rPr>
            </w:pPr>
            <w:r>
              <w:rPr>
                <w:rFonts w:hint="default" w:ascii="Times New Roman" w:hAnsi="Times New Roman" w:eastAsia="仿宋_GB2312" w:cs="Times New Roman"/>
                <w:b/>
                <w:bCs/>
                <w:color w:val="auto"/>
                <w:sz w:val="21"/>
                <w:szCs w:val="21"/>
                <w:highlight w:val="none"/>
                <w:lang w:val="en-US" w:eastAsia="zh-CN"/>
              </w:rPr>
              <w:t>序</w:t>
            </w:r>
            <w:r>
              <w:rPr>
                <w:rFonts w:hint="default" w:ascii="Times New Roman" w:hAnsi="Times New Roman" w:eastAsia="仿宋_GB2312" w:cs="Times New Roman"/>
                <w:b/>
                <w:bCs/>
                <w:color w:val="auto"/>
                <w:sz w:val="21"/>
                <w:szCs w:val="21"/>
                <w:highlight w:val="none"/>
              </w:rPr>
              <w:t>号</w:t>
            </w:r>
          </w:p>
        </w:tc>
        <w:tc>
          <w:tcPr>
            <w:tcW w:w="1612" w:type="pct"/>
            <w:noWrap w:val="0"/>
            <w:vAlign w:val="center"/>
          </w:tcPr>
          <w:p w14:paraId="5D7C5F14">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b/>
                <w:bCs/>
                <w:color w:val="auto"/>
                <w:sz w:val="21"/>
                <w:szCs w:val="21"/>
                <w:highlight w:val="none"/>
              </w:rPr>
            </w:pPr>
            <w:r>
              <w:rPr>
                <w:rFonts w:hint="default" w:ascii="Times New Roman" w:hAnsi="Times New Roman" w:eastAsia="仿宋_GB2312" w:cs="Times New Roman"/>
                <w:b/>
                <w:bCs/>
                <w:color w:val="auto"/>
                <w:sz w:val="21"/>
                <w:szCs w:val="21"/>
                <w:highlight w:val="none"/>
              </w:rPr>
              <w:t>监测点位置</w:t>
            </w:r>
          </w:p>
        </w:tc>
        <w:tc>
          <w:tcPr>
            <w:tcW w:w="1536" w:type="pct"/>
            <w:noWrap w:val="0"/>
            <w:vAlign w:val="center"/>
          </w:tcPr>
          <w:p w14:paraId="039F5F0D">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b/>
                <w:bCs/>
                <w:color w:val="auto"/>
                <w:sz w:val="21"/>
                <w:szCs w:val="21"/>
                <w:highlight w:val="none"/>
              </w:rPr>
            </w:pPr>
            <w:r>
              <w:rPr>
                <w:rFonts w:hint="default" w:ascii="Times New Roman" w:hAnsi="Times New Roman" w:eastAsia="仿宋_GB2312" w:cs="Times New Roman"/>
                <w:b/>
                <w:bCs/>
                <w:color w:val="auto"/>
                <w:sz w:val="21"/>
                <w:szCs w:val="21"/>
                <w:highlight w:val="none"/>
              </w:rPr>
              <w:t>监测因子</w:t>
            </w:r>
          </w:p>
        </w:tc>
        <w:tc>
          <w:tcPr>
            <w:tcW w:w="842" w:type="pct"/>
            <w:noWrap w:val="0"/>
            <w:vAlign w:val="center"/>
          </w:tcPr>
          <w:p w14:paraId="2275F454">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b/>
                <w:bCs/>
                <w:color w:val="auto"/>
                <w:sz w:val="21"/>
                <w:szCs w:val="21"/>
                <w:highlight w:val="none"/>
              </w:rPr>
            </w:pPr>
            <w:r>
              <w:rPr>
                <w:rFonts w:hint="default" w:ascii="Times New Roman" w:hAnsi="Times New Roman" w:eastAsia="仿宋_GB2312" w:cs="Times New Roman"/>
                <w:b/>
                <w:bCs/>
                <w:color w:val="auto"/>
                <w:sz w:val="21"/>
                <w:szCs w:val="21"/>
                <w:highlight w:val="none"/>
              </w:rPr>
              <w:t>监测频次</w:t>
            </w:r>
          </w:p>
        </w:tc>
        <w:tc>
          <w:tcPr>
            <w:tcW w:w="623" w:type="pct"/>
            <w:noWrap w:val="0"/>
            <w:vAlign w:val="center"/>
          </w:tcPr>
          <w:p w14:paraId="7D80886D">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b/>
                <w:bCs/>
                <w:color w:val="auto"/>
                <w:sz w:val="21"/>
                <w:szCs w:val="21"/>
                <w:highlight w:val="none"/>
              </w:rPr>
            </w:pPr>
            <w:r>
              <w:rPr>
                <w:rFonts w:hint="default" w:ascii="Times New Roman" w:hAnsi="Times New Roman" w:eastAsia="仿宋_GB2312" w:cs="Times New Roman"/>
                <w:b/>
                <w:bCs/>
                <w:color w:val="auto"/>
                <w:sz w:val="21"/>
                <w:szCs w:val="21"/>
                <w:highlight w:val="none"/>
              </w:rPr>
              <w:t>功能</w:t>
            </w:r>
          </w:p>
        </w:tc>
      </w:tr>
      <w:tr w14:paraId="7867845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384" w:type="pct"/>
            <w:noWrap w:val="0"/>
            <w:vAlign w:val="center"/>
          </w:tcPr>
          <w:p w14:paraId="5C197A25">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1</w:t>
            </w:r>
          </w:p>
        </w:tc>
        <w:tc>
          <w:tcPr>
            <w:tcW w:w="1612" w:type="pct"/>
            <w:noWrap w:val="0"/>
            <w:vAlign w:val="center"/>
          </w:tcPr>
          <w:p w14:paraId="4C2AC3FD">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泄漏物发生地或污染物迁移的下游方向就近选择布点位置</w:t>
            </w:r>
          </w:p>
        </w:tc>
        <w:tc>
          <w:tcPr>
            <w:tcW w:w="1536" w:type="pct"/>
            <w:vMerge w:val="restart"/>
            <w:noWrap w:val="0"/>
            <w:vAlign w:val="center"/>
          </w:tcPr>
          <w:p w14:paraId="7C7175D4">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仿宋_GB2312" w:cs="Times New Roman"/>
                <w:color w:val="auto"/>
                <w:sz w:val="21"/>
                <w:szCs w:val="21"/>
                <w:highlight w:val="none"/>
              </w:rPr>
              <w:t>按照GB36600-2018表1中规定的挥发性有机物、半挥发性有机物</w:t>
            </w:r>
            <w:r>
              <w:rPr>
                <w:rFonts w:hint="default" w:ascii="Times New Roman" w:hAnsi="Times New Roman" w:eastAsia="仿宋_GB2312" w:cs="Times New Roman"/>
                <w:color w:val="auto"/>
                <w:sz w:val="21"/>
                <w:szCs w:val="21"/>
                <w:highlight w:val="none"/>
                <w:lang w:eastAsia="zh-CN"/>
              </w:rPr>
              <w:t>、</w:t>
            </w:r>
            <w:r>
              <w:rPr>
                <w:rFonts w:hint="default" w:ascii="Times New Roman" w:hAnsi="Times New Roman" w:eastAsia="仿宋_GB2312" w:cs="Times New Roman"/>
                <w:color w:val="auto"/>
                <w:sz w:val="21"/>
                <w:szCs w:val="21"/>
                <w:highlight w:val="none"/>
                <w:lang w:val="en-US" w:eastAsia="zh-CN"/>
              </w:rPr>
              <w:t>石油烃</w:t>
            </w:r>
          </w:p>
        </w:tc>
        <w:tc>
          <w:tcPr>
            <w:tcW w:w="842" w:type="pct"/>
            <w:vMerge w:val="restart"/>
            <w:noWrap w:val="0"/>
            <w:vAlign w:val="center"/>
          </w:tcPr>
          <w:p w14:paraId="6890F1EC">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取表层土及深层土各1个</w:t>
            </w:r>
          </w:p>
        </w:tc>
        <w:tc>
          <w:tcPr>
            <w:tcW w:w="623" w:type="pct"/>
            <w:noWrap w:val="0"/>
            <w:vAlign w:val="center"/>
          </w:tcPr>
          <w:p w14:paraId="0653483B">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控制点</w:t>
            </w:r>
          </w:p>
        </w:tc>
      </w:tr>
      <w:tr w14:paraId="5421B8F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384" w:type="pct"/>
            <w:noWrap w:val="0"/>
            <w:vAlign w:val="center"/>
          </w:tcPr>
          <w:p w14:paraId="7EDF9FDC">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2</w:t>
            </w:r>
          </w:p>
        </w:tc>
        <w:tc>
          <w:tcPr>
            <w:tcW w:w="1612" w:type="pct"/>
            <w:noWrap w:val="0"/>
            <w:vAlign w:val="center"/>
          </w:tcPr>
          <w:p w14:paraId="3208E3F7">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未被污染的土壤地设1个土壤监测参照点</w:t>
            </w:r>
          </w:p>
        </w:tc>
        <w:tc>
          <w:tcPr>
            <w:tcW w:w="1536" w:type="pct"/>
            <w:vMerge w:val="continue"/>
            <w:noWrap w:val="0"/>
            <w:vAlign w:val="center"/>
          </w:tcPr>
          <w:p w14:paraId="791121AF">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color w:val="auto"/>
                <w:sz w:val="21"/>
                <w:szCs w:val="21"/>
                <w:highlight w:val="none"/>
              </w:rPr>
            </w:pPr>
          </w:p>
        </w:tc>
        <w:tc>
          <w:tcPr>
            <w:tcW w:w="842" w:type="pct"/>
            <w:vMerge w:val="continue"/>
            <w:noWrap w:val="0"/>
            <w:vAlign w:val="center"/>
          </w:tcPr>
          <w:p w14:paraId="2E0C6410">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color w:val="auto"/>
                <w:sz w:val="21"/>
                <w:szCs w:val="21"/>
                <w:highlight w:val="none"/>
              </w:rPr>
            </w:pPr>
          </w:p>
        </w:tc>
        <w:tc>
          <w:tcPr>
            <w:tcW w:w="623" w:type="pct"/>
            <w:noWrap w:val="0"/>
            <w:vAlign w:val="center"/>
          </w:tcPr>
          <w:p w14:paraId="5143C47A">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背景点</w:t>
            </w:r>
          </w:p>
        </w:tc>
      </w:tr>
    </w:tbl>
    <w:p w14:paraId="16B96877">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firstLine="480" w:firstLineChars="200"/>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lang w:eastAsia="zh-CN"/>
        </w:rPr>
        <w:t>（</w:t>
      </w:r>
      <w:r>
        <w:rPr>
          <w:rFonts w:hint="default" w:ascii="Times New Roman" w:hAnsi="Times New Roman" w:eastAsia="仿宋_GB2312" w:cs="Times New Roman"/>
          <w:color w:val="auto"/>
          <w:sz w:val="24"/>
          <w:szCs w:val="24"/>
          <w:highlight w:val="none"/>
          <w:lang w:val="en-US" w:eastAsia="zh-CN"/>
        </w:rPr>
        <w:t>2</w:t>
      </w:r>
      <w:r>
        <w:rPr>
          <w:rFonts w:hint="default" w:ascii="Times New Roman" w:hAnsi="Times New Roman" w:eastAsia="仿宋_GB2312" w:cs="Times New Roman"/>
          <w:color w:val="auto"/>
          <w:sz w:val="24"/>
          <w:szCs w:val="24"/>
          <w:highlight w:val="none"/>
          <w:lang w:eastAsia="zh-CN"/>
        </w:rPr>
        <w:t>）</w:t>
      </w:r>
      <w:r>
        <w:rPr>
          <w:rFonts w:hint="default" w:ascii="Times New Roman" w:hAnsi="Times New Roman" w:eastAsia="仿宋_GB2312" w:cs="Times New Roman"/>
          <w:color w:val="auto"/>
          <w:sz w:val="24"/>
          <w:szCs w:val="24"/>
          <w:highlight w:val="none"/>
        </w:rPr>
        <w:t>监测时间和频次</w:t>
      </w:r>
    </w:p>
    <w:p w14:paraId="6339417C">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firstLine="480" w:firstLineChars="200"/>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按照事故持续时间决定监测时间，根据事故严重性确定监测频次。一般情况下每一小时取样一次。随事故控制减弱，适当减少监测频次。</w:t>
      </w:r>
    </w:p>
    <w:p w14:paraId="682D7B6E">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firstLine="480" w:firstLineChars="200"/>
        <w:textAlignment w:val="auto"/>
        <w:outlineLvl w:val="9"/>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lang w:eastAsia="zh-CN"/>
        </w:rPr>
        <w:t>（</w:t>
      </w:r>
      <w:r>
        <w:rPr>
          <w:rFonts w:hint="default" w:ascii="Times New Roman" w:hAnsi="Times New Roman" w:eastAsia="仿宋_GB2312" w:cs="Times New Roman"/>
          <w:color w:val="auto"/>
          <w:sz w:val="24"/>
          <w:szCs w:val="24"/>
          <w:highlight w:val="none"/>
          <w:lang w:val="en-US" w:eastAsia="zh-CN"/>
        </w:rPr>
        <w:t>3</w:t>
      </w:r>
      <w:r>
        <w:rPr>
          <w:rFonts w:hint="default" w:ascii="Times New Roman" w:hAnsi="Times New Roman" w:eastAsia="仿宋_GB2312" w:cs="Times New Roman"/>
          <w:color w:val="auto"/>
          <w:sz w:val="24"/>
          <w:szCs w:val="24"/>
          <w:highlight w:val="none"/>
          <w:lang w:eastAsia="zh-CN"/>
        </w:rPr>
        <w:t>）</w:t>
      </w:r>
      <w:r>
        <w:rPr>
          <w:rFonts w:hint="default" w:ascii="Times New Roman" w:hAnsi="Times New Roman" w:eastAsia="仿宋_GB2312" w:cs="Times New Roman"/>
          <w:color w:val="auto"/>
          <w:sz w:val="24"/>
          <w:szCs w:val="24"/>
          <w:highlight w:val="none"/>
        </w:rPr>
        <w:t>监测点布设</w:t>
      </w:r>
    </w:p>
    <w:p w14:paraId="1464D2A8">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firstLine="480" w:firstLineChars="200"/>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如果事故泄漏物料或废水进入土壤，需在不同深度采样，同时收集采样对照样品，必要时在事故地附近采集作物样品。</w:t>
      </w:r>
    </w:p>
    <w:p w14:paraId="6E014C1F">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firstLine="480" w:firstLineChars="200"/>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rPr>
        <w:t>在相对开阔的污染区域采集垂直深10cm的表层土。一般在10m×10m范围内，采用梅花形布点方法或根据地形采用蛇形布点方法（采样点不少于5个）。将多点采集的土壤样品除去石块、草根等杂物，现场混合后取1</w:t>
      </w:r>
      <w:r>
        <w:rPr>
          <w:rFonts w:hint="default" w:ascii="Times New Roman" w:hAnsi="Times New Roman" w:eastAsia="仿宋_GB2312" w:cs="Times New Roman"/>
          <w:color w:val="auto"/>
          <w:sz w:val="24"/>
          <w:szCs w:val="24"/>
          <w:highlight w:val="none"/>
          <w:lang w:val="en-US" w:eastAsia="zh-CN"/>
        </w:rPr>
        <w:t>~</w:t>
      </w:r>
      <w:r>
        <w:rPr>
          <w:rFonts w:hint="default" w:ascii="Times New Roman" w:hAnsi="Times New Roman" w:eastAsia="仿宋_GB2312" w:cs="Times New Roman"/>
          <w:color w:val="auto"/>
          <w:sz w:val="24"/>
          <w:szCs w:val="24"/>
          <w:highlight w:val="none"/>
        </w:rPr>
        <w:t>2kg样品装在塑料袋内密封。</w:t>
      </w:r>
    </w:p>
    <w:p w14:paraId="52050F90">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firstLine="482" w:firstLineChars="200"/>
        <w:textAlignment w:val="auto"/>
        <w:outlineLvl w:val="9"/>
        <w:rPr>
          <w:rFonts w:hint="default" w:ascii="Times New Roman" w:hAnsi="Times New Roman" w:eastAsia="仿宋_GB2312" w:cs="Times New Roman"/>
          <w:b/>
          <w:color w:val="auto"/>
          <w:sz w:val="24"/>
          <w:szCs w:val="24"/>
          <w:highlight w:val="none"/>
        </w:rPr>
      </w:pPr>
      <w:bookmarkStart w:id="369" w:name="_Toc13855"/>
      <w:bookmarkStart w:id="370" w:name="_Toc12708"/>
      <w:bookmarkStart w:id="371" w:name="_Toc25413"/>
      <w:r>
        <w:rPr>
          <w:rFonts w:hint="default" w:ascii="Times New Roman" w:hAnsi="Times New Roman" w:eastAsia="仿宋_GB2312" w:cs="Times New Roman"/>
          <w:b/>
          <w:color w:val="auto"/>
          <w:sz w:val="24"/>
          <w:szCs w:val="24"/>
          <w:highlight w:val="none"/>
        </w:rPr>
        <w:t>现场及实验室应急监测分析方法及方法来源</w:t>
      </w:r>
      <w:bookmarkEnd w:id="369"/>
      <w:bookmarkEnd w:id="370"/>
      <w:bookmarkEnd w:id="371"/>
    </w:p>
    <w:p w14:paraId="73D029F2">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firstLine="480" w:firstLineChars="200"/>
        <w:jc w:val="left"/>
        <w:textAlignment w:val="auto"/>
        <w:outlineLvl w:val="9"/>
        <w:rPr>
          <w:rFonts w:hint="default" w:ascii="Times New Roman" w:hAnsi="Times New Roman" w:eastAsia="仿宋_GB2312" w:cs="Times New Roman"/>
          <w:b w:val="0"/>
          <w:bCs/>
          <w:color w:val="auto"/>
          <w:sz w:val="24"/>
          <w:szCs w:val="24"/>
          <w:highlight w:val="none"/>
          <w:lang w:val="en-US" w:eastAsia="zh-CN"/>
        </w:rPr>
      </w:pPr>
      <w:r>
        <w:rPr>
          <w:rFonts w:hint="default" w:ascii="Times New Roman" w:hAnsi="Times New Roman" w:eastAsia="仿宋_GB2312" w:cs="Times New Roman"/>
          <w:b w:val="0"/>
          <w:bCs/>
          <w:color w:val="auto"/>
          <w:sz w:val="24"/>
          <w:szCs w:val="24"/>
          <w:highlight w:val="none"/>
          <w:lang w:val="en-US" w:eastAsia="zh-CN"/>
        </w:rPr>
        <w:t>现场应急监测分析方法见表5.5-7。</w:t>
      </w:r>
    </w:p>
    <w:p w14:paraId="501E7E55">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jc w:val="center"/>
        <w:textAlignment w:val="auto"/>
        <w:outlineLvl w:val="9"/>
        <w:rPr>
          <w:rFonts w:hint="default" w:ascii="Times New Roman" w:hAnsi="Times New Roman" w:eastAsia="仿宋_GB2312" w:cs="Times New Roman"/>
          <w:b/>
          <w:color w:val="auto"/>
          <w:sz w:val="24"/>
          <w:szCs w:val="24"/>
          <w:highlight w:val="none"/>
        </w:rPr>
      </w:pPr>
      <w:r>
        <w:rPr>
          <w:rFonts w:hint="default" w:ascii="Times New Roman" w:hAnsi="Times New Roman" w:eastAsia="仿宋_GB2312" w:cs="Times New Roman"/>
          <w:b/>
          <w:color w:val="auto"/>
          <w:sz w:val="24"/>
          <w:szCs w:val="24"/>
          <w:highlight w:val="none"/>
        </w:rPr>
        <w:t>表</w:t>
      </w:r>
      <w:r>
        <w:rPr>
          <w:rFonts w:hint="default" w:ascii="Times New Roman" w:hAnsi="Times New Roman" w:eastAsia="仿宋_GB2312" w:cs="Times New Roman"/>
          <w:b/>
          <w:color w:val="auto"/>
          <w:sz w:val="24"/>
          <w:szCs w:val="24"/>
          <w:highlight w:val="none"/>
          <w:lang w:val="en-US" w:eastAsia="zh-CN"/>
        </w:rPr>
        <w:t xml:space="preserve">5.5-7 </w:t>
      </w:r>
      <w:r>
        <w:rPr>
          <w:rFonts w:hint="default" w:ascii="Times New Roman" w:hAnsi="Times New Roman" w:eastAsia="仿宋_GB2312" w:cs="Times New Roman"/>
          <w:b/>
          <w:color w:val="auto"/>
          <w:sz w:val="24"/>
          <w:szCs w:val="24"/>
          <w:highlight w:val="none"/>
        </w:rPr>
        <w:t>现场应急监测分析方法及方法来源</w:t>
      </w:r>
    </w:p>
    <w:tbl>
      <w:tblPr>
        <w:tblStyle w:val="3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430"/>
        <w:gridCol w:w="3821"/>
        <w:gridCol w:w="3821"/>
      </w:tblGrid>
      <w:tr w14:paraId="5C5F73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88" w:type="pct"/>
            <w:noWrap w:val="0"/>
            <w:vAlign w:val="center"/>
          </w:tcPr>
          <w:p w14:paraId="3F78FC95">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outlineLvl w:val="9"/>
              <w:rPr>
                <w:rFonts w:hint="default" w:ascii="Times New Roman" w:hAnsi="Times New Roman" w:eastAsia="仿宋_GB2312" w:cs="Times New Roman"/>
                <w:b/>
                <w:bCs w:val="0"/>
                <w:color w:val="auto"/>
                <w:szCs w:val="21"/>
                <w:highlight w:val="none"/>
              </w:rPr>
            </w:pPr>
            <w:r>
              <w:rPr>
                <w:rFonts w:hint="default" w:ascii="Times New Roman" w:hAnsi="Times New Roman" w:eastAsia="仿宋_GB2312" w:cs="Times New Roman"/>
                <w:b/>
                <w:bCs w:val="0"/>
                <w:color w:val="auto"/>
                <w:szCs w:val="21"/>
                <w:highlight w:val="none"/>
                <w:lang w:val="en-US" w:eastAsia="zh-CN"/>
              </w:rPr>
              <w:t>项目</w:t>
            </w:r>
            <w:r>
              <w:rPr>
                <w:rFonts w:hint="default" w:ascii="Times New Roman" w:hAnsi="Times New Roman" w:eastAsia="仿宋_GB2312" w:cs="Times New Roman"/>
                <w:b/>
                <w:bCs w:val="0"/>
                <w:color w:val="auto"/>
                <w:szCs w:val="21"/>
                <w:highlight w:val="none"/>
              </w:rPr>
              <w:t>类别</w:t>
            </w:r>
          </w:p>
        </w:tc>
        <w:tc>
          <w:tcPr>
            <w:tcW w:w="2105" w:type="pct"/>
            <w:noWrap w:val="0"/>
            <w:vAlign w:val="center"/>
          </w:tcPr>
          <w:p w14:paraId="78A1E4E5">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outlineLvl w:val="9"/>
              <w:rPr>
                <w:rFonts w:hint="default" w:ascii="Times New Roman" w:hAnsi="Times New Roman" w:eastAsia="仿宋_GB2312" w:cs="Times New Roman"/>
                <w:b/>
                <w:bCs w:val="0"/>
                <w:color w:val="auto"/>
                <w:szCs w:val="21"/>
                <w:highlight w:val="none"/>
              </w:rPr>
            </w:pPr>
            <w:r>
              <w:rPr>
                <w:rFonts w:hint="default" w:ascii="Times New Roman" w:hAnsi="Times New Roman" w:eastAsia="仿宋_GB2312" w:cs="Times New Roman"/>
                <w:b/>
                <w:bCs w:val="0"/>
                <w:color w:val="auto"/>
                <w:szCs w:val="21"/>
                <w:highlight w:val="none"/>
              </w:rPr>
              <w:t>监测项目</w:t>
            </w:r>
          </w:p>
        </w:tc>
        <w:tc>
          <w:tcPr>
            <w:tcW w:w="2105" w:type="pct"/>
            <w:noWrap w:val="0"/>
            <w:vAlign w:val="center"/>
          </w:tcPr>
          <w:p w14:paraId="64D0A552">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outlineLvl w:val="9"/>
              <w:rPr>
                <w:rFonts w:hint="default" w:ascii="Times New Roman" w:hAnsi="Times New Roman" w:eastAsia="仿宋_GB2312" w:cs="Times New Roman"/>
                <w:b/>
                <w:bCs w:val="0"/>
                <w:color w:val="auto"/>
                <w:szCs w:val="21"/>
                <w:highlight w:val="none"/>
              </w:rPr>
            </w:pPr>
            <w:r>
              <w:rPr>
                <w:rFonts w:hint="default" w:ascii="Times New Roman" w:hAnsi="Times New Roman" w:eastAsia="仿宋_GB2312" w:cs="Times New Roman"/>
                <w:b/>
                <w:bCs w:val="0"/>
                <w:color w:val="auto"/>
                <w:szCs w:val="21"/>
                <w:highlight w:val="none"/>
              </w:rPr>
              <w:t>现场应急监测分析方法或设备</w:t>
            </w:r>
          </w:p>
        </w:tc>
      </w:tr>
      <w:tr w14:paraId="12E62D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88" w:type="pct"/>
            <w:vMerge w:val="restart"/>
            <w:noWrap w:val="0"/>
            <w:vAlign w:val="center"/>
          </w:tcPr>
          <w:p w14:paraId="4552697F">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outlineLvl w:val="9"/>
              <w:rPr>
                <w:rFonts w:hint="default" w:ascii="Times New Roman" w:hAnsi="Times New Roman" w:eastAsia="仿宋_GB2312" w:cs="Times New Roman"/>
                <w:b w:val="0"/>
                <w:bCs/>
                <w:color w:val="auto"/>
                <w:szCs w:val="21"/>
                <w:highlight w:val="none"/>
              </w:rPr>
            </w:pPr>
            <w:r>
              <w:rPr>
                <w:rFonts w:hint="default" w:ascii="Times New Roman" w:hAnsi="Times New Roman" w:eastAsia="仿宋_GB2312" w:cs="Times New Roman"/>
                <w:b w:val="0"/>
                <w:bCs/>
                <w:color w:val="auto"/>
                <w:szCs w:val="21"/>
                <w:highlight w:val="none"/>
              </w:rPr>
              <w:t>大气</w:t>
            </w:r>
          </w:p>
        </w:tc>
        <w:tc>
          <w:tcPr>
            <w:tcW w:w="2105" w:type="pct"/>
            <w:noWrap w:val="0"/>
            <w:vAlign w:val="center"/>
          </w:tcPr>
          <w:p w14:paraId="1242CE4C">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outlineLvl w:val="9"/>
              <w:rPr>
                <w:rFonts w:hint="default" w:ascii="Times New Roman" w:hAnsi="Times New Roman" w:eastAsia="仿宋_GB2312" w:cs="Times New Roman"/>
                <w:b w:val="0"/>
                <w:bCs/>
                <w:color w:val="auto"/>
                <w:highlight w:val="none"/>
                <w:lang w:val="en-US" w:eastAsia="zh-CN"/>
              </w:rPr>
            </w:pPr>
            <w:r>
              <w:rPr>
                <w:rFonts w:hint="default" w:ascii="Times New Roman" w:hAnsi="Times New Roman" w:eastAsia="仿宋_GB2312" w:cs="Times New Roman"/>
                <w:b w:val="0"/>
                <w:bCs/>
                <w:color w:val="auto"/>
                <w:szCs w:val="21"/>
                <w:highlight w:val="none"/>
                <w:lang w:val="en-US" w:eastAsia="zh-CN"/>
              </w:rPr>
              <w:t>一氧化碳</w:t>
            </w:r>
          </w:p>
        </w:tc>
        <w:tc>
          <w:tcPr>
            <w:tcW w:w="2105" w:type="pct"/>
            <w:noWrap w:val="0"/>
            <w:vAlign w:val="center"/>
          </w:tcPr>
          <w:p w14:paraId="77E5E784">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outlineLvl w:val="9"/>
              <w:rPr>
                <w:rFonts w:hint="default" w:ascii="Times New Roman" w:hAnsi="Times New Roman" w:eastAsia="仿宋_GB2312" w:cs="Times New Roman"/>
                <w:b w:val="0"/>
                <w:bCs/>
                <w:color w:val="auto"/>
                <w:szCs w:val="21"/>
                <w:highlight w:val="none"/>
              </w:rPr>
            </w:pPr>
            <w:r>
              <w:rPr>
                <w:rFonts w:hint="default" w:ascii="Times New Roman" w:hAnsi="Times New Roman" w:eastAsia="仿宋_GB2312" w:cs="Times New Roman"/>
                <w:b w:val="0"/>
                <w:bCs/>
                <w:color w:val="auto"/>
                <w:highlight w:val="none"/>
              </w:rPr>
              <w:t>便携式气体检测仪</w:t>
            </w:r>
          </w:p>
        </w:tc>
      </w:tr>
      <w:tr w14:paraId="5A8CA4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88" w:type="pct"/>
            <w:vMerge w:val="continue"/>
            <w:noWrap w:val="0"/>
            <w:vAlign w:val="center"/>
          </w:tcPr>
          <w:p w14:paraId="691D1B40">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outlineLvl w:val="9"/>
              <w:rPr>
                <w:rFonts w:hint="default" w:ascii="Times New Roman" w:hAnsi="Times New Roman" w:eastAsia="仿宋_GB2312" w:cs="Times New Roman"/>
                <w:b w:val="0"/>
                <w:bCs/>
                <w:color w:val="auto"/>
                <w:szCs w:val="21"/>
                <w:highlight w:val="none"/>
              </w:rPr>
            </w:pPr>
          </w:p>
        </w:tc>
        <w:tc>
          <w:tcPr>
            <w:tcW w:w="2105" w:type="pct"/>
            <w:noWrap w:val="0"/>
            <w:vAlign w:val="center"/>
          </w:tcPr>
          <w:p w14:paraId="335B79B3">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outlineLvl w:val="9"/>
              <w:rPr>
                <w:rFonts w:hint="default" w:ascii="Times New Roman" w:hAnsi="Times New Roman" w:eastAsia="仿宋_GB2312" w:cs="Times New Roman"/>
                <w:b w:val="0"/>
                <w:bCs/>
                <w:color w:val="auto"/>
                <w:szCs w:val="21"/>
                <w:highlight w:val="none"/>
                <w:lang w:val="en-US" w:eastAsia="zh-CN"/>
              </w:rPr>
            </w:pPr>
            <w:r>
              <w:rPr>
                <w:rFonts w:hint="default" w:ascii="Times New Roman" w:hAnsi="Times New Roman" w:eastAsia="仿宋_GB2312" w:cs="Times New Roman"/>
                <w:b w:val="0"/>
                <w:bCs/>
                <w:color w:val="auto"/>
                <w:szCs w:val="21"/>
                <w:highlight w:val="none"/>
                <w:lang w:val="en-US" w:eastAsia="zh-CN"/>
              </w:rPr>
              <w:t>总烃</w:t>
            </w:r>
          </w:p>
        </w:tc>
        <w:tc>
          <w:tcPr>
            <w:tcW w:w="2105" w:type="pct"/>
            <w:noWrap w:val="0"/>
            <w:vAlign w:val="center"/>
          </w:tcPr>
          <w:p w14:paraId="416E316C">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outlineLvl w:val="9"/>
              <w:rPr>
                <w:rFonts w:hint="default" w:ascii="Times New Roman" w:hAnsi="Times New Roman" w:eastAsia="仿宋_GB2312" w:cs="Times New Roman"/>
                <w:b w:val="0"/>
                <w:bCs/>
                <w:color w:val="auto"/>
                <w:kern w:val="2"/>
                <w:sz w:val="21"/>
                <w:szCs w:val="24"/>
                <w:highlight w:val="none"/>
                <w:lang w:val="en-US" w:eastAsia="zh-CN" w:bidi="ar-SA"/>
              </w:rPr>
            </w:pPr>
            <w:r>
              <w:rPr>
                <w:rFonts w:hint="default" w:ascii="Times New Roman" w:hAnsi="Times New Roman" w:eastAsia="仿宋_GB2312" w:cs="Times New Roman"/>
                <w:b w:val="0"/>
                <w:bCs/>
                <w:color w:val="auto"/>
                <w:highlight w:val="none"/>
              </w:rPr>
              <w:t>便携式气体检测仪</w:t>
            </w:r>
          </w:p>
        </w:tc>
      </w:tr>
      <w:tr w14:paraId="43C215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88" w:type="pct"/>
            <w:vMerge w:val="continue"/>
            <w:noWrap w:val="0"/>
            <w:vAlign w:val="center"/>
          </w:tcPr>
          <w:p w14:paraId="2C20FCD9">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outlineLvl w:val="9"/>
              <w:rPr>
                <w:rFonts w:hint="default" w:ascii="Times New Roman" w:hAnsi="Times New Roman" w:eastAsia="仿宋_GB2312" w:cs="Times New Roman"/>
                <w:b w:val="0"/>
                <w:bCs/>
                <w:color w:val="auto"/>
                <w:szCs w:val="21"/>
                <w:highlight w:val="none"/>
              </w:rPr>
            </w:pPr>
          </w:p>
        </w:tc>
        <w:tc>
          <w:tcPr>
            <w:tcW w:w="2105" w:type="pct"/>
            <w:noWrap w:val="0"/>
            <w:vAlign w:val="center"/>
          </w:tcPr>
          <w:p w14:paraId="5FEE4328">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outlineLvl w:val="9"/>
              <w:rPr>
                <w:rFonts w:hint="default" w:ascii="Times New Roman" w:hAnsi="Times New Roman" w:eastAsia="仿宋_GB2312" w:cs="Times New Roman"/>
                <w:b w:val="0"/>
                <w:bCs/>
                <w:color w:val="auto"/>
                <w:szCs w:val="21"/>
                <w:highlight w:val="none"/>
                <w:lang w:val="en-US" w:eastAsia="zh-CN"/>
              </w:rPr>
            </w:pPr>
            <w:r>
              <w:rPr>
                <w:rFonts w:hint="eastAsia" w:ascii="Times New Roman" w:hAnsi="Times New Roman" w:eastAsia="仿宋_GB2312" w:cs="Times New Roman"/>
                <w:b w:val="0"/>
                <w:bCs/>
                <w:color w:val="auto"/>
                <w:szCs w:val="21"/>
                <w:highlight w:val="none"/>
                <w:lang w:val="en-US" w:eastAsia="zh-CN"/>
              </w:rPr>
              <w:t>HCl</w:t>
            </w:r>
          </w:p>
        </w:tc>
        <w:tc>
          <w:tcPr>
            <w:tcW w:w="2105" w:type="pct"/>
            <w:noWrap w:val="0"/>
            <w:vAlign w:val="center"/>
          </w:tcPr>
          <w:p w14:paraId="1045217E">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outlineLvl w:val="9"/>
              <w:rPr>
                <w:rFonts w:hint="default" w:ascii="Times New Roman" w:hAnsi="Times New Roman" w:eastAsia="仿宋_GB2312" w:cs="Times New Roman"/>
                <w:b w:val="0"/>
                <w:bCs/>
                <w:color w:val="auto"/>
                <w:highlight w:val="none"/>
              </w:rPr>
            </w:pPr>
            <w:r>
              <w:rPr>
                <w:rFonts w:hint="default" w:ascii="Times New Roman" w:hAnsi="Times New Roman" w:eastAsia="仿宋_GB2312" w:cs="Times New Roman"/>
                <w:b w:val="0"/>
                <w:bCs/>
                <w:color w:val="auto"/>
                <w:highlight w:val="none"/>
              </w:rPr>
              <w:t>便携式气体检测仪</w:t>
            </w:r>
          </w:p>
        </w:tc>
      </w:tr>
      <w:tr w14:paraId="2CF7E3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788" w:type="pct"/>
            <w:vMerge w:val="restart"/>
            <w:noWrap w:val="0"/>
            <w:vAlign w:val="center"/>
          </w:tcPr>
          <w:p w14:paraId="50E489F9">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outlineLvl w:val="9"/>
              <w:rPr>
                <w:rFonts w:hint="default" w:ascii="Times New Roman" w:hAnsi="Times New Roman" w:eastAsia="仿宋_GB2312" w:cs="Times New Roman"/>
                <w:b w:val="0"/>
                <w:bCs/>
                <w:color w:val="auto"/>
                <w:szCs w:val="21"/>
                <w:highlight w:val="none"/>
                <w:lang w:eastAsia="zh-CN"/>
              </w:rPr>
            </w:pPr>
            <w:r>
              <w:rPr>
                <w:rFonts w:hint="default" w:ascii="Times New Roman" w:hAnsi="Times New Roman" w:eastAsia="仿宋_GB2312" w:cs="Times New Roman"/>
                <w:b w:val="0"/>
                <w:bCs/>
                <w:color w:val="auto"/>
                <w:szCs w:val="21"/>
                <w:highlight w:val="none"/>
                <w:lang w:val="en-US" w:eastAsia="zh-CN"/>
              </w:rPr>
              <w:t>地表水</w:t>
            </w:r>
          </w:p>
        </w:tc>
        <w:tc>
          <w:tcPr>
            <w:tcW w:w="2105" w:type="pct"/>
            <w:noWrap w:val="0"/>
            <w:vAlign w:val="center"/>
          </w:tcPr>
          <w:p w14:paraId="2CEF9B7B">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outlineLvl w:val="9"/>
              <w:rPr>
                <w:rFonts w:hint="default" w:ascii="Times New Roman" w:hAnsi="Times New Roman" w:eastAsia="仿宋_GB2312" w:cs="Times New Roman"/>
                <w:b w:val="0"/>
                <w:bCs/>
                <w:color w:val="auto"/>
                <w:szCs w:val="21"/>
                <w:highlight w:val="none"/>
              </w:rPr>
            </w:pPr>
            <w:r>
              <w:rPr>
                <w:rFonts w:hint="default" w:ascii="Times New Roman" w:hAnsi="Times New Roman" w:eastAsia="仿宋_GB2312" w:cs="Times New Roman"/>
                <w:b w:val="0"/>
                <w:bCs/>
                <w:color w:val="auto"/>
                <w:szCs w:val="21"/>
                <w:highlight w:val="none"/>
              </w:rPr>
              <w:t>pH</w:t>
            </w:r>
          </w:p>
        </w:tc>
        <w:tc>
          <w:tcPr>
            <w:tcW w:w="2105" w:type="pct"/>
            <w:noWrap w:val="0"/>
            <w:vAlign w:val="center"/>
          </w:tcPr>
          <w:p w14:paraId="04CBF5A9">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outlineLvl w:val="9"/>
              <w:rPr>
                <w:rFonts w:hint="default" w:ascii="Times New Roman" w:hAnsi="Times New Roman" w:eastAsia="仿宋_GB2312" w:cs="Times New Roman"/>
                <w:b w:val="0"/>
                <w:bCs/>
                <w:color w:val="auto"/>
                <w:szCs w:val="21"/>
                <w:highlight w:val="none"/>
              </w:rPr>
            </w:pPr>
            <w:r>
              <w:rPr>
                <w:rFonts w:hint="default" w:ascii="Times New Roman" w:hAnsi="Times New Roman" w:eastAsia="仿宋_GB2312" w:cs="Times New Roman"/>
                <w:b w:val="0"/>
                <w:bCs/>
                <w:color w:val="auto"/>
                <w:szCs w:val="21"/>
                <w:highlight w:val="none"/>
              </w:rPr>
              <w:t>pH计</w:t>
            </w:r>
          </w:p>
        </w:tc>
      </w:tr>
      <w:tr w14:paraId="33EBE9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788" w:type="pct"/>
            <w:vMerge w:val="continue"/>
            <w:noWrap w:val="0"/>
            <w:vAlign w:val="center"/>
          </w:tcPr>
          <w:p w14:paraId="62528C40">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outlineLvl w:val="9"/>
              <w:rPr>
                <w:rFonts w:hint="default" w:ascii="Times New Roman" w:hAnsi="Times New Roman" w:eastAsia="仿宋_GB2312" w:cs="Times New Roman"/>
                <w:b w:val="0"/>
                <w:bCs/>
                <w:color w:val="auto"/>
                <w:szCs w:val="21"/>
                <w:highlight w:val="none"/>
              </w:rPr>
            </w:pPr>
          </w:p>
        </w:tc>
        <w:tc>
          <w:tcPr>
            <w:tcW w:w="2105" w:type="pct"/>
            <w:noWrap w:val="0"/>
            <w:vAlign w:val="center"/>
          </w:tcPr>
          <w:p w14:paraId="2E80DE60">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outlineLvl w:val="9"/>
              <w:rPr>
                <w:rFonts w:hint="default" w:ascii="Times New Roman" w:hAnsi="Times New Roman" w:eastAsia="仿宋_GB2312" w:cs="Times New Roman"/>
                <w:b w:val="0"/>
                <w:bCs/>
                <w:color w:val="auto"/>
                <w:highlight w:val="none"/>
                <w:lang w:val="fr-FR"/>
              </w:rPr>
            </w:pPr>
            <w:r>
              <w:rPr>
                <w:rFonts w:hint="default" w:ascii="Times New Roman" w:hAnsi="Times New Roman" w:eastAsia="仿宋_GB2312" w:cs="Times New Roman"/>
                <w:b w:val="0"/>
                <w:bCs/>
                <w:color w:val="auto"/>
                <w:highlight w:val="none"/>
              </w:rPr>
              <w:t>COD</w:t>
            </w:r>
          </w:p>
        </w:tc>
        <w:tc>
          <w:tcPr>
            <w:tcW w:w="2105" w:type="pct"/>
            <w:noWrap w:val="0"/>
            <w:vAlign w:val="center"/>
          </w:tcPr>
          <w:p w14:paraId="78B70279">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outlineLvl w:val="9"/>
              <w:rPr>
                <w:rFonts w:hint="default" w:ascii="Times New Roman" w:hAnsi="Times New Roman" w:eastAsia="仿宋_GB2312" w:cs="Times New Roman"/>
                <w:b w:val="0"/>
                <w:bCs/>
                <w:color w:val="auto"/>
                <w:szCs w:val="21"/>
                <w:highlight w:val="none"/>
              </w:rPr>
            </w:pPr>
            <w:r>
              <w:rPr>
                <w:rFonts w:hint="default" w:ascii="Times New Roman" w:hAnsi="Times New Roman" w:eastAsia="仿宋_GB2312" w:cs="Times New Roman"/>
                <w:b w:val="0"/>
                <w:bCs/>
                <w:color w:val="auto"/>
                <w:szCs w:val="21"/>
                <w:highlight w:val="none"/>
              </w:rPr>
              <w:t>便携式COD水质监测仪</w:t>
            </w:r>
          </w:p>
        </w:tc>
      </w:tr>
      <w:tr w14:paraId="48600C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788" w:type="pct"/>
            <w:vMerge w:val="continue"/>
            <w:noWrap w:val="0"/>
            <w:vAlign w:val="center"/>
          </w:tcPr>
          <w:p w14:paraId="5D279383">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outlineLvl w:val="9"/>
              <w:rPr>
                <w:rFonts w:hint="default" w:ascii="Times New Roman" w:hAnsi="Times New Roman" w:eastAsia="仿宋_GB2312" w:cs="Times New Roman"/>
                <w:b w:val="0"/>
                <w:bCs/>
                <w:color w:val="auto"/>
                <w:szCs w:val="21"/>
                <w:highlight w:val="none"/>
              </w:rPr>
            </w:pPr>
          </w:p>
        </w:tc>
        <w:tc>
          <w:tcPr>
            <w:tcW w:w="2105" w:type="pct"/>
            <w:noWrap w:val="0"/>
            <w:vAlign w:val="center"/>
          </w:tcPr>
          <w:p w14:paraId="1E360BDA">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outlineLvl w:val="9"/>
              <w:rPr>
                <w:rFonts w:hint="default" w:ascii="Times New Roman" w:hAnsi="Times New Roman" w:eastAsia="仿宋_GB2312" w:cs="Times New Roman"/>
                <w:b w:val="0"/>
                <w:bCs/>
                <w:color w:val="auto"/>
                <w:highlight w:val="none"/>
                <w:lang w:val="en-US" w:eastAsia="zh-CN"/>
              </w:rPr>
            </w:pPr>
            <w:r>
              <w:rPr>
                <w:rFonts w:hint="default" w:ascii="Times New Roman" w:hAnsi="Times New Roman" w:eastAsia="仿宋_GB2312" w:cs="Times New Roman"/>
                <w:b w:val="0"/>
                <w:bCs/>
                <w:color w:val="auto"/>
                <w:highlight w:val="none"/>
                <w:lang w:val="en-US" w:eastAsia="zh-CN"/>
              </w:rPr>
              <w:t>SS</w:t>
            </w:r>
          </w:p>
        </w:tc>
        <w:tc>
          <w:tcPr>
            <w:tcW w:w="2105" w:type="pct"/>
            <w:noWrap w:val="0"/>
            <w:vAlign w:val="center"/>
          </w:tcPr>
          <w:p w14:paraId="445386BF">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outlineLvl w:val="9"/>
              <w:rPr>
                <w:rFonts w:hint="default" w:ascii="Times New Roman" w:hAnsi="Times New Roman" w:eastAsia="仿宋_GB2312" w:cs="Times New Roman"/>
                <w:b w:val="0"/>
                <w:bCs/>
                <w:color w:val="auto"/>
                <w:szCs w:val="21"/>
                <w:highlight w:val="none"/>
              </w:rPr>
            </w:pPr>
            <w:r>
              <w:rPr>
                <w:rFonts w:hint="default" w:ascii="Times New Roman" w:hAnsi="Times New Roman" w:eastAsia="仿宋_GB2312" w:cs="Times New Roman"/>
                <w:b w:val="0"/>
                <w:bCs/>
                <w:color w:val="auto"/>
                <w:szCs w:val="21"/>
                <w:highlight w:val="none"/>
              </w:rPr>
              <w:t>水质检测仪</w:t>
            </w:r>
          </w:p>
        </w:tc>
      </w:tr>
      <w:tr w14:paraId="134532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788" w:type="pct"/>
            <w:vMerge w:val="continue"/>
            <w:noWrap w:val="0"/>
            <w:vAlign w:val="center"/>
          </w:tcPr>
          <w:p w14:paraId="16BED025">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outlineLvl w:val="9"/>
              <w:rPr>
                <w:rFonts w:hint="default" w:ascii="Times New Roman" w:hAnsi="Times New Roman" w:eastAsia="仿宋_GB2312" w:cs="Times New Roman"/>
                <w:b w:val="0"/>
                <w:bCs/>
                <w:color w:val="auto"/>
                <w:szCs w:val="21"/>
                <w:highlight w:val="none"/>
              </w:rPr>
            </w:pPr>
          </w:p>
        </w:tc>
        <w:tc>
          <w:tcPr>
            <w:tcW w:w="2105" w:type="pct"/>
            <w:noWrap w:val="0"/>
            <w:vAlign w:val="center"/>
          </w:tcPr>
          <w:p w14:paraId="154E201D">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outlineLvl w:val="9"/>
              <w:rPr>
                <w:rFonts w:hint="default" w:ascii="Times New Roman" w:hAnsi="Times New Roman" w:eastAsia="仿宋_GB2312" w:cs="Times New Roman"/>
                <w:b w:val="0"/>
                <w:bCs/>
                <w:color w:val="auto"/>
                <w:highlight w:val="none"/>
                <w:lang w:val="en-US" w:eastAsia="zh-CN"/>
              </w:rPr>
            </w:pPr>
            <w:r>
              <w:rPr>
                <w:rFonts w:hint="default" w:ascii="Times New Roman" w:hAnsi="Times New Roman" w:eastAsia="仿宋_GB2312" w:cs="Times New Roman"/>
                <w:b w:val="0"/>
                <w:bCs/>
                <w:color w:val="auto"/>
                <w:highlight w:val="none"/>
                <w:lang w:val="en-US" w:eastAsia="zh-CN"/>
              </w:rPr>
              <w:t>NH</w:t>
            </w:r>
            <w:r>
              <w:rPr>
                <w:rFonts w:hint="default" w:ascii="Times New Roman" w:hAnsi="Times New Roman" w:eastAsia="仿宋_GB2312" w:cs="Times New Roman"/>
                <w:b w:val="0"/>
                <w:bCs/>
                <w:color w:val="auto"/>
                <w:highlight w:val="none"/>
                <w:vertAlign w:val="subscript"/>
                <w:lang w:val="en-US" w:eastAsia="zh-CN"/>
              </w:rPr>
              <w:t>3</w:t>
            </w:r>
            <w:r>
              <w:rPr>
                <w:rFonts w:hint="default" w:ascii="Times New Roman" w:hAnsi="Times New Roman" w:eastAsia="仿宋_GB2312" w:cs="Times New Roman"/>
                <w:b w:val="0"/>
                <w:bCs/>
                <w:color w:val="auto"/>
                <w:highlight w:val="none"/>
                <w:lang w:val="en-US" w:eastAsia="zh-CN"/>
              </w:rPr>
              <w:t>-N</w:t>
            </w:r>
          </w:p>
        </w:tc>
        <w:tc>
          <w:tcPr>
            <w:tcW w:w="2105" w:type="pct"/>
            <w:noWrap w:val="0"/>
            <w:vAlign w:val="center"/>
          </w:tcPr>
          <w:p w14:paraId="7E4D0079">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outlineLvl w:val="9"/>
              <w:rPr>
                <w:rFonts w:hint="default" w:ascii="Times New Roman" w:hAnsi="Times New Roman" w:eastAsia="仿宋_GB2312" w:cs="Times New Roman"/>
                <w:b w:val="0"/>
                <w:bCs/>
                <w:color w:val="auto"/>
                <w:szCs w:val="21"/>
                <w:highlight w:val="none"/>
              </w:rPr>
            </w:pPr>
            <w:r>
              <w:rPr>
                <w:rFonts w:hint="default" w:ascii="Times New Roman" w:hAnsi="Times New Roman" w:eastAsia="仿宋_GB2312" w:cs="Times New Roman"/>
                <w:b w:val="0"/>
                <w:bCs/>
                <w:color w:val="auto"/>
                <w:szCs w:val="21"/>
                <w:highlight w:val="none"/>
              </w:rPr>
              <w:t>水质检测仪</w:t>
            </w:r>
          </w:p>
        </w:tc>
      </w:tr>
      <w:tr w14:paraId="4908C4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88" w:type="pct"/>
            <w:vMerge w:val="continue"/>
            <w:noWrap w:val="0"/>
            <w:vAlign w:val="center"/>
          </w:tcPr>
          <w:p w14:paraId="30C14BAA">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outlineLvl w:val="9"/>
              <w:rPr>
                <w:rFonts w:hint="default" w:ascii="Times New Roman" w:hAnsi="Times New Roman" w:eastAsia="仿宋_GB2312" w:cs="Times New Roman"/>
                <w:b w:val="0"/>
                <w:bCs/>
                <w:color w:val="auto"/>
                <w:szCs w:val="21"/>
                <w:highlight w:val="none"/>
              </w:rPr>
            </w:pPr>
          </w:p>
        </w:tc>
        <w:tc>
          <w:tcPr>
            <w:tcW w:w="2105" w:type="pct"/>
            <w:noWrap w:val="0"/>
            <w:vAlign w:val="center"/>
          </w:tcPr>
          <w:p w14:paraId="2C945726">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outlineLvl w:val="9"/>
              <w:rPr>
                <w:rFonts w:hint="default" w:ascii="Times New Roman" w:hAnsi="Times New Roman" w:eastAsia="仿宋_GB2312" w:cs="Times New Roman"/>
                <w:b w:val="0"/>
                <w:bCs/>
                <w:color w:val="auto"/>
                <w:highlight w:val="none"/>
                <w:lang w:val="en-US" w:eastAsia="zh-CN"/>
              </w:rPr>
            </w:pPr>
            <w:r>
              <w:rPr>
                <w:rFonts w:hint="default" w:ascii="Times New Roman" w:hAnsi="Times New Roman" w:eastAsia="仿宋_GB2312" w:cs="Times New Roman"/>
                <w:b w:val="0"/>
                <w:bCs/>
                <w:color w:val="auto"/>
                <w:highlight w:val="none"/>
                <w:lang w:val="en-US" w:eastAsia="zh-CN"/>
              </w:rPr>
              <w:t>TP</w:t>
            </w:r>
          </w:p>
        </w:tc>
        <w:tc>
          <w:tcPr>
            <w:tcW w:w="2105" w:type="pct"/>
            <w:noWrap w:val="0"/>
            <w:vAlign w:val="center"/>
          </w:tcPr>
          <w:p w14:paraId="125185AA">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outlineLvl w:val="9"/>
              <w:rPr>
                <w:rFonts w:hint="default" w:ascii="Times New Roman" w:hAnsi="Times New Roman" w:eastAsia="仿宋_GB2312" w:cs="Times New Roman"/>
                <w:b w:val="0"/>
                <w:bCs/>
                <w:color w:val="auto"/>
                <w:szCs w:val="21"/>
                <w:highlight w:val="none"/>
              </w:rPr>
            </w:pPr>
            <w:r>
              <w:rPr>
                <w:rFonts w:hint="default" w:ascii="Times New Roman" w:hAnsi="Times New Roman" w:eastAsia="仿宋_GB2312" w:cs="Times New Roman"/>
                <w:b w:val="0"/>
                <w:bCs/>
                <w:color w:val="auto"/>
                <w:szCs w:val="21"/>
                <w:highlight w:val="none"/>
              </w:rPr>
              <w:t>水质检测仪</w:t>
            </w:r>
          </w:p>
        </w:tc>
      </w:tr>
      <w:tr w14:paraId="39C3C8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788" w:type="pct"/>
            <w:vMerge w:val="continue"/>
            <w:noWrap w:val="0"/>
            <w:vAlign w:val="center"/>
          </w:tcPr>
          <w:p w14:paraId="302DB8F4">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outlineLvl w:val="9"/>
              <w:rPr>
                <w:rFonts w:hint="default" w:ascii="Times New Roman" w:hAnsi="Times New Roman" w:eastAsia="仿宋_GB2312" w:cs="Times New Roman"/>
                <w:b w:val="0"/>
                <w:bCs/>
                <w:color w:val="auto"/>
                <w:szCs w:val="21"/>
                <w:highlight w:val="none"/>
              </w:rPr>
            </w:pPr>
          </w:p>
        </w:tc>
        <w:tc>
          <w:tcPr>
            <w:tcW w:w="2105" w:type="pct"/>
            <w:noWrap w:val="0"/>
            <w:vAlign w:val="center"/>
          </w:tcPr>
          <w:p w14:paraId="0C33D54E">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outlineLvl w:val="9"/>
              <w:rPr>
                <w:rFonts w:hint="default" w:ascii="Times New Roman" w:hAnsi="Times New Roman" w:eastAsia="仿宋_GB2312" w:cs="Times New Roman"/>
                <w:b w:val="0"/>
                <w:bCs/>
                <w:color w:val="auto"/>
                <w:highlight w:val="none"/>
                <w:lang w:val="en-US" w:eastAsia="zh-CN"/>
              </w:rPr>
            </w:pPr>
            <w:r>
              <w:rPr>
                <w:rFonts w:hint="default" w:ascii="Times New Roman" w:hAnsi="Times New Roman" w:eastAsia="仿宋_GB2312" w:cs="Times New Roman"/>
                <w:b w:val="0"/>
                <w:bCs/>
                <w:color w:val="auto"/>
                <w:highlight w:val="none"/>
                <w:lang w:val="en-US" w:eastAsia="zh-CN"/>
              </w:rPr>
              <w:t>TN</w:t>
            </w:r>
          </w:p>
        </w:tc>
        <w:tc>
          <w:tcPr>
            <w:tcW w:w="2105" w:type="pct"/>
            <w:noWrap w:val="0"/>
            <w:vAlign w:val="center"/>
          </w:tcPr>
          <w:p w14:paraId="110B2234">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outlineLvl w:val="9"/>
              <w:rPr>
                <w:rFonts w:hint="default" w:ascii="Times New Roman" w:hAnsi="Times New Roman" w:eastAsia="仿宋_GB2312" w:cs="Times New Roman"/>
                <w:b w:val="0"/>
                <w:bCs/>
                <w:color w:val="auto"/>
                <w:szCs w:val="21"/>
                <w:highlight w:val="none"/>
              </w:rPr>
            </w:pPr>
            <w:r>
              <w:rPr>
                <w:rFonts w:hint="default" w:ascii="Times New Roman" w:hAnsi="Times New Roman" w:eastAsia="仿宋_GB2312" w:cs="Times New Roman"/>
                <w:b w:val="0"/>
                <w:bCs/>
                <w:color w:val="auto"/>
                <w:szCs w:val="21"/>
                <w:highlight w:val="none"/>
              </w:rPr>
              <w:t>水质检测仪</w:t>
            </w:r>
          </w:p>
        </w:tc>
      </w:tr>
      <w:tr w14:paraId="368653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788" w:type="pct"/>
            <w:vMerge w:val="continue"/>
            <w:noWrap w:val="0"/>
            <w:vAlign w:val="center"/>
          </w:tcPr>
          <w:p w14:paraId="79E15BB1">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outlineLvl w:val="9"/>
              <w:rPr>
                <w:rFonts w:hint="default" w:ascii="Times New Roman" w:hAnsi="Times New Roman" w:eastAsia="仿宋_GB2312" w:cs="Times New Roman"/>
                <w:b w:val="0"/>
                <w:bCs/>
                <w:color w:val="auto"/>
                <w:szCs w:val="21"/>
                <w:highlight w:val="none"/>
              </w:rPr>
            </w:pPr>
          </w:p>
        </w:tc>
        <w:tc>
          <w:tcPr>
            <w:tcW w:w="2105" w:type="pct"/>
            <w:noWrap w:val="0"/>
            <w:vAlign w:val="center"/>
          </w:tcPr>
          <w:p w14:paraId="1A705C8B">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outlineLvl w:val="9"/>
              <w:rPr>
                <w:rFonts w:hint="default" w:ascii="Times New Roman" w:hAnsi="Times New Roman" w:eastAsia="仿宋_GB2312" w:cs="Times New Roman"/>
                <w:b w:val="0"/>
                <w:bCs/>
                <w:color w:val="auto"/>
                <w:highlight w:val="none"/>
                <w:lang w:val="en-US" w:eastAsia="zh-CN"/>
              </w:rPr>
            </w:pPr>
            <w:r>
              <w:rPr>
                <w:rFonts w:hint="default" w:ascii="Times New Roman" w:hAnsi="Times New Roman" w:eastAsia="仿宋_GB2312" w:cs="Times New Roman"/>
                <w:b w:val="0"/>
                <w:bCs/>
                <w:color w:val="auto"/>
                <w:highlight w:val="none"/>
                <w:lang w:val="en-US" w:eastAsia="zh-CN"/>
              </w:rPr>
              <w:t>石油类</w:t>
            </w:r>
          </w:p>
        </w:tc>
        <w:tc>
          <w:tcPr>
            <w:tcW w:w="2105" w:type="pct"/>
            <w:noWrap w:val="0"/>
            <w:vAlign w:val="center"/>
          </w:tcPr>
          <w:p w14:paraId="0AB25594">
            <w:pPr>
              <w:keepNext w:val="0"/>
              <w:keepLines w:val="0"/>
              <w:pageBreakBefore w:val="0"/>
              <w:widowControl w:val="0"/>
              <w:kinsoku/>
              <w:wordWrap/>
              <w:overflowPunct/>
              <w:topLinePunct w:val="0"/>
              <w:autoSpaceDE/>
              <w:autoSpaceDN/>
              <w:bidi w:val="0"/>
              <w:adjustRightInd w:val="0"/>
              <w:snapToGrid w:val="0"/>
              <w:ind w:left="0" w:leftChars="0" w:right="0"/>
              <w:jc w:val="center"/>
              <w:textAlignment w:val="auto"/>
              <w:outlineLvl w:val="9"/>
              <w:rPr>
                <w:rFonts w:hint="default" w:ascii="Times New Roman" w:hAnsi="Times New Roman" w:eastAsia="仿宋_GB2312" w:cs="Times New Roman"/>
                <w:b w:val="0"/>
                <w:bCs/>
                <w:color w:val="auto"/>
                <w:szCs w:val="21"/>
                <w:highlight w:val="none"/>
                <w:lang w:val="en-US" w:eastAsia="zh-CN"/>
              </w:rPr>
            </w:pPr>
            <w:r>
              <w:rPr>
                <w:rFonts w:hint="default" w:ascii="Times New Roman" w:hAnsi="Times New Roman" w:eastAsia="仿宋_GB2312" w:cs="Times New Roman"/>
                <w:b w:val="0"/>
                <w:bCs/>
                <w:color w:val="auto"/>
                <w:szCs w:val="21"/>
                <w:highlight w:val="none"/>
                <w:lang w:val="en-US" w:eastAsia="zh-CN"/>
              </w:rPr>
              <w:t>水质检测仪</w:t>
            </w:r>
          </w:p>
        </w:tc>
      </w:tr>
    </w:tbl>
    <w:p w14:paraId="48AE622C">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事故现场的应急监测机构负责每小时向管委会指挥部等提供分析报告，由当地环境监测站负责完成总报告和动态报告编制、发送。事故后期应对受污染的土壤进行环境影响评估。</w:t>
      </w:r>
      <w:bookmarkEnd w:id="353"/>
      <w:bookmarkEnd w:id="354"/>
    </w:p>
    <w:p w14:paraId="76B2C061">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lang w:eastAsia="zh-CN"/>
        </w:rPr>
      </w:pPr>
      <w:bookmarkStart w:id="372" w:name="_Toc24688"/>
      <w:bookmarkStart w:id="373" w:name="_Toc8988"/>
      <w:r>
        <w:rPr>
          <w:rFonts w:hint="default" w:ascii="Times New Roman" w:hAnsi="Times New Roman" w:eastAsia="仿宋_GB2312" w:cs="Times New Roman"/>
          <w:color w:val="auto"/>
          <w:spacing w:val="0"/>
          <w:kern w:val="0"/>
          <w:position w:val="0"/>
          <w:sz w:val="24"/>
          <w:szCs w:val="24"/>
        </w:rPr>
        <w:t>风险事故发生后，应由专业队伍负责对事故现场进行侦察监测，若本单位监测能力不够，应立即请求</w:t>
      </w:r>
      <w:r>
        <w:rPr>
          <w:rFonts w:hint="eastAsia" w:ascii="Times New Roman" w:hAnsi="Times New Roman" w:eastAsia="仿宋_GB2312" w:cs="Times New Roman"/>
          <w:color w:val="auto"/>
          <w:spacing w:val="0"/>
          <w:kern w:val="0"/>
          <w:position w:val="0"/>
          <w:sz w:val="24"/>
          <w:szCs w:val="24"/>
          <w:lang w:val="en-US" w:eastAsia="zh-CN"/>
        </w:rPr>
        <w:t>金坛</w:t>
      </w:r>
      <w:r>
        <w:rPr>
          <w:rFonts w:hint="default" w:ascii="Times New Roman" w:hAnsi="Times New Roman" w:eastAsia="仿宋_GB2312" w:cs="Times New Roman"/>
          <w:color w:val="auto"/>
          <w:spacing w:val="0"/>
          <w:kern w:val="0"/>
          <w:position w:val="0"/>
          <w:sz w:val="24"/>
          <w:szCs w:val="24"/>
        </w:rPr>
        <w:t>环境监测站或有资质单位支援</w:t>
      </w:r>
      <w:r>
        <w:rPr>
          <w:rFonts w:hint="default" w:ascii="Times New Roman" w:hAnsi="Times New Roman" w:eastAsia="仿宋_GB2312" w:cs="Times New Roman"/>
          <w:color w:val="auto"/>
          <w:spacing w:val="0"/>
          <w:kern w:val="0"/>
          <w:position w:val="0"/>
          <w:sz w:val="24"/>
          <w:szCs w:val="24"/>
          <w:lang w:eastAsia="zh-CN"/>
        </w:rPr>
        <w:t>。</w:t>
      </w:r>
      <w:bookmarkEnd w:id="372"/>
      <w:bookmarkEnd w:id="373"/>
    </w:p>
    <w:p w14:paraId="4F5C1E5C">
      <w:pPr>
        <w:pStyle w:val="4"/>
        <w:keepNext/>
        <w:keepLines w:val="0"/>
        <w:pageBreakBefore w:val="0"/>
        <w:widowControl w:val="0"/>
        <w:kinsoku/>
        <w:wordWrap/>
        <w:overflowPunct w:val="0"/>
        <w:topLinePunct w:val="0"/>
        <w:autoSpaceDE/>
        <w:autoSpaceDN/>
        <w:bidi w:val="0"/>
        <w:adjustRightInd/>
        <w:snapToGrid w:val="0"/>
        <w:spacing w:before="0" w:line="500" w:lineRule="exact"/>
        <w:ind w:left="0" w:right="0" w:firstLine="0" w:firstLineChars="0"/>
        <w:jc w:val="both"/>
        <w:textAlignment w:val="auto"/>
        <w:outlineLvl w:val="1"/>
        <w:rPr>
          <w:rFonts w:hint="default" w:ascii="Times New Roman" w:hAnsi="Times New Roman" w:eastAsia="仿宋_GB2312" w:cs="Times New Roman"/>
          <w:b/>
          <w:bCs/>
          <w:sz w:val="24"/>
          <w:szCs w:val="24"/>
          <w:lang w:val="en-US" w:eastAsia="zh-CN"/>
        </w:rPr>
      </w:pPr>
      <w:bookmarkStart w:id="374" w:name="_Toc5326"/>
      <w:bookmarkStart w:id="375" w:name="_Toc28590"/>
      <w:bookmarkStart w:id="376" w:name="_Toc11933"/>
      <w:bookmarkStart w:id="377" w:name="_Toc4190"/>
      <w:r>
        <w:rPr>
          <w:rFonts w:hint="default" w:ascii="Times New Roman" w:hAnsi="Times New Roman" w:eastAsia="仿宋_GB2312" w:cs="Times New Roman"/>
          <w:b/>
          <w:bCs/>
          <w:sz w:val="24"/>
          <w:szCs w:val="24"/>
          <w:lang w:val="en-US" w:eastAsia="zh-CN"/>
        </w:rPr>
        <w:t>5.6 应急预案联动</w:t>
      </w:r>
      <w:bookmarkEnd w:id="374"/>
      <w:bookmarkEnd w:id="375"/>
      <w:bookmarkEnd w:id="376"/>
      <w:bookmarkEnd w:id="377"/>
    </w:p>
    <w:p w14:paraId="5AE9648B">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378" w:name="_Toc10507"/>
      <w:bookmarkStart w:id="379" w:name="_Toc22279"/>
      <w:r>
        <w:rPr>
          <w:rFonts w:hint="default" w:ascii="Times New Roman" w:hAnsi="Times New Roman" w:eastAsia="仿宋_GB2312" w:cs="Times New Roman"/>
          <w:color w:val="auto"/>
          <w:spacing w:val="0"/>
          <w:kern w:val="0"/>
          <w:position w:val="0"/>
          <w:sz w:val="24"/>
          <w:szCs w:val="24"/>
        </w:rPr>
        <w:t>企公司建立全公司、各生产装置、各</w:t>
      </w:r>
      <w:r>
        <w:rPr>
          <w:rFonts w:hint="default" w:ascii="Times New Roman" w:hAnsi="Times New Roman" w:eastAsia="仿宋_GB2312" w:cs="Times New Roman"/>
          <w:color w:val="auto"/>
          <w:spacing w:val="0"/>
          <w:kern w:val="0"/>
          <w:position w:val="0"/>
          <w:sz w:val="24"/>
          <w:szCs w:val="24"/>
          <w:lang w:val="en-US" w:eastAsia="zh-CN"/>
        </w:rPr>
        <w:t>仓储区</w:t>
      </w:r>
      <w:r>
        <w:rPr>
          <w:rFonts w:hint="default" w:ascii="Times New Roman" w:hAnsi="Times New Roman" w:eastAsia="仿宋_GB2312" w:cs="Times New Roman"/>
          <w:color w:val="auto"/>
          <w:spacing w:val="0"/>
          <w:kern w:val="0"/>
          <w:position w:val="0"/>
          <w:sz w:val="24"/>
          <w:szCs w:val="24"/>
        </w:rPr>
        <w:t>突发环境事件的应急预案，为了更好的进行环境风险管理，公司应建立与园区衔接的管理体系。一旦发生爆炸及火灾事故，通过企业、园区、地方政府三级环境风险应急体系即可及时发现，同时迅速启动应急反应机制，由园区统一指挥协调消防、环保、安全等应急小组</w:t>
      </w:r>
      <w:r>
        <w:rPr>
          <w:rFonts w:hint="default" w:ascii="Times New Roman" w:hAnsi="Times New Roman" w:eastAsia="仿宋_GB2312" w:cs="Times New Roman"/>
          <w:color w:val="auto"/>
          <w:spacing w:val="0"/>
          <w:kern w:val="0"/>
          <w:position w:val="0"/>
          <w:sz w:val="24"/>
          <w:szCs w:val="24"/>
          <w:lang w:eastAsia="zh-CN"/>
        </w:rPr>
        <w:t>，</w:t>
      </w:r>
      <w:r>
        <w:rPr>
          <w:rFonts w:hint="default" w:ascii="Times New Roman" w:hAnsi="Times New Roman" w:eastAsia="仿宋_GB2312" w:cs="Times New Roman"/>
          <w:color w:val="auto"/>
          <w:spacing w:val="0"/>
          <w:kern w:val="0"/>
          <w:position w:val="0"/>
          <w:sz w:val="24"/>
          <w:szCs w:val="24"/>
        </w:rPr>
        <w:t>应急预案必须与</w:t>
      </w:r>
      <w:r>
        <w:rPr>
          <w:rFonts w:hint="default" w:ascii="Times New Roman" w:hAnsi="Times New Roman" w:eastAsia="仿宋_GB2312" w:cs="Times New Roman"/>
          <w:color w:val="auto"/>
          <w:spacing w:val="0"/>
          <w:kern w:val="0"/>
          <w:position w:val="0"/>
          <w:sz w:val="24"/>
          <w:szCs w:val="24"/>
          <w:lang w:val="en-US" w:eastAsia="zh-CN"/>
        </w:rPr>
        <w:t>六合区</w:t>
      </w:r>
      <w:r>
        <w:rPr>
          <w:rFonts w:hint="default" w:ascii="Times New Roman" w:hAnsi="Times New Roman" w:eastAsia="仿宋_GB2312" w:cs="Times New Roman"/>
          <w:color w:val="auto"/>
          <w:spacing w:val="0"/>
          <w:kern w:val="0"/>
          <w:position w:val="0"/>
          <w:sz w:val="24"/>
          <w:szCs w:val="24"/>
        </w:rPr>
        <w:t>、</w:t>
      </w:r>
      <w:r>
        <w:rPr>
          <w:rFonts w:hint="default" w:ascii="Times New Roman" w:hAnsi="Times New Roman" w:eastAsia="仿宋_GB2312" w:cs="Times New Roman"/>
          <w:color w:val="auto"/>
          <w:spacing w:val="0"/>
          <w:kern w:val="0"/>
          <w:position w:val="0"/>
          <w:sz w:val="24"/>
          <w:szCs w:val="24"/>
          <w:lang w:val="en-US" w:eastAsia="zh-CN"/>
        </w:rPr>
        <w:t>横梁工业区</w:t>
      </w:r>
      <w:r>
        <w:rPr>
          <w:rFonts w:hint="default" w:ascii="Times New Roman" w:hAnsi="Times New Roman" w:eastAsia="仿宋_GB2312" w:cs="Times New Roman"/>
          <w:color w:val="auto"/>
          <w:spacing w:val="0"/>
          <w:kern w:val="0"/>
          <w:position w:val="0"/>
          <w:sz w:val="24"/>
          <w:szCs w:val="24"/>
        </w:rPr>
        <w:t>管委会突发环境事故应急预案相衔接。按照“企业自救，属地为主”的原则，一旦发生环境污染事件，企业可立即实行自救，采取一切措施控制事态发展，并及时向地方人民政府报告，超出本企业应急处理能力时，将启动上一级预案，由地方政府动用社会应急救援力量，实行分级管理、分级响应和联动，充分发挥地方政府职能作用和各部门的专业优势，加强各部门的协同和合作，提高快速发应能力。使环境风险应急预案适应扩建项目各种环境事件的应急需要。</w:t>
      </w:r>
      <w:bookmarkEnd w:id="378"/>
      <w:bookmarkEnd w:id="379"/>
    </w:p>
    <w:p w14:paraId="40F74D92">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lang w:val="en-US" w:eastAsia="zh-CN"/>
        </w:rPr>
      </w:pPr>
      <w:bookmarkStart w:id="380" w:name="_Toc14460"/>
      <w:bookmarkStart w:id="381" w:name="_Toc7100"/>
      <w:r>
        <w:rPr>
          <w:rFonts w:hint="default" w:ascii="Times New Roman" w:hAnsi="Times New Roman" w:eastAsia="仿宋_GB2312" w:cs="Times New Roman"/>
          <w:color w:val="auto"/>
          <w:spacing w:val="0"/>
          <w:kern w:val="0"/>
          <w:position w:val="0"/>
          <w:sz w:val="24"/>
          <w:szCs w:val="24"/>
        </w:rPr>
        <w:t>企业采取的各级应急预案处置程序见表</w:t>
      </w:r>
      <w:r>
        <w:rPr>
          <w:rFonts w:hint="default" w:ascii="Times New Roman" w:hAnsi="Times New Roman" w:eastAsia="仿宋_GB2312" w:cs="Times New Roman"/>
          <w:color w:val="auto"/>
          <w:spacing w:val="0"/>
          <w:kern w:val="0"/>
          <w:position w:val="0"/>
          <w:sz w:val="24"/>
          <w:szCs w:val="24"/>
          <w:lang w:val="en-US" w:eastAsia="zh-CN"/>
        </w:rPr>
        <w:t>5</w:t>
      </w:r>
      <w:r>
        <w:rPr>
          <w:rFonts w:hint="default" w:ascii="Times New Roman" w:hAnsi="Times New Roman" w:eastAsia="仿宋_GB2312" w:cs="Times New Roman"/>
          <w:color w:val="auto"/>
          <w:spacing w:val="0"/>
          <w:kern w:val="0"/>
          <w:position w:val="0"/>
          <w:sz w:val="24"/>
          <w:szCs w:val="24"/>
        </w:rPr>
        <w:t>.</w:t>
      </w:r>
      <w:r>
        <w:rPr>
          <w:rFonts w:hint="default" w:ascii="Times New Roman" w:hAnsi="Times New Roman" w:eastAsia="仿宋_GB2312" w:cs="Times New Roman"/>
          <w:color w:val="auto"/>
          <w:spacing w:val="0"/>
          <w:kern w:val="0"/>
          <w:position w:val="0"/>
          <w:sz w:val="24"/>
          <w:szCs w:val="24"/>
          <w:lang w:val="en-US" w:eastAsia="zh-CN"/>
        </w:rPr>
        <w:t>6</w:t>
      </w:r>
      <w:r>
        <w:rPr>
          <w:rFonts w:hint="default" w:ascii="Times New Roman" w:hAnsi="Times New Roman" w:eastAsia="仿宋_GB2312" w:cs="Times New Roman"/>
          <w:color w:val="auto"/>
          <w:spacing w:val="0"/>
          <w:kern w:val="0"/>
          <w:position w:val="0"/>
          <w:sz w:val="24"/>
          <w:szCs w:val="24"/>
        </w:rPr>
        <w:t>-</w:t>
      </w:r>
      <w:r>
        <w:rPr>
          <w:rFonts w:hint="default" w:ascii="Times New Roman" w:hAnsi="Times New Roman" w:eastAsia="仿宋_GB2312" w:cs="Times New Roman"/>
          <w:color w:val="auto"/>
          <w:spacing w:val="0"/>
          <w:kern w:val="0"/>
          <w:position w:val="0"/>
          <w:sz w:val="24"/>
          <w:szCs w:val="24"/>
          <w:lang w:val="en-US" w:eastAsia="zh-CN"/>
        </w:rPr>
        <w:t>1。</w:t>
      </w:r>
      <w:bookmarkEnd w:id="380"/>
      <w:bookmarkEnd w:id="381"/>
    </w:p>
    <w:p w14:paraId="0A98DE5C">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b/>
          <w:bCs/>
          <w:color w:val="auto"/>
          <w:spacing w:val="0"/>
          <w:kern w:val="0"/>
          <w:position w:val="0"/>
          <w:sz w:val="24"/>
          <w:szCs w:val="24"/>
          <w:lang w:val="en-US" w:eastAsia="zh-CN"/>
        </w:rPr>
      </w:pPr>
      <w:r>
        <w:rPr>
          <w:rFonts w:hint="default" w:ascii="Times New Roman" w:hAnsi="Times New Roman" w:eastAsia="仿宋_GB2312" w:cs="Times New Roman"/>
          <w:b/>
          <w:bCs/>
          <w:color w:val="auto"/>
          <w:spacing w:val="0"/>
          <w:kern w:val="0"/>
          <w:position w:val="0"/>
          <w:sz w:val="24"/>
          <w:szCs w:val="24"/>
        </w:rPr>
        <w:t>表</w:t>
      </w:r>
      <w:r>
        <w:rPr>
          <w:rFonts w:hint="default" w:ascii="Times New Roman" w:hAnsi="Times New Roman" w:eastAsia="仿宋_GB2312" w:cs="Times New Roman"/>
          <w:b/>
          <w:bCs/>
          <w:color w:val="auto"/>
          <w:spacing w:val="0"/>
          <w:kern w:val="0"/>
          <w:position w:val="0"/>
          <w:sz w:val="24"/>
          <w:szCs w:val="24"/>
          <w:lang w:val="en-US" w:eastAsia="zh-CN"/>
        </w:rPr>
        <w:t>5.6-1</w:t>
      </w:r>
      <w:r>
        <w:rPr>
          <w:rFonts w:hint="default" w:ascii="Times New Roman" w:hAnsi="Times New Roman" w:eastAsia="仿宋_GB2312" w:cs="Times New Roman"/>
          <w:b/>
          <w:bCs/>
          <w:color w:val="auto"/>
          <w:spacing w:val="0"/>
          <w:kern w:val="0"/>
          <w:position w:val="0"/>
          <w:sz w:val="24"/>
          <w:szCs w:val="24"/>
        </w:rPr>
        <w:t xml:space="preserve"> </w:t>
      </w:r>
      <w:r>
        <w:rPr>
          <w:rFonts w:hint="eastAsia" w:ascii="Times New Roman" w:hAnsi="Times New Roman" w:eastAsia="仿宋_GB2312" w:cs="Times New Roman"/>
          <w:b/>
          <w:bCs/>
          <w:color w:val="auto"/>
          <w:spacing w:val="0"/>
          <w:kern w:val="0"/>
          <w:position w:val="0"/>
          <w:sz w:val="24"/>
          <w:szCs w:val="24"/>
          <w:lang w:val="en-US" w:eastAsia="zh-CN"/>
        </w:rPr>
        <w:t xml:space="preserve"> </w:t>
      </w:r>
      <w:r>
        <w:rPr>
          <w:rFonts w:hint="default" w:ascii="Times New Roman" w:hAnsi="Times New Roman" w:eastAsia="仿宋_GB2312" w:cs="Times New Roman"/>
          <w:b/>
          <w:bCs/>
          <w:color w:val="auto"/>
          <w:spacing w:val="0"/>
          <w:kern w:val="0"/>
          <w:position w:val="0"/>
          <w:sz w:val="24"/>
          <w:szCs w:val="24"/>
          <w:lang w:val="en-US" w:eastAsia="zh-CN"/>
        </w:rPr>
        <w:t>含水层弥散度类比取值表</w:t>
      </w:r>
    </w:p>
    <w:tbl>
      <w:tblPr>
        <w:tblStyle w:val="3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927"/>
        <w:gridCol w:w="2068"/>
        <w:gridCol w:w="751"/>
        <w:gridCol w:w="635"/>
        <w:gridCol w:w="2514"/>
        <w:gridCol w:w="1299"/>
        <w:gridCol w:w="934"/>
      </w:tblGrid>
      <w:tr w14:paraId="46F1B4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2" w:hRule="atLeast"/>
          <w:jc w:val="center"/>
        </w:trPr>
        <w:tc>
          <w:tcPr>
            <w:tcW w:w="508" w:type="pct"/>
            <w:vMerge w:val="restart"/>
            <w:tcBorders>
              <w:tl2br w:val="nil"/>
              <w:tr2bl w:val="nil"/>
            </w:tcBorders>
            <w:noWrap/>
            <w:vAlign w:val="center"/>
          </w:tcPr>
          <w:p w14:paraId="77E06462">
            <w:pPr>
              <w:keepNext w:val="0"/>
              <w:keepLines w:val="0"/>
              <w:pageBreakBefore w:val="0"/>
              <w:widowControl/>
              <w:kinsoku/>
              <w:wordWrap/>
              <w:overflowPunct/>
              <w:topLinePunct w:val="0"/>
              <w:autoSpaceDE w:val="0"/>
              <w:autoSpaceDN w:val="0"/>
              <w:bidi w:val="0"/>
              <w:adjustRightInd w:val="0"/>
              <w:snapToGrid w:val="0"/>
              <w:spacing w:beforeAutospacing="0" w:afterAutospacing="0" w:line="232" w:lineRule="auto"/>
              <w:ind w:left="0" w:leftChars="0" w:right="0"/>
              <w:jc w:val="center"/>
              <w:textAlignment w:val="baseline"/>
              <w:outlineLvl w:val="9"/>
              <w:rPr>
                <w:rFonts w:hint="default" w:ascii="Times New Roman" w:hAnsi="Times New Roman" w:eastAsia="仿宋_GB2312" w:cs="Times New Roman"/>
                <w:b/>
                <w:bCs/>
                <w:color w:val="auto"/>
                <w:spacing w:val="0"/>
                <w:kern w:val="0"/>
                <w:position w:val="0"/>
                <w:lang w:val="en-US" w:eastAsia="zh-CN"/>
              </w:rPr>
            </w:pPr>
            <w:r>
              <w:rPr>
                <w:rFonts w:hint="default" w:ascii="Times New Roman" w:hAnsi="Times New Roman" w:eastAsia="仿宋_GB2312" w:cs="Times New Roman"/>
                <w:b/>
                <w:bCs/>
                <w:color w:val="auto"/>
                <w:spacing w:val="0"/>
                <w:kern w:val="0"/>
                <w:position w:val="0"/>
                <w:lang w:val="en-US" w:eastAsia="zh-CN"/>
              </w:rPr>
              <w:t>性质</w:t>
            </w:r>
          </w:p>
        </w:tc>
        <w:tc>
          <w:tcPr>
            <w:tcW w:w="1132" w:type="pct"/>
            <w:vMerge w:val="restart"/>
            <w:tcBorders>
              <w:tl2br w:val="nil"/>
              <w:tr2bl w:val="nil"/>
            </w:tcBorders>
            <w:noWrap/>
            <w:vAlign w:val="center"/>
          </w:tcPr>
          <w:p w14:paraId="133D74D8">
            <w:pPr>
              <w:keepNext w:val="0"/>
              <w:keepLines w:val="0"/>
              <w:pageBreakBefore w:val="0"/>
              <w:widowControl/>
              <w:kinsoku/>
              <w:wordWrap/>
              <w:overflowPunct/>
              <w:topLinePunct w:val="0"/>
              <w:autoSpaceDE w:val="0"/>
              <w:autoSpaceDN w:val="0"/>
              <w:bidi w:val="0"/>
              <w:adjustRightInd w:val="0"/>
              <w:snapToGrid w:val="0"/>
              <w:spacing w:beforeAutospacing="0" w:afterAutospacing="0" w:line="232" w:lineRule="auto"/>
              <w:ind w:left="0" w:leftChars="0" w:right="0"/>
              <w:jc w:val="center"/>
              <w:textAlignment w:val="baseline"/>
              <w:outlineLvl w:val="9"/>
              <w:rPr>
                <w:rFonts w:hint="default" w:ascii="Times New Roman" w:hAnsi="Times New Roman" w:eastAsia="仿宋_GB2312" w:cs="Times New Roman"/>
                <w:b/>
                <w:bCs/>
                <w:color w:val="auto"/>
                <w:spacing w:val="0"/>
                <w:kern w:val="0"/>
                <w:position w:val="0"/>
                <w:lang w:val="en-US" w:eastAsia="zh-CN"/>
              </w:rPr>
            </w:pPr>
            <w:r>
              <w:rPr>
                <w:rFonts w:hint="default" w:ascii="Times New Roman" w:hAnsi="Times New Roman" w:eastAsia="仿宋_GB2312" w:cs="Times New Roman"/>
                <w:b/>
                <w:bCs/>
                <w:color w:val="auto"/>
                <w:spacing w:val="0"/>
                <w:kern w:val="0"/>
                <w:position w:val="0"/>
                <w:lang w:val="en-US" w:eastAsia="zh-CN"/>
              </w:rPr>
              <w:t>危害程度</w:t>
            </w:r>
          </w:p>
        </w:tc>
        <w:tc>
          <w:tcPr>
            <w:tcW w:w="411" w:type="pct"/>
            <w:vMerge w:val="restart"/>
            <w:tcBorders>
              <w:tl2br w:val="nil"/>
              <w:tr2bl w:val="nil"/>
            </w:tcBorders>
            <w:noWrap/>
            <w:vAlign w:val="center"/>
          </w:tcPr>
          <w:p w14:paraId="620C208F">
            <w:pPr>
              <w:keepNext w:val="0"/>
              <w:keepLines w:val="0"/>
              <w:pageBreakBefore w:val="0"/>
              <w:widowControl/>
              <w:kinsoku/>
              <w:wordWrap/>
              <w:overflowPunct/>
              <w:topLinePunct w:val="0"/>
              <w:autoSpaceDE w:val="0"/>
              <w:autoSpaceDN w:val="0"/>
              <w:bidi w:val="0"/>
              <w:adjustRightInd w:val="0"/>
              <w:snapToGrid w:val="0"/>
              <w:spacing w:beforeAutospacing="0" w:afterAutospacing="0" w:line="232" w:lineRule="auto"/>
              <w:ind w:left="0" w:leftChars="0" w:right="0"/>
              <w:jc w:val="center"/>
              <w:textAlignment w:val="baseline"/>
              <w:outlineLvl w:val="9"/>
              <w:rPr>
                <w:rFonts w:hint="default" w:ascii="Times New Roman" w:hAnsi="Times New Roman" w:eastAsia="仿宋_GB2312" w:cs="Times New Roman"/>
                <w:b/>
                <w:bCs/>
                <w:color w:val="auto"/>
                <w:spacing w:val="0"/>
                <w:kern w:val="0"/>
                <w:position w:val="0"/>
                <w:lang w:val="en-US" w:eastAsia="zh-CN"/>
              </w:rPr>
            </w:pPr>
            <w:r>
              <w:rPr>
                <w:rFonts w:hint="default" w:ascii="Times New Roman" w:hAnsi="Times New Roman" w:eastAsia="仿宋_GB2312" w:cs="Times New Roman"/>
                <w:b/>
                <w:bCs/>
                <w:color w:val="auto"/>
                <w:spacing w:val="0"/>
                <w:kern w:val="0"/>
                <w:position w:val="0"/>
                <w:lang w:val="en-US" w:eastAsia="zh-CN"/>
              </w:rPr>
              <w:t>可控性</w:t>
            </w:r>
          </w:p>
        </w:tc>
        <w:tc>
          <w:tcPr>
            <w:tcW w:w="2947" w:type="pct"/>
            <w:gridSpan w:val="4"/>
            <w:tcBorders>
              <w:tl2br w:val="nil"/>
              <w:tr2bl w:val="nil"/>
            </w:tcBorders>
            <w:noWrap/>
            <w:vAlign w:val="center"/>
          </w:tcPr>
          <w:p w14:paraId="4BD4E982">
            <w:pPr>
              <w:keepNext w:val="0"/>
              <w:keepLines w:val="0"/>
              <w:pageBreakBefore w:val="0"/>
              <w:widowControl/>
              <w:kinsoku/>
              <w:wordWrap/>
              <w:overflowPunct/>
              <w:topLinePunct w:val="0"/>
              <w:autoSpaceDE w:val="0"/>
              <w:autoSpaceDN w:val="0"/>
              <w:bidi w:val="0"/>
              <w:adjustRightInd w:val="0"/>
              <w:snapToGrid w:val="0"/>
              <w:spacing w:beforeAutospacing="0" w:afterAutospacing="0" w:line="232" w:lineRule="auto"/>
              <w:ind w:left="0" w:leftChars="0" w:right="0"/>
              <w:jc w:val="center"/>
              <w:textAlignment w:val="baseline"/>
              <w:outlineLvl w:val="9"/>
              <w:rPr>
                <w:rFonts w:hint="default" w:ascii="Times New Roman" w:hAnsi="Times New Roman" w:eastAsia="仿宋_GB2312" w:cs="Times New Roman"/>
                <w:b/>
                <w:bCs/>
                <w:color w:val="auto"/>
                <w:spacing w:val="0"/>
                <w:kern w:val="0"/>
                <w:position w:val="0"/>
                <w:lang w:val="en-US" w:eastAsia="zh-CN"/>
              </w:rPr>
            </w:pPr>
            <w:r>
              <w:rPr>
                <w:rFonts w:hint="default" w:ascii="Times New Roman" w:hAnsi="Times New Roman" w:eastAsia="仿宋_GB2312" w:cs="Times New Roman"/>
                <w:b/>
                <w:bCs/>
                <w:color w:val="auto"/>
                <w:spacing w:val="0"/>
                <w:kern w:val="0"/>
                <w:position w:val="0"/>
                <w:lang w:val="en-US" w:eastAsia="zh-CN"/>
              </w:rPr>
              <w:t>处置程序</w:t>
            </w:r>
          </w:p>
        </w:tc>
      </w:tr>
      <w:tr w14:paraId="7E91E5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8" w:type="pct"/>
            <w:vMerge w:val="continue"/>
            <w:tcBorders>
              <w:tl2br w:val="nil"/>
              <w:tr2bl w:val="nil"/>
            </w:tcBorders>
            <w:noWrap/>
            <w:vAlign w:val="center"/>
          </w:tcPr>
          <w:p w14:paraId="4A44018A">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snapToGrid w:val="0"/>
                <w:color w:val="auto"/>
                <w:spacing w:val="0"/>
                <w:kern w:val="0"/>
                <w:position w:val="0"/>
                <w:sz w:val="21"/>
                <w:szCs w:val="21"/>
                <w:lang w:val="en-US" w:eastAsia="zh-CN" w:bidi="ar-SA"/>
              </w:rPr>
            </w:pPr>
          </w:p>
        </w:tc>
        <w:tc>
          <w:tcPr>
            <w:tcW w:w="1132" w:type="pct"/>
            <w:vMerge w:val="continue"/>
            <w:tcBorders>
              <w:tl2br w:val="nil"/>
              <w:tr2bl w:val="nil"/>
            </w:tcBorders>
            <w:noWrap/>
            <w:vAlign w:val="center"/>
          </w:tcPr>
          <w:p w14:paraId="4BADC15E">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snapToGrid w:val="0"/>
                <w:color w:val="auto"/>
                <w:spacing w:val="0"/>
                <w:kern w:val="0"/>
                <w:position w:val="0"/>
                <w:sz w:val="21"/>
                <w:szCs w:val="21"/>
                <w:lang w:val="en-US" w:eastAsia="zh-CN" w:bidi="ar-SA"/>
              </w:rPr>
            </w:pPr>
          </w:p>
        </w:tc>
        <w:tc>
          <w:tcPr>
            <w:tcW w:w="411" w:type="pct"/>
            <w:vMerge w:val="continue"/>
            <w:tcBorders>
              <w:tl2br w:val="nil"/>
              <w:tr2bl w:val="nil"/>
            </w:tcBorders>
            <w:noWrap/>
            <w:vAlign w:val="center"/>
          </w:tcPr>
          <w:p w14:paraId="404A0CE2">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347" w:type="pct"/>
            <w:tcBorders>
              <w:tl2br w:val="nil"/>
              <w:tr2bl w:val="nil"/>
            </w:tcBorders>
            <w:noWrap/>
            <w:vAlign w:val="center"/>
          </w:tcPr>
          <w:p w14:paraId="484A6FB1">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b/>
                <w:bCs/>
                <w:color w:val="auto"/>
                <w:spacing w:val="0"/>
                <w:kern w:val="0"/>
                <w:position w:val="0"/>
                <w:lang w:val="en-US" w:eastAsia="zh-CN"/>
              </w:rPr>
            </w:pPr>
            <w:r>
              <w:rPr>
                <w:rFonts w:hint="default" w:ascii="Times New Roman" w:hAnsi="Times New Roman" w:eastAsia="仿宋_GB2312" w:cs="Times New Roman"/>
                <w:b/>
                <w:bCs/>
                <w:color w:val="auto"/>
                <w:spacing w:val="0"/>
                <w:kern w:val="0"/>
                <w:position w:val="0"/>
                <w:lang w:val="en-US" w:eastAsia="zh-CN"/>
              </w:rPr>
              <w:t>报警</w:t>
            </w:r>
          </w:p>
        </w:tc>
        <w:tc>
          <w:tcPr>
            <w:tcW w:w="1376" w:type="pct"/>
            <w:tcBorders>
              <w:tl2br w:val="nil"/>
              <w:tr2bl w:val="nil"/>
            </w:tcBorders>
            <w:noWrap/>
            <w:vAlign w:val="center"/>
          </w:tcPr>
          <w:p w14:paraId="32929388">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b/>
                <w:bCs/>
                <w:color w:val="auto"/>
                <w:spacing w:val="0"/>
                <w:kern w:val="0"/>
                <w:position w:val="0"/>
                <w:lang w:val="en-US" w:eastAsia="zh-CN"/>
              </w:rPr>
            </w:pPr>
            <w:r>
              <w:rPr>
                <w:rFonts w:hint="default" w:ascii="Times New Roman" w:hAnsi="Times New Roman" w:eastAsia="仿宋_GB2312" w:cs="Times New Roman"/>
                <w:b/>
                <w:bCs/>
                <w:color w:val="auto"/>
                <w:spacing w:val="0"/>
                <w:kern w:val="0"/>
                <w:position w:val="0"/>
                <w:lang w:val="en-US" w:eastAsia="zh-CN"/>
              </w:rPr>
              <w:t>措施</w:t>
            </w:r>
          </w:p>
        </w:tc>
        <w:tc>
          <w:tcPr>
            <w:tcW w:w="711" w:type="pct"/>
            <w:tcBorders>
              <w:tl2br w:val="nil"/>
              <w:tr2bl w:val="nil"/>
            </w:tcBorders>
            <w:noWrap/>
            <w:vAlign w:val="center"/>
          </w:tcPr>
          <w:p w14:paraId="5F9388DF">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b/>
                <w:bCs/>
                <w:color w:val="auto"/>
                <w:spacing w:val="0"/>
                <w:kern w:val="0"/>
                <w:position w:val="0"/>
                <w:lang w:val="en-US" w:eastAsia="zh-CN"/>
              </w:rPr>
            </w:pPr>
            <w:r>
              <w:rPr>
                <w:rFonts w:hint="default" w:ascii="Times New Roman" w:hAnsi="Times New Roman" w:eastAsia="仿宋_GB2312" w:cs="Times New Roman"/>
                <w:b/>
                <w:bCs/>
                <w:color w:val="auto"/>
                <w:spacing w:val="0"/>
                <w:kern w:val="0"/>
                <w:position w:val="0"/>
                <w:lang w:val="en-US" w:eastAsia="zh-CN"/>
              </w:rPr>
              <w:t>指挥权</w:t>
            </w:r>
          </w:p>
        </w:tc>
        <w:tc>
          <w:tcPr>
            <w:tcW w:w="511" w:type="pct"/>
            <w:tcBorders>
              <w:tl2br w:val="nil"/>
              <w:tr2bl w:val="nil"/>
            </w:tcBorders>
            <w:noWrap/>
            <w:vAlign w:val="center"/>
          </w:tcPr>
          <w:p w14:paraId="784E6D6C">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b/>
                <w:bCs/>
                <w:color w:val="auto"/>
                <w:spacing w:val="0"/>
                <w:kern w:val="0"/>
                <w:position w:val="0"/>
                <w:lang w:val="en-US" w:eastAsia="zh-CN"/>
              </w:rPr>
            </w:pPr>
            <w:r>
              <w:rPr>
                <w:rFonts w:hint="default" w:ascii="Times New Roman" w:hAnsi="Times New Roman" w:eastAsia="仿宋_GB2312" w:cs="Times New Roman"/>
                <w:b/>
                <w:bCs/>
                <w:color w:val="auto"/>
                <w:spacing w:val="0"/>
                <w:kern w:val="0"/>
                <w:position w:val="0"/>
                <w:lang w:val="en-US" w:eastAsia="zh-CN"/>
              </w:rPr>
              <w:t>信息上报</w:t>
            </w:r>
          </w:p>
        </w:tc>
      </w:tr>
      <w:tr w14:paraId="498AE4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8" w:type="pct"/>
            <w:tcBorders>
              <w:tl2br w:val="nil"/>
              <w:tr2bl w:val="nil"/>
            </w:tcBorders>
            <w:noWrap/>
            <w:vAlign w:val="center"/>
          </w:tcPr>
          <w:p w14:paraId="67E31870">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snapToGrid w:val="0"/>
                <w:color w:val="auto"/>
                <w:spacing w:val="0"/>
                <w:kern w:val="0"/>
                <w:position w:val="0"/>
                <w:sz w:val="21"/>
                <w:szCs w:val="21"/>
                <w:lang w:val="en-US" w:eastAsia="zh-CN" w:bidi="ar-SA"/>
              </w:rPr>
            </w:pPr>
            <w:r>
              <w:rPr>
                <w:rFonts w:hint="default" w:ascii="Times New Roman" w:hAnsi="Times New Roman" w:eastAsia="仿宋_GB2312" w:cs="Times New Roman"/>
                <w:snapToGrid w:val="0"/>
                <w:color w:val="auto"/>
                <w:spacing w:val="0"/>
                <w:kern w:val="0"/>
                <w:position w:val="0"/>
                <w:sz w:val="21"/>
                <w:szCs w:val="21"/>
                <w:lang w:val="en-US" w:eastAsia="zh-CN" w:bidi="ar-SA"/>
              </w:rPr>
              <w:t>一般事故</w:t>
            </w:r>
          </w:p>
        </w:tc>
        <w:tc>
          <w:tcPr>
            <w:tcW w:w="1132" w:type="pct"/>
            <w:tcBorders>
              <w:tl2br w:val="nil"/>
              <w:tr2bl w:val="nil"/>
            </w:tcBorders>
            <w:noWrap/>
            <w:vAlign w:val="center"/>
          </w:tcPr>
          <w:p w14:paraId="033AA89D">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snapToGrid w:val="0"/>
                <w:color w:val="auto"/>
                <w:spacing w:val="0"/>
                <w:kern w:val="0"/>
                <w:position w:val="0"/>
                <w:sz w:val="21"/>
                <w:szCs w:val="21"/>
                <w:lang w:val="en-US" w:eastAsia="zh-CN" w:bidi="ar-SA"/>
              </w:rPr>
            </w:pPr>
            <w:r>
              <w:rPr>
                <w:rFonts w:hint="default" w:ascii="Times New Roman" w:hAnsi="Times New Roman" w:eastAsia="仿宋_GB2312" w:cs="Times New Roman"/>
                <w:snapToGrid w:val="0"/>
                <w:color w:val="auto"/>
                <w:spacing w:val="0"/>
                <w:kern w:val="0"/>
                <w:position w:val="0"/>
                <w:sz w:val="21"/>
                <w:szCs w:val="21"/>
                <w:lang w:val="en-US" w:eastAsia="zh-CN" w:bidi="ar-SA"/>
              </w:rPr>
              <w:t>对企业内造成较小危害</w:t>
            </w:r>
          </w:p>
        </w:tc>
        <w:tc>
          <w:tcPr>
            <w:tcW w:w="411" w:type="pct"/>
            <w:tcBorders>
              <w:tl2br w:val="nil"/>
              <w:tr2bl w:val="nil"/>
            </w:tcBorders>
            <w:noWrap/>
            <w:vAlign w:val="center"/>
          </w:tcPr>
          <w:p w14:paraId="0E03785B">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大</w:t>
            </w:r>
          </w:p>
        </w:tc>
        <w:tc>
          <w:tcPr>
            <w:tcW w:w="347" w:type="pct"/>
            <w:tcBorders>
              <w:tl2br w:val="nil"/>
              <w:tr2bl w:val="nil"/>
            </w:tcBorders>
            <w:noWrap/>
            <w:vAlign w:val="center"/>
          </w:tcPr>
          <w:p w14:paraId="06570F27">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立即</w:t>
            </w:r>
          </w:p>
        </w:tc>
        <w:tc>
          <w:tcPr>
            <w:tcW w:w="1376" w:type="pct"/>
            <w:tcBorders>
              <w:tl2br w:val="nil"/>
              <w:tr2bl w:val="nil"/>
            </w:tcBorders>
            <w:noWrap/>
            <w:vAlign w:val="center"/>
          </w:tcPr>
          <w:p w14:paraId="2B8AD794">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厂应急指挥小组到现场监护</w:t>
            </w:r>
          </w:p>
        </w:tc>
        <w:tc>
          <w:tcPr>
            <w:tcW w:w="711" w:type="pct"/>
            <w:tcBorders>
              <w:tl2br w:val="nil"/>
              <w:tr2bl w:val="nil"/>
            </w:tcBorders>
            <w:noWrap/>
            <w:vAlign w:val="center"/>
          </w:tcPr>
          <w:p w14:paraId="3A88BD3C">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企业</w:t>
            </w:r>
          </w:p>
        </w:tc>
        <w:tc>
          <w:tcPr>
            <w:tcW w:w="511" w:type="pct"/>
            <w:tcBorders>
              <w:tl2br w:val="nil"/>
              <w:tr2bl w:val="nil"/>
            </w:tcBorders>
            <w:noWrap/>
            <w:vAlign w:val="center"/>
          </w:tcPr>
          <w:p w14:paraId="019EA55B">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处置结束后24h</w:t>
            </w:r>
          </w:p>
        </w:tc>
      </w:tr>
      <w:tr w14:paraId="2841CB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8" w:type="pct"/>
            <w:tcBorders>
              <w:tl2br w:val="nil"/>
              <w:tr2bl w:val="nil"/>
            </w:tcBorders>
            <w:noWrap/>
            <w:vAlign w:val="center"/>
          </w:tcPr>
          <w:p w14:paraId="2D5E9328">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snapToGrid w:val="0"/>
                <w:color w:val="auto"/>
                <w:spacing w:val="0"/>
                <w:kern w:val="0"/>
                <w:position w:val="0"/>
                <w:sz w:val="21"/>
                <w:szCs w:val="21"/>
                <w:lang w:val="en-US" w:eastAsia="zh-CN" w:bidi="ar-SA"/>
              </w:rPr>
            </w:pPr>
            <w:r>
              <w:rPr>
                <w:rFonts w:hint="default" w:ascii="Times New Roman" w:hAnsi="Times New Roman" w:eastAsia="仿宋_GB2312" w:cs="Times New Roman"/>
                <w:snapToGrid w:val="0"/>
                <w:color w:val="auto"/>
                <w:spacing w:val="0"/>
                <w:kern w:val="0"/>
                <w:position w:val="0"/>
                <w:sz w:val="21"/>
                <w:szCs w:val="21"/>
                <w:lang w:val="en-US" w:eastAsia="zh-CN" w:bidi="ar-SA"/>
              </w:rPr>
              <w:t>较大事故</w:t>
            </w:r>
          </w:p>
        </w:tc>
        <w:tc>
          <w:tcPr>
            <w:tcW w:w="1132" w:type="pct"/>
            <w:tcBorders>
              <w:tl2br w:val="nil"/>
              <w:tr2bl w:val="nil"/>
            </w:tcBorders>
            <w:noWrap/>
            <w:vAlign w:val="center"/>
          </w:tcPr>
          <w:p w14:paraId="7061B72E">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snapToGrid w:val="0"/>
                <w:color w:val="auto"/>
                <w:spacing w:val="0"/>
                <w:kern w:val="0"/>
                <w:position w:val="0"/>
                <w:sz w:val="21"/>
                <w:szCs w:val="21"/>
                <w:lang w:val="en-US" w:eastAsia="zh-CN" w:bidi="ar-SA"/>
              </w:rPr>
            </w:pPr>
            <w:r>
              <w:rPr>
                <w:rFonts w:hint="default" w:ascii="Times New Roman" w:hAnsi="Times New Roman" w:eastAsia="仿宋_GB2312" w:cs="Times New Roman"/>
                <w:snapToGrid w:val="0"/>
                <w:color w:val="auto"/>
                <w:spacing w:val="0"/>
                <w:kern w:val="0"/>
                <w:position w:val="0"/>
                <w:sz w:val="21"/>
                <w:szCs w:val="21"/>
                <w:lang w:val="en-US" w:eastAsia="zh-CN" w:bidi="ar-SA"/>
              </w:rPr>
              <w:t>较大量的污染物进入环境，企业内造成较大危害。</w:t>
            </w:r>
          </w:p>
        </w:tc>
        <w:tc>
          <w:tcPr>
            <w:tcW w:w="411" w:type="pct"/>
            <w:tcBorders>
              <w:tl2br w:val="nil"/>
              <w:tr2bl w:val="nil"/>
            </w:tcBorders>
            <w:noWrap/>
            <w:vAlign w:val="center"/>
          </w:tcPr>
          <w:p w14:paraId="49559735">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较大</w:t>
            </w:r>
          </w:p>
        </w:tc>
        <w:tc>
          <w:tcPr>
            <w:tcW w:w="347" w:type="pct"/>
            <w:tcBorders>
              <w:tl2br w:val="nil"/>
              <w:tr2bl w:val="nil"/>
            </w:tcBorders>
            <w:noWrap/>
            <w:vAlign w:val="center"/>
          </w:tcPr>
          <w:p w14:paraId="372AE929">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立即</w:t>
            </w:r>
          </w:p>
        </w:tc>
        <w:tc>
          <w:tcPr>
            <w:tcW w:w="1376" w:type="pct"/>
            <w:tcBorders>
              <w:tl2br w:val="nil"/>
              <w:tr2bl w:val="nil"/>
            </w:tcBorders>
            <w:noWrap/>
            <w:vAlign w:val="center"/>
          </w:tcPr>
          <w:p w14:paraId="04F3CACE">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园区应急力量到现场与企业共同处置实行交通管制发布预警通知</w:t>
            </w:r>
          </w:p>
        </w:tc>
        <w:tc>
          <w:tcPr>
            <w:tcW w:w="711" w:type="pct"/>
            <w:tcBorders>
              <w:tl2br w:val="nil"/>
              <w:tr2bl w:val="nil"/>
            </w:tcBorders>
            <w:noWrap/>
            <w:vAlign w:val="center"/>
          </w:tcPr>
          <w:p w14:paraId="72A59E91">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企业为主</w:t>
            </w:r>
          </w:p>
        </w:tc>
        <w:tc>
          <w:tcPr>
            <w:tcW w:w="511" w:type="pct"/>
            <w:tcBorders>
              <w:tl2br w:val="nil"/>
              <w:tr2bl w:val="nil"/>
            </w:tcBorders>
            <w:noWrap/>
            <w:vAlign w:val="center"/>
          </w:tcPr>
          <w:p w14:paraId="483F0885">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处置结束后12h</w:t>
            </w:r>
          </w:p>
        </w:tc>
      </w:tr>
      <w:tr w14:paraId="1F312F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8" w:type="pct"/>
            <w:tcBorders>
              <w:tl2br w:val="nil"/>
              <w:tr2bl w:val="nil"/>
            </w:tcBorders>
            <w:noWrap/>
            <w:vAlign w:val="center"/>
          </w:tcPr>
          <w:p w14:paraId="7FFD8EF0">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snapToGrid w:val="0"/>
                <w:color w:val="auto"/>
                <w:spacing w:val="0"/>
                <w:kern w:val="0"/>
                <w:position w:val="0"/>
                <w:sz w:val="21"/>
                <w:szCs w:val="21"/>
                <w:lang w:val="en-US" w:eastAsia="zh-CN" w:bidi="ar-SA"/>
              </w:rPr>
            </w:pPr>
            <w:r>
              <w:rPr>
                <w:rFonts w:hint="default" w:ascii="Times New Roman" w:hAnsi="Times New Roman" w:eastAsia="仿宋_GB2312" w:cs="Times New Roman"/>
                <w:snapToGrid w:val="0"/>
                <w:color w:val="auto"/>
                <w:spacing w:val="0"/>
                <w:kern w:val="0"/>
                <w:position w:val="0"/>
                <w:sz w:val="21"/>
                <w:szCs w:val="21"/>
                <w:lang w:val="en-US" w:eastAsia="zh-CN" w:bidi="ar-SA"/>
              </w:rPr>
              <w:t>重大事故</w:t>
            </w:r>
          </w:p>
        </w:tc>
        <w:tc>
          <w:tcPr>
            <w:tcW w:w="1132" w:type="pct"/>
            <w:tcBorders>
              <w:tl2br w:val="nil"/>
              <w:tr2bl w:val="nil"/>
            </w:tcBorders>
            <w:noWrap/>
            <w:vAlign w:val="center"/>
          </w:tcPr>
          <w:p w14:paraId="7168B535">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snapToGrid w:val="0"/>
                <w:color w:val="auto"/>
                <w:spacing w:val="0"/>
                <w:kern w:val="0"/>
                <w:position w:val="0"/>
                <w:sz w:val="21"/>
                <w:szCs w:val="21"/>
                <w:lang w:val="en-US" w:eastAsia="zh-CN" w:bidi="ar-SA"/>
              </w:rPr>
            </w:pPr>
            <w:r>
              <w:rPr>
                <w:rFonts w:hint="default" w:ascii="Times New Roman" w:hAnsi="Times New Roman" w:eastAsia="仿宋_GB2312" w:cs="Times New Roman"/>
                <w:snapToGrid w:val="0"/>
                <w:color w:val="auto"/>
                <w:spacing w:val="0"/>
                <w:kern w:val="0"/>
                <w:position w:val="0"/>
                <w:sz w:val="21"/>
                <w:szCs w:val="21"/>
                <w:lang w:val="en-US" w:eastAsia="zh-CN" w:bidi="ar-SA"/>
              </w:rPr>
              <w:t>较大量的污染物进入环境，影响范围已超出厂界。</w:t>
            </w:r>
          </w:p>
        </w:tc>
        <w:tc>
          <w:tcPr>
            <w:tcW w:w="411" w:type="pct"/>
            <w:tcBorders>
              <w:tl2br w:val="nil"/>
              <w:tr2bl w:val="nil"/>
            </w:tcBorders>
            <w:noWrap/>
            <w:vAlign w:val="center"/>
          </w:tcPr>
          <w:p w14:paraId="64C2E4D0">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小</w:t>
            </w:r>
          </w:p>
        </w:tc>
        <w:tc>
          <w:tcPr>
            <w:tcW w:w="347" w:type="pct"/>
            <w:tcBorders>
              <w:tl2br w:val="nil"/>
              <w:tr2bl w:val="nil"/>
            </w:tcBorders>
            <w:noWrap/>
            <w:vAlign w:val="center"/>
          </w:tcPr>
          <w:p w14:paraId="6EE242EB">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立即</w:t>
            </w:r>
          </w:p>
        </w:tc>
        <w:tc>
          <w:tcPr>
            <w:tcW w:w="1376" w:type="pct"/>
            <w:tcBorders>
              <w:tl2br w:val="nil"/>
              <w:tr2bl w:val="nil"/>
            </w:tcBorders>
            <w:noWrap/>
            <w:vAlign w:val="center"/>
          </w:tcPr>
          <w:p w14:paraId="3057A388">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园区内和周边应急力量到现场与企业共同处置，发布公共警报实行交通管制组织邻近企业紧急避险</w:t>
            </w:r>
          </w:p>
        </w:tc>
        <w:tc>
          <w:tcPr>
            <w:tcW w:w="711" w:type="pct"/>
            <w:tcBorders>
              <w:tl2br w:val="nil"/>
              <w:tr2bl w:val="nil"/>
            </w:tcBorders>
            <w:noWrap/>
            <w:vAlign w:val="center"/>
          </w:tcPr>
          <w:p w14:paraId="53C0B5A9">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现场指挥部和区应急处置领导小组</w:t>
            </w:r>
          </w:p>
        </w:tc>
        <w:tc>
          <w:tcPr>
            <w:tcW w:w="511" w:type="pct"/>
            <w:tcBorders>
              <w:tl2br w:val="nil"/>
              <w:tr2bl w:val="nil"/>
            </w:tcBorders>
            <w:noWrap/>
            <w:vAlign w:val="center"/>
          </w:tcPr>
          <w:p w14:paraId="21A3B2BB">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处置结束后6h</w:t>
            </w:r>
          </w:p>
        </w:tc>
      </w:tr>
      <w:tr w14:paraId="361751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8" w:type="pct"/>
            <w:tcBorders>
              <w:tl2br w:val="nil"/>
              <w:tr2bl w:val="nil"/>
            </w:tcBorders>
            <w:noWrap/>
            <w:vAlign w:val="center"/>
          </w:tcPr>
          <w:p w14:paraId="38E289F9">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snapToGrid w:val="0"/>
                <w:color w:val="auto"/>
                <w:spacing w:val="0"/>
                <w:kern w:val="0"/>
                <w:position w:val="0"/>
                <w:sz w:val="21"/>
                <w:szCs w:val="21"/>
                <w:lang w:val="en-US" w:eastAsia="zh-CN" w:bidi="ar-SA"/>
              </w:rPr>
            </w:pPr>
            <w:r>
              <w:rPr>
                <w:rFonts w:hint="default" w:ascii="Times New Roman" w:hAnsi="Times New Roman" w:eastAsia="仿宋_GB2312" w:cs="Times New Roman"/>
                <w:snapToGrid w:val="0"/>
                <w:color w:val="auto"/>
                <w:spacing w:val="0"/>
                <w:kern w:val="0"/>
                <w:position w:val="0"/>
                <w:sz w:val="21"/>
                <w:szCs w:val="21"/>
                <w:lang w:val="en-US" w:eastAsia="zh-CN" w:bidi="ar-SA"/>
              </w:rPr>
              <w:t>特大事故</w:t>
            </w:r>
          </w:p>
        </w:tc>
        <w:tc>
          <w:tcPr>
            <w:tcW w:w="1132" w:type="pct"/>
            <w:tcBorders>
              <w:tl2br w:val="nil"/>
              <w:tr2bl w:val="nil"/>
            </w:tcBorders>
            <w:noWrap/>
            <w:vAlign w:val="center"/>
          </w:tcPr>
          <w:p w14:paraId="51367A76">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snapToGrid w:val="0"/>
                <w:color w:val="auto"/>
                <w:spacing w:val="0"/>
                <w:kern w:val="0"/>
                <w:position w:val="0"/>
                <w:sz w:val="21"/>
                <w:szCs w:val="21"/>
                <w:lang w:val="en-US" w:eastAsia="zh-CN" w:bidi="ar-SA"/>
              </w:rPr>
            </w:pPr>
            <w:r>
              <w:rPr>
                <w:rFonts w:hint="default" w:ascii="Times New Roman" w:hAnsi="Times New Roman" w:eastAsia="仿宋_GB2312" w:cs="Times New Roman"/>
                <w:snapToGrid w:val="0"/>
                <w:color w:val="auto"/>
                <w:spacing w:val="0"/>
                <w:kern w:val="0"/>
                <w:position w:val="0"/>
                <w:sz w:val="21"/>
                <w:szCs w:val="21"/>
                <w:lang w:val="en-US" w:eastAsia="zh-CN" w:bidi="ar-SA"/>
              </w:rPr>
              <w:t>较大量的污染物进入环境，对周边的企业和居民造成严重的威胁</w:t>
            </w:r>
          </w:p>
        </w:tc>
        <w:tc>
          <w:tcPr>
            <w:tcW w:w="411" w:type="pct"/>
            <w:tcBorders>
              <w:tl2br w:val="nil"/>
              <w:tr2bl w:val="nil"/>
            </w:tcBorders>
            <w:noWrap/>
            <w:vAlign w:val="center"/>
          </w:tcPr>
          <w:p w14:paraId="3404FBDA">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无法控制</w:t>
            </w:r>
          </w:p>
        </w:tc>
        <w:tc>
          <w:tcPr>
            <w:tcW w:w="347" w:type="pct"/>
            <w:tcBorders>
              <w:tl2br w:val="nil"/>
              <w:tr2bl w:val="nil"/>
            </w:tcBorders>
            <w:noWrap/>
            <w:vAlign w:val="center"/>
          </w:tcPr>
          <w:p w14:paraId="07088854">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立即</w:t>
            </w:r>
          </w:p>
        </w:tc>
        <w:tc>
          <w:tcPr>
            <w:tcW w:w="1376" w:type="pct"/>
            <w:tcBorders>
              <w:tl2br w:val="nil"/>
              <w:tr2bl w:val="nil"/>
            </w:tcBorders>
            <w:noWrap/>
            <w:vAlign w:val="center"/>
          </w:tcPr>
          <w:p w14:paraId="1B12850C">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园区、周边和市相关应急力量到现场，与企业共同处置发布公共警报实行交通管制，划定危险区域组织区内企业和周边社区紧急避险</w:t>
            </w:r>
          </w:p>
        </w:tc>
        <w:tc>
          <w:tcPr>
            <w:tcW w:w="711" w:type="pct"/>
            <w:tcBorders>
              <w:tl2br w:val="nil"/>
              <w:tr2bl w:val="nil"/>
            </w:tcBorders>
            <w:noWrap/>
            <w:vAlign w:val="center"/>
          </w:tcPr>
          <w:p w14:paraId="5D052192">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现场指挥部和区应急处置领导小组和市应急处置总指挥部</w:t>
            </w:r>
          </w:p>
        </w:tc>
        <w:tc>
          <w:tcPr>
            <w:tcW w:w="511" w:type="pct"/>
            <w:tcBorders>
              <w:tl2br w:val="nil"/>
              <w:tr2bl w:val="nil"/>
            </w:tcBorders>
            <w:noWrap/>
            <w:vAlign w:val="center"/>
          </w:tcPr>
          <w:p w14:paraId="540B1C53">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处置结束后3h</w:t>
            </w:r>
          </w:p>
        </w:tc>
      </w:tr>
    </w:tbl>
    <w:p w14:paraId="287A83D7">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lang w:eastAsia="zh-CN"/>
        </w:rPr>
      </w:pPr>
      <w:bookmarkStart w:id="382" w:name="_Toc30603"/>
      <w:bookmarkStart w:id="383" w:name="_Toc17710"/>
      <w:r>
        <w:rPr>
          <w:rFonts w:hint="default" w:ascii="Times New Roman" w:hAnsi="Times New Roman" w:eastAsia="仿宋_GB2312" w:cs="Times New Roman"/>
          <w:color w:val="auto"/>
          <w:spacing w:val="0"/>
          <w:kern w:val="0"/>
          <w:position w:val="0"/>
          <w:sz w:val="24"/>
          <w:szCs w:val="24"/>
        </w:rPr>
        <w:t>综上所述，公司必须制定较完整的事故应急预案及事故应急联动计划，一旦出现较大事故时，企业装置内的报警仪会立即报警，自动连锁装置立即启动，仪表室工作人员马上启动相应控制措施，在短时间内将启动厂内事故应急处理预案，同时厂应急指挥小组立即到现场监护进行指挥。若发生较大和重大环境事故时，公司及时向园区和</w:t>
      </w:r>
      <w:r>
        <w:rPr>
          <w:rFonts w:hint="default" w:ascii="Times New Roman" w:hAnsi="Times New Roman" w:eastAsia="仿宋_GB2312" w:cs="Times New Roman"/>
          <w:color w:val="auto"/>
          <w:spacing w:val="0"/>
          <w:kern w:val="0"/>
          <w:position w:val="0"/>
          <w:sz w:val="24"/>
          <w:szCs w:val="24"/>
          <w:lang w:val="en-US" w:eastAsia="zh-CN"/>
        </w:rPr>
        <w:t>六合区</w:t>
      </w:r>
      <w:r>
        <w:rPr>
          <w:rFonts w:hint="default" w:ascii="Times New Roman" w:hAnsi="Times New Roman" w:eastAsia="仿宋_GB2312" w:cs="Times New Roman"/>
          <w:color w:val="auto"/>
          <w:spacing w:val="0"/>
          <w:kern w:val="0"/>
          <w:position w:val="0"/>
          <w:sz w:val="24"/>
          <w:szCs w:val="24"/>
        </w:rPr>
        <w:t>报告，启动上一级应急预案，实行分级响应和联动，将事故环境风险降到最低</w:t>
      </w:r>
      <w:r>
        <w:rPr>
          <w:rFonts w:hint="default" w:ascii="Times New Roman" w:hAnsi="Times New Roman" w:eastAsia="仿宋_GB2312" w:cs="Times New Roman"/>
          <w:color w:val="auto"/>
          <w:spacing w:val="0"/>
          <w:kern w:val="0"/>
          <w:position w:val="0"/>
          <w:sz w:val="24"/>
          <w:szCs w:val="24"/>
          <w:lang w:eastAsia="zh-CN"/>
        </w:rPr>
        <w:t>。</w:t>
      </w:r>
      <w:bookmarkEnd w:id="382"/>
      <w:bookmarkEnd w:id="383"/>
    </w:p>
    <w:bookmarkEnd w:id="241"/>
    <w:bookmarkEnd w:id="242"/>
    <w:bookmarkEnd w:id="243"/>
    <w:p w14:paraId="0E2C0604">
      <w:pPr>
        <w:pStyle w:val="4"/>
        <w:keepNext/>
        <w:keepLines w:val="0"/>
        <w:pageBreakBefore w:val="0"/>
        <w:widowControl w:val="0"/>
        <w:kinsoku/>
        <w:wordWrap/>
        <w:overflowPunct w:val="0"/>
        <w:topLinePunct w:val="0"/>
        <w:autoSpaceDE/>
        <w:autoSpaceDN/>
        <w:bidi w:val="0"/>
        <w:adjustRightInd/>
        <w:snapToGrid w:val="0"/>
        <w:spacing w:before="0" w:line="500" w:lineRule="exact"/>
        <w:ind w:left="0" w:right="0" w:firstLine="0" w:firstLineChars="0"/>
        <w:jc w:val="both"/>
        <w:textAlignment w:val="auto"/>
        <w:outlineLvl w:val="1"/>
        <w:rPr>
          <w:rFonts w:hint="default" w:ascii="Times New Roman" w:hAnsi="Times New Roman" w:eastAsia="仿宋_GB2312" w:cs="Times New Roman"/>
          <w:b/>
          <w:bCs/>
          <w:sz w:val="24"/>
          <w:szCs w:val="24"/>
          <w:lang w:val="en-US" w:eastAsia="zh-CN"/>
        </w:rPr>
      </w:pPr>
      <w:bookmarkStart w:id="384" w:name="_Toc32145"/>
      <w:bookmarkStart w:id="385" w:name="_Toc17287"/>
      <w:bookmarkStart w:id="386" w:name="_Toc30139"/>
      <w:bookmarkStart w:id="387" w:name="_Toc22470"/>
      <w:r>
        <w:rPr>
          <w:rFonts w:hint="default" w:ascii="Times New Roman" w:hAnsi="Times New Roman" w:eastAsia="仿宋_GB2312" w:cs="Times New Roman"/>
          <w:b/>
          <w:bCs/>
          <w:sz w:val="24"/>
          <w:szCs w:val="24"/>
          <w:lang w:val="en-US" w:eastAsia="zh-CN"/>
        </w:rPr>
        <w:t>5.7 预案的评审、备案、发布和更新</w:t>
      </w:r>
      <w:bookmarkEnd w:id="384"/>
      <w:bookmarkEnd w:id="385"/>
      <w:bookmarkEnd w:id="386"/>
      <w:bookmarkEnd w:id="387"/>
    </w:p>
    <w:p w14:paraId="095A47E7">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388" w:name="_Toc18382"/>
      <w:r>
        <w:rPr>
          <w:rFonts w:hint="default" w:ascii="Times New Roman" w:hAnsi="Times New Roman" w:eastAsia="仿宋_GB2312" w:cs="Times New Roman"/>
          <w:color w:val="auto"/>
          <w:spacing w:val="0"/>
          <w:kern w:val="0"/>
          <w:position w:val="0"/>
          <w:sz w:val="24"/>
          <w:szCs w:val="24"/>
        </w:rPr>
        <w:t>1、内部评审</w:t>
      </w:r>
      <w:bookmarkEnd w:id="388"/>
    </w:p>
    <w:p w14:paraId="1B560745">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389" w:name="_Toc17016"/>
      <w:r>
        <w:rPr>
          <w:rFonts w:hint="default" w:ascii="Times New Roman" w:hAnsi="Times New Roman" w:eastAsia="仿宋_GB2312" w:cs="Times New Roman"/>
          <w:color w:val="auto"/>
          <w:spacing w:val="0"/>
          <w:kern w:val="0"/>
          <w:position w:val="0"/>
          <w:sz w:val="24"/>
          <w:szCs w:val="24"/>
        </w:rPr>
        <w:t>本预案初稿完成后由公司组织人员开展内部评审工作，评审人员应包括环境应急预案涉及的相关部门应急管理人员、相关行业、相邻重点风险源单位代表、周边社区（乡、镇）代表以及应急管理和专业技术方面的专家。</w:t>
      </w:r>
      <w:bookmarkEnd w:id="389"/>
    </w:p>
    <w:p w14:paraId="776EE1C6">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390" w:name="_Toc15210"/>
      <w:r>
        <w:rPr>
          <w:rFonts w:hint="default" w:ascii="Times New Roman" w:hAnsi="Times New Roman" w:eastAsia="仿宋_GB2312" w:cs="Times New Roman"/>
          <w:color w:val="auto"/>
          <w:spacing w:val="0"/>
          <w:kern w:val="0"/>
          <w:position w:val="0"/>
          <w:sz w:val="24"/>
          <w:szCs w:val="24"/>
        </w:rPr>
        <w:t>2、外部评审</w:t>
      </w:r>
      <w:bookmarkEnd w:id="390"/>
    </w:p>
    <w:p w14:paraId="59CBABAA">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391" w:name="_Toc31288"/>
      <w:r>
        <w:rPr>
          <w:rFonts w:hint="default" w:ascii="Times New Roman" w:hAnsi="Times New Roman" w:eastAsia="仿宋_GB2312" w:cs="Times New Roman"/>
          <w:color w:val="auto"/>
          <w:spacing w:val="0"/>
          <w:kern w:val="0"/>
          <w:position w:val="0"/>
          <w:sz w:val="24"/>
          <w:szCs w:val="24"/>
        </w:rPr>
        <w:t>邀请环境应急专家、环保主管部门、公司附近社区领导、企业领导等召开预案评审会，收集对预案中具体内容的补充信息，根据评审会达成的意见及时修改预案内容。</w:t>
      </w:r>
      <w:bookmarkEnd w:id="391"/>
    </w:p>
    <w:p w14:paraId="1FDA76A1">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392" w:name="_Toc21392"/>
      <w:r>
        <w:rPr>
          <w:rFonts w:hint="default" w:ascii="Times New Roman" w:hAnsi="Times New Roman" w:eastAsia="仿宋_GB2312" w:cs="Times New Roman"/>
          <w:color w:val="auto"/>
          <w:spacing w:val="0"/>
          <w:kern w:val="0"/>
          <w:position w:val="0"/>
          <w:sz w:val="24"/>
          <w:szCs w:val="24"/>
        </w:rPr>
        <w:t>3、备案</w:t>
      </w:r>
      <w:bookmarkEnd w:id="392"/>
    </w:p>
    <w:p w14:paraId="270E0B4F">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393" w:name="_Toc3635"/>
      <w:r>
        <w:rPr>
          <w:rFonts w:hint="default" w:ascii="Times New Roman" w:hAnsi="Times New Roman" w:eastAsia="仿宋_GB2312" w:cs="Times New Roman"/>
          <w:color w:val="auto"/>
          <w:spacing w:val="0"/>
          <w:kern w:val="0"/>
          <w:position w:val="0"/>
          <w:sz w:val="24"/>
          <w:szCs w:val="24"/>
        </w:rPr>
        <w:t>预案经内部评审和外部评审后15个工作日内完成修改任务，按照要求将备案所需文件（如备案表、应急预案及编制说明、环境风险评估报告、环境应急资源调查报告、环境应急预案评审意见等）存档，并上报</w:t>
      </w:r>
      <w:r>
        <w:rPr>
          <w:rFonts w:hint="default" w:ascii="Times New Roman" w:hAnsi="Times New Roman" w:eastAsia="仿宋_GB2312" w:cs="Times New Roman"/>
          <w:color w:val="auto"/>
          <w:spacing w:val="0"/>
          <w:kern w:val="0"/>
          <w:position w:val="0"/>
          <w:sz w:val="24"/>
          <w:szCs w:val="24"/>
          <w:lang w:val="en-US" w:eastAsia="zh-CN"/>
        </w:rPr>
        <w:t>南京市六合</w:t>
      </w:r>
      <w:r>
        <w:rPr>
          <w:rFonts w:hint="default" w:ascii="Times New Roman" w:hAnsi="Times New Roman" w:eastAsia="仿宋_GB2312" w:cs="Times New Roman"/>
          <w:color w:val="auto"/>
          <w:spacing w:val="0"/>
          <w:kern w:val="0"/>
          <w:position w:val="0"/>
          <w:sz w:val="24"/>
          <w:szCs w:val="24"/>
        </w:rPr>
        <w:t>生态环境局等相关政府部门备案。</w:t>
      </w:r>
      <w:bookmarkEnd w:id="393"/>
    </w:p>
    <w:p w14:paraId="48FBBA43">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394" w:name="_Toc12916"/>
      <w:r>
        <w:rPr>
          <w:rFonts w:hint="default" w:ascii="Times New Roman" w:hAnsi="Times New Roman" w:eastAsia="仿宋_GB2312" w:cs="Times New Roman"/>
          <w:color w:val="auto"/>
          <w:spacing w:val="0"/>
          <w:kern w:val="0"/>
          <w:position w:val="0"/>
          <w:sz w:val="24"/>
          <w:szCs w:val="24"/>
        </w:rPr>
        <w:t>4、发布</w:t>
      </w:r>
      <w:bookmarkEnd w:id="394"/>
    </w:p>
    <w:p w14:paraId="290C49E3">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395" w:name="_Toc4257"/>
      <w:r>
        <w:rPr>
          <w:rFonts w:hint="default" w:ascii="Times New Roman" w:hAnsi="Times New Roman" w:eastAsia="仿宋_GB2312" w:cs="Times New Roman"/>
          <w:color w:val="auto"/>
          <w:spacing w:val="0"/>
          <w:kern w:val="0"/>
          <w:position w:val="0"/>
          <w:sz w:val="24"/>
          <w:szCs w:val="24"/>
        </w:rPr>
        <w:t>本预案经生态环境局备案后由总指挥签署发布，并及时抄送至</w:t>
      </w:r>
      <w:r>
        <w:rPr>
          <w:rFonts w:hint="default" w:ascii="Times New Roman" w:hAnsi="Times New Roman" w:eastAsia="仿宋_GB2312" w:cs="Times New Roman"/>
          <w:color w:val="auto"/>
          <w:spacing w:val="0"/>
          <w:kern w:val="0"/>
          <w:position w:val="0"/>
          <w:sz w:val="24"/>
          <w:szCs w:val="24"/>
          <w:lang w:val="en-US" w:eastAsia="zh-CN"/>
        </w:rPr>
        <w:t>六合</w:t>
      </w:r>
      <w:r>
        <w:rPr>
          <w:rFonts w:hint="default" w:ascii="Times New Roman" w:hAnsi="Times New Roman" w:eastAsia="仿宋_GB2312" w:cs="Times New Roman"/>
          <w:color w:val="auto"/>
          <w:spacing w:val="0"/>
          <w:kern w:val="0"/>
          <w:position w:val="0"/>
          <w:sz w:val="24"/>
          <w:szCs w:val="24"/>
        </w:rPr>
        <w:t>区其他有关部门。</w:t>
      </w:r>
      <w:bookmarkEnd w:id="395"/>
    </w:p>
    <w:p w14:paraId="6C33D290">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396" w:name="_Toc32511"/>
      <w:r>
        <w:rPr>
          <w:rFonts w:hint="default" w:ascii="Times New Roman" w:hAnsi="Times New Roman" w:eastAsia="仿宋_GB2312" w:cs="Times New Roman"/>
          <w:color w:val="auto"/>
          <w:spacing w:val="0"/>
          <w:kern w:val="0"/>
          <w:position w:val="0"/>
          <w:sz w:val="24"/>
          <w:szCs w:val="24"/>
        </w:rPr>
        <w:t>5、更新</w:t>
      </w:r>
      <w:bookmarkEnd w:id="396"/>
    </w:p>
    <w:p w14:paraId="22365F74">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397" w:name="_Toc7208"/>
      <w:r>
        <w:rPr>
          <w:rFonts w:hint="default" w:ascii="Times New Roman" w:hAnsi="Times New Roman" w:eastAsia="仿宋_GB2312" w:cs="Times New Roman"/>
          <w:color w:val="auto"/>
          <w:spacing w:val="0"/>
          <w:kern w:val="0"/>
          <w:position w:val="0"/>
          <w:sz w:val="24"/>
          <w:szCs w:val="24"/>
        </w:rPr>
        <w:t>按照《企业事业单位突发环境事件应急预案备案管理办法（试行）》相关要求，企业结合环境应急预案实施情况，至少每三年对环境应急预案进行一次回顾性评估，有下列情形之一的，预案应当及时进行修订：</w:t>
      </w:r>
      <w:bookmarkEnd w:id="397"/>
    </w:p>
    <w:p w14:paraId="7D43E6E2">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398" w:name="_Toc17168"/>
      <w:r>
        <w:rPr>
          <w:rFonts w:hint="default" w:ascii="Times New Roman" w:hAnsi="Times New Roman" w:eastAsia="仿宋_GB2312" w:cs="Times New Roman"/>
          <w:color w:val="auto"/>
          <w:spacing w:val="0"/>
          <w:kern w:val="0"/>
          <w:position w:val="0"/>
          <w:sz w:val="24"/>
          <w:szCs w:val="24"/>
        </w:rPr>
        <w:t>（1）由于公司组织机构改革引起的变化，需对应急组织、管理作出相应的调整或修订；</w:t>
      </w:r>
      <w:bookmarkEnd w:id="398"/>
    </w:p>
    <w:p w14:paraId="42725BC0">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399" w:name="_Toc28060"/>
      <w:r>
        <w:rPr>
          <w:rFonts w:hint="default" w:ascii="Times New Roman" w:hAnsi="Times New Roman" w:eastAsia="仿宋_GB2312" w:cs="Times New Roman"/>
          <w:color w:val="auto"/>
          <w:spacing w:val="0"/>
          <w:kern w:val="0"/>
          <w:position w:val="0"/>
          <w:sz w:val="24"/>
          <w:szCs w:val="24"/>
        </w:rPr>
        <w:t>（2）公司生产工艺和技术、危险源发生变化，应急设备的更新、报废等情况出现，随时需要对相关内容进行修订；</w:t>
      </w:r>
      <w:bookmarkEnd w:id="399"/>
    </w:p>
    <w:p w14:paraId="7A7D14E5">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400" w:name="_Toc220"/>
      <w:r>
        <w:rPr>
          <w:rFonts w:hint="default" w:ascii="Times New Roman" w:hAnsi="Times New Roman" w:eastAsia="仿宋_GB2312" w:cs="Times New Roman"/>
          <w:color w:val="auto"/>
          <w:spacing w:val="0"/>
          <w:kern w:val="0"/>
          <w:position w:val="0"/>
          <w:sz w:val="24"/>
          <w:szCs w:val="24"/>
        </w:rPr>
        <w:t>（3）根据原辅材料、中间体、工艺流程等的变更进行修订；</w:t>
      </w:r>
      <w:bookmarkEnd w:id="400"/>
    </w:p>
    <w:p w14:paraId="2C74CB32">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（4）周围环境或环境敏感点发生变化；</w:t>
      </w:r>
    </w:p>
    <w:p w14:paraId="0914F666">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401" w:name="_Toc24614"/>
      <w:r>
        <w:rPr>
          <w:rFonts w:hint="default" w:ascii="Times New Roman" w:hAnsi="Times New Roman" w:eastAsia="仿宋_GB2312" w:cs="Times New Roman"/>
          <w:color w:val="auto"/>
          <w:spacing w:val="0"/>
          <w:kern w:val="0"/>
          <w:position w:val="0"/>
          <w:sz w:val="24"/>
          <w:szCs w:val="24"/>
        </w:rPr>
        <w:t>（5）根据日常演习和实际应急反应取得的经验需对应急反应计划、技术、对策等内容进行修订；</w:t>
      </w:r>
      <w:bookmarkEnd w:id="401"/>
    </w:p>
    <w:p w14:paraId="77247628">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402" w:name="_Toc3907"/>
      <w:r>
        <w:rPr>
          <w:rFonts w:hint="default" w:ascii="Times New Roman" w:hAnsi="Times New Roman" w:eastAsia="仿宋_GB2312" w:cs="Times New Roman"/>
          <w:color w:val="auto"/>
          <w:spacing w:val="0"/>
          <w:kern w:val="0"/>
          <w:position w:val="0"/>
          <w:sz w:val="24"/>
          <w:szCs w:val="24"/>
        </w:rPr>
        <w:t>（6）本预案依据的法律、法规、规章等发生变化的；</w:t>
      </w:r>
      <w:bookmarkEnd w:id="402"/>
    </w:p>
    <w:p w14:paraId="35581594">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lang w:eastAsia="zh-CN"/>
        </w:rPr>
      </w:pPr>
      <w:bookmarkStart w:id="403" w:name="_Toc6763"/>
      <w:r>
        <w:rPr>
          <w:rFonts w:hint="default" w:ascii="Times New Roman" w:hAnsi="Times New Roman" w:eastAsia="仿宋_GB2312" w:cs="Times New Roman"/>
          <w:color w:val="auto"/>
          <w:spacing w:val="0"/>
          <w:kern w:val="0"/>
          <w:position w:val="0"/>
          <w:sz w:val="24"/>
          <w:szCs w:val="24"/>
        </w:rPr>
        <w:t>（7）其他应进行修订的情况</w:t>
      </w:r>
      <w:r>
        <w:rPr>
          <w:rFonts w:hint="default" w:ascii="Times New Roman" w:hAnsi="Times New Roman" w:eastAsia="仿宋_GB2312" w:cs="Times New Roman"/>
          <w:color w:val="auto"/>
          <w:spacing w:val="0"/>
          <w:kern w:val="0"/>
          <w:position w:val="0"/>
          <w:sz w:val="24"/>
          <w:szCs w:val="24"/>
          <w:lang w:eastAsia="zh-CN"/>
        </w:rPr>
        <w:t>。</w:t>
      </w:r>
      <w:bookmarkEnd w:id="403"/>
    </w:p>
    <w:p w14:paraId="15A4D489">
      <w:pPr>
        <w:pStyle w:val="4"/>
        <w:keepNext/>
        <w:keepLines w:val="0"/>
        <w:pageBreakBefore w:val="0"/>
        <w:widowControl w:val="0"/>
        <w:kinsoku/>
        <w:wordWrap/>
        <w:overflowPunct w:val="0"/>
        <w:topLinePunct w:val="0"/>
        <w:autoSpaceDE/>
        <w:autoSpaceDN/>
        <w:bidi w:val="0"/>
        <w:adjustRightInd/>
        <w:snapToGrid w:val="0"/>
        <w:spacing w:before="0" w:line="500" w:lineRule="exact"/>
        <w:ind w:left="0" w:right="0" w:firstLine="0" w:firstLineChars="0"/>
        <w:jc w:val="both"/>
        <w:textAlignment w:val="auto"/>
        <w:outlineLvl w:val="1"/>
        <w:rPr>
          <w:rFonts w:hint="default" w:ascii="Times New Roman" w:hAnsi="Times New Roman" w:eastAsia="仿宋_GB2312" w:cs="Times New Roman"/>
          <w:b/>
          <w:bCs/>
          <w:sz w:val="24"/>
          <w:szCs w:val="24"/>
          <w:lang w:val="en-US" w:eastAsia="zh-CN"/>
        </w:rPr>
      </w:pPr>
      <w:bookmarkStart w:id="404" w:name="_Toc27816"/>
      <w:bookmarkStart w:id="405" w:name="_Toc30828"/>
      <w:bookmarkStart w:id="406" w:name="_Toc2668"/>
      <w:bookmarkStart w:id="407" w:name="_Toc29085"/>
      <w:r>
        <w:rPr>
          <w:rFonts w:hint="default" w:ascii="Times New Roman" w:hAnsi="Times New Roman" w:eastAsia="仿宋_GB2312" w:cs="Times New Roman"/>
          <w:b/>
          <w:bCs/>
          <w:sz w:val="24"/>
          <w:szCs w:val="24"/>
          <w:lang w:val="en-US" w:eastAsia="zh-CN"/>
        </w:rPr>
        <w:t>5.8 应急物资</w:t>
      </w:r>
      <w:bookmarkEnd w:id="404"/>
      <w:bookmarkEnd w:id="405"/>
      <w:bookmarkEnd w:id="406"/>
      <w:bookmarkEnd w:id="407"/>
    </w:p>
    <w:p w14:paraId="07DE61AB">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408" w:name="_Toc17714"/>
      <w:r>
        <w:rPr>
          <w:rFonts w:hint="default" w:ascii="Times New Roman" w:hAnsi="Times New Roman" w:eastAsia="仿宋_GB2312" w:cs="Times New Roman"/>
          <w:color w:val="auto"/>
          <w:spacing w:val="0"/>
          <w:kern w:val="0"/>
          <w:position w:val="0"/>
          <w:sz w:val="24"/>
          <w:szCs w:val="24"/>
        </w:rPr>
        <w:t>（1）建立应急物资装备信息库，并按照《应急预案》相关要求，在应急领导小组的统一部署下，做好应急物资、技术装备储备；</w:t>
      </w:r>
    </w:p>
    <w:p w14:paraId="4EA078F6">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2）应加强对储备物资、技术装备的管理，按期检查，以使应急物资质量可靠，库存充足，技术装备定期保养、性能良好。防止储备物资、技术装备被盗用、挪用、流散、失效、损坏，一旦出现上述情况，要及时予以补充、更新和维护；</w:t>
      </w:r>
    </w:p>
    <w:p w14:paraId="01DA8843">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（3）发生突发事件时，应在应急指挥部的统一指挥下，按责任分工和突发事件性质、规模和危害程度，及时采购调拔应急物资和技术装备；</w:t>
      </w:r>
    </w:p>
    <w:p w14:paraId="6C6D7048">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（4）应急物资应建立台帐，并实行动态管理，使用后应尽快补充；</w:t>
      </w:r>
    </w:p>
    <w:p w14:paraId="6DD45204">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lang w:eastAsia="zh-CN"/>
        </w:rPr>
      </w:pPr>
      <w:r>
        <w:rPr>
          <w:rFonts w:hint="default" w:ascii="Times New Roman" w:hAnsi="Times New Roman" w:eastAsia="仿宋_GB2312" w:cs="Times New Roman"/>
          <w:color w:val="auto"/>
          <w:spacing w:val="0"/>
          <w:kern w:val="0"/>
          <w:position w:val="0"/>
          <w:sz w:val="24"/>
          <w:szCs w:val="24"/>
        </w:rPr>
        <w:t>（5）在应急储备物资不足的紧急情况下，可实行“先征用、后结算”的办法。应急物资使用后，由应急管理工作领导小组负责落实结算资金</w:t>
      </w:r>
      <w:r>
        <w:rPr>
          <w:rFonts w:hint="default" w:ascii="Times New Roman" w:hAnsi="Times New Roman" w:eastAsia="仿宋_GB2312" w:cs="Times New Roman"/>
          <w:color w:val="auto"/>
          <w:spacing w:val="0"/>
          <w:kern w:val="0"/>
          <w:position w:val="0"/>
          <w:sz w:val="24"/>
          <w:szCs w:val="24"/>
          <w:lang w:eastAsia="zh-CN"/>
        </w:rPr>
        <w:t>。</w:t>
      </w:r>
    </w:p>
    <w:p w14:paraId="0BB5D33E">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企业应急物资配置情况具体见表</w:t>
      </w:r>
      <w:r>
        <w:rPr>
          <w:rFonts w:hint="default" w:ascii="Times New Roman" w:hAnsi="Times New Roman" w:eastAsia="仿宋_GB2312" w:cs="Times New Roman"/>
          <w:color w:val="auto"/>
          <w:spacing w:val="0"/>
          <w:kern w:val="0"/>
          <w:position w:val="0"/>
          <w:sz w:val="24"/>
          <w:szCs w:val="24"/>
          <w:lang w:val="en-US" w:eastAsia="zh-CN"/>
        </w:rPr>
        <w:t>5.8-1</w:t>
      </w:r>
      <w:r>
        <w:rPr>
          <w:rFonts w:hint="default" w:ascii="Times New Roman" w:hAnsi="Times New Roman" w:eastAsia="仿宋_GB2312" w:cs="Times New Roman"/>
          <w:color w:val="auto"/>
          <w:spacing w:val="0"/>
          <w:kern w:val="0"/>
          <w:position w:val="0"/>
          <w:sz w:val="24"/>
          <w:szCs w:val="24"/>
        </w:rPr>
        <w:t>。</w:t>
      </w:r>
      <w:bookmarkEnd w:id="408"/>
    </w:p>
    <w:p w14:paraId="5688479C">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
          <w:bCs/>
          <w:color w:val="auto"/>
          <w:spacing w:val="0"/>
          <w:kern w:val="0"/>
          <w:position w:val="0"/>
          <w:sz w:val="24"/>
          <w:szCs w:val="24"/>
          <w:lang w:val="en-US" w:eastAsia="zh-CN"/>
        </w:rPr>
      </w:pPr>
      <w:r>
        <w:rPr>
          <w:rFonts w:hint="default" w:ascii="Times New Roman" w:hAnsi="Times New Roman" w:eastAsia="仿宋_GB2312" w:cs="Times New Roman"/>
          <w:b/>
          <w:bCs/>
          <w:color w:val="auto"/>
          <w:spacing w:val="0"/>
          <w:kern w:val="0"/>
          <w:position w:val="0"/>
          <w:sz w:val="24"/>
          <w:szCs w:val="24"/>
        </w:rPr>
        <w:t>表</w:t>
      </w:r>
      <w:r>
        <w:rPr>
          <w:rFonts w:hint="default" w:ascii="Times New Roman" w:hAnsi="Times New Roman" w:eastAsia="仿宋_GB2312" w:cs="Times New Roman"/>
          <w:b/>
          <w:bCs/>
          <w:color w:val="auto"/>
          <w:spacing w:val="0"/>
          <w:kern w:val="0"/>
          <w:position w:val="0"/>
          <w:sz w:val="24"/>
          <w:szCs w:val="24"/>
          <w:lang w:val="en-US" w:eastAsia="zh-CN"/>
        </w:rPr>
        <w:t>5.8-1</w:t>
      </w:r>
      <w:r>
        <w:rPr>
          <w:rFonts w:hint="default" w:ascii="Times New Roman" w:hAnsi="Times New Roman" w:eastAsia="仿宋_GB2312" w:cs="Times New Roman"/>
          <w:b/>
          <w:bCs/>
          <w:color w:val="auto"/>
          <w:spacing w:val="0"/>
          <w:kern w:val="0"/>
          <w:position w:val="0"/>
          <w:sz w:val="24"/>
          <w:szCs w:val="24"/>
        </w:rPr>
        <w:t xml:space="preserve">  </w:t>
      </w:r>
      <w:r>
        <w:rPr>
          <w:rFonts w:hint="default" w:ascii="Times New Roman" w:hAnsi="Times New Roman" w:eastAsia="仿宋_GB2312" w:cs="Times New Roman"/>
          <w:b/>
          <w:bCs/>
          <w:color w:val="auto"/>
          <w:spacing w:val="0"/>
          <w:kern w:val="0"/>
          <w:position w:val="0"/>
          <w:sz w:val="24"/>
          <w:szCs w:val="24"/>
          <w:lang w:val="en-US" w:eastAsia="zh-CN"/>
        </w:rPr>
        <w:t>公司配置的主要应急设施设备及器材物资</w:t>
      </w:r>
    </w:p>
    <w:tbl>
      <w:tblPr>
        <w:tblStyle w:val="31"/>
        <w:tblW w:w="8942"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2235"/>
        <w:gridCol w:w="2427"/>
        <w:gridCol w:w="2045"/>
        <w:gridCol w:w="2235"/>
      </w:tblGrid>
      <w:tr w14:paraId="7857B7A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235" w:type="dxa"/>
            <w:tcBorders>
              <w:tl2br w:val="nil"/>
              <w:tr2bl w:val="nil"/>
            </w:tcBorders>
            <w:noWrap/>
            <w:vAlign w:val="center"/>
          </w:tcPr>
          <w:p w14:paraId="1ECA635D">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
                <w:bCs/>
                <w:color w:val="auto"/>
                <w:spacing w:val="0"/>
                <w:kern w:val="0"/>
                <w:position w:val="0"/>
                <w:lang w:val="en-US" w:eastAsia="zh-CN"/>
              </w:rPr>
            </w:pPr>
            <w:r>
              <w:rPr>
                <w:rFonts w:hint="default" w:ascii="Times New Roman" w:hAnsi="Times New Roman" w:eastAsia="仿宋_GB2312" w:cs="Times New Roman"/>
                <w:b/>
                <w:bCs/>
                <w:color w:val="auto"/>
                <w:spacing w:val="0"/>
                <w:kern w:val="0"/>
                <w:position w:val="0"/>
                <w:lang w:val="en-US" w:eastAsia="zh-CN"/>
              </w:rPr>
              <w:t>序号</w:t>
            </w:r>
          </w:p>
        </w:tc>
        <w:tc>
          <w:tcPr>
            <w:tcW w:w="2427" w:type="dxa"/>
            <w:tcBorders>
              <w:tl2br w:val="nil"/>
              <w:tr2bl w:val="nil"/>
            </w:tcBorders>
            <w:noWrap/>
            <w:vAlign w:val="center"/>
          </w:tcPr>
          <w:p w14:paraId="3251FD05">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
                <w:bCs/>
                <w:color w:val="auto"/>
                <w:spacing w:val="0"/>
                <w:kern w:val="0"/>
                <w:position w:val="0"/>
                <w:lang w:val="en-US" w:eastAsia="zh-CN"/>
              </w:rPr>
            </w:pPr>
            <w:r>
              <w:rPr>
                <w:rFonts w:hint="default" w:ascii="Times New Roman" w:hAnsi="Times New Roman" w:eastAsia="仿宋_GB2312" w:cs="Times New Roman"/>
                <w:b/>
                <w:bCs/>
                <w:color w:val="auto"/>
                <w:spacing w:val="0"/>
                <w:kern w:val="0"/>
                <w:position w:val="0"/>
                <w:lang w:val="en-US" w:eastAsia="zh-CN"/>
              </w:rPr>
              <w:t>器材名称</w:t>
            </w:r>
          </w:p>
        </w:tc>
        <w:tc>
          <w:tcPr>
            <w:tcW w:w="2045" w:type="dxa"/>
            <w:tcBorders>
              <w:tl2br w:val="nil"/>
              <w:tr2bl w:val="nil"/>
            </w:tcBorders>
            <w:noWrap/>
            <w:vAlign w:val="center"/>
          </w:tcPr>
          <w:p w14:paraId="1B71CA6F">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
                <w:bCs/>
                <w:color w:val="auto"/>
                <w:spacing w:val="0"/>
                <w:kern w:val="0"/>
                <w:position w:val="0"/>
                <w:lang w:val="en-US" w:eastAsia="zh-CN"/>
              </w:rPr>
            </w:pPr>
            <w:r>
              <w:rPr>
                <w:rFonts w:hint="default" w:ascii="Times New Roman" w:hAnsi="Times New Roman" w:eastAsia="仿宋_GB2312" w:cs="Times New Roman"/>
                <w:b/>
                <w:bCs/>
                <w:color w:val="auto"/>
                <w:spacing w:val="0"/>
                <w:kern w:val="0"/>
                <w:position w:val="0"/>
                <w:lang w:val="en-US" w:eastAsia="zh-CN"/>
              </w:rPr>
              <w:t>数量</w:t>
            </w:r>
          </w:p>
        </w:tc>
        <w:tc>
          <w:tcPr>
            <w:tcW w:w="2235" w:type="dxa"/>
            <w:tcBorders>
              <w:tl2br w:val="nil"/>
              <w:tr2bl w:val="nil"/>
            </w:tcBorders>
            <w:noWrap/>
            <w:vAlign w:val="center"/>
          </w:tcPr>
          <w:p w14:paraId="059AE7E1">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b/>
                <w:bCs/>
                <w:color w:val="auto"/>
                <w:spacing w:val="0"/>
                <w:kern w:val="0"/>
                <w:position w:val="0"/>
                <w:lang w:val="en-US" w:eastAsia="zh-CN"/>
              </w:rPr>
            </w:pPr>
            <w:r>
              <w:rPr>
                <w:rFonts w:hint="default" w:ascii="Times New Roman" w:hAnsi="Times New Roman" w:eastAsia="仿宋_GB2312" w:cs="Times New Roman"/>
                <w:b/>
                <w:bCs/>
                <w:color w:val="auto"/>
                <w:spacing w:val="0"/>
                <w:kern w:val="0"/>
                <w:position w:val="0"/>
                <w:lang w:val="en-US" w:eastAsia="zh-CN"/>
              </w:rPr>
              <w:t>位置</w:t>
            </w:r>
          </w:p>
        </w:tc>
      </w:tr>
      <w:tr w14:paraId="5BEB0B9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235" w:type="dxa"/>
            <w:tcBorders>
              <w:tl2br w:val="nil"/>
              <w:tr2bl w:val="nil"/>
            </w:tcBorders>
            <w:noWrap/>
            <w:vAlign w:val="center"/>
          </w:tcPr>
          <w:p w14:paraId="35F171BF">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eastAsia" w:ascii="Times New Roman" w:hAnsi="Times New Roman" w:eastAsia="仿宋_GB2312" w:cs="Times New Roman"/>
                <w:color w:val="auto"/>
                <w:spacing w:val="0"/>
                <w:kern w:val="0"/>
                <w:position w:val="0"/>
                <w:lang w:val="en-US" w:eastAsia="zh-CN"/>
              </w:rPr>
              <w:t>1</w:t>
            </w:r>
          </w:p>
        </w:tc>
        <w:tc>
          <w:tcPr>
            <w:tcW w:w="2427" w:type="dxa"/>
            <w:tcBorders>
              <w:tl2br w:val="nil"/>
              <w:tr2bl w:val="nil"/>
            </w:tcBorders>
            <w:noWrap/>
            <w:vAlign w:val="center"/>
          </w:tcPr>
          <w:p w14:paraId="13DAE1B9">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eastAsia" w:ascii="Times New Roman" w:hAnsi="Times New Roman" w:eastAsia="仿宋_GB2312" w:cs="Times New Roman"/>
                <w:color w:val="auto"/>
                <w:spacing w:val="0"/>
                <w:kern w:val="0"/>
                <w:position w:val="0"/>
                <w:lang w:val="en-US" w:eastAsia="zh-CN"/>
              </w:rPr>
              <w:t>防护手套</w:t>
            </w:r>
          </w:p>
        </w:tc>
        <w:tc>
          <w:tcPr>
            <w:tcW w:w="2045" w:type="dxa"/>
            <w:tcBorders>
              <w:tl2br w:val="nil"/>
              <w:tr2bl w:val="nil"/>
            </w:tcBorders>
            <w:noWrap/>
            <w:vAlign w:val="center"/>
          </w:tcPr>
          <w:p w14:paraId="58E4BFDA">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2</w:t>
            </w:r>
            <w:r>
              <w:rPr>
                <w:rFonts w:hint="eastAsia" w:ascii="Times New Roman" w:hAnsi="Times New Roman" w:eastAsia="仿宋_GB2312" w:cs="Times New Roman"/>
                <w:color w:val="auto"/>
                <w:spacing w:val="0"/>
                <w:kern w:val="0"/>
                <w:position w:val="0"/>
                <w:lang w:val="en-US" w:eastAsia="zh-CN"/>
              </w:rPr>
              <w:t>只</w:t>
            </w:r>
          </w:p>
        </w:tc>
        <w:tc>
          <w:tcPr>
            <w:tcW w:w="2235" w:type="dxa"/>
            <w:tcBorders>
              <w:tl2br w:val="nil"/>
              <w:tr2bl w:val="nil"/>
            </w:tcBorders>
            <w:noWrap/>
            <w:vAlign w:val="center"/>
          </w:tcPr>
          <w:p w14:paraId="01685D4E">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应急</w:t>
            </w:r>
            <w:r>
              <w:rPr>
                <w:rFonts w:hint="eastAsia" w:ascii="Times New Roman" w:hAnsi="Times New Roman" w:eastAsia="仿宋_GB2312" w:cs="Times New Roman"/>
                <w:color w:val="auto"/>
                <w:spacing w:val="0"/>
                <w:kern w:val="0"/>
                <w:position w:val="0"/>
                <w:lang w:val="en-US" w:eastAsia="zh-CN"/>
              </w:rPr>
              <w:t>柜</w:t>
            </w:r>
          </w:p>
        </w:tc>
      </w:tr>
      <w:tr w14:paraId="4FD4C61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235" w:type="dxa"/>
            <w:tcBorders>
              <w:tl2br w:val="nil"/>
              <w:tr2bl w:val="nil"/>
            </w:tcBorders>
            <w:noWrap/>
            <w:vAlign w:val="center"/>
          </w:tcPr>
          <w:p w14:paraId="09CD4535">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eastAsia" w:ascii="Times New Roman" w:hAnsi="Times New Roman" w:eastAsia="仿宋_GB2312" w:cs="Times New Roman"/>
                <w:color w:val="auto"/>
                <w:spacing w:val="0"/>
                <w:kern w:val="0"/>
                <w:position w:val="0"/>
                <w:lang w:val="en-US" w:eastAsia="zh-CN"/>
              </w:rPr>
              <w:t>2</w:t>
            </w:r>
          </w:p>
        </w:tc>
        <w:tc>
          <w:tcPr>
            <w:tcW w:w="2427" w:type="dxa"/>
            <w:tcBorders>
              <w:tl2br w:val="nil"/>
              <w:tr2bl w:val="nil"/>
            </w:tcBorders>
            <w:noWrap/>
            <w:vAlign w:val="center"/>
          </w:tcPr>
          <w:p w14:paraId="057DDB14">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eastAsia" w:ascii="Times New Roman" w:hAnsi="Times New Roman" w:eastAsia="仿宋_GB2312" w:cs="Times New Roman"/>
                <w:color w:val="auto"/>
                <w:spacing w:val="0"/>
                <w:kern w:val="0"/>
                <w:position w:val="0"/>
                <w:lang w:val="en-US" w:eastAsia="zh-CN"/>
              </w:rPr>
              <w:t>安全帽</w:t>
            </w:r>
          </w:p>
        </w:tc>
        <w:tc>
          <w:tcPr>
            <w:tcW w:w="2045" w:type="dxa"/>
            <w:tcBorders>
              <w:tl2br w:val="nil"/>
              <w:tr2bl w:val="nil"/>
            </w:tcBorders>
            <w:noWrap/>
            <w:vAlign w:val="center"/>
          </w:tcPr>
          <w:p w14:paraId="62CAE58B">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eastAsia" w:ascii="Times New Roman" w:hAnsi="Times New Roman" w:eastAsia="仿宋_GB2312" w:cs="Times New Roman"/>
                <w:color w:val="auto"/>
                <w:spacing w:val="0"/>
                <w:kern w:val="0"/>
                <w:position w:val="0"/>
                <w:lang w:val="en-US" w:eastAsia="zh-CN"/>
              </w:rPr>
              <w:t>80顶</w:t>
            </w:r>
          </w:p>
        </w:tc>
        <w:tc>
          <w:tcPr>
            <w:tcW w:w="2235" w:type="dxa"/>
            <w:tcBorders>
              <w:tl2br w:val="nil"/>
              <w:tr2bl w:val="nil"/>
            </w:tcBorders>
            <w:noWrap/>
            <w:vAlign w:val="center"/>
          </w:tcPr>
          <w:p w14:paraId="5B702257">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eastAsia" w:ascii="Times New Roman" w:hAnsi="Times New Roman" w:eastAsia="仿宋_GB2312" w:cs="Times New Roman"/>
                <w:color w:val="auto"/>
                <w:spacing w:val="0"/>
                <w:kern w:val="0"/>
                <w:position w:val="0"/>
                <w:lang w:val="en-US" w:eastAsia="zh-CN"/>
              </w:rPr>
              <w:t>每人配备</w:t>
            </w:r>
          </w:p>
        </w:tc>
      </w:tr>
      <w:tr w14:paraId="4E6137E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235" w:type="dxa"/>
            <w:tcBorders>
              <w:tl2br w:val="nil"/>
              <w:tr2bl w:val="nil"/>
            </w:tcBorders>
            <w:noWrap/>
            <w:vAlign w:val="center"/>
          </w:tcPr>
          <w:p w14:paraId="1A61456F">
            <w:pPr>
              <w:pageBreakBefore w:val="0"/>
              <w:numPr>
                <w:ilvl w:val="0"/>
                <w:numId w:val="0"/>
              </w:numPr>
              <w:kinsoku/>
              <w:wordWrap/>
              <w:bidi w:val="0"/>
              <w:adjustRightInd w:val="0"/>
              <w:snapToGrid w:val="0"/>
              <w:spacing w:beforeAutospacing="0" w:afterAutospacing="0"/>
              <w:ind w:left="425" w:leftChars="0" w:right="0" w:rightChars="0" w:hanging="425" w:firstLineChars="0"/>
              <w:jc w:val="center"/>
              <w:rPr>
                <w:rFonts w:hint="default" w:ascii="Times New Roman" w:hAnsi="Times New Roman" w:eastAsia="仿宋_GB2312" w:cs="Times New Roman"/>
                <w:color w:val="auto"/>
                <w:spacing w:val="0"/>
                <w:kern w:val="0"/>
                <w:position w:val="0"/>
                <w:lang w:val="en-US" w:eastAsia="zh-CN"/>
              </w:rPr>
            </w:pPr>
            <w:r>
              <w:rPr>
                <w:rFonts w:hint="eastAsia" w:ascii="Times New Roman" w:hAnsi="Times New Roman" w:eastAsia="仿宋_GB2312" w:cs="Times New Roman"/>
                <w:color w:val="auto"/>
                <w:spacing w:val="0"/>
                <w:kern w:val="0"/>
                <w:position w:val="0"/>
                <w:lang w:val="en-US" w:eastAsia="zh-CN"/>
              </w:rPr>
              <w:t>3</w:t>
            </w:r>
          </w:p>
        </w:tc>
        <w:tc>
          <w:tcPr>
            <w:tcW w:w="2427" w:type="dxa"/>
            <w:tcBorders>
              <w:tl2br w:val="nil"/>
              <w:tr2bl w:val="nil"/>
            </w:tcBorders>
            <w:noWrap/>
            <w:vAlign w:val="center"/>
          </w:tcPr>
          <w:p w14:paraId="5F6F33F5">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eastAsia" w:ascii="Times New Roman" w:hAnsi="Times New Roman" w:eastAsia="仿宋_GB2312" w:cs="Times New Roman"/>
                <w:color w:val="auto"/>
                <w:spacing w:val="0"/>
                <w:kern w:val="0"/>
                <w:position w:val="0"/>
                <w:lang w:val="en-US" w:eastAsia="zh-CN"/>
              </w:rPr>
              <w:t>耳塞</w:t>
            </w:r>
          </w:p>
        </w:tc>
        <w:tc>
          <w:tcPr>
            <w:tcW w:w="2045" w:type="dxa"/>
            <w:tcBorders>
              <w:tl2br w:val="nil"/>
              <w:tr2bl w:val="nil"/>
            </w:tcBorders>
            <w:noWrap/>
            <w:vAlign w:val="center"/>
          </w:tcPr>
          <w:p w14:paraId="7F26D5A2">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eastAsia" w:ascii="Times New Roman" w:hAnsi="Times New Roman" w:eastAsia="仿宋_GB2312" w:cs="Times New Roman"/>
                <w:color w:val="auto"/>
                <w:spacing w:val="0"/>
                <w:kern w:val="0"/>
                <w:position w:val="0"/>
                <w:lang w:val="en-US" w:eastAsia="zh-CN"/>
              </w:rPr>
              <w:t>80只</w:t>
            </w:r>
          </w:p>
        </w:tc>
        <w:tc>
          <w:tcPr>
            <w:tcW w:w="2235" w:type="dxa"/>
            <w:tcBorders>
              <w:tl2br w:val="nil"/>
              <w:tr2bl w:val="nil"/>
            </w:tcBorders>
            <w:noWrap/>
            <w:vAlign w:val="center"/>
          </w:tcPr>
          <w:p w14:paraId="7B1AD3AA">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eastAsia" w:ascii="Times New Roman" w:hAnsi="Times New Roman" w:eastAsia="仿宋_GB2312" w:cs="Times New Roman"/>
                <w:color w:val="auto"/>
                <w:spacing w:val="0"/>
                <w:kern w:val="0"/>
                <w:position w:val="0"/>
                <w:lang w:val="en-US" w:eastAsia="zh-CN"/>
              </w:rPr>
              <w:t>每人配备</w:t>
            </w:r>
          </w:p>
        </w:tc>
      </w:tr>
      <w:tr w14:paraId="2467D5F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235" w:type="dxa"/>
            <w:tcBorders>
              <w:tl2br w:val="nil"/>
              <w:tr2bl w:val="nil"/>
            </w:tcBorders>
            <w:noWrap/>
            <w:vAlign w:val="center"/>
          </w:tcPr>
          <w:p w14:paraId="2CA4937F">
            <w:pPr>
              <w:pageBreakBefore w:val="0"/>
              <w:numPr>
                <w:ilvl w:val="0"/>
                <w:numId w:val="0"/>
              </w:numPr>
              <w:kinsoku/>
              <w:wordWrap/>
              <w:bidi w:val="0"/>
              <w:adjustRightInd w:val="0"/>
              <w:snapToGrid w:val="0"/>
              <w:spacing w:beforeAutospacing="0" w:afterAutospacing="0"/>
              <w:ind w:left="425" w:leftChars="0" w:right="0" w:rightChars="0" w:hanging="425" w:firstLineChars="0"/>
              <w:jc w:val="center"/>
              <w:rPr>
                <w:rFonts w:hint="default" w:ascii="Times New Roman" w:hAnsi="Times New Roman" w:eastAsia="仿宋_GB2312" w:cs="Times New Roman"/>
                <w:color w:val="auto"/>
                <w:spacing w:val="0"/>
                <w:kern w:val="0"/>
                <w:position w:val="0"/>
                <w:lang w:val="en-US" w:eastAsia="zh-CN"/>
              </w:rPr>
            </w:pPr>
            <w:r>
              <w:rPr>
                <w:rFonts w:hint="eastAsia" w:ascii="Times New Roman" w:hAnsi="Times New Roman" w:eastAsia="仿宋_GB2312" w:cs="Times New Roman"/>
                <w:color w:val="auto"/>
                <w:spacing w:val="0"/>
                <w:kern w:val="0"/>
                <w:position w:val="0"/>
                <w:lang w:val="en-US" w:eastAsia="zh-CN"/>
              </w:rPr>
              <w:t>4</w:t>
            </w:r>
          </w:p>
        </w:tc>
        <w:tc>
          <w:tcPr>
            <w:tcW w:w="2427" w:type="dxa"/>
            <w:tcBorders>
              <w:tl2br w:val="nil"/>
              <w:tr2bl w:val="nil"/>
            </w:tcBorders>
            <w:noWrap/>
            <w:vAlign w:val="center"/>
          </w:tcPr>
          <w:p w14:paraId="4663CBAB">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eastAsia" w:ascii="Times New Roman" w:hAnsi="Times New Roman" w:eastAsia="仿宋_GB2312" w:cs="Times New Roman"/>
                <w:color w:val="auto"/>
                <w:spacing w:val="0"/>
                <w:kern w:val="0"/>
                <w:position w:val="0"/>
                <w:lang w:val="en-US" w:eastAsia="zh-CN"/>
              </w:rPr>
              <w:t>应急药箱</w:t>
            </w:r>
          </w:p>
        </w:tc>
        <w:tc>
          <w:tcPr>
            <w:tcW w:w="2045" w:type="dxa"/>
            <w:tcBorders>
              <w:tl2br w:val="nil"/>
              <w:tr2bl w:val="nil"/>
            </w:tcBorders>
            <w:noWrap/>
            <w:vAlign w:val="center"/>
          </w:tcPr>
          <w:p w14:paraId="21D40E90">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eastAsia" w:ascii="Times New Roman" w:hAnsi="Times New Roman" w:eastAsia="仿宋_GB2312" w:cs="Times New Roman"/>
                <w:color w:val="auto"/>
                <w:spacing w:val="0"/>
                <w:kern w:val="0"/>
                <w:position w:val="0"/>
                <w:lang w:val="en-US" w:eastAsia="zh-CN"/>
              </w:rPr>
              <w:t>2个</w:t>
            </w:r>
          </w:p>
        </w:tc>
        <w:tc>
          <w:tcPr>
            <w:tcW w:w="2235" w:type="dxa"/>
            <w:tcBorders>
              <w:tl2br w:val="nil"/>
              <w:tr2bl w:val="nil"/>
            </w:tcBorders>
            <w:noWrap/>
            <w:vAlign w:val="center"/>
          </w:tcPr>
          <w:p w14:paraId="0F534717">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eastAsia" w:ascii="Times New Roman" w:hAnsi="Times New Roman" w:eastAsia="仿宋_GB2312" w:cs="Times New Roman"/>
                <w:color w:val="auto"/>
                <w:spacing w:val="0"/>
                <w:kern w:val="0"/>
                <w:position w:val="0"/>
                <w:lang w:val="en-US" w:eastAsia="zh-CN"/>
              </w:rPr>
              <w:t>值班室</w:t>
            </w:r>
          </w:p>
        </w:tc>
      </w:tr>
      <w:tr w14:paraId="40B9D38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235" w:type="dxa"/>
            <w:tcBorders>
              <w:tl2br w:val="nil"/>
              <w:tr2bl w:val="nil"/>
            </w:tcBorders>
            <w:noWrap/>
            <w:vAlign w:val="center"/>
          </w:tcPr>
          <w:p w14:paraId="3DA585BF">
            <w:pPr>
              <w:pageBreakBefore w:val="0"/>
              <w:numPr>
                <w:ilvl w:val="0"/>
                <w:numId w:val="0"/>
              </w:numPr>
              <w:kinsoku/>
              <w:wordWrap/>
              <w:bidi w:val="0"/>
              <w:adjustRightInd w:val="0"/>
              <w:snapToGrid w:val="0"/>
              <w:spacing w:beforeAutospacing="0" w:afterAutospacing="0"/>
              <w:ind w:left="425" w:leftChars="0" w:right="0" w:rightChars="0" w:hanging="425" w:firstLineChars="0"/>
              <w:jc w:val="center"/>
              <w:rPr>
                <w:rFonts w:hint="default" w:ascii="Times New Roman" w:hAnsi="Times New Roman" w:eastAsia="仿宋_GB2312" w:cs="Times New Roman"/>
                <w:color w:val="auto"/>
                <w:spacing w:val="0"/>
                <w:kern w:val="0"/>
                <w:position w:val="0"/>
                <w:lang w:val="en-US" w:eastAsia="zh-CN"/>
              </w:rPr>
            </w:pPr>
            <w:r>
              <w:rPr>
                <w:rFonts w:hint="eastAsia" w:ascii="Times New Roman" w:hAnsi="Times New Roman" w:eastAsia="仿宋_GB2312" w:cs="Times New Roman"/>
                <w:color w:val="auto"/>
                <w:spacing w:val="0"/>
                <w:kern w:val="0"/>
                <w:position w:val="0"/>
                <w:lang w:val="en-US" w:eastAsia="zh-CN"/>
              </w:rPr>
              <w:t>5</w:t>
            </w:r>
          </w:p>
        </w:tc>
        <w:tc>
          <w:tcPr>
            <w:tcW w:w="2427" w:type="dxa"/>
            <w:tcBorders>
              <w:tl2br w:val="nil"/>
              <w:tr2bl w:val="nil"/>
            </w:tcBorders>
            <w:noWrap/>
            <w:vAlign w:val="center"/>
          </w:tcPr>
          <w:p w14:paraId="646931EA">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eastAsia" w:ascii="Times New Roman" w:hAnsi="Times New Roman" w:eastAsia="仿宋_GB2312" w:cs="Times New Roman"/>
                <w:color w:val="auto"/>
                <w:spacing w:val="0"/>
                <w:kern w:val="0"/>
                <w:position w:val="0"/>
                <w:lang w:val="en-US" w:eastAsia="zh-CN"/>
              </w:rPr>
              <w:t>应急照明灯</w:t>
            </w:r>
          </w:p>
        </w:tc>
        <w:tc>
          <w:tcPr>
            <w:tcW w:w="2045" w:type="dxa"/>
            <w:tcBorders>
              <w:tl2br w:val="nil"/>
              <w:tr2bl w:val="nil"/>
            </w:tcBorders>
            <w:noWrap/>
            <w:vAlign w:val="center"/>
          </w:tcPr>
          <w:p w14:paraId="17D15FA4">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eastAsia" w:ascii="Times New Roman" w:hAnsi="Times New Roman" w:eastAsia="仿宋_GB2312" w:cs="Times New Roman"/>
                <w:color w:val="auto"/>
                <w:spacing w:val="0"/>
                <w:kern w:val="0"/>
                <w:position w:val="0"/>
                <w:lang w:val="en-US" w:eastAsia="zh-CN"/>
              </w:rPr>
              <w:t>20个</w:t>
            </w:r>
          </w:p>
        </w:tc>
        <w:tc>
          <w:tcPr>
            <w:tcW w:w="2235" w:type="dxa"/>
            <w:tcBorders>
              <w:tl2br w:val="nil"/>
              <w:tr2bl w:val="nil"/>
            </w:tcBorders>
            <w:noWrap/>
            <w:vAlign w:val="center"/>
          </w:tcPr>
          <w:p w14:paraId="3183E634">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eastAsia" w:ascii="Times New Roman" w:hAnsi="Times New Roman" w:eastAsia="仿宋_GB2312" w:cs="Times New Roman"/>
                <w:color w:val="auto"/>
                <w:spacing w:val="0"/>
                <w:kern w:val="0"/>
                <w:position w:val="0"/>
                <w:lang w:val="en-US" w:eastAsia="zh-CN"/>
              </w:rPr>
              <w:t>各生产车间</w:t>
            </w:r>
          </w:p>
        </w:tc>
      </w:tr>
      <w:tr w14:paraId="7590178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235" w:type="dxa"/>
            <w:tcBorders>
              <w:tl2br w:val="nil"/>
              <w:tr2bl w:val="nil"/>
            </w:tcBorders>
            <w:noWrap/>
            <w:vAlign w:val="center"/>
          </w:tcPr>
          <w:p w14:paraId="003EAC80">
            <w:pPr>
              <w:pageBreakBefore w:val="0"/>
              <w:numPr>
                <w:ilvl w:val="0"/>
                <w:numId w:val="0"/>
              </w:numPr>
              <w:kinsoku/>
              <w:wordWrap/>
              <w:bidi w:val="0"/>
              <w:adjustRightInd w:val="0"/>
              <w:snapToGrid w:val="0"/>
              <w:spacing w:beforeAutospacing="0" w:afterAutospacing="0"/>
              <w:ind w:left="425" w:leftChars="0" w:right="0" w:rightChars="0" w:hanging="425" w:firstLineChars="0"/>
              <w:jc w:val="center"/>
              <w:rPr>
                <w:rFonts w:hint="default" w:ascii="Times New Roman" w:hAnsi="Times New Roman" w:eastAsia="仿宋_GB2312" w:cs="Times New Roman"/>
                <w:color w:val="auto"/>
                <w:spacing w:val="0"/>
                <w:kern w:val="0"/>
                <w:position w:val="0"/>
                <w:lang w:val="en-US" w:eastAsia="zh-CN"/>
              </w:rPr>
            </w:pPr>
            <w:r>
              <w:rPr>
                <w:rFonts w:hint="eastAsia" w:ascii="Times New Roman" w:hAnsi="Times New Roman" w:eastAsia="仿宋_GB2312" w:cs="Times New Roman"/>
                <w:color w:val="auto"/>
                <w:spacing w:val="0"/>
                <w:kern w:val="0"/>
                <w:position w:val="0"/>
                <w:lang w:val="en-US" w:eastAsia="zh-CN"/>
              </w:rPr>
              <w:t>6</w:t>
            </w:r>
          </w:p>
        </w:tc>
        <w:tc>
          <w:tcPr>
            <w:tcW w:w="2427" w:type="dxa"/>
            <w:tcBorders>
              <w:tl2br w:val="nil"/>
              <w:tr2bl w:val="nil"/>
            </w:tcBorders>
            <w:noWrap/>
            <w:vAlign w:val="center"/>
          </w:tcPr>
          <w:p w14:paraId="07E237D8">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eastAsia" w:ascii="Times New Roman" w:hAnsi="Times New Roman" w:eastAsia="仿宋_GB2312" w:cs="Times New Roman"/>
                <w:color w:val="auto"/>
                <w:spacing w:val="0"/>
                <w:kern w:val="0"/>
                <w:position w:val="0"/>
                <w:lang w:val="en-US" w:eastAsia="zh-CN"/>
              </w:rPr>
              <w:t>应急车辆</w:t>
            </w:r>
          </w:p>
        </w:tc>
        <w:tc>
          <w:tcPr>
            <w:tcW w:w="2045" w:type="dxa"/>
            <w:tcBorders>
              <w:tl2br w:val="nil"/>
              <w:tr2bl w:val="nil"/>
            </w:tcBorders>
            <w:noWrap/>
            <w:vAlign w:val="center"/>
          </w:tcPr>
          <w:p w14:paraId="2D07C24A">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1</w:t>
            </w:r>
            <w:r>
              <w:rPr>
                <w:rFonts w:hint="eastAsia" w:ascii="Times New Roman" w:hAnsi="Times New Roman" w:eastAsia="仿宋_GB2312" w:cs="Times New Roman"/>
                <w:color w:val="auto"/>
                <w:spacing w:val="0"/>
                <w:kern w:val="0"/>
                <w:position w:val="0"/>
                <w:lang w:val="en-US" w:eastAsia="zh-CN"/>
              </w:rPr>
              <w:t>辆</w:t>
            </w:r>
          </w:p>
        </w:tc>
        <w:tc>
          <w:tcPr>
            <w:tcW w:w="2235" w:type="dxa"/>
            <w:tcBorders>
              <w:tl2br w:val="nil"/>
              <w:tr2bl w:val="nil"/>
            </w:tcBorders>
            <w:noWrap/>
            <w:vAlign w:val="center"/>
          </w:tcPr>
          <w:p w14:paraId="322DCDF8">
            <w:pPr>
              <w:pageBreakBefore w:val="0"/>
              <w:kinsoku/>
              <w:wordWrap/>
              <w:bidi w:val="0"/>
              <w:adjustRightInd w:val="0"/>
              <w:snapToGrid w:val="0"/>
              <w:spacing w:beforeAutospacing="0" w:afterAutospacing="0"/>
              <w:ind w:left="0" w:leftChars="0" w:right="0"/>
              <w:jc w:val="center"/>
              <w:rPr>
                <w:rFonts w:hint="default" w:ascii="Times New Roman" w:hAnsi="Times New Roman" w:eastAsia="仿宋_GB2312" w:cs="Times New Roman"/>
                <w:color w:val="auto"/>
                <w:spacing w:val="0"/>
                <w:kern w:val="0"/>
                <w:position w:val="0"/>
                <w:lang w:val="en-US" w:eastAsia="zh-CN"/>
              </w:rPr>
            </w:pPr>
            <w:r>
              <w:rPr>
                <w:rFonts w:hint="eastAsia" w:ascii="Times New Roman" w:hAnsi="Times New Roman" w:eastAsia="仿宋_GB2312" w:cs="Times New Roman"/>
                <w:color w:val="auto"/>
                <w:spacing w:val="0"/>
                <w:kern w:val="0"/>
                <w:position w:val="0"/>
                <w:lang w:val="en-US" w:eastAsia="zh-CN"/>
              </w:rPr>
              <w:t>厂区</w:t>
            </w:r>
          </w:p>
        </w:tc>
      </w:tr>
      <w:tr w14:paraId="5C6CA74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235" w:type="dxa"/>
            <w:tcBorders>
              <w:tl2br w:val="nil"/>
              <w:tr2bl w:val="nil"/>
            </w:tcBorders>
            <w:noWrap/>
            <w:vAlign w:val="center"/>
          </w:tcPr>
          <w:p w14:paraId="348EC3EF">
            <w:pPr>
              <w:pageBreakBefore w:val="0"/>
              <w:numPr>
                <w:ilvl w:val="0"/>
                <w:numId w:val="0"/>
              </w:numPr>
              <w:kinsoku/>
              <w:wordWrap/>
              <w:bidi w:val="0"/>
              <w:adjustRightInd w:val="0"/>
              <w:snapToGrid w:val="0"/>
              <w:spacing w:beforeAutospacing="0" w:afterAutospacing="0"/>
              <w:ind w:left="425" w:leftChars="0" w:right="0" w:rightChars="0" w:hanging="425" w:firstLineChars="0"/>
              <w:jc w:val="center"/>
              <w:rPr>
                <w:rFonts w:hint="default" w:ascii="Times New Roman" w:hAnsi="Times New Roman" w:eastAsia="仿宋_GB2312" w:cs="Times New Roman"/>
                <w:color w:val="auto"/>
                <w:spacing w:val="0"/>
                <w:kern w:val="0"/>
                <w:position w:val="0"/>
                <w:lang w:val="en-US" w:eastAsia="zh-CN"/>
              </w:rPr>
            </w:pPr>
            <w:r>
              <w:rPr>
                <w:rFonts w:hint="eastAsia" w:ascii="Times New Roman" w:hAnsi="Times New Roman" w:eastAsia="仿宋_GB2312" w:cs="Times New Roman"/>
                <w:color w:val="auto"/>
                <w:spacing w:val="0"/>
                <w:kern w:val="0"/>
                <w:position w:val="0"/>
                <w:lang w:val="en-US" w:eastAsia="zh-CN"/>
              </w:rPr>
              <w:t>7</w:t>
            </w:r>
          </w:p>
        </w:tc>
        <w:tc>
          <w:tcPr>
            <w:tcW w:w="2427" w:type="dxa"/>
            <w:tcBorders>
              <w:tl2br w:val="nil"/>
              <w:tr2bl w:val="nil"/>
            </w:tcBorders>
            <w:shd w:val="clear" w:color="auto" w:fill="auto"/>
            <w:noWrap/>
            <w:vAlign w:val="center"/>
          </w:tcPr>
          <w:p w14:paraId="1A7D33E8">
            <w:pPr>
              <w:pageBreakBefore w:val="0"/>
              <w:kinsoku/>
              <w:wordWrap/>
              <w:bidi w:val="0"/>
              <w:adjustRightInd w:val="0"/>
              <w:snapToGrid w:val="0"/>
              <w:spacing w:beforeAutospacing="0" w:afterAutospacing="0"/>
              <w:ind w:left="0" w:leftChars="0" w:right="0" w:rightChars="0"/>
              <w:jc w:val="center"/>
              <w:rPr>
                <w:rFonts w:hint="default" w:ascii="Times New Roman" w:hAnsi="Times New Roman" w:eastAsia="仿宋_GB2312" w:cs="Times New Roman"/>
                <w:color w:val="auto"/>
                <w:spacing w:val="0"/>
                <w:kern w:val="0"/>
                <w:position w:val="0"/>
                <w:sz w:val="21"/>
                <w:szCs w:val="21"/>
                <w:lang w:val="en-US" w:eastAsia="zh-CN" w:bidi="ar-SA"/>
              </w:rPr>
            </w:pPr>
            <w:r>
              <w:rPr>
                <w:rFonts w:hint="default" w:ascii="Times New Roman" w:hAnsi="Times New Roman" w:eastAsia="仿宋_GB2312" w:cs="Times New Roman"/>
                <w:color w:val="auto"/>
                <w:spacing w:val="0"/>
                <w:kern w:val="0"/>
                <w:position w:val="0"/>
                <w:lang w:val="en-US" w:eastAsia="zh-CN"/>
              </w:rPr>
              <w:t>对讲机</w:t>
            </w:r>
          </w:p>
        </w:tc>
        <w:tc>
          <w:tcPr>
            <w:tcW w:w="2045" w:type="dxa"/>
            <w:tcBorders>
              <w:tl2br w:val="nil"/>
              <w:tr2bl w:val="nil"/>
            </w:tcBorders>
            <w:shd w:val="clear" w:color="auto" w:fill="auto"/>
            <w:noWrap/>
            <w:vAlign w:val="center"/>
          </w:tcPr>
          <w:p w14:paraId="7BCF9BA4">
            <w:pPr>
              <w:pageBreakBefore w:val="0"/>
              <w:kinsoku/>
              <w:wordWrap/>
              <w:bidi w:val="0"/>
              <w:adjustRightInd w:val="0"/>
              <w:snapToGrid w:val="0"/>
              <w:spacing w:beforeAutospacing="0" w:afterAutospacing="0"/>
              <w:ind w:left="0" w:leftChars="0" w:right="0" w:rightChars="0"/>
              <w:jc w:val="center"/>
              <w:rPr>
                <w:rFonts w:hint="default" w:ascii="Times New Roman" w:hAnsi="Times New Roman" w:eastAsia="仿宋_GB2312" w:cs="Times New Roman"/>
                <w:color w:val="auto"/>
                <w:spacing w:val="0"/>
                <w:kern w:val="0"/>
                <w:position w:val="0"/>
                <w:sz w:val="21"/>
                <w:szCs w:val="21"/>
                <w:lang w:val="en-US" w:eastAsia="zh-CN" w:bidi="ar-SA"/>
              </w:rPr>
            </w:pPr>
            <w:r>
              <w:rPr>
                <w:rFonts w:hint="default" w:ascii="Times New Roman" w:hAnsi="Times New Roman" w:eastAsia="仿宋_GB2312" w:cs="Times New Roman"/>
                <w:color w:val="auto"/>
                <w:spacing w:val="0"/>
                <w:kern w:val="0"/>
                <w:position w:val="0"/>
                <w:lang w:val="en-US" w:eastAsia="zh-CN"/>
              </w:rPr>
              <w:t>10个</w:t>
            </w:r>
          </w:p>
        </w:tc>
        <w:tc>
          <w:tcPr>
            <w:tcW w:w="2235" w:type="dxa"/>
            <w:tcBorders>
              <w:tl2br w:val="nil"/>
              <w:tr2bl w:val="nil"/>
            </w:tcBorders>
            <w:shd w:val="clear" w:color="auto" w:fill="auto"/>
            <w:noWrap/>
            <w:vAlign w:val="center"/>
          </w:tcPr>
          <w:p w14:paraId="2CD15AB3">
            <w:pPr>
              <w:pageBreakBefore w:val="0"/>
              <w:kinsoku/>
              <w:wordWrap/>
              <w:bidi w:val="0"/>
              <w:adjustRightInd w:val="0"/>
              <w:snapToGrid w:val="0"/>
              <w:spacing w:beforeAutospacing="0" w:afterAutospacing="0"/>
              <w:ind w:left="0" w:leftChars="0" w:right="0" w:rightChars="0"/>
              <w:jc w:val="center"/>
              <w:rPr>
                <w:rFonts w:hint="default" w:ascii="Times New Roman" w:hAnsi="Times New Roman" w:eastAsia="仿宋_GB2312" w:cs="Times New Roman"/>
                <w:color w:val="auto"/>
                <w:spacing w:val="0"/>
                <w:kern w:val="0"/>
                <w:position w:val="0"/>
                <w:sz w:val="21"/>
                <w:szCs w:val="21"/>
                <w:lang w:val="en-US" w:eastAsia="zh-CN" w:bidi="ar-SA"/>
              </w:rPr>
            </w:pPr>
            <w:r>
              <w:rPr>
                <w:rFonts w:hint="eastAsia" w:ascii="Times New Roman" w:hAnsi="Times New Roman" w:eastAsia="仿宋_GB2312" w:cs="Times New Roman"/>
                <w:color w:val="auto"/>
                <w:spacing w:val="0"/>
                <w:kern w:val="0"/>
                <w:position w:val="0"/>
                <w:lang w:val="en-US" w:eastAsia="zh-CN"/>
              </w:rPr>
              <w:t>值班室</w:t>
            </w:r>
          </w:p>
        </w:tc>
      </w:tr>
      <w:tr w14:paraId="1DFDC79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235" w:type="dxa"/>
            <w:tcBorders>
              <w:tl2br w:val="nil"/>
              <w:tr2bl w:val="nil"/>
            </w:tcBorders>
            <w:noWrap/>
            <w:vAlign w:val="center"/>
          </w:tcPr>
          <w:p w14:paraId="3F0E4007">
            <w:pPr>
              <w:pageBreakBefore w:val="0"/>
              <w:numPr>
                <w:ilvl w:val="0"/>
                <w:numId w:val="0"/>
              </w:numPr>
              <w:kinsoku/>
              <w:wordWrap/>
              <w:bidi w:val="0"/>
              <w:adjustRightInd w:val="0"/>
              <w:snapToGrid w:val="0"/>
              <w:spacing w:beforeAutospacing="0" w:afterAutospacing="0"/>
              <w:ind w:left="425" w:leftChars="0" w:right="0" w:rightChars="0" w:hanging="425" w:firstLineChars="0"/>
              <w:jc w:val="center"/>
              <w:rPr>
                <w:rFonts w:hint="default" w:ascii="Times New Roman" w:hAnsi="Times New Roman" w:eastAsia="仿宋_GB2312" w:cs="Times New Roman"/>
                <w:color w:val="auto"/>
                <w:spacing w:val="0"/>
                <w:kern w:val="0"/>
                <w:position w:val="0"/>
                <w:lang w:val="en-US" w:eastAsia="zh-CN"/>
              </w:rPr>
            </w:pPr>
            <w:r>
              <w:rPr>
                <w:rFonts w:hint="eastAsia" w:ascii="Times New Roman" w:hAnsi="Times New Roman" w:eastAsia="仿宋_GB2312" w:cs="Times New Roman"/>
                <w:color w:val="auto"/>
                <w:spacing w:val="0"/>
                <w:kern w:val="0"/>
                <w:position w:val="0"/>
                <w:lang w:val="en-US" w:eastAsia="zh-CN"/>
              </w:rPr>
              <w:t>8</w:t>
            </w:r>
          </w:p>
        </w:tc>
        <w:tc>
          <w:tcPr>
            <w:tcW w:w="2427" w:type="dxa"/>
            <w:tcBorders>
              <w:tl2br w:val="nil"/>
              <w:tr2bl w:val="nil"/>
            </w:tcBorders>
            <w:shd w:val="clear" w:color="auto" w:fill="auto"/>
            <w:noWrap/>
            <w:vAlign w:val="center"/>
          </w:tcPr>
          <w:p w14:paraId="4ED7114E">
            <w:pPr>
              <w:pageBreakBefore w:val="0"/>
              <w:kinsoku/>
              <w:wordWrap/>
              <w:bidi w:val="0"/>
              <w:adjustRightInd w:val="0"/>
              <w:snapToGrid w:val="0"/>
              <w:spacing w:beforeAutospacing="0" w:afterAutospacing="0"/>
              <w:ind w:left="0" w:leftChars="0" w:right="0" w:rightChars="0"/>
              <w:jc w:val="center"/>
              <w:rPr>
                <w:rFonts w:hint="default" w:ascii="Times New Roman" w:hAnsi="Times New Roman" w:eastAsia="仿宋_GB2312" w:cs="Times New Roman"/>
                <w:color w:val="auto"/>
                <w:spacing w:val="0"/>
                <w:kern w:val="0"/>
                <w:position w:val="0"/>
                <w:sz w:val="21"/>
                <w:szCs w:val="21"/>
                <w:lang w:val="en-US" w:eastAsia="zh-CN" w:bidi="ar-SA"/>
              </w:rPr>
            </w:pPr>
            <w:r>
              <w:rPr>
                <w:rFonts w:hint="default" w:ascii="Times New Roman" w:hAnsi="Times New Roman" w:eastAsia="仿宋_GB2312" w:cs="Times New Roman"/>
                <w:color w:val="auto"/>
                <w:spacing w:val="0"/>
                <w:kern w:val="0"/>
                <w:position w:val="0"/>
                <w:lang w:val="en-US" w:eastAsia="zh-CN"/>
              </w:rPr>
              <w:t>手电筒</w:t>
            </w:r>
          </w:p>
        </w:tc>
        <w:tc>
          <w:tcPr>
            <w:tcW w:w="2045" w:type="dxa"/>
            <w:tcBorders>
              <w:tl2br w:val="nil"/>
              <w:tr2bl w:val="nil"/>
            </w:tcBorders>
            <w:shd w:val="clear" w:color="auto" w:fill="auto"/>
            <w:noWrap/>
            <w:vAlign w:val="center"/>
          </w:tcPr>
          <w:p w14:paraId="016DB93A">
            <w:pPr>
              <w:pageBreakBefore w:val="0"/>
              <w:kinsoku/>
              <w:wordWrap/>
              <w:bidi w:val="0"/>
              <w:adjustRightInd w:val="0"/>
              <w:snapToGrid w:val="0"/>
              <w:spacing w:beforeAutospacing="0" w:afterAutospacing="0"/>
              <w:ind w:left="0" w:leftChars="0" w:right="0" w:rightChars="0"/>
              <w:jc w:val="center"/>
              <w:rPr>
                <w:rFonts w:hint="default" w:ascii="Times New Roman" w:hAnsi="Times New Roman" w:eastAsia="仿宋_GB2312" w:cs="Times New Roman"/>
                <w:color w:val="auto"/>
                <w:spacing w:val="0"/>
                <w:kern w:val="0"/>
                <w:position w:val="0"/>
                <w:sz w:val="21"/>
                <w:szCs w:val="21"/>
                <w:lang w:val="en-US" w:eastAsia="zh-CN" w:bidi="ar-SA"/>
              </w:rPr>
            </w:pPr>
            <w:r>
              <w:rPr>
                <w:rFonts w:hint="default" w:ascii="Times New Roman" w:hAnsi="Times New Roman" w:eastAsia="仿宋_GB2312" w:cs="Times New Roman"/>
                <w:color w:val="auto"/>
                <w:spacing w:val="0"/>
                <w:kern w:val="0"/>
                <w:position w:val="0"/>
                <w:lang w:val="en-US" w:eastAsia="zh-CN"/>
              </w:rPr>
              <w:t>6个</w:t>
            </w:r>
          </w:p>
        </w:tc>
        <w:tc>
          <w:tcPr>
            <w:tcW w:w="2235" w:type="dxa"/>
            <w:tcBorders>
              <w:tl2br w:val="nil"/>
              <w:tr2bl w:val="nil"/>
            </w:tcBorders>
            <w:shd w:val="clear" w:color="auto" w:fill="auto"/>
            <w:noWrap/>
            <w:vAlign w:val="center"/>
          </w:tcPr>
          <w:p w14:paraId="3F922875">
            <w:pPr>
              <w:pageBreakBefore w:val="0"/>
              <w:kinsoku/>
              <w:wordWrap/>
              <w:bidi w:val="0"/>
              <w:adjustRightInd w:val="0"/>
              <w:snapToGrid w:val="0"/>
              <w:spacing w:beforeAutospacing="0" w:afterAutospacing="0"/>
              <w:ind w:left="0" w:leftChars="0" w:right="0" w:rightChars="0"/>
              <w:jc w:val="center"/>
              <w:rPr>
                <w:rFonts w:hint="default" w:ascii="Times New Roman" w:hAnsi="Times New Roman" w:eastAsia="仿宋_GB2312" w:cs="Times New Roman"/>
                <w:color w:val="auto"/>
                <w:spacing w:val="0"/>
                <w:kern w:val="0"/>
                <w:position w:val="0"/>
                <w:sz w:val="21"/>
                <w:szCs w:val="21"/>
                <w:lang w:val="en-US" w:eastAsia="zh-CN" w:bidi="ar-SA"/>
              </w:rPr>
            </w:pPr>
            <w:r>
              <w:rPr>
                <w:rFonts w:hint="default" w:ascii="Times New Roman" w:hAnsi="Times New Roman" w:eastAsia="仿宋_GB2312" w:cs="Times New Roman"/>
                <w:color w:val="auto"/>
                <w:spacing w:val="0"/>
                <w:kern w:val="0"/>
                <w:position w:val="0"/>
                <w:lang w:val="en-US" w:eastAsia="zh-CN"/>
              </w:rPr>
              <w:t>应急仓库</w:t>
            </w:r>
          </w:p>
        </w:tc>
      </w:tr>
      <w:tr w14:paraId="0196922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235" w:type="dxa"/>
            <w:tcBorders>
              <w:tl2br w:val="nil"/>
              <w:tr2bl w:val="nil"/>
            </w:tcBorders>
            <w:noWrap/>
            <w:vAlign w:val="center"/>
          </w:tcPr>
          <w:p w14:paraId="6F1CD274">
            <w:pPr>
              <w:pageBreakBefore w:val="0"/>
              <w:numPr>
                <w:ilvl w:val="0"/>
                <w:numId w:val="0"/>
              </w:numPr>
              <w:kinsoku/>
              <w:wordWrap/>
              <w:bidi w:val="0"/>
              <w:adjustRightInd w:val="0"/>
              <w:snapToGrid w:val="0"/>
              <w:spacing w:beforeAutospacing="0" w:afterAutospacing="0"/>
              <w:ind w:left="425" w:leftChars="0" w:right="0" w:rightChars="0" w:hanging="425" w:firstLineChars="0"/>
              <w:jc w:val="center"/>
              <w:rPr>
                <w:rFonts w:hint="default" w:ascii="Times New Roman" w:hAnsi="Times New Roman" w:eastAsia="仿宋_GB2312" w:cs="Times New Roman"/>
                <w:color w:val="auto"/>
                <w:spacing w:val="0"/>
                <w:kern w:val="0"/>
                <w:position w:val="0"/>
                <w:lang w:val="en-US" w:eastAsia="zh-CN"/>
              </w:rPr>
            </w:pPr>
            <w:r>
              <w:rPr>
                <w:rFonts w:hint="eastAsia" w:ascii="Times New Roman" w:hAnsi="Times New Roman" w:eastAsia="仿宋_GB2312" w:cs="Times New Roman"/>
                <w:color w:val="auto"/>
                <w:spacing w:val="0"/>
                <w:kern w:val="0"/>
                <w:position w:val="0"/>
                <w:lang w:val="en-US" w:eastAsia="zh-CN"/>
              </w:rPr>
              <w:t>9</w:t>
            </w:r>
          </w:p>
        </w:tc>
        <w:tc>
          <w:tcPr>
            <w:tcW w:w="2427" w:type="dxa"/>
            <w:tcBorders>
              <w:tl2br w:val="nil"/>
              <w:tr2bl w:val="nil"/>
            </w:tcBorders>
            <w:shd w:val="clear" w:color="auto" w:fill="auto"/>
            <w:noWrap/>
            <w:vAlign w:val="center"/>
          </w:tcPr>
          <w:p w14:paraId="6DA0BEB0">
            <w:pPr>
              <w:pageBreakBefore w:val="0"/>
              <w:kinsoku/>
              <w:wordWrap/>
              <w:bidi w:val="0"/>
              <w:adjustRightInd w:val="0"/>
              <w:snapToGrid w:val="0"/>
              <w:spacing w:beforeAutospacing="0" w:afterAutospacing="0"/>
              <w:ind w:left="0" w:leftChars="0" w:right="0" w:rightChars="0"/>
              <w:jc w:val="center"/>
              <w:rPr>
                <w:rFonts w:hint="default" w:ascii="Times New Roman" w:hAnsi="Times New Roman" w:eastAsia="仿宋_GB2312" w:cs="Times New Roman"/>
                <w:color w:val="auto"/>
                <w:spacing w:val="0"/>
                <w:kern w:val="0"/>
                <w:position w:val="0"/>
                <w:sz w:val="21"/>
                <w:szCs w:val="21"/>
                <w:lang w:val="en-US" w:eastAsia="zh-CN" w:bidi="ar-SA"/>
              </w:rPr>
            </w:pPr>
            <w:r>
              <w:rPr>
                <w:rFonts w:hint="default" w:ascii="Times New Roman" w:hAnsi="Times New Roman" w:eastAsia="仿宋_GB2312" w:cs="Times New Roman"/>
                <w:color w:val="auto"/>
                <w:spacing w:val="0"/>
                <w:kern w:val="0"/>
                <w:position w:val="0"/>
                <w:lang w:val="en-US" w:eastAsia="zh-CN"/>
              </w:rPr>
              <w:t>砂土</w:t>
            </w:r>
          </w:p>
        </w:tc>
        <w:tc>
          <w:tcPr>
            <w:tcW w:w="2045" w:type="dxa"/>
            <w:tcBorders>
              <w:tl2br w:val="nil"/>
              <w:tr2bl w:val="nil"/>
            </w:tcBorders>
            <w:shd w:val="clear" w:color="auto" w:fill="auto"/>
            <w:noWrap/>
            <w:vAlign w:val="center"/>
          </w:tcPr>
          <w:p w14:paraId="00C27C4F">
            <w:pPr>
              <w:pageBreakBefore w:val="0"/>
              <w:kinsoku/>
              <w:wordWrap/>
              <w:bidi w:val="0"/>
              <w:adjustRightInd w:val="0"/>
              <w:snapToGrid w:val="0"/>
              <w:spacing w:beforeAutospacing="0" w:afterAutospacing="0"/>
              <w:ind w:left="0" w:leftChars="0" w:right="0" w:rightChars="0"/>
              <w:jc w:val="center"/>
              <w:rPr>
                <w:rFonts w:hint="default" w:ascii="Times New Roman" w:hAnsi="Times New Roman" w:eastAsia="仿宋_GB2312" w:cs="Times New Roman"/>
                <w:color w:val="auto"/>
                <w:spacing w:val="0"/>
                <w:kern w:val="0"/>
                <w:position w:val="0"/>
                <w:sz w:val="21"/>
                <w:szCs w:val="21"/>
                <w:lang w:val="en-US" w:eastAsia="zh-CN" w:bidi="ar-SA"/>
              </w:rPr>
            </w:pPr>
            <w:r>
              <w:rPr>
                <w:rFonts w:hint="default" w:ascii="Times New Roman" w:hAnsi="Times New Roman" w:eastAsia="仿宋_GB2312" w:cs="Times New Roman"/>
                <w:color w:val="auto"/>
                <w:spacing w:val="0"/>
                <w:kern w:val="0"/>
                <w:position w:val="0"/>
                <w:lang w:val="en-US" w:eastAsia="zh-CN"/>
              </w:rPr>
              <w:t>6立方</w:t>
            </w:r>
          </w:p>
        </w:tc>
        <w:tc>
          <w:tcPr>
            <w:tcW w:w="2235" w:type="dxa"/>
            <w:tcBorders>
              <w:tl2br w:val="nil"/>
              <w:tr2bl w:val="nil"/>
            </w:tcBorders>
            <w:shd w:val="clear" w:color="auto" w:fill="auto"/>
            <w:noWrap/>
            <w:vAlign w:val="center"/>
          </w:tcPr>
          <w:p w14:paraId="4414B0FF">
            <w:pPr>
              <w:pageBreakBefore w:val="0"/>
              <w:kinsoku/>
              <w:wordWrap/>
              <w:bidi w:val="0"/>
              <w:adjustRightInd w:val="0"/>
              <w:snapToGrid w:val="0"/>
              <w:spacing w:beforeAutospacing="0" w:afterAutospacing="0"/>
              <w:ind w:left="0" w:leftChars="0" w:right="0" w:rightChars="0"/>
              <w:jc w:val="center"/>
              <w:rPr>
                <w:rFonts w:hint="default" w:ascii="Times New Roman" w:hAnsi="Times New Roman" w:eastAsia="仿宋_GB2312" w:cs="Times New Roman"/>
                <w:color w:val="auto"/>
                <w:spacing w:val="0"/>
                <w:kern w:val="0"/>
                <w:position w:val="0"/>
                <w:sz w:val="21"/>
                <w:szCs w:val="21"/>
                <w:lang w:val="en-US" w:eastAsia="zh-CN" w:bidi="ar-SA"/>
              </w:rPr>
            </w:pPr>
            <w:r>
              <w:rPr>
                <w:rFonts w:hint="default" w:ascii="Times New Roman" w:hAnsi="Times New Roman" w:eastAsia="仿宋_GB2312" w:cs="Times New Roman"/>
                <w:color w:val="auto"/>
                <w:spacing w:val="0"/>
                <w:kern w:val="0"/>
                <w:position w:val="0"/>
                <w:lang w:val="en-US" w:eastAsia="zh-CN"/>
              </w:rPr>
              <w:t>应急仓库</w:t>
            </w:r>
          </w:p>
        </w:tc>
      </w:tr>
      <w:tr w14:paraId="11257A5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235" w:type="dxa"/>
            <w:tcBorders>
              <w:tl2br w:val="nil"/>
              <w:tr2bl w:val="nil"/>
            </w:tcBorders>
            <w:noWrap/>
            <w:vAlign w:val="center"/>
          </w:tcPr>
          <w:p w14:paraId="173F73E4">
            <w:pPr>
              <w:pageBreakBefore w:val="0"/>
              <w:numPr>
                <w:ilvl w:val="0"/>
                <w:numId w:val="0"/>
              </w:numPr>
              <w:kinsoku/>
              <w:wordWrap/>
              <w:bidi w:val="0"/>
              <w:adjustRightInd w:val="0"/>
              <w:snapToGrid w:val="0"/>
              <w:spacing w:beforeAutospacing="0" w:afterAutospacing="0"/>
              <w:ind w:left="425" w:leftChars="0" w:right="0" w:rightChars="0" w:hanging="425" w:firstLineChars="0"/>
              <w:jc w:val="center"/>
              <w:rPr>
                <w:rFonts w:hint="default" w:ascii="Times New Roman" w:hAnsi="Times New Roman" w:eastAsia="仿宋_GB2312" w:cs="Times New Roman"/>
                <w:color w:val="auto"/>
                <w:spacing w:val="0"/>
                <w:kern w:val="0"/>
                <w:position w:val="0"/>
                <w:lang w:val="en-US" w:eastAsia="zh-CN"/>
              </w:rPr>
            </w:pPr>
            <w:r>
              <w:rPr>
                <w:rFonts w:hint="eastAsia" w:ascii="Times New Roman" w:hAnsi="Times New Roman" w:eastAsia="仿宋_GB2312" w:cs="Times New Roman"/>
                <w:color w:val="auto"/>
                <w:spacing w:val="0"/>
                <w:kern w:val="0"/>
                <w:position w:val="0"/>
                <w:lang w:val="en-US" w:eastAsia="zh-CN"/>
              </w:rPr>
              <w:t>10</w:t>
            </w:r>
          </w:p>
        </w:tc>
        <w:tc>
          <w:tcPr>
            <w:tcW w:w="2427" w:type="dxa"/>
            <w:tcBorders>
              <w:tl2br w:val="nil"/>
              <w:tr2bl w:val="nil"/>
            </w:tcBorders>
            <w:shd w:val="clear" w:color="auto" w:fill="auto"/>
            <w:noWrap/>
            <w:vAlign w:val="center"/>
          </w:tcPr>
          <w:p w14:paraId="2C8FBECC">
            <w:pPr>
              <w:pageBreakBefore w:val="0"/>
              <w:kinsoku/>
              <w:wordWrap/>
              <w:bidi w:val="0"/>
              <w:adjustRightInd w:val="0"/>
              <w:snapToGrid w:val="0"/>
              <w:spacing w:beforeAutospacing="0" w:afterAutospacing="0"/>
              <w:ind w:left="0" w:leftChars="0" w:right="0" w:rightChars="0"/>
              <w:jc w:val="center"/>
              <w:rPr>
                <w:rFonts w:hint="default" w:ascii="Times New Roman" w:hAnsi="Times New Roman" w:eastAsia="仿宋_GB2312" w:cs="Times New Roman"/>
                <w:color w:val="auto"/>
                <w:spacing w:val="0"/>
                <w:kern w:val="0"/>
                <w:position w:val="0"/>
                <w:lang w:val="en-US" w:eastAsia="zh-CN"/>
              </w:rPr>
            </w:pPr>
            <w:r>
              <w:rPr>
                <w:rFonts w:hint="eastAsia" w:ascii="Times New Roman" w:hAnsi="Times New Roman" w:eastAsia="仿宋_GB2312" w:cs="Times New Roman"/>
                <w:color w:val="auto"/>
                <w:spacing w:val="0"/>
                <w:kern w:val="0"/>
                <w:position w:val="0"/>
                <w:lang w:val="en-US" w:eastAsia="zh-CN"/>
              </w:rPr>
              <w:t>堵漏塞</w:t>
            </w:r>
          </w:p>
        </w:tc>
        <w:tc>
          <w:tcPr>
            <w:tcW w:w="2045" w:type="dxa"/>
            <w:tcBorders>
              <w:tl2br w:val="nil"/>
              <w:tr2bl w:val="nil"/>
            </w:tcBorders>
            <w:shd w:val="clear" w:color="auto" w:fill="auto"/>
            <w:noWrap/>
            <w:vAlign w:val="center"/>
          </w:tcPr>
          <w:p w14:paraId="53E07648">
            <w:pPr>
              <w:pageBreakBefore w:val="0"/>
              <w:kinsoku/>
              <w:wordWrap/>
              <w:bidi w:val="0"/>
              <w:adjustRightInd w:val="0"/>
              <w:snapToGrid w:val="0"/>
              <w:spacing w:beforeAutospacing="0" w:afterAutospacing="0"/>
              <w:ind w:left="0" w:leftChars="0" w:right="0" w:rightChars="0"/>
              <w:jc w:val="center"/>
              <w:rPr>
                <w:rFonts w:hint="default" w:ascii="Times New Roman" w:hAnsi="Times New Roman" w:eastAsia="仿宋_GB2312" w:cs="Times New Roman"/>
                <w:color w:val="auto"/>
                <w:spacing w:val="0"/>
                <w:kern w:val="0"/>
                <w:position w:val="0"/>
                <w:lang w:val="en-US" w:eastAsia="zh-CN"/>
              </w:rPr>
            </w:pPr>
            <w:r>
              <w:rPr>
                <w:rFonts w:hint="eastAsia" w:ascii="Times New Roman" w:hAnsi="Times New Roman" w:eastAsia="仿宋_GB2312" w:cs="Times New Roman"/>
                <w:color w:val="auto"/>
                <w:spacing w:val="0"/>
                <w:kern w:val="0"/>
                <w:position w:val="0"/>
                <w:lang w:val="en-US" w:eastAsia="zh-CN"/>
              </w:rPr>
              <w:t>若干</w:t>
            </w:r>
          </w:p>
        </w:tc>
        <w:tc>
          <w:tcPr>
            <w:tcW w:w="2235" w:type="dxa"/>
            <w:tcBorders>
              <w:tl2br w:val="nil"/>
              <w:tr2bl w:val="nil"/>
            </w:tcBorders>
            <w:shd w:val="clear" w:color="auto" w:fill="auto"/>
            <w:noWrap/>
            <w:vAlign w:val="center"/>
          </w:tcPr>
          <w:p w14:paraId="228A81AD">
            <w:pPr>
              <w:pageBreakBefore w:val="0"/>
              <w:kinsoku/>
              <w:wordWrap/>
              <w:bidi w:val="0"/>
              <w:adjustRightInd w:val="0"/>
              <w:snapToGrid w:val="0"/>
              <w:spacing w:beforeAutospacing="0" w:afterAutospacing="0"/>
              <w:ind w:left="0" w:leftChars="0" w:right="0" w:rightChars="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应急仓库</w:t>
            </w:r>
          </w:p>
        </w:tc>
      </w:tr>
      <w:tr w14:paraId="614267E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235" w:type="dxa"/>
            <w:tcBorders>
              <w:tl2br w:val="nil"/>
              <w:tr2bl w:val="nil"/>
            </w:tcBorders>
            <w:noWrap/>
            <w:vAlign w:val="center"/>
          </w:tcPr>
          <w:p w14:paraId="16813473">
            <w:pPr>
              <w:pageBreakBefore w:val="0"/>
              <w:numPr>
                <w:ilvl w:val="0"/>
                <w:numId w:val="0"/>
              </w:numPr>
              <w:kinsoku/>
              <w:wordWrap/>
              <w:bidi w:val="0"/>
              <w:adjustRightInd w:val="0"/>
              <w:snapToGrid w:val="0"/>
              <w:spacing w:beforeAutospacing="0" w:afterAutospacing="0"/>
              <w:ind w:left="425" w:leftChars="0" w:right="0" w:rightChars="0" w:hanging="425" w:firstLineChars="0"/>
              <w:jc w:val="center"/>
              <w:rPr>
                <w:rFonts w:hint="default" w:ascii="Times New Roman" w:hAnsi="Times New Roman" w:eastAsia="仿宋_GB2312" w:cs="Times New Roman"/>
                <w:color w:val="auto"/>
                <w:spacing w:val="0"/>
                <w:kern w:val="0"/>
                <w:position w:val="0"/>
                <w:lang w:val="en-US" w:eastAsia="zh-CN"/>
              </w:rPr>
            </w:pPr>
            <w:r>
              <w:rPr>
                <w:rFonts w:hint="eastAsia" w:ascii="Times New Roman" w:hAnsi="Times New Roman" w:eastAsia="仿宋_GB2312" w:cs="Times New Roman"/>
                <w:color w:val="auto"/>
                <w:spacing w:val="0"/>
                <w:kern w:val="0"/>
                <w:position w:val="0"/>
                <w:lang w:val="en-US" w:eastAsia="zh-CN"/>
              </w:rPr>
              <w:t>11</w:t>
            </w:r>
          </w:p>
        </w:tc>
        <w:tc>
          <w:tcPr>
            <w:tcW w:w="2427" w:type="dxa"/>
            <w:tcBorders>
              <w:tl2br w:val="nil"/>
              <w:tr2bl w:val="nil"/>
            </w:tcBorders>
            <w:shd w:val="clear" w:color="auto" w:fill="auto"/>
            <w:noWrap/>
            <w:vAlign w:val="center"/>
          </w:tcPr>
          <w:p w14:paraId="7C16F50C">
            <w:pPr>
              <w:pageBreakBefore w:val="0"/>
              <w:kinsoku/>
              <w:wordWrap/>
              <w:bidi w:val="0"/>
              <w:adjustRightInd w:val="0"/>
              <w:snapToGrid w:val="0"/>
              <w:spacing w:beforeAutospacing="0" w:afterAutospacing="0"/>
              <w:ind w:left="0" w:leftChars="0" w:right="0" w:rightChars="0"/>
              <w:jc w:val="center"/>
              <w:rPr>
                <w:rFonts w:hint="default" w:ascii="Times New Roman" w:hAnsi="Times New Roman" w:eastAsia="仿宋_GB2312" w:cs="Times New Roman"/>
                <w:color w:val="auto"/>
                <w:spacing w:val="0"/>
                <w:kern w:val="0"/>
                <w:position w:val="0"/>
                <w:lang w:val="en-US" w:eastAsia="zh-CN"/>
              </w:rPr>
            </w:pPr>
            <w:r>
              <w:rPr>
                <w:rFonts w:hint="eastAsia" w:ascii="Times New Roman" w:hAnsi="Times New Roman" w:eastAsia="仿宋_GB2312" w:cs="Times New Roman"/>
                <w:color w:val="auto"/>
                <w:spacing w:val="0"/>
                <w:kern w:val="0"/>
                <w:position w:val="0"/>
                <w:lang w:val="en-US" w:eastAsia="zh-CN"/>
              </w:rPr>
              <w:t>泄漏高度控制仪</w:t>
            </w:r>
          </w:p>
        </w:tc>
        <w:tc>
          <w:tcPr>
            <w:tcW w:w="2045" w:type="dxa"/>
            <w:tcBorders>
              <w:tl2br w:val="nil"/>
              <w:tr2bl w:val="nil"/>
            </w:tcBorders>
            <w:shd w:val="clear" w:color="auto" w:fill="auto"/>
            <w:noWrap/>
            <w:vAlign w:val="center"/>
          </w:tcPr>
          <w:p w14:paraId="574D605A">
            <w:pPr>
              <w:pageBreakBefore w:val="0"/>
              <w:kinsoku/>
              <w:wordWrap/>
              <w:bidi w:val="0"/>
              <w:adjustRightInd w:val="0"/>
              <w:snapToGrid w:val="0"/>
              <w:spacing w:beforeAutospacing="0" w:afterAutospacing="0"/>
              <w:ind w:left="0" w:leftChars="0" w:right="0" w:rightChars="0"/>
              <w:jc w:val="center"/>
              <w:rPr>
                <w:rFonts w:hint="default" w:ascii="Times New Roman" w:hAnsi="Times New Roman" w:eastAsia="仿宋_GB2312" w:cs="Times New Roman"/>
                <w:color w:val="auto"/>
                <w:spacing w:val="0"/>
                <w:kern w:val="0"/>
                <w:position w:val="0"/>
                <w:lang w:val="en-US" w:eastAsia="zh-CN"/>
              </w:rPr>
            </w:pPr>
            <w:r>
              <w:rPr>
                <w:rFonts w:hint="eastAsia" w:ascii="Times New Roman" w:hAnsi="Times New Roman" w:eastAsia="仿宋_GB2312" w:cs="Times New Roman"/>
                <w:color w:val="auto"/>
                <w:spacing w:val="0"/>
                <w:kern w:val="0"/>
                <w:position w:val="0"/>
                <w:lang w:val="en-US" w:eastAsia="zh-CN"/>
              </w:rPr>
              <w:t>/</w:t>
            </w:r>
          </w:p>
        </w:tc>
        <w:tc>
          <w:tcPr>
            <w:tcW w:w="2235" w:type="dxa"/>
            <w:tcBorders>
              <w:tl2br w:val="nil"/>
              <w:tr2bl w:val="nil"/>
            </w:tcBorders>
            <w:shd w:val="clear" w:color="auto" w:fill="auto"/>
            <w:noWrap/>
            <w:vAlign w:val="center"/>
          </w:tcPr>
          <w:p w14:paraId="0FC0E6C8">
            <w:pPr>
              <w:pageBreakBefore w:val="0"/>
              <w:kinsoku/>
              <w:wordWrap/>
              <w:bidi w:val="0"/>
              <w:adjustRightInd w:val="0"/>
              <w:snapToGrid w:val="0"/>
              <w:spacing w:beforeAutospacing="0" w:afterAutospacing="0"/>
              <w:ind w:left="0" w:leftChars="0" w:right="0" w:rightChars="0"/>
              <w:jc w:val="center"/>
              <w:rPr>
                <w:rFonts w:hint="default" w:ascii="Times New Roman" w:hAnsi="Times New Roman" w:eastAsia="仿宋_GB2312" w:cs="Times New Roman"/>
                <w:color w:val="auto"/>
                <w:spacing w:val="0"/>
                <w:kern w:val="0"/>
                <w:position w:val="0"/>
                <w:lang w:val="en-US" w:eastAsia="zh-CN"/>
              </w:rPr>
            </w:pPr>
            <w:r>
              <w:rPr>
                <w:rFonts w:hint="eastAsia" w:ascii="Times New Roman" w:hAnsi="Times New Roman" w:eastAsia="仿宋_GB2312" w:cs="Times New Roman"/>
                <w:color w:val="auto"/>
                <w:spacing w:val="0"/>
                <w:kern w:val="0"/>
                <w:position w:val="0"/>
                <w:lang w:val="en-US" w:eastAsia="zh-CN"/>
              </w:rPr>
              <w:t>各储罐</w:t>
            </w:r>
          </w:p>
        </w:tc>
      </w:tr>
      <w:tr w14:paraId="1922296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235" w:type="dxa"/>
            <w:tcBorders>
              <w:tl2br w:val="nil"/>
              <w:tr2bl w:val="nil"/>
            </w:tcBorders>
            <w:noWrap/>
            <w:vAlign w:val="center"/>
          </w:tcPr>
          <w:p w14:paraId="7F216DF5">
            <w:pPr>
              <w:pageBreakBefore w:val="0"/>
              <w:numPr>
                <w:ilvl w:val="0"/>
                <w:numId w:val="0"/>
              </w:numPr>
              <w:kinsoku/>
              <w:wordWrap/>
              <w:bidi w:val="0"/>
              <w:adjustRightInd w:val="0"/>
              <w:snapToGrid w:val="0"/>
              <w:spacing w:beforeAutospacing="0" w:afterAutospacing="0"/>
              <w:ind w:left="425" w:leftChars="0" w:right="0" w:rightChars="0" w:hanging="425" w:firstLineChars="0"/>
              <w:jc w:val="center"/>
              <w:rPr>
                <w:rFonts w:hint="default" w:ascii="Times New Roman" w:hAnsi="Times New Roman" w:eastAsia="仿宋_GB2312" w:cs="Times New Roman"/>
                <w:color w:val="auto"/>
                <w:spacing w:val="0"/>
                <w:kern w:val="0"/>
                <w:position w:val="0"/>
                <w:lang w:val="en-US" w:eastAsia="zh-CN"/>
              </w:rPr>
            </w:pPr>
            <w:r>
              <w:rPr>
                <w:rFonts w:hint="eastAsia" w:ascii="Times New Roman" w:hAnsi="Times New Roman" w:eastAsia="仿宋_GB2312" w:cs="Times New Roman"/>
                <w:color w:val="auto"/>
                <w:spacing w:val="0"/>
                <w:kern w:val="0"/>
                <w:position w:val="0"/>
                <w:lang w:val="en-US" w:eastAsia="zh-CN"/>
              </w:rPr>
              <w:t>12</w:t>
            </w:r>
          </w:p>
        </w:tc>
        <w:tc>
          <w:tcPr>
            <w:tcW w:w="2427" w:type="dxa"/>
            <w:tcBorders>
              <w:tl2br w:val="nil"/>
              <w:tr2bl w:val="nil"/>
            </w:tcBorders>
            <w:shd w:val="clear" w:color="auto" w:fill="auto"/>
            <w:noWrap/>
            <w:vAlign w:val="center"/>
          </w:tcPr>
          <w:p w14:paraId="60B2DF4B">
            <w:pPr>
              <w:pageBreakBefore w:val="0"/>
              <w:kinsoku/>
              <w:wordWrap/>
              <w:bidi w:val="0"/>
              <w:adjustRightInd w:val="0"/>
              <w:snapToGrid w:val="0"/>
              <w:spacing w:beforeAutospacing="0" w:afterAutospacing="0"/>
              <w:ind w:left="0" w:leftChars="0" w:right="0" w:rightChars="0"/>
              <w:jc w:val="center"/>
              <w:rPr>
                <w:rFonts w:hint="default" w:ascii="Times New Roman" w:hAnsi="Times New Roman" w:eastAsia="仿宋_GB2312" w:cs="Times New Roman"/>
                <w:color w:val="auto"/>
                <w:spacing w:val="0"/>
                <w:kern w:val="0"/>
                <w:position w:val="0"/>
                <w:sz w:val="21"/>
                <w:szCs w:val="21"/>
                <w:lang w:val="en-US" w:eastAsia="zh-CN" w:bidi="ar-SA"/>
              </w:rPr>
            </w:pPr>
            <w:r>
              <w:rPr>
                <w:rFonts w:hint="default" w:ascii="Times New Roman" w:hAnsi="Times New Roman" w:eastAsia="仿宋_GB2312" w:cs="Times New Roman"/>
                <w:color w:val="auto"/>
                <w:spacing w:val="0"/>
                <w:kern w:val="0"/>
                <w:position w:val="0"/>
                <w:lang w:val="en-US" w:eastAsia="zh-CN"/>
              </w:rPr>
              <w:t>灭火器</w:t>
            </w:r>
          </w:p>
        </w:tc>
        <w:tc>
          <w:tcPr>
            <w:tcW w:w="2045" w:type="dxa"/>
            <w:tcBorders>
              <w:tl2br w:val="nil"/>
              <w:tr2bl w:val="nil"/>
            </w:tcBorders>
            <w:shd w:val="clear" w:color="auto" w:fill="auto"/>
            <w:noWrap/>
            <w:vAlign w:val="center"/>
          </w:tcPr>
          <w:p w14:paraId="36852F8A">
            <w:pPr>
              <w:pageBreakBefore w:val="0"/>
              <w:kinsoku/>
              <w:wordWrap/>
              <w:bidi w:val="0"/>
              <w:adjustRightInd w:val="0"/>
              <w:snapToGrid w:val="0"/>
              <w:spacing w:beforeAutospacing="0" w:afterAutospacing="0"/>
              <w:ind w:left="0" w:leftChars="0" w:right="0" w:rightChars="0"/>
              <w:jc w:val="center"/>
              <w:rPr>
                <w:rFonts w:hint="default" w:ascii="Times New Roman" w:hAnsi="Times New Roman" w:eastAsia="仿宋_GB2312" w:cs="Times New Roman"/>
                <w:color w:val="auto"/>
                <w:spacing w:val="0"/>
                <w:kern w:val="0"/>
                <w:position w:val="0"/>
                <w:sz w:val="21"/>
                <w:szCs w:val="21"/>
                <w:lang w:val="en-US" w:eastAsia="zh-CN" w:bidi="ar-SA"/>
              </w:rPr>
            </w:pPr>
            <w:r>
              <w:rPr>
                <w:rFonts w:hint="eastAsia" w:ascii="Times New Roman" w:hAnsi="Times New Roman" w:eastAsia="仿宋_GB2312" w:cs="Times New Roman"/>
                <w:color w:val="auto"/>
                <w:spacing w:val="0"/>
                <w:kern w:val="0"/>
                <w:position w:val="0"/>
                <w:lang w:val="en-US" w:eastAsia="zh-CN"/>
              </w:rPr>
              <w:t>210个</w:t>
            </w:r>
          </w:p>
        </w:tc>
        <w:tc>
          <w:tcPr>
            <w:tcW w:w="2235" w:type="dxa"/>
            <w:tcBorders>
              <w:tl2br w:val="nil"/>
              <w:tr2bl w:val="nil"/>
            </w:tcBorders>
            <w:shd w:val="clear" w:color="auto" w:fill="auto"/>
            <w:noWrap/>
            <w:vAlign w:val="center"/>
          </w:tcPr>
          <w:p w14:paraId="0C7910DA">
            <w:pPr>
              <w:pageBreakBefore w:val="0"/>
              <w:kinsoku/>
              <w:wordWrap/>
              <w:bidi w:val="0"/>
              <w:adjustRightInd w:val="0"/>
              <w:snapToGrid w:val="0"/>
              <w:spacing w:beforeAutospacing="0" w:afterAutospacing="0"/>
              <w:ind w:left="0" w:leftChars="0" w:right="0" w:rightChars="0"/>
              <w:jc w:val="center"/>
              <w:rPr>
                <w:rFonts w:hint="default" w:ascii="Times New Roman" w:hAnsi="Times New Roman" w:eastAsia="仿宋_GB2312" w:cs="Times New Roman"/>
                <w:color w:val="auto"/>
                <w:spacing w:val="0"/>
                <w:kern w:val="0"/>
                <w:position w:val="0"/>
                <w:sz w:val="21"/>
                <w:szCs w:val="21"/>
                <w:lang w:val="en-US" w:eastAsia="zh-CN" w:bidi="ar-SA"/>
              </w:rPr>
            </w:pPr>
            <w:r>
              <w:rPr>
                <w:rFonts w:hint="default" w:ascii="Times New Roman" w:hAnsi="Times New Roman" w:eastAsia="仿宋_GB2312" w:cs="Times New Roman"/>
                <w:color w:val="auto"/>
                <w:spacing w:val="0"/>
                <w:kern w:val="0"/>
                <w:position w:val="0"/>
                <w:lang w:val="en-US" w:eastAsia="zh-CN"/>
              </w:rPr>
              <w:t>各生产车间、仓库等</w:t>
            </w:r>
          </w:p>
        </w:tc>
      </w:tr>
      <w:tr w14:paraId="5D5664F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235" w:type="dxa"/>
            <w:tcBorders>
              <w:tl2br w:val="nil"/>
              <w:tr2bl w:val="nil"/>
            </w:tcBorders>
            <w:noWrap/>
            <w:vAlign w:val="center"/>
          </w:tcPr>
          <w:p w14:paraId="19E10D19">
            <w:pPr>
              <w:pageBreakBefore w:val="0"/>
              <w:numPr>
                <w:ilvl w:val="0"/>
                <w:numId w:val="0"/>
              </w:numPr>
              <w:kinsoku/>
              <w:wordWrap/>
              <w:bidi w:val="0"/>
              <w:adjustRightInd w:val="0"/>
              <w:snapToGrid w:val="0"/>
              <w:spacing w:beforeAutospacing="0" w:afterAutospacing="0"/>
              <w:ind w:left="425" w:leftChars="0" w:right="0" w:rightChars="0" w:hanging="425" w:firstLineChars="0"/>
              <w:jc w:val="center"/>
              <w:rPr>
                <w:rFonts w:hint="default" w:ascii="Times New Roman" w:hAnsi="Times New Roman" w:eastAsia="仿宋_GB2312" w:cs="Times New Roman"/>
                <w:color w:val="auto"/>
                <w:spacing w:val="0"/>
                <w:kern w:val="0"/>
                <w:position w:val="0"/>
                <w:lang w:val="en-US" w:eastAsia="zh-CN"/>
              </w:rPr>
            </w:pPr>
            <w:r>
              <w:rPr>
                <w:rFonts w:hint="eastAsia" w:ascii="Times New Roman" w:hAnsi="Times New Roman" w:eastAsia="仿宋_GB2312" w:cs="Times New Roman"/>
                <w:color w:val="auto"/>
                <w:spacing w:val="0"/>
                <w:kern w:val="0"/>
                <w:position w:val="0"/>
                <w:lang w:val="en-US" w:eastAsia="zh-CN"/>
              </w:rPr>
              <w:t>13</w:t>
            </w:r>
          </w:p>
        </w:tc>
        <w:tc>
          <w:tcPr>
            <w:tcW w:w="2427" w:type="dxa"/>
            <w:tcBorders>
              <w:tl2br w:val="nil"/>
              <w:tr2bl w:val="nil"/>
            </w:tcBorders>
            <w:shd w:val="clear" w:color="auto" w:fill="auto"/>
            <w:noWrap/>
            <w:vAlign w:val="center"/>
          </w:tcPr>
          <w:p w14:paraId="74F74E16">
            <w:pPr>
              <w:pageBreakBefore w:val="0"/>
              <w:kinsoku/>
              <w:wordWrap/>
              <w:bidi w:val="0"/>
              <w:adjustRightInd w:val="0"/>
              <w:snapToGrid w:val="0"/>
              <w:spacing w:beforeAutospacing="0" w:afterAutospacing="0"/>
              <w:ind w:left="0" w:leftChars="0" w:right="0" w:rightChars="0"/>
              <w:jc w:val="center"/>
              <w:rPr>
                <w:rFonts w:hint="default" w:ascii="Times New Roman" w:hAnsi="Times New Roman" w:eastAsia="仿宋_GB2312" w:cs="Times New Roman"/>
                <w:color w:val="auto"/>
                <w:spacing w:val="0"/>
                <w:kern w:val="0"/>
                <w:position w:val="0"/>
                <w:sz w:val="21"/>
                <w:szCs w:val="21"/>
                <w:lang w:val="en-US" w:eastAsia="zh-CN" w:bidi="ar-SA"/>
              </w:rPr>
            </w:pPr>
            <w:r>
              <w:rPr>
                <w:rFonts w:hint="default" w:ascii="Times New Roman" w:hAnsi="Times New Roman" w:eastAsia="仿宋_GB2312" w:cs="Times New Roman"/>
                <w:color w:val="auto"/>
                <w:spacing w:val="0"/>
                <w:kern w:val="0"/>
                <w:position w:val="0"/>
                <w:lang w:val="en-US" w:eastAsia="zh-CN"/>
              </w:rPr>
              <w:t>消防栓</w:t>
            </w:r>
          </w:p>
        </w:tc>
        <w:tc>
          <w:tcPr>
            <w:tcW w:w="2045" w:type="dxa"/>
            <w:tcBorders>
              <w:tl2br w:val="nil"/>
              <w:tr2bl w:val="nil"/>
            </w:tcBorders>
            <w:shd w:val="clear" w:color="auto" w:fill="auto"/>
            <w:noWrap/>
            <w:vAlign w:val="center"/>
          </w:tcPr>
          <w:p w14:paraId="1382A842">
            <w:pPr>
              <w:pageBreakBefore w:val="0"/>
              <w:kinsoku/>
              <w:wordWrap/>
              <w:bidi w:val="0"/>
              <w:adjustRightInd w:val="0"/>
              <w:snapToGrid w:val="0"/>
              <w:spacing w:beforeAutospacing="0" w:afterAutospacing="0"/>
              <w:ind w:left="0" w:leftChars="0" w:right="0" w:rightChars="0"/>
              <w:jc w:val="center"/>
              <w:rPr>
                <w:rFonts w:hint="default" w:ascii="Times New Roman" w:hAnsi="Times New Roman" w:eastAsia="仿宋_GB2312" w:cs="Times New Roman"/>
                <w:color w:val="auto"/>
                <w:spacing w:val="0"/>
                <w:kern w:val="0"/>
                <w:position w:val="0"/>
                <w:sz w:val="21"/>
                <w:szCs w:val="21"/>
                <w:lang w:val="en-US" w:eastAsia="zh-CN" w:bidi="ar-SA"/>
              </w:rPr>
            </w:pPr>
            <w:r>
              <w:rPr>
                <w:rFonts w:hint="default" w:ascii="Times New Roman" w:hAnsi="Times New Roman" w:eastAsia="仿宋_GB2312" w:cs="Times New Roman"/>
                <w:color w:val="auto"/>
                <w:spacing w:val="0"/>
                <w:kern w:val="0"/>
                <w:position w:val="0"/>
                <w:lang w:val="en-US" w:eastAsia="zh-CN"/>
              </w:rPr>
              <w:t>若干</w:t>
            </w:r>
          </w:p>
        </w:tc>
        <w:tc>
          <w:tcPr>
            <w:tcW w:w="2235" w:type="dxa"/>
            <w:tcBorders>
              <w:tl2br w:val="nil"/>
              <w:tr2bl w:val="nil"/>
            </w:tcBorders>
            <w:shd w:val="clear" w:color="auto" w:fill="auto"/>
            <w:noWrap/>
            <w:vAlign w:val="center"/>
          </w:tcPr>
          <w:p w14:paraId="1810494F">
            <w:pPr>
              <w:pageBreakBefore w:val="0"/>
              <w:kinsoku/>
              <w:wordWrap/>
              <w:bidi w:val="0"/>
              <w:adjustRightInd w:val="0"/>
              <w:snapToGrid w:val="0"/>
              <w:spacing w:beforeAutospacing="0" w:afterAutospacing="0"/>
              <w:ind w:left="0" w:leftChars="0" w:right="0" w:rightChars="0"/>
              <w:jc w:val="center"/>
              <w:rPr>
                <w:rFonts w:hint="default" w:ascii="Times New Roman" w:hAnsi="Times New Roman" w:eastAsia="仿宋_GB2312" w:cs="Times New Roman"/>
                <w:color w:val="auto"/>
                <w:spacing w:val="0"/>
                <w:kern w:val="0"/>
                <w:position w:val="0"/>
                <w:sz w:val="21"/>
                <w:szCs w:val="21"/>
                <w:lang w:val="en-US" w:eastAsia="zh-CN" w:bidi="ar-SA"/>
              </w:rPr>
            </w:pPr>
            <w:r>
              <w:rPr>
                <w:rFonts w:hint="default" w:ascii="Times New Roman" w:hAnsi="Times New Roman" w:eastAsia="仿宋_GB2312" w:cs="Times New Roman"/>
                <w:color w:val="auto"/>
                <w:spacing w:val="0"/>
                <w:kern w:val="0"/>
                <w:position w:val="0"/>
                <w:lang w:val="en-US" w:eastAsia="zh-CN"/>
              </w:rPr>
              <w:t>各生产车间、仓库等</w:t>
            </w:r>
          </w:p>
        </w:tc>
      </w:tr>
      <w:tr w14:paraId="108D284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235" w:type="dxa"/>
            <w:tcBorders>
              <w:tl2br w:val="nil"/>
              <w:tr2bl w:val="nil"/>
            </w:tcBorders>
            <w:noWrap/>
            <w:vAlign w:val="center"/>
          </w:tcPr>
          <w:p w14:paraId="3B3437E8">
            <w:pPr>
              <w:pageBreakBefore w:val="0"/>
              <w:numPr>
                <w:ilvl w:val="0"/>
                <w:numId w:val="0"/>
              </w:numPr>
              <w:kinsoku/>
              <w:wordWrap/>
              <w:bidi w:val="0"/>
              <w:adjustRightInd w:val="0"/>
              <w:snapToGrid w:val="0"/>
              <w:spacing w:beforeAutospacing="0" w:afterAutospacing="0"/>
              <w:ind w:left="425" w:leftChars="0" w:right="0" w:rightChars="0" w:hanging="425" w:firstLineChars="0"/>
              <w:jc w:val="center"/>
              <w:rPr>
                <w:rFonts w:hint="default" w:ascii="Times New Roman" w:hAnsi="Times New Roman" w:eastAsia="仿宋_GB2312" w:cs="Times New Roman"/>
                <w:color w:val="auto"/>
                <w:spacing w:val="0"/>
                <w:kern w:val="0"/>
                <w:position w:val="0"/>
                <w:lang w:val="en-US" w:eastAsia="zh-CN"/>
              </w:rPr>
            </w:pPr>
            <w:bookmarkStart w:id="409" w:name="_Toc15091"/>
            <w:bookmarkStart w:id="410" w:name="_Toc12233"/>
            <w:bookmarkStart w:id="411" w:name="_Toc8107"/>
            <w:r>
              <w:rPr>
                <w:rFonts w:hint="eastAsia" w:eastAsia="仿宋_GB2312" w:cs="Times New Roman"/>
                <w:color w:val="auto"/>
                <w:spacing w:val="0"/>
                <w:kern w:val="0"/>
                <w:position w:val="0"/>
                <w:lang w:val="en-US" w:eastAsia="zh-CN"/>
              </w:rPr>
              <w:t>13</w:t>
            </w:r>
          </w:p>
        </w:tc>
        <w:tc>
          <w:tcPr>
            <w:tcW w:w="2427" w:type="dxa"/>
            <w:tcBorders>
              <w:tl2br w:val="nil"/>
              <w:tr2bl w:val="nil"/>
            </w:tcBorders>
            <w:shd w:val="clear" w:color="auto" w:fill="auto"/>
            <w:noWrap/>
            <w:vAlign w:val="center"/>
          </w:tcPr>
          <w:p w14:paraId="52893CFB">
            <w:pPr>
              <w:pageBreakBefore w:val="0"/>
              <w:kinsoku/>
              <w:wordWrap/>
              <w:bidi w:val="0"/>
              <w:adjustRightInd w:val="0"/>
              <w:snapToGrid w:val="0"/>
              <w:spacing w:beforeAutospacing="0" w:afterAutospacing="0"/>
              <w:ind w:left="0" w:leftChars="0" w:right="0" w:rightChars="0"/>
              <w:jc w:val="center"/>
              <w:rPr>
                <w:rFonts w:hint="default" w:ascii="Times New Roman" w:hAnsi="Times New Roman" w:eastAsia="仿宋_GB2312" w:cs="Times New Roman"/>
                <w:color w:val="auto"/>
                <w:spacing w:val="0"/>
                <w:kern w:val="0"/>
                <w:position w:val="0"/>
                <w:lang w:val="en-US" w:eastAsia="zh-CN"/>
              </w:rPr>
            </w:pPr>
            <w:r>
              <w:rPr>
                <w:rFonts w:hint="eastAsia" w:eastAsia="仿宋_GB2312" w:cs="Times New Roman"/>
                <w:color w:val="auto"/>
                <w:spacing w:val="0"/>
                <w:kern w:val="0"/>
                <w:position w:val="0"/>
                <w:lang w:val="en-US" w:eastAsia="zh-CN"/>
              </w:rPr>
              <w:t>应急泵</w:t>
            </w:r>
          </w:p>
        </w:tc>
        <w:tc>
          <w:tcPr>
            <w:tcW w:w="2045" w:type="dxa"/>
            <w:tcBorders>
              <w:tl2br w:val="nil"/>
              <w:tr2bl w:val="nil"/>
            </w:tcBorders>
            <w:shd w:val="clear" w:color="auto" w:fill="auto"/>
            <w:noWrap/>
            <w:vAlign w:val="center"/>
          </w:tcPr>
          <w:p w14:paraId="260AA264">
            <w:pPr>
              <w:pageBreakBefore w:val="0"/>
              <w:kinsoku/>
              <w:wordWrap/>
              <w:bidi w:val="0"/>
              <w:adjustRightInd w:val="0"/>
              <w:snapToGrid w:val="0"/>
              <w:spacing w:beforeAutospacing="0" w:afterAutospacing="0"/>
              <w:ind w:left="0" w:leftChars="0" w:right="0" w:rightChars="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若干</w:t>
            </w:r>
          </w:p>
        </w:tc>
        <w:tc>
          <w:tcPr>
            <w:tcW w:w="2235" w:type="dxa"/>
            <w:tcBorders>
              <w:tl2br w:val="nil"/>
              <w:tr2bl w:val="nil"/>
            </w:tcBorders>
            <w:shd w:val="clear" w:color="auto" w:fill="auto"/>
            <w:noWrap/>
            <w:vAlign w:val="center"/>
          </w:tcPr>
          <w:p w14:paraId="1DBDBE79">
            <w:pPr>
              <w:pageBreakBefore w:val="0"/>
              <w:kinsoku/>
              <w:wordWrap/>
              <w:bidi w:val="0"/>
              <w:adjustRightInd w:val="0"/>
              <w:snapToGrid w:val="0"/>
              <w:spacing w:beforeAutospacing="0" w:afterAutospacing="0"/>
              <w:ind w:left="0" w:leftChars="0" w:right="0" w:rightChars="0"/>
              <w:jc w:val="center"/>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应急仓库</w:t>
            </w:r>
          </w:p>
        </w:tc>
      </w:tr>
      <w:tr w14:paraId="2ED3065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235" w:type="dxa"/>
            <w:tcBorders>
              <w:tl2br w:val="nil"/>
              <w:tr2bl w:val="nil"/>
            </w:tcBorders>
            <w:shd w:val="clear" w:color="auto" w:fill="auto"/>
            <w:noWrap/>
            <w:vAlign w:val="center"/>
          </w:tcPr>
          <w:p w14:paraId="50BECBCB">
            <w:pPr>
              <w:pageBreakBefore w:val="0"/>
              <w:numPr>
                <w:ilvl w:val="0"/>
                <w:numId w:val="0"/>
              </w:numPr>
              <w:kinsoku/>
              <w:wordWrap/>
              <w:bidi w:val="0"/>
              <w:adjustRightInd w:val="0"/>
              <w:snapToGrid w:val="0"/>
              <w:spacing w:beforeAutospacing="0" w:afterAutospacing="0"/>
              <w:ind w:left="425" w:leftChars="0" w:right="0" w:rightChars="0" w:hanging="425" w:firstLineChars="0"/>
              <w:jc w:val="center"/>
              <w:rPr>
                <w:rFonts w:hint="eastAsia" w:ascii="Times New Roman" w:hAnsi="Times New Roman" w:eastAsia="仿宋_GB2312" w:cs="Times New Roman"/>
                <w:color w:val="auto"/>
                <w:spacing w:val="0"/>
                <w:kern w:val="0"/>
                <w:position w:val="0"/>
                <w:sz w:val="21"/>
                <w:szCs w:val="21"/>
                <w:lang w:val="en-US" w:eastAsia="zh-CN" w:bidi="ar-SA"/>
              </w:rPr>
            </w:pPr>
            <w:bookmarkStart w:id="412" w:name="_Toc5829"/>
            <w:r>
              <w:rPr>
                <w:rFonts w:hint="eastAsia" w:ascii="Times New Roman" w:hAnsi="Times New Roman" w:eastAsia="仿宋_GB2312" w:cs="Times New Roman"/>
                <w:color w:val="auto"/>
                <w:spacing w:val="0"/>
                <w:kern w:val="0"/>
                <w:position w:val="0"/>
                <w:lang w:val="en-US" w:eastAsia="zh-CN"/>
              </w:rPr>
              <w:t>1</w:t>
            </w:r>
            <w:r>
              <w:rPr>
                <w:rFonts w:hint="eastAsia" w:eastAsia="仿宋_GB2312" w:cs="Times New Roman"/>
                <w:color w:val="auto"/>
                <w:spacing w:val="0"/>
                <w:kern w:val="0"/>
                <w:position w:val="0"/>
                <w:lang w:val="en-US" w:eastAsia="zh-CN"/>
              </w:rPr>
              <w:t>5</w:t>
            </w:r>
          </w:p>
        </w:tc>
        <w:tc>
          <w:tcPr>
            <w:tcW w:w="2427" w:type="dxa"/>
            <w:tcBorders>
              <w:tl2br w:val="nil"/>
              <w:tr2bl w:val="nil"/>
            </w:tcBorders>
            <w:shd w:val="clear" w:color="auto" w:fill="auto"/>
            <w:noWrap/>
            <w:vAlign w:val="center"/>
          </w:tcPr>
          <w:p w14:paraId="42F0F6E8">
            <w:pPr>
              <w:pageBreakBefore w:val="0"/>
              <w:kinsoku/>
              <w:wordWrap/>
              <w:bidi w:val="0"/>
              <w:adjustRightInd w:val="0"/>
              <w:snapToGrid w:val="0"/>
              <w:spacing w:beforeAutospacing="0" w:afterAutospacing="0"/>
              <w:ind w:left="0" w:leftChars="0" w:right="0" w:rightChars="0"/>
              <w:jc w:val="center"/>
              <w:rPr>
                <w:rFonts w:hint="eastAsia" w:ascii="Times New Roman" w:hAnsi="Times New Roman" w:eastAsia="仿宋_GB2312" w:cs="Times New Roman"/>
                <w:color w:val="auto"/>
                <w:spacing w:val="0"/>
                <w:kern w:val="0"/>
                <w:position w:val="0"/>
                <w:sz w:val="21"/>
                <w:szCs w:val="21"/>
                <w:lang w:val="en-US" w:eastAsia="zh-CN" w:bidi="ar-SA"/>
              </w:rPr>
            </w:pPr>
            <w:r>
              <w:rPr>
                <w:rFonts w:hint="eastAsia" w:ascii="Times New Roman" w:hAnsi="Times New Roman" w:eastAsia="仿宋_GB2312" w:cs="Times New Roman"/>
                <w:color w:val="auto"/>
                <w:spacing w:val="0"/>
                <w:kern w:val="0"/>
                <w:position w:val="0"/>
                <w:lang w:val="en-US" w:eastAsia="zh-CN"/>
              </w:rPr>
              <w:t>事故池</w:t>
            </w:r>
          </w:p>
        </w:tc>
        <w:tc>
          <w:tcPr>
            <w:tcW w:w="2045" w:type="dxa"/>
            <w:tcBorders>
              <w:tl2br w:val="nil"/>
              <w:tr2bl w:val="nil"/>
            </w:tcBorders>
            <w:shd w:val="clear" w:color="auto" w:fill="auto"/>
            <w:noWrap/>
            <w:vAlign w:val="center"/>
          </w:tcPr>
          <w:p w14:paraId="05B2D793">
            <w:pPr>
              <w:pageBreakBefore w:val="0"/>
              <w:kinsoku/>
              <w:wordWrap/>
              <w:bidi w:val="0"/>
              <w:adjustRightInd w:val="0"/>
              <w:snapToGrid w:val="0"/>
              <w:spacing w:beforeAutospacing="0" w:afterAutospacing="0"/>
              <w:ind w:left="0" w:leftChars="0" w:right="0" w:rightChars="0"/>
              <w:jc w:val="center"/>
              <w:rPr>
                <w:rFonts w:hint="eastAsia" w:ascii="Times New Roman" w:hAnsi="Times New Roman" w:eastAsia="仿宋_GB2312" w:cs="Times New Roman"/>
                <w:color w:val="auto"/>
                <w:spacing w:val="0"/>
                <w:kern w:val="0"/>
                <w:position w:val="0"/>
                <w:sz w:val="21"/>
                <w:szCs w:val="21"/>
                <w:lang w:val="en-US" w:eastAsia="zh-CN" w:bidi="ar-SA"/>
              </w:rPr>
            </w:pPr>
            <w:r>
              <w:rPr>
                <w:rFonts w:hint="eastAsia" w:ascii="Times New Roman" w:hAnsi="Times New Roman" w:eastAsia="仿宋_GB2312" w:cs="Times New Roman"/>
                <w:color w:val="auto"/>
                <w:spacing w:val="0"/>
                <w:kern w:val="0"/>
                <w:position w:val="0"/>
                <w:lang w:val="en-US" w:eastAsia="zh-CN"/>
              </w:rPr>
              <w:t>3000立方</w:t>
            </w:r>
          </w:p>
        </w:tc>
        <w:tc>
          <w:tcPr>
            <w:tcW w:w="2235" w:type="dxa"/>
            <w:tcBorders>
              <w:tl2br w:val="nil"/>
              <w:tr2bl w:val="nil"/>
            </w:tcBorders>
            <w:shd w:val="clear" w:color="auto" w:fill="auto"/>
            <w:noWrap/>
            <w:vAlign w:val="center"/>
          </w:tcPr>
          <w:p w14:paraId="4C6A067D">
            <w:pPr>
              <w:pageBreakBefore w:val="0"/>
              <w:kinsoku/>
              <w:wordWrap/>
              <w:bidi w:val="0"/>
              <w:adjustRightInd w:val="0"/>
              <w:snapToGrid w:val="0"/>
              <w:spacing w:beforeAutospacing="0" w:afterAutospacing="0"/>
              <w:ind w:left="0" w:leftChars="0" w:right="0" w:rightChars="0"/>
              <w:jc w:val="center"/>
              <w:rPr>
                <w:rFonts w:hint="eastAsia" w:ascii="Times New Roman" w:hAnsi="Times New Roman" w:eastAsia="仿宋_GB2312" w:cs="Times New Roman"/>
                <w:color w:val="auto"/>
                <w:spacing w:val="0"/>
                <w:kern w:val="0"/>
                <w:position w:val="0"/>
                <w:sz w:val="21"/>
                <w:szCs w:val="21"/>
                <w:lang w:val="en-US" w:eastAsia="zh-CN" w:bidi="ar-SA"/>
              </w:rPr>
            </w:pPr>
            <w:r>
              <w:rPr>
                <w:rFonts w:hint="eastAsia" w:ascii="Times New Roman" w:hAnsi="Times New Roman" w:eastAsia="仿宋_GB2312" w:cs="Times New Roman"/>
                <w:color w:val="auto"/>
                <w:spacing w:val="0"/>
                <w:kern w:val="0"/>
                <w:position w:val="0"/>
                <w:lang w:val="en-US" w:eastAsia="zh-CN"/>
              </w:rPr>
              <w:t>厂区北侧</w:t>
            </w:r>
          </w:p>
        </w:tc>
      </w:tr>
      <w:tr w14:paraId="00FB7D6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235" w:type="dxa"/>
            <w:tcBorders>
              <w:tl2br w:val="nil"/>
              <w:tr2bl w:val="nil"/>
            </w:tcBorders>
            <w:shd w:val="clear" w:color="auto" w:fill="auto"/>
            <w:noWrap/>
            <w:vAlign w:val="center"/>
          </w:tcPr>
          <w:p w14:paraId="1FA79041">
            <w:pPr>
              <w:pageBreakBefore w:val="0"/>
              <w:numPr>
                <w:ilvl w:val="0"/>
                <w:numId w:val="0"/>
              </w:numPr>
              <w:kinsoku/>
              <w:wordWrap/>
              <w:bidi w:val="0"/>
              <w:adjustRightInd w:val="0"/>
              <w:snapToGrid w:val="0"/>
              <w:spacing w:beforeAutospacing="0" w:afterAutospacing="0"/>
              <w:ind w:left="425" w:leftChars="0" w:right="0" w:rightChars="0" w:hanging="425" w:firstLineChars="0"/>
              <w:jc w:val="center"/>
              <w:rPr>
                <w:rFonts w:hint="default" w:ascii="Times New Roman" w:hAnsi="Times New Roman" w:eastAsia="仿宋_GB2312" w:cs="Times New Roman"/>
                <w:color w:val="auto"/>
                <w:spacing w:val="0"/>
                <w:kern w:val="0"/>
                <w:position w:val="0"/>
                <w:lang w:val="en-US" w:eastAsia="zh-CN"/>
              </w:rPr>
            </w:pPr>
            <w:r>
              <w:rPr>
                <w:rFonts w:hint="eastAsia" w:eastAsia="仿宋_GB2312" w:cs="Times New Roman"/>
                <w:color w:val="auto"/>
                <w:spacing w:val="0"/>
                <w:kern w:val="0"/>
                <w:position w:val="0"/>
                <w:lang w:val="en-US" w:eastAsia="zh-CN"/>
              </w:rPr>
              <w:t>16</w:t>
            </w:r>
          </w:p>
        </w:tc>
        <w:tc>
          <w:tcPr>
            <w:tcW w:w="2427" w:type="dxa"/>
            <w:tcBorders>
              <w:tl2br w:val="nil"/>
              <w:tr2bl w:val="nil"/>
            </w:tcBorders>
            <w:shd w:val="clear" w:color="auto" w:fill="auto"/>
            <w:noWrap/>
            <w:vAlign w:val="center"/>
          </w:tcPr>
          <w:p w14:paraId="3F24295B">
            <w:pPr>
              <w:pageBreakBefore w:val="0"/>
              <w:kinsoku/>
              <w:wordWrap/>
              <w:bidi w:val="0"/>
              <w:adjustRightInd w:val="0"/>
              <w:snapToGrid w:val="0"/>
              <w:spacing w:beforeAutospacing="0" w:afterAutospacing="0"/>
              <w:ind w:left="0" w:leftChars="0" w:right="0" w:rightChars="0"/>
              <w:jc w:val="center"/>
              <w:rPr>
                <w:rFonts w:hint="default" w:ascii="Times New Roman" w:hAnsi="Times New Roman" w:eastAsia="仿宋_GB2312" w:cs="Times New Roman"/>
                <w:color w:val="auto"/>
                <w:spacing w:val="0"/>
                <w:kern w:val="0"/>
                <w:position w:val="0"/>
                <w:lang w:val="en-US" w:eastAsia="zh-CN"/>
              </w:rPr>
            </w:pPr>
            <w:r>
              <w:rPr>
                <w:rFonts w:hint="eastAsia" w:eastAsia="仿宋_GB2312" w:cs="Times New Roman"/>
                <w:color w:val="auto"/>
                <w:spacing w:val="0"/>
                <w:kern w:val="0"/>
                <w:position w:val="0"/>
                <w:lang w:val="en-US" w:eastAsia="zh-CN"/>
              </w:rPr>
              <w:t>环保应急罐</w:t>
            </w:r>
          </w:p>
        </w:tc>
        <w:tc>
          <w:tcPr>
            <w:tcW w:w="2045" w:type="dxa"/>
            <w:tcBorders>
              <w:tl2br w:val="nil"/>
              <w:tr2bl w:val="nil"/>
            </w:tcBorders>
            <w:shd w:val="clear" w:color="auto" w:fill="auto"/>
            <w:noWrap/>
            <w:vAlign w:val="center"/>
          </w:tcPr>
          <w:p w14:paraId="4860B037">
            <w:pPr>
              <w:pageBreakBefore w:val="0"/>
              <w:kinsoku/>
              <w:wordWrap/>
              <w:bidi w:val="0"/>
              <w:adjustRightInd w:val="0"/>
              <w:snapToGrid w:val="0"/>
              <w:spacing w:beforeAutospacing="0" w:afterAutospacing="0"/>
              <w:ind w:left="0" w:leftChars="0" w:right="0" w:rightChars="0"/>
              <w:jc w:val="center"/>
              <w:rPr>
                <w:rFonts w:hint="eastAsia" w:ascii="Times New Roman" w:hAnsi="Times New Roman" w:eastAsia="仿宋_GB2312" w:cs="Times New Roman"/>
                <w:color w:val="auto"/>
                <w:spacing w:val="0"/>
                <w:kern w:val="0"/>
                <w:position w:val="0"/>
                <w:lang w:val="en-US" w:eastAsia="zh-CN"/>
              </w:rPr>
            </w:pPr>
            <w:r>
              <w:rPr>
                <w:rFonts w:hint="eastAsia" w:eastAsia="仿宋_GB2312"/>
                <w:kern w:val="0"/>
                <w:sz w:val="21"/>
                <w:szCs w:val="21"/>
                <w:lang w:val="en-US" w:eastAsia="zh-CN"/>
              </w:rPr>
              <w:t>3217</w:t>
            </w:r>
            <w:r>
              <w:rPr>
                <w:rFonts w:hint="eastAsia" w:ascii="Times New Roman" w:hAnsi="Times New Roman" w:eastAsia="仿宋_GB2312" w:cs="Times New Roman"/>
                <w:color w:val="auto"/>
                <w:spacing w:val="0"/>
                <w:kern w:val="0"/>
                <w:position w:val="0"/>
                <w:lang w:val="en-US" w:eastAsia="zh-CN"/>
              </w:rPr>
              <w:t>立方</w:t>
            </w:r>
          </w:p>
        </w:tc>
        <w:tc>
          <w:tcPr>
            <w:tcW w:w="2235" w:type="dxa"/>
            <w:tcBorders>
              <w:tl2br w:val="nil"/>
              <w:tr2bl w:val="nil"/>
            </w:tcBorders>
            <w:shd w:val="clear" w:color="auto" w:fill="auto"/>
            <w:noWrap/>
            <w:vAlign w:val="center"/>
          </w:tcPr>
          <w:p w14:paraId="28242970">
            <w:pPr>
              <w:pageBreakBefore w:val="0"/>
              <w:kinsoku/>
              <w:wordWrap/>
              <w:bidi w:val="0"/>
              <w:adjustRightInd w:val="0"/>
              <w:snapToGrid w:val="0"/>
              <w:spacing w:beforeAutospacing="0" w:afterAutospacing="0"/>
              <w:ind w:left="0" w:leftChars="0" w:right="0" w:rightChars="0"/>
              <w:jc w:val="center"/>
              <w:rPr>
                <w:rFonts w:hint="eastAsia" w:ascii="Times New Roman" w:hAnsi="Times New Roman" w:eastAsia="仿宋_GB2312" w:cs="Times New Roman"/>
                <w:color w:val="auto"/>
                <w:spacing w:val="0"/>
                <w:kern w:val="0"/>
                <w:position w:val="0"/>
                <w:lang w:val="en-US" w:eastAsia="zh-CN"/>
              </w:rPr>
            </w:pPr>
            <w:r>
              <w:rPr>
                <w:rFonts w:hint="eastAsia" w:ascii="Times New Roman" w:hAnsi="Times New Roman" w:eastAsia="仿宋_GB2312" w:cs="Times New Roman"/>
                <w:color w:val="auto"/>
                <w:spacing w:val="0"/>
                <w:kern w:val="0"/>
                <w:position w:val="0"/>
                <w:lang w:val="en-US" w:eastAsia="zh-CN"/>
              </w:rPr>
              <w:t>厂区</w:t>
            </w:r>
            <w:r>
              <w:rPr>
                <w:rFonts w:hint="eastAsia" w:eastAsia="仿宋_GB2312" w:cs="Times New Roman"/>
                <w:color w:val="auto"/>
                <w:spacing w:val="0"/>
                <w:kern w:val="0"/>
                <w:position w:val="0"/>
                <w:lang w:val="en-US" w:eastAsia="zh-CN"/>
              </w:rPr>
              <w:t>东</w:t>
            </w:r>
            <w:r>
              <w:rPr>
                <w:rFonts w:hint="eastAsia" w:ascii="Times New Roman" w:hAnsi="Times New Roman" w:eastAsia="仿宋_GB2312" w:cs="Times New Roman"/>
                <w:color w:val="auto"/>
                <w:spacing w:val="0"/>
                <w:kern w:val="0"/>
                <w:position w:val="0"/>
                <w:lang w:val="en-US" w:eastAsia="zh-CN"/>
              </w:rPr>
              <w:t>北侧</w:t>
            </w:r>
          </w:p>
        </w:tc>
      </w:tr>
    </w:tbl>
    <w:p w14:paraId="47F1D1D0">
      <w:pPr>
        <w:pStyle w:val="4"/>
        <w:keepNext/>
        <w:keepLines w:val="0"/>
        <w:pageBreakBefore w:val="0"/>
        <w:widowControl w:val="0"/>
        <w:kinsoku/>
        <w:wordWrap/>
        <w:overflowPunct w:val="0"/>
        <w:topLinePunct w:val="0"/>
        <w:autoSpaceDE/>
        <w:autoSpaceDN/>
        <w:bidi w:val="0"/>
        <w:adjustRightInd/>
        <w:snapToGrid w:val="0"/>
        <w:spacing w:before="0" w:line="500" w:lineRule="exact"/>
        <w:ind w:left="0" w:right="0" w:firstLine="0" w:firstLineChars="0"/>
        <w:jc w:val="both"/>
        <w:textAlignment w:val="auto"/>
        <w:outlineLvl w:val="1"/>
        <w:rPr>
          <w:rFonts w:hint="default" w:ascii="Times New Roman" w:hAnsi="Times New Roman" w:eastAsia="仿宋_GB2312" w:cs="Times New Roman"/>
          <w:b/>
          <w:bCs/>
          <w:sz w:val="24"/>
          <w:szCs w:val="24"/>
          <w:lang w:val="en-US" w:eastAsia="zh-CN"/>
        </w:rPr>
      </w:pPr>
      <w:r>
        <w:rPr>
          <w:rFonts w:hint="default" w:ascii="Times New Roman" w:hAnsi="Times New Roman" w:eastAsia="仿宋_GB2312" w:cs="Times New Roman"/>
          <w:b/>
          <w:bCs/>
          <w:sz w:val="24"/>
          <w:szCs w:val="24"/>
          <w:lang w:val="en-US" w:eastAsia="zh-CN"/>
        </w:rPr>
        <w:t>5.9 隐患排查治理</w:t>
      </w:r>
      <w:bookmarkEnd w:id="409"/>
      <w:bookmarkEnd w:id="410"/>
      <w:bookmarkEnd w:id="411"/>
      <w:bookmarkEnd w:id="412"/>
    </w:p>
    <w:p w14:paraId="5FBE6B7D">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413" w:name="_Toc21540"/>
      <w:r>
        <w:rPr>
          <w:rFonts w:hint="default" w:ascii="Times New Roman" w:hAnsi="Times New Roman" w:eastAsia="仿宋_GB2312" w:cs="Times New Roman"/>
          <w:color w:val="auto"/>
          <w:spacing w:val="0"/>
          <w:kern w:val="0"/>
          <w:position w:val="0"/>
          <w:sz w:val="24"/>
          <w:szCs w:val="24"/>
        </w:rPr>
        <w:t>一、隐患排查治理管理机构</w:t>
      </w:r>
      <w:bookmarkEnd w:id="413"/>
    </w:p>
    <w:p w14:paraId="7547F094">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414" w:name="_Toc11557"/>
      <w:r>
        <w:rPr>
          <w:rFonts w:hint="default" w:ascii="Times New Roman" w:hAnsi="Times New Roman" w:eastAsia="仿宋_GB2312" w:cs="Times New Roman"/>
          <w:color w:val="auto"/>
          <w:spacing w:val="0"/>
          <w:kern w:val="0"/>
          <w:position w:val="0"/>
          <w:sz w:val="24"/>
          <w:szCs w:val="24"/>
        </w:rPr>
        <w:t>行政部是本公司突发环境事件应急隐患排查治理的管理机构，厂长是公司环保负责人，环保专员是公司环保管理人员，污染源产生的生产部门负责人员及污染治理设施运行负责人员和相关的技术人员是公司环保技术人员，按分工承担公司突发环境事件应急隐患排查治理工作职责。</w:t>
      </w:r>
      <w:bookmarkEnd w:id="414"/>
    </w:p>
    <w:p w14:paraId="50151282">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415" w:name="_Toc14487"/>
      <w:r>
        <w:rPr>
          <w:rFonts w:hint="default" w:ascii="Times New Roman" w:hAnsi="Times New Roman" w:eastAsia="仿宋_GB2312" w:cs="Times New Roman"/>
          <w:color w:val="auto"/>
          <w:spacing w:val="0"/>
          <w:kern w:val="0"/>
          <w:position w:val="0"/>
          <w:sz w:val="24"/>
          <w:szCs w:val="24"/>
        </w:rPr>
        <w:t>二、隐患排查治理责任制</w:t>
      </w:r>
      <w:bookmarkEnd w:id="415"/>
    </w:p>
    <w:p w14:paraId="3ABDB030">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416" w:name="_Toc1616"/>
      <w:r>
        <w:rPr>
          <w:rFonts w:hint="default" w:ascii="Times New Roman" w:hAnsi="Times New Roman" w:eastAsia="仿宋_GB2312" w:cs="Times New Roman"/>
          <w:color w:val="auto"/>
          <w:spacing w:val="0"/>
          <w:kern w:val="0"/>
          <w:position w:val="0"/>
          <w:sz w:val="24"/>
          <w:szCs w:val="24"/>
        </w:rPr>
        <w:t>1、公司环保负责人对本公司隐患排查治理工作全面负责，统一组织、领导和协调本公司隐患排查治理工作，保证资金投入，及时掌握、监督重大隐患治理情况；</w:t>
      </w:r>
      <w:bookmarkEnd w:id="416"/>
    </w:p>
    <w:p w14:paraId="71C36CE2">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417" w:name="_Toc29355"/>
      <w:r>
        <w:rPr>
          <w:rFonts w:hint="default" w:ascii="Times New Roman" w:hAnsi="Times New Roman" w:eastAsia="仿宋_GB2312" w:cs="Times New Roman"/>
          <w:color w:val="auto"/>
          <w:spacing w:val="0"/>
          <w:kern w:val="0"/>
          <w:position w:val="0"/>
          <w:sz w:val="24"/>
          <w:szCs w:val="24"/>
        </w:rPr>
        <w:t>2、污染源产生的生产部门负责人员及污染治理设施运行负责人员，是每个区域的责任人，承担隐患排查治理责任。</w:t>
      </w:r>
      <w:bookmarkEnd w:id="417"/>
    </w:p>
    <w:p w14:paraId="3B95207F">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418" w:name="_Toc31733"/>
      <w:r>
        <w:rPr>
          <w:rFonts w:hint="default" w:ascii="Times New Roman" w:hAnsi="Times New Roman" w:eastAsia="仿宋_GB2312" w:cs="Times New Roman"/>
          <w:color w:val="auto"/>
          <w:spacing w:val="0"/>
          <w:kern w:val="0"/>
          <w:position w:val="0"/>
          <w:sz w:val="24"/>
          <w:szCs w:val="24"/>
        </w:rPr>
        <w:t>3、公司环保负责人组织污染源产生的生产部门负责人员及污染治理设施运行负责人员，制定突发环境事件风险防控设施的操作规程和检查、运行、维修与维护等规定，确保各设施处于正常完好状态。</w:t>
      </w:r>
      <w:bookmarkEnd w:id="418"/>
    </w:p>
    <w:p w14:paraId="71E62E4C">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419" w:name="_Toc18485"/>
      <w:r>
        <w:rPr>
          <w:rFonts w:hint="default" w:ascii="Times New Roman" w:hAnsi="Times New Roman" w:eastAsia="仿宋_GB2312" w:cs="Times New Roman"/>
          <w:color w:val="auto"/>
          <w:spacing w:val="0"/>
          <w:kern w:val="0"/>
          <w:position w:val="0"/>
          <w:sz w:val="24"/>
          <w:szCs w:val="24"/>
        </w:rPr>
        <w:t>4、公司环保管理人员和生产部门负责人员及污染治理设施运行负责人员，分别实施隐患排查治理的自查、自报、自改、自验工作，如实记录隐患排查治理情况，形成档案文件并做好存档。</w:t>
      </w:r>
      <w:bookmarkEnd w:id="419"/>
    </w:p>
    <w:p w14:paraId="626EC980">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420" w:name="_Toc29065"/>
      <w:r>
        <w:rPr>
          <w:rFonts w:hint="default" w:ascii="Times New Roman" w:hAnsi="Times New Roman" w:eastAsia="仿宋_GB2312" w:cs="Times New Roman"/>
          <w:color w:val="auto"/>
          <w:spacing w:val="0"/>
          <w:kern w:val="0"/>
          <w:position w:val="0"/>
          <w:sz w:val="24"/>
          <w:szCs w:val="24"/>
        </w:rPr>
        <w:t>5、公司环保负责人组织及时修订公司突发环境事件应急预案、完善相关突发环境事件风险防控措施。</w:t>
      </w:r>
      <w:bookmarkEnd w:id="420"/>
    </w:p>
    <w:p w14:paraId="24171FB0">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421" w:name="_Toc14338"/>
      <w:r>
        <w:rPr>
          <w:rFonts w:hint="default" w:ascii="Times New Roman" w:hAnsi="Times New Roman" w:eastAsia="仿宋_GB2312" w:cs="Times New Roman"/>
          <w:color w:val="auto"/>
          <w:spacing w:val="0"/>
          <w:kern w:val="0"/>
          <w:position w:val="0"/>
          <w:sz w:val="24"/>
          <w:szCs w:val="24"/>
        </w:rPr>
        <w:t>6、公司环保管理人员定期对员工进行隐患排查治理相关知识的宣传和培训。</w:t>
      </w:r>
      <w:bookmarkEnd w:id="421"/>
    </w:p>
    <w:p w14:paraId="37F1A8D9">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snapToGrid w:val="0"/>
          <w:color w:val="auto"/>
          <w:spacing w:val="0"/>
          <w:kern w:val="0"/>
          <w:position w:val="0"/>
          <w:sz w:val="24"/>
          <w:szCs w:val="24"/>
        </w:rPr>
      </w:pPr>
      <w:r>
        <w:rPr>
          <w:rFonts w:hint="default" w:ascii="Times New Roman" w:hAnsi="Times New Roman" w:eastAsia="仿宋_GB2312" w:cs="Times New Roman"/>
          <w:snapToGrid w:val="0"/>
          <w:color w:val="auto"/>
          <w:spacing w:val="0"/>
          <w:kern w:val="0"/>
          <w:position w:val="0"/>
          <w:sz w:val="24"/>
          <w:szCs w:val="24"/>
        </w:rPr>
        <w:t>三、隐患排查方式和频次</w:t>
      </w:r>
    </w:p>
    <w:p w14:paraId="4D215AC9">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snapToGrid w:val="0"/>
          <w:color w:val="auto"/>
          <w:spacing w:val="0"/>
          <w:kern w:val="0"/>
          <w:position w:val="0"/>
          <w:sz w:val="24"/>
          <w:szCs w:val="24"/>
        </w:rPr>
      </w:pPr>
      <w:bookmarkStart w:id="422" w:name="_Toc13373"/>
      <w:r>
        <w:rPr>
          <w:rFonts w:hint="default" w:ascii="Times New Roman" w:hAnsi="Times New Roman" w:eastAsia="仿宋_GB2312" w:cs="Times New Roman"/>
          <w:snapToGrid w:val="0"/>
          <w:color w:val="auto"/>
          <w:spacing w:val="0"/>
          <w:kern w:val="0"/>
          <w:position w:val="0"/>
          <w:sz w:val="24"/>
          <w:szCs w:val="24"/>
        </w:rPr>
        <w:t>1、综合考虑公司自身突发环境事件风险等级、生产工况等因素，由公司环保管理人员合理制定年度工作计划，明确排查频次、排查规模、排查项目等内容。</w:t>
      </w:r>
      <w:bookmarkEnd w:id="422"/>
    </w:p>
    <w:p w14:paraId="457807A6">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snapToGrid w:val="0"/>
          <w:color w:val="auto"/>
          <w:spacing w:val="0"/>
          <w:kern w:val="0"/>
          <w:position w:val="0"/>
          <w:sz w:val="24"/>
          <w:szCs w:val="24"/>
        </w:rPr>
      </w:pPr>
      <w:bookmarkStart w:id="423" w:name="_Toc30430"/>
      <w:r>
        <w:rPr>
          <w:rFonts w:hint="default" w:ascii="Times New Roman" w:hAnsi="Times New Roman" w:eastAsia="仿宋_GB2312" w:cs="Times New Roman"/>
          <w:snapToGrid w:val="0"/>
          <w:color w:val="auto"/>
          <w:spacing w:val="0"/>
          <w:kern w:val="0"/>
          <w:position w:val="0"/>
          <w:sz w:val="24"/>
          <w:szCs w:val="24"/>
        </w:rPr>
        <w:t>2、根据排查频次、排查规模、排查项目不同，公司突发环境事件应急隐患排查分为综合排查、日常排查、专项排查及抽查等方式。公司建立以日常排查为主的隐患排查工作机制，及时发现并治理隐患。</w:t>
      </w:r>
      <w:bookmarkEnd w:id="423"/>
    </w:p>
    <w:p w14:paraId="6CC96E43">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snapToGrid w:val="0"/>
          <w:color w:val="auto"/>
          <w:spacing w:val="0"/>
          <w:kern w:val="0"/>
          <w:position w:val="0"/>
          <w:sz w:val="24"/>
          <w:szCs w:val="24"/>
        </w:rPr>
      </w:pPr>
      <w:bookmarkStart w:id="424" w:name="_Toc17662"/>
      <w:r>
        <w:rPr>
          <w:rFonts w:hint="default" w:ascii="Times New Roman" w:hAnsi="Times New Roman" w:eastAsia="仿宋_GB2312" w:cs="Times New Roman"/>
          <w:snapToGrid w:val="0"/>
          <w:color w:val="auto"/>
          <w:spacing w:val="0"/>
          <w:kern w:val="0"/>
          <w:position w:val="0"/>
          <w:sz w:val="24"/>
          <w:szCs w:val="24"/>
        </w:rPr>
        <w:t>3、综合排查是指公司以厂区为单位开展全面排查，一年应不少于一次。</w:t>
      </w:r>
      <w:bookmarkEnd w:id="424"/>
    </w:p>
    <w:p w14:paraId="24EBDECF">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snapToGrid w:val="0"/>
          <w:color w:val="auto"/>
          <w:spacing w:val="0"/>
          <w:kern w:val="0"/>
          <w:position w:val="0"/>
          <w:sz w:val="24"/>
          <w:szCs w:val="24"/>
        </w:rPr>
      </w:pPr>
      <w:bookmarkStart w:id="425" w:name="_Toc11660"/>
      <w:r>
        <w:rPr>
          <w:rFonts w:hint="default" w:ascii="Times New Roman" w:hAnsi="Times New Roman" w:eastAsia="仿宋_GB2312" w:cs="Times New Roman"/>
          <w:snapToGrid w:val="0"/>
          <w:color w:val="auto"/>
          <w:spacing w:val="0"/>
          <w:kern w:val="0"/>
          <w:position w:val="0"/>
          <w:sz w:val="24"/>
          <w:szCs w:val="24"/>
        </w:rPr>
        <w:t>日常排查是指以班组、工段、车间为单位，组织的对单个或几个项目采取日常的、巡视性的排查工作，其频次根据具体排查项目确定。一月应不少于一次。</w:t>
      </w:r>
      <w:bookmarkEnd w:id="425"/>
    </w:p>
    <w:p w14:paraId="3473726E">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snapToGrid w:val="0"/>
          <w:color w:val="auto"/>
          <w:spacing w:val="0"/>
          <w:kern w:val="0"/>
          <w:position w:val="0"/>
          <w:sz w:val="24"/>
          <w:szCs w:val="24"/>
        </w:rPr>
      </w:pPr>
      <w:bookmarkStart w:id="426" w:name="_Toc31812"/>
      <w:r>
        <w:rPr>
          <w:rFonts w:hint="default" w:ascii="Times New Roman" w:hAnsi="Times New Roman" w:eastAsia="仿宋_GB2312" w:cs="Times New Roman"/>
          <w:snapToGrid w:val="0"/>
          <w:color w:val="auto"/>
          <w:spacing w:val="0"/>
          <w:kern w:val="0"/>
          <w:position w:val="0"/>
          <w:sz w:val="24"/>
          <w:szCs w:val="24"/>
        </w:rPr>
        <w:t>专项排查是在特定时间或对特定区域、设备、措施进行的专门性排查。其频次根据实际需要确定。</w:t>
      </w:r>
      <w:bookmarkEnd w:id="426"/>
    </w:p>
    <w:p w14:paraId="24CE7D20">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427" w:name="_Toc13151"/>
      <w:r>
        <w:rPr>
          <w:rFonts w:hint="default" w:ascii="Times New Roman" w:hAnsi="Times New Roman" w:eastAsia="仿宋_GB2312" w:cs="Times New Roman"/>
          <w:color w:val="auto"/>
          <w:spacing w:val="0"/>
          <w:kern w:val="0"/>
          <w:position w:val="0"/>
          <w:sz w:val="24"/>
          <w:szCs w:val="24"/>
        </w:rPr>
        <w:t>公司根据自身管理流程，由环保负责人组织采取抽查方式排查隐患。</w:t>
      </w:r>
      <w:bookmarkEnd w:id="427"/>
    </w:p>
    <w:p w14:paraId="68733188">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428" w:name="_Toc12023"/>
      <w:r>
        <w:rPr>
          <w:rFonts w:hint="default" w:ascii="Times New Roman" w:hAnsi="Times New Roman" w:eastAsia="仿宋_GB2312" w:cs="Times New Roman"/>
          <w:color w:val="auto"/>
          <w:spacing w:val="0"/>
          <w:kern w:val="0"/>
          <w:position w:val="0"/>
          <w:sz w:val="24"/>
          <w:szCs w:val="24"/>
        </w:rPr>
        <w:t>4、在完成年度计划的基础上，当出现下列情况时由环保管理人员组织及时进行隐患排查：</w:t>
      </w:r>
      <w:bookmarkEnd w:id="428"/>
    </w:p>
    <w:p w14:paraId="1CAB3C1F">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429" w:name="_Toc31080"/>
      <w:r>
        <w:rPr>
          <w:rFonts w:hint="default" w:ascii="Times New Roman" w:hAnsi="Times New Roman" w:eastAsia="仿宋_GB2312" w:cs="Times New Roman"/>
          <w:color w:val="auto"/>
          <w:spacing w:val="0"/>
          <w:kern w:val="0"/>
          <w:position w:val="0"/>
          <w:sz w:val="24"/>
          <w:szCs w:val="24"/>
        </w:rPr>
        <w:t>（1）出现不符合新颁布、修订的相关法律、法规、标准、产业政策等情况的；</w:t>
      </w:r>
      <w:bookmarkEnd w:id="429"/>
    </w:p>
    <w:p w14:paraId="727D0A80">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430" w:name="_Toc17047"/>
      <w:r>
        <w:rPr>
          <w:rFonts w:hint="default" w:ascii="Times New Roman" w:hAnsi="Times New Roman" w:eastAsia="仿宋_GB2312" w:cs="Times New Roman"/>
          <w:color w:val="auto"/>
          <w:spacing w:val="0"/>
          <w:kern w:val="0"/>
          <w:position w:val="0"/>
          <w:sz w:val="24"/>
          <w:szCs w:val="24"/>
        </w:rPr>
        <w:t>（2）有新建、改建、扩建项目的；</w:t>
      </w:r>
      <w:bookmarkEnd w:id="430"/>
    </w:p>
    <w:p w14:paraId="4162296C">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431" w:name="_Toc3318"/>
      <w:r>
        <w:rPr>
          <w:rFonts w:hint="default" w:ascii="Times New Roman" w:hAnsi="Times New Roman" w:eastAsia="仿宋_GB2312" w:cs="Times New Roman"/>
          <w:color w:val="auto"/>
          <w:spacing w:val="0"/>
          <w:kern w:val="0"/>
          <w:position w:val="0"/>
          <w:sz w:val="24"/>
          <w:szCs w:val="24"/>
        </w:rPr>
        <w:t>（3）突发环境事件风险物质发生重大变化导致突发环境事件风险等级发生变化的；</w:t>
      </w:r>
      <w:bookmarkEnd w:id="431"/>
    </w:p>
    <w:p w14:paraId="5E175E93">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432" w:name="_Toc7620"/>
      <w:r>
        <w:rPr>
          <w:rFonts w:hint="default" w:ascii="Times New Roman" w:hAnsi="Times New Roman" w:eastAsia="仿宋_GB2312" w:cs="Times New Roman"/>
          <w:color w:val="auto"/>
          <w:spacing w:val="0"/>
          <w:kern w:val="0"/>
          <w:position w:val="0"/>
          <w:sz w:val="24"/>
          <w:szCs w:val="24"/>
        </w:rPr>
        <w:t>（4）管理组织应急指挥体系机构、人员与职责发生重大变化的；</w:t>
      </w:r>
      <w:bookmarkEnd w:id="432"/>
    </w:p>
    <w:p w14:paraId="130E0CBF">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433" w:name="_Toc13963"/>
      <w:r>
        <w:rPr>
          <w:rFonts w:hint="default" w:ascii="Times New Roman" w:hAnsi="Times New Roman" w:eastAsia="仿宋_GB2312" w:cs="Times New Roman"/>
          <w:color w:val="auto"/>
          <w:spacing w:val="0"/>
          <w:kern w:val="0"/>
          <w:position w:val="0"/>
          <w:sz w:val="24"/>
          <w:szCs w:val="24"/>
        </w:rPr>
        <w:t>（5）生产废水系统、雨水系统、清净下水系统、事故排水系统发生变化的；</w:t>
      </w:r>
      <w:bookmarkEnd w:id="433"/>
    </w:p>
    <w:p w14:paraId="45765CE2">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434" w:name="_Toc31183"/>
      <w:r>
        <w:rPr>
          <w:rFonts w:hint="default" w:ascii="Times New Roman" w:hAnsi="Times New Roman" w:eastAsia="仿宋_GB2312" w:cs="Times New Roman"/>
          <w:color w:val="auto"/>
          <w:spacing w:val="0"/>
          <w:kern w:val="0"/>
          <w:position w:val="0"/>
          <w:sz w:val="24"/>
          <w:szCs w:val="24"/>
        </w:rPr>
        <w:t>（6）废水总排口、雨水排口、清净下水排口与水环境风险受体连接通道发生变化的；</w:t>
      </w:r>
      <w:bookmarkEnd w:id="434"/>
    </w:p>
    <w:p w14:paraId="6A94D23B">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435" w:name="_Toc31143"/>
      <w:r>
        <w:rPr>
          <w:rFonts w:hint="default" w:ascii="Times New Roman" w:hAnsi="Times New Roman" w:eastAsia="仿宋_GB2312" w:cs="Times New Roman"/>
          <w:color w:val="auto"/>
          <w:spacing w:val="0"/>
          <w:kern w:val="0"/>
          <w:position w:val="0"/>
          <w:sz w:val="24"/>
          <w:szCs w:val="24"/>
        </w:rPr>
        <w:t>（7）周边大气和水环境风险受体发生变化的；</w:t>
      </w:r>
      <w:bookmarkEnd w:id="435"/>
    </w:p>
    <w:p w14:paraId="53729EBA">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436" w:name="_Toc1510"/>
      <w:r>
        <w:rPr>
          <w:rFonts w:hint="default" w:ascii="Times New Roman" w:hAnsi="Times New Roman" w:eastAsia="仿宋_GB2312" w:cs="Times New Roman"/>
          <w:color w:val="auto"/>
          <w:spacing w:val="0"/>
          <w:kern w:val="0"/>
          <w:position w:val="0"/>
          <w:sz w:val="24"/>
          <w:szCs w:val="24"/>
        </w:rPr>
        <w:t>（8）季节转换或发布气象灾害预警、地质地震灾害预报的；</w:t>
      </w:r>
      <w:bookmarkEnd w:id="436"/>
    </w:p>
    <w:p w14:paraId="06B480FD">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437" w:name="_Toc17343"/>
      <w:r>
        <w:rPr>
          <w:rFonts w:hint="default" w:ascii="Times New Roman" w:hAnsi="Times New Roman" w:eastAsia="仿宋_GB2312" w:cs="Times New Roman"/>
          <w:color w:val="auto"/>
          <w:spacing w:val="0"/>
          <w:kern w:val="0"/>
          <w:position w:val="0"/>
          <w:sz w:val="24"/>
          <w:szCs w:val="24"/>
        </w:rPr>
        <w:t>（9）敏感时期、重大节假日或重大活动前；</w:t>
      </w:r>
      <w:bookmarkEnd w:id="437"/>
    </w:p>
    <w:p w14:paraId="5ADF8E9B">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438" w:name="_Toc4261"/>
      <w:r>
        <w:rPr>
          <w:rFonts w:hint="default" w:ascii="Times New Roman" w:hAnsi="Times New Roman" w:eastAsia="仿宋_GB2312" w:cs="Times New Roman"/>
          <w:color w:val="auto"/>
          <w:spacing w:val="0"/>
          <w:kern w:val="0"/>
          <w:position w:val="0"/>
          <w:sz w:val="24"/>
          <w:szCs w:val="24"/>
        </w:rPr>
        <w:t>（10）突发环境事件发生后或本地区其他同类企业发生突发环境事件的；</w:t>
      </w:r>
      <w:bookmarkEnd w:id="438"/>
    </w:p>
    <w:p w14:paraId="38E19459">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439" w:name="_Toc19479"/>
      <w:r>
        <w:rPr>
          <w:rFonts w:hint="default" w:ascii="Times New Roman" w:hAnsi="Times New Roman" w:eastAsia="仿宋_GB2312" w:cs="Times New Roman"/>
          <w:color w:val="auto"/>
          <w:spacing w:val="0"/>
          <w:kern w:val="0"/>
          <w:position w:val="0"/>
          <w:sz w:val="24"/>
          <w:szCs w:val="24"/>
        </w:rPr>
        <w:t>（11）发生生产安全事故或自然灾害的；</w:t>
      </w:r>
      <w:bookmarkEnd w:id="439"/>
    </w:p>
    <w:p w14:paraId="57EF882D">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440" w:name="_Toc21252"/>
      <w:r>
        <w:rPr>
          <w:rFonts w:hint="default" w:ascii="Times New Roman" w:hAnsi="Times New Roman" w:eastAsia="仿宋_GB2312" w:cs="Times New Roman"/>
          <w:color w:val="auto"/>
          <w:spacing w:val="0"/>
          <w:kern w:val="0"/>
          <w:position w:val="0"/>
          <w:sz w:val="24"/>
          <w:szCs w:val="24"/>
        </w:rPr>
        <w:t>（12）企业停产后恢复生产前。</w:t>
      </w:r>
      <w:bookmarkEnd w:id="440"/>
    </w:p>
    <w:p w14:paraId="34E2666D">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441" w:name="_Toc29538"/>
      <w:r>
        <w:rPr>
          <w:rFonts w:hint="default" w:ascii="Times New Roman" w:hAnsi="Times New Roman" w:eastAsia="仿宋_GB2312" w:cs="Times New Roman"/>
          <w:color w:val="auto"/>
          <w:spacing w:val="0"/>
          <w:kern w:val="0"/>
          <w:position w:val="0"/>
          <w:sz w:val="24"/>
          <w:szCs w:val="24"/>
        </w:rPr>
        <w:t>四、突发环境事件应急管理隐患排查</w:t>
      </w:r>
      <w:bookmarkEnd w:id="441"/>
    </w:p>
    <w:p w14:paraId="07A1D886">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442" w:name="_Toc4103"/>
      <w:r>
        <w:rPr>
          <w:rFonts w:hint="default" w:ascii="Times New Roman" w:hAnsi="Times New Roman" w:eastAsia="仿宋_GB2312" w:cs="Times New Roman"/>
          <w:color w:val="auto"/>
          <w:spacing w:val="0"/>
          <w:kern w:val="0"/>
          <w:position w:val="0"/>
          <w:sz w:val="24"/>
          <w:szCs w:val="24"/>
        </w:rPr>
        <w:t>突发环境事件应急管理隐患排查，由环保管理人员组织进行。以厂区为单位开展全面排查，一年应不少于一次。出现不符合新颁布、修订的相关法律、法规、标准、产业政策等情况时，应当及时组织隐患排查。</w:t>
      </w:r>
      <w:bookmarkEnd w:id="442"/>
    </w:p>
    <w:p w14:paraId="73173198">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443" w:name="_Toc10571"/>
      <w:r>
        <w:rPr>
          <w:rFonts w:hint="default" w:ascii="Times New Roman" w:hAnsi="Times New Roman" w:eastAsia="仿宋_GB2312" w:cs="Times New Roman"/>
          <w:color w:val="auto"/>
          <w:spacing w:val="0"/>
          <w:kern w:val="0"/>
          <w:position w:val="0"/>
          <w:sz w:val="24"/>
          <w:szCs w:val="24"/>
        </w:rPr>
        <w:t>突发环境事件应急管理隐患排查内容：</w:t>
      </w:r>
      <w:bookmarkEnd w:id="443"/>
    </w:p>
    <w:p w14:paraId="5BF437CA">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444" w:name="_Toc5784"/>
      <w:r>
        <w:rPr>
          <w:rFonts w:hint="default" w:ascii="Times New Roman" w:hAnsi="Times New Roman" w:eastAsia="仿宋_GB2312" w:cs="Times New Roman"/>
          <w:color w:val="auto"/>
          <w:spacing w:val="0"/>
          <w:kern w:val="0"/>
          <w:position w:val="0"/>
          <w:sz w:val="24"/>
          <w:szCs w:val="24"/>
        </w:rPr>
        <w:t>（1）是否按规定开展突发环境事件风险评估，确定风险等级情况。</w:t>
      </w:r>
      <w:bookmarkEnd w:id="444"/>
    </w:p>
    <w:p w14:paraId="2EC83566">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445" w:name="_Toc20308"/>
      <w:r>
        <w:rPr>
          <w:rFonts w:hint="default" w:ascii="Times New Roman" w:hAnsi="Times New Roman" w:eastAsia="仿宋_GB2312" w:cs="Times New Roman"/>
          <w:color w:val="auto"/>
          <w:spacing w:val="0"/>
          <w:kern w:val="0"/>
          <w:position w:val="0"/>
          <w:sz w:val="24"/>
          <w:szCs w:val="24"/>
        </w:rPr>
        <w:t>（2）是否按规定制定突发环境事件应急预案并备案情况。</w:t>
      </w:r>
      <w:bookmarkEnd w:id="445"/>
    </w:p>
    <w:p w14:paraId="25833576">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446" w:name="_Toc24427"/>
      <w:r>
        <w:rPr>
          <w:rFonts w:hint="default" w:ascii="Times New Roman" w:hAnsi="Times New Roman" w:eastAsia="仿宋_GB2312" w:cs="Times New Roman"/>
          <w:color w:val="auto"/>
          <w:spacing w:val="0"/>
          <w:kern w:val="0"/>
          <w:position w:val="0"/>
          <w:sz w:val="24"/>
          <w:szCs w:val="24"/>
        </w:rPr>
        <w:t>（3）是按规定建立健全隐患排查治理制度，开展隐患排查治理工作和建立档案情况。</w:t>
      </w:r>
      <w:bookmarkEnd w:id="446"/>
    </w:p>
    <w:p w14:paraId="5A8911F5">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447" w:name="_Toc2995"/>
      <w:r>
        <w:rPr>
          <w:rFonts w:hint="default" w:ascii="Times New Roman" w:hAnsi="Times New Roman" w:eastAsia="仿宋_GB2312" w:cs="Times New Roman"/>
          <w:color w:val="auto"/>
          <w:spacing w:val="0"/>
          <w:kern w:val="0"/>
          <w:position w:val="0"/>
          <w:sz w:val="24"/>
          <w:szCs w:val="24"/>
        </w:rPr>
        <w:t>（4）是否按规定开展突发环境事件应急培训，如实记录培训情况。</w:t>
      </w:r>
      <w:bookmarkEnd w:id="447"/>
    </w:p>
    <w:p w14:paraId="1FFC2642">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448" w:name="_Toc3815"/>
      <w:r>
        <w:rPr>
          <w:rFonts w:hint="default" w:ascii="Times New Roman" w:hAnsi="Times New Roman" w:eastAsia="仿宋_GB2312" w:cs="Times New Roman"/>
          <w:color w:val="auto"/>
          <w:spacing w:val="0"/>
          <w:kern w:val="0"/>
          <w:position w:val="0"/>
          <w:sz w:val="24"/>
          <w:szCs w:val="24"/>
        </w:rPr>
        <w:t>（5）是否按规定储备必要的环境应急装备和物资情况。</w:t>
      </w:r>
      <w:bookmarkEnd w:id="448"/>
    </w:p>
    <w:p w14:paraId="3268712F">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449" w:name="_Toc21524"/>
      <w:r>
        <w:rPr>
          <w:rFonts w:hint="default" w:ascii="Times New Roman" w:hAnsi="Times New Roman" w:eastAsia="仿宋_GB2312" w:cs="Times New Roman"/>
          <w:color w:val="auto"/>
          <w:spacing w:val="0"/>
          <w:kern w:val="0"/>
          <w:position w:val="0"/>
          <w:sz w:val="24"/>
          <w:szCs w:val="24"/>
        </w:rPr>
        <w:t>（6）是否按规定公开突发环境事件应急预案及演练情况。</w:t>
      </w:r>
      <w:bookmarkEnd w:id="449"/>
    </w:p>
    <w:p w14:paraId="0CDB7718">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450" w:name="_Toc9059"/>
      <w:r>
        <w:rPr>
          <w:rFonts w:hint="default" w:ascii="Times New Roman" w:hAnsi="Times New Roman" w:eastAsia="仿宋_GB2312" w:cs="Times New Roman"/>
          <w:color w:val="auto"/>
          <w:spacing w:val="0"/>
          <w:kern w:val="0"/>
          <w:position w:val="0"/>
          <w:sz w:val="24"/>
          <w:szCs w:val="24"/>
        </w:rPr>
        <w:t>五、突发环境事件风险防控措施隐患排查</w:t>
      </w:r>
      <w:bookmarkEnd w:id="450"/>
    </w:p>
    <w:p w14:paraId="00872500">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451" w:name="_Toc30567"/>
      <w:r>
        <w:rPr>
          <w:rFonts w:hint="default" w:ascii="Times New Roman" w:hAnsi="Times New Roman" w:eastAsia="仿宋_GB2312" w:cs="Times New Roman"/>
          <w:color w:val="auto"/>
          <w:spacing w:val="0"/>
          <w:kern w:val="0"/>
          <w:position w:val="0"/>
          <w:sz w:val="24"/>
          <w:szCs w:val="24"/>
        </w:rPr>
        <w:t>突发环境事件风险防控措施隐患排查，由污染源产生的生产部门负责人员及污染治理设施运行负责人员组织进行。对项目采取日常的、巡视性的排查工作，一月应不少于一次。当出现第五项第4条情况时，应当及时组织隐患排查。</w:t>
      </w:r>
      <w:bookmarkEnd w:id="451"/>
    </w:p>
    <w:p w14:paraId="730A3E96">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452" w:name="_Toc6710"/>
      <w:r>
        <w:rPr>
          <w:rFonts w:hint="default" w:ascii="Times New Roman" w:hAnsi="Times New Roman" w:eastAsia="仿宋_GB2312" w:cs="Times New Roman"/>
          <w:color w:val="auto"/>
          <w:spacing w:val="0"/>
          <w:kern w:val="0"/>
          <w:position w:val="0"/>
          <w:sz w:val="24"/>
          <w:szCs w:val="24"/>
        </w:rPr>
        <w:t>（一）突发水环境事件风险防控措施</w:t>
      </w:r>
      <w:bookmarkEnd w:id="452"/>
    </w:p>
    <w:p w14:paraId="7CF5CE01">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jc w:val="left"/>
        <w:textAlignment w:val="baseline"/>
        <w:outlineLvl w:val="9"/>
        <w:rPr>
          <w:rFonts w:hint="default" w:ascii="Times New Roman" w:hAnsi="Times New Roman" w:eastAsia="仿宋_GB2312" w:cs="Times New Roman"/>
          <w:snapToGrid w:val="0"/>
          <w:color w:val="auto"/>
          <w:spacing w:val="0"/>
          <w:kern w:val="0"/>
          <w:position w:val="0"/>
          <w:sz w:val="24"/>
          <w:szCs w:val="24"/>
        </w:rPr>
      </w:pPr>
      <w:bookmarkStart w:id="453" w:name="_Toc26405"/>
      <w:r>
        <w:rPr>
          <w:rFonts w:hint="default" w:ascii="Times New Roman" w:hAnsi="Times New Roman" w:eastAsia="仿宋_GB2312" w:cs="Times New Roman"/>
          <w:snapToGrid w:val="0"/>
          <w:color w:val="auto"/>
          <w:spacing w:val="0"/>
          <w:kern w:val="0"/>
          <w:position w:val="0"/>
          <w:sz w:val="24"/>
          <w:szCs w:val="24"/>
        </w:rPr>
        <w:t>从以下几方面排查突发水环境事件风险防范措施：</w:t>
      </w:r>
      <w:bookmarkEnd w:id="453"/>
    </w:p>
    <w:p w14:paraId="03F8A847">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jc w:val="left"/>
        <w:textAlignment w:val="baseline"/>
        <w:outlineLvl w:val="9"/>
        <w:rPr>
          <w:rFonts w:hint="default" w:ascii="Times New Roman" w:hAnsi="Times New Roman" w:eastAsia="仿宋_GB2312" w:cs="Times New Roman"/>
          <w:snapToGrid w:val="0"/>
          <w:color w:val="auto"/>
          <w:spacing w:val="0"/>
          <w:kern w:val="0"/>
          <w:position w:val="0"/>
          <w:sz w:val="24"/>
          <w:szCs w:val="24"/>
          <w:lang w:eastAsia="zh-CN"/>
        </w:rPr>
      </w:pPr>
      <w:bookmarkStart w:id="454" w:name="_Toc27249"/>
      <w:r>
        <w:rPr>
          <w:rFonts w:hint="default" w:ascii="Times New Roman" w:hAnsi="Times New Roman" w:eastAsia="仿宋_GB2312" w:cs="Times New Roman"/>
          <w:snapToGrid w:val="0"/>
          <w:color w:val="auto"/>
          <w:spacing w:val="0"/>
          <w:kern w:val="0"/>
          <w:position w:val="0"/>
          <w:sz w:val="24"/>
          <w:szCs w:val="24"/>
        </w:rPr>
        <w:t>（1）是否设置中间事故缓冲设施、事故应急水池或事故存液池等各类应急池；应急池容积是否满足环评文件及批复等相关文件要求；应急池位置是否合理，是否能确保所有受污染的雨水、消防水和泄漏物等通过排水系统接入应急池或全部收集；是否通过厂区内部管线或协议单位，将所收集的废（污）水送至污水处理设施处理</w:t>
      </w:r>
      <w:bookmarkEnd w:id="454"/>
      <w:r>
        <w:rPr>
          <w:rFonts w:hint="default" w:ascii="Times New Roman" w:hAnsi="Times New Roman" w:eastAsia="仿宋_GB2312" w:cs="Times New Roman"/>
          <w:snapToGrid w:val="0"/>
          <w:color w:val="auto"/>
          <w:spacing w:val="0"/>
          <w:kern w:val="0"/>
          <w:position w:val="0"/>
          <w:sz w:val="24"/>
          <w:szCs w:val="24"/>
          <w:lang w:eastAsia="zh-CN"/>
        </w:rPr>
        <w:t>；</w:t>
      </w:r>
    </w:p>
    <w:p w14:paraId="16AEC3B3">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jc w:val="left"/>
        <w:textAlignment w:val="baseline"/>
        <w:outlineLvl w:val="9"/>
        <w:rPr>
          <w:rFonts w:hint="default" w:ascii="Times New Roman" w:hAnsi="Times New Roman" w:eastAsia="仿宋_GB2312" w:cs="Times New Roman"/>
          <w:snapToGrid w:val="0"/>
          <w:color w:val="auto"/>
          <w:spacing w:val="0"/>
          <w:kern w:val="0"/>
          <w:position w:val="0"/>
          <w:sz w:val="24"/>
          <w:szCs w:val="24"/>
        </w:rPr>
      </w:pPr>
      <w:bookmarkStart w:id="455" w:name="_Toc17328"/>
      <w:r>
        <w:rPr>
          <w:rFonts w:hint="default" w:ascii="Times New Roman" w:hAnsi="Times New Roman" w:eastAsia="仿宋_GB2312" w:cs="Times New Roman"/>
          <w:snapToGrid w:val="0"/>
          <w:color w:val="auto"/>
          <w:spacing w:val="0"/>
          <w:kern w:val="0"/>
          <w:position w:val="0"/>
          <w:sz w:val="24"/>
          <w:szCs w:val="24"/>
        </w:rPr>
        <w:t>（2）正常情况下厂区内涉危险化学品或其他有毒有害物质的各个生产装置、装卸区、作业场所和危险废物贮存设施（场所）的排水管道（如装卸区</w:t>
      </w:r>
      <w:r>
        <w:rPr>
          <w:rFonts w:hint="default" w:ascii="Times New Roman" w:hAnsi="Times New Roman" w:eastAsia="仿宋_GB2312" w:cs="Times New Roman"/>
          <w:snapToGrid w:val="0"/>
          <w:color w:val="auto"/>
          <w:spacing w:val="0"/>
          <w:kern w:val="0"/>
          <w:position w:val="0"/>
          <w:sz w:val="24"/>
          <w:szCs w:val="24"/>
          <w:lang w:eastAsia="zh-CN"/>
        </w:rPr>
        <w:t>、</w:t>
      </w:r>
      <w:r>
        <w:rPr>
          <w:rFonts w:hint="default" w:ascii="Times New Roman" w:hAnsi="Times New Roman" w:eastAsia="仿宋_GB2312" w:cs="Times New Roman"/>
          <w:snapToGrid w:val="0"/>
          <w:color w:val="auto"/>
          <w:spacing w:val="0"/>
          <w:kern w:val="0"/>
          <w:position w:val="0"/>
          <w:sz w:val="24"/>
          <w:szCs w:val="24"/>
        </w:rPr>
        <w:t>污水收集池）接入雨水或清净下水系统的阀（闸）是否关闭，通向应急池或废水处理系统的阀（闸）是否打开；消防水等是否都能排入生产废水处理系统或独立的处理系统；</w:t>
      </w:r>
      <w:bookmarkEnd w:id="455"/>
    </w:p>
    <w:p w14:paraId="47C85187">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456" w:name="_Toc27195"/>
      <w:r>
        <w:rPr>
          <w:rFonts w:hint="default" w:ascii="Times New Roman" w:hAnsi="Times New Roman" w:eastAsia="仿宋_GB2312" w:cs="Times New Roman"/>
          <w:color w:val="auto"/>
          <w:spacing w:val="0"/>
          <w:kern w:val="0"/>
          <w:position w:val="0"/>
          <w:sz w:val="24"/>
          <w:szCs w:val="24"/>
        </w:rPr>
        <w:t>（3）雨水系统、生产废（污）水系统的总排放口是否设置监视及关闭闸（阀），是否设专人负责在紧急情况下关闭总排口，确保受污染的雨水、消防水和泄漏物等全部收集。</w:t>
      </w:r>
      <w:bookmarkEnd w:id="456"/>
    </w:p>
    <w:p w14:paraId="101B2655">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457" w:name="_Toc3255"/>
      <w:r>
        <w:rPr>
          <w:rFonts w:hint="default" w:ascii="Times New Roman" w:hAnsi="Times New Roman" w:eastAsia="仿宋_GB2312" w:cs="Times New Roman"/>
          <w:color w:val="auto"/>
          <w:spacing w:val="0"/>
          <w:kern w:val="0"/>
          <w:position w:val="0"/>
          <w:sz w:val="24"/>
          <w:szCs w:val="24"/>
        </w:rPr>
        <w:t>（二）突发大气环境事件风险防控措施</w:t>
      </w:r>
      <w:bookmarkEnd w:id="457"/>
    </w:p>
    <w:p w14:paraId="275174C1">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458" w:name="_Toc7197"/>
      <w:r>
        <w:rPr>
          <w:rFonts w:hint="default" w:ascii="Times New Roman" w:hAnsi="Times New Roman" w:eastAsia="仿宋_GB2312" w:cs="Times New Roman"/>
          <w:color w:val="auto"/>
          <w:spacing w:val="0"/>
          <w:kern w:val="0"/>
          <w:position w:val="0"/>
          <w:sz w:val="24"/>
          <w:szCs w:val="24"/>
        </w:rPr>
        <w:t>从以下几方面排查突发大气环境事件风险防控措施：</w:t>
      </w:r>
      <w:bookmarkEnd w:id="458"/>
    </w:p>
    <w:p w14:paraId="412BB98D">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459" w:name="_Toc7626"/>
      <w:r>
        <w:rPr>
          <w:rFonts w:hint="default" w:ascii="Times New Roman" w:hAnsi="Times New Roman" w:eastAsia="仿宋_GB2312" w:cs="Times New Roman"/>
          <w:color w:val="auto"/>
          <w:spacing w:val="0"/>
          <w:kern w:val="0"/>
          <w:position w:val="0"/>
          <w:sz w:val="24"/>
          <w:szCs w:val="24"/>
        </w:rPr>
        <w:t>（1）公司与周边重要环境风险受体的各类防护距离是否符合环境影响评价文件及批复的要求；</w:t>
      </w:r>
      <w:bookmarkEnd w:id="459"/>
    </w:p>
    <w:p w14:paraId="5E5BFD06">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460" w:name="_Toc3026"/>
      <w:r>
        <w:rPr>
          <w:rFonts w:hint="default" w:ascii="Times New Roman" w:hAnsi="Times New Roman" w:eastAsia="仿宋_GB2312" w:cs="Times New Roman"/>
          <w:color w:val="auto"/>
          <w:spacing w:val="0"/>
          <w:kern w:val="0"/>
          <w:position w:val="0"/>
          <w:sz w:val="24"/>
          <w:szCs w:val="24"/>
        </w:rPr>
        <w:t>（2）如公司涉有毒有害大气污染物的，是否在厂界建设针对有毒有害特征污染物的环境风险预警体系；</w:t>
      </w:r>
      <w:bookmarkEnd w:id="460"/>
    </w:p>
    <w:p w14:paraId="75EBE821">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461" w:name="_Toc8323"/>
      <w:r>
        <w:rPr>
          <w:rFonts w:hint="default" w:ascii="Times New Roman" w:hAnsi="Times New Roman" w:eastAsia="仿宋_GB2312" w:cs="Times New Roman"/>
          <w:color w:val="auto"/>
          <w:spacing w:val="0"/>
          <w:kern w:val="0"/>
          <w:position w:val="0"/>
          <w:sz w:val="24"/>
          <w:szCs w:val="24"/>
        </w:rPr>
        <w:t>（3）如公司涉有毒有害大气污染物，是否定期监测或委托监测有毒有害大气特征污染物；</w:t>
      </w:r>
      <w:bookmarkEnd w:id="461"/>
    </w:p>
    <w:p w14:paraId="0FFBF237">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462" w:name="_Toc24134"/>
      <w:r>
        <w:rPr>
          <w:rFonts w:hint="default" w:ascii="Times New Roman" w:hAnsi="Times New Roman" w:eastAsia="仿宋_GB2312" w:cs="Times New Roman"/>
          <w:color w:val="auto"/>
          <w:spacing w:val="0"/>
          <w:kern w:val="0"/>
          <w:position w:val="0"/>
          <w:sz w:val="24"/>
          <w:szCs w:val="24"/>
        </w:rPr>
        <w:t>（4）突发环境事件信息通报机制建立情况，是否能在突发环境事件发生后及时通报可能受到污染危害的单位和居民。</w:t>
      </w:r>
      <w:bookmarkEnd w:id="462"/>
    </w:p>
    <w:p w14:paraId="6B492426">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463" w:name="_Toc10472"/>
      <w:r>
        <w:rPr>
          <w:rFonts w:hint="default" w:ascii="Times New Roman" w:hAnsi="Times New Roman" w:eastAsia="仿宋_GB2312" w:cs="Times New Roman"/>
          <w:color w:val="auto"/>
          <w:spacing w:val="0"/>
          <w:kern w:val="0"/>
          <w:position w:val="0"/>
          <w:sz w:val="24"/>
          <w:szCs w:val="24"/>
        </w:rPr>
        <w:t>六、隐患分级</w:t>
      </w:r>
      <w:bookmarkEnd w:id="463"/>
    </w:p>
    <w:p w14:paraId="23519452">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464" w:name="_Toc5873"/>
      <w:r>
        <w:rPr>
          <w:rFonts w:hint="default" w:ascii="Times New Roman" w:hAnsi="Times New Roman" w:eastAsia="仿宋_GB2312" w:cs="Times New Roman"/>
          <w:color w:val="auto"/>
          <w:spacing w:val="0"/>
          <w:kern w:val="0"/>
          <w:position w:val="0"/>
          <w:sz w:val="24"/>
          <w:szCs w:val="24"/>
        </w:rPr>
        <w:t>（一）分级原则</w:t>
      </w:r>
      <w:bookmarkEnd w:id="464"/>
    </w:p>
    <w:p w14:paraId="7C80F105">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465" w:name="_Toc5623"/>
      <w:r>
        <w:rPr>
          <w:rFonts w:hint="default" w:ascii="Times New Roman" w:hAnsi="Times New Roman" w:eastAsia="仿宋_GB2312" w:cs="Times New Roman"/>
          <w:color w:val="auto"/>
          <w:spacing w:val="0"/>
          <w:kern w:val="0"/>
          <w:position w:val="0"/>
          <w:sz w:val="24"/>
          <w:szCs w:val="24"/>
        </w:rPr>
        <w:t>根据可能造成的危害程度、治理难度及公司突发环境事件风险等级，隐患分为重大突发环境事件隐患（以下简称重大隐患）和一般突发环境事件隐患（以下简称一般隐患</w:t>
      </w:r>
      <w:r>
        <w:rPr>
          <w:rFonts w:hint="default" w:ascii="Times New Roman" w:hAnsi="Times New Roman" w:eastAsia="仿宋_GB2312" w:cs="Times New Roman"/>
          <w:color w:val="auto"/>
          <w:spacing w:val="0"/>
          <w:kern w:val="0"/>
          <w:position w:val="0"/>
          <w:sz w:val="24"/>
          <w:szCs w:val="24"/>
          <w:lang w:eastAsia="zh-CN"/>
        </w:rPr>
        <w:t>）。</w:t>
      </w:r>
      <w:bookmarkEnd w:id="465"/>
    </w:p>
    <w:p w14:paraId="2FA044EB">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466" w:name="_Toc25782"/>
      <w:r>
        <w:rPr>
          <w:rFonts w:hint="default" w:ascii="Times New Roman" w:hAnsi="Times New Roman" w:eastAsia="仿宋_GB2312" w:cs="Times New Roman"/>
          <w:color w:val="auto"/>
          <w:spacing w:val="0"/>
          <w:kern w:val="0"/>
          <w:position w:val="0"/>
          <w:sz w:val="24"/>
          <w:szCs w:val="24"/>
        </w:rPr>
        <w:t>具有以下特征之一的可认定为重大隐患，除此之外的隐患可认定为一般隐患：</w:t>
      </w:r>
      <w:bookmarkEnd w:id="466"/>
    </w:p>
    <w:p w14:paraId="4D70E33A">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467" w:name="_Toc24441"/>
      <w:r>
        <w:rPr>
          <w:rFonts w:hint="default" w:ascii="Times New Roman" w:hAnsi="Times New Roman" w:eastAsia="仿宋_GB2312" w:cs="Times New Roman"/>
          <w:color w:val="auto"/>
          <w:spacing w:val="0"/>
          <w:kern w:val="0"/>
          <w:position w:val="0"/>
          <w:sz w:val="24"/>
          <w:szCs w:val="24"/>
        </w:rPr>
        <w:t>（1）情况复杂，短期内难以完成治理并可能造成环境危害的隐患；</w:t>
      </w:r>
      <w:bookmarkEnd w:id="467"/>
    </w:p>
    <w:p w14:paraId="314ABA0E">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468" w:name="_Toc6878"/>
      <w:r>
        <w:rPr>
          <w:rFonts w:hint="default" w:ascii="Times New Roman" w:hAnsi="Times New Roman" w:eastAsia="仿宋_GB2312" w:cs="Times New Roman"/>
          <w:color w:val="auto"/>
          <w:spacing w:val="0"/>
          <w:kern w:val="0"/>
          <w:position w:val="0"/>
          <w:sz w:val="24"/>
          <w:szCs w:val="24"/>
        </w:rPr>
        <w:t>（2）可能产生较大环境危害的隐患，如可能造成有毒有害物质进入大气、水、土壤等环境介质次生较大以上突发环境事件的隐患。</w:t>
      </w:r>
      <w:bookmarkEnd w:id="468"/>
    </w:p>
    <w:p w14:paraId="5C016146">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469" w:name="_Toc915"/>
      <w:r>
        <w:rPr>
          <w:rFonts w:hint="default" w:ascii="Times New Roman" w:hAnsi="Times New Roman" w:eastAsia="仿宋_GB2312" w:cs="Times New Roman"/>
          <w:color w:val="auto"/>
          <w:spacing w:val="0"/>
          <w:kern w:val="0"/>
          <w:position w:val="0"/>
          <w:sz w:val="24"/>
          <w:szCs w:val="24"/>
        </w:rPr>
        <w:t>（二）公司突发环境事件隐患风险分级标准</w:t>
      </w:r>
      <w:bookmarkEnd w:id="469"/>
    </w:p>
    <w:p w14:paraId="144E7F5B">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470" w:name="_Toc24313"/>
      <w:r>
        <w:rPr>
          <w:rFonts w:hint="default" w:ascii="Times New Roman" w:hAnsi="Times New Roman" w:eastAsia="仿宋_GB2312" w:cs="Times New Roman"/>
          <w:color w:val="auto"/>
          <w:spacing w:val="0"/>
          <w:kern w:val="0"/>
          <w:position w:val="0"/>
          <w:sz w:val="24"/>
          <w:szCs w:val="24"/>
        </w:rPr>
        <w:t>公司根据关于重大隐患和一般隐患的分级原则、自身突发环境事件风险等级等实际情况，制定本公司的隐患分级标准。</w:t>
      </w:r>
      <w:bookmarkEnd w:id="470"/>
    </w:p>
    <w:p w14:paraId="267DB1F6">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根据《企业突发环境事件风险分级方法》（HJ941-2018），将公司突发大气或水环境风险等级划分为一般环境风险、较大环境风险和重大环境风险三级。环境风险等级高低与公司涉及的化学物质及其存在量、生产工艺和环境风险防控水平、周边环境风险受体有关，是公司的固定属相。可以通过减少化学物质的量、选择风险低的替代品、提高风险防控水平等措施来减低风险。</w:t>
      </w:r>
    </w:p>
    <w:p w14:paraId="2E2AF616">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471" w:name="_Toc6815"/>
      <w:r>
        <w:rPr>
          <w:rFonts w:hint="default" w:ascii="Times New Roman" w:hAnsi="Times New Roman" w:eastAsia="仿宋_GB2312" w:cs="Times New Roman"/>
          <w:color w:val="auto"/>
          <w:spacing w:val="0"/>
          <w:kern w:val="0"/>
          <w:position w:val="0"/>
          <w:sz w:val="24"/>
          <w:szCs w:val="24"/>
        </w:rPr>
        <w:t>根据公司周边风险受体敏感程度、涉气风险物质数量与临界量比值和生产工艺过程与风险控制水平，确定公司突发大气环境事件风险等级为</w:t>
      </w:r>
      <w:r>
        <w:rPr>
          <w:rFonts w:hint="default" w:ascii="Times New Roman" w:hAnsi="Times New Roman" w:eastAsia="仿宋_GB2312" w:cs="Times New Roman"/>
          <w:color w:val="auto"/>
          <w:spacing w:val="0"/>
          <w:kern w:val="0"/>
          <w:position w:val="0"/>
          <w:sz w:val="24"/>
          <w:szCs w:val="24"/>
          <w:lang w:val="en-US" w:eastAsia="zh-CN"/>
        </w:rPr>
        <w:t>较大</w:t>
      </w:r>
      <w:r>
        <w:rPr>
          <w:rFonts w:hint="default" w:ascii="Times New Roman" w:hAnsi="Times New Roman" w:eastAsia="仿宋_GB2312" w:cs="Times New Roman"/>
          <w:color w:val="auto"/>
          <w:spacing w:val="0"/>
          <w:kern w:val="0"/>
          <w:position w:val="0"/>
          <w:sz w:val="24"/>
          <w:szCs w:val="24"/>
        </w:rPr>
        <w:t>环境风险，确定公司突发水环境事件风险等级为一般环境风险。</w:t>
      </w:r>
      <w:bookmarkEnd w:id="471"/>
    </w:p>
    <w:p w14:paraId="14B45272">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472" w:name="_Toc32147"/>
      <w:r>
        <w:rPr>
          <w:rFonts w:hint="default" w:ascii="Times New Roman" w:hAnsi="Times New Roman" w:eastAsia="仿宋_GB2312" w:cs="Times New Roman"/>
          <w:color w:val="auto"/>
          <w:spacing w:val="0"/>
          <w:kern w:val="0"/>
          <w:position w:val="0"/>
          <w:sz w:val="24"/>
          <w:szCs w:val="24"/>
        </w:rPr>
        <w:t>潜在较大环境风险和重大环境风险的突发环境事件隐患判定为重大隐患。可以立即完成治理的隐患一般可不判定为重大隐患。</w:t>
      </w:r>
      <w:bookmarkEnd w:id="472"/>
    </w:p>
    <w:p w14:paraId="65661367">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473" w:name="_Toc30830"/>
      <w:r>
        <w:rPr>
          <w:rFonts w:hint="default" w:ascii="Times New Roman" w:hAnsi="Times New Roman" w:eastAsia="仿宋_GB2312" w:cs="Times New Roman"/>
          <w:color w:val="auto"/>
          <w:spacing w:val="0"/>
          <w:kern w:val="0"/>
          <w:position w:val="0"/>
          <w:sz w:val="24"/>
          <w:szCs w:val="24"/>
        </w:rPr>
        <w:t>七、隐患排查治理的组织实施</w:t>
      </w:r>
      <w:bookmarkEnd w:id="473"/>
    </w:p>
    <w:p w14:paraId="73E2AA2B">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474" w:name="_Toc23852"/>
      <w:r>
        <w:rPr>
          <w:rFonts w:hint="default" w:ascii="Times New Roman" w:hAnsi="Times New Roman" w:eastAsia="仿宋_GB2312" w:cs="Times New Roman"/>
          <w:color w:val="auto"/>
          <w:spacing w:val="0"/>
          <w:kern w:val="0"/>
          <w:position w:val="0"/>
          <w:sz w:val="24"/>
          <w:szCs w:val="24"/>
        </w:rPr>
        <w:t>1、自查。环保管理人员根据公司自身实际制定隐患排查表，包括所有突发环境事件风险防控设施及其具体位置、排查时间、现场排查负责人（签字）、排查项目现状、是否为隐患、可能导致的危害、隐患级别、完成时间等内容。公司环保管理人员和生产部门负责人员及污染治理设施运行负责人员，分别实施隐患排查治理的自查。</w:t>
      </w:r>
      <w:bookmarkEnd w:id="474"/>
    </w:p>
    <w:p w14:paraId="7E0C44CD">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475" w:name="_Toc11699"/>
      <w:r>
        <w:rPr>
          <w:rFonts w:hint="default" w:ascii="Times New Roman" w:hAnsi="Times New Roman" w:eastAsia="仿宋_GB2312" w:cs="Times New Roman"/>
          <w:color w:val="auto"/>
          <w:spacing w:val="0"/>
          <w:kern w:val="0"/>
          <w:position w:val="0"/>
          <w:sz w:val="24"/>
          <w:szCs w:val="24"/>
        </w:rPr>
        <w:t>2、自报。公司的非管理人员发现隐患应当立即向现场管理人员或者本单位有关负责人报告；管理人员在检查中发现隐患应当向本单位有关负责人报告。接到报告的人员应当及时予以处理。</w:t>
      </w:r>
      <w:bookmarkEnd w:id="475"/>
    </w:p>
    <w:p w14:paraId="542C0A5B">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476" w:name="_Toc974"/>
      <w:r>
        <w:rPr>
          <w:rFonts w:hint="default" w:ascii="Times New Roman" w:hAnsi="Times New Roman" w:eastAsia="仿宋_GB2312" w:cs="Times New Roman"/>
          <w:color w:val="auto"/>
          <w:spacing w:val="0"/>
          <w:kern w:val="0"/>
          <w:position w:val="0"/>
          <w:sz w:val="24"/>
          <w:szCs w:val="24"/>
        </w:rPr>
        <w:t>在日常交接班过程中，生产部门负责人员及污染治理设施运行负责人员应做好隐患治理情况交接工作；隐患治理过程中，明确每一工作节点的责任人。</w:t>
      </w:r>
      <w:bookmarkEnd w:id="476"/>
    </w:p>
    <w:p w14:paraId="7E3E03C9">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477" w:name="_Toc7838"/>
      <w:r>
        <w:rPr>
          <w:rFonts w:hint="default" w:ascii="Times New Roman" w:hAnsi="Times New Roman" w:eastAsia="仿宋_GB2312" w:cs="Times New Roman"/>
          <w:color w:val="auto"/>
          <w:spacing w:val="0"/>
          <w:kern w:val="0"/>
          <w:position w:val="0"/>
          <w:sz w:val="24"/>
          <w:szCs w:val="24"/>
        </w:rPr>
        <w:t>3、自改。一般隐患必须确定责任人，立即组织治理并确定完成时限，治理完成情况要由公司环保负责人签字确认，予以销号。</w:t>
      </w:r>
      <w:bookmarkEnd w:id="477"/>
    </w:p>
    <w:p w14:paraId="5D3C242C">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478" w:name="_Toc23095"/>
      <w:r>
        <w:rPr>
          <w:rFonts w:hint="default" w:ascii="Times New Roman" w:hAnsi="Times New Roman" w:eastAsia="仿宋_GB2312" w:cs="Times New Roman"/>
          <w:color w:val="auto"/>
          <w:spacing w:val="0"/>
          <w:kern w:val="0"/>
          <w:position w:val="0"/>
          <w:sz w:val="24"/>
          <w:szCs w:val="24"/>
        </w:rPr>
        <w:t>重大隐患由公司环保负责人组织制定治理方案，治理方案应包括：治理目标、完成时间和达标要求、治理方法和措施、资金和物资、负责治理的机构和人员责任、治理过程中的风险防控和应急措施或应急预案。重大隐患治理方案应报公司环保负责人签发，抄送公司相关部门落实治理。</w:t>
      </w:r>
      <w:bookmarkEnd w:id="478"/>
    </w:p>
    <w:p w14:paraId="3D9590CA">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479" w:name="_Toc6399"/>
      <w:r>
        <w:rPr>
          <w:rFonts w:hint="default" w:ascii="Times New Roman" w:hAnsi="Times New Roman" w:eastAsia="仿宋_GB2312" w:cs="Times New Roman"/>
          <w:color w:val="auto"/>
          <w:spacing w:val="0"/>
          <w:kern w:val="0"/>
          <w:position w:val="0"/>
          <w:sz w:val="24"/>
          <w:szCs w:val="24"/>
        </w:rPr>
        <w:t>公司环保负责人要及时掌握重大隐患治理进度，可指定专门负责人对治理进度进行跟踪监控，对不能按期完成治理的重大隐患，及时发出督办通知，加大治理力度。</w:t>
      </w:r>
      <w:bookmarkEnd w:id="479"/>
    </w:p>
    <w:p w14:paraId="01FD72D1">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480" w:name="_Toc1758"/>
      <w:r>
        <w:rPr>
          <w:rFonts w:hint="default" w:ascii="Times New Roman" w:hAnsi="Times New Roman" w:eastAsia="仿宋_GB2312" w:cs="Times New Roman"/>
          <w:color w:val="auto"/>
          <w:spacing w:val="0"/>
          <w:kern w:val="0"/>
          <w:position w:val="0"/>
          <w:sz w:val="24"/>
          <w:szCs w:val="24"/>
        </w:rPr>
        <w:t>4、自验。重大隐患治理结束后，公司环保负责人应组织技术人员和专家对治理效果进行评估和验收，编制重大隐患治理验收报告，由公司环保负责人签字确认，予以销号。</w:t>
      </w:r>
      <w:bookmarkEnd w:id="480"/>
    </w:p>
    <w:p w14:paraId="4CCFB572">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481" w:name="_Toc461"/>
      <w:r>
        <w:rPr>
          <w:rFonts w:hint="default" w:ascii="Times New Roman" w:hAnsi="Times New Roman" w:eastAsia="仿宋_GB2312" w:cs="Times New Roman"/>
          <w:color w:val="auto"/>
          <w:spacing w:val="0"/>
          <w:kern w:val="0"/>
          <w:position w:val="0"/>
          <w:sz w:val="24"/>
          <w:szCs w:val="24"/>
        </w:rPr>
        <w:t>八、宣传培训和演练</w:t>
      </w:r>
      <w:bookmarkEnd w:id="481"/>
    </w:p>
    <w:p w14:paraId="6DD8B8A9">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482" w:name="_Toc14799"/>
      <w:r>
        <w:rPr>
          <w:rFonts w:hint="default" w:ascii="Times New Roman" w:hAnsi="Times New Roman" w:eastAsia="仿宋_GB2312" w:cs="Times New Roman"/>
          <w:color w:val="auto"/>
          <w:spacing w:val="0"/>
          <w:kern w:val="0"/>
          <w:position w:val="0"/>
          <w:sz w:val="24"/>
          <w:szCs w:val="24"/>
        </w:rPr>
        <w:t>公司环保管理人员应当定期就公司突发环境事件应急管理制度、突发环境事件风险防控措施的操作要求、隐患排查治理案例等开展宣传和培训，并通过演练检验各项突发环境事件风险防控措施的可操作性，提高从业人员隐患排查治理能力和风险防范水平。如实记录培训、演练的时间、内容、参加人员以及考核结果等情况，并将培训情况备案存档。</w:t>
      </w:r>
      <w:bookmarkEnd w:id="482"/>
    </w:p>
    <w:p w14:paraId="67223CFB">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483" w:name="_Toc29707"/>
      <w:r>
        <w:rPr>
          <w:rFonts w:hint="default" w:ascii="Times New Roman" w:hAnsi="Times New Roman" w:eastAsia="仿宋_GB2312" w:cs="Times New Roman"/>
          <w:color w:val="auto"/>
          <w:spacing w:val="0"/>
          <w:kern w:val="0"/>
          <w:position w:val="0"/>
          <w:sz w:val="24"/>
          <w:szCs w:val="24"/>
        </w:rPr>
        <w:t>九、台账和档案</w:t>
      </w:r>
      <w:bookmarkEnd w:id="483"/>
    </w:p>
    <w:p w14:paraId="177DDDD8">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484" w:name="_Toc18561"/>
      <w:r>
        <w:rPr>
          <w:rFonts w:hint="default" w:ascii="Times New Roman" w:hAnsi="Times New Roman" w:eastAsia="仿宋_GB2312" w:cs="Times New Roman"/>
          <w:color w:val="auto"/>
          <w:spacing w:val="0"/>
          <w:kern w:val="0"/>
          <w:position w:val="0"/>
          <w:sz w:val="24"/>
          <w:szCs w:val="24"/>
        </w:rPr>
        <w:t>公司环保管理人员应及时建立隐患排查治理档案。隐患排查治理档案包括公司隐患分级标准、隐患排查治理制度、年度隐患排查治理计划、隐患排查表、隐患报告单、重大隐患治理方案、重大隐患治理验收报告、培训和演练记录以及相关会议纪要、书面报告等隐患排查治理过程中形成的各种书面材料。隐患排查治理档案应至少留存五年，以备环境保护主管部门抽查。</w:t>
      </w:r>
      <w:bookmarkEnd w:id="484"/>
    </w:p>
    <w:p w14:paraId="522386A6">
      <w:pPr>
        <w:pStyle w:val="4"/>
        <w:keepNext/>
        <w:keepLines w:val="0"/>
        <w:pageBreakBefore w:val="0"/>
        <w:widowControl w:val="0"/>
        <w:kinsoku/>
        <w:wordWrap/>
        <w:overflowPunct w:val="0"/>
        <w:topLinePunct w:val="0"/>
        <w:autoSpaceDE/>
        <w:autoSpaceDN/>
        <w:bidi w:val="0"/>
        <w:adjustRightInd/>
        <w:snapToGrid w:val="0"/>
        <w:spacing w:before="0" w:line="500" w:lineRule="exact"/>
        <w:ind w:left="0" w:right="0" w:firstLine="0" w:firstLineChars="0"/>
        <w:jc w:val="both"/>
        <w:textAlignment w:val="auto"/>
        <w:outlineLvl w:val="1"/>
        <w:rPr>
          <w:rFonts w:hint="default" w:ascii="Times New Roman" w:hAnsi="Times New Roman" w:eastAsia="仿宋_GB2312" w:cs="Times New Roman"/>
          <w:b/>
          <w:bCs/>
          <w:sz w:val="24"/>
          <w:szCs w:val="24"/>
          <w:lang w:val="en-US" w:eastAsia="zh-CN"/>
        </w:rPr>
      </w:pPr>
      <w:bookmarkStart w:id="485" w:name="_Toc29102"/>
      <w:bookmarkStart w:id="486" w:name="_Toc15998"/>
      <w:bookmarkStart w:id="487" w:name="_Toc975"/>
      <w:bookmarkStart w:id="488" w:name="_Toc22490"/>
      <w:r>
        <w:rPr>
          <w:rFonts w:hint="default" w:ascii="Times New Roman" w:hAnsi="Times New Roman" w:eastAsia="仿宋_GB2312" w:cs="Times New Roman"/>
          <w:b/>
          <w:bCs/>
          <w:sz w:val="24"/>
          <w:szCs w:val="24"/>
          <w:lang w:val="en-US" w:eastAsia="zh-CN"/>
        </w:rPr>
        <w:t>5.10 应急培训和演练</w:t>
      </w:r>
      <w:bookmarkEnd w:id="485"/>
      <w:bookmarkEnd w:id="486"/>
      <w:bookmarkEnd w:id="487"/>
      <w:bookmarkEnd w:id="488"/>
    </w:p>
    <w:p w14:paraId="7D7ED038">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489" w:name="_Toc8518"/>
      <w:r>
        <w:rPr>
          <w:rFonts w:hint="default" w:ascii="Times New Roman" w:hAnsi="Times New Roman" w:eastAsia="仿宋_GB2312" w:cs="Times New Roman"/>
          <w:color w:val="auto"/>
          <w:spacing w:val="0"/>
          <w:kern w:val="0"/>
          <w:position w:val="0"/>
          <w:sz w:val="24"/>
          <w:szCs w:val="24"/>
        </w:rPr>
        <w:t>一、应急培训</w:t>
      </w:r>
      <w:bookmarkEnd w:id="489"/>
    </w:p>
    <w:p w14:paraId="1E8AB8B2">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490" w:name="_Toc11886"/>
      <w:r>
        <w:rPr>
          <w:rFonts w:hint="default" w:ascii="Times New Roman" w:hAnsi="Times New Roman" w:eastAsia="仿宋_GB2312" w:cs="Times New Roman"/>
          <w:color w:val="auto"/>
          <w:spacing w:val="0"/>
          <w:kern w:val="0"/>
          <w:position w:val="0"/>
          <w:sz w:val="24"/>
          <w:szCs w:val="24"/>
        </w:rPr>
        <w:t>加强环境事件专业技术人员日常培训和重要目标工作人员的培训和管理，培养一批训练有素的环境应急监测、检验、处置等专门人才。加强对突发环境事件预警应急管理人员、专业救援抢险队伍等应急专业技术人员的培训，提高应急救援能力。加强环境保护知识的普及教育。对应急指挥人员、应急管理人员、专业救援队伍进行培训，每半年一次，方式以集中培训为主。具体分工见下表。</w:t>
      </w:r>
      <w:bookmarkEnd w:id="490"/>
    </w:p>
    <w:p w14:paraId="68291038">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b/>
          <w:bCs/>
          <w:color w:val="auto"/>
          <w:spacing w:val="0"/>
          <w:kern w:val="0"/>
          <w:position w:val="0"/>
          <w:sz w:val="24"/>
          <w:szCs w:val="24"/>
          <w:lang w:val="en-US" w:eastAsia="zh-CN"/>
        </w:rPr>
      </w:pPr>
      <w:r>
        <w:rPr>
          <w:rFonts w:hint="default" w:ascii="Times New Roman" w:hAnsi="Times New Roman" w:eastAsia="仿宋_GB2312" w:cs="Times New Roman"/>
          <w:b/>
          <w:bCs/>
          <w:color w:val="auto"/>
          <w:spacing w:val="0"/>
          <w:kern w:val="0"/>
          <w:position w:val="0"/>
          <w:sz w:val="24"/>
          <w:szCs w:val="24"/>
        </w:rPr>
        <w:t>表</w:t>
      </w:r>
      <w:r>
        <w:rPr>
          <w:rFonts w:hint="default" w:ascii="Times New Roman" w:hAnsi="Times New Roman" w:eastAsia="仿宋_GB2312" w:cs="Times New Roman"/>
          <w:b/>
          <w:bCs/>
          <w:color w:val="auto"/>
          <w:spacing w:val="0"/>
          <w:kern w:val="0"/>
          <w:position w:val="0"/>
          <w:sz w:val="24"/>
          <w:szCs w:val="24"/>
          <w:lang w:val="en-US" w:eastAsia="zh-CN"/>
        </w:rPr>
        <w:t>5.10-1</w:t>
      </w:r>
      <w:r>
        <w:rPr>
          <w:rFonts w:hint="default" w:ascii="Times New Roman" w:hAnsi="Times New Roman" w:eastAsia="仿宋_GB2312" w:cs="Times New Roman"/>
          <w:b/>
          <w:bCs/>
          <w:color w:val="auto"/>
          <w:spacing w:val="0"/>
          <w:kern w:val="0"/>
          <w:position w:val="0"/>
          <w:sz w:val="24"/>
          <w:szCs w:val="24"/>
        </w:rPr>
        <w:t xml:space="preserve">  </w:t>
      </w:r>
      <w:r>
        <w:rPr>
          <w:rFonts w:hint="default" w:ascii="Times New Roman" w:hAnsi="Times New Roman" w:eastAsia="仿宋_GB2312" w:cs="Times New Roman"/>
          <w:b/>
          <w:bCs/>
          <w:color w:val="auto"/>
          <w:spacing w:val="0"/>
          <w:kern w:val="0"/>
          <w:position w:val="0"/>
          <w:sz w:val="24"/>
          <w:szCs w:val="24"/>
          <w:lang w:val="en-US" w:eastAsia="zh-CN"/>
        </w:rPr>
        <w:t>最低的应急反应培训要求</w:t>
      </w:r>
    </w:p>
    <w:tbl>
      <w:tblPr>
        <w:tblStyle w:val="31"/>
        <w:tblW w:w="8942"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812"/>
        <w:gridCol w:w="901"/>
        <w:gridCol w:w="723"/>
        <w:gridCol w:w="812"/>
        <w:gridCol w:w="812"/>
        <w:gridCol w:w="812"/>
        <w:gridCol w:w="812"/>
        <w:gridCol w:w="812"/>
        <w:gridCol w:w="812"/>
        <w:gridCol w:w="812"/>
        <w:gridCol w:w="822"/>
      </w:tblGrid>
      <w:tr w14:paraId="3C11CD4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12" w:type="dxa"/>
            <w:tcBorders>
              <w:tl2br w:val="nil"/>
              <w:tr2bl w:val="nil"/>
            </w:tcBorders>
            <w:noWrap/>
            <w:vAlign w:val="center"/>
          </w:tcPr>
          <w:p w14:paraId="61B5E4EF">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b/>
                <w:bCs/>
                <w:color w:val="auto"/>
                <w:spacing w:val="0"/>
                <w:kern w:val="0"/>
                <w:position w:val="0"/>
                <w:sz w:val="21"/>
                <w:szCs w:val="21"/>
                <w:lang w:val="en-US" w:eastAsia="zh-CN"/>
              </w:rPr>
            </w:pPr>
            <w:r>
              <w:rPr>
                <w:rFonts w:hint="default" w:ascii="Times New Roman" w:hAnsi="Times New Roman" w:eastAsia="仿宋_GB2312" w:cs="Times New Roman"/>
                <w:b/>
                <w:bCs/>
                <w:color w:val="auto"/>
                <w:spacing w:val="0"/>
                <w:kern w:val="0"/>
                <w:position w:val="0"/>
                <w:sz w:val="21"/>
                <w:szCs w:val="21"/>
                <w:lang w:val="en-US" w:eastAsia="zh-CN"/>
              </w:rPr>
              <w:t>人员组成</w:t>
            </w:r>
          </w:p>
        </w:tc>
        <w:tc>
          <w:tcPr>
            <w:tcW w:w="901" w:type="dxa"/>
            <w:tcBorders>
              <w:tl2br w:val="nil"/>
              <w:tr2bl w:val="nil"/>
            </w:tcBorders>
            <w:noWrap/>
            <w:vAlign w:val="center"/>
          </w:tcPr>
          <w:p w14:paraId="6A247C5D">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b/>
                <w:bCs/>
                <w:color w:val="auto"/>
                <w:spacing w:val="0"/>
                <w:kern w:val="0"/>
                <w:position w:val="0"/>
                <w:sz w:val="21"/>
                <w:szCs w:val="21"/>
                <w:lang w:val="en-US" w:eastAsia="zh-CN"/>
              </w:rPr>
            </w:pPr>
            <w:r>
              <w:rPr>
                <w:rFonts w:hint="default" w:ascii="Times New Roman" w:hAnsi="Times New Roman" w:eastAsia="仿宋_GB2312" w:cs="Times New Roman"/>
                <w:b/>
                <w:bCs/>
                <w:color w:val="auto"/>
                <w:spacing w:val="0"/>
                <w:kern w:val="0"/>
                <w:position w:val="0"/>
                <w:sz w:val="21"/>
                <w:szCs w:val="21"/>
                <w:lang w:val="en-US" w:eastAsia="zh-CN"/>
              </w:rPr>
              <w:t>总应急预案</w:t>
            </w:r>
          </w:p>
        </w:tc>
        <w:tc>
          <w:tcPr>
            <w:tcW w:w="723" w:type="dxa"/>
            <w:tcBorders>
              <w:tl2br w:val="nil"/>
              <w:tr2bl w:val="nil"/>
            </w:tcBorders>
            <w:noWrap/>
            <w:vAlign w:val="center"/>
          </w:tcPr>
          <w:p w14:paraId="4692C24C">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b/>
                <w:bCs/>
                <w:color w:val="auto"/>
                <w:spacing w:val="0"/>
                <w:kern w:val="0"/>
                <w:position w:val="0"/>
                <w:sz w:val="21"/>
                <w:szCs w:val="21"/>
                <w:lang w:val="en-US" w:eastAsia="zh-CN"/>
              </w:rPr>
            </w:pPr>
            <w:r>
              <w:rPr>
                <w:rFonts w:hint="default" w:ascii="Times New Roman" w:hAnsi="Times New Roman" w:eastAsia="仿宋_GB2312" w:cs="Times New Roman"/>
                <w:b/>
                <w:bCs/>
                <w:color w:val="auto"/>
                <w:spacing w:val="0"/>
                <w:kern w:val="0"/>
                <w:position w:val="0"/>
                <w:sz w:val="21"/>
                <w:szCs w:val="21"/>
                <w:lang w:val="en-US" w:eastAsia="zh-CN"/>
              </w:rPr>
              <w:t>指挥协调</w:t>
            </w:r>
          </w:p>
        </w:tc>
        <w:tc>
          <w:tcPr>
            <w:tcW w:w="812" w:type="dxa"/>
            <w:tcBorders>
              <w:tl2br w:val="nil"/>
              <w:tr2bl w:val="nil"/>
            </w:tcBorders>
            <w:noWrap/>
            <w:vAlign w:val="center"/>
          </w:tcPr>
          <w:p w14:paraId="0EDF1025">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b/>
                <w:bCs/>
                <w:color w:val="auto"/>
                <w:spacing w:val="0"/>
                <w:kern w:val="0"/>
                <w:position w:val="0"/>
                <w:sz w:val="21"/>
                <w:szCs w:val="21"/>
                <w:lang w:val="en-US" w:eastAsia="zh-CN"/>
              </w:rPr>
            </w:pPr>
            <w:r>
              <w:rPr>
                <w:rFonts w:hint="default" w:ascii="Times New Roman" w:hAnsi="Times New Roman" w:eastAsia="仿宋_GB2312" w:cs="Times New Roman"/>
                <w:b/>
                <w:bCs/>
                <w:color w:val="auto"/>
                <w:spacing w:val="0"/>
                <w:kern w:val="0"/>
                <w:position w:val="0"/>
                <w:sz w:val="21"/>
                <w:szCs w:val="21"/>
                <w:lang w:val="en-US" w:eastAsia="zh-CN"/>
              </w:rPr>
              <w:t>应急通讯</w:t>
            </w:r>
          </w:p>
        </w:tc>
        <w:tc>
          <w:tcPr>
            <w:tcW w:w="812" w:type="dxa"/>
            <w:tcBorders>
              <w:tl2br w:val="nil"/>
              <w:tr2bl w:val="nil"/>
            </w:tcBorders>
            <w:noWrap/>
            <w:vAlign w:val="center"/>
          </w:tcPr>
          <w:p w14:paraId="3D6F8B14">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b/>
                <w:bCs/>
                <w:color w:val="auto"/>
                <w:spacing w:val="0"/>
                <w:kern w:val="0"/>
                <w:position w:val="0"/>
                <w:sz w:val="21"/>
                <w:szCs w:val="21"/>
                <w:lang w:val="en-US" w:eastAsia="zh-CN"/>
              </w:rPr>
            </w:pPr>
            <w:r>
              <w:rPr>
                <w:rFonts w:hint="default" w:ascii="Times New Roman" w:hAnsi="Times New Roman" w:eastAsia="仿宋_GB2312" w:cs="Times New Roman"/>
                <w:b/>
                <w:bCs/>
                <w:color w:val="auto"/>
                <w:spacing w:val="0"/>
                <w:kern w:val="0"/>
                <w:position w:val="0"/>
                <w:sz w:val="21"/>
                <w:szCs w:val="21"/>
                <w:lang w:val="en-US" w:eastAsia="zh-CN"/>
              </w:rPr>
              <w:t>公共信息</w:t>
            </w:r>
          </w:p>
        </w:tc>
        <w:tc>
          <w:tcPr>
            <w:tcW w:w="812" w:type="dxa"/>
            <w:tcBorders>
              <w:tl2br w:val="nil"/>
              <w:tr2bl w:val="nil"/>
            </w:tcBorders>
            <w:noWrap/>
            <w:vAlign w:val="center"/>
          </w:tcPr>
          <w:p w14:paraId="2518DE85">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b/>
                <w:bCs/>
                <w:color w:val="auto"/>
                <w:spacing w:val="0"/>
                <w:kern w:val="0"/>
                <w:position w:val="0"/>
                <w:sz w:val="21"/>
                <w:szCs w:val="21"/>
                <w:lang w:val="en-US" w:eastAsia="zh-CN"/>
              </w:rPr>
            </w:pPr>
            <w:r>
              <w:rPr>
                <w:rFonts w:hint="default" w:ascii="Times New Roman" w:hAnsi="Times New Roman" w:eastAsia="仿宋_GB2312" w:cs="Times New Roman"/>
                <w:b/>
                <w:bCs/>
                <w:color w:val="auto"/>
                <w:spacing w:val="0"/>
                <w:kern w:val="0"/>
                <w:position w:val="0"/>
                <w:sz w:val="21"/>
                <w:szCs w:val="21"/>
                <w:lang w:val="en-US" w:eastAsia="zh-CN"/>
              </w:rPr>
              <w:t>搜寻和营救</w:t>
            </w:r>
          </w:p>
        </w:tc>
        <w:tc>
          <w:tcPr>
            <w:tcW w:w="812" w:type="dxa"/>
            <w:tcBorders>
              <w:tl2br w:val="nil"/>
              <w:tr2bl w:val="nil"/>
            </w:tcBorders>
            <w:noWrap/>
            <w:vAlign w:val="center"/>
          </w:tcPr>
          <w:p w14:paraId="22F1E7A1">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b/>
                <w:bCs/>
                <w:color w:val="auto"/>
                <w:spacing w:val="0"/>
                <w:kern w:val="0"/>
                <w:position w:val="0"/>
                <w:sz w:val="21"/>
                <w:szCs w:val="21"/>
                <w:lang w:val="en-US" w:eastAsia="zh-CN"/>
              </w:rPr>
            </w:pPr>
            <w:r>
              <w:rPr>
                <w:rFonts w:hint="default" w:ascii="Times New Roman" w:hAnsi="Times New Roman" w:eastAsia="仿宋_GB2312" w:cs="Times New Roman"/>
                <w:b/>
                <w:bCs/>
                <w:color w:val="auto"/>
                <w:spacing w:val="0"/>
                <w:kern w:val="0"/>
                <w:position w:val="0"/>
                <w:sz w:val="21"/>
                <w:szCs w:val="21"/>
                <w:lang w:val="en-US" w:eastAsia="zh-CN"/>
              </w:rPr>
              <w:t>应急保卫</w:t>
            </w:r>
          </w:p>
        </w:tc>
        <w:tc>
          <w:tcPr>
            <w:tcW w:w="812" w:type="dxa"/>
            <w:tcBorders>
              <w:tl2br w:val="nil"/>
              <w:tr2bl w:val="nil"/>
            </w:tcBorders>
            <w:noWrap/>
            <w:vAlign w:val="center"/>
          </w:tcPr>
          <w:p w14:paraId="731C5DDC">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b/>
                <w:bCs/>
                <w:color w:val="auto"/>
                <w:spacing w:val="0"/>
                <w:kern w:val="0"/>
                <w:position w:val="0"/>
                <w:sz w:val="21"/>
                <w:szCs w:val="21"/>
                <w:lang w:val="en-US" w:eastAsia="zh-CN"/>
              </w:rPr>
            </w:pPr>
            <w:r>
              <w:rPr>
                <w:rFonts w:hint="default" w:ascii="Times New Roman" w:hAnsi="Times New Roman" w:eastAsia="仿宋_GB2312" w:cs="Times New Roman"/>
                <w:b/>
                <w:bCs/>
                <w:color w:val="auto"/>
                <w:spacing w:val="0"/>
                <w:kern w:val="0"/>
                <w:position w:val="0"/>
                <w:sz w:val="21"/>
                <w:szCs w:val="21"/>
                <w:lang w:val="en-US" w:eastAsia="zh-CN"/>
              </w:rPr>
              <w:t>损失控制</w:t>
            </w:r>
          </w:p>
        </w:tc>
        <w:tc>
          <w:tcPr>
            <w:tcW w:w="812" w:type="dxa"/>
            <w:tcBorders>
              <w:tl2br w:val="nil"/>
              <w:tr2bl w:val="nil"/>
            </w:tcBorders>
            <w:noWrap/>
            <w:vAlign w:val="center"/>
          </w:tcPr>
          <w:p w14:paraId="27EB2178">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b/>
                <w:bCs/>
                <w:color w:val="auto"/>
                <w:spacing w:val="0"/>
                <w:kern w:val="0"/>
                <w:position w:val="0"/>
                <w:sz w:val="21"/>
                <w:szCs w:val="21"/>
                <w:lang w:val="en-US" w:eastAsia="zh-CN"/>
              </w:rPr>
            </w:pPr>
            <w:r>
              <w:rPr>
                <w:rFonts w:hint="default" w:ascii="Times New Roman" w:hAnsi="Times New Roman" w:eastAsia="仿宋_GB2312" w:cs="Times New Roman"/>
                <w:b/>
                <w:bCs/>
                <w:color w:val="auto"/>
                <w:spacing w:val="0"/>
                <w:kern w:val="0"/>
                <w:position w:val="0"/>
                <w:sz w:val="21"/>
                <w:szCs w:val="21"/>
                <w:lang w:val="en-US" w:eastAsia="zh-CN"/>
              </w:rPr>
              <w:t>泄露反应</w:t>
            </w:r>
          </w:p>
        </w:tc>
        <w:tc>
          <w:tcPr>
            <w:tcW w:w="812" w:type="dxa"/>
            <w:tcBorders>
              <w:tl2br w:val="nil"/>
              <w:tr2bl w:val="nil"/>
            </w:tcBorders>
            <w:noWrap/>
            <w:vAlign w:val="center"/>
          </w:tcPr>
          <w:p w14:paraId="5BF561EB">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b/>
                <w:bCs/>
                <w:color w:val="auto"/>
                <w:spacing w:val="0"/>
                <w:kern w:val="0"/>
                <w:position w:val="0"/>
                <w:sz w:val="21"/>
                <w:szCs w:val="21"/>
                <w:lang w:val="en-US" w:eastAsia="zh-CN"/>
              </w:rPr>
            </w:pPr>
            <w:r>
              <w:rPr>
                <w:rFonts w:hint="default" w:ascii="Times New Roman" w:hAnsi="Times New Roman" w:eastAsia="仿宋_GB2312" w:cs="Times New Roman"/>
                <w:b/>
                <w:bCs/>
                <w:color w:val="auto"/>
                <w:spacing w:val="0"/>
                <w:kern w:val="0"/>
                <w:position w:val="0"/>
                <w:sz w:val="21"/>
                <w:szCs w:val="21"/>
                <w:lang w:val="en-US" w:eastAsia="zh-CN"/>
              </w:rPr>
              <w:t>现场调查</w:t>
            </w:r>
          </w:p>
        </w:tc>
        <w:tc>
          <w:tcPr>
            <w:tcW w:w="822" w:type="dxa"/>
            <w:tcBorders>
              <w:tl2br w:val="nil"/>
              <w:tr2bl w:val="nil"/>
            </w:tcBorders>
            <w:noWrap/>
            <w:vAlign w:val="center"/>
          </w:tcPr>
          <w:p w14:paraId="35897BF3">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b/>
                <w:bCs/>
                <w:color w:val="auto"/>
                <w:spacing w:val="0"/>
                <w:kern w:val="0"/>
                <w:position w:val="0"/>
                <w:sz w:val="21"/>
                <w:szCs w:val="21"/>
                <w:lang w:val="en-US" w:eastAsia="zh-CN"/>
              </w:rPr>
            </w:pPr>
            <w:r>
              <w:rPr>
                <w:rFonts w:hint="default" w:ascii="Times New Roman" w:hAnsi="Times New Roman" w:eastAsia="仿宋_GB2312" w:cs="Times New Roman"/>
                <w:b/>
                <w:bCs/>
                <w:color w:val="auto"/>
                <w:spacing w:val="0"/>
                <w:kern w:val="0"/>
                <w:position w:val="0"/>
                <w:sz w:val="21"/>
                <w:szCs w:val="21"/>
                <w:lang w:val="en-US" w:eastAsia="zh-CN"/>
              </w:rPr>
              <w:t>疏散</w:t>
            </w:r>
          </w:p>
        </w:tc>
      </w:tr>
      <w:tr w14:paraId="6A75C51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12" w:type="dxa"/>
            <w:tcBorders>
              <w:tl2br w:val="nil"/>
              <w:tr2bl w:val="nil"/>
            </w:tcBorders>
            <w:noWrap/>
            <w:vAlign w:val="center"/>
          </w:tcPr>
          <w:p w14:paraId="4B963D0A">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sz w:val="21"/>
                <w:szCs w:val="21"/>
                <w:lang w:val="en-US" w:eastAsia="zh-CN"/>
              </w:rPr>
            </w:pPr>
            <w:r>
              <w:rPr>
                <w:rFonts w:hint="default" w:ascii="Times New Roman" w:hAnsi="Times New Roman" w:eastAsia="仿宋_GB2312" w:cs="Times New Roman"/>
                <w:color w:val="auto"/>
                <w:spacing w:val="0"/>
                <w:kern w:val="0"/>
                <w:position w:val="0"/>
                <w:sz w:val="21"/>
                <w:szCs w:val="21"/>
                <w:lang w:val="en-US" w:eastAsia="zh-CN"/>
              </w:rPr>
              <w:t>应急指挥组</w:t>
            </w:r>
          </w:p>
        </w:tc>
        <w:tc>
          <w:tcPr>
            <w:tcW w:w="901" w:type="dxa"/>
            <w:tcBorders>
              <w:tl2br w:val="nil"/>
              <w:tr2bl w:val="nil"/>
            </w:tcBorders>
            <w:noWrap/>
            <w:vAlign w:val="center"/>
          </w:tcPr>
          <w:p w14:paraId="3AA27D80">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sz w:val="21"/>
                <w:szCs w:val="21"/>
                <w:lang w:val="en-US" w:eastAsia="zh-CN"/>
              </w:rPr>
            </w:pPr>
            <w:r>
              <w:rPr>
                <w:rFonts w:hint="default" w:ascii="Times New Roman" w:hAnsi="Times New Roman" w:eastAsia="仿宋_GB2312" w:cs="Times New Roman"/>
                <w:b/>
                <w:bCs/>
                <w:color w:val="auto"/>
                <w:spacing w:val="0"/>
                <w:kern w:val="0"/>
                <w:position w:val="0"/>
                <w:sz w:val="21"/>
                <w:szCs w:val="21"/>
                <w:lang w:val="en-US" w:eastAsia="zh-CN"/>
              </w:rPr>
              <w:t>√</w:t>
            </w:r>
          </w:p>
        </w:tc>
        <w:tc>
          <w:tcPr>
            <w:tcW w:w="723" w:type="dxa"/>
            <w:tcBorders>
              <w:tl2br w:val="nil"/>
              <w:tr2bl w:val="nil"/>
            </w:tcBorders>
            <w:noWrap/>
            <w:vAlign w:val="center"/>
          </w:tcPr>
          <w:p w14:paraId="7DACA4C1">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sz w:val="21"/>
                <w:szCs w:val="21"/>
                <w:lang w:val="en-US" w:eastAsia="zh-CN"/>
              </w:rPr>
            </w:pPr>
            <w:r>
              <w:rPr>
                <w:rFonts w:hint="default" w:ascii="Times New Roman" w:hAnsi="Times New Roman" w:eastAsia="仿宋_GB2312" w:cs="Times New Roman"/>
                <w:b/>
                <w:bCs/>
                <w:color w:val="auto"/>
                <w:spacing w:val="0"/>
                <w:kern w:val="0"/>
                <w:position w:val="0"/>
                <w:sz w:val="21"/>
                <w:szCs w:val="21"/>
                <w:lang w:val="en-US" w:eastAsia="zh-CN"/>
              </w:rPr>
              <w:t>√</w:t>
            </w:r>
          </w:p>
        </w:tc>
        <w:tc>
          <w:tcPr>
            <w:tcW w:w="812" w:type="dxa"/>
            <w:tcBorders>
              <w:tl2br w:val="nil"/>
              <w:tr2bl w:val="nil"/>
            </w:tcBorders>
            <w:noWrap/>
            <w:vAlign w:val="center"/>
          </w:tcPr>
          <w:p w14:paraId="4C6A86E9">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sz w:val="21"/>
                <w:szCs w:val="21"/>
                <w:lang w:val="en-US" w:eastAsia="zh-CN"/>
              </w:rPr>
            </w:pPr>
            <w:r>
              <w:rPr>
                <w:rFonts w:hint="default" w:ascii="Times New Roman" w:hAnsi="Times New Roman" w:eastAsia="仿宋_GB2312" w:cs="Times New Roman"/>
                <w:b/>
                <w:bCs/>
                <w:color w:val="auto"/>
                <w:spacing w:val="0"/>
                <w:kern w:val="0"/>
                <w:position w:val="0"/>
                <w:sz w:val="21"/>
                <w:szCs w:val="21"/>
                <w:lang w:val="en-US" w:eastAsia="zh-CN"/>
              </w:rPr>
              <w:t>√</w:t>
            </w:r>
          </w:p>
        </w:tc>
        <w:tc>
          <w:tcPr>
            <w:tcW w:w="812" w:type="dxa"/>
            <w:tcBorders>
              <w:tl2br w:val="nil"/>
              <w:tr2bl w:val="nil"/>
            </w:tcBorders>
            <w:noWrap/>
            <w:vAlign w:val="center"/>
          </w:tcPr>
          <w:p w14:paraId="522E1CBB">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sz w:val="21"/>
                <w:szCs w:val="21"/>
                <w:lang w:val="en-US" w:eastAsia="zh-CN"/>
              </w:rPr>
            </w:pPr>
            <w:r>
              <w:rPr>
                <w:rFonts w:hint="default" w:ascii="Times New Roman" w:hAnsi="Times New Roman" w:eastAsia="仿宋_GB2312" w:cs="Times New Roman"/>
                <w:b/>
                <w:bCs/>
                <w:color w:val="auto"/>
                <w:spacing w:val="0"/>
                <w:kern w:val="0"/>
                <w:position w:val="0"/>
                <w:sz w:val="21"/>
                <w:szCs w:val="21"/>
                <w:lang w:val="en-US" w:eastAsia="zh-CN"/>
              </w:rPr>
              <w:t>√</w:t>
            </w:r>
          </w:p>
        </w:tc>
        <w:tc>
          <w:tcPr>
            <w:tcW w:w="812" w:type="dxa"/>
            <w:tcBorders>
              <w:tl2br w:val="nil"/>
              <w:tr2bl w:val="nil"/>
            </w:tcBorders>
            <w:noWrap/>
            <w:vAlign w:val="center"/>
          </w:tcPr>
          <w:p w14:paraId="263EAD31">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sz w:val="21"/>
                <w:szCs w:val="21"/>
                <w:lang w:val="en-US" w:eastAsia="zh-CN"/>
              </w:rPr>
            </w:pPr>
            <w:r>
              <w:rPr>
                <w:rFonts w:hint="default" w:ascii="Times New Roman" w:hAnsi="Times New Roman" w:eastAsia="仿宋_GB2312" w:cs="Times New Roman"/>
                <w:b/>
                <w:bCs/>
                <w:color w:val="auto"/>
                <w:spacing w:val="0"/>
                <w:kern w:val="0"/>
                <w:position w:val="0"/>
                <w:sz w:val="21"/>
                <w:szCs w:val="21"/>
                <w:lang w:val="en-US" w:eastAsia="zh-CN"/>
              </w:rPr>
              <w:t>√</w:t>
            </w:r>
          </w:p>
        </w:tc>
        <w:tc>
          <w:tcPr>
            <w:tcW w:w="812" w:type="dxa"/>
            <w:tcBorders>
              <w:tl2br w:val="nil"/>
              <w:tr2bl w:val="nil"/>
            </w:tcBorders>
            <w:noWrap/>
            <w:vAlign w:val="center"/>
          </w:tcPr>
          <w:p w14:paraId="3A81EB82">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sz w:val="21"/>
                <w:szCs w:val="21"/>
                <w:lang w:val="en-US" w:eastAsia="zh-CN"/>
              </w:rPr>
            </w:pPr>
            <w:r>
              <w:rPr>
                <w:rFonts w:hint="default" w:ascii="Times New Roman" w:hAnsi="Times New Roman" w:eastAsia="仿宋_GB2312" w:cs="Times New Roman"/>
                <w:b/>
                <w:bCs/>
                <w:color w:val="auto"/>
                <w:spacing w:val="0"/>
                <w:kern w:val="0"/>
                <w:position w:val="0"/>
                <w:sz w:val="21"/>
                <w:szCs w:val="21"/>
                <w:lang w:val="en-US" w:eastAsia="zh-CN"/>
              </w:rPr>
              <w:t>√</w:t>
            </w:r>
          </w:p>
        </w:tc>
        <w:tc>
          <w:tcPr>
            <w:tcW w:w="812" w:type="dxa"/>
            <w:tcBorders>
              <w:tl2br w:val="nil"/>
              <w:tr2bl w:val="nil"/>
            </w:tcBorders>
            <w:noWrap/>
            <w:vAlign w:val="center"/>
          </w:tcPr>
          <w:p w14:paraId="7CC28A0B">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sz w:val="21"/>
                <w:szCs w:val="21"/>
                <w:lang w:val="en-US" w:eastAsia="zh-CN"/>
              </w:rPr>
            </w:pPr>
            <w:r>
              <w:rPr>
                <w:rFonts w:hint="default" w:ascii="Times New Roman" w:hAnsi="Times New Roman" w:eastAsia="仿宋_GB2312" w:cs="Times New Roman"/>
                <w:b/>
                <w:bCs/>
                <w:color w:val="auto"/>
                <w:spacing w:val="0"/>
                <w:kern w:val="0"/>
                <w:position w:val="0"/>
                <w:sz w:val="21"/>
                <w:szCs w:val="21"/>
                <w:lang w:val="en-US" w:eastAsia="zh-CN"/>
              </w:rPr>
              <w:t>√</w:t>
            </w:r>
          </w:p>
        </w:tc>
        <w:tc>
          <w:tcPr>
            <w:tcW w:w="812" w:type="dxa"/>
            <w:tcBorders>
              <w:tl2br w:val="nil"/>
              <w:tr2bl w:val="nil"/>
            </w:tcBorders>
            <w:noWrap/>
            <w:vAlign w:val="center"/>
          </w:tcPr>
          <w:p w14:paraId="6C9FBE47">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sz w:val="21"/>
                <w:szCs w:val="21"/>
                <w:lang w:val="en-US" w:eastAsia="zh-CN"/>
              </w:rPr>
            </w:pPr>
            <w:r>
              <w:rPr>
                <w:rFonts w:hint="default" w:ascii="Times New Roman" w:hAnsi="Times New Roman" w:eastAsia="仿宋_GB2312" w:cs="Times New Roman"/>
                <w:b/>
                <w:bCs/>
                <w:color w:val="auto"/>
                <w:spacing w:val="0"/>
                <w:kern w:val="0"/>
                <w:position w:val="0"/>
                <w:sz w:val="21"/>
                <w:szCs w:val="21"/>
                <w:lang w:val="en-US" w:eastAsia="zh-CN"/>
              </w:rPr>
              <w:t>√</w:t>
            </w:r>
          </w:p>
        </w:tc>
        <w:tc>
          <w:tcPr>
            <w:tcW w:w="812" w:type="dxa"/>
            <w:tcBorders>
              <w:tl2br w:val="nil"/>
              <w:tr2bl w:val="nil"/>
            </w:tcBorders>
            <w:noWrap/>
            <w:vAlign w:val="center"/>
          </w:tcPr>
          <w:p w14:paraId="753CBEB1">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sz w:val="21"/>
                <w:szCs w:val="21"/>
                <w:lang w:val="en-US" w:eastAsia="zh-CN"/>
              </w:rPr>
            </w:pPr>
            <w:r>
              <w:rPr>
                <w:rFonts w:hint="default" w:ascii="Times New Roman" w:hAnsi="Times New Roman" w:eastAsia="仿宋_GB2312" w:cs="Times New Roman"/>
                <w:b/>
                <w:bCs/>
                <w:color w:val="auto"/>
                <w:spacing w:val="0"/>
                <w:kern w:val="0"/>
                <w:position w:val="0"/>
                <w:sz w:val="21"/>
                <w:szCs w:val="21"/>
                <w:lang w:val="en-US" w:eastAsia="zh-CN"/>
              </w:rPr>
              <w:t>√</w:t>
            </w:r>
          </w:p>
        </w:tc>
        <w:tc>
          <w:tcPr>
            <w:tcW w:w="822" w:type="dxa"/>
            <w:tcBorders>
              <w:tl2br w:val="nil"/>
              <w:tr2bl w:val="nil"/>
            </w:tcBorders>
            <w:noWrap/>
            <w:vAlign w:val="center"/>
          </w:tcPr>
          <w:p w14:paraId="468D6E88">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sz w:val="21"/>
                <w:szCs w:val="21"/>
                <w:lang w:val="en-US" w:eastAsia="zh-CN"/>
              </w:rPr>
            </w:pPr>
            <w:r>
              <w:rPr>
                <w:rFonts w:hint="default" w:ascii="Times New Roman" w:hAnsi="Times New Roman" w:eastAsia="仿宋_GB2312" w:cs="Times New Roman"/>
                <w:b/>
                <w:bCs/>
                <w:color w:val="auto"/>
                <w:spacing w:val="0"/>
                <w:kern w:val="0"/>
                <w:position w:val="0"/>
                <w:sz w:val="21"/>
                <w:szCs w:val="21"/>
                <w:lang w:val="en-US" w:eastAsia="zh-CN"/>
              </w:rPr>
              <w:t>√</w:t>
            </w:r>
          </w:p>
        </w:tc>
      </w:tr>
      <w:tr w14:paraId="0932145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12" w:type="dxa"/>
            <w:tcBorders>
              <w:tl2br w:val="nil"/>
              <w:tr2bl w:val="nil"/>
            </w:tcBorders>
            <w:noWrap/>
            <w:vAlign w:val="center"/>
          </w:tcPr>
          <w:p w14:paraId="2C1571A6">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sz w:val="21"/>
                <w:szCs w:val="21"/>
                <w:lang w:val="en-US" w:eastAsia="zh-CN"/>
              </w:rPr>
            </w:pPr>
            <w:r>
              <w:rPr>
                <w:rFonts w:hint="default" w:ascii="Times New Roman" w:hAnsi="Times New Roman" w:eastAsia="仿宋_GB2312" w:cs="Times New Roman"/>
                <w:color w:val="auto"/>
                <w:spacing w:val="0"/>
                <w:kern w:val="0"/>
                <w:position w:val="0"/>
                <w:sz w:val="21"/>
                <w:szCs w:val="21"/>
                <w:lang w:val="en-US" w:eastAsia="zh-CN"/>
              </w:rPr>
              <w:t>综合协调组</w:t>
            </w:r>
          </w:p>
        </w:tc>
        <w:tc>
          <w:tcPr>
            <w:tcW w:w="901" w:type="dxa"/>
            <w:tcBorders>
              <w:tl2br w:val="nil"/>
              <w:tr2bl w:val="nil"/>
            </w:tcBorders>
            <w:noWrap/>
            <w:vAlign w:val="center"/>
          </w:tcPr>
          <w:p w14:paraId="25CB4C9C">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sz w:val="21"/>
                <w:szCs w:val="21"/>
                <w:lang w:val="en-US" w:eastAsia="zh-CN"/>
              </w:rPr>
            </w:pPr>
            <w:r>
              <w:rPr>
                <w:rFonts w:hint="default" w:ascii="Times New Roman" w:hAnsi="Times New Roman" w:eastAsia="仿宋_GB2312" w:cs="Times New Roman"/>
                <w:b/>
                <w:bCs/>
                <w:color w:val="auto"/>
                <w:spacing w:val="0"/>
                <w:kern w:val="0"/>
                <w:position w:val="0"/>
                <w:sz w:val="21"/>
                <w:szCs w:val="21"/>
                <w:lang w:val="en-US" w:eastAsia="zh-CN"/>
              </w:rPr>
              <w:t>√</w:t>
            </w:r>
          </w:p>
        </w:tc>
        <w:tc>
          <w:tcPr>
            <w:tcW w:w="723" w:type="dxa"/>
            <w:tcBorders>
              <w:tl2br w:val="nil"/>
              <w:tr2bl w:val="nil"/>
            </w:tcBorders>
            <w:noWrap/>
            <w:vAlign w:val="center"/>
          </w:tcPr>
          <w:p w14:paraId="6AD588C1">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sz w:val="21"/>
                <w:szCs w:val="21"/>
                <w:lang w:val="en-US" w:eastAsia="zh-CN"/>
              </w:rPr>
            </w:pPr>
            <w:r>
              <w:rPr>
                <w:rFonts w:hint="default" w:ascii="Times New Roman" w:hAnsi="Times New Roman" w:eastAsia="仿宋_GB2312" w:cs="Times New Roman"/>
                <w:b/>
                <w:bCs/>
                <w:color w:val="auto"/>
                <w:spacing w:val="0"/>
                <w:kern w:val="0"/>
                <w:position w:val="0"/>
                <w:sz w:val="21"/>
                <w:szCs w:val="21"/>
                <w:lang w:val="en-US" w:eastAsia="zh-CN"/>
              </w:rPr>
              <w:t>√</w:t>
            </w:r>
          </w:p>
        </w:tc>
        <w:tc>
          <w:tcPr>
            <w:tcW w:w="812" w:type="dxa"/>
            <w:tcBorders>
              <w:tl2br w:val="nil"/>
              <w:tr2bl w:val="nil"/>
            </w:tcBorders>
            <w:noWrap/>
            <w:vAlign w:val="center"/>
          </w:tcPr>
          <w:p w14:paraId="38B98432">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sz w:val="21"/>
                <w:szCs w:val="21"/>
                <w:lang w:val="en-US" w:eastAsia="zh-CN"/>
              </w:rPr>
            </w:pPr>
            <w:r>
              <w:rPr>
                <w:rFonts w:hint="default" w:ascii="Times New Roman" w:hAnsi="Times New Roman" w:eastAsia="仿宋_GB2312" w:cs="Times New Roman"/>
                <w:b/>
                <w:bCs/>
                <w:color w:val="auto"/>
                <w:spacing w:val="0"/>
                <w:kern w:val="0"/>
                <w:position w:val="0"/>
                <w:sz w:val="21"/>
                <w:szCs w:val="21"/>
                <w:lang w:val="en-US" w:eastAsia="zh-CN"/>
              </w:rPr>
              <w:t>√</w:t>
            </w:r>
          </w:p>
        </w:tc>
        <w:tc>
          <w:tcPr>
            <w:tcW w:w="812" w:type="dxa"/>
            <w:tcBorders>
              <w:tl2br w:val="nil"/>
              <w:tr2bl w:val="nil"/>
            </w:tcBorders>
            <w:noWrap/>
            <w:vAlign w:val="center"/>
          </w:tcPr>
          <w:p w14:paraId="4E72CDE9">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sz w:val="21"/>
                <w:szCs w:val="21"/>
                <w:lang w:val="en-US" w:eastAsia="zh-CN"/>
              </w:rPr>
            </w:pPr>
            <w:r>
              <w:rPr>
                <w:rFonts w:hint="default" w:ascii="Times New Roman" w:hAnsi="Times New Roman" w:eastAsia="仿宋_GB2312" w:cs="Times New Roman"/>
                <w:b/>
                <w:bCs/>
                <w:color w:val="auto"/>
                <w:spacing w:val="0"/>
                <w:kern w:val="0"/>
                <w:position w:val="0"/>
                <w:sz w:val="21"/>
                <w:szCs w:val="21"/>
                <w:lang w:val="en-US" w:eastAsia="zh-CN"/>
              </w:rPr>
              <w:t>√</w:t>
            </w:r>
          </w:p>
        </w:tc>
        <w:tc>
          <w:tcPr>
            <w:tcW w:w="812" w:type="dxa"/>
            <w:tcBorders>
              <w:tl2br w:val="nil"/>
              <w:tr2bl w:val="nil"/>
            </w:tcBorders>
            <w:noWrap/>
            <w:vAlign w:val="center"/>
          </w:tcPr>
          <w:p w14:paraId="1DF070BA">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sz w:val="21"/>
                <w:szCs w:val="21"/>
                <w:lang w:val="en-US" w:eastAsia="zh-CN"/>
              </w:rPr>
            </w:pPr>
            <w:r>
              <w:rPr>
                <w:rFonts w:hint="default" w:ascii="Times New Roman" w:hAnsi="Times New Roman" w:eastAsia="仿宋_GB2312" w:cs="Times New Roman"/>
                <w:b/>
                <w:bCs/>
                <w:color w:val="auto"/>
                <w:spacing w:val="0"/>
                <w:kern w:val="0"/>
                <w:position w:val="0"/>
                <w:sz w:val="21"/>
                <w:szCs w:val="21"/>
                <w:lang w:val="en-US" w:eastAsia="zh-CN"/>
              </w:rPr>
              <w:t>√</w:t>
            </w:r>
          </w:p>
        </w:tc>
        <w:tc>
          <w:tcPr>
            <w:tcW w:w="812" w:type="dxa"/>
            <w:tcBorders>
              <w:tl2br w:val="nil"/>
              <w:tr2bl w:val="nil"/>
            </w:tcBorders>
            <w:noWrap/>
            <w:vAlign w:val="center"/>
          </w:tcPr>
          <w:p w14:paraId="799B11E5">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sz w:val="21"/>
                <w:szCs w:val="21"/>
                <w:lang w:val="en-US" w:eastAsia="zh-CN"/>
              </w:rPr>
            </w:pPr>
            <w:r>
              <w:rPr>
                <w:rFonts w:hint="default" w:ascii="Times New Roman" w:hAnsi="Times New Roman" w:eastAsia="仿宋_GB2312" w:cs="Times New Roman"/>
                <w:b/>
                <w:bCs/>
                <w:color w:val="auto"/>
                <w:spacing w:val="0"/>
                <w:kern w:val="0"/>
                <w:position w:val="0"/>
                <w:sz w:val="21"/>
                <w:szCs w:val="21"/>
                <w:lang w:val="en-US" w:eastAsia="zh-CN"/>
              </w:rPr>
              <w:t>√</w:t>
            </w:r>
          </w:p>
        </w:tc>
        <w:tc>
          <w:tcPr>
            <w:tcW w:w="812" w:type="dxa"/>
            <w:tcBorders>
              <w:tl2br w:val="nil"/>
              <w:tr2bl w:val="nil"/>
            </w:tcBorders>
            <w:noWrap/>
            <w:vAlign w:val="center"/>
          </w:tcPr>
          <w:p w14:paraId="69D9B477">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sz w:val="21"/>
                <w:szCs w:val="21"/>
                <w:lang w:val="en-US" w:eastAsia="zh-CN"/>
              </w:rPr>
            </w:pPr>
            <w:r>
              <w:rPr>
                <w:rFonts w:hint="default" w:ascii="Times New Roman" w:hAnsi="Times New Roman" w:eastAsia="仿宋_GB2312" w:cs="Times New Roman"/>
                <w:b/>
                <w:bCs/>
                <w:color w:val="auto"/>
                <w:spacing w:val="0"/>
                <w:kern w:val="0"/>
                <w:position w:val="0"/>
                <w:sz w:val="21"/>
                <w:szCs w:val="21"/>
                <w:lang w:val="en-US" w:eastAsia="zh-CN"/>
              </w:rPr>
              <w:t>√</w:t>
            </w:r>
          </w:p>
        </w:tc>
        <w:tc>
          <w:tcPr>
            <w:tcW w:w="812" w:type="dxa"/>
            <w:tcBorders>
              <w:tl2br w:val="nil"/>
              <w:tr2bl w:val="nil"/>
            </w:tcBorders>
            <w:noWrap/>
            <w:vAlign w:val="center"/>
          </w:tcPr>
          <w:p w14:paraId="20A9286F">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sz w:val="21"/>
                <w:szCs w:val="21"/>
                <w:lang w:val="en-US" w:eastAsia="zh-CN"/>
              </w:rPr>
            </w:pPr>
            <w:r>
              <w:rPr>
                <w:rFonts w:hint="default" w:ascii="Times New Roman" w:hAnsi="Times New Roman" w:eastAsia="仿宋_GB2312" w:cs="Times New Roman"/>
                <w:b/>
                <w:bCs/>
                <w:color w:val="auto"/>
                <w:spacing w:val="0"/>
                <w:kern w:val="0"/>
                <w:position w:val="0"/>
                <w:sz w:val="21"/>
                <w:szCs w:val="21"/>
                <w:lang w:val="en-US" w:eastAsia="zh-CN"/>
              </w:rPr>
              <w:t>√</w:t>
            </w:r>
          </w:p>
        </w:tc>
        <w:tc>
          <w:tcPr>
            <w:tcW w:w="812" w:type="dxa"/>
            <w:tcBorders>
              <w:tl2br w:val="nil"/>
              <w:tr2bl w:val="nil"/>
            </w:tcBorders>
            <w:noWrap/>
            <w:vAlign w:val="center"/>
          </w:tcPr>
          <w:p w14:paraId="4943FDDB">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sz w:val="21"/>
                <w:szCs w:val="21"/>
                <w:lang w:val="en-US" w:eastAsia="zh-CN"/>
              </w:rPr>
            </w:pPr>
            <w:r>
              <w:rPr>
                <w:rFonts w:hint="default" w:ascii="Times New Roman" w:hAnsi="Times New Roman" w:eastAsia="仿宋_GB2312" w:cs="Times New Roman"/>
                <w:b/>
                <w:bCs/>
                <w:color w:val="auto"/>
                <w:spacing w:val="0"/>
                <w:kern w:val="0"/>
                <w:position w:val="0"/>
                <w:sz w:val="21"/>
                <w:szCs w:val="21"/>
                <w:lang w:val="en-US" w:eastAsia="zh-CN"/>
              </w:rPr>
              <w:t>√</w:t>
            </w:r>
          </w:p>
        </w:tc>
        <w:tc>
          <w:tcPr>
            <w:tcW w:w="822" w:type="dxa"/>
            <w:tcBorders>
              <w:tl2br w:val="nil"/>
              <w:tr2bl w:val="nil"/>
            </w:tcBorders>
            <w:noWrap/>
            <w:vAlign w:val="center"/>
          </w:tcPr>
          <w:p w14:paraId="464A724A">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sz w:val="21"/>
                <w:szCs w:val="21"/>
                <w:lang w:val="en-US" w:eastAsia="zh-CN"/>
              </w:rPr>
            </w:pPr>
            <w:r>
              <w:rPr>
                <w:rFonts w:hint="default" w:ascii="Times New Roman" w:hAnsi="Times New Roman" w:eastAsia="仿宋_GB2312" w:cs="Times New Roman"/>
                <w:b/>
                <w:bCs/>
                <w:color w:val="auto"/>
                <w:spacing w:val="0"/>
                <w:kern w:val="0"/>
                <w:position w:val="0"/>
                <w:sz w:val="21"/>
                <w:szCs w:val="21"/>
                <w:lang w:val="en-US" w:eastAsia="zh-CN"/>
              </w:rPr>
              <w:t>√</w:t>
            </w:r>
          </w:p>
        </w:tc>
      </w:tr>
      <w:tr w14:paraId="75999A7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782" w:hRule="atLeast"/>
          <w:jc w:val="center"/>
        </w:trPr>
        <w:tc>
          <w:tcPr>
            <w:tcW w:w="812" w:type="dxa"/>
            <w:tcBorders>
              <w:tl2br w:val="nil"/>
              <w:tr2bl w:val="nil"/>
            </w:tcBorders>
            <w:noWrap/>
            <w:vAlign w:val="center"/>
          </w:tcPr>
          <w:p w14:paraId="19E52DC7">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sz w:val="21"/>
                <w:szCs w:val="21"/>
                <w:lang w:val="en-US" w:eastAsia="zh-CN"/>
              </w:rPr>
            </w:pPr>
            <w:r>
              <w:rPr>
                <w:rFonts w:hint="default" w:ascii="Times New Roman" w:hAnsi="Times New Roman" w:eastAsia="仿宋_GB2312" w:cs="Times New Roman"/>
                <w:color w:val="auto"/>
                <w:spacing w:val="0"/>
                <w:kern w:val="0"/>
                <w:position w:val="0"/>
                <w:sz w:val="21"/>
                <w:szCs w:val="21"/>
                <w:lang w:val="en-US" w:eastAsia="zh-CN"/>
              </w:rPr>
              <w:t>应急抢险组</w:t>
            </w:r>
          </w:p>
        </w:tc>
        <w:tc>
          <w:tcPr>
            <w:tcW w:w="901" w:type="dxa"/>
            <w:tcBorders>
              <w:tl2br w:val="nil"/>
              <w:tr2bl w:val="nil"/>
            </w:tcBorders>
            <w:noWrap/>
            <w:vAlign w:val="center"/>
          </w:tcPr>
          <w:p w14:paraId="18AB04DA">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sz w:val="21"/>
                <w:szCs w:val="21"/>
                <w:lang w:val="en-US" w:eastAsia="zh-CN"/>
              </w:rPr>
            </w:pPr>
            <w:r>
              <w:rPr>
                <w:rFonts w:hint="default" w:ascii="Times New Roman" w:hAnsi="Times New Roman" w:eastAsia="仿宋_GB2312" w:cs="Times New Roman"/>
                <w:b/>
                <w:bCs/>
                <w:color w:val="auto"/>
                <w:spacing w:val="0"/>
                <w:kern w:val="0"/>
                <w:position w:val="0"/>
                <w:sz w:val="21"/>
                <w:szCs w:val="21"/>
                <w:lang w:val="en-US" w:eastAsia="zh-CN"/>
              </w:rPr>
              <w:t>√</w:t>
            </w:r>
          </w:p>
        </w:tc>
        <w:tc>
          <w:tcPr>
            <w:tcW w:w="723" w:type="dxa"/>
            <w:tcBorders>
              <w:tl2br w:val="nil"/>
              <w:tr2bl w:val="nil"/>
            </w:tcBorders>
            <w:noWrap/>
            <w:vAlign w:val="center"/>
          </w:tcPr>
          <w:p w14:paraId="42E627A9">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sz w:val="21"/>
                <w:szCs w:val="21"/>
                <w:lang w:val="en-US" w:eastAsia="zh-CN"/>
              </w:rPr>
            </w:pPr>
            <w:r>
              <w:rPr>
                <w:rFonts w:hint="default" w:ascii="Times New Roman" w:hAnsi="Times New Roman" w:eastAsia="仿宋_GB2312" w:cs="Times New Roman"/>
                <w:color w:val="auto"/>
                <w:spacing w:val="0"/>
                <w:kern w:val="0"/>
                <w:position w:val="0"/>
                <w:sz w:val="21"/>
                <w:szCs w:val="21"/>
                <w:lang w:val="en-US" w:eastAsia="zh-CN"/>
              </w:rPr>
              <w:t>--</w:t>
            </w:r>
          </w:p>
        </w:tc>
        <w:tc>
          <w:tcPr>
            <w:tcW w:w="812" w:type="dxa"/>
            <w:tcBorders>
              <w:tl2br w:val="nil"/>
              <w:tr2bl w:val="nil"/>
            </w:tcBorders>
            <w:noWrap/>
            <w:vAlign w:val="center"/>
          </w:tcPr>
          <w:p w14:paraId="2A8DB66F">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sz w:val="21"/>
                <w:szCs w:val="21"/>
                <w:lang w:val="en-US" w:eastAsia="zh-CN"/>
              </w:rPr>
            </w:pPr>
            <w:r>
              <w:rPr>
                <w:rFonts w:hint="default" w:ascii="Times New Roman" w:hAnsi="Times New Roman" w:eastAsia="仿宋_GB2312" w:cs="Times New Roman"/>
                <w:b/>
                <w:bCs/>
                <w:color w:val="auto"/>
                <w:spacing w:val="0"/>
                <w:kern w:val="0"/>
                <w:position w:val="0"/>
                <w:sz w:val="21"/>
                <w:szCs w:val="21"/>
                <w:lang w:val="en-US" w:eastAsia="zh-CN"/>
              </w:rPr>
              <w:t>√</w:t>
            </w:r>
          </w:p>
        </w:tc>
        <w:tc>
          <w:tcPr>
            <w:tcW w:w="812" w:type="dxa"/>
            <w:tcBorders>
              <w:tl2br w:val="nil"/>
              <w:tr2bl w:val="nil"/>
            </w:tcBorders>
            <w:noWrap/>
            <w:vAlign w:val="center"/>
          </w:tcPr>
          <w:p w14:paraId="63BB4693">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sz w:val="21"/>
                <w:szCs w:val="21"/>
                <w:lang w:val="en-US" w:eastAsia="zh-CN"/>
              </w:rPr>
            </w:pPr>
            <w:r>
              <w:rPr>
                <w:rFonts w:hint="default" w:ascii="Times New Roman" w:hAnsi="Times New Roman" w:eastAsia="仿宋_GB2312" w:cs="Times New Roman"/>
                <w:color w:val="auto"/>
                <w:spacing w:val="0"/>
                <w:kern w:val="0"/>
                <w:position w:val="0"/>
                <w:sz w:val="21"/>
                <w:szCs w:val="21"/>
                <w:lang w:val="en-US" w:eastAsia="zh-CN"/>
              </w:rPr>
              <w:t>--</w:t>
            </w:r>
          </w:p>
        </w:tc>
        <w:tc>
          <w:tcPr>
            <w:tcW w:w="812" w:type="dxa"/>
            <w:tcBorders>
              <w:tl2br w:val="nil"/>
              <w:tr2bl w:val="nil"/>
            </w:tcBorders>
            <w:noWrap/>
            <w:vAlign w:val="center"/>
          </w:tcPr>
          <w:p w14:paraId="2F52DA05">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sz w:val="21"/>
                <w:szCs w:val="21"/>
                <w:lang w:val="en-US" w:eastAsia="zh-CN"/>
              </w:rPr>
            </w:pPr>
            <w:r>
              <w:rPr>
                <w:rFonts w:hint="default" w:ascii="Times New Roman" w:hAnsi="Times New Roman" w:eastAsia="仿宋_GB2312" w:cs="Times New Roman"/>
                <w:b/>
                <w:bCs/>
                <w:color w:val="auto"/>
                <w:spacing w:val="0"/>
                <w:kern w:val="0"/>
                <w:position w:val="0"/>
                <w:sz w:val="21"/>
                <w:szCs w:val="21"/>
                <w:lang w:val="en-US" w:eastAsia="zh-CN"/>
              </w:rPr>
              <w:t>√</w:t>
            </w:r>
          </w:p>
        </w:tc>
        <w:tc>
          <w:tcPr>
            <w:tcW w:w="812" w:type="dxa"/>
            <w:tcBorders>
              <w:tl2br w:val="nil"/>
              <w:tr2bl w:val="nil"/>
            </w:tcBorders>
            <w:noWrap/>
            <w:vAlign w:val="center"/>
          </w:tcPr>
          <w:p w14:paraId="38CB5B69">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sz w:val="21"/>
                <w:szCs w:val="21"/>
                <w:lang w:val="en-US" w:eastAsia="zh-CN"/>
              </w:rPr>
            </w:pPr>
            <w:r>
              <w:rPr>
                <w:rFonts w:hint="default" w:ascii="Times New Roman" w:hAnsi="Times New Roman" w:eastAsia="仿宋_GB2312" w:cs="Times New Roman"/>
                <w:b/>
                <w:bCs/>
                <w:color w:val="auto"/>
                <w:spacing w:val="0"/>
                <w:kern w:val="0"/>
                <w:position w:val="0"/>
                <w:sz w:val="21"/>
                <w:szCs w:val="21"/>
                <w:lang w:val="en-US" w:eastAsia="zh-CN"/>
              </w:rPr>
              <w:t>√</w:t>
            </w:r>
          </w:p>
        </w:tc>
        <w:tc>
          <w:tcPr>
            <w:tcW w:w="812" w:type="dxa"/>
            <w:tcBorders>
              <w:tl2br w:val="nil"/>
              <w:tr2bl w:val="nil"/>
            </w:tcBorders>
            <w:noWrap/>
            <w:vAlign w:val="center"/>
          </w:tcPr>
          <w:p w14:paraId="42DAFE30">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sz w:val="21"/>
                <w:szCs w:val="21"/>
                <w:lang w:val="en-US" w:eastAsia="zh-CN"/>
              </w:rPr>
            </w:pPr>
            <w:r>
              <w:rPr>
                <w:rFonts w:hint="default" w:ascii="Times New Roman" w:hAnsi="Times New Roman" w:eastAsia="仿宋_GB2312" w:cs="Times New Roman"/>
                <w:b/>
                <w:bCs/>
                <w:color w:val="auto"/>
                <w:spacing w:val="0"/>
                <w:kern w:val="0"/>
                <w:position w:val="0"/>
                <w:sz w:val="21"/>
                <w:szCs w:val="21"/>
                <w:lang w:val="en-US" w:eastAsia="zh-CN"/>
              </w:rPr>
              <w:t>√</w:t>
            </w:r>
          </w:p>
        </w:tc>
        <w:tc>
          <w:tcPr>
            <w:tcW w:w="812" w:type="dxa"/>
            <w:tcBorders>
              <w:tl2br w:val="nil"/>
              <w:tr2bl w:val="nil"/>
            </w:tcBorders>
            <w:noWrap/>
            <w:vAlign w:val="center"/>
          </w:tcPr>
          <w:p w14:paraId="1C137A6A">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sz w:val="21"/>
                <w:szCs w:val="21"/>
                <w:lang w:val="en-US" w:eastAsia="zh-CN"/>
              </w:rPr>
            </w:pPr>
            <w:r>
              <w:rPr>
                <w:rFonts w:hint="default" w:ascii="Times New Roman" w:hAnsi="Times New Roman" w:eastAsia="仿宋_GB2312" w:cs="Times New Roman"/>
                <w:b/>
                <w:bCs/>
                <w:color w:val="auto"/>
                <w:spacing w:val="0"/>
                <w:kern w:val="0"/>
                <w:position w:val="0"/>
                <w:sz w:val="21"/>
                <w:szCs w:val="21"/>
                <w:lang w:val="en-US" w:eastAsia="zh-CN"/>
              </w:rPr>
              <w:t>√</w:t>
            </w:r>
          </w:p>
        </w:tc>
        <w:tc>
          <w:tcPr>
            <w:tcW w:w="812" w:type="dxa"/>
            <w:tcBorders>
              <w:tl2br w:val="nil"/>
              <w:tr2bl w:val="nil"/>
            </w:tcBorders>
            <w:noWrap/>
            <w:vAlign w:val="center"/>
          </w:tcPr>
          <w:p w14:paraId="59DC2ED9">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sz w:val="21"/>
                <w:szCs w:val="21"/>
                <w:lang w:val="en-US" w:eastAsia="zh-CN"/>
              </w:rPr>
            </w:pPr>
            <w:r>
              <w:rPr>
                <w:rFonts w:hint="default" w:ascii="Times New Roman" w:hAnsi="Times New Roman" w:eastAsia="仿宋_GB2312" w:cs="Times New Roman"/>
                <w:b/>
                <w:bCs/>
                <w:color w:val="auto"/>
                <w:spacing w:val="0"/>
                <w:kern w:val="0"/>
                <w:position w:val="0"/>
                <w:sz w:val="21"/>
                <w:szCs w:val="21"/>
                <w:lang w:val="en-US" w:eastAsia="zh-CN"/>
              </w:rPr>
              <w:t>√</w:t>
            </w:r>
          </w:p>
        </w:tc>
        <w:tc>
          <w:tcPr>
            <w:tcW w:w="822" w:type="dxa"/>
            <w:tcBorders>
              <w:tl2br w:val="nil"/>
              <w:tr2bl w:val="nil"/>
            </w:tcBorders>
            <w:noWrap/>
            <w:vAlign w:val="center"/>
          </w:tcPr>
          <w:p w14:paraId="65123220">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sz w:val="21"/>
                <w:szCs w:val="21"/>
                <w:lang w:val="en-US" w:eastAsia="zh-CN"/>
              </w:rPr>
            </w:pPr>
            <w:r>
              <w:rPr>
                <w:rFonts w:hint="default" w:ascii="Times New Roman" w:hAnsi="Times New Roman" w:eastAsia="仿宋_GB2312" w:cs="Times New Roman"/>
                <w:b/>
                <w:bCs/>
                <w:color w:val="auto"/>
                <w:spacing w:val="0"/>
                <w:kern w:val="0"/>
                <w:position w:val="0"/>
                <w:sz w:val="21"/>
                <w:szCs w:val="21"/>
                <w:lang w:val="en-US" w:eastAsia="zh-CN"/>
              </w:rPr>
              <w:t>√</w:t>
            </w:r>
          </w:p>
        </w:tc>
      </w:tr>
      <w:tr w14:paraId="55EC53B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12" w:type="dxa"/>
            <w:tcBorders>
              <w:tl2br w:val="nil"/>
              <w:tr2bl w:val="nil"/>
            </w:tcBorders>
            <w:noWrap/>
            <w:vAlign w:val="center"/>
          </w:tcPr>
          <w:p w14:paraId="3E808AF5">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sz w:val="21"/>
                <w:szCs w:val="21"/>
                <w:lang w:val="en-US" w:eastAsia="zh-CN"/>
              </w:rPr>
            </w:pPr>
            <w:r>
              <w:rPr>
                <w:rFonts w:hint="default" w:ascii="Times New Roman" w:hAnsi="Times New Roman" w:eastAsia="仿宋_GB2312" w:cs="Times New Roman"/>
                <w:color w:val="auto"/>
                <w:spacing w:val="0"/>
                <w:kern w:val="0"/>
                <w:position w:val="0"/>
                <w:sz w:val="21"/>
                <w:szCs w:val="21"/>
                <w:lang w:val="en-US" w:eastAsia="zh-CN"/>
              </w:rPr>
              <w:t>应急保障组</w:t>
            </w:r>
          </w:p>
        </w:tc>
        <w:tc>
          <w:tcPr>
            <w:tcW w:w="901" w:type="dxa"/>
            <w:tcBorders>
              <w:tl2br w:val="nil"/>
              <w:tr2bl w:val="nil"/>
            </w:tcBorders>
            <w:noWrap/>
            <w:vAlign w:val="center"/>
          </w:tcPr>
          <w:p w14:paraId="2D43BE95">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sz w:val="21"/>
                <w:szCs w:val="21"/>
                <w:lang w:val="en-US" w:eastAsia="zh-CN"/>
              </w:rPr>
            </w:pPr>
            <w:r>
              <w:rPr>
                <w:rFonts w:hint="default" w:ascii="Times New Roman" w:hAnsi="Times New Roman" w:eastAsia="仿宋_GB2312" w:cs="Times New Roman"/>
                <w:b/>
                <w:bCs/>
                <w:color w:val="auto"/>
                <w:spacing w:val="0"/>
                <w:kern w:val="0"/>
                <w:position w:val="0"/>
                <w:sz w:val="21"/>
                <w:szCs w:val="21"/>
                <w:lang w:val="en-US" w:eastAsia="zh-CN"/>
              </w:rPr>
              <w:t>√</w:t>
            </w:r>
          </w:p>
        </w:tc>
        <w:tc>
          <w:tcPr>
            <w:tcW w:w="723" w:type="dxa"/>
            <w:tcBorders>
              <w:tl2br w:val="nil"/>
              <w:tr2bl w:val="nil"/>
            </w:tcBorders>
            <w:noWrap/>
            <w:vAlign w:val="center"/>
          </w:tcPr>
          <w:p w14:paraId="62900672">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sz w:val="21"/>
                <w:szCs w:val="21"/>
                <w:lang w:val="en-US" w:eastAsia="zh-CN"/>
              </w:rPr>
            </w:pPr>
            <w:r>
              <w:rPr>
                <w:rFonts w:hint="default" w:ascii="Times New Roman" w:hAnsi="Times New Roman" w:eastAsia="仿宋_GB2312" w:cs="Times New Roman"/>
                <w:b/>
                <w:bCs/>
                <w:color w:val="auto"/>
                <w:spacing w:val="0"/>
                <w:kern w:val="0"/>
                <w:position w:val="0"/>
                <w:sz w:val="21"/>
                <w:szCs w:val="21"/>
                <w:lang w:val="en-US" w:eastAsia="zh-CN"/>
              </w:rPr>
              <w:t>√</w:t>
            </w:r>
          </w:p>
        </w:tc>
        <w:tc>
          <w:tcPr>
            <w:tcW w:w="812" w:type="dxa"/>
            <w:tcBorders>
              <w:tl2br w:val="nil"/>
              <w:tr2bl w:val="nil"/>
            </w:tcBorders>
            <w:noWrap/>
            <w:vAlign w:val="center"/>
          </w:tcPr>
          <w:p w14:paraId="7F5D0776">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sz w:val="21"/>
                <w:szCs w:val="21"/>
                <w:lang w:val="en-US" w:eastAsia="zh-CN"/>
              </w:rPr>
            </w:pPr>
            <w:r>
              <w:rPr>
                <w:rFonts w:hint="default" w:ascii="Times New Roman" w:hAnsi="Times New Roman" w:eastAsia="仿宋_GB2312" w:cs="Times New Roman"/>
                <w:b/>
                <w:bCs/>
                <w:color w:val="auto"/>
                <w:spacing w:val="0"/>
                <w:kern w:val="0"/>
                <w:position w:val="0"/>
                <w:sz w:val="21"/>
                <w:szCs w:val="21"/>
                <w:lang w:val="en-US" w:eastAsia="zh-CN"/>
              </w:rPr>
              <w:t>√</w:t>
            </w:r>
          </w:p>
        </w:tc>
        <w:tc>
          <w:tcPr>
            <w:tcW w:w="812" w:type="dxa"/>
            <w:tcBorders>
              <w:tl2br w:val="nil"/>
              <w:tr2bl w:val="nil"/>
            </w:tcBorders>
            <w:noWrap/>
            <w:vAlign w:val="center"/>
          </w:tcPr>
          <w:p w14:paraId="20E7835F">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sz w:val="21"/>
                <w:szCs w:val="21"/>
                <w:lang w:val="en-US" w:eastAsia="zh-CN"/>
              </w:rPr>
            </w:pPr>
            <w:r>
              <w:rPr>
                <w:rFonts w:hint="default" w:ascii="Times New Roman" w:hAnsi="Times New Roman" w:eastAsia="仿宋_GB2312" w:cs="Times New Roman"/>
                <w:color w:val="auto"/>
                <w:spacing w:val="0"/>
                <w:kern w:val="0"/>
                <w:position w:val="0"/>
                <w:sz w:val="21"/>
                <w:szCs w:val="21"/>
                <w:lang w:val="en-US" w:eastAsia="zh-CN"/>
              </w:rPr>
              <w:t>--</w:t>
            </w:r>
          </w:p>
        </w:tc>
        <w:tc>
          <w:tcPr>
            <w:tcW w:w="812" w:type="dxa"/>
            <w:tcBorders>
              <w:tl2br w:val="nil"/>
              <w:tr2bl w:val="nil"/>
            </w:tcBorders>
            <w:noWrap/>
            <w:vAlign w:val="center"/>
          </w:tcPr>
          <w:p w14:paraId="103B6CAD">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sz w:val="21"/>
                <w:szCs w:val="21"/>
                <w:lang w:val="en-US" w:eastAsia="zh-CN"/>
              </w:rPr>
            </w:pPr>
            <w:r>
              <w:rPr>
                <w:rFonts w:hint="default" w:ascii="Times New Roman" w:hAnsi="Times New Roman" w:eastAsia="仿宋_GB2312" w:cs="Times New Roman"/>
                <w:color w:val="auto"/>
                <w:spacing w:val="0"/>
                <w:kern w:val="0"/>
                <w:position w:val="0"/>
                <w:sz w:val="21"/>
                <w:szCs w:val="21"/>
                <w:lang w:val="en-US" w:eastAsia="zh-CN"/>
              </w:rPr>
              <w:t>--</w:t>
            </w:r>
          </w:p>
        </w:tc>
        <w:tc>
          <w:tcPr>
            <w:tcW w:w="812" w:type="dxa"/>
            <w:tcBorders>
              <w:tl2br w:val="nil"/>
              <w:tr2bl w:val="nil"/>
            </w:tcBorders>
            <w:noWrap/>
            <w:vAlign w:val="center"/>
          </w:tcPr>
          <w:p w14:paraId="3EB02B2D">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sz w:val="21"/>
                <w:szCs w:val="21"/>
                <w:lang w:val="en-US" w:eastAsia="zh-CN"/>
              </w:rPr>
            </w:pPr>
            <w:r>
              <w:rPr>
                <w:rFonts w:hint="default" w:ascii="Times New Roman" w:hAnsi="Times New Roman" w:eastAsia="仿宋_GB2312" w:cs="Times New Roman"/>
                <w:b/>
                <w:bCs/>
                <w:color w:val="auto"/>
                <w:spacing w:val="0"/>
                <w:kern w:val="0"/>
                <w:position w:val="0"/>
                <w:sz w:val="21"/>
                <w:szCs w:val="21"/>
                <w:lang w:val="en-US" w:eastAsia="zh-CN"/>
              </w:rPr>
              <w:t>√</w:t>
            </w:r>
          </w:p>
        </w:tc>
        <w:tc>
          <w:tcPr>
            <w:tcW w:w="812" w:type="dxa"/>
            <w:tcBorders>
              <w:tl2br w:val="nil"/>
              <w:tr2bl w:val="nil"/>
            </w:tcBorders>
            <w:noWrap/>
            <w:vAlign w:val="center"/>
          </w:tcPr>
          <w:p w14:paraId="2002008F">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sz w:val="21"/>
                <w:szCs w:val="21"/>
                <w:lang w:val="en-US" w:eastAsia="zh-CN"/>
              </w:rPr>
            </w:pPr>
            <w:r>
              <w:rPr>
                <w:rFonts w:hint="default" w:ascii="Times New Roman" w:hAnsi="Times New Roman" w:eastAsia="仿宋_GB2312" w:cs="Times New Roman"/>
                <w:b/>
                <w:bCs/>
                <w:color w:val="auto"/>
                <w:spacing w:val="0"/>
                <w:kern w:val="0"/>
                <w:position w:val="0"/>
                <w:sz w:val="21"/>
                <w:szCs w:val="21"/>
                <w:lang w:val="en-US" w:eastAsia="zh-CN"/>
              </w:rPr>
              <w:t>√</w:t>
            </w:r>
          </w:p>
        </w:tc>
        <w:tc>
          <w:tcPr>
            <w:tcW w:w="812" w:type="dxa"/>
            <w:tcBorders>
              <w:tl2br w:val="nil"/>
              <w:tr2bl w:val="nil"/>
            </w:tcBorders>
            <w:noWrap/>
            <w:vAlign w:val="center"/>
          </w:tcPr>
          <w:p w14:paraId="36FB70CC">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sz w:val="21"/>
                <w:szCs w:val="21"/>
                <w:lang w:val="en-US" w:eastAsia="zh-CN"/>
              </w:rPr>
            </w:pPr>
            <w:r>
              <w:rPr>
                <w:rFonts w:hint="default" w:ascii="Times New Roman" w:hAnsi="Times New Roman" w:eastAsia="仿宋_GB2312" w:cs="Times New Roman"/>
                <w:b/>
                <w:bCs/>
                <w:color w:val="auto"/>
                <w:spacing w:val="0"/>
                <w:kern w:val="0"/>
                <w:position w:val="0"/>
                <w:sz w:val="21"/>
                <w:szCs w:val="21"/>
                <w:lang w:val="en-US" w:eastAsia="zh-CN"/>
              </w:rPr>
              <w:t>√</w:t>
            </w:r>
          </w:p>
        </w:tc>
        <w:tc>
          <w:tcPr>
            <w:tcW w:w="812" w:type="dxa"/>
            <w:tcBorders>
              <w:tl2br w:val="nil"/>
              <w:tr2bl w:val="nil"/>
            </w:tcBorders>
            <w:noWrap/>
            <w:vAlign w:val="center"/>
          </w:tcPr>
          <w:p w14:paraId="184B6B86">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sz w:val="21"/>
                <w:szCs w:val="21"/>
                <w:lang w:val="en-US" w:eastAsia="zh-CN"/>
              </w:rPr>
            </w:pPr>
            <w:r>
              <w:rPr>
                <w:rFonts w:hint="default" w:ascii="Times New Roman" w:hAnsi="Times New Roman" w:eastAsia="仿宋_GB2312" w:cs="Times New Roman"/>
                <w:color w:val="auto"/>
                <w:spacing w:val="0"/>
                <w:kern w:val="0"/>
                <w:position w:val="0"/>
                <w:sz w:val="21"/>
                <w:szCs w:val="21"/>
                <w:lang w:val="en-US" w:eastAsia="zh-CN"/>
              </w:rPr>
              <w:t>--</w:t>
            </w:r>
          </w:p>
        </w:tc>
        <w:tc>
          <w:tcPr>
            <w:tcW w:w="822" w:type="dxa"/>
            <w:tcBorders>
              <w:tl2br w:val="nil"/>
              <w:tr2bl w:val="nil"/>
            </w:tcBorders>
            <w:noWrap/>
            <w:vAlign w:val="center"/>
          </w:tcPr>
          <w:p w14:paraId="15257BFA">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sz w:val="21"/>
                <w:szCs w:val="21"/>
                <w:lang w:val="en-US" w:eastAsia="zh-CN"/>
              </w:rPr>
            </w:pPr>
            <w:r>
              <w:rPr>
                <w:rFonts w:hint="default" w:ascii="Times New Roman" w:hAnsi="Times New Roman" w:eastAsia="仿宋_GB2312" w:cs="Times New Roman"/>
                <w:color w:val="auto"/>
                <w:spacing w:val="0"/>
                <w:kern w:val="0"/>
                <w:position w:val="0"/>
                <w:sz w:val="21"/>
                <w:szCs w:val="21"/>
                <w:lang w:val="en-US" w:eastAsia="zh-CN"/>
              </w:rPr>
              <w:t>--</w:t>
            </w:r>
          </w:p>
        </w:tc>
      </w:tr>
      <w:tr w14:paraId="71001DF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12" w:type="dxa"/>
            <w:tcBorders>
              <w:tl2br w:val="nil"/>
              <w:tr2bl w:val="nil"/>
            </w:tcBorders>
            <w:noWrap/>
            <w:vAlign w:val="center"/>
          </w:tcPr>
          <w:p w14:paraId="5C0C9484">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sz w:val="21"/>
                <w:szCs w:val="21"/>
                <w:lang w:val="en-US" w:eastAsia="zh-CN"/>
              </w:rPr>
            </w:pPr>
            <w:r>
              <w:rPr>
                <w:rFonts w:hint="default" w:ascii="Times New Roman" w:hAnsi="Times New Roman" w:eastAsia="仿宋_GB2312" w:cs="Times New Roman"/>
                <w:color w:val="auto"/>
                <w:spacing w:val="0"/>
                <w:kern w:val="0"/>
                <w:position w:val="0"/>
                <w:sz w:val="21"/>
                <w:szCs w:val="21"/>
                <w:lang w:val="en-US" w:eastAsia="zh-CN"/>
              </w:rPr>
              <w:t>医疗救助组</w:t>
            </w:r>
          </w:p>
        </w:tc>
        <w:tc>
          <w:tcPr>
            <w:tcW w:w="901" w:type="dxa"/>
            <w:tcBorders>
              <w:tl2br w:val="nil"/>
              <w:tr2bl w:val="nil"/>
            </w:tcBorders>
            <w:noWrap/>
            <w:vAlign w:val="center"/>
          </w:tcPr>
          <w:p w14:paraId="62C32F47">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sz w:val="21"/>
                <w:szCs w:val="21"/>
                <w:lang w:val="en-US" w:eastAsia="zh-CN"/>
              </w:rPr>
            </w:pPr>
            <w:r>
              <w:rPr>
                <w:rFonts w:hint="default" w:ascii="Times New Roman" w:hAnsi="Times New Roman" w:eastAsia="仿宋_GB2312" w:cs="Times New Roman"/>
                <w:b/>
                <w:bCs/>
                <w:color w:val="auto"/>
                <w:spacing w:val="0"/>
                <w:kern w:val="0"/>
                <w:position w:val="0"/>
                <w:sz w:val="21"/>
                <w:szCs w:val="21"/>
                <w:lang w:val="en-US" w:eastAsia="zh-CN"/>
              </w:rPr>
              <w:t>√</w:t>
            </w:r>
          </w:p>
        </w:tc>
        <w:tc>
          <w:tcPr>
            <w:tcW w:w="723" w:type="dxa"/>
            <w:tcBorders>
              <w:tl2br w:val="nil"/>
              <w:tr2bl w:val="nil"/>
            </w:tcBorders>
            <w:noWrap/>
            <w:vAlign w:val="center"/>
          </w:tcPr>
          <w:p w14:paraId="5502174E">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sz w:val="21"/>
                <w:szCs w:val="21"/>
                <w:lang w:val="en-US" w:eastAsia="zh-CN"/>
              </w:rPr>
            </w:pPr>
            <w:r>
              <w:rPr>
                <w:rFonts w:hint="default" w:ascii="Times New Roman" w:hAnsi="Times New Roman" w:eastAsia="仿宋_GB2312" w:cs="Times New Roman"/>
                <w:color w:val="auto"/>
                <w:spacing w:val="0"/>
                <w:kern w:val="0"/>
                <w:position w:val="0"/>
                <w:sz w:val="21"/>
                <w:szCs w:val="21"/>
                <w:lang w:val="en-US" w:eastAsia="zh-CN"/>
              </w:rPr>
              <w:t>--</w:t>
            </w:r>
          </w:p>
        </w:tc>
        <w:tc>
          <w:tcPr>
            <w:tcW w:w="812" w:type="dxa"/>
            <w:tcBorders>
              <w:tl2br w:val="nil"/>
              <w:tr2bl w:val="nil"/>
            </w:tcBorders>
            <w:noWrap/>
            <w:vAlign w:val="center"/>
          </w:tcPr>
          <w:p w14:paraId="55D05F57">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sz w:val="21"/>
                <w:szCs w:val="21"/>
                <w:lang w:val="en-US" w:eastAsia="zh-CN"/>
              </w:rPr>
            </w:pPr>
            <w:r>
              <w:rPr>
                <w:rFonts w:hint="default" w:ascii="Times New Roman" w:hAnsi="Times New Roman" w:eastAsia="仿宋_GB2312" w:cs="Times New Roman"/>
                <w:b/>
                <w:bCs/>
                <w:color w:val="auto"/>
                <w:spacing w:val="0"/>
                <w:kern w:val="0"/>
                <w:position w:val="0"/>
                <w:sz w:val="21"/>
                <w:szCs w:val="21"/>
                <w:lang w:val="en-US" w:eastAsia="zh-CN"/>
              </w:rPr>
              <w:t>√</w:t>
            </w:r>
          </w:p>
        </w:tc>
        <w:tc>
          <w:tcPr>
            <w:tcW w:w="812" w:type="dxa"/>
            <w:tcBorders>
              <w:tl2br w:val="nil"/>
              <w:tr2bl w:val="nil"/>
            </w:tcBorders>
            <w:noWrap/>
            <w:vAlign w:val="center"/>
          </w:tcPr>
          <w:p w14:paraId="14907CCA">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sz w:val="21"/>
                <w:szCs w:val="21"/>
                <w:lang w:val="en-US" w:eastAsia="zh-CN"/>
              </w:rPr>
            </w:pPr>
            <w:r>
              <w:rPr>
                <w:rFonts w:hint="default" w:ascii="Times New Roman" w:hAnsi="Times New Roman" w:eastAsia="仿宋_GB2312" w:cs="Times New Roman"/>
                <w:b/>
                <w:bCs/>
                <w:color w:val="auto"/>
                <w:spacing w:val="0"/>
                <w:kern w:val="0"/>
                <w:position w:val="0"/>
                <w:sz w:val="21"/>
                <w:szCs w:val="21"/>
                <w:lang w:val="en-US" w:eastAsia="zh-CN"/>
              </w:rPr>
              <w:t>√</w:t>
            </w:r>
          </w:p>
        </w:tc>
        <w:tc>
          <w:tcPr>
            <w:tcW w:w="812" w:type="dxa"/>
            <w:tcBorders>
              <w:tl2br w:val="nil"/>
              <w:tr2bl w:val="nil"/>
            </w:tcBorders>
            <w:noWrap/>
            <w:vAlign w:val="center"/>
          </w:tcPr>
          <w:p w14:paraId="519211A1">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sz w:val="21"/>
                <w:szCs w:val="21"/>
                <w:lang w:val="en-US" w:eastAsia="zh-CN"/>
              </w:rPr>
            </w:pPr>
            <w:r>
              <w:rPr>
                <w:rFonts w:hint="default" w:ascii="Times New Roman" w:hAnsi="Times New Roman" w:eastAsia="仿宋_GB2312" w:cs="Times New Roman"/>
                <w:b/>
                <w:bCs/>
                <w:color w:val="auto"/>
                <w:spacing w:val="0"/>
                <w:kern w:val="0"/>
                <w:position w:val="0"/>
                <w:sz w:val="21"/>
                <w:szCs w:val="21"/>
                <w:lang w:val="en-US" w:eastAsia="zh-CN"/>
              </w:rPr>
              <w:t>√</w:t>
            </w:r>
          </w:p>
        </w:tc>
        <w:tc>
          <w:tcPr>
            <w:tcW w:w="812" w:type="dxa"/>
            <w:tcBorders>
              <w:tl2br w:val="nil"/>
              <w:tr2bl w:val="nil"/>
            </w:tcBorders>
            <w:noWrap/>
            <w:vAlign w:val="center"/>
          </w:tcPr>
          <w:p w14:paraId="053F06DA">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sz w:val="21"/>
                <w:szCs w:val="21"/>
                <w:lang w:val="en-US" w:eastAsia="zh-CN"/>
              </w:rPr>
            </w:pPr>
            <w:r>
              <w:rPr>
                <w:rFonts w:hint="default" w:ascii="Times New Roman" w:hAnsi="Times New Roman" w:eastAsia="仿宋_GB2312" w:cs="Times New Roman"/>
                <w:color w:val="auto"/>
                <w:spacing w:val="0"/>
                <w:kern w:val="0"/>
                <w:position w:val="0"/>
                <w:sz w:val="21"/>
                <w:szCs w:val="21"/>
                <w:lang w:val="en-US" w:eastAsia="zh-CN"/>
              </w:rPr>
              <w:t>--</w:t>
            </w:r>
          </w:p>
        </w:tc>
        <w:tc>
          <w:tcPr>
            <w:tcW w:w="812" w:type="dxa"/>
            <w:tcBorders>
              <w:tl2br w:val="nil"/>
              <w:tr2bl w:val="nil"/>
            </w:tcBorders>
            <w:noWrap/>
            <w:vAlign w:val="center"/>
          </w:tcPr>
          <w:p w14:paraId="13E32F51">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sz w:val="21"/>
                <w:szCs w:val="21"/>
                <w:lang w:val="en-US" w:eastAsia="zh-CN"/>
              </w:rPr>
            </w:pPr>
            <w:r>
              <w:rPr>
                <w:rFonts w:hint="default" w:ascii="Times New Roman" w:hAnsi="Times New Roman" w:eastAsia="仿宋_GB2312" w:cs="Times New Roman"/>
                <w:b/>
                <w:bCs/>
                <w:color w:val="auto"/>
                <w:spacing w:val="0"/>
                <w:kern w:val="0"/>
                <w:position w:val="0"/>
                <w:sz w:val="21"/>
                <w:szCs w:val="21"/>
                <w:lang w:val="en-US" w:eastAsia="zh-CN"/>
              </w:rPr>
              <w:t>√</w:t>
            </w:r>
          </w:p>
        </w:tc>
        <w:tc>
          <w:tcPr>
            <w:tcW w:w="812" w:type="dxa"/>
            <w:tcBorders>
              <w:tl2br w:val="nil"/>
              <w:tr2bl w:val="nil"/>
            </w:tcBorders>
            <w:noWrap/>
            <w:vAlign w:val="center"/>
          </w:tcPr>
          <w:p w14:paraId="21B086D6">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sz w:val="21"/>
                <w:szCs w:val="21"/>
                <w:lang w:val="en-US" w:eastAsia="zh-CN"/>
              </w:rPr>
            </w:pPr>
            <w:r>
              <w:rPr>
                <w:rFonts w:hint="default" w:ascii="Times New Roman" w:hAnsi="Times New Roman" w:eastAsia="仿宋_GB2312" w:cs="Times New Roman"/>
                <w:color w:val="auto"/>
                <w:spacing w:val="0"/>
                <w:kern w:val="0"/>
                <w:position w:val="0"/>
                <w:sz w:val="21"/>
                <w:szCs w:val="21"/>
                <w:lang w:val="en-US" w:eastAsia="zh-CN"/>
              </w:rPr>
              <w:t>--</w:t>
            </w:r>
          </w:p>
        </w:tc>
        <w:tc>
          <w:tcPr>
            <w:tcW w:w="812" w:type="dxa"/>
            <w:tcBorders>
              <w:tl2br w:val="nil"/>
              <w:tr2bl w:val="nil"/>
            </w:tcBorders>
            <w:noWrap/>
            <w:vAlign w:val="center"/>
          </w:tcPr>
          <w:p w14:paraId="14400028">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sz w:val="21"/>
                <w:szCs w:val="21"/>
                <w:lang w:val="en-US" w:eastAsia="zh-CN"/>
              </w:rPr>
            </w:pPr>
            <w:r>
              <w:rPr>
                <w:rFonts w:hint="default" w:ascii="Times New Roman" w:hAnsi="Times New Roman" w:eastAsia="仿宋_GB2312" w:cs="Times New Roman"/>
                <w:color w:val="auto"/>
                <w:spacing w:val="0"/>
                <w:kern w:val="0"/>
                <w:position w:val="0"/>
                <w:sz w:val="21"/>
                <w:szCs w:val="21"/>
                <w:lang w:val="en-US" w:eastAsia="zh-CN"/>
              </w:rPr>
              <w:t>--</w:t>
            </w:r>
          </w:p>
        </w:tc>
        <w:tc>
          <w:tcPr>
            <w:tcW w:w="822" w:type="dxa"/>
            <w:tcBorders>
              <w:tl2br w:val="nil"/>
              <w:tr2bl w:val="nil"/>
            </w:tcBorders>
            <w:noWrap/>
            <w:vAlign w:val="center"/>
          </w:tcPr>
          <w:p w14:paraId="3B85C66B">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sz w:val="21"/>
                <w:szCs w:val="21"/>
                <w:lang w:val="en-US" w:eastAsia="zh-CN"/>
              </w:rPr>
            </w:pPr>
            <w:r>
              <w:rPr>
                <w:rFonts w:hint="default" w:ascii="Times New Roman" w:hAnsi="Times New Roman" w:eastAsia="仿宋_GB2312" w:cs="Times New Roman"/>
                <w:b/>
                <w:bCs/>
                <w:color w:val="auto"/>
                <w:spacing w:val="0"/>
                <w:kern w:val="0"/>
                <w:position w:val="0"/>
                <w:sz w:val="21"/>
                <w:szCs w:val="21"/>
                <w:lang w:val="en-US" w:eastAsia="zh-CN"/>
              </w:rPr>
              <w:t>√</w:t>
            </w:r>
          </w:p>
        </w:tc>
      </w:tr>
      <w:tr w14:paraId="352BFB6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12" w:type="dxa"/>
            <w:tcBorders>
              <w:tl2br w:val="nil"/>
              <w:tr2bl w:val="nil"/>
            </w:tcBorders>
            <w:noWrap/>
            <w:vAlign w:val="center"/>
          </w:tcPr>
          <w:p w14:paraId="7972713C">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sz w:val="21"/>
                <w:szCs w:val="21"/>
                <w:lang w:val="en-US" w:eastAsia="zh-CN"/>
              </w:rPr>
            </w:pPr>
            <w:r>
              <w:rPr>
                <w:rFonts w:hint="default" w:ascii="Times New Roman" w:hAnsi="Times New Roman" w:eastAsia="仿宋_GB2312" w:cs="Times New Roman"/>
                <w:color w:val="auto"/>
                <w:spacing w:val="0"/>
                <w:kern w:val="0"/>
                <w:position w:val="0"/>
                <w:sz w:val="21"/>
                <w:szCs w:val="21"/>
                <w:lang w:val="en-US" w:eastAsia="zh-CN"/>
              </w:rPr>
              <w:t>环境保护组</w:t>
            </w:r>
          </w:p>
        </w:tc>
        <w:tc>
          <w:tcPr>
            <w:tcW w:w="901" w:type="dxa"/>
            <w:tcBorders>
              <w:tl2br w:val="nil"/>
              <w:tr2bl w:val="nil"/>
            </w:tcBorders>
            <w:noWrap/>
            <w:vAlign w:val="center"/>
          </w:tcPr>
          <w:p w14:paraId="460B27EC">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sz w:val="21"/>
                <w:szCs w:val="21"/>
                <w:lang w:val="en-US" w:eastAsia="zh-CN"/>
              </w:rPr>
            </w:pPr>
            <w:r>
              <w:rPr>
                <w:rFonts w:hint="default" w:ascii="Times New Roman" w:hAnsi="Times New Roman" w:eastAsia="仿宋_GB2312" w:cs="Times New Roman"/>
                <w:b/>
                <w:bCs/>
                <w:color w:val="auto"/>
                <w:spacing w:val="0"/>
                <w:kern w:val="0"/>
                <w:position w:val="0"/>
                <w:sz w:val="21"/>
                <w:szCs w:val="21"/>
                <w:lang w:val="en-US" w:eastAsia="zh-CN"/>
              </w:rPr>
              <w:t>√</w:t>
            </w:r>
          </w:p>
        </w:tc>
        <w:tc>
          <w:tcPr>
            <w:tcW w:w="723" w:type="dxa"/>
            <w:tcBorders>
              <w:tl2br w:val="nil"/>
              <w:tr2bl w:val="nil"/>
            </w:tcBorders>
            <w:noWrap/>
            <w:vAlign w:val="center"/>
          </w:tcPr>
          <w:p w14:paraId="23D74EF0">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sz w:val="21"/>
                <w:szCs w:val="21"/>
                <w:lang w:val="en-US" w:eastAsia="zh-CN"/>
              </w:rPr>
            </w:pPr>
            <w:r>
              <w:rPr>
                <w:rFonts w:hint="default" w:ascii="Times New Roman" w:hAnsi="Times New Roman" w:eastAsia="仿宋_GB2312" w:cs="Times New Roman"/>
                <w:color w:val="auto"/>
                <w:spacing w:val="0"/>
                <w:kern w:val="0"/>
                <w:position w:val="0"/>
                <w:sz w:val="21"/>
                <w:szCs w:val="21"/>
                <w:lang w:val="en-US" w:eastAsia="zh-CN"/>
              </w:rPr>
              <w:t>--</w:t>
            </w:r>
          </w:p>
        </w:tc>
        <w:tc>
          <w:tcPr>
            <w:tcW w:w="812" w:type="dxa"/>
            <w:tcBorders>
              <w:tl2br w:val="nil"/>
              <w:tr2bl w:val="nil"/>
            </w:tcBorders>
            <w:noWrap/>
            <w:vAlign w:val="center"/>
          </w:tcPr>
          <w:p w14:paraId="0C076FFC">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sz w:val="21"/>
                <w:szCs w:val="21"/>
                <w:lang w:val="en-US" w:eastAsia="zh-CN"/>
              </w:rPr>
            </w:pPr>
            <w:r>
              <w:rPr>
                <w:rFonts w:hint="default" w:ascii="Times New Roman" w:hAnsi="Times New Roman" w:eastAsia="仿宋_GB2312" w:cs="Times New Roman"/>
                <w:b/>
                <w:bCs/>
                <w:color w:val="auto"/>
                <w:spacing w:val="0"/>
                <w:kern w:val="0"/>
                <w:position w:val="0"/>
                <w:sz w:val="21"/>
                <w:szCs w:val="21"/>
                <w:lang w:val="en-US" w:eastAsia="zh-CN"/>
              </w:rPr>
              <w:t>√</w:t>
            </w:r>
          </w:p>
        </w:tc>
        <w:tc>
          <w:tcPr>
            <w:tcW w:w="812" w:type="dxa"/>
            <w:tcBorders>
              <w:tl2br w:val="nil"/>
              <w:tr2bl w:val="nil"/>
            </w:tcBorders>
            <w:noWrap/>
            <w:vAlign w:val="center"/>
          </w:tcPr>
          <w:p w14:paraId="7DDEBDF3">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sz w:val="21"/>
                <w:szCs w:val="21"/>
                <w:lang w:val="en-US" w:eastAsia="zh-CN"/>
              </w:rPr>
            </w:pPr>
            <w:r>
              <w:rPr>
                <w:rFonts w:hint="default" w:ascii="Times New Roman" w:hAnsi="Times New Roman" w:eastAsia="仿宋_GB2312" w:cs="Times New Roman"/>
                <w:b/>
                <w:bCs/>
                <w:color w:val="auto"/>
                <w:spacing w:val="0"/>
                <w:kern w:val="0"/>
                <w:position w:val="0"/>
                <w:sz w:val="21"/>
                <w:szCs w:val="21"/>
                <w:lang w:val="en-US" w:eastAsia="zh-CN"/>
              </w:rPr>
              <w:t>√</w:t>
            </w:r>
          </w:p>
        </w:tc>
        <w:tc>
          <w:tcPr>
            <w:tcW w:w="812" w:type="dxa"/>
            <w:tcBorders>
              <w:tl2br w:val="nil"/>
              <w:tr2bl w:val="nil"/>
            </w:tcBorders>
            <w:noWrap/>
            <w:vAlign w:val="center"/>
          </w:tcPr>
          <w:p w14:paraId="01F4DCE3">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sz w:val="21"/>
                <w:szCs w:val="21"/>
                <w:lang w:val="en-US" w:eastAsia="zh-CN"/>
              </w:rPr>
            </w:pPr>
            <w:r>
              <w:rPr>
                <w:rFonts w:hint="default" w:ascii="Times New Roman" w:hAnsi="Times New Roman" w:eastAsia="仿宋_GB2312" w:cs="Times New Roman"/>
                <w:color w:val="auto"/>
                <w:spacing w:val="0"/>
                <w:kern w:val="0"/>
                <w:position w:val="0"/>
                <w:sz w:val="21"/>
                <w:szCs w:val="21"/>
                <w:lang w:val="en-US" w:eastAsia="zh-CN"/>
              </w:rPr>
              <w:t>--</w:t>
            </w:r>
          </w:p>
        </w:tc>
        <w:tc>
          <w:tcPr>
            <w:tcW w:w="812" w:type="dxa"/>
            <w:tcBorders>
              <w:tl2br w:val="nil"/>
              <w:tr2bl w:val="nil"/>
            </w:tcBorders>
            <w:noWrap/>
            <w:vAlign w:val="center"/>
          </w:tcPr>
          <w:p w14:paraId="05AFF3E9">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sz w:val="21"/>
                <w:szCs w:val="21"/>
                <w:lang w:val="en-US" w:eastAsia="zh-CN"/>
              </w:rPr>
            </w:pPr>
            <w:r>
              <w:rPr>
                <w:rFonts w:hint="default" w:ascii="Times New Roman" w:hAnsi="Times New Roman" w:eastAsia="仿宋_GB2312" w:cs="Times New Roman"/>
                <w:b/>
                <w:bCs/>
                <w:color w:val="auto"/>
                <w:spacing w:val="0"/>
                <w:kern w:val="0"/>
                <w:position w:val="0"/>
                <w:sz w:val="21"/>
                <w:szCs w:val="21"/>
                <w:lang w:val="en-US" w:eastAsia="zh-CN"/>
              </w:rPr>
              <w:t>√</w:t>
            </w:r>
          </w:p>
        </w:tc>
        <w:tc>
          <w:tcPr>
            <w:tcW w:w="812" w:type="dxa"/>
            <w:tcBorders>
              <w:tl2br w:val="nil"/>
              <w:tr2bl w:val="nil"/>
            </w:tcBorders>
            <w:noWrap/>
            <w:vAlign w:val="center"/>
          </w:tcPr>
          <w:p w14:paraId="4EB22052">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sz w:val="21"/>
                <w:szCs w:val="21"/>
                <w:lang w:val="en-US" w:eastAsia="zh-CN"/>
              </w:rPr>
            </w:pPr>
            <w:r>
              <w:rPr>
                <w:rFonts w:hint="default" w:ascii="Times New Roman" w:hAnsi="Times New Roman" w:eastAsia="仿宋_GB2312" w:cs="Times New Roman"/>
                <w:b/>
                <w:bCs/>
                <w:color w:val="auto"/>
                <w:spacing w:val="0"/>
                <w:kern w:val="0"/>
                <w:position w:val="0"/>
                <w:sz w:val="21"/>
                <w:szCs w:val="21"/>
                <w:lang w:val="en-US" w:eastAsia="zh-CN"/>
              </w:rPr>
              <w:t>√</w:t>
            </w:r>
          </w:p>
        </w:tc>
        <w:tc>
          <w:tcPr>
            <w:tcW w:w="812" w:type="dxa"/>
            <w:tcBorders>
              <w:tl2br w:val="nil"/>
              <w:tr2bl w:val="nil"/>
            </w:tcBorders>
            <w:noWrap/>
            <w:vAlign w:val="center"/>
          </w:tcPr>
          <w:p w14:paraId="726DC339">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sz w:val="21"/>
                <w:szCs w:val="21"/>
                <w:lang w:val="en-US" w:eastAsia="zh-CN"/>
              </w:rPr>
            </w:pPr>
            <w:r>
              <w:rPr>
                <w:rFonts w:hint="default" w:ascii="Times New Roman" w:hAnsi="Times New Roman" w:eastAsia="仿宋_GB2312" w:cs="Times New Roman"/>
                <w:b/>
                <w:bCs/>
                <w:color w:val="auto"/>
                <w:spacing w:val="0"/>
                <w:kern w:val="0"/>
                <w:position w:val="0"/>
                <w:sz w:val="21"/>
                <w:szCs w:val="21"/>
                <w:lang w:val="en-US" w:eastAsia="zh-CN"/>
              </w:rPr>
              <w:t>√</w:t>
            </w:r>
          </w:p>
        </w:tc>
        <w:tc>
          <w:tcPr>
            <w:tcW w:w="812" w:type="dxa"/>
            <w:tcBorders>
              <w:tl2br w:val="nil"/>
              <w:tr2bl w:val="nil"/>
            </w:tcBorders>
            <w:noWrap/>
            <w:vAlign w:val="center"/>
          </w:tcPr>
          <w:p w14:paraId="7AF79015">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sz w:val="21"/>
                <w:szCs w:val="21"/>
                <w:lang w:val="en-US" w:eastAsia="zh-CN"/>
              </w:rPr>
            </w:pPr>
            <w:r>
              <w:rPr>
                <w:rFonts w:hint="default" w:ascii="Times New Roman" w:hAnsi="Times New Roman" w:eastAsia="仿宋_GB2312" w:cs="Times New Roman"/>
                <w:b/>
                <w:bCs/>
                <w:color w:val="auto"/>
                <w:spacing w:val="0"/>
                <w:kern w:val="0"/>
                <w:position w:val="0"/>
                <w:sz w:val="21"/>
                <w:szCs w:val="21"/>
                <w:lang w:val="en-US" w:eastAsia="zh-CN"/>
              </w:rPr>
              <w:t>√</w:t>
            </w:r>
          </w:p>
        </w:tc>
        <w:tc>
          <w:tcPr>
            <w:tcW w:w="822" w:type="dxa"/>
            <w:tcBorders>
              <w:tl2br w:val="nil"/>
              <w:tr2bl w:val="nil"/>
            </w:tcBorders>
            <w:noWrap/>
            <w:vAlign w:val="center"/>
          </w:tcPr>
          <w:p w14:paraId="4D99D8DF">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sz w:val="21"/>
                <w:szCs w:val="21"/>
                <w:lang w:val="en-US" w:eastAsia="zh-CN"/>
              </w:rPr>
            </w:pPr>
            <w:r>
              <w:rPr>
                <w:rFonts w:hint="default" w:ascii="Times New Roman" w:hAnsi="Times New Roman" w:eastAsia="仿宋_GB2312" w:cs="Times New Roman"/>
                <w:b/>
                <w:bCs/>
                <w:color w:val="auto"/>
                <w:spacing w:val="0"/>
                <w:kern w:val="0"/>
                <w:position w:val="0"/>
                <w:sz w:val="21"/>
                <w:szCs w:val="21"/>
                <w:lang w:val="en-US" w:eastAsia="zh-CN"/>
              </w:rPr>
              <w:t>√</w:t>
            </w:r>
          </w:p>
        </w:tc>
      </w:tr>
    </w:tbl>
    <w:p w14:paraId="2D26236E">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应急人员的培训内容，具体见表</w:t>
      </w:r>
      <w:r>
        <w:rPr>
          <w:rFonts w:hint="default" w:ascii="Times New Roman" w:hAnsi="Times New Roman" w:eastAsia="仿宋_GB2312" w:cs="Times New Roman"/>
          <w:color w:val="auto"/>
          <w:spacing w:val="0"/>
          <w:kern w:val="0"/>
          <w:position w:val="0"/>
          <w:sz w:val="24"/>
          <w:szCs w:val="24"/>
          <w:lang w:val="en-US" w:eastAsia="zh-CN"/>
        </w:rPr>
        <w:t>5.10-2</w:t>
      </w:r>
      <w:r>
        <w:rPr>
          <w:rFonts w:hint="default" w:ascii="Times New Roman" w:hAnsi="Times New Roman" w:eastAsia="仿宋_GB2312" w:cs="Times New Roman"/>
          <w:color w:val="auto"/>
          <w:spacing w:val="0"/>
          <w:kern w:val="0"/>
          <w:position w:val="0"/>
          <w:sz w:val="24"/>
          <w:szCs w:val="24"/>
        </w:rPr>
        <w:t>。</w:t>
      </w:r>
    </w:p>
    <w:p w14:paraId="40B77AD3">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b/>
          <w:bCs/>
          <w:color w:val="auto"/>
          <w:spacing w:val="0"/>
          <w:kern w:val="0"/>
          <w:position w:val="0"/>
          <w:sz w:val="24"/>
          <w:szCs w:val="24"/>
          <w:lang w:val="en-US" w:eastAsia="zh-CN"/>
        </w:rPr>
      </w:pPr>
      <w:r>
        <w:rPr>
          <w:rFonts w:hint="default" w:ascii="Times New Roman" w:hAnsi="Times New Roman" w:eastAsia="仿宋_GB2312" w:cs="Times New Roman"/>
          <w:b/>
          <w:bCs/>
          <w:color w:val="auto"/>
          <w:spacing w:val="0"/>
          <w:kern w:val="0"/>
          <w:position w:val="0"/>
          <w:sz w:val="24"/>
          <w:szCs w:val="24"/>
        </w:rPr>
        <w:t>表</w:t>
      </w:r>
      <w:r>
        <w:rPr>
          <w:rFonts w:hint="default" w:ascii="Times New Roman" w:hAnsi="Times New Roman" w:eastAsia="仿宋_GB2312" w:cs="Times New Roman"/>
          <w:b/>
          <w:bCs/>
          <w:color w:val="auto"/>
          <w:spacing w:val="0"/>
          <w:kern w:val="0"/>
          <w:position w:val="0"/>
          <w:sz w:val="24"/>
          <w:szCs w:val="24"/>
          <w:lang w:val="en-US" w:eastAsia="zh-CN"/>
        </w:rPr>
        <w:t>5.10-2</w:t>
      </w:r>
      <w:r>
        <w:rPr>
          <w:rFonts w:hint="default" w:ascii="Times New Roman" w:hAnsi="Times New Roman" w:eastAsia="仿宋_GB2312" w:cs="Times New Roman"/>
          <w:b/>
          <w:bCs/>
          <w:color w:val="auto"/>
          <w:spacing w:val="0"/>
          <w:kern w:val="0"/>
          <w:position w:val="0"/>
          <w:sz w:val="24"/>
          <w:szCs w:val="24"/>
        </w:rPr>
        <w:t xml:space="preserve">  </w:t>
      </w:r>
      <w:r>
        <w:rPr>
          <w:rFonts w:hint="default" w:ascii="Times New Roman" w:hAnsi="Times New Roman" w:eastAsia="仿宋_GB2312" w:cs="Times New Roman"/>
          <w:b/>
          <w:bCs/>
          <w:color w:val="auto"/>
          <w:spacing w:val="0"/>
          <w:kern w:val="0"/>
          <w:position w:val="0"/>
          <w:sz w:val="24"/>
          <w:szCs w:val="24"/>
          <w:lang w:val="en-US" w:eastAsia="zh-CN"/>
        </w:rPr>
        <w:t>各类人员的安全环保培训计划</w:t>
      </w:r>
    </w:p>
    <w:tbl>
      <w:tblPr>
        <w:tblStyle w:val="31"/>
        <w:tblW w:w="8942"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2298"/>
        <w:gridCol w:w="3664"/>
        <w:gridCol w:w="2980"/>
      </w:tblGrid>
      <w:tr w14:paraId="6D9C58F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298" w:type="dxa"/>
            <w:tcBorders>
              <w:tl2br w:val="nil"/>
              <w:tr2bl w:val="nil"/>
            </w:tcBorders>
            <w:noWrap/>
            <w:vAlign w:val="center"/>
          </w:tcPr>
          <w:p w14:paraId="387753BE">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b/>
                <w:bCs/>
                <w:color w:val="auto"/>
                <w:spacing w:val="0"/>
                <w:kern w:val="0"/>
                <w:position w:val="0"/>
                <w:sz w:val="21"/>
                <w:szCs w:val="21"/>
                <w:lang w:val="en-US" w:eastAsia="zh-CN"/>
              </w:rPr>
            </w:pPr>
            <w:r>
              <w:rPr>
                <w:rFonts w:hint="default" w:ascii="Times New Roman" w:hAnsi="Times New Roman" w:eastAsia="仿宋_GB2312" w:cs="Times New Roman"/>
                <w:b/>
                <w:bCs/>
                <w:color w:val="auto"/>
                <w:spacing w:val="0"/>
                <w:kern w:val="0"/>
                <w:position w:val="0"/>
                <w:sz w:val="21"/>
                <w:szCs w:val="21"/>
                <w:lang w:val="en-US" w:eastAsia="zh-CN"/>
              </w:rPr>
              <w:t>培训对象</w:t>
            </w:r>
          </w:p>
        </w:tc>
        <w:tc>
          <w:tcPr>
            <w:tcW w:w="3664" w:type="dxa"/>
            <w:tcBorders>
              <w:tl2br w:val="nil"/>
              <w:tr2bl w:val="nil"/>
            </w:tcBorders>
            <w:noWrap/>
            <w:vAlign w:val="center"/>
          </w:tcPr>
          <w:p w14:paraId="48559478">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b/>
                <w:bCs/>
                <w:color w:val="auto"/>
                <w:spacing w:val="0"/>
                <w:kern w:val="0"/>
                <w:position w:val="0"/>
                <w:sz w:val="21"/>
                <w:szCs w:val="21"/>
                <w:lang w:val="en-US" w:eastAsia="zh-CN"/>
              </w:rPr>
            </w:pPr>
            <w:r>
              <w:rPr>
                <w:rFonts w:hint="default" w:ascii="Times New Roman" w:hAnsi="Times New Roman" w:eastAsia="仿宋_GB2312" w:cs="Times New Roman"/>
                <w:b/>
                <w:bCs/>
                <w:color w:val="auto"/>
                <w:spacing w:val="0"/>
                <w:kern w:val="0"/>
                <w:position w:val="0"/>
                <w:sz w:val="21"/>
                <w:szCs w:val="21"/>
                <w:lang w:val="en-US" w:eastAsia="zh-CN"/>
              </w:rPr>
              <w:t>培训内容</w:t>
            </w:r>
          </w:p>
        </w:tc>
        <w:tc>
          <w:tcPr>
            <w:tcW w:w="2980" w:type="dxa"/>
            <w:tcBorders>
              <w:tl2br w:val="nil"/>
              <w:tr2bl w:val="nil"/>
            </w:tcBorders>
            <w:noWrap/>
            <w:vAlign w:val="center"/>
          </w:tcPr>
          <w:p w14:paraId="66485C26">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b/>
                <w:bCs/>
                <w:color w:val="auto"/>
                <w:spacing w:val="0"/>
                <w:kern w:val="0"/>
                <w:position w:val="0"/>
                <w:sz w:val="21"/>
                <w:szCs w:val="21"/>
                <w:lang w:val="en-US" w:eastAsia="zh-CN"/>
              </w:rPr>
            </w:pPr>
            <w:r>
              <w:rPr>
                <w:rFonts w:hint="default" w:ascii="Times New Roman" w:hAnsi="Times New Roman" w:eastAsia="仿宋_GB2312" w:cs="Times New Roman"/>
                <w:b/>
                <w:bCs/>
                <w:color w:val="auto"/>
                <w:spacing w:val="0"/>
                <w:kern w:val="0"/>
                <w:position w:val="0"/>
                <w:sz w:val="21"/>
                <w:szCs w:val="21"/>
                <w:lang w:val="en-US" w:eastAsia="zh-CN"/>
              </w:rPr>
              <w:t>培训时间</w:t>
            </w:r>
          </w:p>
        </w:tc>
      </w:tr>
      <w:tr w14:paraId="27726EC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298" w:type="dxa"/>
            <w:tcBorders>
              <w:tl2br w:val="nil"/>
              <w:tr2bl w:val="nil"/>
            </w:tcBorders>
            <w:noWrap/>
            <w:vAlign w:val="center"/>
          </w:tcPr>
          <w:p w14:paraId="567A9508">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sz w:val="21"/>
                <w:szCs w:val="21"/>
                <w:lang w:val="en-US" w:eastAsia="zh-CN"/>
              </w:rPr>
            </w:pPr>
            <w:r>
              <w:rPr>
                <w:rFonts w:hint="default" w:ascii="Times New Roman" w:hAnsi="Times New Roman" w:eastAsia="仿宋_GB2312" w:cs="Times New Roman"/>
                <w:color w:val="auto"/>
                <w:spacing w:val="0"/>
                <w:kern w:val="0"/>
                <w:position w:val="0"/>
                <w:sz w:val="21"/>
                <w:szCs w:val="21"/>
                <w:lang w:val="en-US" w:eastAsia="zh-CN"/>
              </w:rPr>
              <w:t>企业管理人员</w:t>
            </w:r>
          </w:p>
        </w:tc>
        <w:tc>
          <w:tcPr>
            <w:tcW w:w="3664" w:type="dxa"/>
            <w:tcBorders>
              <w:tl2br w:val="nil"/>
              <w:tr2bl w:val="nil"/>
            </w:tcBorders>
            <w:noWrap/>
            <w:vAlign w:val="center"/>
          </w:tcPr>
          <w:p w14:paraId="5698FDF4">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sz w:val="21"/>
                <w:szCs w:val="21"/>
                <w:lang w:val="en-US" w:eastAsia="zh-CN"/>
              </w:rPr>
            </w:pPr>
            <w:r>
              <w:rPr>
                <w:rFonts w:hint="default" w:ascii="Times New Roman" w:hAnsi="Times New Roman" w:eastAsia="仿宋_GB2312" w:cs="Times New Roman"/>
                <w:color w:val="auto"/>
                <w:spacing w:val="0"/>
                <w:kern w:val="0"/>
                <w:position w:val="0"/>
                <w:sz w:val="21"/>
                <w:szCs w:val="21"/>
                <w:lang w:val="en-US" w:eastAsia="zh-CN"/>
              </w:rPr>
              <w:t>国家政策、法律法规、规章制度、各类标准、职业危害识别、安全教育、检查、制定预案内容和安全报告、事故调查分析方法</w:t>
            </w:r>
          </w:p>
        </w:tc>
        <w:tc>
          <w:tcPr>
            <w:tcW w:w="2980" w:type="dxa"/>
            <w:tcBorders>
              <w:tl2br w:val="nil"/>
              <w:tr2bl w:val="nil"/>
            </w:tcBorders>
            <w:noWrap/>
            <w:vAlign w:val="center"/>
          </w:tcPr>
          <w:p w14:paraId="1C54D7B4">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sz w:val="21"/>
                <w:szCs w:val="21"/>
                <w:lang w:val="en-US" w:eastAsia="zh-CN"/>
              </w:rPr>
            </w:pPr>
            <w:r>
              <w:rPr>
                <w:rFonts w:hint="default" w:ascii="Times New Roman" w:hAnsi="Times New Roman" w:eastAsia="仿宋_GB2312" w:cs="Times New Roman"/>
                <w:color w:val="auto"/>
                <w:spacing w:val="0"/>
                <w:kern w:val="0"/>
                <w:position w:val="0"/>
                <w:sz w:val="21"/>
                <w:szCs w:val="21"/>
                <w:lang w:val="en-US" w:eastAsia="zh-CN"/>
              </w:rPr>
              <w:t>每季度不少于24小时</w:t>
            </w:r>
          </w:p>
        </w:tc>
      </w:tr>
      <w:tr w14:paraId="6A79EEB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298" w:type="dxa"/>
            <w:tcBorders>
              <w:tl2br w:val="nil"/>
              <w:tr2bl w:val="nil"/>
            </w:tcBorders>
            <w:noWrap/>
            <w:vAlign w:val="center"/>
          </w:tcPr>
          <w:p w14:paraId="12D5BDF9">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sz w:val="21"/>
                <w:szCs w:val="21"/>
                <w:lang w:val="en-US" w:eastAsia="zh-CN"/>
              </w:rPr>
            </w:pPr>
            <w:r>
              <w:rPr>
                <w:rFonts w:hint="default" w:ascii="Times New Roman" w:hAnsi="Times New Roman" w:eastAsia="仿宋_GB2312" w:cs="Times New Roman"/>
                <w:color w:val="auto"/>
                <w:spacing w:val="0"/>
                <w:kern w:val="0"/>
                <w:position w:val="0"/>
                <w:sz w:val="21"/>
                <w:szCs w:val="21"/>
                <w:lang w:val="en-US" w:eastAsia="zh-CN"/>
              </w:rPr>
              <w:t>安全和应急救援人员</w:t>
            </w:r>
          </w:p>
        </w:tc>
        <w:tc>
          <w:tcPr>
            <w:tcW w:w="3664" w:type="dxa"/>
            <w:tcBorders>
              <w:tl2br w:val="nil"/>
              <w:tr2bl w:val="nil"/>
            </w:tcBorders>
            <w:noWrap/>
            <w:vAlign w:val="center"/>
          </w:tcPr>
          <w:p w14:paraId="36865F00">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sz w:val="21"/>
                <w:szCs w:val="21"/>
                <w:lang w:val="en-US" w:eastAsia="zh-CN"/>
              </w:rPr>
            </w:pPr>
            <w:r>
              <w:rPr>
                <w:rFonts w:hint="default" w:ascii="Times New Roman" w:hAnsi="Times New Roman" w:eastAsia="仿宋_GB2312" w:cs="Times New Roman"/>
                <w:color w:val="auto"/>
                <w:spacing w:val="0"/>
                <w:kern w:val="0"/>
                <w:position w:val="0"/>
                <w:sz w:val="21"/>
                <w:szCs w:val="21"/>
                <w:lang w:val="en-US" w:eastAsia="zh-CN"/>
              </w:rPr>
              <w:t>国家政策、法律法规、危险源控制、应急救援预案内容、程序、专业技术、事故调查和评估</w:t>
            </w:r>
          </w:p>
        </w:tc>
        <w:tc>
          <w:tcPr>
            <w:tcW w:w="2980" w:type="dxa"/>
            <w:tcBorders>
              <w:tl2br w:val="nil"/>
              <w:tr2bl w:val="nil"/>
            </w:tcBorders>
            <w:noWrap/>
            <w:vAlign w:val="center"/>
          </w:tcPr>
          <w:p w14:paraId="0D0DFE7B">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sz w:val="21"/>
                <w:szCs w:val="21"/>
                <w:lang w:val="en-US" w:eastAsia="zh-CN"/>
              </w:rPr>
            </w:pPr>
            <w:r>
              <w:rPr>
                <w:rFonts w:hint="default" w:ascii="Times New Roman" w:hAnsi="Times New Roman" w:eastAsia="仿宋_GB2312" w:cs="Times New Roman"/>
                <w:color w:val="auto"/>
                <w:spacing w:val="0"/>
                <w:kern w:val="0"/>
                <w:position w:val="0"/>
                <w:sz w:val="21"/>
                <w:szCs w:val="21"/>
                <w:lang w:val="en-US" w:eastAsia="zh-CN"/>
              </w:rPr>
              <w:t>每季度不少于48小时</w:t>
            </w:r>
          </w:p>
        </w:tc>
      </w:tr>
      <w:tr w14:paraId="2D909A2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298" w:type="dxa"/>
            <w:tcBorders>
              <w:tl2br w:val="nil"/>
              <w:tr2bl w:val="nil"/>
            </w:tcBorders>
            <w:noWrap/>
            <w:vAlign w:val="center"/>
          </w:tcPr>
          <w:p w14:paraId="6B736235">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sz w:val="21"/>
                <w:szCs w:val="21"/>
                <w:lang w:val="en-US" w:eastAsia="zh-CN"/>
              </w:rPr>
            </w:pPr>
            <w:r>
              <w:rPr>
                <w:rFonts w:hint="default" w:ascii="Times New Roman" w:hAnsi="Times New Roman" w:eastAsia="仿宋_GB2312" w:cs="Times New Roman"/>
                <w:color w:val="auto"/>
                <w:spacing w:val="0"/>
                <w:kern w:val="0"/>
                <w:position w:val="0"/>
                <w:sz w:val="21"/>
                <w:szCs w:val="21"/>
                <w:lang w:val="en-US" w:eastAsia="zh-CN"/>
              </w:rPr>
              <w:t>一般操作人员</w:t>
            </w:r>
          </w:p>
        </w:tc>
        <w:tc>
          <w:tcPr>
            <w:tcW w:w="3664" w:type="dxa"/>
            <w:tcBorders>
              <w:tl2br w:val="nil"/>
              <w:tr2bl w:val="nil"/>
            </w:tcBorders>
            <w:noWrap/>
            <w:vAlign w:val="center"/>
          </w:tcPr>
          <w:p w14:paraId="62C42081">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sz w:val="21"/>
                <w:szCs w:val="21"/>
                <w:lang w:val="en-US" w:eastAsia="zh-CN"/>
              </w:rPr>
            </w:pPr>
            <w:r>
              <w:rPr>
                <w:rFonts w:hint="default" w:ascii="Times New Roman" w:hAnsi="Times New Roman" w:eastAsia="仿宋_GB2312" w:cs="Times New Roman"/>
                <w:color w:val="auto"/>
                <w:spacing w:val="0"/>
                <w:kern w:val="0"/>
                <w:position w:val="0"/>
                <w:sz w:val="21"/>
                <w:szCs w:val="21"/>
                <w:lang w:val="en-US" w:eastAsia="zh-CN"/>
              </w:rPr>
              <w:t>规章制度、操作规程、个体防护知识和应用、呼救互助技术</w:t>
            </w:r>
          </w:p>
        </w:tc>
        <w:tc>
          <w:tcPr>
            <w:tcW w:w="2980" w:type="dxa"/>
            <w:tcBorders>
              <w:tl2br w:val="nil"/>
              <w:tr2bl w:val="nil"/>
            </w:tcBorders>
            <w:noWrap/>
            <w:vAlign w:val="center"/>
          </w:tcPr>
          <w:p w14:paraId="7FB0F5FA">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sz w:val="21"/>
                <w:szCs w:val="21"/>
                <w:lang w:val="en-US" w:eastAsia="zh-CN"/>
              </w:rPr>
            </w:pPr>
            <w:r>
              <w:rPr>
                <w:rFonts w:hint="default" w:ascii="Times New Roman" w:hAnsi="Times New Roman" w:eastAsia="仿宋_GB2312" w:cs="Times New Roman"/>
                <w:color w:val="auto"/>
                <w:spacing w:val="0"/>
                <w:kern w:val="0"/>
                <w:position w:val="0"/>
                <w:sz w:val="21"/>
                <w:szCs w:val="21"/>
                <w:lang w:val="en-US" w:eastAsia="zh-CN"/>
              </w:rPr>
              <w:t>每季度不少于48小时</w:t>
            </w:r>
          </w:p>
        </w:tc>
      </w:tr>
    </w:tbl>
    <w:p w14:paraId="7022897B">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491" w:name="_Toc3842"/>
      <w:r>
        <w:rPr>
          <w:rFonts w:hint="default" w:ascii="Times New Roman" w:hAnsi="Times New Roman" w:eastAsia="仿宋_GB2312" w:cs="Times New Roman"/>
          <w:color w:val="auto"/>
          <w:spacing w:val="0"/>
          <w:kern w:val="0"/>
          <w:position w:val="0"/>
          <w:sz w:val="24"/>
          <w:szCs w:val="24"/>
        </w:rPr>
        <w:t>1、企业管理人员应急响应的培训</w:t>
      </w:r>
      <w:bookmarkEnd w:id="491"/>
    </w:p>
    <w:p w14:paraId="4F1DF29E">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492" w:name="_Toc2439"/>
      <w:r>
        <w:rPr>
          <w:rFonts w:hint="default" w:ascii="Times New Roman" w:hAnsi="Times New Roman" w:eastAsia="仿宋_GB2312" w:cs="Times New Roman"/>
          <w:color w:val="auto"/>
          <w:spacing w:val="0"/>
          <w:kern w:val="0"/>
          <w:position w:val="0"/>
          <w:sz w:val="24"/>
          <w:szCs w:val="24"/>
        </w:rPr>
        <w:t>企业在应急救援过程中，需要公司管理人员强力的组织能力和应急对策。由应急指挥部成员对公司管理人员每半年组织一次应急培训。</w:t>
      </w:r>
      <w:bookmarkEnd w:id="492"/>
    </w:p>
    <w:p w14:paraId="5D9FBE7A">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493" w:name="_Toc17741"/>
      <w:r>
        <w:rPr>
          <w:rFonts w:hint="default" w:ascii="Times New Roman" w:hAnsi="Times New Roman" w:eastAsia="仿宋_GB2312" w:cs="Times New Roman"/>
          <w:color w:val="auto"/>
          <w:spacing w:val="0"/>
          <w:kern w:val="0"/>
          <w:position w:val="0"/>
          <w:sz w:val="24"/>
          <w:szCs w:val="24"/>
        </w:rPr>
        <w:t>主要培训内容：</w:t>
      </w:r>
      <w:bookmarkEnd w:id="493"/>
    </w:p>
    <w:p w14:paraId="1A8E8B07">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494" w:name="_Toc24616"/>
      <w:r>
        <w:rPr>
          <w:rFonts w:hint="default" w:ascii="Times New Roman" w:hAnsi="Times New Roman" w:eastAsia="仿宋_GB2312" w:cs="Times New Roman"/>
          <w:color w:val="auto"/>
          <w:spacing w:val="0"/>
          <w:kern w:val="0"/>
          <w:position w:val="0"/>
          <w:sz w:val="24"/>
          <w:szCs w:val="24"/>
        </w:rPr>
        <w:t>（1）熟悉、掌握事故应急救援预案内容，明确自己的分工，业务熟练，成为重大事故应急救援的骨干力量；</w:t>
      </w:r>
      <w:bookmarkEnd w:id="494"/>
    </w:p>
    <w:p w14:paraId="3933ABA3">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495" w:name="_Toc29824"/>
      <w:r>
        <w:rPr>
          <w:rFonts w:hint="default" w:ascii="Times New Roman" w:hAnsi="Times New Roman" w:eastAsia="仿宋_GB2312" w:cs="Times New Roman"/>
          <w:color w:val="auto"/>
          <w:spacing w:val="0"/>
          <w:kern w:val="0"/>
          <w:position w:val="0"/>
          <w:sz w:val="24"/>
          <w:szCs w:val="24"/>
        </w:rPr>
        <w:t>（2）熟练使用各种防范装置和用具；</w:t>
      </w:r>
      <w:bookmarkEnd w:id="495"/>
    </w:p>
    <w:p w14:paraId="0AB80707">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496" w:name="_Toc23150"/>
      <w:r>
        <w:rPr>
          <w:rFonts w:hint="default" w:ascii="Times New Roman" w:hAnsi="Times New Roman" w:eastAsia="仿宋_GB2312" w:cs="Times New Roman"/>
          <w:color w:val="auto"/>
          <w:spacing w:val="0"/>
          <w:kern w:val="0"/>
          <w:position w:val="0"/>
          <w:sz w:val="24"/>
          <w:szCs w:val="24"/>
        </w:rPr>
        <w:t>（3）熟悉应急事故的信息上报工作等内容；</w:t>
      </w:r>
      <w:bookmarkEnd w:id="496"/>
    </w:p>
    <w:p w14:paraId="25E5C2B9">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497" w:name="_Toc2738"/>
      <w:r>
        <w:rPr>
          <w:rFonts w:hint="default" w:ascii="Times New Roman" w:hAnsi="Times New Roman" w:eastAsia="仿宋_GB2312" w:cs="Times New Roman"/>
          <w:color w:val="auto"/>
          <w:spacing w:val="0"/>
          <w:kern w:val="0"/>
          <w:position w:val="0"/>
          <w:sz w:val="24"/>
          <w:szCs w:val="24"/>
        </w:rPr>
        <w:t>（4）事故现场自我防范及监护的措施，人员疏散撤离方案、路径。</w:t>
      </w:r>
      <w:bookmarkEnd w:id="497"/>
    </w:p>
    <w:p w14:paraId="14AC8424">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498" w:name="_Toc13037"/>
      <w:r>
        <w:rPr>
          <w:rFonts w:hint="default" w:ascii="Times New Roman" w:hAnsi="Times New Roman" w:eastAsia="仿宋_GB2312" w:cs="Times New Roman"/>
          <w:color w:val="auto"/>
          <w:spacing w:val="0"/>
          <w:kern w:val="0"/>
          <w:position w:val="0"/>
          <w:sz w:val="24"/>
          <w:szCs w:val="24"/>
        </w:rPr>
        <w:t>2、应急救援指挥部成员应急响应的培训</w:t>
      </w:r>
      <w:bookmarkEnd w:id="498"/>
    </w:p>
    <w:p w14:paraId="583AC1A6">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499" w:name="_Toc12697"/>
      <w:r>
        <w:rPr>
          <w:rFonts w:hint="default" w:ascii="Times New Roman" w:hAnsi="Times New Roman" w:eastAsia="仿宋_GB2312" w:cs="Times New Roman"/>
          <w:color w:val="auto"/>
          <w:spacing w:val="0"/>
          <w:kern w:val="0"/>
          <w:position w:val="0"/>
          <w:sz w:val="24"/>
          <w:szCs w:val="24"/>
        </w:rPr>
        <w:t>本预案制订实施后，所有应急救援指挥部成员，各专业救援队成员应认真学习本预案内容，明确在救援现场所担负的责任和义务。由应急救援领导小组对救援专业队成员每半年组织一次应急培训。</w:t>
      </w:r>
      <w:bookmarkEnd w:id="499"/>
    </w:p>
    <w:p w14:paraId="3242AFA2">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500" w:name="_Toc10282"/>
      <w:r>
        <w:rPr>
          <w:rFonts w:hint="default" w:ascii="Times New Roman" w:hAnsi="Times New Roman" w:eastAsia="仿宋_GB2312" w:cs="Times New Roman"/>
          <w:color w:val="auto"/>
          <w:spacing w:val="0"/>
          <w:kern w:val="0"/>
          <w:position w:val="0"/>
          <w:sz w:val="24"/>
          <w:szCs w:val="24"/>
        </w:rPr>
        <w:t>主要培训内容：</w:t>
      </w:r>
      <w:bookmarkEnd w:id="500"/>
    </w:p>
    <w:p w14:paraId="754D3E4C">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501" w:name="_Toc8872"/>
      <w:r>
        <w:rPr>
          <w:rFonts w:hint="default" w:ascii="Times New Roman" w:hAnsi="Times New Roman" w:eastAsia="仿宋_GB2312" w:cs="Times New Roman"/>
          <w:color w:val="auto"/>
          <w:spacing w:val="0"/>
          <w:kern w:val="0"/>
          <w:position w:val="0"/>
          <w:sz w:val="24"/>
          <w:szCs w:val="24"/>
        </w:rPr>
        <w:t>（1）熟悉、掌握事故应急救援预案内容，明确自己的分工，业务熟练，成为重大事故应急救援的骨干力量；</w:t>
      </w:r>
      <w:bookmarkEnd w:id="501"/>
    </w:p>
    <w:p w14:paraId="6208C68E">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502" w:name="_Toc14026"/>
      <w:r>
        <w:rPr>
          <w:rFonts w:hint="default" w:ascii="Times New Roman" w:hAnsi="Times New Roman" w:eastAsia="仿宋_GB2312" w:cs="Times New Roman"/>
          <w:color w:val="auto"/>
          <w:spacing w:val="0"/>
          <w:kern w:val="0"/>
          <w:position w:val="0"/>
          <w:sz w:val="24"/>
          <w:szCs w:val="24"/>
        </w:rPr>
        <w:t>（2）熟练使用各种防范装置和用具；</w:t>
      </w:r>
      <w:bookmarkEnd w:id="502"/>
    </w:p>
    <w:p w14:paraId="2CBAECDE">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503" w:name="_Toc21764"/>
      <w:r>
        <w:rPr>
          <w:rFonts w:hint="default" w:ascii="Times New Roman" w:hAnsi="Times New Roman" w:eastAsia="仿宋_GB2312" w:cs="Times New Roman"/>
          <w:color w:val="auto"/>
          <w:spacing w:val="0"/>
          <w:kern w:val="0"/>
          <w:position w:val="0"/>
          <w:sz w:val="24"/>
          <w:szCs w:val="24"/>
        </w:rPr>
        <w:t>（3）如何开展事故现场抢救、救援及事故的处理；</w:t>
      </w:r>
      <w:bookmarkEnd w:id="503"/>
    </w:p>
    <w:p w14:paraId="191B392B">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504" w:name="_Toc31269"/>
      <w:r>
        <w:rPr>
          <w:rFonts w:hint="default" w:ascii="Times New Roman" w:hAnsi="Times New Roman" w:eastAsia="仿宋_GB2312" w:cs="Times New Roman"/>
          <w:color w:val="auto"/>
          <w:spacing w:val="0"/>
          <w:kern w:val="0"/>
          <w:position w:val="0"/>
          <w:sz w:val="24"/>
          <w:szCs w:val="24"/>
        </w:rPr>
        <w:t>（4）事故现场自我防范及监护的措施，人员疏散撤离方案、路径。</w:t>
      </w:r>
      <w:bookmarkEnd w:id="504"/>
    </w:p>
    <w:p w14:paraId="005E4DD7">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505" w:name="_Toc7237"/>
      <w:r>
        <w:rPr>
          <w:rFonts w:hint="default" w:ascii="Times New Roman" w:hAnsi="Times New Roman" w:eastAsia="仿宋_GB2312" w:cs="Times New Roman"/>
          <w:color w:val="auto"/>
          <w:spacing w:val="0"/>
          <w:kern w:val="0"/>
          <w:position w:val="0"/>
          <w:sz w:val="24"/>
          <w:szCs w:val="24"/>
        </w:rPr>
        <w:t>3、员工应急响应的培训</w:t>
      </w:r>
      <w:bookmarkEnd w:id="505"/>
    </w:p>
    <w:p w14:paraId="0870C13F">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506" w:name="_Toc3728"/>
      <w:r>
        <w:rPr>
          <w:rFonts w:hint="default" w:ascii="Times New Roman" w:hAnsi="Times New Roman" w:eastAsia="仿宋_GB2312" w:cs="Times New Roman"/>
          <w:color w:val="auto"/>
          <w:spacing w:val="0"/>
          <w:kern w:val="0"/>
          <w:position w:val="0"/>
          <w:sz w:val="24"/>
          <w:szCs w:val="24"/>
        </w:rPr>
        <w:t>员工应急响应的培训，结合每年组织的安全技术知识培训一并进行，主要培训内容：</w:t>
      </w:r>
      <w:bookmarkEnd w:id="506"/>
    </w:p>
    <w:p w14:paraId="2F174E2F">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507" w:name="_Toc17949"/>
      <w:r>
        <w:rPr>
          <w:rFonts w:hint="default" w:ascii="Times New Roman" w:hAnsi="Times New Roman" w:eastAsia="仿宋_GB2312" w:cs="Times New Roman"/>
          <w:color w:val="auto"/>
          <w:spacing w:val="0"/>
          <w:kern w:val="0"/>
          <w:position w:val="0"/>
          <w:sz w:val="24"/>
          <w:szCs w:val="24"/>
        </w:rPr>
        <w:t>（1）企业环保安全生产规章制度、安全操作规程；</w:t>
      </w:r>
      <w:bookmarkEnd w:id="507"/>
    </w:p>
    <w:p w14:paraId="13635B2F">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508" w:name="_Toc27357"/>
      <w:r>
        <w:rPr>
          <w:rFonts w:hint="default" w:ascii="Times New Roman" w:hAnsi="Times New Roman" w:eastAsia="仿宋_GB2312" w:cs="Times New Roman"/>
          <w:color w:val="auto"/>
          <w:spacing w:val="0"/>
          <w:kern w:val="0"/>
          <w:position w:val="0"/>
          <w:sz w:val="24"/>
          <w:szCs w:val="24"/>
        </w:rPr>
        <w:t>（2）相关危险物料的消防措施，防毒的基本知识，防范措施的维护管理和应用；</w:t>
      </w:r>
      <w:bookmarkEnd w:id="508"/>
    </w:p>
    <w:p w14:paraId="64A20209">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509" w:name="_Toc30298"/>
      <w:r>
        <w:rPr>
          <w:rFonts w:hint="default" w:ascii="Times New Roman" w:hAnsi="Times New Roman" w:eastAsia="仿宋_GB2312" w:cs="Times New Roman"/>
          <w:color w:val="auto"/>
          <w:spacing w:val="0"/>
          <w:kern w:val="0"/>
          <w:position w:val="0"/>
          <w:sz w:val="24"/>
          <w:szCs w:val="24"/>
        </w:rPr>
        <w:t>（3）生产过程中异常情况的排除，处理方法；</w:t>
      </w:r>
      <w:bookmarkEnd w:id="509"/>
    </w:p>
    <w:p w14:paraId="7B192892">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510" w:name="_Toc4825"/>
      <w:r>
        <w:rPr>
          <w:rFonts w:hint="default" w:ascii="Times New Roman" w:hAnsi="Times New Roman" w:eastAsia="仿宋_GB2312" w:cs="Times New Roman"/>
          <w:color w:val="auto"/>
          <w:spacing w:val="0"/>
          <w:kern w:val="0"/>
          <w:position w:val="0"/>
          <w:sz w:val="24"/>
          <w:szCs w:val="24"/>
        </w:rPr>
        <w:t>（4）事故发生后如何开展自救和互救；</w:t>
      </w:r>
      <w:bookmarkEnd w:id="510"/>
    </w:p>
    <w:p w14:paraId="07BA76B2">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511" w:name="_Toc15332"/>
      <w:r>
        <w:rPr>
          <w:rFonts w:hint="default" w:ascii="Times New Roman" w:hAnsi="Times New Roman" w:eastAsia="仿宋_GB2312" w:cs="Times New Roman"/>
          <w:color w:val="auto"/>
          <w:spacing w:val="0"/>
          <w:kern w:val="0"/>
          <w:position w:val="0"/>
          <w:sz w:val="24"/>
          <w:szCs w:val="24"/>
        </w:rPr>
        <w:t>（5）事故发生后的撤离和疏散方法。</w:t>
      </w:r>
      <w:bookmarkEnd w:id="511"/>
    </w:p>
    <w:p w14:paraId="60EBBEB9">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512" w:name="_Toc21211"/>
      <w:r>
        <w:rPr>
          <w:rFonts w:hint="default" w:ascii="Times New Roman" w:hAnsi="Times New Roman" w:eastAsia="仿宋_GB2312" w:cs="Times New Roman"/>
          <w:color w:val="auto"/>
          <w:spacing w:val="0"/>
          <w:kern w:val="0"/>
          <w:position w:val="0"/>
          <w:sz w:val="24"/>
          <w:szCs w:val="24"/>
        </w:rPr>
        <w:t>4、外部公众应急响应的培训</w:t>
      </w:r>
      <w:bookmarkEnd w:id="512"/>
    </w:p>
    <w:p w14:paraId="1237D848">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sectPr>
          <w:footerReference r:id="rId16" w:type="default"/>
          <w:pgSz w:w="11906" w:h="16839"/>
          <w:pgMar w:top="1417" w:right="1417" w:bottom="1417" w:left="1417" w:header="850" w:footer="850" w:gutter="0"/>
          <w:pgBorders>
            <w:top w:val="none" w:sz="0" w:space="0"/>
            <w:left w:val="none" w:sz="0" w:space="0"/>
            <w:bottom w:val="none" w:sz="0" w:space="0"/>
            <w:right w:val="none" w:sz="0" w:space="0"/>
          </w:pgBorders>
          <w:pgNumType w:fmt="decimal" w:start="1"/>
          <w:cols w:space="720" w:num="1"/>
          <w:rtlGutter w:val="0"/>
          <w:docGrid w:linePitch="0" w:charSpace="0"/>
        </w:sectPr>
      </w:pPr>
      <w:bookmarkStart w:id="513" w:name="_Toc28316"/>
      <w:r>
        <w:rPr>
          <w:rFonts w:hint="default" w:ascii="Times New Roman" w:hAnsi="Times New Roman" w:eastAsia="仿宋_GB2312" w:cs="Times New Roman"/>
          <w:color w:val="auto"/>
          <w:spacing w:val="0"/>
          <w:kern w:val="0"/>
          <w:position w:val="0"/>
          <w:sz w:val="24"/>
          <w:szCs w:val="24"/>
        </w:rPr>
        <w:t>向外部公众（周边企业、居民等）广泛宣传环境污染事件应急预案和相关的应急法律法规，让外部公众正确认识如何应对突发环境污染事件。以张贴宣传海报、在职员工口头相传形式为主。企业应急预案培训记录表可参照以下格式：</w:t>
      </w:r>
      <w:bookmarkEnd w:id="513"/>
    </w:p>
    <w:p w14:paraId="1816C8E7">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b/>
          <w:bCs/>
          <w:color w:val="auto"/>
          <w:spacing w:val="0"/>
          <w:kern w:val="0"/>
          <w:position w:val="0"/>
          <w:sz w:val="24"/>
          <w:szCs w:val="24"/>
          <w:lang w:val="en-US" w:eastAsia="zh-CN"/>
        </w:rPr>
      </w:pPr>
      <w:r>
        <w:rPr>
          <w:rFonts w:hint="default" w:ascii="Times New Roman" w:hAnsi="Times New Roman" w:eastAsia="仿宋_GB2312" w:cs="Times New Roman"/>
          <w:b/>
          <w:bCs/>
          <w:color w:val="auto"/>
          <w:spacing w:val="0"/>
          <w:kern w:val="0"/>
          <w:position w:val="0"/>
          <w:sz w:val="24"/>
          <w:szCs w:val="24"/>
          <w:lang w:val="en-US" w:eastAsia="zh-CN"/>
        </w:rPr>
        <w:t xml:space="preserve">表5.10-3 </w:t>
      </w:r>
      <w:r>
        <w:rPr>
          <w:rFonts w:hint="eastAsia" w:ascii="Times New Roman" w:hAnsi="Times New Roman" w:eastAsia="仿宋_GB2312" w:cs="Times New Roman"/>
          <w:b/>
          <w:bCs/>
          <w:color w:val="auto"/>
          <w:spacing w:val="0"/>
          <w:kern w:val="0"/>
          <w:position w:val="0"/>
          <w:sz w:val="24"/>
          <w:szCs w:val="24"/>
          <w:lang w:val="en-US" w:eastAsia="zh-CN"/>
        </w:rPr>
        <w:t xml:space="preserve"> </w:t>
      </w:r>
      <w:r>
        <w:rPr>
          <w:rFonts w:hint="default" w:ascii="Times New Roman" w:hAnsi="Times New Roman" w:eastAsia="仿宋_GB2312" w:cs="Times New Roman"/>
          <w:b/>
          <w:bCs/>
          <w:color w:val="auto"/>
          <w:spacing w:val="0"/>
          <w:kern w:val="0"/>
          <w:position w:val="0"/>
          <w:sz w:val="24"/>
          <w:szCs w:val="24"/>
          <w:lang w:val="en-US" w:eastAsia="zh-CN"/>
        </w:rPr>
        <w:t>应急预案培训签到表</w:t>
      </w:r>
    </w:p>
    <w:tbl>
      <w:tblPr>
        <w:tblStyle w:val="31"/>
        <w:tblW w:w="4999"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1514"/>
        <w:gridCol w:w="685"/>
        <w:gridCol w:w="1794"/>
        <w:gridCol w:w="1172"/>
        <w:gridCol w:w="1120"/>
        <w:gridCol w:w="947"/>
        <w:gridCol w:w="2054"/>
      </w:tblGrid>
      <w:tr w14:paraId="54C5AFA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184" w:type="pct"/>
            <w:gridSpan w:val="2"/>
            <w:tcBorders>
              <w:tl2br w:val="nil"/>
              <w:tr2bl w:val="nil"/>
            </w:tcBorders>
            <w:noWrap/>
            <w:vAlign w:val="center"/>
          </w:tcPr>
          <w:p w14:paraId="43BB25D4">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b w:val="0"/>
                <w:bCs w:val="0"/>
                <w:color w:val="auto"/>
                <w:spacing w:val="0"/>
                <w:kern w:val="0"/>
                <w:position w:val="0"/>
                <w:lang w:val="en-US" w:eastAsia="zh-CN"/>
              </w:rPr>
            </w:pPr>
            <w:r>
              <w:rPr>
                <w:rFonts w:hint="default" w:ascii="Times New Roman" w:hAnsi="Times New Roman" w:eastAsia="仿宋_GB2312" w:cs="Times New Roman"/>
                <w:b w:val="0"/>
                <w:bCs w:val="0"/>
                <w:color w:val="auto"/>
                <w:spacing w:val="0"/>
                <w:kern w:val="0"/>
                <w:position w:val="0"/>
                <w:lang w:val="en-US" w:eastAsia="zh-CN"/>
              </w:rPr>
              <w:t>培训内容</w:t>
            </w:r>
          </w:p>
        </w:tc>
        <w:tc>
          <w:tcPr>
            <w:tcW w:w="3815" w:type="pct"/>
            <w:gridSpan w:val="5"/>
            <w:tcBorders>
              <w:tl2br w:val="nil"/>
              <w:tr2bl w:val="nil"/>
            </w:tcBorders>
            <w:noWrap/>
            <w:vAlign w:val="center"/>
          </w:tcPr>
          <w:p w14:paraId="46148701">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b w:val="0"/>
                <w:bCs w:val="0"/>
                <w:color w:val="auto"/>
                <w:spacing w:val="0"/>
                <w:kern w:val="0"/>
                <w:position w:val="0"/>
                <w:lang w:val="en-US" w:eastAsia="zh-CN"/>
              </w:rPr>
            </w:pPr>
          </w:p>
        </w:tc>
      </w:tr>
      <w:tr w14:paraId="3D10EEE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184" w:type="pct"/>
            <w:gridSpan w:val="2"/>
            <w:tcBorders>
              <w:tl2br w:val="nil"/>
              <w:tr2bl w:val="nil"/>
            </w:tcBorders>
            <w:noWrap/>
            <w:vAlign w:val="center"/>
          </w:tcPr>
          <w:p w14:paraId="6B6DDFA0">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培训目的</w:t>
            </w:r>
          </w:p>
        </w:tc>
        <w:tc>
          <w:tcPr>
            <w:tcW w:w="3815" w:type="pct"/>
            <w:gridSpan w:val="5"/>
            <w:tcBorders>
              <w:tl2br w:val="nil"/>
              <w:tr2bl w:val="nil"/>
            </w:tcBorders>
            <w:noWrap/>
            <w:vAlign w:val="center"/>
          </w:tcPr>
          <w:p w14:paraId="771646AC">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r>
      <w:tr w14:paraId="6BE5C58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184" w:type="pct"/>
            <w:gridSpan w:val="2"/>
            <w:tcBorders>
              <w:tl2br w:val="nil"/>
              <w:tr2bl w:val="nil"/>
            </w:tcBorders>
            <w:noWrap/>
            <w:vAlign w:val="center"/>
          </w:tcPr>
          <w:p w14:paraId="2C0DEC2F">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主讲</w:t>
            </w:r>
          </w:p>
        </w:tc>
        <w:tc>
          <w:tcPr>
            <w:tcW w:w="3815" w:type="pct"/>
            <w:gridSpan w:val="5"/>
            <w:tcBorders>
              <w:tl2br w:val="nil"/>
              <w:tr2bl w:val="nil"/>
            </w:tcBorders>
            <w:noWrap/>
            <w:vAlign w:val="center"/>
          </w:tcPr>
          <w:p w14:paraId="3EEBA625">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r>
      <w:tr w14:paraId="0C8D7EB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184" w:type="pct"/>
            <w:gridSpan w:val="2"/>
            <w:tcBorders>
              <w:tl2br w:val="nil"/>
              <w:tr2bl w:val="nil"/>
            </w:tcBorders>
            <w:noWrap/>
            <w:vAlign w:val="center"/>
          </w:tcPr>
          <w:p w14:paraId="1712D14C">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组织部门</w:t>
            </w:r>
          </w:p>
        </w:tc>
        <w:tc>
          <w:tcPr>
            <w:tcW w:w="1597" w:type="pct"/>
            <w:gridSpan w:val="2"/>
            <w:tcBorders>
              <w:tl2br w:val="nil"/>
              <w:tr2bl w:val="nil"/>
            </w:tcBorders>
            <w:noWrap/>
            <w:vAlign w:val="center"/>
          </w:tcPr>
          <w:p w14:paraId="44A00783">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113" w:type="pct"/>
            <w:gridSpan w:val="2"/>
            <w:tcBorders>
              <w:tl2br w:val="nil"/>
              <w:tr2bl w:val="nil"/>
            </w:tcBorders>
            <w:noWrap/>
            <w:vAlign w:val="center"/>
          </w:tcPr>
          <w:p w14:paraId="0F9710D8">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培训时间</w:t>
            </w:r>
          </w:p>
        </w:tc>
        <w:tc>
          <w:tcPr>
            <w:tcW w:w="1105" w:type="pct"/>
            <w:tcBorders>
              <w:tl2br w:val="nil"/>
              <w:tr2bl w:val="nil"/>
            </w:tcBorders>
            <w:noWrap/>
            <w:vAlign w:val="center"/>
          </w:tcPr>
          <w:p w14:paraId="476ED2F6">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r>
      <w:tr w14:paraId="133CFD1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184" w:type="pct"/>
            <w:gridSpan w:val="2"/>
            <w:tcBorders>
              <w:tl2br w:val="nil"/>
              <w:tr2bl w:val="nil"/>
            </w:tcBorders>
            <w:noWrap/>
            <w:vAlign w:val="center"/>
          </w:tcPr>
          <w:p w14:paraId="221F2643">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学习人员</w:t>
            </w:r>
          </w:p>
        </w:tc>
        <w:tc>
          <w:tcPr>
            <w:tcW w:w="1597" w:type="pct"/>
            <w:gridSpan w:val="2"/>
            <w:tcBorders>
              <w:tl2br w:val="nil"/>
              <w:tr2bl w:val="nil"/>
            </w:tcBorders>
            <w:noWrap/>
            <w:vAlign w:val="center"/>
          </w:tcPr>
          <w:p w14:paraId="33D16358">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113" w:type="pct"/>
            <w:gridSpan w:val="2"/>
            <w:tcBorders>
              <w:tl2br w:val="nil"/>
              <w:tr2bl w:val="nil"/>
            </w:tcBorders>
            <w:noWrap/>
            <w:vAlign w:val="center"/>
          </w:tcPr>
          <w:p w14:paraId="4B35F96D">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培训地点</w:t>
            </w:r>
          </w:p>
        </w:tc>
        <w:tc>
          <w:tcPr>
            <w:tcW w:w="1105" w:type="pct"/>
            <w:tcBorders>
              <w:tl2br w:val="nil"/>
              <w:tr2bl w:val="nil"/>
            </w:tcBorders>
            <w:noWrap/>
            <w:vAlign w:val="center"/>
          </w:tcPr>
          <w:p w14:paraId="5F2165F4">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r>
      <w:tr w14:paraId="6980C88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000" w:type="pct"/>
            <w:gridSpan w:val="7"/>
            <w:tcBorders>
              <w:tl2br w:val="nil"/>
              <w:tr2bl w:val="nil"/>
            </w:tcBorders>
            <w:noWrap/>
            <w:vAlign w:val="center"/>
          </w:tcPr>
          <w:p w14:paraId="2B335FC0">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r>
      <w:tr w14:paraId="305A730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15" w:type="pct"/>
            <w:tcBorders>
              <w:tl2br w:val="nil"/>
              <w:tr2bl w:val="nil"/>
            </w:tcBorders>
            <w:noWrap/>
            <w:vAlign w:val="center"/>
          </w:tcPr>
          <w:p w14:paraId="32F1CA1A">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序号</w:t>
            </w:r>
          </w:p>
        </w:tc>
        <w:tc>
          <w:tcPr>
            <w:tcW w:w="1335" w:type="pct"/>
            <w:gridSpan w:val="2"/>
            <w:tcBorders>
              <w:tl2br w:val="nil"/>
              <w:tr2bl w:val="nil"/>
            </w:tcBorders>
            <w:noWrap/>
            <w:vAlign w:val="center"/>
          </w:tcPr>
          <w:p w14:paraId="2F045F4C">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姓名</w:t>
            </w:r>
          </w:p>
        </w:tc>
        <w:tc>
          <w:tcPr>
            <w:tcW w:w="1234" w:type="pct"/>
            <w:gridSpan w:val="2"/>
            <w:tcBorders>
              <w:tl2br w:val="nil"/>
              <w:tr2bl w:val="nil"/>
            </w:tcBorders>
            <w:noWrap/>
            <w:vAlign w:val="center"/>
          </w:tcPr>
          <w:p w14:paraId="131EF52B">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部门</w:t>
            </w:r>
          </w:p>
        </w:tc>
        <w:tc>
          <w:tcPr>
            <w:tcW w:w="1615" w:type="pct"/>
            <w:gridSpan w:val="2"/>
            <w:tcBorders>
              <w:tl2br w:val="nil"/>
              <w:tr2bl w:val="nil"/>
            </w:tcBorders>
            <w:noWrap/>
            <w:vAlign w:val="center"/>
          </w:tcPr>
          <w:p w14:paraId="0705B91F">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备注</w:t>
            </w:r>
          </w:p>
        </w:tc>
      </w:tr>
      <w:tr w14:paraId="6C38DAE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15" w:type="pct"/>
            <w:tcBorders>
              <w:tl2br w:val="nil"/>
              <w:tr2bl w:val="nil"/>
            </w:tcBorders>
            <w:noWrap/>
            <w:vAlign w:val="center"/>
          </w:tcPr>
          <w:p w14:paraId="75BD6C75">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1</w:t>
            </w:r>
          </w:p>
        </w:tc>
        <w:tc>
          <w:tcPr>
            <w:tcW w:w="1335" w:type="pct"/>
            <w:gridSpan w:val="2"/>
            <w:tcBorders>
              <w:tl2br w:val="nil"/>
              <w:tr2bl w:val="nil"/>
            </w:tcBorders>
            <w:noWrap/>
            <w:vAlign w:val="center"/>
          </w:tcPr>
          <w:p w14:paraId="1338EECE">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234" w:type="pct"/>
            <w:gridSpan w:val="2"/>
            <w:tcBorders>
              <w:tl2br w:val="nil"/>
              <w:tr2bl w:val="nil"/>
            </w:tcBorders>
            <w:noWrap/>
            <w:vAlign w:val="center"/>
          </w:tcPr>
          <w:p w14:paraId="4351A664">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615" w:type="pct"/>
            <w:gridSpan w:val="2"/>
            <w:tcBorders>
              <w:tl2br w:val="nil"/>
              <w:tr2bl w:val="nil"/>
            </w:tcBorders>
            <w:noWrap/>
            <w:vAlign w:val="center"/>
          </w:tcPr>
          <w:p w14:paraId="6DE4D360">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r>
      <w:tr w14:paraId="66254B2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15" w:type="pct"/>
            <w:tcBorders>
              <w:tl2br w:val="nil"/>
              <w:tr2bl w:val="nil"/>
            </w:tcBorders>
            <w:noWrap/>
            <w:vAlign w:val="center"/>
          </w:tcPr>
          <w:p w14:paraId="5EB3059D">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2</w:t>
            </w:r>
          </w:p>
        </w:tc>
        <w:tc>
          <w:tcPr>
            <w:tcW w:w="1335" w:type="pct"/>
            <w:gridSpan w:val="2"/>
            <w:tcBorders>
              <w:tl2br w:val="nil"/>
              <w:tr2bl w:val="nil"/>
            </w:tcBorders>
            <w:noWrap/>
            <w:vAlign w:val="center"/>
          </w:tcPr>
          <w:p w14:paraId="4085187D">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234" w:type="pct"/>
            <w:gridSpan w:val="2"/>
            <w:tcBorders>
              <w:tl2br w:val="nil"/>
              <w:tr2bl w:val="nil"/>
            </w:tcBorders>
            <w:noWrap/>
            <w:vAlign w:val="center"/>
          </w:tcPr>
          <w:p w14:paraId="3B8361BD">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615" w:type="pct"/>
            <w:gridSpan w:val="2"/>
            <w:tcBorders>
              <w:tl2br w:val="nil"/>
              <w:tr2bl w:val="nil"/>
            </w:tcBorders>
            <w:noWrap/>
            <w:vAlign w:val="center"/>
          </w:tcPr>
          <w:p w14:paraId="3BFD193F">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r>
      <w:tr w14:paraId="5807FEF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15" w:type="pct"/>
            <w:tcBorders>
              <w:tl2br w:val="nil"/>
              <w:tr2bl w:val="nil"/>
            </w:tcBorders>
            <w:noWrap/>
            <w:vAlign w:val="center"/>
          </w:tcPr>
          <w:p w14:paraId="199DABB7">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3</w:t>
            </w:r>
          </w:p>
        </w:tc>
        <w:tc>
          <w:tcPr>
            <w:tcW w:w="1335" w:type="pct"/>
            <w:gridSpan w:val="2"/>
            <w:tcBorders>
              <w:tl2br w:val="nil"/>
              <w:tr2bl w:val="nil"/>
            </w:tcBorders>
            <w:noWrap/>
            <w:vAlign w:val="center"/>
          </w:tcPr>
          <w:p w14:paraId="53589C30">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234" w:type="pct"/>
            <w:gridSpan w:val="2"/>
            <w:tcBorders>
              <w:tl2br w:val="nil"/>
              <w:tr2bl w:val="nil"/>
            </w:tcBorders>
            <w:noWrap/>
            <w:vAlign w:val="center"/>
          </w:tcPr>
          <w:p w14:paraId="06C02D60">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615" w:type="pct"/>
            <w:gridSpan w:val="2"/>
            <w:tcBorders>
              <w:tl2br w:val="nil"/>
              <w:tr2bl w:val="nil"/>
            </w:tcBorders>
            <w:noWrap/>
            <w:vAlign w:val="center"/>
          </w:tcPr>
          <w:p w14:paraId="1B87E954">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r>
      <w:tr w14:paraId="4E8710E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15" w:type="pct"/>
            <w:tcBorders>
              <w:tl2br w:val="nil"/>
              <w:tr2bl w:val="nil"/>
            </w:tcBorders>
            <w:noWrap/>
            <w:vAlign w:val="center"/>
          </w:tcPr>
          <w:p w14:paraId="458CF094">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4</w:t>
            </w:r>
          </w:p>
        </w:tc>
        <w:tc>
          <w:tcPr>
            <w:tcW w:w="1335" w:type="pct"/>
            <w:gridSpan w:val="2"/>
            <w:tcBorders>
              <w:tl2br w:val="nil"/>
              <w:tr2bl w:val="nil"/>
            </w:tcBorders>
            <w:noWrap/>
            <w:vAlign w:val="center"/>
          </w:tcPr>
          <w:p w14:paraId="457640C2">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234" w:type="pct"/>
            <w:gridSpan w:val="2"/>
            <w:tcBorders>
              <w:tl2br w:val="nil"/>
              <w:tr2bl w:val="nil"/>
            </w:tcBorders>
            <w:noWrap/>
            <w:vAlign w:val="center"/>
          </w:tcPr>
          <w:p w14:paraId="5FA0E7A5">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615" w:type="pct"/>
            <w:gridSpan w:val="2"/>
            <w:tcBorders>
              <w:tl2br w:val="nil"/>
              <w:tr2bl w:val="nil"/>
            </w:tcBorders>
            <w:noWrap/>
            <w:vAlign w:val="center"/>
          </w:tcPr>
          <w:p w14:paraId="7106DB32">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r>
      <w:tr w14:paraId="26F4E2D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15" w:type="pct"/>
            <w:tcBorders>
              <w:tl2br w:val="nil"/>
              <w:tr2bl w:val="nil"/>
            </w:tcBorders>
            <w:noWrap/>
            <w:vAlign w:val="center"/>
          </w:tcPr>
          <w:p w14:paraId="48610667">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5</w:t>
            </w:r>
          </w:p>
        </w:tc>
        <w:tc>
          <w:tcPr>
            <w:tcW w:w="1335" w:type="pct"/>
            <w:gridSpan w:val="2"/>
            <w:tcBorders>
              <w:tl2br w:val="nil"/>
              <w:tr2bl w:val="nil"/>
            </w:tcBorders>
            <w:noWrap/>
            <w:vAlign w:val="center"/>
          </w:tcPr>
          <w:p w14:paraId="64E4200E">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234" w:type="pct"/>
            <w:gridSpan w:val="2"/>
            <w:tcBorders>
              <w:tl2br w:val="nil"/>
              <w:tr2bl w:val="nil"/>
            </w:tcBorders>
            <w:noWrap/>
            <w:vAlign w:val="center"/>
          </w:tcPr>
          <w:p w14:paraId="17591521">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615" w:type="pct"/>
            <w:gridSpan w:val="2"/>
            <w:tcBorders>
              <w:tl2br w:val="nil"/>
              <w:tr2bl w:val="nil"/>
            </w:tcBorders>
            <w:noWrap/>
            <w:vAlign w:val="center"/>
          </w:tcPr>
          <w:p w14:paraId="0123364C">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r>
      <w:tr w14:paraId="3145D3E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15" w:type="pct"/>
            <w:tcBorders>
              <w:tl2br w:val="nil"/>
              <w:tr2bl w:val="nil"/>
            </w:tcBorders>
            <w:noWrap/>
            <w:vAlign w:val="center"/>
          </w:tcPr>
          <w:p w14:paraId="0D776B34">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6</w:t>
            </w:r>
          </w:p>
        </w:tc>
        <w:tc>
          <w:tcPr>
            <w:tcW w:w="1335" w:type="pct"/>
            <w:gridSpan w:val="2"/>
            <w:tcBorders>
              <w:tl2br w:val="nil"/>
              <w:tr2bl w:val="nil"/>
            </w:tcBorders>
            <w:noWrap/>
            <w:vAlign w:val="center"/>
          </w:tcPr>
          <w:p w14:paraId="049C3CCE">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234" w:type="pct"/>
            <w:gridSpan w:val="2"/>
            <w:tcBorders>
              <w:tl2br w:val="nil"/>
              <w:tr2bl w:val="nil"/>
            </w:tcBorders>
            <w:noWrap/>
            <w:vAlign w:val="center"/>
          </w:tcPr>
          <w:p w14:paraId="0F160232">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615" w:type="pct"/>
            <w:gridSpan w:val="2"/>
            <w:tcBorders>
              <w:tl2br w:val="nil"/>
              <w:tr2bl w:val="nil"/>
            </w:tcBorders>
            <w:noWrap/>
            <w:vAlign w:val="center"/>
          </w:tcPr>
          <w:p w14:paraId="1546C8F4">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r>
      <w:tr w14:paraId="1E46F68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15" w:type="pct"/>
            <w:tcBorders>
              <w:tl2br w:val="nil"/>
              <w:tr2bl w:val="nil"/>
            </w:tcBorders>
            <w:noWrap/>
            <w:vAlign w:val="center"/>
          </w:tcPr>
          <w:p w14:paraId="145701FB">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7</w:t>
            </w:r>
          </w:p>
        </w:tc>
        <w:tc>
          <w:tcPr>
            <w:tcW w:w="1335" w:type="pct"/>
            <w:gridSpan w:val="2"/>
            <w:tcBorders>
              <w:tl2br w:val="nil"/>
              <w:tr2bl w:val="nil"/>
            </w:tcBorders>
            <w:noWrap/>
            <w:vAlign w:val="center"/>
          </w:tcPr>
          <w:p w14:paraId="7BDF7A17">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234" w:type="pct"/>
            <w:gridSpan w:val="2"/>
            <w:tcBorders>
              <w:tl2br w:val="nil"/>
              <w:tr2bl w:val="nil"/>
            </w:tcBorders>
            <w:noWrap/>
            <w:vAlign w:val="center"/>
          </w:tcPr>
          <w:p w14:paraId="68020AF5">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615" w:type="pct"/>
            <w:gridSpan w:val="2"/>
            <w:tcBorders>
              <w:tl2br w:val="nil"/>
              <w:tr2bl w:val="nil"/>
            </w:tcBorders>
            <w:noWrap/>
            <w:vAlign w:val="center"/>
          </w:tcPr>
          <w:p w14:paraId="61A00A4B">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r>
      <w:tr w14:paraId="6F48345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15" w:type="pct"/>
            <w:tcBorders>
              <w:tl2br w:val="nil"/>
              <w:tr2bl w:val="nil"/>
            </w:tcBorders>
            <w:noWrap/>
            <w:vAlign w:val="center"/>
          </w:tcPr>
          <w:p w14:paraId="5FE23B65">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8</w:t>
            </w:r>
          </w:p>
        </w:tc>
        <w:tc>
          <w:tcPr>
            <w:tcW w:w="1335" w:type="pct"/>
            <w:gridSpan w:val="2"/>
            <w:tcBorders>
              <w:tl2br w:val="nil"/>
              <w:tr2bl w:val="nil"/>
            </w:tcBorders>
            <w:noWrap/>
            <w:vAlign w:val="center"/>
          </w:tcPr>
          <w:p w14:paraId="6B2908C9">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234" w:type="pct"/>
            <w:gridSpan w:val="2"/>
            <w:tcBorders>
              <w:tl2br w:val="nil"/>
              <w:tr2bl w:val="nil"/>
            </w:tcBorders>
            <w:noWrap/>
            <w:vAlign w:val="center"/>
          </w:tcPr>
          <w:p w14:paraId="662AA004">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615" w:type="pct"/>
            <w:gridSpan w:val="2"/>
            <w:tcBorders>
              <w:tl2br w:val="nil"/>
              <w:tr2bl w:val="nil"/>
            </w:tcBorders>
            <w:noWrap/>
            <w:vAlign w:val="center"/>
          </w:tcPr>
          <w:p w14:paraId="57D8ADEE">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r>
      <w:tr w14:paraId="01B2574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15" w:type="pct"/>
            <w:tcBorders>
              <w:tl2br w:val="nil"/>
              <w:tr2bl w:val="nil"/>
            </w:tcBorders>
            <w:noWrap/>
            <w:vAlign w:val="center"/>
          </w:tcPr>
          <w:p w14:paraId="6207046A">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9</w:t>
            </w:r>
          </w:p>
        </w:tc>
        <w:tc>
          <w:tcPr>
            <w:tcW w:w="1335" w:type="pct"/>
            <w:gridSpan w:val="2"/>
            <w:tcBorders>
              <w:tl2br w:val="nil"/>
              <w:tr2bl w:val="nil"/>
            </w:tcBorders>
            <w:noWrap/>
            <w:vAlign w:val="center"/>
          </w:tcPr>
          <w:p w14:paraId="69990EAE">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234" w:type="pct"/>
            <w:gridSpan w:val="2"/>
            <w:tcBorders>
              <w:tl2br w:val="nil"/>
              <w:tr2bl w:val="nil"/>
            </w:tcBorders>
            <w:noWrap/>
            <w:vAlign w:val="center"/>
          </w:tcPr>
          <w:p w14:paraId="4C9012DF">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615" w:type="pct"/>
            <w:gridSpan w:val="2"/>
            <w:tcBorders>
              <w:tl2br w:val="nil"/>
              <w:tr2bl w:val="nil"/>
            </w:tcBorders>
            <w:noWrap/>
            <w:vAlign w:val="center"/>
          </w:tcPr>
          <w:p w14:paraId="40F2599F">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r>
      <w:tr w14:paraId="67574A8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15" w:type="pct"/>
            <w:tcBorders>
              <w:tl2br w:val="nil"/>
              <w:tr2bl w:val="nil"/>
            </w:tcBorders>
            <w:noWrap/>
            <w:vAlign w:val="center"/>
          </w:tcPr>
          <w:p w14:paraId="058F0559">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10</w:t>
            </w:r>
          </w:p>
        </w:tc>
        <w:tc>
          <w:tcPr>
            <w:tcW w:w="1335" w:type="pct"/>
            <w:gridSpan w:val="2"/>
            <w:tcBorders>
              <w:tl2br w:val="nil"/>
              <w:tr2bl w:val="nil"/>
            </w:tcBorders>
            <w:noWrap/>
            <w:vAlign w:val="center"/>
          </w:tcPr>
          <w:p w14:paraId="11AEEDD3">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234" w:type="pct"/>
            <w:gridSpan w:val="2"/>
            <w:tcBorders>
              <w:tl2br w:val="nil"/>
              <w:tr2bl w:val="nil"/>
            </w:tcBorders>
            <w:noWrap/>
            <w:vAlign w:val="center"/>
          </w:tcPr>
          <w:p w14:paraId="301DD011">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615" w:type="pct"/>
            <w:gridSpan w:val="2"/>
            <w:tcBorders>
              <w:tl2br w:val="nil"/>
              <w:tr2bl w:val="nil"/>
            </w:tcBorders>
            <w:noWrap/>
            <w:vAlign w:val="center"/>
          </w:tcPr>
          <w:p w14:paraId="7A01D542">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r>
      <w:tr w14:paraId="50800ED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15" w:type="pct"/>
            <w:tcBorders>
              <w:tl2br w:val="nil"/>
              <w:tr2bl w:val="nil"/>
            </w:tcBorders>
            <w:noWrap/>
            <w:vAlign w:val="center"/>
          </w:tcPr>
          <w:p w14:paraId="32B55E1E">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11</w:t>
            </w:r>
          </w:p>
        </w:tc>
        <w:tc>
          <w:tcPr>
            <w:tcW w:w="1335" w:type="pct"/>
            <w:gridSpan w:val="2"/>
            <w:tcBorders>
              <w:tl2br w:val="nil"/>
              <w:tr2bl w:val="nil"/>
            </w:tcBorders>
            <w:noWrap/>
            <w:vAlign w:val="center"/>
          </w:tcPr>
          <w:p w14:paraId="402C769C">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234" w:type="pct"/>
            <w:gridSpan w:val="2"/>
            <w:tcBorders>
              <w:tl2br w:val="nil"/>
              <w:tr2bl w:val="nil"/>
            </w:tcBorders>
            <w:noWrap/>
            <w:vAlign w:val="center"/>
          </w:tcPr>
          <w:p w14:paraId="21030AD0">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615" w:type="pct"/>
            <w:gridSpan w:val="2"/>
            <w:tcBorders>
              <w:tl2br w:val="nil"/>
              <w:tr2bl w:val="nil"/>
            </w:tcBorders>
            <w:noWrap/>
            <w:vAlign w:val="center"/>
          </w:tcPr>
          <w:p w14:paraId="2906E69A">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r>
      <w:tr w14:paraId="5739D81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15" w:type="pct"/>
            <w:tcBorders>
              <w:tl2br w:val="nil"/>
              <w:tr2bl w:val="nil"/>
            </w:tcBorders>
            <w:noWrap/>
            <w:vAlign w:val="center"/>
          </w:tcPr>
          <w:p w14:paraId="6D34F1EE">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12</w:t>
            </w:r>
          </w:p>
        </w:tc>
        <w:tc>
          <w:tcPr>
            <w:tcW w:w="1335" w:type="pct"/>
            <w:gridSpan w:val="2"/>
            <w:tcBorders>
              <w:tl2br w:val="nil"/>
              <w:tr2bl w:val="nil"/>
            </w:tcBorders>
            <w:noWrap/>
            <w:vAlign w:val="center"/>
          </w:tcPr>
          <w:p w14:paraId="10DBC788">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234" w:type="pct"/>
            <w:gridSpan w:val="2"/>
            <w:tcBorders>
              <w:tl2br w:val="nil"/>
              <w:tr2bl w:val="nil"/>
            </w:tcBorders>
            <w:noWrap/>
            <w:vAlign w:val="center"/>
          </w:tcPr>
          <w:p w14:paraId="6243A556">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615" w:type="pct"/>
            <w:gridSpan w:val="2"/>
            <w:tcBorders>
              <w:tl2br w:val="nil"/>
              <w:tr2bl w:val="nil"/>
            </w:tcBorders>
            <w:noWrap/>
            <w:vAlign w:val="center"/>
          </w:tcPr>
          <w:p w14:paraId="47F793D8">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r>
      <w:tr w14:paraId="1D1CFC8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15" w:type="pct"/>
            <w:tcBorders>
              <w:tl2br w:val="nil"/>
              <w:tr2bl w:val="nil"/>
            </w:tcBorders>
            <w:noWrap/>
            <w:vAlign w:val="center"/>
          </w:tcPr>
          <w:p w14:paraId="55A94BC4">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13</w:t>
            </w:r>
          </w:p>
        </w:tc>
        <w:tc>
          <w:tcPr>
            <w:tcW w:w="1335" w:type="pct"/>
            <w:gridSpan w:val="2"/>
            <w:tcBorders>
              <w:tl2br w:val="nil"/>
              <w:tr2bl w:val="nil"/>
            </w:tcBorders>
            <w:noWrap/>
            <w:vAlign w:val="center"/>
          </w:tcPr>
          <w:p w14:paraId="6A025832">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234" w:type="pct"/>
            <w:gridSpan w:val="2"/>
            <w:tcBorders>
              <w:tl2br w:val="nil"/>
              <w:tr2bl w:val="nil"/>
            </w:tcBorders>
            <w:noWrap/>
            <w:vAlign w:val="center"/>
          </w:tcPr>
          <w:p w14:paraId="30A5BE10">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615" w:type="pct"/>
            <w:gridSpan w:val="2"/>
            <w:tcBorders>
              <w:tl2br w:val="nil"/>
              <w:tr2bl w:val="nil"/>
            </w:tcBorders>
            <w:noWrap/>
            <w:vAlign w:val="center"/>
          </w:tcPr>
          <w:p w14:paraId="09987BF7">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r>
      <w:tr w14:paraId="19E5F65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15" w:type="pct"/>
            <w:tcBorders>
              <w:tl2br w:val="nil"/>
              <w:tr2bl w:val="nil"/>
            </w:tcBorders>
            <w:noWrap/>
            <w:vAlign w:val="center"/>
          </w:tcPr>
          <w:p w14:paraId="6B300A44">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14</w:t>
            </w:r>
          </w:p>
        </w:tc>
        <w:tc>
          <w:tcPr>
            <w:tcW w:w="1335" w:type="pct"/>
            <w:gridSpan w:val="2"/>
            <w:tcBorders>
              <w:tl2br w:val="nil"/>
              <w:tr2bl w:val="nil"/>
            </w:tcBorders>
            <w:noWrap/>
            <w:vAlign w:val="center"/>
          </w:tcPr>
          <w:p w14:paraId="7AE752E1">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234" w:type="pct"/>
            <w:gridSpan w:val="2"/>
            <w:tcBorders>
              <w:tl2br w:val="nil"/>
              <w:tr2bl w:val="nil"/>
            </w:tcBorders>
            <w:noWrap/>
            <w:vAlign w:val="center"/>
          </w:tcPr>
          <w:p w14:paraId="6E0B931B">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615" w:type="pct"/>
            <w:gridSpan w:val="2"/>
            <w:tcBorders>
              <w:tl2br w:val="nil"/>
              <w:tr2bl w:val="nil"/>
            </w:tcBorders>
            <w:noWrap/>
            <w:vAlign w:val="center"/>
          </w:tcPr>
          <w:p w14:paraId="76EF7B9D">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r>
      <w:tr w14:paraId="275C573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15" w:type="pct"/>
            <w:tcBorders>
              <w:tl2br w:val="nil"/>
              <w:tr2bl w:val="nil"/>
            </w:tcBorders>
            <w:noWrap/>
            <w:vAlign w:val="center"/>
          </w:tcPr>
          <w:p w14:paraId="25F03F44">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15</w:t>
            </w:r>
          </w:p>
        </w:tc>
        <w:tc>
          <w:tcPr>
            <w:tcW w:w="1335" w:type="pct"/>
            <w:gridSpan w:val="2"/>
            <w:tcBorders>
              <w:tl2br w:val="nil"/>
              <w:tr2bl w:val="nil"/>
            </w:tcBorders>
            <w:noWrap/>
            <w:vAlign w:val="center"/>
          </w:tcPr>
          <w:p w14:paraId="0B9DD013">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234" w:type="pct"/>
            <w:gridSpan w:val="2"/>
            <w:tcBorders>
              <w:tl2br w:val="nil"/>
              <w:tr2bl w:val="nil"/>
            </w:tcBorders>
            <w:noWrap/>
            <w:vAlign w:val="center"/>
          </w:tcPr>
          <w:p w14:paraId="1971C0D4">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615" w:type="pct"/>
            <w:gridSpan w:val="2"/>
            <w:tcBorders>
              <w:tl2br w:val="nil"/>
              <w:tr2bl w:val="nil"/>
            </w:tcBorders>
            <w:noWrap/>
            <w:vAlign w:val="center"/>
          </w:tcPr>
          <w:p w14:paraId="1C8CC8A2">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r>
      <w:tr w14:paraId="4B4BEFB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15" w:type="pct"/>
            <w:tcBorders>
              <w:tl2br w:val="nil"/>
              <w:tr2bl w:val="nil"/>
            </w:tcBorders>
            <w:noWrap/>
            <w:vAlign w:val="center"/>
          </w:tcPr>
          <w:p w14:paraId="5C8BB906">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16</w:t>
            </w:r>
          </w:p>
        </w:tc>
        <w:tc>
          <w:tcPr>
            <w:tcW w:w="1335" w:type="pct"/>
            <w:gridSpan w:val="2"/>
            <w:tcBorders>
              <w:tl2br w:val="nil"/>
              <w:tr2bl w:val="nil"/>
            </w:tcBorders>
            <w:noWrap/>
            <w:vAlign w:val="center"/>
          </w:tcPr>
          <w:p w14:paraId="7AC68BEF">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234" w:type="pct"/>
            <w:gridSpan w:val="2"/>
            <w:tcBorders>
              <w:tl2br w:val="nil"/>
              <w:tr2bl w:val="nil"/>
            </w:tcBorders>
            <w:noWrap/>
            <w:vAlign w:val="center"/>
          </w:tcPr>
          <w:p w14:paraId="539A5CF2">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615" w:type="pct"/>
            <w:gridSpan w:val="2"/>
            <w:tcBorders>
              <w:tl2br w:val="nil"/>
              <w:tr2bl w:val="nil"/>
            </w:tcBorders>
            <w:noWrap/>
            <w:vAlign w:val="center"/>
          </w:tcPr>
          <w:p w14:paraId="607A9989">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r>
      <w:tr w14:paraId="7073E60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15" w:type="pct"/>
            <w:tcBorders>
              <w:tl2br w:val="nil"/>
              <w:tr2bl w:val="nil"/>
            </w:tcBorders>
            <w:noWrap/>
            <w:vAlign w:val="center"/>
          </w:tcPr>
          <w:p w14:paraId="553E3067">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17</w:t>
            </w:r>
          </w:p>
        </w:tc>
        <w:tc>
          <w:tcPr>
            <w:tcW w:w="1335" w:type="pct"/>
            <w:gridSpan w:val="2"/>
            <w:tcBorders>
              <w:tl2br w:val="nil"/>
              <w:tr2bl w:val="nil"/>
            </w:tcBorders>
            <w:noWrap/>
            <w:vAlign w:val="center"/>
          </w:tcPr>
          <w:p w14:paraId="185EA7FC">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234" w:type="pct"/>
            <w:gridSpan w:val="2"/>
            <w:tcBorders>
              <w:tl2br w:val="nil"/>
              <w:tr2bl w:val="nil"/>
            </w:tcBorders>
            <w:noWrap/>
            <w:vAlign w:val="center"/>
          </w:tcPr>
          <w:p w14:paraId="57F50975">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615" w:type="pct"/>
            <w:gridSpan w:val="2"/>
            <w:tcBorders>
              <w:tl2br w:val="nil"/>
              <w:tr2bl w:val="nil"/>
            </w:tcBorders>
            <w:noWrap/>
            <w:vAlign w:val="center"/>
          </w:tcPr>
          <w:p w14:paraId="24CA095E">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r>
      <w:tr w14:paraId="5BB4722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15" w:type="pct"/>
            <w:tcBorders>
              <w:tl2br w:val="nil"/>
              <w:tr2bl w:val="nil"/>
            </w:tcBorders>
            <w:noWrap/>
            <w:vAlign w:val="center"/>
          </w:tcPr>
          <w:p w14:paraId="19149492">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18</w:t>
            </w:r>
          </w:p>
        </w:tc>
        <w:tc>
          <w:tcPr>
            <w:tcW w:w="1335" w:type="pct"/>
            <w:gridSpan w:val="2"/>
            <w:tcBorders>
              <w:tl2br w:val="nil"/>
              <w:tr2bl w:val="nil"/>
            </w:tcBorders>
            <w:noWrap/>
            <w:vAlign w:val="center"/>
          </w:tcPr>
          <w:p w14:paraId="7BEC084A">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234" w:type="pct"/>
            <w:gridSpan w:val="2"/>
            <w:tcBorders>
              <w:tl2br w:val="nil"/>
              <w:tr2bl w:val="nil"/>
            </w:tcBorders>
            <w:noWrap/>
            <w:vAlign w:val="center"/>
          </w:tcPr>
          <w:p w14:paraId="29C6C166">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615" w:type="pct"/>
            <w:gridSpan w:val="2"/>
            <w:tcBorders>
              <w:tl2br w:val="nil"/>
              <w:tr2bl w:val="nil"/>
            </w:tcBorders>
            <w:noWrap/>
            <w:vAlign w:val="center"/>
          </w:tcPr>
          <w:p w14:paraId="4E3EF4C3">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r>
      <w:tr w14:paraId="2C75FEC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15" w:type="pct"/>
            <w:tcBorders>
              <w:tl2br w:val="nil"/>
              <w:tr2bl w:val="nil"/>
            </w:tcBorders>
            <w:noWrap/>
            <w:vAlign w:val="center"/>
          </w:tcPr>
          <w:p w14:paraId="3845DB50">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19</w:t>
            </w:r>
          </w:p>
        </w:tc>
        <w:tc>
          <w:tcPr>
            <w:tcW w:w="1335" w:type="pct"/>
            <w:gridSpan w:val="2"/>
            <w:tcBorders>
              <w:tl2br w:val="nil"/>
              <w:tr2bl w:val="nil"/>
            </w:tcBorders>
            <w:noWrap/>
            <w:vAlign w:val="center"/>
          </w:tcPr>
          <w:p w14:paraId="79C0F0B8">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234" w:type="pct"/>
            <w:gridSpan w:val="2"/>
            <w:tcBorders>
              <w:tl2br w:val="nil"/>
              <w:tr2bl w:val="nil"/>
            </w:tcBorders>
            <w:noWrap/>
            <w:vAlign w:val="center"/>
          </w:tcPr>
          <w:p w14:paraId="14F640B2">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615" w:type="pct"/>
            <w:gridSpan w:val="2"/>
            <w:tcBorders>
              <w:tl2br w:val="nil"/>
              <w:tr2bl w:val="nil"/>
            </w:tcBorders>
            <w:noWrap/>
            <w:vAlign w:val="center"/>
          </w:tcPr>
          <w:p w14:paraId="4D2369BF">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r>
      <w:tr w14:paraId="4631871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15" w:type="pct"/>
            <w:tcBorders>
              <w:tl2br w:val="nil"/>
              <w:tr2bl w:val="nil"/>
            </w:tcBorders>
            <w:noWrap/>
            <w:vAlign w:val="center"/>
          </w:tcPr>
          <w:p w14:paraId="59A8BF00">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20</w:t>
            </w:r>
          </w:p>
        </w:tc>
        <w:tc>
          <w:tcPr>
            <w:tcW w:w="1335" w:type="pct"/>
            <w:gridSpan w:val="2"/>
            <w:tcBorders>
              <w:tl2br w:val="nil"/>
              <w:tr2bl w:val="nil"/>
            </w:tcBorders>
            <w:noWrap/>
            <w:vAlign w:val="center"/>
          </w:tcPr>
          <w:p w14:paraId="0C2819DF">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234" w:type="pct"/>
            <w:gridSpan w:val="2"/>
            <w:tcBorders>
              <w:tl2br w:val="nil"/>
              <w:tr2bl w:val="nil"/>
            </w:tcBorders>
            <w:noWrap/>
            <w:vAlign w:val="center"/>
          </w:tcPr>
          <w:p w14:paraId="200FC32E">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615" w:type="pct"/>
            <w:gridSpan w:val="2"/>
            <w:tcBorders>
              <w:tl2br w:val="nil"/>
              <w:tr2bl w:val="nil"/>
            </w:tcBorders>
            <w:noWrap/>
            <w:vAlign w:val="center"/>
          </w:tcPr>
          <w:p w14:paraId="3F5AFA27">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r>
      <w:tr w14:paraId="02E2DBB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15" w:type="pct"/>
            <w:tcBorders>
              <w:tl2br w:val="nil"/>
              <w:tr2bl w:val="nil"/>
            </w:tcBorders>
            <w:noWrap/>
            <w:vAlign w:val="center"/>
          </w:tcPr>
          <w:p w14:paraId="0148C77B">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21</w:t>
            </w:r>
          </w:p>
        </w:tc>
        <w:tc>
          <w:tcPr>
            <w:tcW w:w="1335" w:type="pct"/>
            <w:gridSpan w:val="2"/>
            <w:tcBorders>
              <w:tl2br w:val="nil"/>
              <w:tr2bl w:val="nil"/>
            </w:tcBorders>
            <w:noWrap/>
            <w:vAlign w:val="center"/>
          </w:tcPr>
          <w:p w14:paraId="387C2BF8">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234" w:type="pct"/>
            <w:gridSpan w:val="2"/>
            <w:tcBorders>
              <w:tl2br w:val="nil"/>
              <w:tr2bl w:val="nil"/>
            </w:tcBorders>
            <w:noWrap/>
            <w:vAlign w:val="center"/>
          </w:tcPr>
          <w:p w14:paraId="0DC778C5">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615" w:type="pct"/>
            <w:gridSpan w:val="2"/>
            <w:tcBorders>
              <w:tl2br w:val="nil"/>
              <w:tr2bl w:val="nil"/>
            </w:tcBorders>
            <w:noWrap/>
            <w:vAlign w:val="center"/>
          </w:tcPr>
          <w:p w14:paraId="254A66E1">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r>
      <w:tr w14:paraId="6E116A1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15" w:type="pct"/>
            <w:tcBorders>
              <w:tl2br w:val="nil"/>
              <w:tr2bl w:val="nil"/>
            </w:tcBorders>
            <w:noWrap/>
            <w:vAlign w:val="center"/>
          </w:tcPr>
          <w:p w14:paraId="139B62E8">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22</w:t>
            </w:r>
          </w:p>
        </w:tc>
        <w:tc>
          <w:tcPr>
            <w:tcW w:w="1335" w:type="pct"/>
            <w:gridSpan w:val="2"/>
            <w:tcBorders>
              <w:tl2br w:val="nil"/>
              <w:tr2bl w:val="nil"/>
            </w:tcBorders>
            <w:noWrap/>
            <w:vAlign w:val="center"/>
          </w:tcPr>
          <w:p w14:paraId="7244FDEB">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234" w:type="pct"/>
            <w:gridSpan w:val="2"/>
            <w:tcBorders>
              <w:tl2br w:val="nil"/>
              <w:tr2bl w:val="nil"/>
            </w:tcBorders>
            <w:noWrap/>
            <w:vAlign w:val="center"/>
          </w:tcPr>
          <w:p w14:paraId="0236870A">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615" w:type="pct"/>
            <w:gridSpan w:val="2"/>
            <w:tcBorders>
              <w:tl2br w:val="nil"/>
              <w:tr2bl w:val="nil"/>
            </w:tcBorders>
            <w:noWrap/>
            <w:vAlign w:val="center"/>
          </w:tcPr>
          <w:p w14:paraId="043D3009">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r>
      <w:tr w14:paraId="5C3CBF1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15" w:type="pct"/>
            <w:tcBorders>
              <w:tl2br w:val="nil"/>
              <w:tr2bl w:val="nil"/>
            </w:tcBorders>
            <w:noWrap/>
            <w:vAlign w:val="center"/>
          </w:tcPr>
          <w:p w14:paraId="7B0A717B">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23</w:t>
            </w:r>
          </w:p>
        </w:tc>
        <w:tc>
          <w:tcPr>
            <w:tcW w:w="1335" w:type="pct"/>
            <w:gridSpan w:val="2"/>
            <w:tcBorders>
              <w:tl2br w:val="nil"/>
              <w:tr2bl w:val="nil"/>
            </w:tcBorders>
            <w:noWrap/>
            <w:vAlign w:val="center"/>
          </w:tcPr>
          <w:p w14:paraId="7A0F68AB">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234" w:type="pct"/>
            <w:gridSpan w:val="2"/>
            <w:tcBorders>
              <w:tl2br w:val="nil"/>
              <w:tr2bl w:val="nil"/>
            </w:tcBorders>
            <w:noWrap/>
            <w:vAlign w:val="center"/>
          </w:tcPr>
          <w:p w14:paraId="5811500D">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615" w:type="pct"/>
            <w:gridSpan w:val="2"/>
            <w:tcBorders>
              <w:tl2br w:val="nil"/>
              <w:tr2bl w:val="nil"/>
            </w:tcBorders>
            <w:noWrap/>
            <w:vAlign w:val="center"/>
          </w:tcPr>
          <w:p w14:paraId="2F9BBA91">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r>
      <w:tr w14:paraId="12CA880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15" w:type="pct"/>
            <w:tcBorders>
              <w:tl2br w:val="nil"/>
              <w:tr2bl w:val="nil"/>
            </w:tcBorders>
            <w:noWrap/>
            <w:vAlign w:val="center"/>
          </w:tcPr>
          <w:p w14:paraId="648B2D01">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24</w:t>
            </w:r>
          </w:p>
        </w:tc>
        <w:tc>
          <w:tcPr>
            <w:tcW w:w="1335" w:type="pct"/>
            <w:gridSpan w:val="2"/>
            <w:tcBorders>
              <w:tl2br w:val="nil"/>
              <w:tr2bl w:val="nil"/>
            </w:tcBorders>
            <w:noWrap/>
            <w:vAlign w:val="center"/>
          </w:tcPr>
          <w:p w14:paraId="1EFCC250">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234" w:type="pct"/>
            <w:gridSpan w:val="2"/>
            <w:tcBorders>
              <w:tl2br w:val="nil"/>
              <w:tr2bl w:val="nil"/>
            </w:tcBorders>
            <w:noWrap/>
            <w:vAlign w:val="center"/>
          </w:tcPr>
          <w:p w14:paraId="2E520ED9">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615" w:type="pct"/>
            <w:gridSpan w:val="2"/>
            <w:tcBorders>
              <w:tl2br w:val="nil"/>
              <w:tr2bl w:val="nil"/>
            </w:tcBorders>
            <w:noWrap/>
            <w:vAlign w:val="center"/>
          </w:tcPr>
          <w:p w14:paraId="3161FADD">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r>
      <w:tr w14:paraId="1C1F855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15" w:type="pct"/>
            <w:tcBorders>
              <w:tl2br w:val="nil"/>
              <w:tr2bl w:val="nil"/>
            </w:tcBorders>
            <w:noWrap/>
            <w:vAlign w:val="center"/>
          </w:tcPr>
          <w:p w14:paraId="54C2289D">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25</w:t>
            </w:r>
          </w:p>
        </w:tc>
        <w:tc>
          <w:tcPr>
            <w:tcW w:w="1335" w:type="pct"/>
            <w:gridSpan w:val="2"/>
            <w:tcBorders>
              <w:tl2br w:val="nil"/>
              <w:tr2bl w:val="nil"/>
            </w:tcBorders>
            <w:noWrap/>
            <w:vAlign w:val="center"/>
          </w:tcPr>
          <w:p w14:paraId="5E5D33F7">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234" w:type="pct"/>
            <w:gridSpan w:val="2"/>
            <w:tcBorders>
              <w:tl2br w:val="nil"/>
              <w:tr2bl w:val="nil"/>
            </w:tcBorders>
            <w:noWrap/>
            <w:vAlign w:val="center"/>
          </w:tcPr>
          <w:p w14:paraId="777B2B51">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615" w:type="pct"/>
            <w:gridSpan w:val="2"/>
            <w:tcBorders>
              <w:tl2br w:val="nil"/>
              <w:tr2bl w:val="nil"/>
            </w:tcBorders>
            <w:noWrap/>
            <w:vAlign w:val="center"/>
          </w:tcPr>
          <w:p w14:paraId="192C25C8">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r>
      <w:tr w14:paraId="08ECD13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15" w:type="pct"/>
            <w:tcBorders>
              <w:tl2br w:val="nil"/>
              <w:tr2bl w:val="nil"/>
            </w:tcBorders>
            <w:noWrap/>
            <w:vAlign w:val="center"/>
          </w:tcPr>
          <w:p w14:paraId="0E1BCBD8">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26</w:t>
            </w:r>
          </w:p>
        </w:tc>
        <w:tc>
          <w:tcPr>
            <w:tcW w:w="1335" w:type="pct"/>
            <w:gridSpan w:val="2"/>
            <w:tcBorders>
              <w:tl2br w:val="nil"/>
              <w:tr2bl w:val="nil"/>
            </w:tcBorders>
            <w:noWrap/>
            <w:vAlign w:val="center"/>
          </w:tcPr>
          <w:p w14:paraId="48F0442E">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234" w:type="pct"/>
            <w:gridSpan w:val="2"/>
            <w:tcBorders>
              <w:tl2br w:val="nil"/>
              <w:tr2bl w:val="nil"/>
            </w:tcBorders>
            <w:noWrap/>
            <w:vAlign w:val="center"/>
          </w:tcPr>
          <w:p w14:paraId="58A0CF14">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615" w:type="pct"/>
            <w:gridSpan w:val="2"/>
            <w:tcBorders>
              <w:tl2br w:val="nil"/>
              <w:tr2bl w:val="nil"/>
            </w:tcBorders>
            <w:noWrap/>
            <w:vAlign w:val="center"/>
          </w:tcPr>
          <w:p w14:paraId="423B9B7C">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r>
      <w:tr w14:paraId="277FAA9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15" w:type="pct"/>
            <w:tcBorders>
              <w:tl2br w:val="nil"/>
              <w:tr2bl w:val="nil"/>
            </w:tcBorders>
            <w:noWrap/>
            <w:vAlign w:val="center"/>
          </w:tcPr>
          <w:p w14:paraId="0B78F605">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27</w:t>
            </w:r>
          </w:p>
        </w:tc>
        <w:tc>
          <w:tcPr>
            <w:tcW w:w="1335" w:type="pct"/>
            <w:gridSpan w:val="2"/>
            <w:tcBorders>
              <w:tl2br w:val="nil"/>
              <w:tr2bl w:val="nil"/>
            </w:tcBorders>
            <w:noWrap/>
            <w:vAlign w:val="center"/>
          </w:tcPr>
          <w:p w14:paraId="2F7FF058">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234" w:type="pct"/>
            <w:gridSpan w:val="2"/>
            <w:tcBorders>
              <w:tl2br w:val="nil"/>
              <w:tr2bl w:val="nil"/>
            </w:tcBorders>
            <w:noWrap/>
            <w:vAlign w:val="center"/>
          </w:tcPr>
          <w:p w14:paraId="5D010EEC">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615" w:type="pct"/>
            <w:gridSpan w:val="2"/>
            <w:tcBorders>
              <w:tl2br w:val="nil"/>
              <w:tr2bl w:val="nil"/>
            </w:tcBorders>
            <w:noWrap/>
            <w:vAlign w:val="center"/>
          </w:tcPr>
          <w:p w14:paraId="4C596B6B">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r>
      <w:tr w14:paraId="1673C81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15" w:type="pct"/>
            <w:tcBorders>
              <w:tl2br w:val="nil"/>
              <w:tr2bl w:val="nil"/>
            </w:tcBorders>
            <w:noWrap/>
            <w:vAlign w:val="center"/>
          </w:tcPr>
          <w:p w14:paraId="2B7205EB">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28</w:t>
            </w:r>
          </w:p>
        </w:tc>
        <w:tc>
          <w:tcPr>
            <w:tcW w:w="1335" w:type="pct"/>
            <w:gridSpan w:val="2"/>
            <w:tcBorders>
              <w:tl2br w:val="nil"/>
              <w:tr2bl w:val="nil"/>
            </w:tcBorders>
            <w:noWrap/>
            <w:vAlign w:val="center"/>
          </w:tcPr>
          <w:p w14:paraId="5B77B60B">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234" w:type="pct"/>
            <w:gridSpan w:val="2"/>
            <w:tcBorders>
              <w:tl2br w:val="nil"/>
              <w:tr2bl w:val="nil"/>
            </w:tcBorders>
            <w:noWrap/>
            <w:vAlign w:val="center"/>
          </w:tcPr>
          <w:p w14:paraId="139471EF">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615" w:type="pct"/>
            <w:gridSpan w:val="2"/>
            <w:tcBorders>
              <w:tl2br w:val="nil"/>
              <w:tr2bl w:val="nil"/>
            </w:tcBorders>
            <w:noWrap/>
            <w:vAlign w:val="center"/>
          </w:tcPr>
          <w:p w14:paraId="1C3091ED">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r>
      <w:tr w14:paraId="7387FC1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15" w:type="pct"/>
            <w:tcBorders>
              <w:tl2br w:val="nil"/>
              <w:tr2bl w:val="nil"/>
            </w:tcBorders>
            <w:noWrap/>
            <w:vAlign w:val="center"/>
          </w:tcPr>
          <w:p w14:paraId="721230D5">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29</w:t>
            </w:r>
          </w:p>
        </w:tc>
        <w:tc>
          <w:tcPr>
            <w:tcW w:w="1335" w:type="pct"/>
            <w:gridSpan w:val="2"/>
            <w:tcBorders>
              <w:tl2br w:val="nil"/>
              <w:tr2bl w:val="nil"/>
            </w:tcBorders>
            <w:noWrap/>
            <w:vAlign w:val="center"/>
          </w:tcPr>
          <w:p w14:paraId="27BFB748">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234" w:type="pct"/>
            <w:gridSpan w:val="2"/>
            <w:tcBorders>
              <w:tl2br w:val="nil"/>
              <w:tr2bl w:val="nil"/>
            </w:tcBorders>
            <w:noWrap/>
            <w:vAlign w:val="center"/>
          </w:tcPr>
          <w:p w14:paraId="45224CE2">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615" w:type="pct"/>
            <w:gridSpan w:val="2"/>
            <w:tcBorders>
              <w:tl2br w:val="nil"/>
              <w:tr2bl w:val="nil"/>
            </w:tcBorders>
            <w:noWrap/>
            <w:vAlign w:val="center"/>
          </w:tcPr>
          <w:p w14:paraId="2C758079">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r>
      <w:tr w14:paraId="212924D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15" w:type="pct"/>
            <w:tcBorders>
              <w:tl2br w:val="nil"/>
              <w:tr2bl w:val="nil"/>
            </w:tcBorders>
            <w:noWrap/>
            <w:vAlign w:val="center"/>
          </w:tcPr>
          <w:p w14:paraId="43873C90">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30</w:t>
            </w:r>
          </w:p>
        </w:tc>
        <w:tc>
          <w:tcPr>
            <w:tcW w:w="1335" w:type="pct"/>
            <w:gridSpan w:val="2"/>
            <w:tcBorders>
              <w:tl2br w:val="nil"/>
              <w:tr2bl w:val="nil"/>
            </w:tcBorders>
            <w:noWrap/>
            <w:vAlign w:val="center"/>
          </w:tcPr>
          <w:p w14:paraId="7535CE91">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234" w:type="pct"/>
            <w:gridSpan w:val="2"/>
            <w:tcBorders>
              <w:tl2br w:val="nil"/>
              <w:tr2bl w:val="nil"/>
            </w:tcBorders>
            <w:noWrap/>
            <w:vAlign w:val="center"/>
          </w:tcPr>
          <w:p w14:paraId="6B0C9C98">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615" w:type="pct"/>
            <w:gridSpan w:val="2"/>
            <w:tcBorders>
              <w:tl2br w:val="nil"/>
              <w:tr2bl w:val="nil"/>
            </w:tcBorders>
            <w:noWrap/>
            <w:vAlign w:val="center"/>
          </w:tcPr>
          <w:p w14:paraId="1059208A">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r>
    </w:tbl>
    <w:p w14:paraId="329600EB">
      <w:pPr>
        <w:pStyle w:val="12"/>
        <w:keepNext w:val="0"/>
        <w:keepLines w:val="0"/>
        <w:pageBreakBefore w:val="0"/>
        <w:widowControl/>
        <w:kinsoku/>
        <w:wordWrap/>
        <w:overflowPunct/>
        <w:topLinePunct w:val="0"/>
        <w:autoSpaceDE w:val="0"/>
        <w:autoSpaceDN w:val="0"/>
        <w:bidi w:val="0"/>
        <w:adjustRightInd w:val="0"/>
        <w:snapToGrid w:val="0"/>
        <w:spacing w:before="0" w:beforeAutospacing="0" w:after="0" w:afterAutospacing="0"/>
        <w:ind w:left="0" w:leftChars="0" w:right="0"/>
        <w:textAlignment w:val="baseline"/>
        <w:outlineLvl w:val="9"/>
        <w:rPr>
          <w:rFonts w:hint="default" w:ascii="Times New Roman" w:hAnsi="Times New Roman" w:eastAsia="仿宋_GB2312" w:cs="Times New Roman"/>
          <w:color w:val="auto"/>
          <w:spacing w:val="0"/>
          <w:kern w:val="0"/>
          <w:position w:val="0"/>
        </w:rPr>
        <w:sectPr>
          <w:pgSz w:w="11906" w:h="16839"/>
          <w:pgMar w:top="1417" w:right="1417" w:bottom="1417" w:left="1417" w:header="0" w:footer="1025" w:gutter="0"/>
          <w:pgBorders>
            <w:top w:val="none" w:sz="0" w:space="0"/>
            <w:left w:val="none" w:sz="0" w:space="0"/>
            <w:bottom w:val="none" w:sz="0" w:space="0"/>
            <w:right w:val="none" w:sz="0" w:space="0"/>
          </w:pgBorders>
          <w:pgNumType w:fmt="decimal"/>
          <w:cols w:space="720" w:num="1"/>
        </w:sectPr>
      </w:pPr>
    </w:p>
    <w:p w14:paraId="4E5FD779">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b/>
          <w:bCs/>
          <w:color w:val="auto"/>
          <w:spacing w:val="0"/>
          <w:kern w:val="0"/>
          <w:position w:val="0"/>
          <w:sz w:val="24"/>
          <w:szCs w:val="24"/>
          <w:lang w:val="en-US" w:eastAsia="zh-CN"/>
        </w:rPr>
      </w:pPr>
      <w:r>
        <w:rPr>
          <w:rFonts w:hint="default" w:ascii="Times New Roman" w:hAnsi="Times New Roman" w:eastAsia="仿宋_GB2312" w:cs="Times New Roman"/>
          <w:b/>
          <w:bCs/>
          <w:color w:val="auto"/>
          <w:spacing w:val="0"/>
          <w:kern w:val="0"/>
          <w:position w:val="0"/>
          <w:sz w:val="24"/>
          <w:szCs w:val="24"/>
          <w:lang w:val="en-US" w:eastAsia="zh-CN"/>
        </w:rPr>
        <w:t xml:space="preserve">表5.10-4 </w:t>
      </w:r>
      <w:r>
        <w:rPr>
          <w:rFonts w:hint="eastAsia" w:ascii="Times New Roman" w:hAnsi="Times New Roman" w:eastAsia="仿宋_GB2312" w:cs="Times New Roman"/>
          <w:b/>
          <w:bCs/>
          <w:color w:val="auto"/>
          <w:spacing w:val="0"/>
          <w:kern w:val="0"/>
          <w:position w:val="0"/>
          <w:sz w:val="24"/>
          <w:szCs w:val="24"/>
          <w:lang w:val="en-US" w:eastAsia="zh-CN"/>
        </w:rPr>
        <w:t xml:space="preserve"> </w:t>
      </w:r>
      <w:r>
        <w:rPr>
          <w:rFonts w:hint="default" w:ascii="Times New Roman" w:hAnsi="Times New Roman" w:eastAsia="仿宋_GB2312" w:cs="Times New Roman"/>
          <w:b/>
          <w:bCs/>
          <w:color w:val="auto"/>
          <w:spacing w:val="0"/>
          <w:kern w:val="0"/>
          <w:position w:val="0"/>
          <w:sz w:val="24"/>
          <w:szCs w:val="24"/>
          <w:lang w:val="en-US" w:eastAsia="zh-CN"/>
        </w:rPr>
        <w:t>应急预案培训记录表</w:t>
      </w:r>
    </w:p>
    <w:tbl>
      <w:tblPr>
        <w:tblStyle w:val="31"/>
        <w:tblW w:w="8942"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2118"/>
        <w:gridCol w:w="2274"/>
        <w:gridCol w:w="2274"/>
        <w:gridCol w:w="2276"/>
      </w:tblGrid>
      <w:tr w14:paraId="5C1EA6D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2118" w:type="dxa"/>
            <w:tcBorders>
              <w:tl2br w:val="nil"/>
              <w:tr2bl w:val="nil"/>
            </w:tcBorders>
            <w:noWrap/>
            <w:vAlign w:val="center"/>
          </w:tcPr>
          <w:p w14:paraId="23843D27">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b w:val="0"/>
                <w:bCs w:val="0"/>
                <w:color w:val="auto"/>
                <w:spacing w:val="0"/>
                <w:kern w:val="0"/>
                <w:position w:val="0"/>
                <w:lang w:val="en-US" w:eastAsia="zh-CN"/>
              </w:rPr>
            </w:pPr>
            <w:r>
              <w:rPr>
                <w:rFonts w:hint="default" w:ascii="Times New Roman" w:hAnsi="Times New Roman" w:eastAsia="仿宋_GB2312" w:cs="Times New Roman"/>
                <w:b w:val="0"/>
                <w:bCs w:val="0"/>
                <w:color w:val="auto"/>
                <w:spacing w:val="0"/>
                <w:kern w:val="0"/>
                <w:position w:val="0"/>
                <w:lang w:val="en-US" w:eastAsia="zh-CN"/>
              </w:rPr>
              <w:t>组织部门</w:t>
            </w:r>
          </w:p>
        </w:tc>
        <w:tc>
          <w:tcPr>
            <w:tcW w:w="2274" w:type="dxa"/>
            <w:tcBorders>
              <w:tl2br w:val="nil"/>
              <w:tr2bl w:val="nil"/>
            </w:tcBorders>
            <w:noWrap/>
            <w:vAlign w:val="center"/>
          </w:tcPr>
          <w:p w14:paraId="10279C1F">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b w:val="0"/>
                <w:bCs w:val="0"/>
                <w:color w:val="auto"/>
                <w:spacing w:val="0"/>
                <w:kern w:val="0"/>
                <w:position w:val="0"/>
                <w:lang w:val="en-US" w:eastAsia="zh-CN"/>
              </w:rPr>
            </w:pPr>
          </w:p>
        </w:tc>
        <w:tc>
          <w:tcPr>
            <w:tcW w:w="2274" w:type="dxa"/>
            <w:tcBorders>
              <w:tl2br w:val="nil"/>
              <w:tr2bl w:val="nil"/>
            </w:tcBorders>
            <w:noWrap/>
            <w:vAlign w:val="center"/>
          </w:tcPr>
          <w:p w14:paraId="75001E8B">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b w:val="0"/>
                <w:bCs w:val="0"/>
                <w:color w:val="auto"/>
                <w:spacing w:val="0"/>
                <w:kern w:val="0"/>
                <w:position w:val="0"/>
                <w:lang w:val="en-US" w:eastAsia="zh-CN"/>
              </w:rPr>
            </w:pPr>
            <w:r>
              <w:rPr>
                <w:rFonts w:hint="default" w:ascii="Times New Roman" w:hAnsi="Times New Roman" w:eastAsia="仿宋_GB2312" w:cs="Times New Roman"/>
                <w:b w:val="0"/>
                <w:bCs w:val="0"/>
                <w:color w:val="auto"/>
                <w:spacing w:val="0"/>
                <w:kern w:val="0"/>
                <w:position w:val="0"/>
                <w:lang w:val="en-US" w:eastAsia="zh-CN"/>
              </w:rPr>
              <w:t>学习人员</w:t>
            </w:r>
          </w:p>
        </w:tc>
        <w:tc>
          <w:tcPr>
            <w:tcW w:w="2276" w:type="dxa"/>
            <w:tcBorders>
              <w:tl2br w:val="nil"/>
              <w:tr2bl w:val="nil"/>
            </w:tcBorders>
            <w:noWrap/>
            <w:vAlign w:val="center"/>
          </w:tcPr>
          <w:p w14:paraId="2C93E8DC">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b w:val="0"/>
                <w:bCs w:val="0"/>
                <w:color w:val="auto"/>
                <w:spacing w:val="0"/>
                <w:kern w:val="0"/>
                <w:position w:val="0"/>
                <w:lang w:val="en-US" w:eastAsia="zh-CN"/>
              </w:rPr>
            </w:pPr>
          </w:p>
        </w:tc>
      </w:tr>
      <w:tr w14:paraId="42991E4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2118" w:type="dxa"/>
            <w:tcBorders>
              <w:tl2br w:val="nil"/>
              <w:tr2bl w:val="nil"/>
            </w:tcBorders>
            <w:noWrap/>
            <w:vAlign w:val="center"/>
          </w:tcPr>
          <w:p w14:paraId="4BA16A2F">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主讲</w:t>
            </w:r>
          </w:p>
        </w:tc>
        <w:tc>
          <w:tcPr>
            <w:tcW w:w="6824" w:type="dxa"/>
            <w:gridSpan w:val="3"/>
            <w:tcBorders>
              <w:tl2br w:val="nil"/>
              <w:tr2bl w:val="nil"/>
            </w:tcBorders>
            <w:noWrap/>
            <w:vAlign w:val="center"/>
          </w:tcPr>
          <w:p w14:paraId="078A0393">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r>
      <w:tr w14:paraId="3346F2E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2118" w:type="dxa"/>
            <w:tcBorders>
              <w:tl2br w:val="nil"/>
              <w:tr2bl w:val="nil"/>
            </w:tcBorders>
            <w:noWrap/>
            <w:vAlign w:val="center"/>
          </w:tcPr>
          <w:p w14:paraId="3EDD30CB">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培训时间</w:t>
            </w:r>
          </w:p>
        </w:tc>
        <w:tc>
          <w:tcPr>
            <w:tcW w:w="2274" w:type="dxa"/>
            <w:tcBorders>
              <w:tl2br w:val="nil"/>
              <w:tr2bl w:val="nil"/>
            </w:tcBorders>
            <w:noWrap/>
            <w:vAlign w:val="center"/>
          </w:tcPr>
          <w:p w14:paraId="1C72CE8F">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2274" w:type="dxa"/>
            <w:tcBorders>
              <w:tl2br w:val="nil"/>
              <w:tr2bl w:val="nil"/>
            </w:tcBorders>
            <w:noWrap/>
            <w:vAlign w:val="center"/>
          </w:tcPr>
          <w:p w14:paraId="56A36BD7">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培训地点</w:t>
            </w:r>
          </w:p>
        </w:tc>
        <w:tc>
          <w:tcPr>
            <w:tcW w:w="2276" w:type="dxa"/>
            <w:tcBorders>
              <w:tl2br w:val="nil"/>
              <w:tr2bl w:val="nil"/>
            </w:tcBorders>
            <w:noWrap/>
            <w:vAlign w:val="center"/>
          </w:tcPr>
          <w:p w14:paraId="287213D2">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r>
      <w:tr w14:paraId="514BB51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8942" w:type="dxa"/>
            <w:gridSpan w:val="4"/>
            <w:tcBorders>
              <w:tl2br w:val="nil"/>
              <w:tr2bl w:val="nil"/>
            </w:tcBorders>
            <w:noWrap/>
            <w:vAlign w:val="top"/>
          </w:tcPr>
          <w:p w14:paraId="03FA0EF4">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both"/>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培训内容：</w:t>
            </w:r>
          </w:p>
          <w:p w14:paraId="16E31CDE">
            <w:pPr>
              <w:pStyle w:val="4"/>
              <w:pageBreakBefore w:val="0"/>
              <w:kinsoku/>
              <w:wordWrap/>
              <w:bidi w:val="0"/>
              <w:adjustRightInd w:val="0"/>
              <w:snapToGrid w:val="0"/>
              <w:spacing w:before="0" w:beforeAutospacing="0" w:after="0" w:afterAutospacing="0"/>
              <w:ind w:left="0" w:leftChars="0" w:right="0"/>
              <w:rPr>
                <w:rFonts w:hint="default" w:ascii="Times New Roman" w:hAnsi="Times New Roman" w:eastAsia="仿宋_GB2312" w:cs="Times New Roman"/>
                <w:color w:val="auto"/>
                <w:spacing w:val="0"/>
                <w:kern w:val="0"/>
                <w:position w:val="0"/>
                <w:lang w:val="en-US" w:eastAsia="zh-CN"/>
              </w:rPr>
            </w:pPr>
          </w:p>
          <w:p w14:paraId="22829990">
            <w:pPr>
              <w:pageBreakBefore w:val="0"/>
              <w:kinsoku/>
              <w:wordWrap/>
              <w:bidi w:val="0"/>
              <w:adjustRightInd w:val="0"/>
              <w:snapToGrid w:val="0"/>
              <w:spacing w:beforeAutospacing="0" w:afterAutospacing="0"/>
              <w:ind w:left="0" w:leftChars="0" w:right="0"/>
              <w:rPr>
                <w:rFonts w:hint="default" w:ascii="Times New Roman" w:hAnsi="Times New Roman" w:eastAsia="仿宋_GB2312" w:cs="Times New Roman"/>
                <w:color w:val="auto"/>
                <w:spacing w:val="0"/>
                <w:kern w:val="0"/>
                <w:position w:val="0"/>
                <w:lang w:val="en-US" w:eastAsia="zh-CN"/>
              </w:rPr>
            </w:pPr>
          </w:p>
          <w:p w14:paraId="30ED90E6">
            <w:pPr>
              <w:pStyle w:val="4"/>
              <w:pageBreakBefore w:val="0"/>
              <w:kinsoku/>
              <w:wordWrap/>
              <w:bidi w:val="0"/>
              <w:adjustRightInd w:val="0"/>
              <w:snapToGrid w:val="0"/>
              <w:spacing w:before="0" w:beforeAutospacing="0" w:after="0" w:afterAutospacing="0"/>
              <w:ind w:left="0" w:leftChars="0" w:right="0"/>
              <w:rPr>
                <w:rFonts w:hint="default" w:ascii="Times New Roman" w:hAnsi="Times New Roman" w:eastAsia="仿宋_GB2312" w:cs="Times New Roman"/>
                <w:color w:val="auto"/>
                <w:spacing w:val="0"/>
                <w:kern w:val="0"/>
                <w:position w:val="0"/>
                <w:lang w:val="en-US" w:eastAsia="zh-CN"/>
              </w:rPr>
            </w:pPr>
          </w:p>
          <w:p w14:paraId="19B19DAA">
            <w:pPr>
              <w:pageBreakBefore w:val="0"/>
              <w:kinsoku/>
              <w:wordWrap/>
              <w:bidi w:val="0"/>
              <w:adjustRightInd w:val="0"/>
              <w:snapToGrid w:val="0"/>
              <w:spacing w:beforeAutospacing="0" w:afterAutospacing="0"/>
              <w:ind w:left="0" w:leftChars="0" w:right="0"/>
              <w:rPr>
                <w:rFonts w:hint="default" w:ascii="Times New Roman" w:hAnsi="Times New Roman" w:eastAsia="仿宋_GB2312" w:cs="Times New Roman"/>
                <w:color w:val="auto"/>
                <w:spacing w:val="0"/>
                <w:kern w:val="0"/>
                <w:position w:val="0"/>
                <w:lang w:val="en-US" w:eastAsia="zh-CN"/>
              </w:rPr>
            </w:pPr>
          </w:p>
          <w:p w14:paraId="14838B72">
            <w:pPr>
              <w:pStyle w:val="4"/>
              <w:pageBreakBefore w:val="0"/>
              <w:kinsoku/>
              <w:wordWrap/>
              <w:bidi w:val="0"/>
              <w:adjustRightInd w:val="0"/>
              <w:snapToGrid w:val="0"/>
              <w:spacing w:before="0" w:beforeAutospacing="0" w:after="0" w:afterAutospacing="0"/>
              <w:ind w:left="0" w:leftChars="0" w:right="0"/>
              <w:rPr>
                <w:rFonts w:hint="default" w:ascii="Times New Roman" w:hAnsi="Times New Roman" w:eastAsia="仿宋_GB2312" w:cs="Times New Roman"/>
                <w:color w:val="auto"/>
                <w:spacing w:val="0"/>
                <w:kern w:val="0"/>
                <w:position w:val="0"/>
                <w:lang w:val="en-US" w:eastAsia="zh-CN"/>
              </w:rPr>
            </w:pPr>
          </w:p>
          <w:p w14:paraId="06F2834C">
            <w:pPr>
              <w:pageBreakBefore w:val="0"/>
              <w:kinsoku/>
              <w:wordWrap/>
              <w:bidi w:val="0"/>
              <w:adjustRightInd w:val="0"/>
              <w:snapToGrid w:val="0"/>
              <w:spacing w:beforeAutospacing="0" w:afterAutospacing="0"/>
              <w:ind w:left="0" w:leftChars="0" w:right="0"/>
              <w:rPr>
                <w:rFonts w:hint="default" w:ascii="Times New Roman" w:hAnsi="Times New Roman" w:eastAsia="仿宋_GB2312" w:cs="Times New Roman"/>
                <w:color w:val="auto"/>
                <w:spacing w:val="0"/>
                <w:kern w:val="0"/>
                <w:position w:val="0"/>
                <w:lang w:val="en-US" w:eastAsia="zh-CN"/>
              </w:rPr>
            </w:pPr>
          </w:p>
          <w:p w14:paraId="42D277E3">
            <w:pPr>
              <w:pStyle w:val="4"/>
              <w:pageBreakBefore w:val="0"/>
              <w:kinsoku/>
              <w:wordWrap/>
              <w:bidi w:val="0"/>
              <w:adjustRightInd w:val="0"/>
              <w:snapToGrid w:val="0"/>
              <w:spacing w:before="0" w:beforeAutospacing="0" w:after="0" w:afterAutospacing="0"/>
              <w:ind w:left="0" w:leftChars="0" w:right="0"/>
              <w:rPr>
                <w:rFonts w:hint="default" w:ascii="Times New Roman" w:hAnsi="Times New Roman" w:eastAsia="仿宋_GB2312" w:cs="Times New Roman"/>
                <w:color w:val="auto"/>
                <w:spacing w:val="0"/>
                <w:kern w:val="0"/>
                <w:position w:val="0"/>
                <w:lang w:val="en-US" w:eastAsia="zh-CN"/>
              </w:rPr>
            </w:pPr>
          </w:p>
          <w:p w14:paraId="0F1C3725">
            <w:pPr>
              <w:pageBreakBefore w:val="0"/>
              <w:kinsoku/>
              <w:wordWrap/>
              <w:bidi w:val="0"/>
              <w:adjustRightInd w:val="0"/>
              <w:snapToGrid w:val="0"/>
              <w:spacing w:beforeAutospacing="0" w:afterAutospacing="0"/>
              <w:ind w:left="0" w:leftChars="0" w:right="0"/>
              <w:rPr>
                <w:rFonts w:hint="default" w:ascii="Times New Roman" w:hAnsi="Times New Roman" w:eastAsia="仿宋_GB2312" w:cs="Times New Roman"/>
                <w:color w:val="auto"/>
                <w:spacing w:val="0"/>
                <w:kern w:val="0"/>
                <w:position w:val="0"/>
                <w:lang w:val="en-US" w:eastAsia="zh-CN"/>
              </w:rPr>
            </w:pPr>
          </w:p>
          <w:p w14:paraId="7A5293DB">
            <w:pPr>
              <w:pStyle w:val="4"/>
              <w:pageBreakBefore w:val="0"/>
              <w:kinsoku/>
              <w:wordWrap/>
              <w:bidi w:val="0"/>
              <w:adjustRightInd w:val="0"/>
              <w:snapToGrid w:val="0"/>
              <w:spacing w:before="0" w:beforeAutospacing="0" w:after="0" w:afterAutospacing="0"/>
              <w:ind w:left="0" w:leftChars="0" w:right="0"/>
              <w:rPr>
                <w:rFonts w:hint="default" w:ascii="Times New Roman" w:hAnsi="Times New Roman" w:eastAsia="仿宋_GB2312" w:cs="Times New Roman"/>
                <w:color w:val="auto"/>
                <w:spacing w:val="0"/>
                <w:kern w:val="0"/>
                <w:position w:val="0"/>
                <w:lang w:val="en-US" w:eastAsia="zh-CN"/>
              </w:rPr>
            </w:pPr>
          </w:p>
          <w:p w14:paraId="1F6E8378">
            <w:pPr>
              <w:pageBreakBefore w:val="0"/>
              <w:kinsoku/>
              <w:wordWrap/>
              <w:bidi w:val="0"/>
              <w:adjustRightInd w:val="0"/>
              <w:snapToGrid w:val="0"/>
              <w:spacing w:beforeAutospacing="0" w:afterAutospacing="0"/>
              <w:ind w:left="0" w:leftChars="0" w:right="0"/>
              <w:rPr>
                <w:rFonts w:hint="default" w:ascii="Times New Roman" w:hAnsi="Times New Roman" w:eastAsia="仿宋_GB2312" w:cs="Times New Roman"/>
                <w:color w:val="auto"/>
                <w:spacing w:val="0"/>
                <w:kern w:val="0"/>
                <w:position w:val="0"/>
                <w:lang w:val="en-US" w:eastAsia="zh-CN"/>
              </w:rPr>
            </w:pPr>
          </w:p>
          <w:p w14:paraId="072AAF26">
            <w:pPr>
              <w:pStyle w:val="4"/>
              <w:pageBreakBefore w:val="0"/>
              <w:kinsoku/>
              <w:wordWrap/>
              <w:bidi w:val="0"/>
              <w:adjustRightInd w:val="0"/>
              <w:snapToGrid w:val="0"/>
              <w:spacing w:before="0" w:beforeAutospacing="0" w:after="0" w:afterAutospacing="0"/>
              <w:ind w:left="0" w:leftChars="0" w:right="0"/>
              <w:rPr>
                <w:rFonts w:hint="default" w:ascii="Times New Roman" w:hAnsi="Times New Roman" w:eastAsia="仿宋_GB2312" w:cs="Times New Roman"/>
                <w:color w:val="auto"/>
                <w:spacing w:val="0"/>
                <w:kern w:val="0"/>
                <w:position w:val="0"/>
                <w:lang w:val="en-US" w:eastAsia="zh-CN"/>
              </w:rPr>
            </w:pPr>
          </w:p>
          <w:p w14:paraId="2FACAAEA">
            <w:pPr>
              <w:pageBreakBefore w:val="0"/>
              <w:kinsoku/>
              <w:wordWrap/>
              <w:bidi w:val="0"/>
              <w:adjustRightInd w:val="0"/>
              <w:snapToGrid w:val="0"/>
              <w:spacing w:beforeAutospacing="0" w:afterAutospacing="0"/>
              <w:ind w:left="0" w:leftChars="0" w:right="0"/>
              <w:rPr>
                <w:rFonts w:hint="default" w:ascii="Times New Roman" w:hAnsi="Times New Roman" w:eastAsia="仿宋_GB2312" w:cs="Times New Roman"/>
                <w:color w:val="auto"/>
                <w:spacing w:val="0"/>
                <w:kern w:val="0"/>
                <w:position w:val="0"/>
                <w:lang w:val="en-US" w:eastAsia="zh-CN"/>
              </w:rPr>
            </w:pPr>
          </w:p>
          <w:p w14:paraId="60865ABD">
            <w:pPr>
              <w:pStyle w:val="4"/>
              <w:pageBreakBefore w:val="0"/>
              <w:kinsoku/>
              <w:wordWrap/>
              <w:bidi w:val="0"/>
              <w:adjustRightInd w:val="0"/>
              <w:snapToGrid w:val="0"/>
              <w:spacing w:before="0" w:beforeAutospacing="0" w:after="0" w:afterAutospacing="0"/>
              <w:ind w:left="0" w:leftChars="0" w:right="0"/>
              <w:rPr>
                <w:rFonts w:hint="default" w:ascii="Times New Roman" w:hAnsi="Times New Roman" w:eastAsia="仿宋_GB2312" w:cs="Times New Roman"/>
                <w:color w:val="auto"/>
                <w:lang w:val="en-US" w:eastAsia="zh-CN"/>
              </w:rPr>
            </w:pPr>
          </w:p>
          <w:p w14:paraId="230689FB">
            <w:pPr>
              <w:pStyle w:val="4"/>
              <w:pageBreakBefore w:val="0"/>
              <w:kinsoku/>
              <w:wordWrap/>
              <w:bidi w:val="0"/>
              <w:adjustRightInd w:val="0"/>
              <w:snapToGrid w:val="0"/>
              <w:spacing w:before="0" w:beforeAutospacing="0" w:after="0" w:afterAutospacing="0"/>
              <w:ind w:left="0" w:leftChars="0" w:right="0"/>
              <w:rPr>
                <w:rFonts w:hint="default" w:ascii="Times New Roman" w:hAnsi="Times New Roman" w:eastAsia="仿宋_GB2312" w:cs="Times New Roman"/>
                <w:color w:val="auto"/>
                <w:spacing w:val="0"/>
                <w:kern w:val="0"/>
                <w:position w:val="0"/>
                <w:lang w:val="en-US" w:eastAsia="zh-CN"/>
              </w:rPr>
            </w:pPr>
          </w:p>
          <w:p w14:paraId="673A4B50">
            <w:pPr>
              <w:pageBreakBefore w:val="0"/>
              <w:kinsoku/>
              <w:wordWrap/>
              <w:bidi w:val="0"/>
              <w:adjustRightInd w:val="0"/>
              <w:snapToGrid w:val="0"/>
              <w:spacing w:beforeAutospacing="0" w:afterAutospacing="0"/>
              <w:ind w:left="0" w:leftChars="0" w:right="0"/>
              <w:rPr>
                <w:rFonts w:hint="default" w:ascii="Times New Roman" w:hAnsi="Times New Roman" w:eastAsia="仿宋_GB2312" w:cs="Times New Roman"/>
                <w:color w:val="auto"/>
                <w:spacing w:val="0"/>
                <w:kern w:val="0"/>
                <w:position w:val="0"/>
                <w:lang w:val="en-US" w:eastAsia="zh-CN"/>
              </w:rPr>
            </w:pPr>
          </w:p>
          <w:p w14:paraId="2218C672">
            <w:pPr>
              <w:pStyle w:val="4"/>
              <w:pageBreakBefore w:val="0"/>
              <w:kinsoku/>
              <w:wordWrap/>
              <w:bidi w:val="0"/>
              <w:adjustRightInd w:val="0"/>
              <w:snapToGrid w:val="0"/>
              <w:spacing w:before="0" w:beforeAutospacing="0" w:after="0" w:afterAutospacing="0"/>
              <w:ind w:left="0" w:leftChars="0" w:right="0"/>
              <w:rPr>
                <w:rFonts w:hint="default" w:ascii="Times New Roman" w:hAnsi="Times New Roman" w:eastAsia="仿宋_GB2312" w:cs="Times New Roman"/>
                <w:color w:val="auto"/>
                <w:spacing w:val="0"/>
                <w:kern w:val="0"/>
                <w:position w:val="0"/>
                <w:lang w:val="en-US" w:eastAsia="zh-CN"/>
              </w:rPr>
            </w:pPr>
          </w:p>
          <w:p w14:paraId="448C52A7">
            <w:pPr>
              <w:pageBreakBefore w:val="0"/>
              <w:kinsoku/>
              <w:wordWrap/>
              <w:bidi w:val="0"/>
              <w:adjustRightInd w:val="0"/>
              <w:snapToGrid w:val="0"/>
              <w:spacing w:beforeAutospacing="0" w:afterAutospacing="0"/>
              <w:ind w:left="0" w:leftChars="0" w:right="0"/>
              <w:rPr>
                <w:rFonts w:hint="default" w:ascii="Times New Roman" w:hAnsi="Times New Roman" w:eastAsia="仿宋_GB2312" w:cs="Times New Roman"/>
                <w:color w:val="auto"/>
                <w:lang w:val="en-US" w:eastAsia="zh-CN"/>
              </w:rPr>
            </w:pPr>
          </w:p>
        </w:tc>
      </w:tr>
    </w:tbl>
    <w:p w14:paraId="7D413C0D">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二、应急演练</w:t>
      </w:r>
    </w:p>
    <w:p w14:paraId="0E81DDCA">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（一）演练分类</w:t>
      </w:r>
    </w:p>
    <w:p w14:paraId="6B92FDC8">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1、组织指挥演练：公司应急指挥部和各专业应急小组负责人分别按突发环境事件应急预案要求，以组织指挥的形式组织实施应急救援任务的演练；</w:t>
      </w:r>
    </w:p>
    <w:p w14:paraId="2B3B6EFB">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2、单项演练；由各专业应急小组各自开展的环境应急任务中的单项科目的演练；</w:t>
      </w:r>
    </w:p>
    <w:p w14:paraId="4F9BC854">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3、综合演练；由应急指挥部按突发环境事件应急预案要求，开展的全面演练。</w:t>
      </w:r>
    </w:p>
    <w:p w14:paraId="6E215348">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（二）演练内容</w:t>
      </w:r>
    </w:p>
    <w:p w14:paraId="2BAC6E6C">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1、生产车间物料泄漏及火灾、爆炸事故的应急处置抢险；</w:t>
      </w:r>
    </w:p>
    <w:p w14:paraId="67C793E1">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2、发生火灾爆炸事故后，事故废水、消防废水的应急处置演练；</w:t>
      </w:r>
    </w:p>
    <w:p w14:paraId="22A4B8B5">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3、通信及报警信号的联络；</w:t>
      </w:r>
    </w:p>
    <w:p w14:paraId="009B20A0">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4、急救及医疗；</w:t>
      </w:r>
    </w:p>
    <w:p w14:paraId="5B621596">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5、污染水体的监测；</w:t>
      </w:r>
    </w:p>
    <w:p w14:paraId="4B031C47">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6、防护指导，包括专业人员的个人防护及员工的自我防护；</w:t>
      </w:r>
    </w:p>
    <w:p w14:paraId="534722AB">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7、各种标志、设置警戒范围及人员控制；</w:t>
      </w:r>
    </w:p>
    <w:p w14:paraId="36AE0AA0">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8、危废泄露应急处理演练；</w:t>
      </w:r>
    </w:p>
    <w:p w14:paraId="2C8D5CE9">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9、污染区域内人员的疏散撤离及人员清查；</w:t>
      </w:r>
    </w:p>
    <w:p w14:paraId="1DA3122F">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10、向上级报告情况及向友邻单位通报情况；</w:t>
      </w:r>
    </w:p>
    <w:p w14:paraId="0315072E">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11、事故的善后工作。</w:t>
      </w:r>
    </w:p>
    <w:p w14:paraId="4D099114">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12、废水、泄漏物收集管道导流堵塞的应急处理演练；</w:t>
      </w:r>
    </w:p>
    <w:p w14:paraId="056C42C7">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13、各阀门正确开启和关闭的演练；</w:t>
      </w:r>
    </w:p>
    <w:p w14:paraId="5EBD5149">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14、各抽水泵启动、各应急物资取用和正确使用的演练；</w:t>
      </w:r>
    </w:p>
    <w:p w14:paraId="6FB128F1">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15、易燃物质泄漏的应急处理演练。</w:t>
      </w:r>
    </w:p>
    <w:p w14:paraId="27E3948B">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单项演练项目为上述演练内容中的一项，综合演练项目为上述演练内容中多项或全部。</w:t>
      </w:r>
    </w:p>
    <w:p w14:paraId="30F06125">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（三）演练范围与频次</w:t>
      </w:r>
    </w:p>
    <w:p w14:paraId="06E8B1B1">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1、组织指挥演练由应急指挥部副总指挥每半年组织一次；</w:t>
      </w:r>
    </w:p>
    <w:p w14:paraId="6FDEC1FA">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2、各单项演练由各应急小组每半年组织一次；</w:t>
      </w:r>
    </w:p>
    <w:p w14:paraId="5DAB3133">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3、综合演练由指挥部总指挥每半年组织一次。</w:t>
      </w:r>
    </w:p>
    <w:p w14:paraId="41C13A84">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（四）演练考核指标</w:t>
      </w:r>
    </w:p>
    <w:p w14:paraId="324C08F6">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1、应急响应与报告及时；</w:t>
      </w:r>
    </w:p>
    <w:p w14:paraId="283D8F8E">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2、应急人员在规定时间（3分钟内）到达现场，人员职责明确；着装整齐，携带相关设备齐全；</w:t>
      </w:r>
    </w:p>
    <w:p w14:paraId="4E61EBA1">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3、应急措施有效；</w:t>
      </w:r>
    </w:p>
    <w:p w14:paraId="66214313">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4、应急处理的废物处置合理；</w:t>
      </w:r>
    </w:p>
    <w:p w14:paraId="1B565A05">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5、灭火器才等设备使用正确；</w:t>
      </w:r>
    </w:p>
    <w:p w14:paraId="7EA5589B">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6、各小组到达现场后均服从指挥，能够熟练回答的知识应知应会。</w:t>
      </w:r>
    </w:p>
    <w:p w14:paraId="50394743">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（五）演练方案</w:t>
      </w:r>
    </w:p>
    <w:p w14:paraId="60EBEC32">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1、应急演练领导小组成员</w:t>
      </w:r>
    </w:p>
    <w:p w14:paraId="3AFF82A9">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各应急小组成员。</w:t>
      </w:r>
    </w:p>
    <w:p w14:paraId="186A152F">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2、应急演练地点</w:t>
      </w:r>
    </w:p>
    <w:p w14:paraId="6624DBE1">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厂区空旷地。</w:t>
      </w:r>
    </w:p>
    <w:p w14:paraId="0DE5EA3C">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3、应急演练内容</w:t>
      </w:r>
    </w:p>
    <w:p w14:paraId="397B89EE">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根据各突发环境事件情景，现场指挥部接报后，及时调整力量进行快速处置。</w:t>
      </w:r>
    </w:p>
    <w:p w14:paraId="1AC9ACA9">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r>
        <w:rPr>
          <w:rFonts w:hint="eastAsia" w:ascii="Times New Roman" w:hAnsi="Times New Roman" w:eastAsia="仿宋_GB2312" w:cs="Times New Roman"/>
          <w:color w:val="auto"/>
          <w:spacing w:val="0"/>
          <w:kern w:val="0"/>
          <w:position w:val="0"/>
          <w:sz w:val="24"/>
          <w:szCs w:val="24"/>
          <w:lang w:val="en-US" w:eastAsia="zh-CN"/>
        </w:rPr>
        <w:t>4、</w:t>
      </w:r>
      <w:r>
        <w:rPr>
          <w:rFonts w:hint="default" w:ascii="Times New Roman" w:hAnsi="Times New Roman" w:eastAsia="仿宋_GB2312" w:cs="Times New Roman"/>
          <w:color w:val="auto"/>
          <w:spacing w:val="0"/>
          <w:kern w:val="0"/>
          <w:position w:val="0"/>
          <w:sz w:val="24"/>
          <w:szCs w:val="24"/>
        </w:rPr>
        <w:t>应急演练过程模拟</w:t>
      </w:r>
    </w:p>
    <w:p w14:paraId="6DCD8701">
      <w:pPr>
        <w:keepNext w:val="0"/>
        <w:keepLines w:val="0"/>
        <w:pageBreakBefore w:val="0"/>
        <w:widowControl/>
        <w:numPr>
          <w:ilvl w:val="0"/>
          <w:numId w:val="0"/>
        </w:numPr>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（1）事故第一发现人立即向应急救援指挥部值班人员（总指挥或副总指挥）汇报，应急指挥部接到报警后，做好详细记录后，初步判断环境事故等级大小，并通知各应急指挥小组与相关部门；</w:t>
      </w:r>
    </w:p>
    <w:p w14:paraId="647FDA75">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（2）各应急小组在3min内到达事故现场，问清事故情况，了解事故发生的时间、地点、原因、现状、类型、特征，并告知现场指挥部领导；</w:t>
      </w:r>
    </w:p>
    <w:p w14:paraId="22EC7A7F">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（3）应急工作领导成员先后到达现场，立即投入环境应急指挥的工作。总指挥宣布立即启动《突发环境事件应急预案》，向应急工作领导小组所有成员通报突发事件的初步调查结果；</w:t>
      </w:r>
    </w:p>
    <w:p w14:paraId="2D2A4BEC">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4）物资保障组根据事故发生情况将相关应急装备及现场应急处置材料等应急物资运送到事故现场；应急处置组针对事故源进行应急抢修工作；若发生火灾事故，立即开展消防灭火操作（确保自身安全的情况下）。根据实际情况，安全警戒组疏散周边员工至尽可能的安全防护距离以外；</w:t>
      </w:r>
    </w:p>
    <w:p w14:paraId="2C9B10F9">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（5）事故应急状态解除后，现场应急小组停止应急状态，清点人员和设备、器材，并撤离现场，转入善后工作。</w:t>
      </w:r>
    </w:p>
    <w:p w14:paraId="16841F8B">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（六）应急响应情况报告</w:t>
      </w:r>
    </w:p>
    <w:p w14:paraId="77F1BD54">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各应急小组在应急响应终止后及时将事件的事故原因、事故处理等情况以文字的形式报告应急指挥部成员，领导小组通过演练结果对应急预案进行总结和改进，应急指挥部将有关情况汇总后留档备份。</w:t>
      </w:r>
    </w:p>
    <w:p w14:paraId="3C88A2F8">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sectPr>
          <w:pgSz w:w="11906" w:h="16839"/>
          <w:pgMar w:top="1417" w:right="1417" w:bottom="1417" w:left="1417" w:header="0" w:footer="1025" w:gutter="0"/>
          <w:pgBorders>
            <w:top w:val="none" w:sz="0" w:space="0"/>
            <w:left w:val="none" w:sz="0" w:space="0"/>
            <w:bottom w:val="none" w:sz="0" w:space="0"/>
            <w:right w:val="none" w:sz="0" w:space="0"/>
          </w:pgBorders>
          <w:pgNumType w:fmt="decimal"/>
          <w:cols w:space="720" w:num="1"/>
        </w:sectPr>
      </w:pPr>
      <w:r>
        <w:rPr>
          <w:rFonts w:hint="default" w:ascii="Times New Roman" w:hAnsi="Times New Roman" w:eastAsia="仿宋_GB2312" w:cs="Times New Roman"/>
          <w:color w:val="auto"/>
          <w:spacing w:val="0"/>
          <w:kern w:val="0"/>
          <w:position w:val="0"/>
          <w:sz w:val="24"/>
          <w:szCs w:val="24"/>
        </w:rPr>
        <w:t>应急预案演练记录表可参照以下格式：</w:t>
      </w:r>
    </w:p>
    <w:p w14:paraId="2F870C75">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b/>
          <w:bCs/>
          <w:color w:val="auto"/>
          <w:spacing w:val="0"/>
          <w:kern w:val="0"/>
          <w:position w:val="0"/>
          <w:sz w:val="24"/>
          <w:szCs w:val="24"/>
          <w:lang w:val="en-US" w:eastAsia="zh-CN"/>
        </w:rPr>
      </w:pPr>
      <w:r>
        <w:rPr>
          <w:rFonts w:hint="default" w:ascii="Times New Roman" w:hAnsi="Times New Roman" w:eastAsia="仿宋_GB2312" w:cs="Times New Roman"/>
          <w:b/>
          <w:bCs/>
          <w:color w:val="auto"/>
          <w:spacing w:val="0"/>
          <w:kern w:val="0"/>
          <w:position w:val="0"/>
          <w:sz w:val="24"/>
          <w:szCs w:val="24"/>
          <w:lang w:val="en-US" w:eastAsia="zh-CN"/>
        </w:rPr>
        <w:t xml:space="preserve">表5.10-5 </w:t>
      </w:r>
      <w:r>
        <w:rPr>
          <w:rFonts w:hint="eastAsia" w:ascii="Times New Roman" w:hAnsi="Times New Roman" w:eastAsia="仿宋_GB2312" w:cs="Times New Roman"/>
          <w:b/>
          <w:bCs/>
          <w:color w:val="auto"/>
          <w:spacing w:val="0"/>
          <w:kern w:val="0"/>
          <w:position w:val="0"/>
          <w:sz w:val="24"/>
          <w:szCs w:val="24"/>
          <w:lang w:val="en-US" w:eastAsia="zh-CN"/>
        </w:rPr>
        <w:t xml:space="preserve"> </w:t>
      </w:r>
      <w:r>
        <w:rPr>
          <w:rFonts w:hint="default" w:ascii="Times New Roman" w:hAnsi="Times New Roman" w:eastAsia="仿宋_GB2312" w:cs="Times New Roman"/>
          <w:b/>
          <w:bCs/>
          <w:color w:val="auto"/>
          <w:spacing w:val="0"/>
          <w:kern w:val="0"/>
          <w:position w:val="0"/>
          <w:sz w:val="24"/>
          <w:szCs w:val="24"/>
          <w:lang w:val="en-US" w:eastAsia="zh-CN"/>
        </w:rPr>
        <w:t>应急方案演习频次表</w:t>
      </w:r>
    </w:p>
    <w:tbl>
      <w:tblPr>
        <w:tblStyle w:val="31"/>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3156"/>
        <w:gridCol w:w="1180"/>
        <w:gridCol w:w="1717"/>
        <w:gridCol w:w="1487"/>
        <w:gridCol w:w="1744"/>
      </w:tblGrid>
      <w:tr w14:paraId="73979DA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452" w:type="pct"/>
            <w:tcBorders>
              <w:tl2br w:val="nil"/>
              <w:tr2bl w:val="nil"/>
            </w:tcBorders>
            <w:noWrap/>
            <w:vAlign w:val="center"/>
          </w:tcPr>
          <w:p w14:paraId="2D0A1ED2">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b w:val="0"/>
                <w:bCs w:val="0"/>
                <w:color w:val="auto"/>
                <w:spacing w:val="0"/>
                <w:kern w:val="0"/>
                <w:position w:val="0"/>
                <w:lang w:val="en-US" w:eastAsia="zh-CN"/>
              </w:rPr>
            </w:pPr>
            <w:r>
              <w:rPr>
                <w:rFonts w:hint="default" w:ascii="Times New Roman" w:hAnsi="Times New Roman" w:eastAsia="仿宋_GB2312" w:cs="Times New Roman"/>
                <w:b w:val="0"/>
                <w:bCs w:val="0"/>
                <w:color w:val="auto"/>
                <w:spacing w:val="0"/>
                <w:kern w:val="0"/>
                <w:position w:val="0"/>
                <w:lang w:val="en-US" w:eastAsia="zh-CN"/>
              </w:rPr>
              <w:t>应急方案的名称：</w:t>
            </w:r>
          </w:p>
        </w:tc>
        <w:tc>
          <w:tcPr>
            <w:tcW w:w="697" w:type="pct"/>
            <w:tcBorders>
              <w:tl2br w:val="nil"/>
              <w:tr2bl w:val="nil"/>
            </w:tcBorders>
            <w:noWrap/>
            <w:vAlign w:val="center"/>
          </w:tcPr>
          <w:p w14:paraId="0C16BC54">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b w:val="0"/>
                <w:bCs w:val="0"/>
                <w:color w:val="auto"/>
                <w:spacing w:val="0"/>
                <w:kern w:val="0"/>
                <w:position w:val="0"/>
                <w:lang w:val="en-US" w:eastAsia="zh-CN"/>
              </w:rPr>
            </w:pPr>
            <w:r>
              <w:rPr>
                <w:rFonts w:hint="default" w:ascii="Times New Roman" w:hAnsi="Times New Roman" w:eastAsia="仿宋_GB2312" w:cs="Times New Roman"/>
                <w:b w:val="0"/>
                <w:bCs w:val="0"/>
                <w:color w:val="auto"/>
                <w:spacing w:val="0"/>
                <w:kern w:val="0"/>
                <w:position w:val="0"/>
                <w:lang w:val="en-US" w:eastAsia="zh-CN"/>
              </w:rPr>
              <w:t>演戏频次</w:t>
            </w:r>
          </w:p>
        </w:tc>
        <w:tc>
          <w:tcPr>
            <w:tcW w:w="986" w:type="pct"/>
            <w:tcBorders>
              <w:tl2br w:val="nil"/>
              <w:tr2bl w:val="nil"/>
            </w:tcBorders>
            <w:noWrap/>
            <w:vAlign w:val="center"/>
          </w:tcPr>
          <w:p w14:paraId="23FC4B3E">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b w:val="0"/>
                <w:bCs w:val="0"/>
                <w:color w:val="auto"/>
                <w:spacing w:val="0"/>
                <w:kern w:val="0"/>
                <w:position w:val="0"/>
                <w:lang w:val="en-US" w:eastAsia="zh-CN"/>
              </w:rPr>
            </w:pPr>
            <w:r>
              <w:rPr>
                <w:rFonts w:hint="default" w:ascii="Times New Roman" w:hAnsi="Times New Roman" w:eastAsia="仿宋_GB2312" w:cs="Times New Roman"/>
                <w:b w:val="0"/>
                <w:bCs w:val="0"/>
                <w:color w:val="auto"/>
                <w:spacing w:val="0"/>
                <w:kern w:val="0"/>
                <w:position w:val="0"/>
                <w:lang w:val="en-US" w:eastAsia="zh-CN"/>
              </w:rPr>
              <w:t>参加部门、人员</w:t>
            </w:r>
          </w:p>
        </w:tc>
        <w:tc>
          <w:tcPr>
            <w:tcW w:w="862" w:type="pct"/>
            <w:tcBorders>
              <w:tl2br w:val="nil"/>
              <w:tr2bl w:val="nil"/>
            </w:tcBorders>
            <w:noWrap/>
            <w:vAlign w:val="center"/>
          </w:tcPr>
          <w:p w14:paraId="08F0DA8B">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b w:val="0"/>
                <w:bCs w:val="0"/>
                <w:color w:val="auto"/>
                <w:spacing w:val="0"/>
                <w:kern w:val="0"/>
                <w:position w:val="0"/>
                <w:lang w:val="en-US" w:eastAsia="zh-CN"/>
              </w:rPr>
            </w:pPr>
            <w:r>
              <w:rPr>
                <w:rFonts w:hint="default" w:ascii="Times New Roman" w:hAnsi="Times New Roman" w:eastAsia="仿宋_GB2312" w:cs="Times New Roman"/>
                <w:b w:val="0"/>
                <w:bCs w:val="0"/>
                <w:color w:val="auto"/>
                <w:spacing w:val="0"/>
                <w:kern w:val="0"/>
                <w:position w:val="0"/>
                <w:lang w:val="en-US" w:eastAsia="zh-CN"/>
              </w:rPr>
              <w:t>上次演习时间</w:t>
            </w:r>
          </w:p>
        </w:tc>
        <w:tc>
          <w:tcPr>
            <w:tcW w:w="1000" w:type="pct"/>
            <w:tcBorders>
              <w:tl2br w:val="nil"/>
              <w:tr2bl w:val="nil"/>
            </w:tcBorders>
            <w:noWrap/>
            <w:vAlign w:val="center"/>
          </w:tcPr>
          <w:p w14:paraId="23BC1DF7">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b w:val="0"/>
                <w:bCs w:val="0"/>
                <w:color w:val="auto"/>
                <w:spacing w:val="0"/>
                <w:kern w:val="0"/>
                <w:position w:val="0"/>
                <w:lang w:val="en-US" w:eastAsia="zh-CN"/>
              </w:rPr>
            </w:pPr>
            <w:r>
              <w:rPr>
                <w:rFonts w:hint="default" w:ascii="Times New Roman" w:hAnsi="Times New Roman" w:eastAsia="仿宋_GB2312" w:cs="Times New Roman"/>
                <w:b w:val="0"/>
                <w:bCs w:val="0"/>
                <w:color w:val="auto"/>
                <w:spacing w:val="0"/>
                <w:kern w:val="0"/>
                <w:position w:val="0"/>
                <w:lang w:val="en-US" w:eastAsia="zh-CN"/>
              </w:rPr>
              <w:t>计划演习时间</w:t>
            </w:r>
          </w:p>
        </w:tc>
      </w:tr>
      <w:tr w14:paraId="433AB79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452" w:type="pct"/>
            <w:tcBorders>
              <w:tl2br w:val="nil"/>
              <w:tr2bl w:val="nil"/>
            </w:tcBorders>
            <w:noWrap/>
            <w:vAlign w:val="center"/>
          </w:tcPr>
          <w:p w14:paraId="30421CFC">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 xml:space="preserve">                  的应急措施</w:t>
            </w:r>
          </w:p>
        </w:tc>
        <w:tc>
          <w:tcPr>
            <w:tcW w:w="697" w:type="pct"/>
            <w:tcBorders>
              <w:tl2br w:val="nil"/>
              <w:tr2bl w:val="nil"/>
            </w:tcBorders>
            <w:noWrap/>
            <w:vAlign w:val="center"/>
          </w:tcPr>
          <w:p w14:paraId="2E8DAC48">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1次/半年</w:t>
            </w:r>
          </w:p>
        </w:tc>
        <w:tc>
          <w:tcPr>
            <w:tcW w:w="986" w:type="pct"/>
            <w:tcBorders>
              <w:tl2br w:val="nil"/>
              <w:tr2bl w:val="nil"/>
            </w:tcBorders>
            <w:noWrap/>
            <w:vAlign w:val="center"/>
          </w:tcPr>
          <w:p w14:paraId="24C5BDD6">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862" w:type="pct"/>
            <w:tcBorders>
              <w:tl2br w:val="nil"/>
              <w:tr2bl w:val="nil"/>
            </w:tcBorders>
            <w:noWrap/>
            <w:vAlign w:val="center"/>
          </w:tcPr>
          <w:p w14:paraId="7BD05EE9">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000" w:type="pct"/>
            <w:tcBorders>
              <w:tl2br w:val="nil"/>
              <w:tr2bl w:val="nil"/>
            </w:tcBorders>
            <w:noWrap/>
            <w:vAlign w:val="center"/>
          </w:tcPr>
          <w:p w14:paraId="1792E2B8">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r>
      <w:tr w14:paraId="6A4B43D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452" w:type="pct"/>
            <w:tcBorders>
              <w:tl2br w:val="nil"/>
              <w:tr2bl w:val="nil"/>
            </w:tcBorders>
            <w:noWrap/>
            <w:vAlign w:val="center"/>
          </w:tcPr>
          <w:p w14:paraId="742FAC6E">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受伤者的应急准备（紧急救护）</w:t>
            </w:r>
          </w:p>
        </w:tc>
        <w:tc>
          <w:tcPr>
            <w:tcW w:w="697" w:type="pct"/>
            <w:tcBorders>
              <w:tl2br w:val="nil"/>
              <w:tr2bl w:val="nil"/>
            </w:tcBorders>
            <w:noWrap/>
            <w:vAlign w:val="center"/>
          </w:tcPr>
          <w:p w14:paraId="3FEBB28E">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1次/半年</w:t>
            </w:r>
          </w:p>
        </w:tc>
        <w:tc>
          <w:tcPr>
            <w:tcW w:w="986" w:type="pct"/>
            <w:tcBorders>
              <w:tl2br w:val="nil"/>
              <w:tr2bl w:val="nil"/>
            </w:tcBorders>
            <w:noWrap/>
            <w:vAlign w:val="center"/>
          </w:tcPr>
          <w:p w14:paraId="1D7516EA">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862" w:type="pct"/>
            <w:tcBorders>
              <w:tl2br w:val="nil"/>
              <w:tr2bl w:val="nil"/>
            </w:tcBorders>
            <w:noWrap/>
            <w:vAlign w:val="center"/>
          </w:tcPr>
          <w:p w14:paraId="3342B314">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000" w:type="pct"/>
            <w:tcBorders>
              <w:tl2br w:val="nil"/>
              <w:tr2bl w:val="nil"/>
            </w:tcBorders>
            <w:noWrap/>
            <w:vAlign w:val="center"/>
          </w:tcPr>
          <w:p w14:paraId="3E8A921E">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r>
      <w:tr w14:paraId="4CB3AE1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452" w:type="pct"/>
            <w:tcBorders>
              <w:tl2br w:val="nil"/>
              <w:tr2bl w:val="nil"/>
            </w:tcBorders>
            <w:noWrap/>
            <w:vAlign w:val="center"/>
          </w:tcPr>
          <w:p w14:paraId="4CA9A480">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火灾的应急措施</w:t>
            </w:r>
          </w:p>
        </w:tc>
        <w:tc>
          <w:tcPr>
            <w:tcW w:w="697" w:type="pct"/>
            <w:tcBorders>
              <w:tl2br w:val="nil"/>
              <w:tr2bl w:val="nil"/>
            </w:tcBorders>
            <w:noWrap/>
            <w:vAlign w:val="center"/>
          </w:tcPr>
          <w:p w14:paraId="66B76A98">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1次/半年</w:t>
            </w:r>
          </w:p>
        </w:tc>
        <w:tc>
          <w:tcPr>
            <w:tcW w:w="986" w:type="pct"/>
            <w:tcBorders>
              <w:tl2br w:val="nil"/>
              <w:tr2bl w:val="nil"/>
            </w:tcBorders>
            <w:noWrap/>
            <w:vAlign w:val="center"/>
          </w:tcPr>
          <w:p w14:paraId="696068F8">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862" w:type="pct"/>
            <w:tcBorders>
              <w:tl2br w:val="nil"/>
              <w:tr2bl w:val="nil"/>
            </w:tcBorders>
            <w:noWrap/>
            <w:vAlign w:val="center"/>
          </w:tcPr>
          <w:p w14:paraId="23AAD65C">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000" w:type="pct"/>
            <w:tcBorders>
              <w:tl2br w:val="nil"/>
              <w:tr2bl w:val="nil"/>
            </w:tcBorders>
            <w:noWrap/>
            <w:vAlign w:val="center"/>
          </w:tcPr>
          <w:p w14:paraId="5F376E15">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r>
      <w:tr w14:paraId="3301B5D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452" w:type="pct"/>
            <w:tcBorders>
              <w:tl2br w:val="nil"/>
              <w:tr2bl w:val="nil"/>
            </w:tcBorders>
            <w:noWrap/>
            <w:vAlign w:val="center"/>
          </w:tcPr>
          <w:p w14:paraId="06B8F82B">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事故废水的应急处置演练</w:t>
            </w:r>
          </w:p>
        </w:tc>
        <w:tc>
          <w:tcPr>
            <w:tcW w:w="697" w:type="pct"/>
            <w:tcBorders>
              <w:tl2br w:val="nil"/>
              <w:tr2bl w:val="nil"/>
            </w:tcBorders>
            <w:noWrap/>
            <w:vAlign w:val="center"/>
          </w:tcPr>
          <w:p w14:paraId="32841AF4">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1次/半年</w:t>
            </w:r>
          </w:p>
        </w:tc>
        <w:tc>
          <w:tcPr>
            <w:tcW w:w="986" w:type="pct"/>
            <w:tcBorders>
              <w:tl2br w:val="nil"/>
              <w:tr2bl w:val="nil"/>
            </w:tcBorders>
            <w:noWrap/>
            <w:vAlign w:val="center"/>
          </w:tcPr>
          <w:p w14:paraId="4CE6AD3C">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862" w:type="pct"/>
            <w:tcBorders>
              <w:tl2br w:val="nil"/>
              <w:tr2bl w:val="nil"/>
            </w:tcBorders>
            <w:noWrap/>
            <w:vAlign w:val="center"/>
          </w:tcPr>
          <w:p w14:paraId="086C7A1F">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000" w:type="pct"/>
            <w:tcBorders>
              <w:tl2br w:val="nil"/>
              <w:tr2bl w:val="nil"/>
            </w:tcBorders>
            <w:noWrap/>
            <w:vAlign w:val="center"/>
          </w:tcPr>
          <w:p w14:paraId="68BCD08B">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r>
      <w:tr w14:paraId="60E4E85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452" w:type="pct"/>
            <w:tcBorders>
              <w:tl2br w:val="nil"/>
              <w:tr2bl w:val="nil"/>
            </w:tcBorders>
            <w:noWrap/>
            <w:vAlign w:val="center"/>
          </w:tcPr>
          <w:p w14:paraId="03B2F7C9">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697" w:type="pct"/>
            <w:tcBorders>
              <w:tl2br w:val="nil"/>
              <w:tr2bl w:val="nil"/>
            </w:tcBorders>
            <w:noWrap/>
            <w:vAlign w:val="center"/>
          </w:tcPr>
          <w:p w14:paraId="59367B95">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986" w:type="pct"/>
            <w:tcBorders>
              <w:tl2br w:val="nil"/>
              <w:tr2bl w:val="nil"/>
            </w:tcBorders>
            <w:noWrap/>
            <w:vAlign w:val="center"/>
          </w:tcPr>
          <w:p w14:paraId="3071D2AB">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862" w:type="pct"/>
            <w:tcBorders>
              <w:tl2br w:val="nil"/>
              <w:tr2bl w:val="nil"/>
            </w:tcBorders>
            <w:noWrap/>
            <w:vAlign w:val="center"/>
          </w:tcPr>
          <w:p w14:paraId="5B5489AF">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000" w:type="pct"/>
            <w:tcBorders>
              <w:tl2br w:val="nil"/>
              <w:tr2bl w:val="nil"/>
            </w:tcBorders>
            <w:noWrap/>
            <w:vAlign w:val="center"/>
          </w:tcPr>
          <w:p w14:paraId="75A9C725">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r>
      <w:tr w14:paraId="38298F7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452" w:type="pct"/>
            <w:tcBorders>
              <w:tl2br w:val="nil"/>
              <w:tr2bl w:val="nil"/>
            </w:tcBorders>
            <w:noWrap/>
            <w:vAlign w:val="center"/>
          </w:tcPr>
          <w:p w14:paraId="32E52F6E">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697" w:type="pct"/>
            <w:tcBorders>
              <w:tl2br w:val="nil"/>
              <w:tr2bl w:val="nil"/>
            </w:tcBorders>
            <w:noWrap/>
            <w:vAlign w:val="center"/>
          </w:tcPr>
          <w:p w14:paraId="3FD0EAA3">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986" w:type="pct"/>
            <w:tcBorders>
              <w:tl2br w:val="nil"/>
              <w:tr2bl w:val="nil"/>
            </w:tcBorders>
            <w:noWrap/>
            <w:vAlign w:val="center"/>
          </w:tcPr>
          <w:p w14:paraId="36850F39">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862" w:type="pct"/>
            <w:tcBorders>
              <w:tl2br w:val="nil"/>
              <w:tr2bl w:val="nil"/>
            </w:tcBorders>
            <w:noWrap/>
            <w:vAlign w:val="center"/>
          </w:tcPr>
          <w:p w14:paraId="3EE3C1A9">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000" w:type="pct"/>
            <w:tcBorders>
              <w:tl2br w:val="nil"/>
              <w:tr2bl w:val="nil"/>
            </w:tcBorders>
            <w:noWrap/>
            <w:vAlign w:val="center"/>
          </w:tcPr>
          <w:p w14:paraId="66EB019D">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r>
      <w:tr w14:paraId="54531B3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452" w:type="pct"/>
            <w:tcBorders>
              <w:tl2br w:val="nil"/>
              <w:tr2bl w:val="nil"/>
            </w:tcBorders>
            <w:noWrap/>
            <w:vAlign w:val="center"/>
          </w:tcPr>
          <w:p w14:paraId="61EB42B6">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697" w:type="pct"/>
            <w:tcBorders>
              <w:tl2br w:val="nil"/>
              <w:tr2bl w:val="nil"/>
            </w:tcBorders>
            <w:noWrap/>
            <w:vAlign w:val="center"/>
          </w:tcPr>
          <w:p w14:paraId="69D1489B">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986" w:type="pct"/>
            <w:tcBorders>
              <w:tl2br w:val="nil"/>
              <w:tr2bl w:val="nil"/>
            </w:tcBorders>
            <w:noWrap/>
            <w:vAlign w:val="center"/>
          </w:tcPr>
          <w:p w14:paraId="7496C67E">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862" w:type="pct"/>
            <w:tcBorders>
              <w:tl2br w:val="nil"/>
              <w:tr2bl w:val="nil"/>
            </w:tcBorders>
            <w:noWrap/>
            <w:vAlign w:val="center"/>
          </w:tcPr>
          <w:p w14:paraId="300D6DF8">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000" w:type="pct"/>
            <w:tcBorders>
              <w:tl2br w:val="nil"/>
              <w:tr2bl w:val="nil"/>
            </w:tcBorders>
            <w:noWrap/>
            <w:vAlign w:val="center"/>
          </w:tcPr>
          <w:p w14:paraId="1955A30F">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r>
      <w:tr w14:paraId="4891E8D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452" w:type="pct"/>
            <w:tcBorders>
              <w:tl2br w:val="nil"/>
              <w:tr2bl w:val="nil"/>
            </w:tcBorders>
            <w:noWrap/>
            <w:vAlign w:val="center"/>
          </w:tcPr>
          <w:p w14:paraId="4DF980A7">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697" w:type="pct"/>
            <w:tcBorders>
              <w:tl2br w:val="nil"/>
              <w:tr2bl w:val="nil"/>
            </w:tcBorders>
            <w:noWrap/>
            <w:vAlign w:val="center"/>
          </w:tcPr>
          <w:p w14:paraId="0AAD95DA">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986" w:type="pct"/>
            <w:tcBorders>
              <w:tl2br w:val="nil"/>
              <w:tr2bl w:val="nil"/>
            </w:tcBorders>
            <w:noWrap/>
            <w:vAlign w:val="center"/>
          </w:tcPr>
          <w:p w14:paraId="7A31623A">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862" w:type="pct"/>
            <w:tcBorders>
              <w:tl2br w:val="nil"/>
              <w:tr2bl w:val="nil"/>
            </w:tcBorders>
            <w:noWrap/>
            <w:vAlign w:val="center"/>
          </w:tcPr>
          <w:p w14:paraId="7812DE6F">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000" w:type="pct"/>
            <w:tcBorders>
              <w:tl2br w:val="nil"/>
              <w:tr2bl w:val="nil"/>
            </w:tcBorders>
            <w:noWrap/>
            <w:vAlign w:val="center"/>
          </w:tcPr>
          <w:p w14:paraId="55D0CF0F">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r>
      <w:tr w14:paraId="047EF39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452" w:type="pct"/>
            <w:tcBorders>
              <w:tl2br w:val="nil"/>
              <w:tr2bl w:val="nil"/>
            </w:tcBorders>
            <w:noWrap/>
            <w:vAlign w:val="center"/>
          </w:tcPr>
          <w:p w14:paraId="004B231D">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697" w:type="pct"/>
            <w:tcBorders>
              <w:tl2br w:val="nil"/>
              <w:tr2bl w:val="nil"/>
            </w:tcBorders>
            <w:noWrap/>
            <w:vAlign w:val="center"/>
          </w:tcPr>
          <w:p w14:paraId="7148DF5C">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986" w:type="pct"/>
            <w:tcBorders>
              <w:tl2br w:val="nil"/>
              <w:tr2bl w:val="nil"/>
            </w:tcBorders>
            <w:noWrap/>
            <w:vAlign w:val="center"/>
          </w:tcPr>
          <w:p w14:paraId="3C9232F4">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862" w:type="pct"/>
            <w:tcBorders>
              <w:tl2br w:val="nil"/>
              <w:tr2bl w:val="nil"/>
            </w:tcBorders>
            <w:noWrap/>
            <w:vAlign w:val="center"/>
          </w:tcPr>
          <w:p w14:paraId="71E3A807">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000" w:type="pct"/>
            <w:tcBorders>
              <w:tl2br w:val="nil"/>
              <w:tr2bl w:val="nil"/>
            </w:tcBorders>
            <w:noWrap/>
            <w:vAlign w:val="center"/>
          </w:tcPr>
          <w:p w14:paraId="7F34E704">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r>
      <w:tr w14:paraId="23C8763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452" w:type="pct"/>
            <w:tcBorders>
              <w:tl2br w:val="nil"/>
              <w:tr2bl w:val="nil"/>
            </w:tcBorders>
            <w:noWrap/>
            <w:vAlign w:val="center"/>
          </w:tcPr>
          <w:p w14:paraId="40984159">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697" w:type="pct"/>
            <w:tcBorders>
              <w:tl2br w:val="nil"/>
              <w:tr2bl w:val="nil"/>
            </w:tcBorders>
            <w:noWrap/>
            <w:vAlign w:val="center"/>
          </w:tcPr>
          <w:p w14:paraId="2BEACB1A">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986" w:type="pct"/>
            <w:tcBorders>
              <w:tl2br w:val="nil"/>
              <w:tr2bl w:val="nil"/>
            </w:tcBorders>
            <w:noWrap/>
            <w:vAlign w:val="center"/>
          </w:tcPr>
          <w:p w14:paraId="0FF82D67">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862" w:type="pct"/>
            <w:tcBorders>
              <w:tl2br w:val="nil"/>
              <w:tr2bl w:val="nil"/>
            </w:tcBorders>
            <w:noWrap/>
            <w:vAlign w:val="center"/>
          </w:tcPr>
          <w:p w14:paraId="6D85D34B">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000" w:type="pct"/>
            <w:tcBorders>
              <w:tl2br w:val="nil"/>
              <w:tr2bl w:val="nil"/>
            </w:tcBorders>
            <w:noWrap/>
            <w:vAlign w:val="center"/>
          </w:tcPr>
          <w:p w14:paraId="0A29953F">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r>
      <w:tr w14:paraId="7CECC7A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452" w:type="pct"/>
            <w:tcBorders>
              <w:tl2br w:val="nil"/>
              <w:tr2bl w:val="nil"/>
            </w:tcBorders>
            <w:noWrap/>
            <w:vAlign w:val="center"/>
          </w:tcPr>
          <w:p w14:paraId="0E5F6AF8">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697" w:type="pct"/>
            <w:tcBorders>
              <w:tl2br w:val="nil"/>
              <w:tr2bl w:val="nil"/>
            </w:tcBorders>
            <w:noWrap/>
            <w:vAlign w:val="center"/>
          </w:tcPr>
          <w:p w14:paraId="51404F5F">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986" w:type="pct"/>
            <w:tcBorders>
              <w:tl2br w:val="nil"/>
              <w:tr2bl w:val="nil"/>
            </w:tcBorders>
            <w:noWrap/>
            <w:vAlign w:val="center"/>
          </w:tcPr>
          <w:p w14:paraId="21D1B3BA">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862" w:type="pct"/>
            <w:tcBorders>
              <w:tl2br w:val="nil"/>
              <w:tr2bl w:val="nil"/>
            </w:tcBorders>
            <w:noWrap/>
            <w:vAlign w:val="center"/>
          </w:tcPr>
          <w:p w14:paraId="0BAADEC0">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000" w:type="pct"/>
            <w:tcBorders>
              <w:tl2br w:val="nil"/>
              <w:tr2bl w:val="nil"/>
            </w:tcBorders>
            <w:noWrap/>
            <w:vAlign w:val="center"/>
          </w:tcPr>
          <w:p w14:paraId="2550A448">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r>
      <w:tr w14:paraId="5DEF37B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452" w:type="pct"/>
            <w:tcBorders>
              <w:tl2br w:val="nil"/>
              <w:tr2bl w:val="nil"/>
            </w:tcBorders>
            <w:noWrap/>
            <w:vAlign w:val="center"/>
          </w:tcPr>
          <w:p w14:paraId="789231B5">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697" w:type="pct"/>
            <w:tcBorders>
              <w:tl2br w:val="nil"/>
              <w:tr2bl w:val="nil"/>
            </w:tcBorders>
            <w:noWrap/>
            <w:vAlign w:val="center"/>
          </w:tcPr>
          <w:p w14:paraId="671C9F61">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986" w:type="pct"/>
            <w:tcBorders>
              <w:tl2br w:val="nil"/>
              <w:tr2bl w:val="nil"/>
            </w:tcBorders>
            <w:noWrap/>
            <w:vAlign w:val="center"/>
          </w:tcPr>
          <w:p w14:paraId="6290BD92">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862" w:type="pct"/>
            <w:tcBorders>
              <w:tl2br w:val="nil"/>
              <w:tr2bl w:val="nil"/>
            </w:tcBorders>
            <w:noWrap/>
            <w:vAlign w:val="center"/>
          </w:tcPr>
          <w:p w14:paraId="21111DD8">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000" w:type="pct"/>
            <w:tcBorders>
              <w:tl2br w:val="nil"/>
              <w:tr2bl w:val="nil"/>
            </w:tcBorders>
            <w:noWrap/>
            <w:vAlign w:val="center"/>
          </w:tcPr>
          <w:p w14:paraId="2D7D1FB9">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r>
      <w:tr w14:paraId="22DA013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452" w:type="pct"/>
            <w:tcBorders>
              <w:tl2br w:val="nil"/>
              <w:tr2bl w:val="nil"/>
            </w:tcBorders>
            <w:noWrap/>
            <w:vAlign w:val="center"/>
          </w:tcPr>
          <w:p w14:paraId="61D8C9EF">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697" w:type="pct"/>
            <w:tcBorders>
              <w:tl2br w:val="nil"/>
              <w:tr2bl w:val="nil"/>
            </w:tcBorders>
            <w:noWrap/>
            <w:vAlign w:val="center"/>
          </w:tcPr>
          <w:p w14:paraId="2433FC5A">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986" w:type="pct"/>
            <w:tcBorders>
              <w:tl2br w:val="nil"/>
              <w:tr2bl w:val="nil"/>
            </w:tcBorders>
            <w:noWrap/>
            <w:vAlign w:val="center"/>
          </w:tcPr>
          <w:p w14:paraId="4124E707">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862" w:type="pct"/>
            <w:tcBorders>
              <w:tl2br w:val="nil"/>
              <w:tr2bl w:val="nil"/>
            </w:tcBorders>
            <w:noWrap/>
            <w:vAlign w:val="center"/>
          </w:tcPr>
          <w:p w14:paraId="35606C78">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000" w:type="pct"/>
            <w:tcBorders>
              <w:tl2br w:val="nil"/>
              <w:tr2bl w:val="nil"/>
            </w:tcBorders>
            <w:noWrap/>
            <w:vAlign w:val="center"/>
          </w:tcPr>
          <w:p w14:paraId="2B7E5B05">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r>
      <w:tr w14:paraId="0FF05FD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452" w:type="pct"/>
            <w:tcBorders>
              <w:tl2br w:val="nil"/>
              <w:tr2bl w:val="nil"/>
            </w:tcBorders>
            <w:noWrap/>
            <w:vAlign w:val="center"/>
          </w:tcPr>
          <w:p w14:paraId="63CC431B">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697" w:type="pct"/>
            <w:tcBorders>
              <w:tl2br w:val="nil"/>
              <w:tr2bl w:val="nil"/>
            </w:tcBorders>
            <w:noWrap/>
            <w:vAlign w:val="center"/>
          </w:tcPr>
          <w:p w14:paraId="7B34F505">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986" w:type="pct"/>
            <w:tcBorders>
              <w:tl2br w:val="nil"/>
              <w:tr2bl w:val="nil"/>
            </w:tcBorders>
            <w:noWrap/>
            <w:vAlign w:val="center"/>
          </w:tcPr>
          <w:p w14:paraId="1C6A97E3">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862" w:type="pct"/>
            <w:tcBorders>
              <w:tl2br w:val="nil"/>
              <w:tr2bl w:val="nil"/>
            </w:tcBorders>
            <w:noWrap/>
            <w:vAlign w:val="center"/>
          </w:tcPr>
          <w:p w14:paraId="122767AE">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000" w:type="pct"/>
            <w:tcBorders>
              <w:tl2br w:val="nil"/>
              <w:tr2bl w:val="nil"/>
            </w:tcBorders>
            <w:noWrap/>
            <w:vAlign w:val="center"/>
          </w:tcPr>
          <w:p w14:paraId="2CF92A58">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r>
      <w:tr w14:paraId="19AEA29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452" w:type="pct"/>
            <w:tcBorders>
              <w:tl2br w:val="nil"/>
              <w:tr2bl w:val="nil"/>
            </w:tcBorders>
            <w:noWrap/>
            <w:vAlign w:val="center"/>
          </w:tcPr>
          <w:p w14:paraId="24ABA560">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697" w:type="pct"/>
            <w:tcBorders>
              <w:tl2br w:val="nil"/>
              <w:tr2bl w:val="nil"/>
            </w:tcBorders>
            <w:noWrap/>
            <w:vAlign w:val="center"/>
          </w:tcPr>
          <w:p w14:paraId="62820A0C">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986" w:type="pct"/>
            <w:tcBorders>
              <w:tl2br w:val="nil"/>
              <w:tr2bl w:val="nil"/>
            </w:tcBorders>
            <w:noWrap/>
            <w:vAlign w:val="center"/>
          </w:tcPr>
          <w:p w14:paraId="313A25B9">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862" w:type="pct"/>
            <w:tcBorders>
              <w:tl2br w:val="nil"/>
              <w:tr2bl w:val="nil"/>
            </w:tcBorders>
            <w:noWrap/>
            <w:vAlign w:val="center"/>
          </w:tcPr>
          <w:p w14:paraId="4D619292">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000" w:type="pct"/>
            <w:tcBorders>
              <w:tl2br w:val="nil"/>
              <w:tr2bl w:val="nil"/>
            </w:tcBorders>
            <w:noWrap/>
            <w:vAlign w:val="center"/>
          </w:tcPr>
          <w:p w14:paraId="32B58A7A">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r>
      <w:tr w14:paraId="789BA9E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452" w:type="pct"/>
            <w:tcBorders>
              <w:tl2br w:val="nil"/>
              <w:tr2bl w:val="nil"/>
            </w:tcBorders>
            <w:noWrap/>
            <w:vAlign w:val="center"/>
          </w:tcPr>
          <w:p w14:paraId="603F187F">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697" w:type="pct"/>
            <w:tcBorders>
              <w:tl2br w:val="nil"/>
              <w:tr2bl w:val="nil"/>
            </w:tcBorders>
            <w:noWrap/>
            <w:vAlign w:val="center"/>
          </w:tcPr>
          <w:p w14:paraId="736F009C">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986" w:type="pct"/>
            <w:tcBorders>
              <w:tl2br w:val="nil"/>
              <w:tr2bl w:val="nil"/>
            </w:tcBorders>
            <w:noWrap/>
            <w:vAlign w:val="center"/>
          </w:tcPr>
          <w:p w14:paraId="0CA8569F">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862" w:type="pct"/>
            <w:tcBorders>
              <w:tl2br w:val="nil"/>
              <w:tr2bl w:val="nil"/>
            </w:tcBorders>
            <w:noWrap/>
            <w:vAlign w:val="center"/>
          </w:tcPr>
          <w:p w14:paraId="14D15F74">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000" w:type="pct"/>
            <w:tcBorders>
              <w:tl2br w:val="nil"/>
              <w:tr2bl w:val="nil"/>
            </w:tcBorders>
            <w:noWrap/>
            <w:vAlign w:val="center"/>
          </w:tcPr>
          <w:p w14:paraId="52C411EA">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r>
      <w:tr w14:paraId="666947F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452" w:type="pct"/>
            <w:tcBorders>
              <w:tl2br w:val="nil"/>
              <w:tr2bl w:val="nil"/>
            </w:tcBorders>
            <w:noWrap/>
            <w:vAlign w:val="center"/>
          </w:tcPr>
          <w:p w14:paraId="0135B158">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697" w:type="pct"/>
            <w:tcBorders>
              <w:tl2br w:val="nil"/>
              <w:tr2bl w:val="nil"/>
            </w:tcBorders>
            <w:noWrap/>
            <w:vAlign w:val="center"/>
          </w:tcPr>
          <w:p w14:paraId="55FBCE80">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986" w:type="pct"/>
            <w:tcBorders>
              <w:tl2br w:val="nil"/>
              <w:tr2bl w:val="nil"/>
            </w:tcBorders>
            <w:noWrap/>
            <w:vAlign w:val="center"/>
          </w:tcPr>
          <w:p w14:paraId="6562B48C">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862" w:type="pct"/>
            <w:tcBorders>
              <w:tl2br w:val="nil"/>
              <w:tr2bl w:val="nil"/>
            </w:tcBorders>
            <w:noWrap/>
            <w:vAlign w:val="center"/>
          </w:tcPr>
          <w:p w14:paraId="566A992F">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000" w:type="pct"/>
            <w:tcBorders>
              <w:tl2br w:val="nil"/>
              <w:tr2bl w:val="nil"/>
            </w:tcBorders>
            <w:noWrap/>
            <w:vAlign w:val="center"/>
          </w:tcPr>
          <w:p w14:paraId="3E112CF7">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r>
      <w:tr w14:paraId="48CE888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452" w:type="pct"/>
            <w:tcBorders>
              <w:tl2br w:val="nil"/>
              <w:tr2bl w:val="nil"/>
            </w:tcBorders>
            <w:noWrap/>
            <w:vAlign w:val="center"/>
          </w:tcPr>
          <w:p w14:paraId="18454822">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697" w:type="pct"/>
            <w:tcBorders>
              <w:tl2br w:val="nil"/>
              <w:tr2bl w:val="nil"/>
            </w:tcBorders>
            <w:noWrap/>
            <w:vAlign w:val="center"/>
          </w:tcPr>
          <w:p w14:paraId="2F0D390A">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986" w:type="pct"/>
            <w:tcBorders>
              <w:tl2br w:val="nil"/>
              <w:tr2bl w:val="nil"/>
            </w:tcBorders>
            <w:noWrap/>
            <w:vAlign w:val="center"/>
          </w:tcPr>
          <w:p w14:paraId="02149579">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862" w:type="pct"/>
            <w:tcBorders>
              <w:tl2br w:val="nil"/>
              <w:tr2bl w:val="nil"/>
            </w:tcBorders>
            <w:noWrap/>
            <w:vAlign w:val="center"/>
          </w:tcPr>
          <w:p w14:paraId="51F93C9D">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000" w:type="pct"/>
            <w:tcBorders>
              <w:tl2br w:val="nil"/>
              <w:tr2bl w:val="nil"/>
            </w:tcBorders>
            <w:noWrap/>
            <w:vAlign w:val="center"/>
          </w:tcPr>
          <w:p w14:paraId="1B4AF9F6">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r>
      <w:tr w14:paraId="1293029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452" w:type="pct"/>
            <w:tcBorders>
              <w:tl2br w:val="nil"/>
              <w:tr2bl w:val="nil"/>
            </w:tcBorders>
            <w:noWrap/>
            <w:vAlign w:val="center"/>
          </w:tcPr>
          <w:p w14:paraId="7D2A5D72">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697" w:type="pct"/>
            <w:tcBorders>
              <w:tl2br w:val="nil"/>
              <w:tr2bl w:val="nil"/>
            </w:tcBorders>
            <w:noWrap/>
            <w:vAlign w:val="center"/>
          </w:tcPr>
          <w:p w14:paraId="312A5588">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986" w:type="pct"/>
            <w:tcBorders>
              <w:tl2br w:val="nil"/>
              <w:tr2bl w:val="nil"/>
            </w:tcBorders>
            <w:noWrap/>
            <w:vAlign w:val="center"/>
          </w:tcPr>
          <w:p w14:paraId="602B886D">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862" w:type="pct"/>
            <w:tcBorders>
              <w:tl2br w:val="nil"/>
              <w:tr2bl w:val="nil"/>
            </w:tcBorders>
            <w:noWrap/>
            <w:vAlign w:val="center"/>
          </w:tcPr>
          <w:p w14:paraId="51817D36">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000" w:type="pct"/>
            <w:tcBorders>
              <w:tl2br w:val="nil"/>
              <w:tr2bl w:val="nil"/>
            </w:tcBorders>
            <w:noWrap/>
            <w:vAlign w:val="center"/>
          </w:tcPr>
          <w:p w14:paraId="4F66FB8E">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r>
      <w:tr w14:paraId="563B9D4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452" w:type="pct"/>
            <w:tcBorders>
              <w:tl2br w:val="nil"/>
              <w:tr2bl w:val="nil"/>
            </w:tcBorders>
            <w:noWrap/>
            <w:vAlign w:val="center"/>
          </w:tcPr>
          <w:p w14:paraId="10BB932C">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697" w:type="pct"/>
            <w:tcBorders>
              <w:tl2br w:val="nil"/>
              <w:tr2bl w:val="nil"/>
            </w:tcBorders>
            <w:noWrap/>
            <w:vAlign w:val="center"/>
          </w:tcPr>
          <w:p w14:paraId="5F72BF9D">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986" w:type="pct"/>
            <w:tcBorders>
              <w:tl2br w:val="nil"/>
              <w:tr2bl w:val="nil"/>
            </w:tcBorders>
            <w:noWrap/>
            <w:vAlign w:val="center"/>
          </w:tcPr>
          <w:p w14:paraId="79883F62">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862" w:type="pct"/>
            <w:tcBorders>
              <w:tl2br w:val="nil"/>
              <w:tr2bl w:val="nil"/>
            </w:tcBorders>
            <w:noWrap/>
            <w:vAlign w:val="center"/>
          </w:tcPr>
          <w:p w14:paraId="615DF305">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000" w:type="pct"/>
            <w:tcBorders>
              <w:tl2br w:val="nil"/>
              <w:tr2bl w:val="nil"/>
            </w:tcBorders>
            <w:noWrap/>
            <w:vAlign w:val="center"/>
          </w:tcPr>
          <w:p w14:paraId="707E8F93">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r>
      <w:tr w14:paraId="7142FC5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452" w:type="pct"/>
            <w:tcBorders>
              <w:tl2br w:val="nil"/>
              <w:tr2bl w:val="nil"/>
            </w:tcBorders>
            <w:noWrap/>
            <w:vAlign w:val="center"/>
          </w:tcPr>
          <w:p w14:paraId="74F324FC">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697" w:type="pct"/>
            <w:tcBorders>
              <w:tl2br w:val="nil"/>
              <w:tr2bl w:val="nil"/>
            </w:tcBorders>
            <w:noWrap/>
            <w:vAlign w:val="center"/>
          </w:tcPr>
          <w:p w14:paraId="6377AA8D">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986" w:type="pct"/>
            <w:tcBorders>
              <w:tl2br w:val="nil"/>
              <w:tr2bl w:val="nil"/>
            </w:tcBorders>
            <w:noWrap/>
            <w:vAlign w:val="center"/>
          </w:tcPr>
          <w:p w14:paraId="5CC5F026">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862" w:type="pct"/>
            <w:tcBorders>
              <w:tl2br w:val="nil"/>
              <w:tr2bl w:val="nil"/>
            </w:tcBorders>
            <w:noWrap/>
            <w:vAlign w:val="center"/>
          </w:tcPr>
          <w:p w14:paraId="62A9DFB7">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000" w:type="pct"/>
            <w:tcBorders>
              <w:tl2br w:val="nil"/>
              <w:tr2bl w:val="nil"/>
            </w:tcBorders>
            <w:noWrap/>
            <w:vAlign w:val="center"/>
          </w:tcPr>
          <w:p w14:paraId="02D13DCB">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r>
      <w:tr w14:paraId="3EBA3B7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452" w:type="pct"/>
            <w:tcBorders>
              <w:tl2br w:val="nil"/>
              <w:tr2bl w:val="nil"/>
            </w:tcBorders>
            <w:noWrap/>
            <w:vAlign w:val="center"/>
          </w:tcPr>
          <w:p w14:paraId="7E093388">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697" w:type="pct"/>
            <w:tcBorders>
              <w:tl2br w:val="nil"/>
              <w:tr2bl w:val="nil"/>
            </w:tcBorders>
            <w:noWrap/>
            <w:vAlign w:val="center"/>
          </w:tcPr>
          <w:p w14:paraId="129C8D53">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986" w:type="pct"/>
            <w:tcBorders>
              <w:tl2br w:val="nil"/>
              <w:tr2bl w:val="nil"/>
            </w:tcBorders>
            <w:noWrap/>
            <w:vAlign w:val="center"/>
          </w:tcPr>
          <w:p w14:paraId="044ACC9D">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862" w:type="pct"/>
            <w:tcBorders>
              <w:tl2br w:val="nil"/>
              <w:tr2bl w:val="nil"/>
            </w:tcBorders>
            <w:noWrap/>
            <w:vAlign w:val="center"/>
          </w:tcPr>
          <w:p w14:paraId="1A0F4A74">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000" w:type="pct"/>
            <w:tcBorders>
              <w:tl2br w:val="nil"/>
              <w:tr2bl w:val="nil"/>
            </w:tcBorders>
            <w:noWrap/>
            <w:vAlign w:val="center"/>
          </w:tcPr>
          <w:p w14:paraId="74350A7D">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r>
      <w:tr w14:paraId="50BC7BA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452" w:type="pct"/>
            <w:tcBorders>
              <w:tl2br w:val="nil"/>
              <w:tr2bl w:val="nil"/>
            </w:tcBorders>
            <w:noWrap/>
            <w:vAlign w:val="center"/>
          </w:tcPr>
          <w:p w14:paraId="3D5006FE">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697" w:type="pct"/>
            <w:tcBorders>
              <w:tl2br w:val="nil"/>
              <w:tr2bl w:val="nil"/>
            </w:tcBorders>
            <w:noWrap/>
            <w:vAlign w:val="center"/>
          </w:tcPr>
          <w:p w14:paraId="20E5B4D8">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986" w:type="pct"/>
            <w:tcBorders>
              <w:tl2br w:val="nil"/>
              <w:tr2bl w:val="nil"/>
            </w:tcBorders>
            <w:noWrap/>
            <w:vAlign w:val="center"/>
          </w:tcPr>
          <w:p w14:paraId="34963769">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862" w:type="pct"/>
            <w:tcBorders>
              <w:tl2br w:val="nil"/>
              <w:tr2bl w:val="nil"/>
            </w:tcBorders>
            <w:noWrap/>
            <w:vAlign w:val="center"/>
          </w:tcPr>
          <w:p w14:paraId="3DEBB61E">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000" w:type="pct"/>
            <w:tcBorders>
              <w:tl2br w:val="nil"/>
              <w:tr2bl w:val="nil"/>
            </w:tcBorders>
            <w:noWrap/>
            <w:vAlign w:val="center"/>
          </w:tcPr>
          <w:p w14:paraId="76334A6F">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r>
      <w:tr w14:paraId="503BCA8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452" w:type="pct"/>
            <w:tcBorders>
              <w:tl2br w:val="nil"/>
              <w:tr2bl w:val="nil"/>
            </w:tcBorders>
            <w:noWrap/>
            <w:vAlign w:val="center"/>
          </w:tcPr>
          <w:p w14:paraId="0A0B0A19">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697" w:type="pct"/>
            <w:tcBorders>
              <w:tl2br w:val="nil"/>
              <w:tr2bl w:val="nil"/>
            </w:tcBorders>
            <w:noWrap/>
            <w:vAlign w:val="center"/>
          </w:tcPr>
          <w:p w14:paraId="09EFA786">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986" w:type="pct"/>
            <w:tcBorders>
              <w:tl2br w:val="nil"/>
              <w:tr2bl w:val="nil"/>
            </w:tcBorders>
            <w:noWrap/>
            <w:vAlign w:val="center"/>
          </w:tcPr>
          <w:p w14:paraId="0937E05F">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862" w:type="pct"/>
            <w:tcBorders>
              <w:tl2br w:val="nil"/>
              <w:tr2bl w:val="nil"/>
            </w:tcBorders>
            <w:noWrap/>
            <w:vAlign w:val="center"/>
          </w:tcPr>
          <w:p w14:paraId="2EEE60D6">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000" w:type="pct"/>
            <w:tcBorders>
              <w:tl2br w:val="nil"/>
              <w:tr2bl w:val="nil"/>
            </w:tcBorders>
            <w:noWrap/>
            <w:vAlign w:val="center"/>
          </w:tcPr>
          <w:p w14:paraId="74705A77">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r>
      <w:tr w14:paraId="770E1CB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452" w:type="pct"/>
            <w:tcBorders>
              <w:tl2br w:val="nil"/>
              <w:tr2bl w:val="nil"/>
            </w:tcBorders>
            <w:noWrap/>
            <w:vAlign w:val="center"/>
          </w:tcPr>
          <w:p w14:paraId="30D8EC65">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697" w:type="pct"/>
            <w:tcBorders>
              <w:tl2br w:val="nil"/>
              <w:tr2bl w:val="nil"/>
            </w:tcBorders>
            <w:noWrap/>
            <w:vAlign w:val="center"/>
          </w:tcPr>
          <w:p w14:paraId="318EEF9B">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986" w:type="pct"/>
            <w:tcBorders>
              <w:tl2br w:val="nil"/>
              <w:tr2bl w:val="nil"/>
            </w:tcBorders>
            <w:noWrap/>
            <w:vAlign w:val="center"/>
          </w:tcPr>
          <w:p w14:paraId="62672454">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862" w:type="pct"/>
            <w:tcBorders>
              <w:tl2br w:val="nil"/>
              <w:tr2bl w:val="nil"/>
            </w:tcBorders>
            <w:noWrap/>
            <w:vAlign w:val="center"/>
          </w:tcPr>
          <w:p w14:paraId="1DBDC1D8">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000" w:type="pct"/>
            <w:tcBorders>
              <w:tl2br w:val="nil"/>
              <w:tr2bl w:val="nil"/>
            </w:tcBorders>
            <w:noWrap/>
            <w:vAlign w:val="center"/>
          </w:tcPr>
          <w:p w14:paraId="5059D7E0">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r>
      <w:tr w14:paraId="394708B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452" w:type="pct"/>
            <w:tcBorders>
              <w:tl2br w:val="nil"/>
              <w:tr2bl w:val="nil"/>
            </w:tcBorders>
            <w:noWrap/>
            <w:vAlign w:val="center"/>
          </w:tcPr>
          <w:p w14:paraId="7D09721A">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697" w:type="pct"/>
            <w:tcBorders>
              <w:tl2br w:val="nil"/>
              <w:tr2bl w:val="nil"/>
            </w:tcBorders>
            <w:noWrap/>
            <w:vAlign w:val="center"/>
          </w:tcPr>
          <w:p w14:paraId="3216B848">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986" w:type="pct"/>
            <w:tcBorders>
              <w:tl2br w:val="nil"/>
              <w:tr2bl w:val="nil"/>
            </w:tcBorders>
            <w:noWrap/>
            <w:vAlign w:val="center"/>
          </w:tcPr>
          <w:p w14:paraId="522ACAE7">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862" w:type="pct"/>
            <w:tcBorders>
              <w:tl2br w:val="nil"/>
              <w:tr2bl w:val="nil"/>
            </w:tcBorders>
            <w:noWrap/>
            <w:vAlign w:val="center"/>
          </w:tcPr>
          <w:p w14:paraId="742ADCC4">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000" w:type="pct"/>
            <w:tcBorders>
              <w:tl2br w:val="nil"/>
              <w:tr2bl w:val="nil"/>
            </w:tcBorders>
            <w:noWrap/>
            <w:vAlign w:val="center"/>
          </w:tcPr>
          <w:p w14:paraId="568D3AAF">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r>
      <w:tr w14:paraId="4869DAD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452" w:type="pct"/>
            <w:tcBorders>
              <w:tl2br w:val="nil"/>
              <w:tr2bl w:val="nil"/>
            </w:tcBorders>
            <w:noWrap/>
            <w:vAlign w:val="center"/>
          </w:tcPr>
          <w:p w14:paraId="2B8333D6">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697" w:type="pct"/>
            <w:tcBorders>
              <w:tl2br w:val="nil"/>
              <w:tr2bl w:val="nil"/>
            </w:tcBorders>
            <w:noWrap/>
            <w:vAlign w:val="center"/>
          </w:tcPr>
          <w:p w14:paraId="3DE28AAB">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986" w:type="pct"/>
            <w:tcBorders>
              <w:tl2br w:val="nil"/>
              <w:tr2bl w:val="nil"/>
            </w:tcBorders>
            <w:noWrap/>
            <w:vAlign w:val="center"/>
          </w:tcPr>
          <w:p w14:paraId="687813E4">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862" w:type="pct"/>
            <w:tcBorders>
              <w:tl2br w:val="nil"/>
              <w:tr2bl w:val="nil"/>
            </w:tcBorders>
            <w:noWrap/>
            <w:vAlign w:val="center"/>
          </w:tcPr>
          <w:p w14:paraId="59DDADF5">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000" w:type="pct"/>
            <w:tcBorders>
              <w:tl2br w:val="nil"/>
              <w:tr2bl w:val="nil"/>
            </w:tcBorders>
            <w:noWrap/>
            <w:vAlign w:val="center"/>
          </w:tcPr>
          <w:p w14:paraId="521B6D2F">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r>
      <w:tr w14:paraId="66EFC0B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452" w:type="pct"/>
            <w:tcBorders>
              <w:tl2br w:val="nil"/>
              <w:tr2bl w:val="nil"/>
            </w:tcBorders>
            <w:noWrap/>
            <w:vAlign w:val="center"/>
          </w:tcPr>
          <w:p w14:paraId="560A67E9">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697" w:type="pct"/>
            <w:tcBorders>
              <w:tl2br w:val="nil"/>
              <w:tr2bl w:val="nil"/>
            </w:tcBorders>
            <w:noWrap/>
            <w:vAlign w:val="center"/>
          </w:tcPr>
          <w:p w14:paraId="67F9BAD9">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986" w:type="pct"/>
            <w:tcBorders>
              <w:tl2br w:val="nil"/>
              <w:tr2bl w:val="nil"/>
            </w:tcBorders>
            <w:noWrap/>
            <w:vAlign w:val="center"/>
          </w:tcPr>
          <w:p w14:paraId="77B315C2">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862" w:type="pct"/>
            <w:tcBorders>
              <w:tl2br w:val="nil"/>
              <w:tr2bl w:val="nil"/>
            </w:tcBorders>
            <w:noWrap/>
            <w:vAlign w:val="center"/>
          </w:tcPr>
          <w:p w14:paraId="17D9EDE6">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000" w:type="pct"/>
            <w:tcBorders>
              <w:tl2br w:val="nil"/>
              <w:tr2bl w:val="nil"/>
            </w:tcBorders>
            <w:noWrap/>
            <w:vAlign w:val="center"/>
          </w:tcPr>
          <w:p w14:paraId="53D0AC39">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r>
      <w:tr w14:paraId="6900260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452" w:type="pct"/>
            <w:tcBorders>
              <w:tl2br w:val="nil"/>
              <w:tr2bl w:val="nil"/>
            </w:tcBorders>
            <w:noWrap/>
            <w:vAlign w:val="center"/>
          </w:tcPr>
          <w:p w14:paraId="0DC7DBDE">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697" w:type="pct"/>
            <w:tcBorders>
              <w:tl2br w:val="nil"/>
              <w:tr2bl w:val="nil"/>
            </w:tcBorders>
            <w:noWrap/>
            <w:vAlign w:val="center"/>
          </w:tcPr>
          <w:p w14:paraId="44095DD4">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986" w:type="pct"/>
            <w:tcBorders>
              <w:tl2br w:val="nil"/>
              <w:tr2bl w:val="nil"/>
            </w:tcBorders>
            <w:noWrap/>
            <w:vAlign w:val="center"/>
          </w:tcPr>
          <w:p w14:paraId="725CFC68">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862" w:type="pct"/>
            <w:tcBorders>
              <w:tl2br w:val="nil"/>
              <w:tr2bl w:val="nil"/>
            </w:tcBorders>
            <w:noWrap/>
            <w:vAlign w:val="center"/>
          </w:tcPr>
          <w:p w14:paraId="60993FB4">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000" w:type="pct"/>
            <w:tcBorders>
              <w:tl2br w:val="nil"/>
              <w:tr2bl w:val="nil"/>
            </w:tcBorders>
            <w:noWrap/>
            <w:vAlign w:val="center"/>
          </w:tcPr>
          <w:p w14:paraId="0F156BBF">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r>
      <w:tr w14:paraId="5700882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452" w:type="pct"/>
            <w:tcBorders>
              <w:tl2br w:val="nil"/>
              <w:tr2bl w:val="nil"/>
            </w:tcBorders>
            <w:noWrap/>
            <w:vAlign w:val="center"/>
          </w:tcPr>
          <w:p w14:paraId="2DFB5B4F">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697" w:type="pct"/>
            <w:tcBorders>
              <w:tl2br w:val="nil"/>
              <w:tr2bl w:val="nil"/>
            </w:tcBorders>
            <w:noWrap/>
            <w:vAlign w:val="center"/>
          </w:tcPr>
          <w:p w14:paraId="4CD5F2BB">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986" w:type="pct"/>
            <w:tcBorders>
              <w:tl2br w:val="nil"/>
              <w:tr2bl w:val="nil"/>
            </w:tcBorders>
            <w:noWrap/>
            <w:vAlign w:val="center"/>
          </w:tcPr>
          <w:p w14:paraId="0CEC5911">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862" w:type="pct"/>
            <w:tcBorders>
              <w:tl2br w:val="nil"/>
              <w:tr2bl w:val="nil"/>
            </w:tcBorders>
            <w:noWrap/>
            <w:vAlign w:val="center"/>
          </w:tcPr>
          <w:p w14:paraId="4EDEB69F">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000" w:type="pct"/>
            <w:tcBorders>
              <w:tl2br w:val="nil"/>
              <w:tr2bl w:val="nil"/>
            </w:tcBorders>
            <w:noWrap/>
            <w:vAlign w:val="center"/>
          </w:tcPr>
          <w:p w14:paraId="573AF186">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r>
      <w:tr w14:paraId="15582EC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452" w:type="pct"/>
            <w:tcBorders>
              <w:tl2br w:val="nil"/>
              <w:tr2bl w:val="nil"/>
            </w:tcBorders>
            <w:noWrap/>
            <w:vAlign w:val="center"/>
          </w:tcPr>
          <w:p w14:paraId="7B412349">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697" w:type="pct"/>
            <w:tcBorders>
              <w:tl2br w:val="nil"/>
              <w:tr2bl w:val="nil"/>
            </w:tcBorders>
            <w:noWrap/>
            <w:vAlign w:val="center"/>
          </w:tcPr>
          <w:p w14:paraId="6F12C217">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986" w:type="pct"/>
            <w:tcBorders>
              <w:tl2br w:val="nil"/>
              <w:tr2bl w:val="nil"/>
            </w:tcBorders>
            <w:noWrap/>
            <w:vAlign w:val="center"/>
          </w:tcPr>
          <w:p w14:paraId="244A5243">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862" w:type="pct"/>
            <w:tcBorders>
              <w:tl2br w:val="nil"/>
              <w:tr2bl w:val="nil"/>
            </w:tcBorders>
            <w:noWrap/>
            <w:vAlign w:val="center"/>
          </w:tcPr>
          <w:p w14:paraId="57D1FEBA">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000" w:type="pct"/>
            <w:tcBorders>
              <w:tl2br w:val="nil"/>
              <w:tr2bl w:val="nil"/>
            </w:tcBorders>
            <w:noWrap/>
            <w:vAlign w:val="center"/>
          </w:tcPr>
          <w:p w14:paraId="30FF9AF5">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r>
      <w:tr w14:paraId="1B0D524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452" w:type="pct"/>
            <w:tcBorders>
              <w:tl2br w:val="nil"/>
              <w:tr2bl w:val="nil"/>
            </w:tcBorders>
            <w:noWrap/>
            <w:vAlign w:val="center"/>
          </w:tcPr>
          <w:p w14:paraId="279D11E6">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697" w:type="pct"/>
            <w:tcBorders>
              <w:tl2br w:val="nil"/>
              <w:tr2bl w:val="nil"/>
            </w:tcBorders>
            <w:noWrap/>
            <w:vAlign w:val="center"/>
          </w:tcPr>
          <w:p w14:paraId="28BB23B8">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986" w:type="pct"/>
            <w:tcBorders>
              <w:tl2br w:val="nil"/>
              <w:tr2bl w:val="nil"/>
            </w:tcBorders>
            <w:noWrap/>
            <w:vAlign w:val="center"/>
          </w:tcPr>
          <w:p w14:paraId="7AFA01C1">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862" w:type="pct"/>
            <w:tcBorders>
              <w:tl2br w:val="nil"/>
              <w:tr2bl w:val="nil"/>
            </w:tcBorders>
            <w:noWrap/>
            <w:vAlign w:val="center"/>
          </w:tcPr>
          <w:p w14:paraId="52EFED3E">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000" w:type="pct"/>
            <w:tcBorders>
              <w:tl2br w:val="nil"/>
              <w:tr2bl w:val="nil"/>
            </w:tcBorders>
            <w:noWrap/>
            <w:vAlign w:val="center"/>
          </w:tcPr>
          <w:p w14:paraId="26C0DC32">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r>
      <w:tr w14:paraId="5D860A4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452" w:type="pct"/>
            <w:tcBorders>
              <w:tl2br w:val="nil"/>
              <w:tr2bl w:val="nil"/>
            </w:tcBorders>
            <w:noWrap/>
            <w:vAlign w:val="center"/>
          </w:tcPr>
          <w:p w14:paraId="06D2FDFB">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697" w:type="pct"/>
            <w:tcBorders>
              <w:tl2br w:val="nil"/>
              <w:tr2bl w:val="nil"/>
            </w:tcBorders>
            <w:noWrap/>
            <w:vAlign w:val="center"/>
          </w:tcPr>
          <w:p w14:paraId="67E84B29">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986" w:type="pct"/>
            <w:tcBorders>
              <w:tl2br w:val="nil"/>
              <w:tr2bl w:val="nil"/>
            </w:tcBorders>
            <w:noWrap/>
            <w:vAlign w:val="center"/>
          </w:tcPr>
          <w:p w14:paraId="75155BA1">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862" w:type="pct"/>
            <w:tcBorders>
              <w:tl2br w:val="nil"/>
              <w:tr2bl w:val="nil"/>
            </w:tcBorders>
            <w:noWrap/>
            <w:vAlign w:val="center"/>
          </w:tcPr>
          <w:p w14:paraId="58E08FB8">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000" w:type="pct"/>
            <w:tcBorders>
              <w:tl2br w:val="nil"/>
              <w:tr2bl w:val="nil"/>
            </w:tcBorders>
            <w:noWrap/>
            <w:vAlign w:val="center"/>
          </w:tcPr>
          <w:p w14:paraId="5AF84885">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r>
      <w:tr w14:paraId="165B164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452" w:type="pct"/>
            <w:tcBorders>
              <w:tl2br w:val="nil"/>
              <w:tr2bl w:val="nil"/>
            </w:tcBorders>
            <w:noWrap/>
            <w:vAlign w:val="center"/>
          </w:tcPr>
          <w:p w14:paraId="03D34C83">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697" w:type="pct"/>
            <w:tcBorders>
              <w:tl2br w:val="nil"/>
              <w:tr2bl w:val="nil"/>
            </w:tcBorders>
            <w:noWrap/>
            <w:vAlign w:val="center"/>
          </w:tcPr>
          <w:p w14:paraId="7B593B18">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986" w:type="pct"/>
            <w:tcBorders>
              <w:tl2br w:val="nil"/>
              <w:tr2bl w:val="nil"/>
            </w:tcBorders>
            <w:noWrap/>
            <w:vAlign w:val="center"/>
          </w:tcPr>
          <w:p w14:paraId="0BB0282A">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862" w:type="pct"/>
            <w:tcBorders>
              <w:tl2br w:val="nil"/>
              <w:tr2bl w:val="nil"/>
            </w:tcBorders>
            <w:noWrap/>
            <w:vAlign w:val="center"/>
          </w:tcPr>
          <w:p w14:paraId="60494E38">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000" w:type="pct"/>
            <w:tcBorders>
              <w:tl2br w:val="nil"/>
              <w:tr2bl w:val="nil"/>
            </w:tcBorders>
            <w:noWrap/>
            <w:vAlign w:val="center"/>
          </w:tcPr>
          <w:p w14:paraId="42FEEED4">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r>
      <w:tr w14:paraId="0DB90A4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452" w:type="pct"/>
            <w:tcBorders>
              <w:tl2br w:val="nil"/>
              <w:tr2bl w:val="nil"/>
            </w:tcBorders>
            <w:noWrap/>
            <w:vAlign w:val="center"/>
          </w:tcPr>
          <w:p w14:paraId="7E826378">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697" w:type="pct"/>
            <w:tcBorders>
              <w:tl2br w:val="nil"/>
              <w:tr2bl w:val="nil"/>
            </w:tcBorders>
            <w:noWrap/>
            <w:vAlign w:val="center"/>
          </w:tcPr>
          <w:p w14:paraId="62ACCD91">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986" w:type="pct"/>
            <w:tcBorders>
              <w:tl2br w:val="nil"/>
              <w:tr2bl w:val="nil"/>
            </w:tcBorders>
            <w:noWrap/>
            <w:vAlign w:val="center"/>
          </w:tcPr>
          <w:p w14:paraId="4E1D8168">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862" w:type="pct"/>
            <w:tcBorders>
              <w:tl2br w:val="nil"/>
              <w:tr2bl w:val="nil"/>
            </w:tcBorders>
            <w:noWrap/>
            <w:vAlign w:val="center"/>
          </w:tcPr>
          <w:p w14:paraId="4727C16A">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000" w:type="pct"/>
            <w:tcBorders>
              <w:tl2br w:val="nil"/>
              <w:tr2bl w:val="nil"/>
            </w:tcBorders>
            <w:noWrap/>
            <w:vAlign w:val="center"/>
          </w:tcPr>
          <w:p w14:paraId="4901D29C">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r>
      <w:tr w14:paraId="2435B29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452" w:type="pct"/>
            <w:tcBorders>
              <w:tl2br w:val="nil"/>
              <w:tr2bl w:val="nil"/>
            </w:tcBorders>
            <w:noWrap/>
            <w:vAlign w:val="center"/>
          </w:tcPr>
          <w:p w14:paraId="04D8E567">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697" w:type="pct"/>
            <w:tcBorders>
              <w:tl2br w:val="nil"/>
              <w:tr2bl w:val="nil"/>
            </w:tcBorders>
            <w:noWrap/>
            <w:vAlign w:val="center"/>
          </w:tcPr>
          <w:p w14:paraId="288569F0">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986" w:type="pct"/>
            <w:tcBorders>
              <w:tl2br w:val="nil"/>
              <w:tr2bl w:val="nil"/>
            </w:tcBorders>
            <w:noWrap/>
            <w:vAlign w:val="center"/>
          </w:tcPr>
          <w:p w14:paraId="1F223C3B">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862" w:type="pct"/>
            <w:tcBorders>
              <w:tl2br w:val="nil"/>
              <w:tr2bl w:val="nil"/>
            </w:tcBorders>
            <w:noWrap/>
            <w:vAlign w:val="center"/>
          </w:tcPr>
          <w:p w14:paraId="38FB4760">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000" w:type="pct"/>
            <w:tcBorders>
              <w:tl2br w:val="nil"/>
              <w:tr2bl w:val="nil"/>
            </w:tcBorders>
            <w:noWrap/>
            <w:vAlign w:val="center"/>
          </w:tcPr>
          <w:p w14:paraId="57B3FB6C">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r>
    </w:tbl>
    <w:p w14:paraId="737EE267">
      <w:pPr>
        <w:pStyle w:val="12"/>
        <w:keepNext w:val="0"/>
        <w:keepLines w:val="0"/>
        <w:pageBreakBefore w:val="0"/>
        <w:widowControl/>
        <w:kinsoku/>
        <w:wordWrap/>
        <w:overflowPunct/>
        <w:topLinePunct w:val="0"/>
        <w:autoSpaceDE w:val="0"/>
        <w:autoSpaceDN w:val="0"/>
        <w:bidi w:val="0"/>
        <w:adjustRightInd w:val="0"/>
        <w:snapToGrid w:val="0"/>
        <w:spacing w:before="0" w:beforeAutospacing="0" w:after="0" w:afterAutospacing="0"/>
        <w:ind w:left="0" w:leftChars="0" w:right="0"/>
        <w:textAlignment w:val="baseline"/>
        <w:outlineLvl w:val="9"/>
        <w:rPr>
          <w:rFonts w:hint="default" w:ascii="Times New Roman" w:hAnsi="Times New Roman" w:eastAsia="仿宋_GB2312" w:cs="Times New Roman"/>
          <w:color w:val="auto"/>
          <w:spacing w:val="0"/>
          <w:kern w:val="0"/>
          <w:position w:val="0"/>
        </w:rPr>
        <w:sectPr>
          <w:pgSz w:w="11906" w:h="16839"/>
          <w:pgMar w:top="1417" w:right="1417" w:bottom="1417" w:left="1417" w:header="0" w:footer="1025" w:gutter="0"/>
          <w:pgBorders>
            <w:top w:val="none" w:sz="0" w:space="0"/>
            <w:left w:val="none" w:sz="0" w:space="0"/>
            <w:bottom w:val="none" w:sz="0" w:space="0"/>
            <w:right w:val="none" w:sz="0" w:space="0"/>
          </w:pgBorders>
          <w:pgNumType w:fmt="decimal"/>
          <w:cols w:space="720" w:num="1"/>
        </w:sectPr>
      </w:pPr>
    </w:p>
    <w:p w14:paraId="11EADEA0">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b/>
          <w:bCs/>
          <w:color w:val="auto"/>
          <w:spacing w:val="0"/>
          <w:kern w:val="0"/>
          <w:position w:val="0"/>
          <w:sz w:val="24"/>
          <w:szCs w:val="24"/>
          <w:lang w:val="en-US" w:eastAsia="zh-CN"/>
        </w:rPr>
      </w:pPr>
      <w:r>
        <w:rPr>
          <w:rFonts w:hint="default" w:ascii="Times New Roman" w:hAnsi="Times New Roman" w:eastAsia="仿宋_GB2312" w:cs="Times New Roman"/>
          <w:b/>
          <w:bCs/>
          <w:color w:val="auto"/>
          <w:spacing w:val="0"/>
          <w:kern w:val="0"/>
          <w:position w:val="0"/>
          <w:sz w:val="24"/>
          <w:szCs w:val="24"/>
          <w:lang w:val="en-US" w:eastAsia="zh-CN"/>
        </w:rPr>
        <w:t xml:space="preserve">表5.10-6 </w:t>
      </w:r>
      <w:r>
        <w:rPr>
          <w:rFonts w:hint="eastAsia" w:ascii="Times New Roman" w:hAnsi="Times New Roman" w:eastAsia="仿宋_GB2312" w:cs="Times New Roman"/>
          <w:b/>
          <w:bCs/>
          <w:color w:val="auto"/>
          <w:spacing w:val="0"/>
          <w:kern w:val="0"/>
          <w:position w:val="0"/>
          <w:sz w:val="24"/>
          <w:szCs w:val="24"/>
          <w:lang w:val="en-US" w:eastAsia="zh-CN"/>
        </w:rPr>
        <w:t xml:space="preserve"> </w:t>
      </w:r>
      <w:r>
        <w:rPr>
          <w:rFonts w:hint="default" w:ascii="Times New Roman" w:hAnsi="Times New Roman" w:eastAsia="仿宋_GB2312" w:cs="Times New Roman"/>
          <w:b/>
          <w:bCs/>
          <w:color w:val="auto"/>
          <w:spacing w:val="0"/>
          <w:kern w:val="0"/>
          <w:position w:val="0"/>
          <w:sz w:val="24"/>
          <w:szCs w:val="24"/>
          <w:lang w:val="en-US" w:eastAsia="zh-CN"/>
        </w:rPr>
        <w:t>应急预案演练评价表</w:t>
      </w:r>
    </w:p>
    <w:tbl>
      <w:tblPr>
        <w:tblStyle w:val="31"/>
        <w:tblW w:w="8942"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1050"/>
        <w:gridCol w:w="1512"/>
        <w:gridCol w:w="2304"/>
        <w:gridCol w:w="1068"/>
        <w:gridCol w:w="1218"/>
        <w:gridCol w:w="1790"/>
      </w:tblGrid>
      <w:tr w14:paraId="6130DEA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562" w:type="dxa"/>
            <w:gridSpan w:val="2"/>
            <w:tcBorders>
              <w:tl2br w:val="nil"/>
              <w:tr2bl w:val="nil"/>
            </w:tcBorders>
            <w:noWrap/>
            <w:vAlign w:val="center"/>
          </w:tcPr>
          <w:p w14:paraId="36A016D0">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both"/>
              <w:textAlignment w:val="baseline"/>
              <w:outlineLvl w:val="9"/>
              <w:rPr>
                <w:rFonts w:hint="default" w:ascii="Times New Roman" w:hAnsi="Times New Roman" w:eastAsia="仿宋_GB2312" w:cs="Times New Roman"/>
                <w:b w:val="0"/>
                <w:bCs w:val="0"/>
                <w:color w:val="auto"/>
                <w:spacing w:val="0"/>
                <w:kern w:val="0"/>
                <w:position w:val="0"/>
                <w:lang w:val="en-US" w:eastAsia="zh-CN"/>
              </w:rPr>
            </w:pPr>
            <w:r>
              <w:rPr>
                <w:rFonts w:hint="default" w:ascii="Times New Roman" w:hAnsi="Times New Roman" w:eastAsia="仿宋_GB2312" w:cs="Times New Roman"/>
                <w:b w:val="0"/>
                <w:bCs w:val="0"/>
                <w:color w:val="auto"/>
                <w:spacing w:val="0"/>
                <w:kern w:val="0"/>
                <w:position w:val="0"/>
                <w:lang w:val="en-US" w:eastAsia="zh-CN"/>
              </w:rPr>
              <w:t>演练名称</w:t>
            </w:r>
          </w:p>
        </w:tc>
        <w:tc>
          <w:tcPr>
            <w:tcW w:w="2304" w:type="dxa"/>
            <w:tcBorders>
              <w:tl2br w:val="nil"/>
              <w:tr2bl w:val="nil"/>
            </w:tcBorders>
            <w:noWrap/>
            <w:vAlign w:val="center"/>
          </w:tcPr>
          <w:p w14:paraId="53D8FB71">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b w:val="0"/>
                <w:bCs w:val="0"/>
                <w:color w:val="auto"/>
                <w:spacing w:val="0"/>
                <w:kern w:val="0"/>
                <w:position w:val="0"/>
                <w:lang w:val="en-US" w:eastAsia="zh-CN"/>
              </w:rPr>
            </w:pPr>
          </w:p>
        </w:tc>
        <w:tc>
          <w:tcPr>
            <w:tcW w:w="2286" w:type="dxa"/>
            <w:gridSpan w:val="2"/>
            <w:tcBorders>
              <w:tl2br w:val="nil"/>
              <w:tr2bl w:val="nil"/>
            </w:tcBorders>
            <w:noWrap/>
            <w:vAlign w:val="center"/>
          </w:tcPr>
          <w:p w14:paraId="313F5ED9">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b w:val="0"/>
                <w:bCs w:val="0"/>
                <w:color w:val="auto"/>
                <w:spacing w:val="0"/>
                <w:kern w:val="0"/>
                <w:position w:val="0"/>
                <w:lang w:val="en-US" w:eastAsia="zh-CN"/>
              </w:rPr>
            </w:pPr>
            <w:r>
              <w:rPr>
                <w:rFonts w:hint="default" w:ascii="Times New Roman" w:hAnsi="Times New Roman" w:eastAsia="仿宋_GB2312" w:cs="Times New Roman"/>
                <w:b w:val="0"/>
                <w:bCs w:val="0"/>
                <w:color w:val="auto"/>
                <w:spacing w:val="0"/>
                <w:kern w:val="0"/>
                <w:position w:val="0"/>
                <w:lang w:val="en-US" w:eastAsia="zh-CN"/>
              </w:rPr>
              <w:t>演练地点</w:t>
            </w:r>
          </w:p>
        </w:tc>
        <w:tc>
          <w:tcPr>
            <w:tcW w:w="1790" w:type="dxa"/>
            <w:tcBorders>
              <w:tl2br w:val="nil"/>
              <w:tr2bl w:val="nil"/>
            </w:tcBorders>
            <w:noWrap/>
            <w:vAlign w:val="center"/>
          </w:tcPr>
          <w:p w14:paraId="31B20DE9">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b w:val="0"/>
                <w:bCs w:val="0"/>
                <w:color w:val="auto"/>
                <w:spacing w:val="0"/>
                <w:kern w:val="0"/>
                <w:position w:val="0"/>
                <w:lang w:val="en-US" w:eastAsia="zh-CN"/>
              </w:rPr>
            </w:pPr>
          </w:p>
        </w:tc>
      </w:tr>
      <w:tr w14:paraId="7853A45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050" w:type="dxa"/>
            <w:tcBorders>
              <w:tl2br w:val="nil"/>
              <w:tr2bl w:val="nil"/>
            </w:tcBorders>
            <w:noWrap/>
            <w:vAlign w:val="center"/>
          </w:tcPr>
          <w:p w14:paraId="18FE602E">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both"/>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组织部门</w:t>
            </w:r>
          </w:p>
        </w:tc>
        <w:tc>
          <w:tcPr>
            <w:tcW w:w="1512" w:type="dxa"/>
            <w:tcBorders>
              <w:tl2br w:val="nil"/>
              <w:tr2bl w:val="nil"/>
            </w:tcBorders>
            <w:noWrap/>
            <w:vAlign w:val="center"/>
          </w:tcPr>
          <w:p w14:paraId="7BDB2B6F">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2304" w:type="dxa"/>
            <w:tcBorders>
              <w:tl2br w:val="nil"/>
              <w:tr2bl w:val="nil"/>
            </w:tcBorders>
            <w:noWrap/>
            <w:vAlign w:val="center"/>
          </w:tcPr>
          <w:p w14:paraId="54A291C2">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总指挥</w:t>
            </w:r>
          </w:p>
        </w:tc>
        <w:tc>
          <w:tcPr>
            <w:tcW w:w="1068" w:type="dxa"/>
            <w:tcBorders>
              <w:tl2br w:val="nil"/>
              <w:tr2bl w:val="nil"/>
            </w:tcBorders>
            <w:noWrap/>
            <w:vAlign w:val="center"/>
          </w:tcPr>
          <w:p w14:paraId="76C2E0B4">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218" w:type="dxa"/>
            <w:tcBorders>
              <w:tl2br w:val="nil"/>
              <w:tr2bl w:val="nil"/>
            </w:tcBorders>
            <w:noWrap/>
            <w:vAlign w:val="center"/>
          </w:tcPr>
          <w:p w14:paraId="645BA978">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演练时间</w:t>
            </w:r>
          </w:p>
        </w:tc>
        <w:tc>
          <w:tcPr>
            <w:tcW w:w="1790" w:type="dxa"/>
            <w:tcBorders>
              <w:tl2br w:val="nil"/>
              <w:tr2bl w:val="nil"/>
            </w:tcBorders>
            <w:noWrap/>
            <w:vAlign w:val="center"/>
          </w:tcPr>
          <w:p w14:paraId="071EF853">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r>
      <w:tr w14:paraId="00EDCEF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050" w:type="dxa"/>
            <w:vMerge w:val="restart"/>
            <w:tcBorders>
              <w:tl2br w:val="nil"/>
              <w:tr2bl w:val="nil"/>
            </w:tcBorders>
            <w:noWrap/>
            <w:vAlign w:val="center"/>
          </w:tcPr>
          <w:p w14:paraId="0B10E328">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演练效果评审</w:t>
            </w:r>
          </w:p>
        </w:tc>
        <w:tc>
          <w:tcPr>
            <w:tcW w:w="1512" w:type="dxa"/>
            <w:tcBorders>
              <w:tl2br w:val="nil"/>
              <w:tr2bl w:val="nil"/>
            </w:tcBorders>
            <w:noWrap/>
            <w:vAlign w:val="center"/>
          </w:tcPr>
          <w:p w14:paraId="0BDC169F">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人员到位情况</w:t>
            </w:r>
          </w:p>
        </w:tc>
        <w:tc>
          <w:tcPr>
            <w:tcW w:w="6380" w:type="dxa"/>
            <w:gridSpan w:val="4"/>
            <w:tcBorders>
              <w:tl2br w:val="nil"/>
              <w:tr2bl w:val="nil"/>
            </w:tcBorders>
            <w:noWrap/>
            <w:vAlign w:val="center"/>
          </w:tcPr>
          <w:p w14:paraId="202E606B">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both"/>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□迅速准确、按时到位 □个别人员不到位 □重点部门人员不到位</w:t>
            </w:r>
          </w:p>
        </w:tc>
      </w:tr>
      <w:tr w14:paraId="2888AF1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050" w:type="dxa"/>
            <w:vMerge w:val="continue"/>
            <w:tcBorders>
              <w:tl2br w:val="nil"/>
              <w:tr2bl w:val="nil"/>
            </w:tcBorders>
            <w:noWrap/>
            <w:vAlign w:val="center"/>
          </w:tcPr>
          <w:p w14:paraId="27EE881E">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512" w:type="dxa"/>
            <w:vMerge w:val="restart"/>
            <w:tcBorders>
              <w:tl2br w:val="nil"/>
              <w:tr2bl w:val="nil"/>
            </w:tcBorders>
            <w:noWrap/>
            <w:vAlign w:val="center"/>
          </w:tcPr>
          <w:p w14:paraId="60598724">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物质到位情况</w:t>
            </w:r>
          </w:p>
        </w:tc>
        <w:tc>
          <w:tcPr>
            <w:tcW w:w="6380" w:type="dxa"/>
            <w:gridSpan w:val="4"/>
            <w:tcBorders>
              <w:tl2br w:val="nil"/>
              <w:tr2bl w:val="nil"/>
            </w:tcBorders>
            <w:noWrap/>
            <w:vAlign w:val="center"/>
          </w:tcPr>
          <w:p w14:paraId="5483D432">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both"/>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现场物质：□充分有效 □不充分 □严重缺乏</w:t>
            </w:r>
          </w:p>
        </w:tc>
      </w:tr>
      <w:tr w14:paraId="1C4737A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050" w:type="dxa"/>
            <w:vMerge w:val="continue"/>
            <w:tcBorders>
              <w:tl2br w:val="nil"/>
              <w:tr2bl w:val="nil"/>
            </w:tcBorders>
            <w:noWrap/>
            <w:vAlign w:val="center"/>
          </w:tcPr>
          <w:p w14:paraId="6BCB58FE">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512" w:type="dxa"/>
            <w:vMerge w:val="continue"/>
            <w:tcBorders>
              <w:tl2br w:val="nil"/>
              <w:tr2bl w:val="nil"/>
            </w:tcBorders>
            <w:noWrap/>
            <w:vAlign w:val="center"/>
          </w:tcPr>
          <w:p w14:paraId="795D9526">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6380" w:type="dxa"/>
            <w:gridSpan w:val="4"/>
            <w:tcBorders>
              <w:tl2br w:val="nil"/>
              <w:tr2bl w:val="nil"/>
            </w:tcBorders>
            <w:noWrap/>
            <w:vAlign w:val="center"/>
          </w:tcPr>
          <w:p w14:paraId="3D408559">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both"/>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个人防护：□防护到位 □防护不到位 □部分防护不到位</w:t>
            </w:r>
          </w:p>
        </w:tc>
      </w:tr>
      <w:tr w14:paraId="014ED36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050" w:type="dxa"/>
            <w:vMerge w:val="continue"/>
            <w:tcBorders>
              <w:tl2br w:val="nil"/>
              <w:tr2bl w:val="nil"/>
            </w:tcBorders>
            <w:noWrap/>
            <w:vAlign w:val="center"/>
          </w:tcPr>
          <w:p w14:paraId="6D4F4DE2">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512" w:type="dxa"/>
            <w:vMerge w:val="restart"/>
            <w:tcBorders>
              <w:tl2br w:val="nil"/>
              <w:tr2bl w:val="nil"/>
            </w:tcBorders>
            <w:noWrap/>
            <w:vAlign w:val="center"/>
          </w:tcPr>
          <w:p w14:paraId="21609263">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协调组织情况</w:t>
            </w:r>
          </w:p>
        </w:tc>
        <w:tc>
          <w:tcPr>
            <w:tcW w:w="6380" w:type="dxa"/>
            <w:gridSpan w:val="4"/>
            <w:tcBorders>
              <w:tl2br w:val="nil"/>
              <w:tr2bl w:val="nil"/>
            </w:tcBorders>
            <w:noWrap/>
            <w:vAlign w:val="center"/>
          </w:tcPr>
          <w:p w14:paraId="7C987ECA">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both"/>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整体组织：□准确、高效、满足要求 □效率低、有待改进</w:t>
            </w:r>
          </w:p>
        </w:tc>
      </w:tr>
      <w:tr w14:paraId="451AEC3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050" w:type="dxa"/>
            <w:vMerge w:val="continue"/>
            <w:tcBorders>
              <w:tl2br w:val="nil"/>
              <w:tr2bl w:val="nil"/>
            </w:tcBorders>
            <w:noWrap/>
            <w:vAlign w:val="center"/>
          </w:tcPr>
          <w:p w14:paraId="3DB5F9D8">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512" w:type="dxa"/>
            <w:vMerge w:val="continue"/>
            <w:tcBorders>
              <w:tl2br w:val="nil"/>
              <w:tr2bl w:val="nil"/>
            </w:tcBorders>
            <w:noWrap/>
            <w:vAlign w:val="center"/>
          </w:tcPr>
          <w:p w14:paraId="57A77FD0">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6380" w:type="dxa"/>
            <w:gridSpan w:val="4"/>
            <w:tcBorders>
              <w:tl2br w:val="nil"/>
              <w:tr2bl w:val="nil"/>
            </w:tcBorders>
            <w:noWrap/>
            <w:vAlign w:val="center"/>
          </w:tcPr>
          <w:p w14:paraId="4782E2A1">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both"/>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组织分工：□安全、快速 □基本完成任务 □效率低、未完成任务</w:t>
            </w:r>
          </w:p>
        </w:tc>
      </w:tr>
      <w:tr w14:paraId="1B0BA77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050" w:type="dxa"/>
            <w:vMerge w:val="continue"/>
            <w:tcBorders>
              <w:tl2br w:val="nil"/>
              <w:tr2bl w:val="nil"/>
            </w:tcBorders>
            <w:noWrap/>
            <w:vAlign w:val="center"/>
          </w:tcPr>
          <w:p w14:paraId="64637122">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512" w:type="dxa"/>
            <w:tcBorders>
              <w:tl2br w:val="nil"/>
              <w:tr2bl w:val="nil"/>
            </w:tcBorders>
            <w:noWrap/>
            <w:vAlign w:val="center"/>
          </w:tcPr>
          <w:p w14:paraId="093824EE">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实战效果评价</w:t>
            </w:r>
          </w:p>
        </w:tc>
        <w:tc>
          <w:tcPr>
            <w:tcW w:w="6380" w:type="dxa"/>
            <w:gridSpan w:val="4"/>
            <w:tcBorders>
              <w:tl2br w:val="nil"/>
              <w:tr2bl w:val="nil"/>
            </w:tcBorders>
            <w:noWrap/>
            <w:vAlign w:val="center"/>
          </w:tcPr>
          <w:p w14:paraId="0DFE6B61">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both"/>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预期达到目标：□基本达到目标，部分环节有待改进 □没有达到目标，须重新演练</w:t>
            </w:r>
          </w:p>
        </w:tc>
      </w:tr>
      <w:tr w14:paraId="5D138FC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050" w:type="dxa"/>
            <w:vMerge w:val="continue"/>
            <w:tcBorders>
              <w:tl2br w:val="nil"/>
              <w:tr2bl w:val="nil"/>
            </w:tcBorders>
            <w:noWrap/>
            <w:vAlign w:val="center"/>
          </w:tcPr>
          <w:p w14:paraId="1EEAAD1D">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512" w:type="dxa"/>
            <w:vMerge w:val="restart"/>
            <w:tcBorders>
              <w:tl2br w:val="nil"/>
              <w:tr2bl w:val="nil"/>
            </w:tcBorders>
            <w:noWrap/>
            <w:vAlign w:val="center"/>
          </w:tcPr>
          <w:p w14:paraId="3F92F649">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支援部门和协作有效性</w:t>
            </w:r>
          </w:p>
        </w:tc>
        <w:tc>
          <w:tcPr>
            <w:tcW w:w="6380" w:type="dxa"/>
            <w:gridSpan w:val="4"/>
            <w:tcBorders>
              <w:tl2br w:val="nil"/>
              <w:tr2bl w:val="nil"/>
            </w:tcBorders>
            <w:noWrap/>
            <w:vAlign w:val="center"/>
          </w:tcPr>
          <w:p w14:paraId="6CE82D5E">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both"/>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报告上级：□报告及时 □联系不上</w:t>
            </w:r>
          </w:p>
        </w:tc>
      </w:tr>
      <w:tr w14:paraId="70E338F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050" w:type="dxa"/>
            <w:vMerge w:val="continue"/>
            <w:tcBorders>
              <w:tl2br w:val="nil"/>
              <w:tr2bl w:val="nil"/>
            </w:tcBorders>
            <w:noWrap/>
            <w:vAlign w:val="center"/>
          </w:tcPr>
          <w:p w14:paraId="78F16D4A">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512" w:type="dxa"/>
            <w:vMerge w:val="continue"/>
            <w:tcBorders>
              <w:tl2br w:val="nil"/>
              <w:tr2bl w:val="nil"/>
            </w:tcBorders>
            <w:noWrap/>
            <w:vAlign w:val="center"/>
          </w:tcPr>
          <w:p w14:paraId="417C2D15">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6380" w:type="dxa"/>
            <w:gridSpan w:val="4"/>
            <w:tcBorders>
              <w:tl2br w:val="nil"/>
              <w:tr2bl w:val="nil"/>
            </w:tcBorders>
            <w:noWrap/>
            <w:vAlign w:val="center"/>
          </w:tcPr>
          <w:p w14:paraId="4FB84EE8">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both"/>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安全部门：□按要求协作 □行动迟缓</w:t>
            </w:r>
          </w:p>
        </w:tc>
      </w:tr>
      <w:tr w14:paraId="15FCEDE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050" w:type="dxa"/>
            <w:vMerge w:val="continue"/>
            <w:tcBorders>
              <w:tl2br w:val="nil"/>
              <w:tr2bl w:val="nil"/>
            </w:tcBorders>
            <w:noWrap/>
            <w:vAlign w:val="center"/>
          </w:tcPr>
          <w:p w14:paraId="4F3858C9">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512" w:type="dxa"/>
            <w:vMerge w:val="continue"/>
            <w:tcBorders>
              <w:tl2br w:val="nil"/>
              <w:tr2bl w:val="nil"/>
            </w:tcBorders>
            <w:noWrap/>
            <w:vAlign w:val="center"/>
          </w:tcPr>
          <w:p w14:paraId="186B813B">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6380" w:type="dxa"/>
            <w:gridSpan w:val="4"/>
            <w:tcBorders>
              <w:tl2br w:val="nil"/>
              <w:tr2bl w:val="nil"/>
            </w:tcBorders>
            <w:noWrap/>
            <w:vAlign w:val="center"/>
          </w:tcPr>
          <w:p w14:paraId="70EA059B">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both"/>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救援效果：□按要求协作 □行动迟缓</w:t>
            </w:r>
          </w:p>
        </w:tc>
      </w:tr>
      <w:tr w14:paraId="5B0EB0A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050" w:type="dxa"/>
            <w:vMerge w:val="continue"/>
            <w:tcBorders>
              <w:tl2br w:val="nil"/>
              <w:tr2bl w:val="nil"/>
            </w:tcBorders>
            <w:noWrap/>
            <w:vAlign w:val="center"/>
          </w:tcPr>
          <w:p w14:paraId="48BBEFF1">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1512" w:type="dxa"/>
            <w:vMerge w:val="continue"/>
            <w:tcBorders>
              <w:tl2br w:val="nil"/>
              <w:tr2bl w:val="nil"/>
            </w:tcBorders>
            <w:noWrap/>
            <w:vAlign w:val="center"/>
          </w:tcPr>
          <w:p w14:paraId="0A63DA8B">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c>
          <w:tcPr>
            <w:tcW w:w="6380" w:type="dxa"/>
            <w:gridSpan w:val="4"/>
            <w:tcBorders>
              <w:tl2br w:val="nil"/>
              <w:tr2bl w:val="nil"/>
            </w:tcBorders>
            <w:noWrap/>
            <w:vAlign w:val="center"/>
          </w:tcPr>
          <w:p w14:paraId="2A62DF19">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both"/>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警戒配合：□按要求配合 □不配合</w:t>
            </w:r>
          </w:p>
        </w:tc>
      </w:tr>
      <w:tr w14:paraId="7018E64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600" w:hRule="atLeast"/>
          <w:jc w:val="center"/>
        </w:trPr>
        <w:tc>
          <w:tcPr>
            <w:tcW w:w="2562" w:type="dxa"/>
            <w:gridSpan w:val="2"/>
            <w:tcBorders>
              <w:tl2br w:val="nil"/>
              <w:tr2bl w:val="nil"/>
            </w:tcBorders>
            <w:noWrap/>
            <w:vAlign w:val="center"/>
          </w:tcPr>
          <w:p w14:paraId="23AEA5F3">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r>
              <w:rPr>
                <w:rFonts w:hint="default" w:ascii="Times New Roman" w:hAnsi="Times New Roman" w:eastAsia="仿宋_GB2312" w:cs="Times New Roman"/>
                <w:color w:val="auto"/>
                <w:spacing w:val="0"/>
                <w:kern w:val="0"/>
                <w:position w:val="0"/>
                <w:lang w:val="en-US" w:eastAsia="zh-CN"/>
              </w:rPr>
              <w:t>总体评价</w:t>
            </w:r>
          </w:p>
        </w:tc>
        <w:tc>
          <w:tcPr>
            <w:tcW w:w="6380" w:type="dxa"/>
            <w:gridSpan w:val="4"/>
            <w:tcBorders>
              <w:tl2br w:val="nil"/>
              <w:tr2bl w:val="nil"/>
            </w:tcBorders>
            <w:noWrap/>
            <w:vAlign w:val="center"/>
          </w:tcPr>
          <w:p w14:paraId="24532F60">
            <w:pPr>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jc w:val="center"/>
              <w:textAlignment w:val="baseline"/>
              <w:outlineLvl w:val="9"/>
              <w:rPr>
                <w:rFonts w:hint="default" w:ascii="Times New Roman" w:hAnsi="Times New Roman" w:eastAsia="仿宋_GB2312" w:cs="Times New Roman"/>
                <w:color w:val="auto"/>
                <w:spacing w:val="0"/>
                <w:kern w:val="0"/>
                <w:position w:val="0"/>
                <w:lang w:val="en-US" w:eastAsia="zh-CN"/>
              </w:rPr>
            </w:pPr>
          </w:p>
        </w:tc>
      </w:tr>
    </w:tbl>
    <w:p w14:paraId="69F0909E">
      <w:pPr>
        <w:pStyle w:val="4"/>
        <w:keepNext/>
        <w:keepLines w:val="0"/>
        <w:pageBreakBefore w:val="0"/>
        <w:widowControl w:val="0"/>
        <w:kinsoku/>
        <w:wordWrap/>
        <w:overflowPunct w:val="0"/>
        <w:topLinePunct w:val="0"/>
        <w:autoSpaceDE/>
        <w:autoSpaceDN/>
        <w:bidi w:val="0"/>
        <w:adjustRightInd/>
        <w:snapToGrid w:val="0"/>
        <w:spacing w:before="0" w:line="500" w:lineRule="exact"/>
        <w:ind w:left="0" w:right="0" w:firstLine="0" w:firstLineChars="0"/>
        <w:jc w:val="both"/>
        <w:textAlignment w:val="auto"/>
        <w:outlineLvl w:val="1"/>
        <w:rPr>
          <w:rFonts w:hint="default" w:ascii="Times New Roman" w:hAnsi="Times New Roman" w:eastAsia="仿宋_GB2312" w:cs="Times New Roman"/>
          <w:b/>
          <w:bCs/>
          <w:sz w:val="24"/>
          <w:szCs w:val="24"/>
          <w:lang w:val="en-US" w:eastAsia="zh-CN"/>
        </w:rPr>
      </w:pPr>
      <w:bookmarkStart w:id="514" w:name="_Toc29852"/>
      <w:bookmarkStart w:id="515" w:name="_Toc20851"/>
      <w:bookmarkStart w:id="516" w:name="_Toc4021"/>
      <w:bookmarkStart w:id="517" w:name="_Toc14033"/>
      <w:r>
        <w:rPr>
          <w:rFonts w:hint="default" w:ascii="Times New Roman" w:hAnsi="Times New Roman" w:eastAsia="仿宋_GB2312" w:cs="Times New Roman"/>
          <w:b/>
          <w:bCs/>
          <w:sz w:val="24"/>
          <w:szCs w:val="24"/>
          <w:lang w:val="en-US" w:eastAsia="zh-CN"/>
        </w:rPr>
        <w:t>5.11 风险防范措施及应急处置卡</w:t>
      </w:r>
      <w:bookmarkEnd w:id="514"/>
      <w:bookmarkEnd w:id="515"/>
      <w:bookmarkEnd w:id="516"/>
      <w:bookmarkEnd w:id="517"/>
    </w:p>
    <w:p w14:paraId="704AE5F2">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518" w:name="_Toc9545"/>
      <w:r>
        <w:rPr>
          <w:rFonts w:hint="default" w:ascii="Times New Roman" w:hAnsi="Times New Roman" w:eastAsia="仿宋_GB2312" w:cs="Times New Roman"/>
          <w:color w:val="auto"/>
          <w:spacing w:val="0"/>
          <w:kern w:val="0"/>
          <w:position w:val="0"/>
          <w:sz w:val="24"/>
          <w:szCs w:val="24"/>
        </w:rPr>
        <w:t>一、企业主要负责人应急处置卡</w:t>
      </w:r>
      <w:bookmarkEnd w:id="518"/>
    </w:p>
    <w:p w14:paraId="6F97ACC3">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519" w:name="_Toc8169"/>
      <w:r>
        <w:rPr>
          <w:rFonts w:hint="default" w:ascii="Times New Roman" w:hAnsi="Times New Roman" w:eastAsia="仿宋_GB2312" w:cs="Times New Roman"/>
          <w:color w:val="auto"/>
          <w:spacing w:val="0"/>
          <w:kern w:val="0"/>
          <w:position w:val="0"/>
          <w:sz w:val="24"/>
          <w:szCs w:val="24"/>
        </w:rPr>
        <w:t>（1）接到现场报警后，如造成人员伤亡，总指挥在 1 小时将事故情况内上报所在地县级以上应急管理部门。</w:t>
      </w:r>
      <w:bookmarkEnd w:id="519"/>
    </w:p>
    <w:p w14:paraId="0658E9AC">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520" w:name="_Toc19457"/>
      <w:r>
        <w:rPr>
          <w:rFonts w:hint="default" w:ascii="Times New Roman" w:hAnsi="Times New Roman" w:eastAsia="仿宋_GB2312" w:cs="Times New Roman"/>
          <w:color w:val="auto"/>
          <w:spacing w:val="0"/>
          <w:kern w:val="0"/>
          <w:position w:val="0"/>
          <w:sz w:val="24"/>
          <w:szCs w:val="24"/>
        </w:rPr>
        <w:t>（2）当需要启动公司级应急预案后，第一时间下令启动预案，通过应急指挥部办公室通知应急指挥部各成员和可能被波及到的周边单位。</w:t>
      </w:r>
      <w:bookmarkEnd w:id="520"/>
    </w:p>
    <w:p w14:paraId="607AF78C">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521" w:name="_Toc28158"/>
      <w:r>
        <w:rPr>
          <w:rFonts w:hint="default" w:ascii="Times New Roman" w:hAnsi="Times New Roman" w:eastAsia="仿宋_GB2312" w:cs="Times New Roman"/>
          <w:color w:val="auto"/>
          <w:spacing w:val="0"/>
          <w:kern w:val="0"/>
          <w:position w:val="0"/>
          <w:sz w:val="24"/>
          <w:szCs w:val="24"/>
        </w:rPr>
        <w:t>（3）根据事故情况，结合各应急指挥部成员意见，指挥应急救援工作。</w:t>
      </w:r>
      <w:bookmarkEnd w:id="521"/>
    </w:p>
    <w:p w14:paraId="01760D16">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522" w:name="_Toc26279"/>
      <w:r>
        <w:rPr>
          <w:rFonts w:hint="default" w:ascii="Times New Roman" w:hAnsi="Times New Roman" w:eastAsia="仿宋_GB2312" w:cs="Times New Roman"/>
          <w:color w:val="auto"/>
          <w:spacing w:val="0"/>
          <w:kern w:val="0"/>
          <w:position w:val="0"/>
          <w:sz w:val="24"/>
          <w:szCs w:val="24"/>
        </w:rPr>
        <w:t>（4）如判断企业无法独立完成救援工作，通过指挥部办公室向上级政府请求支援。</w:t>
      </w:r>
      <w:bookmarkEnd w:id="522"/>
    </w:p>
    <w:p w14:paraId="0901B962">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523" w:name="_Toc11392"/>
      <w:r>
        <w:rPr>
          <w:rFonts w:hint="default" w:ascii="Times New Roman" w:hAnsi="Times New Roman" w:eastAsia="仿宋_GB2312" w:cs="Times New Roman"/>
          <w:color w:val="auto"/>
          <w:spacing w:val="0"/>
          <w:kern w:val="0"/>
          <w:position w:val="0"/>
          <w:sz w:val="24"/>
          <w:szCs w:val="24"/>
        </w:rPr>
        <w:t>（5）事故现场成立现场应急指挥部，由单位负责人和应急救援小组成员组成，主要负责指挥现场抢救工作，及时处理安全生产事故。由于环境污染事故影响的范围可能会超出企事业单位的领导范围，并且事故发展趋势也较难确定，因而可能需要政府等部门的介入，应急管理机构应担当好联络员的职责，在政府部门介入后听从安排指挥，同时注意加强与公民、其他企业的相互协作和帮助，做好应急工作。</w:t>
      </w:r>
      <w:bookmarkEnd w:id="523"/>
    </w:p>
    <w:p w14:paraId="63E299B5">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524" w:name="_Toc10349"/>
      <w:r>
        <w:rPr>
          <w:rFonts w:hint="default" w:ascii="Times New Roman" w:hAnsi="Times New Roman" w:eastAsia="仿宋_GB2312" w:cs="Times New Roman"/>
          <w:color w:val="auto"/>
          <w:spacing w:val="0"/>
          <w:kern w:val="0"/>
          <w:position w:val="0"/>
          <w:sz w:val="24"/>
          <w:szCs w:val="24"/>
        </w:rPr>
        <w:t>（6）组织重伤以下事故调查处理，抚恤伤亡人员，总结应急工作经验，落实整改措施。</w:t>
      </w:r>
      <w:bookmarkEnd w:id="524"/>
    </w:p>
    <w:p w14:paraId="15A1B51B">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525" w:name="_Toc30059"/>
      <w:r>
        <w:rPr>
          <w:rFonts w:hint="default" w:ascii="Times New Roman" w:hAnsi="Times New Roman" w:eastAsia="仿宋_GB2312" w:cs="Times New Roman"/>
          <w:color w:val="auto"/>
          <w:spacing w:val="0"/>
          <w:kern w:val="0"/>
          <w:position w:val="0"/>
          <w:sz w:val="24"/>
          <w:szCs w:val="24"/>
        </w:rPr>
        <w:t>二、抢险救援负责人应急处置卡</w:t>
      </w:r>
      <w:bookmarkEnd w:id="525"/>
    </w:p>
    <w:p w14:paraId="04A6FA4D">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526" w:name="_Toc4238"/>
      <w:r>
        <w:rPr>
          <w:rFonts w:hint="default" w:ascii="Times New Roman" w:hAnsi="Times New Roman" w:eastAsia="仿宋_GB2312" w:cs="Times New Roman"/>
          <w:color w:val="auto"/>
          <w:spacing w:val="0"/>
          <w:kern w:val="0"/>
          <w:position w:val="0"/>
          <w:sz w:val="24"/>
          <w:szCs w:val="24"/>
        </w:rPr>
        <w:t>（1）接到指挥部办公室通知后，第一时间到达现场参加指挥部，接受总指挥指挥。</w:t>
      </w:r>
      <w:bookmarkEnd w:id="526"/>
    </w:p>
    <w:p w14:paraId="29C5301A">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527" w:name="_Toc11136"/>
      <w:r>
        <w:rPr>
          <w:rFonts w:hint="default" w:ascii="Times New Roman" w:hAnsi="Times New Roman" w:eastAsia="仿宋_GB2312" w:cs="Times New Roman"/>
          <w:color w:val="auto"/>
          <w:spacing w:val="0"/>
          <w:kern w:val="0"/>
          <w:position w:val="0"/>
          <w:sz w:val="24"/>
          <w:szCs w:val="24"/>
        </w:rPr>
        <w:t>（2）电话通知抢险救灾组成员和企业应急队伍队员到达现场或做好应急准备。</w:t>
      </w:r>
      <w:bookmarkEnd w:id="527"/>
    </w:p>
    <w:p w14:paraId="0B0607C7">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528" w:name="_Toc32142"/>
      <w:r>
        <w:rPr>
          <w:rFonts w:hint="default" w:ascii="Times New Roman" w:hAnsi="Times New Roman" w:eastAsia="仿宋_GB2312" w:cs="Times New Roman"/>
          <w:color w:val="auto"/>
          <w:spacing w:val="0"/>
          <w:kern w:val="0"/>
          <w:position w:val="0"/>
          <w:sz w:val="24"/>
          <w:szCs w:val="24"/>
        </w:rPr>
        <w:t>（3）会同技术指导组协助总指挥制定事故抢险方案。</w:t>
      </w:r>
      <w:bookmarkEnd w:id="528"/>
    </w:p>
    <w:p w14:paraId="34F94326">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529" w:name="_Toc9958"/>
      <w:r>
        <w:rPr>
          <w:rFonts w:hint="default" w:ascii="Times New Roman" w:hAnsi="Times New Roman" w:eastAsia="仿宋_GB2312" w:cs="Times New Roman"/>
          <w:color w:val="auto"/>
          <w:spacing w:val="0"/>
          <w:kern w:val="0"/>
          <w:position w:val="0"/>
          <w:sz w:val="24"/>
          <w:szCs w:val="24"/>
        </w:rPr>
        <w:t>（4）在总指挥的指挥下，组织抢险救灾组成员和企业应急小组按照应急预案开展紧急停车停电、事故现场人员疏散、事故抢险救援工作。</w:t>
      </w:r>
      <w:bookmarkEnd w:id="529"/>
    </w:p>
    <w:p w14:paraId="7DC0D998">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530" w:name="_Toc29637"/>
      <w:r>
        <w:rPr>
          <w:rFonts w:hint="default" w:ascii="Times New Roman" w:hAnsi="Times New Roman" w:eastAsia="仿宋_GB2312" w:cs="Times New Roman"/>
          <w:color w:val="auto"/>
          <w:spacing w:val="0"/>
          <w:kern w:val="0"/>
          <w:position w:val="0"/>
          <w:sz w:val="24"/>
          <w:szCs w:val="24"/>
        </w:rPr>
        <w:t>（5）当判断企业层面无法进行救援时，向总指挥提议请求外界支援，并组织人员采取防止事故扩大的冷却、隔离、转移重要物资等先期处置工作。</w:t>
      </w:r>
      <w:bookmarkEnd w:id="530"/>
    </w:p>
    <w:p w14:paraId="4FE3BD48">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531" w:name="_Toc31779"/>
      <w:r>
        <w:rPr>
          <w:rFonts w:hint="default" w:ascii="Times New Roman" w:hAnsi="Times New Roman" w:eastAsia="仿宋_GB2312" w:cs="Times New Roman"/>
          <w:color w:val="auto"/>
          <w:spacing w:val="0"/>
          <w:kern w:val="0"/>
          <w:position w:val="0"/>
          <w:sz w:val="24"/>
          <w:szCs w:val="24"/>
        </w:rPr>
        <w:t>（6）当外界支援力量到达后，组织人员协助其开展事故救援，并做好后勤保障工作。</w:t>
      </w:r>
      <w:bookmarkEnd w:id="531"/>
    </w:p>
    <w:p w14:paraId="11A65C12">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532" w:name="_Toc30980"/>
      <w:r>
        <w:rPr>
          <w:rFonts w:hint="default" w:ascii="Times New Roman" w:hAnsi="Times New Roman" w:eastAsia="仿宋_GB2312" w:cs="Times New Roman"/>
          <w:color w:val="auto"/>
          <w:spacing w:val="0"/>
          <w:kern w:val="0"/>
          <w:position w:val="0"/>
          <w:sz w:val="24"/>
          <w:szCs w:val="24"/>
        </w:rPr>
        <w:t>（7）事故救援工作结束后，负责事故现场及有害物质扩散区域内的洗消工作，并保护现场，配合开展善后处理和事故调查工作。</w:t>
      </w:r>
      <w:bookmarkEnd w:id="532"/>
    </w:p>
    <w:p w14:paraId="1E2D4A3E">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533" w:name="_Toc22429"/>
      <w:r>
        <w:rPr>
          <w:rFonts w:hint="default" w:ascii="Times New Roman" w:hAnsi="Times New Roman" w:eastAsia="仿宋_GB2312" w:cs="Times New Roman"/>
          <w:color w:val="auto"/>
          <w:spacing w:val="0"/>
          <w:kern w:val="0"/>
          <w:position w:val="0"/>
          <w:sz w:val="24"/>
          <w:szCs w:val="24"/>
        </w:rPr>
        <w:t>三、生产车间事故应急处置卡</w:t>
      </w:r>
      <w:bookmarkEnd w:id="533"/>
    </w:p>
    <w:p w14:paraId="5D54B87C">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534" w:name="_Toc13967"/>
      <w:r>
        <w:rPr>
          <w:rFonts w:hint="default" w:ascii="Times New Roman" w:hAnsi="Times New Roman" w:eastAsia="仿宋_GB2312" w:cs="Times New Roman"/>
          <w:color w:val="auto"/>
          <w:spacing w:val="0"/>
          <w:kern w:val="0"/>
          <w:position w:val="0"/>
          <w:sz w:val="24"/>
          <w:szCs w:val="24"/>
        </w:rPr>
        <w:t>（1）生产车间发生爆炸、火灾事故时，由安全员立即切断电源，设备停止运行。</w:t>
      </w:r>
      <w:bookmarkEnd w:id="534"/>
    </w:p>
    <w:p w14:paraId="61301477">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535" w:name="_Toc31284"/>
      <w:r>
        <w:rPr>
          <w:rFonts w:hint="default" w:ascii="Times New Roman" w:hAnsi="Times New Roman" w:eastAsia="仿宋_GB2312" w:cs="Times New Roman"/>
          <w:color w:val="auto"/>
          <w:spacing w:val="0"/>
          <w:kern w:val="0"/>
          <w:position w:val="0"/>
          <w:sz w:val="24"/>
          <w:szCs w:val="24"/>
        </w:rPr>
        <w:t>（2）控制火势，并清空灾区附近易燃物质。</w:t>
      </w:r>
      <w:bookmarkEnd w:id="535"/>
    </w:p>
    <w:p w14:paraId="71D1F37D">
      <w:pPr>
        <w:keepNext w:val="0"/>
        <w:keepLines w:val="0"/>
        <w:pageBreakBefore w:val="0"/>
        <w:widowControl/>
        <w:kinsoku/>
        <w:wordWrap/>
        <w:overflowPunct/>
        <w:topLinePunct w:val="0"/>
        <w:autoSpaceDE w:val="0"/>
        <w:autoSpaceDN w:val="0"/>
        <w:bidi w:val="0"/>
        <w:adjustRightInd w:val="0"/>
        <w:snapToGrid w:val="0"/>
        <w:spacing w:beforeAutospacing="0" w:afterAutospacing="0" w:line="500" w:lineRule="exact"/>
        <w:ind w:left="0" w:leftChars="0" w:right="0" w:firstLine="480" w:firstLineChars="200"/>
        <w:textAlignment w:val="baseline"/>
        <w:outlineLvl w:val="9"/>
        <w:rPr>
          <w:rFonts w:hint="default" w:ascii="Times New Roman" w:hAnsi="Times New Roman" w:eastAsia="仿宋_GB2312" w:cs="Times New Roman"/>
          <w:color w:val="auto"/>
          <w:spacing w:val="0"/>
          <w:kern w:val="0"/>
          <w:position w:val="0"/>
          <w:sz w:val="24"/>
          <w:szCs w:val="24"/>
        </w:rPr>
      </w:pPr>
      <w:bookmarkStart w:id="536" w:name="_Toc23494"/>
      <w:r>
        <w:rPr>
          <w:rFonts w:hint="default" w:ascii="Times New Roman" w:hAnsi="Times New Roman" w:eastAsia="仿宋_GB2312" w:cs="Times New Roman"/>
          <w:color w:val="auto"/>
          <w:spacing w:val="0"/>
          <w:kern w:val="0"/>
          <w:position w:val="0"/>
          <w:sz w:val="24"/>
          <w:szCs w:val="24"/>
        </w:rPr>
        <w:t>（3）消除泄漏点附近的着火源，包括熄灭明火，不准动用非防爆电器，不使用发生金属撞击和碰撞可能产生火花的物品。</w:t>
      </w:r>
      <w:bookmarkEnd w:id="536"/>
    </w:p>
    <w:p w14:paraId="479A021A">
      <w:pPr>
        <w:pStyle w:val="12"/>
        <w:keepNext w:val="0"/>
        <w:keepLines w:val="0"/>
        <w:pageBreakBefore w:val="0"/>
        <w:widowControl w:val="0"/>
        <w:kinsoku/>
        <w:wordWrap/>
        <w:overflowPunct/>
        <w:topLinePunct w:val="0"/>
        <w:autoSpaceDE/>
        <w:autoSpaceDN/>
        <w:bidi w:val="0"/>
        <w:adjustRightInd w:val="0"/>
        <w:snapToGrid w:val="0"/>
        <w:spacing w:after="0" w:afterLines="0" w:line="500" w:lineRule="exact"/>
        <w:ind w:left="0" w:leftChars="0" w:right="0" w:firstLine="480" w:firstLineChars="200"/>
        <w:jc w:val="left"/>
        <w:textAlignment w:val="auto"/>
        <w:rPr>
          <w:rFonts w:hint="default" w:ascii="Times New Roman" w:hAnsi="Times New Roman" w:eastAsia="仿宋_GB2312" w:cs="Times New Roman"/>
          <w:color w:val="auto"/>
          <w:spacing w:val="0"/>
          <w:kern w:val="0"/>
          <w:position w:val="0"/>
          <w:sz w:val="24"/>
          <w:szCs w:val="24"/>
          <w:lang w:eastAsia="zh-CN"/>
        </w:rPr>
      </w:pPr>
      <w:bookmarkStart w:id="537" w:name="_Toc1985"/>
      <w:r>
        <w:rPr>
          <w:rFonts w:hint="default" w:ascii="Times New Roman" w:hAnsi="Times New Roman" w:eastAsia="仿宋_GB2312" w:cs="Times New Roman"/>
          <w:color w:val="auto"/>
          <w:spacing w:val="0"/>
          <w:kern w:val="0"/>
          <w:position w:val="0"/>
          <w:sz w:val="24"/>
          <w:szCs w:val="24"/>
        </w:rPr>
        <w:t>（4）在事故现场周围设置警戒线，警戒线内严禁任何火源存在，在下风向布置较大范围的警戒</w:t>
      </w:r>
      <w:r>
        <w:rPr>
          <w:rFonts w:hint="default" w:ascii="Times New Roman" w:hAnsi="Times New Roman" w:eastAsia="仿宋_GB2312" w:cs="Times New Roman"/>
          <w:color w:val="auto"/>
          <w:spacing w:val="0"/>
          <w:kern w:val="0"/>
          <w:position w:val="0"/>
          <w:sz w:val="24"/>
          <w:szCs w:val="24"/>
          <w:lang w:eastAsia="zh-CN"/>
        </w:rPr>
        <w:t>。</w:t>
      </w:r>
    </w:p>
    <w:p w14:paraId="711F4605">
      <w:pPr>
        <w:pStyle w:val="12"/>
        <w:keepNext w:val="0"/>
        <w:keepLines w:val="0"/>
        <w:pageBreakBefore w:val="0"/>
        <w:widowControl w:val="0"/>
        <w:kinsoku/>
        <w:wordWrap/>
        <w:overflowPunct/>
        <w:topLinePunct w:val="0"/>
        <w:autoSpaceDE/>
        <w:autoSpaceDN/>
        <w:bidi w:val="0"/>
        <w:adjustRightInd w:val="0"/>
        <w:snapToGrid w:val="0"/>
        <w:spacing w:after="0" w:afterLines="0" w:line="500" w:lineRule="exact"/>
        <w:ind w:left="0" w:leftChars="0" w:right="0" w:firstLine="480" w:firstLineChars="200"/>
        <w:jc w:val="left"/>
        <w:textAlignment w:val="auto"/>
        <w:rPr>
          <w:rFonts w:hint="default" w:ascii="Times New Roman" w:hAnsi="Times New Roman" w:eastAsia="仿宋_GB2312" w:cs="Times New Roman"/>
          <w:color w:val="auto"/>
          <w:spacing w:val="0"/>
          <w:kern w:val="0"/>
          <w:position w:val="0"/>
          <w:sz w:val="24"/>
          <w:szCs w:val="24"/>
        </w:rPr>
      </w:pPr>
      <w:r>
        <w:rPr>
          <w:rFonts w:hint="default" w:ascii="Times New Roman" w:hAnsi="Times New Roman" w:eastAsia="仿宋_GB2312" w:cs="Times New Roman"/>
          <w:color w:val="auto"/>
          <w:spacing w:val="0"/>
          <w:kern w:val="0"/>
          <w:position w:val="0"/>
          <w:sz w:val="24"/>
          <w:szCs w:val="24"/>
        </w:rPr>
        <w:t>应急处置卡主要内容如下：</w:t>
      </w:r>
    </w:p>
    <w:p w14:paraId="04FDBCDA">
      <w:pPr>
        <w:widowControl/>
        <w:spacing w:before="296" w:beforeLines="50" w:after="296" w:afterLines="50"/>
        <w:jc w:val="center"/>
        <w:rPr>
          <w:rFonts w:hint="default" w:ascii="Times New Roman" w:hAnsi="Times New Roman" w:eastAsia="仿宋_GB2312" w:cs="Times New Roman"/>
          <w:b/>
          <w:color w:val="auto"/>
          <w:kern w:val="0"/>
          <w:sz w:val="24"/>
          <w:szCs w:val="24"/>
          <w:lang w:val="en-US" w:eastAsia="zh-CN"/>
        </w:rPr>
      </w:pPr>
    </w:p>
    <w:p w14:paraId="572AB154">
      <w:pPr>
        <w:pageBreakBefore w:val="0"/>
        <w:kinsoku/>
        <w:wordWrap/>
        <w:bidi w:val="0"/>
        <w:adjustRightInd w:val="0"/>
        <w:snapToGrid w:val="0"/>
        <w:spacing w:beforeAutospacing="0" w:afterAutospacing="0" w:line="500" w:lineRule="exact"/>
        <w:ind w:left="0" w:leftChars="0" w:right="0"/>
        <w:jc w:val="center"/>
        <w:rPr>
          <w:rFonts w:hint="default" w:ascii="Times New Roman" w:hAnsi="Times New Roman" w:eastAsia="仿宋_GB2312" w:cs="Times New Roman"/>
          <w:b/>
          <w:color w:val="auto"/>
          <w:spacing w:val="0"/>
          <w:kern w:val="0"/>
          <w:position w:val="0"/>
          <w:szCs w:val="28"/>
        </w:rPr>
      </w:pPr>
      <w:r>
        <w:rPr>
          <w:rFonts w:hint="default" w:ascii="Times New Roman" w:hAnsi="Times New Roman" w:eastAsia="仿宋_GB2312" w:cs="Times New Roman"/>
          <w:b/>
          <w:color w:val="auto"/>
          <w:spacing w:val="0"/>
          <w:kern w:val="0"/>
          <w:position w:val="0"/>
          <w:szCs w:val="28"/>
          <w:lang w:val="en-US" w:eastAsia="zh-CN"/>
        </w:rPr>
        <w:t>表5.11-1</w:t>
      </w:r>
      <w:r>
        <w:rPr>
          <w:rFonts w:hint="eastAsia" w:ascii="Times New Roman" w:hAnsi="Times New Roman" w:eastAsia="仿宋_GB2312" w:cs="Times New Roman"/>
          <w:b/>
          <w:color w:val="auto"/>
          <w:spacing w:val="0"/>
          <w:kern w:val="0"/>
          <w:position w:val="0"/>
          <w:szCs w:val="28"/>
          <w:lang w:val="en-US" w:eastAsia="zh-CN"/>
        </w:rPr>
        <w:t xml:space="preserve">  </w:t>
      </w:r>
      <w:r>
        <w:rPr>
          <w:rFonts w:hint="default" w:ascii="Times New Roman" w:hAnsi="Times New Roman" w:eastAsia="仿宋_GB2312" w:cs="Times New Roman"/>
          <w:b/>
          <w:color w:val="auto"/>
          <w:spacing w:val="0"/>
          <w:kern w:val="0"/>
          <w:position w:val="0"/>
          <w:szCs w:val="28"/>
        </w:rPr>
        <w:t>应急处置卡（企业负责人）</w:t>
      </w:r>
    </w:p>
    <w:tbl>
      <w:tblPr>
        <w:tblStyle w:val="31"/>
        <w:tblW w:w="4999"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32"/>
        <w:gridCol w:w="7826"/>
      </w:tblGrid>
      <w:tr w14:paraId="5EF566A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8" w:hRule="atLeast"/>
          <w:jc w:val="center"/>
        </w:trPr>
        <w:tc>
          <w:tcPr>
            <w:tcW w:w="680" w:type="pct"/>
            <w:tcBorders>
              <w:tl2br w:val="nil"/>
              <w:tr2bl w:val="nil"/>
            </w:tcBorders>
            <w:noWrap w:val="0"/>
            <w:vAlign w:val="center"/>
          </w:tcPr>
          <w:p w14:paraId="6355D351">
            <w:pPr>
              <w:widowControl/>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岗位名称</w:t>
            </w:r>
          </w:p>
        </w:tc>
        <w:tc>
          <w:tcPr>
            <w:tcW w:w="4319" w:type="pct"/>
            <w:tcBorders>
              <w:tl2br w:val="nil"/>
              <w:tr2bl w:val="nil"/>
            </w:tcBorders>
            <w:noWrap w:val="0"/>
            <w:vAlign w:val="center"/>
          </w:tcPr>
          <w:p w14:paraId="0E43B7A6">
            <w:pPr>
              <w:widowControl/>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总经理</w:t>
            </w:r>
          </w:p>
        </w:tc>
      </w:tr>
      <w:tr w14:paraId="5109785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15" w:hRule="atLeast"/>
          <w:jc w:val="center"/>
        </w:trPr>
        <w:tc>
          <w:tcPr>
            <w:tcW w:w="680" w:type="pct"/>
            <w:tcBorders>
              <w:tl2br w:val="nil"/>
              <w:tr2bl w:val="nil"/>
            </w:tcBorders>
            <w:noWrap w:val="0"/>
            <w:vAlign w:val="center"/>
          </w:tcPr>
          <w:p w14:paraId="1B4A0A80">
            <w:pPr>
              <w:widowControl/>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事故处置程序及职责</w:t>
            </w:r>
          </w:p>
        </w:tc>
        <w:tc>
          <w:tcPr>
            <w:tcW w:w="4319" w:type="pct"/>
            <w:tcBorders>
              <w:tl2br w:val="nil"/>
              <w:tr2bl w:val="nil"/>
            </w:tcBorders>
            <w:noWrap w:val="0"/>
            <w:vAlign w:val="center"/>
          </w:tcPr>
          <w:p w14:paraId="28CE75BD">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1、接受</w:t>
            </w:r>
            <w:r>
              <w:rPr>
                <w:rFonts w:hint="default" w:ascii="Times New Roman" w:hAnsi="Times New Roman" w:eastAsia="仿宋_GB2312" w:cs="Times New Roman"/>
                <w:color w:val="auto"/>
                <w:kern w:val="0"/>
                <w:sz w:val="21"/>
                <w:szCs w:val="21"/>
                <w:lang w:val="en-US" w:eastAsia="zh-CN"/>
              </w:rPr>
              <w:t>上级应急指挥中心</w:t>
            </w:r>
            <w:r>
              <w:rPr>
                <w:rFonts w:hint="default" w:ascii="Times New Roman" w:hAnsi="Times New Roman" w:eastAsia="仿宋_GB2312" w:cs="Times New Roman"/>
                <w:color w:val="auto"/>
                <w:kern w:val="0"/>
                <w:sz w:val="21"/>
                <w:szCs w:val="21"/>
              </w:rPr>
              <w:t xml:space="preserve">的领导，请示并落实指令； </w:t>
            </w:r>
          </w:p>
          <w:p w14:paraId="09F319BF">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2、审定并签发综合应急预案和专项应急预案；</w:t>
            </w:r>
          </w:p>
          <w:p w14:paraId="2377B5D0">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3、下达预警和预警解除指令；</w:t>
            </w:r>
          </w:p>
          <w:p w14:paraId="3979D782">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4、下达应急预案启动和终止指令；</w:t>
            </w:r>
          </w:p>
          <w:p w14:paraId="1D80314B">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5、在现场应急指挥部人员到达现场之前，指令现场指挥负责人应急处置工作；</w:t>
            </w:r>
          </w:p>
          <w:p w14:paraId="73143FB1">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6、统一协调应急资源；</w:t>
            </w:r>
          </w:p>
          <w:p w14:paraId="62C6B4B7">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7、在应急处置过程中，负责向应急指挥中心求援或配合政府应急工作；</w:t>
            </w:r>
          </w:p>
          <w:p w14:paraId="7233E4F4">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8、依据协议，统一协调社会救援力量；</w:t>
            </w:r>
          </w:p>
          <w:p w14:paraId="6D6C91E4">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9、审定并签发应急指挥中心的报告；</w:t>
            </w:r>
          </w:p>
          <w:p w14:paraId="2D902F78">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10、指定新闻发言人，审定新闻发布材料；</w:t>
            </w:r>
          </w:p>
          <w:p w14:paraId="266215DD">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11、组织应急预案的演练；</w:t>
            </w:r>
          </w:p>
          <w:p w14:paraId="017782A3">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12、审查应急工作的考核结果；</w:t>
            </w:r>
          </w:p>
          <w:p w14:paraId="2580F380">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13、审批重特大事故应急救援费用；</w:t>
            </w:r>
          </w:p>
          <w:p w14:paraId="0597F97C">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14、当地公安消防负责人赶到，将指挥权移交公安消防负责人统一指挥。</w:t>
            </w:r>
          </w:p>
        </w:tc>
      </w:tr>
      <w:tr w14:paraId="11B26D0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735" w:hRule="atLeast"/>
          <w:jc w:val="center"/>
        </w:trPr>
        <w:tc>
          <w:tcPr>
            <w:tcW w:w="680" w:type="pct"/>
            <w:tcBorders>
              <w:tl2br w:val="nil"/>
              <w:tr2bl w:val="nil"/>
            </w:tcBorders>
            <w:noWrap w:val="0"/>
            <w:vAlign w:val="center"/>
          </w:tcPr>
          <w:p w14:paraId="6D77B2D6">
            <w:pPr>
              <w:widowControl/>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注意事项</w:t>
            </w:r>
          </w:p>
        </w:tc>
        <w:tc>
          <w:tcPr>
            <w:tcW w:w="4319" w:type="pct"/>
            <w:tcBorders>
              <w:tl2br w:val="nil"/>
              <w:tr2bl w:val="nil"/>
            </w:tcBorders>
            <w:noWrap w:val="0"/>
            <w:vAlign w:val="center"/>
          </w:tcPr>
          <w:p w14:paraId="0EE2F6A7">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1、无法独立完成救援时，向省公司报告，并向政府请求支援，必要时向联防单位发出救援请求；</w:t>
            </w:r>
          </w:p>
          <w:p w14:paraId="0055EEAF">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2、组织应急救援时应保持镇静，做出正确的判断，行动迅速。</w:t>
            </w:r>
          </w:p>
        </w:tc>
      </w:tr>
    </w:tbl>
    <w:p w14:paraId="100BFD23">
      <w:pPr>
        <w:pageBreakBefore w:val="0"/>
        <w:kinsoku/>
        <w:wordWrap/>
        <w:bidi w:val="0"/>
        <w:adjustRightInd w:val="0"/>
        <w:snapToGrid w:val="0"/>
        <w:spacing w:beforeAutospacing="0" w:afterAutospacing="0" w:line="500" w:lineRule="exact"/>
        <w:ind w:left="0" w:leftChars="0" w:right="0"/>
        <w:jc w:val="center"/>
        <w:rPr>
          <w:rFonts w:hint="default" w:ascii="Times New Roman" w:hAnsi="Times New Roman" w:eastAsia="仿宋_GB2312" w:cs="Times New Roman"/>
          <w:b/>
          <w:color w:val="auto"/>
          <w:spacing w:val="0"/>
          <w:kern w:val="0"/>
          <w:position w:val="0"/>
          <w:szCs w:val="28"/>
          <w:lang w:val="en-US" w:eastAsia="zh-CN"/>
        </w:rPr>
      </w:pPr>
      <w:r>
        <w:rPr>
          <w:rFonts w:hint="default" w:ascii="Times New Roman" w:hAnsi="Times New Roman" w:eastAsia="仿宋_GB2312" w:cs="Times New Roman"/>
          <w:b/>
          <w:color w:val="auto"/>
          <w:spacing w:val="0"/>
          <w:kern w:val="0"/>
          <w:position w:val="0"/>
          <w:szCs w:val="28"/>
          <w:lang w:val="zh-CN" w:eastAsia="zh-CN"/>
        </w:rPr>
        <w:t>表</w:t>
      </w:r>
      <w:r>
        <w:rPr>
          <w:rFonts w:hint="default" w:ascii="Times New Roman" w:hAnsi="Times New Roman" w:eastAsia="仿宋_GB2312" w:cs="Times New Roman"/>
          <w:b/>
          <w:color w:val="auto"/>
          <w:spacing w:val="0"/>
          <w:kern w:val="0"/>
          <w:position w:val="0"/>
          <w:szCs w:val="28"/>
          <w:lang w:val="en-US" w:eastAsia="zh-CN"/>
        </w:rPr>
        <w:t>5.11-2  危废仓库</w:t>
      </w:r>
      <w:r>
        <w:rPr>
          <w:rFonts w:hint="default" w:ascii="Times New Roman" w:hAnsi="Times New Roman" w:eastAsia="仿宋_GB2312" w:cs="Times New Roman"/>
          <w:b/>
          <w:color w:val="auto"/>
          <w:spacing w:val="0"/>
          <w:kern w:val="0"/>
          <w:position w:val="0"/>
          <w:szCs w:val="28"/>
          <w:lang w:val="zh-CN" w:eastAsia="zh-CN"/>
        </w:rPr>
        <w:t>泄漏、火灾事故应急处置卡</w:t>
      </w:r>
    </w:p>
    <w:tbl>
      <w:tblPr>
        <w:tblStyle w:val="31"/>
        <w:tblW w:w="4999"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149"/>
        <w:gridCol w:w="7909"/>
      </w:tblGrid>
      <w:tr w14:paraId="3B0E6A2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516" w:hRule="atLeast"/>
          <w:jc w:val="center"/>
        </w:trPr>
        <w:tc>
          <w:tcPr>
            <w:tcW w:w="634" w:type="pct"/>
            <w:tcBorders>
              <w:tl2br w:val="nil"/>
              <w:tr2bl w:val="nil"/>
            </w:tcBorders>
            <w:noWrap w:val="0"/>
            <w:vAlign w:val="center"/>
          </w:tcPr>
          <w:p w14:paraId="22F37BF9">
            <w:pPr>
              <w:pageBreakBefore w:val="0"/>
              <w:kinsoku/>
              <w:topLinePunct w:val="0"/>
              <w:bidi w:val="0"/>
              <w:adjustRightInd w:val="0"/>
              <w:snapToGrid w:val="0"/>
              <w:ind w:left="0" w:leftChars="0" w:right="0"/>
              <w:jc w:val="center"/>
              <w:rPr>
                <w:rFonts w:hint="default" w:ascii="Times New Roman" w:hAnsi="Times New Roman" w:eastAsia="仿宋_GB2312" w:cs="Times New Roman"/>
                <w:b/>
                <w:color w:val="auto"/>
                <w:kern w:val="2"/>
                <w:sz w:val="21"/>
                <w:szCs w:val="21"/>
                <w:lang w:val="en-US" w:eastAsia="zh-CN" w:bidi="ar-SA"/>
              </w:rPr>
            </w:pPr>
            <w:r>
              <w:rPr>
                <w:rFonts w:hint="default" w:ascii="Times New Roman" w:hAnsi="Times New Roman" w:eastAsia="仿宋_GB2312" w:cs="Times New Roman"/>
                <w:b/>
                <w:color w:val="auto"/>
                <w:sz w:val="21"/>
                <w:szCs w:val="21"/>
                <w:lang w:eastAsia="zh-CN"/>
              </w:rPr>
              <w:t>类型</w:t>
            </w:r>
          </w:p>
        </w:tc>
        <w:tc>
          <w:tcPr>
            <w:tcW w:w="4365" w:type="pct"/>
            <w:tcBorders>
              <w:tl2br w:val="nil"/>
              <w:tr2bl w:val="nil"/>
            </w:tcBorders>
            <w:noWrap w:val="0"/>
            <w:vAlign w:val="center"/>
          </w:tcPr>
          <w:p w14:paraId="13B6E0BC">
            <w:pPr>
              <w:pageBreakBefore w:val="0"/>
              <w:kinsoku/>
              <w:topLinePunct w:val="0"/>
              <w:bidi w:val="0"/>
              <w:adjustRightInd w:val="0"/>
              <w:snapToGrid w:val="0"/>
              <w:ind w:left="0" w:leftChars="0" w:right="0"/>
              <w:jc w:val="both"/>
              <w:rPr>
                <w:rFonts w:hint="default" w:ascii="Times New Roman" w:hAnsi="Times New Roman" w:eastAsia="仿宋_GB2312" w:cs="Times New Roman"/>
                <w:color w:val="auto"/>
                <w:kern w:val="2"/>
                <w:sz w:val="21"/>
                <w:szCs w:val="21"/>
                <w:lang w:val="zh-CN" w:eastAsia="zh-CN" w:bidi="ar-SA"/>
              </w:rPr>
            </w:pPr>
            <w:r>
              <w:rPr>
                <w:rFonts w:hint="default" w:ascii="Times New Roman" w:hAnsi="Times New Roman" w:eastAsia="仿宋_GB2312" w:cs="Times New Roman"/>
                <w:color w:val="auto"/>
                <w:sz w:val="21"/>
                <w:szCs w:val="21"/>
                <w:lang w:val="zh-CN" w:eastAsia="zh-CN"/>
              </w:rPr>
              <w:t>危废仓库</w:t>
            </w:r>
            <w:r>
              <w:rPr>
                <w:rFonts w:hint="default" w:ascii="Times New Roman" w:hAnsi="Times New Roman" w:eastAsia="仿宋_GB2312" w:cs="Times New Roman"/>
                <w:color w:val="auto"/>
                <w:sz w:val="21"/>
                <w:szCs w:val="21"/>
                <w:lang w:val="zh-CN"/>
              </w:rPr>
              <w:t>泄漏、</w:t>
            </w:r>
            <w:r>
              <w:rPr>
                <w:rFonts w:hint="default" w:ascii="Times New Roman" w:hAnsi="Times New Roman" w:eastAsia="仿宋_GB2312" w:cs="Times New Roman"/>
                <w:color w:val="auto"/>
                <w:sz w:val="21"/>
                <w:szCs w:val="21"/>
                <w:lang w:val="en-US" w:eastAsia="zh-CN"/>
              </w:rPr>
              <w:t>火灾</w:t>
            </w:r>
            <w:r>
              <w:rPr>
                <w:rFonts w:hint="default" w:ascii="Times New Roman" w:hAnsi="Times New Roman" w:eastAsia="仿宋_GB2312" w:cs="Times New Roman"/>
                <w:color w:val="auto"/>
                <w:sz w:val="21"/>
                <w:szCs w:val="21"/>
                <w:lang w:val="zh-CN"/>
              </w:rPr>
              <w:t>事故现场处置方案</w:t>
            </w:r>
          </w:p>
        </w:tc>
      </w:tr>
      <w:tr w14:paraId="40E1B5E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606" w:hRule="atLeast"/>
          <w:jc w:val="center"/>
        </w:trPr>
        <w:tc>
          <w:tcPr>
            <w:tcW w:w="634" w:type="pct"/>
            <w:tcBorders>
              <w:tl2br w:val="nil"/>
              <w:tr2bl w:val="nil"/>
            </w:tcBorders>
            <w:noWrap w:val="0"/>
            <w:vAlign w:val="center"/>
          </w:tcPr>
          <w:p w14:paraId="55A399C1">
            <w:pPr>
              <w:pageBreakBefore w:val="0"/>
              <w:kinsoku/>
              <w:topLinePunct w:val="0"/>
              <w:bidi w:val="0"/>
              <w:adjustRightInd w:val="0"/>
              <w:snapToGrid w:val="0"/>
              <w:ind w:left="0" w:leftChars="0" w:right="0"/>
              <w:jc w:val="center"/>
              <w:rPr>
                <w:rFonts w:hint="default" w:ascii="Times New Roman" w:hAnsi="Times New Roman" w:eastAsia="仿宋_GB2312" w:cs="Times New Roman"/>
                <w:b/>
                <w:color w:val="auto"/>
                <w:sz w:val="21"/>
                <w:szCs w:val="21"/>
                <w:lang w:eastAsia="zh-CN"/>
              </w:rPr>
            </w:pPr>
            <w:r>
              <w:rPr>
                <w:rFonts w:hint="default" w:ascii="Times New Roman" w:hAnsi="Times New Roman" w:eastAsia="仿宋_GB2312" w:cs="Times New Roman"/>
                <w:b/>
                <w:color w:val="auto"/>
                <w:sz w:val="21"/>
                <w:szCs w:val="21"/>
                <w:lang w:eastAsia="zh-CN"/>
              </w:rPr>
              <w:t>环境风</w:t>
            </w:r>
          </w:p>
          <w:p w14:paraId="758DCD37">
            <w:pPr>
              <w:pageBreakBefore w:val="0"/>
              <w:kinsoku/>
              <w:topLinePunct w:val="0"/>
              <w:bidi w:val="0"/>
              <w:adjustRightInd w:val="0"/>
              <w:snapToGrid w:val="0"/>
              <w:ind w:left="0" w:leftChars="0" w:right="0"/>
              <w:jc w:val="center"/>
              <w:rPr>
                <w:rFonts w:hint="default" w:ascii="Times New Roman" w:hAnsi="Times New Roman" w:eastAsia="仿宋_GB2312" w:cs="Times New Roman"/>
                <w:b/>
                <w:color w:val="auto"/>
                <w:kern w:val="2"/>
                <w:sz w:val="21"/>
                <w:szCs w:val="21"/>
                <w:lang w:val="en-US" w:eastAsia="zh-CN" w:bidi="ar-SA"/>
              </w:rPr>
            </w:pPr>
            <w:r>
              <w:rPr>
                <w:rFonts w:hint="default" w:ascii="Times New Roman" w:hAnsi="Times New Roman" w:eastAsia="仿宋_GB2312" w:cs="Times New Roman"/>
                <w:b/>
                <w:color w:val="auto"/>
                <w:sz w:val="21"/>
                <w:szCs w:val="21"/>
                <w:lang w:eastAsia="zh-CN"/>
              </w:rPr>
              <w:t>险物质</w:t>
            </w:r>
          </w:p>
        </w:tc>
        <w:tc>
          <w:tcPr>
            <w:tcW w:w="4365" w:type="pct"/>
            <w:tcBorders>
              <w:tl2br w:val="nil"/>
              <w:tr2bl w:val="nil"/>
            </w:tcBorders>
            <w:noWrap w:val="0"/>
            <w:vAlign w:val="center"/>
          </w:tcPr>
          <w:p w14:paraId="43BB8D17">
            <w:pPr>
              <w:keepNext w:val="0"/>
              <w:keepLines w:val="0"/>
              <w:pageBreakBefore w:val="0"/>
              <w:kinsoku/>
              <w:wordWrap/>
              <w:overflowPunct/>
              <w:topLinePunct w:val="0"/>
              <w:bidi w:val="0"/>
              <w:adjustRightInd w:val="0"/>
              <w:snapToGrid w:val="0"/>
              <w:spacing w:line="240" w:lineRule="auto"/>
              <w:ind w:left="0" w:leftChars="0" w:right="0"/>
              <w:jc w:val="both"/>
              <w:textAlignment w:val="auto"/>
              <w:rPr>
                <w:rFonts w:hint="default" w:ascii="Times New Roman" w:hAnsi="Times New Roman" w:eastAsia="仿宋_GB2312" w:cs="Times New Roman"/>
                <w:b/>
                <w:color w:val="auto"/>
                <w:kern w:val="2"/>
                <w:sz w:val="21"/>
                <w:szCs w:val="21"/>
                <w:lang w:val="en-US" w:eastAsia="zh-CN" w:bidi="ar-SA"/>
              </w:rPr>
            </w:pPr>
            <w:r>
              <w:rPr>
                <w:rFonts w:hint="default" w:ascii="Times New Roman" w:hAnsi="Times New Roman" w:eastAsia="仿宋_GB2312" w:cs="Times New Roman"/>
                <w:i w:val="0"/>
                <w:color w:val="auto"/>
                <w:kern w:val="0"/>
                <w:sz w:val="21"/>
                <w:szCs w:val="21"/>
                <w:lang w:val="en-US" w:eastAsia="zh-CN" w:bidi="ar"/>
              </w:rPr>
              <w:t>废机油、废油桶、</w:t>
            </w:r>
            <w:r>
              <w:rPr>
                <w:rFonts w:eastAsia="仿宋_GB2312"/>
                <w:kern w:val="0"/>
                <w:sz w:val="21"/>
                <w:szCs w:val="21"/>
              </w:rPr>
              <w:t>废漆桶</w:t>
            </w:r>
            <w:r>
              <w:rPr>
                <w:rFonts w:hint="default" w:ascii="Times New Roman" w:hAnsi="Times New Roman" w:eastAsia="仿宋_GB2312" w:cs="Times New Roman"/>
                <w:color w:val="auto"/>
                <w:spacing w:val="0"/>
                <w:kern w:val="0"/>
                <w:position w:val="0"/>
                <w:sz w:val="21"/>
                <w:szCs w:val="21"/>
                <w:lang w:eastAsia="zh-CN"/>
              </w:rPr>
              <w:t>、</w:t>
            </w:r>
            <w:r>
              <w:rPr>
                <w:rFonts w:eastAsia="仿宋_GB2312"/>
                <w:kern w:val="0"/>
                <w:sz w:val="21"/>
                <w:szCs w:val="21"/>
              </w:rPr>
              <w:t>废漆刷</w:t>
            </w:r>
            <w:r>
              <w:rPr>
                <w:rFonts w:hint="eastAsia" w:eastAsia="仿宋_GB2312"/>
                <w:kern w:val="0"/>
                <w:sz w:val="21"/>
                <w:szCs w:val="21"/>
                <w:lang w:eastAsia="zh-CN"/>
              </w:rPr>
              <w:t>、</w:t>
            </w:r>
            <w:r>
              <w:rPr>
                <w:rFonts w:hint="eastAsia" w:eastAsia="仿宋_GB2312"/>
                <w:kern w:val="0"/>
                <w:sz w:val="21"/>
                <w:szCs w:val="21"/>
              </w:rPr>
              <w:t>实验室废液</w:t>
            </w:r>
            <w:r>
              <w:rPr>
                <w:rFonts w:hint="default" w:ascii="Times New Roman" w:hAnsi="Times New Roman" w:eastAsia="仿宋_GB2312" w:cs="Times New Roman"/>
                <w:color w:val="auto"/>
                <w:spacing w:val="0"/>
                <w:kern w:val="0"/>
                <w:position w:val="0"/>
                <w:sz w:val="21"/>
                <w:szCs w:val="21"/>
                <w:lang w:val="en-US" w:eastAsia="zh-CN"/>
              </w:rPr>
              <w:t>等</w:t>
            </w:r>
          </w:p>
        </w:tc>
      </w:tr>
      <w:tr w14:paraId="081EB0F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634" w:type="pct"/>
            <w:tcBorders>
              <w:tl2br w:val="nil"/>
              <w:tr2bl w:val="nil"/>
            </w:tcBorders>
            <w:noWrap w:val="0"/>
            <w:vAlign w:val="center"/>
          </w:tcPr>
          <w:p w14:paraId="157326F1">
            <w:pPr>
              <w:pStyle w:val="14"/>
              <w:pageBreakBefore w:val="0"/>
              <w:kinsoku/>
              <w:topLinePunct w:val="0"/>
              <w:bidi w:val="0"/>
              <w:adjustRightInd w:val="0"/>
              <w:snapToGrid w:val="0"/>
              <w:ind w:left="0" w:leftChars="0" w:right="0" w:firstLine="0"/>
              <w:jc w:val="center"/>
              <w:rPr>
                <w:rFonts w:hint="default" w:ascii="Times New Roman" w:hAnsi="Times New Roman" w:eastAsia="仿宋_GB2312" w:cs="Times New Roman"/>
                <w:b/>
                <w:color w:val="auto"/>
                <w:kern w:val="2"/>
                <w:sz w:val="21"/>
                <w:szCs w:val="21"/>
                <w:lang w:val="en-US" w:eastAsia="zh-CN" w:bidi="ar-SA"/>
              </w:rPr>
            </w:pPr>
            <w:r>
              <w:rPr>
                <w:rFonts w:hint="default" w:ascii="Times New Roman" w:hAnsi="Times New Roman" w:eastAsia="仿宋_GB2312" w:cs="Times New Roman"/>
                <w:b/>
                <w:bCs/>
                <w:color w:val="auto"/>
                <w:sz w:val="21"/>
                <w:szCs w:val="21"/>
                <w:lang w:eastAsia="zh-CN"/>
              </w:rPr>
              <w:t>污染源切断方式</w:t>
            </w:r>
          </w:p>
        </w:tc>
        <w:tc>
          <w:tcPr>
            <w:tcW w:w="4365" w:type="pct"/>
            <w:tcBorders>
              <w:tl2br w:val="nil"/>
              <w:tr2bl w:val="nil"/>
            </w:tcBorders>
            <w:noWrap w:val="0"/>
            <w:vAlign w:val="center"/>
          </w:tcPr>
          <w:p w14:paraId="46258172">
            <w:pPr>
              <w:keepNext w:val="0"/>
              <w:keepLines w:val="0"/>
              <w:pageBreakBefore w:val="0"/>
              <w:kinsoku/>
              <w:wordWrap/>
              <w:overflowPunct/>
              <w:topLinePunct w:val="0"/>
              <w:bidi w:val="0"/>
              <w:adjustRightInd w:val="0"/>
              <w:snapToGrid w:val="0"/>
              <w:spacing w:line="240" w:lineRule="auto"/>
              <w:ind w:left="0" w:leftChars="0" w:right="0"/>
              <w:jc w:val="left"/>
              <w:textAlignment w:val="auto"/>
              <w:rPr>
                <w:rFonts w:hint="default" w:ascii="Times New Roman" w:hAnsi="Times New Roman" w:eastAsia="仿宋_GB2312" w:cs="Times New Roman"/>
                <w:b w:val="0"/>
                <w:bCs w:val="0"/>
                <w:color w:val="auto"/>
                <w:sz w:val="21"/>
                <w:szCs w:val="21"/>
                <w:lang w:eastAsia="zh-CN"/>
              </w:rPr>
            </w:pPr>
            <w:r>
              <w:rPr>
                <w:rFonts w:hint="default" w:ascii="Times New Roman" w:hAnsi="Times New Roman" w:eastAsia="仿宋_GB2312" w:cs="Times New Roman"/>
                <w:b w:val="0"/>
                <w:bCs w:val="0"/>
                <w:color w:val="auto"/>
                <w:sz w:val="21"/>
                <w:szCs w:val="21"/>
                <w:lang w:eastAsia="zh-CN"/>
              </w:rPr>
              <w:t>小量泄漏</w:t>
            </w:r>
          </w:p>
          <w:p w14:paraId="3028E3FE">
            <w:pPr>
              <w:keepNext w:val="0"/>
              <w:keepLines w:val="0"/>
              <w:pageBreakBefore w:val="0"/>
              <w:kinsoku/>
              <w:wordWrap/>
              <w:overflowPunct/>
              <w:topLinePunct w:val="0"/>
              <w:bidi w:val="0"/>
              <w:adjustRightInd w:val="0"/>
              <w:snapToGrid w:val="0"/>
              <w:spacing w:line="240" w:lineRule="auto"/>
              <w:ind w:left="0" w:leftChars="0" w:right="0"/>
              <w:jc w:val="left"/>
              <w:textAlignment w:val="auto"/>
              <w:rPr>
                <w:rFonts w:hint="default" w:ascii="Times New Roman" w:hAnsi="Times New Roman" w:eastAsia="仿宋_GB2312" w:cs="Times New Roman"/>
                <w:b w:val="0"/>
                <w:bCs w:val="0"/>
                <w:color w:val="auto"/>
                <w:sz w:val="21"/>
                <w:szCs w:val="21"/>
              </w:rPr>
            </w:pPr>
            <w:r>
              <w:rPr>
                <w:rFonts w:hint="default" w:ascii="Times New Roman" w:hAnsi="Times New Roman" w:eastAsia="仿宋_GB2312" w:cs="Times New Roman"/>
                <w:b w:val="0"/>
                <w:bCs w:val="0"/>
                <w:color w:val="auto"/>
                <w:sz w:val="21"/>
                <w:szCs w:val="21"/>
              </w:rPr>
              <w:t>①</w:t>
            </w:r>
            <w:r>
              <w:rPr>
                <w:rFonts w:hint="default" w:ascii="Times New Roman" w:hAnsi="Times New Roman" w:eastAsia="仿宋_GB2312" w:cs="Times New Roman"/>
                <w:b w:val="0"/>
                <w:bCs w:val="0"/>
                <w:color w:val="auto"/>
                <w:sz w:val="21"/>
                <w:szCs w:val="21"/>
                <w:lang w:val="en-US" w:eastAsia="zh-CN"/>
              </w:rPr>
              <w:t>立即</w:t>
            </w:r>
            <w:r>
              <w:rPr>
                <w:rFonts w:hint="default" w:ascii="Times New Roman" w:hAnsi="Times New Roman" w:eastAsia="仿宋_GB2312" w:cs="Times New Roman"/>
                <w:b w:val="0"/>
                <w:bCs w:val="0"/>
                <w:color w:val="auto"/>
                <w:kern w:val="2"/>
                <w:sz w:val="21"/>
                <w:szCs w:val="21"/>
                <w:lang w:val="en-US" w:eastAsia="zh-CN" w:bidi="ar-SA"/>
              </w:rPr>
              <w:t>疏散场所内所有未防护人员</w:t>
            </w:r>
            <w:r>
              <w:rPr>
                <w:rFonts w:hint="default" w:ascii="Times New Roman" w:hAnsi="Times New Roman" w:eastAsia="仿宋_GB2312" w:cs="Times New Roman"/>
                <w:b w:val="0"/>
                <w:bCs w:val="0"/>
                <w:color w:val="auto"/>
                <w:sz w:val="21"/>
                <w:szCs w:val="21"/>
                <w:lang w:eastAsia="zh-CN"/>
              </w:rPr>
              <w:t>，</w:t>
            </w:r>
            <w:r>
              <w:rPr>
                <w:rFonts w:hint="default" w:ascii="Times New Roman" w:hAnsi="Times New Roman" w:eastAsia="仿宋_GB2312" w:cs="Times New Roman"/>
                <w:b w:val="0"/>
                <w:bCs w:val="0"/>
                <w:color w:val="auto"/>
                <w:sz w:val="21"/>
                <w:szCs w:val="21"/>
                <w:lang w:val="en-US" w:eastAsia="zh-CN"/>
              </w:rPr>
              <w:t>在确保安全的情况下，</w:t>
            </w:r>
            <w:r>
              <w:rPr>
                <w:rFonts w:hint="default" w:ascii="Times New Roman" w:hAnsi="Times New Roman" w:eastAsia="仿宋_GB2312" w:cs="Times New Roman"/>
                <w:b w:val="0"/>
                <w:bCs w:val="0"/>
                <w:color w:val="auto"/>
                <w:sz w:val="21"/>
                <w:szCs w:val="21"/>
                <w:lang w:eastAsia="zh-CN"/>
              </w:rPr>
              <w:t>寻找泄漏点，切断泄漏源</w:t>
            </w:r>
            <w:r>
              <w:rPr>
                <w:rFonts w:hint="default" w:ascii="Times New Roman" w:hAnsi="Times New Roman" w:eastAsia="仿宋_GB2312" w:cs="Times New Roman"/>
                <w:b w:val="0"/>
                <w:bCs w:val="0"/>
                <w:color w:val="auto"/>
                <w:sz w:val="21"/>
                <w:szCs w:val="21"/>
              </w:rPr>
              <w:t>；</w:t>
            </w:r>
          </w:p>
          <w:p w14:paraId="6DA509AF">
            <w:pPr>
              <w:pStyle w:val="46"/>
              <w:keepNext w:val="0"/>
              <w:keepLines w:val="0"/>
              <w:pageBreakBefore w:val="0"/>
              <w:kinsoku/>
              <w:wordWrap/>
              <w:overflowPunct/>
              <w:topLinePunct w:val="0"/>
              <w:bidi w:val="0"/>
              <w:adjustRightInd w:val="0"/>
              <w:snapToGrid w:val="0"/>
              <w:spacing w:line="240" w:lineRule="auto"/>
              <w:ind w:left="0" w:leftChars="0" w:right="0" w:firstLine="0" w:firstLineChars="0"/>
              <w:jc w:val="left"/>
              <w:textAlignment w:val="auto"/>
              <w:rPr>
                <w:rFonts w:hint="default" w:ascii="Times New Roman" w:hAnsi="Times New Roman" w:eastAsia="仿宋_GB2312" w:cs="Times New Roman"/>
                <w:b w:val="0"/>
                <w:bCs w:val="0"/>
                <w:color w:val="auto"/>
                <w:sz w:val="21"/>
                <w:szCs w:val="21"/>
                <w:lang w:eastAsia="zh-CN"/>
              </w:rPr>
            </w:pPr>
            <w:r>
              <w:rPr>
                <w:rFonts w:hint="default" w:ascii="Times New Roman" w:hAnsi="Times New Roman" w:eastAsia="仿宋_GB2312" w:cs="Times New Roman"/>
                <w:b w:val="0"/>
                <w:bCs w:val="0"/>
                <w:color w:val="auto"/>
                <w:sz w:val="21"/>
                <w:szCs w:val="21"/>
              </w:rPr>
              <w:t>②</w:t>
            </w:r>
            <w:r>
              <w:rPr>
                <w:rFonts w:hint="default" w:ascii="Times New Roman" w:hAnsi="Times New Roman" w:eastAsia="仿宋_GB2312" w:cs="Times New Roman"/>
                <w:b w:val="0"/>
                <w:bCs w:val="0"/>
                <w:color w:val="auto"/>
                <w:sz w:val="21"/>
                <w:szCs w:val="21"/>
                <w:lang w:eastAsia="zh-CN"/>
              </w:rPr>
              <w:t>用砂土吸附，并用洁净的铲子轻轻将泄漏物置于干燥、有盖的容器内，将容器隔离泄漏区；</w:t>
            </w:r>
          </w:p>
          <w:p w14:paraId="31C70906">
            <w:pPr>
              <w:pStyle w:val="46"/>
              <w:keepNext w:val="0"/>
              <w:keepLines w:val="0"/>
              <w:pageBreakBefore w:val="0"/>
              <w:kinsoku/>
              <w:wordWrap/>
              <w:overflowPunct/>
              <w:topLinePunct w:val="0"/>
              <w:bidi w:val="0"/>
              <w:adjustRightInd w:val="0"/>
              <w:snapToGrid w:val="0"/>
              <w:spacing w:line="240" w:lineRule="auto"/>
              <w:ind w:left="0" w:leftChars="0" w:right="0" w:firstLine="0" w:firstLineChars="0"/>
              <w:jc w:val="left"/>
              <w:textAlignment w:val="auto"/>
              <w:rPr>
                <w:rFonts w:hint="default" w:ascii="Times New Roman" w:hAnsi="Times New Roman" w:eastAsia="仿宋_GB2312" w:cs="Times New Roman"/>
                <w:b w:val="0"/>
                <w:bCs w:val="0"/>
                <w:color w:val="auto"/>
                <w:sz w:val="21"/>
                <w:szCs w:val="21"/>
                <w:lang w:eastAsia="zh-CN"/>
              </w:rPr>
            </w:pPr>
            <w:r>
              <w:rPr>
                <w:rFonts w:hint="default" w:ascii="Times New Roman" w:hAnsi="Times New Roman" w:eastAsia="仿宋_GB2312" w:cs="Times New Roman"/>
                <w:b w:val="0"/>
                <w:bCs w:val="0"/>
                <w:color w:val="auto"/>
                <w:sz w:val="21"/>
                <w:szCs w:val="21"/>
                <w:lang w:val="en-US" w:eastAsia="zh-CN"/>
              </w:rPr>
              <w:t>③应急处置过程中杜绝火源，</w:t>
            </w:r>
            <w:r>
              <w:rPr>
                <w:rFonts w:hint="default" w:ascii="Times New Roman" w:hAnsi="Times New Roman" w:eastAsia="仿宋_GB2312" w:cs="Times New Roman"/>
                <w:b w:val="0"/>
                <w:bCs w:val="0"/>
                <w:color w:val="auto"/>
                <w:sz w:val="21"/>
                <w:szCs w:val="21"/>
              </w:rPr>
              <w:t>应急</w:t>
            </w:r>
            <w:r>
              <w:rPr>
                <w:rFonts w:hint="default" w:ascii="Times New Roman" w:hAnsi="Times New Roman" w:eastAsia="仿宋_GB2312" w:cs="Times New Roman"/>
                <w:b w:val="0"/>
                <w:bCs w:val="0"/>
                <w:color w:val="auto"/>
                <w:sz w:val="21"/>
                <w:szCs w:val="21"/>
                <w:lang w:val="en-US" w:eastAsia="zh-CN"/>
              </w:rPr>
              <w:t>处置</w:t>
            </w:r>
            <w:r>
              <w:rPr>
                <w:rFonts w:hint="default" w:ascii="Times New Roman" w:hAnsi="Times New Roman" w:eastAsia="仿宋_GB2312" w:cs="Times New Roman"/>
                <w:b w:val="0"/>
                <w:bCs w:val="0"/>
                <w:color w:val="auto"/>
                <w:sz w:val="21"/>
                <w:szCs w:val="21"/>
              </w:rPr>
              <w:t>人员必须穿戴</w:t>
            </w:r>
            <w:r>
              <w:rPr>
                <w:rFonts w:hint="default" w:ascii="Times New Roman" w:hAnsi="Times New Roman" w:eastAsia="仿宋_GB2312" w:cs="Times New Roman"/>
                <w:b w:val="0"/>
                <w:bCs w:val="0"/>
                <w:color w:val="auto"/>
                <w:sz w:val="21"/>
                <w:szCs w:val="21"/>
                <w:lang w:eastAsia="zh-CN"/>
              </w:rPr>
              <w:t>防</w:t>
            </w:r>
            <w:r>
              <w:rPr>
                <w:rFonts w:hint="default" w:ascii="Times New Roman" w:hAnsi="Times New Roman" w:eastAsia="仿宋_GB2312" w:cs="Times New Roman"/>
                <w:b w:val="0"/>
                <w:bCs w:val="0"/>
                <w:color w:val="auto"/>
                <w:sz w:val="21"/>
                <w:szCs w:val="21"/>
                <w:lang w:val="en-US" w:eastAsia="zh-CN"/>
              </w:rPr>
              <w:t>护用品</w:t>
            </w:r>
            <w:r>
              <w:rPr>
                <w:rFonts w:hint="default" w:ascii="Times New Roman" w:hAnsi="Times New Roman" w:eastAsia="仿宋_GB2312" w:cs="Times New Roman"/>
                <w:b w:val="0"/>
                <w:bCs w:val="0"/>
                <w:color w:val="auto"/>
                <w:sz w:val="21"/>
                <w:szCs w:val="21"/>
                <w:lang w:eastAsia="zh-CN"/>
              </w:rPr>
              <w:t>；</w:t>
            </w:r>
          </w:p>
          <w:p w14:paraId="44560D38">
            <w:pPr>
              <w:pStyle w:val="46"/>
              <w:keepNext w:val="0"/>
              <w:keepLines w:val="0"/>
              <w:pageBreakBefore w:val="0"/>
              <w:kinsoku/>
              <w:wordWrap/>
              <w:overflowPunct/>
              <w:topLinePunct w:val="0"/>
              <w:bidi w:val="0"/>
              <w:adjustRightInd w:val="0"/>
              <w:snapToGrid w:val="0"/>
              <w:spacing w:line="240" w:lineRule="auto"/>
              <w:ind w:left="0" w:leftChars="0" w:right="0" w:firstLine="0" w:firstLineChars="0"/>
              <w:jc w:val="left"/>
              <w:textAlignment w:val="auto"/>
              <w:rPr>
                <w:rFonts w:hint="default" w:ascii="Times New Roman" w:hAnsi="Times New Roman" w:eastAsia="仿宋_GB2312" w:cs="Times New Roman"/>
                <w:b w:val="0"/>
                <w:bCs w:val="0"/>
                <w:color w:val="auto"/>
                <w:sz w:val="21"/>
                <w:szCs w:val="21"/>
                <w:lang w:val="en-US" w:eastAsia="zh-CN"/>
              </w:rPr>
            </w:pPr>
            <w:r>
              <w:rPr>
                <w:rFonts w:hint="default" w:ascii="Times New Roman" w:hAnsi="Times New Roman" w:eastAsia="仿宋_GB2312" w:cs="Times New Roman"/>
                <w:b w:val="0"/>
                <w:bCs w:val="0"/>
                <w:color w:val="auto"/>
                <w:sz w:val="21"/>
                <w:szCs w:val="21"/>
                <w:lang w:val="en-US" w:eastAsia="zh-CN"/>
              </w:rPr>
              <w:fldChar w:fldCharType="begin"/>
            </w:r>
            <w:r>
              <w:rPr>
                <w:rFonts w:hint="default" w:ascii="Times New Roman" w:hAnsi="Times New Roman" w:eastAsia="仿宋_GB2312" w:cs="Times New Roman"/>
                <w:b w:val="0"/>
                <w:bCs w:val="0"/>
                <w:color w:val="auto"/>
                <w:sz w:val="21"/>
                <w:szCs w:val="21"/>
                <w:lang w:val="en-US" w:eastAsia="zh-CN"/>
              </w:rPr>
              <w:instrText xml:space="preserve"> = 4 \* GB3 \* MERGEFORMAT </w:instrText>
            </w:r>
            <w:r>
              <w:rPr>
                <w:rFonts w:hint="default" w:ascii="Times New Roman" w:hAnsi="Times New Roman" w:eastAsia="仿宋_GB2312" w:cs="Times New Roman"/>
                <w:b w:val="0"/>
                <w:bCs w:val="0"/>
                <w:color w:val="auto"/>
                <w:sz w:val="21"/>
                <w:szCs w:val="21"/>
                <w:lang w:val="en-US" w:eastAsia="zh-CN"/>
              </w:rPr>
              <w:fldChar w:fldCharType="separate"/>
            </w:r>
            <w:r>
              <w:rPr>
                <w:rFonts w:hint="default" w:ascii="Times New Roman" w:hAnsi="Times New Roman" w:eastAsia="仿宋_GB2312" w:cs="Times New Roman"/>
                <w:b w:val="0"/>
                <w:bCs w:val="0"/>
                <w:color w:val="auto"/>
                <w:sz w:val="21"/>
                <w:szCs w:val="21"/>
              </w:rPr>
              <w:t>④</w:t>
            </w:r>
            <w:r>
              <w:rPr>
                <w:rFonts w:hint="default" w:ascii="Times New Roman" w:hAnsi="Times New Roman" w:eastAsia="仿宋_GB2312" w:cs="Times New Roman"/>
                <w:b w:val="0"/>
                <w:bCs w:val="0"/>
                <w:color w:val="auto"/>
                <w:sz w:val="21"/>
                <w:szCs w:val="21"/>
                <w:lang w:val="en-US" w:eastAsia="zh-CN"/>
              </w:rPr>
              <w:fldChar w:fldCharType="end"/>
            </w:r>
            <w:r>
              <w:rPr>
                <w:rFonts w:hint="default" w:ascii="Times New Roman" w:hAnsi="Times New Roman" w:eastAsia="仿宋_GB2312" w:cs="Times New Roman"/>
                <w:b w:val="0"/>
                <w:bCs w:val="0"/>
                <w:color w:val="auto"/>
                <w:sz w:val="21"/>
                <w:szCs w:val="21"/>
                <w:lang w:val="en-US" w:eastAsia="zh-CN"/>
              </w:rPr>
              <w:t>泄漏物待事故结束后，回收或运至危废处理场所处置。</w:t>
            </w:r>
          </w:p>
          <w:p w14:paraId="22A3B312">
            <w:pPr>
              <w:pStyle w:val="46"/>
              <w:keepNext w:val="0"/>
              <w:keepLines w:val="0"/>
              <w:pageBreakBefore w:val="0"/>
              <w:kinsoku/>
              <w:wordWrap/>
              <w:overflowPunct/>
              <w:topLinePunct w:val="0"/>
              <w:bidi w:val="0"/>
              <w:adjustRightInd w:val="0"/>
              <w:snapToGrid w:val="0"/>
              <w:spacing w:line="240" w:lineRule="auto"/>
              <w:ind w:left="0" w:leftChars="0" w:right="0" w:firstLine="0" w:firstLineChars="0"/>
              <w:jc w:val="left"/>
              <w:textAlignment w:val="auto"/>
              <w:rPr>
                <w:rFonts w:hint="default" w:ascii="Times New Roman" w:hAnsi="Times New Roman" w:eastAsia="仿宋_GB2312" w:cs="Times New Roman"/>
                <w:b w:val="0"/>
                <w:bCs w:val="0"/>
                <w:color w:val="auto"/>
                <w:sz w:val="21"/>
                <w:szCs w:val="21"/>
                <w:lang w:val="en-US" w:eastAsia="zh-CN"/>
              </w:rPr>
            </w:pPr>
            <w:r>
              <w:rPr>
                <w:rFonts w:hint="default" w:ascii="Times New Roman" w:hAnsi="Times New Roman" w:eastAsia="仿宋_GB2312" w:cs="Times New Roman"/>
                <w:b w:val="0"/>
                <w:bCs w:val="0"/>
                <w:color w:val="auto"/>
                <w:sz w:val="21"/>
                <w:szCs w:val="21"/>
                <w:lang w:val="en-US" w:eastAsia="zh-CN"/>
              </w:rPr>
              <w:t>大量泄漏</w:t>
            </w:r>
          </w:p>
          <w:p w14:paraId="68368E43">
            <w:pPr>
              <w:pStyle w:val="46"/>
              <w:keepNext w:val="0"/>
              <w:keepLines w:val="0"/>
              <w:pageBreakBefore w:val="0"/>
              <w:kinsoku/>
              <w:wordWrap/>
              <w:overflowPunct/>
              <w:topLinePunct w:val="0"/>
              <w:bidi w:val="0"/>
              <w:adjustRightInd w:val="0"/>
              <w:snapToGrid w:val="0"/>
              <w:spacing w:line="240" w:lineRule="auto"/>
              <w:ind w:left="0" w:leftChars="0" w:right="0" w:firstLine="0" w:firstLineChars="0"/>
              <w:jc w:val="left"/>
              <w:textAlignment w:val="auto"/>
              <w:rPr>
                <w:rFonts w:hint="default" w:ascii="Times New Roman" w:hAnsi="Times New Roman" w:eastAsia="仿宋_GB2312" w:cs="Times New Roman"/>
                <w:b w:val="0"/>
                <w:bCs w:val="0"/>
                <w:color w:val="auto"/>
                <w:sz w:val="21"/>
                <w:szCs w:val="21"/>
                <w:lang w:val="zh-CN" w:eastAsia="zh-CN"/>
              </w:rPr>
            </w:pPr>
            <w:r>
              <w:rPr>
                <w:rFonts w:hint="default" w:ascii="Times New Roman" w:hAnsi="Times New Roman" w:eastAsia="仿宋_GB2312" w:cs="Times New Roman"/>
                <w:b w:val="0"/>
                <w:bCs w:val="0"/>
                <w:color w:val="auto"/>
                <w:sz w:val="21"/>
                <w:szCs w:val="21"/>
                <w:lang w:val="en-US" w:eastAsia="zh-CN"/>
              </w:rPr>
              <w:t>①立即</w:t>
            </w:r>
            <w:r>
              <w:rPr>
                <w:rFonts w:hint="default" w:ascii="Times New Roman" w:hAnsi="Times New Roman" w:eastAsia="仿宋_GB2312" w:cs="Times New Roman"/>
                <w:b w:val="0"/>
                <w:bCs w:val="0"/>
                <w:color w:val="auto"/>
                <w:kern w:val="2"/>
                <w:sz w:val="21"/>
                <w:szCs w:val="21"/>
                <w:lang w:val="en-US" w:eastAsia="zh-CN" w:bidi="ar-SA"/>
              </w:rPr>
              <w:t>疏散场所内所有未防护人员</w:t>
            </w:r>
            <w:r>
              <w:rPr>
                <w:rFonts w:hint="default" w:ascii="Times New Roman" w:hAnsi="Times New Roman" w:eastAsia="仿宋_GB2312" w:cs="Times New Roman"/>
                <w:b w:val="0"/>
                <w:bCs w:val="0"/>
                <w:color w:val="auto"/>
                <w:sz w:val="21"/>
                <w:szCs w:val="21"/>
                <w:lang w:val="zh-CN" w:eastAsia="zh-CN"/>
              </w:rPr>
              <w:t>，</w:t>
            </w:r>
            <w:r>
              <w:rPr>
                <w:rFonts w:hint="default" w:ascii="Times New Roman" w:hAnsi="Times New Roman" w:eastAsia="仿宋_GB2312" w:cs="Times New Roman"/>
                <w:b w:val="0"/>
                <w:bCs w:val="0"/>
                <w:color w:val="auto"/>
                <w:sz w:val="21"/>
                <w:szCs w:val="21"/>
                <w:lang w:val="en-US" w:eastAsia="zh-CN"/>
              </w:rPr>
              <w:t>在确保安全的情况下，</w:t>
            </w:r>
            <w:r>
              <w:rPr>
                <w:rFonts w:hint="default" w:ascii="Times New Roman" w:hAnsi="Times New Roman" w:eastAsia="仿宋_GB2312" w:cs="Times New Roman"/>
                <w:b w:val="0"/>
                <w:bCs w:val="0"/>
                <w:color w:val="auto"/>
                <w:sz w:val="21"/>
                <w:szCs w:val="21"/>
                <w:lang w:val="zh-CN" w:eastAsia="zh-CN"/>
              </w:rPr>
              <w:t>寻找泄漏点；</w:t>
            </w:r>
          </w:p>
          <w:p w14:paraId="35C1162B">
            <w:pPr>
              <w:pStyle w:val="46"/>
              <w:keepNext w:val="0"/>
              <w:keepLines w:val="0"/>
              <w:pageBreakBefore w:val="0"/>
              <w:kinsoku/>
              <w:wordWrap/>
              <w:overflowPunct/>
              <w:topLinePunct w:val="0"/>
              <w:bidi w:val="0"/>
              <w:adjustRightInd w:val="0"/>
              <w:snapToGrid w:val="0"/>
              <w:spacing w:line="240" w:lineRule="auto"/>
              <w:ind w:left="0" w:leftChars="0" w:right="0" w:firstLine="0" w:firstLineChars="0"/>
              <w:jc w:val="left"/>
              <w:textAlignment w:val="auto"/>
              <w:rPr>
                <w:rFonts w:hint="default" w:ascii="Times New Roman" w:hAnsi="Times New Roman" w:eastAsia="仿宋_GB2312" w:cs="Times New Roman"/>
                <w:b w:val="0"/>
                <w:bCs w:val="0"/>
                <w:color w:val="auto"/>
                <w:sz w:val="21"/>
                <w:szCs w:val="21"/>
                <w:lang w:eastAsia="zh-CN"/>
              </w:rPr>
            </w:pPr>
            <w:r>
              <w:rPr>
                <w:rFonts w:hint="default" w:ascii="Times New Roman" w:hAnsi="Times New Roman" w:eastAsia="仿宋_GB2312" w:cs="Times New Roman"/>
                <w:b w:val="0"/>
                <w:bCs w:val="0"/>
                <w:color w:val="auto"/>
                <w:sz w:val="21"/>
                <w:szCs w:val="21"/>
              </w:rPr>
              <w:t>②</w:t>
            </w:r>
            <w:r>
              <w:rPr>
                <w:rFonts w:hint="default" w:ascii="Times New Roman" w:hAnsi="Times New Roman" w:eastAsia="仿宋_GB2312" w:cs="Times New Roman"/>
                <w:b w:val="0"/>
                <w:bCs w:val="0"/>
                <w:color w:val="auto"/>
                <w:sz w:val="21"/>
                <w:szCs w:val="21"/>
                <w:lang w:eastAsia="zh-CN"/>
              </w:rPr>
              <w:t>构筑围堤堵截收容或用泡沫覆盖，降低蒸汽伤害，</w:t>
            </w:r>
            <w:r>
              <w:rPr>
                <w:rFonts w:hint="default" w:ascii="Times New Roman" w:hAnsi="Times New Roman" w:eastAsia="仿宋_GB2312" w:cs="Times New Roman"/>
                <w:b w:val="0"/>
                <w:bCs w:val="0"/>
                <w:color w:val="auto"/>
                <w:sz w:val="21"/>
                <w:szCs w:val="21"/>
                <w:lang w:val="en-US" w:eastAsia="zh-CN"/>
              </w:rPr>
              <w:t>事故结束后，</w:t>
            </w:r>
            <w:r>
              <w:rPr>
                <w:rFonts w:hint="default" w:ascii="Times New Roman" w:hAnsi="Times New Roman" w:eastAsia="仿宋_GB2312" w:cs="Times New Roman"/>
                <w:b w:val="0"/>
                <w:bCs w:val="0"/>
                <w:color w:val="auto"/>
                <w:sz w:val="21"/>
                <w:szCs w:val="21"/>
                <w:lang w:eastAsia="zh-CN"/>
              </w:rPr>
              <w:t>转移至空桶内，</w:t>
            </w:r>
            <w:r>
              <w:rPr>
                <w:rFonts w:hint="default" w:ascii="Times New Roman" w:hAnsi="Times New Roman" w:eastAsia="仿宋_GB2312" w:cs="Times New Roman"/>
                <w:b w:val="0"/>
                <w:bCs w:val="0"/>
                <w:color w:val="auto"/>
                <w:sz w:val="21"/>
                <w:szCs w:val="21"/>
                <w:lang w:val="en-US" w:eastAsia="zh-CN"/>
              </w:rPr>
              <w:t>送至有资质单位进行处置</w:t>
            </w:r>
            <w:r>
              <w:rPr>
                <w:rFonts w:hint="default" w:ascii="Times New Roman" w:hAnsi="Times New Roman" w:eastAsia="仿宋_GB2312" w:cs="Times New Roman"/>
                <w:b w:val="0"/>
                <w:bCs w:val="0"/>
                <w:color w:val="auto"/>
                <w:sz w:val="21"/>
                <w:szCs w:val="21"/>
                <w:lang w:eastAsia="zh-CN"/>
              </w:rPr>
              <w:t>；</w:t>
            </w:r>
          </w:p>
          <w:p w14:paraId="54FCECE1">
            <w:pPr>
              <w:pStyle w:val="46"/>
              <w:keepNext w:val="0"/>
              <w:keepLines w:val="0"/>
              <w:pageBreakBefore w:val="0"/>
              <w:kinsoku/>
              <w:wordWrap/>
              <w:overflowPunct/>
              <w:topLinePunct w:val="0"/>
              <w:bidi w:val="0"/>
              <w:adjustRightInd w:val="0"/>
              <w:snapToGrid w:val="0"/>
              <w:spacing w:line="240" w:lineRule="auto"/>
              <w:ind w:left="0" w:leftChars="0" w:right="0" w:firstLine="0" w:firstLineChars="0"/>
              <w:jc w:val="left"/>
              <w:textAlignment w:val="auto"/>
              <w:rPr>
                <w:rFonts w:hint="default" w:ascii="Times New Roman" w:hAnsi="Times New Roman" w:eastAsia="仿宋_GB2312" w:cs="Times New Roman"/>
                <w:b w:val="0"/>
                <w:bCs w:val="0"/>
                <w:color w:val="auto"/>
                <w:sz w:val="21"/>
                <w:szCs w:val="21"/>
                <w:lang w:eastAsia="zh-CN"/>
              </w:rPr>
            </w:pPr>
            <w:r>
              <w:rPr>
                <w:rFonts w:hint="default" w:ascii="Times New Roman" w:hAnsi="Times New Roman" w:eastAsia="仿宋_GB2312" w:cs="Times New Roman"/>
                <w:b w:val="0"/>
                <w:bCs w:val="0"/>
                <w:color w:val="auto"/>
                <w:sz w:val="21"/>
                <w:szCs w:val="21"/>
                <w:lang w:val="en-US" w:eastAsia="zh-CN"/>
              </w:rPr>
              <w:t>③应急处置过程中杜绝火源，</w:t>
            </w:r>
            <w:r>
              <w:rPr>
                <w:rFonts w:hint="default" w:ascii="Times New Roman" w:hAnsi="Times New Roman" w:eastAsia="仿宋_GB2312" w:cs="Times New Roman"/>
                <w:b w:val="0"/>
                <w:bCs w:val="0"/>
                <w:color w:val="auto"/>
                <w:sz w:val="21"/>
                <w:szCs w:val="21"/>
              </w:rPr>
              <w:t>应急</w:t>
            </w:r>
            <w:r>
              <w:rPr>
                <w:rFonts w:hint="default" w:ascii="Times New Roman" w:hAnsi="Times New Roman" w:eastAsia="仿宋_GB2312" w:cs="Times New Roman"/>
                <w:b w:val="0"/>
                <w:bCs w:val="0"/>
                <w:color w:val="auto"/>
                <w:sz w:val="21"/>
                <w:szCs w:val="21"/>
                <w:lang w:val="en-US" w:eastAsia="zh-CN"/>
              </w:rPr>
              <w:t>处置</w:t>
            </w:r>
            <w:r>
              <w:rPr>
                <w:rFonts w:hint="default" w:ascii="Times New Roman" w:hAnsi="Times New Roman" w:eastAsia="仿宋_GB2312" w:cs="Times New Roman"/>
                <w:b w:val="0"/>
                <w:bCs w:val="0"/>
                <w:color w:val="auto"/>
                <w:sz w:val="21"/>
                <w:szCs w:val="21"/>
              </w:rPr>
              <w:t>人员必须穿戴</w:t>
            </w:r>
            <w:r>
              <w:rPr>
                <w:rFonts w:hint="default" w:ascii="Times New Roman" w:hAnsi="Times New Roman" w:eastAsia="仿宋_GB2312" w:cs="Times New Roman"/>
                <w:b w:val="0"/>
                <w:bCs w:val="0"/>
                <w:color w:val="auto"/>
                <w:sz w:val="21"/>
                <w:szCs w:val="21"/>
                <w:lang w:eastAsia="zh-CN"/>
              </w:rPr>
              <w:t>防</w:t>
            </w:r>
            <w:r>
              <w:rPr>
                <w:rFonts w:hint="default" w:ascii="Times New Roman" w:hAnsi="Times New Roman" w:eastAsia="仿宋_GB2312" w:cs="Times New Roman"/>
                <w:b w:val="0"/>
                <w:bCs w:val="0"/>
                <w:color w:val="auto"/>
                <w:sz w:val="21"/>
                <w:szCs w:val="21"/>
                <w:lang w:val="en-US" w:eastAsia="zh-CN"/>
              </w:rPr>
              <w:t>护用品</w:t>
            </w:r>
            <w:r>
              <w:rPr>
                <w:rFonts w:hint="default" w:ascii="Times New Roman" w:hAnsi="Times New Roman" w:eastAsia="仿宋_GB2312" w:cs="Times New Roman"/>
                <w:b w:val="0"/>
                <w:bCs w:val="0"/>
                <w:color w:val="auto"/>
                <w:sz w:val="21"/>
                <w:szCs w:val="21"/>
                <w:lang w:eastAsia="zh-CN"/>
              </w:rPr>
              <w:t>。</w:t>
            </w:r>
          </w:p>
          <w:p w14:paraId="1CC9195D">
            <w:pPr>
              <w:pStyle w:val="46"/>
              <w:keepNext w:val="0"/>
              <w:keepLines w:val="0"/>
              <w:pageBreakBefore w:val="0"/>
              <w:kinsoku/>
              <w:wordWrap/>
              <w:overflowPunct/>
              <w:topLinePunct w:val="0"/>
              <w:bidi w:val="0"/>
              <w:adjustRightInd w:val="0"/>
              <w:snapToGrid w:val="0"/>
              <w:spacing w:line="240" w:lineRule="auto"/>
              <w:ind w:left="0" w:leftChars="0" w:right="0" w:firstLine="0" w:firstLineChars="0"/>
              <w:jc w:val="left"/>
              <w:textAlignment w:val="auto"/>
              <w:rPr>
                <w:rFonts w:hint="default" w:ascii="Times New Roman" w:hAnsi="Times New Roman" w:eastAsia="仿宋_GB2312" w:cs="Times New Roman"/>
                <w:color w:val="auto"/>
                <w:sz w:val="21"/>
                <w:szCs w:val="21"/>
                <w:lang w:val="zh-CN" w:eastAsia="zh-CN"/>
              </w:rPr>
            </w:pPr>
            <w:r>
              <w:rPr>
                <w:rFonts w:hint="default" w:ascii="Times New Roman" w:hAnsi="Times New Roman" w:eastAsia="仿宋_GB2312" w:cs="Times New Roman"/>
                <w:b w:val="0"/>
                <w:bCs w:val="0"/>
                <w:color w:val="auto"/>
                <w:sz w:val="21"/>
                <w:szCs w:val="21"/>
                <w:lang w:val="en-US" w:eastAsia="zh-CN"/>
              </w:rPr>
              <w:fldChar w:fldCharType="begin"/>
            </w:r>
            <w:r>
              <w:rPr>
                <w:rFonts w:hint="default" w:ascii="Times New Roman" w:hAnsi="Times New Roman" w:eastAsia="仿宋_GB2312" w:cs="Times New Roman"/>
                <w:b w:val="0"/>
                <w:bCs w:val="0"/>
                <w:color w:val="auto"/>
                <w:sz w:val="21"/>
                <w:szCs w:val="21"/>
                <w:lang w:val="en-US" w:eastAsia="zh-CN"/>
              </w:rPr>
              <w:instrText xml:space="preserve"> = 4 \* GB3 \* MERGEFORMAT </w:instrText>
            </w:r>
            <w:r>
              <w:rPr>
                <w:rFonts w:hint="default" w:ascii="Times New Roman" w:hAnsi="Times New Roman" w:eastAsia="仿宋_GB2312" w:cs="Times New Roman"/>
                <w:b w:val="0"/>
                <w:bCs w:val="0"/>
                <w:color w:val="auto"/>
                <w:sz w:val="21"/>
                <w:szCs w:val="21"/>
                <w:lang w:val="en-US" w:eastAsia="zh-CN"/>
              </w:rPr>
              <w:fldChar w:fldCharType="separate"/>
            </w:r>
            <w:r>
              <w:rPr>
                <w:rFonts w:hint="default" w:ascii="Times New Roman" w:hAnsi="Times New Roman" w:eastAsia="仿宋_GB2312" w:cs="Times New Roman"/>
                <w:b w:val="0"/>
                <w:bCs w:val="0"/>
                <w:color w:val="auto"/>
                <w:sz w:val="21"/>
                <w:szCs w:val="21"/>
              </w:rPr>
              <w:t>④</w:t>
            </w:r>
            <w:r>
              <w:rPr>
                <w:rFonts w:hint="default" w:ascii="Times New Roman" w:hAnsi="Times New Roman" w:eastAsia="仿宋_GB2312" w:cs="Times New Roman"/>
                <w:b w:val="0"/>
                <w:bCs w:val="0"/>
                <w:color w:val="auto"/>
                <w:sz w:val="21"/>
                <w:szCs w:val="21"/>
                <w:lang w:val="en-US" w:eastAsia="zh-CN"/>
              </w:rPr>
              <w:fldChar w:fldCharType="end"/>
            </w:r>
            <w:r>
              <w:rPr>
                <w:rFonts w:hint="default" w:ascii="Times New Roman" w:hAnsi="Times New Roman" w:eastAsia="仿宋_GB2312" w:cs="Times New Roman"/>
                <w:b w:val="0"/>
                <w:bCs w:val="0"/>
                <w:color w:val="auto"/>
                <w:sz w:val="21"/>
                <w:szCs w:val="21"/>
                <w:lang w:val="en-US" w:eastAsia="zh-CN"/>
              </w:rPr>
              <w:t>泄漏物待事故结束后，回收或运至危废处理场所处置。</w:t>
            </w:r>
          </w:p>
        </w:tc>
      </w:tr>
      <w:tr w14:paraId="6360096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526" w:hRule="atLeast"/>
          <w:jc w:val="center"/>
        </w:trPr>
        <w:tc>
          <w:tcPr>
            <w:tcW w:w="634" w:type="pct"/>
            <w:tcBorders>
              <w:tl2br w:val="nil"/>
              <w:tr2bl w:val="nil"/>
            </w:tcBorders>
            <w:noWrap w:val="0"/>
            <w:vAlign w:val="center"/>
          </w:tcPr>
          <w:p w14:paraId="15EF785E">
            <w:pPr>
              <w:pageBreakBefore w:val="0"/>
              <w:kinsoku/>
              <w:topLinePunct w:val="0"/>
              <w:bidi w:val="0"/>
              <w:adjustRightInd w:val="0"/>
              <w:snapToGrid w:val="0"/>
              <w:ind w:left="0" w:leftChars="0" w:right="0"/>
              <w:jc w:val="center"/>
              <w:rPr>
                <w:rFonts w:hint="default" w:ascii="Times New Roman" w:hAnsi="Times New Roman" w:eastAsia="仿宋_GB2312" w:cs="Times New Roman"/>
                <w:b/>
                <w:color w:val="auto"/>
                <w:sz w:val="21"/>
                <w:szCs w:val="21"/>
                <w:lang w:eastAsia="zh-CN"/>
              </w:rPr>
            </w:pPr>
            <w:r>
              <w:rPr>
                <w:rFonts w:hint="default" w:ascii="Times New Roman" w:hAnsi="Times New Roman" w:eastAsia="仿宋_GB2312" w:cs="Times New Roman"/>
                <w:b/>
                <w:color w:val="auto"/>
                <w:sz w:val="21"/>
                <w:szCs w:val="21"/>
                <w:lang w:eastAsia="zh-CN"/>
              </w:rPr>
              <w:t>信息</w:t>
            </w:r>
            <w:r>
              <w:rPr>
                <w:rFonts w:hint="default" w:ascii="Times New Roman" w:hAnsi="Times New Roman" w:eastAsia="仿宋_GB2312" w:cs="Times New Roman"/>
                <w:b/>
                <w:color w:val="auto"/>
                <w:sz w:val="21"/>
                <w:szCs w:val="21"/>
              </w:rPr>
              <w:t>报告</w:t>
            </w:r>
            <w:r>
              <w:rPr>
                <w:rFonts w:hint="default" w:ascii="Times New Roman" w:hAnsi="Times New Roman" w:eastAsia="仿宋_GB2312" w:cs="Times New Roman"/>
                <w:b/>
                <w:color w:val="auto"/>
                <w:sz w:val="21"/>
                <w:szCs w:val="21"/>
                <w:lang w:eastAsia="zh-CN"/>
              </w:rPr>
              <w:t>方式</w:t>
            </w:r>
          </w:p>
        </w:tc>
        <w:tc>
          <w:tcPr>
            <w:tcW w:w="4365" w:type="pct"/>
            <w:tcBorders>
              <w:tl2br w:val="nil"/>
              <w:tr2bl w:val="nil"/>
            </w:tcBorders>
            <w:noWrap w:val="0"/>
            <w:vAlign w:val="center"/>
          </w:tcPr>
          <w:p w14:paraId="04320371">
            <w:pPr>
              <w:keepNext w:val="0"/>
              <w:keepLines w:val="0"/>
              <w:pageBreakBefore w:val="0"/>
              <w:widowControl/>
              <w:suppressLineNumbers w:val="0"/>
              <w:kinsoku/>
              <w:wordWrap/>
              <w:overflowPunct/>
              <w:topLinePunct w:val="0"/>
              <w:bidi w:val="0"/>
              <w:spacing w:line="240" w:lineRule="auto"/>
              <w:jc w:val="left"/>
              <w:textAlignment w:val="auto"/>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rPr>
              <w:t>指挥部总指挥：</w:t>
            </w:r>
            <w:r>
              <w:rPr>
                <w:rFonts w:hint="default" w:ascii="Times New Roman" w:hAnsi="Times New Roman" w:eastAsia="仿宋_GB2312" w:cs="Times New Roman"/>
                <w:color w:val="auto"/>
                <w:sz w:val="21"/>
                <w:szCs w:val="21"/>
                <w:lang w:val="en-US" w:eastAsia="zh-CN"/>
              </w:rPr>
              <w:t xml:space="preserve">冯良华 62666 </w:t>
            </w:r>
          </w:p>
        </w:tc>
      </w:tr>
      <w:tr w14:paraId="5A01321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634" w:type="pct"/>
            <w:tcBorders>
              <w:tl2br w:val="nil"/>
              <w:tr2bl w:val="nil"/>
            </w:tcBorders>
            <w:noWrap w:val="0"/>
            <w:vAlign w:val="center"/>
          </w:tcPr>
          <w:p w14:paraId="20FD1E27">
            <w:pPr>
              <w:pStyle w:val="14"/>
              <w:pageBreakBefore w:val="0"/>
              <w:kinsoku/>
              <w:topLinePunct w:val="0"/>
              <w:bidi w:val="0"/>
              <w:adjustRightInd w:val="0"/>
              <w:snapToGrid w:val="0"/>
              <w:ind w:left="0" w:leftChars="0" w:right="0" w:firstLine="0"/>
              <w:jc w:val="center"/>
              <w:rPr>
                <w:rFonts w:hint="default" w:ascii="Times New Roman" w:hAnsi="Times New Roman" w:eastAsia="仿宋_GB2312" w:cs="Times New Roman"/>
                <w:b/>
                <w:color w:val="auto"/>
                <w:sz w:val="21"/>
                <w:szCs w:val="21"/>
                <w:lang w:val="en-US" w:eastAsia="zh-CN"/>
              </w:rPr>
            </w:pPr>
            <w:r>
              <w:rPr>
                <w:rFonts w:hint="default" w:ascii="Times New Roman" w:hAnsi="Times New Roman" w:eastAsia="仿宋_GB2312" w:cs="Times New Roman"/>
                <w:b/>
                <w:bCs/>
                <w:color w:val="auto"/>
                <w:sz w:val="21"/>
                <w:szCs w:val="21"/>
                <w:lang w:val="en-US" w:eastAsia="zh-CN"/>
              </w:rPr>
              <w:t>应急物资</w:t>
            </w:r>
          </w:p>
        </w:tc>
        <w:tc>
          <w:tcPr>
            <w:tcW w:w="4365" w:type="pct"/>
            <w:tcBorders>
              <w:tl2br w:val="nil"/>
              <w:tr2bl w:val="nil"/>
            </w:tcBorders>
            <w:noWrap w:val="0"/>
            <w:vAlign w:val="center"/>
          </w:tcPr>
          <w:p w14:paraId="3A9B1826">
            <w:pPr>
              <w:keepNext w:val="0"/>
              <w:keepLines w:val="0"/>
              <w:pageBreakBefore w:val="0"/>
              <w:kinsoku/>
              <w:wordWrap/>
              <w:overflowPunct/>
              <w:topLinePunct w:val="0"/>
              <w:bidi w:val="0"/>
              <w:adjustRightInd w:val="0"/>
              <w:snapToGrid w:val="0"/>
              <w:spacing w:line="240" w:lineRule="auto"/>
              <w:ind w:left="0" w:leftChars="0" w:right="0"/>
              <w:jc w:val="both"/>
              <w:textAlignment w:val="auto"/>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①</w:t>
            </w:r>
            <w:r>
              <w:rPr>
                <w:rFonts w:hint="default" w:ascii="Times New Roman" w:hAnsi="Times New Roman" w:eastAsia="仿宋_GB2312" w:cs="Times New Roman"/>
                <w:color w:val="auto"/>
                <w:sz w:val="21"/>
                <w:szCs w:val="21"/>
                <w:lang w:eastAsia="zh-CN"/>
              </w:rPr>
              <w:t>砂土；</w:t>
            </w:r>
          </w:p>
          <w:p w14:paraId="25C9210B">
            <w:pPr>
              <w:keepNext w:val="0"/>
              <w:keepLines w:val="0"/>
              <w:pageBreakBefore w:val="0"/>
              <w:kinsoku/>
              <w:wordWrap/>
              <w:overflowPunct/>
              <w:topLinePunct w:val="0"/>
              <w:bidi w:val="0"/>
              <w:adjustRightInd w:val="0"/>
              <w:snapToGrid w:val="0"/>
              <w:spacing w:line="240" w:lineRule="auto"/>
              <w:ind w:left="0" w:leftChars="0" w:right="0"/>
              <w:jc w:val="both"/>
              <w:textAlignment w:val="auto"/>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②</w:t>
            </w:r>
            <w:r>
              <w:rPr>
                <w:rFonts w:hint="default" w:ascii="Times New Roman" w:hAnsi="Times New Roman" w:eastAsia="仿宋_GB2312" w:cs="Times New Roman"/>
                <w:color w:val="auto"/>
                <w:sz w:val="21"/>
                <w:szCs w:val="21"/>
                <w:lang w:eastAsia="zh-CN"/>
              </w:rPr>
              <w:t>无火花抢修工具、堵漏工具；</w:t>
            </w:r>
          </w:p>
          <w:p w14:paraId="2928DFF4">
            <w:pPr>
              <w:keepNext w:val="0"/>
              <w:keepLines w:val="0"/>
              <w:pageBreakBefore w:val="0"/>
              <w:kinsoku/>
              <w:wordWrap/>
              <w:overflowPunct/>
              <w:topLinePunct w:val="0"/>
              <w:bidi w:val="0"/>
              <w:adjustRightInd w:val="0"/>
              <w:snapToGrid w:val="0"/>
              <w:spacing w:line="240" w:lineRule="auto"/>
              <w:ind w:left="0" w:leftChars="0" w:right="0"/>
              <w:jc w:val="both"/>
              <w:textAlignment w:val="auto"/>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rPr>
              <w:t>③</w:t>
            </w:r>
            <w:r>
              <w:rPr>
                <w:rFonts w:hint="default" w:ascii="Times New Roman" w:hAnsi="Times New Roman" w:eastAsia="仿宋_GB2312" w:cs="Times New Roman"/>
                <w:color w:val="auto"/>
                <w:sz w:val="21"/>
                <w:szCs w:val="21"/>
                <w:lang w:eastAsia="zh-CN"/>
              </w:rPr>
              <w:t>空桶；</w:t>
            </w:r>
          </w:p>
          <w:p w14:paraId="1AA442F5">
            <w:pPr>
              <w:pStyle w:val="14"/>
              <w:keepNext w:val="0"/>
              <w:keepLines w:val="0"/>
              <w:pageBreakBefore w:val="0"/>
              <w:kinsoku/>
              <w:wordWrap/>
              <w:overflowPunct/>
              <w:topLinePunct w:val="0"/>
              <w:bidi w:val="0"/>
              <w:adjustRightInd w:val="0"/>
              <w:snapToGrid w:val="0"/>
              <w:spacing w:line="240" w:lineRule="auto"/>
              <w:ind w:left="0" w:leftChars="0" w:right="0" w:firstLine="0" w:firstLineChars="0"/>
              <w:jc w:val="both"/>
              <w:textAlignment w:val="auto"/>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rPr>
              <w:t>④</w:t>
            </w:r>
            <w:r>
              <w:rPr>
                <w:rFonts w:hint="default" w:ascii="Times New Roman" w:hAnsi="Times New Roman" w:eastAsia="仿宋_GB2312" w:cs="Times New Roman"/>
                <w:color w:val="auto"/>
                <w:sz w:val="21"/>
                <w:szCs w:val="21"/>
                <w:lang w:eastAsia="zh-CN"/>
              </w:rPr>
              <w:t>防</w:t>
            </w:r>
            <w:r>
              <w:rPr>
                <w:rFonts w:hint="default" w:ascii="Times New Roman" w:hAnsi="Times New Roman" w:eastAsia="仿宋_GB2312" w:cs="Times New Roman"/>
                <w:color w:val="auto"/>
                <w:sz w:val="21"/>
                <w:szCs w:val="21"/>
                <w:lang w:val="en-US" w:eastAsia="zh-CN"/>
              </w:rPr>
              <w:t>护用品</w:t>
            </w:r>
            <w:r>
              <w:rPr>
                <w:rFonts w:hint="default" w:ascii="Times New Roman" w:hAnsi="Times New Roman" w:eastAsia="仿宋_GB2312" w:cs="Times New Roman"/>
                <w:color w:val="auto"/>
                <w:sz w:val="21"/>
                <w:szCs w:val="21"/>
                <w:lang w:eastAsia="zh-CN"/>
              </w:rPr>
              <w:t>。</w:t>
            </w:r>
          </w:p>
        </w:tc>
      </w:tr>
    </w:tbl>
    <w:p w14:paraId="500BAF0D">
      <w:pPr>
        <w:pageBreakBefore w:val="0"/>
        <w:kinsoku/>
        <w:wordWrap/>
        <w:bidi w:val="0"/>
        <w:adjustRightInd w:val="0"/>
        <w:snapToGrid w:val="0"/>
        <w:spacing w:beforeAutospacing="0" w:afterAutospacing="0" w:line="500" w:lineRule="exact"/>
        <w:ind w:left="0" w:leftChars="0" w:right="0"/>
        <w:jc w:val="center"/>
        <w:rPr>
          <w:rFonts w:hint="default" w:ascii="Times New Roman" w:hAnsi="Times New Roman" w:eastAsia="仿宋_GB2312" w:cs="Times New Roman"/>
          <w:b/>
          <w:color w:val="auto"/>
          <w:spacing w:val="0"/>
          <w:kern w:val="0"/>
          <w:position w:val="0"/>
          <w:szCs w:val="28"/>
          <w:lang w:val="en-US" w:eastAsia="zh-CN"/>
        </w:rPr>
      </w:pPr>
      <w:r>
        <w:rPr>
          <w:rFonts w:hint="default" w:ascii="Times New Roman" w:hAnsi="Times New Roman" w:eastAsia="仿宋_GB2312" w:cs="Times New Roman"/>
          <w:b/>
          <w:color w:val="auto"/>
          <w:spacing w:val="0"/>
          <w:kern w:val="0"/>
          <w:position w:val="0"/>
          <w:szCs w:val="28"/>
          <w:lang w:val="zh-CN" w:eastAsia="zh-CN"/>
        </w:rPr>
        <w:t>表</w:t>
      </w:r>
      <w:r>
        <w:rPr>
          <w:rFonts w:hint="default" w:ascii="Times New Roman" w:hAnsi="Times New Roman" w:eastAsia="仿宋_GB2312" w:cs="Times New Roman"/>
          <w:b/>
          <w:color w:val="auto"/>
          <w:spacing w:val="0"/>
          <w:kern w:val="0"/>
          <w:position w:val="0"/>
          <w:szCs w:val="28"/>
          <w:lang w:val="en-US" w:eastAsia="zh-CN"/>
        </w:rPr>
        <w:t xml:space="preserve">5.11-3  </w:t>
      </w:r>
      <w:r>
        <w:rPr>
          <w:rFonts w:hint="eastAsia" w:ascii="Times New Roman" w:hAnsi="Times New Roman" w:eastAsia="仿宋_GB2312" w:cs="Times New Roman"/>
          <w:b/>
          <w:color w:val="auto"/>
          <w:spacing w:val="0"/>
          <w:kern w:val="0"/>
          <w:position w:val="0"/>
          <w:szCs w:val="28"/>
          <w:lang w:val="en-US" w:eastAsia="zh-CN"/>
        </w:rPr>
        <w:t>液碱、盐酸、次氯化钠储罐</w:t>
      </w:r>
      <w:r>
        <w:rPr>
          <w:rFonts w:hint="default" w:ascii="Times New Roman" w:hAnsi="Times New Roman" w:eastAsia="仿宋_GB2312" w:cs="Times New Roman"/>
          <w:b/>
          <w:color w:val="auto"/>
          <w:spacing w:val="0"/>
          <w:kern w:val="0"/>
          <w:position w:val="0"/>
          <w:szCs w:val="28"/>
          <w:lang w:val="zh-CN" w:eastAsia="zh-CN"/>
        </w:rPr>
        <w:t>泄漏、火灾事故应急处置卡</w:t>
      </w:r>
    </w:p>
    <w:tbl>
      <w:tblPr>
        <w:tblStyle w:val="31"/>
        <w:tblW w:w="4999"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149"/>
        <w:gridCol w:w="7909"/>
      </w:tblGrid>
      <w:tr w14:paraId="4651175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516" w:hRule="atLeast"/>
          <w:jc w:val="center"/>
        </w:trPr>
        <w:tc>
          <w:tcPr>
            <w:tcW w:w="634" w:type="pct"/>
            <w:tcBorders>
              <w:tl2br w:val="nil"/>
              <w:tr2bl w:val="nil"/>
            </w:tcBorders>
            <w:noWrap w:val="0"/>
            <w:vAlign w:val="center"/>
          </w:tcPr>
          <w:p w14:paraId="2FF02A27">
            <w:pPr>
              <w:pageBreakBefore w:val="0"/>
              <w:kinsoku/>
              <w:topLinePunct w:val="0"/>
              <w:bidi w:val="0"/>
              <w:adjustRightInd w:val="0"/>
              <w:snapToGrid w:val="0"/>
              <w:ind w:left="0" w:leftChars="0" w:right="0"/>
              <w:jc w:val="center"/>
              <w:rPr>
                <w:rFonts w:hint="default" w:ascii="Times New Roman" w:hAnsi="Times New Roman" w:eastAsia="仿宋_GB2312" w:cs="Times New Roman"/>
                <w:b/>
                <w:color w:val="auto"/>
                <w:kern w:val="2"/>
                <w:sz w:val="21"/>
                <w:szCs w:val="21"/>
                <w:lang w:val="en-US" w:eastAsia="zh-CN" w:bidi="ar-SA"/>
              </w:rPr>
            </w:pPr>
            <w:r>
              <w:rPr>
                <w:rFonts w:hint="default" w:ascii="Times New Roman" w:hAnsi="Times New Roman" w:eastAsia="仿宋_GB2312" w:cs="Times New Roman"/>
                <w:b/>
                <w:color w:val="auto"/>
                <w:sz w:val="21"/>
                <w:szCs w:val="21"/>
                <w:lang w:eastAsia="zh-CN"/>
              </w:rPr>
              <w:t>类型</w:t>
            </w:r>
          </w:p>
        </w:tc>
        <w:tc>
          <w:tcPr>
            <w:tcW w:w="4365" w:type="pct"/>
            <w:tcBorders>
              <w:tl2br w:val="nil"/>
              <w:tr2bl w:val="nil"/>
            </w:tcBorders>
            <w:noWrap w:val="0"/>
            <w:vAlign w:val="center"/>
          </w:tcPr>
          <w:p w14:paraId="30F38A93">
            <w:pPr>
              <w:pageBreakBefore w:val="0"/>
              <w:kinsoku/>
              <w:topLinePunct w:val="0"/>
              <w:bidi w:val="0"/>
              <w:adjustRightInd w:val="0"/>
              <w:snapToGrid w:val="0"/>
              <w:ind w:left="0" w:leftChars="0" w:right="0"/>
              <w:jc w:val="both"/>
              <w:rPr>
                <w:rFonts w:hint="default" w:ascii="Times New Roman" w:hAnsi="Times New Roman" w:eastAsia="仿宋_GB2312" w:cs="Times New Roman"/>
                <w:color w:val="auto"/>
                <w:kern w:val="2"/>
                <w:sz w:val="21"/>
                <w:szCs w:val="21"/>
                <w:lang w:val="zh-CN" w:eastAsia="zh-CN" w:bidi="ar-SA"/>
              </w:rPr>
            </w:pPr>
            <w:r>
              <w:rPr>
                <w:rFonts w:hint="eastAsia" w:ascii="Times New Roman" w:hAnsi="Times New Roman" w:eastAsia="仿宋_GB2312" w:cs="Times New Roman"/>
                <w:color w:val="auto"/>
                <w:sz w:val="21"/>
                <w:szCs w:val="21"/>
                <w:lang w:val="en-US" w:eastAsia="zh-CN"/>
              </w:rPr>
              <w:t>液碱、盐酸、次氯化钠储罐</w:t>
            </w:r>
            <w:r>
              <w:rPr>
                <w:rFonts w:hint="default" w:ascii="Times New Roman" w:hAnsi="Times New Roman" w:eastAsia="仿宋_GB2312" w:cs="Times New Roman"/>
                <w:color w:val="auto"/>
                <w:sz w:val="21"/>
                <w:szCs w:val="21"/>
                <w:lang w:val="zh-CN"/>
              </w:rPr>
              <w:t>泄漏、</w:t>
            </w:r>
            <w:r>
              <w:rPr>
                <w:rFonts w:hint="default" w:ascii="Times New Roman" w:hAnsi="Times New Roman" w:eastAsia="仿宋_GB2312" w:cs="Times New Roman"/>
                <w:color w:val="auto"/>
                <w:sz w:val="21"/>
                <w:szCs w:val="21"/>
                <w:lang w:val="en-US" w:eastAsia="zh-CN"/>
              </w:rPr>
              <w:t>火灾</w:t>
            </w:r>
            <w:r>
              <w:rPr>
                <w:rFonts w:hint="default" w:ascii="Times New Roman" w:hAnsi="Times New Roman" w:eastAsia="仿宋_GB2312" w:cs="Times New Roman"/>
                <w:color w:val="auto"/>
                <w:sz w:val="21"/>
                <w:szCs w:val="21"/>
                <w:lang w:val="zh-CN"/>
              </w:rPr>
              <w:t>事故现场处置方案</w:t>
            </w:r>
          </w:p>
        </w:tc>
      </w:tr>
      <w:tr w14:paraId="13F5895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606" w:hRule="atLeast"/>
          <w:jc w:val="center"/>
        </w:trPr>
        <w:tc>
          <w:tcPr>
            <w:tcW w:w="634" w:type="pct"/>
            <w:tcBorders>
              <w:tl2br w:val="nil"/>
              <w:tr2bl w:val="nil"/>
            </w:tcBorders>
            <w:noWrap w:val="0"/>
            <w:vAlign w:val="center"/>
          </w:tcPr>
          <w:p w14:paraId="2061636B">
            <w:pPr>
              <w:pageBreakBefore w:val="0"/>
              <w:kinsoku/>
              <w:topLinePunct w:val="0"/>
              <w:bidi w:val="0"/>
              <w:adjustRightInd w:val="0"/>
              <w:snapToGrid w:val="0"/>
              <w:ind w:left="0" w:leftChars="0" w:right="0"/>
              <w:jc w:val="center"/>
              <w:rPr>
                <w:rFonts w:hint="default" w:ascii="Times New Roman" w:hAnsi="Times New Roman" w:eastAsia="仿宋_GB2312" w:cs="Times New Roman"/>
                <w:b/>
                <w:color w:val="auto"/>
                <w:sz w:val="21"/>
                <w:szCs w:val="21"/>
                <w:lang w:eastAsia="zh-CN"/>
              </w:rPr>
            </w:pPr>
            <w:r>
              <w:rPr>
                <w:rFonts w:hint="default" w:ascii="Times New Roman" w:hAnsi="Times New Roman" w:eastAsia="仿宋_GB2312" w:cs="Times New Roman"/>
                <w:b/>
                <w:color w:val="auto"/>
                <w:sz w:val="21"/>
                <w:szCs w:val="21"/>
                <w:lang w:eastAsia="zh-CN"/>
              </w:rPr>
              <w:t>环境风</w:t>
            </w:r>
          </w:p>
          <w:p w14:paraId="5C870883">
            <w:pPr>
              <w:pageBreakBefore w:val="0"/>
              <w:kinsoku/>
              <w:topLinePunct w:val="0"/>
              <w:bidi w:val="0"/>
              <w:adjustRightInd w:val="0"/>
              <w:snapToGrid w:val="0"/>
              <w:ind w:left="0" w:leftChars="0" w:right="0"/>
              <w:jc w:val="center"/>
              <w:rPr>
                <w:rFonts w:hint="default" w:ascii="Times New Roman" w:hAnsi="Times New Roman" w:eastAsia="仿宋_GB2312" w:cs="Times New Roman"/>
                <w:b/>
                <w:color w:val="auto"/>
                <w:kern w:val="2"/>
                <w:sz w:val="21"/>
                <w:szCs w:val="21"/>
                <w:lang w:val="en-US" w:eastAsia="zh-CN" w:bidi="ar-SA"/>
              </w:rPr>
            </w:pPr>
            <w:r>
              <w:rPr>
                <w:rFonts w:hint="default" w:ascii="Times New Roman" w:hAnsi="Times New Roman" w:eastAsia="仿宋_GB2312" w:cs="Times New Roman"/>
                <w:b/>
                <w:color w:val="auto"/>
                <w:sz w:val="21"/>
                <w:szCs w:val="21"/>
                <w:lang w:eastAsia="zh-CN"/>
              </w:rPr>
              <w:t>险物质</w:t>
            </w:r>
          </w:p>
        </w:tc>
        <w:tc>
          <w:tcPr>
            <w:tcW w:w="4365" w:type="pct"/>
            <w:tcBorders>
              <w:tl2br w:val="nil"/>
              <w:tr2bl w:val="nil"/>
            </w:tcBorders>
            <w:noWrap w:val="0"/>
            <w:vAlign w:val="center"/>
          </w:tcPr>
          <w:p w14:paraId="3C57C228">
            <w:pPr>
              <w:pageBreakBefore w:val="0"/>
              <w:kinsoku/>
              <w:topLinePunct w:val="0"/>
              <w:bidi w:val="0"/>
              <w:adjustRightInd w:val="0"/>
              <w:snapToGrid w:val="0"/>
              <w:ind w:left="0" w:leftChars="0" w:right="0"/>
              <w:jc w:val="both"/>
              <w:rPr>
                <w:rFonts w:hint="default" w:ascii="Times New Roman" w:hAnsi="Times New Roman" w:eastAsia="仿宋_GB2312" w:cs="Times New Roman"/>
                <w:b/>
                <w:color w:val="auto"/>
                <w:kern w:val="2"/>
                <w:sz w:val="21"/>
                <w:szCs w:val="21"/>
                <w:lang w:val="en-US" w:eastAsia="zh-CN" w:bidi="ar-SA"/>
              </w:rPr>
            </w:pPr>
            <w:r>
              <w:rPr>
                <w:rFonts w:hint="eastAsia" w:ascii="Times New Roman" w:hAnsi="Times New Roman" w:eastAsia="仿宋_GB2312" w:cs="Times New Roman"/>
                <w:color w:val="auto"/>
                <w:sz w:val="21"/>
                <w:szCs w:val="21"/>
                <w:lang w:val="en-US" w:eastAsia="zh-CN"/>
              </w:rPr>
              <w:t>液碱、盐酸、次氯化钠</w:t>
            </w:r>
            <w:r>
              <w:rPr>
                <w:rFonts w:hint="default" w:ascii="Times New Roman" w:hAnsi="Times New Roman" w:eastAsia="仿宋_GB2312" w:cs="Times New Roman"/>
                <w:color w:val="auto"/>
                <w:sz w:val="21"/>
                <w:szCs w:val="21"/>
                <w:lang w:val="en-US" w:eastAsia="zh-CN"/>
              </w:rPr>
              <w:t>等</w:t>
            </w:r>
          </w:p>
        </w:tc>
      </w:tr>
      <w:tr w14:paraId="41C1F98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200" w:hRule="atLeast"/>
          <w:jc w:val="center"/>
        </w:trPr>
        <w:tc>
          <w:tcPr>
            <w:tcW w:w="634" w:type="pct"/>
            <w:tcBorders>
              <w:tl2br w:val="nil"/>
              <w:tr2bl w:val="nil"/>
            </w:tcBorders>
            <w:noWrap w:val="0"/>
            <w:vAlign w:val="center"/>
          </w:tcPr>
          <w:p w14:paraId="3F0200FF">
            <w:pPr>
              <w:pStyle w:val="14"/>
              <w:pageBreakBefore w:val="0"/>
              <w:kinsoku/>
              <w:topLinePunct w:val="0"/>
              <w:bidi w:val="0"/>
              <w:adjustRightInd w:val="0"/>
              <w:snapToGrid w:val="0"/>
              <w:ind w:left="0" w:leftChars="0" w:right="0" w:firstLine="0"/>
              <w:jc w:val="center"/>
              <w:rPr>
                <w:rFonts w:hint="default" w:ascii="Times New Roman" w:hAnsi="Times New Roman" w:eastAsia="仿宋_GB2312" w:cs="Times New Roman"/>
                <w:b/>
                <w:color w:val="auto"/>
                <w:kern w:val="2"/>
                <w:sz w:val="21"/>
                <w:szCs w:val="21"/>
                <w:lang w:val="en-US" w:eastAsia="zh-CN" w:bidi="ar-SA"/>
              </w:rPr>
            </w:pPr>
            <w:r>
              <w:rPr>
                <w:rFonts w:hint="default" w:ascii="Times New Roman" w:hAnsi="Times New Roman" w:eastAsia="仿宋_GB2312" w:cs="Times New Roman"/>
                <w:b/>
                <w:bCs/>
                <w:color w:val="auto"/>
                <w:sz w:val="21"/>
                <w:szCs w:val="21"/>
                <w:lang w:eastAsia="zh-CN"/>
              </w:rPr>
              <w:t>污染源切断方式</w:t>
            </w:r>
          </w:p>
        </w:tc>
        <w:tc>
          <w:tcPr>
            <w:tcW w:w="4365" w:type="pct"/>
            <w:tcBorders>
              <w:tl2br w:val="nil"/>
              <w:tr2bl w:val="nil"/>
            </w:tcBorders>
            <w:noWrap w:val="0"/>
            <w:vAlign w:val="center"/>
          </w:tcPr>
          <w:p w14:paraId="1C4AF0A2">
            <w:pPr>
              <w:keepNext w:val="0"/>
              <w:keepLines w:val="0"/>
              <w:pageBreakBefore w:val="0"/>
              <w:widowControl w:val="0"/>
              <w:kinsoku/>
              <w:wordWrap/>
              <w:overflowPunct/>
              <w:topLinePunct w:val="0"/>
              <w:bidi w:val="0"/>
              <w:adjustRightInd w:val="0"/>
              <w:snapToGrid w:val="0"/>
              <w:spacing w:line="240" w:lineRule="auto"/>
              <w:ind w:left="0" w:leftChars="0" w:right="0"/>
              <w:jc w:val="left"/>
              <w:textAlignment w:val="auto"/>
              <w:rPr>
                <w:rFonts w:hint="default" w:ascii="Times New Roman" w:hAnsi="Times New Roman" w:eastAsia="仿宋_GB2312" w:cs="Times New Roman"/>
                <w:b w:val="0"/>
                <w:bCs w:val="0"/>
                <w:color w:val="auto"/>
                <w:sz w:val="21"/>
                <w:szCs w:val="21"/>
                <w:lang w:eastAsia="zh-CN"/>
              </w:rPr>
            </w:pPr>
            <w:r>
              <w:rPr>
                <w:rFonts w:hint="default" w:ascii="Times New Roman" w:hAnsi="Times New Roman" w:eastAsia="仿宋_GB2312" w:cs="Times New Roman"/>
                <w:b w:val="0"/>
                <w:bCs w:val="0"/>
                <w:color w:val="auto"/>
                <w:sz w:val="21"/>
                <w:szCs w:val="21"/>
                <w:lang w:eastAsia="zh-CN"/>
              </w:rPr>
              <w:t>小量泄漏</w:t>
            </w:r>
          </w:p>
          <w:p w14:paraId="1C785832">
            <w:pPr>
              <w:keepNext w:val="0"/>
              <w:keepLines w:val="0"/>
              <w:pageBreakBefore w:val="0"/>
              <w:widowControl w:val="0"/>
              <w:kinsoku/>
              <w:wordWrap/>
              <w:overflowPunct/>
              <w:topLinePunct w:val="0"/>
              <w:bidi w:val="0"/>
              <w:adjustRightInd w:val="0"/>
              <w:snapToGrid w:val="0"/>
              <w:spacing w:line="240" w:lineRule="auto"/>
              <w:ind w:left="0" w:leftChars="0" w:right="0"/>
              <w:jc w:val="left"/>
              <w:textAlignment w:val="auto"/>
              <w:rPr>
                <w:rFonts w:hint="default" w:ascii="Times New Roman" w:hAnsi="Times New Roman" w:eastAsia="仿宋_GB2312" w:cs="Times New Roman"/>
                <w:b w:val="0"/>
                <w:bCs w:val="0"/>
                <w:color w:val="auto"/>
                <w:sz w:val="21"/>
                <w:szCs w:val="21"/>
              </w:rPr>
            </w:pPr>
            <w:r>
              <w:rPr>
                <w:rFonts w:hint="default" w:ascii="Times New Roman" w:hAnsi="Times New Roman" w:eastAsia="仿宋_GB2312" w:cs="Times New Roman"/>
                <w:b w:val="0"/>
                <w:bCs w:val="0"/>
                <w:color w:val="auto"/>
                <w:sz w:val="21"/>
                <w:szCs w:val="21"/>
              </w:rPr>
              <w:t>①</w:t>
            </w:r>
            <w:r>
              <w:rPr>
                <w:rFonts w:hint="default" w:ascii="Times New Roman" w:hAnsi="Times New Roman" w:eastAsia="仿宋_GB2312" w:cs="Times New Roman"/>
                <w:b w:val="0"/>
                <w:bCs w:val="0"/>
                <w:color w:val="auto"/>
                <w:sz w:val="21"/>
                <w:szCs w:val="21"/>
                <w:lang w:val="en-US" w:eastAsia="zh-CN"/>
              </w:rPr>
              <w:t>立即</w:t>
            </w:r>
            <w:r>
              <w:rPr>
                <w:rFonts w:hint="default" w:ascii="Times New Roman" w:hAnsi="Times New Roman" w:eastAsia="仿宋_GB2312" w:cs="Times New Roman"/>
                <w:b w:val="0"/>
                <w:bCs w:val="0"/>
                <w:color w:val="auto"/>
                <w:kern w:val="2"/>
                <w:sz w:val="21"/>
                <w:szCs w:val="21"/>
                <w:lang w:val="en-US" w:eastAsia="zh-CN" w:bidi="ar-SA"/>
              </w:rPr>
              <w:t>疏散场所内所有未防护人员</w:t>
            </w:r>
            <w:r>
              <w:rPr>
                <w:rFonts w:hint="default" w:ascii="Times New Roman" w:hAnsi="Times New Roman" w:eastAsia="仿宋_GB2312" w:cs="Times New Roman"/>
                <w:b w:val="0"/>
                <w:bCs w:val="0"/>
                <w:color w:val="auto"/>
                <w:sz w:val="21"/>
                <w:szCs w:val="21"/>
                <w:lang w:eastAsia="zh-CN"/>
              </w:rPr>
              <w:t>，</w:t>
            </w:r>
            <w:r>
              <w:rPr>
                <w:rFonts w:hint="default" w:ascii="Times New Roman" w:hAnsi="Times New Roman" w:eastAsia="仿宋_GB2312" w:cs="Times New Roman"/>
                <w:b w:val="0"/>
                <w:bCs w:val="0"/>
                <w:color w:val="auto"/>
                <w:sz w:val="21"/>
                <w:szCs w:val="21"/>
                <w:lang w:val="en-US" w:eastAsia="zh-CN"/>
              </w:rPr>
              <w:t>在确保安全的情况下，</w:t>
            </w:r>
            <w:r>
              <w:rPr>
                <w:rFonts w:hint="default" w:ascii="Times New Roman" w:hAnsi="Times New Roman" w:eastAsia="仿宋_GB2312" w:cs="Times New Roman"/>
                <w:b w:val="0"/>
                <w:bCs w:val="0"/>
                <w:color w:val="auto"/>
                <w:sz w:val="21"/>
                <w:szCs w:val="21"/>
                <w:lang w:eastAsia="zh-CN"/>
              </w:rPr>
              <w:t>寻找泄漏点，切断泄漏源</w:t>
            </w:r>
            <w:r>
              <w:rPr>
                <w:rFonts w:hint="default" w:ascii="Times New Roman" w:hAnsi="Times New Roman" w:eastAsia="仿宋_GB2312" w:cs="Times New Roman"/>
                <w:b w:val="0"/>
                <w:bCs w:val="0"/>
                <w:color w:val="auto"/>
                <w:sz w:val="21"/>
                <w:szCs w:val="21"/>
              </w:rPr>
              <w:t>；</w:t>
            </w:r>
          </w:p>
          <w:p w14:paraId="062E78D9">
            <w:pPr>
              <w:pStyle w:val="46"/>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left"/>
              <w:textAlignment w:val="auto"/>
              <w:rPr>
                <w:rFonts w:hint="default" w:ascii="Times New Roman" w:hAnsi="Times New Roman" w:eastAsia="仿宋_GB2312" w:cs="Times New Roman"/>
                <w:b w:val="0"/>
                <w:bCs w:val="0"/>
                <w:color w:val="auto"/>
                <w:sz w:val="21"/>
                <w:szCs w:val="21"/>
                <w:lang w:eastAsia="zh-CN"/>
              </w:rPr>
            </w:pPr>
            <w:r>
              <w:rPr>
                <w:rFonts w:hint="default" w:ascii="Times New Roman" w:hAnsi="Times New Roman" w:eastAsia="仿宋_GB2312" w:cs="Times New Roman"/>
                <w:b w:val="0"/>
                <w:bCs w:val="0"/>
                <w:color w:val="auto"/>
                <w:sz w:val="21"/>
                <w:szCs w:val="21"/>
              </w:rPr>
              <w:t>②</w:t>
            </w:r>
            <w:r>
              <w:rPr>
                <w:rFonts w:hint="default" w:ascii="Times New Roman" w:hAnsi="Times New Roman" w:eastAsia="仿宋_GB2312" w:cs="Times New Roman"/>
                <w:b w:val="0"/>
                <w:bCs w:val="0"/>
                <w:color w:val="auto"/>
                <w:sz w:val="21"/>
                <w:szCs w:val="21"/>
                <w:lang w:eastAsia="zh-CN"/>
              </w:rPr>
              <w:t>用砂土吸附，并用洁净的铲子轻轻将泄漏物置于干燥、有盖的容器内，将容器隔离泄漏区；</w:t>
            </w:r>
          </w:p>
          <w:p w14:paraId="6A40BFF5">
            <w:pPr>
              <w:pStyle w:val="46"/>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left"/>
              <w:textAlignment w:val="auto"/>
              <w:rPr>
                <w:rFonts w:hint="default" w:ascii="Times New Roman" w:hAnsi="Times New Roman" w:eastAsia="仿宋_GB2312" w:cs="Times New Roman"/>
                <w:b w:val="0"/>
                <w:bCs w:val="0"/>
                <w:color w:val="auto"/>
                <w:sz w:val="21"/>
                <w:szCs w:val="21"/>
                <w:lang w:eastAsia="zh-CN"/>
              </w:rPr>
            </w:pPr>
            <w:r>
              <w:rPr>
                <w:rFonts w:hint="default" w:ascii="Times New Roman" w:hAnsi="Times New Roman" w:eastAsia="仿宋_GB2312" w:cs="Times New Roman"/>
                <w:b w:val="0"/>
                <w:bCs w:val="0"/>
                <w:color w:val="auto"/>
                <w:sz w:val="21"/>
                <w:szCs w:val="21"/>
                <w:lang w:val="en-US" w:eastAsia="zh-CN"/>
              </w:rPr>
              <w:t>③应急处置过程中杜绝火源，</w:t>
            </w:r>
            <w:r>
              <w:rPr>
                <w:rFonts w:hint="default" w:ascii="Times New Roman" w:hAnsi="Times New Roman" w:eastAsia="仿宋_GB2312" w:cs="Times New Roman"/>
                <w:b w:val="0"/>
                <w:bCs w:val="0"/>
                <w:color w:val="auto"/>
                <w:sz w:val="21"/>
                <w:szCs w:val="21"/>
              </w:rPr>
              <w:t>应急</w:t>
            </w:r>
            <w:r>
              <w:rPr>
                <w:rFonts w:hint="default" w:ascii="Times New Roman" w:hAnsi="Times New Roman" w:eastAsia="仿宋_GB2312" w:cs="Times New Roman"/>
                <w:b w:val="0"/>
                <w:bCs w:val="0"/>
                <w:color w:val="auto"/>
                <w:sz w:val="21"/>
                <w:szCs w:val="21"/>
                <w:lang w:val="en-US" w:eastAsia="zh-CN"/>
              </w:rPr>
              <w:t>处置</w:t>
            </w:r>
            <w:r>
              <w:rPr>
                <w:rFonts w:hint="default" w:ascii="Times New Roman" w:hAnsi="Times New Roman" w:eastAsia="仿宋_GB2312" w:cs="Times New Roman"/>
                <w:b w:val="0"/>
                <w:bCs w:val="0"/>
                <w:color w:val="auto"/>
                <w:sz w:val="21"/>
                <w:szCs w:val="21"/>
              </w:rPr>
              <w:t>人员必须穿戴</w:t>
            </w:r>
            <w:r>
              <w:rPr>
                <w:rFonts w:hint="default" w:ascii="Times New Roman" w:hAnsi="Times New Roman" w:eastAsia="仿宋_GB2312" w:cs="Times New Roman"/>
                <w:b w:val="0"/>
                <w:bCs w:val="0"/>
                <w:color w:val="auto"/>
                <w:sz w:val="21"/>
                <w:szCs w:val="21"/>
                <w:lang w:eastAsia="zh-CN"/>
              </w:rPr>
              <w:t>防</w:t>
            </w:r>
            <w:r>
              <w:rPr>
                <w:rFonts w:hint="default" w:ascii="Times New Roman" w:hAnsi="Times New Roman" w:eastAsia="仿宋_GB2312" w:cs="Times New Roman"/>
                <w:b w:val="0"/>
                <w:bCs w:val="0"/>
                <w:color w:val="auto"/>
                <w:sz w:val="21"/>
                <w:szCs w:val="21"/>
                <w:lang w:val="en-US" w:eastAsia="zh-CN"/>
              </w:rPr>
              <w:t>护用品</w:t>
            </w:r>
            <w:r>
              <w:rPr>
                <w:rFonts w:hint="default" w:ascii="Times New Roman" w:hAnsi="Times New Roman" w:eastAsia="仿宋_GB2312" w:cs="Times New Roman"/>
                <w:b w:val="0"/>
                <w:bCs w:val="0"/>
                <w:color w:val="auto"/>
                <w:sz w:val="21"/>
                <w:szCs w:val="21"/>
                <w:lang w:eastAsia="zh-CN"/>
              </w:rPr>
              <w:t>；</w:t>
            </w:r>
          </w:p>
          <w:p w14:paraId="04EE946A">
            <w:pPr>
              <w:pStyle w:val="46"/>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left"/>
              <w:textAlignment w:val="auto"/>
              <w:rPr>
                <w:rFonts w:hint="default" w:ascii="Times New Roman" w:hAnsi="Times New Roman" w:eastAsia="仿宋_GB2312" w:cs="Times New Roman"/>
                <w:b w:val="0"/>
                <w:bCs w:val="0"/>
                <w:color w:val="auto"/>
                <w:sz w:val="21"/>
                <w:szCs w:val="21"/>
                <w:lang w:val="en-US" w:eastAsia="zh-CN"/>
              </w:rPr>
            </w:pPr>
            <w:r>
              <w:rPr>
                <w:rFonts w:hint="default" w:ascii="Times New Roman" w:hAnsi="Times New Roman" w:eastAsia="仿宋_GB2312" w:cs="Times New Roman"/>
                <w:b w:val="0"/>
                <w:bCs w:val="0"/>
                <w:color w:val="auto"/>
                <w:sz w:val="21"/>
                <w:szCs w:val="21"/>
                <w:lang w:val="en-US" w:eastAsia="zh-CN"/>
              </w:rPr>
              <w:fldChar w:fldCharType="begin"/>
            </w:r>
            <w:r>
              <w:rPr>
                <w:rFonts w:hint="default" w:ascii="Times New Roman" w:hAnsi="Times New Roman" w:eastAsia="仿宋_GB2312" w:cs="Times New Roman"/>
                <w:b w:val="0"/>
                <w:bCs w:val="0"/>
                <w:color w:val="auto"/>
                <w:sz w:val="21"/>
                <w:szCs w:val="21"/>
                <w:lang w:val="en-US" w:eastAsia="zh-CN"/>
              </w:rPr>
              <w:instrText xml:space="preserve"> = 4 \* GB3 \* MERGEFORMAT </w:instrText>
            </w:r>
            <w:r>
              <w:rPr>
                <w:rFonts w:hint="default" w:ascii="Times New Roman" w:hAnsi="Times New Roman" w:eastAsia="仿宋_GB2312" w:cs="Times New Roman"/>
                <w:b w:val="0"/>
                <w:bCs w:val="0"/>
                <w:color w:val="auto"/>
                <w:sz w:val="21"/>
                <w:szCs w:val="21"/>
                <w:lang w:val="en-US" w:eastAsia="zh-CN"/>
              </w:rPr>
              <w:fldChar w:fldCharType="separate"/>
            </w:r>
            <w:r>
              <w:rPr>
                <w:rFonts w:hint="default" w:ascii="Times New Roman" w:hAnsi="Times New Roman" w:eastAsia="仿宋_GB2312" w:cs="Times New Roman"/>
                <w:b w:val="0"/>
                <w:bCs w:val="0"/>
                <w:color w:val="auto"/>
                <w:sz w:val="21"/>
                <w:szCs w:val="21"/>
              </w:rPr>
              <w:t>④</w:t>
            </w:r>
            <w:r>
              <w:rPr>
                <w:rFonts w:hint="default" w:ascii="Times New Roman" w:hAnsi="Times New Roman" w:eastAsia="仿宋_GB2312" w:cs="Times New Roman"/>
                <w:b w:val="0"/>
                <w:bCs w:val="0"/>
                <w:color w:val="auto"/>
                <w:sz w:val="21"/>
                <w:szCs w:val="21"/>
                <w:lang w:val="en-US" w:eastAsia="zh-CN"/>
              </w:rPr>
              <w:fldChar w:fldCharType="end"/>
            </w:r>
            <w:r>
              <w:rPr>
                <w:rFonts w:hint="default" w:ascii="Times New Roman" w:hAnsi="Times New Roman" w:eastAsia="仿宋_GB2312" w:cs="Times New Roman"/>
                <w:b w:val="0"/>
                <w:bCs w:val="0"/>
                <w:color w:val="auto"/>
                <w:sz w:val="21"/>
                <w:szCs w:val="21"/>
                <w:lang w:val="en-US" w:eastAsia="zh-CN"/>
              </w:rPr>
              <w:t>泄漏物待事故结束后，回收或运至危废处理场所处置。</w:t>
            </w:r>
          </w:p>
          <w:p w14:paraId="7AD571EB">
            <w:pPr>
              <w:pStyle w:val="46"/>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left"/>
              <w:textAlignment w:val="auto"/>
              <w:rPr>
                <w:rFonts w:hint="default" w:ascii="Times New Roman" w:hAnsi="Times New Roman" w:eastAsia="仿宋_GB2312" w:cs="Times New Roman"/>
                <w:b w:val="0"/>
                <w:bCs w:val="0"/>
                <w:color w:val="auto"/>
                <w:sz w:val="21"/>
                <w:szCs w:val="21"/>
                <w:lang w:val="en-US" w:eastAsia="zh-CN"/>
              </w:rPr>
            </w:pPr>
            <w:r>
              <w:rPr>
                <w:rFonts w:hint="default" w:ascii="Times New Roman" w:hAnsi="Times New Roman" w:eastAsia="仿宋_GB2312" w:cs="Times New Roman"/>
                <w:b w:val="0"/>
                <w:bCs w:val="0"/>
                <w:color w:val="auto"/>
                <w:sz w:val="21"/>
                <w:szCs w:val="21"/>
                <w:lang w:val="en-US" w:eastAsia="zh-CN"/>
              </w:rPr>
              <w:t>大量泄漏</w:t>
            </w:r>
          </w:p>
          <w:p w14:paraId="3275B5FD">
            <w:pPr>
              <w:pStyle w:val="46"/>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left"/>
              <w:textAlignment w:val="auto"/>
              <w:rPr>
                <w:rFonts w:hint="default" w:ascii="Times New Roman" w:hAnsi="Times New Roman" w:eastAsia="仿宋_GB2312" w:cs="Times New Roman"/>
                <w:b w:val="0"/>
                <w:bCs w:val="0"/>
                <w:color w:val="auto"/>
                <w:sz w:val="21"/>
                <w:szCs w:val="21"/>
                <w:lang w:val="zh-CN" w:eastAsia="zh-CN"/>
              </w:rPr>
            </w:pPr>
            <w:r>
              <w:rPr>
                <w:rFonts w:hint="default" w:ascii="Times New Roman" w:hAnsi="Times New Roman" w:eastAsia="仿宋_GB2312" w:cs="Times New Roman"/>
                <w:b w:val="0"/>
                <w:bCs w:val="0"/>
                <w:color w:val="auto"/>
                <w:sz w:val="21"/>
                <w:szCs w:val="21"/>
                <w:lang w:val="en-US" w:eastAsia="zh-CN"/>
              </w:rPr>
              <w:t>①立即</w:t>
            </w:r>
            <w:r>
              <w:rPr>
                <w:rFonts w:hint="default" w:ascii="Times New Roman" w:hAnsi="Times New Roman" w:eastAsia="仿宋_GB2312" w:cs="Times New Roman"/>
                <w:b w:val="0"/>
                <w:bCs w:val="0"/>
                <w:color w:val="auto"/>
                <w:kern w:val="2"/>
                <w:sz w:val="21"/>
                <w:szCs w:val="21"/>
                <w:lang w:val="en-US" w:eastAsia="zh-CN" w:bidi="ar-SA"/>
              </w:rPr>
              <w:t>疏散场所内所有未防护人员</w:t>
            </w:r>
            <w:r>
              <w:rPr>
                <w:rFonts w:hint="default" w:ascii="Times New Roman" w:hAnsi="Times New Roman" w:eastAsia="仿宋_GB2312" w:cs="Times New Roman"/>
                <w:b w:val="0"/>
                <w:bCs w:val="0"/>
                <w:color w:val="auto"/>
                <w:sz w:val="21"/>
                <w:szCs w:val="21"/>
                <w:lang w:val="zh-CN" w:eastAsia="zh-CN"/>
              </w:rPr>
              <w:t>，</w:t>
            </w:r>
            <w:r>
              <w:rPr>
                <w:rFonts w:hint="default" w:ascii="Times New Roman" w:hAnsi="Times New Roman" w:eastAsia="仿宋_GB2312" w:cs="Times New Roman"/>
                <w:b w:val="0"/>
                <w:bCs w:val="0"/>
                <w:color w:val="auto"/>
                <w:sz w:val="21"/>
                <w:szCs w:val="21"/>
                <w:lang w:val="en-US" w:eastAsia="zh-CN"/>
              </w:rPr>
              <w:t>在确保安全的情况下，</w:t>
            </w:r>
            <w:r>
              <w:rPr>
                <w:rFonts w:hint="default" w:ascii="Times New Roman" w:hAnsi="Times New Roman" w:eastAsia="仿宋_GB2312" w:cs="Times New Roman"/>
                <w:b w:val="0"/>
                <w:bCs w:val="0"/>
                <w:color w:val="auto"/>
                <w:sz w:val="21"/>
                <w:szCs w:val="21"/>
                <w:lang w:val="zh-CN" w:eastAsia="zh-CN"/>
              </w:rPr>
              <w:t>寻找泄漏点；</w:t>
            </w:r>
          </w:p>
          <w:p w14:paraId="2DB6B61B">
            <w:pPr>
              <w:pStyle w:val="46"/>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left"/>
              <w:textAlignment w:val="auto"/>
              <w:rPr>
                <w:rFonts w:hint="default" w:ascii="Times New Roman" w:hAnsi="Times New Roman" w:eastAsia="仿宋_GB2312" w:cs="Times New Roman"/>
                <w:b w:val="0"/>
                <w:bCs w:val="0"/>
                <w:color w:val="auto"/>
                <w:sz w:val="21"/>
                <w:szCs w:val="21"/>
                <w:lang w:eastAsia="zh-CN"/>
              </w:rPr>
            </w:pPr>
            <w:r>
              <w:rPr>
                <w:rFonts w:hint="default" w:ascii="Times New Roman" w:hAnsi="Times New Roman" w:eastAsia="仿宋_GB2312" w:cs="Times New Roman"/>
                <w:b w:val="0"/>
                <w:bCs w:val="0"/>
                <w:color w:val="auto"/>
                <w:sz w:val="21"/>
                <w:szCs w:val="21"/>
              </w:rPr>
              <w:t>②</w:t>
            </w:r>
            <w:r>
              <w:rPr>
                <w:rFonts w:hint="default" w:ascii="Times New Roman" w:hAnsi="Times New Roman" w:eastAsia="仿宋_GB2312" w:cs="Times New Roman"/>
                <w:b w:val="0"/>
                <w:bCs w:val="0"/>
                <w:color w:val="auto"/>
                <w:sz w:val="21"/>
                <w:szCs w:val="21"/>
                <w:lang w:eastAsia="zh-CN"/>
              </w:rPr>
              <w:t>构筑围堤堵截收容或用泡沫覆盖，降低蒸汽伤害，</w:t>
            </w:r>
            <w:r>
              <w:rPr>
                <w:rFonts w:hint="default" w:ascii="Times New Roman" w:hAnsi="Times New Roman" w:eastAsia="仿宋_GB2312" w:cs="Times New Roman"/>
                <w:b w:val="0"/>
                <w:bCs w:val="0"/>
                <w:color w:val="auto"/>
                <w:sz w:val="21"/>
                <w:szCs w:val="21"/>
                <w:lang w:val="en-US" w:eastAsia="zh-CN"/>
              </w:rPr>
              <w:t>事故结束后，</w:t>
            </w:r>
            <w:r>
              <w:rPr>
                <w:rFonts w:hint="default" w:ascii="Times New Roman" w:hAnsi="Times New Roman" w:eastAsia="仿宋_GB2312" w:cs="Times New Roman"/>
                <w:b w:val="0"/>
                <w:bCs w:val="0"/>
                <w:color w:val="auto"/>
                <w:sz w:val="21"/>
                <w:szCs w:val="21"/>
                <w:lang w:eastAsia="zh-CN"/>
              </w:rPr>
              <w:t>转移至空桶内，</w:t>
            </w:r>
            <w:r>
              <w:rPr>
                <w:rFonts w:hint="default" w:ascii="Times New Roman" w:hAnsi="Times New Roman" w:eastAsia="仿宋_GB2312" w:cs="Times New Roman"/>
                <w:b w:val="0"/>
                <w:bCs w:val="0"/>
                <w:color w:val="auto"/>
                <w:sz w:val="21"/>
                <w:szCs w:val="21"/>
                <w:lang w:val="en-US" w:eastAsia="zh-CN"/>
              </w:rPr>
              <w:t>送至有资质单位进行处置</w:t>
            </w:r>
            <w:r>
              <w:rPr>
                <w:rFonts w:hint="default" w:ascii="Times New Roman" w:hAnsi="Times New Roman" w:eastAsia="仿宋_GB2312" w:cs="Times New Roman"/>
                <w:b w:val="0"/>
                <w:bCs w:val="0"/>
                <w:color w:val="auto"/>
                <w:sz w:val="21"/>
                <w:szCs w:val="21"/>
                <w:lang w:eastAsia="zh-CN"/>
              </w:rPr>
              <w:t>；</w:t>
            </w:r>
          </w:p>
          <w:p w14:paraId="116E232A">
            <w:pPr>
              <w:pStyle w:val="46"/>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left"/>
              <w:textAlignment w:val="auto"/>
              <w:rPr>
                <w:rFonts w:hint="default" w:ascii="Times New Roman" w:hAnsi="Times New Roman" w:eastAsia="仿宋_GB2312" w:cs="Times New Roman"/>
                <w:b w:val="0"/>
                <w:bCs w:val="0"/>
                <w:color w:val="auto"/>
                <w:sz w:val="21"/>
                <w:szCs w:val="21"/>
                <w:lang w:eastAsia="zh-CN"/>
              </w:rPr>
            </w:pPr>
            <w:r>
              <w:rPr>
                <w:rFonts w:hint="default" w:ascii="Times New Roman" w:hAnsi="Times New Roman" w:eastAsia="仿宋_GB2312" w:cs="Times New Roman"/>
                <w:b w:val="0"/>
                <w:bCs w:val="0"/>
                <w:color w:val="auto"/>
                <w:sz w:val="21"/>
                <w:szCs w:val="21"/>
                <w:lang w:val="en-US" w:eastAsia="zh-CN"/>
              </w:rPr>
              <w:t>③应急处置过程中杜绝火源，</w:t>
            </w:r>
            <w:r>
              <w:rPr>
                <w:rFonts w:hint="default" w:ascii="Times New Roman" w:hAnsi="Times New Roman" w:eastAsia="仿宋_GB2312" w:cs="Times New Roman"/>
                <w:b w:val="0"/>
                <w:bCs w:val="0"/>
                <w:color w:val="auto"/>
                <w:sz w:val="21"/>
                <w:szCs w:val="21"/>
              </w:rPr>
              <w:t>应急</w:t>
            </w:r>
            <w:r>
              <w:rPr>
                <w:rFonts w:hint="default" w:ascii="Times New Roman" w:hAnsi="Times New Roman" w:eastAsia="仿宋_GB2312" w:cs="Times New Roman"/>
                <w:b w:val="0"/>
                <w:bCs w:val="0"/>
                <w:color w:val="auto"/>
                <w:sz w:val="21"/>
                <w:szCs w:val="21"/>
                <w:lang w:val="en-US" w:eastAsia="zh-CN"/>
              </w:rPr>
              <w:t>处置</w:t>
            </w:r>
            <w:r>
              <w:rPr>
                <w:rFonts w:hint="default" w:ascii="Times New Roman" w:hAnsi="Times New Roman" w:eastAsia="仿宋_GB2312" w:cs="Times New Roman"/>
                <w:b w:val="0"/>
                <w:bCs w:val="0"/>
                <w:color w:val="auto"/>
                <w:sz w:val="21"/>
                <w:szCs w:val="21"/>
              </w:rPr>
              <w:t>人员必须穿戴</w:t>
            </w:r>
            <w:r>
              <w:rPr>
                <w:rFonts w:hint="default" w:ascii="Times New Roman" w:hAnsi="Times New Roman" w:eastAsia="仿宋_GB2312" w:cs="Times New Roman"/>
                <w:b w:val="0"/>
                <w:bCs w:val="0"/>
                <w:color w:val="auto"/>
                <w:sz w:val="21"/>
                <w:szCs w:val="21"/>
                <w:lang w:eastAsia="zh-CN"/>
              </w:rPr>
              <w:t>防</w:t>
            </w:r>
            <w:r>
              <w:rPr>
                <w:rFonts w:hint="default" w:ascii="Times New Roman" w:hAnsi="Times New Roman" w:eastAsia="仿宋_GB2312" w:cs="Times New Roman"/>
                <w:b w:val="0"/>
                <w:bCs w:val="0"/>
                <w:color w:val="auto"/>
                <w:sz w:val="21"/>
                <w:szCs w:val="21"/>
                <w:lang w:val="en-US" w:eastAsia="zh-CN"/>
              </w:rPr>
              <w:t>护用品</w:t>
            </w:r>
            <w:r>
              <w:rPr>
                <w:rFonts w:hint="default" w:ascii="Times New Roman" w:hAnsi="Times New Roman" w:eastAsia="仿宋_GB2312" w:cs="Times New Roman"/>
                <w:b w:val="0"/>
                <w:bCs w:val="0"/>
                <w:color w:val="auto"/>
                <w:sz w:val="21"/>
                <w:szCs w:val="21"/>
                <w:lang w:eastAsia="zh-CN"/>
              </w:rPr>
              <w:t>。</w:t>
            </w:r>
          </w:p>
          <w:p w14:paraId="063E2398">
            <w:pPr>
              <w:pStyle w:val="46"/>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left"/>
              <w:textAlignment w:val="auto"/>
              <w:rPr>
                <w:rFonts w:hint="default" w:ascii="Times New Roman" w:hAnsi="Times New Roman" w:eastAsia="仿宋_GB2312" w:cs="Times New Roman"/>
                <w:color w:val="auto"/>
                <w:sz w:val="21"/>
                <w:szCs w:val="21"/>
                <w:lang w:val="zh-CN" w:eastAsia="zh-CN"/>
              </w:rPr>
            </w:pPr>
            <w:r>
              <w:rPr>
                <w:rFonts w:hint="default" w:ascii="Times New Roman" w:hAnsi="Times New Roman" w:eastAsia="仿宋_GB2312" w:cs="Times New Roman"/>
                <w:b w:val="0"/>
                <w:bCs w:val="0"/>
                <w:color w:val="auto"/>
                <w:sz w:val="21"/>
                <w:szCs w:val="21"/>
                <w:lang w:val="en-US" w:eastAsia="zh-CN"/>
              </w:rPr>
              <w:fldChar w:fldCharType="begin"/>
            </w:r>
            <w:r>
              <w:rPr>
                <w:rFonts w:hint="default" w:ascii="Times New Roman" w:hAnsi="Times New Roman" w:eastAsia="仿宋_GB2312" w:cs="Times New Roman"/>
                <w:b w:val="0"/>
                <w:bCs w:val="0"/>
                <w:color w:val="auto"/>
                <w:sz w:val="21"/>
                <w:szCs w:val="21"/>
                <w:lang w:val="en-US" w:eastAsia="zh-CN"/>
              </w:rPr>
              <w:instrText xml:space="preserve"> = 4 \* GB3 \* MERGEFORMAT </w:instrText>
            </w:r>
            <w:r>
              <w:rPr>
                <w:rFonts w:hint="default" w:ascii="Times New Roman" w:hAnsi="Times New Roman" w:eastAsia="仿宋_GB2312" w:cs="Times New Roman"/>
                <w:b w:val="0"/>
                <w:bCs w:val="0"/>
                <w:color w:val="auto"/>
                <w:sz w:val="21"/>
                <w:szCs w:val="21"/>
                <w:lang w:val="en-US" w:eastAsia="zh-CN"/>
              </w:rPr>
              <w:fldChar w:fldCharType="separate"/>
            </w:r>
            <w:r>
              <w:rPr>
                <w:rFonts w:hint="default" w:ascii="Times New Roman" w:hAnsi="Times New Roman" w:eastAsia="仿宋_GB2312" w:cs="Times New Roman"/>
                <w:b w:val="0"/>
                <w:bCs w:val="0"/>
                <w:color w:val="auto"/>
                <w:sz w:val="21"/>
                <w:szCs w:val="21"/>
              </w:rPr>
              <w:t>④</w:t>
            </w:r>
            <w:r>
              <w:rPr>
                <w:rFonts w:hint="default" w:ascii="Times New Roman" w:hAnsi="Times New Roman" w:eastAsia="仿宋_GB2312" w:cs="Times New Roman"/>
                <w:b w:val="0"/>
                <w:bCs w:val="0"/>
                <w:color w:val="auto"/>
                <w:sz w:val="21"/>
                <w:szCs w:val="21"/>
                <w:lang w:val="en-US" w:eastAsia="zh-CN"/>
              </w:rPr>
              <w:fldChar w:fldCharType="end"/>
            </w:r>
            <w:r>
              <w:rPr>
                <w:rFonts w:hint="default" w:ascii="Times New Roman" w:hAnsi="Times New Roman" w:eastAsia="仿宋_GB2312" w:cs="Times New Roman"/>
                <w:b w:val="0"/>
                <w:bCs w:val="0"/>
                <w:color w:val="auto"/>
                <w:sz w:val="21"/>
                <w:szCs w:val="21"/>
                <w:lang w:val="en-US" w:eastAsia="zh-CN"/>
              </w:rPr>
              <w:t>泄漏物待事故结束后，回收或运至危废处理场所处置。</w:t>
            </w:r>
          </w:p>
        </w:tc>
      </w:tr>
      <w:tr w14:paraId="6AD3C8C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585" w:hRule="atLeast"/>
          <w:jc w:val="center"/>
        </w:trPr>
        <w:tc>
          <w:tcPr>
            <w:tcW w:w="634" w:type="pct"/>
            <w:tcBorders>
              <w:tl2br w:val="nil"/>
              <w:tr2bl w:val="nil"/>
            </w:tcBorders>
            <w:noWrap w:val="0"/>
            <w:vAlign w:val="center"/>
          </w:tcPr>
          <w:p w14:paraId="630C48A0">
            <w:pPr>
              <w:pageBreakBefore w:val="0"/>
              <w:kinsoku/>
              <w:topLinePunct w:val="0"/>
              <w:bidi w:val="0"/>
              <w:adjustRightInd w:val="0"/>
              <w:snapToGrid w:val="0"/>
              <w:ind w:left="0" w:leftChars="0" w:right="0"/>
              <w:jc w:val="center"/>
              <w:rPr>
                <w:rFonts w:hint="default" w:ascii="Times New Roman" w:hAnsi="Times New Roman" w:eastAsia="仿宋_GB2312" w:cs="Times New Roman"/>
                <w:b/>
                <w:color w:val="auto"/>
                <w:sz w:val="21"/>
                <w:szCs w:val="21"/>
                <w:lang w:eastAsia="zh-CN"/>
              </w:rPr>
            </w:pPr>
            <w:r>
              <w:rPr>
                <w:rFonts w:hint="default" w:ascii="Times New Roman" w:hAnsi="Times New Roman" w:eastAsia="仿宋_GB2312" w:cs="Times New Roman"/>
                <w:b/>
                <w:color w:val="auto"/>
                <w:sz w:val="21"/>
                <w:szCs w:val="21"/>
                <w:lang w:eastAsia="zh-CN"/>
              </w:rPr>
              <w:t>信息</w:t>
            </w:r>
            <w:r>
              <w:rPr>
                <w:rFonts w:hint="default" w:ascii="Times New Roman" w:hAnsi="Times New Roman" w:eastAsia="仿宋_GB2312" w:cs="Times New Roman"/>
                <w:b/>
                <w:color w:val="auto"/>
                <w:sz w:val="21"/>
                <w:szCs w:val="21"/>
              </w:rPr>
              <w:t>报告</w:t>
            </w:r>
            <w:r>
              <w:rPr>
                <w:rFonts w:hint="default" w:ascii="Times New Roman" w:hAnsi="Times New Roman" w:eastAsia="仿宋_GB2312" w:cs="Times New Roman"/>
                <w:b/>
                <w:color w:val="auto"/>
                <w:sz w:val="21"/>
                <w:szCs w:val="21"/>
                <w:lang w:eastAsia="zh-CN"/>
              </w:rPr>
              <w:t>方式</w:t>
            </w:r>
          </w:p>
        </w:tc>
        <w:tc>
          <w:tcPr>
            <w:tcW w:w="4365" w:type="pct"/>
            <w:tcBorders>
              <w:tl2br w:val="nil"/>
              <w:tr2bl w:val="nil"/>
            </w:tcBorders>
            <w:noWrap w:val="0"/>
            <w:vAlign w:val="center"/>
          </w:tcPr>
          <w:p w14:paraId="2CFC5A95">
            <w:pPr>
              <w:pStyle w:val="14"/>
              <w:pageBreakBefore w:val="0"/>
              <w:tabs>
                <w:tab w:val="left" w:pos="2247"/>
              </w:tabs>
              <w:kinsoku/>
              <w:topLinePunct w:val="0"/>
              <w:bidi w:val="0"/>
              <w:adjustRightInd w:val="0"/>
              <w:snapToGrid w:val="0"/>
              <w:ind w:left="0" w:leftChars="0" w:right="0" w:firstLine="0"/>
              <w:jc w:val="both"/>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rPr>
              <w:t>指挥部总指挥：</w:t>
            </w:r>
            <w:r>
              <w:rPr>
                <w:rFonts w:hint="default" w:ascii="Times New Roman" w:hAnsi="Times New Roman" w:eastAsia="仿宋_GB2312" w:cs="Times New Roman"/>
                <w:color w:val="auto"/>
                <w:sz w:val="21"/>
                <w:szCs w:val="21"/>
                <w:lang w:val="en-US" w:eastAsia="zh-CN"/>
              </w:rPr>
              <w:t xml:space="preserve">冯良华 62666 </w:t>
            </w:r>
          </w:p>
        </w:tc>
      </w:tr>
      <w:tr w14:paraId="2D855F7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981" w:hRule="atLeast"/>
          <w:jc w:val="center"/>
        </w:trPr>
        <w:tc>
          <w:tcPr>
            <w:tcW w:w="634" w:type="pct"/>
            <w:tcBorders>
              <w:tl2br w:val="nil"/>
              <w:tr2bl w:val="nil"/>
            </w:tcBorders>
            <w:noWrap w:val="0"/>
            <w:vAlign w:val="center"/>
          </w:tcPr>
          <w:p w14:paraId="7FF9F604">
            <w:pPr>
              <w:pStyle w:val="14"/>
              <w:pageBreakBefore w:val="0"/>
              <w:kinsoku/>
              <w:topLinePunct w:val="0"/>
              <w:bidi w:val="0"/>
              <w:adjustRightInd w:val="0"/>
              <w:snapToGrid w:val="0"/>
              <w:ind w:left="0" w:leftChars="0" w:right="0" w:firstLine="0"/>
              <w:jc w:val="center"/>
              <w:rPr>
                <w:rFonts w:hint="default" w:ascii="Times New Roman" w:hAnsi="Times New Roman" w:eastAsia="仿宋_GB2312" w:cs="Times New Roman"/>
                <w:b/>
                <w:color w:val="auto"/>
                <w:sz w:val="21"/>
                <w:szCs w:val="21"/>
                <w:lang w:val="en-US" w:eastAsia="zh-CN"/>
              </w:rPr>
            </w:pPr>
            <w:r>
              <w:rPr>
                <w:rFonts w:hint="default" w:ascii="Times New Roman" w:hAnsi="Times New Roman" w:eastAsia="仿宋_GB2312" w:cs="Times New Roman"/>
                <w:b/>
                <w:bCs/>
                <w:color w:val="auto"/>
                <w:sz w:val="21"/>
                <w:szCs w:val="21"/>
                <w:lang w:val="en-US" w:eastAsia="zh-CN"/>
              </w:rPr>
              <w:t>应急物资</w:t>
            </w:r>
          </w:p>
        </w:tc>
        <w:tc>
          <w:tcPr>
            <w:tcW w:w="4365" w:type="pct"/>
            <w:tcBorders>
              <w:tl2br w:val="nil"/>
              <w:tr2bl w:val="nil"/>
            </w:tcBorders>
            <w:noWrap w:val="0"/>
            <w:vAlign w:val="center"/>
          </w:tcPr>
          <w:p w14:paraId="603FA4D9">
            <w:pPr>
              <w:pageBreakBefore w:val="0"/>
              <w:kinsoku/>
              <w:topLinePunct w:val="0"/>
              <w:bidi w:val="0"/>
              <w:adjustRightInd w:val="0"/>
              <w:snapToGrid w:val="0"/>
              <w:ind w:left="0" w:leftChars="0" w:right="0"/>
              <w:jc w:val="both"/>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①</w:t>
            </w:r>
            <w:r>
              <w:rPr>
                <w:rFonts w:hint="default" w:ascii="Times New Roman" w:hAnsi="Times New Roman" w:eastAsia="仿宋_GB2312" w:cs="Times New Roman"/>
                <w:color w:val="auto"/>
                <w:sz w:val="21"/>
                <w:szCs w:val="21"/>
                <w:lang w:eastAsia="zh-CN"/>
              </w:rPr>
              <w:t>砂土；</w:t>
            </w:r>
          </w:p>
          <w:p w14:paraId="2941CE36">
            <w:pPr>
              <w:pageBreakBefore w:val="0"/>
              <w:kinsoku/>
              <w:topLinePunct w:val="0"/>
              <w:bidi w:val="0"/>
              <w:adjustRightInd w:val="0"/>
              <w:snapToGrid w:val="0"/>
              <w:ind w:left="0" w:leftChars="0" w:right="0"/>
              <w:jc w:val="both"/>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②</w:t>
            </w:r>
            <w:r>
              <w:rPr>
                <w:rFonts w:hint="default" w:ascii="Times New Roman" w:hAnsi="Times New Roman" w:eastAsia="仿宋_GB2312" w:cs="Times New Roman"/>
                <w:color w:val="auto"/>
                <w:sz w:val="21"/>
                <w:szCs w:val="21"/>
                <w:lang w:eastAsia="zh-CN"/>
              </w:rPr>
              <w:t>无火花抢修工具、堵漏工具；</w:t>
            </w:r>
          </w:p>
          <w:p w14:paraId="42C67E46">
            <w:pPr>
              <w:pageBreakBefore w:val="0"/>
              <w:kinsoku/>
              <w:topLinePunct w:val="0"/>
              <w:bidi w:val="0"/>
              <w:adjustRightInd w:val="0"/>
              <w:snapToGrid w:val="0"/>
              <w:ind w:left="0" w:leftChars="0" w:right="0"/>
              <w:jc w:val="both"/>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rPr>
              <w:t>③</w:t>
            </w:r>
            <w:r>
              <w:rPr>
                <w:rFonts w:hint="default" w:ascii="Times New Roman" w:hAnsi="Times New Roman" w:eastAsia="仿宋_GB2312" w:cs="Times New Roman"/>
                <w:color w:val="auto"/>
                <w:sz w:val="21"/>
                <w:szCs w:val="21"/>
                <w:lang w:eastAsia="zh-CN"/>
              </w:rPr>
              <w:t>空桶；</w:t>
            </w:r>
          </w:p>
          <w:p w14:paraId="449870CF">
            <w:pPr>
              <w:pStyle w:val="14"/>
              <w:pageBreakBefore w:val="0"/>
              <w:kinsoku/>
              <w:topLinePunct w:val="0"/>
              <w:bidi w:val="0"/>
              <w:adjustRightInd w:val="0"/>
              <w:snapToGrid w:val="0"/>
              <w:ind w:left="0" w:leftChars="0" w:right="0" w:firstLine="0" w:firstLineChars="0"/>
              <w:jc w:val="both"/>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rPr>
              <w:t>④</w:t>
            </w:r>
            <w:r>
              <w:rPr>
                <w:rFonts w:hint="default" w:ascii="Times New Roman" w:hAnsi="Times New Roman" w:eastAsia="仿宋_GB2312" w:cs="Times New Roman"/>
                <w:color w:val="auto"/>
                <w:sz w:val="21"/>
                <w:szCs w:val="21"/>
                <w:lang w:eastAsia="zh-CN"/>
              </w:rPr>
              <w:t>防</w:t>
            </w:r>
            <w:r>
              <w:rPr>
                <w:rFonts w:hint="default" w:ascii="Times New Roman" w:hAnsi="Times New Roman" w:eastAsia="仿宋_GB2312" w:cs="Times New Roman"/>
                <w:color w:val="auto"/>
                <w:sz w:val="21"/>
                <w:szCs w:val="21"/>
                <w:lang w:val="en-US" w:eastAsia="zh-CN"/>
              </w:rPr>
              <w:t>护用品</w:t>
            </w:r>
            <w:r>
              <w:rPr>
                <w:rFonts w:hint="default" w:ascii="Times New Roman" w:hAnsi="Times New Roman" w:eastAsia="仿宋_GB2312" w:cs="Times New Roman"/>
                <w:color w:val="auto"/>
                <w:sz w:val="21"/>
                <w:szCs w:val="21"/>
                <w:lang w:eastAsia="zh-CN"/>
              </w:rPr>
              <w:t>。</w:t>
            </w:r>
          </w:p>
        </w:tc>
      </w:tr>
    </w:tbl>
    <w:p w14:paraId="0D50375D">
      <w:pPr>
        <w:pageBreakBefore w:val="0"/>
        <w:kinsoku/>
        <w:wordWrap/>
        <w:bidi w:val="0"/>
        <w:adjustRightInd w:val="0"/>
        <w:snapToGrid w:val="0"/>
        <w:spacing w:beforeAutospacing="0" w:afterAutospacing="0" w:line="500" w:lineRule="exact"/>
        <w:ind w:left="0" w:leftChars="0" w:right="0"/>
        <w:jc w:val="center"/>
        <w:rPr>
          <w:rFonts w:hint="default" w:ascii="Times New Roman" w:hAnsi="Times New Roman" w:eastAsia="仿宋_GB2312" w:cs="Times New Roman"/>
          <w:b/>
          <w:color w:val="auto"/>
          <w:spacing w:val="0"/>
          <w:kern w:val="0"/>
          <w:position w:val="0"/>
          <w:szCs w:val="28"/>
          <w:lang w:val="en-US" w:eastAsia="zh-CN"/>
        </w:rPr>
      </w:pPr>
      <w:r>
        <w:rPr>
          <w:rFonts w:hint="default" w:ascii="Times New Roman" w:hAnsi="Times New Roman" w:eastAsia="仿宋_GB2312" w:cs="Times New Roman"/>
          <w:b/>
          <w:color w:val="auto"/>
          <w:spacing w:val="0"/>
          <w:kern w:val="0"/>
          <w:position w:val="0"/>
          <w:szCs w:val="28"/>
          <w:lang w:val="zh-CN" w:eastAsia="zh-CN"/>
        </w:rPr>
        <w:t>表</w:t>
      </w:r>
      <w:r>
        <w:rPr>
          <w:rFonts w:hint="default" w:ascii="Times New Roman" w:hAnsi="Times New Roman" w:eastAsia="仿宋_GB2312" w:cs="Times New Roman"/>
          <w:b/>
          <w:color w:val="auto"/>
          <w:spacing w:val="0"/>
          <w:kern w:val="0"/>
          <w:position w:val="0"/>
          <w:szCs w:val="28"/>
          <w:lang w:val="en-US" w:eastAsia="zh-CN"/>
        </w:rPr>
        <w:t>5.11-4 生产车间</w:t>
      </w:r>
      <w:r>
        <w:rPr>
          <w:rFonts w:hint="default" w:ascii="Times New Roman" w:hAnsi="Times New Roman" w:eastAsia="仿宋_GB2312" w:cs="Times New Roman"/>
          <w:b/>
          <w:color w:val="auto"/>
          <w:spacing w:val="0"/>
          <w:kern w:val="0"/>
          <w:position w:val="0"/>
          <w:szCs w:val="28"/>
          <w:lang w:val="zh-CN" w:eastAsia="zh-CN"/>
        </w:rPr>
        <w:t>泄漏、火灾事故应急处置卡</w:t>
      </w:r>
    </w:p>
    <w:tbl>
      <w:tblPr>
        <w:tblStyle w:val="31"/>
        <w:tblW w:w="4999"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149"/>
        <w:gridCol w:w="7909"/>
      </w:tblGrid>
      <w:tr w14:paraId="1504C7D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516" w:hRule="atLeast"/>
          <w:jc w:val="center"/>
        </w:trPr>
        <w:tc>
          <w:tcPr>
            <w:tcW w:w="634" w:type="pct"/>
            <w:tcBorders>
              <w:tl2br w:val="nil"/>
              <w:tr2bl w:val="nil"/>
            </w:tcBorders>
            <w:noWrap w:val="0"/>
            <w:vAlign w:val="center"/>
          </w:tcPr>
          <w:p w14:paraId="2971A2FD">
            <w:pPr>
              <w:pageBreakBefore w:val="0"/>
              <w:kinsoku/>
              <w:topLinePunct w:val="0"/>
              <w:bidi w:val="0"/>
              <w:adjustRightInd w:val="0"/>
              <w:snapToGrid w:val="0"/>
              <w:ind w:left="0" w:leftChars="0" w:right="0"/>
              <w:jc w:val="center"/>
              <w:rPr>
                <w:rFonts w:hint="default" w:ascii="Times New Roman" w:hAnsi="Times New Roman" w:eastAsia="仿宋_GB2312" w:cs="Times New Roman"/>
                <w:b/>
                <w:color w:val="auto"/>
                <w:kern w:val="2"/>
                <w:sz w:val="21"/>
                <w:szCs w:val="21"/>
                <w:lang w:val="en-US" w:eastAsia="zh-CN" w:bidi="ar-SA"/>
              </w:rPr>
            </w:pPr>
            <w:r>
              <w:rPr>
                <w:rFonts w:hint="default" w:ascii="Times New Roman" w:hAnsi="Times New Roman" w:eastAsia="仿宋_GB2312" w:cs="Times New Roman"/>
                <w:b/>
                <w:color w:val="auto"/>
                <w:sz w:val="21"/>
                <w:szCs w:val="21"/>
                <w:lang w:eastAsia="zh-CN"/>
              </w:rPr>
              <w:t>类型</w:t>
            </w:r>
          </w:p>
        </w:tc>
        <w:tc>
          <w:tcPr>
            <w:tcW w:w="4365" w:type="pct"/>
            <w:tcBorders>
              <w:tl2br w:val="nil"/>
              <w:tr2bl w:val="nil"/>
            </w:tcBorders>
            <w:noWrap w:val="0"/>
            <w:vAlign w:val="center"/>
          </w:tcPr>
          <w:p w14:paraId="7229CE94">
            <w:pPr>
              <w:pageBreakBefore w:val="0"/>
              <w:kinsoku/>
              <w:topLinePunct w:val="0"/>
              <w:bidi w:val="0"/>
              <w:adjustRightInd w:val="0"/>
              <w:snapToGrid w:val="0"/>
              <w:ind w:left="0" w:leftChars="0" w:right="0"/>
              <w:jc w:val="both"/>
              <w:rPr>
                <w:rFonts w:hint="default" w:ascii="Times New Roman" w:hAnsi="Times New Roman" w:eastAsia="仿宋_GB2312" w:cs="Times New Roman"/>
                <w:color w:val="auto"/>
                <w:kern w:val="2"/>
                <w:sz w:val="21"/>
                <w:szCs w:val="21"/>
                <w:lang w:val="zh-CN" w:eastAsia="zh-CN" w:bidi="ar-SA"/>
              </w:rPr>
            </w:pPr>
            <w:r>
              <w:rPr>
                <w:rFonts w:hint="default" w:ascii="Times New Roman" w:hAnsi="Times New Roman" w:eastAsia="仿宋_GB2312" w:cs="Times New Roman"/>
                <w:color w:val="auto"/>
                <w:sz w:val="21"/>
                <w:szCs w:val="21"/>
                <w:lang w:val="en-US" w:eastAsia="zh-CN"/>
              </w:rPr>
              <w:t>生产车间</w:t>
            </w:r>
            <w:r>
              <w:rPr>
                <w:rFonts w:hint="default" w:ascii="Times New Roman" w:hAnsi="Times New Roman" w:eastAsia="仿宋_GB2312" w:cs="Times New Roman"/>
                <w:color w:val="auto"/>
                <w:sz w:val="21"/>
                <w:szCs w:val="21"/>
                <w:lang w:val="zh-CN"/>
              </w:rPr>
              <w:t>泄漏、</w:t>
            </w:r>
            <w:r>
              <w:rPr>
                <w:rFonts w:hint="default" w:ascii="Times New Roman" w:hAnsi="Times New Roman" w:eastAsia="仿宋_GB2312" w:cs="Times New Roman"/>
                <w:color w:val="auto"/>
                <w:sz w:val="21"/>
                <w:szCs w:val="21"/>
                <w:lang w:val="en-US" w:eastAsia="zh-CN"/>
              </w:rPr>
              <w:t>火灾</w:t>
            </w:r>
            <w:r>
              <w:rPr>
                <w:rFonts w:hint="default" w:ascii="Times New Roman" w:hAnsi="Times New Roman" w:eastAsia="仿宋_GB2312" w:cs="Times New Roman"/>
                <w:color w:val="auto"/>
                <w:sz w:val="21"/>
                <w:szCs w:val="21"/>
                <w:lang w:val="zh-CN"/>
              </w:rPr>
              <w:t>事故现场处置方案</w:t>
            </w:r>
          </w:p>
        </w:tc>
      </w:tr>
      <w:tr w14:paraId="2FA738F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606" w:hRule="atLeast"/>
          <w:jc w:val="center"/>
        </w:trPr>
        <w:tc>
          <w:tcPr>
            <w:tcW w:w="634" w:type="pct"/>
            <w:tcBorders>
              <w:tl2br w:val="nil"/>
              <w:tr2bl w:val="nil"/>
            </w:tcBorders>
            <w:noWrap w:val="0"/>
            <w:vAlign w:val="center"/>
          </w:tcPr>
          <w:p w14:paraId="5032AC12">
            <w:pPr>
              <w:pageBreakBefore w:val="0"/>
              <w:kinsoku/>
              <w:topLinePunct w:val="0"/>
              <w:bidi w:val="0"/>
              <w:adjustRightInd w:val="0"/>
              <w:snapToGrid w:val="0"/>
              <w:ind w:left="0" w:leftChars="0" w:right="0"/>
              <w:jc w:val="center"/>
              <w:rPr>
                <w:rFonts w:hint="default" w:ascii="Times New Roman" w:hAnsi="Times New Roman" w:eastAsia="仿宋_GB2312" w:cs="Times New Roman"/>
                <w:b/>
                <w:color w:val="auto"/>
                <w:sz w:val="21"/>
                <w:szCs w:val="21"/>
                <w:lang w:eastAsia="zh-CN"/>
              </w:rPr>
            </w:pPr>
            <w:r>
              <w:rPr>
                <w:rFonts w:hint="default" w:ascii="Times New Roman" w:hAnsi="Times New Roman" w:eastAsia="仿宋_GB2312" w:cs="Times New Roman"/>
                <w:b/>
                <w:color w:val="auto"/>
                <w:sz w:val="21"/>
                <w:szCs w:val="21"/>
                <w:lang w:eastAsia="zh-CN"/>
              </w:rPr>
              <w:t>环境风</w:t>
            </w:r>
          </w:p>
          <w:p w14:paraId="2C77913F">
            <w:pPr>
              <w:pageBreakBefore w:val="0"/>
              <w:kinsoku/>
              <w:topLinePunct w:val="0"/>
              <w:bidi w:val="0"/>
              <w:adjustRightInd w:val="0"/>
              <w:snapToGrid w:val="0"/>
              <w:ind w:left="0" w:leftChars="0" w:right="0"/>
              <w:jc w:val="center"/>
              <w:rPr>
                <w:rFonts w:hint="default" w:ascii="Times New Roman" w:hAnsi="Times New Roman" w:eastAsia="仿宋_GB2312" w:cs="Times New Roman"/>
                <w:b/>
                <w:color w:val="auto"/>
                <w:kern w:val="2"/>
                <w:sz w:val="21"/>
                <w:szCs w:val="21"/>
                <w:lang w:val="en-US" w:eastAsia="zh-CN" w:bidi="ar-SA"/>
              </w:rPr>
            </w:pPr>
            <w:r>
              <w:rPr>
                <w:rFonts w:hint="default" w:ascii="Times New Roman" w:hAnsi="Times New Roman" w:eastAsia="仿宋_GB2312" w:cs="Times New Roman"/>
                <w:b/>
                <w:color w:val="auto"/>
                <w:sz w:val="21"/>
                <w:szCs w:val="21"/>
                <w:lang w:eastAsia="zh-CN"/>
              </w:rPr>
              <w:t>险物质</w:t>
            </w:r>
          </w:p>
        </w:tc>
        <w:tc>
          <w:tcPr>
            <w:tcW w:w="4365" w:type="pct"/>
            <w:tcBorders>
              <w:tl2br w:val="nil"/>
              <w:tr2bl w:val="nil"/>
            </w:tcBorders>
            <w:noWrap w:val="0"/>
            <w:vAlign w:val="center"/>
          </w:tcPr>
          <w:p w14:paraId="08EE43AF">
            <w:pPr>
              <w:pageBreakBefore w:val="0"/>
              <w:kinsoku/>
              <w:topLinePunct w:val="0"/>
              <w:bidi w:val="0"/>
              <w:adjustRightInd w:val="0"/>
              <w:snapToGrid w:val="0"/>
              <w:ind w:left="0" w:leftChars="0" w:right="0"/>
              <w:jc w:val="both"/>
              <w:rPr>
                <w:rFonts w:hint="default" w:ascii="Times New Roman" w:hAnsi="Times New Roman" w:eastAsia="仿宋_GB2312" w:cs="Times New Roman"/>
                <w:b/>
                <w:color w:val="auto"/>
                <w:kern w:val="2"/>
                <w:sz w:val="21"/>
                <w:szCs w:val="21"/>
                <w:lang w:val="en-US" w:eastAsia="zh-CN" w:bidi="ar-SA"/>
              </w:rPr>
            </w:pPr>
            <w:r>
              <w:rPr>
                <w:rFonts w:hint="eastAsia" w:ascii="Times New Roman" w:hAnsi="Times New Roman" w:eastAsia="仿宋_GB2312" w:cs="Times New Roman"/>
                <w:color w:val="auto"/>
                <w:sz w:val="21"/>
                <w:szCs w:val="21"/>
                <w:lang w:val="en-US" w:eastAsia="zh-CN"/>
              </w:rPr>
              <w:t>液碱、盐酸、次氯化钠</w:t>
            </w:r>
            <w:r>
              <w:rPr>
                <w:rFonts w:hint="default" w:ascii="Times New Roman" w:hAnsi="Times New Roman" w:eastAsia="仿宋_GB2312" w:cs="Times New Roman"/>
                <w:color w:val="auto"/>
                <w:sz w:val="21"/>
                <w:szCs w:val="21"/>
                <w:lang w:val="en-US" w:eastAsia="zh-CN"/>
              </w:rPr>
              <w:t>等</w:t>
            </w:r>
          </w:p>
        </w:tc>
      </w:tr>
      <w:tr w14:paraId="1343A8B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971" w:hRule="atLeast"/>
          <w:jc w:val="center"/>
        </w:trPr>
        <w:tc>
          <w:tcPr>
            <w:tcW w:w="634" w:type="pct"/>
            <w:tcBorders>
              <w:tl2br w:val="nil"/>
              <w:tr2bl w:val="nil"/>
            </w:tcBorders>
            <w:noWrap w:val="0"/>
            <w:vAlign w:val="center"/>
          </w:tcPr>
          <w:p w14:paraId="650898EF">
            <w:pPr>
              <w:pStyle w:val="14"/>
              <w:pageBreakBefore w:val="0"/>
              <w:kinsoku/>
              <w:topLinePunct w:val="0"/>
              <w:bidi w:val="0"/>
              <w:adjustRightInd w:val="0"/>
              <w:snapToGrid w:val="0"/>
              <w:ind w:left="0" w:leftChars="0" w:right="0" w:firstLine="0"/>
              <w:jc w:val="center"/>
              <w:rPr>
                <w:rFonts w:hint="default" w:ascii="Times New Roman" w:hAnsi="Times New Roman" w:eastAsia="仿宋_GB2312" w:cs="Times New Roman"/>
                <w:b/>
                <w:color w:val="auto"/>
                <w:kern w:val="2"/>
                <w:sz w:val="21"/>
                <w:szCs w:val="21"/>
                <w:lang w:val="en-US" w:eastAsia="zh-CN" w:bidi="ar-SA"/>
              </w:rPr>
            </w:pPr>
            <w:r>
              <w:rPr>
                <w:rFonts w:hint="default" w:ascii="Times New Roman" w:hAnsi="Times New Roman" w:eastAsia="仿宋_GB2312" w:cs="Times New Roman"/>
                <w:b/>
                <w:bCs/>
                <w:color w:val="auto"/>
                <w:sz w:val="21"/>
                <w:szCs w:val="21"/>
                <w:lang w:eastAsia="zh-CN"/>
              </w:rPr>
              <w:t>污染源切断方式</w:t>
            </w:r>
          </w:p>
        </w:tc>
        <w:tc>
          <w:tcPr>
            <w:tcW w:w="4365" w:type="pct"/>
            <w:tcBorders>
              <w:tl2br w:val="nil"/>
              <w:tr2bl w:val="nil"/>
            </w:tcBorders>
            <w:noWrap w:val="0"/>
            <w:vAlign w:val="center"/>
          </w:tcPr>
          <w:p w14:paraId="43DB97F9">
            <w:pPr>
              <w:keepNext w:val="0"/>
              <w:keepLines w:val="0"/>
              <w:pageBreakBefore w:val="0"/>
              <w:widowControl w:val="0"/>
              <w:kinsoku/>
              <w:wordWrap/>
              <w:overflowPunct/>
              <w:topLinePunct w:val="0"/>
              <w:bidi w:val="0"/>
              <w:adjustRightInd w:val="0"/>
              <w:snapToGrid w:val="0"/>
              <w:spacing w:line="240" w:lineRule="auto"/>
              <w:ind w:left="0" w:leftChars="0" w:right="0"/>
              <w:jc w:val="left"/>
              <w:textAlignment w:val="auto"/>
              <w:rPr>
                <w:rFonts w:hint="default" w:ascii="Times New Roman" w:hAnsi="Times New Roman" w:eastAsia="仿宋_GB2312" w:cs="Times New Roman"/>
                <w:b w:val="0"/>
                <w:bCs w:val="0"/>
                <w:color w:val="auto"/>
                <w:sz w:val="21"/>
                <w:szCs w:val="21"/>
                <w:lang w:eastAsia="zh-CN"/>
              </w:rPr>
            </w:pPr>
            <w:r>
              <w:rPr>
                <w:rFonts w:hint="default" w:ascii="Times New Roman" w:hAnsi="Times New Roman" w:eastAsia="仿宋_GB2312" w:cs="Times New Roman"/>
                <w:b w:val="0"/>
                <w:bCs w:val="0"/>
                <w:color w:val="auto"/>
                <w:sz w:val="21"/>
                <w:szCs w:val="21"/>
                <w:lang w:eastAsia="zh-CN"/>
              </w:rPr>
              <w:t>小量泄漏</w:t>
            </w:r>
          </w:p>
          <w:p w14:paraId="3F6514C0">
            <w:pPr>
              <w:keepNext w:val="0"/>
              <w:keepLines w:val="0"/>
              <w:pageBreakBefore w:val="0"/>
              <w:widowControl w:val="0"/>
              <w:kinsoku/>
              <w:wordWrap/>
              <w:overflowPunct/>
              <w:topLinePunct w:val="0"/>
              <w:bidi w:val="0"/>
              <w:adjustRightInd w:val="0"/>
              <w:snapToGrid w:val="0"/>
              <w:spacing w:line="240" w:lineRule="auto"/>
              <w:ind w:left="0" w:leftChars="0" w:right="0"/>
              <w:jc w:val="left"/>
              <w:textAlignment w:val="auto"/>
              <w:rPr>
                <w:rFonts w:hint="default" w:ascii="Times New Roman" w:hAnsi="Times New Roman" w:eastAsia="仿宋_GB2312" w:cs="Times New Roman"/>
                <w:b w:val="0"/>
                <w:bCs w:val="0"/>
                <w:color w:val="auto"/>
                <w:sz w:val="21"/>
                <w:szCs w:val="21"/>
              </w:rPr>
            </w:pPr>
            <w:r>
              <w:rPr>
                <w:rFonts w:hint="default" w:ascii="Times New Roman" w:hAnsi="Times New Roman" w:eastAsia="仿宋_GB2312" w:cs="Times New Roman"/>
                <w:b w:val="0"/>
                <w:bCs w:val="0"/>
                <w:color w:val="auto"/>
                <w:sz w:val="21"/>
                <w:szCs w:val="21"/>
              </w:rPr>
              <w:t>①</w:t>
            </w:r>
            <w:r>
              <w:rPr>
                <w:rFonts w:hint="default" w:ascii="Times New Roman" w:hAnsi="Times New Roman" w:eastAsia="仿宋_GB2312" w:cs="Times New Roman"/>
                <w:b w:val="0"/>
                <w:bCs w:val="0"/>
                <w:color w:val="auto"/>
                <w:sz w:val="21"/>
                <w:szCs w:val="21"/>
                <w:lang w:val="en-US" w:eastAsia="zh-CN"/>
              </w:rPr>
              <w:t>立即</w:t>
            </w:r>
            <w:r>
              <w:rPr>
                <w:rFonts w:hint="default" w:ascii="Times New Roman" w:hAnsi="Times New Roman" w:eastAsia="仿宋_GB2312" w:cs="Times New Roman"/>
                <w:b w:val="0"/>
                <w:bCs w:val="0"/>
                <w:color w:val="auto"/>
                <w:kern w:val="2"/>
                <w:sz w:val="21"/>
                <w:szCs w:val="21"/>
                <w:lang w:val="en-US" w:eastAsia="zh-CN" w:bidi="ar-SA"/>
              </w:rPr>
              <w:t>疏散场所内所有未防护人员</w:t>
            </w:r>
            <w:r>
              <w:rPr>
                <w:rFonts w:hint="default" w:ascii="Times New Roman" w:hAnsi="Times New Roman" w:eastAsia="仿宋_GB2312" w:cs="Times New Roman"/>
                <w:b w:val="0"/>
                <w:bCs w:val="0"/>
                <w:color w:val="auto"/>
                <w:sz w:val="21"/>
                <w:szCs w:val="21"/>
                <w:lang w:eastAsia="zh-CN"/>
              </w:rPr>
              <w:t>，</w:t>
            </w:r>
            <w:r>
              <w:rPr>
                <w:rFonts w:hint="default" w:ascii="Times New Roman" w:hAnsi="Times New Roman" w:eastAsia="仿宋_GB2312" w:cs="Times New Roman"/>
                <w:b w:val="0"/>
                <w:bCs w:val="0"/>
                <w:color w:val="auto"/>
                <w:sz w:val="21"/>
                <w:szCs w:val="21"/>
                <w:lang w:val="en-US" w:eastAsia="zh-CN"/>
              </w:rPr>
              <w:t>在确保安全的情况下，</w:t>
            </w:r>
            <w:r>
              <w:rPr>
                <w:rFonts w:hint="default" w:ascii="Times New Roman" w:hAnsi="Times New Roman" w:eastAsia="仿宋_GB2312" w:cs="Times New Roman"/>
                <w:b w:val="0"/>
                <w:bCs w:val="0"/>
                <w:color w:val="auto"/>
                <w:sz w:val="21"/>
                <w:szCs w:val="21"/>
                <w:lang w:eastAsia="zh-CN"/>
              </w:rPr>
              <w:t>寻找泄漏点，切断泄漏源</w:t>
            </w:r>
            <w:r>
              <w:rPr>
                <w:rFonts w:hint="default" w:ascii="Times New Roman" w:hAnsi="Times New Roman" w:eastAsia="仿宋_GB2312" w:cs="Times New Roman"/>
                <w:b w:val="0"/>
                <w:bCs w:val="0"/>
                <w:color w:val="auto"/>
                <w:sz w:val="21"/>
                <w:szCs w:val="21"/>
              </w:rPr>
              <w:t>；</w:t>
            </w:r>
          </w:p>
          <w:p w14:paraId="2CBD13DE">
            <w:pPr>
              <w:pStyle w:val="46"/>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left"/>
              <w:textAlignment w:val="auto"/>
              <w:rPr>
                <w:rFonts w:hint="default" w:ascii="Times New Roman" w:hAnsi="Times New Roman" w:eastAsia="仿宋_GB2312" w:cs="Times New Roman"/>
                <w:b w:val="0"/>
                <w:bCs w:val="0"/>
                <w:color w:val="auto"/>
                <w:sz w:val="21"/>
                <w:szCs w:val="21"/>
                <w:lang w:eastAsia="zh-CN"/>
              </w:rPr>
            </w:pPr>
            <w:r>
              <w:rPr>
                <w:rFonts w:hint="default" w:ascii="Times New Roman" w:hAnsi="Times New Roman" w:eastAsia="仿宋_GB2312" w:cs="Times New Roman"/>
                <w:b w:val="0"/>
                <w:bCs w:val="0"/>
                <w:color w:val="auto"/>
                <w:sz w:val="21"/>
                <w:szCs w:val="21"/>
              </w:rPr>
              <w:t>②</w:t>
            </w:r>
            <w:r>
              <w:rPr>
                <w:rFonts w:hint="default" w:ascii="Times New Roman" w:hAnsi="Times New Roman" w:eastAsia="仿宋_GB2312" w:cs="Times New Roman"/>
                <w:b w:val="0"/>
                <w:bCs w:val="0"/>
                <w:color w:val="auto"/>
                <w:sz w:val="21"/>
                <w:szCs w:val="21"/>
                <w:lang w:eastAsia="zh-CN"/>
              </w:rPr>
              <w:t>用砂土吸附，并用洁净的铲子轻轻将泄漏物置于干燥、有盖的容器内，将容器隔离泄漏区；</w:t>
            </w:r>
          </w:p>
          <w:p w14:paraId="67B2C931">
            <w:pPr>
              <w:pStyle w:val="46"/>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left"/>
              <w:textAlignment w:val="auto"/>
              <w:rPr>
                <w:rFonts w:hint="default" w:ascii="Times New Roman" w:hAnsi="Times New Roman" w:eastAsia="仿宋_GB2312" w:cs="Times New Roman"/>
                <w:b w:val="0"/>
                <w:bCs w:val="0"/>
                <w:color w:val="auto"/>
                <w:sz w:val="21"/>
                <w:szCs w:val="21"/>
                <w:lang w:eastAsia="zh-CN"/>
              </w:rPr>
            </w:pPr>
            <w:r>
              <w:rPr>
                <w:rFonts w:hint="default" w:ascii="Times New Roman" w:hAnsi="Times New Roman" w:eastAsia="仿宋_GB2312" w:cs="Times New Roman"/>
                <w:b w:val="0"/>
                <w:bCs w:val="0"/>
                <w:color w:val="auto"/>
                <w:sz w:val="21"/>
                <w:szCs w:val="21"/>
                <w:lang w:val="en-US" w:eastAsia="zh-CN"/>
              </w:rPr>
              <w:t>③应急处置过程中杜绝火源，</w:t>
            </w:r>
            <w:r>
              <w:rPr>
                <w:rFonts w:hint="default" w:ascii="Times New Roman" w:hAnsi="Times New Roman" w:eastAsia="仿宋_GB2312" w:cs="Times New Roman"/>
                <w:b w:val="0"/>
                <w:bCs w:val="0"/>
                <w:color w:val="auto"/>
                <w:sz w:val="21"/>
                <w:szCs w:val="21"/>
              </w:rPr>
              <w:t>应急</w:t>
            </w:r>
            <w:r>
              <w:rPr>
                <w:rFonts w:hint="default" w:ascii="Times New Roman" w:hAnsi="Times New Roman" w:eastAsia="仿宋_GB2312" w:cs="Times New Roman"/>
                <w:b w:val="0"/>
                <w:bCs w:val="0"/>
                <w:color w:val="auto"/>
                <w:sz w:val="21"/>
                <w:szCs w:val="21"/>
                <w:lang w:val="en-US" w:eastAsia="zh-CN"/>
              </w:rPr>
              <w:t>处置</w:t>
            </w:r>
            <w:r>
              <w:rPr>
                <w:rFonts w:hint="default" w:ascii="Times New Roman" w:hAnsi="Times New Roman" w:eastAsia="仿宋_GB2312" w:cs="Times New Roman"/>
                <w:b w:val="0"/>
                <w:bCs w:val="0"/>
                <w:color w:val="auto"/>
                <w:sz w:val="21"/>
                <w:szCs w:val="21"/>
              </w:rPr>
              <w:t>人员必须穿戴</w:t>
            </w:r>
            <w:r>
              <w:rPr>
                <w:rFonts w:hint="default" w:ascii="Times New Roman" w:hAnsi="Times New Roman" w:eastAsia="仿宋_GB2312" w:cs="Times New Roman"/>
                <w:b w:val="0"/>
                <w:bCs w:val="0"/>
                <w:color w:val="auto"/>
                <w:sz w:val="21"/>
                <w:szCs w:val="21"/>
                <w:lang w:eastAsia="zh-CN"/>
              </w:rPr>
              <w:t>防</w:t>
            </w:r>
            <w:r>
              <w:rPr>
                <w:rFonts w:hint="default" w:ascii="Times New Roman" w:hAnsi="Times New Roman" w:eastAsia="仿宋_GB2312" w:cs="Times New Roman"/>
                <w:b w:val="0"/>
                <w:bCs w:val="0"/>
                <w:color w:val="auto"/>
                <w:sz w:val="21"/>
                <w:szCs w:val="21"/>
                <w:lang w:val="en-US" w:eastAsia="zh-CN"/>
              </w:rPr>
              <w:t>护用品</w:t>
            </w:r>
            <w:r>
              <w:rPr>
                <w:rFonts w:hint="default" w:ascii="Times New Roman" w:hAnsi="Times New Roman" w:eastAsia="仿宋_GB2312" w:cs="Times New Roman"/>
                <w:b w:val="0"/>
                <w:bCs w:val="0"/>
                <w:color w:val="auto"/>
                <w:sz w:val="21"/>
                <w:szCs w:val="21"/>
                <w:lang w:eastAsia="zh-CN"/>
              </w:rPr>
              <w:t>；</w:t>
            </w:r>
          </w:p>
          <w:p w14:paraId="20101EFC">
            <w:pPr>
              <w:pStyle w:val="46"/>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left"/>
              <w:textAlignment w:val="auto"/>
              <w:rPr>
                <w:rFonts w:hint="default" w:ascii="Times New Roman" w:hAnsi="Times New Roman" w:eastAsia="仿宋_GB2312" w:cs="Times New Roman"/>
                <w:b w:val="0"/>
                <w:bCs w:val="0"/>
                <w:color w:val="auto"/>
                <w:sz w:val="21"/>
                <w:szCs w:val="21"/>
                <w:lang w:val="en-US" w:eastAsia="zh-CN"/>
              </w:rPr>
            </w:pPr>
            <w:r>
              <w:rPr>
                <w:rFonts w:hint="default" w:ascii="Times New Roman" w:hAnsi="Times New Roman" w:eastAsia="仿宋_GB2312" w:cs="Times New Roman"/>
                <w:b w:val="0"/>
                <w:bCs w:val="0"/>
                <w:color w:val="auto"/>
                <w:sz w:val="21"/>
                <w:szCs w:val="21"/>
                <w:lang w:val="en-US" w:eastAsia="zh-CN"/>
              </w:rPr>
              <w:fldChar w:fldCharType="begin"/>
            </w:r>
            <w:r>
              <w:rPr>
                <w:rFonts w:hint="default" w:ascii="Times New Roman" w:hAnsi="Times New Roman" w:eastAsia="仿宋_GB2312" w:cs="Times New Roman"/>
                <w:b w:val="0"/>
                <w:bCs w:val="0"/>
                <w:color w:val="auto"/>
                <w:sz w:val="21"/>
                <w:szCs w:val="21"/>
                <w:lang w:val="en-US" w:eastAsia="zh-CN"/>
              </w:rPr>
              <w:instrText xml:space="preserve"> = 4 \* GB3 \* MERGEFORMAT </w:instrText>
            </w:r>
            <w:r>
              <w:rPr>
                <w:rFonts w:hint="default" w:ascii="Times New Roman" w:hAnsi="Times New Roman" w:eastAsia="仿宋_GB2312" w:cs="Times New Roman"/>
                <w:b w:val="0"/>
                <w:bCs w:val="0"/>
                <w:color w:val="auto"/>
                <w:sz w:val="21"/>
                <w:szCs w:val="21"/>
                <w:lang w:val="en-US" w:eastAsia="zh-CN"/>
              </w:rPr>
              <w:fldChar w:fldCharType="separate"/>
            </w:r>
            <w:r>
              <w:rPr>
                <w:rFonts w:hint="default" w:ascii="Times New Roman" w:hAnsi="Times New Roman" w:eastAsia="仿宋_GB2312" w:cs="Times New Roman"/>
                <w:b w:val="0"/>
                <w:bCs w:val="0"/>
                <w:color w:val="auto"/>
                <w:sz w:val="21"/>
                <w:szCs w:val="21"/>
              </w:rPr>
              <w:t>④</w:t>
            </w:r>
            <w:r>
              <w:rPr>
                <w:rFonts w:hint="default" w:ascii="Times New Roman" w:hAnsi="Times New Roman" w:eastAsia="仿宋_GB2312" w:cs="Times New Roman"/>
                <w:b w:val="0"/>
                <w:bCs w:val="0"/>
                <w:color w:val="auto"/>
                <w:sz w:val="21"/>
                <w:szCs w:val="21"/>
                <w:lang w:val="en-US" w:eastAsia="zh-CN"/>
              </w:rPr>
              <w:fldChar w:fldCharType="end"/>
            </w:r>
            <w:r>
              <w:rPr>
                <w:rFonts w:hint="default" w:ascii="Times New Roman" w:hAnsi="Times New Roman" w:eastAsia="仿宋_GB2312" w:cs="Times New Roman"/>
                <w:b w:val="0"/>
                <w:bCs w:val="0"/>
                <w:color w:val="auto"/>
                <w:sz w:val="21"/>
                <w:szCs w:val="21"/>
                <w:lang w:val="en-US" w:eastAsia="zh-CN"/>
              </w:rPr>
              <w:t>泄漏物待事故结束后，回收或运至危废处理场所处置。</w:t>
            </w:r>
          </w:p>
          <w:p w14:paraId="2F417673">
            <w:pPr>
              <w:pStyle w:val="46"/>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left"/>
              <w:textAlignment w:val="auto"/>
              <w:rPr>
                <w:rFonts w:hint="default" w:ascii="Times New Roman" w:hAnsi="Times New Roman" w:eastAsia="仿宋_GB2312" w:cs="Times New Roman"/>
                <w:b w:val="0"/>
                <w:bCs w:val="0"/>
                <w:color w:val="auto"/>
                <w:sz w:val="21"/>
                <w:szCs w:val="21"/>
                <w:lang w:val="en-US" w:eastAsia="zh-CN"/>
              </w:rPr>
            </w:pPr>
            <w:r>
              <w:rPr>
                <w:rFonts w:hint="default" w:ascii="Times New Roman" w:hAnsi="Times New Roman" w:eastAsia="仿宋_GB2312" w:cs="Times New Roman"/>
                <w:b w:val="0"/>
                <w:bCs w:val="0"/>
                <w:color w:val="auto"/>
                <w:sz w:val="21"/>
                <w:szCs w:val="21"/>
                <w:lang w:val="en-US" w:eastAsia="zh-CN"/>
              </w:rPr>
              <w:t>大量泄漏</w:t>
            </w:r>
          </w:p>
          <w:p w14:paraId="295AC898">
            <w:pPr>
              <w:pStyle w:val="46"/>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left"/>
              <w:textAlignment w:val="auto"/>
              <w:rPr>
                <w:rFonts w:hint="default" w:ascii="Times New Roman" w:hAnsi="Times New Roman" w:eastAsia="仿宋_GB2312" w:cs="Times New Roman"/>
                <w:b w:val="0"/>
                <w:bCs w:val="0"/>
                <w:color w:val="auto"/>
                <w:sz w:val="21"/>
                <w:szCs w:val="21"/>
                <w:lang w:val="zh-CN" w:eastAsia="zh-CN"/>
              </w:rPr>
            </w:pPr>
            <w:r>
              <w:rPr>
                <w:rFonts w:hint="default" w:ascii="Times New Roman" w:hAnsi="Times New Roman" w:eastAsia="仿宋_GB2312" w:cs="Times New Roman"/>
                <w:b w:val="0"/>
                <w:bCs w:val="0"/>
                <w:color w:val="auto"/>
                <w:sz w:val="21"/>
                <w:szCs w:val="21"/>
                <w:lang w:val="en-US" w:eastAsia="zh-CN"/>
              </w:rPr>
              <w:t>①立即</w:t>
            </w:r>
            <w:r>
              <w:rPr>
                <w:rFonts w:hint="default" w:ascii="Times New Roman" w:hAnsi="Times New Roman" w:eastAsia="仿宋_GB2312" w:cs="Times New Roman"/>
                <w:b w:val="0"/>
                <w:bCs w:val="0"/>
                <w:color w:val="auto"/>
                <w:kern w:val="2"/>
                <w:sz w:val="21"/>
                <w:szCs w:val="21"/>
                <w:lang w:val="en-US" w:eastAsia="zh-CN" w:bidi="ar-SA"/>
              </w:rPr>
              <w:t>疏散场所内所有未防护人员</w:t>
            </w:r>
            <w:r>
              <w:rPr>
                <w:rFonts w:hint="default" w:ascii="Times New Roman" w:hAnsi="Times New Roman" w:eastAsia="仿宋_GB2312" w:cs="Times New Roman"/>
                <w:b w:val="0"/>
                <w:bCs w:val="0"/>
                <w:color w:val="auto"/>
                <w:sz w:val="21"/>
                <w:szCs w:val="21"/>
                <w:lang w:val="zh-CN" w:eastAsia="zh-CN"/>
              </w:rPr>
              <w:t>，</w:t>
            </w:r>
            <w:r>
              <w:rPr>
                <w:rFonts w:hint="default" w:ascii="Times New Roman" w:hAnsi="Times New Roman" w:eastAsia="仿宋_GB2312" w:cs="Times New Roman"/>
                <w:b w:val="0"/>
                <w:bCs w:val="0"/>
                <w:color w:val="auto"/>
                <w:sz w:val="21"/>
                <w:szCs w:val="21"/>
                <w:lang w:val="en-US" w:eastAsia="zh-CN"/>
              </w:rPr>
              <w:t>在确保安全的情况下，</w:t>
            </w:r>
            <w:r>
              <w:rPr>
                <w:rFonts w:hint="default" w:ascii="Times New Roman" w:hAnsi="Times New Roman" w:eastAsia="仿宋_GB2312" w:cs="Times New Roman"/>
                <w:b w:val="0"/>
                <w:bCs w:val="0"/>
                <w:color w:val="auto"/>
                <w:sz w:val="21"/>
                <w:szCs w:val="21"/>
                <w:lang w:val="zh-CN" w:eastAsia="zh-CN"/>
              </w:rPr>
              <w:t>寻找泄漏点；</w:t>
            </w:r>
          </w:p>
          <w:p w14:paraId="73D04E25">
            <w:pPr>
              <w:pStyle w:val="46"/>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left"/>
              <w:textAlignment w:val="auto"/>
              <w:rPr>
                <w:rFonts w:hint="default" w:ascii="Times New Roman" w:hAnsi="Times New Roman" w:eastAsia="仿宋_GB2312" w:cs="Times New Roman"/>
                <w:b w:val="0"/>
                <w:bCs w:val="0"/>
                <w:color w:val="auto"/>
                <w:sz w:val="21"/>
                <w:szCs w:val="21"/>
                <w:lang w:eastAsia="zh-CN"/>
              </w:rPr>
            </w:pPr>
            <w:r>
              <w:rPr>
                <w:rFonts w:hint="default" w:ascii="Times New Roman" w:hAnsi="Times New Roman" w:eastAsia="仿宋_GB2312" w:cs="Times New Roman"/>
                <w:b w:val="0"/>
                <w:bCs w:val="0"/>
                <w:color w:val="auto"/>
                <w:sz w:val="21"/>
                <w:szCs w:val="21"/>
              </w:rPr>
              <w:t>②</w:t>
            </w:r>
            <w:r>
              <w:rPr>
                <w:rFonts w:hint="default" w:ascii="Times New Roman" w:hAnsi="Times New Roman" w:eastAsia="仿宋_GB2312" w:cs="Times New Roman"/>
                <w:b w:val="0"/>
                <w:bCs w:val="0"/>
                <w:color w:val="auto"/>
                <w:sz w:val="21"/>
                <w:szCs w:val="21"/>
                <w:lang w:eastAsia="zh-CN"/>
              </w:rPr>
              <w:t>构筑围堤堵截收容或用泡沫覆盖，降低蒸汽伤害，</w:t>
            </w:r>
            <w:r>
              <w:rPr>
                <w:rFonts w:hint="default" w:ascii="Times New Roman" w:hAnsi="Times New Roman" w:eastAsia="仿宋_GB2312" w:cs="Times New Roman"/>
                <w:b w:val="0"/>
                <w:bCs w:val="0"/>
                <w:color w:val="auto"/>
                <w:sz w:val="21"/>
                <w:szCs w:val="21"/>
                <w:lang w:val="en-US" w:eastAsia="zh-CN"/>
              </w:rPr>
              <w:t>事故结束后，</w:t>
            </w:r>
            <w:r>
              <w:rPr>
                <w:rFonts w:hint="default" w:ascii="Times New Roman" w:hAnsi="Times New Roman" w:eastAsia="仿宋_GB2312" w:cs="Times New Roman"/>
                <w:b w:val="0"/>
                <w:bCs w:val="0"/>
                <w:color w:val="auto"/>
                <w:sz w:val="21"/>
                <w:szCs w:val="21"/>
                <w:lang w:eastAsia="zh-CN"/>
              </w:rPr>
              <w:t>转移至空桶内，</w:t>
            </w:r>
            <w:r>
              <w:rPr>
                <w:rFonts w:hint="default" w:ascii="Times New Roman" w:hAnsi="Times New Roman" w:eastAsia="仿宋_GB2312" w:cs="Times New Roman"/>
                <w:b w:val="0"/>
                <w:bCs w:val="0"/>
                <w:color w:val="auto"/>
                <w:sz w:val="21"/>
                <w:szCs w:val="21"/>
                <w:lang w:val="en-US" w:eastAsia="zh-CN"/>
              </w:rPr>
              <w:t>送至有资质单位进行处置</w:t>
            </w:r>
            <w:r>
              <w:rPr>
                <w:rFonts w:hint="default" w:ascii="Times New Roman" w:hAnsi="Times New Roman" w:eastAsia="仿宋_GB2312" w:cs="Times New Roman"/>
                <w:b w:val="0"/>
                <w:bCs w:val="0"/>
                <w:color w:val="auto"/>
                <w:sz w:val="21"/>
                <w:szCs w:val="21"/>
                <w:lang w:eastAsia="zh-CN"/>
              </w:rPr>
              <w:t>；</w:t>
            </w:r>
          </w:p>
          <w:p w14:paraId="5B7369F0">
            <w:pPr>
              <w:pStyle w:val="46"/>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left"/>
              <w:textAlignment w:val="auto"/>
              <w:rPr>
                <w:rFonts w:hint="default" w:ascii="Times New Roman" w:hAnsi="Times New Roman" w:eastAsia="仿宋_GB2312" w:cs="Times New Roman"/>
                <w:b w:val="0"/>
                <w:bCs w:val="0"/>
                <w:color w:val="auto"/>
                <w:sz w:val="21"/>
                <w:szCs w:val="21"/>
                <w:lang w:eastAsia="zh-CN"/>
              </w:rPr>
            </w:pPr>
            <w:r>
              <w:rPr>
                <w:rFonts w:hint="default" w:ascii="Times New Roman" w:hAnsi="Times New Roman" w:eastAsia="仿宋_GB2312" w:cs="Times New Roman"/>
                <w:b w:val="0"/>
                <w:bCs w:val="0"/>
                <w:color w:val="auto"/>
                <w:sz w:val="21"/>
                <w:szCs w:val="21"/>
                <w:lang w:val="en-US" w:eastAsia="zh-CN"/>
              </w:rPr>
              <w:t>③应急处置过程中杜绝火源，</w:t>
            </w:r>
            <w:r>
              <w:rPr>
                <w:rFonts w:hint="default" w:ascii="Times New Roman" w:hAnsi="Times New Roman" w:eastAsia="仿宋_GB2312" w:cs="Times New Roman"/>
                <w:b w:val="0"/>
                <w:bCs w:val="0"/>
                <w:color w:val="auto"/>
                <w:sz w:val="21"/>
                <w:szCs w:val="21"/>
              </w:rPr>
              <w:t>应急</w:t>
            </w:r>
            <w:r>
              <w:rPr>
                <w:rFonts w:hint="default" w:ascii="Times New Roman" w:hAnsi="Times New Roman" w:eastAsia="仿宋_GB2312" w:cs="Times New Roman"/>
                <w:b w:val="0"/>
                <w:bCs w:val="0"/>
                <w:color w:val="auto"/>
                <w:sz w:val="21"/>
                <w:szCs w:val="21"/>
                <w:lang w:val="en-US" w:eastAsia="zh-CN"/>
              </w:rPr>
              <w:t>处置</w:t>
            </w:r>
            <w:r>
              <w:rPr>
                <w:rFonts w:hint="default" w:ascii="Times New Roman" w:hAnsi="Times New Roman" w:eastAsia="仿宋_GB2312" w:cs="Times New Roman"/>
                <w:b w:val="0"/>
                <w:bCs w:val="0"/>
                <w:color w:val="auto"/>
                <w:sz w:val="21"/>
                <w:szCs w:val="21"/>
              </w:rPr>
              <w:t>人员必须穿戴</w:t>
            </w:r>
            <w:r>
              <w:rPr>
                <w:rFonts w:hint="default" w:ascii="Times New Roman" w:hAnsi="Times New Roman" w:eastAsia="仿宋_GB2312" w:cs="Times New Roman"/>
                <w:b w:val="0"/>
                <w:bCs w:val="0"/>
                <w:color w:val="auto"/>
                <w:sz w:val="21"/>
                <w:szCs w:val="21"/>
                <w:lang w:eastAsia="zh-CN"/>
              </w:rPr>
              <w:t>防</w:t>
            </w:r>
            <w:r>
              <w:rPr>
                <w:rFonts w:hint="default" w:ascii="Times New Roman" w:hAnsi="Times New Roman" w:eastAsia="仿宋_GB2312" w:cs="Times New Roman"/>
                <w:b w:val="0"/>
                <w:bCs w:val="0"/>
                <w:color w:val="auto"/>
                <w:sz w:val="21"/>
                <w:szCs w:val="21"/>
                <w:lang w:val="en-US" w:eastAsia="zh-CN"/>
              </w:rPr>
              <w:t>护用品</w:t>
            </w:r>
            <w:r>
              <w:rPr>
                <w:rFonts w:hint="default" w:ascii="Times New Roman" w:hAnsi="Times New Roman" w:eastAsia="仿宋_GB2312" w:cs="Times New Roman"/>
                <w:b w:val="0"/>
                <w:bCs w:val="0"/>
                <w:color w:val="auto"/>
                <w:sz w:val="21"/>
                <w:szCs w:val="21"/>
                <w:lang w:eastAsia="zh-CN"/>
              </w:rPr>
              <w:t>。</w:t>
            </w:r>
          </w:p>
          <w:p w14:paraId="5222B1FB">
            <w:pPr>
              <w:pStyle w:val="46"/>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left"/>
              <w:textAlignment w:val="auto"/>
              <w:rPr>
                <w:rFonts w:hint="default" w:ascii="Times New Roman" w:hAnsi="Times New Roman" w:eastAsia="仿宋_GB2312" w:cs="Times New Roman"/>
                <w:color w:val="auto"/>
                <w:sz w:val="21"/>
                <w:szCs w:val="21"/>
                <w:lang w:val="zh-CN" w:eastAsia="zh-CN"/>
              </w:rPr>
            </w:pPr>
            <w:r>
              <w:rPr>
                <w:rFonts w:hint="default" w:ascii="Times New Roman" w:hAnsi="Times New Roman" w:eastAsia="仿宋_GB2312" w:cs="Times New Roman"/>
                <w:b w:val="0"/>
                <w:bCs w:val="0"/>
                <w:color w:val="auto"/>
                <w:sz w:val="21"/>
                <w:szCs w:val="21"/>
                <w:lang w:val="en-US" w:eastAsia="zh-CN"/>
              </w:rPr>
              <w:fldChar w:fldCharType="begin"/>
            </w:r>
            <w:r>
              <w:rPr>
                <w:rFonts w:hint="default" w:ascii="Times New Roman" w:hAnsi="Times New Roman" w:eastAsia="仿宋_GB2312" w:cs="Times New Roman"/>
                <w:b w:val="0"/>
                <w:bCs w:val="0"/>
                <w:color w:val="auto"/>
                <w:sz w:val="21"/>
                <w:szCs w:val="21"/>
                <w:lang w:val="en-US" w:eastAsia="zh-CN"/>
              </w:rPr>
              <w:instrText xml:space="preserve"> = 4 \* GB3 \* MERGEFORMAT </w:instrText>
            </w:r>
            <w:r>
              <w:rPr>
                <w:rFonts w:hint="default" w:ascii="Times New Roman" w:hAnsi="Times New Roman" w:eastAsia="仿宋_GB2312" w:cs="Times New Roman"/>
                <w:b w:val="0"/>
                <w:bCs w:val="0"/>
                <w:color w:val="auto"/>
                <w:sz w:val="21"/>
                <w:szCs w:val="21"/>
                <w:lang w:val="en-US" w:eastAsia="zh-CN"/>
              </w:rPr>
              <w:fldChar w:fldCharType="separate"/>
            </w:r>
            <w:r>
              <w:rPr>
                <w:rFonts w:hint="default" w:ascii="Times New Roman" w:hAnsi="Times New Roman" w:eastAsia="仿宋_GB2312" w:cs="Times New Roman"/>
                <w:b w:val="0"/>
                <w:bCs w:val="0"/>
                <w:color w:val="auto"/>
                <w:sz w:val="21"/>
                <w:szCs w:val="21"/>
              </w:rPr>
              <w:t>④</w:t>
            </w:r>
            <w:r>
              <w:rPr>
                <w:rFonts w:hint="default" w:ascii="Times New Roman" w:hAnsi="Times New Roman" w:eastAsia="仿宋_GB2312" w:cs="Times New Roman"/>
                <w:b w:val="0"/>
                <w:bCs w:val="0"/>
                <w:color w:val="auto"/>
                <w:sz w:val="21"/>
                <w:szCs w:val="21"/>
                <w:lang w:val="en-US" w:eastAsia="zh-CN"/>
              </w:rPr>
              <w:fldChar w:fldCharType="end"/>
            </w:r>
            <w:r>
              <w:rPr>
                <w:rFonts w:hint="default" w:ascii="Times New Roman" w:hAnsi="Times New Roman" w:eastAsia="仿宋_GB2312" w:cs="Times New Roman"/>
                <w:b w:val="0"/>
                <w:bCs w:val="0"/>
                <w:color w:val="auto"/>
                <w:sz w:val="21"/>
                <w:szCs w:val="21"/>
                <w:lang w:val="en-US" w:eastAsia="zh-CN"/>
              </w:rPr>
              <w:t>泄漏物待事故结束后，回收或运至危废处理场所处置。</w:t>
            </w:r>
          </w:p>
        </w:tc>
      </w:tr>
      <w:tr w14:paraId="0DC477E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45" w:hRule="atLeast"/>
          <w:jc w:val="center"/>
        </w:trPr>
        <w:tc>
          <w:tcPr>
            <w:tcW w:w="634" w:type="pct"/>
            <w:tcBorders>
              <w:tl2br w:val="nil"/>
              <w:tr2bl w:val="nil"/>
            </w:tcBorders>
            <w:noWrap w:val="0"/>
            <w:vAlign w:val="center"/>
          </w:tcPr>
          <w:p w14:paraId="73224564">
            <w:pPr>
              <w:pageBreakBefore w:val="0"/>
              <w:kinsoku/>
              <w:topLinePunct w:val="0"/>
              <w:bidi w:val="0"/>
              <w:adjustRightInd w:val="0"/>
              <w:snapToGrid w:val="0"/>
              <w:ind w:left="0" w:leftChars="0" w:right="0"/>
              <w:jc w:val="center"/>
              <w:rPr>
                <w:rFonts w:hint="default" w:ascii="Times New Roman" w:hAnsi="Times New Roman" w:eastAsia="仿宋_GB2312" w:cs="Times New Roman"/>
                <w:b/>
                <w:color w:val="auto"/>
                <w:sz w:val="21"/>
                <w:szCs w:val="21"/>
                <w:lang w:eastAsia="zh-CN"/>
              </w:rPr>
            </w:pPr>
            <w:r>
              <w:rPr>
                <w:rFonts w:hint="default" w:ascii="Times New Roman" w:hAnsi="Times New Roman" w:eastAsia="仿宋_GB2312" w:cs="Times New Roman"/>
                <w:b/>
                <w:color w:val="auto"/>
                <w:sz w:val="21"/>
                <w:szCs w:val="21"/>
                <w:lang w:eastAsia="zh-CN"/>
              </w:rPr>
              <w:t>信息</w:t>
            </w:r>
            <w:r>
              <w:rPr>
                <w:rFonts w:hint="default" w:ascii="Times New Roman" w:hAnsi="Times New Roman" w:eastAsia="仿宋_GB2312" w:cs="Times New Roman"/>
                <w:b/>
                <w:color w:val="auto"/>
                <w:sz w:val="21"/>
                <w:szCs w:val="21"/>
              </w:rPr>
              <w:t>报告</w:t>
            </w:r>
            <w:r>
              <w:rPr>
                <w:rFonts w:hint="default" w:ascii="Times New Roman" w:hAnsi="Times New Roman" w:eastAsia="仿宋_GB2312" w:cs="Times New Roman"/>
                <w:b/>
                <w:color w:val="auto"/>
                <w:sz w:val="21"/>
                <w:szCs w:val="21"/>
                <w:lang w:eastAsia="zh-CN"/>
              </w:rPr>
              <w:t>方式</w:t>
            </w:r>
          </w:p>
        </w:tc>
        <w:tc>
          <w:tcPr>
            <w:tcW w:w="4365" w:type="pct"/>
            <w:tcBorders>
              <w:tl2br w:val="nil"/>
              <w:tr2bl w:val="nil"/>
            </w:tcBorders>
            <w:noWrap w:val="0"/>
            <w:vAlign w:val="center"/>
          </w:tcPr>
          <w:p w14:paraId="6A8907A3">
            <w:pPr>
              <w:pStyle w:val="14"/>
              <w:pageBreakBefore w:val="0"/>
              <w:tabs>
                <w:tab w:val="left" w:pos="2247"/>
              </w:tabs>
              <w:kinsoku/>
              <w:topLinePunct w:val="0"/>
              <w:bidi w:val="0"/>
              <w:adjustRightInd w:val="0"/>
              <w:snapToGrid w:val="0"/>
              <w:ind w:left="0" w:leftChars="0" w:right="0" w:firstLine="0"/>
              <w:jc w:val="both"/>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rPr>
              <w:t>指指挥部总指挥：</w:t>
            </w:r>
            <w:r>
              <w:rPr>
                <w:rFonts w:hint="default" w:ascii="Times New Roman" w:hAnsi="Times New Roman" w:eastAsia="仿宋_GB2312" w:cs="Times New Roman"/>
                <w:color w:val="auto"/>
                <w:sz w:val="21"/>
                <w:szCs w:val="21"/>
                <w:lang w:val="en-US" w:eastAsia="zh-CN"/>
              </w:rPr>
              <w:t xml:space="preserve">冯良华 62666 </w:t>
            </w:r>
          </w:p>
        </w:tc>
      </w:tr>
      <w:tr w14:paraId="7EB7C2A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991" w:hRule="atLeast"/>
          <w:jc w:val="center"/>
        </w:trPr>
        <w:tc>
          <w:tcPr>
            <w:tcW w:w="634" w:type="pct"/>
            <w:tcBorders>
              <w:tl2br w:val="nil"/>
              <w:tr2bl w:val="nil"/>
            </w:tcBorders>
            <w:noWrap w:val="0"/>
            <w:vAlign w:val="center"/>
          </w:tcPr>
          <w:p w14:paraId="4436DAF4">
            <w:pPr>
              <w:pStyle w:val="14"/>
              <w:pageBreakBefore w:val="0"/>
              <w:kinsoku/>
              <w:topLinePunct w:val="0"/>
              <w:bidi w:val="0"/>
              <w:adjustRightInd w:val="0"/>
              <w:snapToGrid w:val="0"/>
              <w:ind w:left="0" w:leftChars="0" w:right="0" w:firstLine="0"/>
              <w:jc w:val="center"/>
              <w:rPr>
                <w:rFonts w:hint="default" w:ascii="Times New Roman" w:hAnsi="Times New Roman" w:eastAsia="仿宋_GB2312" w:cs="Times New Roman"/>
                <w:b/>
                <w:color w:val="auto"/>
                <w:sz w:val="21"/>
                <w:szCs w:val="21"/>
                <w:lang w:val="en-US" w:eastAsia="zh-CN"/>
              </w:rPr>
            </w:pPr>
            <w:r>
              <w:rPr>
                <w:rFonts w:hint="default" w:ascii="Times New Roman" w:hAnsi="Times New Roman" w:eastAsia="仿宋_GB2312" w:cs="Times New Roman"/>
                <w:b/>
                <w:bCs/>
                <w:color w:val="auto"/>
                <w:sz w:val="21"/>
                <w:szCs w:val="21"/>
                <w:lang w:val="en-US" w:eastAsia="zh-CN"/>
              </w:rPr>
              <w:t>应急物资</w:t>
            </w:r>
          </w:p>
        </w:tc>
        <w:tc>
          <w:tcPr>
            <w:tcW w:w="4365" w:type="pct"/>
            <w:tcBorders>
              <w:tl2br w:val="nil"/>
              <w:tr2bl w:val="nil"/>
            </w:tcBorders>
            <w:noWrap w:val="0"/>
            <w:vAlign w:val="center"/>
          </w:tcPr>
          <w:p w14:paraId="7818C870">
            <w:pPr>
              <w:pageBreakBefore w:val="0"/>
              <w:kinsoku/>
              <w:topLinePunct w:val="0"/>
              <w:bidi w:val="0"/>
              <w:adjustRightInd w:val="0"/>
              <w:snapToGrid w:val="0"/>
              <w:ind w:left="0" w:leftChars="0" w:right="0"/>
              <w:jc w:val="both"/>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①</w:t>
            </w:r>
            <w:r>
              <w:rPr>
                <w:rFonts w:hint="default" w:ascii="Times New Roman" w:hAnsi="Times New Roman" w:eastAsia="仿宋_GB2312" w:cs="Times New Roman"/>
                <w:color w:val="auto"/>
                <w:sz w:val="21"/>
                <w:szCs w:val="21"/>
                <w:lang w:eastAsia="zh-CN"/>
              </w:rPr>
              <w:t>砂土；</w:t>
            </w:r>
          </w:p>
          <w:p w14:paraId="44BC4030">
            <w:pPr>
              <w:pageBreakBefore w:val="0"/>
              <w:kinsoku/>
              <w:topLinePunct w:val="0"/>
              <w:bidi w:val="0"/>
              <w:adjustRightInd w:val="0"/>
              <w:snapToGrid w:val="0"/>
              <w:ind w:left="0" w:leftChars="0" w:right="0"/>
              <w:jc w:val="both"/>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②</w:t>
            </w:r>
            <w:r>
              <w:rPr>
                <w:rFonts w:hint="default" w:ascii="Times New Roman" w:hAnsi="Times New Roman" w:eastAsia="仿宋_GB2312" w:cs="Times New Roman"/>
                <w:color w:val="auto"/>
                <w:sz w:val="21"/>
                <w:szCs w:val="21"/>
                <w:lang w:eastAsia="zh-CN"/>
              </w:rPr>
              <w:t>无火花抢修工具、堵漏工具；</w:t>
            </w:r>
          </w:p>
          <w:p w14:paraId="6B0F02F6">
            <w:pPr>
              <w:pageBreakBefore w:val="0"/>
              <w:kinsoku/>
              <w:topLinePunct w:val="0"/>
              <w:bidi w:val="0"/>
              <w:adjustRightInd w:val="0"/>
              <w:snapToGrid w:val="0"/>
              <w:ind w:left="0" w:leftChars="0" w:right="0"/>
              <w:jc w:val="both"/>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rPr>
              <w:t>③</w:t>
            </w:r>
            <w:r>
              <w:rPr>
                <w:rFonts w:hint="default" w:ascii="Times New Roman" w:hAnsi="Times New Roman" w:eastAsia="仿宋_GB2312" w:cs="Times New Roman"/>
                <w:color w:val="auto"/>
                <w:sz w:val="21"/>
                <w:szCs w:val="21"/>
                <w:lang w:eastAsia="zh-CN"/>
              </w:rPr>
              <w:t>空桶；</w:t>
            </w:r>
          </w:p>
          <w:p w14:paraId="5EADD17D">
            <w:pPr>
              <w:pStyle w:val="14"/>
              <w:pageBreakBefore w:val="0"/>
              <w:kinsoku/>
              <w:topLinePunct w:val="0"/>
              <w:bidi w:val="0"/>
              <w:adjustRightInd w:val="0"/>
              <w:snapToGrid w:val="0"/>
              <w:ind w:left="0" w:leftChars="0" w:right="0" w:firstLine="0" w:firstLineChars="0"/>
              <w:jc w:val="both"/>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rPr>
              <w:t>④</w:t>
            </w:r>
            <w:r>
              <w:rPr>
                <w:rFonts w:hint="default" w:ascii="Times New Roman" w:hAnsi="Times New Roman" w:eastAsia="仿宋_GB2312" w:cs="Times New Roman"/>
                <w:color w:val="auto"/>
                <w:sz w:val="21"/>
                <w:szCs w:val="21"/>
                <w:lang w:eastAsia="zh-CN"/>
              </w:rPr>
              <w:t>防</w:t>
            </w:r>
            <w:r>
              <w:rPr>
                <w:rFonts w:hint="default" w:ascii="Times New Roman" w:hAnsi="Times New Roman" w:eastAsia="仿宋_GB2312" w:cs="Times New Roman"/>
                <w:color w:val="auto"/>
                <w:sz w:val="21"/>
                <w:szCs w:val="21"/>
                <w:lang w:val="en-US" w:eastAsia="zh-CN"/>
              </w:rPr>
              <w:t>护用品</w:t>
            </w:r>
            <w:r>
              <w:rPr>
                <w:rFonts w:hint="default" w:ascii="Times New Roman" w:hAnsi="Times New Roman" w:eastAsia="仿宋_GB2312" w:cs="Times New Roman"/>
                <w:color w:val="auto"/>
                <w:sz w:val="21"/>
                <w:szCs w:val="21"/>
                <w:lang w:eastAsia="zh-CN"/>
              </w:rPr>
              <w:t>。</w:t>
            </w:r>
          </w:p>
        </w:tc>
      </w:tr>
      <w:bookmarkEnd w:id="537"/>
    </w:tbl>
    <w:p w14:paraId="5A9C4D69">
      <w:pPr>
        <w:rPr>
          <w:rFonts w:hint="default" w:ascii="Times New Roman" w:hAnsi="Times New Roman" w:eastAsia="仿宋_GB2312" w:cs="Times New Roman"/>
          <w:sz w:val="28"/>
          <w:szCs w:val="28"/>
          <w:lang w:val="en-US" w:eastAsia="zh-CN"/>
        </w:rPr>
      </w:pPr>
      <w:bookmarkStart w:id="538" w:name="_Toc20270"/>
      <w:bookmarkStart w:id="539" w:name="_Toc9365"/>
      <w:bookmarkStart w:id="540" w:name="_Toc2735"/>
      <w:r>
        <w:rPr>
          <w:rFonts w:hint="default" w:ascii="Times New Roman" w:hAnsi="Times New Roman" w:eastAsia="仿宋_GB2312" w:cs="Times New Roman"/>
          <w:sz w:val="28"/>
          <w:szCs w:val="28"/>
          <w:lang w:val="en-US" w:eastAsia="zh-CN"/>
        </w:rPr>
        <w:br w:type="page"/>
      </w:r>
    </w:p>
    <w:p w14:paraId="26A9C964">
      <w:pPr>
        <w:pStyle w:val="3"/>
        <w:keepNext/>
        <w:keepLines w:val="0"/>
        <w:pageBreakBefore w:val="0"/>
        <w:widowControl w:val="0"/>
        <w:kinsoku/>
        <w:wordWrap/>
        <w:overflowPunct w:val="0"/>
        <w:topLinePunct w:val="0"/>
        <w:autoSpaceDE/>
        <w:autoSpaceDN/>
        <w:bidi w:val="0"/>
        <w:adjustRightInd/>
        <w:snapToGrid w:val="0"/>
        <w:spacing w:before="0" w:after="0" w:line="500" w:lineRule="exact"/>
        <w:ind w:left="0" w:firstLine="0"/>
        <w:textAlignment w:val="auto"/>
        <w:rPr>
          <w:rFonts w:hint="default" w:ascii="Times New Roman" w:hAnsi="Times New Roman" w:eastAsia="仿宋_GB2312" w:cs="Times New Roman"/>
          <w:sz w:val="28"/>
          <w:szCs w:val="28"/>
          <w:lang w:val="en-US" w:eastAsia="zh-CN"/>
        </w:rPr>
      </w:pPr>
      <w:bookmarkStart w:id="541" w:name="_Toc3916"/>
      <w:bookmarkStart w:id="542" w:name="_Toc19237"/>
      <w:r>
        <w:rPr>
          <w:rFonts w:hint="default" w:ascii="Times New Roman" w:hAnsi="Times New Roman" w:eastAsia="仿宋_GB2312" w:cs="Times New Roman"/>
          <w:sz w:val="28"/>
          <w:szCs w:val="28"/>
          <w:lang w:val="en-US" w:eastAsia="zh-CN"/>
        </w:rPr>
        <w:t>6结论和建议</w:t>
      </w:r>
      <w:bookmarkEnd w:id="538"/>
      <w:bookmarkEnd w:id="539"/>
      <w:bookmarkEnd w:id="540"/>
      <w:bookmarkEnd w:id="541"/>
      <w:bookmarkEnd w:id="542"/>
    </w:p>
    <w:p w14:paraId="255C7F95">
      <w:pPr>
        <w:keepNext w:val="0"/>
        <w:keepLines w:val="0"/>
        <w:pageBreakBefore w:val="0"/>
        <w:widowControl/>
        <w:kinsoku w:val="0"/>
        <w:wordWrap/>
        <w:overflowPunct/>
        <w:topLinePunct w:val="0"/>
        <w:autoSpaceDE w:val="0"/>
        <w:autoSpaceDN w:val="0"/>
        <w:bidi w:val="0"/>
        <w:adjustRightInd w:val="0"/>
        <w:snapToGrid w:val="0"/>
        <w:spacing w:before="0" w:after="0" w:line="500" w:lineRule="exact"/>
        <w:textAlignment w:val="baseline"/>
        <w:outlineLvl w:val="1"/>
        <w:rPr>
          <w:rFonts w:hint="default" w:ascii="Times New Roman" w:hAnsi="Times New Roman" w:eastAsia="仿宋_GB2312" w:cs="Times New Roman"/>
          <w:color w:val="auto"/>
          <w:sz w:val="28"/>
          <w:szCs w:val="28"/>
          <w:lang w:val="en-US" w:eastAsia="zh-CN"/>
        </w:rPr>
      </w:pPr>
      <w:bookmarkStart w:id="543" w:name="_Toc23060"/>
      <w:bookmarkStart w:id="544" w:name="_Toc7804"/>
      <w:bookmarkStart w:id="545" w:name="_Toc5005"/>
      <w:bookmarkStart w:id="546" w:name="_Toc6067"/>
      <w:r>
        <w:rPr>
          <w:rFonts w:hint="default" w:ascii="Times New Roman" w:hAnsi="Times New Roman" w:eastAsia="仿宋_GB2312" w:cs="Times New Roman"/>
          <w:b/>
          <w:bCs/>
          <w:color w:val="auto"/>
          <w:spacing w:val="1"/>
          <w:sz w:val="28"/>
          <w:szCs w:val="28"/>
          <w:lang w:val="en-US" w:eastAsia="zh-CN"/>
        </w:rPr>
        <w:t>6</w:t>
      </w:r>
      <w:r>
        <w:rPr>
          <w:rFonts w:hint="default" w:ascii="Times New Roman" w:hAnsi="Times New Roman" w:eastAsia="仿宋_GB2312" w:cs="Times New Roman"/>
          <w:b/>
          <w:bCs/>
          <w:color w:val="auto"/>
          <w:sz w:val="28"/>
          <w:szCs w:val="28"/>
        </w:rPr>
        <w:t>.</w:t>
      </w:r>
      <w:r>
        <w:rPr>
          <w:rFonts w:hint="default" w:ascii="Times New Roman" w:hAnsi="Times New Roman" w:eastAsia="仿宋_GB2312" w:cs="Times New Roman"/>
          <w:b/>
          <w:bCs/>
          <w:color w:val="auto"/>
          <w:sz w:val="28"/>
          <w:szCs w:val="28"/>
          <w:lang w:val="en-US" w:eastAsia="zh-CN"/>
        </w:rPr>
        <w:t>1评价结论</w:t>
      </w:r>
      <w:bookmarkEnd w:id="543"/>
      <w:bookmarkEnd w:id="544"/>
      <w:bookmarkEnd w:id="545"/>
      <w:bookmarkEnd w:id="546"/>
    </w:p>
    <w:p w14:paraId="60DDDE86">
      <w:pPr>
        <w:keepNext w:val="0"/>
        <w:keepLines w:val="0"/>
        <w:pageBreakBefore w:val="0"/>
        <w:wordWrap/>
        <w:overflowPunct/>
        <w:topLinePunct w:val="0"/>
        <w:bidi w:val="0"/>
        <w:adjustRightInd w:val="0"/>
        <w:snapToGrid w:val="0"/>
        <w:spacing w:line="500" w:lineRule="exact"/>
        <w:ind w:firstLine="528" w:firstLineChars="200"/>
        <w:rPr>
          <w:rFonts w:hint="default" w:ascii="Times New Roman" w:hAnsi="Times New Roman" w:eastAsia="仿宋_GB2312" w:cs="Times New Roman"/>
          <w:color w:val="auto"/>
          <w:spacing w:val="3"/>
          <w:sz w:val="24"/>
          <w:szCs w:val="24"/>
        </w:rPr>
      </w:pPr>
      <w:r>
        <w:rPr>
          <w:rFonts w:hint="default" w:ascii="Times New Roman" w:hAnsi="Times New Roman" w:eastAsia="仿宋_GB2312" w:cs="Times New Roman"/>
          <w:color w:val="auto"/>
          <w:spacing w:val="12"/>
          <w:sz w:val="24"/>
          <w:szCs w:val="24"/>
        </w:rPr>
        <w:t>在严格落实评价提出的各项风险防范措施和应急预案后，本项目可能出现的风险概率将减小，其最大可信事故所造成的环境影响范围和后果也将减小，能将事故的环境风险降到最低，该项目的风险水平是可防控的</w:t>
      </w:r>
      <w:r>
        <w:rPr>
          <w:rFonts w:hint="default" w:ascii="Times New Roman" w:hAnsi="Times New Roman" w:eastAsia="仿宋_GB2312" w:cs="Times New Roman"/>
          <w:color w:val="auto"/>
          <w:spacing w:val="3"/>
          <w:sz w:val="24"/>
          <w:szCs w:val="24"/>
        </w:rPr>
        <w:t>。</w:t>
      </w:r>
    </w:p>
    <w:p w14:paraId="5749B4D9">
      <w:pPr>
        <w:keepNext w:val="0"/>
        <w:keepLines w:val="0"/>
        <w:pageBreakBefore w:val="0"/>
        <w:widowControl/>
        <w:kinsoku w:val="0"/>
        <w:wordWrap/>
        <w:overflowPunct/>
        <w:topLinePunct w:val="0"/>
        <w:autoSpaceDE w:val="0"/>
        <w:autoSpaceDN w:val="0"/>
        <w:bidi w:val="0"/>
        <w:adjustRightInd w:val="0"/>
        <w:snapToGrid w:val="0"/>
        <w:spacing w:before="0" w:after="0" w:line="500" w:lineRule="exact"/>
        <w:textAlignment w:val="baseline"/>
        <w:outlineLvl w:val="1"/>
        <w:rPr>
          <w:rFonts w:hint="default" w:ascii="Times New Roman" w:hAnsi="Times New Roman" w:eastAsia="仿宋_GB2312" w:cs="Times New Roman"/>
          <w:color w:val="auto"/>
          <w:sz w:val="28"/>
          <w:szCs w:val="28"/>
          <w:lang w:val="en-US" w:eastAsia="zh-CN"/>
        </w:rPr>
      </w:pPr>
      <w:bookmarkStart w:id="547" w:name="_Toc29465"/>
      <w:bookmarkStart w:id="548" w:name="_Toc27977"/>
      <w:bookmarkStart w:id="549" w:name="_Toc26817"/>
      <w:bookmarkStart w:id="550" w:name="_Toc29266"/>
      <w:r>
        <w:rPr>
          <w:rFonts w:hint="default" w:ascii="Times New Roman" w:hAnsi="Times New Roman" w:eastAsia="仿宋_GB2312" w:cs="Times New Roman"/>
          <w:b/>
          <w:bCs/>
          <w:color w:val="auto"/>
          <w:spacing w:val="1"/>
          <w:sz w:val="28"/>
          <w:szCs w:val="28"/>
          <w:lang w:val="en-US" w:eastAsia="zh-CN"/>
        </w:rPr>
        <w:t>6</w:t>
      </w:r>
      <w:r>
        <w:rPr>
          <w:rFonts w:hint="default" w:ascii="Times New Roman" w:hAnsi="Times New Roman" w:eastAsia="仿宋_GB2312" w:cs="Times New Roman"/>
          <w:b/>
          <w:bCs/>
          <w:color w:val="auto"/>
          <w:sz w:val="28"/>
          <w:szCs w:val="28"/>
        </w:rPr>
        <w:t>.</w:t>
      </w:r>
      <w:r>
        <w:rPr>
          <w:rFonts w:hint="default" w:ascii="Times New Roman" w:hAnsi="Times New Roman" w:eastAsia="仿宋_GB2312" w:cs="Times New Roman"/>
          <w:b/>
          <w:bCs/>
          <w:color w:val="auto"/>
          <w:sz w:val="28"/>
          <w:szCs w:val="28"/>
          <w:lang w:val="en-US" w:eastAsia="zh-CN"/>
        </w:rPr>
        <w:t>2要求与建议</w:t>
      </w:r>
      <w:bookmarkEnd w:id="547"/>
      <w:bookmarkEnd w:id="548"/>
      <w:bookmarkEnd w:id="549"/>
      <w:bookmarkEnd w:id="550"/>
    </w:p>
    <w:p w14:paraId="2CBD7176">
      <w:pPr>
        <w:keepNext w:val="0"/>
        <w:keepLines w:val="0"/>
        <w:pageBreakBefore w:val="0"/>
        <w:wordWrap/>
        <w:overflowPunct/>
        <w:topLinePunct w:val="0"/>
        <w:bidi w:val="0"/>
        <w:adjustRightInd w:val="0"/>
        <w:snapToGrid w:val="0"/>
        <w:spacing w:line="500" w:lineRule="exact"/>
        <w:ind w:firstLine="492" w:firstLineChars="200"/>
        <w:rPr>
          <w:rFonts w:hint="default" w:ascii="Times New Roman" w:hAnsi="Times New Roman" w:eastAsia="仿宋_GB2312" w:cs="Times New Roman"/>
          <w:color w:val="auto"/>
          <w:spacing w:val="3"/>
          <w:sz w:val="24"/>
          <w:szCs w:val="24"/>
          <w:lang w:val="en-US" w:eastAsia="zh-CN"/>
        </w:rPr>
      </w:pPr>
      <w:r>
        <w:rPr>
          <w:rFonts w:hint="default" w:ascii="Times New Roman" w:hAnsi="Times New Roman" w:eastAsia="仿宋_GB2312" w:cs="Times New Roman"/>
          <w:color w:val="auto"/>
          <w:spacing w:val="3"/>
          <w:sz w:val="24"/>
          <w:szCs w:val="24"/>
          <w:lang w:val="en-US" w:eastAsia="zh-CN"/>
        </w:rPr>
        <w:t>（1）建设单位要采取有效措施防止发生各种事故，应强化风险意识，完善应急措施，对具有较大危险因素的生产岗位进行定期检修和检查，制定完善的事故防范措施和计划，确保职工劳动安全不受项目建设影响。</w:t>
      </w:r>
    </w:p>
    <w:p w14:paraId="2C0AC184">
      <w:pPr>
        <w:keepNext w:val="0"/>
        <w:keepLines w:val="0"/>
        <w:pageBreakBefore w:val="0"/>
        <w:wordWrap/>
        <w:overflowPunct/>
        <w:topLinePunct w:val="0"/>
        <w:bidi w:val="0"/>
        <w:adjustRightInd w:val="0"/>
        <w:snapToGrid w:val="0"/>
        <w:spacing w:line="500" w:lineRule="exact"/>
        <w:ind w:firstLine="492" w:firstLineChars="200"/>
        <w:rPr>
          <w:rFonts w:hint="default" w:ascii="Times New Roman" w:hAnsi="Times New Roman" w:eastAsia="仿宋_GB2312" w:cs="Times New Roman"/>
          <w:color w:val="auto"/>
          <w:spacing w:val="3"/>
          <w:sz w:val="24"/>
          <w:szCs w:val="24"/>
          <w:lang w:val="en-US" w:eastAsia="zh-CN"/>
        </w:rPr>
      </w:pPr>
      <w:r>
        <w:rPr>
          <w:rFonts w:hint="default" w:ascii="Times New Roman" w:hAnsi="Times New Roman" w:eastAsia="仿宋_GB2312" w:cs="Times New Roman"/>
          <w:color w:val="auto"/>
          <w:spacing w:val="3"/>
          <w:sz w:val="24"/>
          <w:szCs w:val="24"/>
          <w:lang w:val="en-US" w:eastAsia="zh-CN"/>
        </w:rPr>
        <w:t>（2）建设单位在工程设计中根据实际产生废水和废气的情况，合理确定废水、废气处理工艺及设计参数，以确保达标排放，建议企业开展工艺设备、污染治理系统等的安全专项评价。</w:t>
      </w:r>
    </w:p>
    <w:p w14:paraId="673CD95C">
      <w:pPr>
        <w:keepNext w:val="0"/>
        <w:keepLines w:val="0"/>
        <w:pageBreakBefore w:val="0"/>
        <w:wordWrap/>
        <w:overflowPunct/>
        <w:topLinePunct w:val="0"/>
        <w:bidi w:val="0"/>
        <w:adjustRightInd w:val="0"/>
        <w:snapToGrid w:val="0"/>
        <w:spacing w:line="500" w:lineRule="exact"/>
        <w:ind w:firstLine="492" w:firstLineChars="200"/>
        <w:rPr>
          <w:rFonts w:hint="default" w:ascii="Times New Roman" w:hAnsi="Times New Roman" w:eastAsia="仿宋_GB2312" w:cs="Times New Roman"/>
          <w:color w:val="auto"/>
          <w:spacing w:val="3"/>
          <w:sz w:val="24"/>
          <w:szCs w:val="24"/>
          <w:lang w:val="en-US" w:eastAsia="zh-CN"/>
        </w:rPr>
      </w:pPr>
      <w:r>
        <w:rPr>
          <w:rFonts w:hint="default" w:ascii="Times New Roman" w:hAnsi="Times New Roman" w:eastAsia="仿宋_GB2312" w:cs="Times New Roman"/>
          <w:color w:val="auto"/>
          <w:spacing w:val="3"/>
          <w:sz w:val="24"/>
          <w:szCs w:val="24"/>
          <w:lang w:val="en-US" w:eastAsia="zh-CN"/>
        </w:rPr>
        <w:t>（3）加强全厂职工的安全生产和环境保护知识的教育。配备必要的环境管理专职人员，落实、检查环保设施的运行状况，配合当地生态环境局做好本厂的环境管理、验收、监督和检查工作。</w:t>
      </w:r>
      <w:bookmarkEnd w:id="73"/>
      <w:bookmarkEnd w:id="80"/>
    </w:p>
    <w:sectPr>
      <w:headerReference r:id="rId17" w:type="default"/>
      <w:footerReference r:id="rId18" w:type="default"/>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Sim Hei">
    <w:altName w:val="宋体"/>
    <w:panose1 w:val="00000000000000000000"/>
    <w:charset w:val="86"/>
    <w:family w:val="swiss"/>
    <w:pitch w:val="default"/>
    <w:sig w:usb0="00000000" w:usb1="00000000" w:usb2="00000010" w:usb3="00000000" w:csb0="00040000" w:csb1="00000000"/>
  </w:font>
  <w:font w:name="方正楷体_GBK">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003" w:usb1="288F0000" w:usb2="00000006" w:usb3="00000000" w:csb0="00040001" w:csb1="00000000"/>
  </w:font>
  <w:font w:name="FangSong_GB2312">
    <w:altName w:val="仿宋_GB2312"/>
    <w:panose1 w:val="00020600040101010101"/>
    <w:charset w:val="86"/>
    <w:family w:val="auto"/>
    <w:pitch w:val="default"/>
    <w:sig w:usb0="00000000" w:usb1="00000000" w:usb2="00000016" w:usb3="00000000" w:csb0="0004009F" w:csb1="DFD70000"/>
  </w:font>
  <w:font w:name="Wingdings 2">
    <w:altName w:val="Wingdings"/>
    <w:panose1 w:val="05020102010507070707"/>
    <w:charset w:val="02"/>
    <w:family w:val="roman"/>
    <w:pitch w:val="default"/>
    <w:sig w:usb0="00000000" w:usb1="00000000" w:usb2="00000000" w:usb3="00000000" w:csb0="80000000" w:csb1="00000000"/>
  </w:font>
  <w:font w:name="微软雅黑">
    <w:panose1 w:val="020B0503020204020204"/>
    <w:charset w:val="86"/>
    <w:family w:val="swiss"/>
    <w:pitch w:val="default"/>
    <w:sig w:usb0="80000287" w:usb1="280F3C52" w:usb2="00000016" w:usb3="00000000" w:csb0="0004001F" w:csb1="00000000"/>
  </w:font>
  <w:font w:name="等线">
    <w:altName w:val="微软雅黑"/>
    <w:panose1 w:val="02010600030101010101"/>
    <w:charset w:val="86"/>
    <w:family w:val="auto"/>
    <w:pitch w:val="default"/>
    <w:sig w:usb0="00000000" w:usb1="00000000" w:usb2="00000016" w:usb3="00000000" w:csb0="0004000F" w:csb1="00000000"/>
  </w:font>
  <w:font w:name="Cambria Math">
    <w:panose1 w:val="02040503050406030204"/>
    <w:charset w:val="00"/>
    <w:family w:val="roman"/>
    <w:pitch w:val="default"/>
    <w:sig w:usb0="E00002FF" w:usb1="420024FF" w:usb2="00000000" w:usb3="00000000" w:csb0="2000019F"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Gulim">
    <w:panose1 w:val="020B0600000101010101"/>
    <w:charset w:val="81"/>
    <w:family w:val="auto"/>
    <w:pitch w:val="default"/>
    <w:sig w:usb0="B00002AF" w:usb1="69D77CFB" w:usb2="00000030" w:usb3="00000000" w:csb0="4008009F" w:csb1="DFD7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898321">
    <w:pPr>
      <w:pStyle w:val="21"/>
      <w:ind w:right="360"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4A7A02">
    <w:pPr>
      <w:pStyle w:val="21"/>
      <w:ind w:firstLine="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3153C5">
    <w:pPr>
      <w:spacing w:line="196" w:lineRule="auto"/>
      <w:ind w:left="4039"/>
      <w:rPr>
        <w:rFonts w:ascii="Times New Roman" w:hAnsi="Times New Roman" w:eastAsia="Times New Roman" w:cs="Times New Roman"/>
        <w:sz w:val="17"/>
        <w:szCs w:val="17"/>
      </w:rPr>
    </w:pPr>
    <w:r>
      <w:rPr>
        <w:sz w:val="17"/>
      </w:rPr>
      <w:pict>
        <v:shape id="_x0000_s3085" o:spid="_x0000_s3085" o:spt="202" type="#_x0000_t202" style="position:absolute;left:0pt;margin-left:201.6pt;margin-top:-1.3pt;height:144pt;width:144pt;mso-position-horizontal-relative:margin;mso-wrap-style:none;z-index:251663360;mso-width-relative:page;mso-height-relative:page;" filled="f" stroked="f" coordsize="21600,21600">
          <v:path/>
          <v:fill on="f" focussize="0,0"/>
          <v:stroke on="f"/>
          <v:imagedata o:title=""/>
          <o:lock v:ext="edit" aspectratio="f"/>
          <v:textbox inset="0mm,0mm,0mm,0mm" style="mso-fit-shape-to-text:t;">
            <w:txbxContent>
              <w:p w14:paraId="36F684E8">
                <w:pPr>
                  <w:pStyle w:val="21"/>
                </w:pPr>
                <w:r>
                  <w:fldChar w:fldCharType="begin"/>
                </w:r>
                <w:r>
                  <w:instrText xml:space="preserve"> PAGE  \* MERGEFORMAT </w:instrText>
                </w:r>
                <w:r>
                  <w:fldChar w:fldCharType="separate"/>
                </w:r>
                <w:r>
                  <w:t>1</w:t>
                </w:r>
                <w:r>
                  <w:fldChar w:fldCharType="end"/>
                </w:r>
              </w:p>
            </w:txbxContent>
          </v:textbox>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CF244F">
    <w:pPr>
      <w:pStyle w:val="21"/>
      <w:ind w:firstLine="360"/>
    </w:pPr>
    <w:r>
      <w:rPr>
        <w:sz w:val="18"/>
      </w:rPr>
      <w:pict>
        <v:shape id="_x0000_s3086" o:spid="_x0000_s3086" o:spt="202" type="#_x0000_t202" style="position:absolute;left:0pt;margin-top:0pt;height:144pt;width:144pt;mso-position-horizontal:center;mso-position-horizontal-relative:margin;mso-wrap-style:none;z-index:251664384;mso-width-relative:page;mso-height-relative:page;" filled="f" stroked="f" coordsize="21600,21600">
          <v:path/>
          <v:fill on="f" focussize="0,0"/>
          <v:stroke on="f"/>
          <v:imagedata o:title=""/>
          <o:lock v:ext="edit" aspectratio="f"/>
          <v:textbox inset="0mm,0mm,0mm,0mm" style="mso-fit-shape-to-text:t;">
            <w:txbxContent>
              <w:p w14:paraId="5F8F820E">
                <w:pPr>
                  <w:pStyle w:val="21"/>
                </w:pPr>
                <w:r>
                  <w:fldChar w:fldCharType="begin"/>
                </w:r>
                <w:r>
                  <w:instrText xml:space="preserve"> PAGE  \* MERGEFORMAT </w:instrText>
                </w:r>
                <w:r>
                  <w:fldChar w:fldCharType="separate"/>
                </w:r>
                <w:r>
                  <w:t>1</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4E6D55">
    <w:pPr>
      <w:pStyle w:val="21"/>
      <w:framePr w:wrap="around" w:vAnchor="text" w:hAnchor="margin" w:xAlign="center" w:y="1"/>
      <w:rPr>
        <w:rStyle w:val="34"/>
      </w:rPr>
    </w:pPr>
    <w:r>
      <w:fldChar w:fldCharType="begin"/>
    </w:r>
    <w:r>
      <w:rPr>
        <w:rStyle w:val="34"/>
      </w:rPr>
      <w:instrText xml:space="preserve">PAGE  </w:instrText>
    </w:r>
    <w:r>
      <w:fldChar w:fldCharType="end"/>
    </w:r>
  </w:p>
  <w:p w14:paraId="660531C4">
    <w:pPr>
      <w:pStyle w:val="21"/>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553192">
    <w:pPr>
      <w:pStyle w:val="21"/>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317AAF">
    <w:pPr>
      <w:pStyle w:val="21"/>
      <w:ind w:right="360" w:firstLine="360"/>
      <w:jc w:val="center"/>
    </w:pPr>
    <w:r>
      <w:rPr>
        <w:sz w:val="18"/>
      </w:rPr>
      <w:pict>
        <v:shape id="_x0000_s3073" o:spid="_x0000_s3073"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14:paraId="0751E43C">
                <w:pPr>
                  <w:pStyle w:val="21"/>
                </w:pPr>
                <w:r>
                  <w:fldChar w:fldCharType="begin"/>
                </w:r>
                <w:r>
                  <w:instrText xml:space="preserve"> PAGE  \* MERGEFORMAT </w:instrText>
                </w:r>
                <w:r>
                  <w:fldChar w:fldCharType="separate"/>
                </w:r>
                <w:r>
                  <w:t>1</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9D8913">
    <w:pPr>
      <w:pStyle w:val="21"/>
      <w:ind w:right="360" w:firstLine="360"/>
      <w:jc w:val="center"/>
    </w:pPr>
    <w:r>
      <w:rPr>
        <w:sz w:val="18"/>
      </w:rPr>
      <w:pict>
        <v:shape id="_x0000_s3081" o:spid="_x0000_s3081"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14:paraId="3DF3D48D">
                <w:pPr>
                  <w:pStyle w:val="21"/>
                </w:pPr>
                <w:r>
                  <w:fldChar w:fldCharType="begin"/>
                </w:r>
                <w:r>
                  <w:instrText xml:space="preserve"> PAGE  \* MERGEFORMAT </w:instrText>
                </w:r>
                <w:r>
                  <w:fldChar w:fldCharType="separate"/>
                </w:r>
                <w:r>
                  <w:t>27</w:t>
                </w:r>
                <w: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CEC7F3">
    <w:pPr>
      <w:pStyle w:val="21"/>
      <w:ind w:right="360" w:firstLine="360"/>
      <w:jc w:val="center"/>
    </w:pPr>
    <w:r>
      <w:rPr>
        <w:sz w:val="18"/>
      </w:rPr>
      <w:pict>
        <v:shape id="_x0000_s3082" o:spid="_x0000_s3082"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14:paraId="29A654C3">
                <w:pPr>
                  <w:pStyle w:val="21"/>
                </w:pPr>
                <w:r>
                  <w:fldChar w:fldCharType="begin"/>
                </w:r>
                <w:r>
                  <w:instrText xml:space="preserve"> PAGE  \* MERGEFORMAT </w:instrText>
                </w:r>
                <w:r>
                  <w:fldChar w:fldCharType="separate"/>
                </w:r>
                <w:r>
                  <w:t>99</w:t>
                </w:r>
                <w: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4C6135">
    <w:pPr>
      <w:pStyle w:val="21"/>
      <w:ind w:right="360" w:firstLine="360"/>
      <w:jc w:val="center"/>
    </w:pPr>
    <w:r>
      <w:rPr>
        <w:sz w:val="18"/>
      </w:rPr>
      <w:pict>
        <v:shape id="_x0000_s3083" o:spid="_x0000_s3083"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p w14:paraId="478C64AA">
                <w:pPr>
                  <w:pStyle w:val="21"/>
                </w:pPr>
                <w:r>
                  <w:fldChar w:fldCharType="begin"/>
                </w:r>
                <w:r>
                  <w:instrText xml:space="preserve"> PAGE  \* MERGEFORMAT </w:instrText>
                </w:r>
                <w:r>
                  <w:fldChar w:fldCharType="separate"/>
                </w:r>
                <w:r>
                  <w:t>106</w:t>
                </w:r>
                <w:r>
                  <w:fldChar w:fldCharType="end"/>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575E51">
    <w:pPr>
      <w:tabs>
        <w:tab w:val="center" w:pos="4153"/>
        <w:tab w:val="right" w:pos="8306"/>
      </w:tabs>
      <w:ind w:firstLine="0" w:firstLineChars="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8E9268">
    <w:pPr>
      <w:pStyle w:val="21"/>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721003">
    <w:pPr>
      <w:pBdr>
        <w:bottom w:val="none" w:color="auto" w:sz="0" w:space="1"/>
      </w:pBdr>
      <w:tabs>
        <w:tab w:val="center" w:pos="4153"/>
        <w:tab w:val="right" w:pos="8306"/>
      </w:tabs>
      <w:ind w:firstLine="0" w:firstLineChars="0"/>
      <w:rPr>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B9A0CC">
    <w:pPr>
      <w:pStyle w:val="2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2E6D9F">
    <w:pPr>
      <w:pStyle w:val="22"/>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F092F1">
    <w:pPr>
      <w:pStyle w:val="22"/>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090291"/>
    <w:multiLevelType w:val="singleLevel"/>
    <w:tmpl w:val="B4090291"/>
    <w:lvl w:ilvl="0" w:tentative="0">
      <w:start w:val="9"/>
      <w:numFmt w:val="chineseCounting"/>
      <w:suff w:val="nothing"/>
      <w:lvlText w:val="%1、"/>
      <w:lvlJc w:val="left"/>
      <w:rPr>
        <w:rFonts w:hint="eastAsia"/>
      </w:rPr>
    </w:lvl>
  </w:abstractNum>
  <w:abstractNum w:abstractNumId="1">
    <w:nsid w:val="B588567C"/>
    <w:multiLevelType w:val="singleLevel"/>
    <w:tmpl w:val="B588567C"/>
    <w:lvl w:ilvl="0" w:tentative="0">
      <w:start w:val="1"/>
      <w:numFmt w:val="bullet"/>
      <w:pStyle w:val="17"/>
      <w:lvlText w:val=""/>
      <w:lvlJc w:val="left"/>
      <w:pPr>
        <w:tabs>
          <w:tab w:val="left" w:pos="2491"/>
        </w:tabs>
        <w:ind w:left="2491" w:hanging="360"/>
      </w:pPr>
      <w:rPr>
        <w:rFonts w:hint="default" w:ascii="Wingdings" w:hAnsi="Wingdings"/>
      </w:rPr>
    </w:lvl>
  </w:abstractNum>
  <w:abstractNum w:abstractNumId="2">
    <w:nsid w:val="2C354A04"/>
    <w:multiLevelType w:val="singleLevel"/>
    <w:tmpl w:val="2C354A04"/>
    <w:lvl w:ilvl="0" w:tentative="0">
      <w:start w:val="1"/>
      <w:numFmt w:val="decimal"/>
      <w:suff w:val="nothing"/>
      <w:lvlText w:val="%1、"/>
      <w:lvlJc w:val="left"/>
    </w:lvl>
  </w:abstractNum>
  <w:abstractNum w:abstractNumId="3">
    <w:nsid w:val="3F2F9E50"/>
    <w:multiLevelType w:val="singleLevel"/>
    <w:tmpl w:val="3F2F9E50"/>
    <w:lvl w:ilvl="0" w:tentative="0">
      <w:start w:val="1"/>
      <w:numFmt w:val="decimal"/>
      <w:suff w:val="nothing"/>
      <w:lvlText w:val="%1."/>
      <w:lvlJc w:val="left"/>
      <w:pPr>
        <w:ind w:left="0" w:firstLine="0"/>
      </w:pPr>
      <w:rPr>
        <w:rFonts w:hint="default"/>
      </w:rPr>
    </w:lvl>
  </w:abstractNum>
  <w:abstractNum w:abstractNumId="4">
    <w:nsid w:val="54A80880"/>
    <w:multiLevelType w:val="singleLevel"/>
    <w:tmpl w:val="54A80880"/>
    <w:lvl w:ilvl="0" w:tentative="0">
      <w:start w:val="1"/>
      <w:numFmt w:val="decimal"/>
      <w:suff w:val="nothing"/>
      <w:lvlText w:val="%1"/>
      <w:lvlJc w:val="left"/>
      <w:pPr>
        <w:ind w:left="0" w:firstLine="0"/>
      </w:pPr>
      <w:rPr>
        <w:rFonts w:hint="eastAsia"/>
      </w:rPr>
    </w:lvl>
  </w:abstractNum>
  <w:abstractNum w:abstractNumId="5">
    <w:nsid w:val="70C3263E"/>
    <w:multiLevelType w:val="multilevel"/>
    <w:tmpl w:val="70C3263E"/>
    <w:lvl w:ilvl="0" w:tentative="0">
      <w:start w:val="1"/>
      <w:numFmt w:val="decimalEnclosedCircle"/>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
  </w:num>
  <w:num w:numId="2">
    <w:abstractNumId w:val="4"/>
  </w:num>
  <w:num w:numId="3">
    <w:abstractNumId w:val="0"/>
  </w:num>
  <w:num w:numId="4">
    <w:abstractNumId w:val="5"/>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2"/>
  </w:compat>
  <w:docVars>
    <w:docVar w:name="commondata" w:val="eyJoZGlkIjoiNThmMWQwYWU5YzI4N2QwNThkMzExYjU3MzM5ZDdmYmIifQ=="/>
  </w:docVars>
  <w:rsids>
    <w:rsidRoot w:val="00172A27"/>
    <w:rsid w:val="00002FB6"/>
    <w:rsid w:val="000060B3"/>
    <w:rsid w:val="00006991"/>
    <w:rsid w:val="00007E9D"/>
    <w:rsid w:val="00014A19"/>
    <w:rsid w:val="000220C7"/>
    <w:rsid w:val="00024536"/>
    <w:rsid w:val="00027D3B"/>
    <w:rsid w:val="00033910"/>
    <w:rsid w:val="0003730E"/>
    <w:rsid w:val="0004069D"/>
    <w:rsid w:val="00041F4D"/>
    <w:rsid w:val="0004364B"/>
    <w:rsid w:val="00044EE2"/>
    <w:rsid w:val="00046B2F"/>
    <w:rsid w:val="0006193F"/>
    <w:rsid w:val="00061B1F"/>
    <w:rsid w:val="00064BB8"/>
    <w:rsid w:val="00071444"/>
    <w:rsid w:val="00072BBA"/>
    <w:rsid w:val="000733C4"/>
    <w:rsid w:val="000745E4"/>
    <w:rsid w:val="00074783"/>
    <w:rsid w:val="000765EB"/>
    <w:rsid w:val="000772D4"/>
    <w:rsid w:val="0008070B"/>
    <w:rsid w:val="000810AC"/>
    <w:rsid w:val="00081A02"/>
    <w:rsid w:val="00082231"/>
    <w:rsid w:val="00092D38"/>
    <w:rsid w:val="0009377B"/>
    <w:rsid w:val="000A20C9"/>
    <w:rsid w:val="000A33C2"/>
    <w:rsid w:val="000B058F"/>
    <w:rsid w:val="000B2BCA"/>
    <w:rsid w:val="000B4467"/>
    <w:rsid w:val="000B4DB9"/>
    <w:rsid w:val="000C09AC"/>
    <w:rsid w:val="000C1943"/>
    <w:rsid w:val="000C3A5C"/>
    <w:rsid w:val="000C456A"/>
    <w:rsid w:val="000C666C"/>
    <w:rsid w:val="000C6EA0"/>
    <w:rsid w:val="000C767F"/>
    <w:rsid w:val="000D2DEB"/>
    <w:rsid w:val="000D4E0C"/>
    <w:rsid w:val="000D5A44"/>
    <w:rsid w:val="000E09C8"/>
    <w:rsid w:val="000E0AC1"/>
    <w:rsid w:val="000E3ED2"/>
    <w:rsid w:val="000F02DB"/>
    <w:rsid w:val="000F2D98"/>
    <w:rsid w:val="000F3986"/>
    <w:rsid w:val="001019F6"/>
    <w:rsid w:val="001037F9"/>
    <w:rsid w:val="00104F41"/>
    <w:rsid w:val="001143C4"/>
    <w:rsid w:val="001257CF"/>
    <w:rsid w:val="00131F42"/>
    <w:rsid w:val="00134F85"/>
    <w:rsid w:val="001357F1"/>
    <w:rsid w:val="00140FA8"/>
    <w:rsid w:val="00142FEB"/>
    <w:rsid w:val="001430AA"/>
    <w:rsid w:val="00143A2D"/>
    <w:rsid w:val="00145A1C"/>
    <w:rsid w:val="00145A41"/>
    <w:rsid w:val="0014738C"/>
    <w:rsid w:val="00151675"/>
    <w:rsid w:val="001526A7"/>
    <w:rsid w:val="00152D95"/>
    <w:rsid w:val="00157435"/>
    <w:rsid w:val="00165A8A"/>
    <w:rsid w:val="001666FC"/>
    <w:rsid w:val="00172A27"/>
    <w:rsid w:val="0017504D"/>
    <w:rsid w:val="0017556C"/>
    <w:rsid w:val="0017671A"/>
    <w:rsid w:val="00177422"/>
    <w:rsid w:val="00181DE4"/>
    <w:rsid w:val="00184389"/>
    <w:rsid w:val="00184590"/>
    <w:rsid w:val="00184CB4"/>
    <w:rsid w:val="00185C88"/>
    <w:rsid w:val="001870D1"/>
    <w:rsid w:val="0018781E"/>
    <w:rsid w:val="00187EB7"/>
    <w:rsid w:val="0019262D"/>
    <w:rsid w:val="001939B5"/>
    <w:rsid w:val="001A15BE"/>
    <w:rsid w:val="001A1B35"/>
    <w:rsid w:val="001A2C7B"/>
    <w:rsid w:val="001A48A2"/>
    <w:rsid w:val="001A6F61"/>
    <w:rsid w:val="001B3BB8"/>
    <w:rsid w:val="001B5773"/>
    <w:rsid w:val="001B72B8"/>
    <w:rsid w:val="001B751E"/>
    <w:rsid w:val="001C3C5C"/>
    <w:rsid w:val="001C52CB"/>
    <w:rsid w:val="001C53E1"/>
    <w:rsid w:val="001C69B3"/>
    <w:rsid w:val="001C7F28"/>
    <w:rsid w:val="001D5595"/>
    <w:rsid w:val="001D582B"/>
    <w:rsid w:val="001D5BCB"/>
    <w:rsid w:val="001D6317"/>
    <w:rsid w:val="001D7874"/>
    <w:rsid w:val="001D7F22"/>
    <w:rsid w:val="001E1582"/>
    <w:rsid w:val="001E775D"/>
    <w:rsid w:val="001F0F17"/>
    <w:rsid w:val="001F3347"/>
    <w:rsid w:val="001F396D"/>
    <w:rsid w:val="001F69E4"/>
    <w:rsid w:val="0020055A"/>
    <w:rsid w:val="00202FE4"/>
    <w:rsid w:val="002047E8"/>
    <w:rsid w:val="00211C6A"/>
    <w:rsid w:val="002125B4"/>
    <w:rsid w:val="0021526B"/>
    <w:rsid w:val="002155B8"/>
    <w:rsid w:val="00215B66"/>
    <w:rsid w:val="00216444"/>
    <w:rsid w:val="002168B5"/>
    <w:rsid w:val="002239D4"/>
    <w:rsid w:val="00224839"/>
    <w:rsid w:val="002249B2"/>
    <w:rsid w:val="00226574"/>
    <w:rsid w:val="002278EC"/>
    <w:rsid w:val="0023280E"/>
    <w:rsid w:val="00234ADA"/>
    <w:rsid w:val="002377D1"/>
    <w:rsid w:val="0024393D"/>
    <w:rsid w:val="00244F2F"/>
    <w:rsid w:val="002506BC"/>
    <w:rsid w:val="00254345"/>
    <w:rsid w:val="00256B1D"/>
    <w:rsid w:val="00264557"/>
    <w:rsid w:val="00274E15"/>
    <w:rsid w:val="00276152"/>
    <w:rsid w:val="0027628D"/>
    <w:rsid w:val="002805AB"/>
    <w:rsid w:val="00282541"/>
    <w:rsid w:val="00283F3C"/>
    <w:rsid w:val="00284204"/>
    <w:rsid w:val="0028622A"/>
    <w:rsid w:val="00286BE4"/>
    <w:rsid w:val="00287BC3"/>
    <w:rsid w:val="00291773"/>
    <w:rsid w:val="002936D5"/>
    <w:rsid w:val="00297657"/>
    <w:rsid w:val="002A168C"/>
    <w:rsid w:val="002A3DC7"/>
    <w:rsid w:val="002A58C4"/>
    <w:rsid w:val="002A6E39"/>
    <w:rsid w:val="002B49E2"/>
    <w:rsid w:val="002B7B00"/>
    <w:rsid w:val="002B7C44"/>
    <w:rsid w:val="002C0FFC"/>
    <w:rsid w:val="002C2B17"/>
    <w:rsid w:val="002C4676"/>
    <w:rsid w:val="002C63E7"/>
    <w:rsid w:val="002C6897"/>
    <w:rsid w:val="002D1A7B"/>
    <w:rsid w:val="002D2B43"/>
    <w:rsid w:val="002D3DD0"/>
    <w:rsid w:val="002D4FB8"/>
    <w:rsid w:val="002D5BE0"/>
    <w:rsid w:val="002D6E51"/>
    <w:rsid w:val="002E19D0"/>
    <w:rsid w:val="002E1F3A"/>
    <w:rsid w:val="002E23C1"/>
    <w:rsid w:val="002E298A"/>
    <w:rsid w:val="002E4C9C"/>
    <w:rsid w:val="002F5099"/>
    <w:rsid w:val="00301978"/>
    <w:rsid w:val="0030332C"/>
    <w:rsid w:val="003051C2"/>
    <w:rsid w:val="00305BD1"/>
    <w:rsid w:val="00310215"/>
    <w:rsid w:val="00312296"/>
    <w:rsid w:val="003131FA"/>
    <w:rsid w:val="00314F0E"/>
    <w:rsid w:val="00321D8E"/>
    <w:rsid w:val="00324293"/>
    <w:rsid w:val="00325928"/>
    <w:rsid w:val="0033015C"/>
    <w:rsid w:val="003308D1"/>
    <w:rsid w:val="00332863"/>
    <w:rsid w:val="0033684D"/>
    <w:rsid w:val="00337B42"/>
    <w:rsid w:val="00341B42"/>
    <w:rsid w:val="0034348F"/>
    <w:rsid w:val="00343BF4"/>
    <w:rsid w:val="0034726B"/>
    <w:rsid w:val="00354A4E"/>
    <w:rsid w:val="00356653"/>
    <w:rsid w:val="0035743F"/>
    <w:rsid w:val="00357BE2"/>
    <w:rsid w:val="00360F17"/>
    <w:rsid w:val="0036170C"/>
    <w:rsid w:val="00362BB2"/>
    <w:rsid w:val="00366E0F"/>
    <w:rsid w:val="0037413A"/>
    <w:rsid w:val="003751ED"/>
    <w:rsid w:val="00381A72"/>
    <w:rsid w:val="003823B1"/>
    <w:rsid w:val="00384676"/>
    <w:rsid w:val="003875A6"/>
    <w:rsid w:val="00390857"/>
    <w:rsid w:val="003910DF"/>
    <w:rsid w:val="003A06A6"/>
    <w:rsid w:val="003A22AB"/>
    <w:rsid w:val="003A4251"/>
    <w:rsid w:val="003A4BF3"/>
    <w:rsid w:val="003A4CA2"/>
    <w:rsid w:val="003A4E86"/>
    <w:rsid w:val="003A5C50"/>
    <w:rsid w:val="003B420D"/>
    <w:rsid w:val="003B54AC"/>
    <w:rsid w:val="003C4BD4"/>
    <w:rsid w:val="003C6C16"/>
    <w:rsid w:val="003D17B3"/>
    <w:rsid w:val="003D1CD3"/>
    <w:rsid w:val="003D2104"/>
    <w:rsid w:val="003D67A4"/>
    <w:rsid w:val="003D6994"/>
    <w:rsid w:val="003D794D"/>
    <w:rsid w:val="003E3058"/>
    <w:rsid w:val="003E4267"/>
    <w:rsid w:val="003E7635"/>
    <w:rsid w:val="003E76A9"/>
    <w:rsid w:val="003F0809"/>
    <w:rsid w:val="003F0C91"/>
    <w:rsid w:val="003F44E5"/>
    <w:rsid w:val="003F6A8C"/>
    <w:rsid w:val="003F755C"/>
    <w:rsid w:val="00400416"/>
    <w:rsid w:val="004045A1"/>
    <w:rsid w:val="00406817"/>
    <w:rsid w:val="00406F01"/>
    <w:rsid w:val="004101A7"/>
    <w:rsid w:val="00416D50"/>
    <w:rsid w:val="00416FD5"/>
    <w:rsid w:val="00417772"/>
    <w:rsid w:val="00420162"/>
    <w:rsid w:val="00420977"/>
    <w:rsid w:val="00420E6A"/>
    <w:rsid w:val="00421A0A"/>
    <w:rsid w:val="0042365E"/>
    <w:rsid w:val="00425A9E"/>
    <w:rsid w:val="00426CC6"/>
    <w:rsid w:val="00426D6B"/>
    <w:rsid w:val="00427C82"/>
    <w:rsid w:val="00431256"/>
    <w:rsid w:val="00431E6C"/>
    <w:rsid w:val="00433CE7"/>
    <w:rsid w:val="00437E6A"/>
    <w:rsid w:val="00442886"/>
    <w:rsid w:val="00442E43"/>
    <w:rsid w:val="00452738"/>
    <w:rsid w:val="004534E3"/>
    <w:rsid w:val="004543E0"/>
    <w:rsid w:val="004545C5"/>
    <w:rsid w:val="00456091"/>
    <w:rsid w:val="00461ED9"/>
    <w:rsid w:val="00466321"/>
    <w:rsid w:val="00467587"/>
    <w:rsid w:val="004827BF"/>
    <w:rsid w:val="00483625"/>
    <w:rsid w:val="00484581"/>
    <w:rsid w:val="00484B9B"/>
    <w:rsid w:val="004855F6"/>
    <w:rsid w:val="0048661E"/>
    <w:rsid w:val="00494670"/>
    <w:rsid w:val="00495630"/>
    <w:rsid w:val="004A3823"/>
    <w:rsid w:val="004A3D32"/>
    <w:rsid w:val="004A7D0D"/>
    <w:rsid w:val="004B302D"/>
    <w:rsid w:val="004B3782"/>
    <w:rsid w:val="004B58C1"/>
    <w:rsid w:val="004C3B48"/>
    <w:rsid w:val="004D76F7"/>
    <w:rsid w:val="004E096E"/>
    <w:rsid w:val="004E4EA3"/>
    <w:rsid w:val="004E6946"/>
    <w:rsid w:val="004F1AD8"/>
    <w:rsid w:val="005019DD"/>
    <w:rsid w:val="005039CB"/>
    <w:rsid w:val="00504CA2"/>
    <w:rsid w:val="0050558F"/>
    <w:rsid w:val="00506286"/>
    <w:rsid w:val="00510813"/>
    <w:rsid w:val="00511990"/>
    <w:rsid w:val="00511DE0"/>
    <w:rsid w:val="005136C9"/>
    <w:rsid w:val="00514870"/>
    <w:rsid w:val="005148ED"/>
    <w:rsid w:val="00514AE0"/>
    <w:rsid w:val="00514B9B"/>
    <w:rsid w:val="00515A7B"/>
    <w:rsid w:val="00515D24"/>
    <w:rsid w:val="00517F02"/>
    <w:rsid w:val="00521CAF"/>
    <w:rsid w:val="00524303"/>
    <w:rsid w:val="005258A2"/>
    <w:rsid w:val="005262A7"/>
    <w:rsid w:val="005318BC"/>
    <w:rsid w:val="00533688"/>
    <w:rsid w:val="005401AE"/>
    <w:rsid w:val="00542E07"/>
    <w:rsid w:val="00543E3F"/>
    <w:rsid w:val="00545424"/>
    <w:rsid w:val="00554A7B"/>
    <w:rsid w:val="0055572C"/>
    <w:rsid w:val="00556A6E"/>
    <w:rsid w:val="0056106A"/>
    <w:rsid w:val="0056424A"/>
    <w:rsid w:val="00565404"/>
    <w:rsid w:val="005720AE"/>
    <w:rsid w:val="00572774"/>
    <w:rsid w:val="00573CEE"/>
    <w:rsid w:val="0057580D"/>
    <w:rsid w:val="0057622D"/>
    <w:rsid w:val="005865FB"/>
    <w:rsid w:val="00587C50"/>
    <w:rsid w:val="00594D77"/>
    <w:rsid w:val="005969E4"/>
    <w:rsid w:val="005A06B7"/>
    <w:rsid w:val="005A1759"/>
    <w:rsid w:val="005A5266"/>
    <w:rsid w:val="005A68A7"/>
    <w:rsid w:val="005A6928"/>
    <w:rsid w:val="005B0940"/>
    <w:rsid w:val="005C7BDB"/>
    <w:rsid w:val="005D36AB"/>
    <w:rsid w:val="005D5230"/>
    <w:rsid w:val="005E0349"/>
    <w:rsid w:val="005E0CA4"/>
    <w:rsid w:val="005E27F7"/>
    <w:rsid w:val="005E7263"/>
    <w:rsid w:val="005F08D1"/>
    <w:rsid w:val="00602C9A"/>
    <w:rsid w:val="00603F03"/>
    <w:rsid w:val="0060747D"/>
    <w:rsid w:val="00617CC3"/>
    <w:rsid w:val="00617D85"/>
    <w:rsid w:val="00623411"/>
    <w:rsid w:val="006265C6"/>
    <w:rsid w:val="006317EC"/>
    <w:rsid w:val="0063416D"/>
    <w:rsid w:val="00634315"/>
    <w:rsid w:val="006377A6"/>
    <w:rsid w:val="00637A3D"/>
    <w:rsid w:val="006411EF"/>
    <w:rsid w:val="00642751"/>
    <w:rsid w:val="00643626"/>
    <w:rsid w:val="0064601B"/>
    <w:rsid w:val="0065144B"/>
    <w:rsid w:val="0066097E"/>
    <w:rsid w:val="00663A40"/>
    <w:rsid w:val="00664E15"/>
    <w:rsid w:val="006713CA"/>
    <w:rsid w:val="00673219"/>
    <w:rsid w:val="00673E03"/>
    <w:rsid w:val="006748B8"/>
    <w:rsid w:val="006775C3"/>
    <w:rsid w:val="0069290A"/>
    <w:rsid w:val="00697239"/>
    <w:rsid w:val="0069775A"/>
    <w:rsid w:val="00697794"/>
    <w:rsid w:val="00697813"/>
    <w:rsid w:val="006A2A82"/>
    <w:rsid w:val="006A3EE8"/>
    <w:rsid w:val="006A55C3"/>
    <w:rsid w:val="006A72BF"/>
    <w:rsid w:val="006B03F2"/>
    <w:rsid w:val="006B15E7"/>
    <w:rsid w:val="006B37DC"/>
    <w:rsid w:val="006B4F68"/>
    <w:rsid w:val="006B5DBE"/>
    <w:rsid w:val="006C0592"/>
    <w:rsid w:val="006C272E"/>
    <w:rsid w:val="006C5381"/>
    <w:rsid w:val="006C5479"/>
    <w:rsid w:val="006C78C0"/>
    <w:rsid w:val="006D13B5"/>
    <w:rsid w:val="006D4221"/>
    <w:rsid w:val="006D4BA3"/>
    <w:rsid w:val="006D5112"/>
    <w:rsid w:val="006D6553"/>
    <w:rsid w:val="006D6991"/>
    <w:rsid w:val="006E12FF"/>
    <w:rsid w:val="006E3486"/>
    <w:rsid w:val="006E607E"/>
    <w:rsid w:val="006E61A5"/>
    <w:rsid w:val="006E7C3B"/>
    <w:rsid w:val="006F1C25"/>
    <w:rsid w:val="006F2EC8"/>
    <w:rsid w:val="00706C5D"/>
    <w:rsid w:val="00707466"/>
    <w:rsid w:val="00707960"/>
    <w:rsid w:val="00713694"/>
    <w:rsid w:val="00713815"/>
    <w:rsid w:val="007219D0"/>
    <w:rsid w:val="00726C5B"/>
    <w:rsid w:val="00732922"/>
    <w:rsid w:val="00736499"/>
    <w:rsid w:val="0073691F"/>
    <w:rsid w:val="00737E8B"/>
    <w:rsid w:val="00750DE7"/>
    <w:rsid w:val="0075162E"/>
    <w:rsid w:val="00753080"/>
    <w:rsid w:val="00754034"/>
    <w:rsid w:val="00756556"/>
    <w:rsid w:val="00757BB7"/>
    <w:rsid w:val="0076181D"/>
    <w:rsid w:val="007618C4"/>
    <w:rsid w:val="00762F9C"/>
    <w:rsid w:val="00764FB6"/>
    <w:rsid w:val="00767980"/>
    <w:rsid w:val="00770B19"/>
    <w:rsid w:val="00770F6F"/>
    <w:rsid w:val="007710FB"/>
    <w:rsid w:val="007725CA"/>
    <w:rsid w:val="0077463F"/>
    <w:rsid w:val="00775480"/>
    <w:rsid w:val="007836EA"/>
    <w:rsid w:val="00784CDA"/>
    <w:rsid w:val="007906C4"/>
    <w:rsid w:val="007925F9"/>
    <w:rsid w:val="007940EA"/>
    <w:rsid w:val="0079627D"/>
    <w:rsid w:val="007967E8"/>
    <w:rsid w:val="007A0EFE"/>
    <w:rsid w:val="007A2170"/>
    <w:rsid w:val="007A22BF"/>
    <w:rsid w:val="007A3323"/>
    <w:rsid w:val="007A4C1C"/>
    <w:rsid w:val="007B659A"/>
    <w:rsid w:val="007B72B8"/>
    <w:rsid w:val="007B7A58"/>
    <w:rsid w:val="007B7A8C"/>
    <w:rsid w:val="007C1603"/>
    <w:rsid w:val="007C1AB5"/>
    <w:rsid w:val="007C21B5"/>
    <w:rsid w:val="007D0479"/>
    <w:rsid w:val="007D4DC5"/>
    <w:rsid w:val="007E286D"/>
    <w:rsid w:val="007E4BD2"/>
    <w:rsid w:val="007E5A29"/>
    <w:rsid w:val="007F0600"/>
    <w:rsid w:val="007F0D02"/>
    <w:rsid w:val="007F2228"/>
    <w:rsid w:val="007F3DDB"/>
    <w:rsid w:val="008008C8"/>
    <w:rsid w:val="00801393"/>
    <w:rsid w:val="00802F88"/>
    <w:rsid w:val="008031A9"/>
    <w:rsid w:val="00807AC6"/>
    <w:rsid w:val="00810423"/>
    <w:rsid w:val="0081293E"/>
    <w:rsid w:val="00812995"/>
    <w:rsid w:val="00812AFD"/>
    <w:rsid w:val="00815465"/>
    <w:rsid w:val="00817313"/>
    <w:rsid w:val="00817E9A"/>
    <w:rsid w:val="00820419"/>
    <w:rsid w:val="008213C8"/>
    <w:rsid w:val="0082199E"/>
    <w:rsid w:val="008225F0"/>
    <w:rsid w:val="0082347A"/>
    <w:rsid w:val="00830231"/>
    <w:rsid w:val="008306BD"/>
    <w:rsid w:val="00831A80"/>
    <w:rsid w:val="00832B3A"/>
    <w:rsid w:val="00833743"/>
    <w:rsid w:val="008340A4"/>
    <w:rsid w:val="00834EEF"/>
    <w:rsid w:val="0084156E"/>
    <w:rsid w:val="00844259"/>
    <w:rsid w:val="008442C1"/>
    <w:rsid w:val="00844529"/>
    <w:rsid w:val="00846A42"/>
    <w:rsid w:val="00847466"/>
    <w:rsid w:val="008476C1"/>
    <w:rsid w:val="00852C63"/>
    <w:rsid w:val="00856A12"/>
    <w:rsid w:val="00861608"/>
    <w:rsid w:val="008637F9"/>
    <w:rsid w:val="008661AB"/>
    <w:rsid w:val="00870B4F"/>
    <w:rsid w:val="0087135F"/>
    <w:rsid w:val="008718EF"/>
    <w:rsid w:val="00872D94"/>
    <w:rsid w:val="00875416"/>
    <w:rsid w:val="00877E2C"/>
    <w:rsid w:val="00880364"/>
    <w:rsid w:val="00886EF3"/>
    <w:rsid w:val="00887313"/>
    <w:rsid w:val="00887ECB"/>
    <w:rsid w:val="00891592"/>
    <w:rsid w:val="00891E9E"/>
    <w:rsid w:val="008951BB"/>
    <w:rsid w:val="008A1FAA"/>
    <w:rsid w:val="008A2F68"/>
    <w:rsid w:val="008A4194"/>
    <w:rsid w:val="008A67CF"/>
    <w:rsid w:val="008B00DA"/>
    <w:rsid w:val="008B45B3"/>
    <w:rsid w:val="008B4FA6"/>
    <w:rsid w:val="008B5282"/>
    <w:rsid w:val="008B7A8C"/>
    <w:rsid w:val="008B7C17"/>
    <w:rsid w:val="008C2D01"/>
    <w:rsid w:val="008C40E6"/>
    <w:rsid w:val="008C7994"/>
    <w:rsid w:val="008C7F8A"/>
    <w:rsid w:val="008D0F7A"/>
    <w:rsid w:val="008D68E4"/>
    <w:rsid w:val="008E0506"/>
    <w:rsid w:val="008E087E"/>
    <w:rsid w:val="008E0CFF"/>
    <w:rsid w:val="008E5D6B"/>
    <w:rsid w:val="008E76F0"/>
    <w:rsid w:val="008F15FE"/>
    <w:rsid w:val="008F2D29"/>
    <w:rsid w:val="008F5187"/>
    <w:rsid w:val="008F60D8"/>
    <w:rsid w:val="009015F0"/>
    <w:rsid w:val="00901820"/>
    <w:rsid w:val="00902727"/>
    <w:rsid w:val="0090312B"/>
    <w:rsid w:val="00907F9E"/>
    <w:rsid w:val="009137EF"/>
    <w:rsid w:val="0091736D"/>
    <w:rsid w:val="009256C4"/>
    <w:rsid w:val="0093037A"/>
    <w:rsid w:val="00932DD4"/>
    <w:rsid w:val="0094154D"/>
    <w:rsid w:val="00941DF2"/>
    <w:rsid w:val="0094380C"/>
    <w:rsid w:val="009465E9"/>
    <w:rsid w:val="0095155F"/>
    <w:rsid w:val="00954429"/>
    <w:rsid w:val="00954BCE"/>
    <w:rsid w:val="00955543"/>
    <w:rsid w:val="00955615"/>
    <w:rsid w:val="009563CE"/>
    <w:rsid w:val="00961C7F"/>
    <w:rsid w:val="00965735"/>
    <w:rsid w:val="009658EA"/>
    <w:rsid w:val="00971335"/>
    <w:rsid w:val="00976328"/>
    <w:rsid w:val="0097680D"/>
    <w:rsid w:val="009815D7"/>
    <w:rsid w:val="00982438"/>
    <w:rsid w:val="0098404C"/>
    <w:rsid w:val="00985283"/>
    <w:rsid w:val="00992DD8"/>
    <w:rsid w:val="00993611"/>
    <w:rsid w:val="0099407F"/>
    <w:rsid w:val="00995992"/>
    <w:rsid w:val="00997D62"/>
    <w:rsid w:val="009A03E5"/>
    <w:rsid w:val="009A0F3B"/>
    <w:rsid w:val="009A1898"/>
    <w:rsid w:val="009A1BB4"/>
    <w:rsid w:val="009A2628"/>
    <w:rsid w:val="009A3200"/>
    <w:rsid w:val="009B0897"/>
    <w:rsid w:val="009B3601"/>
    <w:rsid w:val="009B3FDE"/>
    <w:rsid w:val="009B7BD9"/>
    <w:rsid w:val="009C7DD5"/>
    <w:rsid w:val="009D1E7D"/>
    <w:rsid w:val="009E227D"/>
    <w:rsid w:val="009E3D93"/>
    <w:rsid w:val="009E5019"/>
    <w:rsid w:val="009E7812"/>
    <w:rsid w:val="009F2197"/>
    <w:rsid w:val="00A043B3"/>
    <w:rsid w:val="00A0470B"/>
    <w:rsid w:val="00A04F1B"/>
    <w:rsid w:val="00A0501B"/>
    <w:rsid w:val="00A14947"/>
    <w:rsid w:val="00A2013E"/>
    <w:rsid w:val="00A21A3C"/>
    <w:rsid w:val="00A30D0F"/>
    <w:rsid w:val="00A32A83"/>
    <w:rsid w:val="00A368DB"/>
    <w:rsid w:val="00A406B8"/>
    <w:rsid w:val="00A423AA"/>
    <w:rsid w:val="00A43858"/>
    <w:rsid w:val="00A46521"/>
    <w:rsid w:val="00A46880"/>
    <w:rsid w:val="00A4720C"/>
    <w:rsid w:val="00A5045F"/>
    <w:rsid w:val="00A53EC6"/>
    <w:rsid w:val="00A55C0F"/>
    <w:rsid w:val="00A64DBA"/>
    <w:rsid w:val="00A67721"/>
    <w:rsid w:val="00A809C4"/>
    <w:rsid w:val="00A82092"/>
    <w:rsid w:val="00A82B76"/>
    <w:rsid w:val="00A85159"/>
    <w:rsid w:val="00A85707"/>
    <w:rsid w:val="00A86F12"/>
    <w:rsid w:val="00A8713F"/>
    <w:rsid w:val="00A90BA1"/>
    <w:rsid w:val="00A90C66"/>
    <w:rsid w:val="00A91413"/>
    <w:rsid w:val="00A97A9A"/>
    <w:rsid w:val="00AA0671"/>
    <w:rsid w:val="00AA10CA"/>
    <w:rsid w:val="00AA2531"/>
    <w:rsid w:val="00AA3689"/>
    <w:rsid w:val="00AA40F0"/>
    <w:rsid w:val="00AA766B"/>
    <w:rsid w:val="00AB1E09"/>
    <w:rsid w:val="00AB2B05"/>
    <w:rsid w:val="00AB4008"/>
    <w:rsid w:val="00AB5330"/>
    <w:rsid w:val="00AB5415"/>
    <w:rsid w:val="00AB7747"/>
    <w:rsid w:val="00AB7E24"/>
    <w:rsid w:val="00AC02A1"/>
    <w:rsid w:val="00AC04DA"/>
    <w:rsid w:val="00AC0DFB"/>
    <w:rsid w:val="00AC14CE"/>
    <w:rsid w:val="00AC1F7C"/>
    <w:rsid w:val="00AC2A56"/>
    <w:rsid w:val="00AC3DC1"/>
    <w:rsid w:val="00AC6743"/>
    <w:rsid w:val="00AD055E"/>
    <w:rsid w:val="00AD2182"/>
    <w:rsid w:val="00AD42FB"/>
    <w:rsid w:val="00AD47A7"/>
    <w:rsid w:val="00AD68FF"/>
    <w:rsid w:val="00AE3B07"/>
    <w:rsid w:val="00AE636D"/>
    <w:rsid w:val="00AF0CBF"/>
    <w:rsid w:val="00AF0CF6"/>
    <w:rsid w:val="00AF257F"/>
    <w:rsid w:val="00AF2A23"/>
    <w:rsid w:val="00AF33CF"/>
    <w:rsid w:val="00AF4D50"/>
    <w:rsid w:val="00AF6179"/>
    <w:rsid w:val="00B04C2B"/>
    <w:rsid w:val="00B1295A"/>
    <w:rsid w:val="00B16751"/>
    <w:rsid w:val="00B20A45"/>
    <w:rsid w:val="00B20E78"/>
    <w:rsid w:val="00B22295"/>
    <w:rsid w:val="00B22C5C"/>
    <w:rsid w:val="00B2333B"/>
    <w:rsid w:val="00B24BAD"/>
    <w:rsid w:val="00B24F30"/>
    <w:rsid w:val="00B27AE3"/>
    <w:rsid w:val="00B3129A"/>
    <w:rsid w:val="00B31ABF"/>
    <w:rsid w:val="00B32867"/>
    <w:rsid w:val="00B33BE3"/>
    <w:rsid w:val="00B44D0A"/>
    <w:rsid w:val="00B53B5D"/>
    <w:rsid w:val="00B6055E"/>
    <w:rsid w:val="00B6317D"/>
    <w:rsid w:val="00B660FB"/>
    <w:rsid w:val="00B7723F"/>
    <w:rsid w:val="00B80534"/>
    <w:rsid w:val="00B81D10"/>
    <w:rsid w:val="00B82233"/>
    <w:rsid w:val="00B8433C"/>
    <w:rsid w:val="00B84608"/>
    <w:rsid w:val="00B84658"/>
    <w:rsid w:val="00B87491"/>
    <w:rsid w:val="00B958DF"/>
    <w:rsid w:val="00B96E70"/>
    <w:rsid w:val="00BA0AEA"/>
    <w:rsid w:val="00BA2276"/>
    <w:rsid w:val="00BA248E"/>
    <w:rsid w:val="00BA29E9"/>
    <w:rsid w:val="00BA3319"/>
    <w:rsid w:val="00BA4FCA"/>
    <w:rsid w:val="00BA7142"/>
    <w:rsid w:val="00BB237C"/>
    <w:rsid w:val="00BB41A3"/>
    <w:rsid w:val="00BC0BA3"/>
    <w:rsid w:val="00BC2D7D"/>
    <w:rsid w:val="00BC32DC"/>
    <w:rsid w:val="00BC35B6"/>
    <w:rsid w:val="00BD1B51"/>
    <w:rsid w:val="00BD4596"/>
    <w:rsid w:val="00BD6BB2"/>
    <w:rsid w:val="00BE1405"/>
    <w:rsid w:val="00BE221C"/>
    <w:rsid w:val="00BE312D"/>
    <w:rsid w:val="00BE5CE6"/>
    <w:rsid w:val="00BF01AF"/>
    <w:rsid w:val="00BF1C20"/>
    <w:rsid w:val="00BF750F"/>
    <w:rsid w:val="00BF7552"/>
    <w:rsid w:val="00C10578"/>
    <w:rsid w:val="00C135BC"/>
    <w:rsid w:val="00C139A6"/>
    <w:rsid w:val="00C15724"/>
    <w:rsid w:val="00C15C95"/>
    <w:rsid w:val="00C1761F"/>
    <w:rsid w:val="00C252F9"/>
    <w:rsid w:val="00C2596A"/>
    <w:rsid w:val="00C26BF6"/>
    <w:rsid w:val="00C27537"/>
    <w:rsid w:val="00C328FE"/>
    <w:rsid w:val="00C33507"/>
    <w:rsid w:val="00C372DE"/>
    <w:rsid w:val="00C37734"/>
    <w:rsid w:val="00C4409D"/>
    <w:rsid w:val="00C44E72"/>
    <w:rsid w:val="00C45A06"/>
    <w:rsid w:val="00C45E90"/>
    <w:rsid w:val="00C47E5B"/>
    <w:rsid w:val="00C54937"/>
    <w:rsid w:val="00C55576"/>
    <w:rsid w:val="00C61E4B"/>
    <w:rsid w:val="00C6413B"/>
    <w:rsid w:val="00C64BFF"/>
    <w:rsid w:val="00C67210"/>
    <w:rsid w:val="00C704E9"/>
    <w:rsid w:val="00C71EB8"/>
    <w:rsid w:val="00C763C9"/>
    <w:rsid w:val="00C80057"/>
    <w:rsid w:val="00C82232"/>
    <w:rsid w:val="00C82913"/>
    <w:rsid w:val="00C84723"/>
    <w:rsid w:val="00C87E95"/>
    <w:rsid w:val="00C91FB2"/>
    <w:rsid w:val="00C94539"/>
    <w:rsid w:val="00C972B1"/>
    <w:rsid w:val="00C9765F"/>
    <w:rsid w:val="00CA2CCE"/>
    <w:rsid w:val="00CA43FD"/>
    <w:rsid w:val="00CA5E8C"/>
    <w:rsid w:val="00CA7EF8"/>
    <w:rsid w:val="00CB28AC"/>
    <w:rsid w:val="00CB6894"/>
    <w:rsid w:val="00CB70C2"/>
    <w:rsid w:val="00CC009E"/>
    <w:rsid w:val="00CC2614"/>
    <w:rsid w:val="00CC32C9"/>
    <w:rsid w:val="00CC489B"/>
    <w:rsid w:val="00CD1432"/>
    <w:rsid w:val="00CD2BCD"/>
    <w:rsid w:val="00CD3A4C"/>
    <w:rsid w:val="00CD469F"/>
    <w:rsid w:val="00CE0E0B"/>
    <w:rsid w:val="00CE10E9"/>
    <w:rsid w:val="00CE2910"/>
    <w:rsid w:val="00CE3049"/>
    <w:rsid w:val="00CE5393"/>
    <w:rsid w:val="00CF36BE"/>
    <w:rsid w:val="00CF494A"/>
    <w:rsid w:val="00CF6000"/>
    <w:rsid w:val="00CF6BAD"/>
    <w:rsid w:val="00D003F3"/>
    <w:rsid w:val="00D0364F"/>
    <w:rsid w:val="00D03C5F"/>
    <w:rsid w:val="00D06834"/>
    <w:rsid w:val="00D15746"/>
    <w:rsid w:val="00D15F0A"/>
    <w:rsid w:val="00D22129"/>
    <w:rsid w:val="00D22886"/>
    <w:rsid w:val="00D239A6"/>
    <w:rsid w:val="00D308ED"/>
    <w:rsid w:val="00D33727"/>
    <w:rsid w:val="00D33850"/>
    <w:rsid w:val="00D36D86"/>
    <w:rsid w:val="00D410C2"/>
    <w:rsid w:val="00D41228"/>
    <w:rsid w:val="00D428AA"/>
    <w:rsid w:val="00D42D84"/>
    <w:rsid w:val="00D43A54"/>
    <w:rsid w:val="00D457E8"/>
    <w:rsid w:val="00D45E46"/>
    <w:rsid w:val="00D467BE"/>
    <w:rsid w:val="00D47AF7"/>
    <w:rsid w:val="00D50A34"/>
    <w:rsid w:val="00D53A92"/>
    <w:rsid w:val="00D53EFA"/>
    <w:rsid w:val="00D56DED"/>
    <w:rsid w:val="00D64CD2"/>
    <w:rsid w:val="00D70DB8"/>
    <w:rsid w:val="00D75E35"/>
    <w:rsid w:val="00D84E3D"/>
    <w:rsid w:val="00D8535C"/>
    <w:rsid w:val="00D861B0"/>
    <w:rsid w:val="00D87FEE"/>
    <w:rsid w:val="00D94A7C"/>
    <w:rsid w:val="00D95896"/>
    <w:rsid w:val="00D967EB"/>
    <w:rsid w:val="00DA683D"/>
    <w:rsid w:val="00DA7655"/>
    <w:rsid w:val="00DB1BD4"/>
    <w:rsid w:val="00DB1D43"/>
    <w:rsid w:val="00DB2983"/>
    <w:rsid w:val="00DB702D"/>
    <w:rsid w:val="00DC08E6"/>
    <w:rsid w:val="00DC1257"/>
    <w:rsid w:val="00DC15C3"/>
    <w:rsid w:val="00DC3DC0"/>
    <w:rsid w:val="00DC5B2B"/>
    <w:rsid w:val="00DC64B6"/>
    <w:rsid w:val="00DD2868"/>
    <w:rsid w:val="00DD318D"/>
    <w:rsid w:val="00DE2BAD"/>
    <w:rsid w:val="00DE72F8"/>
    <w:rsid w:val="00DF0D6B"/>
    <w:rsid w:val="00DF2E12"/>
    <w:rsid w:val="00DF437E"/>
    <w:rsid w:val="00DF514A"/>
    <w:rsid w:val="00DF6690"/>
    <w:rsid w:val="00DF6804"/>
    <w:rsid w:val="00E0148C"/>
    <w:rsid w:val="00E0358D"/>
    <w:rsid w:val="00E04323"/>
    <w:rsid w:val="00E06354"/>
    <w:rsid w:val="00E06AF5"/>
    <w:rsid w:val="00E070A2"/>
    <w:rsid w:val="00E14B87"/>
    <w:rsid w:val="00E233D7"/>
    <w:rsid w:val="00E23872"/>
    <w:rsid w:val="00E2656A"/>
    <w:rsid w:val="00E30E2F"/>
    <w:rsid w:val="00E37FFC"/>
    <w:rsid w:val="00E41155"/>
    <w:rsid w:val="00E412D0"/>
    <w:rsid w:val="00E532BD"/>
    <w:rsid w:val="00E56322"/>
    <w:rsid w:val="00E60982"/>
    <w:rsid w:val="00E62C62"/>
    <w:rsid w:val="00E654C1"/>
    <w:rsid w:val="00E65D97"/>
    <w:rsid w:val="00E72A5A"/>
    <w:rsid w:val="00E73354"/>
    <w:rsid w:val="00E749FC"/>
    <w:rsid w:val="00E765D4"/>
    <w:rsid w:val="00E8114D"/>
    <w:rsid w:val="00E91EC8"/>
    <w:rsid w:val="00E9242D"/>
    <w:rsid w:val="00E95BE1"/>
    <w:rsid w:val="00EA0DA8"/>
    <w:rsid w:val="00EA366D"/>
    <w:rsid w:val="00EB1838"/>
    <w:rsid w:val="00EB5255"/>
    <w:rsid w:val="00EB5C47"/>
    <w:rsid w:val="00EB62FB"/>
    <w:rsid w:val="00EC4861"/>
    <w:rsid w:val="00EC4955"/>
    <w:rsid w:val="00EC7D71"/>
    <w:rsid w:val="00ED0639"/>
    <w:rsid w:val="00ED751A"/>
    <w:rsid w:val="00EE1244"/>
    <w:rsid w:val="00EE4D94"/>
    <w:rsid w:val="00EF3AC3"/>
    <w:rsid w:val="00EF4755"/>
    <w:rsid w:val="00EF4DFA"/>
    <w:rsid w:val="00EF7135"/>
    <w:rsid w:val="00EF7342"/>
    <w:rsid w:val="00F027DB"/>
    <w:rsid w:val="00F02C68"/>
    <w:rsid w:val="00F11A88"/>
    <w:rsid w:val="00F138A6"/>
    <w:rsid w:val="00F14A7A"/>
    <w:rsid w:val="00F22985"/>
    <w:rsid w:val="00F30E09"/>
    <w:rsid w:val="00F325FB"/>
    <w:rsid w:val="00F3383E"/>
    <w:rsid w:val="00F34295"/>
    <w:rsid w:val="00F44B1D"/>
    <w:rsid w:val="00F46082"/>
    <w:rsid w:val="00F463B3"/>
    <w:rsid w:val="00F465A7"/>
    <w:rsid w:val="00F46FF5"/>
    <w:rsid w:val="00F50243"/>
    <w:rsid w:val="00F5028E"/>
    <w:rsid w:val="00F50B7C"/>
    <w:rsid w:val="00F550E6"/>
    <w:rsid w:val="00F55663"/>
    <w:rsid w:val="00F650FE"/>
    <w:rsid w:val="00F67796"/>
    <w:rsid w:val="00F74345"/>
    <w:rsid w:val="00F80A0A"/>
    <w:rsid w:val="00F82B19"/>
    <w:rsid w:val="00F82C68"/>
    <w:rsid w:val="00F84F31"/>
    <w:rsid w:val="00F85FB6"/>
    <w:rsid w:val="00F9212D"/>
    <w:rsid w:val="00F9257A"/>
    <w:rsid w:val="00F92BA6"/>
    <w:rsid w:val="00F93CA3"/>
    <w:rsid w:val="00F956A3"/>
    <w:rsid w:val="00F965DA"/>
    <w:rsid w:val="00FA0CD0"/>
    <w:rsid w:val="00FA406A"/>
    <w:rsid w:val="00FA4901"/>
    <w:rsid w:val="00FB1DB9"/>
    <w:rsid w:val="00FB3858"/>
    <w:rsid w:val="00FB4CD2"/>
    <w:rsid w:val="00FB4EAF"/>
    <w:rsid w:val="00FB503A"/>
    <w:rsid w:val="00FB516C"/>
    <w:rsid w:val="00FC06C9"/>
    <w:rsid w:val="00FC2942"/>
    <w:rsid w:val="00FD0236"/>
    <w:rsid w:val="00FD18F4"/>
    <w:rsid w:val="00FD1D0D"/>
    <w:rsid w:val="00FD54DB"/>
    <w:rsid w:val="00FD619F"/>
    <w:rsid w:val="00FD675D"/>
    <w:rsid w:val="00FD7BD1"/>
    <w:rsid w:val="00FE298B"/>
    <w:rsid w:val="00FE2CA8"/>
    <w:rsid w:val="00FE653B"/>
    <w:rsid w:val="00FE6D91"/>
    <w:rsid w:val="00FF3166"/>
    <w:rsid w:val="00FF3975"/>
    <w:rsid w:val="00FF5CF8"/>
    <w:rsid w:val="010D2567"/>
    <w:rsid w:val="011D3567"/>
    <w:rsid w:val="01290F7E"/>
    <w:rsid w:val="012E7F2F"/>
    <w:rsid w:val="015362E5"/>
    <w:rsid w:val="015C3825"/>
    <w:rsid w:val="015D1E09"/>
    <w:rsid w:val="01A06AB1"/>
    <w:rsid w:val="01BE60DB"/>
    <w:rsid w:val="0208326D"/>
    <w:rsid w:val="02197135"/>
    <w:rsid w:val="0236026A"/>
    <w:rsid w:val="0244004F"/>
    <w:rsid w:val="02594E9F"/>
    <w:rsid w:val="02697903"/>
    <w:rsid w:val="027F667C"/>
    <w:rsid w:val="028C11CF"/>
    <w:rsid w:val="02BC5CE4"/>
    <w:rsid w:val="02CD1D47"/>
    <w:rsid w:val="02F9533B"/>
    <w:rsid w:val="02F96569"/>
    <w:rsid w:val="0316176C"/>
    <w:rsid w:val="031C1A4E"/>
    <w:rsid w:val="03406652"/>
    <w:rsid w:val="038D108A"/>
    <w:rsid w:val="039B32EB"/>
    <w:rsid w:val="03D07BE7"/>
    <w:rsid w:val="03EA7B21"/>
    <w:rsid w:val="03F72F0E"/>
    <w:rsid w:val="041D6583"/>
    <w:rsid w:val="042C70D1"/>
    <w:rsid w:val="04613697"/>
    <w:rsid w:val="04676213"/>
    <w:rsid w:val="046F1448"/>
    <w:rsid w:val="047B2506"/>
    <w:rsid w:val="048E5273"/>
    <w:rsid w:val="04BD6284"/>
    <w:rsid w:val="04F06046"/>
    <w:rsid w:val="0501109B"/>
    <w:rsid w:val="050C686B"/>
    <w:rsid w:val="051648B6"/>
    <w:rsid w:val="05186C89"/>
    <w:rsid w:val="051F3877"/>
    <w:rsid w:val="052C79DA"/>
    <w:rsid w:val="05657B0D"/>
    <w:rsid w:val="056D2C74"/>
    <w:rsid w:val="05810F91"/>
    <w:rsid w:val="058F4688"/>
    <w:rsid w:val="059E3096"/>
    <w:rsid w:val="05AB1EFD"/>
    <w:rsid w:val="05B4328F"/>
    <w:rsid w:val="05B91C9A"/>
    <w:rsid w:val="05DE5B5B"/>
    <w:rsid w:val="05E42C76"/>
    <w:rsid w:val="05F319A2"/>
    <w:rsid w:val="05F83EAE"/>
    <w:rsid w:val="06225EB0"/>
    <w:rsid w:val="063E7D85"/>
    <w:rsid w:val="06617743"/>
    <w:rsid w:val="06686202"/>
    <w:rsid w:val="068A6122"/>
    <w:rsid w:val="06A56053"/>
    <w:rsid w:val="06C54CB0"/>
    <w:rsid w:val="07293586"/>
    <w:rsid w:val="07295285"/>
    <w:rsid w:val="0736782F"/>
    <w:rsid w:val="07483BBB"/>
    <w:rsid w:val="075A20B4"/>
    <w:rsid w:val="07636392"/>
    <w:rsid w:val="07770C56"/>
    <w:rsid w:val="07933915"/>
    <w:rsid w:val="07BD0A84"/>
    <w:rsid w:val="07C05BA3"/>
    <w:rsid w:val="07C52EDA"/>
    <w:rsid w:val="07C83A6A"/>
    <w:rsid w:val="07E87D5A"/>
    <w:rsid w:val="07F76928"/>
    <w:rsid w:val="07FF6608"/>
    <w:rsid w:val="08322B6F"/>
    <w:rsid w:val="087E15BA"/>
    <w:rsid w:val="087E47AE"/>
    <w:rsid w:val="08926B5B"/>
    <w:rsid w:val="08D15E17"/>
    <w:rsid w:val="08FD45A8"/>
    <w:rsid w:val="090B5352"/>
    <w:rsid w:val="092217DD"/>
    <w:rsid w:val="093A7294"/>
    <w:rsid w:val="094C0B91"/>
    <w:rsid w:val="09515BE2"/>
    <w:rsid w:val="09590524"/>
    <w:rsid w:val="09695EDF"/>
    <w:rsid w:val="09807948"/>
    <w:rsid w:val="09BB5525"/>
    <w:rsid w:val="0A0B50CF"/>
    <w:rsid w:val="0A0C17EE"/>
    <w:rsid w:val="0A1D34E8"/>
    <w:rsid w:val="0A1E3055"/>
    <w:rsid w:val="0A263993"/>
    <w:rsid w:val="0A2D3AC2"/>
    <w:rsid w:val="0A3E299B"/>
    <w:rsid w:val="0A454ACB"/>
    <w:rsid w:val="0A692EE2"/>
    <w:rsid w:val="0A727F1C"/>
    <w:rsid w:val="0A7F2198"/>
    <w:rsid w:val="0AA755DF"/>
    <w:rsid w:val="0AF74759"/>
    <w:rsid w:val="0B064401"/>
    <w:rsid w:val="0B120D44"/>
    <w:rsid w:val="0B277053"/>
    <w:rsid w:val="0B37728E"/>
    <w:rsid w:val="0B436404"/>
    <w:rsid w:val="0B6311D8"/>
    <w:rsid w:val="0B99221B"/>
    <w:rsid w:val="0BD27BF6"/>
    <w:rsid w:val="0BD54F95"/>
    <w:rsid w:val="0BFB4F13"/>
    <w:rsid w:val="0C257D42"/>
    <w:rsid w:val="0C3B3C7D"/>
    <w:rsid w:val="0C821657"/>
    <w:rsid w:val="0C9B0B3F"/>
    <w:rsid w:val="0CAB2EAE"/>
    <w:rsid w:val="0CDF5260"/>
    <w:rsid w:val="0CE27D33"/>
    <w:rsid w:val="0CF34D93"/>
    <w:rsid w:val="0D0B442C"/>
    <w:rsid w:val="0D5E1CB9"/>
    <w:rsid w:val="0D621C7D"/>
    <w:rsid w:val="0D663D53"/>
    <w:rsid w:val="0D6C5DBD"/>
    <w:rsid w:val="0D9C031D"/>
    <w:rsid w:val="0DD03080"/>
    <w:rsid w:val="0DEA6796"/>
    <w:rsid w:val="0DF86C94"/>
    <w:rsid w:val="0E00346B"/>
    <w:rsid w:val="0E0A51B6"/>
    <w:rsid w:val="0E455FDA"/>
    <w:rsid w:val="0E561B7B"/>
    <w:rsid w:val="0E73034D"/>
    <w:rsid w:val="0E7D2A40"/>
    <w:rsid w:val="0EC549F0"/>
    <w:rsid w:val="0EDE22CF"/>
    <w:rsid w:val="0EE84BDB"/>
    <w:rsid w:val="0EF3794E"/>
    <w:rsid w:val="0EFB4EE3"/>
    <w:rsid w:val="0F0D6134"/>
    <w:rsid w:val="0F13775A"/>
    <w:rsid w:val="0F4E7F38"/>
    <w:rsid w:val="0F5F45FE"/>
    <w:rsid w:val="0F9259BF"/>
    <w:rsid w:val="0F9A112B"/>
    <w:rsid w:val="0FD05CBC"/>
    <w:rsid w:val="0FD20B69"/>
    <w:rsid w:val="0FD5160C"/>
    <w:rsid w:val="0FE84160"/>
    <w:rsid w:val="0FEE282E"/>
    <w:rsid w:val="0FEF2E42"/>
    <w:rsid w:val="0FFB538D"/>
    <w:rsid w:val="0FFC3CD5"/>
    <w:rsid w:val="0FFF3E52"/>
    <w:rsid w:val="10036F74"/>
    <w:rsid w:val="101907A5"/>
    <w:rsid w:val="1056071C"/>
    <w:rsid w:val="106D2F64"/>
    <w:rsid w:val="10763ED6"/>
    <w:rsid w:val="107D7825"/>
    <w:rsid w:val="10961B97"/>
    <w:rsid w:val="10B63710"/>
    <w:rsid w:val="10B82665"/>
    <w:rsid w:val="10C27CBF"/>
    <w:rsid w:val="10E25B27"/>
    <w:rsid w:val="10E62FBE"/>
    <w:rsid w:val="10F10820"/>
    <w:rsid w:val="10F2730C"/>
    <w:rsid w:val="10F85D18"/>
    <w:rsid w:val="111C2F7A"/>
    <w:rsid w:val="111E4DF7"/>
    <w:rsid w:val="11247925"/>
    <w:rsid w:val="11543174"/>
    <w:rsid w:val="11547950"/>
    <w:rsid w:val="115D4462"/>
    <w:rsid w:val="11665CA1"/>
    <w:rsid w:val="116814E9"/>
    <w:rsid w:val="11746912"/>
    <w:rsid w:val="11B419F2"/>
    <w:rsid w:val="11C63079"/>
    <w:rsid w:val="11DD1A47"/>
    <w:rsid w:val="12170AB5"/>
    <w:rsid w:val="123079C7"/>
    <w:rsid w:val="1246500F"/>
    <w:rsid w:val="124D4840"/>
    <w:rsid w:val="1256368A"/>
    <w:rsid w:val="126A305A"/>
    <w:rsid w:val="1280550B"/>
    <w:rsid w:val="1293502C"/>
    <w:rsid w:val="1295628B"/>
    <w:rsid w:val="12CE61E9"/>
    <w:rsid w:val="12D4133F"/>
    <w:rsid w:val="12EF70B7"/>
    <w:rsid w:val="13030382"/>
    <w:rsid w:val="132821DF"/>
    <w:rsid w:val="133879D8"/>
    <w:rsid w:val="135366B2"/>
    <w:rsid w:val="135A092D"/>
    <w:rsid w:val="136776C2"/>
    <w:rsid w:val="13951726"/>
    <w:rsid w:val="140D1E54"/>
    <w:rsid w:val="140D6820"/>
    <w:rsid w:val="141111A1"/>
    <w:rsid w:val="14130CFA"/>
    <w:rsid w:val="14151024"/>
    <w:rsid w:val="142828EC"/>
    <w:rsid w:val="142D320B"/>
    <w:rsid w:val="142E657B"/>
    <w:rsid w:val="142F64CE"/>
    <w:rsid w:val="14396509"/>
    <w:rsid w:val="145037EC"/>
    <w:rsid w:val="1457163D"/>
    <w:rsid w:val="145956A7"/>
    <w:rsid w:val="14771AE8"/>
    <w:rsid w:val="14875AC4"/>
    <w:rsid w:val="148E49D9"/>
    <w:rsid w:val="14983CA8"/>
    <w:rsid w:val="14A904E3"/>
    <w:rsid w:val="14B33220"/>
    <w:rsid w:val="14B53822"/>
    <w:rsid w:val="14C93B55"/>
    <w:rsid w:val="14CD1AFB"/>
    <w:rsid w:val="14DD2C3C"/>
    <w:rsid w:val="14E61729"/>
    <w:rsid w:val="14FA1654"/>
    <w:rsid w:val="154E153E"/>
    <w:rsid w:val="154F0566"/>
    <w:rsid w:val="15A72150"/>
    <w:rsid w:val="15B15113"/>
    <w:rsid w:val="15BB04F2"/>
    <w:rsid w:val="15C92F35"/>
    <w:rsid w:val="15D84428"/>
    <w:rsid w:val="15E345AF"/>
    <w:rsid w:val="15E34ADD"/>
    <w:rsid w:val="16042C61"/>
    <w:rsid w:val="16087E1D"/>
    <w:rsid w:val="16114418"/>
    <w:rsid w:val="162D1651"/>
    <w:rsid w:val="1641005B"/>
    <w:rsid w:val="16596861"/>
    <w:rsid w:val="166A2428"/>
    <w:rsid w:val="16811E02"/>
    <w:rsid w:val="168766D3"/>
    <w:rsid w:val="16A20B69"/>
    <w:rsid w:val="16A97378"/>
    <w:rsid w:val="16B70AB9"/>
    <w:rsid w:val="16BC7AB2"/>
    <w:rsid w:val="16DA6555"/>
    <w:rsid w:val="16F66217"/>
    <w:rsid w:val="17011B1A"/>
    <w:rsid w:val="1712463A"/>
    <w:rsid w:val="171445EA"/>
    <w:rsid w:val="17701D14"/>
    <w:rsid w:val="17735226"/>
    <w:rsid w:val="178815D6"/>
    <w:rsid w:val="17A506E6"/>
    <w:rsid w:val="17C3523B"/>
    <w:rsid w:val="17C7264D"/>
    <w:rsid w:val="17CF167E"/>
    <w:rsid w:val="17DB6E52"/>
    <w:rsid w:val="17F76831"/>
    <w:rsid w:val="18146930"/>
    <w:rsid w:val="18511F7B"/>
    <w:rsid w:val="185F73B9"/>
    <w:rsid w:val="187A65F8"/>
    <w:rsid w:val="189F624C"/>
    <w:rsid w:val="18B65927"/>
    <w:rsid w:val="18D338DE"/>
    <w:rsid w:val="18DA698F"/>
    <w:rsid w:val="18DB1BF9"/>
    <w:rsid w:val="18DF0DA5"/>
    <w:rsid w:val="18E436BB"/>
    <w:rsid w:val="19607E2B"/>
    <w:rsid w:val="1976603E"/>
    <w:rsid w:val="197F725C"/>
    <w:rsid w:val="19800DE1"/>
    <w:rsid w:val="198658A3"/>
    <w:rsid w:val="19A37B14"/>
    <w:rsid w:val="19C313B0"/>
    <w:rsid w:val="19EB5CDE"/>
    <w:rsid w:val="19EF0B46"/>
    <w:rsid w:val="1A1C66C0"/>
    <w:rsid w:val="1A2B5C1B"/>
    <w:rsid w:val="1A2F3991"/>
    <w:rsid w:val="1A3D12D5"/>
    <w:rsid w:val="1A42393B"/>
    <w:rsid w:val="1A5D3911"/>
    <w:rsid w:val="1A626B37"/>
    <w:rsid w:val="1A6917BC"/>
    <w:rsid w:val="1AAD3C53"/>
    <w:rsid w:val="1AAD45DE"/>
    <w:rsid w:val="1AC91925"/>
    <w:rsid w:val="1ADB7B27"/>
    <w:rsid w:val="1AE95EE2"/>
    <w:rsid w:val="1AF43E63"/>
    <w:rsid w:val="1B046F80"/>
    <w:rsid w:val="1B3267B5"/>
    <w:rsid w:val="1B40161D"/>
    <w:rsid w:val="1B441859"/>
    <w:rsid w:val="1B455DB9"/>
    <w:rsid w:val="1B557777"/>
    <w:rsid w:val="1B6606B1"/>
    <w:rsid w:val="1B7023E5"/>
    <w:rsid w:val="1B78061A"/>
    <w:rsid w:val="1B807776"/>
    <w:rsid w:val="1B8D068C"/>
    <w:rsid w:val="1BBF5AB4"/>
    <w:rsid w:val="1BC81072"/>
    <w:rsid w:val="1BDF4C3E"/>
    <w:rsid w:val="1BF53319"/>
    <w:rsid w:val="1C14577E"/>
    <w:rsid w:val="1C1B0C1E"/>
    <w:rsid w:val="1C300B24"/>
    <w:rsid w:val="1C3D4899"/>
    <w:rsid w:val="1C5E7925"/>
    <w:rsid w:val="1C9402D7"/>
    <w:rsid w:val="1CB03FE0"/>
    <w:rsid w:val="1CBB5E7C"/>
    <w:rsid w:val="1CD168B9"/>
    <w:rsid w:val="1CDA2C44"/>
    <w:rsid w:val="1CDF171D"/>
    <w:rsid w:val="1CE02FF7"/>
    <w:rsid w:val="1CEF2AEC"/>
    <w:rsid w:val="1CFD070F"/>
    <w:rsid w:val="1D3A7820"/>
    <w:rsid w:val="1D5A471C"/>
    <w:rsid w:val="1D5F6196"/>
    <w:rsid w:val="1D600184"/>
    <w:rsid w:val="1D6132A5"/>
    <w:rsid w:val="1D8978C9"/>
    <w:rsid w:val="1D8E56D5"/>
    <w:rsid w:val="1DD738CA"/>
    <w:rsid w:val="1DDA4DD3"/>
    <w:rsid w:val="1DEC54EC"/>
    <w:rsid w:val="1E0719B9"/>
    <w:rsid w:val="1E154B6E"/>
    <w:rsid w:val="1E236CB8"/>
    <w:rsid w:val="1E532111"/>
    <w:rsid w:val="1E53445F"/>
    <w:rsid w:val="1E575C3F"/>
    <w:rsid w:val="1E6E1B21"/>
    <w:rsid w:val="1E6F4A36"/>
    <w:rsid w:val="1E7A43DA"/>
    <w:rsid w:val="1E7B0407"/>
    <w:rsid w:val="1E847484"/>
    <w:rsid w:val="1E9A54E7"/>
    <w:rsid w:val="1EA023E2"/>
    <w:rsid w:val="1EB30969"/>
    <w:rsid w:val="1ECD4111"/>
    <w:rsid w:val="1F1A7A2A"/>
    <w:rsid w:val="1F206DAC"/>
    <w:rsid w:val="1F3902A8"/>
    <w:rsid w:val="1F43738D"/>
    <w:rsid w:val="1F4D7E53"/>
    <w:rsid w:val="1F5A6CC9"/>
    <w:rsid w:val="1F68291D"/>
    <w:rsid w:val="1F6E6694"/>
    <w:rsid w:val="1F793E4D"/>
    <w:rsid w:val="1F826CB0"/>
    <w:rsid w:val="1F8518DF"/>
    <w:rsid w:val="1FA10841"/>
    <w:rsid w:val="1FA63478"/>
    <w:rsid w:val="1FB74DC5"/>
    <w:rsid w:val="1FE279D7"/>
    <w:rsid w:val="1FE7539E"/>
    <w:rsid w:val="1FEC5D23"/>
    <w:rsid w:val="201D5B66"/>
    <w:rsid w:val="20204458"/>
    <w:rsid w:val="203C28AD"/>
    <w:rsid w:val="20436F19"/>
    <w:rsid w:val="20671BE0"/>
    <w:rsid w:val="20715EEC"/>
    <w:rsid w:val="20875104"/>
    <w:rsid w:val="20963CB8"/>
    <w:rsid w:val="20A81A1B"/>
    <w:rsid w:val="20B07FB6"/>
    <w:rsid w:val="20B646FB"/>
    <w:rsid w:val="21022930"/>
    <w:rsid w:val="21050A76"/>
    <w:rsid w:val="210C5F09"/>
    <w:rsid w:val="2113114F"/>
    <w:rsid w:val="213B74B1"/>
    <w:rsid w:val="215418C4"/>
    <w:rsid w:val="215A2310"/>
    <w:rsid w:val="217E19F0"/>
    <w:rsid w:val="21C67DF7"/>
    <w:rsid w:val="21C92EA9"/>
    <w:rsid w:val="21DE318A"/>
    <w:rsid w:val="21EF5B80"/>
    <w:rsid w:val="2216040E"/>
    <w:rsid w:val="221E4674"/>
    <w:rsid w:val="22296969"/>
    <w:rsid w:val="223812E0"/>
    <w:rsid w:val="223C5F2B"/>
    <w:rsid w:val="224C01B0"/>
    <w:rsid w:val="22525B39"/>
    <w:rsid w:val="22576990"/>
    <w:rsid w:val="226752BB"/>
    <w:rsid w:val="229C3962"/>
    <w:rsid w:val="22AC7528"/>
    <w:rsid w:val="22AF0896"/>
    <w:rsid w:val="22B4697D"/>
    <w:rsid w:val="22F47480"/>
    <w:rsid w:val="22FE386D"/>
    <w:rsid w:val="230C16F6"/>
    <w:rsid w:val="232C0139"/>
    <w:rsid w:val="233452CF"/>
    <w:rsid w:val="236E24FF"/>
    <w:rsid w:val="236F3E55"/>
    <w:rsid w:val="23942F3E"/>
    <w:rsid w:val="239C4B03"/>
    <w:rsid w:val="23A346F0"/>
    <w:rsid w:val="23AD2366"/>
    <w:rsid w:val="23DE1C48"/>
    <w:rsid w:val="23EC6CCA"/>
    <w:rsid w:val="240210CD"/>
    <w:rsid w:val="24137F00"/>
    <w:rsid w:val="243C0F8A"/>
    <w:rsid w:val="244C2893"/>
    <w:rsid w:val="24532CE3"/>
    <w:rsid w:val="247A6FCF"/>
    <w:rsid w:val="24992932"/>
    <w:rsid w:val="249B1878"/>
    <w:rsid w:val="24A740E9"/>
    <w:rsid w:val="24A85EE5"/>
    <w:rsid w:val="24BF09F7"/>
    <w:rsid w:val="24C04FDC"/>
    <w:rsid w:val="250D738D"/>
    <w:rsid w:val="250E7A27"/>
    <w:rsid w:val="252734F0"/>
    <w:rsid w:val="252D53FE"/>
    <w:rsid w:val="254E5748"/>
    <w:rsid w:val="25934A98"/>
    <w:rsid w:val="25EC2D81"/>
    <w:rsid w:val="25FA5682"/>
    <w:rsid w:val="26052AF9"/>
    <w:rsid w:val="26205362"/>
    <w:rsid w:val="26276971"/>
    <w:rsid w:val="26310B08"/>
    <w:rsid w:val="263F2FF1"/>
    <w:rsid w:val="265B610B"/>
    <w:rsid w:val="265E2360"/>
    <w:rsid w:val="268D6116"/>
    <w:rsid w:val="268E101D"/>
    <w:rsid w:val="26B26772"/>
    <w:rsid w:val="26D660CC"/>
    <w:rsid w:val="27294E30"/>
    <w:rsid w:val="273E668C"/>
    <w:rsid w:val="274D0A8A"/>
    <w:rsid w:val="274F775C"/>
    <w:rsid w:val="27571B01"/>
    <w:rsid w:val="277057A2"/>
    <w:rsid w:val="277E1368"/>
    <w:rsid w:val="27852404"/>
    <w:rsid w:val="27C31C0D"/>
    <w:rsid w:val="27F37077"/>
    <w:rsid w:val="27F965C8"/>
    <w:rsid w:val="280B5C07"/>
    <w:rsid w:val="280E1A9B"/>
    <w:rsid w:val="280F1043"/>
    <w:rsid w:val="28243439"/>
    <w:rsid w:val="282C1679"/>
    <w:rsid w:val="283E1321"/>
    <w:rsid w:val="28546167"/>
    <w:rsid w:val="289E34AD"/>
    <w:rsid w:val="28A91203"/>
    <w:rsid w:val="29011F81"/>
    <w:rsid w:val="29206EB8"/>
    <w:rsid w:val="29283150"/>
    <w:rsid w:val="293B10D5"/>
    <w:rsid w:val="29427AD9"/>
    <w:rsid w:val="294C71E6"/>
    <w:rsid w:val="29595666"/>
    <w:rsid w:val="296B61DA"/>
    <w:rsid w:val="29874881"/>
    <w:rsid w:val="2993749F"/>
    <w:rsid w:val="29A6215B"/>
    <w:rsid w:val="29CE38A2"/>
    <w:rsid w:val="29E325E0"/>
    <w:rsid w:val="29E81B23"/>
    <w:rsid w:val="29EF136C"/>
    <w:rsid w:val="2A0F6C94"/>
    <w:rsid w:val="2A137600"/>
    <w:rsid w:val="2A2D448C"/>
    <w:rsid w:val="2A452503"/>
    <w:rsid w:val="2A701253"/>
    <w:rsid w:val="2A7E20DC"/>
    <w:rsid w:val="2AA513AF"/>
    <w:rsid w:val="2AB842B5"/>
    <w:rsid w:val="2ABE46FE"/>
    <w:rsid w:val="2AD404CE"/>
    <w:rsid w:val="2AD53FE9"/>
    <w:rsid w:val="2B117E48"/>
    <w:rsid w:val="2B37402B"/>
    <w:rsid w:val="2B395FB1"/>
    <w:rsid w:val="2B5D0AED"/>
    <w:rsid w:val="2B6D0C5C"/>
    <w:rsid w:val="2B9278F0"/>
    <w:rsid w:val="2BA936A8"/>
    <w:rsid w:val="2BAF0CEA"/>
    <w:rsid w:val="2BE36270"/>
    <w:rsid w:val="2BE9083C"/>
    <w:rsid w:val="2C0B2F25"/>
    <w:rsid w:val="2C315A5A"/>
    <w:rsid w:val="2C342A4F"/>
    <w:rsid w:val="2C3C763E"/>
    <w:rsid w:val="2C4B1C25"/>
    <w:rsid w:val="2C630C8C"/>
    <w:rsid w:val="2C791349"/>
    <w:rsid w:val="2C7A0167"/>
    <w:rsid w:val="2CCA0409"/>
    <w:rsid w:val="2CCA2DC1"/>
    <w:rsid w:val="2CEB3607"/>
    <w:rsid w:val="2D1F0A13"/>
    <w:rsid w:val="2D260695"/>
    <w:rsid w:val="2D3B2517"/>
    <w:rsid w:val="2D4D4B93"/>
    <w:rsid w:val="2D58504B"/>
    <w:rsid w:val="2D5B2147"/>
    <w:rsid w:val="2D9B2143"/>
    <w:rsid w:val="2D9C512F"/>
    <w:rsid w:val="2D9E56F5"/>
    <w:rsid w:val="2DC604B2"/>
    <w:rsid w:val="2DC87969"/>
    <w:rsid w:val="2E3E2D55"/>
    <w:rsid w:val="2E4D1ADA"/>
    <w:rsid w:val="2E667F96"/>
    <w:rsid w:val="2E702BF1"/>
    <w:rsid w:val="2E7E38D3"/>
    <w:rsid w:val="2E800218"/>
    <w:rsid w:val="2E8226AB"/>
    <w:rsid w:val="2EAB341E"/>
    <w:rsid w:val="2EB07AB5"/>
    <w:rsid w:val="2ECB1A5E"/>
    <w:rsid w:val="2EE458DF"/>
    <w:rsid w:val="2EE64EBE"/>
    <w:rsid w:val="2EEE2746"/>
    <w:rsid w:val="2EFB6F0F"/>
    <w:rsid w:val="2EFD530A"/>
    <w:rsid w:val="2F5021D1"/>
    <w:rsid w:val="2F53250B"/>
    <w:rsid w:val="2F8363E4"/>
    <w:rsid w:val="2F962207"/>
    <w:rsid w:val="2FBA0683"/>
    <w:rsid w:val="2FC81441"/>
    <w:rsid w:val="2FCF4325"/>
    <w:rsid w:val="2FD065E6"/>
    <w:rsid w:val="2FD96870"/>
    <w:rsid w:val="3005275B"/>
    <w:rsid w:val="3009659B"/>
    <w:rsid w:val="300C448F"/>
    <w:rsid w:val="30156693"/>
    <w:rsid w:val="30442EA2"/>
    <w:rsid w:val="30495F73"/>
    <w:rsid w:val="30580BC9"/>
    <w:rsid w:val="30906F8C"/>
    <w:rsid w:val="30C66FA8"/>
    <w:rsid w:val="30CB58DC"/>
    <w:rsid w:val="30E262DA"/>
    <w:rsid w:val="311E2ED7"/>
    <w:rsid w:val="315619EE"/>
    <w:rsid w:val="315947EF"/>
    <w:rsid w:val="315B3FF6"/>
    <w:rsid w:val="315C449C"/>
    <w:rsid w:val="31615451"/>
    <w:rsid w:val="3166515D"/>
    <w:rsid w:val="316F4D90"/>
    <w:rsid w:val="31745184"/>
    <w:rsid w:val="31B82709"/>
    <w:rsid w:val="31C32918"/>
    <w:rsid w:val="31CF037A"/>
    <w:rsid w:val="31D05482"/>
    <w:rsid w:val="3203373D"/>
    <w:rsid w:val="32400B34"/>
    <w:rsid w:val="324A7DBF"/>
    <w:rsid w:val="3251060C"/>
    <w:rsid w:val="329B2BE5"/>
    <w:rsid w:val="329E6876"/>
    <w:rsid w:val="32AD0988"/>
    <w:rsid w:val="32C30F17"/>
    <w:rsid w:val="32E1508F"/>
    <w:rsid w:val="330661EE"/>
    <w:rsid w:val="33072028"/>
    <w:rsid w:val="3308474D"/>
    <w:rsid w:val="331678D0"/>
    <w:rsid w:val="331A652E"/>
    <w:rsid w:val="331C6729"/>
    <w:rsid w:val="332B23A4"/>
    <w:rsid w:val="333015F2"/>
    <w:rsid w:val="334A4CB8"/>
    <w:rsid w:val="334B6320"/>
    <w:rsid w:val="334F38C3"/>
    <w:rsid w:val="33810E4F"/>
    <w:rsid w:val="338B67E9"/>
    <w:rsid w:val="33957ABA"/>
    <w:rsid w:val="33A1082B"/>
    <w:rsid w:val="33CA19D4"/>
    <w:rsid w:val="33D27F86"/>
    <w:rsid w:val="33D934D4"/>
    <w:rsid w:val="33DA1601"/>
    <w:rsid w:val="33E7371F"/>
    <w:rsid w:val="33F269B7"/>
    <w:rsid w:val="33FE2F6A"/>
    <w:rsid w:val="34056568"/>
    <w:rsid w:val="340E07E5"/>
    <w:rsid w:val="340E0A48"/>
    <w:rsid w:val="34235BF7"/>
    <w:rsid w:val="343454F0"/>
    <w:rsid w:val="34473BEA"/>
    <w:rsid w:val="34641581"/>
    <w:rsid w:val="34686A4A"/>
    <w:rsid w:val="34B65AB4"/>
    <w:rsid w:val="350031D3"/>
    <w:rsid w:val="35072585"/>
    <w:rsid w:val="352967BE"/>
    <w:rsid w:val="35327830"/>
    <w:rsid w:val="355A7873"/>
    <w:rsid w:val="356A2329"/>
    <w:rsid w:val="356C0DF8"/>
    <w:rsid w:val="357B16B9"/>
    <w:rsid w:val="358C5FA8"/>
    <w:rsid w:val="359E5021"/>
    <w:rsid w:val="359F6521"/>
    <w:rsid w:val="35A336AA"/>
    <w:rsid w:val="35C15DF1"/>
    <w:rsid w:val="35C4685D"/>
    <w:rsid w:val="35C74415"/>
    <w:rsid w:val="35D63ADE"/>
    <w:rsid w:val="36074A7F"/>
    <w:rsid w:val="36245EFB"/>
    <w:rsid w:val="363004D7"/>
    <w:rsid w:val="36305A75"/>
    <w:rsid w:val="3634554E"/>
    <w:rsid w:val="365C268B"/>
    <w:rsid w:val="36746365"/>
    <w:rsid w:val="367B2B54"/>
    <w:rsid w:val="36923549"/>
    <w:rsid w:val="3694155C"/>
    <w:rsid w:val="36B75FBF"/>
    <w:rsid w:val="36BD0C45"/>
    <w:rsid w:val="36EE12C6"/>
    <w:rsid w:val="370831D9"/>
    <w:rsid w:val="37313B18"/>
    <w:rsid w:val="377617CF"/>
    <w:rsid w:val="377852A8"/>
    <w:rsid w:val="3781400D"/>
    <w:rsid w:val="37C827C8"/>
    <w:rsid w:val="37DF5322"/>
    <w:rsid w:val="37E00298"/>
    <w:rsid w:val="37FA6492"/>
    <w:rsid w:val="380325DE"/>
    <w:rsid w:val="3830376C"/>
    <w:rsid w:val="38556782"/>
    <w:rsid w:val="385D661C"/>
    <w:rsid w:val="38740160"/>
    <w:rsid w:val="3877561D"/>
    <w:rsid w:val="38961514"/>
    <w:rsid w:val="38B302F9"/>
    <w:rsid w:val="38B83C50"/>
    <w:rsid w:val="38D45E32"/>
    <w:rsid w:val="38E514F8"/>
    <w:rsid w:val="38F12CD3"/>
    <w:rsid w:val="38F94775"/>
    <w:rsid w:val="39083A96"/>
    <w:rsid w:val="391D25A6"/>
    <w:rsid w:val="3928196B"/>
    <w:rsid w:val="392971ED"/>
    <w:rsid w:val="39325651"/>
    <w:rsid w:val="393A01F2"/>
    <w:rsid w:val="39460D6C"/>
    <w:rsid w:val="39553B87"/>
    <w:rsid w:val="39730417"/>
    <w:rsid w:val="398E0DAD"/>
    <w:rsid w:val="39A13B77"/>
    <w:rsid w:val="39B035E7"/>
    <w:rsid w:val="39C803A7"/>
    <w:rsid w:val="39D82A86"/>
    <w:rsid w:val="39F80E83"/>
    <w:rsid w:val="3A0C4467"/>
    <w:rsid w:val="3A0E1EEE"/>
    <w:rsid w:val="3A2853E8"/>
    <w:rsid w:val="3A610BAF"/>
    <w:rsid w:val="3A7270BD"/>
    <w:rsid w:val="3A832C4C"/>
    <w:rsid w:val="3A862D21"/>
    <w:rsid w:val="3A872856"/>
    <w:rsid w:val="3AA177D7"/>
    <w:rsid w:val="3AA82A06"/>
    <w:rsid w:val="3AAE3DD3"/>
    <w:rsid w:val="3AB64760"/>
    <w:rsid w:val="3AB908BF"/>
    <w:rsid w:val="3AE62BF4"/>
    <w:rsid w:val="3AF92745"/>
    <w:rsid w:val="3B052301"/>
    <w:rsid w:val="3B3763D1"/>
    <w:rsid w:val="3B694E61"/>
    <w:rsid w:val="3B762DEB"/>
    <w:rsid w:val="3B9528C7"/>
    <w:rsid w:val="3B9E412C"/>
    <w:rsid w:val="3BD142F7"/>
    <w:rsid w:val="3C1A5ED8"/>
    <w:rsid w:val="3C2A7C4E"/>
    <w:rsid w:val="3C2F6E1E"/>
    <w:rsid w:val="3C4F64BA"/>
    <w:rsid w:val="3C582E72"/>
    <w:rsid w:val="3C991533"/>
    <w:rsid w:val="3CC961A3"/>
    <w:rsid w:val="3CCD4687"/>
    <w:rsid w:val="3CDA245A"/>
    <w:rsid w:val="3CE55188"/>
    <w:rsid w:val="3CEE0084"/>
    <w:rsid w:val="3CFE624A"/>
    <w:rsid w:val="3D1E06B7"/>
    <w:rsid w:val="3D2C7C79"/>
    <w:rsid w:val="3D30777B"/>
    <w:rsid w:val="3D3B2FFA"/>
    <w:rsid w:val="3D41784E"/>
    <w:rsid w:val="3D6C7658"/>
    <w:rsid w:val="3D6F0EF6"/>
    <w:rsid w:val="3D9F2961"/>
    <w:rsid w:val="3DE16507"/>
    <w:rsid w:val="3DEF09C8"/>
    <w:rsid w:val="3DEF6665"/>
    <w:rsid w:val="3E051486"/>
    <w:rsid w:val="3E204D22"/>
    <w:rsid w:val="3E8B1910"/>
    <w:rsid w:val="3E8C33CA"/>
    <w:rsid w:val="3EA130E8"/>
    <w:rsid w:val="3EDA0523"/>
    <w:rsid w:val="3F0C3483"/>
    <w:rsid w:val="3F261A88"/>
    <w:rsid w:val="3F272846"/>
    <w:rsid w:val="3F2B04DA"/>
    <w:rsid w:val="3F8C3FE1"/>
    <w:rsid w:val="3F951281"/>
    <w:rsid w:val="3F9962B7"/>
    <w:rsid w:val="3FAD6D58"/>
    <w:rsid w:val="3FE61943"/>
    <w:rsid w:val="400D346A"/>
    <w:rsid w:val="400E5986"/>
    <w:rsid w:val="402A6423"/>
    <w:rsid w:val="40302AD4"/>
    <w:rsid w:val="403B18CF"/>
    <w:rsid w:val="40797A81"/>
    <w:rsid w:val="407A6407"/>
    <w:rsid w:val="407F1532"/>
    <w:rsid w:val="408A72F3"/>
    <w:rsid w:val="409C1244"/>
    <w:rsid w:val="40D8264E"/>
    <w:rsid w:val="413379CC"/>
    <w:rsid w:val="414B6773"/>
    <w:rsid w:val="415462D8"/>
    <w:rsid w:val="41560DC9"/>
    <w:rsid w:val="416661DF"/>
    <w:rsid w:val="41691595"/>
    <w:rsid w:val="418126F9"/>
    <w:rsid w:val="419E458F"/>
    <w:rsid w:val="41A81C7F"/>
    <w:rsid w:val="41C77705"/>
    <w:rsid w:val="41C82A9C"/>
    <w:rsid w:val="41D8347B"/>
    <w:rsid w:val="41FA70A1"/>
    <w:rsid w:val="4200449D"/>
    <w:rsid w:val="423A3BCC"/>
    <w:rsid w:val="42424E2B"/>
    <w:rsid w:val="424A5125"/>
    <w:rsid w:val="424E57D2"/>
    <w:rsid w:val="425301C7"/>
    <w:rsid w:val="426A1FE8"/>
    <w:rsid w:val="426A4434"/>
    <w:rsid w:val="42701998"/>
    <w:rsid w:val="427B7701"/>
    <w:rsid w:val="427F3FBA"/>
    <w:rsid w:val="428148EC"/>
    <w:rsid w:val="428354D4"/>
    <w:rsid w:val="42981DF1"/>
    <w:rsid w:val="42AE143E"/>
    <w:rsid w:val="42B26C49"/>
    <w:rsid w:val="42CE2249"/>
    <w:rsid w:val="42DB2268"/>
    <w:rsid w:val="42F93BBF"/>
    <w:rsid w:val="430462C1"/>
    <w:rsid w:val="432079DD"/>
    <w:rsid w:val="433A4D21"/>
    <w:rsid w:val="433A6FE6"/>
    <w:rsid w:val="433C4898"/>
    <w:rsid w:val="43426DBA"/>
    <w:rsid w:val="43480868"/>
    <w:rsid w:val="4350713C"/>
    <w:rsid w:val="436653E0"/>
    <w:rsid w:val="43754D8C"/>
    <w:rsid w:val="438F1573"/>
    <w:rsid w:val="43C11085"/>
    <w:rsid w:val="43C4431A"/>
    <w:rsid w:val="44510566"/>
    <w:rsid w:val="44A13DD9"/>
    <w:rsid w:val="44AB0740"/>
    <w:rsid w:val="44B9110C"/>
    <w:rsid w:val="44B951CC"/>
    <w:rsid w:val="44CD14E0"/>
    <w:rsid w:val="44E07E8F"/>
    <w:rsid w:val="44F13C88"/>
    <w:rsid w:val="44F20B0B"/>
    <w:rsid w:val="450750FD"/>
    <w:rsid w:val="450B213A"/>
    <w:rsid w:val="452E5F4C"/>
    <w:rsid w:val="455643A5"/>
    <w:rsid w:val="45612018"/>
    <w:rsid w:val="45681692"/>
    <w:rsid w:val="458946E9"/>
    <w:rsid w:val="45A47C0E"/>
    <w:rsid w:val="45AB0CA6"/>
    <w:rsid w:val="45B075BC"/>
    <w:rsid w:val="45B24076"/>
    <w:rsid w:val="45E42084"/>
    <w:rsid w:val="46391449"/>
    <w:rsid w:val="46577FD6"/>
    <w:rsid w:val="465A5F37"/>
    <w:rsid w:val="4668357C"/>
    <w:rsid w:val="467A169A"/>
    <w:rsid w:val="46D0693C"/>
    <w:rsid w:val="46D955A7"/>
    <w:rsid w:val="46E60575"/>
    <w:rsid w:val="46FB585D"/>
    <w:rsid w:val="47133957"/>
    <w:rsid w:val="473F5DDD"/>
    <w:rsid w:val="479308F7"/>
    <w:rsid w:val="47947D51"/>
    <w:rsid w:val="47A07E0C"/>
    <w:rsid w:val="47AB3034"/>
    <w:rsid w:val="47C34D5E"/>
    <w:rsid w:val="47D31779"/>
    <w:rsid w:val="47D95C63"/>
    <w:rsid w:val="47EC0C9B"/>
    <w:rsid w:val="47FB1D04"/>
    <w:rsid w:val="48052E83"/>
    <w:rsid w:val="481B6498"/>
    <w:rsid w:val="482A7B63"/>
    <w:rsid w:val="4870272E"/>
    <w:rsid w:val="4870619C"/>
    <w:rsid w:val="487727E0"/>
    <w:rsid w:val="488C78ED"/>
    <w:rsid w:val="48967C7F"/>
    <w:rsid w:val="48CB1B11"/>
    <w:rsid w:val="491356AB"/>
    <w:rsid w:val="49413083"/>
    <w:rsid w:val="49495C78"/>
    <w:rsid w:val="49600071"/>
    <w:rsid w:val="496966FB"/>
    <w:rsid w:val="498D616E"/>
    <w:rsid w:val="4994542E"/>
    <w:rsid w:val="49B12838"/>
    <w:rsid w:val="49B234B2"/>
    <w:rsid w:val="49B62968"/>
    <w:rsid w:val="49C368F6"/>
    <w:rsid w:val="49DC7715"/>
    <w:rsid w:val="49F01A5C"/>
    <w:rsid w:val="49F12F08"/>
    <w:rsid w:val="4A023139"/>
    <w:rsid w:val="4A060AC2"/>
    <w:rsid w:val="4A0C0D60"/>
    <w:rsid w:val="4A1A0BEB"/>
    <w:rsid w:val="4A4A0C4A"/>
    <w:rsid w:val="4A54641E"/>
    <w:rsid w:val="4A7917A4"/>
    <w:rsid w:val="4A7B576F"/>
    <w:rsid w:val="4AA153C5"/>
    <w:rsid w:val="4AE46AFE"/>
    <w:rsid w:val="4AED445D"/>
    <w:rsid w:val="4AF561A9"/>
    <w:rsid w:val="4AFD47B9"/>
    <w:rsid w:val="4B053197"/>
    <w:rsid w:val="4B313C8F"/>
    <w:rsid w:val="4B3B0653"/>
    <w:rsid w:val="4B6047F7"/>
    <w:rsid w:val="4B6060E3"/>
    <w:rsid w:val="4B677B2F"/>
    <w:rsid w:val="4B7270B9"/>
    <w:rsid w:val="4B7E729B"/>
    <w:rsid w:val="4BBA1AB2"/>
    <w:rsid w:val="4BBA2FE0"/>
    <w:rsid w:val="4BC114B6"/>
    <w:rsid w:val="4BD31332"/>
    <w:rsid w:val="4BE31C2C"/>
    <w:rsid w:val="4C101AF6"/>
    <w:rsid w:val="4C2E7045"/>
    <w:rsid w:val="4C4A0649"/>
    <w:rsid w:val="4C4A22F5"/>
    <w:rsid w:val="4C5638F4"/>
    <w:rsid w:val="4C7E5ECA"/>
    <w:rsid w:val="4C876AA5"/>
    <w:rsid w:val="4C951B56"/>
    <w:rsid w:val="4CAD2358"/>
    <w:rsid w:val="4CAE37E9"/>
    <w:rsid w:val="4CAF6E3E"/>
    <w:rsid w:val="4CB41283"/>
    <w:rsid w:val="4CC42755"/>
    <w:rsid w:val="4CC845C7"/>
    <w:rsid w:val="4CE97584"/>
    <w:rsid w:val="4CF84F02"/>
    <w:rsid w:val="4D076A76"/>
    <w:rsid w:val="4D0E00FB"/>
    <w:rsid w:val="4D176606"/>
    <w:rsid w:val="4D4328E9"/>
    <w:rsid w:val="4D562915"/>
    <w:rsid w:val="4D7734A6"/>
    <w:rsid w:val="4DD22777"/>
    <w:rsid w:val="4DEC4FB0"/>
    <w:rsid w:val="4E075D8A"/>
    <w:rsid w:val="4E0C7555"/>
    <w:rsid w:val="4E6A7A98"/>
    <w:rsid w:val="4EA2143E"/>
    <w:rsid w:val="4EA942B6"/>
    <w:rsid w:val="4EBC7ECD"/>
    <w:rsid w:val="4EC00FAD"/>
    <w:rsid w:val="4EC6425D"/>
    <w:rsid w:val="4EDF5CC1"/>
    <w:rsid w:val="4F0A10D5"/>
    <w:rsid w:val="4F2D11D1"/>
    <w:rsid w:val="4F2E723F"/>
    <w:rsid w:val="4F356F82"/>
    <w:rsid w:val="4F3A3C41"/>
    <w:rsid w:val="4F561F16"/>
    <w:rsid w:val="4F623634"/>
    <w:rsid w:val="4F667C39"/>
    <w:rsid w:val="4F8E0EAB"/>
    <w:rsid w:val="4F927A49"/>
    <w:rsid w:val="4F9843DC"/>
    <w:rsid w:val="4FBE4C3A"/>
    <w:rsid w:val="4FC62A8C"/>
    <w:rsid w:val="4FD86DCF"/>
    <w:rsid w:val="4FE20F0D"/>
    <w:rsid w:val="4FE51552"/>
    <w:rsid w:val="4FF765E6"/>
    <w:rsid w:val="4FF77255"/>
    <w:rsid w:val="5019551D"/>
    <w:rsid w:val="501D5216"/>
    <w:rsid w:val="503961AE"/>
    <w:rsid w:val="504035FD"/>
    <w:rsid w:val="50504C4B"/>
    <w:rsid w:val="505C5DC8"/>
    <w:rsid w:val="50646374"/>
    <w:rsid w:val="509C6E7C"/>
    <w:rsid w:val="50C11611"/>
    <w:rsid w:val="50CE45FF"/>
    <w:rsid w:val="50D22D11"/>
    <w:rsid w:val="50D63E8E"/>
    <w:rsid w:val="50EF70F3"/>
    <w:rsid w:val="50F109AA"/>
    <w:rsid w:val="50F57243"/>
    <w:rsid w:val="51095EE1"/>
    <w:rsid w:val="511E3CF0"/>
    <w:rsid w:val="51357007"/>
    <w:rsid w:val="5138706D"/>
    <w:rsid w:val="5162104E"/>
    <w:rsid w:val="51903A9A"/>
    <w:rsid w:val="5199324B"/>
    <w:rsid w:val="51A03069"/>
    <w:rsid w:val="51A34050"/>
    <w:rsid w:val="51F04B2A"/>
    <w:rsid w:val="51F61ED8"/>
    <w:rsid w:val="520E2F28"/>
    <w:rsid w:val="524F749D"/>
    <w:rsid w:val="5262469D"/>
    <w:rsid w:val="52637728"/>
    <w:rsid w:val="529835CD"/>
    <w:rsid w:val="52A52DDB"/>
    <w:rsid w:val="52B27FAB"/>
    <w:rsid w:val="52BF47A3"/>
    <w:rsid w:val="52C074A4"/>
    <w:rsid w:val="53075FF6"/>
    <w:rsid w:val="5323071A"/>
    <w:rsid w:val="53327FE5"/>
    <w:rsid w:val="5350270B"/>
    <w:rsid w:val="537843BE"/>
    <w:rsid w:val="539D0800"/>
    <w:rsid w:val="53A039CC"/>
    <w:rsid w:val="53A1505A"/>
    <w:rsid w:val="53A94D0A"/>
    <w:rsid w:val="53E00E85"/>
    <w:rsid w:val="53F02740"/>
    <w:rsid w:val="54063E08"/>
    <w:rsid w:val="543437E8"/>
    <w:rsid w:val="547225A4"/>
    <w:rsid w:val="54905ECA"/>
    <w:rsid w:val="54A16D07"/>
    <w:rsid w:val="54BE7B79"/>
    <w:rsid w:val="54C73289"/>
    <w:rsid w:val="54DC244F"/>
    <w:rsid w:val="54F00716"/>
    <w:rsid w:val="54F73313"/>
    <w:rsid w:val="54F80955"/>
    <w:rsid w:val="55121ACD"/>
    <w:rsid w:val="55355678"/>
    <w:rsid w:val="55505A66"/>
    <w:rsid w:val="555170A7"/>
    <w:rsid w:val="556F2BDE"/>
    <w:rsid w:val="556F6101"/>
    <w:rsid w:val="55865A9D"/>
    <w:rsid w:val="5587536D"/>
    <w:rsid w:val="55997C51"/>
    <w:rsid w:val="559B174B"/>
    <w:rsid w:val="55B66BE0"/>
    <w:rsid w:val="55B95FBB"/>
    <w:rsid w:val="55BE15B9"/>
    <w:rsid w:val="55CE0CF4"/>
    <w:rsid w:val="55F343F2"/>
    <w:rsid w:val="563E2661"/>
    <w:rsid w:val="56927848"/>
    <w:rsid w:val="56B22A9C"/>
    <w:rsid w:val="56B37C4A"/>
    <w:rsid w:val="56E42496"/>
    <w:rsid w:val="56F80F63"/>
    <w:rsid w:val="571D55EE"/>
    <w:rsid w:val="571F1D6D"/>
    <w:rsid w:val="573C48A5"/>
    <w:rsid w:val="57556307"/>
    <w:rsid w:val="57651833"/>
    <w:rsid w:val="5777368E"/>
    <w:rsid w:val="57815642"/>
    <w:rsid w:val="579A2739"/>
    <w:rsid w:val="57AF0BF6"/>
    <w:rsid w:val="57B72A76"/>
    <w:rsid w:val="57C3426C"/>
    <w:rsid w:val="57CC2946"/>
    <w:rsid w:val="57CE1F93"/>
    <w:rsid w:val="57E83896"/>
    <w:rsid w:val="57F3345E"/>
    <w:rsid w:val="57FA6C77"/>
    <w:rsid w:val="58473DF4"/>
    <w:rsid w:val="58525BDA"/>
    <w:rsid w:val="585B0D87"/>
    <w:rsid w:val="585E5583"/>
    <w:rsid w:val="588743D1"/>
    <w:rsid w:val="5887701A"/>
    <w:rsid w:val="58A02035"/>
    <w:rsid w:val="58A02BE6"/>
    <w:rsid w:val="58BA03C8"/>
    <w:rsid w:val="58C243E8"/>
    <w:rsid w:val="58C83E84"/>
    <w:rsid w:val="58DD2A95"/>
    <w:rsid w:val="59076754"/>
    <w:rsid w:val="59451AA6"/>
    <w:rsid w:val="595E23FD"/>
    <w:rsid w:val="596873A6"/>
    <w:rsid w:val="5972325C"/>
    <w:rsid w:val="5978263F"/>
    <w:rsid w:val="59800333"/>
    <w:rsid w:val="598303E1"/>
    <w:rsid w:val="598641F5"/>
    <w:rsid w:val="598D0C2A"/>
    <w:rsid w:val="599E46D2"/>
    <w:rsid w:val="59A02F42"/>
    <w:rsid w:val="59BF79B5"/>
    <w:rsid w:val="59C0439F"/>
    <w:rsid w:val="59F57394"/>
    <w:rsid w:val="5A0D2265"/>
    <w:rsid w:val="5A0E3B19"/>
    <w:rsid w:val="5A63288F"/>
    <w:rsid w:val="5A675B1A"/>
    <w:rsid w:val="5A89319F"/>
    <w:rsid w:val="5A8E4EF3"/>
    <w:rsid w:val="5A974254"/>
    <w:rsid w:val="5ABE2233"/>
    <w:rsid w:val="5AC849F0"/>
    <w:rsid w:val="5AD16C51"/>
    <w:rsid w:val="5AF32B8C"/>
    <w:rsid w:val="5B0906F0"/>
    <w:rsid w:val="5B1769FD"/>
    <w:rsid w:val="5B1B0D96"/>
    <w:rsid w:val="5B225EA9"/>
    <w:rsid w:val="5B8E0C68"/>
    <w:rsid w:val="5BB21069"/>
    <w:rsid w:val="5BB473A6"/>
    <w:rsid w:val="5BB536EA"/>
    <w:rsid w:val="5BD3063E"/>
    <w:rsid w:val="5BDF5D95"/>
    <w:rsid w:val="5BE44D0E"/>
    <w:rsid w:val="5BF441B5"/>
    <w:rsid w:val="5BFE7528"/>
    <w:rsid w:val="5C03773B"/>
    <w:rsid w:val="5C281CF6"/>
    <w:rsid w:val="5C3377CA"/>
    <w:rsid w:val="5C5237E5"/>
    <w:rsid w:val="5CA116F0"/>
    <w:rsid w:val="5CA379B1"/>
    <w:rsid w:val="5CC17870"/>
    <w:rsid w:val="5CC25537"/>
    <w:rsid w:val="5CCF4F82"/>
    <w:rsid w:val="5CED1CDE"/>
    <w:rsid w:val="5D2B302C"/>
    <w:rsid w:val="5D517622"/>
    <w:rsid w:val="5D5FA786"/>
    <w:rsid w:val="5D7A2B6E"/>
    <w:rsid w:val="5DBB3FB7"/>
    <w:rsid w:val="5DC86E46"/>
    <w:rsid w:val="5DD20FC5"/>
    <w:rsid w:val="5DEB306B"/>
    <w:rsid w:val="5E08087F"/>
    <w:rsid w:val="5E2467F1"/>
    <w:rsid w:val="5E3B3120"/>
    <w:rsid w:val="5E661400"/>
    <w:rsid w:val="5E7B71E3"/>
    <w:rsid w:val="5EED6212"/>
    <w:rsid w:val="5F1179BE"/>
    <w:rsid w:val="5F1A2B43"/>
    <w:rsid w:val="5F236395"/>
    <w:rsid w:val="5F2F6683"/>
    <w:rsid w:val="5F3F4774"/>
    <w:rsid w:val="5F64687E"/>
    <w:rsid w:val="5F8403D9"/>
    <w:rsid w:val="5F8D4DD6"/>
    <w:rsid w:val="5FA60941"/>
    <w:rsid w:val="5FB837BB"/>
    <w:rsid w:val="5FD957FE"/>
    <w:rsid w:val="5FDD77CC"/>
    <w:rsid w:val="60A155AF"/>
    <w:rsid w:val="60A43A13"/>
    <w:rsid w:val="60C71BB7"/>
    <w:rsid w:val="60CC405A"/>
    <w:rsid w:val="610E2650"/>
    <w:rsid w:val="61311B18"/>
    <w:rsid w:val="61327D3C"/>
    <w:rsid w:val="61493149"/>
    <w:rsid w:val="615D490A"/>
    <w:rsid w:val="61635A72"/>
    <w:rsid w:val="617031F8"/>
    <w:rsid w:val="61CD2FA5"/>
    <w:rsid w:val="61E215D8"/>
    <w:rsid w:val="61FD4FC0"/>
    <w:rsid w:val="621B3775"/>
    <w:rsid w:val="62364782"/>
    <w:rsid w:val="62387100"/>
    <w:rsid w:val="62541F76"/>
    <w:rsid w:val="62792928"/>
    <w:rsid w:val="62815FEE"/>
    <w:rsid w:val="6289345A"/>
    <w:rsid w:val="628C1A7E"/>
    <w:rsid w:val="629C6F33"/>
    <w:rsid w:val="62B70824"/>
    <w:rsid w:val="62C4710D"/>
    <w:rsid w:val="62CA338D"/>
    <w:rsid w:val="62F34242"/>
    <w:rsid w:val="632F789E"/>
    <w:rsid w:val="63473BF7"/>
    <w:rsid w:val="637879E4"/>
    <w:rsid w:val="637A131E"/>
    <w:rsid w:val="63941F07"/>
    <w:rsid w:val="6394356A"/>
    <w:rsid w:val="63B55005"/>
    <w:rsid w:val="63C61B2C"/>
    <w:rsid w:val="63D40BE9"/>
    <w:rsid w:val="63E11E39"/>
    <w:rsid w:val="63E74D4D"/>
    <w:rsid w:val="63F40227"/>
    <w:rsid w:val="63F5184E"/>
    <w:rsid w:val="640709DA"/>
    <w:rsid w:val="64102431"/>
    <w:rsid w:val="64483F4E"/>
    <w:rsid w:val="64595A0D"/>
    <w:rsid w:val="646575E6"/>
    <w:rsid w:val="64964E36"/>
    <w:rsid w:val="64A5243A"/>
    <w:rsid w:val="64EC2586"/>
    <w:rsid w:val="64F531DE"/>
    <w:rsid w:val="65101981"/>
    <w:rsid w:val="651B715E"/>
    <w:rsid w:val="65261564"/>
    <w:rsid w:val="65373578"/>
    <w:rsid w:val="656539EC"/>
    <w:rsid w:val="65717F3B"/>
    <w:rsid w:val="658409F3"/>
    <w:rsid w:val="65A11BC2"/>
    <w:rsid w:val="65FE66EE"/>
    <w:rsid w:val="6611316D"/>
    <w:rsid w:val="666E0ED9"/>
    <w:rsid w:val="66A25B26"/>
    <w:rsid w:val="66E83AB0"/>
    <w:rsid w:val="671F124A"/>
    <w:rsid w:val="677A33C6"/>
    <w:rsid w:val="67984D88"/>
    <w:rsid w:val="679F0A21"/>
    <w:rsid w:val="67A31A19"/>
    <w:rsid w:val="67C648EF"/>
    <w:rsid w:val="67E41B42"/>
    <w:rsid w:val="68050526"/>
    <w:rsid w:val="681A743E"/>
    <w:rsid w:val="681F6961"/>
    <w:rsid w:val="682159E7"/>
    <w:rsid w:val="683635C9"/>
    <w:rsid w:val="683722F0"/>
    <w:rsid w:val="68610A2F"/>
    <w:rsid w:val="68636A50"/>
    <w:rsid w:val="68805514"/>
    <w:rsid w:val="688939CD"/>
    <w:rsid w:val="68A6025B"/>
    <w:rsid w:val="68CB0EA2"/>
    <w:rsid w:val="68D83DD9"/>
    <w:rsid w:val="68DC0D09"/>
    <w:rsid w:val="68F23993"/>
    <w:rsid w:val="68FE4AA2"/>
    <w:rsid w:val="6903652A"/>
    <w:rsid w:val="69296701"/>
    <w:rsid w:val="69316E2F"/>
    <w:rsid w:val="694E2071"/>
    <w:rsid w:val="69541656"/>
    <w:rsid w:val="696665A6"/>
    <w:rsid w:val="69766163"/>
    <w:rsid w:val="69783EBC"/>
    <w:rsid w:val="697A3B33"/>
    <w:rsid w:val="69A575AA"/>
    <w:rsid w:val="69B07FA5"/>
    <w:rsid w:val="69D44760"/>
    <w:rsid w:val="6A0E0112"/>
    <w:rsid w:val="6A1A32BB"/>
    <w:rsid w:val="6A520EC7"/>
    <w:rsid w:val="6A670120"/>
    <w:rsid w:val="6A6B7BFE"/>
    <w:rsid w:val="6AB311E3"/>
    <w:rsid w:val="6AB76474"/>
    <w:rsid w:val="6AC41FD2"/>
    <w:rsid w:val="6AF87E20"/>
    <w:rsid w:val="6B200646"/>
    <w:rsid w:val="6B2315B4"/>
    <w:rsid w:val="6B2F1B41"/>
    <w:rsid w:val="6B322639"/>
    <w:rsid w:val="6B335F4D"/>
    <w:rsid w:val="6B3B6738"/>
    <w:rsid w:val="6B4459D2"/>
    <w:rsid w:val="6B51528C"/>
    <w:rsid w:val="6B7825B0"/>
    <w:rsid w:val="6B8D7827"/>
    <w:rsid w:val="6B986D8A"/>
    <w:rsid w:val="6BAF4CC5"/>
    <w:rsid w:val="6BFE76F9"/>
    <w:rsid w:val="6C2551BD"/>
    <w:rsid w:val="6C2E15DA"/>
    <w:rsid w:val="6C4100DF"/>
    <w:rsid w:val="6C5F5790"/>
    <w:rsid w:val="6C636C38"/>
    <w:rsid w:val="6C910A69"/>
    <w:rsid w:val="6CA55B97"/>
    <w:rsid w:val="6CD7028E"/>
    <w:rsid w:val="6CE97113"/>
    <w:rsid w:val="6D087124"/>
    <w:rsid w:val="6D1E27C7"/>
    <w:rsid w:val="6D3A7CDB"/>
    <w:rsid w:val="6D3D430A"/>
    <w:rsid w:val="6D714C53"/>
    <w:rsid w:val="6D793C91"/>
    <w:rsid w:val="6DA57E98"/>
    <w:rsid w:val="6DB34098"/>
    <w:rsid w:val="6DB545B6"/>
    <w:rsid w:val="6DC927DA"/>
    <w:rsid w:val="6DD32F5E"/>
    <w:rsid w:val="6DDD5443"/>
    <w:rsid w:val="6DE02FB4"/>
    <w:rsid w:val="6DF45AF4"/>
    <w:rsid w:val="6E007519"/>
    <w:rsid w:val="6E072901"/>
    <w:rsid w:val="6E083B02"/>
    <w:rsid w:val="6E0B1BD4"/>
    <w:rsid w:val="6E164961"/>
    <w:rsid w:val="6E514CED"/>
    <w:rsid w:val="6E582CAD"/>
    <w:rsid w:val="6E6D248A"/>
    <w:rsid w:val="6EB36E9C"/>
    <w:rsid w:val="6EB563D5"/>
    <w:rsid w:val="6EC36E65"/>
    <w:rsid w:val="6ED92677"/>
    <w:rsid w:val="6F225983"/>
    <w:rsid w:val="6F3A13FD"/>
    <w:rsid w:val="6F5823D5"/>
    <w:rsid w:val="6F5D0D7D"/>
    <w:rsid w:val="6F901890"/>
    <w:rsid w:val="6F9D1F8A"/>
    <w:rsid w:val="6FB970B6"/>
    <w:rsid w:val="6FF816A7"/>
    <w:rsid w:val="6FF91370"/>
    <w:rsid w:val="6FFC5590"/>
    <w:rsid w:val="70172A04"/>
    <w:rsid w:val="706D1DD0"/>
    <w:rsid w:val="70856B87"/>
    <w:rsid w:val="708E2BE6"/>
    <w:rsid w:val="708F73B2"/>
    <w:rsid w:val="70D527EE"/>
    <w:rsid w:val="711B56E2"/>
    <w:rsid w:val="71494866"/>
    <w:rsid w:val="715B5300"/>
    <w:rsid w:val="715B5BB2"/>
    <w:rsid w:val="71931CC6"/>
    <w:rsid w:val="71977354"/>
    <w:rsid w:val="719A329B"/>
    <w:rsid w:val="71A10681"/>
    <w:rsid w:val="71BA49E3"/>
    <w:rsid w:val="71CC2C26"/>
    <w:rsid w:val="71D27F8A"/>
    <w:rsid w:val="71D33634"/>
    <w:rsid w:val="71E969B7"/>
    <w:rsid w:val="72190917"/>
    <w:rsid w:val="721F6993"/>
    <w:rsid w:val="7235643F"/>
    <w:rsid w:val="723F62B6"/>
    <w:rsid w:val="72553024"/>
    <w:rsid w:val="72783647"/>
    <w:rsid w:val="72A9352E"/>
    <w:rsid w:val="72D05428"/>
    <w:rsid w:val="72DE5E31"/>
    <w:rsid w:val="72F53670"/>
    <w:rsid w:val="7302595B"/>
    <w:rsid w:val="731158DA"/>
    <w:rsid w:val="73122968"/>
    <w:rsid w:val="731F5D5E"/>
    <w:rsid w:val="735165AF"/>
    <w:rsid w:val="735B6DB7"/>
    <w:rsid w:val="739410E6"/>
    <w:rsid w:val="73B15A52"/>
    <w:rsid w:val="73BD773A"/>
    <w:rsid w:val="73C51AD5"/>
    <w:rsid w:val="73E634FE"/>
    <w:rsid w:val="73F121C5"/>
    <w:rsid w:val="7401783B"/>
    <w:rsid w:val="74017AA4"/>
    <w:rsid w:val="740521F5"/>
    <w:rsid w:val="740A1757"/>
    <w:rsid w:val="741E793C"/>
    <w:rsid w:val="74306530"/>
    <w:rsid w:val="744252DE"/>
    <w:rsid w:val="74570758"/>
    <w:rsid w:val="745E3944"/>
    <w:rsid w:val="74981804"/>
    <w:rsid w:val="749A76B1"/>
    <w:rsid w:val="74C50E20"/>
    <w:rsid w:val="74DE709F"/>
    <w:rsid w:val="74FA5901"/>
    <w:rsid w:val="75125094"/>
    <w:rsid w:val="751C16A1"/>
    <w:rsid w:val="758E694E"/>
    <w:rsid w:val="759917AF"/>
    <w:rsid w:val="75B23A9A"/>
    <w:rsid w:val="75CF33F8"/>
    <w:rsid w:val="75F75F5A"/>
    <w:rsid w:val="760A3510"/>
    <w:rsid w:val="7635099D"/>
    <w:rsid w:val="76351890"/>
    <w:rsid w:val="76381739"/>
    <w:rsid w:val="763B022F"/>
    <w:rsid w:val="765E775A"/>
    <w:rsid w:val="768A0573"/>
    <w:rsid w:val="76B617CE"/>
    <w:rsid w:val="76E25CB9"/>
    <w:rsid w:val="76E70B18"/>
    <w:rsid w:val="76E952D5"/>
    <w:rsid w:val="76EC6B38"/>
    <w:rsid w:val="77232DEA"/>
    <w:rsid w:val="77484DCA"/>
    <w:rsid w:val="774B36EA"/>
    <w:rsid w:val="77540209"/>
    <w:rsid w:val="775441D1"/>
    <w:rsid w:val="775A469D"/>
    <w:rsid w:val="776264F1"/>
    <w:rsid w:val="77762421"/>
    <w:rsid w:val="77815FF7"/>
    <w:rsid w:val="77820BE3"/>
    <w:rsid w:val="77865B61"/>
    <w:rsid w:val="77AD591F"/>
    <w:rsid w:val="77B56B1F"/>
    <w:rsid w:val="77B87FA5"/>
    <w:rsid w:val="77C3731D"/>
    <w:rsid w:val="77E85225"/>
    <w:rsid w:val="77F959B0"/>
    <w:rsid w:val="780F09F4"/>
    <w:rsid w:val="78125D0C"/>
    <w:rsid w:val="78137AA0"/>
    <w:rsid w:val="78812B2A"/>
    <w:rsid w:val="78A90480"/>
    <w:rsid w:val="78B367B3"/>
    <w:rsid w:val="78BD44EC"/>
    <w:rsid w:val="78C13E6F"/>
    <w:rsid w:val="78C217B9"/>
    <w:rsid w:val="78CA1E86"/>
    <w:rsid w:val="79035269"/>
    <w:rsid w:val="790B1C1E"/>
    <w:rsid w:val="790F4D60"/>
    <w:rsid w:val="791906D8"/>
    <w:rsid w:val="7925567C"/>
    <w:rsid w:val="793B5CC2"/>
    <w:rsid w:val="79442AB7"/>
    <w:rsid w:val="79442C5B"/>
    <w:rsid w:val="79AC4DC7"/>
    <w:rsid w:val="79B50132"/>
    <w:rsid w:val="79C43137"/>
    <w:rsid w:val="79E01420"/>
    <w:rsid w:val="7A364017"/>
    <w:rsid w:val="7A414CEC"/>
    <w:rsid w:val="7A4B0019"/>
    <w:rsid w:val="7A502F2B"/>
    <w:rsid w:val="7A5E0A0C"/>
    <w:rsid w:val="7A80015D"/>
    <w:rsid w:val="7A8265E1"/>
    <w:rsid w:val="7A8E4AA5"/>
    <w:rsid w:val="7AAD1346"/>
    <w:rsid w:val="7AB43E11"/>
    <w:rsid w:val="7ABE5CE2"/>
    <w:rsid w:val="7AE35298"/>
    <w:rsid w:val="7AE41F54"/>
    <w:rsid w:val="7AF11448"/>
    <w:rsid w:val="7B131A18"/>
    <w:rsid w:val="7B231F9A"/>
    <w:rsid w:val="7B427F3E"/>
    <w:rsid w:val="7B484A87"/>
    <w:rsid w:val="7B686D42"/>
    <w:rsid w:val="7B841746"/>
    <w:rsid w:val="7BC87AE4"/>
    <w:rsid w:val="7BFC7555"/>
    <w:rsid w:val="7C1D6586"/>
    <w:rsid w:val="7C275A52"/>
    <w:rsid w:val="7C31561F"/>
    <w:rsid w:val="7C3C19FB"/>
    <w:rsid w:val="7C443333"/>
    <w:rsid w:val="7C4951DD"/>
    <w:rsid w:val="7C4B60AF"/>
    <w:rsid w:val="7C574A54"/>
    <w:rsid w:val="7C5C5BCE"/>
    <w:rsid w:val="7C6C5AC7"/>
    <w:rsid w:val="7C7F2833"/>
    <w:rsid w:val="7C8A469C"/>
    <w:rsid w:val="7C91404E"/>
    <w:rsid w:val="7C943A89"/>
    <w:rsid w:val="7CC6544B"/>
    <w:rsid w:val="7CDF0436"/>
    <w:rsid w:val="7D0239FF"/>
    <w:rsid w:val="7D2414FF"/>
    <w:rsid w:val="7D5E40CD"/>
    <w:rsid w:val="7D5F7D8B"/>
    <w:rsid w:val="7D60487E"/>
    <w:rsid w:val="7D6711EA"/>
    <w:rsid w:val="7D813D8D"/>
    <w:rsid w:val="7D8204C8"/>
    <w:rsid w:val="7D8E0416"/>
    <w:rsid w:val="7DCD56F2"/>
    <w:rsid w:val="7DEC026D"/>
    <w:rsid w:val="7E024F1F"/>
    <w:rsid w:val="7E1352F2"/>
    <w:rsid w:val="7E283CAB"/>
    <w:rsid w:val="7E304882"/>
    <w:rsid w:val="7E382F05"/>
    <w:rsid w:val="7E4B16A4"/>
    <w:rsid w:val="7E5D213B"/>
    <w:rsid w:val="7EBB102D"/>
    <w:rsid w:val="7EE922CD"/>
    <w:rsid w:val="7EEA1BAF"/>
    <w:rsid w:val="7F001CE7"/>
    <w:rsid w:val="7F10538E"/>
    <w:rsid w:val="7F106ACF"/>
    <w:rsid w:val="7F1E4011"/>
    <w:rsid w:val="7F376DBE"/>
    <w:rsid w:val="7F6122B1"/>
    <w:rsid w:val="7F836D5C"/>
    <w:rsid w:val="7FADF99F"/>
    <w:rsid w:val="7FE26B76"/>
    <w:rsid w:val="7FE47E50"/>
    <w:rsid w:val="DBFFB7EE"/>
    <w:rsid w:val="DFEF709B"/>
    <w:rsid w:val="EF8FC08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2"/>
      <o:rules v:ext="edit">
        <o:r id="V:Rule1" type="connector" idref="#_x0000_s2114"/>
        <o:r id="V:Rule2" type="connector" idref="#_x0000_s2527"/>
      </o:rules>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1"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nhideWhenUsed="0" w:uiPriority="1" w:semiHidden="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qFormat="1" w:unhideWhenUsed="0" w:uiPriority="0" w:semiHidden="0" w:name="toc 2" w:locked="1"/>
    <w:lsdException w:qFormat="1"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99"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qFormat="1"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qFormat="1" w:uiPriority="99"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99" w:semiHidden="0" w:name="Subtitle" w:locked="1"/>
    <w:lsdException w:unhideWhenUsed="0" w:uiPriority="0" w:semiHidden="0" w:name="Salutation" w:locked="1"/>
    <w:lsdException w:qFormat="1" w:unhideWhenUsed="0" w:uiPriority="0" w:semiHidden="0" w:name="Date"/>
    <w:lsdException w:qFormat="1" w:uiPriority="99" w:semiHidden="0" w:name="Body Text First Indent" w:locked="1"/>
    <w:lsdException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unhideWhenUsed="0" w:uiPriority="0" w:semiHidden="0" w:name="Block Text" w:locked="1"/>
    <w:lsdException w:qFormat="1" w:unhideWhenUsed="0" w:uiPriority="99"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qFormat="1" w:uiPriority="99"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3">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qFormat/>
    <w:locked/>
    <w:uiPriority w:val="1"/>
    <w:pPr>
      <w:spacing w:before="58"/>
      <w:ind w:left="479" w:right="480"/>
      <w:jc w:val="center"/>
      <w:outlineLvl w:val="1"/>
    </w:pPr>
    <w:rPr>
      <w:rFonts w:ascii="黑体" w:hAnsi="黑体" w:eastAsia="黑体" w:cs="黑体"/>
      <w:sz w:val="30"/>
      <w:szCs w:val="30"/>
    </w:rPr>
  </w:style>
  <w:style w:type="paragraph" w:styleId="2">
    <w:name w:val="heading 3"/>
    <w:basedOn w:val="1"/>
    <w:next w:val="1"/>
    <w:qFormat/>
    <w:locked/>
    <w:uiPriority w:val="0"/>
    <w:pPr>
      <w:keepNext/>
      <w:keepLines/>
      <w:spacing w:before="260" w:after="260" w:line="416" w:lineRule="auto"/>
      <w:outlineLvl w:val="2"/>
    </w:pPr>
    <w:rPr>
      <w:b/>
      <w:bCs/>
      <w:sz w:val="32"/>
      <w:szCs w:val="32"/>
    </w:rPr>
  </w:style>
  <w:style w:type="paragraph" w:styleId="5">
    <w:name w:val="heading 4"/>
    <w:basedOn w:val="1"/>
    <w:next w:val="1"/>
    <w:qFormat/>
    <w:locked/>
    <w:uiPriority w:val="0"/>
    <w:pPr>
      <w:keepNext/>
      <w:keepLines/>
      <w:spacing w:before="280" w:after="290" w:line="374" w:lineRule="auto"/>
      <w:outlineLvl w:val="3"/>
    </w:pPr>
    <w:rPr>
      <w:rFonts w:ascii="Arial" w:hAnsi="Arial" w:eastAsia="黑体"/>
      <w:b/>
      <w:bCs/>
      <w:sz w:val="28"/>
      <w:szCs w:val="28"/>
    </w:rPr>
  </w:style>
  <w:style w:type="paragraph" w:styleId="6">
    <w:name w:val="heading 6"/>
    <w:basedOn w:val="1"/>
    <w:next w:val="1"/>
    <w:qFormat/>
    <w:locked/>
    <w:uiPriority w:val="1"/>
    <w:pPr>
      <w:ind w:left="1028"/>
      <w:outlineLvl w:val="5"/>
    </w:pPr>
    <w:rPr>
      <w:rFonts w:ascii="宋体" w:hAnsi="宋体" w:cs="宋体"/>
      <w:b/>
      <w:bCs/>
      <w:sz w:val="24"/>
      <w:szCs w:val="24"/>
      <w:lang w:val="zh-CN" w:bidi="zh-CN"/>
    </w:rPr>
  </w:style>
  <w:style w:type="character" w:default="1" w:styleId="33">
    <w:name w:val="Default Paragraph Font"/>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7">
    <w:name w:val="table of authorities"/>
    <w:basedOn w:val="1"/>
    <w:next w:val="1"/>
    <w:qFormat/>
    <w:locked/>
    <w:uiPriority w:val="0"/>
  </w:style>
  <w:style w:type="paragraph" w:styleId="8">
    <w:name w:val="Normal Indent"/>
    <w:basedOn w:val="1"/>
    <w:qFormat/>
    <w:locked/>
    <w:uiPriority w:val="0"/>
    <w:pPr>
      <w:spacing w:line="360" w:lineRule="auto"/>
      <w:ind w:firstLine="420"/>
    </w:pPr>
  </w:style>
  <w:style w:type="paragraph" w:styleId="9">
    <w:name w:val="caption"/>
    <w:basedOn w:val="1"/>
    <w:next w:val="10"/>
    <w:qFormat/>
    <w:locked/>
    <w:uiPriority w:val="99"/>
    <w:pPr>
      <w:spacing w:line="440" w:lineRule="exact"/>
      <w:ind w:firstLine="480"/>
      <w:jc w:val="center"/>
    </w:pPr>
    <w:rPr>
      <w:rFonts w:cs="Arial"/>
      <w:b/>
      <w:szCs w:val="24"/>
    </w:rPr>
  </w:style>
  <w:style w:type="paragraph" w:customStyle="1" w:styleId="10">
    <w:name w:val="正文首行缩进 2 + Times New Roman"/>
    <w:basedOn w:val="1"/>
    <w:qFormat/>
    <w:uiPriority w:val="0"/>
    <w:pPr>
      <w:tabs>
        <w:tab w:val="left" w:pos="0"/>
        <w:tab w:val="left" w:pos="870"/>
        <w:tab w:val="left" w:pos="3150"/>
      </w:tabs>
      <w:autoSpaceDE w:val="0"/>
      <w:autoSpaceDN w:val="0"/>
      <w:spacing w:line="360" w:lineRule="auto"/>
      <w:ind w:firstLine="480" w:firstLineChars="200"/>
    </w:pPr>
    <w:rPr>
      <w:kern w:val="0"/>
      <w:sz w:val="24"/>
    </w:rPr>
  </w:style>
  <w:style w:type="paragraph" w:styleId="11">
    <w:name w:val="annotation text"/>
    <w:basedOn w:val="1"/>
    <w:link w:val="38"/>
    <w:semiHidden/>
    <w:qFormat/>
    <w:uiPriority w:val="0"/>
    <w:pPr>
      <w:jc w:val="left"/>
    </w:pPr>
    <w:rPr>
      <w:kern w:val="0"/>
      <w:sz w:val="24"/>
      <w:szCs w:val="20"/>
    </w:rPr>
  </w:style>
  <w:style w:type="paragraph" w:styleId="12">
    <w:name w:val="Body Text"/>
    <w:basedOn w:val="1"/>
    <w:next w:val="1"/>
    <w:link w:val="37"/>
    <w:qFormat/>
    <w:uiPriority w:val="0"/>
    <w:pPr>
      <w:widowControl/>
      <w:snapToGrid w:val="0"/>
      <w:spacing w:before="60" w:after="160" w:line="259" w:lineRule="auto"/>
      <w:ind w:right="113"/>
    </w:pPr>
    <w:rPr>
      <w:kern w:val="0"/>
      <w:sz w:val="18"/>
      <w:szCs w:val="20"/>
    </w:rPr>
  </w:style>
  <w:style w:type="paragraph" w:styleId="13">
    <w:name w:val="Body Text Indent"/>
    <w:basedOn w:val="1"/>
    <w:link w:val="39"/>
    <w:qFormat/>
    <w:uiPriority w:val="0"/>
    <w:pPr>
      <w:spacing w:after="120"/>
      <w:ind w:left="420" w:leftChars="200"/>
    </w:pPr>
    <w:rPr>
      <w:kern w:val="0"/>
      <w:sz w:val="24"/>
      <w:szCs w:val="20"/>
    </w:rPr>
  </w:style>
  <w:style w:type="paragraph" w:styleId="14">
    <w:name w:val="List 2"/>
    <w:basedOn w:val="1"/>
    <w:unhideWhenUsed/>
    <w:qFormat/>
    <w:locked/>
    <w:uiPriority w:val="99"/>
    <w:pPr>
      <w:ind w:left="840" w:hanging="420"/>
    </w:pPr>
    <w:rPr>
      <w:rFonts w:ascii="Calibri" w:hAnsi="Calibri" w:eastAsia="宋体" w:cs="Times New Roman"/>
    </w:rPr>
  </w:style>
  <w:style w:type="paragraph" w:styleId="15">
    <w:name w:val="toc 3"/>
    <w:basedOn w:val="1"/>
    <w:next w:val="1"/>
    <w:qFormat/>
    <w:locked/>
    <w:uiPriority w:val="0"/>
    <w:pPr>
      <w:ind w:left="840" w:leftChars="400"/>
    </w:pPr>
  </w:style>
  <w:style w:type="paragraph" w:styleId="16">
    <w:name w:val="Plain Text"/>
    <w:basedOn w:val="1"/>
    <w:qFormat/>
    <w:locked/>
    <w:uiPriority w:val="0"/>
    <w:rPr>
      <w:rFonts w:ascii="宋体" w:hAnsi="Courier New"/>
      <w:szCs w:val="22"/>
    </w:rPr>
  </w:style>
  <w:style w:type="paragraph" w:styleId="17">
    <w:name w:val="List Bullet 5"/>
    <w:basedOn w:val="1"/>
    <w:qFormat/>
    <w:locked/>
    <w:uiPriority w:val="0"/>
    <w:pPr>
      <w:numPr>
        <w:ilvl w:val="0"/>
        <w:numId w:val="1"/>
      </w:numPr>
      <w:tabs>
        <w:tab w:val="left" w:pos="2040"/>
      </w:tabs>
    </w:pPr>
  </w:style>
  <w:style w:type="paragraph" w:styleId="18">
    <w:name w:val="Date"/>
    <w:basedOn w:val="1"/>
    <w:next w:val="1"/>
    <w:link w:val="40"/>
    <w:qFormat/>
    <w:uiPriority w:val="0"/>
    <w:pPr>
      <w:ind w:left="100" w:leftChars="2500"/>
    </w:pPr>
    <w:rPr>
      <w:kern w:val="0"/>
      <w:sz w:val="24"/>
      <w:szCs w:val="20"/>
    </w:rPr>
  </w:style>
  <w:style w:type="paragraph" w:styleId="19">
    <w:name w:val="Body Text Indent 2"/>
    <w:basedOn w:val="1"/>
    <w:qFormat/>
    <w:locked/>
    <w:uiPriority w:val="0"/>
    <w:pPr>
      <w:spacing w:after="120" w:line="480" w:lineRule="auto"/>
      <w:ind w:left="420" w:leftChars="200"/>
    </w:pPr>
  </w:style>
  <w:style w:type="paragraph" w:styleId="20">
    <w:name w:val="Balloon Text"/>
    <w:basedOn w:val="1"/>
    <w:link w:val="41"/>
    <w:semiHidden/>
    <w:qFormat/>
    <w:uiPriority w:val="0"/>
    <w:rPr>
      <w:kern w:val="0"/>
      <w:sz w:val="18"/>
      <w:szCs w:val="20"/>
    </w:rPr>
  </w:style>
  <w:style w:type="paragraph" w:styleId="21">
    <w:name w:val="footer"/>
    <w:basedOn w:val="1"/>
    <w:link w:val="42"/>
    <w:qFormat/>
    <w:uiPriority w:val="99"/>
    <w:pPr>
      <w:tabs>
        <w:tab w:val="center" w:pos="4153"/>
        <w:tab w:val="right" w:pos="8306"/>
      </w:tabs>
      <w:snapToGrid w:val="0"/>
      <w:jc w:val="left"/>
    </w:pPr>
    <w:rPr>
      <w:kern w:val="0"/>
      <w:sz w:val="18"/>
      <w:szCs w:val="20"/>
    </w:rPr>
  </w:style>
  <w:style w:type="paragraph" w:styleId="22">
    <w:name w:val="header"/>
    <w:basedOn w:val="1"/>
    <w:link w:val="43"/>
    <w:qFormat/>
    <w:uiPriority w:val="0"/>
    <w:pPr>
      <w:pBdr>
        <w:bottom w:val="single" w:color="auto" w:sz="6" w:space="1"/>
      </w:pBdr>
      <w:tabs>
        <w:tab w:val="center" w:pos="4153"/>
        <w:tab w:val="right" w:pos="8306"/>
      </w:tabs>
      <w:snapToGrid w:val="0"/>
      <w:jc w:val="center"/>
    </w:pPr>
    <w:rPr>
      <w:kern w:val="0"/>
      <w:sz w:val="18"/>
      <w:szCs w:val="20"/>
    </w:rPr>
  </w:style>
  <w:style w:type="paragraph" w:styleId="23">
    <w:name w:val="toc 1"/>
    <w:basedOn w:val="1"/>
    <w:next w:val="1"/>
    <w:qFormat/>
    <w:locked/>
    <w:uiPriority w:val="0"/>
  </w:style>
  <w:style w:type="paragraph" w:styleId="24">
    <w:name w:val="Subtitle"/>
    <w:basedOn w:val="1"/>
    <w:next w:val="1"/>
    <w:qFormat/>
    <w:locked/>
    <w:uiPriority w:val="99"/>
    <w:pPr>
      <w:spacing w:line="240" w:lineRule="auto"/>
      <w:ind w:firstLine="0" w:firstLineChars="0"/>
      <w:jc w:val="center"/>
    </w:pPr>
    <w:rPr>
      <w:bCs/>
      <w:kern w:val="28"/>
      <w:sz w:val="21"/>
      <w:szCs w:val="32"/>
    </w:rPr>
  </w:style>
  <w:style w:type="paragraph" w:styleId="25">
    <w:name w:val="List"/>
    <w:basedOn w:val="1"/>
    <w:qFormat/>
    <w:locked/>
    <w:uiPriority w:val="0"/>
    <w:pPr>
      <w:ind w:left="200" w:hanging="200" w:hangingChars="200"/>
    </w:pPr>
    <w:rPr>
      <w:szCs w:val="20"/>
    </w:rPr>
  </w:style>
  <w:style w:type="paragraph" w:styleId="26">
    <w:name w:val="Body Text Indent 3"/>
    <w:basedOn w:val="1"/>
    <w:qFormat/>
    <w:locked/>
    <w:uiPriority w:val="0"/>
    <w:pPr>
      <w:spacing w:after="120"/>
      <w:ind w:left="420" w:leftChars="200"/>
    </w:pPr>
    <w:rPr>
      <w:sz w:val="16"/>
      <w:szCs w:val="16"/>
    </w:rPr>
  </w:style>
  <w:style w:type="paragraph" w:styleId="27">
    <w:name w:val="toc 2"/>
    <w:basedOn w:val="1"/>
    <w:next w:val="1"/>
    <w:qFormat/>
    <w:locked/>
    <w:uiPriority w:val="0"/>
    <w:pPr>
      <w:ind w:left="420" w:leftChars="200"/>
    </w:pPr>
  </w:style>
  <w:style w:type="paragraph" w:styleId="28">
    <w:name w:val="Normal (Web)"/>
    <w:basedOn w:val="1"/>
    <w:link w:val="44"/>
    <w:qFormat/>
    <w:uiPriority w:val="0"/>
    <w:pPr>
      <w:widowControl/>
      <w:spacing w:before="100" w:beforeAutospacing="1" w:after="100" w:afterAutospacing="1"/>
      <w:jc w:val="left"/>
    </w:pPr>
    <w:rPr>
      <w:rFonts w:ascii="宋体" w:hAnsi="宋体"/>
      <w:kern w:val="0"/>
      <w:sz w:val="24"/>
      <w:szCs w:val="20"/>
    </w:rPr>
  </w:style>
  <w:style w:type="paragraph" w:styleId="29">
    <w:name w:val="annotation subject"/>
    <w:basedOn w:val="11"/>
    <w:next w:val="11"/>
    <w:link w:val="45"/>
    <w:semiHidden/>
    <w:qFormat/>
    <w:uiPriority w:val="0"/>
    <w:rPr>
      <w:b/>
    </w:rPr>
  </w:style>
  <w:style w:type="paragraph" w:styleId="30">
    <w:name w:val="Body Text First Indent"/>
    <w:basedOn w:val="12"/>
    <w:unhideWhenUsed/>
    <w:qFormat/>
    <w:locked/>
    <w:uiPriority w:val="99"/>
    <w:pPr>
      <w:ind w:firstLine="420" w:firstLineChars="100"/>
    </w:pPr>
  </w:style>
  <w:style w:type="table" w:styleId="32">
    <w:name w:val="Table Grid"/>
    <w:basedOn w:val="3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4">
    <w:name w:val="page number"/>
    <w:qFormat/>
    <w:locked/>
    <w:uiPriority w:val="0"/>
  </w:style>
  <w:style w:type="character" w:styleId="35">
    <w:name w:val="Hyperlink"/>
    <w:qFormat/>
    <w:locked/>
    <w:uiPriority w:val="99"/>
    <w:rPr>
      <w:color w:val="136EC2"/>
      <w:u w:val="single"/>
    </w:rPr>
  </w:style>
  <w:style w:type="character" w:styleId="36">
    <w:name w:val="annotation reference"/>
    <w:semiHidden/>
    <w:qFormat/>
    <w:uiPriority w:val="0"/>
    <w:rPr>
      <w:sz w:val="21"/>
    </w:rPr>
  </w:style>
  <w:style w:type="character" w:customStyle="1" w:styleId="37">
    <w:name w:val="正文文本 Char"/>
    <w:link w:val="12"/>
    <w:qFormat/>
    <w:locked/>
    <w:uiPriority w:val="0"/>
    <w:rPr>
      <w:sz w:val="18"/>
    </w:rPr>
  </w:style>
  <w:style w:type="character" w:customStyle="1" w:styleId="38">
    <w:name w:val="批注文字 Char"/>
    <w:link w:val="11"/>
    <w:qFormat/>
    <w:locked/>
    <w:uiPriority w:val="0"/>
    <w:rPr>
      <w:rFonts w:ascii="Times New Roman" w:hAnsi="Times New Roman" w:eastAsia="宋体"/>
      <w:sz w:val="24"/>
    </w:rPr>
  </w:style>
  <w:style w:type="character" w:customStyle="1" w:styleId="39">
    <w:name w:val="正文文本缩进 Char"/>
    <w:link w:val="13"/>
    <w:semiHidden/>
    <w:qFormat/>
    <w:locked/>
    <w:uiPriority w:val="0"/>
    <w:rPr>
      <w:rFonts w:ascii="Times New Roman" w:hAnsi="Times New Roman" w:eastAsia="宋体"/>
      <w:sz w:val="24"/>
    </w:rPr>
  </w:style>
  <w:style w:type="character" w:customStyle="1" w:styleId="40">
    <w:name w:val="日期 Char"/>
    <w:link w:val="18"/>
    <w:qFormat/>
    <w:locked/>
    <w:uiPriority w:val="0"/>
    <w:rPr>
      <w:rFonts w:ascii="Times New Roman" w:hAnsi="Times New Roman" w:eastAsia="宋体"/>
      <w:sz w:val="24"/>
    </w:rPr>
  </w:style>
  <w:style w:type="character" w:customStyle="1" w:styleId="41">
    <w:name w:val="批注框文本 Char"/>
    <w:link w:val="20"/>
    <w:semiHidden/>
    <w:qFormat/>
    <w:locked/>
    <w:uiPriority w:val="0"/>
    <w:rPr>
      <w:rFonts w:ascii="Times New Roman" w:hAnsi="Times New Roman" w:eastAsia="宋体"/>
      <w:sz w:val="18"/>
    </w:rPr>
  </w:style>
  <w:style w:type="character" w:customStyle="1" w:styleId="42">
    <w:name w:val="页脚 Char"/>
    <w:link w:val="21"/>
    <w:qFormat/>
    <w:locked/>
    <w:uiPriority w:val="99"/>
    <w:rPr>
      <w:sz w:val="18"/>
    </w:rPr>
  </w:style>
  <w:style w:type="character" w:customStyle="1" w:styleId="43">
    <w:name w:val="页眉 Char"/>
    <w:link w:val="22"/>
    <w:qFormat/>
    <w:locked/>
    <w:uiPriority w:val="0"/>
    <w:rPr>
      <w:sz w:val="18"/>
    </w:rPr>
  </w:style>
  <w:style w:type="character" w:customStyle="1" w:styleId="44">
    <w:name w:val="普通(网站) Char"/>
    <w:link w:val="28"/>
    <w:qFormat/>
    <w:locked/>
    <w:uiPriority w:val="0"/>
    <w:rPr>
      <w:rFonts w:ascii="宋体" w:hAnsi="宋体" w:eastAsia="宋体"/>
      <w:sz w:val="24"/>
    </w:rPr>
  </w:style>
  <w:style w:type="character" w:customStyle="1" w:styleId="45">
    <w:name w:val="批注主题 Char"/>
    <w:link w:val="29"/>
    <w:semiHidden/>
    <w:qFormat/>
    <w:locked/>
    <w:uiPriority w:val="0"/>
    <w:rPr>
      <w:rFonts w:ascii="Times New Roman" w:hAnsi="Times New Roman" w:eastAsia="宋体"/>
      <w:b/>
      <w:kern w:val="2"/>
      <w:sz w:val="24"/>
    </w:rPr>
  </w:style>
  <w:style w:type="paragraph" w:customStyle="1" w:styleId="46">
    <w:name w:val="Default"/>
    <w:basedOn w:val="47"/>
    <w:qFormat/>
    <w:uiPriority w:val="0"/>
    <w:pPr>
      <w:widowControl w:val="0"/>
      <w:autoSpaceDE w:val="0"/>
      <w:autoSpaceDN w:val="0"/>
      <w:adjustRightInd w:val="0"/>
    </w:pPr>
    <w:rPr>
      <w:rFonts w:ascii="Sim Hei" w:eastAsia="Sim Hei" w:cs="Sim Hei"/>
      <w:color w:val="000000"/>
      <w:sz w:val="24"/>
    </w:rPr>
  </w:style>
  <w:style w:type="paragraph" w:customStyle="1" w:styleId="47">
    <w:name w:val="标题 段落4级"/>
    <w:basedOn w:val="48"/>
    <w:next w:val="11"/>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48">
    <w:name w:val="研究生姓名"/>
    <w:qFormat/>
    <w:uiPriority w:val="0"/>
    <w:pPr>
      <w:widowControl w:val="0"/>
      <w:ind w:firstLine="700" w:firstLineChars="700"/>
      <w:jc w:val="both"/>
    </w:pPr>
    <w:rPr>
      <w:rFonts w:ascii="Times New Roman" w:hAnsi="Times New Roman" w:eastAsia="宋体" w:cs="Times New Roman"/>
      <w:kern w:val="2"/>
      <w:sz w:val="28"/>
      <w:szCs w:val="28"/>
      <w:lang w:val="en-US" w:eastAsia="zh-CN" w:bidi="ar-SA"/>
    </w:rPr>
  </w:style>
  <w:style w:type="paragraph" w:customStyle="1" w:styleId="49">
    <w:name w:val="表头"/>
    <w:basedOn w:val="50"/>
    <w:qFormat/>
    <w:uiPriority w:val="0"/>
    <w:pPr>
      <w:spacing w:before="120" w:beforeLines="50" w:after="120" w:afterLines="50"/>
      <w:jc w:val="center"/>
    </w:pPr>
    <w:rPr>
      <w:rFonts w:eastAsia="黑体"/>
    </w:rPr>
  </w:style>
  <w:style w:type="paragraph" w:customStyle="1" w:styleId="50">
    <w:name w:val="文本"/>
    <w:basedOn w:val="8"/>
    <w:qFormat/>
    <w:uiPriority w:val="0"/>
    <w:pPr>
      <w:adjustRightInd/>
      <w:spacing w:line="360" w:lineRule="auto"/>
      <w:jc w:val="both"/>
      <w:textAlignment w:val="auto"/>
    </w:pPr>
  </w:style>
  <w:style w:type="paragraph" w:customStyle="1" w:styleId="51">
    <w:name w:val="正文文字 6"/>
    <w:next w:val="1"/>
    <w:autoRedefine/>
    <w:qFormat/>
    <w:uiPriority w:val="0"/>
    <w:pPr>
      <w:widowControl w:val="0"/>
      <w:ind w:left="240"/>
      <w:jc w:val="both"/>
    </w:pPr>
    <w:rPr>
      <w:rFonts w:ascii="宋体" w:hAnsi="Times New Roman" w:eastAsia="宋体" w:cs="Times New Roman"/>
      <w:b/>
      <w:bCs/>
      <w:kern w:val="2"/>
      <w:sz w:val="32"/>
      <w:szCs w:val="32"/>
      <w:lang w:val="en-US" w:eastAsia="zh-CN" w:bidi="ar-SA"/>
    </w:rPr>
  </w:style>
  <w:style w:type="character" w:customStyle="1" w:styleId="52">
    <w:name w:val="正文文本 字符1"/>
    <w:semiHidden/>
    <w:qFormat/>
    <w:uiPriority w:val="0"/>
    <w:rPr>
      <w:rFonts w:ascii="Times New Roman" w:hAnsi="Times New Roman" w:eastAsia="宋体"/>
      <w:sz w:val="24"/>
    </w:rPr>
  </w:style>
  <w:style w:type="character" w:customStyle="1" w:styleId="53">
    <w:name w:val="页脚 字符"/>
    <w:qFormat/>
    <w:uiPriority w:val="99"/>
  </w:style>
  <w:style w:type="character" w:customStyle="1" w:styleId="54">
    <w:name w:val="日期 字符"/>
    <w:semiHidden/>
    <w:qFormat/>
    <w:uiPriority w:val="0"/>
    <w:rPr>
      <w:rFonts w:ascii="Times New Roman" w:hAnsi="Times New Roman" w:eastAsia="宋体"/>
      <w:sz w:val="24"/>
    </w:rPr>
  </w:style>
  <w:style w:type="character" w:customStyle="1" w:styleId="55">
    <w:name w:val="表格 Char"/>
    <w:link w:val="56"/>
    <w:qFormat/>
    <w:locked/>
    <w:uiPriority w:val="0"/>
    <w:rPr>
      <w:rFonts w:ascii="宋体"/>
      <w:sz w:val="21"/>
    </w:rPr>
  </w:style>
  <w:style w:type="paragraph" w:customStyle="1" w:styleId="56">
    <w:name w:val="表格"/>
    <w:basedOn w:val="1"/>
    <w:next w:val="1"/>
    <w:link w:val="55"/>
    <w:qFormat/>
    <w:uiPriority w:val="0"/>
    <w:pPr>
      <w:adjustRightInd w:val="0"/>
      <w:snapToGrid w:val="0"/>
      <w:spacing w:beforeLines="10" w:afterLines="10" w:line="259" w:lineRule="auto"/>
      <w:jc w:val="center"/>
    </w:pPr>
    <w:rPr>
      <w:rFonts w:ascii="宋体"/>
      <w:kern w:val="0"/>
      <w:szCs w:val="20"/>
    </w:rPr>
  </w:style>
  <w:style w:type="character" w:customStyle="1" w:styleId="57">
    <w:name w:val="批注文字 字符1"/>
    <w:semiHidden/>
    <w:qFormat/>
    <w:uiPriority w:val="0"/>
    <w:rPr>
      <w:rFonts w:ascii="Times New Roman" w:hAnsi="Times New Roman" w:eastAsia="宋体"/>
      <w:sz w:val="24"/>
    </w:rPr>
  </w:style>
  <w:style w:type="character" w:customStyle="1" w:styleId="58">
    <w:name w:val="font41"/>
    <w:basedOn w:val="33"/>
    <w:qFormat/>
    <w:uiPriority w:val="0"/>
    <w:rPr>
      <w:rFonts w:ascii="仿宋_GB2312" w:eastAsia="仿宋_GB2312" w:cs="仿宋_GB2312"/>
      <w:b/>
      <w:bCs/>
      <w:color w:val="000000"/>
      <w:sz w:val="21"/>
      <w:szCs w:val="21"/>
      <w:u w:val="none"/>
    </w:rPr>
  </w:style>
  <w:style w:type="character" w:customStyle="1" w:styleId="59">
    <w:name w:val="font51"/>
    <w:basedOn w:val="33"/>
    <w:qFormat/>
    <w:uiPriority w:val="0"/>
    <w:rPr>
      <w:rFonts w:hint="default" w:ascii="Times New Roman" w:hAnsi="Times New Roman" w:cs="Times New Roman"/>
      <w:b/>
      <w:bCs/>
      <w:color w:val="000000"/>
      <w:sz w:val="21"/>
      <w:szCs w:val="21"/>
      <w:u w:val="none"/>
      <w:vertAlign w:val="superscript"/>
    </w:rPr>
  </w:style>
  <w:style w:type="character" w:customStyle="1" w:styleId="60">
    <w:name w:val="font11"/>
    <w:basedOn w:val="33"/>
    <w:qFormat/>
    <w:uiPriority w:val="0"/>
    <w:rPr>
      <w:rFonts w:hint="default" w:ascii="Times New Roman" w:hAnsi="Times New Roman" w:cs="Times New Roman"/>
      <w:b/>
      <w:bCs/>
      <w:color w:val="000000"/>
      <w:sz w:val="21"/>
      <w:szCs w:val="21"/>
      <w:u w:val="none"/>
    </w:rPr>
  </w:style>
  <w:style w:type="character" w:customStyle="1" w:styleId="61">
    <w:name w:val="font21"/>
    <w:qFormat/>
    <w:uiPriority w:val="0"/>
    <w:rPr>
      <w:rFonts w:hint="default" w:ascii="Times New Roman" w:hAnsi="Times New Roman" w:cs="Times New Roman"/>
      <w:color w:val="000000"/>
      <w:sz w:val="21"/>
      <w:szCs w:val="21"/>
      <w:u w:val="none"/>
    </w:rPr>
  </w:style>
  <w:style w:type="character" w:customStyle="1" w:styleId="62">
    <w:name w:val="font01"/>
    <w:qFormat/>
    <w:uiPriority w:val="0"/>
    <w:rPr>
      <w:rFonts w:hint="eastAsia" w:ascii="宋体" w:hAnsi="宋体" w:eastAsia="宋体" w:cs="宋体"/>
      <w:color w:val="0070C0"/>
      <w:sz w:val="22"/>
      <w:szCs w:val="22"/>
      <w:u w:val="none"/>
    </w:rPr>
  </w:style>
  <w:style w:type="paragraph" w:customStyle="1" w:styleId="63">
    <w:name w:val="标题2"/>
    <w:basedOn w:val="1"/>
    <w:next w:val="1"/>
    <w:qFormat/>
    <w:uiPriority w:val="0"/>
    <w:pPr>
      <w:autoSpaceDE w:val="0"/>
      <w:autoSpaceDN w:val="0"/>
      <w:snapToGrid w:val="0"/>
      <w:spacing w:line="590" w:lineRule="atLeast"/>
      <w:jc w:val="center"/>
    </w:pPr>
    <w:rPr>
      <w:rFonts w:eastAsia="方正楷体_GBK"/>
      <w:snapToGrid w:val="0"/>
      <w:kern w:val="0"/>
      <w:sz w:val="32"/>
      <w:szCs w:val="20"/>
    </w:rPr>
  </w:style>
  <w:style w:type="paragraph" w:customStyle="1" w:styleId="64">
    <w:name w:val="+正文-都"/>
    <w:qFormat/>
    <w:uiPriority w:val="0"/>
    <w:pPr>
      <w:spacing w:line="480" w:lineRule="exact"/>
      <w:ind w:firstLine="200" w:firstLineChars="200"/>
    </w:pPr>
    <w:rPr>
      <w:rFonts w:ascii="Times New Roman" w:hAnsi="Times New Roman" w:eastAsia="宋体" w:cs="Times New Roman"/>
      <w:kern w:val="2"/>
      <w:sz w:val="24"/>
      <w:szCs w:val="28"/>
      <w:lang w:val="en-US" w:eastAsia="zh-CN" w:bidi="ar-SA"/>
    </w:rPr>
  </w:style>
  <w:style w:type="paragraph" w:customStyle="1" w:styleId="65">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66">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7">
    <w:name w:val="图表标题"/>
    <w:next w:val="1"/>
    <w:qFormat/>
    <w:uiPriority w:val="0"/>
    <w:pPr>
      <w:spacing w:line="500" w:lineRule="exact"/>
      <w:jc w:val="center"/>
    </w:pPr>
    <w:rPr>
      <w:rFonts w:ascii="Calibri" w:hAnsi="Calibri" w:eastAsia="仿宋_GB2312" w:cs="Times New Roman"/>
      <w:b/>
      <w:kern w:val="2"/>
      <w:sz w:val="28"/>
      <w:szCs w:val="22"/>
      <w:lang w:val="en-US" w:eastAsia="zh-CN" w:bidi="ar-SA"/>
    </w:rPr>
  </w:style>
  <w:style w:type="paragraph" w:customStyle="1" w:styleId="68">
    <w:name w:val="环正文"/>
    <w:basedOn w:val="1"/>
    <w:qFormat/>
    <w:uiPriority w:val="0"/>
    <w:pPr>
      <w:widowControl/>
      <w:tabs>
        <w:tab w:val="left" w:pos="5094"/>
      </w:tabs>
      <w:adjustRightInd w:val="0"/>
      <w:spacing w:line="360" w:lineRule="auto"/>
      <w:ind w:firstLine="778" w:firstLineChars="324"/>
      <w:jc w:val="left"/>
      <w:textAlignment w:val="baseline"/>
    </w:pPr>
    <w:rPr>
      <w:rFonts w:ascii="宋体" w:hAnsi="宋体"/>
      <w:color w:val="000000"/>
      <w:kern w:val="24"/>
    </w:rPr>
  </w:style>
  <w:style w:type="paragraph" w:customStyle="1" w:styleId="69">
    <w:name w:val="Table Paragraph"/>
    <w:basedOn w:val="1"/>
    <w:qFormat/>
    <w:uiPriority w:val="1"/>
    <w:rPr>
      <w:rFonts w:ascii="宋体" w:hAnsi="宋体" w:cs="宋体"/>
    </w:rPr>
  </w:style>
  <w:style w:type="paragraph" w:customStyle="1" w:styleId="70">
    <w:name w:val="表格内容"/>
    <w:basedOn w:val="1"/>
    <w:qFormat/>
    <w:uiPriority w:val="0"/>
    <w:pPr>
      <w:overflowPunct w:val="0"/>
      <w:adjustRightInd w:val="0"/>
      <w:spacing w:line="360" w:lineRule="auto"/>
      <w:jc w:val="center"/>
      <w:textAlignment w:val="baseline"/>
    </w:pPr>
    <w:rPr>
      <w:kern w:val="0"/>
      <w:szCs w:val="20"/>
    </w:rPr>
  </w:style>
  <w:style w:type="paragraph" w:customStyle="1" w:styleId="71">
    <w:name w:val="Char Char Char Char"/>
    <w:basedOn w:val="1"/>
    <w:qFormat/>
    <w:uiPriority w:val="0"/>
    <w:pPr>
      <w:spacing w:line="360" w:lineRule="auto"/>
      <w:ind w:firstLine="200" w:firstLineChars="200"/>
    </w:pPr>
    <w:rPr>
      <w:rFonts w:ascii="宋体" w:hAnsi="宋体" w:cs="宋体"/>
      <w:szCs w:val="24"/>
    </w:rPr>
  </w:style>
  <w:style w:type="paragraph" w:customStyle="1" w:styleId="72">
    <w:name w:val="表格下方正文"/>
    <w:basedOn w:val="1"/>
    <w:qFormat/>
    <w:uiPriority w:val="0"/>
    <w:pPr>
      <w:spacing w:before="300" w:line="460" w:lineRule="exact"/>
      <w:ind w:firstLine="200" w:firstLineChars="200"/>
    </w:pPr>
  </w:style>
  <w:style w:type="paragraph" w:customStyle="1" w:styleId="73">
    <w:name w:val="6"/>
    <w:basedOn w:val="1"/>
    <w:next w:val="19"/>
    <w:qFormat/>
    <w:uiPriority w:val="0"/>
    <w:pPr>
      <w:spacing w:line="500" w:lineRule="exact"/>
      <w:ind w:firstLine="560" w:firstLineChars="200"/>
    </w:pPr>
    <w:rPr>
      <w:rFonts w:ascii="仿宋_GB2312" w:eastAsia="仿宋_GB2312"/>
      <w:color w:val="000000"/>
      <w:sz w:val="28"/>
    </w:rPr>
  </w:style>
  <w:style w:type="paragraph" w:customStyle="1" w:styleId="74">
    <w:name w:val="正文（行首缩进2字）"/>
    <w:basedOn w:val="1"/>
    <w:qFormat/>
    <w:uiPriority w:val="0"/>
    <w:pPr>
      <w:spacing w:line="500" w:lineRule="exact"/>
      <w:ind w:firstLine="200" w:firstLineChars="200"/>
    </w:pPr>
  </w:style>
  <w:style w:type="paragraph" w:customStyle="1" w:styleId="75">
    <w:name w:val="表标题"/>
    <w:basedOn w:val="1"/>
    <w:next w:val="1"/>
    <w:qFormat/>
    <w:uiPriority w:val="0"/>
    <w:pPr>
      <w:adjustRightInd w:val="0"/>
      <w:snapToGrid w:val="0"/>
      <w:jc w:val="center"/>
    </w:pPr>
    <w:rPr>
      <w:rFonts w:ascii="仿宋" w:hAnsi="仿宋" w:eastAsia="仿宋"/>
      <w:b/>
    </w:rPr>
  </w:style>
  <w:style w:type="paragraph" w:customStyle="1" w:styleId="76">
    <w:name w:val="表格标题"/>
    <w:basedOn w:val="1"/>
    <w:next w:val="1"/>
    <w:qFormat/>
    <w:uiPriority w:val="0"/>
    <w:pPr>
      <w:jc w:val="center"/>
    </w:pPr>
    <w:rPr>
      <w:b/>
      <w:kern w:val="0"/>
      <w:szCs w:val="20"/>
    </w:rPr>
  </w:style>
  <w:style w:type="paragraph" w:customStyle="1" w:styleId="77">
    <w:name w:val="单学凯段落格式"/>
    <w:basedOn w:val="1"/>
    <w:qFormat/>
    <w:uiPriority w:val="0"/>
    <w:pPr>
      <w:adjustRightInd w:val="0"/>
      <w:snapToGrid w:val="0"/>
      <w:ind w:firstLine="482" w:firstLineChars="200"/>
      <w:jc w:val="center"/>
    </w:pPr>
    <w:rPr>
      <w:rFonts w:eastAsia="仿宋_GB2312"/>
      <w:b/>
      <w:kern w:val="24"/>
      <w:lang w:val="zh-CN"/>
    </w:rPr>
  </w:style>
  <w:style w:type="paragraph" w:styleId="78">
    <w:name w:val="List Paragraph"/>
    <w:basedOn w:val="1"/>
    <w:qFormat/>
    <w:uiPriority w:val="1"/>
    <w:pPr>
      <w:ind w:left="1639" w:hanging="602"/>
    </w:pPr>
    <w:rPr>
      <w:rFonts w:ascii="仿宋" w:hAnsi="仿宋" w:eastAsia="仿宋" w:cs="仿宋"/>
      <w:lang w:val="zh-CN" w:bidi="zh-CN"/>
    </w:rPr>
  </w:style>
  <w:style w:type="paragraph" w:customStyle="1" w:styleId="79">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80">
    <w:name w:val="九晟表格"/>
    <w:basedOn w:val="1"/>
    <w:qFormat/>
    <w:uiPriority w:val="0"/>
    <w:pPr>
      <w:spacing w:line="320" w:lineRule="exact"/>
      <w:jc w:val="center"/>
    </w:pPr>
  </w:style>
  <w:style w:type="paragraph" w:customStyle="1" w:styleId="81">
    <w:name w:val="正文4号"/>
    <w:basedOn w:val="1"/>
    <w:qFormat/>
    <w:uiPriority w:val="0"/>
    <w:pPr>
      <w:adjustRightInd w:val="0"/>
      <w:snapToGrid w:val="0"/>
      <w:spacing w:line="360" w:lineRule="auto"/>
      <w:ind w:firstLine="200" w:firstLineChars="200"/>
    </w:pPr>
    <w:rPr>
      <w:sz w:val="24"/>
      <w:szCs w:val="24"/>
    </w:rPr>
  </w:style>
  <w:style w:type="paragraph" w:customStyle="1" w:styleId="82">
    <w:name w:val="样式 四号 黑色 行距: 1.5 倍行距 首行缩进:  2 字符"/>
    <w:basedOn w:val="1"/>
    <w:qFormat/>
    <w:uiPriority w:val="0"/>
    <w:pPr>
      <w:spacing w:line="360" w:lineRule="auto"/>
      <w:ind w:firstLine="560" w:firstLineChars="200"/>
    </w:pPr>
    <w:rPr>
      <w:rFonts w:eastAsia="仿宋_GB2312" w:cs="宋体"/>
      <w:color w:val="000000"/>
      <w:sz w:val="28"/>
    </w:rPr>
  </w:style>
  <w:style w:type="paragraph" w:customStyle="1" w:styleId="83">
    <w:name w:val="报告表格"/>
    <w:basedOn w:val="1"/>
    <w:qFormat/>
    <w:uiPriority w:val="0"/>
    <w:pPr>
      <w:adjustRightInd w:val="0"/>
      <w:snapToGrid w:val="0"/>
      <w:spacing w:line="500" w:lineRule="exact"/>
      <w:ind w:firstLine="200" w:firstLineChars="200"/>
      <w:jc w:val="left"/>
    </w:pPr>
    <w:rPr>
      <w:rFonts w:eastAsia="仿宋_GB2312"/>
      <w:sz w:val="24"/>
      <w:szCs w:val="24"/>
    </w:rPr>
  </w:style>
  <w:style w:type="paragraph" w:customStyle="1" w:styleId="84">
    <w:name w:val="图标格式"/>
    <w:basedOn w:val="1"/>
    <w:qFormat/>
    <w:uiPriority w:val="0"/>
    <w:pPr>
      <w:jc w:val="center"/>
    </w:pPr>
    <w:rPr>
      <w:rFonts w:eastAsia="黑体"/>
      <w:szCs w:val="24"/>
    </w:rPr>
  </w:style>
  <w:style w:type="paragraph" w:customStyle="1" w:styleId="85">
    <w:name w:val="WPSOffice手动目录 1"/>
    <w:qFormat/>
    <w:uiPriority w:val="0"/>
    <w:rPr>
      <w:rFonts w:ascii="Times New Roman" w:hAnsi="Times New Roman" w:eastAsia="宋体" w:cs="Times New Roman"/>
      <w:lang w:val="en-US" w:eastAsia="zh-CN" w:bidi="ar-SA"/>
    </w:rPr>
  </w:style>
  <w:style w:type="character" w:customStyle="1" w:styleId="86">
    <w:name w:val="apple-style-span"/>
    <w:basedOn w:val="33"/>
    <w:qFormat/>
    <w:uiPriority w:val="0"/>
  </w:style>
  <w:style w:type="character" w:customStyle="1" w:styleId="87">
    <w:name w:val="apple-converted-space"/>
    <w:basedOn w:val="33"/>
    <w:qFormat/>
    <w:uiPriority w:val="0"/>
  </w:style>
  <w:style w:type="character" w:customStyle="1" w:styleId="88">
    <w:name w:val="font61"/>
    <w:qFormat/>
    <w:uiPriority w:val="0"/>
    <w:rPr>
      <w:rFonts w:hint="default" w:ascii="Times New Roman" w:hAnsi="Times New Roman" w:cs="Times New Roman"/>
      <w:b/>
      <w:bCs/>
      <w:color w:val="000000"/>
      <w:sz w:val="21"/>
      <w:szCs w:val="21"/>
      <w:u w:val="none"/>
    </w:rPr>
  </w:style>
  <w:style w:type="character" w:customStyle="1" w:styleId="89">
    <w:name w:val="font81"/>
    <w:qFormat/>
    <w:uiPriority w:val="0"/>
    <w:rPr>
      <w:rFonts w:hint="default" w:ascii="Times New Roman" w:hAnsi="Times New Roman" w:cs="Times New Roman"/>
      <w:b/>
      <w:bCs/>
      <w:color w:val="000000"/>
      <w:sz w:val="21"/>
      <w:szCs w:val="21"/>
      <w:u w:val="none"/>
      <w:vertAlign w:val="superscript"/>
    </w:rPr>
  </w:style>
  <w:style w:type="character" w:customStyle="1" w:styleId="90">
    <w:name w:val="font31"/>
    <w:basedOn w:val="33"/>
    <w:qFormat/>
    <w:uiPriority w:val="0"/>
    <w:rPr>
      <w:rFonts w:hint="default" w:ascii="Times New Roman" w:hAnsi="Times New Roman" w:cs="Times New Roman"/>
      <w:color w:val="000000"/>
      <w:sz w:val="21"/>
      <w:szCs w:val="21"/>
      <w:u w:val="none"/>
      <w:vertAlign w:val="subscript"/>
    </w:rPr>
  </w:style>
  <w:style w:type="paragraph" w:customStyle="1" w:styleId="91">
    <w:name w:val="图名"/>
    <w:basedOn w:val="92"/>
    <w:next w:val="92"/>
    <w:qFormat/>
    <w:uiPriority w:val="0"/>
    <w:pPr>
      <w:spacing w:line="240" w:lineRule="auto"/>
      <w:ind w:firstLine="0"/>
      <w:jc w:val="center"/>
    </w:pPr>
    <w:rPr>
      <w:rFonts w:ascii="Times New Roman" w:hAnsi="Times New Roman" w:eastAsia="宋体"/>
      <w:b/>
      <w:kern w:val="0"/>
      <w:sz w:val="21"/>
      <w:szCs w:val="20"/>
    </w:rPr>
  </w:style>
  <w:style w:type="paragraph" w:customStyle="1" w:styleId="92">
    <w:name w:val="常用正文样式"/>
    <w:qFormat/>
    <w:uiPriority w:val="0"/>
    <w:pPr>
      <w:widowControl w:val="0"/>
      <w:spacing w:line="360" w:lineRule="auto"/>
      <w:ind w:firstLine="454"/>
      <w:jc w:val="both"/>
    </w:pPr>
    <w:rPr>
      <w:rFonts w:ascii="宋体" w:hAnsi="新宋体" w:eastAsia="仿宋_GB2312" w:cs="Times New Roman"/>
      <w:kern w:val="2"/>
      <w:sz w:val="24"/>
      <w:szCs w:val="24"/>
      <w:lang w:val="en-US" w:eastAsia="zh-CN" w:bidi="ar-SA"/>
    </w:rPr>
  </w:style>
  <w:style w:type="paragraph" w:customStyle="1" w:styleId="93">
    <w:name w:val="表格001"/>
    <w:basedOn w:val="1"/>
    <w:qFormat/>
    <w:uiPriority w:val="0"/>
    <w:pPr>
      <w:jc w:val="center"/>
    </w:pPr>
    <w:rPr>
      <w:szCs w:val="20"/>
    </w:rPr>
  </w:style>
  <w:style w:type="character" w:styleId="94">
    <w:name w:val="Placeholder Text"/>
    <w:basedOn w:val="33"/>
    <w:unhideWhenUsed/>
    <w:qFormat/>
    <w:uiPriority w:val="99"/>
    <w:rPr>
      <w:color w:val="666666"/>
    </w:rPr>
  </w:style>
  <w:style w:type="paragraph" w:customStyle="1" w:styleId="95">
    <w:name w:val="样式1"/>
    <w:basedOn w:val="1"/>
    <w:qFormat/>
    <w:uiPriority w:val="3"/>
    <w:pPr>
      <w:snapToGrid w:val="0"/>
      <w:jc w:val="center"/>
    </w:pPr>
    <w:rPr>
      <w:rFonts w:ascii="宋体"/>
      <w:szCs w:val="20"/>
    </w:rPr>
  </w:style>
  <w:style w:type="paragraph" w:customStyle="1" w:styleId="96">
    <w:name w:val="表中文字"/>
    <w:basedOn w:val="97"/>
    <w:qFormat/>
    <w:uiPriority w:val="0"/>
    <w:pPr>
      <w:spacing w:line="440" w:lineRule="exact"/>
      <w:jc w:val="center"/>
    </w:pPr>
    <w:rPr>
      <w:rFonts w:ascii="Calibri" w:hAnsi="Calibri" w:eastAsia="楷体_GB2312"/>
      <w:spacing w:val="8"/>
      <w:sz w:val="21"/>
      <w:szCs w:val="28"/>
    </w:rPr>
  </w:style>
  <w:style w:type="paragraph" w:customStyle="1" w:styleId="97">
    <w:name w:val="表格文字"/>
    <w:qFormat/>
    <w:uiPriority w:val="0"/>
    <w:pPr>
      <w:widowControl w:val="0"/>
      <w:autoSpaceDE w:val="0"/>
      <w:autoSpaceDN w:val="0"/>
      <w:adjustRightInd w:val="0"/>
      <w:textAlignment w:val="baseline"/>
    </w:pPr>
    <w:rPr>
      <w:rFonts w:ascii="宋体" w:hAnsi="Times New Roman" w:eastAsia="宋体" w:cs="Times New Roman"/>
      <w:color w:val="000000"/>
      <w:sz w:val="24"/>
      <w:lang w:val="en-US" w:eastAsia="zh-CN" w:bidi="ar-SA"/>
    </w:rPr>
  </w:style>
  <w:style w:type="table" w:customStyle="1" w:styleId="98">
    <w:name w:val="Table Normal"/>
    <w:unhideWhenUsed/>
    <w:qFormat/>
    <w:uiPriority w:val="0"/>
    <w:tblPr>
      <w:tblCellMar>
        <w:top w:w="0" w:type="dxa"/>
        <w:left w:w="0" w:type="dxa"/>
        <w:bottom w:w="0" w:type="dxa"/>
        <w:right w:w="0" w:type="dxa"/>
      </w:tblCellMar>
    </w:tblPr>
  </w:style>
  <w:style w:type="paragraph" w:customStyle="1" w:styleId="99">
    <w:name w:val="Table Text"/>
    <w:basedOn w:val="1"/>
    <w:semiHidden/>
    <w:qFormat/>
    <w:uiPriority w:val="0"/>
    <w:rPr>
      <w:rFonts w:ascii="FangSong_GB2312" w:hAnsi="FangSong_GB2312" w:eastAsia="FangSong_GB2312" w:cs="FangSong_GB2312"/>
      <w:sz w:val="24"/>
      <w:szCs w:val="24"/>
      <w:lang w:eastAsia="en-US"/>
    </w:rPr>
  </w:style>
  <w:style w:type="paragraph" w:customStyle="1" w:styleId="100">
    <w:name w:val="表格正文"/>
    <w:basedOn w:val="1"/>
    <w:qFormat/>
    <w:uiPriority w:val="0"/>
    <w:pPr>
      <w:adjustRightInd w:val="0"/>
      <w:snapToGrid w:val="0"/>
      <w:jc w:val="center"/>
      <w:textAlignment w:val="baseline"/>
    </w:pPr>
    <w:rPr>
      <w:kern w:val="0"/>
      <w:szCs w:val="20"/>
    </w:rPr>
  </w:style>
  <w:style w:type="paragraph" w:customStyle="1" w:styleId="101">
    <w:name w:val="表格内文字"/>
    <w:basedOn w:val="1"/>
    <w:qFormat/>
    <w:uiPriority w:val="0"/>
    <w:pPr>
      <w:adjustRightInd w:val="0"/>
      <w:snapToGrid w:val="0"/>
      <w:spacing w:line="240" w:lineRule="auto"/>
      <w:ind w:firstLine="0" w:firstLineChars="0"/>
      <w:jc w:val="center"/>
    </w:pPr>
    <w:rPr>
      <w:rFonts w:hint="eastAsia"/>
      <w:color w:val="auto"/>
      <w:sz w:val="21"/>
    </w:rPr>
  </w:style>
  <w:style w:type="paragraph" w:customStyle="1" w:styleId="102">
    <w:name w:val="表格正文（11）"/>
    <w:basedOn w:val="1"/>
    <w:autoRedefine/>
    <w:qFormat/>
    <w:uiPriority w:val="0"/>
    <w:pPr>
      <w:jc w:val="center"/>
    </w:pPr>
  </w:style>
  <w:style w:type="character" w:customStyle="1" w:styleId="103">
    <w:name w:val="font212"/>
    <w:basedOn w:val="33"/>
    <w:autoRedefine/>
    <w:qFormat/>
    <w:uiPriority w:val="0"/>
    <w:rPr>
      <w:rFonts w:ascii="宋体" w:hAnsi="宋体" w:eastAsia="宋体" w:cs="宋体"/>
      <w:color w:val="000477"/>
      <w:sz w:val="12"/>
      <w:szCs w:val="12"/>
      <w:u w:val="none"/>
    </w:rPr>
  </w:style>
  <w:style w:type="paragraph" w:customStyle="1" w:styleId="104">
    <w:name w:val="Other|1"/>
    <w:basedOn w:val="1"/>
    <w:qFormat/>
    <w:uiPriority w:val="0"/>
    <w:pPr>
      <w:widowControl w:val="0"/>
      <w:shd w:val="clear" w:color="auto" w:fill="auto"/>
      <w:jc w:val="center"/>
    </w:pPr>
    <w:rPr>
      <w:rFonts w:ascii="宋体" w:hAnsi="宋体" w:eastAsia="宋体" w:cs="宋体"/>
      <w:sz w:val="20"/>
      <w:szCs w:val="20"/>
      <w:u w:val="none"/>
      <w:shd w:val="clear" w:color="auto" w:fill="auto"/>
      <w:lang w:val="zh-TW" w:eastAsia="zh-TW" w:bidi="zh-TW"/>
    </w:rPr>
  </w:style>
  <w:style w:type="paragraph" w:styleId="105">
    <w:name w:val="No Spacing"/>
    <w:autoRedefine/>
    <w:qFormat/>
    <w:uiPriority w:val="1"/>
    <w:pPr>
      <w:widowControl w:val="0"/>
      <w:spacing w:line="360" w:lineRule="auto"/>
      <w:jc w:val="center"/>
    </w:pPr>
    <w:rPr>
      <w:rFonts w:ascii="Times New Roman" w:hAnsi="Times New Roman" w:eastAsia="宋体" w:cs="Times New Roman"/>
      <w:b/>
      <w:kern w:val="2"/>
      <w:sz w:val="24"/>
      <w:szCs w:val="22"/>
      <w:lang w:val="en-US" w:eastAsia="zh-CN" w:bidi="ar-SA"/>
    </w:rPr>
  </w:style>
  <w:style w:type="paragraph" w:customStyle="1" w:styleId="106">
    <w:name w:val="表格内容-新"/>
    <w:basedOn w:val="49"/>
    <w:qFormat/>
    <w:uiPriority w:val="0"/>
    <w:rPr>
      <w:sz w:val="21"/>
    </w:rPr>
  </w:style>
  <w:style w:type="paragraph" w:customStyle="1" w:styleId="107">
    <w:name w:val="表格内容-CJ"/>
    <w:basedOn w:val="1"/>
    <w:qFormat/>
    <w:uiPriority w:val="0"/>
    <w:pPr>
      <w:adjustRightInd w:val="0"/>
      <w:snapToGrid w:val="0"/>
      <w:spacing w:line="240" w:lineRule="auto"/>
      <w:ind w:firstLine="0" w:firstLineChars="0"/>
      <w:jc w:val="center"/>
    </w:pPr>
    <w:rPr>
      <w:sz w:val="21"/>
    </w:rPr>
  </w:style>
  <w:style w:type="paragraph" w:customStyle="1" w:styleId="108">
    <w:name w:val="段"/>
    <w:qFormat/>
    <w:uiPriority w:val="0"/>
    <w:pPr>
      <w:autoSpaceDE w:val="0"/>
      <w:autoSpaceDN w:val="0"/>
      <w:ind w:firstLine="200" w:firstLineChars="200"/>
      <w:jc w:val="both"/>
    </w:pPr>
    <w:rPr>
      <w:rFonts w:ascii="宋体" w:hAnsi="Times New Roman" w:eastAsia="宋体" w:cs="Times New Roman"/>
      <w:kern w:val="2"/>
      <w:sz w:val="21"/>
      <w:szCs w:val="22"/>
      <w:lang w:val="en-US" w:eastAsia="zh-CN" w:bidi="ar-SA"/>
    </w:rPr>
  </w:style>
  <w:style w:type="paragraph" w:customStyle="1" w:styleId="109">
    <w:name w:val="表格11"/>
    <w:basedOn w:val="1"/>
    <w:qFormat/>
    <w:uiPriority w:val="0"/>
    <w:pPr>
      <w:widowControl/>
      <w:adjustRightInd w:val="0"/>
      <w:snapToGrid w:val="0"/>
      <w:jc w:val="center"/>
    </w:pPr>
    <w:rPr>
      <w:rFonts w:ascii="Times New Roman" w:hAnsi="Times New Roman" w:cs="宋体"/>
      <w:bCs/>
      <w:kern w:val="0"/>
      <w:szCs w:val="21"/>
    </w:rPr>
  </w:style>
  <w:style w:type="paragraph" w:customStyle="1" w:styleId="110">
    <w:name w:val="表前文字"/>
    <w:basedOn w:val="1"/>
    <w:qFormat/>
    <w:uiPriority w:val="0"/>
    <w:pPr>
      <w:snapToGrid w:val="0"/>
      <w:spacing w:before="156" w:beforeLines="50"/>
      <w:jc w:val="center"/>
    </w:pPr>
    <w:rPr>
      <w:rFonts w:ascii="宋体" w:hAnsi="宋体"/>
      <w:szCs w:val="24"/>
    </w:rPr>
  </w:style>
  <w:style w:type="paragraph" w:customStyle="1" w:styleId="111">
    <w:name w:val="表格 居中"/>
    <w:basedOn w:val="1"/>
    <w:qFormat/>
    <w:uiPriority w:val="0"/>
    <w:pPr>
      <w:adjustRightInd w:val="0"/>
      <w:snapToGrid w:val="0"/>
      <w:jc w:val="center"/>
    </w:pPr>
    <w:rPr>
      <w:rFonts w:eastAsia="仿宋_GB2312"/>
      <w:szCs w:val="21"/>
    </w:rPr>
  </w:style>
  <w:style w:type="paragraph" w:customStyle="1" w:styleId="112">
    <w:name w:val="样式 样式 样式 自动设置 + 五号 段前: 0.5 行 行距: 单倍行距 + 段前: 0.5 行"/>
    <w:basedOn w:val="1"/>
    <w:qFormat/>
    <w:uiPriority w:val="99"/>
    <w:pPr>
      <w:widowControl w:val="0"/>
      <w:kinsoku/>
      <w:jc w:val="both"/>
      <w:textAlignment w:val="auto"/>
    </w:pPr>
    <w:rPr>
      <w:rFonts w:ascii="Times New Roman" w:hAnsi="Times New Roman" w:eastAsia="宋体" w:cs="宋体"/>
      <w:snapToGrid/>
      <w:color w:val="auto"/>
      <w:kern w:val="2"/>
      <w:szCs w:val="20"/>
      <w:lang w:eastAsia="zh-CN"/>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2" Type="http://schemas.openxmlformats.org/officeDocument/2006/relationships/fontTable" Target="fontTable.xml"/><Relationship Id="rId71" Type="http://schemas.openxmlformats.org/officeDocument/2006/relationships/customXml" Target="../customXml/item2.xml"/><Relationship Id="rId70" Type="http://schemas.openxmlformats.org/officeDocument/2006/relationships/numbering" Target="numbering.xml"/><Relationship Id="rId7" Type="http://schemas.openxmlformats.org/officeDocument/2006/relationships/footer" Target="footer5.xml"/><Relationship Id="rId69" Type="http://schemas.openxmlformats.org/officeDocument/2006/relationships/customXml" Target="../customXml/item1.xml"/><Relationship Id="rId68" Type="http://schemas.openxmlformats.org/officeDocument/2006/relationships/image" Target="media/image35.png"/><Relationship Id="rId67" Type="http://schemas.openxmlformats.org/officeDocument/2006/relationships/image" Target="media/image34.emf"/><Relationship Id="rId66" Type="http://schemas.openxmlformats.org/officeDocument/2006/relationships/oleObject" Target="embeddings/oleObject14.bin"/><Relationship Id="rId65" Type="http://schemas.openxmlformats.org/officeDocument/2006/relationships/image" Target="media/image33.png"/><Relationship Id="rId64" Type="http://schemas.openxmlformats.org/officeDocument/2006/relationships/image" Target="media/image32.png"/><Relationship Id="rId63" Type="http://schemas.openxmlformats.org/officeDocument/2006/relationships/image" Target="media/image31.png"/><Relationship Id="rId62" Type="http://schemas.openxmlformats.org/officeDocument/2006/relationships/image" Target="media/image30.png"/><Relationship Id="rId61" Type="http://schemas.openxmlformats.org/officeDocument/2006/relationships/image" Target="media/image29.png"/><Relationship Id="rId60" Type="http://schemas.openxmlformats.org/officeDocument/2006/relationships/image" Target="media/image28.emf"/><Relationship Id="rId6" Type="http://schemas.openxmlformats.org/officeDocument/2006/relationships/footer" Target="footer4.xml"/><Relationship Id="rId59" Type="http://schemas.openxmlformats.org/officeDocument/2006/relationships/oleObject" Target="embeddings/oleObject13.bin"/><Relationship Id="rId58" Type="http://schemas.openxmlformats.org/officeDocument/2006/relationships/image" Target="media/image27.png"/><Relationship Id="rId57" Type="http://schemas.openxmlformats.org/officeDocument/2006/relationships/image" Target="media/image26.png"/><Relationship Id="rId56" Type="http://schemas.openxmlformats.org/officeDocument/2006/relationships/image" Target="media/image25.jpeg"/><Relationship Id="rId55" Type="http://schemas.openxmlformats.org/officeDocument/2006/relationships/image" Target="media/image24.png"/><Relationship Id="rId54" Type="http://schemas.openxmlformats.org/officeDocument/2006/relationships/image" Target="media/image23.png"/><Relationship Id="rId53" Type="http://schemas.openxmlformats.org/officeDocument/2006/relationships/image" Target="media/image22.png"/><Relationship Id="rId52" Type="http://schemas.openxmlformats.org/officeDocument/2006/relationships/image" Target="media/image21.png"/><Relationship Id="rId51" Type="http://schemas.openxmlformats.org/officeDocument/2006/relationships/image" Target="media/image20.png"/><Relationship Id="rId50" Type="http://schemas.openxmlformats.org/officeDocument/2006/relationships/image" Target="media/image19.jpeg"/><Relationship Id="rId5" Type="http://schemas.openxmlformats.org/officeDocument/2006/relationships/footer" Target="footer3.xml"/><Relationship Id="rId49" Type="http://schemas.openxmlformats.org/officeDocument/2006/relationships/image" Target="media/image18.emf"/><Relationship Id="rId48" Type="http://schemas.openxmlformats.org/officeDocument/2006/relationships/oleObject" Target="embeddings/oleObject12.bin"/><Relationship Id="rId47" Type="http://schemas.openxmlformats.org/officeDocument/2006/relationships/image" Target="media/image17.png"/><Relationship Id="rId46" Type="http://schemas.openxmlformats.org/officeDocument/2006/relationships/image" Target="media/image16.png"/><Relationship Id="rId45" Type="http://schemas.openxmlformats.org/officeDocument/2006/relationships/image" Target="media/image15.emf"/><Relationship Id="rId44" Type="http://schemas.openxmlformats.org/officeDocument/2006/relationships/oleObject" Target="embeddings/oleObject11.bin"/><Relationship Id="rId43" Type="http://schemas.openxmlformats.org/officeDocument/2006/relationships/image" Target="media/image14.png"/><Relationship Id="rId42" Type="http://schemas.openxmlformats.org/officeDocument/2006/relationships/image" Target="media/image13.emf"/><Relationship Id="rId41" Type="http://schemas.openxmlformats.org/officeDocument/2006/relationships/oleObject" Target="embeddings/oleObject10.bin"/><Relationship Id="rId40" Type="http://schemas.openxmlformats.org/officeDocument/2006/relationships/image" Target="media/image12.wmf"/><Relationship Id="rId4" Type="http://schemas.openxmlformats.org/officeDocument/2006/relationships/footer" Target="footer2.xml"/><Relationship Id="rId39" Type="http://schemas.openxmlformats.org/officeDocument/2006/relationships/oleObject" Target="embeddings/oleObject9.bin"/><Relationship Id="rId38" Type="http://schemas.openxmlformats.org/officeDocument/2006/relationships/image" Target="media/image11.wmf"/><Relationship Id="rId37" Type="http://schemas.openxmlformats.org/officeDocument/2006/relationships/oleObject" Target="embeddings/oleObject8.bin"/><Relationship Id="rId36" Type="http://schemas.openxmlformats.org/officeDocument/2006/relationships/image" Target="media/image10.wmf"/><Relationship Id="rId35" Type="http://schemas.openxmlformats.org/officeDocument/2006/relationships/oleObject" Target="embeddings/oleObject7.bin"/><Relationship Id="rId34" Type="http://schemas.openxmlformats.org/officeDocument/2006/relationships/image" Target="media/image9.wmf"/><Relationship Id="rId33" Type="http://schemas.openxmlformats.org/officeDocument/2006/relationships/oleObject" Target="embeddings/oleObject6.bin"/><Relationship Id="rId32" Type="http://schemas.openxmlformats.org/officeDocument/2006/relationships/image" Target="media/image8.emf"/><Relationship Id="rId31" Type="http://schemas.openxmlformats.org/officeDocument/2006/relationships/oleObject" Target="embeddings/oleObject5.bin"/><Relationship Id="rId30" Type="http://schemas.openxmlformats.org/officeDocument/2006/relationships/image" Target="media/image7.png"/><Relationship Id="rId3" Type="http://schemas.openxmlformats.org/officeDocument/2006/relationships/footer" Target="footer1.xml"/><Relationship Id="rId29" Type="http://schemas.openxmlformats.org/officeDocument/2006/relationships/image" Target="media/image6.emf"/><Relationship Id="rId28" Type="http://schemas.openxmlformats.org/officeDocument/2006/relationships/oleObject" Target="embeddings/oleObject4.bin"/><Relationship Id="rId27" Type="http://schemas.openxmlformats.org/officeDocument/2006/relationships/image" Target="media/image5.emf"/><Relationship Id="rId26" Type="http://schemas.openxmlformats.org/officeDocument/2006/relationships/oleObject" Target="embeddings/oleObject3.bin"/><Relationship Id="rId25" Type="http://schemas.openxmlformats.org/officeDocument/2006/relationships/image" Target="media/image4.emf"/><Relationship Id="rId24" Type="http://schemas.openxmlformats.org/officeDocument/2006/relationships/oleObject" Target="embeddings/oleObject2.bin"/><Relationship Id="rId23" Type="http://schemas.openxmlformats.org/officeDocument/2006/relationships/image" Target="media/image3.emf"/><Relationship Id="rId22" Type="http://schemas.openxmlformats.org/officeDocument/2006/relationships/oleObject" Target="embeddings/oleObject1.bin"/><Relationship Id="rId21" Type="http://schemas.openxmlformats.org/officeDocument/2006/relationships/image" Target="media/image2.png"/><Relationship Id="rId20" Type="http://schemas.openxmlformats.org/officeDocument/2006/relationships/image" Target="media/image1.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2.xml"/><Relationship Id="rId17" Type="http://schemas.openxmlformats.org/officeDocument/2006/relationships/header" Target="header4.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header" Target="header3.xml"/><Relationship Id="rId11" Type="http://schemas.openxmlformats.org/officeDocument/2006/relationships/header" Target="header2.xml"/><Relationship Id="rId10" Type="http://schemas.openxmlformats.org/officeDocument/2006/relationships/header" Target="header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3073" textRotate="1"/>
    <customShpInfo spid="_x0000_s3081" textRotate="1"/>
    <customShpInfo spid="_x0000_s3082" textRotate="1"/>
    <customShpInfo spid="_x0000_s3083" textRotate="1"/>
    <customShpInfo spid="_x0000_s3085" textRotate="1"/>
    <customShpInfo spid="_x0000_s3086" textRotate="1"/>
    <customShpInfo spid="_x0000_s2059"/>
    <customShpInfo spid="_x0000_s2326"/>
    <customShpInfo spid="_x0000_s2327"/>
    <customShpInfo spid="_x0000_s2328"/>
    <customShpInfo spid="_x0000_s2329"/>
    <customShpInfo spid="_x0000_s2330"/>
    <customShpInfo spid="_x0000_s2331"/>
    <customShpInfo spid="_x0000_s2332"/>
    <customShpInfo spid="_x0000_s2333"/>
    <customShpInfo spid="_x0000_s2334"/>
    <customShpInfo spid="_x0000_s2335"/>
    <customShpInfo spid="_x0000_s2336"/>
    <customShpInfo spid="_x0000_s2337"/>
    <customShpInfo spid="_x0000_s2338"/>
    <customShpInfo spid="_x0000_s2339"/>
    <customShpInfo spid="_x0000_s2340"/>
    <customShpInfo spid="_x0000_s2341"/>
    <customShpInfo spid="_x0000_s2342"/>
    <customShpInfo spid="_x0000_s2343"/>
    <customShpInfo spid="_x0000_s2344"/>
    <customShpInfo spid="_x0000_s2345"/>
    <customShpInfo spid="_x0000_s2346"/>
    <customShpInfo spid="_x0000_s2347"/>
    <customShpInfo spid="_x0000_s2348"/>
    <customShpInfo spid="_x0000_s2349"/>
    <customShpInfo spid="_x0000_s2350"/>
    <customShpInfo spid="_x0000_s2351"/>
    <customShpInfo spid="_x0000_s2352"/>
    <customShpInfo spid="_x0000_s2353"/>
    <customShpInfo spid="_x0000_s2354"/>
    <customShpInfo spid="_x0000_s2355"/>
    <customShpInfo spid="_x0000_s2356"/>
    <customShpInfo spid="_x0000_s2357"/>
    <customShpInfo spid="_x0000_s2358"/>
    <customShpInfo spid="_x0000_s2359"/>
    <customShpInfo spid="_x0000_s2360"/>
    <customShpInfo spid="_x0000_s2361"/>
    <customShpInfo spid="_x0000_s2362"/>
    <customShpInfo spid="_x0000_s2363"/>
    <customShpInfo spid="_x0000_s2364"/>
    <customShpInfo spid="_x0000_s2365"/>
    <customShpInfo spid="_x0000_s2366"/>
    <customShpInfo spid="_x0000_s2367"/>
    <customShpInfo spid="_x0000_s2368"/>
    <customShpInfo spid="_x0000_s2369"/>
    <customShpInfo spid="_x0000_s2370"/>
    <customShpInfo spid="_x0000_s2371"/>
    <customShpInfo spid="_x0000_s2372"/>
    <customShpInfo spid="_x0000_s2373"/>
    <customShpInfo spid="_x0000_s2375"/>
    <customShpInfo spid="_x0000_s2376"/>
    <customShpInfo spid="_x0000_s2377"/>
    <customShpInfo spid="_x0000_s2515"/>
    <customShpInfo spid="_x0000_s2516"/>
    <customShpInfo spid="_x0000_s2517"/>
    <customShpInfo spid="_x0000_s2518"/>
    <customShpInfo spid="_x0000_s2519"/>
    <customShpInfo spid="_x0000_s2520"/>
    <customShpInfo spid="_x0000_s2521"/>
    <customShpInfo spid="_x0000_s2522"/>
    <customShpInfo spid="_x0000_s2523"/>
    <customShpInfo spid="_x0000_s2524"/>
    <customShpInfo spid="_x0000_s2525"/>
    <customShpInfo spid="_x0000_s2526"/>
    <customShpInfo spid="_x0000_s2527"/>
    <customShpInfo spid="_x0000_s2528"/>
    <customShpInfo spid="_x0000_s2529"/>
    <customShpInfo spid="_x0000_s2530"/>
    <customShpInfo spid="_x0000_s2531"/>
    <customShpInfo spid="_x0000_s2532"/>
    <customShpInfo spid="_x0000_s2533"/>
    <customShpInfo spid="_x0000_s2534"/>
    <customShpInfo spid="_x0000_s2535"/>
    <customShpInfo spid="_x0000_s2536"/>
    <customShpInfo spid="_x0000_s2537"/>
    <customShpInfo spid="_x0000_s2538"/>
    <customShpInfo spid="_x0000_s2539"/>
    <customShpInfo spid="_x0000_s2540"/>
    <customShpInfo spid="_x0000_s2541"/>
    <customShpInfo spid="_x0000_s2542"/>
    <customShpInfo spid="_x0000_s2543"/>
    <customShpInfo spid="_x0000_s2544"/>
    <customShpInfo spid="_x0000_s2545"/>
    <customShpInfo spid="_x0000_s2546"/>
    <customShpInfo spid="_x0000_s2547"/>
    <customShpInfo spid="_x0000_s2548"/>
    <customShpInfo spid="_x0000_s2549"/>
    <customShpInfo spid="_x0000_s2550"/>
    <customShpInfo spid="_x0000_s2551"/>
    <customShpInfo spid="_x0000_s2552"/>
    <customShpInfo spid="_x0000_s2553"/>
    <customShpInfo spid="_x0000_s2554"/>
    <customShpInfo spid="_x0000_s2555"/>
    <customShpInfo spid="_x0000_s2556"/>
    <customShpInfo spid="_x0000_s2557"/>
    <customShpInfo spid="_x0000_s2558"/>
    <customShpInfo spid="_x0000_s2559"/>
    <customShpInfo spid="_x0000_s2560"/>
    <customShpInfo spid="_x0000_s2561"/>
    <customShpInfo spid="_x0000_s2562"/>
    <customShpInfo spid="_x0000_s2563"/>
    <customShpInfo spid="_x0000_s2564"/>
    <customShpInfo spid="_x0000_s2565"/>
    <customShpInfo spid="_x0000_s2566"/>
    <customShpInfo spid="_x0000_s2567"/>
    <customShpInfo spid="_x0000_s2568"/>
    <customShpInfo spid="_x0000_s2569"/>
    <customShpInfo spid="_x0000_s2570"/>
    <customShpInfo spid="_x0000_s2571"/>
    <customShpInfo spid="_x0000_s2572"/>
    <customShpInfo spid="_x0000_s2573"/>
    <customShpInfo spid="_x0000_s2574"/>
    <customShpInfo spid="_x0000_s2575"/>
    <customShpInfo spid="_x0000_s2576"/>
    <customShpInfo spid="_x0000_s2577"/>
    <customShpInfo spid="_x0000_s2578"/>
    <customShpInfo spid="_x0000_s2579"/>
    <customShpInfo spid="_x0000_s2580"/>
    <customShpInfo spid="_x0000_s2581"/>
    <customShpInfo spid="_x0000_s2582"/>
    <customShpInfo spid="_x0000_s2583"/>
    <customShpInfo spid="_x0000_s2584"/>
    <customShpInfo spid="_x0000_s2585"/>
    <customShpInfo spid="_x0000_s2586"/>
    <customShpInfo spid="_x0000_s2587"/>
    <customShpInfo spid="_x0000_s2588"/>
    <customShpInfo spid="_x0000_s2589"/>
    <customShpInfo spid="_x0000_s2590"/>
    <customShpInfo spid="_x0000_s2602"/>
    <customShpInfo spid="_x0000_s2591"/>
    <customShpInfo spid="_x0000_s2592"/>
    <customShpInfo spid="_x0000_s2603"/>
    <customShpInfo spid="_x0000_s2625"/>
    <customShpInfo spid="_x0000_s2626"/>
    <customShpInfo spid="_x0000_s2624"/>
    <customShpInfo spid="_x0000_s2623"/>
    <customShpInfo spid="_x0000_s2610"/>
    <customShpInfo spid="_x0000_s2620"/>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2159"/>
    <customShpInfo spid="_x0000_s2160"/>
    <customShpInfo spid="_x0000_s2161"/>
    <customShpInfo spid="_x0000_s2162"/>
    <customShpInfo spid="_x0000_s2163"/>
    <customShpInfo spid="_x0000_s2164"/>
    <customShpInfo spid="_x0000_s2165"/>
    <customShpInfo spid="_x0000_s2166"/>
    <customShpInfo spid="_x0000_s2167"/>
    <customShpInfo spid="_x0000_s2168"/>
    <customShpInfo spid="_x0000_s2169"/>
    <customShpInfo spid="_x0000_s2170"/>
    <customShpInfo spid="_x0000_s2171"/>
    <customShpInfo spid="_x0000_s2172"/>
    <customShpInfo spid="_x0000_s2173"/>
    <customShpInfo spid="_x0000_s2174"/>
    <customShpInfo spid="_x0000_s2175"/>
    <customShpInfo spid="_x0000_s2176"/>
    <customShpInfo spid="_x0000_s2177"/>
    <customShpInfo spid="_x0000_s2178"/>
    <customShpInfo spid="_x0000_s2179"/>
    <customShpInfo spid="_x0000_s2611"/>
    <customShpInfo spid="_x0000_s2612"/>
    <customShpInfo spid="_x0000_s2613"/>
    <customShpInfo spid="_x0000_s2614"/>
    <customShpInfo spid="_x0000_s2615"/>
    <customShpInfo spid="_x0000_s2616"/>
    <customShpInfo spid="_x0000_s2617"/>
    <customShpInfo spid="_x0000_s2619"/>
    <customShpInfo spid="_x0000_s2631"/>
    <customShpInfo spid="_x0000_s2632"/>
  </customShpExts>
</s:customData>
</file>

<file path=customXml/item2.xml><?xml version="1.0" encoding="utf-8"?>
<b:Sources xmlns="http://schemas.openxmlformats.org/officeDocument/2006/bibliography" xmlns:b="http://schemas.openxmlformats.org/officeDocument/2006/bibliography" Version="6" StyleName="APA" SelectedStyle="\APASixthEditionOfficeOnline.xsl"/>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C4A3455-E790-4EBC-8427-98C3761C9E36}">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220</Pages>
  <Words>1217</Words>
  <Characters>1334</Characters>
  <Lines>560</Lines>
  <Paragraphs>157</Paragraphs>
  <TotalTime>1</TotalTime>
  <ScaleCrop>false</ScaleCrop>
  <LinksUpToDate>false</LinksUpToDate>
  <CharactersWithSpaces>1451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2025-06-17T14:31:00Z</dcterms:created>
  <dc:creator>lhj</dc:creator>
  <cp:lastModifiedBy>球球</cp:lastModifiedBy>
  <cp:lastPrinted>2022-03-01T18:11:00Z</cp:lastPrinted>
  <dcterms:modified xsi:type="dcterms:W3CDTF">2026-03-19T00:48:01Z</dcterms:modified>
  <dc:title>附件2</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2B4C0972644048959EFD42423EF04585</vt:lpwstr>
  </property>
  <property fmtid="{D5CDD505-2E9C-101B-9397-08002B2CF9AE}" pid="4" name="KSOTemplateDocerSaveRecord">
    <vt:lpwstr>eyJoZGlkIjoiYWZhMzA0MTE2MGQ3ODcwOTgyMWY3NzY0ZDhkYzQxODciLCJ1c2VySWQiOiIzODk2NzQyOTcifQ==</vt:lpwstr>
  </property>
</Properties>
</file>